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44"/>
        <w:jc w:val="center"/>
        <w:rPr>
          <w:rFonts w:ascii="宋体" w:hAnsi="宋体"/>
          <w:b/>
          <w:sz w:val="52"/>
        </w:rPr>
      </w:pPr>
    </w:p>
    <w:p>
      <w:pPr>
        <w:ind w:firstLine="0" w:firstLineChars="0"/>
        <w:jc w:val="center"/>
        <w:rPr>
          <w:rFonts w:ascii="宋体" w:hAnsi="宋体"/>
          <w:b/>
          <w:sz w:val="44"/>
          <w:szCs w:val="44"/>
        </w:rPr>
      </w:pPr>
      <w:r>
        <w:rPr>
          <w:rFonts w:hint="eastAsia" w:ascii="宋体" w:hAnsi="宋体"/>
          <w:b/>
          <w:sz w:val="44"/>
          <w:szCs w:val="44"/>
        </w:rPr>
        <w:t>西宁市湟中区水利工程管理</w:t>
      </w:r>
    </w:p>
    <w:p>
      <w:pPr>
        <w:ind w:firstLine="0" w:firstLineChars="0"/>
        <w:jc w:val="center"/>
        <w:rPr>
          <w:rFonts w:ascii="宋体" w:hAnsi="宋体"/>
          <w:b/>
          <w:sz w:val="44"/>
          <w:szCs w:val="44"/>
        </w:rPr>
      </w:pPr>
      <w:r>
        <w:rPr>
          <w:rFonts w:hint="eastAsia" w:ascii="宋体" w:hAnsi="宋体"/>
          <w:b/>
          <w:sz w:val="44"/>
          <w:szCs w:val="44"/>
        </w:rPr>
        <w:t>与保护范围划定工作</w:t>
      </w:r>
    </w:p>
    <w:p>
      <w:pPr>
        <w:ind w:firstLine="0" w:firstLineChars="0"/>
        <w:jc w:val="center"/>
        <w:rPr>
          <w:rFonts w:ascii="宋体" w:hAnsi="宋体"/>
          <w:b/>
          <w:sz w:val="44"/>
          <w:szCs w:val="44"/>
        </w:rPr>
      </w:pPr>
      <w:r>
        <w:rPr>
          <w:rFonts w:hint="eastAsia" w:ascii="宋体" w:hAnsi="宋体"/>
          <w:b/>
          <w:sz w:val="44"/>
          <w:szCs w:val="44"/>
        </w:rPr>
        <w:t>政府采购</w:t>
      </w:r>
    </w:p>
    <w:p>
      <w:pPr>
        <w:ind w:firstLine="0" w:firstLineChars="0"/>
        <w:jc w:val="center"/>
        <w:rPr>
          <w:rFonts w:ascii="宋体" w:hAnsi="宋体"/>
          <w:sz w:val="52"/>
          <w:szCs w:val="52"/>
        </w:rPr>
      </w:pPr>
      <w:bookmarkStart w:id="0" w:name="_Hlt162751967"/>
      <w:bookmarkEnd w:id="0"/>
    </w:p>
    <w:p>
      <w:pPr>
        <w:ind w:firstLine="0" w:firstLineChars="0"/>
        <w:jc w:val="center"/>
        <w:rPr>
          <w:rFonts w:ascii="宋体" w:hAnsi="宋体"/>
          <w:sz w:val="52"/>
          <w:szCs w:val="52"/>
        </w:rPr>
      </w:pPr>
    </w:p>
    <w:p>
      <w:pPr>
        <w:ind w:firstLine="0" w:firstLineChars="0"/>
        <w:jc w:val="center"/>
        <w:rPr>
          <w:rFonts w:ascii="宋体" w:hAnsi="宋体"/>
          <w:b/>
          <w:bCs/>
          <w:sz w:val="56"/>
          <w:szCs w:val="56"/>
        </w:rPr>
      </w:pPr>
      <w:bookmarkStart w:id="1" w:name="_Toc164669529"/>
      <w:r>
        <w:rPr>
          <w:rFonts w:hint="eastAsia" w:ascii="宋体" w:hAnsi="宋体"/>
          <w:b/>
          <w:bCs/>
          <w:sz w:val="48"/>
          <w:szCs w:val="48"/>
        </w:rPr>
        <w:t>招标文件</w:t>
      </w:r>
      <w:bookmarkEnd w:id="1"/>
    </w:p>
    <w:p>
      <w:pPr>
        <w:ind w:firstLine="0" w:firstLineChars="0"/>
        <w:rPr>
          <w:rFonts w:ascii="宋体" w:hAnsi="宋体"/>
          <w:sz w:val="28"/>
        </w:rPr>
      </w:pPr>
    </w:p>
    <w:p>
      <w:pPr>
        <w:ind w:firstLine="0" w:firstLineChars="0"/>
        <w:rPr>
          <w:rFonts w:ascii="宋体" w:hAnsi="宋体"/>
          <w:sz w:val="28"/>
        </w:rPr>
      </w:pPr>
    </w:p>
    <w:p>
      <w:pPr>
        <w:ind w:firstLine="0" w:firstLineChars="0"/>
        <w:rPr>
          <w:rFonts w:ascii="宋体" w:hAnsi="宋体"/>
          <w:sz w:val="30"/>
        </w:rPr>
      </w:pPr>
    </w:p>
    <w:p>
      <w:pPr>
        <w:ind w:firstLine="0" w:firstLineChars="0"/>
        <w:rPr>
          <w:rFonts w:ascii="宋体" w:hAnsi="宋体"/>
          <w:b/>
          <w:sz w:val="30"/>
          <w:szCs w:val="30"/>
        </w:rPr>
      </w:pPr>
    </w:p>
    <w:p>
      <w:pPr>
        <w:ind w:firstLine="596" w:firstLineChars="198"/>
        <w:jc w:val="both"/>
        <w:rPr>
          <w:rFonts w:ascii="宋体" w:hAnsi="宋体"/>
          <w:b/>
          <w:sz w:val="30"/>
          <w:szCs w:val="30"/>
        </w:rPr>
      </w:pPr>
      <w:r>
        <w:rPr>
          <w:rFonts w:hint="eastAsia" w:ascii="宋体" w:hAnsi="宋体"/>
          <w:b/>
          <w:sz w:val="30"/>
          <w:szCs w:val="30"/>
        </w:rPr>
        <w:t>采购项目编号：青海禹龙公招（服务）2021-002</w:t>
      </w:r>
    </w:p>
    <w:p>
      <w:pPr>
        <w:widowControl w:val="0"/>
        <w:ind w:left="2688" w:leftChars="282" w:hanging="2096" w:hangingChars="696"/>
        <w:rPr>
          <w:rFonts w:ascii="宋体" w:hAnsi="宋体"/>
          <w:b/>
          <w:sz w:val="30"/>
          <w:szCs w:val="30"/>
        </w:rPr>
      </w:pPr>
      <w:r>
        <w:rPr>
          <w:rFonts w:hint="eastAsia" w:ascii="宋体" w:hAnsi="宋体"/>
          <w:b/>
          <w:sz w:val="30"/>
          <w:szCs w:val="30"/>
        </w:rPr>
        <w:t>采购项目名称：西宁市湟中区水利工程管理与保护范围划定工作</w:t>
      </w:r>
    </w:p>
    <w:p>
      <w:pPr>
        <w:ind w:firstLine="596" w:firstLineChars="198"/>
        <w:jc w:val="both"/>
        <w:rPr>
          <w:rFonts w:ascii="宋体" w:hAnsi="宋体"/>
          <w:b/>
          <w:sz w:val="30"/>
          <w:szCs w:val="30"/>
        </w:rPr>
      </w:pPr>
      <w:r>
        <w:rPr>
          <w:rFonts w:hint="eastAsia" w:ascii="宋体" w:hAnsi="宋体"/>
          <w:b/>
          <w:sz w:val="30"/>
          <w:szCs w:val="30"/>
        </w:rPr>
        <w:t>采购单位：西宁市湟中区水利站</w:t>
      </w:r>
    </w:p>
    <w:p>
      <w:pPr>
        <w:ind w:firstLine="596" w:firstLineChars="198"/>
        <w:jc w:val="both"/>
        <w:rPr>
          <w:rFonts w:ascii="宋体" w:hAnsi="宋体"/>
          <w:b/>
          <w:sz w:val="30"/>
          <w:szCs w:val="30"/>
        </w:rPr>
      </w:pPr>
      <w:r>
        <w:rPr>
          <w:rFonts w:hint="eastAsia" w:ascii="宋体" w:hAnsi="宋体"/>
          <w:b/>
          <w:sz w:val="30"/>
          <w:szCs w:val="30"/>
        </w:rPr>
        <w:t>采购代理机构：</w:t>
      </w:r>
      <w:r>
        <w:rPr>
          <w:rFonts w:hint="eastAsia" w:ascii="宋体" w:hAnsi="宋体"/>
          <w:b/>
          <w:sz w:val="24"/>
          <w:szCs w:val="24"/>
        </w:rPr>
        <w:t>青海省禹龙水利水电工程招标技术咨询中心有限责任公司</w:t>
      </w:r>
    </w:p>
    <w:p>
      <w:pPr>
        <w:ind w:firstLine="0" w:firstLineChars="0"/>
        <w:jc w:val="center"/>
        <w:rPr>
          <w:rFonts w:ascii="宋体" w:hAnsi="宋体"/>
          <w:b/>
          <w:sz w:val="30"/>
          <w:szCs w:val="30"/>
        </w:rPr>
      </w:pPr>
      <w:r>
        <w:rPr>
          <w:rFonts w:hint="eastAsia" w:ascii="宋体" w:hAnsi="宋体"/>
          <w:b/>
          <w:sz w:val="30"/>
          <w:szCs w:val="30"/>
        </w:rPr>
        <w:t>2021年1月</w:t>
      </w:r>
    </w:p>
    <w:p>
      <w:pPr>
        <w:ind w:firstLine="560"/>
        <w:jc w:val="both"/>
        <w:rPr>
          <w:rFonts w:ascii="宋体" w:hAnsi="宋体"/>
          <w:sz w:val="28"/>
          <w:szCs w:val="28"/>
        </w:rPr>
      </w:pPr>
    </w:p>
    <w:p>
      <w:pPr>
        <w:pStyle w:val="2"/>
        <w:keepNext w:val="0"/>
        <w:keepLines w:val="0"/>
        <w:pageBreakBefore/>
        <w:tabs>
          <w:tab w:val="left" w:pos="3960"/>
        </w:tabs>
        <w:ind w:firstLine="723"/>
        <w:rPr>
          <w:rFonts w:hAnsi="宋体"/>
          <w:sz w:val="36"/>
          <w:szCs w:val="36"/>
        </w:rPr>
        <w:sectPr>
          <w:headerReference r:id="rId5" w:type="first"/>
          <w:footerReference r:id="rId8" w:type="first"/>
          <w:headerReference r:id="rId3" w:type="default"/>
          <w:footerReference r:id="rId6" w:type="default"/>
          <w:headerReference r:id="rId4" w:type="even"/>
          <w:footerReference r:id="rId7" w:type="even"/>
          <w:pgSz w:w="11907" w:h="16840"/>
          <w:pgMar w:top="1418" w:right="1418" w:bottom="1418" w:left="1531" w:header="720" w:footer="720" w:gutter="0"/>
          <w:pgNumType w:start="0" w:chapStyle="1"/>
          <w:cols w:space="720" w:num="1"/>
          <w:titlePg/>
          <w:docGrid w:linePitch="285" w:charSpace="0"/>
        </w:sectPr>
      </w:pPr>
      <w:bookmarkStart w:id="2" w:name="_Toc176658508"/>
    </w:p>
    <w:p>
      <w:pPr>
        <w:pStyle w:val="2"/>
        <w:keepNext w:val="0"/>
        <w:keepLines w:val="0"/>
        <w:pageBreakBefore/>
        <w:ind w:firstLine="562"/>
        <w:rPr>
          <w:rFonts w:hAnsi="宋体"/>
          <w:sz w:val="28"/>
          <w:szCs w:val="28"/>
        </w:rPr>
      </w:pPr>
      <w:bookmarkStart w:id="3" w:name="_Toc176666472"/>
      <w:bookmarkStart w:id="4" w:name="_Toc23239612"/>
      <w:bookmarkStart w:id="5" w:name="_Toc8624"/>
      <w:bookmarkStart w:id="6" w:name="_Toc61249549"/>
      <w:bookmarkStart w:id="7" w:name="_Toc283"/>
      <w:r>
        <w:rPr>
          <w:rFonts w:hint="eastAsia" w:hAnsi="宋体"/>
          <w:sz w:val="28"/>
          <w:szCs w:val="28"/>
        </w:rPr>
        <w:t>目    录</w:t>
      </w:r>
      <w:bookmarkEnd w:id="2"/>
      <w:bookmarkEnd w:id="3"/>
      <w:bookmarkEnd w:id="4"/>
      <w:bookmarkEnd w:id="5"/>
      <w:bookmarkEnd w:id="6"/>
      <w:bookmarkEnd w:id="7"/>
    </w:p>
    <w:p>
      <w:pPr>
        <w:pStyle w:val="28"/>
        <w:tabs>
          <w:tab w:val="right" w:leader="dot" w:pos="8948"/>
        </w:tabs>
        <w:ind w:firstLine="400"/>
        <w:rPr>
          <w:rFonts w:asciiTheme="minorHAnsi" w:hAnsiTheme="minorHAnsi" w:eastAsiaTheme="minorEastAsia" w:cstheme="minorBidi"/>
          <w:b w:val="0"/>
          <w:bCs w:val="0"/>
          <w:caps w:val="0"/>
          <w:kern w:val="2"/>
          <w:sz w:val="21"/>
          <w:szCs w:val="22"/>
        </w:rPr>
      </w:pPr>
      <w:bookmarkStart w:id="8" w:name="_Toc176658509"/>
      <w:r>
        <w:rPr>
          <w:b w:val="0"/>
          <w:bCs w:val="0"/>
          <w:caps w:val="0"/>
        </w:rPr>
        <w:fldChar w:fldCharType="begin"/>
      </w:r>
      <w:r>
        <w:rPr>
          <w:b w:val="0"/>
          <w:bCs w:val="0"/>
          <w:caps w:val="0"/>
        </w:rPr>
        <w:instrText xml:space="preserve"> TOC \o "1-3" \h \z \u </w:instrText>
      </w:r>
      <w:r>
        <w:rPr>
          <w:b w:val="0"/>
          <w:bCs w:val="0"/>
          <w:caps w:val="0"/>
        </w:rPr>
        <w:fldChar w:fldCharType="separate"/>
      </w:r>
      <w:r>
        <w:fldChar w:fldCharType="begin"/>
      </w:r>
      <w:r>
        <w:instrText xml:space="preserve"> HYPERLINK \l "_Toc61249549" </w:instrText>
      </w:r>
      <w:r>
        <w:fldChar w:fldCharType="separate"/>
      </w:r>
      <w:r>
        <w:rPr>
          <w:rStyle w:val="46"/>
          <w:rFonts w:hint="eastAsia" w:hAnsi="宋体"/>
        </w:rPr>
        <w:t>目录</w:t>
      </w:r>
      <w:r>
        <w:tab/>
      </w:r>
      <w:r>
        <w:fldChar w:fldCharType="begin"/>
      </w:r>
      <w:r>
        <w:instrText xml:space="preserve"> PAGEREF _Toc61249549 \h </w:instrText>
      </w:r>
      <w:r>
        <w:fldChar w:fldCharType="separate"/>
      </w:r>
      <w:r>
        <w:t>1</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"_Toc61249550" </w:instrText>
      </w:r>
      <w:r>
        <w:fldChar w:fldCharType="separate"/>
      </w:r>
      <w:r>
        <w:rPr>
          <w:rStyle w:val="46"/>
          <w:rFonts w:hint="eastAsia"/>
        </w:rPr>
        <w:t>第一部分采购公告</w:t>
      </w:r>
      <w:r>
        <w:tab/>
      </w:r>
      <w:r>
        <w:fldChar w:fldCharType="begin"/>
      </w:r>
      <w:r>
        <w:instrText xml:space="preserve"> PAGEREF _Toc61249550 \h </w:instrText>
      </w:r>
      <w:r>
        <w:fldChar w:fldCharType="separate"/>
      </w:r>
      <w:r>
        <w:t>3</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"_Toc61249551" </w:instrText>
      </w:r>
      <w:r>
        <w:fldChar w:fldCharType="separate"/>
      </w:r>
      <w:r>
        <w:rPr>
          <w:rStyle w:val="46"/>
          <w:rFonts w:hint="eastAsia" w:hAnsi="宋体"/>
        </w:rPr>
        <w:t>第二部分投标人须知</w:t>
      </w:r>
      <w:r>
        <w:tab/>
      </w:r>
      <w:r>
        <w:fldChar w:fldCharType="begin"/>
      </w:r>
      <w:r>
        <w:instrText xml:space="preserve"> PAGEREF _Toc61249551 \h </w:instrText>
      </w:r>
      <w:r>
        <w:fldChar w:fldCharType="separate"/>
      </w:r>
      <w:r>
        <w:t>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"_Toc61249552" </w:instrText>
      </w:r>
      <w:r>
        <w:fldChar w:fldCharType="separate"/>
      </w:r>
      <w:r>
        <w:rPr>
          <w:rStyle w:val="46"/>
          <w:rFonts w:hint="eastAsia"/>
        </w:rPr>
        <w:t>投标须知前附表</w:t>
      </w:r>
      <w:r>
        <w:tab/>
      </w:r>
      <w:r>
        <w:fldChar w:fldCharType="begin"/>
      </w:r>
      <w:r>
        <w:instrText xml:space="preserve"> PAGEREF _Toc61249552 \h </w:instrText>
      </w:r>
      <w:r>
        <w:fldChar w:fldCharType="separate"/>
      </w:r>
      <w:r>
        <w:t>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"_Toc61249553" </w:instrText>
      </w:r>
      <w:r>
        <w:fldChar w:fldCharType="separate"/>
      </w:r>
      <w:r>
        <w:rPr>
          <w:rStyle w:val="46"/>
          <w:rFonts w:hint="eastAsia"/>
        </w:rPr>
        <w:t>（一）总则</w:t>
      </w:r>
      <w:r>
        <w:tab/>
      </w:r>
      <w:r>
        <w:fldChar w:fldCharType="begin"/>
      </w:r>
      <w:r>
        <w:instrText xml:space="preserve"> PAGEREF _Toc61249553 \h </w:instrText>
      </w:r>
      <w:r>
        <w:fldChar w:fldCharType="separate"/>
      </w:r>
      <w:r>
        <w:t>6</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"_Toc61249554" </w:instrText>
      </w:r>
      <w:r>
        <w:fldChar w:fldCharType="separate"/>
      </w:r>
      <w:r>
        <w:rPr>
          <w:rStyle w:val="46"/>
          <w:rFonts w:hint="eastAsia"/>
        </w:rPr>
        <w:t>（二）招标文件说明</w:t>
      </w:r>
      <w:r>
        <w:tab/>
      </w:r>
      <w:r>
        <w:fldChar w:fldCharType="begin"/>
      </w:r>
      <w:r>
        <w:instrText xml:space="preserve"> PAGEREF _Toc61249554 \h </w:instrText>
      </w:r>
      <w:r>
        <w:fldChar w:fldCharType="separate"/>
      </w:r>
      <w:r>
        <w:t>7</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"_Toc61249555" </w:instrText>
      </w:r>
      <w:r>
        <w:fldChar w:fldCharType="separate"/>
      </w:r>
      <w:r>
        <w:rPr>
          <w:rStyle w:val="46"/>
          <w:rFonts w:hint="eastAsia"/>
        </w:rPr>
        <w:t>（三）投标文件的编制</w:t>
      </w:r>
      <w:r>
        <w:tab/>
      </w:r>
      <w:r>
        <w:fldChar w:fldCharType="begin"/>
      </w:r>
      <w:r>
        <w:instrText xml:space="preserve"> PAGEREF _Toc61249555 \h </w:instrText>
      </w:r>
      <w:r>
        <w:fldChar w:fldCharType="separate"/>
      </w:r>
      <w:r>
        <w:t>8</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"_Toc61249556" </w:instrText>
      </w:r>
      <w:r>
        <w:fldChar w:fldCharType="separate"/>
      </w:r>
      <w:r>
        <w:rPr>
          <w:rStyle w:val="46"/>
          <w:rFonts w:hint="eastAsia"/>
        </w:rPr>
        <w:t>（四）投标文件的递交</w:t>
      </w:r>
      <w:r>
        <w:tab/>
      </w:r>
      <w:r>
        <w:fldChar w:fldCharType="begin"/>
      </w:r>
      <w:r>
        <w:instrText xml:space="preserve"> PAGEREF _Toc61249556 \h </w:instrText>
      </w:r>
      <w:r>
        <w:fldChar w:fldCharType="separate"/>
      </w:r>
      <w:r>
        <w:t>10</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"_Toc61249557" </w:instrText>
      </w:r>
      <w:r>
        <w:fldChar w:fldCharType="separate"/>
      </w:r>
      <w:r>
        <w:rPr>
          <w:rStyle w:val="46"/>
          <w:rFonts w:hint="eastAsia"/>
        </w:rPr>
        <w:t>（五）开标与评标</w:t>
      </w:r>
      <w:r>
        <w:tab/>
      </w:r>
      <w:r>
        <w:fldChar w:fldCharType="begin"/>
      </w:r>
      <w:r>
        <w:instrText xml:space="preserve"> PAGEREF _Toc61249557 \h </w:instrText>
      </w:r>
      <w:r>
        <w:fldChar w:fldCharType="separate"/>
      </w:r>
      <w:r>
        <w:t>11</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"_Toc61249558" </w:instrText>
      </w:r>
      <w:r>
        <w:fldChar w:fldCharType="separate"/>
      </w:r>
      <w:r>
        <w:rPr>
          <w:rStyle w:val="46"/>
          <w:rFonts w:hint="eastAsia"/>
        </w:rPr>
        <w:t>（六）授予合同</w:t>
      </w:r>
      <w:r>
        <w:tab/>
      </w:r>
      <w:r>
        <w:fldChar w:fldCharType="begin"/>
      </w:r>
      <w:r>
        <w:instrText xml:space="preserve"> PAGEREF _Toc61249558 \h </w:instrText>
      </w:r>
      <w:r>
        <w:fldChar w:fldCharType="separate"/>
      </w:r>
      <w:r>
        <w:t>13</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"_Toc61249559" </w:instrText>
      </w:r>
      <w:r>
        <w:fldChar w:fldCharType="separate"/>
      </w:r>
      <w:r>
        <w:rPr>
          <w:rStyle w:val="46"/>
          <w:rFonts w:hint="eastAsia"/>
        </w:rPr>
        <w:t>第三部分招标内容及技术要求</w:t>
      </w:r>
      <w:r>
        <w:tab/>
      </w:r>
      <w:r>
        <w:fldChar w:fldCharType="begin"/>
      </w:r>
      <w:r>
        <w:instrText xml:space="preserve"> PAGEREF _Toc61249559 \h </w:instrText>
      </w:r>
      <w:r>
        <w:fldChar w:fldCharType="separate"/>
      </w:r>
      <w:r>
        <w:t>15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"_Toc61249560" </w:instrText>
      </w:r>
      <w:r>
        <w:fldChar w:fldCharType="separate"/>
      </w:r>
      <w:r>
        <w:rPr>
          <w:rStyle w:val="46"/>
          <w:rFonts w:hint="eastAsia"/>
        </w:rPr>
        <w:t>一、项目概况</w:t>
      </w:r>
      <w:r>
        <w:tab/>
      </w:r>
      <w:r>
        <w:fldChar w:fldCharType="begin"/>
      </w:r>
      <w:r>
        <w:instrText xml:space="preserve"> PAGEREF _Toc61249560 \h </w:instrText>
      </w:r>
      <w:r>
        <w:fldChar w:fldCharType="separate"/>
      </w:r>
      <w:r>
        <w:t>15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"_Toc61249561" </w:instrText>
      </w:r>
      <w:r>
        <w:fldChar w:fldCharType="separate"/>
      </w:r>
      <w:r>
        <w:rPr>
          <w:rStyle w:val="46"/>
          <w:rFonts w:hint="eastAsia"/>
        </w:rPr>
        <w:t>二、界桩、标示牌标准</w:t>
      </w:r>
      <w:r>
        <w:tab/>
      </w:r>
      <w:r>
        <w:fldChar w:fldCharType="begin"/>
      </w:r>
      <w:r>
        <w:instrText xml:space="preserve"> PAGEREF _Toc61249561 \h </w:instrText>
      </w:r>
      <w:r>
        <w:fldChar w:fldCharType="separate"/>
      </w:r>
      <w:r>
        <w:t>15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"_Toc61249562" </w:instrText>
      </w:r>
      <w:r>
        <w:fldChar w:fldCharType="separate"/>
      </w:r>
      <w:r>
        <w:rPr>
          <w:rStyle w:val="46"/>
          <w:rFonts w:hint="eastAsia"/>
        </w:rPr>
        <w:t>三、采购清单</w:t>
      </w:r>
      <w:r>
        <w:tab/>
      </w:r>
      <w:r>
        <w:fldChar w:fldCharType="begin"/>
      </w:r>
      <w:r>
        <w:instrText xml:space="preserve"> PAGEREF _Toc61249562 \h </w:instrText>
      </w:r>
      <w:r>
        <w:fldChar w:fldCharType="separate"/>
      </w:r>
      <w:r>
        <w:t>20</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"_Toc61249563" </w:instrText>
      </w:r>
      <w:r>
        <w:fldChar w:fldCharType="separate"/>
      </w:r>
      <w:r>
        <w:rPr>
          <w:rStyle w:val="46"/>
          <w:rFonts w:hint="eastAsia"/>
        </w:rPr>
        <w:t>第四部分合同主要条款</w:t>
      </w:r>
      <w:r>
        <w:tab/>
      </w:r>
      <w:r>
        <w:fldChar w:fldCharType="begin"/>
      </w:r>
      <w:r>
        <w:instrText xml:space="preserve"> PAGEREF _Toc61249563 \h </w:instrText>
      </w:r>
      <w:r>
        <w:fldChar w:fldCharType="separate"/>
      </w:r>
      <w:r>
        <w:t>21</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"_Toc61249564" </w:instrText>
      </w:r>
      <w:r>
        <w:fldChar w:fldCharType="separate"/>
      </w:r>
      <w:r>
        <w:rPr>
          <w:rStyle w:val="46"/>
          <w:rFonts w:hint="eastAsia"/>
        </w:rPr>
        <w:t>第九条保密</w:t>
      </w:r>
      <w:r>
        <w:tab/>
      </w:r>
      <w:r>
        <w:fldChar w:fldCharType="begin"/>
      </w:r>
      <w:r>
        <w:instrText xml:space="preserve"> PAGEREF _Toc61249564 \h </w:instrText>
      </w:r>
      <w:r>
        <w:fldChar w:fldCharType="separate"/>
      </w:r>
      <w:r>
        <w:t>23</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"_Toc61249565" </w:instrText>
      </w:r>
      <w:r>
        <w:fldChar w:fldCharType="separate"/>
      </w:r>
      <w:r>
        <w:rPr>
          <w:rStyle w:val="46"/>
          <w:rFonts w:hint="eastAsia"/>
        </w:rPr>
        <w:t>第五部分投标文件格式</w:t>
      </w:r>
      <w:r>
        <w:tab/>
      </w:r>
      <w:r>
        <w:fldChar w:fldCharType="begin"/>
      </w:r>
      <w:r>
        <w:instrText xml:space="preserve"> PAGEREF _Toc61249565 \h </w:instrText>
      </w:r>
      <w:r>
        <w:fldChar w:fldCharType="separate"/>
      </w:r>
      <w:r>
        <w:t>25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"_Toc61249566" </w:instrText>
      </w:r>
      <w:r>
        <w:fldChar w:fldCharType="separate"/>
      </w:r>
      <w:r>
        <w:rPr>
          <w:rStyle w:val="46"/>
          <w:rFonts w:hint="eastAsia"/>
        </w:rPr>
        <w:t>投标人提交投标文件须知</w:t>
      </w:r>
      <w:r>
        <w:tab/>
      </w:r>
      <w:r>
        <w:fldChar w:fldCharType="begin"/>
      </w:r>
      <w:r>
        <w:instrText xml:space="preserve"> PAGEREF _Toc61249566 \h </w:instrText>
      </w:r>
      <w:r>
        <w:fldChar w:fldCharType="separate"/>
      </w:r>
      <w:r>
        <w:t>25</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"_Toc61249567" </w:instrText>
      </w:r>
      <w:r>
        <w:fldChar w:fldCharType="separate"/>
      </w:r>
      <w:r>
        <w:rPr>
          <w:rStyle w:val="46"/>
          <w:rFonts w:hint="eastAsia"/>
        </w:rPr>
        <w:t>第六部分评标原则及方法</w:t>
      </w:r>
      <w:r>
        <w:tab/>
      </w:r>
      <w:r>
        <w:fldChar w:fldCharType="begin"/>
      </w:r>
      <w:r>
        <w:instrText xml:space="preserve"> PAGEREF _Toc61249567 \h </w:instrText>
      </w:r>
      <w:r>
        <w:fldChar w:fldCharType="separate"/>
      </w:r>
      <w:r>
        <w:t>26</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"_Toc61249568" </w:instrText>
      </w:r>
      <w:r>
        <w:fldChar w:fldCharType="separate"/>
      </w:r>
      <w:r>
        <w:rPr>
          <w:rStyle w:val="46"/>
          <w:rFonts w:hint="eastAsia"/>
        </w:rPr>
        <w:t>附件一开标一览表</w:t>
      </w:r>
      <w:r>
        <w:tab/>
      </w:r>
      <w:r>
        <w:fldChar w:fldCharType="begin"/>
      </w:r>
      <w:r>
        <w:instrText xml:space="preserve"> PAGEREF _Toc61249568 \h </w:instrText>
      </w:r>
      <w:r>
        <w:fldChar w:fldCharType="separate"/>
      </w:r>
      <w:r>
        <w:t>29</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"_Toc61249569" </w:instrText>
      </w:r>
      <w:r>
        <w:fldChar w:fldCharType="separate"/>
      </w:r>
      <w:r>
        <w:rPr>
          <w:rStyle w:val="46"/>
          <w:rFonts w:hint="eastAsia"/>
        </w:rPr>
        <w:t>附件二投标报价明细表（格式）</w:t>
      </w:r>
      <w:r>
        <w:tab/>
      </w:r>
      <w:r>
        <w:fldChar w:fldCharType="begin"/>
      </w:r>
      <w:r>
        <w:instrText xml:space="preserve"> PAGEREF _Toc61249569 \h </w:instrText>
      </w:r>
      <w:r>
        <w:fldChar w:fldCharType="separate"/>
      </w:r>
      <w:r>
        <w:t>30</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"_Toc61249570" </w:instrText>
      </w:r>
      <w:r>
        <w:fldChar w:fldCharType="separate"/>
      </w:r>
      <w:r>
        <w:rPr>
          <w:rStyle w:val="46"/>
          <w:rFonts w:hint="eastAsia"/>
        </w:rPr>
        <w:t>附件三投标函</w:t>
      </w:r>
      <w:r>
        <w:tab/>
      </w:r>
      <w:r>
        <w:fldChar w:fldCharType="begin"/>
      </w:r>
      <w:r>
        <w:instrText xml:space="preserve"> PAGEREF _Toc61249570 \h </w:instrText>
      </w:r>
      <w:r>
        <w:fldChar w:fldCharType="separate"/>
      </w:r>
      <w:r>
        <w:t>31</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"_Toc61249571" </w:instrText>
      </w:r>
      <w:r>
        <w:fldChar w:fldCharType="separate"/>
      </w:r>
      <w:r>
        <w:rPr>
          <w:rStyle w:val="46"/>
          <w:rFonts w:hint="eastAsia"/>
        </w:rPr>
        <w:t>附件四法定代表人证明书</w:t>
      </w:r>
      <w:r>
        <w:tab/>
      </w:r>
      <w:r>
        <w:fldChar w:fldCharType="begin"/>
      </w:r>
      <w:r>
        <w:instrText xml:space="preserve"> PAGEREF _Toc61249571 \h </w:instrText>
      </w:r>
      <w:r>
        <w:fldChar w:fldCharType="separate"/>
      </w:r>
      <w:r>
        <w:t>32</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"_Toc61249572" </w:instrText>
      </w:r>
      <w:r>
        <w:fldChar w:fldCharType="separate"/>
      </w:r>
      <w:r>
        <w:rPr>
          <w:rStyle w:val="46"/>
          <w:rFonts w:hint="eastAsia"/>
        </w:rPr>
        <w:t>附件五法定代表人授权委托书</w:t>
      </w:r>
      <w:r>
        <w:tab/>
      </w:r>
      <w:r>
        <w:fldChar w:fldCharType="begin"/>
      </w:r>
      <w:r>
        <w:instrText xml:space="preserve"> PAGEREF _Toc61249572 \h </w:instrText>
      </w:r>
      <w:r>
        <w:fldChar w:fldCharType="separate"/>
      </w:r>
      <w:r>
        <w:t>33</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"_Toc61249573" </w:instrText>
      </w:r>
      <w:r>
        <w:fldChar w:fldCharType="separate"/>
      </w:r>
      <w:r>
        <w:rPr>
          <w:rStyle w:val="46"/>
          <w:rFonts w:hint="eastAsia"/>
          <w:lang w:val="zh-CN"/>
        </w:rPr>
        <w:t>附件六供应商承诺函</w:t>
      </w:r>
      <w:r>
        <w:tab/>
      </w:r>
      <w:r>
        <w:fldChar w:fldCharType="begin"/>
      </w:r>
      <w:r>
        <w:instrText xml:space="preserve"> PAGEREF _Toc61249573 \h </w:instrText>
      </w:r>
      <w:r>
        <w:fldChar w:fldCharType="separate"/>
      </w:r>
      <w:r>
        <w:t>34</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"_Toc61249574" </w:instrText>
      </w:r>
      <w:r>
        <w:fldChar w:fldCharType="separate"/>
      </w:r>
      <w:r>
        <w:rPr>
          <w:rStyle w:val="46"/>
          <w:rFonts w:hint="eastAsia"/>
          <w:lang w:val="zh-CN"/>
        </w:rPr>
        <w:t>附件七供应商诚信承诺书</w:t>
      </w:r>
      <w:r>
        <w:tab/>
      </w:r>
      <w:r>
        <w:fldChar w:fldCharType="begin"/>
      </w:r>
      <w:r>
        <w:instrText xml:space="preserve"> PAGEREF _Toc61249574 \h </w:instrText>
      </w:r>
      <w:r>
        <w:fldChar w:fldCharType="separate"/>
      </w:r>
      <w:r>
        <w:t>35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"_Toc61249575" </w:instrText>
      </w:r>
      <w:r>
        <w:fldChar w:fldCharType="separate"/>
      </w:r>
      <w:r>
        <w:rPr>
          <w:rStyle w:val="46"/>
          <w:rFonts w:hint="eastAsia"/>
          <w:lang w:val="zh-CN"/>
        </w:rPr>
        <w:t>附件八财务状况、缴纳税收和社会保障资金证明</w:t>
      </w:r>
      <w:r>
        <w:tab/>
      </w:r>
      <w:r>
        <w:fldChar w:fldCharType="begin"/>
      </w:r>
      <w:r>
        <w:instrText xml:space="preserve"> PAGEREF _Toc61249575 \h </w:instrText>
      </w:r>
      <w:r>
        <w:fldChar w:fldCharType="separate"/>
      </w:r>
      <w:r>
        <w:t>36</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"_Toc61249576" </w:instrText>
      </w:r>
      <w:r>
        <w:fldChar w:fldCharType="separate"/>
      </w:r>
      <w:r>
        <w:rPr>
          <w:rStyle w:val="46"/>
          <w:rFonts w:hint="eastAsia"/>
          <w:lang w:val="zh-CN"/>
        </w:rPr>
        <w:t>附件九无重大违法记录声明</w:t>
      </w:r>
      <w:r>
        <w:tab/>
      </w:r>
      <w:r>
        <w:fldChar w:fldCharType="begin"/>
      </w:r>
      <w:r>
        <w:instrText xml:space="preserve"> PAGEREF _Toc61249576 \h </w:instrText>
      </w:r>
      <w:r>
        <w:fldChar w:fldCharType="separate"/>
      </w:r>
      <w:r>
        <w:t>37</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"_Toc61249577" </w:instrText>
      </w:r>
      <w:r>
        <w:fldChar w:fldCharType="separate"/>
      </w:r>
      <w:r>
        <w:rPr>
          <w:rStyle w:val="46"/>
          <w:rFonts w:hint="eastAsia"/>
        </w:rPr>
        <w:t>附件十投标人基本概况</w:t>
      </w:r>
      <w:r>
        <w:tab/>
      </w:r>
      <w:r>
        <w:fldChar w:fldCharType="begin"/>
      </w:r>
      <w:r>
        <w:instrText xml:space="preserve"> PAGEREF _Toc61249577 \h </w:instrText>
      </w:r>
      <w:r>
        <w:fldChar w:fldCharType="separate"/>
      </w:r>
      <w:r>
        <w:t>38</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"_Toc61249578" </w:instrText>
      </w:r>
      <w:r>
        <w:fldChar w:fldCharType="separate"/>
      </w:r>
      <w:r>
        <w:rPr>
          <w:rStyle w:val="46"/>
          <w:rFonts w:hint="eastAsia" w:ascii="宋体" w:hAnsi="宋体"/>
        </w:rPr>
        <w:t>附件十一近三年类似业绩一览表</w:t>
      </w:r>
      <w:r>
        <w:tab/>
      </w:r>
      <w:r>
        <w:fldChar w:fldCharType="begin"/>
      </w:r>
      <w:r>
        <w:instrText xml:space="preserve"> PAGEREF _Toc61249578 \h </w:instrText>
      </w:r>
      <w:r>
        <w:fldChar w:fldCharType="separate"/>
      </w:r>
      <w:r>
        <w:t>39</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"_Toc61249579" </w:instrText>
      </w:r>
      <w:r>
        <w:fldChar w:fldCharType="separate"/>
      </w:r>
      <w:r>
        <w:rPr>
          <w:rStyle w:val="46"/>
          <w:rFonts w:hint="eastAsia" w:ascii="宋体" w:hAnsi="宋体"/>
        </w:rPr>
        <w:t>附件十二项目负责人业绩一览表</w:t>
      </w:r>
      <w:r>
        <w:tab/>
      </w:r>
      <w:r>
        <w:fldChar w:fldCharType="begin"/>
      </w:r>
      <w:r>
        <w:instrText xml:space="preserve"> PAGEREF _Toc61249579 \h </w:instrText>
      </w:r>
      <w:r>
        <w:fldChar w:fldCharType="separate"/>
      </w:r>
      <w:r>
        <w:t>40</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"_Toc61249580" </w:instrText>
      </w:r>
      <w:r>
        <w:fldChar w:fldCharType="separate"/>
      </w:r>
      <w:r>
        <w:rPr>
          <w:rStyle w:val="46"/>
          <w:rFonts w:hint="eastAsia" w:ascii="宋体" w:hAnsi="宋体"/>
        </w:rPr>
        <w:t>附件十三本项目主要工作人员一览表</w:t>
      </w:r>
      <w:r>
        <w:tab/>
      </w:r>
      <w:r>
        <w:fldChar w:fldCharType="begin"/>
      </w:r>
      <w:r>
        <w:instrText xml:space="preserve"> PAGEREF _Toc61249580 \h </w:instrText>
      </w:r>
      <w:r>
        <w:fldChar w:fldCharType="separate"/>
      </w:r>
      <w:r>
        <w:t>41</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"_Toc61249581" </w:instrText>
      </w:r>
      <w:r>
        <w:fldChar w:fldCharType="separate"/>
      </w:r>
      <w:r>
        <w:rPr>
          <w:rStyle w:val="46"/>
          <w:rFonts w:hint="eastAsia"/>
        </w:rPr>
        <w:t>附件十四大纲及项目实施组织管理机构图表</w:t>
      </w:r>
      <w:r>
        <w:tab/>
      </w:r>
      <w:r>
        <w:fldChar w:fldCharType="begin"/>
      </w:r>
      <w:r>
        <w:instrText xml:space="preserve"> PAGEREF _Toc61249581 \h </w:instrText>
      </w:r>
      <w:r>
        <w:fldChar w:fldCharType="separate"/>
      </w:r>
      <w:r>
        <w:t>42</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"_Toc61249582" </w:instrText>
      </w:r>
      <w:r>
        <w:fldChar w:fldCharType="separate"/>
      </w:r>
      <w:r>
        <w:rPr>
          <w:rStyle w:val="46"/>
          <w:rFonts w:hint="eastAsia"/>
        </w:rPr>
        <w:t>附件十五其他材料</w:t>
      </w:r>
      <w:r>
        <w:tab/>
      </w:r>
      <w:r>
        <w:fldChar w:fldCharType="begin"/>
      </w:r>
      <w:r>
        <w:instrText xml:space="preserve"> PAGEREF _Toc61249582 \h </w:instrText>
      </w:r>
      <w:r>
        <w:fldChar w:fldCharType="separate"/>
      </w:r>
      <w:r>
        <w:t>43</w:t>
      </w:r>
      <w:r>
        <w:fldChar w:fldCharType="end"/>
      </w:r>
      <w:r>
        <w:fldChar w:fldCharType="end"/>
      </w:r>
    </w:p>
    <w:p>
      <w:pPr>
        <w:pStyle w:val="2"/>
        <w:ind w:firstLine="883"/>
        <w:rPr>
          <w:rFonts w:ascii="Calibri" w:hAnsi="Calibri"/>
          <w:bCs/>
          <w:caps/>
        </w:rPr>
      </w:pPr>
      <w:r>
        <w:rPr>
          <w:rFonts w:ascii="Calibri" w:hAnsi="Calibri"/>
          <w:bCs/>
          <w:caps/>
        </w:rPr>
        <w:fldChar w:fldCharType="end"/>
      </w:r>
      <w:bookmarkStart w:id="9" w:name="_Toc21128"/>
      <w:bookmarkStart w:id="10" w:name="_Toc13675"/>
      <w:bookmarkStart w:id="11" w:name="_Toc61249550"/>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pStyle w:val="2"/>
        <w:ind w:firstLine="883"/>
      </w:pPr>
      <w:r>
        <w:rPr>
          <w:rFonts w:hint="eastAsia"/>
        </w:rPr>
        <w:t xml:space="preserve">第一部分  </w:t>
      </w:r>
      <w:bookmarkEnd w:id="8"/>
      <w:r>
        <w:rPr>
          <w:rFonts w:hint="eastAsia"/>
        </w:rPr>
        <w:t>采购公告</w:t>
      </w:r>
      <w:bookmarkEnd w:id="9"/>
      <w:bookmarkEnd w:id="10"/>
      <w:bookmarkEnd w:id="11"/>
    </w:p>
    <w:p>
      <w:pPr>
        <w:ind w:firstLine="630" w:firstLineChars="300"/>
        <w:jc w:val="both"/>
        <w:rPr>
          <w:rFonts w:ascii="宋体" w:hAnsi="宋体" w:cs="宋体"/>
          <w:sz w:val="24"/>
          <w:szCs w:val="24"/>
          <w:lang w:val="zh-CN"/>
        </w:rPr>
      </w:pPr>
      <w:r>
        <w:rPr>
          <w:rFonts w:hint="eastAsia" w:ascii="宋体" w:hAnsi="宋体" w:cs="Arial"/>
          <w:u w:val="single"/>
        </w:rPr>
        <w:t xml:space="preserve">青海省禹龙水利水电工程招标技术咨询中心有限责任公司 </w:t>
      </w:r>
      <w:r>
        <w:rPr>
          <w:rFonts w:hint="eastAsia" w:ascii="宋体" w:hAnsi="宋体"/>
        </w:rPr>
        <w:t>受</w:t>
      </w:r>
      <w:r>
        <w:rPr>
          <w:rFonts w:hint="eastAsia" w:ascii="宋体" w:hAnsi="宋体"/>
          <w:u w:val="single"/>
        </w:rPr>
        <w:t xml:space="preserve"> 西宁市湟中区水利站 </w:t>
      </w:r>
      <w:r>
        <w:rPr>
          <w:rFonts w:hint="eastAsia" w:ascii="宋体" w:hAnsi="宋体"/>
        </w:rPr>
        <w:t>委托，就</w:t>
      </w:r>
      <w:r>
        <w:rPr>
          <w:rFonts w:hint="eastAsia" w:ascii="宋体" w:hAnsi="宋体" w:cs="Arial"/>
          <w:u w:val="single"/>
        </w:rPr>
        <w:t xml:space="preserve"> 西宁市湟中区水利工程管理与保护范围划定工作</w:t>
      </w:r>
      <w:r>
        <w:rPr>
          <w:rFonts w:hint="eastAsia" w:ascii="宋体" w:hAnsi="宋体"/>
        </w:rPr>
        <w:t>组织公开招标，我们诚恳地邀请贵单位参加投标，并请按招标文件的要求认真准备好投标文件，按时前来投标。现将有关事项通知如下：</w:t>
      </w:r>
    </w:p>
    <w:tbl>
      <w:tblPr>
        <w:tblStyle w:val="39"/>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2"/>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采购项目名称</w:t>
            </w:r>
          </w:p>
        </w:tc>
        <w:tc>
          <w:tcPr>
            <w:tcW w:w="6236" w:type="dxa"/>
            <w:vAlign w:val="bottom"/>
          </w:tcPr>
          <w:p>
            <w:pPr>
              <w:ind w:firstLine="0" w:firstLineChars="0"/>
              <w:jc w:val="both"/>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西宁市湟中区水利工程管理与保护范围划定工作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采购项目编号</w:t>
            </w:r>
          </w:p>
        </w:tc>
        <w:tc>
          <w:tcPr>
            <w:tcW w:w="6236" w:type="dxa"/>
            <w:vAlign w:val="center"/>
          </w:tcPr>
          <w:p>
            <w:pPr>
              <w:topLinePunct/>
              <w:autoSpaceDE w:val="0"/>
              <w:spacing w:line="240" w:lineRule="auto"/>
              <w:ind w:firstLine="0" w:firstLineChars="0"/>
              <w:rPr>
                <w:rFonts w:ascii="宋体" w:hAnsi="宋体" w:cs="宋体"/>
                <w:sz w:val="24"/>
                <w:szCs w:val="24"/>
                <w:lang w:val="zh-CN"/>
              </w:rPr>
            </w:pPr>
            <w:r>
              <w:rPr>
                <w:rFonts w:hint="eastAsia" w:ascii="宋体" w:hAnsi="宋体" w:cs="宋体"/>
                <w:sz w:val="24"/>
                <w:szCs w:val="24"/>
                <w:lang w:val="zh-CN"/>
              </w:rPr>
              <w:t>青海禹龙公招（服务）20</w:t>
            </w:r>
            <w:r>
              <w:rPr>
                <w:rFonts w:hint="eastAsia" w:ascii="宋体" w:hAnsi="宋体" w:cs="宋体"/>
                <w:sz w:val="24"/>
                <w:szCs w:val="24"/>
              </w:rPr>
              <w:t>21-002</w:t>
            </w:r>
            <w:r>
              <w:rPr>
                <w:rFonts w:hint="eastAsia" w:ascii="宋体" w:hAnsi="宋体" w:cs="宋体"/>
                <w:sz w:val="24"/>
                <w:szCs w:val="24"/>
                <w:lang w:val="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采购方式</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2732" w:type="dxa"/>
            <w:vMerge w:val="restart"/>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标段划分</w:t>
            </w:r>
          </w:p>
        </w:tc>
        <w:tc>
          <w:tcPr>
            <w:tcW w:w="6236" w:type="dxa"/>
            <w:vAlign w:val="center"/>
          </w:tcPr>
          <w:p>
            <w:pPr>
              <w:spacing w:line="240" w:lineRule="auto"/>
              <w:ind w:firstLine="0" w:firstLineChars="0"/>
              <w:rPr>
                <w:rFonts w:ascii="宋体" w:hAnsi="宋体" w:cs="Tahoma"/>
                <w:color w:val="FF0000"/>
                <w:sz w:val="24"/>
                <w:szCs w:val="24"/>
              </w:rPr>
            </w:pPr>
            <w:r>
              <w:rPr>
                <w:rFonts w:hint="eastAsia" w:ascii="宋体" w:hAnsi="宋体" w:cs="Tahom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采购预算控制额度</w:t>
            </w:r>
          </w:p>
        </w:tc>
        <w:tc>
          <w:tcPr>
            <w:tcW w:w="6236" w:type="dxa"/>
            <w:vAlign w:val="center"/>
          </w:tcPr>
          <w:p>
            <w:pPr>
              <w:spacing w:line="240" w:lineRule="auto"/>
              <w:ind w:firstLine="0" w:firstLineChars="0"/>
              <w:rPr>
                <w:rFonts w:ascii="宋体" w:hAnsi="宋体" w:cs="Tahoma"/>
                <w:b/>
                <w:sz w:val="24"/>
                <w:szCs w:val="24"/>
              </w:rPr>
            </w:pPr>
            <w:r>
              <w:rPr>
                <w:rFonts w:hint="eastAsia" w:ascii="宋体" w:hAnsi="宋体" w:cs="Tahoma"/>
                <w:b/>
                <w:sz w:val="24"/>
                <w:szCs w:val="24"/>
              </w:rPr>
              <w:t>655.22万元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要求</w:t>
            </w:r>
          </w:p>
        </w:tc>
        <w:tc>
          <w:tcPr>
            <w:tcW w:w="6236" w:type="dxa"/>
            <w:vAlign w:val="center"/>
          </w:tcPr>
          <w:p>
            <w:pPr>
              <w:spacing w:line="240" w:lineRule="auto"/>
              <w:ind w:firstLine="0" w:firstLineChars="0"/>
              <w:rPr>
                <w:rFonts w:ascii="宋体" w:hAnsi="宋体"/>
                <w:sz w:val="24"/>
                <w:szCs w:val="24"/>
              </w:rPr>
            </w:pPr>
            <w:r>
              <w:rPr>
                <w:rFonts w:hint="eastAsia" w:ascii="宋体" w:hAnsi="宋体" w:cs="Tahoma"/>
                <w:sz w:val="24"/>
                <w:szCs w:val="24"/>
              </w:rPr>
              <w:t>具体内容详见《</w:t>
            </w:r>
            <w:r>
              <w:rPr>
                <w:rFonts w:hint="eastAsia" w:ascii="宋体" w:hAnsi="宋体"/>
                <w:sz w:val="24"/>
                <w:szCs w:val="24"/>
              </w:rPr>
              <w:t>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供应商资格条件</w:t>
            </w:r>
          </w:p>
        </w:tc>
        <w:tc>
          <w:tcPr>
            <w:tcW w:w="6236" w:type="dxa"/>
            <w:vAlign w:val="center"/>
          </w:tcPr>
          <w:p>
            <w:pPr>
              <w:spacing w:line="240" w:lineRule="auto"/>
              <w:ind w:firstLine="0" w:firstLineChars="0"/>
              <w:rPr>
                <w:rFonts w:ascii="宋体" w:hAnsi="宋体" w:cs="Tahoma"/>
                <w:sz w:val="24"/>
                <w:szCs w:val="24"/>
                <w:lang w:val="zh-CN"/>
              </w:rPr>
            </w:pPr>
            <w:r>
              <w:rPr>
                <w:rFonts w:hint="eastAsia" w:ascii="宋体" w:hAnsi="宋体" w:cs="Tahoma"/>
                <w:sz w:val="24"/>
                <w:szCs w:val="24"/>
              </w:rPr>
              <w:t>1.</w:t>
            </w:r>
            <w:r>
              <w:rPr>
                <w:rFonts w:hint="eastAsia" w:ascii="宋体" w:hAnsi="宋体" w:cs="Tahoma"/>
                <w:sz w:val="24"/>
                <w:szCs w:val="24"/>
                <w:lang w:val="zh-CN"/>
              </w:rPr>
              <w:t>符合《政府采购法》第22条条件，并提供下列材料：</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&lt;1&gt;投标人的营业执照等证明文件，自然人的身份证明。</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&lt;2&gt;财务状况报告，依法缴纳税收和社会保障资金的相关</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材料。</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&lt;3&gt;具备履行合同所必需的设备和专业技术能力的证明材料</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&lt;4&gt;参加政府采购活动前3年内在经营活动中没有重大违法记录的书面声明。</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&lt;5&gt;具备法律、行政法规规定的其他条件的证明材料。</w:t>
            </w:r>
          </w:p>
          <w:p>
            <w:pPr>
              <w:spacing w:line="240" w:lineRule="auto"/>
              <w:ind w:firstLine="0" w:firstLineChars="0"/>
              <w:rPr>
                <w:rFonts w:ascii="宋体" w:hAnsi="宋体" w:cs="Tahoma"/>
                <w:sz w:val="24"/>
                <w:szCs w:val="24"/>
                <w:lang w:val="zh-CN"/>
              </w:rPr>
            </w:pPr>
            <w:r>
              <w:rPr>
                <w:rFonts w:hint="eastAsia" w:ascii="宋体" w:hAnsi="宋体" w:cs="Tahoma"/>
                <w:sz w:val="24"/>
                <w:szCs w:val="24"/>
              </w:rPr>
              <w:t>2.</w:t>
            </w:r>
            <w:r>
              <w:rPr>
                <w:rFonts w:hint="eastAsia" w:ascii="宋体" w:hAnsi="宋体" w:cs="Tahoma"/>
                <w:sz w:val="24"/>
                <w:szCs w:val="24"/>
                <w:lang w:val="zh-CN"/>
              </w:rPr>
              <w:t>单位负责人为同一人或者存在直接控股、管理关系的不</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同供应商，不得参加同一合同项下的政府采购活动。否则，皆取消投标资格。</w:t>
            </w:r>
          </w:p>
          <w:p>
            <w:pPr>
              <w:spacing w:line="240" w:lineRule="auto"/>
              <w:ind w:firstLine="0" w:firstLineChars="0"/>
              <w:rPr>
                <w:rFonts w:ascii="宋体" w:hAnsi="宋体" w:cs="Tahoma"/>
                <w:sz w:val="24"/>
                <w:szCs w:val="24"/>
                <w:lang w:val="zh-CN"/>
              </w:rPr>
            </w:pPr>
            <w:r>
              <w:rPr>
                <w:rFonts w:hint="eastAsia" w:ascii="宋体" w:hAnsi="宋体" w:cs="Tahoma"/>
                <w:sz w:val="24"/>
                <w:szCs w:val="24"/>
              </w:rPr>
              <w:t>3.</w:t>
            </w:r>
            <w:r>
              <w:rPr>
                <w:rFonts w:hint="eastAsia" w:ascii="宋体" w:hAnsi="宋体" w:cs="Tahoma"/>
                <w:sz w:val="24"/>
                <w:szCs w:val="24"/>
                <w:lang w:val="zh-CN"/>
              </w:rPr>
              <w:t>本项目不接受投标人以联合体方式进行投标；</w:t>
            </w:r>
          </w:p>
          <w:p>
            <w:pPr>
              <w:spacing w:line="240" w:lineRule="auto"/>
              <w:ind w:firstLine="0" w:firstLineChars="0"/>
              <w:rPr>
                <w:rFonts w:ascii="宋体" w:hAnsi="宋体" w:cs="Tahoma"/>
                <w:sz w:val="24"/>
                <w:szCs w:val="24"/>
                <w:lang w:val="zh-CN"/>
              </w:rPr>
            </w:pPr>
            <w:r>
              <w:rPr>
                <w:rFonts w:hint="eastAsia" w:ascii="宋体" w:hAnsi="宋体" w:cs="Tahoma"/>
                <w:sz w:val="24"/>
                <w:szCs w:val="24"/>
              </w:rPr>
              <w:t>4.</w:t>
            </w:r>
            <w:r>
              <w:rPr>
                <w:rFonts w:hint="eastAsia" w:ascii="宋体" w:hAnsi="宋体" w:cs="Tahoma"/>
                <w:sz w:val="24"/>
                <w:szCs w:val="24"/>
                <w:lang w:val="zh-CN"/>
              </w:rPr>
              <w:t>经信用中国（www.creditchina.gov.cn）、中国政府采</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购网（www.ccgp.gov.cn）等渠道查询后，列入失信被执行人、重大税收违法案件当事人名单、政府采购严重违法失</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信行为记录名单的，取消投标资格。（提供“信用中国”</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网站的查询截图，时间为投标截止时间前20天内）；</w:t>
            </w:r>
          </w:p>
          <w:p>
            <w:pPr>
              <w:spacing w:line="240" w:lineRule="auto"/>
              <w:ind w:firstLine="0" w:firstLineChars="0"/>
              <w:rPr>
                <w:rFonts w:ascii="宋体" w:hAnsi="宋体" w:cs="Tahoma"/>
                <w:sz w:val="24"/>
                <w:szCs w:val="24"/>
                <w:lang w:val="zh-CN"/>
              </w:rPr>
            </w:pPr>
            <w:r>
              <w:rPr>
                <w:rFonts w:hint="eastAsia" w:ascii="宋体" w:hAnsi="宋体" w:cs="Tahoma"/>
                <w:sz w:val="24"/>
                <w:szCs w:val="24"/>
              </w:rPr>
              <w:t>5</w:t>
            </w:r>
            <w:r>
              <w:rPr>
                <w:rFonts w:ascii="宋体" w:hAnsi="宋体" w:cs="Tahoma"/>
                <w:sz w:val="24"/>
                <w:szCs w:val="24"/>
              </w:rPr>
              <w:t>.</w:t>
            </w:r>
            <w:r>
              <w:rPr>
                <w:rFonts w:hint="eastAsia" w:ascii="宋体" w:hAnsi="宋体" w:cs="Tahoma"/>
                <w:sz w:val="24"/>
                <w:szCs w:val="24"/>
                <w:lang w:val="zh-CN"/>
              </w:rPr>
              <w:t>其他资质条件：</w:t>
            </w:r>
          </w:p>
          <w:p>
            <w:pPr>
              <w:spacing w:line="240" w:lineRule="auto"/>
              <w:ind w:firstLine="240" w:firstLineChars="100"/>
              <w:rPr>
                <w:rFonts w:ascii="宋体" w:hAnsi="宋体" w:cs="Tahoma"/>
                <w:sz w:val="24"/>
                <w:szCs w:val="24"/>
                <w:lang w:val="zh-CN"/>
              </w:rPr>
            </w:pPr>
            <w:r>
              <w:rPr>
                <w:rFonts w:hint="eastAsia" w:ascii="宋体" w:hAnsi="宋体" w:cs="Tahoma"/>
                <w:sz w:val="24"/>
                <w:szCs w:val="24"/>
                <w:lang w:val="zh-CN"/>
              </w:rPr>
              <w:t>投标人具有工程设计水利行业专业丙级及以上资质和工程勘察专业（工程测量）丙级及以上资质证书；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公告发布时间</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2021年1月1</w:t>
            </w:r>
            <w:r>
              <w:rPr>
                <w:rFonts w:hint="eastAsia" w:ascii="宋体" w:hAnsi="宋体" w:cs="Tahoma"/>
                <w:sz w:val="24"/>
                <w:szCs w:val="24"/>
                <w:lang w:val="en-US" w:eastAsia="zh-CN"/>
              </w:rPr>
              <w:t>2</w:t>
            </w:r>
            <w:r>
              <w:rPr>
                <w:rFonts w:hint="eastAsia" w:ascii="宋体" w:hAnsi="宋体" w:cs="Tahoma"/>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8"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招标文件领取方式</w:t>
            </w:r>
          </w:p>
        </w:tc>
        <w:tc>
          <w:tcPr>
            <w:tcW w:w="6236" w:type="dxa"/>
            <w:vAlign w:val="center"/>
          </w:tcPr>
          <w:p>
            <w:pPr>
              <w:spacing w:line="240" w:lineRule="auto"/>
              <w:ind w:firstLine="0" w:firstLineChars="0"/>
              <w:jc w:val="both"/>
              <w:rPr>
                <w:rFonts w:ascii="宋体" w:hAnsi="宋体"/>
                <w:sz w:val="24"/>
                <w:szCs w:val="24"/>
              </w:rPr>
            </w:pPr>
            <w:r>
              <w:rPr>
                <w:rFonts w:hint="eastAsia" w:ascii="宋体" w:hAnsi="宋体" w:cs="Tahoma"/>
                <w:sz w:val="24"/>
                <w:szCs w:val="24"/>
              </w:rPr>
              <w:t>自2021年1月1</w:t>
            </w:r>
            <w:r>
              <w:rPr>
                <w:rFonts w:hint="eastAsia" w:ascii="宋体" w:hAnsi="宋体" w:cs="Tahoma"/>
                <w:sz w:val="24"/>
                <w:szCs w:val="24"/>
                <w:lang w:val="en-US" w:eastAsia="zh-CN"/>
              </w:rPr>
              <w:t>3</w:t>
            </w:r>
            <w:r>
              <w:rPr>
                <w:rFonts w:hint="eastAsia" w:ascii="宋体" w:hAnsi="宋体" w:cs="Tahoma"/>
                <w:sz w:val="24"/>
                <w:szCs w:val="24"/>
              </w:rPr>
              <w:t>日00</w:t>
            </w:r>
            <w:r>
              <w:rPr>
                <w:rFonts w:ascii="宋体" w:hAnsi="宋体"/>
                <w:sz w:val="24"/>
                <w:szCs w:val="24"/>
              </w:rPr>
              <w:t>:00</w:t>
            </w:r>
            <w:r>
              <w:rPr>
                <w:rFonts w:hint="eastAsia" w:ascii="宋体" w:hAnsi="宋体"/>
                <w:sz w:val="24"/>
                <w:szCs w:val="24"/>
              </w:rPr>
              <w:t>时</w:t>
            </w:r>
            <w:r>
              <w:rPr>
                <w:rFonts w:hint="eastAsia" w:ascii="宋体" w:hAnsi="宋体" w:cs="Tahoma"/>
                <w:sz w:val="24"/>
                <w:szCs w:val="24"/>
              </w:rPr>
              <w:t>至2021年1月1</w:t>
            </w:r>
            <w:r>
              <w:rPr>
                <w:rFonts w:hint="eastAsia" w:ascii="宋体" w:hAnsi="宋体" w:cs="Tahoma"/>
                <w:sz w:val="24"/>
                <w:szCs w:val="24"/>
                <w:lang w:val="en-US" w:eastAsia="zh-CN"/>
              </w:rPr>
              <w:t>9</w:t>
            </w:r>
            <w:r>
              <w:rPr>
                <w:rFonts w:hint="eastAsia" w:ascii="宋体" w:hAnsi="宋体" w:cs="Tahoma"/>
                <w:sz w:val="24"/>
                <w:szCs w:val="24"/>
              </w:rPr>
              <w:t>日24</w:t>
            </w:r>
            <w:r>
              <w:rPr>
                <w:rFonts w:ascii="宋体" w:hAnsi="宋体"/>
                <w:sz w:val="24"/>
                <w:szCs w:val="24"/>
              </w:rPr>
              <w:t>:</w:t>
            </w:r>
            <w:r>
              <w:rPr>
                <w:rFonts w:hint="eastAsia" w:ascii="宋体" w:hAnsi="宋体"/>
                <w:sz w:val="24"/>
                <w:szCs w:val="24"/>
              </w:rPr>
              <w:t>0</w:t>
            </w:r>
            <w:r>
              <w:rPr>
                <w:rFonts w:ascii="宋体" w:hAnsi="宋体"/>
                <w:sz w:val="24"/>
                <w:szCs w:val="24"/>
              </w:rPr>
              <w:t>0</w:t>
            </w:r>
            <w:r>
              <w:rPr>
                <w:rFonts w:hint="eastAsia" w:ascii="宋体" w:hAnsi="宋体"/>
                <w:sz w:val="24"/>
                <w:szCs w:val="24"/>
              </w:rPr>
              <w:t>时</w:t>
            </w:r>
          </w:p>
          <w:p>
            <w:pPr>
              <w:spacing w:line="240" w:lineRule="auto"/>
              <w:ind w:firstLine="0" w:firstLineChars="0"/>
              <w:jc w:val="both"/>
              <w:rPr>
                <w:rFonts w:ascii="宋体" w:hAnsi="宋体" w:cs="Tahoma"/>
                <w:sz w:val="24"/>
                <w:szCs w:val="24"/>
              </w:rPr>
            </w:pPr>
            <w:r>
              <w:rPr>
                <w:rFonts w:hint="eastAsia" w:ascii="宋体" w:hAnsi="宋体" w:cs="Tahoma"/>
                <w:sz w:val="24"/>
                <w:szCs w:val="24"/>
              </w:rPr>
              <w:t>止，有意向的投标人在青海政府采购网自行下载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招标文件售价</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0元整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jc w:val="center"/>
        </w:trPr>
        <w:tc>
          <w:tcPr>
            <w:tcW w:w="2732" w:type="dxa"/>
            <w:vAlign w:val="center"/>
          </w:tcPr>
          <w:p>
            <w:pPr>
              <w:spacing w:line="240" w:lineRule="auto"/>
              <w:ind w:firstLine="0" w:firstLineChars="0"/>
              <w:jc w:val="center"/>
              <w:rPr>
                <w:rFonts w:hint="eastAsia" w:ascii="宋体" w:hAnsi="宋体" w:eastAsia="宋体" w:cs="Tahoma"/>
                <w:sz w:val="24"/>
                <w:szCs w:val="24"/>
                <w:lang w:val="en-US" w:eastAsia="zh-CN"/>
              </w:rPr>
            </w:pPr>
            <w:r>
              <w:rPr>
                <w:rFonts w:hint="eastAsia" w:ascii="宋体" w:hAnsi="宋体" w:cs="Tahoma"/>
                <w:sz w:val="24"/>
                <w:szCs w:val="24"/>
                <w:lang w:val="en-US" w:eastAsia="zh-CN"/>
              </w:rPr>
              <w:t>单位地址</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sz w:val="24"/>
                <w:szCs w:val="24"/>
              </w:rPr>
              <w:t>青海省禹龙水利水电工程招标技术咨询中心有限责任公司（西宁市海湖新区万达4号写字楼36层）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领取招标文件时</w:t>
            </w:r>
          </w:p>
          <w:p>
            <w:pPr>
              <w:spacing w:line="240" w:lineRule="auto"/>
              <w:ind w:firstLine="0" w:firstLineChars="0"/>
              <w:jc w:val="center"/>
              <w:rPr>
                <w:rFonts w:ascii="宋体" w:hAnsi="宋体" w:cs="Tahoma"/>
                <w:sz w:val="24"/>
                <w:szCs w:val="24"/>
              </w:rPr>
            </w:pPr>
            <w:r>
              <w:rPr>
                <w:rFonts w:hint="eastAsia" w:ascii="宋体" w:hAnsi="宋体" w:cs="Tahoma"/>
                <w:sz w:val="24"/>
                <w:szCs w:val="24"/>
              </w:rPr>
              <w:t>应提供材料</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宋体"/>
                <w:bCs/>
                <w:sz w:val="24"/>
                <w:szCs w:val="24"/>
              </w:rPr>
              <w:t>有意向的</w:t>
            </w:r>
            <w:r>
              <w:rPr>
                <w:rFonts w:hint="eastAsia" w:ascii="宋体" w:hAnsi="宋体" w:cs="宋体"/>
                <w:kern w:val="2"/>
                <w:sz w:val="24"/>
                <w:szCs w:val="24"/>
              </w:rPr>
              <w:t>投标人将单位介绍信或授权委托书扫描件发送至1585790004QQ邮箱</w:t>
            </w:r>
            <w:r>
              <w:rPr>
                <w:rFonts w:hint="eastAsia" w:ascii="宋体" w:hAnsi="宋体"/>
                <w:sz w:val="24"/>
                <w:szCs w:val="24"/>
              </w:rPr>
              <w:t>，</w:t>
            </w:r>
            <w:r>
              <w:rPr>
                <w:rFonts w:hint="eastAsia" w:ascii="宋体" w:hAnsi="宋体" w:cs="Tahoma"/>
                <w:sz w:val="24"/>
                <w:szCs w:val="24"/>
              </w:rPr>
              <w:t>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投标截止时间</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2021年2月</w:t>
            </w:r>
            <w:r>
              <w:rPr>
                <w:rFonts w:hint="eastAsia" w:ascii="宋体" w:hAnsi="宋体" w:cs="Tahoma"/>
                <w:sz w:val="24"/>
                <w:szCs w:val="24"/>
                <w:lang w:val="en-US" w:eastAsia="zh-CN"/>
              </w:rPr>
              <w:t>3</w:t>
            </w:r>
            <w:r>
              <w:rPr>
                <w:rFonts w:hint="eastAsia" w:ascii="宋体" w:hAnsi="宋体" w:cs="Tahoma"/>
                <w:sz w:val="24"/>
                <w:szCs w:val="24"/>
              </w:rPr>
              <w:t>日上午9:00时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开标时间</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2021年2月</w:t>
            </w:r>
            <w:r>
              <w:rPr>
                <w:rFonts w:hint="eastAsia" w:ascii="宋体" w:hAnsi="宋体" w:cs="Tahoma"/>
                <w:sz w:val="24"/>
                <w:szCs w:val="24"/>
                <w:lang w:val="en-US" w:eastAsia="zh-CN"/>
              </w:rPr>
              <w:t>3</w:t>
            </w:r>
            <w:r>
              <w:rPr>
                <w:rFonts w:hint="eastAsia" w:ascii="宋体" w:hAnsi="宋体" w:cs="Tahoma"/>
                <w:sz w:val="24"/>
                <w:szCs w:val="24"/>
              </w:rPr>
              <w:t>日上午9:00时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开标地点</w:t>
            </w:r>
          </w:p>
        </w:tc>
        <w:tc>
          <w:tcPr>
            <w:tcW w:w="6236" w:type="dxa"/>
            <w:vAlign w:val="center"/>
          </w:tcPr>
          <w:p>
            <w:pPr>
              <w:spacing w:line="240" w:lineRule="auto"/>
              <w:ind w:firstLine="0" w:firstLineChars="0"/>
              <w:rPr>
                <w:rFonts w:ascii="宋体" w:hAnsi="宋体" w:cs="Tahoma"/>
                <w:color w:val="FF0000"/>
                <w:sz w:val="24"/>
                <w:szCs w:val="24"/>
              </w:rPr>
            </w:pPr>
            <w:r>
              <w:rPr>
                <w:rFonts w:hint="eastAsia" w:ascii="宋体" w:hAnsi="宋体" w:cs="宋体"/>
                <w:sz w:val="24"/>
                <w:szCs w:val="24"/>
              </w:rPr>
              <w:t>青海省人民政府行政服务和公共资源交易中心二楼</w:t>
            </w:r>
            <w:r>
              <w:rPr>
                <w:rFonts w:hint="eastAsia" w:ascii="宋体" w:hAnsi="宋体" w:cs="宋体"/>
                <w:sz w:val="24"/>
                <w:szCs w:val="24"/>
                <w:lang w:eastAsia="zh-CN"/>
              </w:rPr>
              <w:t>六</w:t>
            </w:r>
            <w:r>
              <w:rPr>
                <w:rFonts w:hint="eastAsia" w:ascii="宋体" w:hAnsi="宋体" w:cs="宋体"/>
                <w:sz w:val="24"/>
                <w:szCs w:val="24"/>
              </w:rPr>
              <w:t>号开标室(青海省西宁市西川南路53号)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3"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采购单位及联系人电话</w:t>
            </w:r>
          </w:p>
        </w:tc>
        <w:tc>
          <w:tcPr>
            <w:tcW w:w="6236" w:type="dxa"/>
            <w:vAlign w:val="center"/>
          </w:tcPr>
          <w:p>
            <w:pPr>
              <w:spacing w:line="240" w:lineRule="auto"/>
              <w:ind w:firstLine="0" w:firstLineChars="0"/>
              <w:rPr>
                <w:rFonts w:ascii="宋体" w:hAnsi="宋体" w:cs="宋体"/>
                <w:sz w:val="24"/>
                <w:szCs w:val="24"/>
              </w:rPr>
            </w:pPr>
            <w:r>
              <w:rPr>
                <w:rFonts w:hint="eastAsia" w:ascii="宋体" w:hAnsi="宋体"/>
                <w:sz w:val="24"/>
                <w:szCs w:val="24"/>
              </w:rPr>
              <w:t>采购单位：</w:t>
            </w:r>
            <w:r>
              <w:rPr>
                <w:rFonts w:hint="eastAsia" w:ascii="宋体" w:hAnsi="宋体" w:cs="宋体"/>
                <w:sz w:val="24"/>
                <w:szCs w:val="24"/>
              </w:rPr>
              <w:t>西宁市湟中区水利站</w:t>
            </w:r>
          </w:p>
          <w:p>
            <w:pPr>
              <w:spacing w:line="240" w:lineRule="auto"/>
              <w:ind w:firstLine="0" w:firstLineChars="0"/>
              <w:rPr>
                <w:rFonts w:ascii="宋体" w:hAnsi="宋体"/>
                <w:sz w:val="24"/>
                <w:szCs w:val="24"/>
              </w:rPr>
            </w:pPr>
            <w:r>
              <w:rPr>
                <w:rFonts w:hint="eastAsia" w:ascii="宋体" w:hAnsi="宋体" w:cs="宋体"/>
                <w:sz w:val="24"/>
                <w:szCs w:val="24"/>
              </w:rPr>
              <w:t>联系人：黄先生</w:t>
            </w:r>
          </w:p>
          <w:p>
            <w:pPr>
              <w:spacing w:line="240" w:lineRule="auto"/>
              <w:ind w:firstLine="0" w:firstLineChars="0"/>
              <w:rPr>
                <w:rFonts w:ascii="宋体" w:hAnsi="宋体" w:cs="Tahoma"/>
                <w:sz w:val="24"/>
                <w:szCs w:val="24"/>
              </w:rPr>
            </w:pPr>
            <w:r>
              <w:rPr>
                <w:rFonts w:hint="eastAsia" w:ascii="宋体" w:hAnsi="宋体"/>
                <w:sz w:val="24"/>
                <w:szCs w:val="24"/>
              </w:rPr>
              <w:t>联系电话：0971-2232259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采购代理机构及</w:t>
            </w:r>
          </w:p>
          <w:p>
            <w:pPr>
              <w:spacing w:line="240" w:lineRule="auto"/>
              <w:ind w:firstLine="0" w:firstLineChars="0"/>
              <w:jc w:val="center"/>
              <w:rPr>
                <w:rFonts w:ascii="宋体" w:hAnsi="宋体" w:cs="Tahoma"/>
                <w:sz w:val="24"/>
                <w:szCs w:val="24"/>
              </w:rPr>
            </w:pPr>
            <w:r>
              <w:rPr>
                <w:rFonts w:hint="eastAsia" w:ascii="宋体" w:hAnsi="宋体" w:cs="Tahoma"/>
                <w:sz w:val="24"/>
                <w:szCs w:val="24"/>
              </w:rPr>
              <w:t>联系人电话</w:t>
            </w:r>
          </w:p>
        </w:tc>
        <w:tc>
          <w:tcPr>
            <w:tcW w:w="6236" w:type="dxa"/>
            <w:vAlign w:val="center"/>
          </w:tcPr>
          <w:p>
            <w:pPr>
              <w:spacing w:line="240" w:lineRule="auto"/>
              <w:ind w:firstLine="0" w:firstLineChars="0"/>
              <w:rPr>
                <w:rFonts w:ascii="宋体" w:hAnsi="宋体"/>
                <w:sz w:val="24"/>
                <w:szCs w:val="24"/>
              </w:rPr>
            </w:pPr>
            <w:r>
              <w:rPr>
                <w:rFonts w:hint="eastAsia" w:ascii="宋体" w:hAnsi="宋体"/>
                <w:sz w:val="24"/>
                <w:szCs w:val="24"/>
              </w:rPr>
              <w:t>采购代理机构：青海省禹龙水利水电工程招标技术咨询中心有限责任公司</w:t>
            </w:r>
          </w:p>
          <w:p>
            <w:pPr>
              <w:spacing w:line="240" w:lineRule="auto"/>
              <w:ind w:firstLine="0" w:firstLineChars="0"/>
              <w:rPr>
                <w:rFonts w:ascii="宋体" w:hAnsi="宋体" w:cs="Tahoma"/>
                <w:sz w:val="24"/>
                <w:szCs w:val="24"/>
              </w:rPr>
            </w:pPr>
            <w:r>
              <w:rPr>
                <w:rFonts w:hint="eastAsia" w:ascii="宋体" w:hAnsi="宋体" w:cs="Tahoma"/>
                <w:sz w:val="24"/>
                <w:szCs w:val="24"/>
              </w:rPr>
              <w:t>联系人：王先生</w:t>
            </w:r>
          </w:p>
          <w:p>
            <w:pPr>
              <w:spacing w:line="240" w:lineRule="auto"/>
              <w:ind w:firstLine="0" w:firstLineChars="0"/>
              <w:rPr>
                <w:rFonts w:ascii="宋体" w:hAnsi="宋体" w:cs="Tahoma"/>
                <w:sz w:val="24"/>
                <w:szCs w:val="24"/>
              </w:rPr>
            </w:pPr>
            <w:r>
              <w:rPr>
                <w:rFonts w:hint="eastAsia" w:ascii="宋体" w:hAnsi="宋体" w:cs="Tahoma"/>
                <w:sz w:val="24"/>
                <w:szCs w:val="24"/>
              </w:rPr>
              <w:t>联系电话：0971-6161402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保证金收款人</w:t>
            </w:r>
          </w:p>
        </w:tc>
        <w:tc>
          <w:tcPr>
            <w:tcW w:w="6236" w:type="dxa"/>
            <w:vAlign w:val="center"/>
          </w:tcPr>
          <w:p>
            <w:pPr>
              <w:spacing w:line="240" w:lineRule="auto"/>
              <w:ind w:firstLine="0" w:firstLineChars="0"/>
              <w:rPr>
                <w:rFonts w:ascii="宋体" w:hAnsi="宋体"/>
                <w:sz w:val="24"/>
                <w:szCs w:val="24"/>
              </w:rPr>
            </w:pPr>
            <w:r>
              <w:rPr>
                <w:rFonts w:hint="eastAsia" w:ascii="宋体" w:hAnsi="宋体"/>
                <w:sz w:val="24"/>
                <w:szCs w:val="24"/>
              </w:rPr>
              <w:t>青海省禹龙水利水电工程招标技术咨询中心有限责任公司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开户银行</w:t>
            </w:r>
          </w:p>
        </w:tc>
        <w:tc>
          <w:tcPr>
            <w:tcW w:w="6236" w:type="dxa"/>
            <w:vAlign w:val="center"/>
          </w:tcPr>
          <w:p>
            <w:pPr>
              <w:spacing w:line="240" w:lineRule="auto"/>
              <w:ind w:firstLine="0" w:firstLineChars="0"/>
              <w:rPr>
                <w:rFonts w:ascii="宋体" w:hAnsi="宋体"/>
                <w:sz w:val="24"/>
                <w:szCs w:val="24"/>
              </w:rPr>
            </w:pPr>
            <w:r>
              <w:rPr>
                <w:rFonts w:hint="eastAsia" w:ascii="宋体" w:hAnsi="宋体" w:cs="宋体"/>
                <w:sz w:val="24"/>
                <w:szCs w:val="24"/>
              </w:rPr>
              <w:t>青海西宁农商银行股份有限公司西川南路支行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银行账号</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宋体"/>
                <w:sz w:val="24"/>
                <w:szCs w:val="24"/>
              </w:rPr>
              <w:t>82010000000018980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其他事项</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本公告在《青海政府采购网》、《青海省电子招标投标公</w:t>
            </w:r>
          </w:p>
          <w:p>
            <w:pPr>
              <w:spacing w:line="240" w:lineRule="auto"/>
              <w:ind w:firstLine="0" w:firstLineChars="0"/>
              <w:rPr>
                <w:rFonts w:ascii="宋体" w:hAnsi="宋体" w:cs="Tahoma"/>
                <w:sz w:val="24"/>
                <w:szCs w:val="24"/>
              </w:rPr>
            </w:pPr>
            <w:r>
              <w:rPr>
                <w:rFonts w:hint="eastAsia" w:ascii="宋体" w:hAnsi="宋体" w:cs="Tahoma"/>
                <w:sz w:val="24"/>
                <w:szCs w:val="24"/>
              </w:rPr>
              <w:t>共服务平台》发布。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财政监管部门</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湟中区财政局监督管理处</w:t>
            </w:r>
          </w:p>
          <w:p>
            <w:pPr>
              <w:spacing w:line="240" w:lineRule="auto"/>
              <w:ind w:firstLine="0" w:firstLineChars="0"/>
              <w:rPr>
                <w:rFonts w:ascii="宋体" w:hAnsi="宋体" w:cs="Tahoma"/>
                <w:sz w:val="24"/>
                <w:szCs w:val="24"/>
              </w:rPr>
            </w:pPr>
            <w:r>
              <w:rPr>
                <w:rFonts w:hint="eastAsia" w:ascii="宋体" w:hAnsi="宋体" w:cs="Tahoma"/>
                <w:sz w:val="24"/>
                <w:szCs w:val="24"/>
              </w:rPr>
              <w:t>0971-2233194</w:t>
            </w:r>
          </w:p>
        </w:tc>
      </w:tr>
    </w:tbl>
    <w:p>
      <w:pPr>
        <w:ind w:firstLine="720" w:firstLineChars="300"/>
        <w:jc w:val="both"/>
        <w:rPr>
          <w:rFonts w:ascii="宋体" w:hAnsi="宋体" w:cs="宋体"/>
          <w:sz w:val="24"/>
          <w:szCs w:val="24"/>
          <w:lang w:val="zh-CN"/>
        </w:rPr>
      </w:pPr>
    </w:p>
    <w:p>
      <w:pPr>
        <w:pStyle w:val="2"/>
        <w:keepNext w:val="0"/>
        <w:keepLines w:val="0"/>
        <w:pageBreakBefore/>
        <w:ind w:firstLine="723"/>
        <w:rPr>
          <w:rFonts w:hAnsi="宋体"/>
          <w:sz w:val="36"/>
          <w:szCs w:val="36"/>
        </w:rPr>
      </w:pPr>
      <w:bookmarkStart w:id="12" w:name="_Toc61249551"/>
      <w:bookmarkStart w:id="13" w:name="_Toc785"/>
      <w:bookmarkStart w:id="14" w:name="_Toc176658510"/>
      <w:bookmarkStart w:id="15" w:name="_Toc176666473"/>
      <w:bookmarkStart w:id="16" w:name="_Toc7224"/>
      <w:r>
        <w:rPr>
          <w:rFonts w:hint="eastAsia" w:hAnsi="宋体"/>
          <w:sz w:val="36"/>
          <w:szCs w:val="36"/>
        </w:rPr>
        <w:t>第二部分  投标人须知</w:t>
      </w:r>
      <w:bookmarkEnd w:id="12"/>
      <w:bookmarkEnd w:id="13"/>
      <w:bookmarkEnd w:id="14"/>
      <w:bookmarkEnd w:id="15"/>
      <w:bookmarkEnd w:id="16"/>
    </w:p>
    <w:p>
      <w:pPr>
        <w:pStyle w:val="3"/>
        <w:ind w:firstLine="643"/>
      </w:pPr>
      <w:bookmarkStart w:id="17" w:name="_Toc61249552"/>
      <w:bookmarkStart w:id="18" w:name="_Toc176666474"/>
      <w:bookmarkStart w:id="19" w:name="_Toc176658511"/>
      <w:r>
        <w:rPr>
          <w:rFonts w:hint="eastAsia"/>
        </w:rPr>
        <w:t>投标须知前附表</w:t>
      </w:r>
      <w:bookmarkEnd w:id="17"/>
    </w:p>
    <w:tbl>
      <w:tblPr>
        <w:tblStyle w:val="39"/>
        <w:tblW w:w="9120"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537"/>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43" w:type="dxa"/>
            <w:vAlign w:val="center"/>
          </w:tcPr>
          <w:p>
            <w:pPr>
              <w:spacing w:line="240" w:lineRule="auto"/>
              <w:ind w:firstLine="0" w:firstLineChars="0"/>
              <w:jc w:val="center"/>
              <w:rPr>
                <w:rFonts w:ascii="宋体" w:hAnsi="宋体" w:cs="Arial"/>
                <w:szCs w:val="21"/>
              </w:rPr>
            </w:pPr>
            <w:bookmarkStart w:id="20" w:name="_Toc14469"/>
            <w:bookmarkStart w:id="21" w:name="_Toc14456"/>
            <w:r>
              <w:rPr>
                <w:rFonts w:hint="eastAsia" w:ascii="宋体" w:hAnsi="宋体" w:cs="Arial"/>
                <w:szCs w:val="21"/>
              </w:rPr>
              <w:t>序号</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项目</w:t>
            </w:r>
          </w:p>
        </w:tc>
        <w:tc>
          <w:tcPr>
            <w:tcW w:w="6840" w:type="dxa"/>
            <w:vAlign w:val="center"/>
          </w:tcPr>
          <w:p>
            <w:pPr>
              <w:spacing w:line="240" w:lineRule="auto"/>
              <w:ind w:firstLine="0" w:firstLineChars="0"/>
              <w:rPr>
                <w:rFonts w:ascii="宋体" w:hAnsi="宋体" w:cs="Arial"/>
                <w:szCs w:val="21"/>
              </w:rPr>
            </w:pPr>
            <w:r>
              <w:rPr>
                <w:rFonts w:hint="eastAsia" w:ascii="宋体" w:hAnsi="宋体" w:cs="Arial"/>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项目名称</w:t>
            </w:r>
          </w:p>
        </w:tc>
        <w:tc>
          <w:tcPr>
            <w:tcW w:w="6840" w:type="dxa"/>
            <w:vAlign w:val="center"/>
          </w:tcPr>
          <w:p>
            <w:pPr>
              <w:spacing w:line="240" w:lineRule="auto"/>
              <w:ind w:firstLine="0" w:firstLineChars="0"/>
              <w:rPr>
                <w:rFonts w:ascii="宋体" w:hAnsi="宋体" w:cs="Arial"/>
              </w:rPr>
            </w:pPr>
            <w:r>
              <w:rPr>
                <w:rFonts w:hint="eastAsia" w:ascii="宋体" w:hAnsi="宋体" w:cs="Arial"/>
              </w:rPr>
              <w:t>西宁市湟中区水利工程管理与保护范围划定工作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2</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项目编号</w:t>
            </w:r>
          </w:p>
        </w:tc>
        <w:tc>
          <w:tcPr>
            <w:tcW w:w="6840" w:type="dxa"/>
            <w:vAlign w:val="center"/>
          </w:tcPr>
          <w:p>
            <w:pPr>
              <w:pStyle w:val="28"/>
              <w:spacing w:before="0" w:after="0" w:line="240" w:lineRule="auto"/>
              <w:ind w:firstLine="0" w:firstLineChars="0"/>
              <w:rPr>
                <w:rFonts w:ascii="宋体" w:hAnsi="宋体"/>
                <w:bCs w:val="0"/>
                <w:caps w:val="0"/>
                <w:sz w:val="21"/>
              </w:rPr>
            </w:pPr>
            <w:r>
              <w:rPr>
                <w:rFonts w:hint="eastAsia" w:ascii="宋体" w:hAnsi="宋体"/>
                <w:b w:val="0"/>
                <w:caps w:val="0"/>
                <w:sz w:val="21"/>
              </w:rPr>
              <w:t>青海禹龙公招（服务）2021-002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3</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招标内容</w:t>
            </w:r>
          </w:p>
        </w:tc>
        <w:tc>
          <w:tcPr>
            <w:tcW w:w="6840" w:type="dxa"/>
            <w:vAlign w:val="center"/>
          </w:tcPr>
          <w:p>
            <w:pPr>
              <w:spacing w:line="240" w:lineRule="auto"/>
              <w:ind w:firstLine="0" w:firstLineChars="0"/>
              <w:rPr>
                <w:rFonts w:ascii="宋体" w:hAnsi="宋体" w:cs="Arial"/>
                <w:szCs w:val="21"/>
              </w:rPr>
            </w:pPr>
            <w:r>
              <w:rPr>
                <w:rFonts w:hint="eastAsia" w:ascii="宋体" w:hAnsi="宋体" w:cs="Arial"/>
                <w:szCs w:val="21"/>
              </w:rPr>
              <w:t>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1"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4</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投标供应商</w:t>
            </w:r>
          </w:p>
          <w:p>
            <w:pPr>
              <w:spacing w:line="240" w:lineRule="auto"/>
              <w:ind w:firstLine="0" w:firstLineChars="0"/>
              <w:jc w:val="center"/>
              <w:rPr>
                <w:rFonts w:ascii="宋体" w:hAnsi="宋体" w:cs="Arial"/>
                <w:szCs w:val="21"/>
              </w:rPr>
            </w:pPr>
            <w:r>
              <w:rPr>
                <w:rFonts w:hint="eastAsia" w:ascii="宋体" w:hAnsi="宋体" w:cs="Arial"/>
                <w:szCs w:val="21"/>
              </w:rPr>
              <w:t>资格要求</w:t>
            </w:r>
          </w:p>
        </w:tc>
        <w:tc>
          <w:tcPr>
            <w:tcW w:w="6840" w:type="dxa"/>
            <w:vAlign w:val="center"/>
          </w:tcPr>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1.</w:t>
            </w:r>
            <w:r>
              <w:rPr>
                <w:rFonts w:hint="eastAsia" w:ascii="宋体" w:hAnsi="宋体" w:cs="宋体"/>
                <w:szCs w:val="21"/>
                <w:lang w:val="zh-CN"/>
              </w:rPr>
              <w:t>符合《政府采购法》第22条条件，并提供下列材料：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&lt;1&gt;投标人的营业执照等证明文件，自然人的身份证明。</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&lt;2&gt;财务状况报告，依法缴纳税收和社会保障资金的相关材料。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&lt;3&gt;具备履行合同所必需的设备和专业技术能力的证明材料。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&lt;4&gt;参加政府采购活动前3年内在经营活动中没有重大违法记录的书面声明。</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&lt;5&gt;具备法律、行政法规规定的其他条件的证明材料。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2.</w:t>
            </w:r>
            <w:r>
              <w:rPr>
                <w:rFonts w:hint="eastAsia" w:ascii="宋体" w:hAnsi="宋体" w:cs="宋体"/>
                <w:szCs w:val="21"/>
                <w:lang w:val="zh-CN"/>
              </w:rPr>
              <w:t>单位负责人为同一人或者存在直接控股、管理关系的不同供应商，不得参加同一合同项下的政府采购活动。否则，皆取消投标资格。</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 xml:space="preserve"> 本项目不接受投标人以联合体方式进行投标；</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4.</w:t>
            </w:r>
            <w:r>
              <w:rPr>
                <w:rFonts w:hint="eastAsia" w:ascii="宋体" w:hAnsi="宋体" w:cs="宋体"/>
                <w:szCs w:val="21"/>
                <w:lang w:val="zh-CN"/>
              </w:rPr>
              <w:t xml:space="preserve"> 经信用中国（www.creditchina.gov.cn）、中国政府采购网（www.ccgp.gov.cn）等渠道查询后，列入失信被执行人、重大税收违法案件当事人名单、政府采购严重违法失信行为记录名单的，取消投标资格。（提供“信用中国”网站的查询截图，时间为投标截止时间前20天内）</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5.</w:t>
            </w:r>
            <w:r>
              <w:rPr>
                <w:rFonts w:hint="eastAsia" w:ascii="宋体" w:hAnsi="宋体" w:cs="宋体"/>
                <w:szCs w:val="21"/>
                <w:lang w:val="zh-CN"/>
              </w:rPr>
              <w:t>其他资质条件：</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投标人具有工程设计水利行业专业丙级及以上资质和工程勘察专业（工程测量）丙级及以上资质证书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5</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投标文件份数</w:t>
            </w:r>
          </w:p>
        </w:tc>
        <w:tc>
          <w:tcPr>
            <w:tcW w:w="6840" w:type="dxa"/>
            <w:vAlign w:val="center"/>
          </w:tcPr>
          <w:p>
            <w:pPr>
              <w:pStyle w:val="28"/>
              <w:spacing w:before="0" w:after="0" w:line="240" w:lineRule="auto"/>
              <w:ind w:firstLine="0" w:firstLineChars="0"/>
              <w:rPr>
                <w:rFonts w:ascii="宋体" w:hAnsi="宋体"/>
                <w:bCs w:val="0"/>
                <w:caps w:val="0"/>
                <w:sz w:val="21"/>
              </w:rPr>
            </w:pPr>
            <w:r>
              <w:rPr>
                <w:rFonts w:hint="eastAsia" w:ascii="宋体" w:hAnsi="宋体"/>
                <w:bCs w:val="0"/>
                <w:caps w:val="0"/>
                <w:sz w:val="21"/>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3" w:type="dxa"/>
            <w:vMerge w:val="restart"/>
            <w:vAlign w:val="center"/>
          </w:tcPr>
          <w:p>
            <w:pPr>
              <w:spacing w:line="240" w:lineRule="auto"/>
              <w:ind w:firstLine="0" w:firstLineChars="0"/>
              <w:jc w:val="center"/>
              <w:rPr>
                <w:rFonts w:ascii="宋体" w:hAnsi="宋体" w:cs="Arial"/>
                <w:szCs w:val="21"/>
              </w:rPr>
            </w:pPr>
            <w:r>
              <w:rPr>
                <w:rFonts w:hint="eastAsia" w:ascii="宋体" w:hAnsi="宋体" w:cs="Arial"/>
                <w:szCs w:val="21"/>
              </w:rPr>
              <w:t>6</w:t>
            </w:r>
          </w:p>
        </w:tc>
        <w:tc>
          <w:tcPr>
            <w:tcW w:w="1537" w:type="dxa"/>
            <w:vMerge w:val="restart"/>
            <w:vAlign w:val="center"/>
          </w:tcPr>
          <w:p>
            <w:pPr>
              <w:spacing w:line="240" w:lineRule="auto"/>
              <w:ind w:firstLine="0" w:firstLineChars="0"/>
              <w:jc w:val="center"/>
              <w:rPr>
                <w:rFonts w:ascii="宋体" w:hAnsi="宋体" w:cs="Arial"/>
                <w:color w:val="000000"/>
                <w:szCs w:val="21"/>
              </w:rPr>
            </w:pPr>
            <w:r>
              <w:rPr>
                <w:rFonts w:hint="eastAsia" w:ascii="宋体" w:hAnsi="宋体" w:cs="Arial"/>
                <w:color w:val="000000"/>
                <w:szCs w:val="21"/>
              </w:rPr>
              <w:t>投标保证金</w:t>
            </w:r>
          </w:p>
        </w:tc>
        <w:tc>
          <w:tcPr>
            <w:tcW w:w="6840" w:type="dxa"/>
            <w:vAlign w:val="center"/>
          </w:tcPr>
          <w:p>
            <w:pPr>
              <w:spacing w:line="240" w:lineRule="auto"/>
              <w:ind w:firstLine="0" w:firstLineChars="0"/>
              <w:rPr>
                <w:rFonts w:ascii="宋体" w:hAnsi="宋体" w:cs="Arial"/>
                <w:color w:val="000000"/>
              </w:rPr>
            </w:pPr>
            <w:r>
              <w:rPr>
                <w:rFonts w:hint="eastAsia" w:ascii="宋体" w:hAnsi="宋体" w:cs="Arial"/>
                <w:color w:val="000000"/>
              </w:rPr>
              <w:t>投标保证金金额：伍万元整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43" w:type="dxa"/>
            <w:vMerge w:val="continue"/>
            <w:vAlign w:val="center"/>
          </w:tcPr>
          <w:p>
            <w:pPr>
              <w:spacing w:line="240" w:lineRule="auto"/>
              <w:ind w:firstLine="0" w:firstLineChars="0"/>
              <w:jc w:val="center"/>
              <w:rPr>
                <w:rFonts w:ascii="宋体" w:hAnsi="宋体" w:cs="Arial"/>
                <w:szCs w:val="21"/>
              </w:rPr>
            </w:pPr>
          </w:p>
        </w:tc>
        <w:tc>
          <w:tcPr>
            <w:tcW w:w="1537" w:type="dxa"/>
            <w:vMerge w:val="continue"/>
            <w:vAlign w:val="center"/>
          </w:tcPr>
          <w:p>
            <w:pPr>
              <w:spacing w:line="240" w:lineRule="auto"/>
              <w:ind w:firstLine="0" w:firstLineChars="0"/>
              <w:jc w:val="center"/>
              <w:rPr>
                <w:rFonts w:ascii="宋体" w:hAnsi="宋体" w:cs="Arial"/>
                <w:color w:val="000000"/>
                <w:szCs w:val="21"/>
              </w:rPr>
            </w:pPr>
          </w:p>
        </w:tc>
        <w:tc>
          <w:tcPr>
            <w:tcW w:w="6840" w:type="dxa"/>
            <w:vAlign w:val="center"/>
          </w:tcPr>
          <w:p>
            <w:pPr>
              <w:spacing w:line="240" w:lineRule="auto"/>
              <w:ind w:firstLine="0" w:firstLineChars="0"/>
              <w:rPr>
                <w:rFonts w:ascii="宋体" w:hAnsi="宋体" w:cs="Arial"/>
                <w:color w:val="000000"/>
              </w:rPr>
            </w:pPr>
            <w:r>
              <w:rPr>
                <w:rFonts w:hint="eastAsia" w:ascii="宋体" w:hAnsi="宋体" w:cs="Arial"/>
                <w:color w:val="000000"/>
              </w:rPr>
              <w:t>形    式：从投标单位的基本账户以电汇或转账方式递交。</w:t>
            </w:r>
          </w:p>
          <w:p>
            <w:pPr>
              <w:spacing w:line="240" w:lineRule="auto"/>
              <w:ind w:firstLine="0" w:firstLineChars="0"/>
              <w:rPr>
                <w:rFonts w:hint="eastAsia" w:ascii="宋体" w:hAnsi="宋体" w:eastAsia="宋体" w:cs="Arial"/>
                <w:color w:val="000000"/>
                <w:lang w:eastAsia="zh-CN"/>
              </w:rPr>
            </w:pPr>
            <w:r>
              <w:rPr>
                <w:rFonts w:hint="eastAsia" w:ascii="宋体" w:hAnsi="宋体" w:cs="Arial"/>
                <w:color w:val="000000"/>
              </w:rPr>
              <w:t>收款单位名称：青海省禹龙水利水电工程招标技术咨询中心</w:t>
            </w:r>
            <w:r>
              <w:rPr>
                <w:rFonts w:hint="eastAsia" w:ascii="宋体" w:hAnsi="宋体" w:cs="Arial"/>
                <w:color w:val="000000"/>
                <w:lang w:eastAsia="zh-CN"/>
              </w:rPr>
              <w:t>有限责任公司</w:t>
            </w:r>
          </w:p>
          <w:p>
            <w:pPr>
              <w:spacing w:line="240" w:lineRule="auto"/>
              <w:ind w:firstLine="0" w:firstLineChars="0"/>
              <w:rPr>
                <w:rFonts w:ascii="宋体" w:hAnsi="宋体" w:cs="Arial"/>
                <w:color w:val="000000"/>
              </w:rPr>
            </w:pPr>
            <w:r>
              <w:rPr>
                <w:rFonts w:hint="eastAsia" w:ascii="宋体" w:hAnsi="宋体" w:cs="Arial"/>
                <w:color w:val="000000"/>
              </w:rPr>
              <w:t>开户银行：</w:t>
            </w:r>
            <w:r>
              <w:rPr>
                <w:rFonts w:hint="eastAsia" w:ascii="宋体" w:hAnsi="宋体" w:cs="宋体"/>
                <w:color w:val="000000"/>
                <w:szCs w:val="21"/>
              </w:rPr>
              <w:t>青海西宁农商银行股份有限公司西川南路支行</w:t>
            </w:r>
          </w:p>
          <w:p>
            <w:pPr>
              <w:spacing w:line="240" w:lineRule="auto"/>
              <w:ind w:firstLine="0" w:firstLineChars="0"/>
              <w:rPr>
                <w:rFonts w:ascii="宋体" w:hAnsi="宋体" w:cs="Arial"/>
                <w:color w:val="000000"/>
              </w:rPr>
            </w:pPr>
            <w:r>
              <w:rPr>
                <w:rFonts w:hint="eastAsia" w:ascii="宋体" w:hAnsi="宋体" w:cs="Arial"/>
                <w:color w:val="000000"/>
              </w:rPr>
              <w:t>银行账号：</w:t>
            </w:r>
            <w:r>
              <w:rPr>
                <w:rFonts w:hint="eastAsia" w:ascii="宋体" w:hAnsi="宋体" w:cs="宋体"/>
                <w:color w:val="000000"/>
                <w:szCs w:val="21"/>
              </w:rPr>
              <w:t>82010000000018980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7</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投标有效期</w:t>
            </w:r>
          </w:p>
        </w:tc>
        <w:tc>
          <w:tcPr>
            <w:tcW w:w="6840" w:type="dxa"/>
            <w:vAlign w:val="center"/>
          </w:tcPr>
          <w:p>
            <w:pPr>
              <w:spacing w:line="240" w:lineRule="auto"/>
              <w:ind w:firstLine="0" w:firstLineChars="0"/>
              <w:rPr>
                <w:rFonts w:ascii="宋体" w:hAnsi="宋体" w:cs="Arial"/>
              </w:rPr>
            </w:pPr>
            <w:r>
              <w:rPr>
                <w:rFonts w:hint="eastAsia" w:ascii="宋体" w:hAnsi="宋体" w:cs="Arial"/>
              </w:rPr>
              <w:t>提交投标文件截止日起90天内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8</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建设地点</w:t>
            </w:r>
          </w:p>
        </w:tc>
        <w:tc>
          <w:tcPr>
            <w:tcW w:w="6840" w:type="dxa"/>
            <w:vAlign w:val="center"/>
          </w:tcPr>
          <w:p>
            <w:pPr>
              <w:spacing w:line="240" w:lineRule="auto"/>
              <w:ind w:firstLine="0" w:firstLineChars="0"/>
              <w:rPr>
                <w:rFonts w:ascii="宋体" w:hAnsi="宋体" w:cs="Arial"/>
              </w:rPr>
            </w:pPr>
            <w:r>
              <w:rPr>
                <w:rFonts w:hint="eastAsia" w:ascii="宋体" w:hAnsi="宋体" w:cs="Arial"/>
              </w:rPr>
              <w:t>湟中区境内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9</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rPr>
              <w:t>工期</w:t>
            </w:r>
          </w:p>
        </w:tc>
        <w:tc>
          <w:tcPr>
            <w:tcW w:w="6840" w:type="dxa"/>
            <w:vAlign w:val="center"/>
          </w:tcPr>
          <w:p>
            <w:pPr>
              <w:spacing w:line="240" w:lineRule="auto"/>
              <w:ind w:firstLine="0" w:firstLineChars="0"/>
              <w:rPr>
                <w:rFonts w:ascii="宋体" w:hAnsi="宋体" w:cs="Arial"/>
                <w:b/>
              </w:rPr>
            </w:pPr>
            <w:r>
              <w:rPr>
                <w:rFonts w:hint="eastAsia" w:ascii="宋体" w:hAnsi="宋体" w:cs="Arial"/>
                <w:b/>
              </w:rPr>
              <w:t>2</w:t>
            </w:r>
            <w:r>
              <w:rPr>
                <w:rFonts w:ascii="宋体" w:hAnsi="宋体" w:cs="Arial"/>
                <w:b/>
              </w:rPr>
              <w:t>02</w:t>
            </w:r>
            <w:r>
              <w:rPr>
                <w:rFonts w:hint="eastAsia" w:ascii="宋体" w:hAnsi="宋体" w:cs="Arial"/>
                <w:b/>
              </w:rPr>
              <w:t>1年2月20日至2</w:t>
            </w:r>
            <w:r>
              <w:rPr>
                <w:rFonts w:ascii="宋体" w:hAnsi="宋体" w:cs="Arial"/>
                <w:b/>
              </w:rPr>
              <w:t>02</w:t>
            </w:r>
            <w:r>
              <w:rPr>
                <w:rFonts w:hint="eastAsia" w:ascii="宋体" w:hAnsi="宋体" w:cs="Arial"/>
                <w:b/>
              </w:rPr>
              <w:t>1年12月30日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11</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投标截止时间</w:t>
            </w:r>
          </w:p>
        </w:tc>
        <w:tc>
          <w:tcPr>
            <w:tcW w:w="6840" w:type="dxa"/>
            <w:vAlign w:val="center"/>
          </w:tcPr>
          <w:p>
            <w:pPr>
              <w:spacing w:line="240" w:lineRule="auto"/>
              <w:ind w:firstLine="0" w:firstLineChars="0"/>
              <w:rPr>
                <w:rFonts w:ascii="宋体" w:hAnsi="宋体" w:cs="Arial"/>
              </w:rPr>
            </w:pPr>
            <w:r>
              <w:rPr>
                <w:rFonts w:hint="eastAsia" w:ascii="宋体" w:hAnsi="宋体" w:cs="Arial"/>
              </w:rPr>
              <w:t>2021年2月</w:t>
            </w:r>
            <w:r>
              <w:rPr>
                <w:rFonts w:hint="eastAsia" w:ascii="宋体" w:hAnsi="宋体" w:cs="Arial"/>
                <w:lang w:val="en-US" w:eastAsia="zh-CN"/>
              </w:rPr>
              <w:t>3</w:t>
            </w:r>
            <w:r>
              <w:rPr>
                <w:rFonts w:hint="eastAsia" w:ascii="宋体" w:hAnsi="宋体" w:cs="Arial"/>
              </w:rPr>
              <w:t>日9：00止</w:t>
            </w:r>
            <w:r>
              <w:rPr>
                <w:rFonts w:ascii="宋体" w:hAnsi="宋体" w:cs="Arial"/>
              </w:rPr>
              <w:t>(</w:t>
            </w:r>
            <w:r>
              <w:rPr>
                <w:rFonts w:hint="eastAsia" w:ascii="宋体" w:hAnsi="宋体" w:cs="Arial"/>
              </w:rPr>
              <w:t>北京时间</w:t>
            </w:r>
            <w:r>
              <w:rPr>
                <w:rFonts w:ascii="宋体" w:hAnsi="宋体"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11</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开标时间</w:t>
            </w:r>
          </w:p>
          <w:p>
            <w:pPr>
              <w:spacing w:line="240" w:lineRule="auto"/>
              <w:ind w:firstLine="0" w:firstLineChars="0"/>
              <w:jc w:val="center"/>
              <w:rPr>
                <w:rFonts w:ascii="宋体" w:hAnsi="宋体" w:cs="Arial"/>
                <w:szCs w:val="21"/>
              </w:rPr>
            </w:pPr>
            <w:r>
              <w:rPr>
                <w:rFonts w:hint="eastAsia" w:ascii="宋体" w:hAnsi="宋体" w:cs="Arial"/>
                <w:szCs w:val="21"/>
              </w:rPr>
              <w:t>开标地点</w:t>
            </w:r>
          </w:p>
        </w:tc>
        <w:tc>
          <w:tcPr>
            <w:tcW w:w="6840" w:type="dxa"/>
            <w:vAlign w:val="center"/>
          </w:tcPr>
          <w:p>
            <w:pPr>
              <w:spacing w:line="240" w:lineRule="auto"/>
              <w:ind w:firstLine="0" w:firstLineChars="0"/>
              <w:rPr>
                <w:rFonts w:ascii="宋体" w:hAnsi="宋体" w:cs="Arial"/>
              </w:rPr>
            </w:pPr>
            <w:r>
              <w:rPr>
                <w:rFonts w:hint="eastAsia" w:ascii="宋体" w:hAnsi="宋体" w:cs="Arial"/>
              </w:rPr>
              <w:t>开标时间：</w:t>
            </w:r>
            <w:r>
              <w:rPr>
                <w:rFonts w:ascii="宋体" w:hAnsi="宋体" w:cs="Arial"/>
              </w:rPr>
              <w:t>20</w:t>
            </w:r>
            <w:r>
              <w:rPr>
                <w:rFonts w:hint="eastAsia" w:ascii="宋体" w:hAnsi="宋体" w:cs="Arial"/>
              </w:rPr>
              <w:t>21</w:t>
            </w:r>
            <w:r>
              <w:rPr>
                <w:rFonts w:ascii="宋体" w:hAnsi="宋体" w:cs="Arial"/>
              </w:rPr>
              <w:t>年</w:t>
            </w:r>
            <w:r>
              <w:rPr>
                <w:rFonts w:hint="eastAsia" w:ascii="宋体" w:hAnsi="宋体" w:cs="Arial"/>
              </w:rPr>
              <w:t>2月</w:t>
            </w:r>
            <w:r>
              <w:rPr>
                <w:rFonts w:hint="eastAsia" w:ascii="宋体" w:hAnsi="宋体" w:cs="Arial"/>
                <w:lang w:val="en-US" w:eastAsia="zh-CN"/>
              </w:rPr>
              <w:t>3</w:t>
            </w:r>
            <w:r>
              <w:rPr>
                <w:rFonts w:hint="eastAsia" w:ascii="宋体" w:hAnsi="宋体" w:cs="Arial"/>
              </w:rPr>
              <w:t>日9：00整</w:t>
            </w:r>
            <w:r>
              <w:rPr>
                <w:rFonts w:ascii="宋体" w:hAnsi="宋体" w:cs="Arial"/>
              </w:rPr>
              <w:t xml:space="preserve"> (</w:t>
            </w:r>
            <w:r>
              <w:rPr>
                <w:rFonts w:hint="eastAsia" w:ascii="宋体" w:hAnsi="宋体" w:cs="Arial"/>
              </w:rPr>
              <w:t>北京时间</w:t>
            </w:r>
            <w:r>
              <w:rPr>
                <w:rFonts w:ascii="宋体" w:hAnsi="宋体" w:cs="Arial"/>
              </w:rPr>
              <w:t>)</w:t>
            </w:r>
          </w:p>
          <w:p>
            <w:pPr>
              <w:spacing w:line="240" w:lineRule="auto"/>
              <w:ind w:firstLine="0" w:firstLineChars="0"/>
              <w:rPr>
                <w:rFonts w:hAnsi="宋体" w:cs="Arial"/>
              </w:rPr>
            </w:pPr>
            <w:r>
              <w:rPr>
                <w:rFonts w:hint="eastAsia" w:ascii="宋体" w:hAnsi="宋体" w:cs="Arial"/>
              </w:rPr>
              <w:t>开标地点：</w:t>
            </w:r>
            <w:r>
              <w:rPr>
                <w:rFonts w:hint="eastAsia" w:ascii="宋体" w:hAnsi="宋体" w:cs="宋体"/>
                <w:szCs w:val="21"/>
              </w:rPr>
              <w:t>青海省人民政府行政服务和公共资源交易中心二楼</w:t>
            </w:r>
            <w:r>
              <w:rPr>
                <w:rFonts w:hint="eastAsia" w:ascii="宋体" w:hAnsi="宋体" w:cs="宋体"/>
                <w:szCs w:val="21"/>
                <w:lang w:eastAsia="zh-CN"/>
              </w:rPr>
              <w:t>六</w:t>
            </w:r>
            <w:r>
              <w:rPr>
                <w:rFonts w:hint="eastAsia" w:ascii="宋体" w:hAnsi="宋体" w:cs="宋体"/>
                <w:szCs w:val="21"/>
              </w:rPr>
              <w:t>号开标室(青海省西宁市西川南路53号)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12</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招标采购单位</w:t>
            </w:r>
          </w:p>
        </w:tc>
        <w:tc>
          <w:tcPr>
            <w:tcW w:w="6840" w:type="dxa"/>
            <w:vAlign w:val="center"/>
          </w:tcPr>
          <w:p>
            <w:pPr>
              <w:spacing w:line="240" w:lineRule="auto"/>
              <w:ind w:firstLine="0" w:firstLineChars="0"/>
              <w:rPr>
                <w:rFonts w:hAnsi="宋体" w:cs="Arial"/>
              </w:rPr>
            </w:pPr>
            <w:r>
              <w:rPr>
                <w:rFonts w:hint="eastAsia" w:hAnsi="宋体" w:cs="Arial"/>
              </w:rPr>
              <w:t>采购单位：</w:t>
            </w:r>
            <w:r>
              <w:rPr>
                <w:rFonts w:hint="eastAsia" w:ascii="宋体" w:hAnsi="宋体" w:cs="宋体"/>
                <w:szCs w:val="21"/>
              </w:rPr>
              <w:t>西宁市湟中区水利站</w:t>
            </w:r>
          </w:p>
          <w:p>
            <w:pPr>
              <w:pStyle w:val="21"/>
              <w:spacing w:line="240" w:lineRule="auto"/>
              <w:ind w:firstLine="0" w:firstLineChars="0"/>
              <w:rPr>
                <w:rFonts w:hint="eastAsia" w:hAnsi="宋体" w:eastAsia="宋体" w:cs="Arial"/>
                <w:kern w:val="0"/>
                <w:lang w:val="en-US" w:eastAsia="zh-CN"/>
              </w:rPr>
            </w:pPr>
            <w:r>
              <w:rPr>
                <w:rFonts w:hint="eastAsia" w:hAnsi="宋体" w:cs="Arial"/>
                <w:kern w:val="0"/>
              </w:rPr>
              <w:t>采购代理机构：青海省禹龙水利水电工程招标技术咨询中心</w:t>
            </w:r>
            <w:r>
              <w:rPr>
                <w:rFonts w:hint="eastAsia" w:hAnsi="宋体" w:cs="Arial"/>
                <w:kern w:val="0"/>
                <w:lang w:eastAsia="zh-CN"/>
              </w:rPr>
              <w:t>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13</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澄清与修改</w:t>
            </w:r>
          </w:p>
        </w:tc>
        <w:tc>
          <w:tcPr>
            <w:tcW w:w="6840" w:type="dxa"/>
            <w:vAlign w:val="center"/>
          </w:tcPr>
          <w:p>
            <w:pPr>
              <w:spacing w:line="240" w:lineRule="auto"/>
              <w:ind w:firstLine="0" w:firstLineChars="0"/>
              <w:rPr>
                <w:rFonts w:ascii="宋体" w:hAnsi="宋体" w:cs="Arial"/>
              </w:rPr>
            </w:pPr>
            <w:r>
              <w:rPr>
                <w:rFonts w:hint="eastAsia" w:ascii="宋体" w:hAnsi="宋体" w:cs="Arial"/>
              </w:rPr>
              <w:t>如发现招标文件中存在含糊不清、相互矛盾、多种含义以及歧视性不公正条款或违法违规等内容时，请在答疑截止</w:t>
            </w:r>
            <w:bookmarkStart w:id="126" w:name="_GoBack"/>
            <w:bookmarkEnd w:id="126"/>
            <w:r>
              <w:rPr>
                <w:rFonts w:hint="eastAsia" w:ascii="宋体" w:hAnsi="宋体" w:cs="Arial"/>
              </w:rPr>
              <w:t>时间前同时向招标采购单位反映，逾期不得再对招标文件的条款提出质疑。</w:t>
            </w:r>
          </w:p>
        </w:tc>
      </w:tr>
    </w:tbl>
    <w:p>
      <w:pPr>
        <w:pStyle w:val="4"/>
        <w:ind w:firstLine="0" w:firstLineChars="0"/>
      </w:pPr>
    </w:p>
    <w:p>
      <w:pPr>
        <w:pStyle w:val="3"/>
        <w:ind w:firstLine="0" w:firstLineChars="0"/>
      </w:pPr>
      <w:bookmarkStart w:id="22" w:name="_Toc61249553"/>
      <w:r>
        <w:rPr>
          <w:rFonts w:hint="eastAsia"/>
        </w:rPr>
        <w:t>（一）总则</w:t>
      </w:r>
      <w:bookmarkEnd w:id="18"/>
      <w:bookmarkEnd w:id="19"/>
      <w:bookmarkEnd w:id="20"/>
      <w:bookmarkEnd w:id="21"/>
      <w:bookmarkEnd w:id="22"/>
    </w:p>
    <w:p>
      <w:pPr>
        <w:numPr>
          <w:ilvl w:val="0"/>
          <w:numId w:val="2"/>
        </w:numPr>
        <w:ind w:left="0" w:firstLine="0" w:firstLineChars="0"/>
        <w:jc w:val="both"/>
        <w:rPr>
          <w:rFonts w:ascii="宋体" w:hAnsi="宋体"/>
          <w:b/>
          <w:sz w:val="24"/>
        </w:rPr>
      </w:pPr>
      <w:r>
        <w:rPr>
          <w:rFonts w:hint="eastAsia" w:ascii="宋体" w:hAnsi="宋体"/>
          <w:b/>
          <w:sz w:val="24"/>
        </w:rPr>
        <w:t>说明</w:t>
      </w:r>
    </w:p>
    <w:p>
      <w:pPr>
        <w:numPr>
          <w:ilvl w:val="1"/>
          <w:numId w:val="2"/>
        </w:numPr>
        <w:ind w:left="0" w:firstLine="0" w:firstLineChars="0"/>
        <w:jc w:val="both"/>
        <w:rPr>
          <w:rFonts w:ascii="宋体" w:hAnsi="宋体"/>
        </w:rPr>
      </w:pPr>
      <w:r>
        <w:rPr>
          <w:rFonts w:hint="eastAsia" w:ascii="宋体" w:hAnsi="宋体"/>
        </w:rPr>
        <w:t>本次招标工作是按照《中华人民共和国政府采购法》、《政府采购货物和服务招标投标管理办法》和青海省及项目所在地的有关政府采购规定，结合本项目的实际，组织和实施。</w:t>
      </w:r>
    </w:p>
    <w:p>
      <w:pPr>
        <w:numPr>
          <w:ilvl w:val="0"/>
          <w:numId w:val="2"/>
        </w:numPr>
        <w:ind w:left="0" w:firstLine="0" w:firstLineChars="0"/>
        <w:jc w:val="both"/>
        <w:rPr>
          <w:rFonts w:ascii="宋体" w:hAnsi="宋体"/>
          <w:b/>
          <w:sz w:val="24"/>
        </w:rPr>
      </w:pPr>
      <w:r>
        <w:rPr>
          <w:rFonts w:hint="eastAsia" w:ascii="宋体" w:hAnsi="宋体"/>
          <w:b/>
          <w:sz w:val="24"/>
        </w:rPr>
        <w:t>定义及解释</w:t>
      </w:r>
    </w:p>
    <w:p>
      <w:pPr>
        <w:numPr>
          <w:ilvl w:val="1"/>
          <w:numId w:val="2"/>
        </w:numPr>
        <w:ind w:left="0" w:firstLine="0" w:firstLineChars="0"/>
        <w:jc w:val="both"/>
        <w:rPr>
          <w:rFonts w:ascii="宋体" w:hAnsi="宋体"/>
        </w:rPr>
      </w:pPr>
      <w:r>
        <w:rPr>
          <w:rFonts w:hint="eastAsia" w:ascii="宋体" w:hAnsi="宋体"/>
        </w:rPr>
        <w:t>招标代理机构：</w:t>
      </w:r>
      <w:r>
        <w:rPr>
          <w:rFonts w:hint="eastAsia" w:ascii="宋体" w:hAnsi="宋体" w:cs="Arial"/>
          <w:szCs w:val="21"/>
        </w:rPr>
        <w:t>青海省禹龙水利水电工程招标技术咨询中心有限责任公司</w:t>
      </w:r>
    </w:p>
    <w:p>
      <w:pPr>
        <w:numPr>
          <w:ilvl w:val="1"/>
          <w:numId w:val="2"/>
        </w:numPr>
        <w:tabs>
          <w:tab w:val="left" w:pos="9373"/>
        </w:tabs>
        <w:ind w:left="0" w:firstLine="0" w:firstLineChars="0"/>
        <w:jc w:val="both"/>
        <w:rPr>
          <w:rFonts w:ascii="宋体" w:hAnsi="宋体"/>
        </w:rPr>
      </w:pPr>
      <w:r>
        <w:rPr>
          <w:rFonts w:hint="eastAsia" w:ascii="宋体" w:hAnsi="宋体"/>
        </w:rPr>
        <w:t>采购人：</w:t>
      </w:r>
      <w:r>
        <w:rPr>
          <w:rFonts w:hint="eastAsia" w:ascii="宋体" w:hAnsi="宋体" w:cs="宋体"/>
          <w:szCs w:val="21"/>
        </w:rPr>
        <w:t>西宁市湟中区水利站</w:t>
      </w:r>
    </w:p>
    <w:p>
      <w:pPr>
        <w:numPr>
          <w:ilvl w:val="1"/>
          <w:numId w:val="2"/>
        </w:numPr>
        <w:ind w:left="0" w:firstLine="0" w:firstLineChars="0"/>
        <w:jc w:val="both"/>
        <w:rPr>
          <w:rFonts w:ascii="宋体" w:hAnsi="宋体"/>
        </w:rPr>
      </w:pPr>
      <w:r>
        <w:rPr>
          <w:rFonts w:hint="eastAsia" w:ascii="宋体" w:hAnsi="宋体"/>
        </w:rPr>
        <w:t>投标人：投标人是响应招标、参加投标竞争的依法成立的供应商</w:t>
      </w:r>
    </w:p>
    <w:p>
      <w:pPr>
        <w:numPr>
          <w:ilvl w:val="1"/>
          <w:numId w:val="2"/>
        </w:numPr>
        <w:ind w:left="0" w:firstLine="0" w:firstLineChars="0"/>
        <w:jc w:val="both"/>
        <w:rPr>
          <w:rFonts w:ascii="宋体" w:hAnsi="宋体"/>
          <w:sz w:val="24"/>
        </w:rPr>
      </w:pPr>
      <w:r>
        <w:rPr>
          <w:rFonts w:ascii="宋体" w:hAnsi="宋体"/>
        </w:rPr>
        <w:t>中标</w:t>
      </w:r>
      <w:r>
        <w:rPr>
          <w:rFonts w:ascii="宋体" w:hAnsi="宋体"/>
          <w:bCs/>
        </w:rPr>
        <w:t>人</w:t>
      </w:r>
      <w:r>
        <w:rPr>
          <w:rFonts w:hint="eastAsia" w:ascii="宋体" w:hAnsi="宋体"/>
        </w:rPr>
        <w:t>：</w:t>
      </w:r>
      <w:r>
        <w:rPr>
          <w:rFonts w:ascii="宋体" w:hAnsi="宋体"/>
        </w:rPr>
        <w:t>系指在本次招标中中标的</w:t>
      </w:r>
      <w:r>
        <w:rPr>
          <w:rFonts w:hint="eastAsia" w:ascii="宋体" w:hAnsi="宋体"/>
        </w:rPr>
        <w:t>投标人</w:t>
      </w:r>
    </w:p>
    <w:p>
      <w:pPr>
        <w:numPr>
          <w:ilvl w:val="1"/>
          <w:numId w:val="2"/>
        </w:numPr>
        <w:ind w:left="0" w:firstLine="0" w:firstLineChars="0"/>
        <w:jc w:val="both"/>
        <w:rPr>
          <w:rFonts w:ascii="宋体" w:hAnsi="宋体"/>
        </w:rPr>
      </w:pPr>
      <w:r>
        <w:rPr>
          <w:rFonts w:hint="eastAsia" w:ascii="宋体" w:hAnsi="宋体"/>
        </w:rPr>
        <w:t>评审委员会：评审委员会是依据《中华人民共和国政府采购法》、《政府采购货物和服务招标投标管理办法》和青海省及项目所在地的有关政府采购招投标规定，结合本项目的实际，组建的专门负责采购评审工作的临时性机构。</w:t>
      </w:r>
    </w:p>
    <w:p>
      <w:pPr>
        <w:widowControl w:val="0"/>
        <w:tabs>
          <w:tab w:val="left" w:pos="2414"/>
        </w:tabs>
        <w:ind w:firstLine="0" w:firstLineChars="0"/>
        <w:jc w:val="both"/>
        <w:rPr>
          <w:rFonts w:ascii="宋体" w:hAnsi="宋体" w:cs="Arial"/>
        </w:rPr>
      </w:pPr>
      <w:r>
        <w:rPr>
          <w:rFonts w:hint="eastAsia" w:ascii="宋体" w:hAnsi="宋体" w:cs="Arial"/>
        </w:rPr>
        <w:t>2.6     日期：指公历日。</w:t>
      </w:r>
    </w:p>
    <w:p>
      <w:pPr>
        <w:widowControl w:val="0"/>
        <w:tabs>
          <w:tab w:val="left" w:pos="2414"/>
        </w:tabs>
        <w:ind w:firstLine="0" w:firstLineChars="0"/>
        <w:jc w:val="both"/>
        <w:rPr>
          <w:rFonts w:ascii="宋体" w:hAnsi="宋体" w:cs="Arial"/>
        </w:rPr>
      </w:pPr>
      <w:r>
        <w:rPr>
          <w:rFonts w:hint="eastAsia" w:ascii="宋体" w:hAnsi="宋体" w:cs="Arial"/>
        </w:rPr>
        <w:t>2.7     合同：指由采购所产生的合同或合约文件。</w:t>
      </w:r>
    </w:p>
    <w:p>
      <w:pPr>
        <w:widowControl w:val="0"/>
        <w:tabs>
          <w:tab w:val="left" w:pos="2414"/>
        </w:tabs>
        <w:ind w:firstLine="0" w:firstLineChars="0"/>
        <w:jc w:val="both"/>
        <w:rPr>
          <w:rFonts w:ascii="宋体" w:hAnsi="宋体" w:cs="Arial"/>
        </w:rPr>
      </w:pPr>
      <w:r>
        <w:rPr>
          <w:rFonts w:hint="eastAsia" w:ascii="宋体" w:hAnsi="宋体" w:cs="Arial"/>
        </w:rPr>
        <w:t>2.8     招标文件中的标题或题名仅起引导作用，而不应视为对招标文件内容的理解和解释。</w:t>
      </w:r>
    </w:p>
    <w:p>
      <w:pPr>
        <w:widowControl w:val="0"/>
        <w:ind w:firstLine="0" w:firstLineChars="0"/>
        <w:jc w:val="both"/>
        <w:rPr>
          <w:rFonts w:ascii="宋体" w:hAnsi="宋体" w:cs="Arial"/>
        </w:rPr>
      </w:pPr>
      <w:r>
        <w:rPr>
          <w:rFonts w:hint="eastAsia" w:ascii="宋体" w:hAnsi="宋体" w:cs="Arial"/>
        </w:rPr>
        <w:t>2.9    “书面形式”是指任何手写的、打印的或印刷的文件，包括电报和传真发送。</w:t>
      </w:r>
    </w:p>
    <w:p>
      <w:pPr>
        <w:ind w:firstLine="0" w:firstLineChars="0"/>
        <w:jc w:val="both"/>
        <w:rPr>
          <w:rFonts w:ascii="宋体" w:hAnsi="宋体"/>
          <w:b/>
          <w:sz w:val="24"/>
        </w:rPr>
      </w:pPr>
      <w:r>
        <w:rPr>
          <w:rFonts w:hint="eastAsia" w:ascii="宋体" w:hAnsi="宋体"/>
          <w:b/>
          <w:sz w:val="24"/>
        </w:rPr>
        <w:t>3.     合格的投标人</w:t>
      </w:r>
    </w:p>
    <w:p>
      <w:pPr>
        <w:numPr>
          <w:ilvl w:val="1"/>
          <w:numId w:val="3"/>
        </w:numPr>
        <w:tabs>
          <w:tab w:val="left" w:pos="720"/>
        </w:tabs>
        <w:ind w:left="0" w:firstLine="0" w:firstLineChars="0"/>
        <w:jc w:val="both"/>
        <w:rPr>
          <w:rFonts w:ascii="宋体" w:hAnsi="宋体"/>
          <w:szCs w:val="21"/>
        </w:rPr>
      </w:pPr>
      <w:r>
        <w:rPr>
          <w:rFonts w:ascii="宋体" w:hAnsi="宋体" w:cs="Arial"/>
          <w:szCs w:val="21"/>
        </w:rPr>
        <w:t>符合《中华人民共和国政府采购法》第二十二条规定</w:t>
      </w:r>
      <w:r>
        <w:rPr>
          <w:rFonts w:ascii="宋体" w:hAnsi="宋体"/>
        </w:rPr>
        <w:t>；</w:t>
      </w:r>
    </w:p>
    <w:p>
      <w:pPr>
        <w:numPr>
          <w:ilvl w:val="1"/>
          <w:numId w:val="3"/>
        </w:numPr>
        <w:tabs>
          <w:tab w:val="left" w:pos="720"/>
        </w:tabs>
        <w:ind w:left="0" w:firstLine="0" w:firstLineChars="0"/>
        <w:jc w:val="both"/>
        <w:rPr>
          <w:rFonts w:ascii="宋体" w:hAnsi="宋体"/>
          <w:szCs w:val="21"/>
        </w:rPr>
      </w:pPr>
      <w:r>
        <w:rPr>
          <w:rFonts w:hint="eastAsia" w:ascii="宋体" w:hAnsi="宋体" w:cs="宋体"/>
          <w:szCs w:val="21"/>
          <w:lang w:val="zh-CN"/>
        </w:rPr>
        <w:t>投标人具有工程设计水利行业专业丙级及以上资质和工程勘察专业（工程测量）丙级及以上资质证书</w:t>
      </w:r>
      <w:r>
        <w:rPr>
          <w:rFonts w:hint="eastAsia" w:ascii="宋体" w:hAnsi="宋体"/>
          <w:szCs w:val="21"/>
        </w:rPr>
        <w:t>；</w:t>
      </w:r>
    </w:p>
    <w:p>
      <w:pPr>
        <w:numPr>
          <w:ilvl w:val="0"/>
          <w:numId w:val="3"/>
        </w:numPr>
        <w:ind w:left="0" w:firstLine="0" w:firstLineChars="0"/>
        <w:rPr>
          <w:rFonts w:ascii="宋体" w:hAnsi="宋体"/>
          <w:b/>
          <w:sz w:val="24"/>
        </w:rPr>
      </w:pPr>
      <w:r>
        <w:rPr>
          <w:rFonts w:hint="eastAsia" w:ascii="宋体" w:hAnsi="宋体"/>
          <w:b/>
          <w:sz w:val="24"/>
        </w:rPr>
        <w:t xml:space="preserve">   保密与披露事项</w:t>
      </w:r>
    </w:p>
    <w:p>
      <w:pPr>
        <w:numPr>
          <w:ilvl w:val="1"/>
          <w:numId w:val="3"/>
        </w:numPr>
        <w:ind w:left="0" w:firstLine="0" w:firstLineChars="0"/>
        <w:rPr>
          <w:rFonts w:ascii="宋体" w:hAnsi="宋体"/>
        </w:rPr>
      </w:pPr>
      <w:r>
        <w:rPr>
          <w:rFonts w:hint="eastAsia" w:ascii="宋体" w:hAnsi="宋体"/>
        </w:rPr>
        <w:t xml:space="preserve">     投标人不得串通，以不正当的手段妨碍排挤其他投标人，扰乱市场，破坏公平竞争原则。</w:t>
      </w:r>
    </w:p>
    <w:p>
      <w:pPr>
        <w:numPr>
          <w:ilvl w:val="1"/>
          <w:numId w:val="3"/>
        </w:numPr>
        <w:tabs>
          <w:tab w:val="left" w:pos="900"/>
          <w:tab w:val="clear" w:pos="360"/>
        </w:tabs>
        <w:ind w:left="0" w:firstLine="0" w:firstLineChars="0"/>
        <w:rPr>
          <w:rFonts w:ascii="宋体" w:hAnsi="宋体"/>
        </w:rPr>
      </w:pPr>
      <w:r>
        <w:rPr>
          <w:rFonts w:ascii="宋体" w:hAnsi="宋体"/>
        </w:rPr>
        <w:t>投标人自购买招标文件之日起，须承诺承担本招标项目下保密义务，不得将因本次招标获得的信息向第三方外传。</w:t>
      </w:r>
    </w:p>
    <w:p>
      <w:pPr>
        <w:numPr>
          <w:ilvl w:val="1"/>
          <w:numId w:val="3"/>
        </w:numPr>
        <w:tabs>
          <w:tab w:val="left" w:pos="900"/>
          <w:tab w:val="clear" w:pos="360"/>
        </w:tabs>
        <w:ind w:left="0" w:firstLine="0" w:firstLineChars="0"/>
        <w:jc w:val="both"/>
        <w:rPr>
          <w:rFonts w:ascii="宋体" w:hAnsi="宋体"/>
        </w:rPr>
      </w:pPr>
      <w:r>
        <w:rPr>
          <w:rFonts w:ascii="宋体" w:hAnsi="宋体"/>
        </w:rPr>
        <w:t>采购人有权将投标人提供的所有资料向其他政府部门或有关的非政府机构负责评审标书的人员或与评标有关的人员披露。</w:t>
      </w:r>
    </w:p>
    <w:p>
      <w:pPr>
        <w:numPr>
          <w:ilvl w:val="1"/>
          <w:numId w:val="3"/>
        </w:numPr>
        <w:tabs>
          <w:tab w:val="left" w:pos="900"/>
          <w:tab w:val="clear" w:pos="360"/>
        </w:tabs>
        <w:ind w:left="0" w:firstLine="0" w:firstLineChars="0"/>
        <w:jc w:val="both"/>
        <w:rPr>
          <w:rFonts w:ascii="宋体" w:hAnsi="宋体"/>
          <w:b/>
          <w:sz w:val="24"/>
        </w:rPr>
      </w:pPr>
      <w:r>
        <w:rPr>
          <w:rFonts w:ascii="宋体" w:hAnsi="宋体"/>
        </w:rPr>
        <w:t>采购人有权在认为适当时，或在任何第三者提出要求（书面或其他方式）时，无须事先征求中标</w:t>
      </w:r>
      <w:r>
        <w:rPr>
          <w:rFonts w:ascii="宋体" w:hAnsi="宋体"/>
          <w:bCs/>
        </w:rPr>
        <w:t>人</w:t>
      </w:r>
      <w:r>
        <w:rPr>
          <w:rFonts w:ascii="宋体" w:hAnsi="宋体"/>
        </w:rPr>
        <w:t>同意而披露关于已订立合约的资料、中标</w:t>
      </w:r>
      <w:r>
        <w:rPr>
          <w:rFonts w:ascii="宋体" w:hAnsi="宋体"/>
          <w:bCs/>
        </w:rPr>
        <w:t>人</w:t>
      </w:r>
      <w:r>
        <w:rPr>
          <w:rFonts w:ascii="宋体" w:hAnsi="宋体"/>
        </w:rPr>
        <w:t>的名称及地址、中标服务的有关信息以及合约条款等。</w:t>
      </w:r>
    </w:p>
    <w:p>
      <w:pPr>
        <w:numPr>
          <w:ilvl w:val="0"/>
          <w:numId w:val="3"/>
        </w:numPr>
        <w:ind w:left="0" w:firstLine="0" w:firstLineChars="0"/>
        <w:rPr>
          <w:rFonts w:ascii="宋体" w:hAnsi="宋体"/>
          <w:b/>
          <w:sz w:val="24"/>
        </w:rPr>
      </w:pPr>
      <w:r>
        <w:rPr>
          <w:rFonts w:hint="eastAsia" w:ascii="宋体" w:hAnsi="宋体"/>
          <w:b/>
          <w:sz w:val="24"/>
        </w:rPr>
        <w:t xml:space="preserve">   投标费用</w:t>
      </w:r>
    </w:p>
    <w:p>
      <w:pPr>
        <w:numPr>
          <w:ilvl w:val="1"/>
          <w:numId w:val="3"/>
        </w:numPr>
        <w:tabs>
          <w:tab w:val="left" w:pos="900"/>
          <w:tab w:val="clear" w:pos="360"/>
        </w:tabs>
        <w:ind w:left="0" w:firstLine="0" w:firstLineChars="0"/>
        <w:rPr>
          <w:rFonts w:ascii="宋体" w:hAnsi="宋体"/>
        </w:rPr>
      </w:pPr>
      <w:r>
        <w:rPr>
          <w:rFonts w:hint="eastAsia" w:ascii="宋体" w:hAnsi="宋体"/>
        </w:rPr>
        <w:t>投标人应承担所有与编写和提交投标文件有关的费用，不论投标的结果如何，招标代理机构和采购人在任何情况下均无义务和责任承担这些费用 。</w:t>
      </w:r>
    </w:p>
    <w:p>
      <w:pPr>
        <w:ind w:firstLine="0" w:firstLineChars="0"/>
        <w:rPr>
          <w:rFonts w:ascii="宋体" w:hAnsi="宋体"/>
          <w:b/>
          <w:sz w:val="24"/>
        </w:rPr>
      </w:pPr>
      <w:r>
        <w:rPr>
          <w:rFonts w:hint="eastAsia" w:ascii="宋体" w:hAnsi="宋体"/>
          <w:b/>
          <w:sz w:val="24"/>
        </w:rPr>
        <w:t>6.    现场查勘</w:t>
      </w:r>
    </w:p>
    <w:p>
      <w:pPr>
        <w:ind w:firstLine="0" w:firstLineChars="0"/>
        <w:rPr>
          <w:rFonts w:ascii="宋体" w:hAnsi="宋体"/>
        </w:rPr>
      </w:pPr>
      <w:r>
        <w:rPr>
          <w:rFonts w:hint="eastAsia" w:ascii="宋体" w:hAnsi="宋体"/>
        </w:rPr>
        <w:t>6.1     投标人在开标前自行前往工地对工程现场及周围环境进行勘查，以便获取由投标人自己负责的有关编制投标文件和签订合同所需的资料，查勘现场的费用由投标人自行承担。</w:t>
      </w:r>
    </w:p>
    <w:p>
      <w:pPr>
        <w:ind w:firstLine="0" w:firstLineChars="0"/>
        <w:rPr>
          <w:rFonts w:ascii="宋体" w:hAnsi="宋体"/>
        </w:rPr>
      </w:pPr>
      <w:r>
        <w:rPr>
          <w:rFonts w:hint="eastAsia" w:ascii="宋体" w:hAnsi="宋体"/>
        </w:rPr>
        <w:t>6.2     采购人向投标人提供的有关工程现场和周围环境的资料，数据，是采购人现有的能使投标人利用的资料，采购人对投标人由此而作出的推论、理解和结论概不负责</w:t>
      </w:r>
    </w:p>
    <w:p>
      <w:pPr>
        <w:ind w:firstLine="0" w:firstLineChars="0"/>
        <w:rPr>
          <w:rFonts w:ascii="宋体" w:hAnsi="宋体"/>
        </w:rPr>
      </w:pPr>
      <w:r>
        <w:rPr>
          <w:rFonts w:hint="eastAsia" w:ascii="宋体" w:hAnsi="宋体"/>
        </w:rPr>
        <w:t>6.3     投标人由于对现场条件不了解而造成成交后发生一切不良后果和风险，均由投标人自负。</w:t>
      </w:r>
    </w:p>
    <w:p>
      <w:pPr>
        <w:ind w:firstLine="0" w:firstLineChars="0"/>
        <w:rPr>
          <w:rFonts w:ascii="宋体" w:hAnsi="宋体"/>
          <w:b/>
          <w:sz w:val="24"/>
        </w:rPr>
      </w:pPr>
      <w:r>
        <w:rPr>
          <w:rFonts w:hint="eastAsia" w:ascii="宋体" w:hAnsi="宋体"/>
          <w:b/>
          <w:sz w:val="24"/>
        </w:rPr>
        <w:t>7      投标委托</w:t>
      </w:r>
    </w:p>
    <w:p>
      <w:pPr>
        <w:ind w:firstLine="0" w:firstLineChars="0"/>
        <w:rPr>
          <w:rFonts w:ascii="宋体" w:hAnsi="宋体"/>
          <w:b/>
        </w:rPr>
      </w:pPr>
      <w:r>
        <w:rPr>
          <w:rFonts w:hint="eastAsia" w:ascii="宋体" w:hAnsi="宋体"/>
        </w:rPr>
        <w:t>如投标人代表不是法定代表人，须持有《法定代表人授权委托书》。</w:t>
      </w:r>
      <w:bookmarkStart w:id="23" w:name="_Toc176666475"/>
      <w:bookmarkStart w:id="24" w:name="_Toc176658512"/>
      <w:r>
        <w:rPr>
          <w:rFonts w:hint="eastAsia" w:ascii="宋体" w:hAnsi="宋体"/>
          <w:b/>
        </w:rPr>
        <w:t>授权代表必须是投标人在职职工，授权委托书需具备以下几项条件，否则取消投标资格：</w:t>
      </w:r>
    </w:p>
    <w:p>
      <w:pPr>
        <w:ind w:firstLine="0" w:firstLineChars="0"/>
        <w:rPr>
          <w:rFonts w:ascii="宋体" w:hAnsi="宋体"/>
        </w:rPr>
      </w:pPr>
      <w:r>
        <w:rPr>
          <w:rFonts w:hint="eastAsia" w:ascii="宋体" w:hAnsi="宋体"/>
        </w:rPr>
        <w:t>a.加盖单位公章b.法定代表人签字或印章c.本人身份证原件和复印件(原件供校对)，其它证件无效。</w:t>
      </w:r>
    </w:p>
    <w:p>
      <w:pPr>
        <w:pStyle w:val="3"/>
        <w:ind w:firstLine="643"/>
      </w:pPr>
      <w:bookmarkStart w:id="25" w:name="_Toc25319"/>
      <w:bookmarkStart w:id="26" w:name="_Toc61249554"/>
      <w:bookmarkStart w:id="27" w:name="_Toc3437"/>
      <w:r>
        <w:rPr>
          <w:rFonts w:hint="eastAsia"/>
        </w:rPr>
        <w:t>（二）招标文件说明</w:t>
      </w:r>
      <w:bookmarkEnd w:id="23"/>
      <w:bookmarkEnd w:id="24"/>
      <w:bookmarkEnd w:id="25"/>
      <w:bookmarkEnd w:id="26"/>
      <w:bookmarkEnd w:id="27"/>
    </w:p>
    <w:p>
      <w:pPr>
        <w:ind w:firstLine="0" w:firstLineChars="0"/>
        <w:jc w:val="both"/>
        <w:rPr>
          <w:rFonts w:ascii="宋体" w:hAnsi="宋体"/>
          <w:b/>
          <w:sz w:val="24"/>
        </w:rPr>
      </w:pPr>
      <w:r>
        <w:rPr>
          <w:rFonts w:hint="eastAsia" w:ascii="宋体" w:hAnsi="宋体"/>
          <w:b/>
          <w:sz w:val="24"/>
        </w:rPr>
        <w:t>8.    招标文件构成</w:t>
      </w:r>
    </w:p>
    <w:p>
      <w:pPr>
        <w:numPr>
          <w:ilvl w:val="1"/>
          <w:numId w:val="4"/>
        </w:numPr>
        <w:tabs>
          <w:tab w:val="left" w:pos="900"/>
          <w:tab w:val="clear" w:pos="360"/>
        </w:tabs>
        <w:ind w:left="0" w:firstLine="0" w:firstLineChars="0"/>
        <w:jc w:val="both"/>
        <w:rPr>
          <w:rFonts w:ascii="宋体" w:hAnsi="宋体"/>
        </w:rPr>
      </w:pPr>
      <w:r>
        <w:rPr>
          <w:rFonts w:hint="eastAsia" w:ascii="宋体" w:hAnsi="宋体"/>
          <w:szCs w:val="21"/>
        </w:rPr>
        <w:t>招标文件是用以阐明所需货物、服务，以及招标、投标程序和相应的合同条款。“招标文件”由下述部分组成：</w:t>
      </w:r>
    </w:p>
    <w:p>
      <w:pPr>
        <w:ind w:firstLine="0" w:firstLineChars="0"/>
        <w:jc w:val="both"/>
        <w:rPr>
          <w:rFonts w:ascii="宋体" w:hAnsi="宋体"/>
          <w:b/>
        </w:rPr>
      </w:pPr>
      <w:r>
        <w:rPr>
          <w:rFonts w:hint="eastAsia" w:ascii="宋体" w:hAnsi="宋体"/>
          <w:b/>
        </w:rPr>
        <w:t>第一部分  投标邀请函</w:t>
      </w:r>
    </w:p>
    <w:p>
      <w:pPr>
        <w:ind w:firstLine="0" w:firstLineChars="0"/>
        <w:jc w:val="both"/>
        <w:rPr>
          <w:rFonts w:ascii="宋体" w:hAnsi="宋体"/>
          <w:b/>
        </w:rPr>
      </w:pPr>
      <w:r>
        <w:rPr>
          <w:rFonts w:hint="eastAsia" w:ascii="宋体" w:hAnsi="宋体"/>
          <w:b/>
        </w:rPr>
        <w:t>第二部分  投标人须知</w:t>
      </w:r>
    </w:p>
    <w:p>
      <w:pPr>
        <w:ind w:firstLine="0" w:firstLineChars="0"/>
        <w:jc w:val="both"/>
        <w:rPr>
          <w:rFonts w:ascii="宋体" w:hAnsi="宋体"/>
          <w:b/>
        </w:rPr>
      </w:pPr>
      <w:r>
        <w:rPr>
          <w:rFonts w:hint="eastAsia" w:ascii="宋体" w:hAnsi="宋体"/>
          <w:b/>
        </w:rPr>
        <w:t>第三部分  招标内容及技术要求</w:t>
      </w:r>
    </w:p>
    <w:p>
      <w:pPr>
        <w:ind w:firstLine="0" w:firstLineChars="0"/>
        <w:jc w:val="both"/>
        <w:rPr>
          <w:rFonts w:ascii="宋体" w:hAnsi="宋体"/>
          <w:b/>
        </w:rPr>
      </w:pPr>
      <w:r>
        <w:rPr>
          <w:rFonts w:hint="eastAsia" w:ascii="宋体" w:hAnsi="宋体"/>
          <w:b/>
        </w:rPr>
        <w:t>第四部分  合同条款</w:t>
      </w:r>
    </w:p>
    <w:p>
      <w:pPr>
        <w:ind w:firstLine="0" w:firstLineChars="0"/>
        <w:jc w:val="both"/>
        <w:rPr>
          <w:rFonts w:ascii="宋体" w:hAnsi="宋体"/>
          <w:b/>
        </w:rPr>
      </w:pPr>
      <w:r>
        <w:rPr>
          <w:rFonts w:hint="eastAsia" w:ascii="宋体" w:hAnsi="宋体"/>
          <w:b/>
        </w:rPr>
        <w:t>第五部分  投标文件格式</w:t>
      </w:r>
    </w:p>
    <w:p>
      <w:pPr>
        <w:ind w:firstLine="0" w:firstLineChars="0"/>
        <w:jc w:val="both"/>
        <w:rPr>
          <w:rFonts w:ascii="宋体" w:hAnsi="宋体"/>
          <w:b/>
        </w:rPr>
      </w:pPr>
      <w:r>
        <w:rPr>
          <w:rFonts w:hint="eastAsia" w:ascii="宋体" w:hAnsi="宋体"/>
          <w:b/>
        </w:rPr>
        <w:t>第六部分  评标办法</w:t>
      </w:r>
    </w:p>
    <w:p>
      <w:pPr>
        <w:ind w:firstLine="0" w:firstLineChars="0"/>
        <w:jc w:val="both"/>
        <w:rPr>
          <w:rFonts w:ascii="宋体" w:hAnsi="宋体"/>
          <w:b/>
        </w:rPr>
      </w:pPr>
      <w:r>
        <w:rPr>
          <w:rFonts w:hint="eastAsia" w:ascii="宋体" w:hAnsi="宋体"/>
          <w:b/>
        </w:rPr>
        <w:t>第七部分  补充通知及答疑（若有）</w:t>
      </w:r>
    </w:p>
    <w:p>
      <w:pPr>
        <w:numPr>
          <w:ilvl w:val="1"/>
          <w:numId w:val="4"/>
        </w:numPr>
        <w:tabs>
          <w:tab w:val="left" w:pos="900"/>
          <w:tab w:val="clear" w:pos="360"/>
        </w:tabs>
        <w:ind w:left="0" w:firstLine="0" w:firstLineChars="0"/>
        <w:jc w:val="both"/>
        <w:rPr>
          <w:rFonts w:ascii="宋体" w:hAnsi="宋体"/>
          <w:szCs w:val="21"/>
        </w:rPr>
      </w:pPr>
      <w:r>
        <w:rPr>
          <w:rFonts w:ascii="宋体" w:hAnsi="宋体"/>
          <w:szCs w:val="21"/>
        </w:rPr>
        <w:t>投标人应详细阅读招标文件的全部内容。如果投标人没有按照招标文件要求提交全部资料或者投标书没有对招标文件在各方面的要求都做出实质性响应，是投标</w:t>
      </w:r>
      <w:r>
        <w:rPr>
          <w:rFonts w:hint="eastAsia" w:ascii="宋体" w:hAnsi="宋体"/>
          <w:szCs w:val="21"/>
        </w:rPr>
        <w:t>人</w:t>
      </w:r>
      <w:r>
        <w:rPr>
          <w:rFonts w:ascii="宋体" w:hAnsi="宋体"/>
          <w:szCs w:val="21"/>
        </w:rPr>
        <w:t>的风险。</w:t>
      </w:r>
    </w:p>
    <w:p>
      <w:pPr>
        <w:numPr>
          <w:ilvl w:val="1"/>
          <w:numId w:val="4"/>
        </w:numPr>
        <w:tabs>
          <w:tab w:val="left" w:pos="900"/>
          <w:tab w:val="clear" w:pos="360"/>
        </w:tabs>
        <w:ind w:left="0" w:firstLine="0" w:firstLineChars="0"/>
        <w:jc w:val="both"/>
        <w:rPr>
          <w:rFonts w:ascii="宋体" w:hAnsi="宋体"/>
          <w:szCs w:val="21"/>
        </w:rPr>
      </w:pPr>
      <w:r>
        <w:rPr>
          <w:rFonts w:hint="eastAsia" w:ascii="宋体" w:hAnsi="宋体"/>
          <w:szCs w:val="21"/>
        </w:rPr>
        <w:t>本招标文件要求投标人作出实质性响应的有关技术和商务条款，将在该条款前以“▲”醒目标识。</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 xml:space="preserve"> 招标文件的澄清</w:t>
      </w:r>
    </w:p>
    <w:p>
      <w:pPr>
        <w:numPr>
          <w:ilvl w:val="1"/>
          <w:numId w:val="4"/>
        </w:numPr>
        <w:tabs>
          <w:tab w:val="left" w:pos="900"/>
          <w:tab w:val="clear" w:pos="360"/>
        </w:tabs>
        <w:ind w:left="0" w:firstLine="0" w:firstLineChars="0"/>
        <w:jc w:val="both"/>
        <w:rPr>
          <w:rFonts w:ascii="宋体" w:hAnsi="宋体"/>
        </w:rPr>
      </w:pPr>
      <w:r>
        <w:rPr>
          <w:rFonts w:hint="eastAsia" w:ascii="宋体" w:hAnsi="宋体"/>
        </w:rPr>
        <w:t>任何要求对招标文件进行澄清的投标人，均应在答疑截止期规定时间</w:t>
      </w:r>
      <w:r>
        <w:rPr>
          <w:rFonts w:ascii="宋体" w:hAnsi="宋体"/>
        </w:rPr>
        <w:t>以前按</w:t>
      </w:r>
      <w:r>
        <w:rPr>
          <w:rFonts w:hint="eastAsia" w:ascii="宋体" w:hAnsi="宋体"/>
        </w:rPr>
        <w:t>招</w:t>
      </w:r>
      <w:r>
        <w:rPr>
          <w:rFonts w:ascii="宋体" w:hAnsi="宋体"/>
        </w:rPr>
        <w:t>标公告书中的通讯地址以书面形式传真或寄送给招标代理机构，招标代理机构对</w:t>
      </w:r>
      <w:r>
        <w:rPr>
          <w:rFonts w:hint="eastAsia" w:ascii="宋体" w:hAnsi="宋体"/>
        </w:rPr>
        <w:t>答疑</w:t>
      </w:r>
      <w:r>
        <w:rPr>
          <w:rFonts w:ascii="宋体" w:hAnsi="宋体"/>
        </w:rPr>
        <w:t>截止期</w:t>
      </w:r>
      <w:r>
        <w:rPr>
          <w:rFonts w:hint="eastAsia" w:ascii="宋体" w:hAnsi="宋体"/>
        </w:rPr>
        <w:t>规定时间以前</w:t>
      </w:r>
      <w:r>
        <w:rPr>
          <w:rFonts w:ascii="宋体" w:hAnsi="宋体"/>
        </w:rPr>
        <w:t>收到的任何澄清要求将以书面形式予以答复，同时将书面答复以邮寄、传真或类似的方式送达所有投标人，答复中包括原提出的问题，但不包括问题的来源。</w:t>
      </w:r>
    </w:p>
    <w:p>
      <w:pPr>
        <w:numPr>
          <w:ilvl w:val="1"/>
          <w:numId w:val="4"/>
        </w:numPr>
        <w:tabs>
          <w:tab w:val="left" w:pos="900"/>
          <w:tab w:val="clear" w:pos="360"/>
        </w:tabs>
        <w:ind w:left="0" w:firstLine="0" w:firstLineChars="0"/>
        <w:jc w:val="both"/>
        <w:rPr>
          <w:rFonts w:ascii="宋体" w:hAnsi="宋体"/>
          <w:sz w:val="24"/>
        </w:rPr>
      </w:pPr>
      <w:r>
        <w:rPr>
          <w:rFonts w:ascii="宋体" w:hAnsi="宋体"/>
        </w:rPr>
        <w:t>招标代理机构将视情况确定是否有必要召开标前会，如果召开时会将标前会的通知（包括时间和地点）发给所有投标</w:t>
      </w:r>
      <w:r>
        <w:rPr>
          <w:rFonts w:hint="eastAsia" w:ascii="宋体" w:hAnsi="宋体"/>
        </w:rPr>
        <w:t>人</w:t>
      </w:r>
      <w:r>
        <w:rPr>
          <w:rFonts w:ascii="宋体" w:hAnsi="宋体"/>
        </w:rPr>
        <w:t>。</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招标文件的修改</w:t>
      </w:r>
    </w:p>
    <w:p>
      <w:pPr>
        <w:numPr>
          <w:ilvl w:val="1"/>
          <w:numId w:val="4"/>
        </w:numPr>
        <w:tabs>
          <w:tab w:val="left" w:pos="900"/>
          <w:tab w:val="clear" w:pos="360"/>
        </w:tabs>
        <w:ind w:left="0" w:firstLine="0" w:firstLineChars="0"/>
        <w:jc w:val="both"/>
        <w:rPr>
          <w:rFonts w:ascii="宋体" w:hAnsi="宋体"/>
        </w:rPr>
      </w:pPr>
      <w:r>
        <w:rPr>
          <w:rFonts w:ascii="宋体" w:hAnsi="宋体"/>
        </w:rPr>
        <w:t>在投标截止</w:t>
      </w:r>
      <w:r>
        <w:rPr>
          <w:rFonts w:hint="eastAsia" w:ascii="宋体" w:hAnsi="宋体"/>
        </w:rPr>
        <w:t>时间十五天前</w:t>
      </w:r>
      <w:r>
        <w:rPr>
          <w:rFonts w:ascii="宋体" w:hAnsi="宋体"/>
        </w:rPr>
        <w:t>，招标</w:t>
      </w:r>
      <w:r>
        <w:rPr>
          <w:rFonts w:hint="eastAsia" w:ascii="宋体" w:hAnsi="宋体"/>
        </w:rPr>
        <w:t>采购单位</w:t>
      </w:r>
      <w:r>
        <w:rPr>
          <w:rFonts w:ascii="宋体" w:hAnsi="宋体"/>
        </w:rPr>
        <w:t>无论是出于何种原因，均可对招标文件用补充文件的方式进行修改。</w:t>
      </w:r>
    </w:p>
    <w:p>
      <w:pPr>
        <w:numPr>
          <w:ilvl w:val="1"/>
          <w:numId w:val="4"/>
        </w:numPr>
        <w:tabs>
          <w:tab w:val="left" w:pos="900"/>
          <w:tab w:val="clear" w:pos="360"/>
        </w:tabs>
        <w:ind w:left="0" w:firstLine="0" w:firstLineChars="0"/>
        <w:jc w:val="both"/>
        <w:rPr>
          <w:rFonts w:ascii="宋体" w:hAnsi="宋体"/>
        </w:rPr>
      </w:pPr>
      <w:r>
        <w:rPr>
          <w:rFonts w:ascii="宋体" w:hAnsi="宋体"/>
        </w:rPr>
        <w:t>对招标文件的修改，将以书面、电子邮件或传真的形式通知已领取招标文件的每一投标人。投标人应立即以书面形式回复确认已收到修改文件。</w:t>
      </w:r>
    </w:p>
    <w:p>
      <w:pPr>
        <w:numPr>
          <w:ilvl w:val="1"/>
          <w:numId w:val="4"/>
        </w:numPr>
        <w:tabs>
          <w:tab w:val="left" w:pos="900"/>
          <w:tab w:val="clear" w:pos="360"/>
        </w:tabs>
        <w:ind w:left="0" w:firstLine="0" w:firstLineChars="0"/>
        <w:jc w:val="both"/>
        <w:rPr>
          <w:rFonts w:ascii="宋体" w:hAnsi="宋体"/>
        </w:rPr>
      </w:pPr>
      <w:r>
        <w:rPr>
          <w:rFonts w:ascii="宋体" w:hAnsi="宋体"/>
        </w:rPr>
        <w:t>为使投标人有足够的时间按招标文件的修改要求修正投标文件，招标代理机构可酌情推迟投标的截止日期和开标日期，并将具体变更情况通知上述每一投标</w:t>
      </w:r>
      <w:r>
        <w:rPr>
          <w:rFonts w:hint="eastAsia" w:ascii="宋体" w:hAnsi="宋体"/>
        </w:rPr>
        <w:t>人</w:t>
      </w:r>
      <w:r>
        <w:rPr>
          <w:rFonts w:ascii="宋体" w:hAnsi="宋体"/>
        </w:rPr>
        <w:t>。</w:t>
      </w:r>
    </w:p>
    <w:p>
      <w:pPr>
        <w:numPr>
          <w:ilvl w:val="1"/>
          <w:numId w:val="4"/>
        </w:numPr>
        <w:tabs>
          <w:tab w:val="left" w:pos="900"/>
          <w:tab w:val="clear" w:pos="360"/>
        </w:tabs>
        <w:ind w:left="0" w:firstLine="0" w:firstLineChars="0"/>
        <w:jc w:val="both"/>
        <w:rPr>
          <w:rFonts w:ascii="宋体" w:hAnsi="宋体"/>
        </w:rPr>
      </w:pPr>
      <w:r>
        <w:rPr>
          <w:rFonts w:ascii="宋体" w:hAnsi="宋体"/>
        </w:rPr>
        <w:t>补充文件将作为招标文件的组成部分，对所有投标人有约束力。</w:t>
      </w:r>
      <w:bookmarkStart w:id="28" w:name="_Toc176666476"/>
      <w:bookmarkStart w:id="29" w:name="_Toc176658513"/>
    </w:p>
    <w:p>
      <w:pPr>
        <w:pStyle w:val="3"/>
        <w:ind w:firstLine="0" w:firstLineChars="0"/>
      </w:pPr>
      <w:bookmarkStart w:id="30" w:name="_Toc25761"/>
      <w:bookmarkStart w:id="31" w:name="_Toc32126"/>
      <w:bookmarkStart w:id="32" w:name="_Toc61249555"/>
      <w:r>
        <w:rPr>
          <w:rFonts w:hint="eastAsia"/>
        </w:rPr>
        <w:t>（三）投标文件的编制</w:t>
      </w:r>
      <w:bookmarkEnd w:id="28"/>
      <w:bookmarkEnd w:id="29"/>
      <w:bookmarkEnd w:id="30"/>
      <w:bookmarkEnd w:id="31"/>
      <w:bookmarkEnd w:id="32"/>
    </w:p>
    <w:p>
      <w:pPr>
        <w:widowControl w:val="0"/>
        <w:numPr>
          <w:ilvl w:val="0"/>
          <w:numId w:val="4"/>
        </w:numPr>
        <w:tabs>
          <w:tab w:val="left" w:pos="720"/>
          <w:tab w:val="clear" w:pos="360"/>
        </w:tabs>
        <w:ind w:left="0" w:firstLine="0" w:firstLineChars="0"/>
        <w:jc w:val="both"/>
        <w:rPr>
          <w:rFonts w:ascii="宋体" w:hAnsi="宋体"/>
          <w:b/>
          <w:bCs/>
          <w:sz w:val="24"/>
          <w:szCs w:val="24"/>
        </w:rPr>
      </w:pPr>
      <w:r>
        <w:rPr>
          <w:rFonts w:ascii="宋体" w:hAnsi="宋体"/>
          <w:b/>
          <w:bCs/>
          <w:sz w:val="24"/>
          <w:szCs w:val="24"/>
        </w:rPr>
        <w:t>投标文件的语言和计量单位</w:t>
      </w:r>
    </w:p>
    <w:p>
      <w:pPr>
        <w:widowControl w:val="0"/>
        <w:numPr>
          <w:ilvl w:val="1"/>
          <w:numId w:val="4"/>
        </w:numPr>
        <w:tabs>
          <w:tab w:val="left" w:pos="900"/>
          <w:tab w:val="clear" w:pos="360"/>
        </w:tabs>
        <w:ind w:left="0" w:firstLine="0" w:firstLineChars="0"/>
        <w:jc w:val="both"/>
        <w:rPr>
          <w:rFonts w:ascii="宋体" w:hAnsi="宋体"/>
          <w:szCs w:val="21"/>
        </w:rPr>
      </w:pPr>
      <w:r>
        <w:rPr>
          <w:rFonts w:ascii="宋体" w:hAnsi="宋体"/>
        </w:rPr>
        <w:t>投标人提交的投标书以及投标人与招标采购单位就有关投标的所有来往函电均应使用中文。</w:t>
      </w:r>
    </w:p>
    <w:p>
      <w:pPr>
        <w:widowControl w:val="0"/>
        <w:numPr>
          <w:ilvl w:val="1"/>
          <w:numId w:val="4"/>
        </w:numPr>
        <w:tabs>
          <w:tab w:val="left" w:pos="900"/>
          <w:tab w:val="clear" w:pos="360"/>
        </w:tabs>
        <w:ind w:left="0" w:firstLine="0" w:firstLineChars="0"/>
        <w:jc w:val="both"/>
        <w:rPr>
          <w:rFonts w:ascii="宋体" w:hAnsi="宋体"/>
        </w:rPr>
      </w:pPr>
      <w:r>
        <w:rPr>
          <w:rFonts w:ascii="宋体" w:hAnsi="宋体"/>
        </w:rPr>
        <w:t>投标文件应字迹清楚、内容齐全、不得涂改。如有修改，修改处须有法定代表人或其</w:t>
      </w:r>
      <w:r>
        <w:rPr>
          <w:rFonts w:hint="eastAsia" w:ascii="宋体" w:hAnsi="宋体"/>
        </w:rPr>
        <w:t>同一</w:t>
      </w:r>
      <w:r>
        <w:rPr>
          <w:rFonts w:ascii="宋体" w:hAnsi="宋体"/>
        </w:rPr>
        <w:t>授权代理人</w:t>
      </w:r>
      <w:r>
        <w:rPr>
          <w:rFonts w:hint="eastAsia" w:ascii="宋体" w:hAnsi="宋体"/>
        </w:rPr>
        <w:t>签</w:t>
      </w:r>
      <w:r>
        <w:rPr>
          <w:rFonts w:ascii="宋体" w:hAnsi="宋体"/>
        </w:rPr>
        <w:t>章。</w:t>
      </w:r>
    </w:p>
    <w:p>
      <w:pPr>
        <w:widowControl w:val="0"/>
        <w:numPr>
          <w:ilvl w:val="1"/>
          <w:numId w:val="4"/>
        </w:numPr>
        <w:tabs>
          <w:tab w:val="left" w:pos="900"/>
          <w:tab w:val="clear" w:pos="360"/>
        </w:tabs>
        <w:ind w:left="0" w:firstLine="0" w:firstLineChars="0"/>
        <w:jc w:val="both"/>
        <w:rPr>
          <w:rFonts w:ascii="宋体" w:hAnsi="宋体"/>
        </w:rPr>
      </w:pPr>
      <w:r>
        <w:rPr>
          <w:rFonts w:ascii="宋体" w:hAnsi="宋体"/>
        </w:rPr>
        <w:t>投标人所提供的技术文件和资料，包括图纸中的说明，应使用中文简化字。所使用的计量单位，应使用国家法定计量单位。</w:t>
      </w:r>
    </w:p>
    <w:p>
      <w:pPr>
        <w:numPr>
          <w:ilvl w:val="1"/>
          <w:numId w:val="4"/>
        </w:numPr>
        <w:tabs>
          <w:tab w:val="left" w:pos="900"/>
          <w:tab w:val="clear" w:pos="360"/>
        </w:tabs>
        <w:ind w:left="0" w:firstLine="0" w:firstLineChars="0"/>
        <w:jc w:val="both"/>
        <w:rPr>
          <w:rFonts w:ascii="宋体" w:hAnsi="宋体"/>
        </w:rPr>
      </w:pPr>
      <w:r>
        <w:rPr>
          <w:rFonts w:hint="eastAsia" w:ascii="宋体" w:hAnsi="宋体"/>
        </w:rPr>
        <w:t>投标人必须按招标文件的要求提供相关技术参数、资料，包括采用的计量单位，并保证投标文件的正确性和真实性，否则评标委员会将作出不利于其投标的评定。技术标和商务标不允许偏离。</w:t>
      </w:r>
      <w:r>
        <w:rPr>
          <w:rFonts w:hint="eastAsia" w:ascii="宋体" w:hAnsi="宋体"/>
          <w:kern w:val="2"/>
          <w:szCs w:val="24"/>
        </w:rPr>
        <w:t>不按招标文件的要求提供的投标文件可能导致被拒绝。</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投标文件的组成</w:t>
      </w:r>
    </w:p>
    <w:p>
      <w:pPr>
        <w:numPr>
          <w:ilvl w:val="1"/>
          <w:numId w:val="4"/>
        </w:numPr>
        <w:tabs>
          <w:tab w:val="left" w:pos="900"/>
          <w:tab w:val="clear" w:pos="360"/>
        </w:tabs>
        <w:ind w:left="0" w:firstLine="0" w:firstLineChars="0"/>
        <w:jc w:val="both"/>
        <w:rPr>
          <w:rFonts w:ascii="宋体" w:hAnsi="宋体"/>
          <w:sz w:val="24"/>
        </w:rPr>
      </w:pPr>
      <w:r>
        <w:rPr>
          <w:rFonts w:hint="eastAsia" w:ascii="宋体" w:hAnsi="宋体"/>
        </w:rPr>
        <w:t>投标人编写的投标文件</w:t>
      </w:r>
      <w:r>
        <w:rPr>
          <w:rFonts w:hint="eastAsia" w:ascii="宋体" w:hAnsi="宋体"/>
          <w:b/>
        </w:rPr>
        <w:t>按第五部分投标文件格式编写</w:t>
      </w:r>
      <w:r>
        <w:rPr>
          <w:rFonts w:hint="eastAsia" w:ascii="宋体" w:hAnsi="宋体"/>
          <w:sz w:val="24"/>
        </w:rPr>
        <w:t>。</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投标文件格式填写说明</w:t>
      </w:r>
    </w:p>
    <w:p>
      <w:pPr>
        <w:widowControl w:val="0"/>
        <w:numPr>
          <w:ilvl w:val="1"/>
          <w:numId w:val="4"/>
        </w:numPr>
        <w:tabs>
          <w:tab w:val="left" w:pos="720"/>
          <w:tab w:val="clear" w:pos="360"/>
        </w:tabs>
        <w:ind w:left="0" w:firstLine="0" w:firstLineChars="0"/>
        <w:jc w:val="both"/>
        <w:rPr>
          <w:rFonts w:ascii="宋体" w:hAnsi="宋体" w:cs="Arial"/>
          <w:u w:val="wave"/>
        </w:rPr>
      </w:pPr>
      <w:r>
        <w:rPr>
          <w:rFonts w:ascii="宋体" w:hAnsi="宋体"/>
        </w:rPr>
        <w:t>投标人应在认真阅读招标文件所有内容的基础上，按照招标文件的要求编制完整的投标文件。投标</w:t>
      </w:r>
      <w:r>
        <w:rPr>
          <w:rFonts w:hint="eastAsia" w:ascii="宋体" w:hAnsi="宋体"/>
        </w:rPr>
        <w:t>文件</w:t>
      </w:r>
      <w:r>
        <w:rPr>
          <w:rFonts w:ascii="宋体" w:hAnsi="宋体"/>
        </w:rPr>
        <w:t>应按照招标文件中规定的统一格式填写，严格按照规定的顺序装订成册并编制目录，混乱的编排导致投标文件被误读或采购人查找不到有效文件是投标人的风险。招标文件对投标文件格式有要求的应按格式逐项填写内容，不准有空项；无相应内容可填的项应填写“无”、“未测试”、“没有相应指标”等明确的回答文字。</w:t>
      </w:r>
      <w:r>
        <w:rPr>
          <w:rFonts w:ascii="宋体" w:hAnsi="宋体" w:cs="Arial"/>
        </w:rPr>
        <w:t>投标文件中留有空项的投标书，将被视为不完整响应的投标文件，其投标有可能被拒绝</w:t>
      </w:r>
      <w:r>
        <w:rPr>
          <w:rFonts w:hint="eastAsia" w:ascii="宋体" w:hAnsi="宋体" w:cs="Arial"/>
        </w:rPr>
        <w:t>。</w:t>
      </w:r>
    </w:p>
    <w:p>
      <w:pPr>
        <w:widowControl w:val="0"/>
        <w:numPr>
          <w:ilvl w:val="1"/>
          <w:numId w:val="4"/>
        </w:numPr>
        <w:tabs>
          <w:tab w:val="left" w:pos="720"/>
          <w:tab w:val="clear" w:pos="360"/>
        </w:tabs>
        <w:ind w:left="0" w:firstLine="0" w:firstLineChars="0"/>
        <w:jc w:val="both"/>
        <w:rPr>
          <w:rFonts w:ascii="宋体" w:hAnsi="宋体" w:cs="Arial"/>
        </w:rPr>
      </w:pPr>
      <w:r>
        <w:rPr>
          <w:rFonts w:hint="eastAsia" w:ascii="宋体" w:hAnsi="宋体" w:cs="Arial"/>
        </w:rPr>
        <w:t xml:space="preserve">投标文件装订要求如下： </w:t>
      </w:r>
    </w:p>
    <w:p>
      <w:pPr>
        <w:ind w:firstLine="0" w:firstLineChars="0"/>
        <w:rPr>
          <w:rFonts w:ascii="宋体" w:hAnsi="宋体" w:cs="Arial"/>
        </w:rPr>
      </w:pPr>
      <w:r>
        <w:rPr>
          <w:rFonts w:hint="eastAsia" w:ascii="宋体" w:hAnsi="宋体" w:cs="Arial"/>
        </w:rPr>
        <w:t>（1） 对本招标文件所要求信息的叙述尽量清晰简洁；</w:t>
      </w:r>
    </w:p>
    <w:p>
      <w:pPr>
        <w:ind w:firstLine="0" w:firstLineChars="0"/>
        <w:rPr>
          <w:rFonts w:ascii="宋体" w:hAnsi="宋体" w:cs="Arial"/>
        </w:rPr>
      </w:pPr>
      <w:r>
        <w:rPr>
          <w:rFonts w:hint="eastAsia" w:ascii="宋体" w:hAnsi="宋体" w:cs="Arial"/>
        </w:rPr>
        <w:t>（2） 投标人所提交的资格文件的完整与否，将直接影响投标人的评分。</w:t>
      </w:r>
    </w:p>
    <w:p>
      <w:pPr>
        <w:widowControl w:val="0"/>
        <w:numPr>
          <w:ilvl w:val="1"/>
          <w:numId w:val="4"/>
        </w:numPr>
        <w:tabs>
          <w:tab w:val="left" w:pos="720"/>
          <w:tab w:val="clear" w:pos="360"/>
        </w:tabs>
        <w:ind w:left="0" w:firstLine="0" w:firstLineChars="0"/>
        <w:jc w:val="both"/>
        <w:rPr>
          <w:rFonts w:ascii="宋体" w:hAnsi="宋体" w:cs="Arial"/>
        </w:rPr>
      </w:pPr>
      <w:r>
        <w:rPr>
          <w:rFonts w:hint="eastAsia" w:ascii="宋体" w:hAnsi="宋体" w:cs="Arial"/>
        </w:rPr>
        <w:t>投标人的投标书在合同执行期间是固定不变的，不得以任何理由予以变更。投标不是固定的投标文件将予以拒绝。</w:t>
      </w:r>
    </w:p>
    <w:p>
      <w:pPr>
        <w:widowControl w:val="0"/>
        <w:numPr>
          <w:ilvl w:val="1"/>
          <w:numId w:val="4"/>
        </w:numPr>
        <w:tabs>
          <w:tab w:val="left" w:pos="720"/>
          <w:tab w:val="clear" w:pos="360"/>
        </w:tabs>
        <w:ind w:left="0" w:firstLine="0" w:firstLineChars="0"/>
        <w:jc w:val="both"/>
        <w:rPr>
          <w:rFonts w:ascii="宋体" w:hAnsi="宋体" w:cs="Arial"/>
        </w:rPr>
      </w:pPr>
      <w:r>
        <w:rPr>
          <w:rFonts w:ascii="宋体" w:hAnsi="宋体" w:cs="Arial"/>
        </w:rPr>
        <w:t>投标人必须保证投标文件所提供的全部</w:t>
      </w:r>
      <w:r>
        <w:rPr>
          <w:rFonts w:hint="eastAsia" w:ascii="宋体" w:hAnsi="宋体" w:cs="Arial"/>
        </w:rPr>
        <w:t>文件</w:t>
      </w:r>
      <w:r>
        <w:rPr>
          <w:rFonts w:ascii="宋体" w:hAnsi="宋体" w:cs="Arial"/>
        </w:rPr>
        <w:t>资料真实可靠</w:t>
      </w:r>
      <w:r>
        <w:rPr>
          <w:rFonts w:hint="eastAsia" w:ascii="宋体" w:hAnsi="宋体" w:cs="Arial"/>
        </w:rPr>
        <w:t>，有据可查</w:t>
      </w:r>
      <w:r>
        <w:rPr>
          <w:rFonts w:ascii="宋体" w:hAnsi="宋体" w:cs="Arial"/>
        </w:rPr>
        <w:t>，并接受招标采购单位对其中任何资料进一步审查的要求。</w:t>
      </w:r>
      <w:r>
        <w:rPr>
          <w:rFonts w:hint="eastAsia" w:ascii="宋体" w:hAnsi="宋体" w:cs="Arial"/>
        </w:rPr>
        <w:t>提供虚假证明（或伪造）的投标人将被取消政府采购供应商资格，按有关法律法规严肃处理；并在政府采购宣传媒体上予以公告。</w:t>
      </w:r>
    </w:p>
    <w:p>
      <w:pPr>
        <w:numPr>
          <w:ilvl w:val="1"/>
          <w:numId w:val="4"/>
        </w:numPr>
        <w:tabs>
          <w:tab w:val="left" w:pos="720"/>
          <w:tab w:val="clear" w:pos="360"/>
        </w:tabs>
        <w:ind w:left="0" w:firstLine="0" w:firstLineChars="0"/>
        <w:jc w:val="both"/>
        <w:rPr>
          <w:rFonts w:ascii="宋体" w:hAnsi="宋体"/>
          <w:szCs w:val="21"/>
        </w:rPr>
      </w:pPr>
      <w:r>
        <w:rPr>
          <w:rFonts w:ascii="宋体" w:hAnsi="宋体"/>
        </w:rPr>
        <w:t>投标文件须对招标文件中的内容做出实质性和完整的响应</w:t>
      </w:r>
      <w:r>
        <w:rPr>
          <w:rFonts w:hint="eastAsia" w:ascii="宋体" w:hAnsi="宋体"/>
        </w:rPr>
        <w:t>（文中带“▲”标识）</w:t>
      </w:r>
      <w:r>
        <w:rPr>
          <w:rFonts w:ascii="宋体" w:hAnsi="宋体"/>
        </w:rPr>
        <w:t>，否则其投标将被拒绝。如果投标书填报的内容资料不详，或没有提供招标文件中所要求的全部资料及数据，</w:t>
      </w:r>
      <w:r>
        <w:rPr>
          <w:rFonts w:hint="eastAsia" w:ascii="宋体" w:hAnsi="宋体"/>
        </w:rPr>
        <w:t>将可能会导致评标委员会作出对其不利的判断和分析。</w:t>
      </w:r>
    </w:p>
    <w:p>
      <w:pPr>
        <w:numPr>
          <w:ilvl w:val="0"/>
          <w:numId w:val="4"/>
        </w:numPr>
        <w:tabs>
          <w:tab w:val="left" w:pos="720"/>
          <w:tab w:val="left" w:pos="1145"/>
          <w:tab w:val="clear" w:pos="360"/>
        </w:tabs>
        <w:ind w:left="0" w:firstLine="0" w:firstLineChars="0"/>
        <w:jc w:val="both"/>
        <w:rPr>
          <w:rFonts w:ascii="宋体" w:hAnsi="宋体"/>
          <w:sz w:val="24"/>
        </w:rPr>
      </w:pPr>
      <w:r>
        <w:rPr>
          <w:rFonts w:hint="eastAsia" w:ascii="宋体" w:hAnsi="宋体"/>
          <w:b/>
          <w:sz w:val="24"/>
        </w:rPr>
        <w:t>投标报价</w:t>
      </w:r>
    </w:p>
    <w:p>
      <w:pPr>
        <w:tabs>
          <w:tab w:val="left" w:pos="720"/>
        </w:tabs>
        <w:ind w:firstLine="0" w:firstLineChars="0"/>
        <w:jc w:val="both"/>
        <w:rPr>
          <w:rFonts w:ascii="宋体" w:hAnsi="宋体"/>
        </w:rPr>
      </w:pPr>
      <w:r>
        <w:rPr>
          <w:rFonts w:hint="eastAsia" w:ascii="宋体" w:hAnsi="宋体"/>
        </w:rPr>
        <w:t>14.1   投标人提供的服务价格应该用人民币投标。</w:t>
      </w:r>
      <w:r>
        <w:rPr>
          <w:rFonts w:ascii="宋体" w:hAnsi="宋体"/>
        </w:rPr>
        <w:t>投标报价应包括购买</w:t>
      </w:r>
      <w:r>
        <w:rPr>
          <w:rFonts w:hint="eastAsia" w:ascii="宋体" w:hAnsi="宋体"/>
        </w:rPr>
        <w:t>货物和服务</w:t>
      </w:r>
      <w:r>
        <w:rPr>
          <w:rFonts w:ascii="宋体" w:hAnsi="宋体"/>
        </w:rPr>
        <w:t>所需缴纳的所有税费</w:t>
      </w:r>
      <w:r>
        <w:rPr>
          <w:rFonts w:hint="eastAsia" w:ascii="宋体" w:hAnsi="宋体"/>
        </w:rPr>
        <w:t>和</w:t>
      </w:r>
      <w:r>
        <w:rPr>
          <w:rFonts w:ascii="宋体" w:hAnsi="宋体"/>
        </w:rPr>
        <w:t>一切费用</w:t>
      </w:r>
      <w:r>
        <w:rPr>
          <w:rFonts w:hint="eastAsia" w:ascii="宋体" w:hAnsi="宋体"/>
        </w:rPr>
        <w:t>，费用包括送达使用单位指定地点的一切费用。</w:t>
      </w:r>
    </w:p>
    <w:p>
      <w:pPr>
        <w:tabs>
          <w:tab w:val="left" w:pos="720"/>
        </w:tabs>
        <w:ind w:firstLine="0" w:firstLineChars="0"/>
        <w:jc w:val="both"/>
        <w:rPr>
          <w:rFonts w:ascii="宋体" w:hAnsi="宋体"/>
        </w:rPr>
      </w:pPr>
      <w:r>
        <w:rPr>
          <w:rFonts w:hint="eastAsia" w:ascii="宋体" w:hAnsi="宋体"/>
        </w:rPr>
        <w:t>14.2   本次招标，只允许有一个报价，并只有一次投标报价，投标人应在各自技术和商务占优势的基础上并充分考虑本次招标的重要性，提供对招标方最优惠的投标报价。</w:t>
      </w:r>
    </w:p>
    <w:p>
      <w:pPr>
        <w:tabs>
          <w:tab w:val="left" w:pos="720"/>
        </w:tabs>
        <w:ind w:firstLine="0" w:firstLineChars="0"/>
        <w:jc w:val="both"/>
        <w:rPr>
          <w:rFonts w:ascii="宋体" w:hAnsi="宋体"/>
        </w:rPr>
      </w:pPr>
      <w:r>
        <w:rPr>
          <w:rFonts w:hint="eastAsia" w:ascii="宋体" w:hAnsi="宋体"/>
        </w:rPr>
        <w:t xml:space="preserve">14.3   </w:t>
      </w:r>
      <w:r>
        <w:rPr>
          <w:rFonts w:ascii="宋体" w:hAnsi="宋体"/>
        </w:rPr>
        <w:t>最低报价不能作为中标的保证。</w:t>
      </w:r>
    </w:p>
    <w:p>
      <w:pPr>
        <w:tabs>
          <w:tab w:val="left" w:pos="1470"/>
        </w:tabs>
        <w:ind w:firstLine="0" w:firstLineChars="0"/>
        <w:jc w:val="both"/>
        <w:rPr>
          <w:rFonts w:ascii="宋体" w:hAnsi="宋体"/>
          <w:b/>
          <w:bCs/>
        </w:rPr>
      </w:pPr>
      <w:r>
        <w:rPr>
          <w:rFonts w:hint="eastAsia" w:ascii="宋体" w:hAnsi="宋体"/>
        </w:rPr>
        <w:t xml:space="preserve">14.4   </w:t>
      </w:r>
      <w:r>
        <w:rPr>
          <w:rFonts w:ascii="宋体" w:hAnsi="宋体"/>
        </w:rPr>
        <w:t>投标人若有方案和报价未被唱标</w:t>
      </w:r>
      <w:r>
        <w:rPr>
          <w:rFonts w:hint="eastAsia" w:ascii="宋体" w:hAnsi="宋体"/>
        </w:rPr>
        <w:t>，</w:t>
      </w:r>
      <w:r>
        <w:rPr>
          <w:rFonts w:ascii="宋体" w:hAnsi="宋体"/>
        </w:rPr>
        <w:t>应在开标时及时声明或</w:t>
      </w:r>
      <w:r>
        <w:rPr>
          <w:rFonts w:hint="eastAsia" w:ascii="宋体" w:hAnsi="宋体"/>
        </w:rPr>
        <w:t>提醒</w:t>
      </w:r>
      <w:r>
        <w:rPr>
          <w:rFonts w:ascii="宋体" w:hAnsi="宋体"/>
        </w:rPr>
        <w:t>招标代理机构注意，否则是投标人自己的风险，招标代理机构对此不承担任何责任。</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投标有效期</w:t>
      </w:r>
    </w:p>
    <w:p>
      <w:pPr>
        <w:numPr>
          <w:ilvl w:val="1"/>
          <w:numId w:val="4"/>
        </w:numPr>
        <w:tabs>
          <w:tab w:val="left" w:pos="720"/>
          <w:tab w:val="clear" w:pos="360"/>
        </w:tabs>
        <w:ind w:left="0" w:firstLine="0" w:firstLineChars="0"/>
        <w:jc w:val="both"/>
        <w:rPr>
          <w:rFonts w:ascii="宋体" w:hAnsi="宋体"/>
        </w:rPr>
      </w:pPr>
      <w:r>
        <w:rPr>
          <w:rFonts w:hint="eastAsia" w:ascii="宋体" w:hAnsi="宋体"/>
          <w:szCs w:val="21"/>
        </w:rPr>
        <w:t>提交投标文件截止日起</w:t>
      </w:r>
      <w:r>
        <w:rPr>
          <w:rFonts w:hint="eastAsia" w:ascii="宋体" w:hAnsi="宋体"/>
          <w:szCs w:val="21"/>
          <w:u w:val="single"/>
        </w:rPr>
        <w:t>90</w:t>
      </w:r>
      <w:r>
        <w:rPr>
          <w:rFonts w:hint="eastAsia" w:ascii="宋体" w:hAnsi="宋体"/>
          <w:szCs w:val="21"/>
        </w:rPr>
        <w:t>天内</w:t>
      </w:r>
      <w:r>
        <w:rPr>
          <w:rFonts w:hint="eastAsia" w:ascii="宋体" w:hAnsi="宋体"/>
        </w:rPr>
        <w:t>，投标书应保持有效。投标有效期比规定期限短的将被视为非响应投标而予以拒绝。</w:t>
      </w:r>
    </w:p>
    <w:p>
      <w:pPr>
        <w:numPr>
          <w:ilvl w:val="1"/>
          <w:numId w:val="4"/>
        </w:numPr>
        <w:tabs>
          <w:tab w:val="left" w:pos="720"/>
          <w:tab w:val="clear" w:pos="360"/>
        </w:tabs>
        <w:ind w:left="0" w:firstLine="0" w:firstLineChars="0"/>
        <w:jc w:val="both"/>
        <w:rPr>
          <w:rFonts w:ascii="宋体" w:hAnsi="宋体"/>
        </w:rPr>
      </w:pPr>
      <w:r>
        <w:rPr>
          <w:rFonts w:hint="eastAsia" w:ascii="宋体" w:hAnsi="宋体"/>
        </w:rPr>
        <w:t>特殊情况下，招标代理机构可于投标有效期满之前要求投标人同意延长有效期，要求与答复均应为书面形式。投标人可拒绝前述要求而其投标保证金不被没收。对于同意该要求的投标人，既不要求也不允许其修改投标文件，但将要求其相应延长投标保证金的有效期，有关退还和没收投标保证金的规定在投标有效期的延长期内继续有效。</w:t>
      </w:r>
    </w:p>
    <w:p>
      <w:pPr>
        <w:numPr>
          <w:ilvl w:val="0"/>
          <w:numId w:val="4"/>
        </w:numPr>
        <w:tabs>
          <w:tab w:val="left" w:pos="720"/>
          <w:tab w:val="clear" w:pos="360"/>
        </w:tabs>
        <w:ind w:left="0" w:firstLine="0" w:firstLineChars="0"/>
        <w:jc w:val="both"/>
        <w:rPr>
          <w:rFonts w:ascii="宋体" w:hAnsi="宋体"/>
        </w:rPr>
      </w:pPr>
      <w:r>
        <w:rPr>
          <w:rFonts w:hint="eastAsia" w:ascii="宋体" w:hAnsi="宋体"/>
          <w:b/>
          <w:sz w:val="24"/>
        </w:rPr>
        <w:t>投标文件的式样和签署</w:t>
      </w:r>
    </w:p>
    <w:p>
      <w:pPr>
        <w:numPr>
          <w:ilvl w:val="1"/>
          <w:numId w:val="4"/>
        </w:numPr>
        <w:tabs>
          <w:tab w:val="left" w:pos="720"/>
          <w:tab w:val="clear" w:pos="360"/>
        </w:tabs>
        <w:ind w:left="0" w:firstLine="0" w:firstLineChars="0"/>
        <w:jc w:val="both"/>
        <w:rPr>
          <w:rFonts w:ascii="宋体" w:hAnsi="宋体"/>
        </w:rPr>
      </w:pPr>
      <w:r>
        <w:rPr>
          <w:rFonts w:hint="eastAsia" w:ascii="宋体" w:hAnsi="宋体"/>
          <w:szCs w:val="21"/>
        </w:rPr>
        <w:t>投标人应准备一份正本和四份副本</w:t>
      </w:r>
      <w:r>
        <w:rPr>
          <w:rFonts w:hint="eastAsia" w:ascii="宋体" w:hAnsi="宋体"/>
        </w:rPr>
        <w:t>(统一规格用A4纸)</w:t>
      </w:r>
      <w:r>
        <w:rPr>
          <w:rFonts w:hint="eastAsia" w:ascii="宋体" w:hAnsi="宋体"/>
          <w:szCs w:val="21"/>
        </w:rPr>
        <w:t>，并在每一份“投标文件”上要明确注明“正本”或“副本”字样。一旦正本和副本有差异，以正本为准。</w:t>
      </w:r>
    </w:p>
    <w:p>
      <w:pPr>
        <w:numPr>
          <w:ilvl w:val="1"/>
          <w:numId w:val="4"/>
        </w:numPr>
        <w:tabs>
          <w:tab w:val="left" w:pos="720"/>
          <w:tab w:val="clear" w:pos="360"/>
        </w:tabs>
        <w:ind w:left="0" w:firstLine="0" w:firstLineChars="0"/>
        <w:jc w:val="both"/>
        <w:rPr>
          <w:rFonts w:ascii="宋体" w:hAnsi="宋体"/>
        </w:rPr>
      </w:pPr>
      <w:r>
        <w:rPr>
          <w:rFonts w:hint="eastAsia" w:ascii="宋体" w:hAnsi="宋体"/>
          <w:szCs w:val="21"/>
        </w:rPr>
        <w:t>投标文件正本的每份表格和文件</w:t>
      </w:r>
      <w:r>
        <w:rPr>
          <w:rFonts w:hint="eastAsia" w:ascii="宋体" w:hAnsi="宋体"/>
        </w:rPr>
        <w:t>均须用不褪色墨水书写或打印</w:t>
      </w:r>
      <w:r>
        <w:rPr>
          <w:rFonts w:hint="eastAsia" w:ascii="宋体" w:hAnsi="宋体"/>
          <w:szCs w:val="21"/>
        </w:rPr>
        <w:t>，</w:t>
      </w:r>
      <w:r>
        <w:rPr>
          <w:rFonts w:hint="eastAsia" w:ascii="宋体" w:hAnsi="宋体"/>
        </w:rPr>
        <w:t>副本可以用正本复印而成,按投标文件格式要求顺序合成本装订。并在“投标文件格式”规定处由投标人的法定代表人或其授权代表签字并加盖公章。</w:t>
      </w:r>
    </w:p>
    <w:p>
      <w:pPr>
        <w:numPr>
          <w:ilvl w:val="1"/>
          <w:numId w:val="4"/>
        </w:numPr>
        <w:tabs>
          <w:tab w:val="left" w:pos="720"/>
          <w:tab w:val="clear" w:pos="360"/>
        </w:tabs>
        <w:ind w:left="0" w:firstLine="0" w:firstLineChars="0"/>
        <w:jc w:val="both"/>
        <w:rPr>
          <w:rFonts w:ascii="宋体" w:hAnsi="宋体"/>
          <w:b/>
          <w:bCs/>
          <w:szCs w:val="21"/>
        </w:rPr>
      </w:pPr>
      <w:r>
        <w:rPr>
          <w:rFonts w:hint="eastAsia" w:ascii="宋体" w:hAnsi="宋体"/>
          <w:b/>
          <w:bCs/>
          <w:szCs w:val="21"/>
        </w:rPr>
        <w:t>投标文件的正本及所有副本的封面均须由投标人加盖单位公章和法人代表印章（或签字）。</w:t>
      </w:r>
    </w:p>
    <w:p>
      <w:pPr>
        <w:numPr>
          <w:ilvl w:val="1"/>
          <w:numId w:val="4"/>
        </w:numPr>
        <w:tabs>
          <w:tab w:val="left" w:pos="720"/>
          <w:tab w:val="clear" w:pos="360"/>
        </w:tabs>
        <w:ind w:left="0" w:firstLine="0" w:firstLineChars="0"/>
        <w:jc w:val="both"/>
        <w:rPr>
          <w:rFonts w:ascii="宋体" w:hAnsi="宋体"/>
        </w:rPr>
      </w:pPr>
      <w:r>
        <w:rPr>
          <w:rFonts w:hint="eastAsia" w:ascii="宋体" w:hAnsi="宋体"/>
        </w:rPr>
        <w:t>▲传真的投标文件将被拒绝。</w:t>
      </w:r>
    </w:p>
    <w:p>
      <w:pPr>
        <w:numPr>
          <w:ilvl w:val="1"/>
          <w:numId w:val="4"/>
        </w:numPr>
        <w:tabs>
          <w:tab w:val="left" w:pos="720"/>
          <w:tab w:val="clear" w:pos="360"/>
        </w:tabs>
        <w:ind w:left="0" w:firstLine="0" w:firstLineChars="0"/>
        <w:jc w:val="both"/>
        <w:rPr>
          <w:rFonts w:ascii="宋体" w:hAnsi="宋体"/>
        </w:rPr>
      </w:pPr>
      <w:r>
        <w:rPr>
          <w:rFonts w:ascii="宋体" w:hAnsi="宋体"/>
        </w:rPr>
        <w:t>投标文件不得涂改和增删，如有修改错漏处，必须由同一签署人签字或盖章</w:t>
      </w:r>
      <w:r>
        <w:rPr>
          <w:rFonts w:hint="eastAsia" w:ascii="宋体" w:hAnsi="宋体"/>
        </w:rPr>
        <w:t>。</w:t>
      </w:r>
    </w:p>
    <w:p>
      <w:pPr>
        <w:numPr>
          <w:ilvl w:val="1"/>
          <w:numId w:val="4"/>
        </w:numPr>
        <w:tabs>
          <w:tab w:val="left" w:pos="720"/>
          <w:tab w:val="clear" w:pos="360"/>
        </w:tabs>
        <w:ind w:left="0" w:firstLine="0" w:firstLineChars="0"/>
        <w:jc w:val="both"/>
        <w:rPr>
          <w:rFonts w:ascii="宋体" w:hAnsi="宋体"/>
        </w:rPr>
      </w:pPr>
      <w:r>
        <w:rPr>
          <w:rFonts w:ascii="宋体" w:hAnsi="宋体"/>
        </w:rPr>
        <w:t>投标文件因字迹潦草或表达不清所引起的后果由投标人负责</w:t>
      </w:r>
      <w:r>
        <w:rPr>
          <w:rFonts w:hint="eastAsia" w:ascii="宋体" w:hAnsi="宋体"/>
        </w:rPr>
        <w:t>。</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知识产权</w:t>
      </w:r>
    </w:p>
    <w:p>
      <w:pPr>
        <w:ind w:firstLine="0" w:firstLineChars="0"/>
        <w:jc w:val="both"/>
        <w:rPr>
          <w:rFonts w:ascii="宋体" w:hAnsi="宋体"/>
          <w:b/>
          <w:sz w:val="24"/>
        </w:rPr>
      </w:pPr>
      <w:r>
        <w:rPr>
          <w:rFonts w:hint="eastAsia" w:ascii="宋体" w:hAnsi="宋体"/>
        </w:rPr>
        <w:t>17.1   投标人应保证，采购人在中华人民共和国使用货物和服务的任何一部分时，采购人免受第三方提出侵犯其专利权、商标权或其它知识产权的起诉。</w:t>
      </w:r>
    </w:p>
    <w:p>
      <w:pPr>
        <w:ind w:firstLine="0" w:firstLineChars="0"/>
        <w:jc w:val="both"/>
        <w:rPr>
          <w:rFonts w:ascii="宋体" w:hAnsi="宋体"/>
          <w:b/>
          <w:sz w:val="24"/>
        </w:rPr>
      </w:pPr>
      <w:r>
        <w:rPr>
          <w:rFonts w:hint="eastAsia" w:ascii="宋体" w:hAnsi="宋体"/>
        </w:rPr>
        <w:t>17.2   投标报价应包括所有应支付的对专利权和</w:t>
      </w:r>
      <w:r>
        <w:rPr>
          <w:rFonts w:hint="eastAsia" w:ascii="宋体" w:hAnsi="宋体"/>
          <w:spacing w:val="-10"/>
        </w:rPr>
        <w:t>版权、设计或其他因知识产权而需要向其他方支付的版税。</w:t>
      </w:r>
    </w:p>
    <w:p>
      <w:pPr>
        <w:numPr>
          <w:ilvl w:val="0"/>
          <w:numId w:val="4"/>
        </w:numPr>
        <w:tabs>
          <w:tab w:val="left" w:pos="720"/>
          <w:tab w:val="clear" w:pos="360"/>
        </w:tabs>
        <w:ind w:left="0" w:firstLine="0" w:firstLineChars="0"/>
        <w:jc w:val="both"/>
        <w:rPr>
          <w:rFonts w:ascii="宋体" w:hAnsi="宋体"/>
          <w:b/>
          <w:bCs/>
          <w:sz w:val="24"/>
        </w:rPr>
      </w:pPr>
      <w:r>
        <w:rPr>
          <w:rFonts w:ascii="宋体" w:hAnsi="宋体"/>
          <w:b/>
          <w:bCs/>
          <w:sz w:val="24"/>
        </w:rPr>
        <w:t>投标保证金</w:t>
      </w:r>
    </w:p>
    <w:p>
      <w:pPr>
        <w:numPr>
          <w:ilvl w:val="1"/>
          <w:numId w:val="4"/>
        </w:numPr>
        <w:tabs>
          <w:tab w:val="left" w:pos="720"/>
          <w:tab w:val="clear" w:pos="360"/>
        </w:tabs>
        <w:ind w:left="0" w:firstLine="0" w:firstLineChars="0"/>
        <w:jc w:val="both"/>
        <w:rPr>
          <w:rFonts w:ascii="宋体" w:hAnsi="宋体"/>
        </w:rPr>
      </w:pPr>
      <w:r>
        <w:rPr>
          <w:rFonts w:ascii="宋体" w:hAnsi="宋体"/>
        </w:rPr>
        <w:t>投标人应于相应的投标截止</w:t>
      </w:r>
      <w:r>
        <w:rPr>
          <w:rFonts w:hint="eastAsia" w:ascii="宋体" w:hAnsi="宋体"/>
        </w:rPr>
        <w:t>时间</w:t>
      </w:r>
      <w:r>
        <w:rPr>
          <w:rFonts w:ascii="宋体" w:hAnsi="宋体"/>
        </w:rPr>
        <w:t>前向</w:t>
      </w:r>
      <w:r>
        <w:rPr>
          <w:rFonts w:hint="eastAsia" w:ascii="宋体" w:hAnsi="宋体"/>
          <w:b/>
        </w:rPr>
        <w:t>青海省禹龙水利水电工程招标技术咨询中心有限责任公司</w:t>
      </w:r>
      <w:r>
        <w:rPr>
          <w:rFonts w:hint="eastAsia" w:ascii="宋体" w:hAnsi="宋体"/>
        </w:rPr>
        <w:t>按文件规定</w:t>
      </w:r>
      <w:r>
        <w:rPr>
          <w:rFonts w:ascii="宋体" w:hAnsi="宋体"/>
        </w:rPr>
        <w:t>提</w:t>
      </w:r>
      <w:r>
        <w:rPr>
          <w:rFonts w:hint="eastAsia" w:ascii="宋体" w:hAnsi="宋体"/>
        </w:rPr>
        <w:t>交投标保证金。</w:t>
      </w:r>
    </w:p>
    <w:p>
      <w:pPr>
        <w:numPr>
          <w:ilvl w:val="1"/>
          <w:numId w:val="4"/>
        </w:numPr>
        <w:tabs>
          <w:tab w:val="left" w:pos="720"/>
          <w:tab w:val="clear" w:pos="360"/>
        </w:tabs>
        <w:ind w:left="0" w:firstLine="0" w:firstLineChars="0"/>
        <w:jc w:val="both"/>
        <w:rPr>
          <w:rFonts w:ascii="宋体" w:hAnsi="宋体"/>
        </w:rPr>
      </w:pPr>
      <w:r>
        <w:rPr>
          <w:rFonts w:hint="eastAsia" w:ascii="宋体" w:hAnsi="宋体"/>
        </w:rPr>
        <w:t>办理时间：投标截止时间前凭有效凭据。</w:t>
      </w:r>
    </w:p>
    <w:p>
      <w:pPr>
        <w:numPr>
          <w:ilvl w:val="1"/>
          <w:numId w:val="4"/>
        </w:numPr>
        <w:tabs>
          <w:tab w:val="left" w:pos="720"/>
          <w:tab w:val="clear" w:pos="360"/>
        </w:tabs>
        <w:ind w:left="0" w:firstLine="0" w:firstLineChars="0"/>
        <w:jc w:val="both"/>
        <w:rPr>
          <w:rFonts w:ascii="宋体" w:hAnsi="宋体"/>
        </w:rPr>
      </w:pPr>
      <w:r>
        <w:rPr>
          <w:rFonts w:ascii="宋体" w:hAnsi="宋体"/>
        </w:rPr>
        <w:t>投标保证金</w:t>
      </w:r>
      <w:r>
        <w:rPr>
          <w:rFonts w:hint="eastAsia" w:ascii="宋体" w:hAnsi="宋体"/>
        </w:rPr>
        <w:t>:</w:t>
      </w:r>
      <w:r>
        <w:rPr>
          <w:rFonts w:ascii="宋体" w:hAnsi="宋体"/>
        </w:rPr>
        <w:t>应以</w:t>
      </w:r>
      <w:r>
        <w:rPr>
          <w:rFonts w:hint="eastAsia" w:ascii="宋体" w:hAnsi="宋体"/>
        </w:rPr>
        <w:t>转帐方式缴纳，只能从单位基本账户中转出。</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收款单位名称：青海省禹龙水利水电工程招标技术咨询中心</w:t>
      </w:r>
    </w:p>
    <w:p>
      <w:pPr>
        <w:ind w:firstLine="0" w:firstLineChars="0"/>
        <w:rPr>
          <w:rFonts w:ascii="宋体" w:hAnsi="宋体" w:cs="Arial"/>
          <w:b/>
          <w:bCs/>
          <w:szCs w:val="21"/>
        </w:rPr>
      </w:pPr>
      <w:r>
        <w:rPr>
          <w:rFonts w:hint="eastAsia" w:ascii="宋体" w:hAnsi="宋体"/>
        </w:rPr>
        <w:t>开户银行：青海西宁农商银行股份有限公司西川南路支行</w:t>
      </w:r>
    </w:p>
    <w:p>
      <w:pPr>
        <w:ind w:firstLine="0" w:firstLineChars="0"/>
        <w:jc w:val="both"/>
        <w:rPr>
          <w:rFonts w:ascii="宋体" w:hAnsi="宋体"/>
        </w:rPr>
      </w:pPr>
      <w:r>
        <w:rPr>
          <w:rFonts w:hint="eastAsia" w:ascii="宋体" w:hAnsi="宋体"/>
          <w:szCs w:val="21"/>
        </w:rPr>
        <w:t>银行账号：82010000000018980</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有效凭据主要指：凭银行转帐回单。</w:t>
      </w:r>
    </w:p>
    <w:p>
      <w:pPr>
        <w:numPr>
          <w:ilvl w:val="1"/>
          <w:numId w:val="4"/>
        </w:numPr>
        <w:tabs>
          <w:tab w:val="left" w:pos="720"/>
          <w:tab w:val="clear" w:pos="360"/>
        </w:tabs>
        <w:ind w:left="0" w:firstLine="0" w:firstLineChars="0"/>
        <w:jc w:val="both"/>
        <w:rPr>
          <w:rFonts w:ascii="宋体" w:hAnsi="宋体"/>
        </w:rPr>
      </w:pPr>
      <w:r>
        <w:rPr>
          <w:rFonts w:hint="eastAsia" w:ascii="宋体" w:hAnsi="宋体"/>
        </w:rPr>
        <w:t>▲</w:t>
      </w:r>
      <w:r>
        <w:rPr>
          <w:rFonts w:ascii="宋体" w:hAnsi="宋体"/>
        </w:rPr>
        <w:t>未按规定提交投标保证金的投标，应视为无效</w:t>
      </w:r>
      <w:r>
        <w:rPr>
          <w:rFonts w:hint="eastAsia" w:ascii="宋体" w:hAnsi="宋体"/>
        </w:rPr>
        <w:t>。</w:t>
      </w:r>
    </w:p>
    <w:p>
      <w:pPr>
        <w:numPr>
          <w:ilvl w:val="1"/>
          <w:numId w:val="4"/>
        </w:numPr>
        <w:tabs>
          <w:tab w:val="left" w:pos="720"/>
          <w:tab w:val="clear" w:pos="360"/>
        </w:tabs>
        <w:ind w:left="0" w:firstLine="0" w:firstLineChars="0"/>
        <w:jc w:val="both"/>
        <w:rPr>
          <w:rFonts w:ascii="宋体" w:hAnsi="宋体"/>
        </w:rPr>
      </w:pPr>
      <w:r>
        <w:rPr>
          <w:rFonts w:ascii="宋体" w:hAnsi="宋体"/>
        </w:rPr>
        <w:t>未中标的投标人的保证金，在</w:t>
      </w:r>
      <w:r>
        <w:rPr>
          <w:rFonts w:hint="eastAsia" w:ascii="宋体" w:hAnsi="宋体"/>
        </w:rPr>
        <w:t>招标代理机构发出中标通知书后5个工作</w:t>
      </w:r>
      <w:r>
        <w:rPr>
          <w:rFonts w:ascii="宋体" w:hAnsi="宋体"/>
        </w:rPr>
        <w:t>日内退还</w:t>
      </w:r>
      <w:r>
        <w:rPr>
          <w:rFonts w:hint="eastAsia" w:ascii="宋体" w:hAnsi="宋体"/>
        </w:rPr>
        <w:t>。 </w:t>
      </w:r>
    </w:p>
    <w:p>
      <w:pPr>
        <w:numPr>
          <w:ilvl w:val="1"/>
          <w:numId w:val="4"/>
        </w:numPr>
        <w:tabs>
          <w:tab w:val="left" w:pos="720"/>
          <w:tab w:val="clear" w:pos="360"/>
        </w:tabs>
        <w:ind w:left="0" w:firstLine="0" w:firstLineChars="0"/>
        <w:jc w:val="both"/>
        <w:rPr>
          <w:rFonts w:ascii="宋体" w:hAnsi="宋体"/>
          <w:szCs w:val="21"/>
        </w:rPr>
      </w:pPr>
      <w:r>
        <w:rPr>
          <w:rFonts w:ascii="宋体" w:hAnsi="宋体"/>
        </w:rPr>
        <w:t>发生下列情况之一，投标保证金将被没收</w:t>
      </w:r>
      <w:r>
        <w:rPr>
          <w:rFonts w:hint="eastAsia" w:ascii="宋体" w:hAnsi="宋体"/>
        </w:rPr>
        <w:t>： </w:t>
      </w:r>
    </w:p>
    <w:p>
      <w:pPr>
        <w:tabs>
          <w:tab w:val="left" w:pos="720"/>
        </w:tabs>
        <w:ind w:firstLine="0" w:firstLineChars="0"/>
        <w:jc w:val="both"/>
        <w:rPr>
          <w:rFonts w:ascii="宋体" w:hAnsi="宋体"/>
        </w:rPr>
      </w:pPr>
      <w:r>
        <w:rPr>
          <w:rFonts w:hint="eastAsia" w:ascii="宋体" w:hAnsi="宋体"/>
        </w:rPr>
        <w:t>1、</w:t>
      </w:r>
      <w:r>
        <w:rPr>
          <w:rFonts w:ascii="宋体" w:hAnsi="宋体"/>
        </w:rPr>
        <w:t>投标截止日后，投标人</w:t>
      </w:r>
      <w:r>
        <w:rPr>
          <w:rFonts w:hint="eastAsia" w:ascii="宋体" w:hAnsi="宋体"/>
        </w:rPr>
        <w:t>在投标有效期内</w:t>
      </w:r>
      <w:r>
        <w:rPr>
          <w:rFonts w:ascii="宋体" w:hAnsi="宋体"/>
        </w:rPr>
        <w:t>撤回投标书的；</w:t>
      </w:r>
      <w:r>
        <w:rPr>
          <w:rFonts w:hint="eastAsia" w:ascii="宋体" w:hAnsi="宋体"/>
        </w:rPr>
        <w:t> </w:t>
      </w:r>
    </w:p>
    <w:p>
      <w:pPr>
        <w:tabs>
          <w:tab w:val="left" w:pos="720"/>
        </w:tabs>
        <w:ind w:firstLine="0" w:firstLineChars="0"/>
        <w:jc w:val="both"/>
        <w:rPr>
          <w:rFonts w:ascii="宋体" w:hAnsi="宋体"/>
          <w:szCs w:val="21"/>
        </w:rPr>
      </w:pPr>
      <w:r>
        <w:rPr>
          <w:rFonts w:hint="eastAsia" w:ascii="宋体" w:hAnsi="宋体"/>
        </w:rPr>
        <w:t>2、投标人未按</w:t>
      </w:r>
      <w:r>
        <w:rPr>
          <w:rFonts w:ascii="宋体" w:hAnsi="宋体"/>
        </w:rPr>
        <w:t>规定</w:t>
      </w:r>
      <w:r>
        <w:rPr>
          <w:rFonts w:hint="eastAsia" w:ascii="宋体" w:hAnsi="宋体"/>
        </w:rPr>
        <w:t>签订</w:t>
      </w:r>
      <w:r>
        <w:rPr>
          <w:rFonts w:ascii="宋体" w:hAnsi="宋体"/>
        </w:rPr>
        <w:t>合同的；</w:t>
      </w:r>
    </w:p>
    <w:p>
      <w:pPr>
        <w:tabs>
          <w:tab w:val="left" w:pos="720"/>
        </w:tabs>
        <w:ind w:firstLine="0" w:firstLineChars="0"/>
        <w:jc w:val="both"/>
        <w:rPr>
          <w:rFonts w:ascii="宋体" w:hAnsi="宋体"/>
          <w:szCs w:val="21"/>
        </w:rPr>
      </w:pPr>
      <w:r>
        <w:rPr>
          <w:rFonts w:hint="eastAsia" w:ascii="宋体" w:hAnsi="宋体"/>
        </w:rPr>
        <w:t>3、</w:t>
      </w:r>
      <w:r>
        <w:rPr>
          <w:rFonts w:ascii="宋体" w:hAnsi="宋体"/>
        </w:rPr>
        <w:t>投标人其他不按招标文件履行义务的行为</w:t>
      </w:r>
      <w:r>
        <w:rPr>
          <w:rFonts w:hint="eastAsia" w:ascii="宋体" w:hAnsi="宋体"/>
        </w:rPr>
        <w:t>；</w:t>
      </w:r>
    </w:p>
    <w:p>
      <w:pPr>
        <w:pStyle w:val="3"/>
        <w:ind w:firstLine="0" w:firstLineChars="0"/>
      </w:pPr>
      <w:bookmarkStart w:id="33" w:name="_Toc176658514"/>
      <w:bookmarkStart w:id="34" w:name="_Toc176666477"/>
      <w:bookmarkStart w:id="35" w:name="_Toc23649"/>
      <w:bookmarkStart w:id="36" w:name="_Toc31123"/>
      <w:bookmarkStart w:id="37" w:name="_Toc61249556"/>
      <w:r>
        <w:rPr>
          <w:rFonts w:hint="eastAsia"/>
        </w:rPr>
        <w:t>（四）投标文件的递交</w:t>
      </w:r>
      <w:bookmarkEnd w:id="33"/>
      <w:bookmarkEnd w:id="34"/>
      <w:bookmarkEnd w:id="35"/>
      <w:bookmarkEnd w:id="36"/>
      <w:bookmarkEnd w:id="37"/>
    </w:p>
    <w:p>
      <w:pPr>
        <w:numPr>
          <w:ilvl w:val="0"/>
          <w:numId w:val="4"/>
        </w:numPr>
        <w:tabs>
          <w:tab w:val="left" w:pos="720"/>
          <w:tab w:val="clear" w:pos="360"/>
        </w:tabs>
        <w:ind w:left="0" w:firstLine="0" w:firstLineChars="0"/>
        <w:jc w:val="both"/>
        <w:rPr>
          <w:rFonts w:ascii="宋体" w:hAnsi="宋体"/>
        </w:rPr>
      </w:pPr>
      <w:r>
        <w:rPr>
          <w:rFonts w:hint="eastAsia" w:ascii="宋体" w:hAnsi="宋体"/>
          <w:b/>
          <w:sz w:val="24"/>
        </w:rPr>
        <w:t>投标文件的密封和标记</w:t>
      </w:r>
    </w:p>
    <w:p>
      <w:pPr>
        <w:widowControl w:val="0"/>
        <w:numPr>
          <w:ilvl w:val="1"/>
          <w:numId w:val="4"/>
        </w:numPr>
        <w:tabs>
          <w:tab w:val="left" w:pos="720"/>
          <w:tab w:val="clear" w:pos="360"/>
        </w:tabs>
        <w:ind w:left="0" w:firstLine="0" w:firstLineChars="0"/>
        <w:jc w:val="both"/>
        <w:rPr>
          <w:rFonts w:ascii="宋体" w:hAnsi="宋体"/>
          <w:szCs w:val="22"/>
        </w:rPr>
      </w:pPr>
      <w:r>
        <w:rPr>
          <w:rFonts w:hint="eastAsia" w:ascii="宋体" w:hAnsi="宋体"/>
        </w:rPr>
        <w:t>▲</w:t>
      </w:r>
      <w:r>
        <w:rPr>
          <w:rFonts w:hint="eastAsia" w:ascii="宋体" w:hAnsi="宋体"/>
          <w:szCs w:val="22"/>
        </w:rPr>
        <w:t>投标正副本分开包装密封，一份正本、四份副本，封口处应有投标人公章。</w:t>
      </w:r>
    </w:p>
    <w:p>
      <w:pPr>
        <w:widowControl w:val="0"/>
        <w:numPr>
          <w:ilvl w:val="1"/>
          <w:numId w:val="4"/>
        </w:numPr>
        <w:tabs>
          <w:tab w:val="left" w:pos="720"/>
          <w:tab w:val="clear" w:pos="360"/>
        </w:tabs>
        <w:ind w:left="0" w:firstLine="0" w:firstLineChars="0"/>
        <w:jc w:val="both"/>
        <w:rPr>
          <w:rFonts w:ascii="宋体" w:hAnsi="宋体" w:cs="Arial"/>
        </w:rPr>
      </w:pPr>
      <w:r>
        <w:rPr>
          <w:rFonts w:hint="eastAsia" w:ascii="宋体" w:hAnsi="宋体" w:cs="Arial"/>
        </w:rPr>
        <w:t>投标文件封面请注明正本及副本等字样。</w:t>
      </w:r>
    </w:p>
    <w:p>
      <w:pPr>
        <w:numPr>
          <w:ilvl w:val="1"/>
          <w:numId w:val="4"/>
        </w:numPr>
        <w:tabs>
          <w:tab w:val="left" w:pos="720"/>
          <w:tab w:val="clear" w:pos="360"/>
        </w:tabs>
        <w:ind w:left="0" w:firstLine="0" w:firstLineChars="0"/>
        <w:jc w:val="both"/>
        <w:rPr>
          <w:rFonts w:ascii="宋体" w:hAnsi="宋体"/>
        </w:rPr>
      </w:pPr>
      <w:r>
        <w:rPr>
          <w:rFonts w:hint="eastAsia" w:ascii="宋体" w:hAnsi="宋体"/>
        </w:rPr>
        <w:t>封套上应写明投标人名称和地址，以便如果其投标被宣布为“迟交”投标时，能原封退回。</w:t>
      </w:r>
    </w:p>
    <w:p>
      <w:pPr>
        <w:numPr>
          <w:ilvl w:val="1"/>
          <w:numId w:val="4"/>
        </w:numPr>
        <w:tabs>
          <w:tab w:val="left" w:pos="720"/>
          <w:tab w:val="clear" w:pos="360"/>
        </w:tabs>
        <w:ind w:left="0" w:firstLine="0" w:firstLineChars="0"/>
        <w:jc w:val="both"/>
        <w:rPr>
          <w:rFonts w:ascii="宋体" w:hAnsi="宋体"/>
        </w:rPr>
      </w:pPr>
      <w:r>
        <w:rPr>
          <w:rFonts w:ascii="宋体" w:hAnsi="宋体"/>
        </w:rPr>
        <w:t>如果投标人未加写标记，招标代理机构对投标文件的误投和提前启封不负责任</w:t>
      </w:r>
      <w:r>
        <w:rPr>
          <w:rFonts w:hint="eastAsia" w:ascii="宋体" w:hAnsi="宋体"/>
        </w:rPr>
        <w:t>。</w:t>
      </w:r>
    </w:p>
    <w:p>
      <w:pPr>
        <w:numPr>
          <w:ilvl w:val="1"/>
          <w:numId w:val="4"/>
        </w:numPr>
        <w:tabs>
          <w:tab w:val="left" w:pos="720"/>
          <w:tab w:val="clear" w:pos="360"/>
        </w:tabs>
        <w:ind w:left="0" w:firstLine="0" w:firstLineChars="0"/>
        <w:jc w:val="both"/>
        <w:rPr>
          <w:rFonts w:ascii="宋体" w:hAnsi="宋体"/>
        </w:rPr>
      </w:pPr>
      <w:r>
        <w:rPr>
          <w:rFonts w:ascii="宋体" w:hAnsi="宋体"/>
        </w:rPr>
        <w:t>投标文件的补充和修</w:t>
      </w:r>
      <w:r>
        <w:rPr>
          <w:rFonts w:hint="eastAsia" w:ascii="宋体" w:hAnsi="宋体"/>
        </w:rPr>
        <w:t>改： 投标截止时间前，投标人可以书面向招标代理机构已递交的投标文件内容提出补充和修改，相应部分以最后的补充和修改为准。该投标文件内容书面材料应密封，由投标人代表签字并加盖公章，同时应在封套上标明“修改（或补充）投标文件”（并注明招标项目编号和“开标时启封”字样）。</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投标截止时间</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本次招标的投标截止时间及投标文件递交截止时间：见本招标文件“投标邀请函”。招标代理机构收到投标文件的时间不得迟于规定的截止时间。</w:t>
      </w:r>
    </w:p>
    <w:p>
      <w:pPr>
        <w:numPr>
          <w:ilvl w:val="1"/>
          <w:numId w:val="4"/>
        </w:numPr>
        <w:tabs>
          <w:tab w:val="left" w:pos="720"/>
          <w:tab w:val="clear" w:pos="360"/>
        </w:tabs>
        <w:ind w:left="0" w:firstLine="0" w:firstLineChars="0"/>
        <w:jc w:val="both"/>
        <w:rPr>
          <w:rFonts w:ascii="宋体" w:hAnsi="宋体"/>
        </w:rPr>
      </w:pPr>
      <w:r>
        <w:rPr>
          <w:rFonts w:hint="eastAsia" w:ascii="宋体" w:hAnsi="宋体"/>
        </w:rPr>
        <w:t>在推迟了投标截止时间的情况下，招标代理机构、采购人和投标人受投标截止时间制约的所有权利和义务均应延长至新的截止时间。</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投标文件有下列情形之一的，招标代理机构不予受理：</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投标文件逾期送达的或者未送达指定地点的；</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投标文件未按招标文件要求密封、签署、盖章的。</w:t>
      </w:r>
    </w:p>
    <w:p>
      <w:pPr>
        <w:pStyle w:val="3"/>
        <w:ind w:firstLine="0" w:firstLineChars="0"/>
      </w:pPr>
      <w:bookmarkStart w:id="38" w:name="_Toc176658515"/>
      <w:bookmarkStart w:id="39" w:name="_Toc176666478"/>
      <w:bookmarkStart w:id="40" w:name="_Toc34"/>
      <w:bookmarkStart w:id="41" w:name="_Toc21712"/>
      <w:bookmarkStart w:id="42" w:name="_Toc61249557"/>
      <w:r>
        <w:rPr>
          <w:rFonts w:hint="eastAsia"/>
        </w:rPr>
        <w:t>（五）开标与</w:t>
      </w:r>
      <w:bookmarkEnd w:id="38"/>
      <w:bookmarkEnd w:id="39"/>
      <w:r>
        <w:rPr>
          <w:rFonts w:hint="eastAsia"/>
        </w:rPr>
        <w:t>评标</w:t>
      </w:r>
      <w:bookmarkEnd w:id="40"/>
      <w:bookmarkEnd w:id="41"/>
      <w:bookmarkEnd w:id="42"/>
    </w:p>
    <w:p>
      <w:pPr>
        <w:widowControl w:val="0"/>
        <w:tabs>
          <w:tab w:val="left" w:pos="720"/>
        </w:tabs>
        <w:ind w:firstLine="0" w:firstLineChars="0"/>
        <w:jc w:val="both"/>
        <w:rPr>
          <w:rFonts w:ascii="宋体" w:hAnsi="宋体"/>
          <w:b/>
          <w:bCs/>
          <w:sz w:val="24"/>
          <w:szCs w:val="24"/>
        </w:rPr>
      </w:pPr>
      <w:r>
        <w:rPr>
          <w:rFonts w:hint="eastAsia" w:ascii="宋体" w:hAnsi="宋体"/>
          <w:b/>
          <w:bCs/>
          <w:sz w:val="24"/>
          <w:szCs w:val="24"/>
        </w:rPr>
        <w:t>22    评标委员会</w:t>
      </w:r>
    </w:p>
    <w:p>
      <w:pPr>
        <w:widowControl w:val="0"/>
        <w:tabs>
          <w:tab w:val="left" w:pos="927"/>
        </w:tabs>
        <w:ind w:firstLine="0" w:firstLineChars="0"/>
        <w:jc w:val="both"/>
        <w:rPr>
          <w:rFonts w:ascii="宋体" w:hAnsi="宋体"/>
          <w:bCs/>
          <w:szCs w:val="21"/>
        </w:rPr>
      </w:pPr>
      <w:r>
        <w:rPr>
          <w:rFonts w:hint="eastAsia" w:ascii="宋体" w:hAnsi="宋体"/>
          <w:bCs/>
          <w:szCs w:val="21"/>
        </w:rPr>
        <w:t>22.1   采购人依法组建评标委员会。评标委员会的成员在评标过程中必须严格遵守《政府采购法》</w:t>
      </w:r>
    </w:p>
    <w:p>
      <w:pPr>
        <w:widowControl w:val="0"/>
        <w:tabs>
          <w:tab w:val="left" w:pos="927"/>
        </w:tabs>
        <w:ind w:firstLine="0" w:firstLineChars="0"/>
        <w:jc w:val="both"/>
        <w:rPr>
          <w:rFonts w:ascii="宋体" w:hAnsi="宋体"/>
          <w:bCs/>
          <w:szCs w:val="21"/>
        </w:rPr>
      </w:pPr>
      <w:r>
        <w:rPr>
          <w:rFonts w:hint="eastAsia" w:ascii="宋体" w:hAnsi="宋体"/>
          <w:bCs/>
          <w:szCs w:val="21"/>
        </w:rPr>
        <w:t>等有关法律、法规的规定。</w:t>
      </w:r>
    </w:p>
    <w:p>
      <w:pPr>
        <w:widowControl w:val="0"/>
        <w:tabs>
          <w:tab w:val="left" w:pos="720"/>
        </w:tabs>
        <w:ind w:firstLine="0" w:firstLineChars="0"/>
        <w:jc w:val="both"/>
        <w:rPr>
          <w:rFonts w:ascii="宋体" w:hAnsi="宋体"/>
          <w:b/>
          <w:bCs/>
          <w:sz w:val="24"/>
          <w:szCs w:val="24"/>
        </w:rPr>
      </w:pPr>
      <w:r>
        <w:rPr>
          <w:rFonts w:hint="eastAsia" w:ascii="宋体" w:hAnsi="宋体"/>
          <w:b/>
          <w:bCs/>
          <w:sz w:val="24"/>
          <w:szCs w:val="24"/>
        </w:rPr>
        <w:t>23    评标过程的保密性</w:t>
      </w:r>
    </w:p>
    <w:p>
      <w:pPr>
        <w:widowControl w:val="0"/>
        <w:tabs>
          <w:tab w:val="left" w:pos="927"/>
        </w:tabs>
        <w:ind w:firstLine="0" w:firstLineChars="0"/>
        <w:jc w:val="both"/>
        <w:rPr>
          <w:rFonts w:ascii="宋体" w:hAnsi="宋体"/>
          <w:b/>
          <w:bCs/>
          <w:szCs w:val="21"/>
        </w:rPr>
      </w:pPr>
      <w:r>
        <w:rPr>
          <w:rFonts w:hint="eastAsia" w:ascii="宋体" w:hAnsi="宋体"/>
          <w:b/>
          <w:bCs/>
          <w:szCs w:val="21"/>
        </w:rPr>
        <w:t>23.1   开标后直至向中标人授予合同时止，凡与评审有关的资料均不得向投标人及与评标无关人员透露。如果投标人在评标过程中试图向采购人和采购人施加影响，其投标将被拒绝。</w:t>
      </w:r>
    </w:p>
    <w:p>
      <w:pPr>
        <w:widowControl w:val="0"/>
        <w:tabs>
          <w:tab w:val="left" w:pos="720"/>
        </w:tabs>
        <w:ind w:firstLine="0" w:firstLineChars="0"/>
        <w:jc w:val="both"/>
        <w:rPr>
          <w:rFonts w:ascii="宋体" w:hAnsi="宋体"/>
          <w:b/>
          <w:bCs/>
          <w:sz w:val="24"/>
          <w:szCs w:val="24"/>
        </w:rPr>
      </w:pPr>
      <w:r>
        <w:rPr>
          <w:rFonts w:hint="eastAsia" w:ascii="宋体" w:hAnsi="宋体"/>
          <w:b/>
          <w:bCs/>
          <w:sz w:val="24"/>
          <w:szCs w:val="24"/>
        </w:rPr>
        <w:t>24    开标、评标</w:t>
      </w:r>
    </w:p>
    <w:p>
      <w:pPr>
        <w:ind w:firstLine="0" w:firstLineChars="0"/>
        <w:rPr>
          <w:rFonts w:ascii="宋体" w:hAnsi="宋体"/>
          <w:snapToGrid w:val="0"/>
          <w:szCs w:val="24"/>
        </w:rPr>
      </w:pPr>
      <w:r>
        <w:rPr>
          <w:rFonts w:hint="eastAsia" w:ascii="宋体" w:hAnsi="宋体"/>
          <w:bCs/>
          <w:szCs w:val="21"/>
        </w:rPr>
        <w:t xml:space="preserve">24.1   </w:t>
      </w:r>
      <w:r>
        <w:rPr>
          <w:rFonts w:hint="eastAsia" w:ascii="宋体" w:hAnsi="宋体"/>
          <w:snapToGrid w:val="0"/>
          <w:szCs w:val="24"/>
        </w:rPr>
        <w:t xml:space="preserve">(1) </w:t>
      </w:r>
      <w:r>
        <w:rPr>
          <w:rFonts w:ascii="宋体" w:hAnsi="宋体"/>
          <w:snapToGrid w:val="0"/>
          <w:szCs w:val="24"/>
        </w:rPr>
        <w:t>宣布开标纪律；</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2</w:t>
      </w:r>
      <w:r>
        <w:rPr>
          <w:rFonts w:hint="eastAsia" w:ascii="宋体" w:hAnsi="宋体"/>
          <w:snapToGrid w:val="0"/>
          <w:szCs w:val="24"/>
        </w:rPr>
        <w:t xml:space="preserve">) </w:t>
      </w:r>
      <w:r>
        <w:rPr>
          <w:rFonts w:ascii="宋体" w:hAnsi="宋体"/>
          <w:snapToGrid w:val="0"/>
          <w:szCs w:val="24"/>
        </w:rPr>
        <w:t>公布在投标截止时间前递交投标文件的投标人名称，确认</w:t>
      </w:r>
      <w:r>
        <w:rPr>
          <w:rFonts w:hint="eastAsia" w:ascii="宋体" w:hAnsi="宋体"/>
          <w:snapToGrid w:val="0"/>
          <w:szCs w:val="24"/>
        </w:rPr>
        <w:t>投标人</w:t>
      </w:r>
      <w:r>
        <w:rPr>
          <w:rFonts w:ascii="宋体" w:hAnsi="宋体"/>
          <w:snapToGrid w:val="0"/>
          <w:szCs w:val="24"/>
        </w:rPr>
        <w:t>法定代表人或其委托代理人</w:t>
      </w:r>
      <w:r>
        <w:rPr>
          <w:rFonts w:hint="eastAsia" w:ascii="宋体" w:hAnsi="宋体"/>
          <w:snapToGrid w:val="0"/>
          <w:szCs w:val="24"/>
        </w:rPr>
        <w:t>是否在</w:t>
      </w:r>
      <w:r>
        <w:rPr>
          <w:rFonts w:ascii="宋体" w:hAnsi="宋体"/>
          <w:snapToGrid w:val="0"/>
          <w:szCs w:val="24"/>
        </w:rPr>
        <w:t>场</w:t>
      </w:r>
      <w:r>
        <w:rPr>
          <w:rFonts w:hint="eastAsia" w:ascii="宋体" w:hAnsi="宋体"/>
          <w:snapToGrid w:val="0"/>
          <w:szCs w:val="24"/>
        </w:rPr>
        <w:t>，并对其法定代表人或委托代理人的身份进行核对</w:t>
      </w:r>
      <w:r>
        <w:rPr>
          <w:rFonts w:ascii="宋体" w:hAnsi="宋体"/>
          <w:snapToGrid w:val="0"/>
          <w:szCs w:val="24"/>
        </w:rPr>
        <w:t>；</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3</w:t>
      </w:r>
      <w:r>
        <w:rPr>
          <w:rFonts w:hint="eastAsia" w:ascii="宋体" w:hAnsi="宋体"/>
          <w:snapToGrid w:val="0"/>
          <w:szCs w:val="24"/>
        </w:rPr>
        <w:t xml:space="preserve">) </w:t>
      </w:r>
      <w:r>
        <w:rPr>
          <w:rFonts w:ascii="宋体" w:hAnsi="宋体"/>
          <w:snapToGrid w:val="0"/>
          <w:szCs w:val="24"/>
        </w:rPr>
        <w:t>宣布</w:t>
      </w:r>
      <w:r>
        <w:rPr>
          <w:rFonts w:hint="eastAsia" w:ascii="宋体" w:hAnsi="宋体"/>
          <w:b/>
          <w:snapToGrid w:val="0"/>
          <w:szCs w:val="24"/>
        </w:rPr>
        <w:t>采购人代表</w:t>
      </w:r>
      <w:r>
        <w:rPr>
          <w:rFonts w:hint="eastAsia" w:ascii="宋体" w:hAnsi="宋体"/>
          <w:snapToGrid w:val="0"/>
          <w:szCs w:val="24"/>
        </w:rPr>
        <w:t>、</w:t>
      </w:r>
      <w:r>
        <w:rPr>
          <w:rFonts w:ascii="宋体" w:hAnsi="宋体"/>
          <w:snapToGrid w:val="0"/>
          <w:szCs w:val="24"/>
        </w:rPr>
        <w:t>唱标人、记录人、监标人等有关人员姓名；</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4</w:t>
      </w:r>
      <w:r>
        <w:rPr>
          <w:rFonts w:hint="eastAsia" w:ascii="宋体" w:hAnsi="宋体"/>
          <w:snapToGrid w:val="0"/>
          <w:szCs w:val="24"/>
        </w:rPr>
        <w:t>) 除投标人须知前附表另有约定外，由投标人推荐的代表</w:t>
      </w:r>
      <w:r>
        <w:rPr>
          <w:rFonts w:ascii="宋体" w:hAnsi="宋体"/>
          <w:snapToGrid w:val="0"/>
          <w:szCs w:val="24"/>
        </w:rPr>
        <w:t>检查投标文件的密封情况；</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5</w:t>
      </w:r>
      <w:r>
        <w:rPr>
          <w:rFonts w:hint="eastAsia" w:ascii="宋体" w:hAnsi="宋体"/>
          <w:snapToGrid w:val="0"/>
          <w:szCs w:val="24"/>
        </w:rPr>
        <w:t xml:space="preserve">) </w:t>
      </w:r>
      <w:r>
        <w:rPr>
          <w:rFonts w:ascii="宋体" w:hAnsi="宋体"/>
          <w:snapToGrid w:val="0"/>
          <w:szCs w:val="24"/>
        </w:rPr>
        <w:t>宣布投标文件开标顺序</w:t>
      </w:r>
      <w:r>
        <w:rPr>
          <w:rFonts w:hint="eastAsia" w:ascii="宋体" w:hAnsi="宋体"/>
          <w:snapToGrid w:val="0"/>
          <w:szCs w:val="24"/>
        </w:rPr>
        <w:t>：</w:t>
      </w:r>
      <w:r>
        <w:rPr>
          <w:rFonts w:hint="eastAsia" w:ascii="宋体" w:hAnsi="宋体"/>
          <w:b/>
          <w:snapToGrid w:val="0"/>
          <w:szCs w:val="24"/>
        </w:rPr>
        <w:t>开启标书。开标顺序随机</w:t>
      </w:r>
      <w:r>
        <w:rPr>
          <w:rFonts w:ascii="宋体" w:hAnsi="宋体"/>
          <w:b/>
          <w:snapToGrid w:val="0"/>
          <w:szCs w:val="24"/>
        </w:rPr>
        <w:t>进行</w:t>
      </w:r>
      <w:r>
        <w:rPr>
          <w:rFonts w:ascii="宋体" w:hAnsi="宋体"/>
          <w:snapToGrid w:val="0"/>
          <w:szCs w:val="24"/>
        </w:rPr>
        <w:t>；</w:t>
      </w:r>
    </w:p>
    <w:p>
      <w:pPr>
        <w:ind w:firstLine="0" w:firstLineChars="0"/>
        <w:rPr>
          <w:rFonts w:ascii="宋体" w:hAnsi="宋体"/>
          <w:snapToGrid w:val="0"/>
          <w:szCs w:val="24"/>
        </w:rPr>
      </w:pPr>
      <w:r>
        <w:rPr>
          <w:rFonts w:hint="eastAsia" w:ascii="宋体" w:hAnsi="宋体"/>
          <w:snapToGrid w:val="0"/>
          <w:szCs w:val="24"/>
        </w:rPr>
        <w:t xml:space="preserve">(6) </w:t>
      </w:r>
      <w:r>
        <w:rPr>
          <w:rFonts w:ascii="宋体" w:hAnsi="宋体"/>
          <w:snapToGrid w:val="0"/>
          <w:szCs w:val="24"/>
        </w:rPr>
        <w:t>按照宣布的开标顺序当众开标，公布投标人名称、标段名称、投标保证金的递交情况、投标报价、质量目标、工期及其他</w:t>
      </w:r>
      <w:r>
        <w:rPr>
          <w:rFonts w:hint="eastAsia" w:ascii="宋体" w:hAnsi="宋体"/>
          <w:snapToGrid w:val="0"/>
          <w:szCs w:val="24"/>
        </w:rPr>
        <w:t>招标文件规定开标时公布的</w:t>
      </w:r>
      <w:r>
        <w:rPr>
          <w:rFonts w:ascii="宋体" w:hAnsi="宋体"/>
          <w:snapToGrid w:val="0"/>
          <w:szCs w:val="24"/>
        </w:rPr>
        <w:t>内容，并</w:t>
      </w:r>
      <w:r>
        <w:rPr>
          <w:rFonts w:hint="eastAsia" w:ascii="宋体" w:hAnsi="宋体"/>
          <w:snapToGrid w:val="0"/>
          <w:szCs w:val="24"/>
        </w:rPr>
        <w:t>进行文字</w:t>
      </w:r>
      <w:r>
        <w:rPr>
          <w:rFonts w:ascii="宋体" w:hAnsi="宋体"/>
          <w:snapToGrid w:val="0"/>
          <w:szCs w:val="24"/>
        </w:rPr>
        <w:t>记录；</w:t>
      </w:r>
    </w:p>
    <w:p>
      <w:pPr>
        <w:ind w:firstLine="0" w:firstLineChars="0"/>
        <w:rPr>
          <w:rFonts w:ascii="宋体" w:hAnsi="宋体"/>
          <w:snapToGrid w:val="0"/>
          <w:szCs w:val="24"/>
        </w:rPr>
      </w:pPr>
      <w:r>
        <w:rPr>
          <w:rFonts w:hint="eastAsia" w:ascii="宋体" w:hAnsi="宋体"/>
          <w:snapToGrid w:val="0"/>
          <w:szCs w:val="24"/>
        </w:rPr>
        <w:t>(7)</w:t>
      </w:r>
      <w:r>
        <w:rPr>
          <w:rFonts w:hint="eastAsia" w:ascii="宋体" w:hAnsi="宋体"/>
          <w:b/>
          <w:snapToGrid w:val="0"/>
          <w:szCs w:val="24"/>
        </w:rPr>
        <w:t>采购人代表、</w:t>
      </w:r>
      <w:r>
        <w:rPr>
          <w:rFonts w:ascii="宋体" w:hAnsi="宋体"/>
          <w:b/>
          <w:snapToGrid w:val="0"/>
          <w:szCs w:val="24"/>
        </w:rPr>
        <w:t>记录人、监标人</w:t>
      </w:r>
      <w:r>
        <w:rPr>
          <w:rFonts w:hint="eastAsia" w:ascii="宋体" w:hAnsi="宋体"/>
          <w:b/>
          <w:snapToGrid w:val="0"/>
          <w:szCs w:val="24"/>
        </w:rPr>
        <w:t>、</w:t>
      </w:r>
      <w:r>
        <w:rPr>
          <w:rFonts w:ascii="宋体" w:hAnsi="宋体"/>
          <w:b/>
          <w:snapToGrid w:val="0"/>
          <w:szCs w:val="24"/>
        </w:rPr>
        <w:t>投标人</w:t>
      </w:r>
      <w:r>
        <w:rPr>
          <w:rFonts w:hint="eastAsia" w:ascii="宋体" w:hAnsi="宋体"/>
          <w:b/>
          <w:snapToGrid w:val="0"/>
          <w:szCs w:val="24"/>
        </w:rPr>
        <w:t>的法定代表人或其委托代理人</w:t>
      </w:r>
      <w:r>
        <w:rPr>
          <w:rFonts w:ascii="宋体" w:hAnsi="宋体"/>
          <w:b/>
          <w:snapToGrid w:val="0"/>
          <w:szCs w:val="24"/>
        </w:rPr>
        <w:t>在开标记录上签字确认；</w:t>
      </w:r>
    </w:p>
    <w:p>
      <w:pPr>
        <w:ind w:firstLine="0" w:firstLineChars="0"/>
        <w:rPr>
          <w:rFonts w:ascii="宋体" w:hAnsi="宋体"/>
          <w:snapToGrid w:val="0"/>
          <w:szCs w:val="24"/>
        </w:rPr>
      </w:pPr>
      <w:r>
        <w:rPr>
          <w:rFonts w:hint="eastAsia" w:ascii="宋体" w:hAnsi="宋体"/>
          <w:snapToGrid w:val="0"/>
          <w:szCs w:val="24"/>
        </w:rPr>
        <w:t xml:space="preserve">(8) </w:t>
      </w:r>
      <w:r>
        <w:rPr>
          <w:rFonts w:ascii="宋体" w:hAnsi="宋体"/>
          <w:snapToGrid w:val="0"/>
          <w:szCs w:val="24"/>
        </w:rPr>
        <w:t>开标结束。</w:t>
      </w:r>
    </w:p>
    <w:p>
      <w:pPr>
        <w:widowControl w:val="0"/>
        <w:ind w:firstLine="0" w:firstLineChars="0"/>
        <w:jc w:val="both"/>
        <w:rPr>
          <w:rFonts w:ascii="宋体" w:hAnsi="宋体"/>
          <w:bCs/>
          <w:szCs w:val="21"/>
        </w:rPr>
      </w:pPr>
      <w:r>
        <w:rPr>
          <w:rFonts w:hint="eastAsia" w:ascii="宋体" w:hAnsi="宋体"/>
          <w:bCs/>
          <w:szCs w:val="21"/>
        </w:rPr>
        <w:t>24.2   ▲</w:t>
      </w:r>
      <w:r>
        <w:rPr>
          <w:rFonts w:hint="eastAsia" w:ascii="宋体" w:hAnsi="宋体"/>
          <w:b/>
          <w:bCs/>
          <w:szCs w:val="21"/>
        </w:rPr>
        <w:t>在对各投标人的投标文件进行评审时，投标文件有下列情况之一的，经评标委员会认定按无效标处理：</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投标文件未加盖单位公章、无法定代表人签字（或盖章）或其授权代表签字（或盖章）的；</w:t>
      </w:r>
    </w:p>
    <w:p>
      <w:pPr>
        <w:widowControl w:val="0"/>
        <w:numPr>
          <w:ilvl w:val="0"/>
          <w:numId w:val="5"/>
        </w:numPr>
        <w:ind w:left="0" w:firstLine="0" w:firstLineChars="0"/>
        <w:jc w:val="both"/>
        <w:rPr>
          <w:rFonts w:ascii="宋体" w:hAnsi="宋体"/>
          <w:b/>
          <w:szCs w:val="21"/>
        </w:rPr>
      </w:pPr>
      <w:r>
        <w:rPr>
          <w:rFonts w:hint="eastAsia" w:ascii="宋体" w:hAnsi="宋体"/>
          <w:b/>
          <w:szCs w:val="21"/>
        </w:rPr>
        <w:t>授权代表没有法定代表人合法、有效委托的；</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投标人递交两份或多份内容不同的投标文件，或在一份投标文件中对同一招标项目报价有两个或多个报价，且未声明哪一个有效，或投标文件中投标函上的报价与投标总价上的报价不一致的；</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投标文件中载明的工期超过招标工期；</w:t>
      </w:r>
    </w:p>
    <w:p>
      <w:pPr>
        <w:widowControl w:val="0"/>
        <w:numPr>
          <w:ilvl w:val="0"/>
          <w:numId w:val="5"/>
        </w:numPr>
        <w:ind w:left="0" w:firstLine="0" w:firstLineChars="0"/>
        <w:jc w:val="both"/>
        <w:rPr>
          <w:rFonts w:ascii="宋体" w:hAnsi="宋体"/>
          <w:b/>
          <w:bCs/>
          <w:szCs w:val="21"/>
        </w:rPr>
      </w:pPr>
      <w:r>
        <w:rPr>
          <w:rFonts w:hint="eastAsia" w:ascii="宋体" w:hAnsi="宋体" w:cs="Arial"/>
          <w:b/>
        </w:rPr>
        <w:t>投标报价超过该标段最高限价；</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投标文件内容不全或关键字迹模糊无法辨认的；</w:t>
      </w:r>
    </w:p>
    <w:p>
      <w:pPr>
        <w:widowControl w:val="0"/>
        <w:numPr>
          <w:ilvl w:val="0"/>
          <w:numId w:val="5"/>
        </w:numPr>
        <w:ind w:left="0" w:firstLine="0" w:firstLineChars="0"/>
        <w:jc w:val="both"/>
        <w:rPr>
          <w:rFonts w:ascii="宋体" w:hAnsi="宋体"/>
          <w:b/>
          <w:bCs/>
          <w:szCs w:val="21"/>
        </w:rPr>
      </w:pPr>
      <w:r>
        <w:rPr>
          <w:rFonts w:ascii="宋体" w:hAnsi="宋体"/>
          <w:b/>
          <w:bCs/>
          <w:szCs w:val="21"/>
        </w:rPr>
        <w:t>未按</w:t>
      </w:r>
      <w:r>
        <w:rPr>
          <w:rFonts w:hint="eastAsia" w:ascii="宋体" w:hAnsi="宋体"/>
          <w:b/>
          <w:bCs/>
          <w:szCs w:val="21"/>
        </w:rPr>
        <w:t>招标文件要求</w:t>
      </w:r>
      <w:r>
        <w:rPr>
          <w:rFonts w:ascii="宋体" w:hAnsi="宋体"/>
          <w:b/>
          <w:bCs/>
          <w:szCs w:val="21"/>
        </w:rPr>
        <w:t>提供相关证书</w:t>
      </w:r>
      <w:r>
        <w:rPr>
          <w:rFonts w:hint="eastAsia" w:ascii="宋体" w:hAnsi="宋体"/>
          <w:b/>
          <w:bCs/>
          <w:szCs w:val="21"/>
        </w:rPr>
        <w:t>或承诺书的；</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投标文件附有采购人不能接受的条件；</w:t>
      </w:r>
    </w:p>
    <w:p>
      <w:pPr>
        <w:widowControl w:val="0"/>
        <w:numPr>
          <w:ilvl w:val="0"/>
          <w:numId w:val="5"/>
        </w:numPr>
        <w:ind w:left="0" w:firstLine="0" w:firstLineChars="0"/>
        <w:jc w:val="both"/>
        <w:rPr>
          <w:rFonts w:ascii="宋体" w:hAnsi="宋体"/>
          <w:b/>
          <w:szCs w:val="21"/>
        </w:rPr>
      </w:pPr>
      <w:r>
        <w:rPr>
          <w:rFonts w:hint="eastAsia" w:ascii="宋体" w:hAnsi="宋体"/>
          <w:b/>
          <w:szCs w:val="21"/>
        </w:rPr>
        <w:t>评标委员会认定不符合法律、法规和招标文件中规定的其他实质性要求的。</w:t>
      </w:r>
    </w:p>
    <w:p>
      <w:pPr>
        <w:widowControl w:val="0"/>
        <w:tabs>
          <w:tab w:val="left" w:pos="927"/>
        </w:tabs>
        <w:ind w:firstLine="0" w:firstLineChars="0"/>
        <w:jc w:val="both"/>
        <w:rPr>
          <w:rFonts w:ascii="宋体" w:hAnsi="宋体"/>
          <w:b/>
          <w:bCs/>
          <w:szCs w:val="21"/>
        </w:rPr>
      </w:pPr>
      <w:r>
        <w:rPr>
          <w:rFonts w:hint="eastAsia" w:ascii="宋体" w:hAnsi="宋体"/>
          <w:bCs/>
          <w:szCs w:val="21"/>
        </w:rPr>
        <w:t>24.3  在详细评标之前，评标委员会要审查每份投标文件是否实质上响应了招标文件的要求。实质上响应的投标应该是与招标文件要求的全部条款、条件和规格基本相符。没有重大偏离。</w:t>
      </w:r>
      <w:r>
        <w:rPr>
          <w:rFonts w:hint="eastAsia" w:ascii="宋体" w:hAnsi="宋体"/>
          <w:b/>
          <w:bCs/>
          <w:szCs w:val="21"/>
        </w:rPr>
        <w:t>评标委员会决定投标的响应性只根据投标文件本身的内容，而不寻求外部的证据。</w:t>
      </w:r>
    </w:p>
    <w:p>
      <w:pPr>
        <w:widowControl w:val="0"/>
        <w:tabs>
          <w:tab w:val="left" w:pos="927"/>
        </w:tabs>
        <w:ind w:firstLine="0" w:firstLineChars="0"/>
        <w:jc w:val="both"/>
        <w:rPr>
          <w:rFonts w:ascii="宋体" w:hAnsi="宋体"/>
          <w:bCs/>
          <w:szCs w:val="21"/>
        </w:rPr>
      </w:pPr>
      <w:r>
        <w:rPr>
          <w:rFonts w:hint="eastAsia" w:ascii="宋体" w:hAnsi="宋体"/>
          <w:bCs/>
          <w:szCs w:val="21"/>
        </w:rPr>
        <w:t>24.4</w:t>
      </w:r>
      <w:r>
        <w:rPr>
          <w:rFonts w:hint="eastAsia" w:ascii="宋体" w:hAnsi="宋体"/>
          <w:b/>
          <w:bCs/>
          <w:szCs w:val="21"/>
        </w:rPr>
        <w:t xml:space="preserve">   实质上没有响应招标文件要求的投标将被拒绝，</w:t>
      </w:r>
      <w:r>
        <w:rPr>
          <w:rFonts w:hint="eastAsia" w:ascii="宋体" w:hAnsi="宋体"/>
          <w:bCs/>
          <w:szCs w:val="21"/>
        </w:rPr>
        <w:t>投标人不得通过修正或撤消不合要求的偏离或保留从而使其投标成为实质上响应的投标。</w:t>
      </w:r>
    </w:p>
    <w:p>
      <w:pPr>
        <w:widowControl w:val="0"/>
        <w:tabs>
          <w:tab w:val="left" w:pos="720"/>
          <w:tab w:val="left" w:pos="900"/>
        </w:tabs>
        <w:ind w:firstLine="0" w:firstLineChars="0"/>
        <w:jc w:val="both"/>
        <w:rPr>
          <w:rFonts w:ascii="宋体" w:hAnsi="宋体"/>
          <w:b/>
          <w:bCs/>
          <w:szCs w:val="21"/>
        </w:rPr>
      </w:pPr>
      <w:r>
        <w:rPr>
          <w:rFonts w:hint="eastAsia" w:ascii="宋体" w:hAnsi="宋体"/>
          <w:bCs/>
          <w:szCs w:val="21"/>
        </w:rPr>
        <w:t>24.5</w:t>
      </w:r>
      <w:r>
        <w:rPr>
          <w:rFonts w:hint="eastAsia" w:ascii="宋体" w:hAnsi="宋体"/>
          <w:b/>
          <w:bCs/>
          <w:szCs w:val="21"/>
        </w:rPr>
        <w:t xml:space="preserve">   评标委员会对审查合格的投标文件按照招标文件中制订的评审方法进行综合评审</w:t>
      </w:r>
      <w:r>
        <w:rPr>
          <w:rFonts w:hint="eastAsia" w:ascii="宋体" w:hAnsi="宋体"/>
          <w:bCs/>
          <w:szCs w:val="21"/>
        </w:rPr>
        <w:t>。</w:t>
      </w:r>
    </w:p>
    <w:p>
      <w:pPr>
        <w:widowControl w:val="0"/>
        <w:tabs>
          <w:tab w:val="left" w:pos="720"/>
        </w:tabs>
        <w:ind w:firstLine="0" w:firstLineChars="0"/>
        <w:jc w:val="both"/>
        <w:rPr>
          <w:rFonts w:ascii="宋体" w:hAnsi="宋体"/>
          <w:bCs/>
          <w:szCs w:val="21"/>
        </w:rPr>
      </w:pPr>
      <w:r>
        <w:rPr>
          <w:rFonts w:hint="eastAsia" w:ascii="宋体" w:hAnsi="宋体"/>
          <w:bCs/>
          <w:szCs w:val="21"/>
        </w:rPr>
        <w:t>24.6   评审过程中遇到特殊情况，由评标小组遵循公开、公正原则，采取投票方式按照少数服从多数原则决定。</w:t>
      </w:r>
    </w:p>
    <w:p>
      <w:pPr>
        <w:widowControl w:val="0"/>
        <w:numPr>
          <w:ilvl w:val="0"/>
          <w:numId w:val="6"/>
        </w:numPr>
        <w:tabs>
          <w:tab w:val="left" w:pos="720"/>
        </w:tabs>
        <w:ind w:left="0" w:firstLine="0" w:firstLineChars="0"/>
        <w:jc w:val="both"/>
        <w:rPr>
          <w:rFonts w:ascii="宋体" w:hAnsi="宋体"/>
          <w:b/>
          <w:bCs/>
          <w:sz w:val="24"/>
          <w:szCs w:val="24"/>
        </w:rPr>
      </w:pPr>
      <w:r>
        <w:rPr>
          <w:rFonts w:hint="eastAsia" w:ascii="宋体" w:hAnsi="宋体"/>
          <w:b/>
          <w:bCs/>
          <w:sz w:val="24"/>
          <w:szCs w:val="24"/>
        </w:rPr>
        <w:t xml:space="preserve">   投标文件的澄清</w:t>
      </w:r>
    </w:p>
    <w:p>
      <w:pPr>
        <w:widowControl w:val="0"/>
        <w:numPr>
          <w:ilvl w:val="1"/>
          <w:numId w:val="6"/>
        </w:numPr>
        <w:tabs>
          <w:tab w:val="left" w:pos="0"/>
        </w:tabs>
        <w:ind w:left="0" w:firstLine="0" w:firstLineChars="0"/>
        <w:jc w:val="both"/>
        <w:rPr>
          <w:rFonts w:ascii="宋体" w:hAnsi="宋体" w:cs="Arial"/>
          <w:bCs/>
          <w:szCs w:val="21"/>
        </w:rPr>
      </w:pPr>
      <w:r>
        <w:rPr>
          <w:rFonts w:ascii="宋体" w:hAnsi="宋体" w:cs="Arial"/>
          <w:bCs/>
          <w:szCs w:val="21"/>
        </w:rPr>
        <w:t>在评标期间，评标委员会可以书面方式要求投标人对投标文件中含义不明确、对同类问题表述不一致或者有明显文字和计算错误的内容作必要的澄清、说明或补正。澄清、说明或补正应以书面形式并由授权代表签署，但澄清内容不得超出投标文件的范围或者改变投标文件的实质性内容。拒不按要求对其投标文件进行澄清，说明或补正的投标人，评标委员会可以否决其投标。</w:t>
      </w:r>
    </w:p>
    <w:p>
      <w:pPr>
        <w:widowControl w:val="0"/>
        <w:numPr>
          <w:ilvl w:val="1"/>
          <w:numId w:val="6"/>
        </w:numPr>
        <w:tabs>
          <w:tab w:val="left" w:pos="720"/>
        </w:tabs>
        <w:ind w:left="0" w:firstLine="0" w:firstLineChars="0"/>
        <w:jc w:val="both"/>
        <w:rPr>
          <w:rFonts w:ascii="宋体" w:hAnsi="宋体" w:cs="Arial"/>
          <w:b/>
          <w:bCs/>
          <w:szCs w:val="21"/>
        </w:rPr>
      </w:pPr>
      <w:r>
        <w:rPr>
          <w:rFonts w:hint="eastAsia" w:ascii="宋体" w:hAnsi="宋体" w:cs="Arial"/>
          <w:b/>
          <w:bCs/>
          <w:szCs w:val="21"/>
        </w:rPr>
        <w:t>经澄清后，若偏差仍存在，且不可接受，投标人则被认为是“没有实质性响应招标文件要求”，其投标不进入下一步评审。</w:t>
      </w:r>
    </w:p>
    <w:p>
      <w:pPr>
        <w:widowControl w:val="0"/>
        <w:numPr>
          <w:ilvl w:val="0"/>
          <w:numId w:val="6"/>
        </w:numPr>
        <w:tabs>
          <w:tab w:val="left" w:pos="720"/>
          <w:tab w:val="left" w:pos="900"/>
          <w:tab w:val="clear" w:pos="420"/>
        </w:tabs>
        <w:ind w:left="0" w:firstLine="0" w:firstLineChars="0"/>
        <w:jc w:val="both"/>
        <w:rPr>
          <w:rFonts w:ascii="宋体" w:hAnsi="宋体"/>
          <w:b/>
          <w:bCs/>
          <w:sz w:val="24"/>
          <w:szCs w:val="24"/>
        </w:rPr>
      </w:pPr>
      <w:r>
        <w:rPr>
          <w:rFonts w:hint="eastAsia" w:ascii="宋体" w:hAnsi="宋体"/>
          <w:b/>
          <w:bCs/>
          <w:sz w:val="24"/>
          <w:szCs w:val="24"/>
        </w:rPr>
        <w:t>确定中标候选人</w:t>
      </w:r>
    </w:p>
    <w:p>
      <w:pPr>
        <w:widowControl w:val="0"/>
        <w:numPr>
          <w:ilvl w:val="1"/>
          <w:numId w:val="6"/>
        </w:numPr>
        <w:tabs>
          <w:tab w:val="left" w:pos="720"/>
        </w:tabs>
        <w:ind w:left="0" w:firstLine="0" w:firstLineChars="0"/>
        <w:jc w:val="both"/>
        <w:rPr>
          <w:rFonts w:ascii="宋体" w:hAnsi="宋体" w:cs="Arial"/>
          <w:bCs/>
          <w:szCs w:val="21"/>
        </w:rPr>
      </w:pPr>
      <w:r>
        <w:rPr>
          <w:rFonts w:hint="eastAsia" w:ascii="宋体" w:hAnsi="宋体"/>
        </w:rPr>
        <w:t>如果本项目所有投标人的投标报价均高于该标段本次采购最高限价，采购人将宣告本次招标失败。</w:t>
      </w:r>
    </w:p>
    <w:p>
      <w:pPr>
        <w:widowControl w:val="0"/>
        <w:numPr>
          <w:ilvl w:val="1"/>
          <w:numId w:val="6"/>
        </w:numPr>
        <w:tabs>
          <w:tab w:val="left" w:pos="720"/>
        </w:tabs>
        <w:ind w:left="0" w:firstLine="0" w:firstLineChars="0"/>
        <w:jc w:val="both"/>
        <w:rPr>
          <w:rFonts w:ascii="宋体" w:hAnsi="宋体" w:cs="Arial"/>
          <w:bCs/>
          <w:szCs w:val="21"/>
        </w:rPr>
      </w:pPr>
      <w:r>
        <w:rPr>
          <w:rFonts w:hint="eastAsia" w:ascii="宋体" w:hAnsi="宋体" w:cs="Arial"/>
          <w:bCs/>
          <w:szCs w:val="21"/>
        </w:rPr>
        <w:t>本次招标由评标委员会确定中标候选人。</w:t>
      </w:r>
    </w:p>
    <w:p>
      <w:pPr>
        <w:ind w:firstLine="0" w:firstLineChars="0"/>
        <w:jc w:val="both"/>
        <w:rPr>
          <w:rFonts w:ascii="宋体" w:hAnsi="宋体"/>
        </w:rPr>
      </w:pPr>
      <w:r>
        <w:rPr>
          <w:rFonts w:hint="eastAsia" w:ascii="宋体" w:hAnsi="宋体"/>
        </w:rPr>
        <w:t>招标代理机构按评审委员会的评审结果，在评审委员会推荐的3名候选人中依法确定排名第一的候选人（投标价不超过项目最高限价的前提下）为中标人。招标代理机构将在</w:t>
      </w:r>
      <w:r>
        <w:rPr>
          <w:rFonts w:hint="eastAsia" w:ascii="宋体" w:hAnsi="宋体"/>
          <w:szCs w:val="21"/>
        </w:rPr>
        <w:t>青海省公共资源交易网上、青海省政府政采云</w:t>
      </w:r>
      <w:r>
        <w:rPr>
          <w:rFonts w:hint="eastAsia" w:ascii="宋体" w:hAnsi="宋体"/>
        </w:rPr>
        <w:t>发布。</w:t>
      </w:r>
    </w:p>
    <w:p>
      <w:pPr>
        <w:widowControl w:val="0"/>
        <w:numPr>
          <w:ilvl w:val="1"/>
          <w:numId w:val="6"/>
        </w:numPr>
        <w:tabs>
          <w:tab w:val="left" w:pos="720"/>
        </w:tabs>
        <w:ind w:left="0" w:firstLine="0" w:firstLineChars="0"/>
        <w:jc w:val="both"/>
        <w:rPr>
          <w:rFonts w:ascii="宋体" w:hAnsi="宋体" w:cs="Arial"/>
          <w:bCs/>
          <w:szCs w:val="21"/>
        </w:rPr>
      </w:pPr>
      <w:r>
        <w:rPr>
          <w:rFonts w:hint="eastAsia" w:ascii="宋体" w:hAnsi="宋体" w:cs="Arial"/>
          <w:bCs/>
          <w:szCs w:val="21"/>
        </w:rPr>
        <w:t>排名第一的中标候选人放弃中标；因不可抗力提出不能履行合同；或未能在规定时间内与采购单位签订合同的；或者经质疑，采购人审查后，确因排名第一的候选人在本次采购活动中存在违法违规行为或其他原因使质疑成立的，采购人可视具体情况确定是否由排名第二的中标候选人为中标人。再如</w:t>
      </w:r>
      <w:r>
        <w:rPr>
          <w:rFonts w:ascii="宋体" w:hAnsi="宋体" w:cs="Arial"/>
          <w:bCs/>
          <w:szCs w:val="21"/>
        </w:rPr>
        <w:t>排名第二的中标候选人</w:t>
      </w:r>
      <w:r>
        <w:rPr>
          <w:rFonts w:hint="eastAsia" w:ascii="宋体" w:hAnsi="宋体" w:cs="Arial"/>
          <w:bCs/>
          <w:szCs w:val="21"/>
        </w:rPr>
        <w:t>也存在前述</w:t>
      </w:r>
      <w:r>
        <w:rPr>
          <w:rFonts w:ascii="宋体" w:hAnsi="宋体" w:cs="Arial"/>
          <w:bCs/>
          <w:szCs w:val="21"/>
        </w:rPr>
        <w:t>原因</w:t>
      </w:r>
      <w:r>
        <w:rPr>
          <w:rFonts w:hint="eastAsia" w:ascii="宋体" w:hAnsi="宋体" w:cs="Arial"/>
          <w:bCs/>
          <w:szCs w:val="21"/>
        </w:rPr>
        <w:t>的</w:t>
      </w:r>
      <w:r>
        <w:rPr>
          <w:rFonts w:ascii="宋体" w:hAnsi="宋体" w:cs="Arial"/>
          <w:bCs/>
          <w:szCs w:val="21"/>
        </w:rPr>
        <w:t>，</w:t>
      </w:r>
      <w:r>
        <w:rPr>
          <w:rFonts w:hint="eastAsia" w:ascii="宋体" w:hAnsi="宋体" w:cs="Arial"/>
          <w:bCs/>
          <w:szCs w:val="21"/>
        </w:rPr>
        <w:t>采购人宣布本次招标失败，则组织重新招标。</w:t>
      </w:r>
    </w:p>
    <w:p>
      <w:pPr>
        <w:widowControl w:val="0"/>
        <w:numPr>
          <w:ilvl w:val="1"/>
          <w:numId w:val="6"/>
        </w:numPr>
        <w:tabs>
          <w:tab w:val="left" w:pos="720"/>
        </w:tabs>
        <w:ind w:left="0" w:firstLine="0" w:firstLineChars="0"/>
        <w:jc w:val="both"/>
        <w:rPr>
          <w:rFonts w:ascii="宋体" w:hAnsi="宋体" w:cs="Arial"/>
          <w:b/>
          <w:bCs/>
          <w:szCs w:val="21"/>
        </w:rPr>
      </w:pPr>
      <w:r>
        <w:rPr>
          <w:rFonts w:hint="eastAsia" w:ascii="宋体" w:hAnsi="宋体" w:cs="Arial"/>
          <w:b/>
          <w:bCs/>
          <w:szCs w:val="21"/>
        </w:rPr>
        <w:t>采购人对决标结果不做任何解释，也不保证最低价中标。</w:t>
      </w:r>
    </w:p>
    <w:p>
      <w:pPr>
        <w:widowControl w:val="0"/>
        <w:numPr>
          <w:ilvl w:val="1"/>
          <w:numId w:val="6"/>
        </w:numPr>
        <w:tabs>
          <w:tab w:val="left" w:pos="720"/>
        </w:tabs>
        <w:ind w:left="0" w:firstLine="0" w:firstLineChars="0"/>
        <w:jc w:val="both"/>
        <w:rPr>
          <w:rFonts w:ascii="宋体" w:hAnsi="宋体" w:cs="Arial"/>
          <w:b/>
          <w:bCs/>
          <w:szCs w:val="21"/>
        </w:rPr>
      </w:pPr>
      <w:r>
        <w:rPr>
          <w:rFonts w:hint="eastAsia" w:ascii="宋体" w:hAnsi="宋体" w:cs="Arial"/>
          <w:b/>
          <w:bCs/>
          <w:szCs w:val="21"/>
        </w:rPr>
        <w:t>若投标人同时取得多个标段的中标候选人资格且投标文件中拟委派人员重复时，保留其最高投标报价标段的中标候选人资格，其他标段按推荐中标候选人排名依次类推。</w:t>
      </w:r>
    </w:p>
    <w:p>
      <w:pPr>
        <w:widowControl w:val="0"/>
        <w:numPr>
          <w:ilvl w:val="0"/>
          <w:numId w:val="6"/>
        </w:numPr>
        <w:tabs>
          <w:tab w:val="left" w:pos="720"/>
          <w:tab w:val="clear" w:pos="420"/>
        </w:tabs>
        <w:ind w:left="0" w:firstLine="0" w:firstLineChars="0"/>
        <w:jc w:val="both"/>
        <w:rPr>
          <w:rFonts w:ascii="宋体" w:hAnsi="宋体"/>
          <w:b/>
          <w:bCs/>
          <w:sz w:val="24"/>
          <w:szCs w:val="24"/>
        </w:rPr>
      </w:pPr>
      <w:r>
        <w:rPr>
          <w:rFonts w:hint="eastAsia" w:ascii="宋体" w:hAnsi="宋体"/>
          <w:sz w:val="24"/>
          <w:szCs w:val="24"/>
        </w:rPr>
        <w:t>评标细则详见第六部分“评标原则及方法”。</w:t>
      </w:r>
    </w:p>
    <w:p>
      <w:pPr>
        <w:numPr>
          <w:ilvl w:val="0"/>
          <w:numId w:val="6"/>
        </w:numPr>
        <w:ind w:left="0" w:firstLine="0" w:firstLineChars="0"/>
        <w:jc w:val="both"/>
        <w:rPr>
          <w:rFonts w:ascii="宋体" w:hAnsi="宋体"/>
          <w:b/>
          <w:sz w:val="24"/>
          <w:szCs w:val="24"/>
        </w:rPr>
      </w:pPr>
      <w:r>
        <w:rPr>
          <w:rFonts w:hint="eastAsia" w:ascii="宋体" w:hAnsi="宋体"/>
          <w:b/>
          <w:sz w:val="24"/>
          <w:szCs w:val="24"/>
        </w:rPr>
        <w:t>评审结果质疑和投诉</w:t>
      </w:r>
    </w:p>
    <w:p>
      <w:pPr>
        <w:widowControl w:val="0"/>
        <w:numPr>
          <w:ilvl w:val="1"/>
          <w:numId w:val="6"/>
        </w:numPr>
        <w:ind w:left="0" w:firstLine="0" w:firstLineChars="0"/>
        <w:jc w:val="both"/>
        <w:rPr>
          <w:rFonts w:ascii="宋体" w:hAnsi="宋体"/>
        </w:rPr>
      </w:pPr>
      <w:r>
        <w:rPr>
          <w:rFonts w:hint="eastAsia" w:ascii="宋体" w:hAnsi="宋体"/>
        </w:rPr>
        <w:t>如投标人对评审结果有异议，可向招标采购单位提出质疑有关联系方式如下：</w:t>
      </w:r>
    </w:p>
    <w:p>
      <w:pPr>
        <w:tabs>
          <w:tab w:val="left" w:pos="900"/>
        </w:tabs>
        <w:ind w:firstLine="0" w:firstLineChars="0"/>
        <w:rPr>
          <w:rFonts w:ascii="宋体" w:hAnsi="宋体"/>
        </w:rPr>
      </w:pPr>
      <w:r>
        <w:rPr>
          <w:rFonts w:hint="eastAsia" w:ascii="宋体" w:hAnsi="宋体"/>
        </w:rPr>
        <w:t>受理机构：</w:t>
      </w:r>
      <w:r>
        <w:rPr>
          <w:rFonts w:hint="eastAsia" w:ascii="宋体" w:hAnsi="宋体" w:cs="Arial"/>
          <w:szCs w:val="21"/>
        </w:rPr>
        <w:t>青海省禹龙水利水电工程招标技术咨询中心</w:t>
      </w:r>
    </w:p>
    <w:p>
      <w:pPr>
        <w:tabs>
          <w:tab w:val="left" w:pos="900"/>
        </w:tabs>
        <w:ind w:firstLine="0" w:firstLineChars="0"/>
        <w:rPr>
          <w:rFonts w:ascii="宋体" w:hAnsi="宋体"/>
        </w:rPr>
      </w:pPr>
      <w:r>
        <w:rPr>
          <w:rFonts w:hint="eastAsia" w:ascii="宋体" w:hAnsi="宋体"/>
        </w:rPr>
        <w:t>投诉电话：0971-6161402</w:t>
      </w:r>
    </w:p>
    <w:p>
      <w:pPr>
        <w:widowControl w:val="0"/>
        <w:numPr>
          <w:ilvl w:val="1"/>
          <w:numId w:val="6"/>
        </w:numPr>
        <w:ind w:left="0" w:firstLine="0" w:firstLineChars="0"/>
        <w:jc w:val="both"/>
        <w:rPr>
          <w:rFonts w:ascii="宋体" w:hAnsi="宋体"/>
        </w:rPr>
      </w:pPr>
      <w:r>
        <w:rPr>
          <w:rFonts w:hint="eastAsia" w:ascii="宋体" w:hAnsi="宋体"/>
        </w:rPr>
        <w:t>如投标人对评审结果有异议，可向主管部门办公室提出投诉，有关联系方式如下：</w:t>
      </w:r>
    </w:p>
    <w:p>
      <w:pPr>
        <w:widowControl w:val="0"/>
        <w:ind w:firstLine="0" w:firstLineChars="0"/>
        <w:jc w:val="both"/>
        <w:rPr>
          <w:rFonts w:ascii="宋体" w:hAnsi="宋体"/>
        </w:rPr>
      </w:pPr>
      <w:r>
        <w:rPr>
          <w:rFonts w:hint="eastAsia" w:ascii="宋体" w:hAnsi="宋体"/>
        </w:rPr>
        <w:t>受理机构：</w:t>
      </w:r>
    </w:p>
    <w:p>
      <w:pPr>
        <w:ind w:firstLine="0" w:firstLineChars="0"/>
        <w:jc w:val="both"/>
        <w:rPr>
          <w:rFonts w:ascii="宋体" w:hAnsi="宋体"/>
        </w:rPr>
      </w:pPr>
      <w:r>
        <w:rPr>
          <w:rFonts w:hint="eastAsia" w:ascii="宋体" w:hAnsi="宋体"/>
        </w:rPr>
        <w:t>投诉电话：</w:t>
      </w:r>
    </w:p>
    <w:p>
      <w:pPr>
        <w:pStyle w:val="3"/>
        <w:ind w:firstLine="0" w:firstLineChars="0"/>
      </w:pPr>
      <w:bookmarkStart w:id="43" w:name="_Toc10900"/>
      <w:bookmarkStart w:id="44" w:name="_Toc31635"/>
      <w:bookmarkStart w:id="45" w:name="_Toc176666479"/>
      <w:bookmarkStart w:id="46" w:name="_Toc176658516"/>
      <w:bookmarkStart w:id="47" w:name="_Toc61249558"/>
      <w:r>
        <w:rPr>
          <w:rFonts w:hint="eastAsia"/>
        </w:rPr>
        <w:t>（六）授予合同</w:t>
      </w:r>
      <w:bookmarkEnd w:id="43"/>
      <w:bookmarkEnd w:id="44"/>
      <w:bookmarkEnd w:id="45"/>
      <w:bookmarkEnd w:id="46"/>
      <w:bookmarkEnd w:id="47"/>
    </w:p>
    <w:p>
      <w:pPr>
        <w:widowControl w:val="0"/>
        <w:numPr>
          <w:ilvl w:val="0"/>
          <w:numId w:val="6"/>
        </w:numPr>
        <w:tabs>
          <w:tab w:val="left" w:pos="720"/>
        </w:tabs>
        <w:ind w:left="0" w:firstLine="0" w:firstLineChars="0"/>
        <w:jc w:val="both"/>
        <w:rPr>
          <w:rFonts w:ascii="宋体" w:hAnsi="宋体"/>
          <w:b/>
          <w:bCs/>
          <w:sz w:val="24"/>
          <w:szCs w:val="24"/>
        </w:rPr>
      </w:pPr>
      <w:r>
        <w:rPr>
          <w:rFonts w:hint="eastAsia" w:ascii="宋体" w:hAnsi="宋体"/>
          <w:b/>
          <w:bCs/>
          <w:sz w:val="24"/>
          <w:szCs w:val="24"/>
        </w:rPr>
        <w:t xml:space="preserve">  中标通知书</w:t>
      </w:r>
    </w:p>
    <w:p>
      <w:pPr>
        <w:numPr>
          <w:ilvl w:val="1"/>
          <w:numId w:val="6"/>
        </w:numPr>
        <w:ind w:left="0" w:firstLine="0" w:firstLineChars="0"/>
        <w:rPr>
          <w:rFonts w:ascii="宋体" w:hAnsi="宋体"/>
          <w:color w:val="000000"/>
          <w:shd w:val="pct10" w:color="auto" w:fill="FFFFFF"/>
        </w:rPr>
      </w:pPr>
      <w:r>
        <w:rPr>
          <w:rFonts w:hint="eastAsia" w:ascii="宋体" w:hAnsi="宋体"/>
          <w:color w:val="000000"/>
        </w:rPr>
        <w:t>集中采购机构自中标供应商确定之日起2个工作日内，在青海政府采购信息网上公告中标结果，公告期限为1个工作日。在公告中标结果的同时，集中采购机构应当向中标人发出中标通知书；对未通过资格审查的投标人，告知其未通过的原因；告知未中标人本人的评审得分与排序。</w:t>
      </w:r>
    </w:p>
    <w:p>
      <w:pPr>
        <w:widowControl w:val="0"/>
        <w:numPr>
          <w:ilvl w:val="1"/>
          <w:numId w:val="6"/>
        </w:numPr>
        <w:tabs>
          <w:tab w:val="left" w:pos="420"/>
          <w:tab w:val="left" w:pos="720"/>
        </w:tabs>
        <w:ind w:left="0" w:firstLine="0" w:firstLineChars="0"/>
        <w:jc w:val="both"/>
        <w:rPr>
          <w:rFonts w:ascii="宋体" w:hAnsi="宋体"/>
          <w:bCs/>
          <w:szCs w:val="21"/>
        </w:rPr>
      </w:pPr>
      <w:r>
        <w:rPr>
          <w:rFonts w:hint="eastAsia" w:ascii="宋体" w:hAnsi="宋体"/>
          <w:color w:val="000000"/>
        </w:rPr>
        <w:t xml:space="preserve">   《中标通知书》发出后，采购人改变中标结果的，或者中标供应商无正当理由放弃中标项目的，依法承担法律责任。</w:t>
      </w:r>
    </w:p>
    <w:p>
      <w:pPr>
        <w:widowControl w:val="0"/>
        <w:numPr>
          <w:ilvl w:val="0"/>
          <w:numId w:val="6"/>
        </w:numPr>
        <w:tabs>
          <w:tab w:val="left" w:pos="720"/>
        </w:tabs>
        <w:ind w:left="0" w:firstLine="0" w:firstLineChars="0"/>
        <w:jc w:val="both"/>
        <w:rPr>
          <w:rFonts w:ascii="宋体" w:hAnsi="宋体"/>
          <w:b/>
          <w:bCs/>
          <w:szCs w:val="21"/>
        </w:rPr>
      </w:pPr>
      <w:r>
        <w:rPr>
          <w:rFonts w:hint="eastAsia" w:ascii="宋体" w:hAnsi="宋体"/>
          <w:b/>
          <w:bCs/>
          <w:szCs w:val="21"/>
        </w:rPr>
        <w:t xml:space="preserve">  授标时更改采购工程数量的权力</w:t>
      </w:r>
    </w:p>
    <w:p>
      <w:pPr>
        <w:widowControl w:val="0"/>
        <w:numPr>
          <w:ilvl w:val="1"/>
          <w:numId w:val="6"/>
        </w:numPr>
        <w:tabs>
          <w:tab w:val="left" w:pos="420"/>
          <w:tab w:val="left" w:pos="720"/>
        </w:tabs>
        <w:ind w:left="0" w:firstLine="0" w:firstLineChars="0"/>
        <w:jc w:val="both"/>
        <w:rPr>
          <w:rFonts w:ascii="宋体" w:hAnsi="宋体"/>
          <w:bCs/>
          <w:szCs w:val="21"/>
        </w:rPr>
      </w:pPr>
      <w:r>
        <w:rPr>
          <w:rFonts w:hint="eastAsia" w:ascii="宋体" w:hAnsi="宋体"/>
          <w:bCs/>
          <w:szCs w:val="21"/>
        </w:rPr>
        <w:t xml:space="preserve">  采购人在授予合同时有权对采购工程的数量和服务在一定幅度范围内予以增加或减少,但在合同约定范围内不得对单价和其他的条款和条件作任何改变。</w:t>
      </w:r>
    </w:p>
    <w:p>
      <w:pPr>
        <w:widowControl w:val="0"/>
        <w:numPr>
          <w:ilvl w:val="0"/>
          <w:numId w:val="6"/>
        </w:numPr>
        <w:tabs>
          <w:tab w:val="left" w:pos="720"/>
        </w:tabs>
        <w:ind w:left="0" w:firstLine="0" w:firstLineChars="0"/>
        <w:jc w:val="both"/>
        <w:rPr>
          <w:rFonts w:ascii="宋体" w:hAnsi="宋体"/>
          <w:b/>
          <w:bCs/>
          <w:szCs w:val="21"/>
        </w:rPr>
      </w:pPr>
      <w:r>
        <w:rPr>
          <w:rFonts w:hint="eastAsia" w:ascii="宋体" w:hAnsi="宋体"/>
          <w:b/>
          <w:bCs/>
          <w:szCs w:val="21"/>
        </w:rPr>
        <w:t xml:space="preserve">   签订合同</w:t>
      </w:r>
    </w:p>
    <w:p>
      <w:pPr>
        <w:numPr>
          <w:ilvl w:val="1"/>
          <w:numId w:val="6"/>
        </w:numPr>
        <w:ind w:left="0" w:firstLine="0" w:firstLineChars="0"/>
        <w:rPr>
          <w:rFonts w:ascii="宋体" w:hAnsi="宋体"/>
          <w:color w:val="000000"/>
        </w:rPr>
      </w:pPr>
      <w:r>
        <w:rPr>
          <w:rFonts w:hint="eastAsia" w:ascii="宋体" w:hAnsi="宋体"/>
          <w:color w:val="000000"/>
        </w:rPr>
        <w:t>采购人与中标供应商双方应当自《中标通知书》发出之日起30日内，按照招标文件确定的合同文本以及采购标的、规格型号、采购金额、采购数量、技术和服务要求等事项签订采购合同，并报湟中区采购中心审核备案。</w:t>
      </w:r>
    </w:p>
    <w:p>
      <w:pPr>
        <w:numPr>
          <w:ilvl w:val="1"/>
          <w:numId w:val="6"/>
        </w:numPr>
        <w:ind w:left="0" w:firstLine="0" w:firstLineChars="0"/>
        <w:rPr>
          <w:rFonts w:ascii="宋体" w:hAnsi="宋体"/>
          <w:color w:val="000000"/>
        </w:rPr>
      </w:pPr>
      <w:r>
        <w:rPr>
          <w:rFonts w:hint="eastAsia" w:ascii="宋体" w:hAnsi="宋体"/>
          <w:color w:val="000000"/>
        </w:rPr>
        <w:t>中标供应商在法定期限内无正当理由拒签合同的，按违约处理。同时，集中采购机构和采购人可依评标排序重新确定中标供应商，并协调双方签订采购合同。</w:t>
      </w:r>
    </w:p>
    <w:p>
      <w:pPr>
        <w:numPr>
          <w:ilvl w:val="1"/>
          <w:numId w:val="6"/>
        </w:numPr>
        <w:ind w:left="0" w:firstLine="0" w:firstLineChars="0"/>
        <w:rPr>
          <w:rFonts w:ascii="宋体" w:hAnsi="宋体"/>
          <w:color w:val="000000"/>
        </w:rPr>
      </w:pPr>
      <w:r>
        <w:rPr>
          <w:rFonts w:hint="eastAsia" w:ascii="宋体" w:hAnsi="宋体"/>
          <w:color w:val="000000"/>
        </w:rPr>
        <w:t>采购人不得向中标供应商提出任何不合理的要求作为订立合同的条件，采购人和中标供应商不得私下订立背离合同实质性内容的协议。</w:t>
      </w:r>
    </w:p>
    <w:p>
      <w:pPr>
        <w:numPr>
          <w:ilvl w:val="1"/>
          <w:numId w:val="6"/>
        </w:numPr>
        <w:ind w:left="0" w:firstLine="0" w:firstLineChars="0"/>
        <w:rPr>
          <w:rFonts w:ascii="宋体" w:hAnsi="宋体"/>
          <w:color w:val="000000"/>
        </w:rPr>
      </w:pPr>
      <w:r>
        <w:rPr>
          <w:rFonts w:hint="eastAsia" w:ascii="宋体" w:hAnsi="宋体"/>
          <w:color w:val="000000"/>
        </w:rPr>
        <w:t>招标文件、中标供应商的投标文件、《中标通知书》及其澄清、说明文件等，均为签订采购合同的依据。</w:t>
      </w:r>
    </w:p>
    <w:p>
      <w:pPr>
        <w:widowControl w:val="0"/>
        <w:numPr>
          <w:ilvl w:val="1"/>
          <w:numId w:val="6"/>
        </w:numPr>
        <w:tabs>
          <w:tab w:val="left" w:pos="420"/>
          <w:tab w:val="left" w:pos="720"/>
        </w:tabs>
        <w:ind w:left="0" w:firstLine="0" w:firstLineChars="0"/>
        <w:jc w:val="both"/>
        <w:rPr>
          <w:rFonts w:ascii="宋体" w:hAnsi="宋体"/>
          <w:szCs w:val="21"/>
        </w:rPr>
      </w:pPr>
      <w:r>
        <w:rPr>
          <w:rFonts w:hint="eastAsia" w:ascii="宋体" w:hAnsi="宋体"/>
          <w:color w:val="000000"/>
        </w:rPr>
        <w:t xml:space="preserve">    采购人或集中采购机构应当自采购合同签订之日起2个工作日内，将采购合同在青海政府采购信息网上公告，但政府采购合同中涉及国家秘密、商业秘密的内容除外。</w:t>
      </w:r>
    </w:p>
    <w:p>
      <w:pPr>
        <w:widowControl w:val="0"/>
        <w:ind w:firstLine="0" w:firstLineChars="0"/>
        <w:jc w:val="both"/>
        <w:rPr>
          <w:rFonts w:ascii="宋体" w:hAnsi="宋体"/>
          <w:b/>
          <w:sz w:val="24"/>
        </w:rPr>
      </w:pPr>
      <w:r>
        <w:rPr>
          <w:rFonts w:hint="eastAsia" w:ascii="宋体" w:hAnsi="宋体" w:cs="Arial"/>
          <w:b/>
          <w:bCs/>
        </w:rPr>
        <w:t>32   服务和</w:t>
      </w:r>
      <w:r>
        <w:rPr>
          <w:rFonts w:ascii="宋体" w:hAnsi="宋体"/>
          <w:b/>
          <w:sz w:val="24"/>
        </w:rPr>
        <w:t>货款的支付</w:t>
      </w:r>
    </w:p>
    <w:p>
      <w:pPr>
        <w:ind w:firstLine="0" w:firstLineChars="0"/>
        <w:rPr>
          <w:rFonts w:ascii="宋体" w:hAnsi="宋体" w:cs="Arial"/>
        </w:rPr>
      </w:pPr>
      <w:r>
        <w:rPr>
          <w:rFonts w:hint="eastAsia" w:ascii="宋体" w:hAnsi="宋体" w:cs="Arial"/>
        </w:rPr>
        <w:t>由中标供应商与采购人自行结算</w:t>
      </w:r>
    </w:p>
    <w:p>
      <w:pPr>
        <w:ind w:firstLine="0" w:firstLineChars="0"/>
        <w:rPr>
          <w:rFonts w:ascii="宋体" w:hAnsi="宋体"/>
          <w:b/>
          <w:sz w:val="24"/>
        </w:rPr>
      </w:pPr>
      <w:r>
        <w:rPr>
          <w:rFonts w:hint="eastAsia" w:ascii="宋体" w:hAnsi="宋体"/>
          <w:b/>
          <w:sz w:val="24"/>
        </w:rPr>
        <w:t>34    招标代理服务费</w:t>
      </w:r>
    </w:p>
    <w:p>
      <w:pPr>
        <w:ind w:firstLine="0" w:firstLineChars="0"/>
        <w:rPr>
          <w:rFonts w:ascii="宋体" w:hAnsi="宋体"/>
        </w:rPr>
      </w:pPr>
      <w:r>
        <w:rPr>
          <w:rFonts w:hint="eastAsia" w:ascii="宋体" w:hAnsi="宋体"/>
        </w:rPr>
        <w:t>34.1   按照国家计委印发的《招标代理服务收费管理暂行办法》计价格[2002]1980号规定，招标代理服务收费按差额定率累进法计算收取，本次招标代理费，由招标</w:t>
      </w:r>
      <w:r>
        <w:rPr>
          <w:rFonts w:hint="eastAsia" w:ascii="宋体" w:hAnsi="宋体"/>
          <w:bCs/>
        </w:rPr>
        <w:t>人</w:t>
      </w:r>
      <w:r>
        <w:rPr>
          <w:rFonts w:hint="eastAsia" w:ascii="宋体" w:hAnsi="宋体"/>
        </w:rPr>
        <w:t>在项目实施合同签订后支付给招标代理机构。</w:t>
      </w:r>
      <w:bookmarkStart w:id="48" w:name="_Toc176658517"/>
      <w:bookmarkStart w:id="49" w:name="_Toc176666480"/>
      <w:bookmarkStart w:id="50" w:name="_Toc9550"/>
      <w:bookmarkStart w:id="51" w:name="_Toc2506"/>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r>
        <w:rPr>
          <w:rFonts w:ascii="宋体" w:hAnsi="宋体"/>
        </w:rPr>
        <w:br w:type="page"/>
      </w:r>
    </w:p>
    <w:p>
      <w:pPr>
        <w:pStyle w:val="2"/>
        <w:ind w:firstLine="883"/>
      </w:pPr>
      <w:bookmarkStart w:id="52" w:name="_Toc61249559"/>
      <w:r>
        <w:rPr>
          <w:rFonts w:hint="eastAsia"/>
        </w:rPr>
        <w:t>第三部分  招标内容及技术要求</w:t>
      </w:r>
      <w:bookmarkEnd w:id="48"/>
      <w:bookmarkEnd w:id="49"/>
      <w:bookmarkEnd w:id="50"/>
      <w:bookmarkEnd w:id="51"/>
      <w:bookmarkEnd w:id="52"/>
    </w:p>
    <w:p>
      <w:pPr>
        <w:ind w:firstLine="0" w:firstLineChars="0"/>
        <w:jc w:val="center"/>
        <w:rPr>
          <w:b/>
          <w:bCs/>
          <w:sz w:val="36"/>
          <w:szCs w:val="32"/>
        </w:rPr>
      </w:pPr>
      <w:r>
        <w:rPr>
          <w:rFonts w:hint="eastAsia"/>
          <w:b/>
          <w:bCs/>
          <w:sz w:val="36"/>
          <w:szCs w:val="32"/>
        </w:rPr>
        <w:t>西宁市湟中区水利工程管理与保护范围划定工作</w:t>
      </w:r>
    </w:p>
    <w:p>
      <w:pPr>
        <w:pStyle w:val="3"/>
        <w:ind w:firstLine="0" w:firstLineChars="0"/>
        <w:jc w:val="left"/>
        <w:rPr>
          <w:sz w:val="21"/>
          <w:szCs w:val="21"/>
        </w:rPr>
      </w:pPr>
      <w:bookmarkStart w:id="53" w:name="_Toc61249560"/>
      <w:r>
        <w:rPr>
          <w:sz w:val="21"/>
          <w:szCs w:val="21"/>
        </w:rPr>
        <w:t>一、项目概况</w:t>
      </w:r>
      <w:bookmarkEnd w:id="53"/>
    </w:p>
    <w:p>
      <w:pPr>
        <w:ind w:firstLine="0" w:firstLineChars="0"/>
      </w:pPr>
      <w:r>
        <w:rPr>
          <w:rFonts w:hint="eastAsia"/>
          <w:b/>
        </w:rPr>
        <w:t>1</w:t>
      </w:r>
      <w:r>
        <w:rPr>
          <w:rFonts w:hint="eastAsia"/>
          <w:b/>
          <w:bCs/>
        </w:rPr>
        <w:t>划定工作方案</w:t>
      </w:r>
    </w:p>
    <w:p>
      <w:pPr>
        <w:ind w:firstLine="0" w:firstLineChars="0"/>
        <w:rPr>
          <w:kern w:val="2"/>
          <w:szCs w:val="22"/>
        </w:rPr>
      </w:pPr>
      <w:r>
        <w:rPr>
          <w:rFonts w:hint="eastAsia"/>
          <w:kern w:val="2"/>
          <w:szCs w:val="22"/>
        </w:rPr>
        <w:t>划定工作技术路线</w:t>
      </w:r>
    </w:p>
    <w:p>
      <w:pPr>
        <w:ind w:firstLine="420"/>
        <w:rPr>
          <w:b/>
        </w:rPr>
      </w:pPr>
      <w:r>
        <w:rPr>
          <w:rFonts w:hint="eastAsia"/>
          <w:kern w:val="2"/>
          <w:szCs w:val="22"/>
        </w:rPr>
        <w:t>划定工作步骤为：测绘——划定范围—建立地理信息数据库——设置标识（电子栏栅及地面界桩）——形成成果报告——验收——公告——资料归档。</w:t>
      </w:r>
    </w:p>
    <w:p>
      <w:pPr>
        <w:ind w:firstLine="0" w:firstLineChars="0"/>
        <w:rPr>
          <w:b/>
        </w:rPr>
      </w:pPr>
      <w:r>
        <w:rPr>
          <w:rFonts w:hint="eastAsia"/>
          <w:b/>
        </w:rPr>
        <w:t>2主要工作内容及工期：</w:t>
      </w:r>
    </w:p>
    <w:p>
      <w:pPr>
        <w:ind w:firstLine="420"/>
        <w:rPr>
          <w:rFonts w:ascii="宋体" w:hAnsi="宋体" w:cs="Arial"/>
          <w:szCs w:val="22"/>
        </w:rPr>
      </w:pPr>
      <w:r>
        <w:rPr>
          <w:rFonts w:hint="eastAsia" w:ascii="宋体" w:hAnsi="宋体" w:cs="Arial"/>
          <w:szCs w:val="22"/>
        </w:rPr>
        <w:t>（1）收集整理分析资料并开展现场调查，了解水利工程、水位、气象、社会经济等基本情况,调查应划定的水库和水利工程长度、面积及划定依据等。</w:t>
      </w:r>
    </w:p>
    <w:p>
      <w:pPr>
        <w:ind w:firstLine="420"/>
        <w:rPr>
          <w:rFonts w:ascii="宋体" w:hAnsi="宋体" w:cs="Arial"/>
          <w:szCs w:val="22"/>
        </w:rPr>
      </w:pPr>
      <w:r>
        <w:rPr>
          <w:rFonts w:hint="eastAsia" w:ascii="宋体" w:hAnsi="宋体" w:cs="Arial"/>
          <w:szCs w:val="22"/>
        </w:rPr>
        <w:t>（2）在调查摸底的基础上，由西宁市水务局统一编制西宁市水利工程管理与保护范围划定实施方案，逐一列出重点水利工程名录、明确目标、细化任务，确定技术路线、责任分工、保障措施、进度要求，测算工作经费及来源。方案编制完成后进行技术审查，西宁市人民政府批复。根据省水利厅要求，原则上各县区水利局及城中区自然资源局不再另行编制实施方案，实施方案经市政府批准后，各县区水利局及城中区自然资源局及时协调同级财政等部门组织实施。若后期各县区具体实施过程中出现工程数量或规模变化，不符合水利部划定标准，各县区可先进行变更，再开展划定工作。</w:t>
      </w:r>
    </w:p>
    <w:p>
      <w:pPr>
        <w:ind w:firstLine="420"/>
        <w:rPr>
          <w:rFonts w:ascii="宋体" w:hAnsi="宋体" w:cs="Arial"/>
          <w:szCs w:val="22"/>
        </w:rPr>
      </w:pPr>
      <w:r>
        <w:rPr>
          <w:rFonts w:hint="eastAsia" w:ascii="宋体" w:hAnsi="宋体" w:cs="Arial"/>
          <w:szCs w:val="22"/>
        </w:rPr>
        <w:t>（3）地形图收集，收集工程已有相关地形图和国土 1:2000 正射影像图。</w:t>
      </w:r>
    </w:p>
    <w:p>
      <w:pPr>
        <w:ind w:firstLine="420"/>
        <w:rPr>
          <w:rFonts w:ascii="宋体" w:hAnsi="宋体" w:cs="Arial"/>
          <w:szCs w:val="22"/>
        </w:rPr>
      </w:pPr>
      <w:r>
        <w:rPr>
          <w:rFonts w:hint="eastAsia" w:ascii="宋体" w:hAnsi="宋体" w:cs="Arial"/>
          <w:szCs w:val="22"/>
        </w:rPr>
        <w:t>（4）制定水利工程管理与保护范围划定成果工作报告，并按要求上报市水务局备案。</w:t>
      </w:r>
    </w:p>
    <w:p>
      <w:pPr>
        <w:ind w:firstLine="420"/>
        <w:rPr>
          <w:rFonts w:ascii="宋体" w:hAnsi="宋体" w:cs="Arial"/>
          <w:szCs w:val="22"/>
        </w:rPr>
      </w:pPr>
      <w:r>
        <w:rPr>
          <w:rFonts w:hint="eastAsia" w:ascii="宋体" w:hAnsi="宋体" w:cs="Arial"/>
          <w:szCs w:val="22"/>
        </w:rPr>
        <w:t>（5）划定水利工程管理与保护范围线成果，确定管理和保护范围线，并公示。</w:t>
      </w:r>
    </w:p>
    <w:p>
      <w:pPr>
        <w:ind w:firstLine="420"/>
        <w:rPr>
          <w:rFonts w:ascii="宋体" w:hAnsi="宋体" w:cs="Arial"/>
          <w:szCs w:val="22"/>
        </w:rPr>
      </w:pPr>
      <w:r>
        <w:rPr>
          <w:rFonts w:hint="eastAsia" w:ascii="宋体" w:hAnsi="宋体" w:cs="Arial"/>
          <w:szCs w:val="22"/>
        </w:rPr>
        <w:t>（6）建立地理信息数据库。</w:t>
      </w:r>
    </w:p>
    <w:p>
      <w:pPr>
        <w:ind w:firstLine="420"/>
        <w:rPr>
          <w:rFonts w:ascii="宋体" w:hAnsi="宋体" w:cs="Arial"/>
          <w:szCs w:val="22"/>
        </w:rPr>
      </w:pPr>
      <w:r>
        <w:rPr>
          <w:rFonts w:hint="eastAsia" w:ascii="宋体" w:hAnsi="宋体" w:cs="Arial"/>
          <w:szCs w:val="22"/>
        </w:rPr>
        <w:t>（7）各县区水利局及城中区自然资源局进行资料汇总、成果管理、项目验收。</w:t>
      </w:r>
    </w:p>
    <w:p>
      <w:pPr>
        <w:ind w:firstLine="420"/>
      </w:pPr>
      <w:r>
        <w:rPr>
          <w:rFonts w:hint="eastAsia" w:ascii="宋体" w:hAnsi="宋体" w:cs="Arial"/>
          <w:szCs w:val="22"/>
        </w:rPr>
        <w:t>（8）公告、资料归档。</w:t>
      </w:r>
    </w:p>
    <w:p>
      <w:pPr>
        <w:pStyle w:val="3"/>
        <w:ind w:firstLine="0" w:firstLineChars="0"/>
        <w:jc w:val="left"/>
        <w:rPr>
          <w:sz w:val="21"/>
          <w:szCs w:val="21"/>
        </w:rPr>
      </w:pPr>
      <w:bookmarkStart w:id="54" w:name="_Toc9252497"/>
      <w:bookmarkStart w:id="55" w:name="_Toc61249561"/>
      <w:r>
        <w:rPr>
          <w:rFonts w:hint="eastAsia"/>
          <w:sz w:val="21"/>
          <w:szCs w:val="21"/>
        </w:rPr>
        <w:t>二、界桩、标示牌标准</w:t>
      </w:r>
      <w:bookmarkEnd w:id="54"/>
      <w:bookmarkEnd w:id="55"/>
    </w:p>
    <w:p>
      <w:pPr>
        <w:ind w:firstLine="0" w:firstLineChars="0"/>
        <w:rPr>
          <w:b/>
          <w:bCs/>
          <w:kern w:val="2"/>
        </w:rPr>
      </w:pPr>
      <w:r>
        <w:rPr>
          <w:rFonts w:hint="eastAsia"/>
          <w:b/>
          <w:bCs/>
          <w:kern w:val="2"/>
        </w:rPr>
        <w:t>1.界桩标准</w:t>
      </w:r>
    </w:p>
    <w:p>
      <w:pPr>
        <w:ind w:firstLine="420"/>
      </w:pPr>
      <w:r>
        <w:rPr>
          <w:rFonts w:hint="eastAsia"/>
        </w:rPr>
        <w:t>根据水利部建设管理与质量安全中心发布的《河湖及水利工程界桩、标示牌制作与安装标准》（试行）规定，本次划界界桩布设间距取100m，相邻两界桩之间相互通视。</w:t>
      </w:r>
    </w:p>
    <w:p>
      <w:pPr>
        <w:ind w:firstLine="0" w:firstLineChars="0"/>
        <w:rPr>
          <w:kern w:val="2"/>
        </w:rPr>
      </w:pPr>
      <w:r>
        <w:rPr>
          <w:rFonts w:hint="eastAsia"/>
          <w:b/>
          <w:bCs/>
          <w:kern w:val="2"/>
        </w:rPr>
        <w:t>2.标示牌标准</w:t>
      </w:r>
    </w:p>
    <w:p>
      <w:pPr>
        <w:ind w:firstLine="420"/>
      </w:pPr>
      <w:r>
        <w:rPr>
          <w:rFonts w:hint="eastAsia"/>
        </w:rPr>
        <w:t>根据水利部建设管理与质量安全中心发布的《河湖及水利工程界桩、标示牌制作与安装标准》（试行）规定，水利工程起点、终点各设一个标示牌，起点、终点之间设置的标示牌间距小于3000m。</w:t>
      </w:r>
    </w:p>
    <w:p>
      <w:pPr>
        <w:ind w:firstLine="0" w:firstLineChars="0"/>
        <w:rPr>
          <w:b/>
          <w:kern w:val="2"/>
        </w:rPr>
      </w:pPr>
      <w:r>
        <w:rPr>
          <w:rFonts w:hint="eastAsia"/>
          <w:b/>
          <w:kern w:val="2"/>
        </w:rPr>
        <w:t>3界桩设计</w:t>
      </w:r>
    </w:p>
    <w:p>
      <w:pPr>
        <w:ind w:firstLine="420"/>
        <w:rPr>
          <w:b/>
          <w:kern w:val="2"/>
        </w:rPr>
      </w:pPr>
      <w:r>
        <w:rPr>
          <w:kern w:val="2"/>
        </w:rPr>
        <w:t>本次设计界桩为</w:t>
      </w:r>
      <w:r>
        <w:rPr>
          <w:rFonts w:hint="eastAsia"/>
          <w:kern w:val="2"/>
        </w:rPr>
        <w:t>实物</w:t>
      </w:r>
      <w:r>
        <w:rPr>
          <w:kern w:val="2"/>
        </w:rPr>
        <w:t>界桩，</w:t>
      </w:r>
      <w:r>
        <w:rPr>
          <w:rFonts w:hint="eastAsia"/>
          <w:kern w:val="2"/>
        </w:rPr>
        <w:t>界桩密度为100m，</w:t>
      </w:r>
      <w:r>
        <w:rPr>
          <w:kern w:val="2"/>
        </w:rPr>
        <w:t>在管理范围界线的主要控制点埋设；对管理范</w:t>
      </w:r>
    </w:p>
    <w:p>
      <w:pPr>
        <w:ind w:firstLine="0" w:firstLineChars="0"/>
        <w:rPr>
          <w:kern w:val="2"/>
        </w:rPr>
      </w:pPr>
      <w:r>
        <w:rPr>
          <w:kern w:val="2"/>
        </w:rPr>
        <w:t>围边界的拐点和复杂段可适当加密。</w:t>
      </w:r>
    </w:p>
    <w:p>
      <w:pPr>
        <w:ind w:firstLine="0" w:firstLineChars="0"/>
        <w:rPr>
          <w:rFonts w:cs="楷体_GB2312"/>
          <w:kern w:val="2"/>
        </w:rPr>
      </w:pPr>
      <w:r>
        <w:rPr>
          <w:rFonts w:hint="eastAsia" w:cs="楷体_GB2312"/>
          <w:kern w:val="2"/>
        </w:rPr>
        <w:t>（一）</w:t>
      </w:r>
      <w:r>
        <w:rPr>
          <w:rFonts w:cs="楷体_GB2312"/>
          <w:kern w:val="2"/>
        </w:rPr>
        <w:t>结构</w:t>
      </w:r>
    </w:p>
    <w:p>
      <w:pPr>
        <w:ind w:firstLine="420"/>
        <w:rPr>
          <w:kern w:val="2"/>
        </w:rPr>
      </w:pPr>
      <w:r>
        <w:rPr>
          <w:kern w:val="2"/>
        </w:rPr>
        <w:t>界桩由桩体与基座组成，桩体镶嵌于基座中。</w:t>
      </w:r>
    </w:p>
    <w:p>
      <w:pPr>
        <w:ind w:firstLine="0" w:firstLineChars="0"/>
        <w:rPr>
          <w:rFonts w:cs="楷体_GB2312"/>
          <w:kern w:val="2"/>
        </w:rPr>
      </w:pPr>
      <w:r>
        <w:rPr>
          <w:rFonts w:hint="eastAsia" w:cs="楷体_GB2312"/>
          <w:kern w:val="2"/>
        </w:rPr>
        <w:t>（二）</w:t>
      </w:r>
      <w:r>
        <w:rPr>
          <w:rFonts w:cs="楷体_GB2312"/>
          <w:kern w:val="2"/>
        </w:rPr>
        <w:t>材质</w:t>
      </w:r>
    </w:p>
    <w:p>
      <w:pPr>
        <w:ind w:firstLine="420"/>
        <w:rPr>
          <w:kern w:val="2"/>
        </w:rPr>
      </w:pPr>
      <w:r>
        <w:rPr>
          <w:kern w:val="2"/>
        </w:rPr>
        <w:t>根据</w:t>
      </w:r>
      <w:r>
        <w:rPr>
          <w:rFonts w:hint="eastAsia"/>
          <w:kern w:val="2"/>
        </w:rPr>
        <w:t>水利工程</w:t>
      </w:r>
      <w:r>
        <w:rPr>
          <w:kern w:val="2"/>
        </w:rPr>
        <w:t>所在地建筑材料和管理需求的不同，界桩桩体采用C30</w:t>
      </w:r>
      <w:r>
        <w:rPr>
          <w:rFonts w:hint="eastAsia"/>
          <w:kern w:val="2"/>
        </w:rPr>
        <w:t>F200</w:t>
      </w:r>
      <w:r>
        <w:rPr>
          <w:kern w:val="2"/>
        </w:rPr>
        <w:t>砼预制，界桩基座采用C25</w:t>
      </w:r>
      <w:r>
        <w:rPr>
          <w:rFonts w:hint="eastAsia"/>
          <w:kern w:val="2"/>
        </w:rPr>
        <w:t>F200</w:t>
      </w:r>
      <w:r>
        <w:rPr>
          <w:kern w:val="2"/>
        </w:rPr>
        <w:t>砼预制</w:t>
      </w:r>
      <w:r>
        <w:rPr>
          <w:rFonts w:hint="eastAsia"/>
          <w:kern w:val="2"/>
        </w:rPr>
        <w:t>。</w:t>
      </w:r>
      <w:r>
        <w:rPr>
          <w:kern w:val="2"/>
        </w:rPr>
        <w:t>界桩埋设点为岩石时，可直接开凿基坑，将界桩桩体镶嵌于岩石基坑内</w:t>
      </w:r>
      <w:r>
        <w:rPr>
          <w:rFonts w:hint="eastAsia"/>
          <w:kern w:val="2"/>
        </w:rPr>
        <w:t>并采用</w:t>
      </w:r>
      <w:r>
        <w:rPr>
          <w:kern w:val="2"/>
        </w:rPr>
        <w:t>C25砼</w:t>
      </w:r>
      <w:r>
        <w:rPr>
          <w:rFonts w:hint="eastAsia"/>
          <w:kern w:val="2"/>
        </w:rPr>
        <w:t>灌封</w:t>
      </w:r>
      <w:r>
        <w:rPr>
          <w:kern w:val="2"/>
        </w:rPr>
        <w:t>。界桩</w:t>
      </w:r>
      <w:r>
        <w:rPr>
          <w:rFonts w:hint="eastAsia"/>
          <w:kern w:val="2"/>
        </w:rPr>
        <w:t>位于坚硬岩石或建筑构造物点时，可采用钢板桩。</w:t>
      </w:r>
    </w:p>
    <w:p>
      <w:pPr>
        <w:ind w:firstLine="0" w:firstLineChars="0"/>
        <w:rPr>
          <w:rFonts w:cs="楷体_GB2312"/>
          <w:kern w:val="2"/>
        </w:rPr>
      </w:pPr>
      <w:r>
        <w:rPr>
          <w:rFonts w:hint="eastAsia" w:cs="楷体_GB2312"/>
          <w:kern w:val="2"/>
        </w:rPr>
        <w:t>（三）</w:t>
      </w:r>
      <w:r>
        <w:rPr>
          <w:rFonts w:cs="楷体_GB2312"/>
          <w:kern w:val="2"/>
        </w:rPr>
        <w:t>外形及结构尺寸</w:t>
      </w:r>
    </w:p>
    <w:p>
      <w:pPr>
        <w:ind w:firstLine="420"/>
        <w:rPr>
          <w:kern w:val="2"/>
        </w:rPr>
      </w:pPr>
      <w:r>
        <w:rPr>
          <w:kern w:val="2"/>
        </w:rPr>
        <w:t>本次界桩采用长方体（修边）外形，桩体尺寸为 200mm×200mm×1</w:t>
      </w:r>
      <w:r>
        <w:rPr>
          <w:rFonts w:hint="eastAsia"/>
          <w:kern w:val="2"/>
        </w:rPr>
        <w:t>1</w:t>
      </w:r>
      <w:r>
        <w:rPr>
          <w:kern w:val="2"/>
        </w:rPr>
        <w:t>00mm（长×宽×高），基座尺寸应为 600mm×600mm×500mm（长×宽×高），地面以上桩体高度为500mm，如图1所示。</w:t>
      </w:r>
    </w:p>
    <w:p>
      <w:pPr>
        <w:ind w:firstLine="0" w:firstLineChars="0"/>
        <w:rPr>
          <w:rFonts w:ascii="宋体" w:hAnsi="宋体"/>
          <w:szCs w:val="21"/>
        </w:rPr>
      </w:pPr>
      <w:r>
        <w:rPr>
          <w:rFonts w:ascii="宋体" w:hAnsi="宋体"/>
          <w:szCs w:val="21"/>
        </w:rPr>
        <w:drawing>
          <wp:inline distT="0" distB="0" distL="0" distR="0">
            <wp:extent cx="2095500" cy="184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srcRect l="58130" r="17302" b="63181"/>
                    <a:stretch>
                      <a:fillRect/>
                    </a:stretch>
                  </pic:blipFill>
                  <pic:spPr>
                    <a:xfrm>
                      <a:off x="0" y="0"/>
                      <a:ext cx="2095500" cy="1847850"/>
                    </a:xfrm>
                    <a:prstGeom prst="rect">
                      <a:avLst/>
                    </a:prstGeom>
                    <a:noFill/>
                    <a:ln w="9525">
                      <a:noFill/>
                      <a:miter lim="800000"/>
                      <a:headEnd/>
                      <a:tailEnd/>
                    </a:ln>
                  </pic:spPr>
                </pic:pic>
              </a:graphicData>
            </a:graphic>
          </wp:inline>
        </w:drawing>
      </w:r>
      <w:r>
        <w:rPr>
          <w:rFonts w:ascii="宋体" w:hAnsi="宋体"/>
          <w:szCs w:val="21"/>
        </w:rPr>
        <w:drawing>
          <wp:inline distT="0" distB="0" distL="0" distR="0">
            <wp:extent cx="2095500" cy="2600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srcRect l="58130" t="36073" r="17331" b="4010"/>
                    <a:stretch>
                      <a:fillRect/>
                    </a:stretch>
                  </pic:blipFill>
                  <pic:spPr>
                    <a:xfrm>
                      <a:off x="0" y="0"/>
                      <a:ext cx="2095500" cy="2600325"/>
                    </a:xfrm>
                    <a:prstGeom prst="rect">
                      <a:avLst/>
                    </a:prstGeom>
                    <a:noFill/>
                    <a:ln w="9525">
                      <a:noFill/>
                      <a:miter lim="800000"/>
                      <a:headEnd/>
                      <a:tailEnd/>
                    </a:ln>
                  </pic:spPr>
                </pic:pic>
              </a:graphicData>
            </a:graphic>
          </wp:inline>
        </w:drawing>
      </w:r>
    </w:p>
    <w:p>
      <w:pPr>
        <w:ind w:firstLine="0" w:firstLineChars="0"/>
        <w:jc w:val="center"/>
        <w:rPr>
          <w:rFonts w:ascii="宋体" w:hAnsi="宋体"/>
          <w:szCs w:val="21"/>
        </w:rPr>
      </w:pPr>
      <w:r>
        <w:rPr>
          <w:rFonts w:ascii="宋体" w:hAnsi="宋体"/>
          <w:szCs w:val="21"/>
        </w:rPr>
        <w:t>图1：长方体（修边）基本桩断面图（单位：mm）</w:t>
      </w:r>
    </w:p>
    <w:p>
      <w:pPr>
        <w:widowControl w:val="0"/>
        <w:ind w:firstLine="0" w:firstLineChars="0"/>
        <w:rPr>
          <w:rFonts w:ascii="宋体" w:hAnsi="宋体" w:cs="楷体_GB2312"/>
          <w:kern w:val="2"/>
          <w:szCs w:val="21"/>
        </w:rPr>
      </w:pPr>
      <w:r>
        <w:rPr>
          <w:rFonts w:hint="eastAsia" w:ascii="宋体" w:hAnsi="宋体" w:cs="楷体_GB2312"/>
          <w:kern w:val="2"/>
          <w:szCs w:val="21"/>
        </w:rPr>
        <w:t>（四）</w:t>
      </w:r>
      <w:r>
        <w:rPr>
          <w:rFonts w:ascii="宋体" w:hAnsi="宋体" w:cs="楷体_GB2312"/>
          <w:kern w:val="2"/>
          <w:szCs w:val="21"/>
        </w:rPr>
        <w:t>界桩标注</w:t>
      </w:r>
    </w:p>
    <w:p>
      <w:pPr>
        <w:widowControl w:val="0"/>
        <w:ind w:firstLine="420"/>
        <w:rPr>
          <w:rFonts w:ascii="宋体" w:hAnsi="宋体"/>
          <w:kern w:val="2"/>
          <w:szCs w:val="21"/>
        </w:rPr>
      </w:pPr>
      <w:r>
        <w:rPr>
          <w:rFonts w:ascii="宋体" w:hAnsi="宋体"/>
          <w:kern w:val="2"/>
          <w:szCs w:val="21"/>
        </w:rPr>
        <w:t>长方体（修边）界桩地面以上各立面均应标注，面向管理范围内立面为正面，面向管理范围外立面为背面，所有立面均采用阴文标注。</w:t>
      </w:r>
    </w:p>
    <w:p>
      <w:pPr>
        <w:widowControl w:val="0"/>
        <w:ind w:firstLine="420"/>
        <w:rPr>
          <w:rFonts w:ascii="宋体" w:hAnsi="宋体"/>
          <w:kern w:val="2"/>
          <w:szCs w:val="21"/>
        </w:rPr>
      </w:pPr>
      <w:r>
        <w:rPr>
          <w:rFonts w:ascii="宋体" w:hAnsi="宋体"/>
          <w:kern w:val="2"/>
          <w:szCs w:val="21"/>
        </w:rPr>
        <w:t>长方体（修边）界桩正面、背面标注中国水利标志图形和“管理范围界”5个汉字；长方体（修边）桩左面标注</w:t>
      </w:r>
      <w:r>
        <w:rPr>
          <w:rFonts w:hint="eastAsia" w:ascii="宋体" w:hAnsi="宋体"/>
          <w:kern w:val="2"/>
          <w:szCs w:val="21"/>
        </w:rPr>
        <w:t>水利工程</w:t>
      </w:r>
      <w:r>
        <w:rPr>
          <w:rFonts w:ascii="宋体" w:hAnsi="宋体"/>
          <w:kern w:val="2"/>
          <w:szCs w:val="21"/>
        </w:rPr>
        <w:t>名称；长方体（修边）桩右面标注界桩编号及设立日期。各面标注推荐式样见图2。</w:t>
      </w:r>
    </w:p>
    <w:p>
      <w:pPr>
        <w:ind w:firstLine="0" w:firstLineChars="0"/>
        <w:rPr>
          <w:rFonts w:ascii="宋体" w:hAnsi="宋体"/>
          <w:szCs w:val="21"/>
        </w:rPr>
      </w:pPr>
      <w:r>
        <w:rPr>
          <w:rFonts w:ascii="宋体" w:hAnsi="宋体"/>
          <w:szCs w:val="21"/>
        </w:rPr>
        <w:drawing>
          <wp:inline distT="0" distB="0" distL="0" distR="0">
            <wp:extent cx="5267325" cy="1704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srcRect/>
                    <a:stretch>
                      <a:fillRect/>
                    </a:stretch>
                  </pic:blipFill>
                  <pic:spPr>
                    <a:xfrm>
                      <a:off x="0" y="0"/>
                      <a:ext cx="5267325" cy="1704975"/>
                    </a:xfrm>
                    <a:prstGeom prst="rect">
                      <a:avLst/>
                    </a:prstGeom>
                    <a:noFill/>
                    <a:ln w="9525">
                      <a:noFill/>
                      <a:miter lim="800000"/>
                      <a:headEnd/>
                      <a:tailEnd/>
                    </a:ln>
                  </pic:spPr>
                </pic:pic>
              </a:graphicData>
            </a:graphic>
          </wp:inline>
        </w:drawing>
      </w:r>
    </w:p>
    <w:p>
      <w:pPr>
        <w:ind w:firstLine="0" w:firstLineChars="0"/>
        <w:jc w:val="center"/>
        <w:rPr>
          <w:rFonts w:ascii="宋体" w:hAnsi="宋体"/>
          <w:szCs w:val="21"/>
        </w:rPr>
      </w:pPr>
      <w:r>
        <w:rPr>
          <w:rFonts w:ascii="宋体" w:hAnsi="宋体"/>
          <w:szCs w:val="21"/>
        </w:rPr>
        <w:t>图2 长方体（修边）界桩标注样式示意图</w:t>
      </w:r>
    </w:p>
    <w:p>
      <w:pPr>
        <w:widowControl w:val="0"/>
        <w:ind w:firstLine="420"/>
        <w:rPr>
          <w:rFonts w:ascii="宋体" w:hAnsi="宋体"/>
          <w:kern w:val="2"/>
          <w:szCs w:val="21"/>
        </w:rPr>
      </w:pPr>
      <w:r>
        <w:rPr>
          <w:rFonts w:ascii="宋体" w:hAnsi="宋体"/>
          <w:kern w:val="2"/>
          <w:szCs w:val="21"/>
        </w:rPr>
        <w:t>界桩标注均应采用白色作为底色，中国水利标志应采用蓝色，其他标注文字均应采用红色。</w:t>
      </w:r>
    </w:p>
    <w:p>
      <w:pPr>
        <w:widowControl w:val="0"/>
        <w:ind w:firstLine="420"/>
        <w:rPr>
          <w:rFonts w:ascii="宋体" w:hAnsi="宋体"/>
          <w:kern w:val="2"/>
          <w:szCs w:val="21"/>
        </w:rPr>
      </w:pPr>
      <w:r>
        <w:rPr>
          <w:rFonts w:ascii="宋体" w:hAnsi="宋体"/>
          <w:kern w:val="2"/>
          <w:szCs w:val="21"/>
        </w:rPr>
        <w:t>标注文字的字体均采用宋体，字号大小可根据字数适当缩放，以美观、清晰为宜。</w:t>
      </w:r>
    </w:p>
    <w:p>
      <w:pPr>
        <w:ind w:firstLine="0" w:firstLineChars="0"/>
        <w:rPr>
          <w:kern w:val="2"/>
        </w:rPr>
      </w:pPr>
      <w:r>
        <w:rPr>
          <w:rFonts w:hint="eastAsia"/>
          <w:kern w:val="2"/>
        </w:rPr>
        <w:t>（五）界桩布设</w:t>
      </w:r>
    </w:p>
    <w:p>
      <w:pPr>
        <w:ind w:firstLine="0" w:firstLineChars="0"/>
        <w:rPr>
          <w:kern w:val="2"/>
        </w:rPr>
      </w:pPr>
      <w:r>
        <w:rPr>
          <w:rFonts w:hint="eastAsia"/>
          <w:kern w:val="2"/>
        </w:rPr>
        <w:t>1.布设要求</w:t>
      </w:r>
    </w:p>
    <w:p>
      <w:pPr>
        <w:ind w:firstLine="0" w:firstLineChars="0"/>
      </w:pPr>
      <w:r>
        <w:rPr>
          <w:rFonts w:hint="eastAsia"/>
        </w:rPr>
        <w:t>a、布设界桩时应以能控制水利管理范围边界的基本走向为原则；</w:t>
      </w:r>
    </w:p>
    <w:p>
      <w:pPr>
        <w:ind w:firstLine="0" w:firstLineChars="0"/>
      </w:pPr>
      <w:r>
        <w:rPr>
          <w:rFonts w:hint="eastAsia"/>
        </w:rPr>
        <w:t>b、根据实际地形和周边环境确定埋设位置。</w:t>
      </w:r>
    </w:p>
    <w:p>
      <w:pPr>
        <w:ind w:firstLine="0" w:firstLineChars="0"/>
      </w:pPr>
      <w:r>
        <w:rPr>
          <w:rFonts w:hint="eastAsia"/>
        </w:rPr>
        <w:t>2.界桩密度</w:t>
      </w:r>
    </w:p>
    <w:p>
      <w:pPr>
        <w:ind w:firstLine="420"/>
      </w:pPr>
      <w:r>
        <w:rPr>
          <w:rFonts w:hint="eastAsia"/>
        </w:rPr>
        <w:t>本次界桩布设间距取100m，相邻两界桩之间相互通视。在水利工程无生产、生活人类活动的陡崖、荒山、森林等河段可根据实际情况加大间距。</w:t>
      </w:r>
    </w:p>
    <w:p>
      <w:pPr>
        <w:ind w:firstLine="420"/>
      </w:pPr>
      <w:r>
        <w:rPr>
          <w:rFonts w:hint="eastAsia"/>
        </w:rPr>
        <w:t>在以下情况应增设界桩：①重要下水利工程通道(车行通道)；②重要码头、桥梁、取水口、电站等涉河设施处；③渠、管线拐弯(角度小于120度)处；④水事纠纷和水事案件易发地段或行政界。</w:t>
      </w:r>
    </w:p>
    <w:p>
      <w:pPr>
        <w:ind w:firstLine="0" w:firstLineChars="0"/>
        <w:rPr>
          <w:kern w:val="2"/>
        </w:rPr>
      </w:pPr>
      <w:r>
        <w:rPr>
          <w:rFonts w:hint="eastAsia"/>
          <w:kern w:val="2"/>
        </w:rPr>
        <w:t>（六）界桩编号</w:t>
      </w:r>
    </w:p>
    <w:p>
      <w:pPr>
        <w:ind w:firstLine="0" w:firstLineChars="0"/>
      </w:pPr>
      <w:r>
        <w:rPr>
          <w:rFonts w:hint="eastAsia"/>
        </w:rPr>
        <w:t>1.渠道编号格式为“岸别—界桩序号”。其中，岸别用“左”或“右”标识，界桩序号建议采用3位阿拉伯数字(如001) （下同），从上游到下游依次增大。</w:t>
      </w:r>
    </w:p>
    <w:p>
      <w:pPr>
        <w:ind w:firstLine="0" w:firstLineChars="0"/>
      </w:pPr>
      <w:r>
        <w:rPr>
          <w:rFonts w:hint="eastAsia"/>
        </w:rPr>
        <w:t>2.管道编号格式为“管—界桩序号”。其中，岸别用“东”、“西”、“南”或“北”标识，界桩序号按照管理需要排列。</w:t>
      </w:r>
    </w:p>
    <w:p>
      <w:pPr>
        <w:ind w:firstLine="0" w:firstLineChars="0"/>
      </w:pPr>
      <w:r>
        <w:rPr>
          <w:rFonts w:hint="eastAsia"/>
        </w:rPr>
        <w:t>3.水库工程编号格式为“库区/坝区—界桩序号”。其中，岸别用“库”或“坝”标识，界桩序号从上游到下游依次增大，特殊情况时可根据管理需要排列。</w:t>
      </w:r>
    </w:p>
    <w:p>
      <w:pPr>
        <w:ind w:firstLine="0" w:firstLineChars="0"/>
      </w:pPr>
      <w:r>
        <w:rPr>
          <w:rFonts w:hint="eastAsia"/>
        </w:rPr>
        <w:t>4.对有堤防河道、湖泊，堤防临水侧根据需要可设置水利工程界桩，采用堤防界桩编号规则；堤防工程背水侧界桩与河道或湖泊管理范围界桩重合，应分别采用河道界桩编号规则或湖泊界桩编号规则。</w:t>
      </w:r>
    </w:p>
    <w:p>
      <w:pPr>
        <w:ind w:firstLine="0" w:firstLineChars="0"/>
      </w:pPr>
      <w:r>
        <w:rPr>
          <w:rFonts w:hint="eastAsia"/>
        </w:rPr>
        <w:t>5.增设界桩编号是在上一个原有界桩序号后加注括号数字，例如：8（1），8（2），9（1）等。</w:t>
      </w:r>
    </w:p>
    <w:p>
      <w:pPr>
        <w:ind w:firstLine="0" w:firstLineChars="0"/>
        <w:rPr>
          <w:rFonts w:cs="黑体"/>
          <w:b/>
          <w:kern w:val="2"/>
        </w:rPr>
      </w:pPr>
      <w:r>
        <w:rPr>
          <w:rFonts w:hint="eastAsia" w:cs="黑体"/>
          <w:b/>
          <w:kern w:val="2"/>
        </w:rPr>
        <w:t>（5）标示牌设计</w:t>
      </w:r>
    </w:p>
    <w:p>
      <w:pPr>
        <w:ind w:firstLine="420"/>
        <w:rPr>
          <w:kern w:val="2"/>
        </w:rPr>
      </w:pPr>
      <w:r>
        <w:rPr>
          <w:kern w:val="2"/>
        </w:rPr>
        <w:t>标示牌采用</w:t>
      </w:r>
      <w:r>
        <w:rPr>
          <w:rFonts w:hint="eastAsia"/>
          <w:kern w:val="2"/>
        </w:rPr>
        <w:t>不锈钢</w:t>
      </w:r>
      <w:r>
        <w:rPr>
          <w:kern w:val="2"/>
        </w:rPr>
        <w:t>牌面、钢管排架和混凝土基础制作。</w:t>
      </w:r>
    </w:p>
    <w:p>
      <w:pPr>
        <w:ind w:firstLine="420"/>
        <w:rPr>
          <w:kern w:val="2"/>
        </w:rPr>
      </w:pPr>
      <w:r>
        <w:rPr>
          <w:kern w:val="2"/>
        </w:rPr>
        <w:t>牌面外形采用长方形，材质为</w:t>
      </w:r>
      <w:r>
        <w:rPr>
          <w:rFonts w:hint="eastAsia"/>
          <w:kern w:val="2"/>
        </w:rPr>
        <w:t>不锈钢</w:t>
      </w:r>
      <w:r>
        <w:rPr>
          <w:kern w:val="2"/>
        </w:rPr>
        <w:t>，尺寸为2.0m×1.5m（宽×高），面板厚度1.</w:t>
      </w:r>
      <w:r>
        <w:rPr>
          <w:rFonts w:hint="eastAsia"/>
          <w:kern w:val="2"/>
        </w:rPr>
        <w:t>2</w:t>
      </w:r>
      <w:r>
        <w:rPr>
          <w:kern w:val="2"/>
        </w:rPr>
        <w:t>mm，面板底部离地面1.0m。排架由主支架和副支架组成，均为不锈钢钢管，主支架采用两根直径为φ7</w:t>
      </w:r>
      <w:r>
        <w:rPr>
          <w:rFonts w:hint="eastAsia"/>
          <w:kern w:val="2"/>
        </w:rPr>
        <w:t>6</w:t>
      </w:r>
      <w:r>
        <w:rPr>
          <w:kern w:val="2"/>
        </w:rPr>
        <w:t>mm×</w:t>
      </w:r>
      <w:r>
        <w:rPr>
          <w:rFonts w:hint="eastAsia"/>
          <w:kern w:val="2"/>
        </w:rPr>
        <w:t>2.5</w:t>
      </w:r>
      <w:r>
        <w:rPr>
          <w:kern w:val="2"/>
        </w:rPr>
        <w:t>mm钢管，单根长度为3.2m；副支架采用6根□60mm×40mm×</w:t>
      </w:r>
      <w:r>
        <w:rPr>
          <w:rFonts w:hint="eastAsia"/>
          <w:kern w:val="2"/>
        </w:rPr>
        <w:t>1.5</w:t>
      </w:r>
      <w:r>
        <w:rPr>
          <w:kern w:val="2"/>
        </w:rPr>
        <w:t>mm矩形钢管，单根长度1.5、2.0m，支架钢管采用整体焊接制作。</w:t>
      </w:r>
      <w:r>
        <w:rPr>
          <w:rFonts w:hint="eastAsia"/>
          <w:kern w:val="2"/>
        </w:rPr>
        <w:t>不锈钢</w:t>
      </w:r>
      <w:r>
        <w:rPr>
          <w:kern w:val="2"/>
        </w:rPr>
        <w:t>牌面上、下边采用60mm×40mm×</w:t>
      </w:r>
      <w:r>
        <w:rPr>
          <w:rFonts w:hint="eastAsia"/>
          <w:kern w:val="2"/>
        </w:rPr>
        <w:t>1.</w:t>
      </w:r>
      <w:r>
        <w:rPr>
          <w:kern w:val="2"/>
        </w:rPr>
        <w:t>5mm矩形钢管固边，且与立架钢管焊接。牌面两侧与主支架齐平，且焊接。</w:t>
      </w:r>
    </w:p>
    <w:p>
      <w:pPr>
        <w:ind w:firstLine="420"/>
        <w:rPr>
          <w:kern w:val="2"/>
        </w:rPr>
      </w:pPr>
      <w:r>
        <w:rPr>
          <w:kern w:val="2"/>
        </w:rPr>
        <w:t>标示牌牌面粘贴反光膜材料，并喷绘字体。</w:t>
      </w:r>
    </w:p>
    <w:p>
      <w:pPr>
        <w:ind w:firstLine="420"/>
        <w:rPr>
          <w:kern w:val="2"/>
        </w:rPr>
      </w:pPr>
      <w:r>
        <w:rPr>
          <w:kern w:val="2"/>
        </w:rPr>
        <w:t>排架基础采用C25</w:t>
      </w:r>
      <w:r>
        <w:rPr>
          <w:rFonts w:hint="eastAsia"/>
          <w:kern w:val="2"/>
        </w:rPr>
        <w:t>F200</w:t>
      </w:r>
      <w:r>
        <w:rPr>
          <w:kern w:val="2"/>
        </w:rPr>
        <w:t>砼浇筑，砼结构尺寸为0.70m×0.70m×</w:t>
      </w:r>
      <w:r>
        <w:rPr>
          <w:rFonts w:hint="eastAsia"/>
          <w:kern w:val="2"/>
        </w:rPr>
        <w:t>1.0m（长×宽×高），砼埋深1.10m，砼基础顶部埋于地面以下0.10m，排架主支架钢管埋入砼基础0.90m。</w:t>
      </w:r>
    </w:p>
    <w:p>
      <w:pPr>
        <w:ind w:firstLine="420"/>
        <w:rPr>
          <w:kern w:val="2"/>
        </w:rPr>
      </w:pPr>
      <w:r>
        <w:rPr>
          <w:rFonts w:hint="eastAsia"/>
          <w:kern w:val="2"/>
        </w:rPr>
        <w:t>标示牌正面应标注，面向管理范围外立面为正面，面向管理范围内立面为背面。</w:t>
      </w:r>
    </w:p>
    <w:p>
      <w:pPr>
        <w:ind w:firstLine="420"/>
        <w:rPr>
          <w:kern w:val="2"/>
        </w:rPr>
      </w:pPr>
      <w:r>
        <w:rPr>
          <w:rFonts w:hint="eastAsia"/>
          <w:kern w:val="2"/>
        </w:rPr>
        <w:t>面板底色为蓝色，标注文字颜色为白色。标注文字的字体均采用宋体，字号大小可根据字数适当缩放，以美观、清晰为宜。</w:t>
      </w:r>
    </w:p>
    <w:p>
      <w:pPr>
        <w:pStyle w:val="21"/>
        <w:ind w:firstLine="420"/>
        <w:jc w:val="left"/>
        <w:rPr>
          <w:rFonts w:hAnsi="宋体"/>
          <w:color w:val="0000FF"/>
          <w:szCs w:val="21"/>
        </w:rPr>
      </w:pPr>
      <w:r>
        <w:rPr>
          <w:rFonts w:hint="eastAsia" w:hAnsi="宋体"/>
          <w:szCs w:val="21"/>
        </w:rPr>
        <w:t>标示牌正面标注可包括但不限于如下内容：</w:t>
      </w:r>
    </w:p>
    <w:p>
      <w:pPr>
        <w:ind w:firstLine="0" w:firstLineChars="0"/>
        <w:rPr>
          <w:rFonts w:ascii="宋体" w:hAnsi="宋体"/>
          <w:szCs w:val="21"/>
        </w:rPr>
      </w:pPr>
      <w:r>
        <w:rPr>
          <w:rFonts w:ascii="宋体" w:hAnsi="宋体"/>
          <w:szCs w:val="21"/>
        </w:rPr>
        <w:pict>
          <v:rect id="_x0000_s1027" o:spid="_x0000_s1027" o:spt="1" style="height:210.8pt;width:418.3pt;v-text-anchor:middle;" filled="f" coordsize="21600,21600">
            <v:path/>
            <v:fill on="f" focussize="0,0"/>
            <v:stroke weight="0.5pt"/>
            <v:imagedata o:title=""/>
            <o:lock v:ext="edit"/>
            <v:textbox>
              <w:txbxContent>
                <w:p>
                  <w:pPr>
                    <w:ind w:firstLine="480"/>
                    <w:jc w:val="center"/>
                    <w:rPr>
                      <w:color w:val="000000"/>
                      <w:sz w:val="24"/>
                    </w:rPr>
                  </w:pPr>
                  <w:r>
                    <w:rPr>
                      <w:rFonts w:hint="eastAsia"/>
                      <w:color w:val="000000"/>
                      <w:sz w:val="24"/>
                    </w:rPr>
                    <w:t>××工程管理与保护范围标示牌(</w:t>
                  </w:r>
                  <w:r>
                    <w:rPr>
                      <w:rFonts w:hint="eastAsia"/>
                      <w:color w:val="000000"/>
                    </w:rPr>
                    <w:t>序号</w:t>
                  </w:r>
                  <w:r>
                    <w:rPr>
                      <w:rFonts w:hint="eastAsia"/>
                      <w:color w:val="000000"/>
                      <w:sz w:val="24"/>
                    </w:rPr>
                    <w:t>)</w:t>
                  </w:r>
                </w:p>
                <w:p>
                  <w:pPr>
                    <w:ind w:firstLine="420"/>
                    <w:rPr>
                      <w:color w:val="000000"/>
                    </w:rPr>
                  </w:pPr>
                  <w:r>
                    <w:rPr>
                      <w:rFonts w:hint="eastAsia"/>
                      <w:color w:val="000000"/>
                    </w:rPr>
                    <w:t>1、西宁市对水利工程工程实施保护。西宁市内所有水利工程应当按照我市有关规定划定管理范围和保护范围。管理范围界桩按实物桩布设，保护范围界桩按电子桩布设。</w:t>
                  </w:r>
                </w:p>
                <w:p>
                  <w:pPr>
                    <w:ind w:firstLine="420"/>
                    <w:rPr>
                      <w:color w:val="000000"/>
                    </w:rPr>
                  </w:pPr>
                  <w:r>
                    <w:rPr>
                      <w:rFonts w:hint="eastAsia"/>
                      <w:color w:val="000000"/>
                    </w:rPr>
                    <w:t>2、在水利工程保护范围内，不得从事危及水利工程安全及污染水质的爆破、打井、采石、取土、陡坡开荒、伐木、开矿、堆放或排放污染物等活动。</w:t>
                  </w:r>
                </w:p>
                <w:p>
                  <w:pPr>
                    <w:ind w:firstLine="420"/>
                    <w:rPr>
                      <w:color w:val="000000"/>
                    </w:rPr>
                  </w:pPr>
                  <w:r>
                    <w:rPr>
                      <w:rFonts w:hint="eastAsia"/>
                      <w:color w:val="000000"/>
                    </w:rPr>
                    <w:t>3、单位和个人有保护水利工程的义务，不得侵占水利工程管理范围内的土地和水域。国家建设需要征用管理范围内的土地，应当征得有管辖权的水行政主管部门同意。</w:t>
                  </w:r>
                </w:p>
                <w:p>
                  <w:pPr>
                    <w:ind w:firstLine="420"/>
                    <w:rPr>
                      <w:color w:val="000000"/>
                    </w:rPr>
                  </w:pPr>
                  <w:r>
                    <w:rPr>
                      <w:rFonts w:hint="eastAsia"/>
                      <w:color w:val="000000"/>
                    </w:rPr>
                    <w:t>4、举报电话：××××××××。</w:t>
                  </w:r>
                </w:p>
                <w:p>
                  <w:pPr>
                    <w:ind w:firstLine="4095" w:firstLineChars="1950"/>
                    <w:rPr>
                      <w:color w:val="000000"/>
                    </w:rPr>
                  </w:pPr>
                  <w:r>
                    <w:rPr>
                      <w:rFonts w:hint="eastAsia"/>
                      <w:color w:val="000000"/>
                    </w:rPr>
                    <w:t>管理单位</w:t>
                  </w:r>
                </w:p>
                <w:p>
                  <w:pPr>
                    <w:ind w:firstLine="4095" w:firstLineChars="1950"/>
                    <w:rPr>
                      <w:color w:val="000000"/>
                    </w:rPr>
                  </w:pPr>
                  <w:r>
                    <w:rPr>
                      <w:rFonts w:hint="eastAsia"/>
                      <w:color w:val="000000"/>
                    </w:rPr>
                    <w:t>日期</w:t>
                  </w:r>
                </w:p>
              </w:txbxContent>
            </v:textbox>
            <w10:wrap type="none"/>
            <w10:anchorlock/>
          </v:rect>
        </w:pict>
      </w:r>
    </w:p>
    <w:p>
      <w:pPr>
        <w:ind w:firstLine="0" w:firstLineChars="0"/>
        <w:rPr>
          <w:kern w:val="2"/>
        </w:rPr>
      </w:pPr>
    </w:p>
    <w:p>
      <w:pPr>
        <w:pStyle w:val="21"/>
        <w:ind w:firstLine="420"/>
        <w:jc w:val="left"/>
        <w:rPr>
          <w:rFonts w:hAnsi="宋体"/>
          <w:color w:val="0000FF"/>
          <w:szCs w:val="21"/>
        </w:rPr>
      </w:pPr>
      <w:r>
        <w:rPr>
          <w:rFonts w:hint="eastAsia" w:hAnsi="宋体"/>
          <w:szCs w:val="21"/>
        </w:rPr>
        <w:t>标示牌背面标注可包括但不限于如下内容：</w:t>
      </w:r>
    </w:p>
    <w:p>
      <w:pPr>
        <w:ind w:firstLine="0" w:firstLineChars="0"/>
        <w:rPr>
          <w:kern w:val="2"/>
        </w:rPr>
      </w:pPr>
      <w:r>
        <w:rPr>
          <w:rFonts w:ascii="宋体" w:hAnsi="宋体"/>
          <w:szCs w:val="21"/>
        </w:rPr>
        <w:pict>
          <v:rect id="_x0000_s1026" o:spid="_x0000_s1026" o:spt="1" style="height:174.75pt;width:418.3pt;v-text-anchor:middle;" filled="f" coordsize="21600,21600">
            <v:path/>
            <v:fill on="f" focussize="0,0"/>
            <v:stroke weight="0.5pt"/>
            <v:imagedata o:title=""/>
            <o:lock v:ext="edit"/>
            <v:textbox>
              <w:txbxContent>
                <w:p>
                  <w:pPr>
                    <w:ind w:firstLine="480"/>
                    <w:jc w:val="center"/>
                    <w:rPr>
                      <w:color w:val="000000"/>
                      <w:sz w:val="24"/>
                    </w:rPr>
                  </w:pPr>
                  <w:r>
                    <w:rPr>
                      <w:rFonts w:hint="eastAsia"/>
                      <w:color w:val="000000"/>
                      <w:sz w:val="24"/>
                    </w:rPr>
                    <w:t>××工程管理与保护范围标示牌</w:t>
                  </w:r>
                </w:p>
                <w:p>
                  <w:pPr>
                    <w:ind w:firstLine="420"/>
                    <w:rPr>
                      <w:color w:val="000000"/>
                      <w:sz w:val="24"/>
                    </w:rPr>
                  </w:pPr>
                  <w:r>
                    <w:rPr>
                      <w:rFonts w:hint="eastAsia"/>
                      <w:color w:val="000000"/>
                      <w:szCs w:val="21"/>
                    </w:rPr>
                    <w:t>××工程管理与保护范围划定工作，已经</w:t>
                  </w:r>
                  <w:r>
                    <w:rPr>
                      <w:rFonts w:hint="eastAsia"/>
                      <w:color w:val="000000"/>
                      <w:sz w:val="24"/>
                    </w:rPr>
                    <w:t>××政府批准实施完成，根据《青海省水利工程管理与保护条例》等法律法规的规定，现公告如下：</w:t>
                  </w:r>
                </w:p>
                <w:p>
                  <w:pPr>
                    <w:ind w:firstLine="480"/>
                    <w:rPr>
                      <w:color w:val="000000"/>
                      <w:sz w:val="24"/>
                    </w:rPr>
                  </w:pPr>
                  <w:r>
                    <w:rPr>
                      <w:rFonts w:hint="eastAsia"/>
                      <w:color w:val="000000"/>
                      <w:sz w:val="24"/>
                    </w:rPr>
                    <w:t>叙述工程管理范围与保护范围</w:t>
                  </w:r>
                </w:p>
                <w:p>
                  <w:pPr>
                    <w:ind w:firstLine="4200" w:firstLineChars="2000"/>
                    <w:rPr>
                      <w:color w:val="000000"/>
                    </w:rPr>
                  </w:pPr>
                  <w:r>
                    <w:rPr>
                      <w:rFonts w:hint="eastAsia"/>
                      <w:color w:val="000000"/>
                    </w:rPr>
                    <w:t>××县（区、市）人民政府</w:t>
                  </w:r>
                </w:p>
                <w:p>
                  <w:pPr>
                    <w:ind w:firstLine="4095" w:firstLineChars="1950"/>
                    <w:rPr>
                      <w:color w:val="000000"/>
                    </w:rPr>
                  </w:pPr>
                  <w:r>
                    <w:rPr>
                      <w:rFonts w:hint="eastAsia"/>
                      <w:color w:val="000000"/>
                    </w:rPr>
                    <w:t>水利工程管理单位（名称）</w:t>
                  </w:r>
                </w:p>
                <w:p>
                  <w:pPr>
                    <w:ind w:firstLine="4095" w:firstLineChars="1950"/>
                    <w:rPr>
                      <w:color w:val="000000"/>
                    </w:rPr>
                  </w:pPr>
                  <w:r>
                    <w:rPr>
                      <w:rFonts w:hint="eastAsia"/>
                      <w:color w:val="000000"/>
                    </w:rPr>
                    <w:t>日期</w:t>
                  </w:r>
                </w:p>
              </w:txbxContent>
            </v:textbox>
            <w10:wrap type="none"/>
            <w10:anchorlock/>
          </v:rect>
        </w:pict>
      </w:r>
    </w:p>
    <w:p>
      <w:pPr>
        <w:ind w:firstLine="0" w:firstLineChars="0"/>
        <w:rPr>
          <w:kern w:val="2"/>
        </w:rPr>
      </w:pPr>
    </w:p>
    <w:p>
      <w:pPr>
        <w:ind w:firstLine="0" w:firstLineChars="0"/>
        <w:rPr>
          <w:kern w:val="2"/>
        </w:rPr>
      </w:pPr>
      <w:r>
        <w:rPr>
          <w:rFonts w:hint="eastAsia"/>
          <w:kern w:val="2"/>
        </w:rPr>
        <w:t>（一）标示牌编号</w:t>
      </w:r>
    </w:p>
    <w:p>
      <w:pPr>
        <w:ind w:firstLine="0" w:firstLineChars="0"/>
      </w:pPr>
      <w:r>
        <w:rPr>
          <w:rFonts w:hint="eastAsia"/>
        </w:rPr>
        <w:t>标示牌编号书写于标题名称后面，格式为“(标示牌序号)”，序号根据管理需要排列。</w:t>
      </w:r>
    </w:p>
    <w:p>
      <w:pPr>
        <w:ind w:firstLine="0" w:firstLineChars="0"/>
        <w:rPr>
          <w:kern w:val="2"/>
        </w:rPr>
      </w:pPr>
      <w:r>
        <w:rPr>
          <w:rFonts w:hint="eastAsia"/>
          <w:kern w:val="2"/>
        </w:rPr>
        <w:t>（二）标示牌布设</w:t>
      </w:r>
    </w:p>
    <w:p>
      <w:pPr>
        <w:ind w:firstLine="420"/>
      </w:pPr>
      <w:r>
        <w:rPr>
          <w:rFonts w:hint="eastAsia"/>
        </w:rPr>
        <w:t>水利工程起点、终点各设一个标示牌，起点、终点之间设置的标示牌间距小于3000m。本次标示牌布置原则：①布设标示牌时应在水利工程管理范围边界的醒目或明显地区为原则；②应在大坝两侧布置，或在进坝道路边，或保护范围内的道路旁设置。③根据实际地形和周边环境确定埋设位置。</w:t>
      </w:r>
    </w:p>
    <w:p>
      <w:pPr>
        <w:ind w:firstLine="420"/>
      </w:pPr>
      <w:r>
        <w:rPr>
          <w:rFonts w:hint="eastAsia"/>
        </w:rPr>
        <w:t>在下列情况应设置：①穿越城镇规划区上、下游；②重要下河湖通道(车行通道)；③人口密集或人流聚集地点边、岸；④重要码头、桥梁、取水口、电站等涉河设施处；⑤水事纠纷和水事案件易发地段或行政界。</w:t>
      </w:r>
    </w:p>
    <w:p>
      <w:pPr>
        <w:ind w:firstLine="0" w:firstLineChars="0"/>
        <w:rPr>
          <w:rFonts w:cs="黑体"/>
          <w:b/>
          <w:kern w:val="2"/>
        </w:rPr>
      </w:pPr>
      <w:bookmarkStart w:id="56" w:name="_Toc9252501"/>
      <w:r>
        <w:rPr>
          <w:rFonts w:hint="eastAsia" w:cs="黑体"/>
          <w:b/>
          <w:kern w:val="2"/>
        </w:rPr>
        <w:t>（6）成果管理</w:t>
      </w:r>
      <w:bookmarkEnd w:id="56"/>
    </w:p>
    <w:p>
      <w:pPr>
        <w:ind w:firstLine="0" w:firstLineChars="0"/>
        <w:rPr>
          <w:kern w:val="2"/>
        </w:rPr>
      </w:pPr>
      <w:r>
        <w:rPr>
          <w:rFonts w:hint="eastAsia"/>
          <w:kern w:val="2"/>
        </w:rPr>
        <w:t>1、划定方案文档</w:t>
      </w:r>
    </w:p>
    <w:p>
      <w:pPr>
        <w:ind w:firstLine="420"/>
        <w:rPr>
          <w:kern w:val="2"/>
        </w:rPr>
      </w:pPr>
      <w:r>
        <w:rPr>
          <w:rFonts w:hint="eastAsia"/>
          <w:kern w:val="2"/>
        </w:rPr>
        <w:t>划定方案技术文档是对划定工作过程中采用的技术方法、参考的标准规范以及形成界线成果进行分析说明。具体内容包括：划定工作背景、工程基本情况、工作原则及依据、组织实施情况、划定标准、界桩标示牌布设成果表（含基于国家大地 2000 坐标系、1985 国家高程基准的界桩、标示牌坐标）及其它相关情况说明等。</w:t>
      </w:r>
    </w:p>
    <w:p>
      <w:pPr>
        <w:ind w:firstLine="0" w:firstLineChars="0"/>
        <w:rPr>
          <w:kern w:val="2"/>
        </w:rPr>
      </w:pPr>
      <w:r>
        <w:rPr>
          <w:rFonts w:hint="eastAsia"/>
          <w:kern w:val="2"/>
        </w:rPr>
        <w:t>2、划定图册</w:t>
      </w:r>
    </w:p>
    <w:p>
      <w:pPr>
        <w:ind w:firstLine="420"/>
        <w:rPr>
          <w:kern w:val="2"/>
        </w:rPr>
      </w:pPr>
      <w:r>
        <w:rPr>
          <w:rFonts w:hint="eastAsia"/>
          <w:kern w:val="2"/>
        </w:rPr>
        <w:t>划定图册是将划定成果相关内容在工作底图上展示，参照《青海省河道管理范围划定技术导则》相关要求设置符号样式及色彩，并采用 A3 幅面大小进行打印输出的图册。</w:t>
      </w:r>
    </w:p>
    <w:p>
      <w:pPr>
        <w:ind w:firstLine="0" w:firstLineChars="0"/>
        <w:rPr>
          <w:kern w:val="2"/>
        </w:rPr>
      </w:pPr>
      <w:r>
        <w:rPr>
          <w:rFonts w:hint="eastAsia"/>
          <w:kern w:val="2"/>
        </w:rPr>
        <w:t>3.测绘基准</w:t>
      </w:r>
    </w:p>
    <w:p>
      <w:pPr>
        <w:ind w:firstLine="0" w:firstLineChars="0"/>
        <w:rPr>
          <w:kern w:val="2"/>
        </w:rPr>
      </w:pPr>
      <w:r>
        <w:rPr>
          <w:rFonts w:hint="eastAsia"/>
          <w:kern w:val="2"/>
        </w:rPr>
        <w:t>（1）坐标系统；2000国家大地坐标系（CGCS2000）。</w:t>
      </w:r>
    </w:p>
    <w:p>
      <w:pPr>
        <w:ind w:firstLine="0" w:firstLineChars="0"/>
        <w:rPr>
          <w:kern w:val="2"/>
        </w:rPr>
      </w:pPr>
      <w:r>
        <w:rPr>
          <w:rFonts w:hint="eastAsia"/>
          <w:kern w:val="2"/>
        </w:rPr>
        <w:t>（2）高程基准；1985 国家高程基准。</w:t>
      </w:r>
    </w:p>
    <w:p>
      <w:pPr>
        <w:ind w:firstLine="0" w:firstLineChars="0"/>
        <w:rPr>
          <w:kern w:val="2"/>
        </w:rPr>
      </w:pPr>
      <w:r>
        <w:rPr>
          <w:rFonts w:hint="eastAsia"/>
          <w:kern w:val="2"/>
        </w:rPr>
        <w:t>（3）投影方式：高斯-克昌格 3°带投影第 34 带，中央子午线 102°E</w:t>
      </w:r>
    </w:p>
    <w:p>
      <w:pPr>
        <w:ind w:firstLine="0" w:firstLineChars="0"/>
        <w:rPr>
          <w:kern w:val="2"/>
        </w:rPr>
      </w:pPr>
      <w:r>
        <w:rPr>
          <w:rFonts w:hint="eastAsia"/>
          <w:kern w:val="2"/>
        </w:rPr>
        <w:t>（4）成图比例尺；1:2000。</w:t>
      </w:r>
    </w:p>
    <w:p>
      <w:pPr>
        <w:ind w:firstLine="0" w:firstLineChars="0"/>
        <w:rPr>
          <w:kern w:val="2"/>
        </w:rPr>
      </w:pPr>
      <w:r>
        <w:rPr>
          <w:rFonts w:hint="eastAsia"/>
          <w:kern w:val="2"/>
        </w:rPr>
        <w:t>4.数字正射影像</w:t>
      </w:r>
    </w:p>
    <w:p>
      <w:pPr>
        <w:ind w:firstLine="0" w:firstLineChars="0"/>
        <w:rPr>
          <w:kern w:val="2"/>
        </w:rPr>
      </w:pPr>
      <w:r>
        <w:rPr>
          <w:rFonts w:hint="eastAsia"/>
          <w:kern w:val="2"/>
        </w:rPr>
        <w:t>（1） DOM 地面分辨率为0.2米，通过单模型的 DOM 进行调色、镶嵌、裁切而成。</w:t>
      </w:r>
    </w:p>
    <w:p>
      <w:pPr>
        <w:ind w:firstLine="0" w:firstLineChars="0"/>
        <w:rPr>
          <w:kern w:val="2"/>
        </w:rPr>
      </w:pPr>
      <w:r>
        <w:rPr>
          <w:rFonts w:hint="eastAsia"/>
          <w:kern w:val="2"/>
        </w:rPr>
        <w:t>（2）数据的存储格式</w:t>
      </w:r>
    </w:p>
    <w:p>
      <w:pPr>
        <w:ind w:firstLine="420"/>
        <w:rPr>
          <w:kern w:val="2"/>
        </w:rPr>
      </w:pPr>
      <w:r>
        <w:rPr>
          <w:rFonts w:hint="eastAsia"/>
          <w:kern w:val="2"/>
        </w:rPr>
        <w:t>DOM 地面分辨率为 0.2 米：成果格式为 8bit 非压缩 tiff格式。坐标定位文件格式为*.tfw，记录影像地面分辨率、影像左上角像元中心坐标。</w:t>
      </w:r>
    </w:p>
    <w:p>
      <w:pPr>
        <w:ind w:firstLine="0" w:firstLineChars="0"/>
        <w:rPr>
          <w:kern w:val="2"/>
        </w:rPr>
      </w:pPr>
      <w:r>
        <w:rPr>
          <w:rFonts w:hint="eastAsia"/>
          <w:kern w:val="2"/>
        </w:rPr>
        <w:t>5.地面测量成果</w:t>
      </w:r>
    </w:p>
    <w:p>
      <w:pPr>
        <w:ind w:firstLine="0" w:firstLineChars="0"/>
        <w:rPr>
          <w:kern w:val="2"/>
        </w:rPr>
      </w:pPr>
      <w:r>
        <w:rPr>
          <w:rFonts w:hint="eastAsia"/>
          <w:kern w:val="2"/>
        </w:rPr>
        <w:t>（1）数据格式</w:t>
      </w:r>
    </w:p>
    <w:p>
      <w:pPr>
        <w:ind w:firstLine="420"/>
        <w:rPr>
          <w:kern w:val="2"/>
        </w:rPr>
      </w:pPr>
      <w:r>
        <w:rPr>
          <w:rFonts w:hint="eastAsia"/>
          <w:kern w:val="2"/>
        </w:rPr>
        <w:t>水工程断面数据成果采用 Excel 和 txt 的格式存储,包括 Excel 格式的断面坐标成果和 txt 格式的水工程断面采集散点数据。水工程断面图采用 DWG 格式，包括水工程断面图和水工程断面采集散点图。</w:t>
      </w:r>
    </w:p>
    <w:p>
      <w:pPr>
        <w:ind w:firstLine="0" w:firstLineChars="0"/>
        <w:rPr>
          <w:kern w:val="2"/>
        </w:rPr>
      </w:pPr>
      <w:r>
        <w:rPr>
          <w:rFonts w:hint="eastAsia"/>
          <w:kern w:val="2"/>
        </w:rPr>
        <w:t>（2）文件编号</w:t>
      </w:r>
    </w:p>
    <w:p>
      <w:pPr>
        <w:ind w:firstLine="420"/>
        <w:rPr>
          <w:kern w:val="2"/>
        </w:rPr>
      </w:pPr>
      <w:r>
        <w:rPr>
          <w:rFonts w:hint="eastAsia"/>
          <w:kern w:val="2"/>
        </w:rPr>
        <w:t>水工程断面编号以水工程名称汉语拼音简写开头从上游开始往下游逐一编号,大断面测绘断面编号为：JCH-001 。水工程断面坐标成果数据：编号.xls；水工程断面采集散点数据：水工程断面采集散点数据.txt ；水工程断面图：水工程断面图.dwg ；水工程断面采集散点图：水工程断面采集散点图.dwg。</w:t>
      </w:r>
    </w:p>
    <w:p>
      <w:pPr>
        <w:ind w:firstLine="0" w:firstLineChars="0"/>
        <w:rPr>
          <w:kern w:val="2"/>
        </w:rPr>
      </w:pPr>
      <w:r>
        <w:rPr>
          <w:rFonts w:hint="eastAsia"/>
          <w:kern w:val="2"/>
        </w:rPr>
        <w:t>6.实体界桩编号</w:t>
      </w:r>
    </w:p>
    <w:p>
      <w:pPr>
        <w:ind w:firstLine="0" w:firstLineChars="0"/>
        <w:rPr>
          <w:kern w:val="2"/>
        </w:rPr>
      </w:pPr>
      <w:r>
        <w:rPr>
          <w:rFonts w:hint="eastAsia"/>
          <w:kern w:val="2"/>
        </w:rPr>
        <w:t>（1）实体界桩编号起始点选择水工程起点处，由水工程上游向下游分左、右编号。</w:t>
      </w:r>
    </w:p>
    <w:p>
      <w:pPr>
        <w:ind w:firstLine="0" w:firstLineChars="0"/>
        <w:rPr>
          <w:kern w:val="2"/>
        </w:rPr>
      </w:pPr>
      <w:r>
        <w:rPr>
          <w:rFonts w:hint="eastAsia"/>
          <w:kern w:val="2"/>
        </w:rPr>
        <w:t>（2）编号格式</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92"/>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65" w:type="dxa"/>
            <w:vAlign w:val="center"/>
          </w:tcPr>
          <w:p>
            <w:pPr>
              <w:widowControl w:val="0"/>
              <w:ind w:firstLine="0" w:firstLineChars="0"/>
              <w:jc w:val="both"/>
              <w:rPr>
                <w:kern w:val="2"/>
              </w:rPr>
            </w:pPr>
            <w:r>
              <w:rPr>
                <w:rFonts w:hint="eastAsia"/>
                <w:kern w:val="2"/>
              </w:rPr>
              <w:t>字段名称</w:t>
            </w:r>
          </w:p>
        </w:tc>
        <w:tc>
          <w:tcPr>
            <w:tcW w:w="1065" w:type="dxa"/>
            <w:vAlign w:val="center"/>
          </w:tcPr>
          <w:p>
            <w:pPr>
              <w:widowControl w:val="0"/>
              <w:ind w:firstLine="0" w:firstLineChars="0"/>
              <w:jc w:val="center"/>
              <w:rPr>
                <w:kern w:val="2"/>
              </w:rPr>
            </w:pPr>
            <w:r>
              <w:rPr>
                <w:rFonts w:hint="eastAsia"/>
                <w:kern w:val="2"/>
              </w:rPr>
              <w:t>JZBH</w:t>
            </w:r>
          </w:p>
        </w:tc>
        <w:tc>
          <w:tcPr>
            <w:tcW w:w="1065" w:type="dxa"/>
            <w:vAlign w:val="center"/>
          </w:tcPr>
          <w:p>
            <w:pPr>
              <w:widowControl w:val="0"/>
              <w:ind w:firstLine="0" w:firstLineChars="0"/>
              <w:jc w:val="center"/>
              <w:rPr>
                <w:kern w:val="2"/>
              </w:rPr>
            </w:pPr>
            <w:r>
              <w:rPr>
                <w:rFonts w:hint="eastAsia"/>
                <w:kern w:val="2"/>
              </w:rPr>
              <w:t>X</w:t>
            </w:r>
          </w:p>
        </w:tc>
        <w:tc>
          <w:tcPr>
            <w:tcW w:w="1065" w:type="dxa"/>
            <w:vAlign w:val="center"/>
          </w:tcPr>
          <w:p>
            <w:pPr>
              <w:widowControl w:val="0"/>
              <w:ind w:firstLine="0" w:firstLineChars="0"/>
              <w:jc w:val="center"/>
              <w:rPr>
                <w:kern w:val="2"/>
              </w:rPr>
            </w:pPr>
            <w:r>
              <w:rPr>
                <w:rFonts w:hint="eastAsia"/>
                <w:kern w:val="2"/>
              </w:rPr>
              <w:t>Y</w:t>
            </w:r>
          </w:p>
        </w:tc>
        <w:tc>
          <w:tcPr>
            <w:tcW w:w="1065" w:type="dxa"/>
            <w:vAlign w:val="center"/>
          </w:tcPr>
          <w:p>
            <w:pPr>
              <w:widowControl w:val="0"/>
              <w:ind w:firstLine="0" w:firstLineChars="0"/>
              <w:jc w:val="center"/>
              <w:rPr>
                <w:kern w:val="2"/>
              </w:rPr>
            </w:pPr>
            <w:r>
              <w:rPr>
                <w:rFonts w:hint="eastAsia"/>
                <w:kern w:val="2"/>
              </w:rPr>
              <w:t>SGCMCC</w:t>
            </w:r>
          </w:p>
        </w:tc>
        <w:tc>
          <w:tcPr>
            <w:tcW w:w="1065" w:type="dxa"/>
            <w:vAlign w:val="center"/>
          </w:tcPr>
          <w:p>
            <w:pPr>
              <w:widowControl w:val="0"/>
              <w:ind w:firstLine="0" w:firstLineChars="0"/>
              <w:jc w:val="center"/>
              <w:rPr>
                <w:kern w:val="2"/>
              </w:rPr>
            </w:pPr>
            <w:r>
              <w:rPr>
                <w:rFonts w:hint="eastAsia"/>
                <w:kern w:val="2"/>
              </w:rPr>
              <w:t>SGCDM</w:t>
            </w:r>
          </w:p>
        </w:tc>
        <w:tc>
          <w:tcPr>
            <w:tcW w:w="1066" w:type="dxa"/>
            <w:vAlign w:val="center"/>
          </w:tcPr>
          <w:p>
            <w:pPr>
              <w:widowControl w:val="0"/>
              <w:ind w:firstLine="0" w:firstLineChars="0"/>
              <w:jc w:val="center"/>
              <w:rPr>
                <w:kern w:val="2"/>
              </w:rPr>
            </w:pPr>
            <w:r>
              <w:rPr>
                <w:rFonts w:hint="eastAsia"/>
                <w:kern w:val="2"/>
              </w:rPr>
              <w:t>XZQ</w:t>
            </w:r>
          </w:p>
        </w:tc>
        <w:tc>
          <w:tcPr>
            <w:tcW w:w="1066" w:type="dxa"/>
            <w:vAlign w:val="center"/>
          </w:tcPr>
          <w:p>
            <w:pPr>
              <w:widowControl w:val="0"/>
              <w:ind w:firstLine="0" w:firstLineChars="0"/>
              <w:jc w:val="center"/>
              <w:rPr>
                <w:kern w:val="2"/>
              </w:rPr>
            </w:pPr>
            <w:r>
              <w:rPr>
                <w:rFonts w:hint="eastAsia"/>
                <w:kern w:val="2"/>
              </w:rPr>
              <w:t>BZ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widowControl w:val="0"/>
              <w:ind w:firstLine="0" w:firstLineChars="0"/>
              <w:jc w:val="both"/>
              <w:rPr>
                <w:kern w:val="2"/>
              </w:rPr>
            </w:pPr>
            <w:r>
              <w:rPr>
                <w:rFonts w:hint="eastAsia"/>
                <w:kern w:val="2"/>
              </w:rPr>
              <w:t>字段说明</w:t>
            </w:r>
          </w:p>
        </w:tc>
        <w:tc>
          <w:tcPr>
            <w:tcW w:w="1065" w:type="dxa"/>
            <w:vAlign w:val="center"/>
          </w:tcPr>
          <w:p>
            <w:pPr>
              <w:widowControl w:val="0"/>
              <w:ind w:firstLine="0" w:firstLineChars="0"/>
              <w:jc w:val="center"/>
              <w:rPr>
                <w:kern w:val="2"/>
              </w:rPr>
            </w:pPr>
            <w:r>
              <w:rPr>
                <w:rFonts w:hint="eastAsia"/>
                <w:kern w:val="2"/>
              </w:rPr>
              <w:t>左/右岸编号</w:t>
            </w:r>
          </w:p>
        </w:tc>
        <w:tc>
          <w:tcPr>
            <w:tcW w:w="1065" w:type="dxa"/>
            <w:vAlign w:val="center"/>
          </w:tcPr>
          <w:p>
            <w:pPr>
              <w:widowControl w:val="0"/>
              <w:ind w:firstLine="0" w:firstLineChars="0"/>
              <w:jc w:val="center"/>
              <w:rPr>
                <w:kern w:val="2"/>
              </w:rPr>
            </w:pPr>
            <w:r>
              <w:rPr>
                <w:rFonts w:hint="eastAsia"/>
                <w:kern w:val="2"/>
              </w:rPr>
              <w:t>东经</w:t>
            </w:r>
          </w:p>
        </w:tc>
        <w:tc>
          <w:tcPr>
            <w:tcW w:w="1065" w:type="dxa"/>
            <w:vAlign w:val="center"/>
          </w:tcPr>
          <w:p>
            <w:pPr>
              <w:widowControl w:val="0"/>
              <w:ind w:firstLine="0" w:firstLineChars="0"/>
              <w:jc w:val="center"/>
              <w:rPr>
                <w:kern w:val="2"/>
              </w:rPr>
            </w:pPr>
            <w:r>
              <w:rPr>
                <w:rFonts w:hint="eastAsia"/>
                <w:kern w:val="2"/>
              </w:rPr>
              <w:t>北纬</w:t>
            </w:r>
          </w:p>
        </w:tc>
        <w:tc>
          <w:tcPr>
            <w:tcW w:w="1065" w:type="dxa"/>
            <w:vAlign w:val="center"/>
          </w:tcPr>
          <w:p>
            <w:pPr>
              <w:widowControl w:val="0"/>
              <w:ind w:firstLine="0" w:firstLineChars="0"/>
              <w:jc w:val="center"/>
              <w:rPr>
                <w:kern w:val="2"/>
              </w:rPr>
            </w:pPr>
            <w:r>
              <w:rPr>
                <w:rFonts w:hint="eastAsia"/>
                <w:kern w:val="2"/>
              </w:rPr>
              <w:t>水工程</w:t>
            </w:r>
          </w:p>
          <w:p>
            <w:pPr>
              <w:widowControl w:val="0"/>
              <w:ind w:firstLine="0" w:firstLineChars="0"/>
              <w:jc w:val="center"/>
              <w:rPr>
                <w:kern w:val="2"/>
              </w:rPr>
            </w:pPr>
            <w:r>
              <w:rPr>
                <w:rFonts w:hint="eastAsia"/>
                <w:kern w:val="2"/>
              </w:rPr>
              <w:t>名称</w:t>
            </w:r>
          </w:p>
        </w:tc>
        <w:tc>
          <w:tcPr>
            <w:tcW w:w="1065" w:type="dxa"/>
            <w:vAlign w:val="center"/>
          </w:tcPr>
          <w:p>
            <w:pPr>
              <w:widowControl w:val="0"/>
              <w:ind w:firstLine="0" w:firstLineChars="0"/>
              <w:jc w:val="center"/>
              <w:rPr>
                <w:kern w:val="2"/>
              </w:rPr>
            </w:pPr>
            <w:r>
              <w:rPr>
                <w:rFonts w:hint="eastAsia"/>
                <w:kern w:val="2"/>
              </w:rPr>
              <w:t>河流代码</w:t>
            </w:r>
          </w:p>
        </w:tc>
        <w:tc>
          <w:tcPr>
            <w:tcW w:w="1066" w:type="dxa"/>
            <w:vAlign w:val="center"/>
          </w:tcPr>
          <w:p>
            <w:pPr>
              <w:widowControl w:val="0"/>
              <w:ind w:firstLine="0" w:firstLineChars="0"/>
              <w:jc w:val="center"/>
              <w:rPr>
                <w:kern w:val="2"/>
              </w:rPr>
            </w:pPr>
            <w:r>
              <w:rPr>
                <w:rFonts w:hint="eastAsia"/>
                <w:kern w:val="2"/>
              </w:rPr>
              <w:t>行政区</w:t>
            </w:r>
          </w:p>
          <w:p>
            <w:pPr>
              <w:widowControl w:val="0"/>
              <w:ind w:firstLine="0" w:firstLineChars="0"/>
              <w:jc w:val="center"/>
              <w:rPr>
                <w:kern w:val="2"/>
              </w:rPr>
            </w:pPr>
            <w:r>
              <w:rPr>
                <w:rFonts w:hint="eastAsia"/>
                <w:kern w:val="2"/>
              </w:rPr>
              <w:t>编号</w:t>
            </w:r>
          </w:p>
        </w:tc>
        <w:tc>
          <w:tcPr>
            <w:tcW w:w="1066" w:type="dxa"/>
            <w:vAlign w:val="center"/>
          </w:tcPr>
          <w:p>
            <w:pPr>
              <w:widowControl w:val="0"/>
              <w:ind w:firstLine="0" w:firstLineChars="0"/>
              <w:jc w:val="center"/>
              <w:rPr>
                <w:kern w:val="2"/>
              </w:rPr>
            </w:pPr>
            <w:r>
              <w:rPr>
                <w:rFonts w:hint="eastAsia"/>
                <w:kern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65" w:type="dxa"/>
            <w:vAlign w:val="center"/>
          </w:tcPr>
          <w:p>
            <w:pPr>
              <w:widowControl w:val="0"/>
              <w:ind w:firstLine="0" w:firstLineChars="0"/>
              <w:jc w:val="both"/>
              <w:rPr>
                <w:kern w:val="2"/>
              </w:rPr>
            </w:pPr>
            <w:r>
              <w:rPr>
                <w:rFonts w:hint="eastAsia"/>
                <w:kern w:val="2"/>
              </w:rPr>
              <w:t>字段类型</w:t>
            </w:r>
          </w:p>
        </w:tc>
        <w:tc>
          <w:tcPr>
            <w:tcW w:w="1065" w:type="dxa"/>
            <w:vAlign w:val="center"/>
          </w:tcPr>
          <w:p>
            <w:pPr>
              <w:widowControl w:val="0"/>
              <w:ind w:firstLine="0" w:firstLineChars="0"/>
              <w:jc w:val="center"/>
              <w:rPr>
                <w:kern w:val="2"/>
              </w:rPr>
            </w:pPr>
            <w:r>
              <w:rPr>
                <w:rFonts w:hint="eastAsia"/>
                <w:kern w:val="2"/>
              </w:rPr>
              <w:t>文本</w:t>
            </w:r>
          </w:p>
        </w:tc>
        <w:tc>
          <w:tcPr>
            <w:tcW w:w="1065" w:type="dxa"/>
            <w:vAlign w:val="center"/>
          </w:tcPr>
          <w:p>
            <w:pPr>
              <w:widowControl w:val="0"/>
              <w:ind w:firstLine="0" w:firstLineChars="0"/>
              <w:jc w:val="center"/>
              <w:rPr>
                <w:kern w:val="2"/>
              </w:rPr>
            </w:pPr>
            <w:r>
              <w:rPr>
                <w:rFonts w:hint="eastAsia"/>
                <w:kern w:val="2"/>
              </w:rPr>
              <w:t>双精度</w:t>
            </w:r>
          </w:p>
        </w:tc>
        <w:tc>
          <w:tcPr>
            <w:tcW w:w="1065" w:type="dxa"/>
            <w:vAlign w:val="center"/>
          </w:tcPr>
          <w:p>
            <w:pPr>
              <w:widowControl w:val="0"/>
              <w:ind w:firstLine="0" w:firstLineChars="0"/>
              <w:jc w:val="center"/>
              <w:rPr>
                <w:kern w:val="2"/>
              </w:rPr>
            </w:pPr>
            <w:r>
              <w:rPr>
                <w:rFonts w:hint="eastAsia"/>
                <w:kern w:val="2"/>
              </w:rPr>
              <w:t>双精度</w:t>
            </w:r>
          </w:p>
        </w:tc>
        <w:tc>
          <w:tcPr>
            <w:tcW w:w="1065" w:type="dxa"/>
            <w:vAlign w:val="center"/>
          </w:tcPr>
          <w:p>
            <w:pPr>
              <w:widowControl w:val="0"/>
              <w:ind w:firstLine="0" w:firstLineChars="0"/>
              <w:jc w:val="center"/>
              <w:rPr>
                <w:kern w:val="2"/>
              </w:rPr>
            </w:pPr>
            <w:r>
              <w:rPr>
                <w:rFonts w:hint="eastAsia"/>
                <w:kern w:val="2"/>
              </w:rPr>
              <w:t>文本</w:t>
            </w:r>
          </w:p>
        </w:tc>
        <w:tc>
          <w:tcPr>
            <w:tcW w:w="1065" w:type="dxa"/>
            <w:vAlign w:val="center"/>
          </w:tcPr>
          <w:p>
            <w:pPr>
              <w:widowControl w:val="0"/>
              <w:ind w:firstLine="0" w:firstLineChars="0"/>
              <w:jc w:val="center"/>
              <w:rPr>
                <w:kern w:val="2"/>
              </w:rPr>
            </w:pPr>
            <w:r>
              <w:rPr>
                <w:rFonts w:hint="eastAsia"/>
                <w:kern w:val="2"/>
              </w:rPr>
              <w:t>文本</w:t>
            </w:r>
          </w:p>
        </w:tc>
        <w:tc>
          <w:tcPr>
            <w:tcW w:w="1066" w:type="dxa"/>
            <w:vAlign w:val="center"/>
          </w:tcPr>
          <w:p>
            <w:pPr>
              <w:widowControl w:val="0"/>
              <w:ind w:firstLine="0" w:firstLineChars="0"/>
              <w:jc w:val="center"/>
              <w:rPr>
                <w:kern w:val="2"/>
              </w:rPr>
            </w:pPr>
            <w:r>
              <w:rPr>
                <w:rFonts w:hint="eastAsia"/>
                <w:kern w:val="2"/>
              </w:rPr>
              <w:t>长整型</w:t>
            </w:r>
          </w:p>
        </w:tc>
        <w:tc>
          <w:tcPr>
            <w:tcW w:w="1066" w:type="dxa"/>
            <w:vAlign w:val="center"/>
          </w:tcPr>
          <w:p>
            <w:pPr>
              <w:widowControl w:val="0"/>
              <w:ind w:firstLine="0" w:firstLineChars="0"/>
              <w:jc w:val="center"/>
              <w:rPr>
                <w:kern w:val="2"/>
              </w:rPr>
            </w:pPr>
            <w:r>
              <w:rPr>
                <w:rFonts w:hint="eastAsia"/>
                <w:kern w:val="2"/>
              </w:rPr>
              <w:t>文本</w:t>
            </w:r>
          </w:p>
        </w:tc>
      </w:tr>
    </w:tbl>
    <w:p>
      <w:pPr>
        <w:ind w:firstLine="0" w:firstLineChars="0"/>
        <w:rPr>
          <w:kern w:val="2"/>
        </w:rPr>
      </w:pPr>
    </w:p>
    <w:p>
      <w:pPr>
        <w:ind w:firstLine="0" w:firstLineChars="0"/>
        <w:rPr>
          <w:kern w:val="2"/>
        </w:rPr>
      </w:pPr>
      <w:r>
        <w:rPr>
          <w:rFonts w:hint="eastAsia"/>
          <w:kern w:val="2"/>
        </w:rPr>
        <w:t>（3）编号采用流水编号，不重不漏，每项水工程单独一套编号。</w:t>
      </w:r>
    </w:p>
    <w:p>
      <w:pPr>
        <w:ind w:firstLine="0" w:firstLineChars="0"/>
        <w:rPr>
          <w:kern w:val="2"/>
        </w:rPr>
      </w:pPr>
    </w:p>
    <w:p>
      <w:pPr>
        <w:pStyle w:val="3"/>
        <w:ind w:firstLine="0" w:firstLineChars="0"/>
        <w:jc w:val="left"/>
        <w:rPr>
          <w:sz w:val="21"/>
          <w:szCs w:val="21"/>
        </w:rPr>
      </w:pPr>
      <w:bookmarkStart w:id="57" w:name="_Toc61249562"/>
      <w:r>
        <w:rPr>
          <w:rFonts w:hint="eastAsia"/>
          <w:sz w:val="21"/>
          <w:szCs w:val="21"/>
        </w:rPr>
        <w:t>三</w:t>
      </w:r>
      <w:r>
        <w:rPr>
          <w:sz w:val="21"/>
          <w:szCs w:val="21"/>
        </w:rPr>
        <w:t>、采购清单</w:t>
      </w:r>
      <w:bookmarkEnd w:id="57"/>
    </w:p>
    <w:tbl>
      <w:tblPr>
        <w:tblStyle w:val="39"/>
        <w:tblpPr w:leftFromText="180" w:rightFromText="180" w:vertAnchor="text" w:tblpY="1"/>
        <w:tblOverlap w:val="never"/>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4013"/>
        <w:gridCol w:w="2129"/>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trPr>
        <w:tc>
          <w:tcPr>
            <w:tcW w:w="986" w:type="dxa"/>
            <w:noWrap/>
            <w:vAlign w:val="center"/>
          </w:tcPr>
          <w:p>
            <w:pPr>
              <w:ind w:firstLine="0" w:firstLineChars="0"/>
              <w:jc w:val="both"/>
              <w:rPr>
                <w:b/>
                <w:bCs/>
                <w:color w:val="000000"/>
              </w:rPr>
            </w:pPr>
            <w:r>
              <w:rPr>
                <w:b/>
                <w:bCs/>
                <w:color w:val="000000"/>
              </w:rPr>
              <w:t>序号</w:t>
            </w:r>
          </w:p>
        </w:tc>
        <w:tc>
          <w:tcPr>
            <w:tcW w:w="4013" w:type="dxa"/>
            <w:noWrap/>
            <w:vAlign w:val="center"/>
          </w:tcPr>
          <w:p>
            <w:pPr>
              <w:ind w:firstLine="422"/>
              <w:jc w:val="center"/>
              <w:rPr>
                <w:b/>
                <w:bCs/>
                <w:color w:val="000000"/>
              </w:rPr>
            </w:pPr>
            <w:r>
              <w:rPr>
                <w:b/>
                <w:bCs/>
                <w:color w:val="000000"/>
              </w:rPr>
              <w:t>建设内容</w:t>
            </w:r>
          </w:p>
        </w:tc>
        <w:tc>
          <w:tcPr>
            <w:tcW w:w="2129" w:type="dxa"/>
            <w:noWrap/>
            <w:vAlign w:val="center"/>
          </w:tcPr>
          <w:p>
            <w:pPr>
              <w:ind w:firstLine="422"/>
              <w:jc w:val="center"/>
              <w:rPr>
                <w:b/>
                <w:bCs/>
                <w:color w:val="000000"/>
              </w:rPr>
            </w:pPr>
            <w:r>
              <w:rPr>
                <w:b/>
                <w:bCs/>
                <w:color w:val="000000"/>
              </w:rPr>
              <w:t>数量</w:t>
            </w:r>
          </w:p>
        </w:tc>
        <w:tc>
          <w:tcPr>
            <w:tcW w:w="2270" w:type="dxa"/>
            <w:noWrap/>
            <w:vAlign w:val="center"/>
          </w:tcPr>
          <w:p>
            <w:pPr>
              <w:ind w:firstLine="422"/>
              <w:jc w:val="center"/>
              <w:rPr>
                <w:b/>
                <w:bCs/>
                <w:color w:val="000000"/>
              </w:rPr>
            </w:pPr>
            <w:r>
              <w:rPr>
                <w:b/>
                <w:bCs/>
                <w:color w:val="00000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trPr>
        <w:tc>
          <w:tcPr>
            <w:tcW w:w="986" w:type="dxa"/>
            <w:noWrap/>
            <w:vAlign w:val="center"/>
          </w:tcPr>
          <w:p>
            <w:pPr>
              <w:ind w:firstLine="422"/>
              <w:jc w:val="center"/>
              <w:rPr>
                <w:b/>
                <w:bCs/>
                <w:color w:val="000000"/>
              </w:rPr>
            </w:pPr>
            <w:r>
              <w:rPr>
                <w:rFonts w:hint="eastAsia"/>
                <w:b/>
                <w:bCs/>
                <w:color w:val="000000"/>
              </w:rPr>
              <w:t>一</w:t>
            </w:r>
          </w:p>
        </w:tc>
        <w:tc>
          <w:tcPr>
            <w:tcW w:w="8412" w:type="dxa"/>
            <w:gridSpan w:val="3"/>
            <w:noWrap/>
            <w:vAlign w:val="center"/>
          </w:tcPr>
          <w:p>
            <w:pPr>
              <w:ind w:firstLine="422"/>
              <w:rPr>
                <w:b/>
                <w:bCs/>
                <w:color w:val="000000"/>
              </w:rPr>
            </w:pPr>
            <w:r>
              <w:rPr>
                <w:b/>
                <w:bCs/>
                <w:color w:val="000000"/>
              </w:rPr>
              <w:t>测绘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trPr>
        <w:tc>
          <w:tcPr>
            <w:tcW w:w="986" w:type="dxa"/>
            <w:noWrap/>
            <w:vAlign w:val="center"/>
          </w:tcPr>
          <w:p>
            <w:pPr>
              <w:ind w:firstLine="420"/>
              <w:jc w:val="center"/>
              <w:rPr>
                <w:color w:val="000000"/>
              </w:rPr>
            </w:pPr>
            <w:r>
              <w:rPr>
                <w:rFonts w:hint="eastAsia"/>
                <w:color w:val="000000"/>
              </w:rPr>
              <w:t>1</w:t>
            </w:r>
          </w:p>
        </w:tc>
        <w:tc>
          <w:tcPr>
            <w:tcW w:w="4013" w:type="dxa"/>
            <w:noWrap/>
            <w:vAlign w:val="center"/>
          </w:tcPr>
          <w:p>
            <w:pPr>
              <w:ind w:firstLine="420"/>
              <w:rPr>
                <w:color w:val="000000"/>
              </w:rPr>
            </w:pPr>
            <w:r>
              <w:rPr>
                <w:color w:val="000000"/>
              </w:rPr>
              <w:t>测绘</w:t>
            </w:r>
          </w:p>
        </w:tc>
        <w:tc>
          <w:tcPr>
            <w:tcW w:w="2129" w:type="dxa"/>
            <w:noWrap/>
            <w:vAlign w:val="center"/>
          </w:tcPr>
          <w:p>
            <w:pPr>
              <w:ind w:firstLine="420"/>
              <w:jc w:val="center"/>
              <w:rPr>
                <w:bCs/>
                <w:color w:val="000000"/>
              </w:rPr>
            </w:pPr>
            <w:r>
              <w:rPr>
                <w:rFonts w:hint="eastAsia"/>
                <w:bCs/>
                <w:color w:val="000000"/>
              </w:rPr>
              <w:t>967.72</w:t>
            </w:r>
          </w:p>
        </w:tc>
        <w:tc>
          <w:tcPr>
            <w:tcW w:w="2270" w:type="dxa"/>
            <w:noWrap/>
            <w:vAlign w:val="center"/>
          </w:tcPr>
          <w:p>
            <w:pPr>
              <w:ind w:firstLine="420"/>
              <w:jc w:val="center"/>
              <w:rPr>
                <w:bCs/>
                <w:color w:val="000000"/>
              </w:rPr>
            </w:pPr>
            <w:r>
              <w:rPr>
                <w:bCs/>
                <w:color w:val="000000"/>
              </w:rPr>
              <w:t>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trPr>
        <w:tc>
          <w:tcPr>
            <w:tcW w:w="986" w:type="dxa"/>
            <w:noWrap/>
            <w:vAlign w:val="center"/>
          </w:tcPr>
          <w:p>
            <w:pPr>
              <w:ind w:firstLine="420"/>
              <w:jc w:val="center"/>
              <w:rPr>
                <w:b/>
                <w:bCs/>
                <w:color w:val="000000"/>
              </w:rPr>
            </w:pPr>
            <w:r>
              <w:rPr>
                <w:rFonts w:hint="eastAsia"/>
                <w:color w:val="000000"/>
              </w:rPr>
              <w:t>二</w:t>
            </w:r>
          </w:p>
        </w:tc>
        <w:tc>
          <w:tcPr>
            <w:tcW w:w="8412" w:type="dxa"/>
            <w:gridSpan w:val="3"/>
            <w:noWrap/>
            <w:vAlign w:val="center"/>
          </w:tcPr>
          <w:p>
            <w:pPr>
              <w:ind w:firstLine="422"/>
              <w:rPr>
                <w:b/>
                <w:bCs/>
                <w:color w:val="000000"/>
              </w:rPr>
            </w:pPr>
            <w:r>
              <w:rPr>
                <w:b/>
                <w:bCs/>
                <w:color w:val="000000"/>
              </w:rPr>
              <w:t>实物界桩与标示牌的制作与安装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986" w:type="dxa"/>
            <w:noWrap/>
            <w:vAlign w:val="center"/>
          </w:tcPr>
          <w:p>
            <w:pPr>
              <w:ind w:firstLine="420"/>
              <w:jc w:val="center"/>
              <w:rPr>
                <w:color w:val="000000"/>
              </w:rPr>
            </w:pPr>
            <w:r>
              <w:rPr>
                <w:rFonts w:hint="eastAsia"/>
                <w:color w:val="000000"/>
              </w:rPr>
              <w:t>1</w:t>
            </w:r>
          </w:p>
        </w:tc>
        <w:tc>
          <w:tcPr>
            <w:tcW w:w="4013" w:type="dxa"/>
            <w:noWrap/>
            <w:vAlign w:val="center"/>
          </w:tcPr>
          <w:p>
            <w:pPr>
              <w:ind w:firstLine="420"/>
              <w:rPr>
                <w:color w:val="000000"/>
              </w:rPr>
            </w:pPr>
            <w:r>
              <w:rPr>
                <w:color w:val="000000"/>
              </w:rPr>
              <w:t>界桩制</w:t>
            </w:r>
          </w:p>
        </w:tc>
        <w:tc>
          <w:tcPr>
            <w:tcW w:w="2129" w:type="dxa"/>
            <w:noWrap/>
            <w:vAlign w:val="center"/>
          </w:tcPr>
          <w:p>
            <w:pPr>
              <w:ind w:firstLine="420"/>
              <w:jc w:val="center"/>
              <w:rPr>
                <w:color w:val="000000"/>
              </w:rPr>
            </w:pPr>
            <w:r>
              <w:rPr>
                <w:rFonts w:hint="eastAsia"/>
              </w:rPr>
              <w:t>8116</w:t>
            </w:r>
          </w:p>
        </w:tc>
        <w:tc>
          <w:tcPr>
            <w:tcW w:w="2270" w:type="dxa"/>
            <w:noWrap/>
            <w:vAlign w:val="center"/>
          </w:tcPr>
          <w:p>
            <w:pPr>
              <w:ind w:firstLine="420"/>
              <w:jc w:val="center"/>
              <w:rPr>
                <w:color w:val="000000"/>
              </w:rPr>
            </w:pPr>
            <w:r>
              <w:rPr>
                <w:color w:val="00000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986" w:type="dxa"/>
            <w:noWrap/>
            <w:vAlign w:val="center"/>
          </w:tcPr>
          <w:p>
            <w:pPr>
              <w:ind w:firstLine="420"/>
              <w:jc w:val="center"/>
              <w:rPr>
                <w:color w:val="000000"/>
              </w:rPr>
            </w:pPr>
            <w:r>
              <w:rPr>
                <w:color w:val="000000"/>
              </w:rPr>
              <w:t>2</w:t>
            </w:r>
          </w:p>
        </w:tc>
        <w:tc>
          <w:tcPr>
            <w:tcW w:w="4013" w:type="dxa"/>
            <w:noWrap/>
            <w:vAlign w:val="center"/>
          </w:tcPr>
          <w:p>
            <w:pPr>
              <w:ind w:firstLine="420"/>
              <w:rPr>
                <w:color w:val="000000"/>
              </w:rPr>
            </w:pPr>
            <w:r>
              <w:rPr>
                <w:color w:val="000000"/>
              </w:rPr>
              <w:t>公示牌</w:t>
            </w:r>
          </w:p>
        </w:tc>
        <w:tc>
          <w:tcPr>
            <w:tcW w:w="2129" w:type="dxa"/>
            <w:noWrap/>
            <w:vAlign w:val="center"/>
          </w:tcPr>
          <w:p>
            <w:pPr>
              <w:ind w:firstLine="420"/>
              <w:jc w:val="center"/>
              <w:rPr>
                <w:color w:val="000000"/>
              </w:rPr>
            </w:pPr>
            <w:r>
              <w:rPr>
                <w:rFonts w:hint="eastAsia"/>
              </w:rPr>
              <w:t>647</w:t>
            </w:r>
          </w:p>
        </w:tc>
        <w:tc>
          <w:tcPr>
            <w:tcW w:w="2270" w:type="dxa"/>
            <w:noWrap/>
            <w:vAlign w:val="center"/>
          </w:tcPr>
          <w:p>
            <w:pPr>
              <w:ind w:firstLine="420"/>
              <w:jc w:val="center"/>
              <w:rPr>
                <w:color w:val="000000"/>
              </w:rPr>
            </w:pPr>
            <w:r>
              <w:rPr>
                <w:color w:val="000000"/>
              </w:rPr>
              <w:t>面</w:t>
            </w:r>
          </w:p>
        </w:tc>
      </w:tr>
    </w:tbl>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pStyle w:val="2"/>
        <w:ind w:firstLine="883"/>
      </w:pPr>
      <w:bookmarkStart w:id="58" w:name="_Toc61249563"/>
      <w:bookmarkStart w:id="59" w:name="_Toc5072"/>
      <w:bookmarkStart w:id="60" w:name="_Toc21853"/>
      <w:r>
        <w:rPr>
          <w:rFonts w:hint="eastAsia"/>
          <w:kern w:val="0"/>
        </w:rPr>
        <w:t>第四部分  合同主要条款</w:t>
      </w:r>
      <w:bookmarkEnd w:id="58"/>
      <w:bookmarkEnd w:id="59"/>
      <w:bookmarkEnd w:id="60"/>
    </w:p>
    <w:p>
      <w:pPr>
        <w:ind w:firstLine="420"/>
        <w:rPr>
          <w:szCs w:val="21"/>
          <w:u w:val="single"/>
        </w:rPr>
      </w:pPr>
      <w:r>
        <w:rPr>
          <w:rFonts w:hint="eastAsia"/>
          <w:szCs w:val="21"/>
        </w:rPr>
        <w:t>发包人：</w:t>
      </w:r>
    </w:p>
    <w:p>
      <w:pPr>
        <w:ind w:firstLine="420"/>
        <w:rPr>
          <w:rFonts w:eastAsia="MS Mincho"/>
          <w:szCs w:val="21"/>
        </w:rPr>
      </w:pPr>
      <w:r>
        <w:rPr>
          <w:rFonts w:hint="eastAsia"/>
          <w:szCs w:val="21"/>
        </w:rPr>
        <w:t>承包人：</w:t>
      </w:r>
    </w:p>
    <w:p>
      <w:pPr>
        <w:ind w:left="630" w:leftChars="200" w:hanging="210" w:hangingChars="100"/>
        <w:rPr>
          <w:szCs w:val="21"/>
          <w:u w:val="single"/>
        </w:rPr>
      </w:pPr>
      <w:r>
        <w:rPr>
          <w:rFonts w:hint="eastAsia"/>
          <w:szCs w:val="21"/>
        </w:rPr>
        <w:t>发包人委托承包人承担工作，工程地点为经双方协商一致，签订本合同，共同执行。</w:t>
      </w:r>
    </w:p>
    <w:p>
      <w:pPr>
        <w:ind w:firstLine="420"/>
        <w:rPr>
          <w:szCs w:val="21"/>
        </w:rPr>
      </w:pPr>
      <w:r>
        <w:rPr>
          <w:szCs w:val="21"/>
        </w:rPr>
        <w:t>根据《中华人民共和国合同法》、</w:t>
      </w:r>
      <w:r>
        <w:rPr>
          <w:rFonts w:hint="eastAsia"/>
          <w:szCs w:val="21"/>
        </w:rPr>
        <w:t>《中华人民共和国建筑法》和《建设工程勘测设计市场管理规定》</w:t>
      </w:r>
      <w:r>
        <w:rPr>
          <w:szCs w:val="21"/>
        </w:rPr>
        <w:t>及有关规定，结合该工程的具体情况，经充分协商，签署本合同。</w:t>
      </w:r>
    </w:p>
    <w:p>
      <w:pPr>
        <w:ind w:firstLine="422"/>
        <w:rPr>
          <w:b/>
          <w:szCs w:val="21"/>
        </w:rPr>
      </w:pPr>
      <w:r>
        <w:rPr>
          <w:b/>
          <w:szCs w:val="21"/>
        </w:rPr>
        <w:t>第</w:t>
      </w:r>
      <w:r>
        <w:rPr>
          <w:rFonts w:hint="eastAsia"/>
          <w:b/>
          <w:szCs w:val="21"/>
        </w:rPr>
        <w:t>一</w:t>
      </w:r>
      <w:r>
        <w:rPr>
          <w:b/>
          <w:szCs w:val="21"/>
        </w:rPr>
        <w:t>条</w:t>
      </w:r>
      <w:r>
        <w:rPr>
          <w:b/>
          <w:szCs w:val="21"/>
        </w:rPr>
        <w:tab/>
      </w:r>
      <w:r>
        <w:rPr>
          <w:b/>
          <w:szCs w:val="21"/>
        </w:rPr>
        <w:t>工作内容与要求</w:t>
      </w:r>
    </w:p>
    <w:p>
      <w:pPr>
        <w:ind w:firstLine="420"/>
        <w:rPr>
          <w:szCs w:val="21"/>
        </w:rPr>
      </w:pPr>
      <w:r>
        <w:rPr>
          <w:szCs w:val="21"/>
        </w:rPr>
        <w:t>一、工作内容</w:t>
      </w:r>
    </w:p>
    <w:p>
      <w:pPr>
        <w:tabs>
          <w:tab w:val="left" w:pos="1211"/>
        </w:tabs>
        <w:ind w:firstLine="420"/>
        <w:rPr>
          <w:szCs w:val="21"/>
        </w:rPr>
      </w:pPr>
      <w:bookmarkStart w:id="61" w:name="_bookmark15"/>
      <w:bookmarkEnd w:id="61"/>
      <w:r>
        <w:rPr>
          <w:rFonts w:hint="eastAsia"/>
          <w:szCs w:val="21"/>
        </w:rPr>
        <w:t>完成</w:t>
      </w:r>
      <w:r>
        <w:rPr>
          <w:rFonts w:hint="eastAsia"/>
          <w:bCs/>
          <w:szCs w:val="21"/>
        </w:rPr>
        <w:t>工作</w:t>
      </w:r>
      <w:r>
        <w:rPr>
          <w:rFonts w:hint="eastAsia"/>
          <w:szCs w:val="21"/>
        </w:rPr>
        <w:t>。</w:t>
      </w:r>
    </w:p>
    <w:p>
      <w:pPr>
        <w:tabs>
          <w:tab w:val="left" w:pos="1211"/>
        </w:tabs>
        <w:ind w:firstLine="422"/>
        <w:rPr>
          <w:b/>
          <w:szCs w:val="21"/>
        </w:rPr>
      </w:pPr>
      <w:r>
        <w:rPr>
          <w:b/>
          <w:szCs w:val="21"/>
        </w:rPr>
        <w:t>第</w:t>
      </w:r>
      <w:r>
        <w:rPr>
          <w:rFonts w:hint="eastAsia"/>
          <w:b/>
          <w:szCs w:val="21"/>
        </w:rPr>
        <w:t>二</w:t>
      </w:r>
      <w:r>
        <w:rPr>
          <w:b/>
          <w:szCs w:val="21"/>
        </w:rPr>
        <w:t>条</w:t>
      </w:r>
      <w:r>
        <w:rPr>
          <w:b/>
          <w:szCs w:val="21"/>
        </w:rPr>
        <w:tab/>
      </w:r>
      <w:r>
        <w:rPr>
          <w:b/>
          <w:szCs w:val="21"/>
        </w:rPr>
        <w:t>工程工期要求</w:t>
      </w:r>
    </w:p>
    <w:p>
      <w:pPr>
        <w:ind w:firstLine="420"/>
        <w:rPr>
          <w:szCs w:val="21"/>
        </w:rPr>
      </w:pPr>
      <w:r>
        <w:rPr>
          <w:szCs w:val="21"/>
        </w:rPr>
        <w:t>服务周期：。</w:t>
      </w:r>
    </w:p>
    <w:p>
      <w:pPr>
        <w:ind w:firstLine="422"/>
        <w:rPr>
          <w:b/>
          <w:szCs w:val="21"/>
        </w:rPr>
      </w:pPr>
      <w:bookmarkStart w:id="62" w:name="_bookmark16"/>
      <w:bookmarkEnd w:id="62"/>
      <w:r>
        <w:rPr>
          <w:b/>
          <w:szCs w:val="21"/>
        </w:rPr>
        <w:t>第</w:t>
      </w:r>
      <w:r>
        <w:rPr>
          <w:rFonts w:hint="eastAsia"/>
          <w:b/>
          <w:szCs w:val="21"/>
        </w:rPr>
        <w:t>三</w:t>
      </w:r>
      <w:r>
        <w:rPr>
          <w:b/>
          <w:szCs w:val="21"/>
        </w:rPr>
        <w:t>条</w:t>
      </w:r>
      <w:r>
        <w:rPr>
          <w:b/>
          <w:szCs w:val="21"/>
        </w:rPr>
        <w:tab/>
      </w:r>
      <w:r>
        <w:rPr>
          <w:b/>
          <w:szCs w:val="21"/>
        </w:rPr>
        <w:t>质量要求</w:t>
      </w:r>
    </w:p>
    <w:p>
      <w:pPr>
        <w:tabs>
          <w:tab w:val="left" w:pos="1211"/>
        </w:tabs>
        <w:ind w:firstLine="420"/>
        <w:rPr>
          <w:szCs w:val="21"/>
        </w:rPr>
      </w:pPr>
      <w:r>
        <w:rPr>
          <w:rFonts w:hint="eastAsia" w:eastAsiaTheme="minorEastAsia"/>
          <w:szCs w:val="21"/>
        </w:rPr>
        <w:t>质量要求</w:t>
      </w:r>
      <w:r>
        <w:rPr>
          <w:szCs w:val="21"/>
        </w:rPr>
        <w:t>。</w:t>
      </w:r>
      <w:bookmarkStart w:id="63" w:name="_bookmark17"/>
      <w:bookmarkEnd w:id="63"/>
    </w:p>
    <w:p>
      <w:pPr>
        <w:ind w:firstLine="422"/>
        <w:rPr>
          <w:b/>
          <w:szCs w:val="21"/>
        </w:rPr>
      </w:pPr>
      <w:r>
        <w:rPr>
          <w:b/>
          <w:szCs w:val="21"/>
        </w:rPr>
        <w:t>第</w:t>
      </w:r>
      <w:r>
        <w:rPr>
          <w:rFonts w:hint="eastAsia"/>
          <w:b/>
          <w:szCs w:val="21"/>
        </w:rPr>
        <w:t>四</w:t>
      </w:r>
      <w:r>
        <w:rPr>
          <w:b/>
          <w:szCs w:val="21"/>
        </w:rPr>
        <w:t>条</w:t>
      </w:r>
      <w:r>
        <w:rPr>
          <w:b/>
          <w:szCs w:val="21"/>
        </w:rPr>
        <w:tab/>
      </w:r>
      <w:r>
        <w:rPr>
          <w:b/>
          <w:szCs w:val="21"/>
        </w:rPr>
        <w:t>各方的责任</w:t>
      </w:r>
    </w:p>
    <w:p>
      <w:pPr>
        <w:ind w:firstLine="422"/>
        <w:rPr>
          <w:b/>
          <w:szCs w:val="21"/>
        </w:rPr>
      </w:pPr>
      <w:r>
        <w:rPr>
          <w:b/>
          <w:szCs w:val="21"/>
        </w:rPr>
        <w:t>一、</w:t>
      </w:r>
      <w:r>
        <w:rPr>
          <w:rFonts w:hint="eastAsia"/>
          <w:b/>
          <w:szCs w:val="21"/>
        </w:rPr>
        <w:t>发包人</w:t>
      </w:r>
      <w:r>
        <w:rPr>
          <w:b/>
          <w:szCs w:val="21"/>
        </w:rPr>
        <w:t>责任</w:t>
      </w:r>
    </w:p>
    <w:p>
      <w:pPr>
        <w:ind w:firstLine="420"/>
        <w:rPr>
          <w:szCs w:val="21"/>
        </w:rPr>
      </w:pPr>
      <w:r>
        <w:rPr>
          <w:szCs w:val="21"/>
        </w:rPr>
        <w:t>1、批准或认可承包商方的项目实施工作计划，开具本合同工作所需的证明文件，以利承包商开展工作。</w:t>
      </w:r>
    </w:p>
    <w:p>
      <w:pPr>
        <w:ind w:firstLine="420"/>
        <w:rPr>
          <w:szCs w:val="21"/>
        </w:rPr>
      </w:pPr>
      <w:r>
        <w:rPr>
          <w:szCs w:val="21"/>
        </w:rPr>
        <w:t>2、提供测量工作开展所必须的批准测量文书资料等。</w:t>
      </w:r>
    </w:p>
    <w:p>
      <w:pPr>
        <w:ind w:firstLine="420"/>
        <w:rPr>
          <w:szCs w:val="21"/>
        </w:rPr>
      </w:pPr>
      <w:r>
        <w:rPr>
          <w:szCs w:val="21"/>
        </w:rPr>
        <w:t>3、对工期、质量、人员、设备、仪器进行监督检查，对不符合技术要求的工作，有权要求责任方自费进行返工。</w:t>
      </w:r>
    </w:p>
    <w:p>
      <w:pPr>
        <w:ind w:firstLine="420"/>
        <w:rPr>
          <w:szCs w:val="21"/>
        </w:rPr>
      </w:pPr>
      <w:r>
        <w:rPr>
          <w:szCs w:val="21"/>
        </w:rPr>
        <w:t>4、根据本合同规定按时付款。</w:t>
      </w:r>
    </w:p>
    <w:p>
      <w:pPr>
        <w:ind w:firstLine="420"/>
        <w:rPr>
          <w:szCs w:val="21"/>
        </w:rPr>
      </w:pPr>
      <w:r>
        <w:rPr>
          <w:szCs w:val="21"/>
        </w:rPr>
        <w:t>5、组织</w:t>
      </w:r>
      <w:r>
        <w:rPr>
          <w:rFonts w:hint="eastAsia"/>
          <w:szCs w:val="21"/>
        </w:rPr>
        <w:t>划界</w:t>
      </w:r>
      <w:r>
        <w:rPr>
          <w:szCs w:val="21"/>
        </w:rPr>
        <w:t>成果的审查和验收。</w:t>
      </w:r>
    </w:p>
    <w:p>
      <w:pPr>
        <w:ind w:firstLine="420"/>
        <w:rPr>
          <w:szCs w:val="21"/>
        </w:rPr>
      </w:pPr>
      <w:r>
        <w:rPr>
          <w:rFonts w:hint="eastAsia"/>
          <w:szCs w:val="21"/>
        </w:rPr>
        <w:t>6、为承包方提供必要的基础资料和技术资料。</w:t>
      </w:r>
    </w:p>
    <w:p>
      <w:pPr>
        <w:ind w:firstLine="420"/>
        <w:rPr>
          <w:szCs w:val="21"/>
        </w:rPr>
      </w:pPr>
      <w:r>
        <w:rPr>
          <w:szCs w:val="21"/>
        </w:rPr>
        <w:t>6、本合同有关条款规定的或补充协议中业主应负的其它责任。</w:t>
      </w:r>
    </w:p>
    <w:p>
      <w:pPr>
        <w:ind w:firstLine="422"/>
        <w:rPr>
          <w:b/>
          <w:szCs w:val="21"/>
        </w:rPr>
      </w:pPr>
      <w:r>
        <w:rPr>
          <w:b/>
          <w:szCs w:val="21"/>
        </w:rPr>
        <w:t>二、承包商责任</w:t>
      </w:r>
    </w:p>
    <w:p>
      <w:pPr>
        <w:ind w:firstLine="420"/>
        <w:rPr>
          <w:szCs w:val="21"/>
        </w:rPr>
      </w:pPr>
      <w:r>
        <w:rPr>
          <w:szCs w:val="21"/>
        </w:rPr>
        <w:t>1、按技术要求进行现场踏勘</w:t>
      </w:r>
      <w:r>
        <w:rPr>
          <w:rFonts w:hint="eastAsia"/>
          <w:szCs w:val="21"/>
        </w:rPr>
        <w:t>工作</w:t>
      </w:r>
      <w:r>
        <w:rPr>
          <w:szCs w:val="21"/>
        </w:rPr>
        <w:t>。</w:t>
      </w:r>
    </w:p>
    <w:p>
      <w:pPr>
        <w:ind w:firstLine="420"/>
        <w:rPr>
          <w:szCs w:val="21"/>
        </w:rPr>
      </w:pPr>
      <w:r>
        <w:rPr>
          <w:szCs w:val="21"/>
        </w:rPr>
        <w:t>2、按照国家现行的标准、规范、规程，以及技术要求进行测量放样，按规定的进度交付成果资料。</w:t>
      </w:r>
    </w:p>
    <w:p>
      <w:pPr>
        <w:ind w:firstLine="420"/>
        <w:rPr>
          <w:szCs w:val="21"/>
        </w:rPr>
      </w:pPr>
      <w:r>
        <w:rPr>
          <w:szCs w:val="21"/>
        </w:rPr>
        <w:t>4、接受</w:t>
      </w:r>
      <w:r>
        <w:rPr>
          <w:rFonts w:hint="eastAsia"/>
          <w:szCs w:val="21"/>
        </w:rPr>
        <w:t>发包人</w:t>
      </w:r>
      <w:r>
        <w:rPr>
          <w:szCs w:val="21"/>
        </w:rPr>
        <w:t>对工期、质量、人员组成、设备、仪器的监督。</w:t>
      </w:r>
    </w:p>
    <w:p>
      <w:pPr>
        <w:ind w:firstLine="420"/>
        <w:rPr>
          <w:szCs w:val="21"/>
        </w:rPr>
      </w:pPr>
      <w:r>
        <w:rPr>
          <w:szCs w:val="21"/>
        </w:rPr>
        <w:t>5、对定线和测量放样的质量和数据的准确性负完全责任。</w:t>
      </w:r>
    </w:p>
    <w:p>
      <w:pPr>
        <w:ind w:firstLine="420"/>
        <w:rPr>
          <w:szCs w:val="21"/>
        </w:rPr>
      </w:pPr>
      <w:r>
        <w:rPr>
          <w:szCs w:val="21"/>
        </w:rPr>
        <w:t>6、承包商必须采取措施确保过路行人、车辆的安全，对自身的人员、设施及施工现场的安全负责，保持环境卫生。处理好与沿线单位和个人的关系，确保野外测量按期进行。</w:t>
      </w:r>
    </w:p>
    <w:p>
      <w:pPr>
        <w:ind w:firstLine="420"/>
        <w:rPr>
          <w:szCs w:val="21"/>
        </w:rPr>
      </w:pPr>
      <w:r>
        <w:rPr>
          <w:szCs w:val="21"/>
        </w:rPr>
        <w:t>7、按时提交</w:t>
      </w:r>
      <w:r>
        <w:rPr>
          <w:rFonts w:hint="eastAsia"/>
          <w:szCs w:val="21"/>
        </w:rPr>
        <w:t>水利工程保护范围划定</w:t>
      </w:r>
      <w:r>
        <w:rPr>
          <w:szCs w:val="21"/>
        </w:rPr>
        <w:t>工作报告，负责文整、打印、复印、装订、装箱等工作。资料装订规格必须符合档案归档规定（包括电子文件）。</w:t>
      </w:r>
    </w:p>
    <w:p>
      <w:pPr>
        <w:ind w:firstLine="420"/>
        <w:rPr>
          <w:szCs w:val="21"/>
        </w:rPr>
      </w:pPr>
      <w:r>
        <w:rPr>
          <w:szCs w:val="21"/>
        </w:rPr>
        <w:t>8、应</w:t>
      </w:r>
      <w:r>
        <w:rPr>
          <w:rFonts w:hint="eastAsia"/>
          <w:szCs w:val="21"/>
        </w:rPr>
        <w:t>发包人</w:t>
      </w:r>
      <w:r>
        <w:rPr>
          <w:szCs w:val="21"/>
        </w:rPr>
        <w:t>要求，采取有效措施及时提供中间资料，以满足工作的需要。</w:t>
      </w:r>
    </w:p>
    <w:p>
      <w:pPr>
        <w:ind w:firstLine="420"/>
        <w:rPr>
          <w:szCs w:val="21"/>
        </w:rPr>
      </w:pPr>
      <w:r>
        <w:rPr>
          <w:szCs w:val="21"/>
        </w:rPr>
        <w:t>9、维护知识产权，不得向与本项目无关的第三方提供技术成果的数据。</w:t>
      </w:r>
    </w:p>
    <w:p>
      <w:pPr>
        <w:ind w:firstLine="420"/>
        <w:rPr>
          <w:szCs w:val="21"/>
        </w:rPr>
      </w:pPr>
      <w:r>
        <w:rPr>
          <w:szCs w:val="21"/>
        </w:rPr>
        <w:t>10、承包人允许发包人无偿、永久使用合同执行过程中本项目产生的所有测量成果。</w:t>
      </w:r>
    </w:p>
    <w:p>
      <w:pPr>
        <w:tabs>
          <w:tab w:val="left" w:pos="1211"/>
        </w:tabs>
        <w:ind w:firstLine="422"/>
        <w:rPr>
          <w:b/>
          <w:szCs w:val="21"/>
        </w:rPr>
      </w:pPr>
      <w:r>
        <w:rPr>
          <w:b/>
          <w:szCs w:val="21"/>
        </w:rPr>
        <w:t>第</w:t>
      </w:r>
      <w:r>
        <w:rPr>
          <w:rFonts w:hint="eastAsia"/>
          <w:b/>
          <w:szCs w:val="21"/>
        </w:rPr>
        <w:t>五</w:t>
      </w:r>
      <w:r>
        <w:rPr>
          <w:b/>
          <w:szCs w:val="21"/>
        </w:rPr>
        <w:t>条</w:t>
      </w:r>
      <w:r>
        <w:rPr>
          <w:b/>
          <w:szCs w:val="21"/>
        </w:rPr>
        <w:tab/>
      </w:r>
      <w:r>
        <w:rPr>
          <w:b/>
          <w:szCs w:val="21"/>
        </w:rPr>
        <w:t>成果的提交和验收</w:t>
      </w:r>
    </w:p>
    <w:p>
      <w:pPr>
        <w:ind w:firstLine="420"/>
        <w:rPr>
          <w:szCs w:val="21"/>
        </w:rPr>
      </w:pPr>
      <w:r>
        <w:rPr>
          <w:szCs w:val="21"/>
        </w:rPr>
        <w:t>1、成果的提交：按技术要求提供</w:t>
      </w:r>
    </w:p>
    <w:p>
      <w:pPr>
        <w:ind w:firstLine="420"/>
        <w:rPr>
          <w:szCs w:val="21"/>
        </w:rPr>
      </w:pPr>
      <w:r>
        <w:rPr>
          <w:szCs w:val="21"/>
        </w:rPr>
        <w:t>2、验收程序</w:t>
      </w:r>
    </w:p>
    <w:p>
      <w:pPr>
        <w:pStyle w:val="16"/>
        <w:spacing w:before="139" w:line="364" w:lineRule="auto"/>
        <w:ind w:right="380" w:firstLine="420"/>
        <w:rPr>
          <w:rFonts w:ascii="Times New Roman" w:eastAsia="宋体"/>
          <w:kern w:val="0"/>
          <w:sz w:val="21"/>
          <w:szCs w:val="21"/>
        </w:rPr>
      </w:pPr>
      <w:r>
        <w:rPr>
          <w:rFonts w:hint="eastAsia" w:ascii="Times New Roman" w:eastAsia="宋体"/>
          <w:kern w:val="0"/>
          <w:sz w:val="21"/>
          <w:szCs w:val="21"/>
        </w:rPr>
        <w:t>西宁市水利工程管理与保护范围划定工作完成后，西宁市湟中区水利局会同自然资源等部门，及时对工作成果进行全面验收。验收通过后，由区级以上人民政府审定并通过网站、电视、报纸、手机短信等多种途径向社会公告,并在水利工程显著位置设立公告牌，或在已有的公示牌上标注水利工程管理范围信息</w:t>
      </w:r>
      <w:r>
        <w:rPr>
          <w:rFonts w:ascii="Times New Roman" w:eastAsia="宋体"/>
          <w:kern w:val="0"/>
          <w:sz w:val="21"/>
          <w:szCs w:val="21"/>
        </w:rPr>
        <w:t>。</w:t>
      </w:r>
      <w:bookmarkStart w:id="64" w:name="_bookmark19"/>
      <w:bookmarkEnd w:id="64"/>
    </w:p>
    <w:p>
      <w:pPr>
        <w:tabs>
          <w:tab w:val="left" w:pos="1211"/>
        </w:tabs>
        <w:ind w:firstLine="422"/>
        <w:rPr>
          <w:b/>
          <w:szCs w:val="21"/>
        </w:rPr>
      </w:pPr>
      <w:r>
        <w:rPr>
          <w:b/>
          <w:szCs w:val="21"/>
        </w:rPr>
        <w:t>第</w:t>
      </w:r>
      <w:r>
        <w:rPr>
          <w:rFonts w:hint="eastAsia"/>
          <w:b/>
          <w:szCs w:val="21"/>
        </w:rPr>
        <w:t>六</w:t>
      </w:r>
      <w:r>
        <w:rPr>
          <w:b/>
          <w:szCs w:val="21"/>
        </w:rPr>
        <w:t>条</w:t>
      </w:r>
      <w:r>
        <w:rPr>
          <w:b/>
          <w:szCs w:val="21"/>
        </w:rPr>
        <w:tab/>
      </w:r>
      <w:r>
        <w:rPr>
          <w:b/>
          <w:szCs w:val="21"/>
        </w:rPr>
        <w:t>合同价格及计费方法</w:t>
      </w:r>
    </w:p>
    <w:p>
      <w:pPr>
        <w:tabs>
          <w:tab w:val="left" w:pos="2784"/>
          <w:tab w:val="left" w:pos="8622"/>
        </w:tabs>
        <w:ind w:firstLine="420"/>
        <w:rPr>
          <w:szCs w:val="21"/>
        </w:rPr>
      </w:pPr>
      <w:r>
        <w:rPr>
          <w:szCs w:val="21"/>
        </w:rPr>
        <w:t>本合同采用总价承包形式。经双方确认，本合同总价为人民币（大写）</w:t>
      </w:r>
      <w:r>
        <w:rPr>
          <w:szCs w:val="21"/>
          <w:u w:val="single"/>
        </w:rPr>
        <w:tab/>
      </w:r>
      <w:r>
        <w:rPr>
          <w:rFonts w:hint="eastAsia"/>
          <w:szCs w:val="21"/>
        </w:rPr>
        <w:t>元</w:t>
      </w:r>
      <w:r>
        <w:rPr>
          <w:szCs w:val="21"/>
        </w:rPr>
        <w:t>（</w:t>
      </w:r>
      <w:r>
        <w:rPr>
          <w:rFonts w:hint="eastAsia"/>
          <w:szCs w:val="21"/>
          <w:u w:val="single"/>
        </w:rPr>
        <w:t>RMB￥</w:t>
      </w:r>
      <w:r>
        <w:rPr>
          <w:szCs w:val="21"/>
        </w:rPr>
        <w:t>）。</w:t>
      </w:r>
    </w:p>
    <w:p>
      <w:pPr>
        <w:ind w:firstLine="422"/>
        <w:rPr>
          <w:b/>
          <w:szCs w:val="21"/>
        </w:rPr>
      </w:pPr>
      <w:bookmarkStart w:id="65" w:name="_bookmark20"/>
      <w:bookmarkEnd w:id="65"/>
      <w:bookmarkStart w:id="66" w:name="_bookmark21"/>
      <w:bookmarkEnd w:id="66"/>
      <w:r>
        <w:rPr>
          <w:b/>
          <w:szCs w:val="21"/>
        </w:rPr>
        <w:t>第</w:t>
      </w:r>
      <w:r>
        <w:rPr>
          <w:rFonts w:hint="eastAsia"/>
          <w:b/>
          <w:szCs w:val="21"/>
        </w:rPr>
        <w:t>七</w:t>
      </w:r>
      <w:r>
        <w:rPr>
          <w:b/>
          <w:szCs w:val="21"/>
        </w:rPr>
        <w:t>条</w:t>
      </w:r>
      <w:r>
        <w:rPr>
          <w:b/>
          <w:szCs w:val="21"/>
        </w:rPr>
        <w:tab/>
      </w:r>
      <w:r>
        <w:rPr>
          <w:b/>
          <w:szCs w:val="21"/>
        </w:rPr>
        <w:t>支付</w:t>
      </w:r>
      <w:r>
        <w:rPr>
          <w:rFonts w:hint="eastAsia"/>
          <w:b/>
          <w:szCs w:val="21"/>
        </w:rPr>
        <w:t>方式</w:t>
      </w:r>
    </w:p>
    <w:p>
      <w:pPr>
        <w:ind w:firstLine="420"/>
        <w:rPr>
          <w:rFonts w:hint="default" w:eastAsia="宋体"/>
          <w:szCs w:val="21"/>
          <w:u w:val="none"/>
          <w:lang w:val="en-US" w:eastAsia="zh-CN"/>
        </w:rPr>
      </w:pPr>
      <w:r>
        <w:rPr>
          <w:rFonts w:hint="eastAsia"/>
          <w:szCs w:val="21"/>
        </w:rPr>
        <w:t>1、</w:t>
      </w:r>
      <w:r>
        <w:rPr>
          <w:rFonts w:hint="eastAsia"/>
          <w:szCs w:val="21"/>
          <w:u w:val="single"/>
          <w:lang w:val="en-US" w:eastAsia="zh-CN"/>
        </w:rPr>
        <w:t xml:space="preserve">                 </w:t>
      </w:r>
      <w:r>
        <w:rPr>
          <w:rFonts w:hint="eastAsia"/>
          <w:szCs w:val="21"/>
          <w:u w:val="none"/>
          <w:lang w:val="en-US" w:eastAsia="zh-CN"/>
        </w:rPr>
        <w:t>。</w:t>
      </w:r>
    </w:p>
    <w:p>
      <w:pPr>
        <w:ind w:firstLine="420"/>
        <w:rPr>
          <w:szCs w:val="21"/>
        </w:rPr>
      </w:pPr>
      <w:r>
        <w:rPr>
          <w:szCs w:val="21"/>
        </w:rPr>
        <w:t>2、支付方式按银行转帐。</w:t>
      </w:r>
    </w:p>
    <w:p>
      <w:pPr>
        <w:ind w:firstLine="422"/>
        <w:rPr>
          <w:szCs w:val="21"/>
        </w:rPr>
      </w:pPr>
      <w:r>
        <w:rPr>
          <w:b/>
          <w:szCs w:val="21"/>
        </w:rPr>
        <w:t>第</w:t>
      </w:r>
      <w:r>
        <w:rPr>
          <w:rFonts w:hint="eastAsia"/>
          <w:b/>
          <w:szCs w:val="21"/>
        </w:rPr>
        <w:t>八</w:t>
      </w:r>
      <w:r>
        <w:rPr>
          <w:b/>
          <w:szCs w:val="21"/>
        </w:rPr>
        <w:t>条</w:t>
      </w:r>
      <w:r>
        <w:rPr>
          <w:b/>
          <w:szCs w:val="21"/>
        </w:rPr>
        <w:tab/>
      </w:r>
      <w:r>
        <w:rPr>
          <w:b/>
          <w:szCs w:val="21"/>
        </w:rPr>
        <w:t>违约责任</w:t>
      </w:r>
    </w:p>
    <w:p>
      <w:pPr>
        <w:widowControl w:val="0"/>
        <w:numPr>
          <w:ilvl w:val="0"/>
          <w:numId w:val="7"/>
        </w:numPr>
        <w:adjustRightInd/>
        <w:snapToGrid/>
        <w:ind w:left="0" w:firstLine="420" w:firstLineChars="0"/>
        <w:rPr>
          <w:b/>
          <w:szCs w:val="21"/>
        </w:rPr>
      </w:pPr>
      <w:r>
        <w:rPr>
          <w:b/>
          <w:szCs w:val="21"/>
        </w:rPr>
        <w:t>发包人责任</w:t>
      </w:r>
    </w:p>
    <w:p>
      <w:pPr>
        <w:ind w:firstLine="420"/>
        <w:rPr>
          <w:color w:val="FF0000"/>
          <w:szCs w:val="21"/>
        </w:rPr>
      </w:pPr>
      <w:r>
        <w:rPr>
          <w:rFonts w:hint="eastAsia"/>
          <w:szCs w:val="21"/>
        </w:rPr>
        <w:t>1、在规定的时间内向承包人提交基础资料及文件，并对其完整性、正确性及时限负责，发包人不得要求承包人违反国家有关准进行工作。</w:t>
      </w:r>
    </w:p>
    <w:p>
      <w:pPr>
        <w:ind w:firstLine="420"/>
        <w:rPr>
          <w:szCs w:val="21"/>
        </w:rPr>
      </w:pPr>
      <w:r>
        <w:rPr>
          <w:rFonts w:hint="eastAsia"/>
          <w:szCs w:val="21"/>
        </w:rPr>
        <w:t>2、发包人变更委托项目、规模、条件或因提交的资料错误，或所提交资料作较大修改，以致造成承包人工作返工时，双方另行协商签订补充协议（或另订合同）、重新明确有关条款外，发包人应按承包人所耗工作量向承包人支付返工费。</w:t>
      </w:r>
    </w:p>
    <w:p>
      <w:pPr>
        <w:ind w:firstLine="420"/>
        <w:rPr>
          <w:szCs w:val="21"/>
        </w:rPr>
      </w:pPr>
      <w:r>
        <w:rPr>
          <w:rFonts w:hint="eastAsia"/>
          <w:szCs w:val="21"/>
        </w:rPr>
        <w:t>3、在合同履行期间，发包人要求终止或解除合同，已开展工作的，发包人应根据承包人已进行的实际工作量，不足一半时，按该阶段费用的一半支付；超过一半时，按该阶段费用的全部支付。</w:t>
      </w:r>
    </w:p>
    <w:p>
      <w:pPr>
        <w:ind w:firstLine="420"/>
        <w:rPr>
          <w:szCs w:val="21"/>
        </w:rPr>
      </w:pPr>
      <w:r>
        <w:rPr>
          <w:rFonts w:hint="eastAsia"/>
          <w:szCs w:val="21"/>
        </w:rPr>
        <w:t>4、发包人应本合同规定的金额和日期向承包人支付费用，每逾期支付一天，应承担支付金额千分之二的逾期违约金，且承包人提交成果的时间顺延。逾期超过30天以上时，承包人有权暂停履行下阶段工作，并书面通知发包人。发包人的上级或相关审批部门对成果不审批或本合同项目停缓建，发包人均应支付应付的费用。</w:t>
      </w:r>
    </w:p>
    <w:p>
      <w:pPr>
        <w:ind w:firstLine="420"/>
        <w:rPr>
          <w:szCs w:val="21"/>
        </w:rPr>
      </w:pPr>
      <w:r>
        <w:rPr>
          <w:rFonts w:hint="eastAsia"/>
          <w:szCs w:val="21"/>
        </w:rPr>
        <w:t>5、发包人要求承包人比合同规定时间提前交付成果时，须征得承包人同意，不得严重背离合理工作周期，且发包人应支付赶工费。</w:t>
      </w:r>
    </w:p>
    <w:p>
      <w:pPr>
        <w:ind w:firstLine="422"/>
        <w:rPr>
          <w:b/>
          <w:szCs w:val="21"/>
        </w:rPr>
      </w:pPr>
      <w:r>
        <w:rPr>
          <w:b/>
          <w:szCs w:val="21"/>
        </w:rPr>
        <w:t>二、承包人责任</w:t>
      </w:r>
    </w:p>
    <w:p>
      <w:pPr>
        <w:ind w:firstLine="420"/>
        <w:rPr>
          <w:szCs w:val="21"/>
        </w:rPr>
      </w:pPr>
      <w:r>
        <w:rPr>
          <w:rFonts w:hint="eastAsia"/>
          <w:szCs w:val="21"/>
        </w:rPr>
        <w:t>1、承包人应按国家规定和合同约定的技术规范、准进行工作，并对提交成果的质量负责。</w:t>
      </w:r>
    </w:p>
    <w:p>
      <w:pPr>
        <w:ind w:firstLine="420"/>
        <w:rPr>
          <w:szCs w:val="21"/>
        </w:rPr>
      </w:pPr>
      <w:r>
        <w:rPr>
          <w:rFonts w:hint="eastAsia"/>
          <w:szCs w:val="21"/>
        </w:rPr>
        <w:t>2、承包人对划界成果出现的遗漏或错误负责修改或补充。由于承包人错误造成工程质量事故损失，承包人除负责采取补救措施外，应免收受损失部分的划界费用。</w:t>
      </w:r>
    </w:p>
    <w:p>
      <w:pPr>
        <w:ind w:firstLine="420"/>
        <w:rPr>
          <w:szCs w:val="21"/>
        </w:rPr>
      </w:pPr>
      <w:r>
        <w:rPr>
          <w:rFonts w:hint="eastAsia"/>
          <w:szCs w:val="21"/>
        </w:rPr>
        <w:t>3、由于承包人原因，延误了成果交付时间，每延误一天，应减收该项目应收费用的千分之二。</w:t>
      </w:r>
    </w:p>
    <w:p>
      <w:pPr>
        <w:ind w:firstLine="420"/>
        <w:rPr>
          <w:szCs w:val="21"/>
        </w:rPr>
      </w:pPr>
      <w:r>
        <w:rPr>
          <w:szCs w:val="21"/>
        </w:rPr>
        <w:t>4、</w:t>
      </w:r>
      <w:r>
        <w:rPr>
          <w:rFonts w:hint="eastAsia"/>
          <w:szCs w:val="21"/>
        </w:rPr>
        <w:t>合同生效后，承包人要求终止或解除合同，承包人应返还发包人已支付的定金。</w:t>
      </w:r>
    </w:p>
    <w:p>
      <w:pPr>
        <w:ind w:firstLine="422"/>
        <w:outlineLvl w:val="0"/>
        <w:rPr>
          <w:szCs w:val="21"/>
        </w:rPr>
      </w:pPr>
      <w:bookmarkStart w:id="67" w:name="_Toc61249564"/>
      <w:r>
        <w:rPr>
          <w:rFonts w:hint="eastAsia"/>
          <w:b/>
          <w:szCs w:val="21"/>
        </w:rPr>
        <w:t>第九条保密</w:t>
      </w:r>
      <w:bookmarkEnd w:id="67"/>
    </w:p>
    <w:p>
      <w:pPr>
        <w:ind w:firstLine="420"/>
        <w:rPr>
          <w:szCs w:val="21"/>
        </w:rPr>
      </w:pPr>
      <w:r>
        <w:rPr>
          <w:rFonts w:hint="eastAsia"/>
          <w:szCs w:val="21"/>
        </w:rPr>
        <w:t>双方均应保护对方的知识产权，未经对方同意，任何一方均不得对对方的投资及文件擅自修改、复制或向第三者转让或用于本合同项目外的项目。如发生以上情况，泄密方承担一切由此引起的后果并承担赔偿负责。</w:t>
      </w:r>
    </w:p>
    <w:p>
      <w:pPr>
        <w:ind w:firstLine="422"/>
        <w:rPr>
          <w:b/>
          <w:szCs w:val="21"/>
        </w:rPr>
      </w:pPr>
      <w:bookmarkStart w:id="68" w:name="_bookmark23"/>
      <w:bookmarkEnd w:id="68"/>
      <w:r>
        <w:rPr>
          <w:b/>
          <w:szCs w:val="21"/>
        </w:rPr>
        <w:t>第十条</w:t>
      </w:r>
      <w:r>
        <w:rPr>
          <w:b/>
          <w:szCs w:val="21"/>
        </w:rPr>
        <w:tab/>
      </w:r>
      <w:r>
        <w:rPr>
          <w:b/>
          <w:szCs w:val="21"/>
        </w:rPr>
        <w:t>不可抗力因素下的合同履行</w:t>
      </w:r>
    </w:p>
    <w:p>
      <w:pPr>
        <w:ind w:firstLine="420"/>
        <w:rPr>
          <w:szCs w:val="21"/>
        </w:rPr>
      </w:pPr>
      <w:r>
        <w:rPr>
          <w:szCs w:val="21"/>
        </w:rPr>
        <w:t>如果发生了双方都无法控制的意外情况（如战争、自然灾荒等），致使本合同不能如期履行时，本合同应自动顺延履行，且双方不被视为违约，但双方应尽一切努力终止或减少上述因素的影响。上述因素一旦消失，双方应立即采取措施继续履行本合同，否则作违约论。</w:t>
      </w:r>
    </w:p>
    <w:p>
      <w:pPr>
        <w:ind w:firstLine="422"/>
        <w:rPr>
          <w:b/>
          <w:szCs w:val="21"/>
        </w:rPr>
      </w:pPr>
      <w:bookmarkStart w:id="69" w:name="_bookmark24"/>
      <w:bookmarkEnd w:id="69"/>
      <w:r>
        <w:rPr>
          <w:b/>
          <w:szCs w:val="21"/>
        </w:rPr>
        <w:t>第十</w:t>
      </w:r>
      <w:r>
        <w:rPr>
          <w:rFonts w:hint="eastAsia"/>
          <w:b/>
          <w:szCs w:val="21"/>
        </w:rPr>
        <w:t>一</w:t>
      </w:r>
      <w:r>
        <w:rPr>
          <w:b/>
          <w:szCs w:val="21"/>
        </w:rPr>
        <w:t>条</w:t>
      </w:r>
      <w:r>
        <w:rPr>
          <w:b/>
          <w:szCs w:val="21"/>
        </w:rPr>
        <w:tab/>
      </w:r>
      <w:r>
        <w:rPr>
          <w:b/>
          <w:szCs w:val="21"/>
        </w:rPr>
        <w:t>未尽事宜与争议</w:t>
      </w:r>
    </w:p>
    <w:p>
      <w:pPr>
        <w:ind w:firstLine="420"/>
        <w:rPr>
          <w:szCs w:val="21"/>
        </w:rPr>
      </w:pPr>
      <w:r>
        <w:rPr>
          <w:szCs w:val="21"/>
        </w:rPr>
        <w:t>1、对本合同未尽事宜，本着以工程利益为重的原则，友好协商解决，由当事人及时协商签署补充协议。合同双方签署的有关协议、技术讨论纪要等文件均为本合同的组成部分，与本合同具有同等效力。</w:t>
      </w:r>
    </w:p>
    <w:p>
      <w:pPr>
        <w:ind w:firstLine="420"/>
        <w:rPr>
          <w:szCs w:val="21"/>
        </w:rPr>
      </w:pPr>
      <w:r>
        <w:rPr>
          <w:szCs w:val="21"/>
        </w:rPr>
        <w:t>2、在本合同执行过程中若发生分歧或争议，按合同约定及《中华人民共和国合同法》、《建设工程勘察设计合同条例》的有关规定通过协商及时解决；如果协商不成，</w:t>
      </w:r>
      <w:r>
        <w:rPr>
          <w:rFonts w:hint="eastAsia"/>
          <w:szCs w:val="21"/>
        </w:rPr>
        <w:t>双方当事人同意向西宁市人民法院诉讼</w:t>
      </w:r>
      <w:r>
        <w:rPr>
          <w:szCs w:val="21"/>
        </w:rPr>
        <w:t>。</w:t>
      </w:r>
    </w:p>
    <w:p>
      <w:pPr>
        <w:ind w:firstLine="422"/>
        <w:rPr>
          <w:b/>
          <w:szCs w:val="21"/>
        </w:rPr>
      </w:pPr>
      <w:bookmarkStart w:id="70" w:name="_bookmark25"/>
      <w:bookmarkEnd w:id="70"/>
      <w:r>
        <w:rPr>
          <w:b/>
          <w:szCs w:val="21"/>
        </w:rPr>
        <w:t>第十</w:t>
      </w:r>
      <w:r>
        <w:rPr>
          <w:rFonts w:hint="eastAsia"/>
          <w:b/>
          <w:szCs w:val="21"/>
        </w:rPr>
        <w:t>二</w:t>
      </w:r>
      <w:r>
        <w:rPr>
          <w:b/>
          <w:szCs w:val="21"/>
        </w:rPr>
        <w:t>条</w:t>
      </w:r>
      <w:r>
        <w:rPr>
          <w:b/>
          <w:szCs w:val="21"/>
        </w:rPr>
        <w:tab/>
      </w:r>
      <w:r>
        <w:rPr>
          <w:b/>
          <w:szCs w:val="21"/>
        </w:rPr>
        <w:t>其他</w:t>
      </w:r>
    </w:p>
    <w:p>
      <w:pPr>
        <w:ind w:firstLine="420"/>
        <w:rPr>
          <w:szCs w:val="21"/>
        </w:rPr>
      </w:pPr>
      <w:r>
        <w:rPr>
          <w:rFonts w:hint="eastAsia"/>
          <w:szCs w:val="21"/>
        </w:rPr>
        <w:t>1、发包人要求承包人派人根据施工现场需要到现场进行配合与解决有关问题，承包人予以配合。</w:t>
      </w:r>
    </w:p>
    <w:p>
      <w:pPr>
        <w:ind w:firstLine="420"/>
        <w:rPr>
          <w:szCs w:val="21"/>
        </w:rPr>
      </w:pPr>
      <w:r>
        <w:rPr>
          <w:rFonts w:hint="eastAsia"/>
          <w:szCs w:val="21"/>
        </w:rPr>
        <w:t>2、承包人为本合同项目的服务至施工结束为止。</w:t>
      </w:r>
    </w:p>
    <w:p>
      <w:pPr>
        <w:ind w:firstLine="420"/>
        <w:rPr>
          <w:szCs w:val="21"/>
        </w:rPr>
      </w:pPr>
      <w:r>
        <w:rPr>
          <w:rFonts w:hint="eastAsia"/>
          <w:szCs w:val="21"/>
        </w:rPr>
        <w:t>3、发包人委托承包人承担合同内容以外的工作服务，另行签订协议并支付费用。</w:t>
      </w:r>
    </w:p>
    <w:p>
      <w:pPr>
        <w:ind w:firstLine="420"/>
        <w:rPr>
          <w:szCs w:val="21"/>
        </w:rPr>
      </w:pPr>
      <w:r>
        <w:rPr>
          <w:rFonts w:hint="eastAsia"/>
          <w:szCs w:val="21"/>
        </w:rPr>
        <w:t>4、本合同双方签字盖章即生效，一式四份，发包人两份，承包人两份。</w:t>
      </w:r>
    </w:p>
    <w:p>
      <w:pPr>
        <w:ind w:firstLine="420"/>
        <w:rPr>
          <w:szCs w:val="21"/>
        </w:rPr>
      </w:pPr>
      <w:r>
        <w:rPr>
          <w:rFonts w:hint="eastAsia"/>
          <w:szCs w:val="21"/>
        </w:rPr>
        <w:t>5、双方认可的传真、电报、会议纪要等，均为合同的组成部分，与本合同具有同等法律效力。</w:t>
      </w:r>
    </w:p>
    <w:p>
      <w:pPr>
        <w:ind w:firstLine="420"/>
        <w:rPr>
          <w:szCs w:val="21"/>
        </w:rPr>
      </w:pPr>
      <w:r>
        <w:rPr>
          <w:rFonts w:hint="eastAsia"/>
          <w:szCs w:val="21"/>
        </w:rPr>
        <w:t>6、未尽事宜，经双方协商一致，签订补充协议，补充协议与本合同具有同等效力。</w:t>
      </w:r>
    </w:p>
    <w:p>
      <w:pPr>
        <w:ind w:firstLine="420"/>
      </w:pPr>
    </w:p>
    <w:p>
      <w:pPr>
        <w:ind w:firstLine="843" w:firstLineChars="400"/>
        <w:rPr>
          <w:b/>
          <w:szCs w:val="21"/>
        </w:rPr>
      </w:pPr>
      <w:r>
        <w:rPr>
          <w:b/>
          <w:szCs w:val="21"/>
        </w:rPr>
        <w:br w:type="page"/>
      </w:r>
    </w:p>
    <w:p>
      <w:pPr>
        <w:ind w:firstLine="843" w:firstLineChars="400"/>
        <w:rPr>
          <w:szCs w:val="21"/>
        </w:rPr>
      </w:pPr>
      <w:r>
        <w:rPr>
          <w:rFonts w:hint="eastAsia"/>
          <w:b/>
          <w:szCs w:val="21"/>
        </w:rPr>
        <w:t>发包人名称：</w:t>
      </w:r>
      <w:r>
        <w:rPr>
          <w:rFonts w:hint="eastAsia"/>
          <w:b/>
          <w:szCs w:val="21"/>
          <w:lang w:val="en-US" w:eastAsia="zh-CN"/>
        </w:rPr>
        <w:t xml:space="preserve">                             </w:t>
      </w:r>
      <w:r>
        <w:rPr>
          <w:rFonts w:hint="eastAsia"/>
          <w:b/>
          <w:szCs w:val="21"/>
        </w:rPr>
        <w:t>承包人名称：</w:t>
      </w:r>
    </w:p>
    <w:p>
      <w:pPr>
        <w:ind w:firstLine="2730" w:firstLineChars="1300"/>
        <w:rPr>
          <w:rFonts w:eastAsia="MS Mincho"/>
          <w:szCs w:val="21"/>
        </w:rPr>
      </w:pPr>
    </w:p>
    <w:p>
      <w:pPr>
        <w:ind w:firstLine="1050" w:firstLineChars="500"/>
        <w:rPr>
          <w:szCs w:val="21"/>
        </w:rPr>
      </w:pPr>
      <w:r>
        <w:rPr>
          <w:rFonts w:hint="eastAsia"/>
          <w:szCs w:val="21"/>
        </w:rPr>
        <w:t xml:space="preserve">(盖章) </w:t>
      </w:r>
      <w:r>
        <w:rPr>
          <w:rFonts w:hint="eastAsia"/>
          <w:szCs w:val="21"/>
          <w:lang w:val="en-US" w:eastAsia="zh-CN"/>
        </w:rPr>
        <w:t xml:space="preserve">                                  </w:t>
      </w:r>
      <w:r>
        <w:rPr>
          <w:rFonts w:hint="eastAsia"/>
          <w:szCs w:val="21"/>
        </w:rPr>
        <w:t>（盖章）</w:t>
      </w:r>
    </w:p>
    <w:p>
      <w:pPr>
        <w:ind w:firstLine="420"/>
        <w:rPr>
          <w:szCs w:val="21"/>
        </w:rPr>
      </w:pPr>
      <w:r>
        <w:rPr>
          <w:rFonts w:hint="eastAsia"/>
          <w:szCs w:val="21"/>
        </w:rPr>
        <w:t>法定代表人：（签字/</w:t>
      </w:r>
      <w:r>
        <w:rPr>
          <w:szCs w:val="21"/>
        </w:rPr>
        <w:t>盖章</w:t>
      </w:r>
      <w:r>
        <w:rPr>
          <w:rFonts w:hint="eastAsia"/>
          <w:szCs w:val="21"/>
        </w:rPr>
        <w:t>）</w:t>
      </w:r>
      <w:r>
        <w:rPr>
          <w:rFonts w:hint="eastAsia"/>
          <w:szCs w:val="21"/>
          <w:lang w:val="en-US" w:eastAsia="zh-CN"/>
        </w:rPr>
        <w:t xml:space="preserve">                </w:t>
      </w:r>
      <w:r>
        <w:rPr>
          <w:rFonts w:hint="eastAsia"/>
          <w:szCs w:val="21"/>
        </w:rPr>
        <w:t>法定代表人：（签字/</w:t>
      </w:r>
      <w:r>
        <w:rPr>
          <w:szCs w:val="21"/>
        </w:rPr>
        <w:t>盖章</w:t>
      </w:r>
      <w:r>
        <w:rPr>
          <w:rFonts w:hint="eastAsia"/>
          <w:szCs w:val="21"/>
        </w:rPr>
        <w:t>）</w:t>
      </w:r>
    </w:p>
    <w:p>
      <w:pPr>
        <w:ind w:firstLine="420"/>
        <w:rPr>
          <w:szCs w:val="21"/>
        </w:rPr>
      </w:pPr>
      <w:r>
        <w:rPr>
          <w:rFonts w:hint="eastAsia"/>
          <w:szCs w:val="21"/>
        </w:rPr>
        <w:t>委托代表人：（签字/</w:t>
      </w:r>
      <w:r>
        <w:rPr>
          <w:szCs w:val="21"/>
        </w:rPr>
        <w:t>盖章</w:t>
      </w:r>
      <w:r>
        <w:rPr>
          <w:rFonts w:hint="eastAsia"/>
          <w:szCs w:val="21"/>
        </w:rPr>
        <w:t>）</w:t>
      </w:r>
      <w:r>
        <w:rPr>
          <w:rFonts w:hint="eastAsia"/>
          <w:szCs w:val="21"/>
          <w:lang w:val="en-US" w:eastAsia="zh-CN"/>
        </w:rPr>
        <w:t xml:space="preserve">                </w:t>
      </w:r>
      <w:r>
        <w:rPr>
          <w:rFonts w:hint="eastAsia"/>
          <w:szCs w:val="21"/>
        </w:rPr>
        <w:t>委托代表人：（签字/</w:t>
      </w:r>
      <w:r>
        <w:rPr>
          <w:szCs w:val="21"/>
        </w:rPr>
        <w:t>盖章</w:t>
      </w:r>
      <w:r>
        <w:rPr>
          <w:rFonts w:hint="eastAsia"/>
          <w:szCs w:val="21"/>
        </w:rPr>
        <w:t>）</w:t>
      </w:r>
    </w:p>
    <w:p>
      <w:pPr>
        <w:ind w:left="4410" w:leftChars="200" w:hanging="3990" w:hangingChars="1900"/>
        <w:rPr>
          <w:szCs w:val="21"/>
        </w:rPr>
      </w:pPr>
      <w:r>
        <w:rPr>
          <w:rFonts w:hint="eastAsia"/>
          <w:szCs w:val="21"/>
        </w:rPr>
        <w:t>住所：</w:t>
      </w:r>
      <w:r>
        <w:rPr>
          <w:rFonts w:hint="eastAsia"/>
          <w:szCs w:val="21"/>
          <w:lang w:val="en-US" w:eastAsia="zh-CN"/>
        </w:rPr>
        <w:t xml:space="preserve">                                   </w:t>
      </w:r>
      <w:r>
        <w:rPr>
          <w:rFonts w:hint="eastAsia"/>
          <w:szCs w:val="21"/>
        </w:rPr>
        <w:t>住所：</w:t>
      </w:r>
    </w:p>
    <w:p>
      <w:pPr>
        <w:ind w:firstLine="420"/>
        <w:rPr>
          <w:rFonts w:eastAsia="MS Mincho"/>
          <w:szCs w:val="21"/>
        </w:rPr>
      </w:pPr>
      <w:r>
        <w:rPr>
          <w:rFonts w:hint="eastAsia"/>
          <w:szCs w:val="21"/>
        </w:rPr>
        <w:t>邮政编码：</w:t>
      </w:r>
      <w:r>
        <w:rPr>
          <w:rFonts w:hint="eastAsia"/>
          <w:szCs w:val="21"/>
          <w:lang w:val="en-US" w:eastAsia="zh-CN"/>
        </w:rPr>
        <w:t xml:space="preserve">                               </w:t>
      </w:r>
      <w:r>
        <w:rPr>
          <w:rFonts w:hint="eastAsia"/>
          <w:szCs w:val="21"/>
        </w:rPr>
        <w:t>邮政编码：</w:t>
      </w:r>
    </w:p>
    <w:p>
      <w:pPr>
        <w:ind w:firstLine="420"/>
        <w:rPr>
          <w:szCs w:val="21"/>
        </w:rPr>
      </w:pPr>
      <w:r>
        <w:rPr>
          <w:rFonts w:hint="eastAsia"/>
          <w:szCs w:val="21"/>
        </w:rPr>
        <w:t>电话：</w:t>
      </w:r>
      <w:r>
        <w:rPr>
          <w:rFonts w:hint="eastAsia"/>
          <w:szCs w:val="21"/>
          <w:lang w:val="en-US" w:eastAsia="zh-CN"/>
        </w:rPr>
        <w:t xml:space="preserve">                                   </w:t>
      </w:r>
      <w:r>
        <w:rPr>
          <w:rFonts w:hint="eastAsia"/>
          <w:szCs w:val="21"/>
        </w:rPr>
        <w:t>电话：</w:t>
      </w:r>
    </w:p>
    <w:p>
      <w:pPr>
        <w:ind w:firstLine="420"/>
        <w:rPr>
          <w:rFonts w:eastAsia="MS Mincho"/>
          <w:szCs w:val="21"/>
        </w:rPr>
      </w:pPr>
      <w:r>
        <w:rPr>
          <w:rFonts w:hint="eastAsia"/>
          <w:szCs w:val="21"/>
        </w:rPr>
        <w:t>传真：</w:t>
      </w:r>
      <w:r>
        <w:rPr>
          <w:rFonts w:hint="eastAsia"/>
          <w:szCs w:val="21"/>
          <w:lang w:val="en-US" w:eastAsia="zh-CN"/>
        </w:rPr>
        <w:t xml:space="preserve">                                   </w:t>
      </w:r>
      <w:r>
        <w:rPr>
          <w:rFonts w:hint="eastAsia"/>
          <w:szCs w:val="21"/>
        </w:rPr>
        <w:t>传真：</w:t>
      </w:r>
    </w:p>
    <w:p>
      <w:pPr>
        <w:ind w:firstLine="420"/>
        <w:rPr>
          <w:szCs w:val="21"/>
        </w:rPr>
      </w:pPr>
      <w:r>
        <w:rPr>
          <w:rFonts w:hint="eastAsia"/>
          <w:szCs w:val="21"/>
        </w:rPr>
        <w:t>开户行：</w:t>
      </w:r>
      <w:r>
        <w:rPr>
          <w:rFonts w:hint="eastAsia"/>
          <w:szCs w:val="21"/>
          <w:lang w:val="en-US" w:eastAsia="zh-CN"/>
        </w:rPr>
        <w:t xml:space="preserve">                                 </w:t>
      </w:r>
      <w:r>
        <w:rPr>
          <w:rFonts w:hint="eastAsia"/>
          <w:szCs w:val="21"/>
        </w:rPr>
        <w:t>开户行：</w:t>
      </w:r>
    </w:p>
    <w:p>
      <w:pPr>
        <w:ind w:firstLine="420"/>
        <w:rPr>
          <w:rFonts w:eastAsia="MS Mincho"/>
          <w:color w:val="000000"/>
          <w:szCs w:val="21"/>
        </w:rPr>
      </w:pPr>
      <w:r>
        <w:rPr>
          <w:rFonts w:hint="eastAsia"/>
          <w:szCs w:val="21"/>
        </w:rPr>
        <w:t>帐号：</w:t>
      </w:r>
      <w:r>
        <w:rPr>
          <w:rFonts w:hint="eastAsia"/>
          <w:szCs w:val="21"/>
          <w:lang w:val="en-US" w:eastAsia="zh-CN"/>
        </w:rPr>
        <w:t xml:space="preserve">                                   </w:t>
      </w:r>
      <w:r>
        <w:rPr>
          <w:rFonts w:hint="eastAsia"/>
          <w:szCs w:val="21"/>
        </w:rPr>
        <w:t>帐号：</w:t>
      </w: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16"/>
        <w:ind w:firstLine="640"/>
        <w:rPr>
          <w:rFonts w:ascii="宋体" w:hAnsi="宋体" w:eastAsia="宋体"/>
          <w:color w:val="FF9900"/>
        </w:rPr>
      </w:pPr>
    </w:p>
    <w:p>
      <w:pPr>
        <w:pStyle w:val="2"/>
        <w:ind w:firstLine="0" w:firstLineChars="0"/>
      </w:pPr>
      <w:bookmarkStart w:id="71" w:name="_Toc25064"/>
      <w:bookmarkStart w:id="72" w:name="_Toc61249565"/>
      <w:bookmarkStart w:id="73" w:name="_Toc11756"/>
      <w:r>
        <w:rPr>
          <w:rFonts w:hint="eastAsia"/>
        </w:rPr>
        <w:t>第五部分  投标文件格式</w:t>
      </w:r>
      <w:bookmarkEnd w:id="71"/>
      <w:bookmarkEnd w:id="72"/>
      <w:bookmarkEnd w:id="73"/>
    </w:p>
    <w:p>
      <w:pPr>
        <w:pStyle w:val="3"/>
        <w:ind w:firstLine="643"/>
      </w:pPr>
      <w:bookmarkStart w:id="74" w:name="_Toc61249566"/>
      <w:r>
        <w:rPr>
          <w:rFonts w:hint="eastAsia"/>
        </w:rPr>
        <w:t>投标人提交投标文件须知</w:t>
      </w:r>
      <w:bookmarkEnd w:id="74"/>
    </w:p>
    <w:p>
      <w:pPr>
        <w:spacing w:line="400" w:lineRule="exact"/>
        <w:ind w:left="735" w:leftChars="200" w:hanging="315" w:hangingChars="150"/>
        <w:rPr>
          <w:rFonts w:ascii="宋体" w:hAnsi="宋体"/>
        </w:rPr>
      </w:pPr>
      <w:r>
        <w:rPr>
          <w:rFonts w:hint="eastAsia" w:ascii="宋体" w:hAnsi="宋体"/>
        </w:rPr>
        <w:t>1、</w:t>
      </w:r>
      <w:r>
        <w:rPr>
          <w:rFonts w:ascii="宋体" w:hAnsi="宋体"/>
          <w:color w:val="000000"/>
          <w:szCs w:val="22"/>
        </w:rPr>
        <w:t>投标</w:t>
      </w:r>
      <w:r>
        <w:rPr>
          <w:rFonts w:hint="eastAsia" w:ascii="宋体" w:hAnsi="宋体"/>
          <w:color w:val="000000"/>
          <w:szCs w:val="22"/>
        </w:rPr>
        <w:t>人</w:t>
      </w:r>
      <w:r>
        <w:rPr>
          <w:rFonts w:ascii="宋体" w:hAnsi="宋体"/>
          <w:color w:val="000000"/>
          <w:szCs w:val="22"/>
        </w:rPr>
        <w:t>应严格按照</w:t>
      </w:r>
      <w:r>
        <w:rPr>
          <w:rFonts w:hint="eastAsia" w:ascii="宋体" w:hAnsi="宋体"/>
          <w:color w:val="000000"/>
          <w:szCs w:val="22"/>
        </w:rPr>
        <w:t>投标文件的组成</w:t>
      </w:r>
      <w:r>
        <w:rPr>
          <w:rFonts w:ascii="宋体" w:hAnsi="宋体"/>
          <w:color w:val="000000"/>
          <w:szCs w:val="22"/>
        </w:rPr>
        <w:t>提交下述规定的全部格式文件以及其他有关资料，混乱的编排导致投标文件被误读</w:t>
      </w:r>
      <w:r>
        <w:rPr>
          <w:rFonts w:ascii="宋体" w:hAnsi="宋体"/>
        </w:rPr>
        <w:t>或招标代理机构查找不到有效文件是投标</w:t>
      </w:r>
      <w:r>
        <w:rPr>
          <w:rFonts w:hint="eastAsia" w:ascii="宋体" w:hAnsi="宋体"/>
        </w:rPr>
        <w:t>人</w:t>
      </w:r>
      <w:r>
        <w:rPr>
          <w:rFonts w:ascii="宋体" w:hAnsi="宋体"/>
        </w:rPr>
        <w:t>的风险。</w:t>
      </w:r>
    </w:p>
    <w:p>
      <w:pPr>
        <w:spacing w:line="400" w:lineRule="exact"/>
        <w:ind w:firstLine="420"/>
        <w:rPr>
          <w:rFonts w:ascii="宋体" w:hAnsi="宋体"/>
        </w:rPr>
      </w:pPr>
      <w:r>
        <w:rPr>
          <w:rFonts w:hint="eastAsia" w:ascii="宋体" w:hAnsi="宋体"/>
        </w:rPr>
        <w:t>2、</w:t>
      </w:r>
      <w:r>
        <w:rPr>
          <w:rFonts w:ascii="宋体" w:hAnsi="宋体"/>
        </w:rPr>
        <w:t>所附表格中要求回答的全部问题和/或信息都必须正面回答。</w:t>
      </w:r>
    </w:p>
    <w:p>
      <w:pPr>
        <w:spacing w:line="400" w:lineRule="exact"/>
        <w:ind w:firstLine="420"/>
        <w:rPr>
          <w:rFonts w:ascii="宋体" w:hAnsi="宋体"/>
        </w:rPr>
      </w:pPr>
      <w:r>
        <w:rPr>
          <w:rFonts w:hint="eastAsia" w:ascii="宋体" w:hAnsi="宋体"/>
        </w:rPr>
        <w:t>3、</w:t>
      </w:r>
      <w:r>
        <w:rPr>
          <w:rFonts w:ascii="宋体" w:hAnsi="宋体"/>
        </w:rPr>
        <w:t>本资格声明的签字人应保证全部声明和问题的回答是真实的和准确的。</w:t>
      </w:r>
    </w:p>
    <w:p>
      <w:pPr>
        <w:spacing w:line="400" w:lineRule="exact"/>
        <w:ind w:left="735" w:leftChars="200" w:hanging="315" w:hangingChars="150"/>
        <w:rPr>
          <w:rFonts w:ascii="宋体" w:hAnsi="宋体"/>
        </w:rPr>
      </w:pPr>
      <w:r>
        <w:rPr>
          <w:rFonts w:hint="eastAsia" w:ascii="宋体" w:hAnsi="宋体"/>
        </w:rPr>
        <w:t>4、</w:t>
      </w:r>
      <w:r>
        <w:rPr>
          <w:rFonts w:ascii="宋体" w:hAnsi="宋体"/>
        </w:rPr>
        <w:t>招标代理机构将应用投标</w:t>
      </w:r>
      <w:r>
        <w:rPr>
          <w:rFonts w:hint="eastAsia" w:ascii="宋体" w:hAnsi="宋体"/>
        </w:rPr>
        <w:t>人</w:t>
      </w:r>
      <w:r>
        <w:rPr>
          <w:rFonts w:ascii="宋体" w:hAnsi="宋体"/>
        </w:rPr>
        <w:t>提交的资料根据自己的判断和考虑决定投标</w:t>
      </w:r>
      <w:r>
        <w:rPr>
          <w:rFonts w:hint="eastAsia" w:ascii="宋体" w:hAnsi="宋体"/>
        </w:rPr>
        <w:t>人</w:t>
      </w:r>
      <w:r>
        <w:rPr>
          <w:rFonts w:ascii="宋体" w:hAnsi="宋体"/>
        </w:rPr>
        <w:t>履行合同的合格性及能力。</w:t>
      </w:r>
    </w:p>
    <w:p>
      <w:pPr>
        <w:spacing w:line="400" w:lineRule="exact"/>
        <w:ind w:firstLine="420"/>
        <w:rPr>
          <w:rFonts w:ascii="宋体" w:hAnsi="宋体"/>
        </w:rPr>
      </w:pPr>
      <w:r>
        <w:rPr>
          <w:rFonts w:hint="eastAsia" w:ascii="宋体" w:hAnsi="宋体"/>
        </w:rPr>
        <w:t>5、</w:t>
      </w:r>
      <w:r>
        <w:rPr>
          <w:rFonts w:ascii="宋体" w:hAnsi="宋体"/>
        </w:rPr>
        <w:t>投标</w:t>
      </w:r>
      <w:r>
        <w:rPr>
          <w:rFonts w:hint="eastAsia" w:ascii="宋体" w:hAnsi="宋体"/>
        </w:rPr>
        <w:t>人</w:t>
      </w:r>
      <w:r>
        <w:rPr>
          <w:rFonts w:ascii="宋体" w:hAnsi="宋体"/>
        </w:rPr>
        <w:t>提交的材料将被保密保存，但不退还。</w:t>
      </w:r>
    </w:p>
    <w:p>
      <w:pPr>
        <w:spacing w:line="400" w:lineRule="exact"/>
        <w:ind w:firstLine="420"/>
        <w:rPr>
          <w:rFonts w:ascii="宋体" w:hAnsi="宋体"/>
        </w:rPr>
      </w:pPr>
      <w:r>
        <w:rPr>
          <w:rFonts w:hint="eastAsia" w:ascii="宋体" w:hAnsi="宋体"/>
        </w:rPr>
        <w:t>6、</w:t>
      </w:r>
      <w:r>
        <w:rPr>
          <w:rFonts w:ascii="宋体" w:hAnsi="宋体"/>
        </w:rPr>
        <w:t>全部文件应按投标</w:t>
      </w:r>
      <w:r>
        <w:rPr>
          <w:rFonts w:hint="eastAsia" w:ascii="宋体" w:hAnsi="宋体"/>
        </w:rPr>
        <w:t>人</w:t>
      </w:r>
      <w:r>
        <w:rPr>
          <w:rFonts w:ascii="宋体" w:hAnsi="宋体"/>
        </w:rPr>
        <w:t>须知中规定的语言和份数提交</w:t>
      </w:r>
      <w:r>
        <w:rPr>
          <w:rFonts w:hint="eastAsia" w:ascii="宋体" w:hAnsi="宋体"/>
        </w:rPr>
        <w:t>。</w:t>
      </w: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pStyle w:val="2"/>
        <w:ind w:firstLine="0" w:firstLineChars="0"/>
      </w:pPr>
      <w:bookmarkStart w:id="75" w:name="_Toc61249567"/>
      <w:r>
        <w:rPr>
          <w:rFonts w:hint="eastAsia"/>
        </w:rPr>
        <w:t>第六部分   评标原则及方法</w:t>
      </w:r>
      <w:bookmarkEnd w:id="75"/>
    </w:p>
    <w:p>
      <w:pPr>
        <w:pStyle w:val="16"/>
        <w:ind w:firstLine="0" w:firstLineChars="0"/>
        <w:jc w:val="left"/>
        <w:rPr>
          <w:rFonts w:ascii="宋体" w:hAnsi="宋体" w:eastAsia="宋体"/>
          <w:b/>
          <w:bCs/>
          <w:sz w:val="28"/>
          <w:szCs w:val="28"/>
        </w:rPr>
      </w:pPr>
      <w:r>
        <w:rPr>
          <w:rFonts w:hint="eastAsia" w:ascii="宋体" w:hAnsi="宋体" w:eastAsia="宋体"/>
          <w:b/>
          <w:bCs/>
          <w:sz w:val="28"/>
          <w:szCs w:val="28"/>
        </w:rPr>
        <w:t>根据《中华人民共和国政府采购法》等相关法规特制定以下评标办法。</w:t>
      </w:r>
    </w:p>
    <w:p>
      <w:pPr>
        <w:widowControl w:val="0"/>
        <w:numPr>
          <w:ilvl w:val="1"/>
          <w:numId w:val="8"/>
        </w:numPr>
        <w:tabs>
          <w:tab w:val="left" w:pos="540"/>
          <w:tab w:val="clear" w:pos="420"/>
        </w:tabs>
        <w:ind w:left="0" w:firstLine="0" w:firstLineChars="0"/>
        <w:rPr>
          <w:rFonts w:ascii="宋体" w:hAnsi="宋体"/>
          <w:b/>
          <w:sz w:val="22"/>
          <w:szCs w:val="22"/>
        </w:rPr>
      </w:pPr>
      <w:r>
        <w:rPr>
          <w:rFonts w:hint="eastAsia" w:ascii="宋体" w:hAnsi="宋体"/>
          <w:b/>
          <w:sz w:val="22"/>
          <w:szCs w:val="22"/>
        </w:rPr>
        <w:t>总  则</w:t>
      </w:r>
    </w:p>
    <w:p>
      <w:pPr>
        <w:widowControl w:val="0"/>
        <w:ind w:firstLine="0" w:firstLineChars="0"/>
        <w:rPr>
          <w:rFonts w:ascii="宋体" w:hAnsi="宋体"/>
          <w:szCs w:val="21"/>
        </w:rPr>
      </w:pPr>
      <w:r>
        <w:rPr>
          <w:rFonts w:hint="eastAsia" w:ascii="宋体" w:hAnsi="宋体"/>
          <w:szCs w:val="21"/>
        </w:rPr>
        <w:t>评标工作遵循公平、公正、公开、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标委员会不作任何落标解释。投标人不得以任何方式干扰招投标工作的进行，一经发现其投标文件将被拒绝。</w:t>
      </w:r>
    </w:p>
    <w:p>
      <w:pPr>
        <w:widowControl w:val="0"/>
        <w:numPr>
          <w:ilvl w:val="1"/>
          <w:numId w:val="8"/>
        </w:numPr>
        <w:tabs>
          <w:tab w:val="left" w:pos="540"/>
          <w:tab w:val="clear" w:pos="420"/>
        </w:tabs>
        <w:ind w:left="0" w:firstLine="0" w:firstLineChars="0"/>
        <w:rPr>
          <w:rFonts w:ascii="宋体" w:hAnsi="宋体"/>
          <w:b/>
          <w:sz w:val="22"/>
          <w:szCs w:val="22"/>
        </w:rPr>
      </w:pPr>
      <w:r>
        <w:rPr>
          <w:rFonts w:hint="eastAsia" w:ascii="宋体" w:hAnsi="宋体"/>
          <w:b/>
          <w:sz w:val="22"/>
          <w:szCs w:val="22"/>
        </w:rPr>
        <w:t>评标组织</w:t>
      </w:r>
    </w:p>
    <w:p>
      <w:pPr>
        <w:ind w:firstLine="0" w:firstLineChars="0"/>
        <w:rPr>
          <w:rFonts w:ascii="宋体" w:hAnsi="宋体"/>
          <w:szCs w:val="21"/>
        </w:rPr>
      </w:pPr>
      <w:r>
        <w:rPr>
          <w:rFonts w:hint="eastAsia" w:ascii="宋体" w:hAnsi="宋体"/>
          <w:szCs w:val="21"/>
        </w:rPr>
        <w:t>评标工作由采购人依法组建的评标委员会负责，评标全过程由有关部门监督。</w:t>
      </w:r>
    </w:p>
    <w:p>
      <w:pPr>
        <w:widowControl w:val="0"/>
        <w:numPr>
          <w:ilvl w:val="1"/>
          <w:numId w:val="8"/>
        </w:numPr>
        <w:tabs>
          <w:tab w:val="left" w:pos="540"/>
          <w:tab w:val="clear" w:pos="420"/>
        </w:tabs>
        <w:ind w:left="0" w:firstLine="0" w:firstLineChars="0"/>
        <w:rPr>
          <w:rFonts w:ascii="宋体" w:hAnsi="宋体"/>
          <w:b/>
          <w:sz w:val="22"/>
          <w:szCs w:val="22"/>
        </w:rPr>
      </w:pPr>
      <w:r>
        <w:rPr>
          <w:rFonts w:hint="eastAsia" w:ascii="宋体" w:hAnsi="宋体"/>
          <w:b/>
          <w:sz w:val="22"/>
          <w:szCs w:val="22"/>
        </w:rPr>
        <w:t>评标程序</w:t>
      </w:r>
    </w:p>
    <w:p>
      <w:pPr>
        <w:pStyle w:val="17"/>
        <w:tabs>
          <w:tab w:val="left" w:pos="540"/>
        </w:tabs>
        <w:autoSpaceDE w:val="0"/>
        <w:autoSpaceDN w:val="0"/>
        <w:ind w:left="0" w:firstLine="0" w:firstLineChars="0"/>
        <w:textAlignment w:val="bottom"/>
        <w:rPr>
          <w:rFonts w:ascii="宋体" w:hAnsi="宋体" w:cs="Arial"/>
          <w:snapToGrid w:val="0"/>
          <w:szCs w:val="21"/>
        </w:rPr>
      </w:pPr>
      <w:r>
        <w:rPr>
          <w:rFonts w:hint="eastAsia" w:ascii="宋体" w:hAnsi="宋体" w:cs="Arial"/>
          <w:snapToGrid w:val="0"/>
          <w:szCs w:val="21"/>
        </w:rPr>
        <w:t>3.1采购人或采购代理机构应当依法对投标人的资格进行审查，或者委托评标委员进行资格审查，合格投标人不足3家的，不得进行评标。</w:t>
      </w:r>
    </w:p>
    <w:p>
      <w:pPr>
        <w:pStyle w:val="17"/>
        <w:tabs>
          <w:tab w:val="left" w:pos="540"/>
        </w:tabs>
        <w:autoSpaceDE w:val="0"/>
        <w:autoSpaceDN w:val="0"/>
        <w:ind w:left="0" w:firstLine="0" w:firstLineChars="0"/>
        <w:textAlignment w:val="bottom"/>
        <w:rPr>
          <w:rFonts w:ascii="宋体" w:hAnsi="宋体" w:cs="Arial"/>
          <w:snapToGrid w:val="0"/>
          <w:szCs w:val="21"/>
        </w:rPr>
      </w:pPr>
      <w:r>
        <w:rPr>
          <w:rFonts w:hint="eastAsia" w:ascii="宋体" w:hAnsi="宋体"/>
          <w:b/>
          <w:bCs/>
          <w:szCs w:val="21"/>
        </w:rPr>
        <w:t>3.2投标文件有下列情况之一的，经评标委员会认定按无效标处理：</w:t>
      </w:r>
    </w:p>
    <w:p>
      <w:pPr>
        <w:pStyle w:val="17"/>
        <w:numPr>
          <w:ilvl w:val="0"/>
          <w:numId w:val="9"/>
        </w:numPr>
        <w:tabs>
          <w:tab w:val="left" w:pos="540"/>
        </w:tabs>
        <w:autoSpaceDE w:val="0"/>
        <w:autoSpaceDN w:val="0"/>
        <w:ind w:firstLineChars="0"/>
        <w:textAlignment w:val="bottom"/>
        <w:rPr>
          <w:rFonts w:ascii="宋体" w:hAnsi="宋体" w:cs="Arial"/>
          <w:snapToGrid w:val="0"/>
          <w:szCs w:val="21"/>
        </w:rPr>
      </w:pPr>
      <w:r>
        <w:rPr>
          <w:rFonts w:hint="eastAsia" w:ascii="宋体" w:hAnsi="宋体"/>
          <w:b/>
          <w:bCs/>
          <w:szCs w:val="21"/>
        </w:rPr>
        <w:t>不满足投标人须知供应商资格要求的；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投标文件未按规定加盖单位公章、无法定代表人签字（或盖章）或其授权代表签字（或盖章）的；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投标人递交两份或多份内容不同的投标文件，或在一份投标文件中对同一招标项目报价有两个或多个报价，且未声明哪一个有效，或投标文件中的报价与投标总价上的报价不一致的；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投标文件中载明的工期超过招标工期；</w:t>
      </w:r>
    </w:p>
    <w:p>
      <w:pPr>
        <w:pStyle w:val="98"/>
        <w:widowControl w:val="0"/>
        <w:numPr>
          <w:ilvl w:val="0"/>
          <w:numId w:val="9"/>
        </w:numPr>
        <w:ind w:firstLineChars="0"/>
        <w:jc w:val="both"/>
        <w:rPr>
          <w:rFonts w:ascii="宋体" w:hAnsi="宋体"/>
          <w:b/>
          <w:bCs/>
          <w:szCs w:val="21"/>
        </w:rPr>
      </w:pPr>
      <w:r>
        <w:rPr>
          <w:rFonts w:hint="eastAsia" w:ascii="宋体" w:hAnsi="宋体" w:cs="Arial"/>
          <w:b/>
        </w:rPr>
        <w:t>投标报价超过该标段最高限价；</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投标文件内容不全或关键字迹模糊无法辨认的；</w:t>
      </w:r>
    </w:p>
    <w:p>
      <w:pPr>
        <w:pStyle w:val="98"/>
        <w:widowControl w:val="0"/>
        <w:numPr>
          <w:ilvl w:val="0"/>
          <w:numId w:val="9"/>
        </w:numPr>
        <w:ind w:firstLineChars="0"/>
        <w:jc w:val="both"/>
        <w:rPr>
          <w:rFonts w:ascii="宋体" w:hAnsi="宋体"/>
          <w:b/>
          <w:bCs/>
          <w:szCs w:val="21"/>
        </w:rPr>
      </w:pPr>
      <w:r>
        <w:rPr>
          <w:rFonts w:ascii="宋体" w:hAnsi="宋体"/>
          <w:b/>
          <w:bCs/>
          <w:szCs w:val="21"/>
        </w:rPr>
        <w:t>未按</w:t>
      </w:r>
      <w:r>
        <w:rPr>
          <w:rFonts w:hint="eastAsia" w:ascii="宋体" w:hAnsi="宋体"/>
          <w:b/>
          <w:bCs/>
          <w:szCs w:val="21"/>
        </w:rPr>
        <w:t>招标文件要求的格式编制投标文件的；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投标文件附有采购人不能接受的条件；</w:t>
      </w:r>
    </w:p>
    <w:p>
      <w:pPr>
        <w:pStyle w:val="17"/>
        <w:numPr>
          <w:ilvl w:val="0"/>
          <w:numId w:val="9"/>
        </w:numPr>
        <w:tabs>
          <w:tab w:val="left" w:pos="540"/>
        </w:tabs>
        <w:autoSpaceDE w:val="0"/>
        <w:autoSpaceDN w:val="0"/>
        <w:ind w:firstLineChars="0"/>
        <w:textAlignment w:val="bottom"/>
        <w:rPr>
          <w:rFonts w:ascii="宋体" w:hAnsi="宋体" w:cs="Arial"/>
          <w:snapToGrid w:val="0"/>
          <w:szCs w:val="21"/>
        </w:rPr>
      </w:pPr>
      <w:r>
        <w:rPr>
          <w:rFonts w:hint="eastAsia" w:ascii="宋体" w:hAnsi="宋体"/>
          <w:b/>
          <w:szCs w:val="21"/>
        </w:rPr>
        <w:t>评标委员会认定不符合法律、法规和招标文件中规定的其他实质性要求的。</w:t>
      </w:r>
    </w:p>
    <w:p>
      <w:pPr>
        <w:pStyle w:val="17"/>
        <w:tabs>
          <w:tab w:val="left" w:pos="540"/>
        </w:tabs>
        <w:autoSpaceDE w:val="0"/>
        <w:autoSpaceDN w:val="0"/>
        <w:ind w:left="0" w:firstLine="0" w:firstLineChars="0"/>
        <w:textAlignment w:val="bottom"/>
        <w:rPr>
          <w:rFonts w:ascii="宋体" w:hAnsi="宋体" w:cs="Arial"/>
          <w:snapToGrid w:val="0"/>
          <w:szCs w:val="21"/>
        </w:rPr>
      </w:pPr>
      <w:r>
        <w:rPr>
          <w:rFonts w:hint="eastAsia" w:ascii="宋体" w:hAnsi="宋体" w:cs="Arial"/>
          <w:snapToGrid w:val="0"/>
          <w:szCs w:val="21"/>
        </w:rPr>
        <w:t>3.3评标委员会对各投标人商务标、技术标进行评审打分，计算投标人的综合得分。</w:t>
      </w:r>
    </w:p>
    <w:p>
      <w:pPr>
        <w:widowControl w:val="0"/>
        <w:tabs>
          <w:tab w:val="left" w:pos="540"/>
        </w:tabs>
        <w:ind w:firstLine="0" w:firstLineChars="0"/>
        <w:rPr>
          <w:rFonts w:ascii="宋体" w:hAnsi="宋体"/>
          <w:snapToGrid w:val="0"/>
          <w:szCs w:val="21"/>
        </w:rPr>
      </w:pPr>
      <w:r>
        <w:rPr>
          <w:rFonts w:hint="eastAsia" w:ascii="宋体" w:hAnsi="宋体"/>
          <w:snapToGrid w:val="0"/>
          <w:szCs w:val="21"/>
        </w:rPr>
        <w:t>3.4</w:t>
      </w:r>
      <w:r>
        <w:rPr>
          <w:rFonts w:ascii="宋体" w:hAnsi="宋体"/>
          <w:snapToGrid w:val="0"/>
          <w:szCs w:val="21"/>
        </w:rPr>
        <w:t>评标委员会</w:t>
      </w:r>
      <w:r>
        <w:rPr>
          <w:rFonts w:hint="eastAsia" w:ascii="宋体" w:hAnsi="宋体"/>
          <w:snapToGrid w:val="0"/>
          <w:szCs w:val="21"/>
        </w:rPr>
        <w:t>根据以上规定依据法律及招标文件有关规定对各投标文件进行详细评审后，在审查合格的有效标中按其评审得分从高到低进行排名（得分相同时，以报价低者优先；报价相同时，以抽签决定名次优先者），并向采购人推荐排名前三的投标人分别为第一、第二、第三中标候选人。</w:t>
      </w:r>
    </w:p>
    <w:p>
      <w:pPr>
        <w:ind w:firstLine="0" w:firstLineChars="0"/>
        <w:rPr>
          <w:rFonts w:ascii="宋体" w:hAnsi="宋体" w:cs="Arial"/>
          <w:b/>
          <w:bCs/>
          <w:kern w:val="28"/>
        </w:rPr>
      </w:pPr>
      <w:r>
        <w:rPr>
          <w:rFonts w:hint="eastAsia" w:ascii="宋体" w:hAnsi="宋体" w:cs="Arial"/>
          <w:b/>
          <w:bCs/>
          <w:kern w:val="28"/>
        </w:rPr>
        <w:t xml:space="preserve">四、评标细则 </w:t>
      </w:r>
    </w:p>
    <w:p>
      <w:pPr>
        <w:autoSpaceDE w:val="0"/>
        <w:autoSpaceDN w:val="0"/>
        <w:ind w:firstLine="0" w:firstLineChars="0"/>
        <w:rPr>
          <w:rFonts w:ascii="宋体" w:hAnsi="宋体" w:cs="宋体"/>
          <w:color w:val="000000"/>
          <w:lang w:val="zh-CN"/>
        </w:rPr>
      </w:pPr>
      <w:r>
        <w:rPr>
          <w:rFonts w:hint="eastAsia" w:ascii="宋体" w:hAnsi="宋体" w:cs="宋体"/>
          <w:color w:val="000000"/>
        </w:rPr>
        <w:t>4</w:t>
      </w:r>
      <w:r>
        <w:rPr>
          <w:rFonts w:hint="eastAsia" w:ascii="宋体" w:hAnsi="宋体" w:cs="宋体"/>
          <w:color w:val="000000"/>
          <w:lang w:val="zh-CN"/>
        </w:rPr>
        <w:t>.1依照《中华人民共和国政府采购法》、《中华人民共和国政府采购法实施条例》、《政府采购货物和服务招投标管理办法》等法律法规的规定，结合该项目的特点制定本评审办法。</w:t>
      </w:r>
    </w:p>
    <w:p>
      <w:pPr>
        <w:autoSpaceDE w:val="0"/>
        <w:autoSpaceDN w:val="0"/>
        <w:ind w:firstLine="0" w:firstLineChars="0"/>
        <w:rPr>
          <w:rFonts w:ascii="宋体" w:hAnsi="宋体" w:cs="宋体"/>
          <w:color w:val="000000"/>
        </w:rPr>
      </w:pPr>
      <w:r>
        <w:rPr>
          <w:rFonts w:hint="eastAsia" w:ascii="宋体" w:hAnsi="宋体" w:cs="宋体"/>
          <w:color w:val="000000"/>
        </w:rPr>
        <w:t>4</w:t>
      </w:r>
      <w:r>
        <w:rPr>
          <w:rFonts w:hint="eastAsia" w:ascii="宋体" w:hAnsi="宋体" w:cs="宋体"/>
          <w:color w:val="000000"/>
          <w:lang w:val="zh-CN"/>
        </w:rPr>
        <w:t>.2本次评审方法采用综合评分法</w:t>
      </w:r>
      <w:r>
        <w:rPr>
          <w:rFonts w:hint="eastAsia" w:ascii="宋体" w:hAnsi="宋体" w:cs="宋体"/>
          <w:color w:val="000000"/>
        </w:rPr>
        <w:t>。</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4.3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4.4 评标结果汇总完成后，除下列情形外，任何人不得修改评标结果：</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（1）分值汇总计算错误的；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（2）分项评分超出评分标准范围的；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（3）评标委员会成员对客观评审因素评分不一致的；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（4）经评标委员会认定评分畸高、畸低的。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autoSpaceDE w:val="0"/>
        <w:autoSpaceDN w:val="0"/>
        <w:ind w:firstLine="0" w:firstLineChars="0"/>
        <w:rPr>
          <w:rFonts w:ascii="宋体" w:hAnsi="宋体" w:cs="宋体"/>
          <w:color w:val="000000"/>
          <w:u w:val="dashDotHeavy"/>
        </w:rPr>
      </w:pPr>
      <w:r>
        <w:rPr>
          <w:rFonts w:hint="eastAsia" w:ascii="宋体" w:hAnsi="宋体" w:cs="宋体"/>
          <w:shd w:val="clear" w:color="auto" w:fill="FFFFFF"/>
        </w:rPr>
        <w:t>投标人对以上情形提出质疑的，采购人或者采购代理机构可以组织原评标委员会进行重新评审，重新评审改变评标结果的，应当书面报告本级财政部门。</w:t>
      </w:r>
    </w:p>
    <w:p>
      <w:pPr>
        <w:autoSpaceDE w:val="0"/>
        <w:autoSpaceDN w:val="0"/>
        <w:ind w:firstLine="0" w:firstLineChars="0"/>
        <w:rPr>
          <w:rFonts w:ascii="宋体" w:hAnsi="宋体" w:cs="宋体"/>
          <w:b/>
          <w:color w:val="000000"/>
          <w:shd w:val="clear" w:color="auto" w:fill="FFFFFF"/>
          <w:lang w:val="zh-CN"/>
        </w:rPr>
      </w:pPr>
      <w:r>
        <w:rPr>
          <w:rFonts w:hint="eastAsia" w:ascii="宋体" w:hAnsi="宋体" w:cs="宋体"/>
          <w:b/>
          <w:color w:val="000000"/>
          <w:shd w:val="clear" w:color="auto" w:fill="FFFFFF"/>
          <w:lang w:val="zh-CN"/>
        </w:rPr>
        <w:t>具体项目及评分细则：</w:t>
      </w:r>
    </w:p>
    <w:tbl>
      <w:tblPr>
        <w:tblStyle w:val="101"/>
        <w:tblW w:w="9177"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6"/>
        <w:gridCol w:w="6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2936" w:type="dxa"/>
          </w:tcPr>
          <w:p>
            <w:pPr>
              <w:pStyle w:val="102"/>
              <w:spacing w:before="99"/>
              <w:jc w:val="center"/>
              <w:rPr>
                <w:rFonts w:eastAsiaTheme="minorEastAsia"/>
                <w:sz w:val="21"/>
              </w:rPr>
            </w:pPr>
            <w:r>
              <w:rPr>
                <w:rFonts w:eastAsiaTheme="minorEastAsia"/>
                <w:sz w:val="21"/>
              </w:rPr>
              <w:t>条款内容</w:t>
            </w:r>
          </w:p>
        </w:tc>
        <w:tc>
          <w:tcPr>
            <w:tcW w:w="6241" w:type="dxa"/>
          </w:tcPr>
          <w:p>
            <w:pPr>
              <w:pStyle w:val="102"/>
              <w:spacing w:before="99"/>
              <w:jc w:val="center"/>
              <w:rPr>
                <w:rFonts w:eastAsiaTheme="minorEastAsia"/>
                <w:sz w:val="21"/>
              </w:rPr>
            </w:pPr>
            <w:r>
              <w:rPr>
                <w:rFonts w:eastAsiaTheme="minorEastAsia"/>
                <w:sz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2936" w:type="dxa"/>
          </w:tcPr>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spacing w:before="140"/>
              <w:jc w:val="center"/>
              <w:rPr>
                <w:rFonts w:eastAsiaTheme="minorEastAsia"/>
                <w:sz w:val="21"/>
              </w:rPr>
            </w:pPr>
            <w:r>
              <w:rPr>
                <w:rFonts w:eastAsiaTheme="minorEastAsia"/>
                <w:sz w:val="21"/>
              </w:rPr>
              <w:t>分值构成</w:t>
            </w:r>
          </w:p>
          <w:p>
            <w:pPr>
              <w:pStyle w:val="102"/>
              <w:spacing w:before="90"/>
              <w:jc w:val="center"/>
              <w:rPr>
                <w:rFonts w:eastAsiaTheme="minorEastAsia"/>
                <w:sz w:val="21"/>
              </w:rPr>
            </w:pPr>
            <w:r>
              <w:rPr>
                <w:rFonts w:eastAsiaTheme="minorEastAsia"/>
                <w:sz w:val="21"/>
              </w:rPr>
              <w:t>(总分 100 分)</w:t>
            </w:r>
          </w:p>
        </w:tc>
        <w:tc>
          <w:tcPr>
            <w:tcW w:w="6241" w:type="dxa"/>
            <w:vAlign w:val="center"/>
          </w:tcPr>
          <w:p>
            <w:pPr>
              <w:pStyle w:val="102"/>
              <w:spacing w:before="61"/>
              <w:jc w:val="both"/>
              <w:rPr>
                <w:rFonts w:eastAsiaTheme="minorEastAsia"/>
                <w:sz w:val="21"/>
                <w:lang w:eastAsia="zh-CN"/>
              </w:rPr>
            </w:pPr>
            <w:r>
              <w:rPr>
                <w:rFonts w:eastAsiaTheme="minorEastAsia"/>
                <w:sz w:val="21"/>
              </w:rPr>
              <w:t>技术方案</w:t>
            </w:r>
            <w:r>
              <w:rPr>
                <w:rFonts w:eastAsiaTheme="minorEastAsia"/>
                <w:sz w:val="21"/>
                <w:lang w:eastAsia="zh-CN"/>
              </w:rPr>
              <w:t>38</w:t>
            </w:r>
            <w:r>
              <w:rPr>
                <w:rFonts w:eastAsiaTheme="minorEastAsia"/>
                <w:sz w:val="21"/>
              </w:rPr>
              <w:t>分</w:t>
            </w:r>
          </w:p>
          <w:p>
            <w:pPr>
              <w:pStyle w:val="102"/>
              <w:spacing w:before="71"/>
              <w:jc w:val="both"/>
              <w:rPr>
                <w:rFonts w:eastAsiaTheme="minorEastAsia"/>
                <w:spacing w:val="-25"/>
                <w:sz w:val="21"/>
                <w:lang w:eastAsia="zh-CN"/>
              </w:rPr>
            </w:pPr>
            <w:r>
              <w:rPr>
                <w:rFonts w:eastAsiaTheme="minorEastAsia"/>
                <w:spacing w:val="-9"/>
                <w:sz w:val="21"/>
              </w:rPr>
              <w:t>投标报价：报价</w:t>
            </w:r>
            <w:r>
              <w:rPr>
                <w:rFonts w:eastAsia="MS Mincho"/>
                <w:spacing w:val="-9"/>
                <w:sz w:val="21"/>
              </w:rPr>
              <w:t>20</w:t>
            </w:r>
            <w:r>
              <w:rPr>
                <w:rFonts w:eastAsiaTheme="minorEastAsia"/>
                <w:spacing w:val="-25"/>
                <w:sz w:val="21"/>
              </w:rPr>
              <w:t>分</w:t>
            </w:r>
          </w:p>
          <w:p>
            <w:pPr>
              <w:pStyle w:val="102"/>
              <w:spacing w:before="71"/>
              <w:jc w:val="both"/>
              <w:rPr>
                <w:rFonts w:eastAsia="MS Mincho"/>
                <w:spacing w:val="-26"/>
                <w:sz w:val="21"/>
              </w:rPr>
            </w:pPr>
            <w:r>
              <w:rPr>
                <w:rFonts w:eastAsiaTheme="minorEastAsia"/>
                <w:spacing w:val="-9"/>
                <w:sz w:val="21"/>
              </w:rPr>
              <w:t>项目管理机构：</w:t>
            </w:r>
            <w:r>
              <w:rPr>
                <w:rFonts w:eastAsia="MS Mincho"/>
                <w:sz w:val="21"/>
              </w:rPr>
              <w:t>10</w:t>
            </w:r>
            <w:r>
              <w:rPr>
                <w:rFonts w:eastAsiaTheme="minorEastAsia"/>
                <w:spacing w:val="-26"/>
                <w:sz w:val="21"/>
              </w:rPr>
              <w:t>分</w:t>
            </w:r>
          </w:p>
          <w:p>
            <w:pPr>
              <w:pStyle w:val="102"/>
              <w:spacing w:before="71"/>
              <w:jc w:val="both"/>
              <w:rPr>
                <w:rFonts w:eastAsiaTheme="minorEastAsia"/>
                <w:sz w:val="21"/>
              </w:rPr>
            </w:pPr>
            <w:r>
              <w:rPr>
                <w:rFonts w:eastAsiaTheme="minorEastAsia"/>
                <w:spacing w:val="-12"/>
                <w:sz w:val="21"/>
              </w:rPr>
              <w:t>业绩情况：</w:t>
            </w:r>
            <w:r>
              <w:rPr>
                <w:rFonts w:eastAsia="MS Mincho"/>
                <w:sz w:val="21"/>
              </w:rPr>
              <w:t>24</w:t>
            </w:r>
            <w:r>
              <w:rPr>
                <w:rFonts w:eastAsiaTheme="minorEastAsia"/>
                <w:spacing w:val="-28"/>
                <w:sz w:val="21"/>
              </w:rPr>
              <w:t>分</w:t>
            </w:r>
          </w:p>
          <w:p>
            <w:pPr>
              <w:pStyle w:val="102"/>
              <w:spacing w:before="4"/>
              <w:jc w:val="both"/>
              <w:rPr>
                <w:rFonts w:eastAsiaTheme="minorEastAsia"/>
                <w:spacing w:val="-25"/>
                <w:sz w:val="21"/>
              </w:rPr>
            </w:pPr>
            <w:r>
              <w:rPr>
                <w:rFonts w:eastAsiaTheme="minorEastAsia"/>
                <w:spacing w:val="-1"/>
                <w:sz w:val="21"/>
              </w:rPr>
              <w:t>企业信誉：</w:t>
            </w:r>
            <w:r>
              <w:rPr>
                <w:rFonts w:eastAsiaTheme="minorEastAsia"/>
                <w:sz w:val="21"/>
                <w:lang w:eastAsia="zh-CN"/>
              </w:rPr>
              <w:t>3</w:t>
            </w:r>
            <w:r>
              <w:rPr>
                <w:rFonts w:eastAsiaTheme="minorEastAsia"/>
                <w:spacing w:val="-25"/>
                <w:sz w:val="21"/>
              </w:rPr>
              <w:t xml:space="preserve"> 分</w:t>
            </w:r>
          </w:p>
          <w:p>
            <w:pPr>
              <w:pStyle w:val="102"/>
              <w:spacing w:before="4"/>
              <w:jc w:val="both"/>
              <w:rPr>
                <w:rFonts w:eastAsiaTheme="minorEastAsia"/>
                <w:spacing w:val="-25"/>
                <w:sz w:val="21"/>
                <w:lang w:val="en-US" w:eastAsia="zh-CN"/>
              </w:rPr>
            </w:pPr>
            <w:r>
              <w:rPr>
                <w:rFonts w:hint="eastAsia" w:eastAsiaTheme="minorEastAsia"/>
                <w:spacing w:val="-25"/>
                <w:sz w:val="21"/>
                <w:lang w:eastAsia="zh-CN"/>
              </w:rPr>
              <w:t>合同履行情况：</w:t>
            </w:r>
            <w:r>
              <w:rPr>
                <w:rFonts w:hint="eastAsia" w:eastAsiaTheme="minorEastAsia"/>
                <w:spacing w:val="-25"/>
                <w:sz w:val="21"/>
                <w:lang w:val="en-US" w:eastAsia="zh-CN"/>
              </w:rPr>
              <w:t>3分</w:t>
            </w:r>
          </w:p>
          <w:p>
            <w:pPr>
              <w:pStyle w:val="102"/>
              <w:spacing w:before="7"/>
              <w:jc w:val="both"/>
              <w:rPr>
                <w:rFonts w:eastAsiaTheme="minorEastAsia"/>
                <w:sz w:val="21"/>
              </w:rPr>
            </w:pPr>
            <w:r>
              <w:rPr>
                <w:rFonts w:eastAsiaTheme="minorEastAsia"/>
                <w:spacing w:val="-11"/>
                <w:sz w:val="21"/>
              </w:rPr>
              <w:t>后期服务：</w:t>
            </w:r>
            <w:r>
              <w:rPr>
                <w:rFonts w:hint="eastAsia" w:eastAsiaTheme="minorEastAsia"/>
                <w:spacing w:val="-11"/>
                <w:sz w:val="21"/>
                <w:lang w:val="en-US" w:eastAsia="zh-CN"/>
              </w:rPr>
              <w:t>2</w:t>
            </w:r>
            <w:r>
              <w:rPr>
                <w:rFonts w:eastAsiaTheme="minorEastAsia"/>
                <w:spacing w:val="-27"/>
                <w:sz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936" w:type="dxa"/>
          </w:tcPr>
          <w:p>
            <w:pPr>
              <w:pStyle w:val="102"/>
              <w:spacing w:before="109"/>
              <w:jc w:val="center"/>
              <w:rPr>
                <w:rFonts w:eastAsiaTheme="minorEastAsia"/>
                <w:sz w:val="21"/>
              </w:rPr>
            </w:pPr>
            <w:r>
              <w:rPr>
                <w:rFonts w:eastAsiaTheme="minorEastAsia"/>
                <w:sz w:val="21"/>
              </w:rPr>
              <w:t>评分因素</w:t>
            </w:r>
          </w:p>
        </w:tc>
        <w:tc>
          <w:tcPr>
            <w:tcW w:w="6241" w:type="dxa"/>
          </w:tcPr>
          <w:p>
            <w:pPr>
              <w:pStyle w:val="102"/>
              <w:spacing w:before="101"/>
              <w:rPr>
                <w:rFonts w:eastAsiaTheme="minorEastAsia"/>
                <w:sz w:val="21"/>
              </w:rPr>
            </w:pPr>
            <w:r>
              <w:rPr>
                <w:rFonts w:eastAsiaTheme="minorEastAsia"/>
                <w:sz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0" w:hRule="atLeast"/>
        </w:trPr>
        <w:tc>
          <w:tcPr>
            <w:tcW w:w="2936" w:type="dxa"/>
          </w:tcPr>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spacing w:before="7"/>
              <w:rPr>
                <w:rFonts w:eastAsiaTheme="minorEastAsia"/>
                <w:b/>
                <w:sz w:val="24"/>
              </w:rPr>
            </w:pPr>
          </w:p>
          <w:p>
            <w:pPr>
              <w:pStyle w:val="102"/>
              <w:jc w:val="center"/>
              <w:rPr>
                <w:rFonts w:eastAsiaTheme="minorEastAsia"/>
                <w:sz w:val="21"/>
              </w:rPr>
            </w:pPr>
            <w:r>
              <w:rPr>
                <w:rFonts w:eastAsiaTheme="minorEastAsia"/>
                <w:sz w:val="21"/>
              </w:rPr>
              <w:t>技术方案 3</w:t>
            </w:r>
            <w:r>
              <w:rPr>
                <w:rFonts w:hint="eastAsia" w:eastAsiaTheme="minorEastAsia"/>
                <w:sz w:val="21"/>
                <w:lang w:eastAsia="zh-CN"/>
              </w:rPr>
              <w:t>8</w:t>
            </w:r>
            <w:r>
              <w:rPr>
                <w:rFonts w:eastAsiaTheme="minorEastAsia"/>
                <w:sz w:val="21"/>
              </w:rPr>
              <w:t xml:space="preserve"> 分</w:t>
            </w:r>
          </w:p>
        </w:tc>
        <w:tc>
          <w:tcPr>
            <w:tcW w:w="6241" w:type="dxa"/>
            <w:vAlign w:val="center"/>
          </w:tcPr>
          <w:p>
            <w:pPr>
              <w:pStyle w:val="102"/>
              <w:spacing w:before="61"/>
              <w:jc w:val="both"/>
              <w:rPr>
                <w:rFonts w:eastAsiaTheme="minorEastAsia"/>
                <w:sz w:val="21"/>
              </w:rPr>
            </w:pPr>
            <w:r>
              <w:rPr>
                <w:rFonts w:eastAsiaTheme="minorEastAsia"/>
                <w:sz w:val="21"/>
              </w:rPr>
              <w:t>1.技术路线（25分）</w:t>
            </w:r>
          </w:p>
          <w:p>
            <w:pPr>
              <w:pStyle w:val="102"/>
              <w:spacing w:before="69" w:line="304" w:lineRule="auto"/>
              <w:jc w:val="both"/>
              <w:rPr>
                <w:rFonts w:eastAsiaTheme="minorEastAsia"/>
                <w:sz w:val="21"/>
              </w:rPr>
            </w:pPr>
            <w:r>
              <w:rPr>
                <w:rFonts w:eastAsiaTheme="minorEastAsia"/>
                <w:sz w:val="21"/>
              </w:rPr>
              <w:t>（1）项目方案符合国家标准及规程、规范要求，内容全面完整， 科学严谨、经济合理。优得 3分，良得 2 分，一般得 1-0 分。</w:t>
            </w:r>
          </w:p>
          <w:p>
            <w:pPr>
              <w:pStyle w:val="102"/>
              <w:spacing w:line="267" w:lineRule="exact"/>
              <w:jc w:val="both"/>
              <w:rPr>
                <w:rFonts w:eastAsiaTheme="minorEastAsia"/>
                <w:sz w:val="21"/>
              </w:rPr>
            </w:pPr>
            <w:r>
              <w:rPr>
                <w:rFonts w:eastAsiaTheme="minorEastAsia"/>
                <w:sz w:val="21"/>
              </w:rPr>
              <w:t>（2）</w:t>
            </w:r>
            <w:r>
              <w:rPr>
                <w:rFonts w:eastAsiaTheme="minorEastAsia"/>
                <w:spacing w:val="-12"/>
                <w:sz w:val="21"/>
              </w:rPr>
              <w:t xml:space="preserve">技术路线和工作流程总体设计的科学、合理、适用。优得 </w:t>
            </w:r>
            <w:r>
              <w:rPr>
                <w:rFonts w:eastAsiaTheme="minorEastAsia"/>
                <w:sz w:val="21"/>
              </w:rPr>
              <w:t>8-6</w:t>
            </w:r>
          </w:p>
          <w:p>
            <w:pPr>
              <w:pStyle w:val="102"/>
              <w:spacing w:before="69"/>
              <w:jc w:val="both"/>
              <w:rPr>
                <w:rFonts w:eastAsiaTheme="minorEastAsia"/>
                <w:sz w:val="21"/>
              </w:rPr>
            </w:pPr>
            <w:r>
              <w:rPr>
                <w:rFonts w:eastAsiaTheme="minorEastAsia"/>
                <w:sz w:val="21"/>
              </w:rPr>
              <w:t>分，良得 5-3 分，一般得 2-1 分。</w:t>
            </w:r>
          </w:p>
          <w:p>
            <w:pPr>
              <w:pStyle w:val="102"/>
              <w:spacing w:before="73" w:line="304" w:lineRule="auto"/>
              <w:jc w:val="both"/>
              <w:rPr>
                <w:rFonts w:eastAsiaTheme="minorEastAsia"/>
                <w:sz w:val="21"/>
              </w:rPr>
            </w:pPr>
            <w:r>
              <w:rPr>
                <w:rFonts w:eastAsiaTheme="minorEastAsia"/>
                <w:sz w:val="21"/>
              </w:rPr>
              <w:t>（3）</w:t>
            </w:r>
            <w:r>
              <w:rPr>
                <w:rFonts w:hint="eastAsia" w:eastAsiaTheme="minorEastAsia"/>
                <w:sz w:val="21"/>
                <w:lang w:eastAsia="zh-CN"/>
              </w:rPr>
              <w:t>作业</w:t>
            </w:r>
            <w:r>
              <w:rPr>
                <w:rFonts w:eastAsiaTheme="minorEastAsia"/>
                <w:sz w:val="21"/>
              </w:rPr>
              <w:t>方法、数据编辑、外业调绘的技术方法先进、高效。优得 14-9 分，良得 9-5 分，一般得 4-1 分。</w:t>
            </w:r>
          </w:p>
          <w:p>
            <w:pPr>
              <w:pStyle w:val="102"/>
              <w:spacing w:line="265" w:lineRule="exact"/>
              <w:jc w:val="both"/>
              <w:rPr>
                <w:rFonts w:eastAsiaTheme="minorEastAsia"/>
                <w:sz w:val="21"/>
              </w:rPr>
            </w:pPr>
            <w:r>
              <w:rPr>
                <w:rFonts w:eastAsiaTheme="minorEastAsia"/>
                <w:sz w:val="21"/>
              </w:rPr>
              <w:t>2.组织管理（2 分）</w:t>
            </w:r>
          </w:p>
          <w:p>
            <w:pPr>
              <w:pStyle w:val="102"/>
              <w:spacing w:before="71" w:line="304" w:lineRule="auto"/>
              <w:jc w:val="both"/>
              <w:rPr>
                <w:rFonts w:eastAsiaTheme="minorEastAsia"/>
                <w:sz w:val="21"/>
              </w:rPr>
            </w:pPr>
            <w:r>
              <w:rPr>
                <w:rFonts w:eastAsiaTheme="minorEastAsia"/>
                <w:sz w:val="21"/>
              </w:rPr>
              <w:t>组织机构设置是否齐全、制度是否健全、职责分工是否明确，没有内容不得分</w:t>
            </w:r>
          </w:p>
          <w:p>
            <w:pPr>
              <w:pStyle w:val="102"/>
              <w:spacing w:line="265" w:lineRule="exact"/>
              <w:jc w:val="both"/>
              <w:rPr>
                <w:rFonts w:eastAsiaTheme="minorEastAsia"/>
                <w:sz w:val="21"/>
              </w:rPr>
            </w:pPr>
            <w:r>
              <w:rPr>
                <w:rFonts w:eastAsiaTheme="minorEastAsia"/>
                <w:sz w:val="21"/>
              </w:rPr>
              <w:t>3.进度安排（2 分）</w:t>
            </w:r>
          </w:p>
          <w:p>
            <w:pPr>
              <w:pStyle w:val="102"/>
              <w:spacing w:before="1" w:line="340" w:lineRule="atLeast"/>
              <w:jc w:val="both"/>
              <w:rPr>
                <w:rFonts w:eastAsiaTheme="minorEastAsia"/>
                <w:sz w:val="21"/>
              </w:rPr>
            </w:pPr>
            <w:r>
              <w:rPr>
                <w:rFonts w:eastAsiaTheme="minorEastAsia"/>
                <w:spacing w:val="-8"/>
                <w:sz w:val="21"/>
              </w:rPr>
              <w:t>进度安排合理、工序管理措施科学、对影响因素的考虑全面、应急</w:t>
            </w:r>
            <w:r>
              <w:rPr>
                <w:rFonts w:eastAsiaTheme="minorEastAsia"/>
                <w:spacing w:val="-5"/>
                <w:sz w:val="21"/>
              </w:rPr>
              <w:t>预案措施得当，没有内容不得分。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0" w:hRule="atLeast"/>
        </w:trPr>
        <w:tc>
          <w:tcPr>
            <w:tcW w:w="2936" w:type="dxa"/>
          </w:tcPr>
          <w:p>
            <w:pPr>
              <w:pStyle w:val="102"/>
              <w:rPr>
                <w:rFonts w:ascii="Times New Roman" w:eastAsiaTheme="minorEastAsia"/>
                <w:sz w:val="20"/>
              </w:rPr>
            </w:pPr>
          </w:p>
        </w:tc>
        <w:tc>
          <w:tcPr>
            <w:tcW w:w="6241" w:type="dxa"/>
            <w:vAlign w:val="center"/>
          </w:tcPr>
          <w:p>
            <w:pPr>
              <w:pStyle w:val="102"/>
              <w:spacing w:before="58"/>
              <w:jc w:val="both"/>
              <w:rPr>
                <w:rFonts w:eastAsiaTheme="minorEastAsia"/>
                <w:sz w:val="21"/>
              </w:rPr>
            </w:pPr>
            <w:r>
              <w:rPr>
                <w:rFonts w:eastAsiaTheme="minorEastAsia"/>
                <w:sz w:val="21"/>
              </w:rPr>
              <w:t>4.质量保证措施（2 分）</w:t>
            </w:r>
          </w:p>
          <w:p>
            <w:pPr>
              <w:pStyle w:val="102"/>
              <w:spacing w:before="72"/>
              <w:jc w:val="both"/>
              <w:rPr>
                <w:rFonts w:eastAsiaTheme="minorEastAsia"/>
                <w:sz w:val="21"/>
              </w:rPr>
            </w:pPr>
            <w:r>
              <w:rPr>
                <w:rFonts w:eastAsiaTheme="minorEastAsia"/>
                <w:sz w:val="21"/>
              </w:rPr>
              <w:t>保证措施科学、合理、严谨、周密，没有内容不得分。</w:t>
            </w:r>
          </w:p>
          <w:p>
            <w:pPr>
              <w:pStyle w:val="102"/>
              <w:spacing w:before="70"/>
              <w:jc w:val="both"/>
              <w:rPr>
                <w:rFonts w:eastAsiaTheme="minorEastAsia"/>
                <w:sz w:val="21"/>
              </w:rPr>
            </w:pPr>
            <w:r>
              <w:rPr>
                <w:rFonts w:eastAsiaTheme="minorEastAsia"/>
                <w:sz w:val="21"/>
              </w:rPr>
              <w:t>5.安全、保密措施（2 分）</w:t>
            </w:r>
          </w:p>
          <w:p>
            <w:pPr>
              <w:pStyle w:val="102"/>
              <w:spacing w:before="72"/>
              <w:jc w:val="both"/>
              <w:rPr>
                <w:rFonts w:eastAsiaTheme="minorEastAsia"/>
                <w:sz w:val="21"/>
              </w:rPr>
            </w:pPr>
            <w:r>
              <w:rPr>
                <w:rFonts w:eastAsiaTheme="minorEastAsia"/>
                <w:sz w:val="21"/>
              </w:rPr>
              <w:t>建立安全责任制度、数据资料保密管理制度，没有内容不得分。</w:t>
            </w:r>
          </w:p>
          <w:p>
            <w:pPr>
              <w:pStyle w:val="102"/>
              <w:spacing w:before="71"/>
              <w:jc w:val="both"/>
              <w:rPr>
                <w:rFonts w:eastAsiaTheme="minorEastAsia"/>
                <w:sz w:val="21"/>
              </w:rPr>
            </w:pPr>
            <w:r>
              <w:rPr>
                <w:rFonts w:eastAsiaTheme="minorEastAsia"/>
                <w:sz w:val="21"/>
              </w:rPr>
              <w:t>6.预期成果（</w:t>
            </w:r>
            <w:r>
              <w:rPr>
                <w:rFonts w:hint="eastAsia" w:eastAsiaTheme="minorEastAsia"/>
                <w:sz w:val="21"/>
                <w:lang w:eastAsia="zh-CN"/>
              </w:rPr>
              <w:t>2</w:t>
            </w:r>
            <w:r>
              <w:rPr>
                <w:rFonts w:eastAsiaTheme="minorEastAsia"/>
                <w:sz w:val="21"/>
              </w:rPr>
              <w:t>分）</w:t>
            </w:r>
          </w:p>
          <w:p>
            <w:pPr>
              <w:pStyle w:val="102"/>
              <w:spacing w:before="8" w:line="340" w:lineRule="exact"/>
              <w:jc w:val="both"/>
              <w:rPr>
                <w:rFonts w:eastAsia="MS Mincho"/>
                <w:sz w:val="21"/>
              </w:rPr>
            </w:pPr>
            <w:r>
              <w:rPr>
                <w:rFonts w:eastAsiaTheme="minorEastAsia"/>
                <w:sz w:val="21"/>
              </w:rPr>
              <w:t>(1)提交成果（附图）；(2)成果满足有关部门对划</w:t>
            </w:r>
            <w:r>
              <w:rPr>
                <w:rFonts w:hint="eastAsia" w:eastAsiaTheme="minorEastAsia"/>
                <w:sz w:val="21"/>
                <w:lang w:eastAsia="zh-CN"/>
              </w:rPr>
              <w:t>定</w:t>
            </w:r>
            <w:r>
              <w:rPr>
                <w:rFonts w:eastAsiaTheme="minorEastAsia"/>
                <w:sz w:val="21"/>
              </w:rPr>
              <w:t>工作的所有要求。</w:t>
            </w:r>
          </w:p>
          <w:p>
            <w:pPr>
              <w:pStyle w:val="102"/>
              <w:spacing w:before="71"/>
              <w:jc w:val="both"/>
              <w:rPr>
                <w:rFonts w:eastAsiaTheme="minorEastAsia"/>
                <w:sz w:val="21"/>
              </w:rPr>
            </w:pPr>
            <w:r>
              <w:rPr>
                <w:rFonts w:eastAsiaTheme="minorEastAsia"/>
                <w:sz w:val="21"/>
              </w:rPr>
              <w:t>7.</w:t>
            </w:r>
            <w:r>
              <w:rPr>
                <w:rFonts w:hint="eastAsia" w:eastAsiaTheme="minorEastAsia"/>
                <w:sz w:val="21"/>
                <w:lang w:eastAsia="zh-CN"/>
              </w:rPr>
              <w:t>数据获取</w:t>
            </w:r>
            <w:r>
              <w:rPr>
                <w:rFonts w:eastAsiaTheme="minorEastAsia"/>
                <w:sz w:val="21"/>
              </w:rPr>
              <w:t>（</w:t>
            </w:r>
            <w:r>
              <w:rPr>
                <w:rFonts w:hint="eastAsia" w:eastAsiaTheme="minorEastAsia"/>
                <w:sz w:val="21"/>
                <w:lang w:eastAsia="zh-CN"/>
              </w:rPr>
              <w:t>3</w:t>
            </w:r>
            <w:r>
              <w:rPr>
                <w:rFonts w:eastAsiaTheme="minorEastAsia"/>
                <w:sz w:val="21"/>
              </w:rPr>
              <w:t>分）</w:t>
            </w:r>
          </w:p>
          <w:p>
            <w:pPr>
              <w:pStyle w:val="102"/>
              <w:spacing w:before="8" w:line="340" w:lineRule="exact"/>
              <w:jc w:val="both"/>
              <w:rPr>
                <w:rFonts w:eastAsia="MS Mincho"/>
                <w:sz w:val="21"/>
              </w:rPr>
            </w:pPr>
            <w:r>
              <w:rPr>
                <w:rFonts w:hint="eastAsia" w:asciiTheme="minorEastAsia" w:hAnsiTheme="minorEastAsia" w:eastAsiaTheme="minorEastAsia"/>
                <w:sz w:val="21"/>
                <w:lang w:eastAsia="zh-CN"/>
              </w:rPr>
              <w:t>详细阐述数据的获取方式（遥感测绘、地面测绘）及应用范围，优秀的得3分，否则不得分。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3" w:hRule="atLeast"/>
        </w:trPr>
        <w:tc>
          <w:tcPr>
            <w:tcW w:w="2936" w:type="dxa"/>
          </w:tcPr>
          <w:p>
            <w:pPr>
              <w:pStyle w:val="102"/>
              <w:rPr>
                <w:rFonts w:eastAsiaTheme="minorEastAsia"/>
                <w:b/>
                <w:sz w:val="20"/>
              </w:rPr>
            </w:pPr>
          </w:p>
          <w:p>
            <w:pPr>
              <w:pStyle w:val="102"/>
              <w:rPr>
                <w:rFonts w:eastAsiaTheme="minorEastAsia"/>
                <w:b/>
                <w:sz w:val="20"/>
              </w:rPr>
            </w:pPr>
          </w:p>
          <w:p>
            <w:pPr>
              <w:pStyle w:val="102"/>
              <w:spacing w:before="9"/>
              <w:rPr>
                <w:rFonts w:eastAsiaTheme="minorEastAsia"/>
                <w:b/>
                <w:sz w:val="24"/>
                <w:lang w:eastAsia="zh-CN"/>
              </w:rPr>
            </w:pPr>
          </w:p>
          <w:p>
            <w:pPr>
              <w:pStyle w:val="102"/>
              <w:jc w:val="center"/>
              <w:rPr>
                <w:rFonts w:eastAsiaTheme="minorEastAsia"/>
                <w:sz w:val="21"/>
              </w:rPr>
            </w:pPr>
            <w:r>
              <w:rPr>
                <w:rFonts w:eastAsiaTheme="minorEastAsia"/>
                <w:sz w:val="21"/>
              </w:rPr>
              <w:t xml:space="preserve">投标报价 </w:t>
            </w:r>
            <w:r>
              <w:rPr>
                <w:rFonts w:eastAsia="MS Mincho"/>
                <w:sz w:val="21"/>
              </w:rPr>
              <w:t>20</w:t>
            </w:r>
            <w:r>
              <w:rPr>
                <w:rFonts w:eastAsiaTheme="minorEastAsia"/>
                <w:sz w:val="21"/>
              </w:rPr>
              <w:t>分</w:t>
            </w:r>
          </w:p>
        </w:tc>
        <w:tc>
          <w:tcPr>
            <w:tcW w:w="6241" w:type="dxa"/>
            <w:vAlign w:val="center"/>
          </w:tcPr>
          <w:p>
            <w:pPr>
              <w:pStyle w:val="102"/>
              <w:spacing w:before="58"/>
              <w:jc w:val="both"/>
              <w:rPr>
                <w:rFonts w:eastAsiaTheme="minorEastAsia"/>
                <w:sz w:val="21"/>
                <w:lang w:eastAsia="zh-CN"/>
              </w:rPr>
            </w:pPr>
            <w:r>
              <w:rPr>
                <w:rFonts w:eastAsiaTheme="minorEastAsia"/>
                <w:spacing w:val="-9"/>
                <w:sz w:val="21"/>
              </w:rPr>
              <w:t xml:space="preserve">评价基准价：当有效投标人少于 </w:t>
            </w:r>
            <w:r>
              <w:rPr>
                <w:rFonts w:eastAsiaTheme="minorEastAsia"/>
                <w:sz w:val="21"/>
              </w:rPr>
              <w:t>5</w:t>
            </w:r>
            <w:r>
              <w:rPr>
                <w:rFonts w:eastAsiaTheme="minorEastAsia"/>
                <w:spacing w:val="-9"/>
                <w:sz w:val="21"/>
              </w:rPr>
              <w:t xml:space="preserve"> 个时，其算术平均值作为评标基准价；当有效投标人多于 </w:t>
            </w:r>
            <w:r>
              <w:rPr>
                <w:rFonts w:eastAsiaTheme="minorEastAsia"/>
                <w:sz w:val="21"/>
              </w:rPr>
              <w:t>5</w:t>
            </w:r>
            <w:r>
              <w:rPr>
                <w:rFonts w:eastAsiaTheme="minorEastAsia"/>
                <w:spacing w:val="-32"/>
                <w:sz w:val="21"/>
              </w:rPr>
              <w:t xml:space="preserve"> 个</w:t>
            </w:r>
            <w:r>
              <w:rPr>
                <w:rFonts w:eastAsiaTheme="minorEastAsia"/>
                <w:spacing w:val="-3"/>
                <w:sz w:val="21"/>
              </w:rPr>
              <w:t>（</w:t>
            </w:r>
            <w:r>
              <w:rPr>
                <w:rFonts w:eastAsiaTheme="minorEastAsia"/>
                <w:spacing w:val="-24"/>
                <w:sz w:val="21"/>
              </w:rPr>
              <w:t xml:space="preserve">含 </w:t>
            </w:r>
            <w:r>
              <w:rPr>
                <w:rFonts w:eastAsiaTheme="minorEastAsia"/>
                <w:sz w:val="21"/>
              </w:rPr>
              <w:t>5</w:t>
            </w:r>
            <w:r>
              <w:rPr>
                <w:rFonts w:eastAsiaTheme="minorEastAsia"/>
                <w:spacing w:val="-25"/>
                <w:sz w:val="21"/>
              </w:rPr>
              <w:t xml:space="preserve"> 个</w:t>
            </w:r>
            <w:r>
              <w:rPr>
                <w:rFonts w:eastAsiaTheme="minorEastAsia"/>
                <w:spacing w:val="-20"/>
                <w:sz w:val="21"/>
              </w:rPr>
              <w:t>）</w:t>
            </w:r>
            <w:r>
              <w:rPr>
                <w:rFonts w:eastAsiaTheme="minorEastAsia"/>
                <w:spacing w:val="-5"/>
                <w:sz w:val="21"/>
              </w:rPr>
              <w:t>时，从所有投标报价中去</w:t>
            </w:r>
            <w:r>
              <w:rPr>
                <w:rFonts w:eastAsiaTheme="minorEastAsia"/>
                <w:spacing w:val="-4"/>
                <w:sz w:val="21"/>
              </w:rPr>
              <w:t>掉一个最高和最低报价，剩余报价的算术平均值作为评标基准价。</w:t>
            </w:r>
            <w:r>
              <w:rPr>
                <w:rFonts w:eastAsiaTheme="minorEastAsia"/>
                <w:spacing w:val="-3"/>
                <w:sz w:val="21"/>
              </w:rPr>
              <w:t>偏差率：偏差率=</w:t>
            </w:r>
            <w:r>
              <w:rPr>
                <w:rFonts w:eastAsiaTheme="minorEastAsia"/>
                <w:sz w:val="21"/>
              </w:rPr>
              <w:t>（</w:t>
            </w:r>
            <w:r>
              <w:rPr>
                <w:rFonts w:eastAsiaTheme="minorEastAsia"/>
                <w:spacing w:val="-3"/>
                <w:sz w:val="21"/>
              </w:rPr>
              <w:t>投标报价-评标基准价</w:t>
            </w:r>
            <w:r>
              <w:rPr>
                <w:rFonts w:eastAsiaTheme="minorEastAsia"/>
                <w:sz w:val="21"/>
              </w:rPr>
              <w:t>）/</w:t>
            </w:r>
            <w:r>
              <w:rPr>
                <w:rFonts w:eastAsiaTheme="minorEastAsia"/>
                <w:spacing w:val="-3"/>
                <w:sz w:val="21"/>
              </w:rPr>
              <w:t>评标基准价</w:t>
            </w:r>
            <w:r>
              <w:rPr>
                <w:rFonts w:eastAsiaTheme="minorEastAsia"/>
                <w:sz w:val="21"/>
              </w:rPr>
              <w:t xml:space="preserve">*100%。 </w:t>
            </w:r>
          </w:p>
          <w:p>
            <w:pPr>
              <w:pStyle w:val="102"/>
              <w:spacing w:before="58"/>
              <w:jc w:val="both"/>
              <w:rPr>
                <w:rFonts w:eastAsiaTheme="minorEastAsia"/>
                <w:sz w:val="21"/>
              </w:rPr>
            </w:pPr>
            <w:r>
              <w:rPr>
                <w:rFonts w:eastAsiaTheme="minorEastAsia"/>
                <w:spacing w:val="-5"/>
                <w:sz w:val="21"/>
              </w:rPr>
              <w:t>计分方法如下：有效投标报价与评标基准价相同的得满分</w:t>
            </w:r>
            <w:r>
              <w:rPr>
                <w:rFonts w:eastAsiaTheme="minorEastAsia"/>
                <w:sz w:val="21"/>
                <w:lang w:val="en-US" w:eastAsia="zh-CN"/>
              </w:rPr>
              <w:t>20</w:t>
            </w:r>
            <w:r>
              <w:rPr>
                <w:rFonts w:eastAsiaTheme="minorEastAsia"/>
                <w:spacing w:val="-16"/>
                <w:sz w:val="21"/>
              </w:rPr>
              <w:t>分，</w:t>
            </w:r>
            <w:r>
              <w:rPr>
                <w:rFonts w:eastAsiaTheme="minorEastAsia"/>
                <w:spacing w:val="-8"/>
                <w:sz w:val="21"/>
              </w:rPr>
              <w:t xml:space="preserve">每高出评标基准价 </w:t>
            </w:r>
            <w:r>
              <w:rPr>
                <w:rFonts w:eastAsiaTheme="minorEastAsia"/>
                <w:spacing w:val="-4"/>
                <w:sz w:val="21"/>
              </w:rPr>
              <w:t>1</w:t>
            </w:r>
            <w:r>
              <w:rPr>
                <w:rFonts w:eastAsiaTheme="minorEastAsia"/>
                <w:spacing w:val="-15"/>
                <w:sz w:val="21"/>
              </w:rPr>
              <w:t xml:space="preserve">%，从 </w:t>
            </w:r>
            <w:r>
              <w:rPr>
                <w:rFonts w:eastAsiaTheme="minorEastAsia"/>
                <w:sz w:val="21"/>
                <w:lang w:val="en-US" w:eastAsia="zh-CN"/>
              </w:rPr>
              <w:t>20</w:t>
            </w:r>
            <w:r>
              <w:rPr>
                <w:rFonts w:eastAsiaTheme="minorEastAsia"/>
                <w:spacing w:val="-15"/>
                <w:sz w:val="21"/>
              </w:rPr>
              <w:t xml:space="preserve">分的基础上减 </w:t>
            </w:r>
            <w:r>
              <w:rPr>
                <w:rFonts w:eastAsiaTheme="minorEastAsia"/>
                <w:sz w:val="21"/>
              </w:rPr>
              <w:t>1</w:t>
            </w:r>
            <w:r>
              <w:rPr>
                <w:rFonts w:eastAsiaTheme="minorEastAsia"/>
                <w:spacing w:val="-9"/>
                <w:sz w:val="21"/>
              </w:rPr>
              <w:t xml:space="preserve"> 分，每底于评标基准</w:t>
            </w:r>
            <w:r>
              <w:rPr>
                <w:rFonts w:eastAsiaTheme="minorEastAsia"/>
                <w:sz w:val="21"/>
              </w:rPr>
              <w:t>价 1%，从</w:t>
            </w:r>
            <w:r>
              <w:rPr>
                <w:rFonts w:eastAsiaTheme="minorEastAsia"/>
                <w:sz w:val="21"/>
                <w:lang w:val="en-US" w:eastAsia="zh-CN"/>
              </w:rPr>
              <w:t>20</w:t>
            </w:r>
            <w:r>
              <w:rPr>
                <w:rFonts w:eastAsiaTheme="minorEastAsia"/>
                <w:sz w:val="21"/>
              </w:rPr>
              <w:t>分的基础上减 0.5 分，直至减完为止。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2936" w:type="dxa"/>
          </w:tcPr>
          <w:p>
            <w:pPr>
              <w:pStyle w:val="102"/>
              <w:rPr>
                <w:rFonts w:eastAsiaTheme="minorEastAsia"/>
                <w:b/>
                <w:sz w:val="20"/>
              </w:rPr>
            </w:pPr>
          </w:p>
          <w:p>
            <w:pPr>
              <w:pStyle w:val="102"/>
              <w:rPr>
                <w:rFonts w:eastAsiaTheme="minorEastAsia"/>
                <w:b/>
                <w:sz w:val="20"/>
                <w:lang w:eastAsia="zh-CN"/>
              </w:rPr>
            </w:pPr>
          </w:p>
          <w:p>
            <w:pPr>
              <w:pStyle w:val="102"/>
              <w:jc w:val="center"/>
              <w:rPr>
                <w:rFonts w:eastAsiaTheme="minorEastAsia"/>
                <w:sz w:val="21"/>
              </w:rPr>
            </w:pPr>
            <w:r>
              <w:rPr>
                <w:rFonts w:eastAsiaTheme="minorEastAsia"/>
                <w:sz w:val="21"/>
              </w:rPr>
              <w:t>项目管理机构</w:t>
            </w:r>
            <w:r>
              <w:rPr>
                <w:rFonts w:eastAsia="MS Mincho"/>
                <w:sz w:val="21"/>
              </w:rPr>
              <w:t>10</w:t>
            </w:r>
            <w:r>
              <w:rPr>
                <w:rFonts w:eastAsiaTheme="minorEastAsia"/>
                <w:sz w:val="21"/>
              </w:rPr>
              <w:t>分</w:t>
            </w:r>
          </w:p>
        </w:tc>
        <w:tc>
          <w:tcPr>
            <w:tcW w:w="6241" w:type="dxa"/>
            <w:vAlign w:val="center"/>
          </w:tcPr>
          <w:p>
            <w:pPr>
              <w:pStyle w:val="102"/>
              <w:spacing w:before="70" w:line="302" w:lineRule="auto"/>
              <w:jc w:val="both"/>
              <w:rPr>
                <w:rFonts w:eastAsiaTheme="minorEastAsia"/>
                <w:spacing w:val="-3"/>
                <w:sz w:val="21"/>
              </w:rPr>
            </w:pPr>
            <w:r>
              <w:rPr>
                <w:rFonts w:eastAsiaTheme="minorEastAsia"/>
                <w:sz w:val="21"/>
              </w:rPr>
              <w:t>1</w:t>
            </w:r>
            <w:r>
              <w:rPr>
                <w:rFonts w:hint="eastAsia" w:eastAsiaTheme="minorEastAsia"/>
                <w:sz w:val="21"/>
              </w:rPr>
              <w:t>．</w:t>
            </w:r>
            <w:r>
              <w:rPr>
                <w:rFonts w:eastAsiaTheme="minorEastAsia"/>
                <w:spacing w:val="-3"/>
                <w:sz w:val="21"/>
              </w:rPr>
              <w:t>人员投入（10 分）</w:t>
            </w:r>
          </w:p>
          <w:p>
            <w:pPr>
              <w:pStyle w:val="102"/>
              <w:spacing w:before="72"/>
              <w:jc w:val="both"/>
              <w:rPr>
                <w:rFonts w:eastAsiaTheme="minorEastAsia"/>
                <w:sz w:val="21"/>
              </w:rPr>
            </w:pPr>
            <w:r>
              <w:rPr>
                <w:rFonts w:eastAsiaTheme="minorEastAsia"/>
                <w:spacing w:val="-3"/>
                <w:sz w:val="21"/>
              </w:rPr>
              <w:t>（</w:t>
            </w:r>
            <w:r>
              <w:rPr>
                <w:rFonts w:hint="eastAsia" w:eastAsiaTheme="minorEastAsia"/>
                <w:sz w:val="21"/>
              </w:rPr>
              <w:t>1）项目负责人为</w:t>
            </w:r>
            <w:r>
              <w:rPr>
                <w:rFonts w:hint="eastAsia" w:eastAsiaTheme="minorEastAsia"/>
                <w:sz w:val="21"/>
                <w:lang w:eastAsia="zh-CN"/>
              </w:rPr>
              <w:t>水利工程</w:t>
            </w:r>
            <w:r>
              <w:rPr>
                <w:rFonts w:hint="eastAsia" w:eastAsiaTheme="minorEastAsia"/>
                <w:sz w:val="21"/>
              </w:rPr>
              <w:t>高级工程师职称得4分，否则不得分。</w:t>
            </w:r>
          </w:p>
          <w:p>
            <w:pPr>
              <w:pStyle w:val="102"/>
              <w:spacing w:before="72"/>
              <w:jc w:val="both"/>
              <w:rPr>
                <w:rFonts w:eastAsiaTheme="minorEastAsia"/>
                <w:color w:val="FF0000"/>
              </w:rPr>
            </w:pPr>
            <w:r>
              <w:rPr>
                <w:rFonts w:hint="eastAsia" w:eastAsiaTheme="minorEastAsia"/>
                <w:sz w:val="21"/>
              </w:rPr>
              <w:t>（</w:t>
            </w:r>
            <w:r>
              <w:rPr>
                <w:rFonts w:hint="eastAsia" w:eastAsiaTheme="minorEastAsia"/>
                <w:sz w:val="21"/>
                <w:lang w:eastAsia="zh-CN"/>
              </w:rPr>
              <w:t>2</w:t>
            </w:r>
            <w:r>
              <w:rPr>
                <w:rFonts w:hint="eastAsia" w:eastAsiaTheme="minorEastAsia"/>
                <w:sz w:val="21"/>
              </w:rPr>
              <w:t>）项目管理机构中配</w:t>
            </w:r>
            <w:r>
              <w:rPr>
                <w:rFonts w:hint="eastAsia" w:eastAsiaTheme="minorEastAsia"/>
                <w:sz w:val="21"/>
                <w:lang w:eastAsia="zh-CN"/>
              </w:rPr>
              <w:t>有水利工程师、水文水资源工程师以及测绘</w:t>
            </w:r>
            <w:r>
              <w:rPr>
                <w:rFonts w:hint="eastAsia" w:eastAsiaTheme="minorEastAsia"/>
                <w:sz w:val="21"/>
              </w:rPr>
              <w:t>工程师</w:t>
            </w:r>
            <w:r>
              <w:rPr>
                <w:rFonts w:hint="eastAsia" w:eastAsiaTheme="minorEastAsia"/>
                <w:sz w:val="21"/>
                <w:lang w:eastAsia="zh-CN"/>
              </w:rPr>
              <w:t>的</w:t>
            </w:r>
            <w:r>
              <w:rPr>
                <w:rFonts w:hint="eastAsia" w:eastAsiaTheme="minorEastAsia"/>
                <w:sz w:val="21"/>
              </w:rPr>
              <w:t>得6分。没有</w:t>
            </w:r>
            <w:r>
              <w:rPr>
                <w:rFonts w:hint="eastAsia" w:eastAsiaTheme="minorEastAsia"/>
                <w:sz w:val="21"/>
                <w:lang w:eastAsia="zh-CN"/>
              </w:rPr>
              <w:t>或者不全</w:t>
            </w:r>
            <w:r>
              <w:rPr>
                <w:rFonts w:hint="eastAsia" w:eastAsiaTheme="minorEastAsia"/>
                <w:sz w:val="21"/>
              </w:rPr>
              <w:t>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1" w:hRule="atLeast"/>
        </w:trPr>
        <w:tc>
          <w:tcPr>
            <w:tcW w:w="2936" w:type="dxa"/>
          </w:tcPr>
          <w:p>
            <w:pPr>
              <w:pStyle w:val="102"/>
              <w:rPr>
                <w:rFonts w:eastAsiaTheme="minorEastAsia"/>
                <w:b/>
                <w:sz w:val="20"/>
              </w:rPr>
            </w:pPr>
          </w:p>
          <w:p>
            <w:pPr>
              <w:pStyle w:val="102"/>
              <w:rPr>
                <w:rFonts w:eastAsiaTheme="minorEastAsia"/>
                <w:b/>
                <w:sz w:val="20"/>
              </w:rPr>
            </w:pPr>
          </w:p>
          <w:p>
            <w:pPr>
              <w:pStyle w:val="102"/>
              <w:spacing w:before="146"/>
              <w:jc w:val="center"/>
              <w:rPr>
                <w:rFonts w:eastAsiaTheme="minorEastAsia"/>
                <w:sz w:val="21"/>
              </w:rPr>
            </w:pPr>
          </w:p>
          <w:p>
            <w:pPr>
              <w:pStyle w:val="102"/>
              <w:spacing w:before="146"/>
              <w:jc w:val="center"/>
              <w:rPr>
                <w:rFonts w:eastAsiaTheme="minorEastAsia"/>
                <w:sz w:val="21"/>
              </w:rPr>
            </w:pPr>
            <w:r>
              <w:rPr>
                <w:rFonts w:eastAsiaTheme="minorEastAsia"/>
                <w:sz w:val="21"/>
              </w:rPr>
              <w:t xml:space="preserve">业绩情况 </w:t>
            </w:r>
            <w:r>
              <w:rPr>
                <w:rFonts w:eastAsia="MS Mincho"/>
                <w:sz w:val="21"/>
              </w:rPr>
              <w:t>24</w:t>
            </w:r>
            <w:r>
              <w:rPr>
                <w:rFonts w:eastAsiaTheme="minorEastAsia"/>
                <w:sz w:val="21"/>
              </w:rPr>
              <w:t xml:space="preserve"> 分</w:t>
            </w:r>
          </w:p>
        </w:tc>
        <w:tc>
          <w:tcPr>
            <w:tcW w:w="6241" w:type="dxa"/>
            <w:vAlign w:val="center"/>
          </w:tcPr>
          <w:p>
            <w:pPr>
              <w:pStyle w:val="102"/>
              <w:numPr>
                <w:ilvl w:val="0"/>
                <w:numId w:val="10"/>
              </w:numPr>
              <w:spacing w:before="72"/>
              <w:jc w:val="both"/>
              <w:rPr>
                <w:sz w:val="21"/>
              </w:rPr>
            </w:pPr>
            <w:r>
              <w:rPr>
                <w:rFonts w:eastAsiaTheme="minorEastAsia"/>
                <w:spacing w:val="-1"/>
                <w:sz w:val="21"/>
              </w:rPr>
              <w:t>类型一</w:t>
            </w:r>
            <w:r>
              <w:rPr>
                <w:rFonts w:eastAsiaTheme="minorEastAsia"/>
                <w:sz w:val="21"/>
              </w:rPr>
              <w:t>（</w:t>
            </w:r>
            <w:r>
              <w:rPr>
                <w:rFonts w:hint="eastAsia" w:eastAsiaTheme="minorEastAsia"/>
                <w:sz w:val="21"/>
                <w:lang w:eastAsia="zh-CN"/>
              </w:rPr>
              <w:t>8</w:t>
            </w:r>
            <w:r>
              <w:rPr>
                <w:spacing w:val="-27"/>
                <w:sz w:val="21"/>
              </w:rPr>
              <w:t>分</w:t>
            </w:r>
            <w:r>
              <w:rPr>
                <w:sz w:val="21"/>
              </w:rPr>
              <w:t>）</w:t>
            </w:r>
            <w:r>
              <w:rPr>
                <w:spacing w:val="-9"/>
                <w:sz w:val="21"/>
              </w:rPr>
              <w:t>：近三年</w:t>
            </w:r>
            <w:r>
              <w:rPr>
                <w:spacing w:val="-8"/>
                <w:sz w:val="21"/>
              </w:rPr>
              <w:t>，</w:t>
            </w:r>
            <w:r>
              <w:rPr>
                <w:spacing w:val="-9"/>
                <w:sz w:val="21"/>
              </w:rPr>
              <w:t>每承担过一项划界项目</w:t>
            </w:r>
            <w:r>
              <w:rPr>
                <w:sz w:val="21"/>
              </w:rPr>
              <w:t>的得</w:t>
            </w:r>
            <w:r>
              <w:rPr>
                <w:rFonts w:hint="eastAsia"/>
                <w:sz w:val="21"/>
                <w:lang w:eastAsia="zh-CN"/>
              </w:rPr>
              <w:t>4</w:t>
            </w:r>
            <w:r>
              <w:rPr>
                <w:sz w:val="21"/>
              </w:rPr>
              <w:t>分，最高得</w:t>
            </w:r>
            <w:r>
              <w:rPr>
                <w:rFonts w:hint="eastAsia"/>
                <w:sz w:val="21"/>
                <w:lang w:eastAsia="zh-CN"/>
              </w:rPr>
              <w:t>8</w:t>
            </w:r>
            <w:r>
              <w:rPr>
                <w:sz w:val="21"/>
              </w:rPr>
              <w:t>分，没有不得分。</w:t>
            </w:r>
            <w:r>
              <w:rPr>
                <w:rFonts w:hint="eastAsia"/>
                <w:sz w:val="21"/>
              </w:rPr>
              <w:t>（以中标通知书或合同为准）</w:t>
            </w:r>
          </w:p>
          <w:p>
            <w:pPr>
              <w:pStyle w:val="102"/>
              <w:spacing w:before="72"/>
              <w:jc w:val="both"/>
              <w:rPr>
                <w:sz w:val="21"/>
              </w:rPr>
            </w:pPr>
            <w:r>
              <w:rPr>
                <w:rFonts w:hint="eastAsia"/>
                <w:sz w:val="21"/>
                <w:lang w:eastAsia="zh-CN"/>
              </w:rPr>
              <w:t>2</w:t>
            </w:r>
            <w:r>
              <w:rPr>
                <w:sz w:val="21"/>
              </w:rPr>
              <w:t>.</w:t>
            </w:r>
            <w:r>
              <w:rPr>
                <w:spacing w:val="-1"/>
                <w:sz w:val="21"/>
              </w:rPr>
              <w:t>类型</w:t>
            </w:r>
            <w:r>
              <w:rPr>
                <w:rFonts w:hint="eastAsia"/>
                <w:spacing w:val="-1"/>
                <w:sz w:val="21"/>
                <w:lang w:eastAsia="zh-CN"/>
              </w:rPr>
              <w:t>二</w:t>
            </w:r>
            <w:r>
              <w:rPr>
                <w:sz w:val="21"/>
              </w:rPr>
              <w:t>（</w:t>
            </w:r>
            <w:r>
              <w:rPr>
                <w:rFonts w:hint="eastAsia"/>
                <w:sz w:val="21"/>
                <w:lang w:eastAsia="zh-CN"/>
              </w:rPr>
              <w:t>8</w:t>
            </w:r>
            <w:r>
              <w:rPr>
                <w:spacing w:val="-27"/>
                <w:sz w:val="21"/>
              </w:rPr>
              <w:t xml:space="preserve"> 分</w:t>
            </w:r>
            <w:r>
              <w:rPr>
                <w:sz w:val="21"/>
              </w:rPr>
              <w:t>）</w:t>
            </w:r>
            <w:r>
              <w:rPr>
                <w:spacing w:val="-9"/>
                <w:sz w:val="21"/>
              </w:rPr>
              <w:t>：近三年</w:t>
            </w:r>
            <w:r>
              <w:rPr>
                <w:spacing w:val="-8"/>
                <w:sz w:val="21"/>
              </w:rPr>
              <w:t>，</w:t>
            </w:r>
            <w:r>
              <w:rPr>
                <w:spacing w:val="-9"/>
                <w:sz w:val="21"/>
              </w:rPr>
              <w:t>每承担过一项地理数据加工项目</w:t>
            </w:r>
            <w:r>
              <w:rPr>
                <w:sz w:val="21"/>
              </w:rPr>
              <w:t xml:space="preserve">的得 </w:t>
            </w:r>
            <w:r>
              <w:rPr>
                <w:rFonts w:hint="eastAsia"/>
                <w:sz w:val="21"/>
                <w:lang w:eastAsia="zh-CN"/>
              </w:rPr>
              <w:t>4</w:t>
            </w:r>
            <w:r>
              <w:rPr>
                <w:sz w:val="21"/>
              </w:rPr>
              <w:t xml:space="preserve"> 分，最高得 </w:t>
            </w:r>
            <w:r>
              <w:rPr>
                <w:rFonts w:hint="eastAsia"/>
                <w:sz w:val="21"/>
                <w:lang w:eastAsia="zh-CN"/>
              </w:rPr>
              <w:t>8</w:t>
            </w:r>
            <w:r>
              <w:rPr>
                <w:sz w:val="21"/>
              </w:rPr>
              <w:t xml:space="preserve"> 分，没有不得分。</w:t>
            </w:r>
            <w:r>
              <w:rPr>
                <w:rFonts w:hint="eastAsia"/>
                <w:sz w:val="21"/>
              </w:rPr>
              <w:t>（以中标通知书或合同或相关地图软著为准）</w:t>
            </w:r>
          </w:p>
          <w:p>
            <w:pPr>
              <w:spacing w:line="240" w:lineRule="auto"/>
              <w:ind w:firstLine="0" w:firstLineChars="0"/>
              <w:jc w:val="both"/>
              <w:rPr>
                <w:rFonts w:eastAsiaTheme="minorEastAsia" w:cstheme="minorBidi"/>
                <w:spacing w:val="-9"/>
              </w:rPr>
            </w:pPr>
            <w:r>
              <w:rPr>
                <w:rFonts w:hint="eastAsia" w:ascii="宋体" w:hAnsi="宋体" w:cstheme="minorBidi"/>
              </w:rPr>
              <w:t>3</w:t>
            </w:r>
            <w:r>
              <w:rPr>
                <w:rFonts w:ascii="宋体" w:hAnsi="宋体" w:cstheme="minorBidi"/>
              </w:rPr>
              <w:t>.</w:t>
            </w:r>
            <w:r>
              <w:rPr>
                <w:rFonts w:ascii="宋体" w:hAnsi="宋体" w:cstheme="minorBidi"/>
                <w:spacing w:val="-1"/>
              </w:rPr>
              <w:t>类型</w:t>
            </w:r>
            <w:r>
              <w:rPr>
                <w:rFonts w:hint="eastAsia" w:ascii="宋体" w:hAnsi="宋体" w:cstheme="minorBidi"/>
                <w:spacing w:val="-1"/>
              </w:rPr>
              <w:t>三</w:t>
            </w:r>
            <w:r>
              <w:rPr>
                <w:rFonts w:ascii="宋体" w:hAnsi="宋体" w:cstheme="minorBidi"/>
              </w:rPr>
              <w:t>（</w:t>
            </w:r>
            <w:r>
              <w:rPr>
                <w:rFonts w:hint="eastAsia" w:ascii="宋体" w:hAnsi="宋体" w:cstheme="minorBidi"/>
              </w:rPr>
              <w:t>8</w:t>
            </w:r>
            <w:r>
              <w:rPr>
                <w:rFonts w:ascii="宋体" w:hAnsi="宋体" w:cstheme="minorBidi"/>
                <w:spacing w:val="-23"/>
              </w:rPr>
              <w:t xml:space="preserve"> 分</w:t>
            </w:r>
            <w:r>
              <w:rPr>
                <w:rFonts w:ascii="宋体" w:hAnsi="宋体" w:cstheme="minorBidi"/>
              </w:rPr>
              <w:t>）：近三年</w:t>
            </w:r>
            <w:r>
              <w:rPr>
                <w:rFonts w:ascii="宋体" w:hAnsi="宋体" w:cstheme="minorBidi"/>
                <w:spacing w:val="-8"/>
              </w:rPr>
              <w:t>，</w:t>
            </w:r>
            <w:r>
              <w:rPr>
                <w:rFonts w:ascii="宋体" w:hAnsi="宋体" w:cstheme="minorBidi"/>
                <w:spacing w:val="-9"/>
              </w:rPr>
              <w:t>每承担过一项</w:t>
            </w:r>
            <w:r>
              <w:rPr>
                <w:rFonts w:hint="eastAsia" w:ascii="宋体" w:hAnsi="宋体" w:cstheme="minorBidi"/>
                <w:spacing w:val="-8"/>
              </w:rPr>
              <w:t>水文水资源项目</w:t>
            </w:r>
            <w:r>
              <w:rPr>
                <w:rFonts w:ascii="宋体" w:hAnsi="宋体" w:cstheme="minorBidi"/>
                <w:spacing w:val="-9"/>
              </w:rPr>
              <w:t xml:space="preserve">的得 </w:t>
            </w:r>
            <w:r>
              <w:rPr>
                <w:rFonts w:hint="eastAsia" w:ascii="宋体" w:hAnsi="宋体" w:cstheme="minorBidi"/>
              </w:rPr>
              <w:t>4</w:t>
            </w:r>
            <w:r>
              <w:rPr>
                <w:rFonts w:ascii="宋体" w:hAnsi="宋体" w:cstheme="minorBidi"/>
                <w:spacing w:val="-17"/>
              </w:rPr>
              <w:t xml:space="preserve"> 分</w:t>
            </w:r>
            <w:r>
              <w:rPr>
                <w:rFonts w:ascii="宋体" w:hAnsi="宋体" w:cstheme="minorBidi"/>
                <w:spacing w:val="-9"/>
              </w:rPr>
              <w:t>，</w:t>
            </w:r>
            <w:r>
              <w:rPr>
                <w:rFonts w:ascii="宋体" w:hAnsi="宋体" w:cstheme="minorBidi"/>
              </w:rPr>
              <w:t xml:space="preserve">最高得 </w:t>
            </w:r>
            <w:r>
              <w:rPr>
                <w:rFonts w:hint="eastAsia" w:ascii="宋体" w:hAnsi="宋体" w:cstheme="minorBidi"/>
              </w:rPr>
              <w:t>8</w:t>
            </w:r>
            <w:r>
              <w:rPr>
                <w:rFonts w:ascii="宋体" w:hAnsi="宋体" w:cstheme="minorBidi"/>
              </w:rPr>
              <w:t xml:space="preserve"> 分，没有不得分。</w:t>
            </w:r>
            <w:r>
              <w:rPr>
                <w:rFonts w:hint="eastAsia" w:ascii="宋体" w:hAnsi="宋体" w:cstheme="minorBidi"/>
              </w:rPr>
              <w:t>（以中标通知书或合同为准）。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2936" w:type="dxa"/>
          </w:tcPr>
          <w:p>
            <w:pPr>
              <w:pStyle w:val="102"/>
              <w:rPr>
                <w:rFonts w:eastAsiaTheme="minorEastAsia"/>
                <w:b/>
                <w:sz w:val="20"/>
              </w:rPr>
            </w:pPr>
          </w:p>
          <w:p>
            <w:pPr>
              <w:pStyle w:val="102"/>
              <w:spacing w:before="168"/>
              <w:jc w:val="center"/>
              <w:rPr>
                <w:rFonts w:eastAsiaTheme="minorEastAsia"/>
                <w:sz w:val="21"/>
              </w:rPr>
            </w:pPr>
            <w:r>
              <w:rPr>
                <w:rFonts w:eastAsiaTheme="minorEastAsia"/>
                <w:sz w:val="21"/>
              </w:rPr>
              <w:t xml:space="preserve">企业信誉 </w:t>
            </w:r>
            <w:r>
              <w:rPr>
                <w:rFonts w:hint="eastAsia" w:eastAsiaTheme="minorEastAsia"/>
                <w:sz w:val="21"/>
                <w:lang w:eastAsia="zh-CN"/>
              </w:rPr>
              <w:t>3</w:t>
            </w:r>
            <w:r>
              <w:rPr>
                <w:rFonts w:eastAsiaTheme="minorEastAsia"/>
                <w:sz w:val="21"/>
              </w:rPr>
              <w:t xml:space="preserve"> 分</w:t>
            </w:r>
          </w:p>
        </w:tc>
        <w:tc>
          <w:tcPr>
            <w:tcW w:w="6241" w:type="dxa"/>
          </w:tcPr>
          <w:p>
            <w:pPr>
              <w:pStyle w:val="102"/>
              <w:spacing w:before="91"/>
              <w:rPr>
                <w:rFonts w:eastAsia="MS Mincho"/>
                <w:spacing w:val="-8"/>
                <w:sz w:val="21"/>
              </w:rPr>
            </w:pPr>
            <w:r>
              <w:rPr>
                <w:rFonts w:hint="eastAsia" w:eastAsiaTheme="minorEastAsia"/>
                <w:spacing w:val="-8"/>
                <w:sz w:val="21"/>
                <w:lang w:val="en-US" w:eastAsia="zh-CN"/>
              </w:rPr>
              <w:t>1.</w:t>
            </w:r>
            <w:r>
              <w:rPr>
                <w:rFonts w:eastAsiaTheme="minorEastAsia"/>
                <w:spacing w:val="-8"/>
                <w:sz w:val="21"/>
              </w:rPr>
              <w:t>投标单位近 3 年合同履行情况良好，没有产生不良诉讼和仲裁的得2 分</w:t>
            </w:r>
          </w:p>
          <w:p>
            <w:pPr>
              <w:pStyle w:val="102"/>
              <w:spacing w:before="91"/>
              <w:rPr>
                <w:rFonts w:eastAsia="MS Mincho"/>
                <w:sz w:val="21"/>
                <w:lang w:eastAsia="zh-CN"/>
              </w:rPr>
            </w:pPr>
            <w:r>
              <w:rPr>
                <w:rFonts w:hint="eastAsia" w:eastAsiaTheme="minorEastAsia"/>
                <w:spacing w:val="-8"/>
                <w:sz w:val="21"/>
                <w:lang w:val="en-US" w:eastAsia="zh-CN"/>
              </w:rPr>
              <w:t>2.</w:t>
            </w:r>
            <w:r>
              <w:rPr>
                <w:rFonts w:hint="eastAsia" w:eastAsiaTheme="minorEastAsia"/>
                <w:spacing w:val="-8"/>
                <w:sz w:val="21"/>
              </w:rPr>
              <w:t>商务响应：完全响应招标文件格式要求编排者得1分，否则不得分</w:t>
            </w:r>
            <w:r>
              <w:rPr>
                <w:rFonts w:hint="eastAsia" w:eastAsiaTheme="minorEastAsia"/>
                <w:spacing w:val="-8"/>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936" w:type="dxa"/>
            <w:vAlign w:val="center"/>
          </w:tcPr>
          <w:p>
            <w:pPr>
              <w:pStyle w:val="102"/>
              <w:spacing w:before="168"/>
              <w:jc w:val="center"/>
              <w:rPr>
                <w:rFonts w:eastAsiaTheme="minorEastAsia"/>
                <w:sz w:val="21"/>
              </w:rPr>
            </w:pPr>
            <w:r>
              <w:rPr>
                <w:rFonts w:hint="eastAsia" w:eastAsiaTheme="minorEastAsia"/>
                <w:sz w:val="21"/>
              </w:rPr>
              <w:t>合同履行情况</w:t>
            </w:r>
            <w:r>
              <w:rPr>
                <w:rFonts w:hint="eastAsia" w:eastAsiaTheme="minorEastAsia"/>
                <w:sz w:val="21"/>
                <w:lang w:val="en-US" w:eastAsia="zh-CN"/>
              </w:rPr>
              <w:t>3</w:t>
            </w:r>
            <w:r>
              <w:rPr>
                <w:rFonts w:hint="eastAsia" w:eastAsiaTheme="minorEastAsia"/>
                <w:sz w:val="21"/>
              </w:rPr>
              <w:t>分</w:t>
            </w:r>
          </w:p>
        </w:tc>
        <w:tc>
          <w:tcPr>
            <w:tcW w:w="6241" w:type="dxa"/>
            <w:vAlign w:val="center"/>
          </w:tcPr>
          <w:p>
            <w:pPr>
              <w:pStyle w:val="102"/>
              <w:spacing w:before="91"/>
              <w:jc w:val="both"/>
              <w:rPr>
                <w:rFonts w:eastAsiaTheme="minorEastAsia"/>
                <w:spacing w:val="-8"/>
                <w:sz w:val="21"/>
              </w:rPr>
            </w:pPr>
            <w:r>
              <w:rPr>
                <w:rFonts w:hint="eastAsia" w:eastAsiaTheme="minorEastAsia"/>
                <w:spacing w:val="-8"/>
                <w:sz w:val="21"/>
              </w:rPr>
              <w:t>投</w:t>
            </w:r>
            <w:r>
              <w:rPr>
                <w:rFonts w:hint="eastAsia" w:ascii="Times New Roman" w:hAnsi="Times New Roman" w:eastAsiaTheme="minorEastAsia" w:cstheme="minorBidi"/>
                <w:sz w:val="21"/>
                <w:lang w:val="en-US" w:eastAsia="zh-CN" w:bidi="ar-SA"/>
              </w:rPr>
              <w:t>标单位近</w:t>
            </w:r>
            <w:r>
              <w:rPr>
                <w:rFonts w:hint="eastAsia" w:cstheme="minorBidi"/>
                <w:sz w:val="21"/>
                <w:lang w:val="en-US" w:eastAsia="zh-CN" w:bidi="ar-SA"/>
              </w:rPr>
              <w:t>3</w:t>
            </w:r>
            <w:r>
              <w:rPr>
                <w:rFonts w:hint="eastAsia" w:ascii="Times New Roman" w:hAnsi="Times New Roman" w:eastAsiaTheme="minorEastAsia" w:cstheme="minorBidi"/>
                <w:sz w:val="21"/>
                <w:lang w:val="en-US" w:eastAsia="zh-CN" w:bidi="ar-SA"/>
              </w:rPr>
              <w:t>年合同履行情况良好，没有产生不良诉讼和仲裁，得3分，无证明或无承诺的不得分。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2936" w:type="dxa"/>
            <w:vAlign w:val="center"/>
          </w:tcPr>
          <w:p>
            <w:pPr>
              <w:pStyle w:val="102"/>
              <w:jc w:val="center"/>
              <w:rPr>
                <w:rFonts w:eastAsiaTheme="minorEastAsia"/>
                <w:sz w:val="21"/>
              </w:rPr>
            </w:pPr>
            <w:r>
              <w:rPr>
                <w:rFonts w:eastAsiaTheme="minorEastAsia"/>
                <w:sz w:val="21"/>
              </w:rPr>
              <w:t>后期服务</w:t>
            </w:r>
            <w:r>
              <w:rPr>
                <w:rFonts w:hint="eastAsia" w:eastAsiaTheme="minorEastAsia"/>
                <w:sz w:val="21"/>
                <w:lang w:val="en-US" w:eastAsia="zh-CN"/>
              </w:rPr>
              <w:t>2</w:t>
            </w:r>
            <w:r>
              <w:rPr>
                <w:rFonts w:eastAsiaTheme="minorEastAsia"/>
                <w:sz w:val="21"/>
              </w:rPr>
              <w:t xml:space="preserve"> 分</w:t>
            </w:r>
          </w:p>
        </w:tc>
        <w:tc>
          <w:tcPr>
            <w:tcW w:w="6241" w:type="dxa"/>
            <w:vAlign w:val="center"/>
          </w:tcPr>
          <w:p>
            <w:pPr>
              <w:pStyle w:val="17"/>
              <w:tabs>
                <w:tab w:val="center" w:pos="4153"/>
                <w:tab w:val="right" w:pos="8306"/>
              </w:tabs>
              <w:ind w:left="0" w:firstLine="0" w:firstLineChars="0"/>
              <w:jc w:val="both"/>
              <w:rPr>
                <w:rFonts w:eastAsia="MS Mincho" w:cstheme="minorBidi"/>
              </w:rPr>
            </w:pPr>
            <w:r>
              <w:rPr>
                <w:rFonts w:hint="eastAsia" w:eastAsia="MS Mincho" w:cstheme="minorBidi"/>
              </w:rPr>
              <w:t>服</w:t>
            </w:r>
            <w:r>
              <w:rPr>
                <w:rFonts w:hint="eastAsia" w:eastAsiaTheme="minorEastAsia" w:cstheme="minorBidi"/>
                <w:szCs w:val="22"/>
              </w:rPr>
              <w:t>务承诺：有无数据成果保密，时间响应及后续成果整改工作等承诺，有的得2分，没有不得分</w:t>
            </w:r>
            <w:r>
              <w:rPr>
                <w:rFonts w:hint="eastAsia" w:eastAsia="MS Mincho" w:cstheme="minorBidi"/>
              </w:rPr>
              <w:t>。</w:t>
            </w:r>
          </w:p>
        </w:tc>
      </w:tr>
    </w:tbl>
    <w:p>
      <w:pPr>
        <w:pStyle w:val="3"/>
        <w:keepNext w:val="0"/>
        <w:ind w:firstLine="0" w:firstLineChars="0"/>
      </w:pPr>
      <w:bookmarkStart w:id="76" w:name="_Toc61249568"/>
    </w:p>
    <w:p>
      <w:pPr>
        <w:pStyle w:val="3"/>
        <w:ind w:firstLine="0" w:firstLineChars="0"/>
      </w:pPr>
      <w:r>
        <w:rPr>
          <w:rFonts w:hint="eastAsia"/>
        </w:rPr>
        <w:t>附件一开标一览表</w:t>
      </w:r>
      <w:bookmarkEnd w:id="76"/>
    </w:p>
    <w:p>
      <w:pPr>
        <w:spacing w:line="380" w:lineRule="exact"/>
        <w:ind w:firstLine="0" w:firstLineChars="0"/>
        <w:rPr>
          <w:rFonts w:ascii="宋体" w:hAnsi="宋体"/>
          <w:sz w:val="24"/>
          <w:szCs w:val="24"/>
        </w:rPr>
      </w:pPr>
      <w:r>
        <w:rPr>
          <w:rFonts w:hint="eastAsia" w:ascii="宋体" w:hAnsi="宋体"/>
          <w:b/>
          <w:szCs w:val="21"/>
        </w:rPr>
        <w:t>采购项目名称：</w:t>
      </w:r>
    </w:p>
    <w:p>
      <w:pPr>
        <w:spacing w:line="380" w:lineRule="exact"/>
        <w:ind w:firstLine="0" w:firstLineChars="0"/>
        <w:rPr>
          <w:rFonts w:ascii="宋体" w:hAnsi="宋体"/>
          <w:b/>
          <w:szCs w:val="21"/>
        </w:rPr>
      </w:pPr>
      <w:r>
        <w:rPr>
          <w:rFonts w:hint="eastAsia" w:ascii="宋体" w:hAnsi="宋体"/>
          <w:b/>
          <w:szCs w:val="21"/>
        </w:rPr>
        <w:t>采购项目编号：</w:t>
      </w:r>
    </w:p>
    <w:tbl>
      <w:tblPr>
        <w:tblStyle w:val="39"/>
        <w:tblW w:w="8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1533"/>
        <w:gridCol w:w="2157"/>
        <w:gridCol w:w="1414"/>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trPr>
        <w:tc>
          <w:tcPr>
            <w:tcW w:w="2375" w:type="dxa"/>
            <w:vAlign w:val="center"/>
          </w:tcPr>
          <w:p>
            <w:pPr>
              <w:ind w:firstLine="0" w:firstLineChars="0"/>
              <w:jc w:val="center"/>
              <w:rPr>
                <w:rFonts w:ascii="宋体" w:hAnsi="宋体"/>
                <w:b/>
                <w:szCs w:val="21"/>
              </w:rPr>
            </w:pPr>
            <w:r>
              <w:rPr>
                <w:rFonts w:hint="eastAsia" w:ascii="宋体" w:hAnsi="宋体"/>
                <w:b/>
                <w:szCs w:val="21"/>
              </w:rPr>
              <w:t>项目名称</w:t>
            </w:r>
          </w:p>
        </w:tc>
        <w:tc>
          <w:tcPr>
            <w:tcW w:w="3690" w:type="dxa"/>
            <w:gridSpan w:val="2"/>
            <w:vAlign w:val="center"/>
          </w:tcPr>
          <w:p>
            <w:pPr>
              <w:ind w:firstLine="0" w:firstLineChars="0"/>
              <w:jc w:val="center"/>
              <w:rPr>
                <w:rFonts w:ascii="宋体" w:hAnsi="宋体"/>
                <w:b/>
                <w:szCs w:val="21"/>
              </w:rPr>
            </w:pPr>
            <w:r>
              <w:rPr>
                <w:rFonts w:hint="eastAsia" w:ascii="宋体" w:hAnsi="宋体"/>
                <w:b/>
                <w:szCs w:val="21"/>
              </w:rPr>
              <w:t>报价总价</w:t>
            </w:r>
          </w:p>
          <w:p>
            <w:pPr>
              <w:ind w:firstLine="0" w:firstLineChars="0"/>
              <w:jc w:val="center"/>
              <w:rPr>
                <w:rFonts w:ascii="宋体" w:hAnsi="宋体"/>
                <w:b/>
                <w:szCs w:val="21"/>
              </w:rPr>
            </w:pPr>
            <w:r>
              <w:rPr>
                <w:rFonts w:hint="eastAsia" w:ascii="宋体" w:hAnsi="宋体"/>
                <w:b/>
                <w:szCs w:val="21"/>
              </w:rPr>
              <w:t>（人民币元）</w:t>
            </w:r>
          </w:p>
        </w:tc>
        <w:tc>
          <w:tcPr>
            <w:tcW w:w="1414" w:type="dxa"/>
            <w:vAlign w:val="center"/>
          </w:tcPr>
          <w:p>
            <w:pPr>
              <w:ind w:firstLine="0" w:firstLineChars="0"/>
              <w:jc w:val="center"/>
              <w:rPr>
                <w:rFonts w:ascii="宋体" w:hAnsi="宋体"/>
                <w:b/>
                <w:szCs w:val="21"/>
              </w:rPr>
            </w:pPr>
            <w:r>
              <w:rPr>
                <w:rFonts w:hint="eastAsia" w:ascii="宋体" w:hAnsi="宋体"/>
                <w:b/>
                <w:szCs w:val="21"/>
              </w:rPr>
              <w:t>完成工期</w:t>
            </w:r>
          </w:p>
        </w:tc>
        <w:tc>
          <w:tcPr>
            <w:tcW w:w="867" w:type="dxa"/>
            <w:vAlign w:val="center"/>
          </w:tcPr>
          <w:p>
            <w:pPr>
              <w:ind w:firstLine="0" w:firstLineChars="0"/>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2375" w:type="dxa"/>
            <w:vMerge w:val="restart"/>
            <w:vAlign w:val="center"/>
          </w:tcPr>
          <w:p>
            <w:pPr>
              <w:ind w:firstLine="0" w:firstLineChars="0"/>
              <w:jc w:val="center"/>
              <w:rPr>
                <w:rFonts w:ascii="宋体" w:hAnsi="宋体"/>
              </w:rPr>
            </w:pPr>
          </w:p>
        </w:tc>
        <w:tc>
          <w:tcPr>
            <w:tcW w:w="1533" w:type="dxa"/>
            <w:vAlign w:val="center"/>
          </w:tcPr>
          <w:p>
            <w:pPr>
              <w:ind w:firstLine="0" w:firstLineChars="0"/>
              <w:jc w:val="center"/>
              <w:rPr>
                <w:rFonts w:ascii="宋体" w:hAnsi="宋体"/>
                <w:sz w:val="24"/>
              </w:rPr>
            </w:pPr>
            <w:r>
              <w:rPr>
                <w:rFonts w:hint="eastAsia" w:ascii="宋体" w:hAnsi="宋体"/>
                <w:b/>
                <w:szCs w:val="21"/>
              </w:rPr>
              <w:t>（小写）</w:t>
            </w:r>
          </w:p>
        </w:tc>
        <w:tc>
          <w:tcPr>
            <w:tcW w:w="2157" w:type="dxa"/>
            <w:vAlign w:val="center"/>
          </w:tcPr>
          <w:p>
            <w:pPr>
              <w:ind w:firstLine="0" w:firstLineChars="0"/>
              <w:jc w:val="center"/>
              <w:rPr>
                <w:rFonts w:ascii="宋体" w:hAnsi="宋体"/>
                <w:sz w:val="24"/>
              </w:rPr>
            </w:pPr>
          </w:p>
        </w:tc>
        <w:tc>
          <w:tcPr>
            <w:tcW w:w="1414" w:type="dxa"/>
            <w:vMerge w:val="restart"/>
            <w:vAlign w:val="center"/>
          </w:tcPr>
          <w:p>
            <w:pPr>
              <w:ind w:firstLine="0" w:firstLineChars="0"/>
              <w:jc w:val="center"/>
              <w:rPr>
                <w:rFonts w:ascii="宋体" w:hAnsi="宋体"/>
                <w:sz w:val="24"/>
              </w:rPr>
            </w:pPr>
          </w:p>
        </w:tc>
        <w:tc>
          <w:tcPr>
            <w:tcW w:w="867" w:type="dxa"/>
            <w:vMerge w:val="restart"/>
            <w:vAlign w:val="center"/>
          </w:tcPr>
          <w:p>
            <w:pPr>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2375" w:type="dxa"/>
            <w:vMerge w:val="continue"/>
            <w:vAlign w:val="center"/>
          </w:tcPr>
          <w:p>
            <w:pPr>
              <w:ind w:firstLine="0" w:firstLineChars="0"/>
              <w:jc w:val="center"/>
              <w:rPr>
                <w:rFonts w:ascii="宋体" w:hAnsi="宋体"/>
              </w:rPr>
            </w:pPr>
          </w:p>
        </w:tc>
        <w:tc>
          <w:tcPr>
            <w:tcW w:w="1533" w:type="dxa"/>
            <w:tcBorders>
              <w:bottom w:val="single" w:color="auto" w:sz="4" w:space="0"/>
            </w:tcBorders>
            <w:vAlign w:val="center"/>
          </w:tcPr>
          <w:p>
            <w:pPr>
              <w:ind w:firstLine="0" w:firstLineChars="0"/>
              <w:jc w:val="center"/>
              <w:rPr>
                <w:rFonts w:ascii="宋体" w:hAnsi="宋体"/>
                <w:sz w:val="24"/>
              </w:rPr>
            </w:pPr>
            <w:r>
              <w:rPr>
                <w:rFonts w:hint="eastAsia" w:ascii="宋体" w:hAnsi="宋体"/>
                <w:b/>
                <w:szCs w:val="21"/>
              </w:rPr>
              <w:t>（大写）</w:t>
            </w:r>
          </w:p>
        </w:tc>
        <w:tc>
          <w:tcPr>
            <w:tcW w:w="2157" w:type="dxa"/>
            <w:tcBorders>
              <w:bottom w:val="single" w:color="auto" w:sz="4" w:space="0"/>
            </w:tcBorders>
            <w:vAlign w:val="center"/>
          </w:tcPr>
          <w:p>
            <w:pPr>
              <w:ind w:firstLine="0" w:firstLineChars="0"/>
              <w:jc w:val="center"/>
              <w:rPr>
                <w:rFonts w:ascii="宋体" w:hAnsi="宋体"/>
                <w:sz w:val="24"/>
              </w:rPr>
            </w:pPr>
          </w:p>
        </w:tc>
        <w:tc>
          <w:tcPr>
            <w:tcW w:w="1414" w:type="dxa"/>
            <w:vMerge w:val="continue"/>
            <w:vAlign w:val="center"/>
          </w:tcPr>
          <w:p>
            <w:pPr>
              <w:ind w:firstLine="0" w:firstLineChars="0"/>
              <w:jc w:val="center"/>
              <w:rPr>
                <w:rFonts w:ascii="宋体" w:hAnsi="宋体"/>
                <w:sz w:val="24"/>
              </w:rPr>
            </w:pPr>
          </w:p>
        </w:tc>
        <w:tc>
          <w:tcPr>
            <w:tcW w:w="867" w:type="dxa"/>
            <w:vMerge w:val="continue"/>
            <w:vAlign w:val="center"/>
          </w:tcPr>
          <w:p>
            <w:pPr>
              <w:ind w:firstLine="0" w:firstLineChars="0"/>
              <w:jc w:val="center"/>
              <w:rPr>
                <w:rFonts w:ascii="宋体" w:hAnsi="宋体"/>
                <w:sz w:val="24"/>
              </w:rPr>
            </w:pPr>
          </w:p>
        </w:tc>
      </w:tr>
    </w:tbl>
    <w:p>
      <w:pPr>
        <w:spacing w:line="380" w:lineRule="exact"/>
        <w:ind w:firstLine="0" w:firstLineChars="0"/>
        <w:rPr>
          <w:rFonts w:ascii="宋体" w:hAnsi="宋体"/>
          <w:szCs w:val="21"/>
        </w:rPr>
      </w:pPr>
    </w:p>
    <w:p>
      <w:pPr>
        <w:pStyle w:val="16"/>
        <w:spacing w:before="149"/>
        <w:ind w:firstLine="0" w:firstLineChars="0"/>
        <w:rPr>
          <w:rFonts w:ascii="Times New Roman" w:eastAsia="宋体"/>
          <w:kern w:val="0"/>
          <w:sz w:val="21"/>
        </w:rPr>
      </w:pPr>
      <w:r>
        <w:rPr>
          <w:rFonts w:ascii="Times New Roman" w:eastAsia="宋体"/>
          <w:b/>
          <w:kern w:val="0"/>
          <w:sz w:val="21"/>
        </w:rPr>
        <w:t>注：（1）</w:t>
      </w:r>
      <w:r>
        <w:rPr>
          <w:rFonts w:ascii="Times New Roman" w:eastAsia="宋体"/>
          <w:kern w:val="0"/>
          <w:sz w:val="21"/>
        </w:rPr>
        <w:t>投标报价包括了全部报价，即</w:t>
      </w:r>
      <w:r>
        <w:rPr>
          <w:rFonts w:hint="eastAsia" w:ascii="Times New Roman" w:eastAsia="宋体"/>
          <w:kern w:val="0"/>
          <w:sz w:val="21"/>
        </w:rPr>
        <w:t>测绘、实物界桩</w:t>
      </w:r>
      <w:r>
        <w:rPr>
          <w:rFonts w:ascii="Times New Roman" w:eastAsia="宋体"/>
          <w:kern w:val="0"/>
          <w:sz w:val="21"/>
        </w:rPr>
        <w:t>等实行费用总包干，除此外不支付其他任何费用，请投标人如实填写，任何漏报、少报，我们都认为已包含在总价中。</w:t>
      </w:r>
    </w:p>
    <w:p>
      <w:pPr>
        <w:pStyle w:val="16"/>
        <w:ind w:firstLine="0" w:firstLineChars="0"/>
        <w:rPr>
          <w:rFonts w:ascii="Times New Roman" w:eastAsia="宋体"/>
          <w:kern w:val="0"/>
          <w:sz w:val="21"/>
        </w:rPr>
      </w:pPr>
      <w:r>
        <w:rPr>
          <w:rFonts w:ascii="Times New Roman" w:eastAsia="宋体"/>
          <w:b/>
          <w:kern w:val="0"/>
          <w:sz w:val="21"/>
        </w:rPr>
        <w:t>（2）</w:t>
      </w:r>
      <w:r>
        <w:rPr>
          <w:rFonts w:ascii="Times New Roman" w:eastAsia="宋体"/>
          <w:kern w:val="0"/>
          <w:sz w:val="21"/>
        </w:rPr>
        <w:t>此表中投标总价应与附件二中对应的投标报价明细表总计价相一致。</w:t>
      </w:r>
    </w:p>
    <w:p>
      <w:pPr>
        <w:spacing w:before="139"/>
        <w:ind w:firstLine="0" w:firstLineChars="0"/>
      </w:pPr>
      <w:r>
        <w:rPr>
          <w:b/>
        </w:rPr>
        <w:t>（3）</w:t>
      </w:r>
      <w:r>
        <w:t>此表不得自行增减内容。</w:t>
      </w:r>
    </w:p>
    <w:p>
      <w:pPr>
        <w:ind w:firstLine="0" w:firstLineChars="0"/>
      </w:pPr>
      <w:r>
        <w:rPr>
          <w:b/>
        </w:rPr>
        <w:t>（4）</w:t>
      </w:r>
      <w:r>
        <w:t>投标人按所投标包分别填写此表。</w:t>
      </w:r>
    </w:p>
    <w:p>
      <w:pPr>
        <w:ind w:firstLine="0" w:firstLineChars="0"/>
        <w:rPr>
          <w:rFonts w:ascii="宋体" w:hAnsi="宋体"/>
          <w:szCs w:val="21"/>
        </w:rPr>
      </w:pPr>
    </w:p>
    <w:p>
      <w:pPr>
        <w:ind w:firstLine="0" w:firstLineChars="0"/>
        <w:rPr>
          <w:rFonts w:ascii="宋体" w:hAnsi="宋体"/>
          <w:szCs w:val="21"/>
        </w:rPr>
      </w:pPr>
    </w:p>
    <w:p>
      <w:pPr>
        <w:ind w:firstLine="0" w:firstLineChars="0"/>
        <w:rPr>
          <w:rFonts w:ascii="宋体" w:hAnsi="宋体"/>
          <w:szCs w:val="21"/>
        </w:rPr>
      </w:pPr>
    </w:p>
    <w:p>
      <w:pPr>
        <w:tabs>
          <w:tab w:val="left" w:pos="3060"/>
          <w:tab w:val="left" w:pos="3600"/>
          <w:tab w:val="left" w:pos="4635"/>
        </w:tabs>
        <w:ind w:right="420" w:firstLine="5145" w:firstLineChars="2450"/>
        <w:rPr>
          <w:rFonts w:ascii="宋体" w:hAnsi="宋体"/>
          <w:color w:val="000000"/>
        </w:rPr>
      </w:pPr>
      <w:r>
        <w:rPr>
          <w:rFonts w:hint="eastAsia" w:ascii="宋体" w:hAnsi="宋体"/>
          <w:szCs w:val="21"/>
        </w:rPr>
        <w:t>投标人全称（盖章）：</w:t>
      </w:r>
    </w:p>
    <w:p>
      <w:pPr>
        <w:tabs>
          <w:tab w:val="left" w:pos="3060"/>
          <w:tab w:val="left" w:pos="4635"/>
        </w:tabs>
        <w:ind w:firstLine="0" w:firstLineChars="0"/>
        <w:jc w:val="right"/>
        <w:rPr>
          <w:rFonts w:ascii="宋体" w:hAnsi="宋体"/>
        </w:rPr>
      </w:pPr>
      <w:r>
        <w:rPr>
          <w:rFonts w:hint="eastAsia" w:ascii="宋体" w:hAnsi="宋体"/>
          <w:color w:val="000000"/>
        </w:rPr>
        <w:t xml:space="preserve">法定代表人或授权代表（签字或盖章）： </w:t>
      </w:r>
    </w:p>
    <w:p>
      <w:pPr>
        <w:tabs>
          <w:tab w:val="left" w:pos="3060"/>
          <w:tab w:val="left" w:pos="4635"/>
        </w:tabs>
        <w:ind w:right="420" w:firstLine="5145" w:firstLineChars="2450"/>
        <w:rPr>
          <w:rFonts w:ascii="宋体" w:hAnsi="宋体"/>
        </w:rPr>
      </w:pPr>
      <w:r>
        <w:rPr>
          <w:rFonts w:hint="eastAsia" w:ascii="宋体" w:hAnsi="宋体"/>
        </w:rPr>
        <w:t xml:space="preserve">日      期：  </w:t>
      </w:r>
    </w:p>
    <w:p>
      <w:pPr>
        <w:pStyle w:val="3"/>
        <w:ind w:firstLine="0" w:firstLineChars="0"/>
      </w:pPr>
      <w:r>
        <w:br w:type="page"/>
      </w:r>
    </w:p>
    <w:p>
      <w:pPr>
        <w:pStyle w:val="3"/>
        <w:ind w:firstLine="0" w:firstLineChars="0"/>
      </w:pPr>
      <w:bookmarkStart w:id="77" w:name="_Toc61249569"/>
      <w:r>
        <w:rPr>
          <w:rFonts w:hint="eastAsia"/>
        </w:rPr>
        <w:t>附件二投标报价明细表（格式）</w:t>
      </w:r>
      <w:bookmarkEnd w:id="77"/>
    </w:p>
    <w:tbl>
      <w:tblPr>
        <w:tblStyle w:val="39"/>
        <w:tblpPr w:leftFromText="180" w:rightFromText="180" w:vertAnchor="text" w:tblpY="1"/>
        <w:tblOverlap w:val="never"/>
        <w:tblW w:w="9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2860"/>
        <w:gridCol w:w="1127"/>
        <w:gridCol w:w="1127"/>
        <w:gridCol w:w="1551"/>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trPr>
        <w:tc>
          <w:tcPr>
            <w:tcW w:w="980" w:type="dxa"/>
            <w:noWrap/>
            <w:vAlign w:val="center"/>
          </w:tcPr>
          <w:p>
            <w:pPr>
              <w:ind w:firstLine="0" w:firstLineChars="0"/>
              <w:jc w:val="center"/>
              <w:rPr>
                <w:b/>
                <w:bCs/>
                <w:color w:val="000000"/>
              </w:rPr>
            </w:pPr>
            <w:r>
              <w:rPr>
                <w:b/>
                <w:bCs/>
                <w:color w:val="000000"/>
              </w:rPr>
              <w:t>序号</w:t>
            </w:r>
          </w:p>
        </w:tc>
        <w:tc>
          <w:tcPr>
            <w:tcW w:w="2860" w:type="dxa"/>
            <w:noWrap/>
            <w:vAlign w:val="center"/>
          </w:tcPr>
          <w:p>
            <w:pPr>
              <w:ind w:firstLine="0" w:firstLineChars="0"/>
              <w:jc w:val="center"/>
              <w:rPr>
                <w:b/>
                <w:bCs/>
                <w:color w:val="000000"/>
              </w:rPr>
            </w:pPr>
            <w:r>
              <w:rPr>
                <w:b/>
                <w:bCs/>
                <w:color w:val="000000"/>
              </w:rPr>
              <w:t>建设内容</w:t>
            </w:r>
          </w:p>
        </w:tc>
        <w:tc>
          <w:tcPr>
            <w:tcW w:w="1127" w:type="dxa"/>
            <w:noWrap/>
            <w:vAlign w:val="center"/>
          </w:tcPr>
          <w:p>
            <w:pPr>
              <w:ind w:firstLine="0" w:firstLineChars="0"/>
              <w:jc w:val="center"/>
              <w:rPr>
                <w:b/>
                <w:bCs/>
                <w:color w:val="000000"/>
              </w:rPr>
            </w:pPr>
            <w:r>
              <w:rPr>
                <w:b/>
                <w:bCs/>
                <w:color w:val="000000"/>
              </w:rPr>
              <w:t>数量</w:t>
            </w:r>
          </w:p>
        </w:tc>
        <w:tc>
          <w:tcPr>
            <w:tcW w:w="1127" w:type="dxa"/>
            <w:noWrap/>
            <w:vAlign w:val="center"/>
          </w:tcPr>
          <w:p>
            <w:pPr>
              <w:ind w:firstLine="0" w:firstLineChars="0"/>
              <w:jc w:val="center"/>
              <w:rPr>
                <w:b/>
                <w:bCs/>
                <w:color w:val="000000"/>
              </w:rPr>
            </w:pPr>
            <w:r>
              <w:rPr>
                <w:b/>
                <w:bCs/>
                <w:color w:val="000000"/>
              </w:rPr>
              <w:t>单位</w:t>
            </w:r>
          </w:p>
        </w:tc>
        <w:tc>
          <w:tcPr>
            <w:tcW w:w="1551" w:type="dxa"/>
            <w:vAlign w:val="center"/>
          </w:tcPr>
          <w:p>
            <w:pPr>
              <w:ind w:firstLine="0" w:firstLineChars="0"/>
              <w:jc w:val="center"/>
              <w:rPr>
                <w:b/>
                <w:bCs/>
                <w:color w:val="000000"/>
              </w:rPr>
            </w:pPr>
            <w:r>
              <w:rPr>
                <w:b/>
                <w:bCs/>
                <w:color w:val="000000"/>
              </w:rPr>
              <w:t>单价（元）</w:t>
            </w:r>
          </w:p>
        </w:tc>
        <w:tc>
          <w:tcPr>
            <w:tcW w:w="1550" w:type="dxa"/>
            <w:vAlign w:val="center"/>
          </w:tcPr>
          <w:p>
            <w:pPr>
              <w:ind w:firstLine="0" w:firstLineChars="0"/>
              <w:rPr>
                <w:b/>
                <w:bCs/>
                <w:color w:val="000000"/>
              </w:rPr>
            </w:pPr>
            <w:r>
              <w:rPr>
                <w:b/>
                <w:bCs/>
                <w:color w:val="000000"/>
              </w:rPr>
              <w:t>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trPr>
        <w:tc>
          <w:tcPr>
            <w:tcW w:w="980" w:type="dxa"/>
            <w:noWrap/>
            <w:vAlign w:val="center"/>
          </w:tcPr>
          <w:p>
            <w:pPr>
              <w:ind w:firstLine="0" w:firstLineChars="0"/>
              <w:jc w:val="center"/>
              <w:rPr>
                <w:b/>
                <w:bCs/>
                <w:color w:val="000000"/>
              </w:rPr>
            </w:pPr>
            <w:r>
              <w:rPr>
                <w:rFonts w:hint="eastAsia"/>
                <w:b/>
                <w:bCs/>
                <w:color w:val="000000"/>
              </w:rPr>
              <w:t>一</w:t>
            </w:r>
          </w:p>
        </w:tc>
        <w:tc>
          <w:tcPr>
            <w:tcW w:w="8215" w:type="dxa"/>
            <w:gridSpan w:val="5"/>
            <w:noWrap/>
            <w:vAlign w:val="center"/>
          </w:tcPr>
          <w:p>
            <w:pPr>
              <w:ind w:firstLine="0" w:firstLineChars="0"/>
              <w:jc w:val="center"/>
              <w:rPr>
                <w:b/>
                <w:bCs/>
                <w:color w:val="000000"/>
              </w:rPr>
            </w:pPr>
            <w:r>
              <w:rPr>
                <w:b/>
                <w:bCs/>
                <w:color w:val="000000"/>
              </w:rPr>
              <w:t>测绘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trPr>
        <w:tc>
          <w:tcPr>
            <w:tcW w:w="980" w:type="dxa"/>
            <w:noWrap/>
            <w:vAlign w:val="center"/>
          </w:tcPr>
          <w:p>
            <w:pPr>
              <w:ind w:firstLine="0" w:firstLineChars="0"/>
              <w:jc w:val="center"/>
              <w:rPr>
                <w:color w:val="000000"/>
              </w:rPr>
            </w:pPr>
            <w:r>
              <w:rPr>
                <w:rFonts w:hint="eastAsia"/>
                <w:color w:val="000000"/>
              </w:rPr>
              <w:t>1</w:t>
            </w:r>
          </w:p>
        </w:tc>
        <w:tc>
          <w:tcPr>
            <w:tcW w:w="2860" w:type="dxa"/>
            <w:noWrap/>
            <w:vAlign w:val="center"/>
          </w:tcPr>
          <w:p>
            <w:pPr>
              <w:ind w:firstLine="0" w:firstLineChars="0"/>
              <w:jc w:val="center"/>
              <w:rPr>
                <w:color w:val="000000"/>
              </w:rPr>
            </w:pPr>
            <w:r>
              <w:rPr>
                <w:color w:val="000000"/>
              </w:rPr>
              <w:t>测绘</w:t>
            </w:r>
          </w:p>
        </w:tc>
        <w:tc>
          <w:tcPr>
            <w:tcW w:w="1127" w:type="dxa"/>
            <w:noWrap/>
            <w:vAlign w:val="center"/>
          </w:tcPr>
          <w:p>
            <w:pPr>
              <w:ind w:firstLine="0" w:firstLineChars="0"/>
              <w:jc w:val="center"/>
              <w:rPr>
                <w:bCs/>
                <w:color w:val="000000"/>
              </w:rPr>
            </w:pPr>
            <w:r>
              <w:rPr>
                <w:rFonts w:hint="eastAsia"/>
              </w:rPr>
              <w:t>967.72</w:t>
            </w:r>
          </w:p>
        </w:tc>
        <w:tc>
          <w:tcPr>
            <w:tcW w:w="1127" w:type="dxa"/>
            <w:noWrap/>
            <w:vAlign w:val="center"/>
          </w:tcPr>
          <w:p>
            <w:pPr>
              <w:ind w:firstLine="0" w:firstLineChars="0"/>
              <w:jc w:val="center"/>
              <w:rPr>
                <w:bCs/>
                <w:color w:val="000000"/>
              </w:rPr>
            </w:pPr>
            <w:r>
              <w:rPr>
                <w:bCs/>
                <w:color w:val="000000"/>
              </w:rPr>
              <w:t>平方公里</w:t>
            </w:r>
          </w:p>
        </w:tc>
        <w:tc>
          <w:tcPr>
            <w:tcW w:w="1551" w:type="dxa"/>
          </w:tcPr>
          <w:p>
            <w:pPr>
              <w:ind w:firstLine="0" w:firstLineChars="0"/>
              <w:jc w:val="center"/>
              <w:rPr>
                <w:bCs/>
                <w:color w:val="000000"/>
              </w:rPr>
            </w:pPr>
          </w:p>
        </w:tc>
        <w:tc>
          <w:tcPr>
            <w:tcW w:w="1550" w:type="dxa"/>
          </w:tcPr>
          <w:p>
            <w:pPr>
              <w:ind w:firstLine="0" w:firstLineChars="0"/>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trPr>
        <w:tc>
          <w:tcPr>
            <w:tcW w:w="980" w:type="dxa"/>
            <w:noWrap/>
            <w:vAlign w:val="center"/>
          </w:tcPr>
          <w:p>
            <w:pPr>
              <w:ind w:firstLine="0" w:firstLineChars="0"/>
              <w:jc w:val="center"/>
              <w:rPr>
                <w:b/>
                <w:bCs/>
                <w:color w:val="000000"/>
              </w:rPr>
            </w:pPr>
            <w:r>
              <w:rPr>
                <w:rFonts w:hint="eastAsia"/>
                <w:color w:val="000000"/>
              </w:rPr>
              <w:t>二</w:t>
            </w:r>
          </w:p>
        </w:tc>
        <w:tc>
          <w:tcPr>
            <w:tcW w:w="8215" w:type="dxa"/>
            <w:gridSpan w:val="5"/>
            <w:noWrap/>
            <w:vAlign w:val="center"/>
          </w:tcPr>
          <w:p>
            <w:pPr>
              <w:ind w:firstLine="0" w:firstLineChars="0"/>
              <w:jc w:val="center"/>
              <w:rPr>
                <w:b/>
                <w:bCs/>
                <w:color w:val="000000"/>
              </w:rPr>
            </w:pPr>
            <w:r>
              <w:rPr>
                <w:b/>
                <w:bCs/>
                <w:color w:val="000000"/>
              </w:rPr>
              <w:t>实物界桩与标示牌的制作与安装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80" w:type="dxa"/>
            <w:noWrap/>
            <w:vAlign w:val="center"/>
          </w:tcPr>
          <w:p>
            <w:pPr>
              <w:ind w:firstLine="0" w:firstLineChars="0"/>
              <w:jc w:val="center"/>
              <w:rPr>
                <w:color w:val="000000"/>
              </w:rPr>
            </w:pPr>
            <w:r>
              <w:rPr>
                <w:rFonts w:hint="eastAsia"/>
                <w:color w:val="000000"/>
              </w:rPr>
              <w:t>1</w:t>
            </w:r>
          </w:p>
        </w:tc>
        <w:tc>
          <w:tcPr>
            <w:tcW w:w="2860" w:type="dxa"/>
            <w:noWrap/>
            <w:vAlign w:val="center"/>
          </w:tcPr>
          <w:p>
            <w:pPr>
              <w:ind w:firstLine="0" w:firstLineChars="0"/>
              <w:jc w:val="center"/>
              <w:rPr>
                <w:color w:val="000000"/>
              </w:rPr>
            </w:pPr>
            <w:r>
              <w:rPr>
                <w:color w:val="000000"/>
              </w:rPr>
              <w:t>界桩制</w:t>
            </w:r>
          </w:p>
        </w:tc>
        <w:tc>
          <w:tcPr>
            <w:tcW w:w="1127" w:type="dxa"/>
            <w:noWrap/>
            <w:vAlign w:val="center"/>
          </w:tcPr>
          <w:p>
            <w:pPr>
              <w:ind w:firstLine="0" w:firstLineChars="0"/>
              <w:jc w:val="center"/>
              <w:rPr>
                <w:color w:val="000000"/>
              </w:rPr>
            </w:pPr>
            <w:r>
              <w:rPr>
                <w:rFonts w:hint="eastAsia"/>
              </w:rPr>
              <w:t>8116</w:t>
            </w:r>
          </w:p>
        </w:tc>
        <w:tc>
          <w:tcPr>
            <w:tcW w:w="1127" w:type="dxa"/>
            <w:noWrap/>
            <w:vAlign w:val="center"/>
          </w:tcPr>
          <w:p>
            <w:pPr>
              <w:ind w:firstLine="0" w:firstLineChars="0"/>
              <w:jc w:val="center"/>
              <w:rPr>
                <w:color w:val="000000"/>
              </w:rPr>
            </w:pPr>
            <w:r>
              <w:rPr>
                <w:color w:val="000000"/>
              </w:rPr>
              <w:t>个</w:t>
            </w:r>
          </w:p>
        </w:tc>
        <w:tc>
          <w:tcPr>
            <w:tcW w:w="1551" w:type="dxa"/>
          </w:tcPr>
          <w:p>
            <w:pPr>
              <w:ind w:firstLine="0" w:firstLineChars="0"/>
              <w:jc w:val="center"/>
              <w:rPr>
                <w:rFonts w:eastAsia="MS Mincho"/>
                <w:color w:val="000000"/>
              </w:rPr>
            </w:pPr>
          </w:p>
        </w:tc>
        <w:tc>
          <w:tcPr>
            <w:tcW w:w="1550" w:type="dxa"/>
          </w:tcPr>
          <w:p>
            <w:pPr>
              <w:ind w:firstLine="0" w:firstLineChars="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80" w:type="dxa"/>
            <w:noWrap/>
            <w:vAlign w:val="center"/>
          </w:tcPr>
          <w:p>
            <w:pPr>
              <w:ind w:firstLine="0" w:firstLineChars="0"/>
              <w:jc w:val="center"/>
              <w:rPr>
                <w:color w:val="000000"/>
              </w:rPr>
            </w:pPr>
            <w:r>
              <w:rPr>
                <w:color w:val="000000"/>
              </w:rPr>
              <w:t>2</w:t>
            </w:r>
          </w:p>
        </w:tc>
        <w:tc>
          <w:tcPr>
            <w:tcW w:w="2860" w:type="dxa"/>
            <w:noWrap/>
            <w:vAlign w:val="center"/>
          </w:tcPr>
          <w:p>
            <w:pPr>
              <w:ind w:firstLine="0" w:firstLineChars="0"/>
              <w:jc w:val="center"/>
              <w:rPr>
                <w:color w:val="000000"/>
              </w:rPr>
            </w:pPr>
            <w:r>
              <w:rPr>
                <w:color w:val="000000"/>
              </w:rPr>
              <w:t>公示牌</w:t>
            </w:r>
          </w:p>
        </w:tc>
        <w:tc>
          <w:tcPr>
            <w:tcW w:w="1127" w:type="dxa"/>
            <w:noWrap/>
            <w:vAlign w:val="center"/>
          </w:tcPr>
          <w:p>
            <w:pPr>
              <w:ind w:firstLine="0" w:firstLineChars="0"/>
              <w:jc w:val="center"/>
              <w:rPr>
                <w:color w:val="000000"/>
              </w:rPr>
            </w:pPr>
            <w:r>
              <w:rPr>
                <w:rFonts w:hint="eastAsia"/>
              </w:rPr>
              <w:t>647</w:t>
            </w:r>
          </w:p>
        </w:tc>
        <w:tc>
          <w:tcPr>
            <w:tcW w:w="1127" w:type="dxa"/>
            <w:noWrap/>
            <w:vAlign w:val="center"/>
          </w:tcPr>
          <w:p>
            <w:pPr>
              <w:ind w:firstLine="0" w:firstLineChars="0"/>
              <w:jc w:val="center"/>
              <w:rPr>
                <w:color w:val="000000"/>
              </w:rPr>
            </w:pPr>
            <w:r>
              <w:rPr>
                <w:color w:val="000000"/>
              </w:rPr>
              <w:t>面</w:t>
            </w:r>
          </w:p>
        </w:tc>
        <w:tc>
          <w:tcPr>
            <w:tcW w:w="1551" w:type="dxa"/>
          </w:tcPr>
          <w:p>
            <w:pPr>
              <w:ind w:firstLine="0" w:firstLineChars="0"/>
              <w:jc w:val="center"/>
              <w:rPr>
                <w:color w:val="000000"/>
              </w:rPr>
            </w:pPr>
          </w:p>
        </w:tc>
        <w:tc>
          <w:tcPr>
            <w:tcW w:w="1550" w:type="dxa"/>
          </w:tcPr>
          <w:p>
            <w:pPr>
              <w:ind w:firstLine="0" w:firstLineChars="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3840" w:type="dxa"/>
            <w:gridSpan w:val="2"/>
            <w:noWrap/>
            <w:vAlign w:val="center"/>
          </w:tcPr>
          <w:p>
            <w:pPr>
              <w:ind w:firstLine="0" w:firstLineChars="0"/>
              <w:jc w:val="center"/>
              <w:rPr>
                <w:b/>
                <w:color w:val="000000"/>
              </w:rPr>
            </w:pPr>
            <w:r>
              <w:rPr>
                <w:b/>
                <w:color w:val="000000"/>
              </w:rPr>
              <w:t>合计</w:t>
            </w:r>
          </w:p>
        </w:tc>
        <w:tc>
          <w:tcPr>
            <w:tcW w:w="5355" w:type="dxa"/>
            <w:gridSpan w:val="4"/>
            <w:noWrap/>
            <w:vAlign w:val="center"/>
          </w:tcPr>
          <w:p>
            <w:pPr>
              <w:ind w:firstLine="0" w:firstLineChars="0"/>
              <w:jc w:val="center"/>
              <w:rPr>
                <w:b/>
                <w:color w:val="000000"/>
              </w:rPr>
            </w:pPr>
          </w:p>
        </w:tc>
      </w:tr>
    </w:tbl>
    <w:p>
      <w:pPr>
        <w:pStyle w:val="21"/>
        <w:ind w:firstLine="0" w:firstLineChars="0"/>
        <w:rPr>
          <w:rFonts w:hAnsi="宋体"/>
          <w:sz w:val="24"/>
          <w:szCs w:val="24"/>
        </w:rPr>
      </w:pPr>
    </w:p>
    <w:p>
      <w:pPr>
        <w:pStyle w:val="21"/>
        <w:ind w:firstLine="0" w:firstLineChars="0"/>
        <w:rPr>
          <w:rFonts w:hAnsi="宋体"/>
          <w:sz w:val="24"/>
          <w:szCs w:val="24"/>
        </w:rPr>
      </w:pPr>
      <w:r>
        <w:rPr>
          <w:rFonts w:hAnsi="宋体"/>
          <w:sz w:val="24"/>
          <w:szCs w:val="24"/>
        </w:rPr>
        <w:t>注：1、请严格按招标范围及报价格式进行报价。若投标文件未提出报价差异，则视为投标总价包含所有招标范围的报价。</w:t>
      </w:r>
    </w:p>
    <w:p>
      <w:pPr>
        <w:pStyle w:val="21"/>
        <w:ind w:firstLine="0" w:firstLineChars="0"/>
        <w:rPr>
          <w:rFonts w:hAnsi="宋体"/>
          <w:sz w:val="24"/>
          <w:szCs w:val="24"/>
        </w:rPr>
      </w:pPr>
      <w:r>
        <w:rPr>
          <w:rFonts w:hAnsi="宋体"/>
          <w:sz w:val="24"/>
          <w:szCs w:val="24"/>
        </w:rPr>
        <w:t>投标报价有效期</w:t>
      </w:r>
      <w:r>
        <w:rPr>
          <w:rFonts w:hint="eastAsia" w:hAnsi="宋体"/>
          <w:sz w:val="24"/>
          <w:szCs w:val="24"/>
        </w:rPr>
        <w:t>同投标有效期。投标人按所投标段分别填表。</w:t>
      </w:r>
    </w:p>
    <w:p>
      <w:pPr>
        <w:ind w:firstLine="0" w:firstLineChars="0"/>
        <w:rPr>
          <w:rFonts w:ascii="宋体" w:hAnsi="宋体"/>
          <w:szCs w:val="21"/>
        </w:rPr>
      </w:pPr>
    </w:p>
    <w:p>
      <w:pPr>
        <w:tabs>
          <w:tab w:val="left" w:pos="3060"/>
          <w:tab w:val="left" w:pos="3600"/>
          <w:tab w:val="left" w:pos="4635"/>
        </w:tabs>
        <w:ind w:right="420" w:firstLine="5145" w:firstLineChars="2450"/>
        <w:rPr>
          <w:rFonts w:ascii="宋体" w:hAnsi="宋体"/>
          <w:color w:val="000000"/>
        </w:rPr>
      </w:pPr>
      <w:r>
        <w:rPr>
          <w:rFonts w:hint="eastAsia" w:ascii="宋体" w:hAnsi="宋体"/>
          <w:szCs w:val="21"/>
        </w:rPr>
        <w:t>投标人全称（盖章）：</w:t>
      </w:r>
    </w:p>
    <w:p>
      <w:pPr>
        <w:tabs>
          <w:tab w:val="left" w:pos="3060"/>
          <w:tab w:val="left" w:pos="4635"/>
        </w:tabs>
        <w:ind w:firstLine="0" w:firstLineChars="0"/>
        <w:jc w:val="right"/>
        <w:rPr>
          <w:rFonts w:ascii="宋体" w:hAnsi="宋体"/>
        </w:rPr>
      </w:pPr>
      <w:r>
        <w:rPr>
          <w:rFonts w:hint="eastAsia" w:ascii="宋体" w:hAnsi="宋体"/>
          <w:color w:val="000000"/>
        </w:rPr>
        <w:t xml:space="preserve">法定代表人或授权代表（签字或盖章）： </w:t>
      </w:r>
    </w:p>
    <w:p>
      <w:pPr>
        <w:tabs>
          <w:tab w:val="left" w:pos="3060"/>
          <w:tab w:val="left" w:pos="4635"/>
        </w:tabs>
        <w:ind w:right="420" w:firstLine="5145" w:firstLineChars="2450"/>
        <w:rPr>
          <w:rFonts w:ascii="宋体" w:hAnsi="宋体"/>
        </w:rPr>
      </w:pPr>
      <w:r>
        <w:rPr>
          <w:rFonts w:hint="eastAsia" w:ascii="宋体" w:hAnsi="宋体"/>
        </w:rPr>
        <w:t xml:space="preserve">日      期：  </w:t>
      </w:r>
    </w:p>
    <w:p>
      <w:pPr>
        <w:ind w:firstLine="3255" w:firstLineChars="1550"/>
        <w:rPr>
          <w:rFonts w:ascii="宋体" w:hAnsi="宋体"/>
          <w:szCs w:val="21"/>
        </w:rPr>
      </w:pPr>
    </w:p>
    <w:p>
      <w:pPr>
        <w:pStyle w:val="3"/>
        <w:ind w:firstLine="0" w:firstLineChars="0"/>
      </w:pPr>
      <w:bookmarkStart w:id="78" w:name="_Toc979"/>
      <w:bookmarkStart w:id="79" w:name="_Toc25765"/>
      <w:r>
        <w:br w:type="page"/>
      </w:r>
    </w:p>
    <w:p>
      <w:pPr>
        <w:pStyle w:val="3"/>
        <w:ind w:firstLine="0" w:firstLineChars="0"/>
      </w:pPr>
      <w:bookmarkStart w:id="80" w:name="_Toc61249570"/>
      <w:r>
        <w:rPr>
          <w:rFonts w:hint="eastAsia"/>
        </w:rPr>
        <w:t>附件三投标函</w:t>
      </w:r>
      <w:bookmarkEnd w:id="78"/>
      <w:bookmarkEnd w:id="79"/>
      <w:bookmarkEnd w:id="80"/>
    </w:p>
    <w:p>
      <w:pPr>
        <w:pStyle w:val="4"/>
        <w:ind w:firstLine="0" w:firstLineChars="0"/>
        <w:rPr>
          <w:rFonts w:ascii="宋体" w:hAnsi="宋体"/>
        </w:rPr>
      </w:pPr>
    </w:p>
    <w:p>
      <w:pPr>
        <w:ind w:firstLine="0" w:firstLineChars="0"/>
        <w:jc w:val="both"/>
        <w:rPr>
          <w:rFonts w:ascii="宋体" w:hAnsi="宋体"/>
          <w:b/>
          <w:sz w:val="24"/>
          <w:szCs w:val="24"/>
        </w:rPr>
      </w:pPr>
      <w:r>
        <w:rPr>
          <w:rFonts w:hint="eastAsia" w:ascii="宋体" w:hAnsi="宋体"/>
          <w:b/>
          <w:sz w:val="24"/>
          <w:szCs w:val="24"/>
        </w:rPr>
        <w:t>西宁市湟中区水利站</w:t>
      </w:r>
    </w:p>
    <w:p>
      <w:pPr>
        <w:ind w:firstLine="0" w:firstLineChars="0"/>
        <w:jc w:val="both"/>
        <w:rPr>
          <w:rFonts w:ascii="宋体" w:hAnsi="宋体"/>
          <w:b/>
          <w:sz w:val="24"/>
          <w:szCs w:val="24"/>
        </w:rPr>
      </w:pPr>
      <w:r>
        <w:rPr>
          <w:rFonts w:hint="eastAsia" w:ascii="宋体" w:hAnsi="宋体"/>
          <w:b/>
          <w:sz w:val="24"/>
          <w:szCs w:val="24"/>
        </w:rPr>
        <w:t>青海省禹龙水利水电工程招标技术咨询中心有限责任公司</w:t>
      </w:r>
    </w:p>
    <w:p>
      <w:pPr>
        <w:spacing w:line="340" w:lineRule="exact"/>
        <w:ind w:firstLine="315" w:firstLineChars="150"/>
        <w:jc w:val="both"/>
        <w:rPr>
          <w:rFonts w:ascii="宋体" w:hAnsi="宋体"/>
        </w:rPr>
      </w:pPr>
      <w:r>
        <w:rPr>
          <w:rFonts w:hint="eastAsia" w:ascii="宋体" w:hAnsi="宋体"/>
        </w:rPr>
        <w:t>我方确认收到贵方提供的（项目名称，按所投包填）</w:t>
      </w:r>
      <w:r>
        <w:rPr>
          <w:rFonts w:hint="eastAsia" w:ascii="宋体" w:hAnsi="宋体"/>
          <w:szCs w:val="21"/>
        </w:rPr>
        <w:t>划界项目</w:t>
      </w:r>
      <w:r>
        <w:rPr>
          <w:rFonts w:hint="eastAsia" w:ascii="宋体" w:hAnsi="宋体"/>
        </w:rPr>
        <w:t>的招标文件，遵照国家及地方政府相关招标投标法规的规定，我单位：</w:t>
      </w:r>
      <w:r>
        <w:rPr>
          <w:rFonts w:hint="eastAsia" w:ascii="宋体" w:hAnsi="宋体"/>
          <w:u w:val="single"/>
        </w:rPr>
        <w:t>（投标人名称）</w:t>
      </w:r>
      <w:r>
        <w:rPr>
          <w:rFonts w:hint="eastAsia" w:ascii="宋体" w:hAnsi="宋体"/>
        </w:rPr>
        <w:t xml:space="preserve">研究上述招标文件的投标须知、合同条款、技术要求和其他有关文件后，决定作为投标者正式授权 </w:t>
      </w:r>
      <w:r>
        <w:rPr>
          <w:rFonts w:hint="eastAsia" w:ascii="宋体" w:hAnsi="宋体"/>
          <w:u w:val="single"/>
        </w:rPr>
        <w:t>（授权代表全名，职务）</w:t>
      </w:r>
      <w:r>
        <w:rPr>
          <w:rFonts w:hint="eastAsia" w:ascii="宋体" w:hAnsi="宋体"/>
        </w:rPr>
        <w:t>代表我方进行有关本投标的一切事宜。</w:t>
      </w:r>
    </w:p>
    <w:p>
      <w:pPr>
        <w:numPr>
          <w:ilvl w:val="0"/>
          <w:numId w:val="11"/>
        </w:numPr>
        <w:spacing w:line="340" w:lineRule="exact"/>
        <w:ind w:left="0" w:firstLine="0" w:firstLineChars="0"/>
        <w:rPr>
          <w:rFonts w:ascii="宋体" w:hAnsi="宋体"/>
        </w:rPr>
      </w:pPr>
      <w:r>
        <w:rPr>
          <w:rFonts w:hint="eastAsia" w:ascii="宋体" w:hAnsi="宋体"/>
        </w:rPr>
        <w:t>在此提交的投标文件</w:t>
      </w:r>
      <w:r>
        <w:rPr>
          <w:rFonts w:ascii="宋体" w:hAnsi="宋体"/>
        </w:rPr>
        <w:t xml:space="preserve">, </w:t>
      </w:r>
      <w:r>
        <w:rPr>
          <w:rFonts w:hint="eastAsia" w:ascii="宋体" w:hAnsi="宋体"/>
        </w:rPr>
        <w:t>正本一份</w:t>
      </w:r>
      <w:r>
        <w:rPr>
          <w:rFonts w:ascii="宋体" w:hAnsi="宋体"/>
        </w:rPr>
        <w:t xml:space="preserve">, </w:t>
      </w:r>
      <w:r>
        <w:rPr>
          <w:rFonts w:hint="eastAsia" w:ascii="宋体" w:hAnsi="宋体"/>
        </w:rPr>
        <w:t>副本四份。</w:t>
      </w:r>
    </w:p>
    <w:p>
      <w:pPr>
        <w:numPr>
          <w:ilvl w:val="0"/>
          <w:numId w:val="11"/>
        </w:numPr>
        <w:spacing w:line="340" w:lineRule="exact"/>
        <w:ind w:left="0" w:firstLine="0" w:firstLineChars="0"/>
        <w:rPr>
          <w:rFonts w:ascii="宋体" w:hAnsi="宋体"/>
        </w:rPr>
      </w:pPr>
      <w:r>
        <w:rPr>
          <w:rFonts w:ascii="宋体" w:hAnsi="宋体"/>
        </w:rPr>
        <w:t>我方已完全明白招标文件的所有条款要求，并重申以下几点：</w:t>
      </w:r>
    </w:p>
    <w:p>
      <w:pPr>
        <w:numPr>
          <w:ilvl w:val="1"/>
          <w:numId w:val="11"/>
        </w:numPr>
        <w:spacing w:line="340" w:lineRule="exact"/>
        <w:ind w:left="0" w:firstLine="0" w:firstLineChars="0"/>
        <w:rPr>
          <w:rFonts w:ascii="宋体" w:hAnsi="宋体"/>
        </w:rPr>
      </w:pPr>
      <w:r>
        <w:rPr>
          <w:rFonts w:hint="eastAsia" w:ascii="宋体" w:hAnsi="宋体"/>
        </w:rPr>
        <w:t>我方决定：</w:t>
      </w:r>
      <w:r>
        <w:rPr>
          <w:spacing w:val="-3"/>
        </w:rPr>
        <w:t>参加本次划界项目的投标。</w:t>
      </w:r>
    </w:p>
    <w:p>
      <w:pPr>
        <w:numPr>
          <w:ilvl w:val="1"/>
          <w:numId w:val="11"/>
        </w:numPr>
        <w:spacing w:line="340" w:lineRule="exact"/>
        <w:ind w:left="0" w:firstLine="0" w:firstLineChars="0"/>
        <w:rPr>
          <w:rFonts w:ascii="宋体" w:hAnsi="宋体"/>
        </w:rPr>
      </w:pPr>
      <w:r>
        <w:rPr>
          <w:rFonts w:hint="eastAsia" w:ascii="宋体" w:hAnsi="宋体"/>
        </w:rPr>
        <w:t>我方承诺：</w:t>
      </w:r>
    </w:p>
    <w:p>
      <w:pPr>
        <w:numPr>
          <w:ilvl w:val="0"/>
          <w:numId w:val="12"/>
        </w:numPr>
        <w:spacing w:line="340" w:lineRule="exact"/>
        <w:ind w:firstLine="0" w:firstLineChars="0"/>
        <w:rPr>
          <w:rFonts w:ascii="宋体" w:hAnsi="宋体"/>
        </w:rPr>
      </w:pPr>
      <w:r>
        <w:rPr>
          <w:rFonts w:hint="eastAsia" w:ascii="宋体" w:hAnsi="宋体"/>
        </w:rPr>
        <w:t>我方承诺的政府采购价格按开标一览表及本次有关的招投标文件执行。</w:t>
      </w:r>
    </w:p>
    <w:p>
      <w:pPr>
        <w:numPr>
          <w:ilvl w:val="0"/>
          <w:numId w:val="12"/>
        </w:numPr>
        <w:spacing w:line="340" w:lineRule="exact"/>
        <w:ind w:firstLine="0" w:firstLineChars="0"/>
        <w:rPr>
          <w:rFonts w:ascii="宋体" w:hAnsi="宋体"/>
        </w:rPr>
      </w:pPr>
      <w:r>
        <w:rPr>
          <w:rFonts w:hint="eastAsia" w:ascii="宋体" w:hAnsi="宋体"/>
        </w:rPr>
        <w:t>我方的报价低于类似工程服务产品报价（包括各项折扣价、运杂费）。</w:t>
      </w:r>
    </w:p>
    <w:p>
      <w:pPr>
        <w:numPr>
          <w:ilvl w:val="0"/>
          <w:numId w:val="12"/>
        </w:numPr>
        <w:spacing w:line="340" w:lineRule="exact"/>
        <w:ind w:firstLine="0" w:firstLineChars="0"/>
        <w:rPr>
          <w:rFonts w:ascii="宋体" w:hAnsi="宋体"/>
        </w:rPr>
      </w:pPr>
      <w:r>
        <w:rPr>
          <w:rFonts w:hint="eastAsia" w:ascii="宋体" w:hAnsi="宋体"/>
        </w:rPr>
        <w:t>我方报价包含履行合同所有相关技术服务所需的服务费用。</w:t>
      </w:r>
    </w:p>
    <w:p>
      <w:pPr>
        <w:numPr>
          <w:ilvl w:val="0"/>
          <w:numId w:val="12"/>
        </w:numPr>
        <w:spacing w:line="340" w:lineRule="exact"/>
        <w:ind w:firstLine="0" w:firstLineChars="0"/>
        <w:rPr>
          <w:rFonts w:ascii="宋体" w:hAnsi="宋体"/>
        </w:rPr>
      </w:pPr>
      <w:r>
        <w:rPr>
          <w:rFonts w:hint="eastAsia" w:ascii="宋体" w:hAnsi="宋体"/>
        </w:rPr>
        <w:t>我方报价均包含所有的税费。</w:t>
      </w:r>
    </w:p>
    <w:p>
      <w:pPr>
        <w:numPr>
          <w:ilvl w:val="0"/>
          <w:numId w:val="12"/>
        </w:numPr>
        <w:spacing w:line="340" w:lineRule="exact"/>
        <w:ind w:firstLine="0" w:firstLineChars="0"/>
        <w:rPr>
          <w:rFonts w:ascii="宋体" w:hAnsi="宋体"/>
        </w:rPr>
      </w:pPr>
      <w:r>
        <w:rPr>
          <w:rFonts w:hint="eastAsia" w:ascii="宋体" w:hAnsi="宋体"/>
        </w:rPr>
        <w:t>我方如实提供投标服务产品和服务的技术参数；若贵方对其提供的技术参数有疑义且我方无法提供有力证据的，贵方可取消其中标资格或中止该协议的执行，我方对此不会提出疑义；</w:t>
      </w:r>
    </w:p>
    <w:p>
      <w:pPr>
        <w:numPr>
          <w:ilvl w:val="1"/>
          <w:numId w:val="11"/>
        </w:numPr>
        <w:spacing w:line="340" w:lineRule="exact"/>
        <w:ind w:left="0" w:firstLine="0" w:firstLineChars="0"/>
        <w:rPr>
          <w:rFonts w:ascii="宋体" w:hAnsi="宋体"/>
        </w:rPr>
      </w:pPr>
      <w:r>
        <w:rPr>
          <w:rFonts w:hint="eastAsia" w:ascii="宋体" w:hAnsi="宋体"/>
        </w:rPr>
        <w:t>投标文件的有效期：提交投标文件截止日起90天内；如中标，有效期将延至合同终止日为止。</w:t>
      </w:r>
    </w:p>
    <w:p>
      <w:pPr>
        <w:numPr>
          <w:ilvl w:val="1"/>
          <w:numId w:val="11"/>
        </w:numPr>
        <w:spacing w:line="340" w:lineRule="exact"/>
        <w:ind w:left="0" w:firstLine="0" w:firstLineChars="0"/>
        <w:rPr>
          <w:rFonts w:ascii="宋体" w:hAnsi="宋体"/>
        </w:rPr>
      </w:pPr>
      <w:r>
        <w:rPr>
          <w:rFonts w:hint="eastAsia" w:ascii="宋体" w:hAnsi="宋体"/>
        </w:rPr>
        <w:t>我方已详细研究了招标文件的所有内容包括修正文件（如有）和所有已提供的参考资料以及有关附件并完全明白</w:t>
      </w:r>
      <w:r>
        <w:rPr>
          <w:rFonts w:ascii="宋体" w:hAnsi="宋体"/>
        </w:rPr>
        <w:t xml:space="preserve">, </w:t>
      </w:r>
      <w:r>
        <w:rPr>
          <w:rFonts w:hint="eastAsia" w:ascii="宋体" w:hAnsi="宋体"/>
        </w:rPr>
        <w:t>我方放弃在此方面提出含糊意见或误解的一切权力。</w:t>
      </w:r>
    </w:p>
    <w:p>
      <w:pPr>
        <w:numPr>
          <w:ilvl w:val="1"/>
          <w:numId w:val="11"/>
        </w:numPr>
        <w:spacing w:line="340" w:lineRule="exact"/>
        <w:ind w:left="0" w:firstLine="0" w:firstLineChars="0"/>
        <w:rPr>
          <w:rFonts w:ascii="宋体" w:hAnsi="宋体"/>
        </w:rPr>
      </w:pPr>
      <w:r>
        <w:rPr>
          <w:rFonts w:hint="eastAsia" w:ascii="宋体" w:hAnsi="宋体"/>
        </w:rPr>
        <w:t>我方明白并愿意接受，如在规定的开标时间和日期之后、投标有效期之内撤回投标</w:t>
      </w:r>
      <w:r>
        <w:rPr>
          <w:rFonts w:ascii="宋体" w:hAnsi="宋体"/>
        </w:rPr>
        <w:t xml:space="preserve">, </w:t>
      </w:r>
      <w:r>
        <w:rPr>
          <w:rFonts w:hint="eastAsia" w:ascii="宋体" w:hAnsi="宋体"/>
        </w:rPr>
        <w:t>则投标保证金将被贵方没收。</w:t>
      </w:r>
    </w:p>
    <w:p>
      <w:pPr>
        <w:numPr>
          <w:ilvl w:val="1"/>
          <w:numId w:val="11"/>
        </w:numPr>
        <w:spacing w:line="340" w:lineRule="exact"/>
        <w:ind w:left="0" w:firstLine="0" w:firstLineChars="0"/>
        <w:rPr>
          <w:rFonts w:ascii="宋体" w:hAnsi="宋体"/>
        </w:rPr>
      </w:pPr>
      <w:r>
        <w:rPr>
          <w:rFonts w:hint="eastAsia" w:ascii="宋体" w:hAnsi="宋体"/>
        </w:rPr>
        <w:t>我方同意按照贵方提出的要求提供与投标勘测服务有关的数据或信息。</w:t>
      </w:r>
    </w:p>
    <w:p>
      <w:pPr>
        <w:numPr>
          <w:ilvl w:val="1"/>
          <w:numId w:val="11"/>
        </w:numPr>
        <w:spacing w:line="340" w:lineRule="exact"/>
        <w:ind w:left="0" w:firstLine="0" w:firstLineChars="0"/>
        <w:rPr>
          <w:rFonts w:ascii="宋体" w:hAnsi="宋体"/>
        </w:rPr>
      </w:pPr>
      <w:r>
        <w:rPr>
          <w:rFonts w:hint="eastAsia" w:ascii="宋体" w:hAnsi="宋体"/>
        </w:rPr>
        <w:t>我方理解贵方不一定接受最低标价或任何贵方可能收到的投标。</w:t>
      </w:r>
    </w:p>
    <w:p>
      <w:pPr>
        <w:numPr>
          <w:ilvl w:val="1"/>
          <w:numId w:val="11"/>
        </w:numPr>
        <w:spacing w:line="340" w:lineRule="exact"/>
        <w:ind w:left="0" w:firstLine="0" w:firstLineChars="0"/>
        <w:rPr>
          <w:rFonts w:ascii="宋体" w:hAnsi="宋体"/>
        </w:rPr>
      </w:pPr>
      <w:r>
        <w:rPr>
          <w:rFonts w:hint="eastAsia" w:ascii="宋体" w:hAnsi="宋体"/>
        </w:rPr>
        <w:t>我方如果中标，将保证履行招标文件以及招标文件修改书（如有）中的全部责任和义务，按质、按量、按期完成《项目合同书》中的全部任务。</w:t>
      </w:r>
    </w:p>
    <w:p>
      <w:pPr>
        <w:tabs>
          <w:tab w:val="left" w:pos="4635"/>
        </w:tabs>
        <w:spacing w:line="340" w:lineRule="exact"/>
        <w:ind w:firstLine="0" w:firstLineChars="0"/>
        <w:rPr>
          <w:rFonts w:ascii="宋体" w:hAnsi="宋体"/>
        </w:rPr>
      </w:pPr>
    </w:p>
    <w:p>
      <w:pPr>
        <w:tabs>
          <w:tab w:val="left" w:pos="4635"/>
        </w:tabs>
        <w:spacing w:line="340" w:lineRule="exact"/>
        <w:ind w:firstLine="0" w:firstLineChars="0"/>
        <w:jc w:val="right"/>
        <w:rPr>
          <w:rFonts w:ascii="宋体" w:hAnsi="宋体"/>
        </w:rPr>
      </w:pPr>
    </w:p>
    <w:p>
      <w:pPr>
        <w:tabs>
          <w:tab w:val="left" w:pos="4635"/>
        </w:tabs>
        <w:spacing w:line="340" w:lineRule="exact"/>
        <w:ind w:firstLine="0" w:firstLineChars="0"/>
        <w:jc w:val="right"/>
        <w:rPr>
          <w:rFonts w:ascii="宋体" w:hAnsi="宋体"/>
        </w:rPr>
      </w:pPr>
    </w:p>
    <w:p>
      <w:pPr>
        <w:tabs>
          <w:tab w:val="left" w:pos="3060"/>
          <w:tab w:val="left" w:pos="3600"/>
          <w:tab w:val="left" w:pos="4635"/>
        </w:tabs>
        <w:ind w:right="420" w:firstLine="5145" w:firstLineChars="2450"/>
        <w:rPr>
          <w:rFonts w:ascii="宋体" w:hAnsi="宋体"/>
          <w:color w:val="000000"/>
        </w:rPr>
      </w:pPr>
      <w:r>
        <w:rPr>
          <w:rFonts w:hint="eastAsia" w:ascii="宋体" w:hAnsi="宋体"/>
          <w:szCs w:val="21"/>
        </w:rPr>
        <w:t>投标人全称（盖章）：</w:t>
      </w:r>
    </w:p>
    <w:p>
      <w:pPr>
        <w:tabs>
          <w:tab w:val="left" w:pos="3060"/>
          <w:tab w:val="left" w:pos="4635"/>
        </w:tabs>
        <w:ind w:firstLine="0" w:firstLineChars="0"/>
        <w:jc w:val="right"/>
        <w:rPr>
          <w:rFonts w:ascii="宋体" w:hAnsi="宋体"/>
        </w:rPr>
      </w:pPr>
      <w:r>
        <w:rPr>
          <w:rFonts w:hint="eastAsia" w:ascii="宋体" w:hAnsi="宋体"/>
          <w:color w:val="000000"/>
        </w:rPr>
        <w:t xml:space="preserve">法定代表人或授权代表（签字或盖章）： </w:t>
      </w:r>
    </w:p>
    <w:p>
      <w:pPr>
        <w:tabs>
          <w:tab w:val="left" w:pos="3060"/>
          <w:tab w:val="left" w:pos="4635"/>
        </w:tabs>
        <w:ind w:right="420" w:firstLine="5145" w:firstLineChars="2450"/>
        <w:rPr>
          <w:rFonts w:ascii="宋体" w:hAnsi="宋体"/>
        </w:rPr>
      </w:pPr>
      <w:r>
        <w:rPr>
          <w:rFonts w:hint="eastAsia" w:ascii="宋体" w:hAnsi="宋体"/>
        </w:rPr>
        <w:t xml:space="preserve">日      期：  </w:t>
      </w:r>
      <w:bookmarkStart w:id="81" w:name="_Toc518306948"/>
      <w:bookmarkStart w:id="82" w:name="_Toc176658524"/>
      <w:bookmarkStart w:id="83" w:name="_Toc176666487"/>
    </w:p>
    <w:p>
      <w:pPr>
        <w:tabs>
          <w:tab w:val="left" w:pos="3060"/>
          <w:tab w:val="left" w:pos="4635"/>
        </w:tabs>
        <w:ind w:right="420" w:firstLine="0" w:firstLineChars="0"/>
        <w:rPr>
          <w:rFonts w:ascii="宋体" w:hAnsi="宋体"/>
        </w:rPr>
      </w:pPr>
    </w:p>
    <w:p>
      <w:pPr>
        <w:tabs>
          <w:tab w:val="left" w:pos="3060"/>
          <w:tab w:val="left" w:pos="4635"/>
        </w:tabs>
        <w:ind w:right="420" w:firstLine="0" w:firstLineChars="0"/>
        <w:rPr>
          <w:rFonts w:ascii="宋体" w:hAnsi="宋体"/>
        </w:rPr>
      </w:pPr>
    </w:p>
    <w:p>
      <w:pPr>
        <w:tabs>
          <w:tab w:val="left" w:pos="3060"/>
          <w:tab w:val="left" w:pos="4635"/>
        </w:tabs>
        <w:ind w:right="420" w:firstLine="0" w:firstLineChars="0"/>
        <w:rPr>
          <w:rFonts w:ascii="宋体" w:hAnsi="宋体"/>
        </w:rPr>
      </w:pPr>
    </w:p>
    <w:p>
      <w:pPr>
        <w:tabs>
          <w:tab w:val="left" w:pos="3060"/>
          <w:tab w:val="left" w:pos="4635"/>
        </w:tabs>
        <w:ind w:right="420" w:firstLine="0" w:firstLineChars="0"/>
        <w:rPr>
          <w:rFonts w:ascii="宋体" w:hAnsi="宋体"/>
        </w:rPr>
      </w:pPr>
    </w:p>
    <w:p>
      <w:pPr>
        <w:pStyle w:val="3"/>
        <w:ind w:firstLine="0" w:firstLineChars="0"/>
      </w:pPr>
      <w:bookmarkStart w:id="84" w:name="_Toc61249571"/>
      <w:r>
        <w:rPr>
          <w:rFonts w:hint="eastAsia"/>
        </w:rPr>
        <w:t>附件</w:t>
      </w:r>
      <w:bookmarkStart w:id="85" w:name="_Toc325726043"/>
      <w:bookmarkStart w:id="86" w:name="_Toc376936774"/>
      <w:r>
        <w:rPr>
          <w:rFonts w:hint="eastAsia"/>
        </w:rPr>
        <w:t>四法定代表人证明书</w:t>
      </w:r>
      <w:bookmarkEnd w:id="81"/>
      <w:bookmarkEnd w:id="84"/>
      <w:bookmarkEnd w:id="85"/>
      <w:bookmarkEnd w:id="86"/>
    </w:p>
    <w:p>
      <w:pPr>
        <w:ind w:firstLine="0" w:firstLineChars="0"/>
        <w:jc w:val="center"/>
        <w:rPr>
          <w:rFonts w:ascii="宋体" w:hAnsi="宋体"/>
          <w:b/>
          <w:bCs/>
          <w:color w:val="000000"/>
          <w:sz w:val="36"/>
          <w:szCs w:val="36"/>
        </w:rPr>
      </w:pPr>
    </w:p>
    <w:p>
      <w:pPr>
        <w:ind w:firstLine="0" w:firstLineChars="0"/>
        <w:rPr>
          <w:rFonts w:ascii="宋体" w:hAnsi="宋体"/>
          <w:b/>
          <w:bCs/>
          <w:color w:val="000000"/>
        </w:rPr>
      </w:pPr>
      <w:r>
        <w:rPr>
          <w:rFonts w:hint="eastAsia" w:ascii="宋体" w:hAnsi="宋体"/>
          <w:b/>
          <w:sz w:val="24"/>
          <w:szCs w:val="24"/>
        </w:rPr>
        <w:t>致：青海省禹龙水利水电工程招标技术咨询中心有限责任公司</w:t>
      </w: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olor w:val="000000"/>
        </w:rPr>
      </w:pPr>
      <w:r>
        <w:rPr>
          <w:rFonts w:hint="eastAsia" w:ascii="宋体" w:hAnsi="宋体"/>
          <w:color w:val="000000"/>
          <w:u w:val="single"/>
        </w:rPr>
        <w:t xml:space="preserve">  （法定代表人姓名）  </w:t>
      </w:r>
      <w:r>
        <w:rPr>
          <w:rFonts w:hint="eastAsia" w:ascii="宋体" w:hAnsi="宋体" w:cs="宋体"/>
          <w:color w:val="000000"/>
        </w:rPr>
        <w:t>现任我单位</w:t>
      </w:r>
      <w:r>
        <w:rPr>
          <w:rFonts w:hint="eastAsia" w:ascii="宋体" w:hAnsi="宋体"/>
          <w:color w:val="000000"/>
        </w:rPr>
        <w:t>职务，为法定代表人，特此证明。</w:t>
      </w:r>
    </w:p>
    <w:p>
      <w:pPr>
        <w:autoSpaceDE w:val="0"/>
        <w:autoSpaceDN w:val="0"/>
        <w:ind w:firstLine="0" w:firstLineChars="0"/>
        <w:rPr>
          <w:rFonts w:ascii="宋体" w:hAnsi="宋体"/>
          <w:color w:val="000000"/>
        </w:rPr>
      </w:pPr>
    </w:p>
    <w:p>
      <w:pPr>
        <w:autoSpaceDE w:val="0"/>
        <w:autoSpaceDN w:val="0"/>
        <w:ind w:firstLine="0" w:firstLineChars="0"/>
        <w:rPr>
          <w:rFonts w:ascii="宋体" w:hAnsi="宋体" w:cs="宋体"/>
          <w:color w:val="000000"/>
        </w:rPr>
      </w:pPr>
      <w:r>
        <w:rPr>
          <w:rFonts w:hint="eastAsia" w:ascii="宋体" w:hAnsi="宋体"/>
          <w:color w:val="000000"/>
        </w:rPr>
        <w:t>法定代表人基本情况：</w:t>
      </w:r>
    </w:p>
    <w:p>
      <w:pPr>
        <w:autoSpaceDE w:val="0"/>
        <w:autoSpaceDN w:val="0"/>
        <w:ind w:firstLine="0" w:firstLineChars="0"/>
        <w:rPr>
          <w:rFonts w:ascii="宋体" w:hAnsi="宋体" w:cs="宋体"/>
          <w:color w:val="000000"/>
        </w:rPr>
      </w:pPr>
      <w:r>
        <w:rPr>
          <w:rFonts w:hint="eastAsia" w:ascii="宋体" w:hAnsi="宋体" w:cs="宋体"/>
          <w:color w:val="000000"/>
        </w:rPr>
        <w:t>性别：年龄：民族：</w:t>
      </w:r>
    </w:p>
    <w:p>
      <w:pPr>
        <w:autoSpaceDE w:val="0"/>
        <w:autoSpaceDN w:val="0"/>
        <w:ind w:firstLine="0" w:firstLineChars="0"/>
        <w:rPr>
          <w:rFonts w:ascii="宋体" w:hAnsi="宋体" w:cs="宋体"/>
          <w:color w:val="000000"/>
        </w:rPr>
      </w:pPr>
      <w:r>
        <w:rPr>
          <w:rFonts w:hint="eastAsia" w:ascii="宋体" w:hAnsi="宋体" w:cs="宋体"/>
          <w:color w:val="000000"/>
        </w:rPr>
        <w:t>地址：</w:t>
      </w:r>
    </w:p>
    <w:p>
      <w:pPr>
        <w:autoSpaceDE w:val="0"/>
        <w:autoSpaceDN w:val="0"/>
        <w:ind w:firstLine="0" w:firstLineChars="0"/>
        <w:rPr>
          <w:rFonts w:ascii="宋体" w:hAnsi="宋体"/>
          <w:color w:val="000000"/>
          <w:u w:val="single"/>
        </w:rPr>
      </w:pPr>
      <w:r>
        <w:rPr>
          <w:rFonts w:hint="eastAsia" w:ascii="宋体" w:hAnsi="宋体" w:cs="宋体"/>
          <w:color w:val="000000"/>
        </w:rPr>
        <w:t>身份证号码：</w:t>
      </w:r>
    </w:p>
    <w:p>
      <w:pPr>
        <w:autoSpaceDE w:val="0"/>
        <w:autoSpaceDN w:val="0"/>
        <w:ind w:firstLine="0" w:firstLineChars="0"/>
        <w:rPr>
          <w:rFonts w:ascii="宋体" w:hAnsi="宋体" w:cs="宋体"/>
          <w:color w:val="000000"/>
        </w:rPr>
      </w:pPr>
      <w:r>
        <w:rPr>
          <w:rFonts w:hint="eastAsia" w:ascii="宋体" w:hAnsi="宋体" w:cs="宋体"/>
          <w:color w:val="000000"/>
        </w:rPr>
        <w:t>附法定代表人第二代身份证双面扫描（或复印）件</w:t>
      </w: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sz w:val="24"/>
          <w:szCs w:val="24"/>
        </w:rPr>
      </w:pPr>
    </w:p>
    <w:p>
      <w:pPr>
        <w:tabs>
          <w:tab w:val="left" w:pos="3060"/>
          <w:tab w:val="left" w:pos="3600"/>
          <w:tab w:val="left" w:pos="4635"/>
        </w:tabs>
        <w:ind w:firstLine="2940" w:firstLineChars="1400"/>
        <w:rPr>
          <w:rFonts w:ascii="宋体" w:hAnsi="宋体"/>
          <w:szCs w:val="21"/>
        </w:rPr>
      </w:pPr>
      <w:r>
        <w:rPr>
          <w:rFonts w:hint="eastAsia" w:ascii="宋体" w:hAnsi="宋体"/>
          <w:szCs w:val="21"/>
        </w:rPr>
        <w:t xml:space="preserve">投标人全称（盖章）：             </w:t>
      </w:r>
    </w:p>
    <w:p>
      <w:pPr>
        <w:tabs>
          <w:tab w:val="left" w:pos="3060"/>
          <w:tab w:val="left" w:pos="4635"/>
        </w:tabs>
        <w:ind w:firstLine="2940" w:firstLineChars="1400"/>
        <w:rPr>
          <w:rFonts w:ascii="宋体" w:hAnsi="宋体"/>
          <w:color w:val="000000"/>
          <w:szCs w:val="21"/>
        </w:rPr>
      </w:pPr>
      <w:r>
        <w:rPr>
          <w:rFonts w:hint="eastAsia" w:ascii="宋体" w:hAnsi="宋体"/>
          <w:color w:val="000000"/>
          <w:szCs w:val="21"/>
        </w:rPr>
        <w:t xml:space="preserve">法定代表人或授权代表（签字或盖章）：     </w:t>
      </w:r>
    </w:p>
    <w:p>
      <w:pPr>
        <w:autoSpaceDE w:val="0"/>
        <w:autoSpaceDN w:val="0"/>
        <w:ind w:firstLine="2940" w:firstLineChars="1400"/>
        <w:rPr>
          <w:rFonts w:ascii="宋体" w:hAnsi="宋体" w:cs="宋体"/>
          <w:color w:val="000000"/>
          <w:szCs w:val="21"/>
        </w:rPr>
      </w:pPr>
      <w:r>
        <w:rPr>
          <w:rFonts w:hint="eastAsia" w:ascii="宋体" w:hAnsi="宋体"/>
          <w:szCs w:val="21"/>
        </w:rPr>
        <w:t>日      期：</w:t>
      </w:r>
    </w:p>
    <w:p>
      <w:pPr>
        <w:autoSpaceDE w:val="0"/>
        <w:autoSpaceDN w:val="0"/>
        <w:ind w:firstLine="0" w:firstLineChars="0"/>
        <w:rPr>
          <w:rFonts w:ascii="宋体" w:hAnsi="宋体" w:cs="宋体"/>
          <w:color w:val="000000"/>
        </w:rPr>
      </w:pPr>
    </w:p>
    <w:p>
      <w:pPr>
        <w:spacing w:line="340" w:lineRule="exact"/>
        <w:ind w:firstLine="0" w:firstLineChars="0"/>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rPr>
          <w:rFonts w:ascii="宋体" w:hAnsi="宋体"/>
          <w:sz w:val="32"/>
          <w:szCs w:val="32"/>
        </w:rPr>
      </w:pPr>
    </w:p>
    <w:p>
      <w:pPr>
        <w:pStyle w:val="3"/>
        <w:ind w:firstLine="0" w:firstLineChars="0"/>
      </w:pPr>
      <w:bookmarkStart w:id="87" w:name="_Toc61249572"/>
      <w:r>
        <w:rPr>
          <w:rFonts w:hint="eastAsia"/>
        </w:rPr>
        <w:t>附件五法定代表人授权委托书</w:t>
      </w:r>
      <w:bookmarkEnd w:id="87"/>
    </w:p>
    <w:p>
      <w:pPr>
        <w:ind w:firstLine="0" w:firstLineChars="0"/>
        <w:rPr>
          <w:rFonts w:ascii="宋体" w:hAnsi="宋体"/>
          <w:b/>
          <w:sz w:val="24"/>
          <w:szCs w:val="24"/>
        </w:rPr>
      </w:pPr>
    </w:p>
    <w:p>
      <w:pPr>
        <w:ind w:firstLine="0" w:firstLineChars="0"/>
        <w:rPr>
          <w:rFonts w:ascii="宋体" w:hAnsi="宋体"/>
          <w:b/>
          <w:sz w:val="24"/>
          <w:szCs w:val="24"/>
        </w:rPr>
      </w:pPr>
      <w:r>
        <w:rPr>
          <w:rFonts w:hint="eastAsia" w:ascii="宋体" w:hAnsi="宋体"/>
          <w:b/>
          <w:sz w:val="24"/>
          <w:szCs w:val="24"/>
        </w:rPr>
        <w:t>致：青海省禹龙水利水电工程招标技术咨询中心有限责任公司</w:t>
      </w:r>
    </w:p>
    <w:p>
      <w:pPr>
        <w:ind w:firstLine="0" w:firstLineChars="0"/>
        <w:rPr>
          <w:rFonts w:ascii="宋体" w:hAnsi="宋体"/>
          <w:color w:val="000000"/>
          <w:u w:val="single"/>
        </w:rPr>
      </w:pPr>
    </w:p>
    <w:p>
      <w:pPr>
        <w:ind w:firstLine="0" w:firstLineChars="0"/>
        <w:rPr>
          <w:rFonts w:ascii="宋体" w:hAnsi="宋体"/>
          <w:color w:val="000000"/>
        </w:rPr>
      </w:pPr>
      <w:r>
        <w:rPr>
          <w:rFonts w:hint="eastAsia" w:ascii="宋体" w:hAnsi="宋体"/>
          <w:color w:val="000000"/>
          <w:u w:val="single"/>
        </w:rPr>
        <w:t xml:space="preserve">  （投标人名称）  </w:t>
      </w:r>
      <w:r>
        <w:rPr>
          <w:rFonts w:hint="eastAsia" w:ascii="宋体" w:hAnsi="宋体"/>
          <w:color w:val="000000"/>
        </w:rPr>
        <w:t>系中华人民共和国合法企业，法定地址。</w:t>
      </w:r>
    </w:p>
    <w:p>
      <w:pPr>
        <w:ind w:firstLine="0" w:firstLineChars="0"/>
        <w:rPr>
          <w:rFonts w:ascii="宋体" w:hAnsi="宋体"/>
          <w:color w:val="000000"/>
        </w:rPr>
      </w:pPr>
      <w:r>
        <w:rPr>
          <w:rFonts w:hint="eastAsia" w:ascii="宋体" w:hAnsi="宋体"/>
          <w:color w:val="000000"/>
          <w:u w:val="single"/>
        </w:rPr>
        <w:t xml:space="preserve">（法定代表人姓名）   </w:t>
      </w:r>
      <w:r>
        <w:rPr>
          <w:rFonts w:hint="eastAsia" w:ascii="宋体" w:hAnsi="宋体"/>
          <w:color w:val="000000"/>
        </w:rPr>
        <w:t>特授权</w:t>
      </w:r>
      <w:r>
        <w:rPr>
          <w:rFonts w:hint="eastAsia" w:ascii="宋体" w:hAnsi="宋体"/>
          <w:color w:val="000000"/>
          <w:u w:val="single"/>
        </w:rPr>
        <w:t xml:space="preserve"> （委托代理人姓名）    </w:t>
      </w:r>
      <w:r>
        <w:rPr>
          <w:rFonts w:hint="eastAsia" w:ascii="宋体" w:hAnsi="宋体"/>
          <w:color w:val="000000"/>
        </w:rPr>
        <w:t>代表我单位全权办理针对项目的投标、答疑等具体工作，并签署全部有关的文件、资料。</w:t>
      </w:r>
    </w:p>
    <w:p>
      <w:pPr>
        <w:ind w:firstLine="0" w:firstLineChars="0"/>
        <w:rPr>
          <w:rFonts w:ascii="宋体" w:hAnsi="宋体"/>
          <w:color w:val="000000"/>
        </w:rPr>
      </w:pPr>
      <w:r>
        <w:rPr>
          <w:rFonts w:hint="eastAsia" w:ascii="宋体" w:hAnsi="宋体"/>
          <w:color w:val="000000"/>
        </w:rPr>
        <w:t>我单位对被授权人的签名负全部责任。</w:t>
      </w:r>
    </w:p>
    <w:p>
      <w:pPr>
        <w:ind w:firstLine="0" w:firstLineChars="0"/>
        <w:rPr>
          <w:rFonts w:ascii="宋体" w:hAnsi="宋体"/>
          <w:color w:val="000000"/>
        </w:rPr>
      </w:pPr>
      <w:r>
        <w:rPr>
          <w:rFonts w:hint="eastAsia" w:ascii="宋体" w:hAnsi="宋体"/>
          <w:color w:val="000000"/>
        </w:rPr>
        <w:t>在撤销授权的书面通知以前，本授权书一直有效，被授权人签署的所有文件（在授权书有效期内签署的）不因授权的撤销而失效。</w:t>
      </w:r>
    </w:p>
    <w:p>
      <w:pPr>
        <w:ind w:firstLine="0" w:firstLineChars="0"/>
        <w:rPr>
          <w:rFonts w:ascii="宋体" w:hAnsi="宋体"/>
          <w:color w:val="000000"/>
        </w:rPr>
      </w:pPr>
    </w:p>
    <w:p>
      <w:pPr>
        <w:ind w:firstLine="0" w:firstLineChars="0"/>
        <w:rPr>
          <w:rFonts w:ascii="宋体" w:hAnsi="宋体"/>
          <w:color w:val="000000"/>
        </w:rPr>
      </w:pPr>
      <w:r>
        <w:rPr>
          <w:rFonts w:hint="eastAsia" w:ascii="宋体" w:hAnsi="宋体"/>
          <w:color w:val="000000"/>
        </w:rPr>
        <w:t>授权期限：自 年月日起至 年月日止。</w:t>
      </w:r>
    </w:p>
    <w:p>
      <w:pPr>
        <w:ind w:firstLine="0" w:firstLineChars="0"/>
        <w:rPr>
          <w:rFonts w:ascii="宋体" w:hAnsi="宋体"/>
          <w:color w:val="000000"/>
        </w:rPr>
      </w:pPr>
    </w:p>
    <w:p>
      <w:pPr>
        <w:ind w:firstLine="0" w:firstLineChars="0"/>
        <w:rPr>
          <w:rFonts w:ascii="宋体" w:hAnsi="宋体"/>
          <w:color w:val="000000"/>
        </w:rPr>
      </w:pPr>
      <w:r>
        <w:rPr>
          <w:rFonts w:hint="eastAsia" w:ascii="宋体" w:hAnsi="宋体"/>
          <w:color w:val="000000"/>
        </w:rPr>
        <w:t>被授权人联系电话：</w:t>
      </w:r>
    </w:p>
    <w:p>
      <w:pPr>
        <w:ind w:firstLine="0" w:firstLineChars="0"/>
        <w:rPr>
          <w:rFonts w:ascii="宋体" w:hAnsi="宋体"/>
          <w:color w:val="000000"/>
        </w:rPr>
      </w:pPr>
    </w:p>
    <w:p>
      <w:pPr>
        <w:ind w:firstLine="0" w:firstLineChars="0"/>
        <w:rPr>
          <w:rFonts w:ascii="宋体" w:hAnsi="宋体"/>
          <w:color w:val="000000"/>
        </w:rPr>
      </w:pPr>
      <w:r>
        <w:rPr>
          <w:rFonts w:hint="eastAsia" w:ascii="宋体" w:hAnsi="宋体" w:cs="宋体"/>
          <w:color w:val="000000"/>
        </w:rPr>
        <w:t>附被授权人第二代身份证双面扫描（或复印）件</w:t>
      </w:r>
    </w:p>
    <w:p>
      <w:pPr>
        <w:ind w:firstLine="0" w:firstLineChars="0"/>
        <w:rPr>
          <w:rFonts w:ascii="宋体" w:hAnsi="宋体"/>
          <w:color w:val="000000"/>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4200" w:firstLineChars="2000"/>
        <w:rPr>
          <w:rFonts w:ascii="宋体" w:hAnsi="宋体"/>
          <w:szCs w:val="21"/>
        </w:rPr>
      </w:pPr>
      <w:r>
        <w:rPr>
          <w:rFonts w:hint="eastAsia" w:ascii="宋体" w:hAnsi="宋体"/>
          <w:szCs w:val="21"/>
        </w:rPr>
        <w:t xml:space="preserve">投标人全称（盖章）：             </w:t>
      </w:r>
    </w:p>
    <w:p>
      <w:pPr>
        <w:tabs>
          <w:tab w:val="left" w:pos="3060"/>
          <w:tab w:val="left" w:pos="4635"/>
        </w:tabs>
        <w:ind w:firstLine="4200" w:firstLineChars="2000"/>
        <w:rPr>
          <w:rFonts w:ascii="宋体" w:hAnsi="宋体"/>
          <w:color w:val="000000"/>
          <w:szCs w:val="21"/>
        </w:rPr>
      </w:pPr>
      <w:r>
        <w:rPr>
          <w:rFonts w:hint="eastAsia" w:ascii="宋体" w:hAnsi="宋体"/>
          <w:color w:val="000000"/>
          <w:szCs w:val="21"/>
        </w:rPr>
        <w:t>法定代表人（签字或盖章）：</w:t>
      </w:r>
    </w:p>
    <w:p>
      <w:pPr>
        <w:tabs>
          <w:tab w:val="left" w:pos="3060"/>
          <w:tab w:val="left" w:pos="4635"/>
        </w:tabs>
        <w:ind w:firstLine="4200" w:firstLineChars="2000"/>
        <w:rPr>
          <w:rFonts w:ascii="宋体" w:hAnsi="宋体"/>
          <w:color w:val="000000"/>
          <w:szCs w:val="21"/>
        </w:rPr>
      </w:pPr>
      <w:r>
        <w:rPr>
          <w:rFonts w:hint="eastAsia" w:ascii="宋体" w:hAnsi="宋体"/>
          <w:color w:val="000000"/>
          <w:szCs w:val="21"/>
        </w:rPr>
        <w:t xml:space="preserve">被授权人（签字） ：    </w:t>
      </w:r>
    </w:p>
    <w:p>
      <w:pPr>
        <w:ind w:firstLine="4200" w:firstLineChars="2000"/>
        <w:rPr>
          <w:rFonts w:ascii="宋体" w:hAnsi="宋体"/>
          <w:color w:val="000000"/>
        </w:rPr>
      </w:pPr>
      <w:r>
        <w:rPr>
          <w:rFonts w:hint="eastAsia" w:ascii="宋体" w:hAnsi="宋体"/>
          <w:szCs w:val="21"/>
        </w:rPr>
        <w:t>日      期：</w:t>
      </w:r>
    </w:p>
    <w:p>
      <w:pPr>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rPr>
          <w:rFonts w:ascii="宋体" w:hAnsi="宋体"/>
          <w:sz w:val="32"/>
          <w:szCs w:val="32"/>
        </w:rPr>
      </w:pPr>
    </w:p>
    <w:p>
      <w:pPr>
        <w:spacing w:line="340" w:lineRule="exact"/>
        <w:ind w:firstLine="0" w:firstLineChars="0"/>
        <w:rPr>
          <w:rFonts w:ascii="宋体" w:hAnsi="宋体"/>
          <w:sz w:val="32"/>
          <w:szCs w:val="32"/>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pStyle w:val="3"/>
        <w:ind w:firstLine="0" w:firstLineChars="0"/>
      </w:pPr>
      <w:bookmarkStart w:id="88" w:name="_Toc26038"/>
      <w:bookmarkStart w:id="89" w:name="_Toc61249573"/>
      <w:r>
        <w:rPr>
          <w:rFonts w:hint="eastAsia"/>
          <w:lang w:val="zh-CN"/>
        </w:rPr>
        <w:t>附件六供应商承诺函</w:t>
      </w:r>
      <w:bookmarkEnd w:id="88"/>
      <w:bookmarkEnd w:id="89"/>
    </w:p>
    <w:p>
      <w:pPr>
        <w:autoSpaceDE w:val="0"/>
        <w:autoSpaceDN w:val="0"/>
        <w:spacing w:line="400" w:lineRule="exact"/>
        <w:ind w:firstLine="0" w:firstLineChars="0"/>
        <w:rPr>
          <w:rFonts w:ascii="宋体" w:hAnsi="宋体" w:cs="宋体"/>
          <w:sz w:val="24"/>
          <w:lang w:val="zh-CN"/>
        </w:rPr>
      </w:pPr>
    </w:p>
    <w:p>
      <w:pPr>
        <w:autoSpaceDE w:val="0"/>
        <w:autoSpaceDN w:val="0"/>
        <w:ind w:firstLine="0" w:firstLineChars="0"/>
        <w:rPr>
          <w:rFonts w:ascii="宋体" w:hAnsi="宋体" w:cs="宋体"/>
          <w:sz w:val="24"/>
          <w:lang w:val="zh-CN"/>
        </w:rPr>
      </w:pPr>
      <w:r>
        <w:rPr>
          <w:rFonts w:hint="eastAsia" w:ascii="宋体" w:hAnsi="宋体" w:cs="宋体"/>
          <w:b/>
          <w:sz w:val="24"/>
          <w:szCs w:val="24"/>
          <w:lang w:val="zh-CN"/>
        </w:rPr>
        <w:t>致：青海省禹龙水利水电工程招标技术咨询中心有限责任公司</w:t>
      </w:r>
    </w:p>
    <w:p>
      <w:pPr>
        <w:autoSpaceDE w:val="0"/>
        <w:autoSpaceDN w:val="0"/>
        <w:ind w:firstLine="420"/>
        <w:rPr>
          <w:rFonts w:ascii="宋体" w:hAnsi="宋体" w:cs="宋体"/>
          <w:szCs w:val="21"/>
          <w:lang w:val="zh-CN"/>
        </w:rPr>
      </w:pPr>
      <w:r>
        <w:rPr>
          <w:rFonts w:hint="eastAsia" w:ascii="宋体" w:hAnsi="宋体" w:cs="宋体"/>
          <w:szCs w:val="21"/>
          <w:lang w:val="zh-CN"/>
        </w:rPr>
        <w:t>关于贵方20</w:t>
      </w:r>
      <w:r>
        <w:rPr>
          <w:rFonts w:hint="eastAsia" w:ascii="宋体" w:hAnsi="宋体" w:cs="宋体"/>
          <w:szCs w:val="21"/>
        </w:rPr>
        <w:t>21</w:t>
      </w:r>
      <w:r>
        <w:rPr>
          <w:rFonts w:hint="eastAsia" w:ascii="宋体" w:hAnsi="宋体" w:cs="宋体"/>
          <w:szCs w:val="21"/>
          <w:lang w:val="zh-CN"/>
        </w:rPr>
        <w:t>年月日</w:t>
      </w:r>
      <w:r>
        <w:rPr>
          <w:rFonts w:ascii="宋体" w:hAnsi="宋体" w:cs="宋体"/>
          <w:szCs w:val="21"/>
          <w:u w:val="single"/>
          <w:lang w:val="zh-CN"/>
        </w:rPr>
        <w:t xml:space="preserve">          (</w:t>
      </w:r>
      <w:r>
        <w:rPr>
          <w:rFonts w:hint="eastAsia" w:ascii="宋体" w:hAnsi="宋体" w:cs="宋体"/>
          <w:szCs w:val="21"/>
          <w:u w:val="single"/>
          <w:lang w:val="zh-CN"/>
        </w:rPr>
        <w:t>采购项目名称</w:t>
      </w:r>
      <w:r>
        <w:rPr>
          <w:rFonts w:ascii="宋体" w:hAnsi="宋体" w:cs="宋体"/>
          <w:szCs w:val="21"/>
          <w:u w:val="single"/>
          <w:lang w:val="zh-CN"/>
        </w:rPr>
        <w:t>)</w:t>
      </w:r>
      <w:r>
        <w:rPr>
          <w:rFonts w:hint="eastAsia" w:ascii="宋体" w:hAnsi="宋体" w:cs="宋体"/>
          <w:szCs w:val="21"/>
          <w:lang w:val="zh-CN"/>
        </w:rPr>
        <w:t>采购项目，本签字人愿意参加本次项目投标，提供采购项目要求中要求的所有服务，并证实提交的所有资料是准确的和真实的。同时，我代表（供应商名称），在此作如下承诺：</w:t>
      </w:r>
    </w:p>
    <w:p>
      <w:pPr>
        <w:autoSpaceDE w:val="0"/>
        <w:autoSpaceDN w:val="0"/>
        <w:ind w:firstLine="0" w:firstLineChars="0"/>
        <w:rPr>
          <w:rFonts w:ascii="宋体" w:hAnsi="宋体" w:cs="宋体"/>
          <w:szCs w:val="21"/>
          <w:lang w:val="zh-CN"/>
        </w:rPr>
      </w:pPr>
      <w:r>
        <w:rPr>
          <w:rFonts w:ascii="宋体" w:hAnsi="宋体" w:cs="宋体"/>
          <w:szCs w:val="21"/>
          <w:lang w:val="zh-CN"/>
        </w:rPr>
        <w:t xml:space="preserve">   1.</w:t>
      </w:r>
      <w:r>
        <w:rPr>
          <w:rFonts w:hint="eastAsia" w:ascii="宋体" w:hAnsi="宋体" w:cs="宋体"/>
          <w:szCs w:val="21"/>
          <w:lang w:val="zh-CN"/>
        </w:rPr>
        <w:t>完全理解和接受招标文件的一切规定和要求；</w:t>
      </w:r>
    </w:p>
    <w:p>
      <w:pPr>
        <w:autoSpaceDE w:val="0"/>
        <w:autoSpaceDN w:val="0"/>
        <w:ind w:firstLine="0" w:firstLineChars="0"/>
        <w:rPr>
          <w:rFonts w:ascii="宋体" w:hAnsi="宋体" w:cs="宋体"/>
          <w:szCs w:val="21"/>
          <w:lang w:val="zh-CN"/>
        </w:rPr>
      </w:pPr>
      <w:r>
        <w:rPr>
          <w:rFonts w:ascii="宋体" w:hAnsi="宋体" w:cs="宋体"/>
          <w:szCs w:val="21"/>
          <w:lang w:val="zh-CN"/>
        </w:rPr>
        <w:t xml:space="preserve">   2.</w:t>
      </w:r>
      <w:r>
        <w:rPr>
          <w:rFonts w:hint="eastAsia" w:ascii="宋体" w:hAnsi="宋体" w:cs="宋体"/>
          <w:szCs w:val="21"/>
          <w:lang w:val="zh-CN"/>
        </w:rPr>
        <w:t>若成交，我方将按照招标文件文件的具体规定与采购人签订采购合同，并且严格履行合同义务，按时提供优质的服务。如果在合同执行过程中，发现服务质量出现问题，我方一定尽快更正，并承担相应的经济责任；</w:t>
      </w:r>
    </w:p>
    <w:p>
      <w:pPr>
        <w:autoSpaceDE w:val="0"/>
        <w:autoSpaceDN w:val="0"/>
        <w:ind w:firstLine="0" w:firstLineChars="0"/>
        <w:rPr>
          <w:rFonts w:ascii="宋体" w:hAnsi="宋体" w:cs="宋体"/>
          <w:szCs w:val="21"/>
          <w:lang w:val="zh-CN"/>
        </w:rPr>
      </w:pPr>
      <w:r>
        <w:rPr>
          <w:rFonts w:hint="eastAsia" w:ascii="宋体" w:hAnsi="宋体" w:cs="宋体"/>
          <w:szCs w:val="21"/>
          <w:lang w:val="zh-CN"/>
        </w:rPr>
        <w:t>3、我方保证甲方在使用该产品或其任何一部分时，不受第三方提出的侵犯专利权、著作权、商标权和工业设计权等知识产权的起诉，若有违犯，愿承担相应的一切责任。</w:t>
      </w:r>
    </w:p>
    <w:p>
      <w:pPr>
        <w:autoSpaceDE w:val="0"/>
        <w:autoSpaceDN w:val="0"/>
        <w:ind w:firstLine="0" w:firstLineChars="0"/>
        <w:rPr>
          <w:rFonts w:ascii="宋体" w:hAnsi="宋体" w:cs="宋体"/>
          <w:szCs w:val="21"/>
          <w:lang w:val="zh-CN"/>
        </w:rPr>
      </w:pPr>
      <w:r>
        <w:rPr>
          <w:rFonts w:hint="eastAsia" w:ascii="宋体" w:hAnsi="宋体" w:cs="宋体"/>
          <w:szCs w:val="21"/>
          <w:lang w:val="zh-CN"/>
        </w:rPr>
        <w:t>4、我方承诺，除招标文件文件中规定的进口产品外，所投的产品均为国产产品，且均符合国家强制性标准。若有不实，愿承担相应的责任。</w:t>
      </w:r>
    </w:p>
    <w:p>
      <w:pPr>
        <w:autoSpaceDE w:val="0"/>
        <w:autoSpaceDN w:val="0"/>
        <w:ind w:firstLine="0" w:firstLineChars="0"/>
        <w:rPr>
          <w:rFonts w:ascii="宋体" w:hAnsi="宋体" w:cs="宋体"/>
          <w:szCs w:val="21"/>
          <w:lang w:val="zh-CN"/>
        </w:rPr>
      </w:pPr>
      <w:r>
        <w:rPr>
          <w:rFonts w:hint="eastAsia" w:ascii="宋体" w:hAnsi="宋体" w:cs="宋体"/>
          <w:szCs w:val="21"/>
          <w:lang w:val="zh-CN"/>
        </w:rPr>
        <w:t>5、在整个招标过程中我方若有违规行为，贵方可按招标文件文件之规定给予处罚，我方完全接受。</w:t>
      </w:r>
    </w:p>
    <w:p>
      <w:pPr>
        <w:autoSpaceDE w:val="0"/>
        <w:autoSpaceDN w:val="0"/>
        <w:ind w:firstLine="0" w:firstLineChars="0"/>
        <w:rPr>
          <w:rFonts w:ascii="宋体" w:hAnsi="宋体" w:cs="宋体"/>
          <w:szCs w:val="21"/>
          <w:lang w:val="zh-CN"/>
        </w:rPr>
      </w:pPr>
      <w:r>
        <w:rPr>
          <w:rFonts w:hint="eastAsia" w:ascii="宋体" w:hAnsi="宋体" w:cs="宋体"/>
          <w:szCs w:val="21"/>
          <w:lang w:val="zh-CN"/>
        </w:rPr>
        <w:t>6、若成交，本承诺将成为合同不可分割的一部分，与合同具有同等的法律效力。</w:t>
      </w:r>
    </w:p>
    <w:p>
      <w:pPr>
        <w:autoSpaceDE w:val="0"/>
        <w:autoSpaceDN w:val="0"/>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tabs>
          <w:tab w:val="left" w:pos="3060"/>
          <w:tab w:val="left" w:pos="3600"/>
          <w:tab w:val="left" w:pos="4635"/>
        </w:tabs>
        <w:ind w:firstLine="4095" w:firstLineChars="1950"/>
        <w:rPr>
          <w:rFonts w:ascii="宋体" w:hAnsi="宋体"/>
          <w:szCs w:val="21"/>
        </w:rPr>
      </w:pPr>
      <w:r>
        <w:rPr>
          <w:rFonts w:hint="eastAsia" w:ascii="宋体" w:hAnsi="宋体"/>
          <w:szCs w:val="21"/>
        </w:rPr>
        <w:t xml:space="preserve">投标人全称（盖章）：             </w:t>
      </w:r>
    </w:p>
    <w:p>
      <w:pPr>
        <w:tabs>
          <w:tab w:val="left" w:pos="3060"/>
          <w:tab w:val="left" w:pos="4635"/>
        </w:tabs>
        <w:ind w:firstLine="4095" w:firstLineChars="1950"/>
        <w:rPr>
          <w:rFonts w:ascii="宋体" w:hAnsi="宋体"/>
          <w:color w:val="000000"/>
          <w:szCs w:val="21"/>
        </w:rPr>
      </w:pPr>
      <w:r>
        <w:rPr>
          <w:rFonts w:hint="eastAsia" w:ascii="宋体" w:hAnsi="宋体"/>
          <w:color w:val="000000"/>
          <w:szCs w:val="21"/>
        </w:rPr>
        <w:t xml:space="preserve">法定代表人或授权代表（签字或盖章）：     </w:t>
      </w:r>
    </w:p>
    <w:p>
      <w:pPr>
        <w:autoSpaceDE w:val="0"/>
        <w:autoSpaceDN w:val="0"/>
        <w:ind w:firstLine="4095" w:firstLineChars="1950"/>
        <w:rPr>
          <w:rFonts w:ascii="宋体" w:hAnsi="宋体" w:cs="宋体"/>
          <w:color w:val="000000"/>
          <w:szCs w:val="21"/>
        </w:rPr>
      </w:pPr>
      <w:r>
        <w:rPr>
          <w:rFonts w:hint="eastAsia" w:ascii="宋体" w:hAnsi="宋体"/>
          <w:szCs w:val="21"/>
        </w:rPr>
        <w:t>日      期：</w:t>
      </w:r>
    </w:p>
    <w:p>
      <w:pPr>
        <w:autoSpaceDE w:val="0"/>
        <w:autoSpaceDN w:val="0"/>
        <w:spacing w:line="400" w:lineRule="exact"/>
        <w:ind w:firstLine="0" w:firstLineChars="0"/>
        <w:rPr>
          <w:rFonts w:ascii="宋体" w:hAnsi="宋体" w:cs="宋体"/>
          <w:sz w:val="24"/>
          <w:lang w:val="zh-CN"/>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pStyle w:val="3"/>
        <w:ind w:firstLine="0" w:firstLineChars="0"/>
        <w:rPr>
          <w:lang w:val="zh-CN"/>
        </w:rPr>
      </w:pPr>
      <w:bookmarkStart w:id="90" w:name="_Toc32449"/>
      <w:bookmarkStart w:id="91" w:name="_Toc19737"/>
      <w:bookmarkStart w:id="92" w:name="_Toc5693"/>
      <w:bookmarkStart w:id="93" w:name="_Toc61249574"/>
      <w:r>
        <w:rPr>
          <w:rFonts w:hint="eastAsia"/>
          <w:lang w:val="zh-CN"/>
        </w:rPr>
        <w:t>附件七供应商诚信承诺书</w:t>
      </w:r>
      <w:bookmarkEnd w:id="90"/>
      <w:bookmarkEnd w:id="91"/>
      <w:bookmarkEnd w:id="92"/>
      <w:bookmarkEnd w:id="93"/>
    </w:p>
    <w:p>
      <w:pPr>
        <w:autoSpaceDE w:val="0"/>
        <w:autoSpaceDN w:val="0"/>
        <w:spacing w:line="400" w:lineRule="exact"/>
        <w:ind w:firstLine="0" w:firstLineChars="0"/>
        <w:rPr>
          <w:rFonts w:ascii="宋体" w:hAnsi="宋体" w:cs="宋体"/>
          <w:sz w:val="24"/>
          <w:lang w:val="zh-CN"/>
        </w:rPr>
      </w:pPr>
    </w:p>
    <w:p>
      <w:pPr>
        <w:autoSpaceDE w:val="0"/>
        <w:autoSpaceDN w:val="0"/>
        <w:ind w:firstLine="0" w:firstLineChars="0"/>
        <w:rPr>
          <w:rFonts w:ascii="宋体" w:hAnsi="宋体" w:cs="宋体"/>
          <w:sz w:val="24"/>
          <w:lang w:val="zh-CN"/>
        </w:rPr>
      </w:pPr>
      <w:r>
        <w:rPr>
          <w:rFonts w:hint="eastAsia" w:ascii="宋体" w:hAnsi="宋体" w:cs="宋体"/>
          <w:b/>
          <w:sz w:val="24"/>
          <w:szCs w:val="24"/>
          <w:lang w:val="zh-CN"/>
        </w:rPr>
        <w:t>致：青海省禹龙水利水电工程招标技术咨询中心有限责任公司</w:t>
      </w:r>
    </w:p>
    <w:p>
      <w:pPr>
        <w:autoSpaceDE w:val="0"/>
        <w:autoSpaceDN w:val="0"/>
        <w:ind w:firstLine="0" w:firstLineChars="0"/>
        <w:rPr>
          <w:rFonts w:ascii="宋体" w:hAnsi="宋体" w:cs="宋体"/>
          <w:szCs w:val="21"/>
          <w:lang w:val="zh-CN"/>
        </w:rPr>
      </w:pPr>
      <w:r>
        <w:rPr>
          <w:rFonts w:hint="eastAsia" w:ascii="宋体" w:hAnsi="宋体" w:cs="宋体"/>
          <w:szCs w:val="21"/>
          <w:lang w:val="zh-CN"/>
        </w:rPr>
        <w:t>为了诚实、客观、有序地参与青海省政府采购活动，愿就以下内容作出承诺：</w:t>
      </w:r>
    </w:p>
    <w:p>
      <w:pPr>
        <w:autoSpaceDE w:val="0"/>
        <w:autoSpaceDN w:val="0"/>
        <w:ind w:firstLine="0" w:firstLineChars="0"/>
        <w:rPr>
          <w:rFonts w:ascii="宋体" w:hAnsi="宋体" w:cs="宋体"/>
          <w:szCs w:val="21"/>
          <w:lang w:val="zh-CN"/>
        </w:rPr>
      </w:pPr>
      <w:r>
        <w:rPr>
          <w:rFonts w:hint="eastAsia" w:ascii="宋体" w:hAnsi="宋体" w:cs="宋体"/>
          <w:szCs w:val="21"/>
          <w:lang w:val="zh-CN"/>
        </w:rPr>
        <w:t>一、自觉遵守各项法律、法规、规章、制度以及社会公德，维护廉洁环境，与同场竞争的供应商平等参加政府采购活动。</w:t>
      </w:r>
    </w:p>
    <w:p>
      <w:pPr>
        <w:autoSpaceDE w:val="0"/>
        <w:autoSpaceDN w:val="0"/>
        <w:ind w:firstLine="0" w:firstLineChars="0"/>
        <w:rPr>
          <w:rFonts w:ascii="宋体" w:hAnsi="宋体" w:cs="宋体"/>
          <w:szCs w:val="21"/>
          <w:lang w:val="zh-CN"/>
        </w:rPr>
      </w:pPr>
      <w:r>
        <w:rPr>
          <w:rFonts w:hint="eastAsia" w:ascii="宋体" w:hAnsi="宋体" w:cs="宋体"/>
          <w:szCs w:val="21"/>
          <w:lang w:val="zh-CN"/>
        </w:rPr>
        <w:t>二、参加采购代理机构组织的政府采购活动时，严格按照招标文件的规定和要求提供所需的相关材料，并对所提供的各类资料的真实性负责，不虚假应标，不虚列业绩。</w:t>
      </w:r>
    </w:p>
    <w:p>
      <w:pPr>
        <w:autoSpaceDE w:val="0"/>
        <w:autoSpaceDN w:val="0"/>
        <w:ind w:firstLine="0" w:firstLineChars="0"/>
        <w:rPr>
          <w:rFonts w:ascii="宋体" w:hAnsi="宋体" w:cs="宋体"/>
          <w:szCs w:val="21"/>
          <w:lang w:val="zh-CN"/>
        </w:rPr>
      </w:pPr>
      <w:r>
        <w:rPr>
          <w:rFonts w:hint="eastAsia" w:ascii="宋体" w:hAnsi="宋体" w:cs="宋体"/>
          <w:szCs w:val="21"/>
          <w:lang w:val="zh-CN"/>
        </w:rPr>
        <w:t>三、尊重参与政府采购活动各相关方的合法行为，接受政府采购活动依法形成的意见、结果。</w:t>
      </w:r>
    </w:p>
    <w:p>
      <w:pPr>
        <w:autoSpaceDE w:val="0"/>
        <w:autoSpaceDN w:val="0"/>
        <w:ind w:firstLine="0" w:firstLineChars="0"/>
        <w:rPr>
          <w:rFonts w:ascii="宋体" w:hAnsi="宋体" w:cs="宋体"/>
          <w:szCs w:val="21"/>
          <w:lang w:val="zh-CN"/>
        </w:rPr>
      </w:pPr>
      <w:r>
        <w:rPr>
          <w:rFonts w:hint="eastAsia" w:ascii="宋体" w:hAnsi="宋体" w:cs="宋体"/>
          <w:szCs w:val="21"/>
          <w:lang w:val="zh-CN"/>
        </w:rPr>
        <w:t>四、依法参加政府采购活动，不围标、串标，维护市场秩序，不提供“三无”产品、以次充好。</w:t>
      </w:r>
    </w:p>
    <w:p>
      <w:pPr>
        <w:autoSpaceDE w:val="0"/>
        <w:autoSpaceDN w:val="0"/>
        <w:ind w:firstLine="0" w:firstLineChars="0"/>
        <w:rPr>
          <w:rFonts w:ascii="宋体" w:hAnsi="宋体" w:cs="宋体"/>
          <w:szCs w:val="21"/>
          <w:lang w:val="zh-CN"/>
        </w:rPr>
      </w:pPr>
      <w:r>
        <w:rPr>
          <w:rFonts w:hint="eastAsia" w:ascii="宋体" w:hAnsi="宋体" w:cs="宋体"/>
          <w:szCs w:val="21"/>
          <w:lang w:val="zh-CN"/>
        </w:rPr>
        <w:t>五、积极推动政府采购活动健康开展，对采购活动有疑问、异议时，按法律规定的程序实名（加盖单位章和法定代表人签名）反映情况，不恶意中伤、无事生非，以和谐、平等的心态参加政府采购活动。</w:t>
      </w:r>
    </w:p>
    <w:p>
      <w:pPr>
        <w:autoSpaceDE w:val="0"/>
        <w:autoSpaceDN w:val="0"/>
        <w:ind w:firstLine="0" w:firstLineChars="0"/>
        <w:rPr>
          <w:rFonts w:ascii="宋体" w:hAnsi="宋体" w:cs="宋体"/>
          <w:szCs w:val="21"/>
          <w:lang w:val="zh-CN"/>
        </w:rPr>
      </w:pPr>
      <w:r>
        <w:rPr>
          <w:rFonts w:hint="eastAsia" w:ascii="宋体" w:hAnsi="宋体" w:cs="宋体"/>
          <w:szCs w:val="21"/>
          <w:lang w:val="zh-CN"/>
        </w:rPr>
        <w:t>六、认真履行成交供应商应承担的责任和义务，全面执行采购合同规定的各项内容，保质保量地按时提供采购服务。</w:t>
      </w:r>
    </w:p>
    <w:p>
      <w:pPr>
        <w:autoSpaceDE w:val="0"/>
        <w:autoSpaceDN w:val="0"/>
        <w:ind w:firstLine="0" w:firstLineChars="0"/>
        <w:rPr>
          <w:rFonts w:ascii="宋体" w:hAnsi="宋体" w:cs="宋体"/>
          <w:szCs w:val="21"/>
          <w:lang w:val="zh-CN"/>
        </w:rPr>
      </w:pPr>
      <w:r>
        <w:rPr>
          <w:rFonts w:hint="eastAsia" w:ascii="宋体" w:hAnsi="宋体" w:cs="宋体"/>
          <w:szCs w:val="21"/>
          <w:lang w:val="zh-CN"/>
        </w:rPr>
        <w:t>若本企业（单位）发生有悖于上述承诺的行为，愿意接受《中华人民共和国政府采购法》和《政府采购法实施条例》中对供应商的相关处理。</w:t>
      </w:r>
    </w:p>
    <w:p>
      <w:pPr>
        <w:autoSpaceDE w:val="0"/>
        <w:autoSpaceDN w:val="0"/>
        <w:ind w:firstLine="0" w:firstLineChars="0"/>
        <w:rPr>
          <w:rFonts w:ascii="宋体" w:hAnsi="宋体" w:cs="宋体"/>
          <w:sz w:val="24"/>
          <w:lang w:val="zh-CN"/>
        </w:rPr>
      </w:pPr>
      <w:r>
        <w:rPr>
          <w:rFonts w:hint="eastAsia" w:ascii="宋体" w:hAnsi="宋体" w:cs="宋体"/>
          <w:szCs w:val="21"/>
          <w:lang w:val="zh-CN"/>
        </w:rPr>
        <w:t>本承诺是采购项目投标文件的组成部分。</w:t>
      </w: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tabs>
          <w:tab w:val="left" w:pos="3060"/>
          <w:tab w:val="left" w:pos="3600"/>
          <w:tab w:val="left" w:pos="4635"/>
        </w:tabs>
        <w:ind w:firstLine="3780" w:firstLineChars="1800"/>
        <w:rPr>
          <w:rFonts w:ascii="宋体" w:hAnsi="宋体"/>
          <w:szCs w:val="21"/>
        </w:rPr>
      </w:pPr>
      <w:r>
        <w:rPr>
          <w:rFonts w:hint="eastAsia" w:ascii="宋体" w:hAnsi="宋体"/>
          <w:szCs w:val="21"/>
        </w:rPr>
        <w:t xml:space="preserve">投标人全称（盖章）：  </w:t>
      </w:r>
    </w:p>
    <w:p>
      <w:pPr>
        <w:tabs>
          <w:tab w:val="left" w:pos="3060"/>
          <w:tab w:val="left" w:pos="4635"/>
        </w:tabs>
        <w:ind w:firstLine="3780" w:firstLineChars="1800"/>
        <w:rPr>
          <w:rFonts w:ascii="宋体" w:hAnsi="宋体"/>
          <w:color w:val="000000"/>
          <w:szCs w:val="21"/>
        </w:rPr>
      </w:pPr>
      <w:r>
        <w:rPr>
          <w:rFonts w:hint="eastAsia" w:ascii="宋体" w:hAnsi="宋体"/>
          <w:color w:val="000000"/>
          <w:szCs w:val="21"/>
        </w:rPr>
        <w:t xml:space="preserve">法定代表人或授权代表（签字或盖章）：     </w:t>
      </w:r>
    </w:p>
    <w:p>
      <w:pPr>
        <w:autoSpaceDE w:val="0"/>
        <w:autoSpaceDN w:val="0"/>
        <w:ind w:firstLine="3780" w:firstLineChars="1800"/>
        <w:rPr>
          <w:rFonts w:ascii="宋体" w:hAnsi="宋体" w:cs="宋体"/>
          <w:color w:val="000000"/>
          <w:szCs w:val="21"/>
        </w:rPr>
      </w:pPr>
      <w:r>
        <w:rPr>
          <w:rFonts w:hint="eastAsia" w:ascii="宋体" w:hAnsi="宋体"/>
          <w:szCs w:val="21"/>
        </w:rPr>
        <w:t>日      期：</w:t>
      </w:r>
    </w:p>
    <w:p>
      <w:pPr>
        <w:autoSpaceDE w:val="0"/>
        <w:autoSpaceDN w:val="0"/>
        <w:spacing w:line="400" w:lineRule="exact"/>
        <w:ind w:firstLine="0" w:firstLineChars="0"/>
        <w:rPr>
          <w:rFonts w:ascii="宋体" w:hAnsi="宋体" w:cs="宋体"/>
          <w:b/>
          <w:bCs/>
          <w:sz w:val="24"/>
          <w:lang w:val="zh-CN"/>
        </w:rPr>
      </w:pPr>
    </w:p>
    <w:p>
      <w:pPr>
        <w:pStyle w:val="3"/>
        <w:ind w:firstLine="0" w:firstLineChars="0"/>
        <w:rPr>
          <w:lang w:val="zh-CN"/>
        </w:rPr>
      </w:pPr>
      <w:bookmarkStart w:id="94" w:name="_Toc15596"/>
      <w:bookmarkStart w:id="95" w:name="_Toc29100"/>
      <w:bookmarkStart w:id="96" w:name="_Toc13894"/>
      <w:r>
        <w:rPr>
          <w:lang w:val="zh-CN"/>
        </w:rPr>
        <w:br w:type="page"/>
      </w:r>
    </w:p>
    <w:p>
      <w:pPr>
        <w:pStyle w:val="3"/>
        <w:ind w:firstLine="0" w:firstLineChars="0"/>
      </w:pPr>
      <w:bookmarkStart w:id="97" w:name="_Toc61249575"/>
      <w:r>
        <w:rPr>
          <w:rFonts w:hint="eastAsia"/>
          <w:lang w:val="zh-CN"/>
        </w:rPr>
        <w:t>附件八财务状况、缴纳税收和社会保障资金证明</w:t>
      </w:r>
      <w:bookmarkEnd w:id="94"/>
      <w:bookmarkEnd w:id="95"/>
      <w:bookmarkEnd w:id="96"/>
      <w:bookmarkEnd w:id="97"/>
    </w:p>
    <w:p>
      <w:pPr>
        <w:autoSpaceDE w:val="0"/>
        <w:autoSpaceDN w:val="0"/>
        <w:spacing w:line="400" w:lineRule="exact"/>
        <w:ind w:firstLine="0" w:firstLineChars="0"/>
        <w:rPr>
          <w:rFonts w:ascii="宋体" w:hAnsi="宋体" w:cs="宋体"/>
          <w:sz w:val="32"/>
          <w:szCs w:val="32"/>
          <w:lang w:val="zh-CN"/>
        </w:rPr>
      </w:pPr>
    </w:p>
    <w:p>
      <w:pPr>
        <w:autoSpaceDE w:val="0"/>
        <w:autoSpaceDN w:val="0"/>
        <w:spacing w:line="400" w:lineRule="exact"/>
        <w:ind w:firstLine="0" w:firstLineChars="0"/>
        <w:rPr>
          <w:rFonts w:ascii="宋体" w:hAnsi="宋体" w:cs="宋体"/>
          <w:sz w:val="24"/>
          <w:lang w:val="zh-CN"/>
        </w:rPr>
      </w:pPr>
      <w:r>
        <w:rPr>
          <w:rFonts w:hint="eastAsia" w:ascii="宋体" w:hAnsi="宋体" w:cs="宋体"/>
          <w:sz w:val="24"/>
          <w:lang w:val="zh-CN"/>
        </w:rPr>
        <w:t>按照规定提供以下相关材料。</w:t>
      </w:r>
    </w:p>
    <w:p>
      <w:pPr>
        <w:autoSpaceDE w:val="0"/>
        <w:autoSpaceDN w:val="0"/>
        <w:spacing w:line="400" w:lineRule="exact"/>
        <w:ind w:firstLine="0" w:firstLineChars="0"/>
        <w:rPr>
          <w:rFonts w:ascii="宋体" w:hAnsi="宋体" w:cs="宋体"/>
          <w:sz w:val="24"/>
          <w:lang w:val="zh-CN"/>
        </w:rPr>
      </w:pPr>
    </w:p>
    <w:p>
      <w:pPr>
        <w:widowControl w:val="0"/>
        <w:numPr>
          <w:ilvl w:val="0"/>
          <w:numId w:val="13"/>
        </w:numPr>
        <w:autoSpaceDE w:val="0"/>
        <w:autoSpaceDN w:val="0"/>
        <w:spacing w:line="400" w:lineRule="exact"/>
        <w:ind w:firstLine="0" w:firstLineChars="0"/>
        <w:jc w:val="both"/>
        <w:rPr>
          <w:rFonts w:ascii="宋体" w:hAnsi="宋体" w:cs="宋体"/>
          <w:sz w:val="24"/>
          <w:szCs w:val="24"/>
          <w:lang w:val="zh-CN"/>
        </w:rPr>
      </w:pPr>
      <w:r>
        <w:rPr>
          <w:rFonts w:hint="eastAsia" w:ascii="宋体" w:hAnsi="宋体" w:cs="宋体"/>
          <w:sz w:val="24"/>
          <w:szCs w:val="24"/>
          <w:lang w:val="zh-CN"/>
        </w:rPr>
        <w:t>供应商是法人的，提供基本开户银行近三个月内出具的资信证明（同时提供基本存款账户开户许可证）或201</w:t>
      </w:r>
      <w:r>
        <w:rPr>
          <w:rFonts w:ascii="宋体" w:hAnsi="宋体" w:cs="宋体"/>
          <w:sz w:val="24"/>
          <w:szCs w:val="24"/>
        </w:rPr>
        <w:t>9</w:t>
      </w:r>
      <w:r>
        <w:rPr>
          <w:rFonts w:hint="eastAsia" w:ascii="宋体" w:hAnsi="宋体" w:cs="宋体"/>
          <w:sz w:val="24"/>
          <w:szCs w:val="24"/>
          <w:lang w:val="zh-CN"/>
        </w:rPr>
        <w:t>年度经第三方审计的财务状况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开户许可证）。</w:t>
      </w:r>
    </w:p>
    <w:p>
      <w:pPr>
        <w:widowControl w:val="0"/>
        <w:numPr>
          <w:ilvl w:val="0"/>
          <w:numId w:val="13"/>
        </w:numPr>
        <w:autoSpaceDE w:val="0"/>
        <w:autoSpaceDN w:val="0"/>
        <w:spacing w:line="400" w:lineRule="exact"/>
        <w:ind w:firstLine="0" w:firstLineChars="0"/>
        <w:jc w:val="both"/>
        <w:rPr>
          <w:rFonts w:ascii="宋体" w:hAnsi="宋体" w:cs="宋体"/>
          <w:sz w:val="24"/>
          <w:szCs w:val="24"/>
          <w:lang w:val="zh-CN"/>
        </w:rPr>
      </w:pPr>
      <w:r>
        <w:rPr>
          <w:rFonts w:hint="eastAsia" w:ascii="宋体" w:hAnsi="宋体" w:cs="宋体"/>
          <w:sz w:val="24"/>
          <w:szCs w:val="24"/>
          <w:lang w:val="zh-CN"/>
        </w:rPr>
        <w:t>本年度新注册的企业不需要提供财务状况审计报告，需要基本开户银行出具的近三个月银行资信证明文件，扫描（或复印）件应全面、完整、清晰。</w:t>
      </w:r>
    </w:p>
    <w:p>
      <w:pPr>
        <w:widowControl w:val="0"/>
        <w:numPr>
          <w:ilvl w:val="0"/>
          <w:numId w:val="13"/>
        </w:numPr>
        <w:autoSpaceDE w:val="0"/>
        <w:autoSpaceDN w:val="0"/>
        <w:spacing w:line="400" w:lineRule="exact"/>
        <w:ind w:firstLine="0" w:firstLineChars="0"/>
        <w:jc w:val="both"/>
        <w:rPr>
          <w:rFonts w:ascii="宋体" w:hAnsi="宋体" w:cs="宋体"/>
          <w:sz w:val="24"/>
          <w:szCs w:val="24"/>
          <w:lang w:val="zh-CN"/>
        </w:rPr>
      </w:pPr>
      <w:r>
        <w:rPr>
          <w:rFonts w:hint="eastAsia" w:ascii="宋体" w:hAnsi="宋体" w:cs="宋体"/>
          <w:sz w:val="24"/>
          <w:szCs w:val="24"/>
          <w:lang w:val="zh-CN"/>
        </w:rPr>
        <w:t>近三个月依法缴纳税收和社会保障资金记录的证明材料；依法免税或不需要缴纳社会保障资金的供应商需提供相应文件证明其依法免税或不需要缴纳社会保障资金。</w:t>
      </w: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pStyle w:val="3"/>
        <w:ind w:firstLine="0" w:firstLineChars="0"/>
      </w:pPr>
      <w:bookmarkStart w:id="98" w:name="_Toc26112"/>
      <w:bookmarkStart w:id="99" w:name="_Toc8983"/>
      <w:bookmarkStart w:id="100" w:name="_Toc8091"/>
      <w:bookmarkStart w:id="101" w:name="_Toc61249576"/>
      <w:r>
        <w:rPr>
          <w:rFonts w:hint="eastAsia"/>
          <w:lang w:val="zh-CN"/>
        </w:rPr>
        <w:t>附件九无重大违法记录声明</w:t>
      </w:r>
      <w:bookmarkEnd w:id="98"/>
      <w:bookmarkEnd w:id="99"/>
      <w:bookmarkEnd w:id="100"/>
      <w:bookmarkEnd w:id="101"/>
    </w:p>
    <w:p>
      <w:pPr>
        <w:autoSpaceDE w:val="0"/>
        <w:autoSpaceDN w:val="0"/>
        <w:ind w:firstLine="0" w:firstLineChars="0"/>
        <w:rPr>
          <w:rFonts w:ascii="宋体" w:hAnsi="宋体" w:cs="宋体"/>
          <w:sz w:val="24"/>
          <w:lang w:val="zh-CN"/>
        </w:rPr>
      </w:pPr>
    </w:p>
    <w:p>
      <w:pPr>
        <w:spacing w:line="500" w:lineRule="exact"/>
        <w:ind w:firstLine="0" w:firstLineChars="0"/>
        <w:rPr>
          <w:rFonts w:ascii="宋体" w:hAnsi="宋体" w:cs="宋体"/>
          <w:b/>
          <w:sz w:val="24"/>
          <w:szCs w:val="24"/>
          <w:lang w:val="zh-CN"/>
        </w:rPr>
      </w:pPr>
      <w:r>
        <w:rPr>
          <w:rFonts w:hint="eastAsia" w:ascii="宋体" w:hAnsi="宋体"/>
          <w:b/>
          <w:bCs/>
          <w:sz w:val="24"/>
          <w:szCs w:val="24"/>
          <w:lang w:val="zh-CN"/>
        </w:rPr>
        <w:t>致：</w:t>
      </w:r>
      <w:r>
        <w:rPr>
          <w:rFonts w:hint="eastAsia" w:ascii="宋体" w:hAnsi="宋体" w:cs="宋体"/>
          <w:b/>
          <w:sz w:val="24"/>
          <w:szCs w:val="24"/>
          <w:lang w:val="zh-CN"/>
        </w:rPr>
        <w:t>青海省禹龙水利水电工程招标技术咨询中心有限责任公司</w:t>
      </w:r>
    </w:p>
    <w:p>
      <w:pPr>
        <w:spacing w:line="500" w:lineRule="exact"/>
        <w:ind w:firstLine="480"/>
        <w:rPr>
          <w:rFonts w:ascii="宋体" w:hAnsi="宋体"/>
          <w:sz w:val="24"/>
          <w:lang w:val="zh-CN"/>
        </w:rPr>
      </w:pPr>
      <w:r>
        <w:rPr>
          <w:rFonts w:hint="eastAsia" w:ascii="宋体" w:hAnsi="宋体"/>
          <w:sz w:val="24"/>
          <w:lang w:val="zh-CN"/>
        </w:rPr>
        <w:t>我单位参加本次政府采购项目活动前三年内，在经营活动中无重大违法活动记录，符合《政府采购法》规定的供应商资格条件。我方对此声明负全部法律责任。</w:t>
      </w:r>
    </w:p>
    <w:p>
      <w:pPr>
        <w:spacing w:line="500" w:lineRule="exact"/>
        <w:ind w:firstLine="0" w:firstLineChars="0"/>
        <w:rPr>
          <w:rFonts w:ascii="宋体" w:hAnsi="宋体"/>
          <w:sz w:val="24"/>
          <w:lang w:val="zh-CN"/>
        </w:rPr>
      </w:pPr>
      <w:r>
        <w:rPr>
          <w:rFonts w:hint="eastAsia" w:ascii="宋体" w:hAnsi="宋体"/>
          <w:sz w:val="24"/>
          <w:lang w:val="zh-CN"/>
        </w:rPr>
        <w:t>特此声明。</w:t>
      </w:r>
    </w:p>
    <w:p>
      <w:pPr>
        <w:spacing w:line="500" w:lineRule="exact"/>
        <w:ind w:firstLine="0" w:firstLineChars="0"/>
        <w:rPr>
          <w:rFonts w:ascii="宋体" w:hAnsi="宋体"/>
          <w:sz w:val="24"/>
          <w:lang w:val="zh-CN"/>
        </w:rPr>
      </w:pPr>
    </w:p>
    <w:p>
      <w:pPr>
        <w:spacing w:line="500" w:lineRule="exact"/>
        <w:ind w:firstLine="0" w:firstLineChars="0"/>
        <w:rPr>
          <w:rFonts w:ascii="宋体" w:hAnsi="宋体"/>
          <w:sz w:val="24"/>
          <w:lang w:val="zh-CN"/>
        </w:rPr>
      </w:pPr>
      <w:r>
        <w:rPr>
          <w:rFonts w:hint="eastAsia" w:ascii="宋体" w:hAnsi="宋体"/>
          <w:sz w:val="24"/>
          <w:lang w:val="zh-CN"/>
        </w:rPr>
        <w:t>附“信用中国”网站查询截图，时间为投标截止时间前20天内。</w:t>
      </w:r>
    </w:p>
    <w:p>
      <w:pPr>
        <w:spacing w:line="500" w:lineRule="exact"/>
        <w:ind w:firstLine="0" w:firstLineChars="0"/>
        <w:rPr>
          <w:rFonts w:ascii="宋体" w:hAnsi="宋体"/>
          <w:sz w:val="24"/>
          <w:lang w:val="zh-CN"/>
        </w:rPr>
      </w:pPr>
    </w:p>
    <w:p>
      <w:pPr>
        <w:widowControl w:val="0"/>
        <w:autoSpaceDE w:val="0"/>
        <w:autoSpaceDN w:val="0"/>
        <w:spacing w:line="400" w:lineRule="exact"/>
        <w:ind w:firstLine="0" w:firstLineChars="0"/>
        <w:jc w:val="right"/>
        <w:rPr>
          <w:rFonts w:ascii="宋体" w:hAnsi="宋体" w:cs="宋体"/>
          <w:b/>
          <w:sz w:val="24"/>
          <w:szCs w:val="24"/>
          <w:lang w:val="zh-CN"/>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3465" w:firstLineChars="1650"/>
        <w:rPr>
          <w:rFonts w:ascii="宋体" w:hAnsi="宋体"/>
          <w:szCs w:val="21"/>
        </w:rPr>
      </w:pPr>
      <w:r>
        <w:rPr>
          <w:rFonts w:hint="eastAsia" w:ascii="宋体" w:hAnsi="宋体"/>
          <w:szCs w:val="21"/>
        </w:rPr>
        <w:t xml:space="preserve">投标人全称（盖章）：  </w:t>
      </w:r>
    </w:p>
    <w:p>
      <w:pPr>
        <w:tabs>
          <w:tab w:val="left" w:pos="3060"/>
          <w:tab w:val="left" w:pos="4635"/>
        </w:tabs>
        <w:ind w:firstLine="3465" w:firstLineChars="1650"/>
        <w:rPr>
          <w:rFonts w:ascii="宋体" w:hAnsi="宋体"/>
          <w:color w:val="000000"/>
          <w:szCs w:val="21"/>
        </w:rPr>
      </w:pPr>
      <w:r>
        <w:rPr>
          <w:rFonts w:hint="eastAsia" w:ascii="宋体" w:hAnsi="宋体"/>
          <w:color w:val="000000"/>
          <w:szCs w:val="21"/>
        </w:rPr>
        <w:t xml:space="preserve">法定代表人或授权代表（签字或盖章）：     </w:t>
      </w:r>
    </w:p>
    <w:p>
      <w:pPr>
        <w:ind w:firstLine="3465" w:firstLineChars="1650"/>
        <w:rPr>
          <w:rFonts w:ascii="宋体" w:hAnsi="宋体"/>
        </w:rPr>
      </w:pPr>
      <w:r>
        <w:rPr>
          <w:rFonts w:hint="eastAsia" w:ascii="宋体" w:hAnsi="宋体"/>
          <w:szCs w:val="21"/>
        </w:rPr>
        <w:t>日      期：</w:t>
      </w: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spacing w:beforeLines="50" w:afterLines="50"/>
        <w:ind w:firstLine="0" w:firstLineChars="0"/>
        <w:rPr>
          <w:rFonts w:ascii="宋体" w:hAnsi="宋体"/>
        </w:rPr>
      </w:pPr>
    </w:p>
    <w:p>
      <w:pPr>
        <w:pStyle w:val="3"/>
        <w:ind w:firstLine="0" w:firstLineChars="0"/>
      </w:pPr>
      <w:bookmarkStart w:id="102" w:name="_Toc176658522"/>
      <w:bookmarkStart w:id="103" w:name="_Toc176666485"/>
      <w:bookmarkStart w:id="104" w:name="_Toc70417081"/>
      <w:bookmarkStart w:id="105" w:name="_Toc61249577"/>
      <w:bookmarkStart w:id="106" w:name="_Toc18174"/>
      <w:bookmarkStart w:id="107" w:name="_Toc229214697"/>
      <w:bookmarkStart w:id="108" w:name="_Toc28392"/>
      <w:r>
        <w:rPr>
          <w:rFonts w:hint="eastAsia"/>
        </w:rPr>
        <w:t>附件</w:t>
      </w:r>
      <w:bookmarkEnd w:id="102"/>
      <w:bookmarkEnd w:id="103"/>
      <w:bookmarkEnd w:id="104"/>
      <w:r>
        <w:rPr>
          <w:rFonts w:hint="eastAsia"/>
        </w:rPr>
        <w:t>十投标人基本概况</w:t>
      </w:r>
      <w:bookmarkEnd w:id="105"/>
      <w:bookmarkEnd w:id="106"/>
      <w:bookmarkEnd w:id="107"/>
      <w:bookmarkEnd w:id="108"/>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41"/>
        <w:gridCol w:w="638"/>
        <w:gridCol w:w="285"/>
        <w:gridCol w:w="556"/>
        <w:gridCol w:w="1991"/>
        <w:gridCol w:w="838"/>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单位名称</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单位地址</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主管部门</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成立时间</w:t>
            </w:r>
          </w:p>
        </w:tc>
        <w:tc>
          <w:tcPr>
            <w:tcW w:w="2379" w:type="dxa"/>
            <w:gridSpan w:val="2"/>
            <w:vAlign w:val="center"/>
          </w:tcPr>
          <w:p>
            <w:pPr>
              <w:spacing w:line="240" w:lineRule="auto"/>
              <w:ind w:firstLine="0" w:firstLineChars="0"/>
              <w:rPr>
                <w:b/>
                <w:color w:val="000000"/>
                <w:sz w:val="24"/>
                <w:szCs w:val="24"/>
              </w:rPr>
            </w:pPr>
          </w:p>
        </w:tc>
        <w:tc>
          <w:tcPr>
            <w:tcW w:w="2832" w:type="dxa"/>
            <w:gridSpan w:val="3"/>
            <w:vAlign w:val="center"/>
          </w:tcPr>
          <w:p>
            <w:pPr>
              <w:spacing w:line="240" w:lineRule="auto"/>
              <w:ind w:firstLine="0" w:firstLineChars="0"/>
              <w:rPr>
                <w:b/>
                <w:color w:val="000000"/>
                <w:sz w:val="24"/>
                <w:szCs w:val="24"/>
              </w:rPr>
            </w:pPr>
            <w:r>
              <w:rPr>
                <w:b/>
                <w:color w:val="000000"/>
                <w:sz w:val="24"/>
                <w:szCs w:val="24"/>
              </w:rPr>
              <w:t>注册资金（万）</w:t>
            </w:r>
          </w:p>
        </w:tc>
        <w:tc>
          <w:tcPr>
            <w:tcW w:w="3200" w:type="dxa"/>
            <w:gridSpan w:val="2"/>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单位性质</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投标期间</w:t>
            </w:r>
          </w:p>
          <w:p>
            <w:pPr>
              <w:spacing w:line="240" w:lineRule="auto"/>
              <w:ind w:firstLine="0" w:firstLineChars="0"/>
              <w:rPr>
                <w:b/>
                <w:color w:val="000000"/>
                <w:sz w:val="24"/>
                <w:szCs w:val="24"/>
              </w:rPr>
            </w:pPr>
            <w:r>
              <w:rPr>
                <w:b/>
                <w:color w:val="000000"/>
                <w:sz w:val="24"/>
                <w:szCs w:val="24"/>
              </w:rPr>
              <w:t>联系人</w:t>
            </w:r>
          </w:p>
        </w:tc>
        <w:tc>
          <w:tcPr>
            <w:tcW w:w="1741" w:type="dxa"/>
            <w:vAlign w:val="center"/>
          </w:tcPr>
          <w:p>
            <w:pPr>
              <w:spacing w:line="240" w:lineRule="auto"/>
              <w:ind w:firstLine="0" w:firstLineChars="0"/>
              <w:rPr>
                <w:b/>
                <w:color w:val="000000"/>
                <w:sz w:val="24"/>
                <w:szCs w:val="24"/>
              </w:rPr>
            </w:pPr>
          </w:p>
        </w:tc>
        <w:tc>
          <w:tcPr>
            <w:tcW w:w="923" w:type="dxa"/>
            <w:gridSpan w:val="2"/>
            <w:vAlign w:val="center"/>
          </w:tcPr>
          <w:p>
            <w:pPr>
              <w:spacing w:line="240" w:lineRule="auto"/>
              <w:ind w:firstLine="0" w:firstLineChars="0"/>
              <w:rPr>
                <w:b/>
                <w:color w:val="000000"/>
                <w:sz w:val="24"/>
                <w:szCs w:val="24"/>
              </w:rPr>
            </w:pPr>
            <w:r>
              <w:rPr>
                <w:b/>
                <w:color w:val="000000"/>
                <w:sz w:val="24"/>
                <w:szCs w:val="24"/>
              </w:rPr>
              <w:t>电话</w:t>
            </w:r>
          </w:p>
        </w:tc>
        <w:tc>
          <w:tcPr>
            <w:tcW w:w="2547" w:type="dxa"/>
            <w:gridSpan w:val="2"/>
            <w:vAlign w:val="center"/>
          </w:tcPr>
          <w:p>
            <w:pPr>
              <w:spacing w:line="240" w:lineRule="auto"/>
              <w:ind w:firstLine="0" w:firstLineChars="0"/>
              <w:rPr>
                <w:b/>
                <w:color w:val="000000"/>
                <w:sz w:val="24"/>
                <w:szCs w:val="24"/>
              </w:rPr>
            </w:pPr>
          </w:p>
        </w:tc>
        <w:tc>
          <w:tcPr>
            <w:tcW w:w="838" w:type="dxa"/>
            <w:vAlign w:val="center"/>
          </w:tcPr>
          <w:p>
            <w:pPr>
              <w:spacing w:line="240" w:lineRule="auto"/>
              <w:ind w:firstLine="0" w:firstLineChars="0"/>
              <w:rPr>
                <w:b/>
                <w:color w:val="000000"/>
                <w:sz w:val="24"/>
                <w:szCs w:val="24"/>
              </w:rPr>
            </w:pPr>
            <w:r>
              <w:rPr>
                <w:b/>
                <w:color w:val="000000"/>
                <w:sz w:val="24"/>
                <w:szCs w:val="24"/>
              </w:rPr>
              <w:t>传真</w:t>
            </w:r>
          </w:p>
        </w:tc>
        <w:tc>
          <w:tcPr>
            <w:tcW w:w="2362" w:type="dxa"/>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restart"/>
            <w:vAlign w:val="center"/>
          </w:tcPr>
          <w:p>
            <w:pPr>
              <w:spacing w:line="240" w:lineRule="auto"/>
              <w:ind w:firstLine="0" w:firstLineChars="0"/>
              <w:rPr>
                <w:b/>
                <w:color w:val="000000"/>
                <w:sz w:val="24"/>
                <w:szCs w:val="24"/>
              </w:rPr>
            </w:pPr>
            <w:r>
              <w:rPr>
                <w:b/>
                <w:color w:val="000000"/>
                <w:sz w:val="24"/>
                <w:szCs w:val="24"/>
              </w:rPr>
              <w:t>职</w:t>
            </w:r>
          </w:p>
          <w:p>
            <w:pPr>
              <w:spacing w:line="240" w:lineRule="auto"/>
              <w:ind w:firstLine="0" w:firstLineChars="0"/>
              <w:rPr>
                <w:b/>
                <w:color w:val="000000"/>
                <w:sz w:val="24"/>
                <w:szCs w:val="24"/>
              </w:rPr>
            </w:pPr>
          </w:p>
          <w:p>
            <w:pPr>
              <w:spacing w:line="240" w:lineRule="auto"/>
              <w:ind w:firstLine="0" w:firstLineChars="0"/>
              <w:rPr>
                <w:b/>
                <w:color w:val="000000"/>
                <w:sz w:val="24"/>
                <w:szCs w:val="24"/>
              </w:rPr>
            </w:pPr>
            <w:r>
              <w:rPr>
                <w:b/>
                <w:color w:val="000000"/>
                <w:sz w:val="24"/>
                <w:szCs w:val="24"/>
              </w:rPr>
              <w:t>工</w:t>
            </w:r>
          </w:p>
          <w:p>
            <w:pPr>
              <w:spacing w:line="240" w:lineRule="auto"/>
              <w:ind w:firstLine="0" w:firstLineChars="0"/>
              <w:rPr>
                <w:b/>
                <w:color w:val="000000"/>
                <w:sz w:val="24"/>
                <w:szCs w:val="24"/>
              </w:rPr>
            </w:pPr>
          </w:p>
          <w:p>
            <w:pPr>
              <w:spacing w:line="240" w:lineRule="auto"/>
              <w:ind w:firstLine="0" w:firstLineChars="0"/>
              <w:rPr>
                <w:b/>
                <w:color w:val="000000"/>
                <w:sz w:val="24"/>
                <w:szCs w:val="24"/>
              </w:rPr>
            </w:pPr>
            <w:r>
              <w:rPr>
                <w:b/>
                <w:color w:val="000000"/>
                <w:sz w:val="24"/>
                <w:szCs w:val="24"/>
              </w:rPr>
              <w:t>概</w:t>
            </w:r>
          </w:p>
          <w:p>
            <w:pPr>
              <w:spacing w:line="240" w:lineRule="auto"/>
              <w:ind w:firstLine="0" w:firstLineChars="0"/>
              <w:rPr>
                <w:b/>
                <w:color w:val="000000"/>
                <w:sz w:val="24"/>
                <w:szCs w:val="24"/>
              </w:rPr>
            </w:pPr>
          </w:p>
          <w:p>
            <w:pPr>
              <w:spacing w:line="240" w:lineRule="auto"/>
              <w:ind w:firstLine="0" w:firstLineChars="0"/>
              <w:rPr>
                <w:b/>
                <w:color w:val="000000"/>
                <w:sz w:val="24"/>
                <w:szCs w:val="24"/>
              </w:rPr>
            </w:pPr>
            <w:r>
              <w:rPr>
                <w:b/>
                <w:color w:val="000000"/>
                <w:sz w:val="24"/>
                <w:szCs w:val="24"/>
              </w:rPr>
              <w:t>况</w:t>
            </w:r>
          </w:p>
        </w:tc>
        <w:tc>
          <w:tcPr>
            <w:tcW w:w="1741"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职工总数</w:t>
            </w:r>
          </w:p>
        </w:tc>
        <w:tc>
          <w:tcPr>
            <w:tcW w:w="923" w:type="dxa"/>
            <w:gridSpan w:val="2"/>
            <w:tcBorders>
              <w:bottom w:val="single" w:color="auto" w:sz="4" w:space="0"/>
            </w:tcBorders>
            <w:vAlign w:val="center"/>
          </w:tcPr>
          <w:p>
            <w:pPr>
              <w:spacing w:line="240" w:lineRule="auto"/>
              <w:ind w:firstLine="0" w:firstLineChars="0"/>
              <w:rPr>
                <w:b/>
                <w:color w:val="000000"/>
                <w:sz w:val="24"/>
                <w:szCs w:val="24"/>
              </w:rPr>
            </w:pPr>
          </w:p>
        </w:tc>
        <w:tc>
          <w:tcPr>
            <w:tcW w:w="2547" w:type="dxa"/>
            <w:gridSpan w:val="2"/>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其中：技术人员数</w:t>
            </w:r>
          </w:p>
        </w:tc>
        <w:tc>
          <w:tcPr>
            <w:tcW w:w="3200" w:type="dxa"/>
            <w:gridSpan w:val="2"/>
            <w:tcBorders>
              <w:bottom w:val="single" w:color="auto" w:sz="4" w:space="0"/>
            </w:tcBorders>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高级工程师</w:t>
            </w:r>
          </w:p>
        </w:tc>
        <w:tc>
          <w:tcPr>
            <w:tcW w:w="923" w:type="dxa"/>
            <w:gridSpan w:val="2"/>
            <w:tcBorders>
              <w:bottom w:val="single" w:color="auto" w:sz="4" w:space="0"/>
            </w:tcBorders>
            <w:vAlign w:val="center"/>
          </w:tcPr>
          <w:p>
            <w:pPr>
              <w:spacing w:line="240" w:lineRule="auto"/>
              <w:ind w:firstLine="0" w:firstLineChars="0"/>
              <w:rPr>
                <w:b/>
                <w:color w:val="000000"/>
                <w:sz w:val="24"/>
                <w:szCs w:val="24"/>
              </w:rPr>
            </w:pPr>
          </w:p>
        </w:tc>
        <w:tc>
          <w:tcPr>
            <w:tcW w:w="2547" w:type="dxa"/>
            <w:gridSpan w:val="2"/>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工程师</w:t>
            </w:r>
          </w:p>
        </w:tc>
        <w:tc>
          <w:tcPr>
            <w:tcW w:w="3200" w:type="dxa"/>
            <w:gridSpan w:val="2"/>
            <w:tcBorders>
              <w:bottom w:val="single" w:color="auto" w:sz="4" w:space="0"/>
            </w:tcBorders>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助理工程师</w:t>
            </w:r>
          </w:p>
        </w:tc>
        <w:tc>
          <w:tcPr>
            <w:tcW w:w="923" w:type="dxa"/>
            <w:gridSpan w:val="2"/>
            <w:tcBorders>
              <w:bottom w:val="single" w:color="auto" w:sz="4" w:space="0"/>
            </w:tcBorders>
            <w:vAlign w:val="center"/>
          </w:tcPr>
          <w:p>
            <w:pPr>
              <w:spacing w:line="240" w:lineRule="auto"/>
              <w:ind w:firstLine="0" w:firstLineChars="0"/>
              <w:rPr>
                <w:b/>
                <w:color w:val="000000"/>
                <w:sz w:val="24"/>
                <w:szCs w:val="24"/>
              </w:rPr>
            </w:pPr>
          </w:p>
        </w:tc>
        <w:tc>
          <w:tcPr>
            <w:tcW w:w="2547" w:type="dxa"/>
            <w:gridSpan w:val="2"/>
            <w:tcBorders>
              <w:bottom w:val="single" w:color="auto" w:sz="4" w:space="0"/>
            </w:tcBorders>
            <w:vAlign w:val="center"/>
          </w:tcPr>
          <w:p>
            <w:pPr>
              <w:spacing w:line="240" w:lineRule="auto"/>
              <w:ind w:firstLine="0" w:firstLineChars="0"/>
              <w:rPr>
                <w:b/>
                <w:color w:val="000000"/>
                <w:sz w:val="24"/>
                <w:szCs w:val="24"/>
              </w:rPr>
            </w:pPr>
          </w:p>
        </w:tc>
        <w:tc>
          <w:tcPr>
            <w:tcW w:w="3200" w:type="dxa"/>
            <w:gridSpan w:val="2"/>
            <w:tcBorders>
              <w:bottom w:val="single" w:color="auto" w:sz="4" w:space="0"/>
            </w:tcBorders>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8411" w:type="dxa"/>
            <w:gridSpan w:val="7"/>
            <w:vAlign w:val="center"/>
          </w:tcPr>
          <w:p>
            <w:pPr>
              <w:spacing w:line="240" w:lineRule="auto"/>
              <w:ind w:firstLine="0" w:firstLineChars="0"/>
              <w:rPr>
                <w:b/>
                <w:color w:val="000000"/>
                <w:sz w:val="24"/>
                <w:szCs w:val="24"/>
              </w:rPr>
            </w:pPr>
            <w:r>
              <w:rPr>
                <w:b/>
                <w:color w:val="000000"/>
                <w:sz w:val="24"/>
                <w:szCs w:val="24"/>
              </w:rPr>
              <w:t>单位行政和技术负责人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vAlign w:val="center"/>
          </w:tcPr>
          <w:p>
            <w:pPr>
              <w:spacing w:line="240" w:lineRule="auto"/>
              <w:ind w:firstLine="0" w:firstLineChars="0"/>
              <w:rPr>
                <w:b/>
                <w:color w:val="000000"/>
                <w:sz w:val="24"/>
                <w:szCs w:val="24"/>
              </w:rPr>
            </w:pPr>
            <w:r>
              <w:rPr>
                <w:b/>
                <w:color w:val="000000"/>
                <w:sz w:val="24"/>
                <w:szCs w:val="24"/>
              </w:rPr>
              <w:t>姓名</w:t>
            </w:r>
          </w:p>
        </w:tc>
        <w:tc>
          <w:tcPr>
            <w:tcW w:w="1479" w:type="dxa"/>
            <w:gridSpan w:val="3"/>
            <w:vAlign w:val="center"/>
          </w:tcPr>
          <w:p>
            <w:pPr>
              <w:spacing w:line="240" w:lineRule="auto"/>
              <w:ind w:firstLine="0" w:firstLineChars="0"/>
              <w:rPr>
                <w:b/>
                <w:color w:val="000000"/>
                <w:sz w:val="24"/>
                <w:szCs w:val="24"/>
              </w:rPr>
            </w:pPr>
            <w:r>
              <w:rPr>
                <w:b/>
                <w:color w:val="000000"/>
                <w:sz w:val="24"/>
                <w:szCs w:val="24"/>
              </w:rPr>
              <w:t>职务/职称</w:t>
            </w:r>
          </w:p>
        </w:tc>
        <w:tc>
          <w:tcPr>
            <w:tcW w:w="1991" w:type="dxa"/>
            <w:vAlign w:val="center"/>
          </w:tcPr>
          <w:p>
            <w:pPr>
              <w:spacing w:line="240" w:lineRule="auto"/>
              <w:ind w:firstLine="0" w:firstLineChars="0"/>
              <w:rPr>
                <w:b/>
                <w:color w:val="000000"/>
                <w:sz w:val="24"/>
                <w:szCs w:val="24"/>
              </w:rPr>
            </w:pPr>
            <w:r>
              <w:rPr>
                <w:b/>
                <w:color w:val="000000"/>
                <w:sz w:val="24"/>
                <w:szCs w:val="24"/>
              </w:rPr>
              <w:t>年龄</w:t>
            </w:r>
          </w:p>
        </w:tc>
        <w:tc>
          <w:tcPr>
            <w:tcW w:w="3200" w:type="dxa"/>
            <w:gridSpan w:val="2"/>
            <w:vAlign w:val="center"/>
          </w:tcPr>
          <w:p>
            <w:pPr>
              <w:spacing w:line="240" w:lineRule="auto"/>
              <w:ind w:firstLine="0" w:firstLineChars="0"/>
              <w:rPr>
                <w:b/>
                <w:color w:val="000000"/>
                <w:sz w:val="24"/>
                <w:szCs w:val="24"/>
              </w:rPr>
            </w:pPr>
            <w:r>
              <w:rPr>
                <w:b/>
                <w:color w:val="000000"/>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vAlign w:val="center"/>
          </w:tcPr>
          <w:p>
            <w:pPr>
              <w:spacing w:line="240" w:lineRule="auto"/>
              <w:ind w:firstLine="0" w:firstLineChars="0"/>
              <w:rPr>
                <w:b/>
                <w:color w:val="000000"/>
                <w:sz w:val="24"/>
                <w:szCs w:val="24"/>
              </w:rPr>
            </w:pPr>
          </w:p>
        </w:tc>
        <w:tc>
          <w:tcPr>
            <w:tcW w:w="1479" w:type="dxa"/>
            <w:gridSpan w:val="3"/>
            <w:vAlign w:val="center"/>
          </w:tcPr>
          <w:p>
            <w:pPr>
              <w:spacing w:line="240" w:lineRule="auto"/>
              <w:ind w:firstLine="0" w:firstLineChars="0"/>
              <w:rPr>
                <w:b/>
                <w:color w:val="000000"/>
                <w:sz w:val="24"/>
                <w:szCs w:val="24"/>
              </w:rPr>
            </w:pPr>
          </w:p>
        </w:tc>
        <w:tc>
          <w:tcPr>
            <w:tcW w:w="1991" w:type="dxa"/>
            <w:vAlign w:val="center"/>
          </w:tcPr>
          <w:p>
            <w:pPr>
              <w:spacing w:line="240" w:lineRule="auto"/>
              <w:ind w:firstLine="0" w:firstLineChars="0"/>
              <w:rPr>
                <w:b/>
                <w:color w:val="000000"/>
                <w:sz w:val="24"/>
                <w:szCs w:val="24"/>
              </w:rPr>
            </w:pPr>
          </w:p>
        </w:tc>
        <w:tc>
          <w:tcPr>
            <w:tcW w:w="3200" w:type="dxa"/>
            <w:gridSpan w:val="2"/>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vAlign w:val="center"/>
          </w:tcPr>
          <w:p>
            <w:pPr>
              <w:spacing w:line="240" w:lineRule="auto"/>
              <w:ind w:firstLine="0" w:firstLineChars="0"/>
              <w:rPr>
                <w:b/>
                <w:color w:val="000000"/>
                <w:sz w:val="24"/>
                <w:szCs w:val="24"/>
              </w:rPr>
            </w:pPr>
          </w:p>
        </w:tc>
        <w:tc>
          <w:tcPr>
            <w:tcW w:w="1479" w:type="dxa"/>
            <w:gridSpan w:val="3"/>
            <w:vAlign w:val="center"/>
          </w:tcPr>
          <w:p>
            <w:pPr>
              <w:spacing w:line="240" w:lineRule="auto"/>
              <w:ind w:firstLine="0" w:firstLineChars="0"/>
              <w:rPr>
                <w:b/>
                <w:color w:val="000000"/>
                <w:sz w:val="24"/>
                <w:szCs w:val="24"/>
              </w:rPr>
            </w:pPr>
          </w:p>
        </w:tc>
        <w:tc>
          <w:tcPr>
            <w:tcW w:w="1991" w:type="dxa"/>
            <w:vAlign w:val="center"/>
          </w:tcPr>
          <w:p>
            <w:pPr>
              <w:spacing w:line="240" w:lineRule="auto"/>
              <w:ind w:firstLine="0" w:firstLineChars="0"/>
              <w:rPr>
                <w:b/>
                <w:color w:val="000000"/>
                <w:sz w:val="24"/>
                <w:szCs w:val="24"/>
              </w:rPr>
            </w:pPr>
          </w:p>
        </w:tc>
        <w:tc>
          <w:tcPr>
            <w:tcW w:w="3200" w:type="dxa"/>
            <w:gridSpan w:val="2"/>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exact"/>
          <w:jc w:val="center"/>
        </w:trPr>
        <w:tc>
          <w:tcPr>
            <w:tcW w:w="1526"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单</w:t>
            </w:r>
          </w:p>
          <w:p>
            <w:pPr>
              <w:spacing w:line="240" w:lineRule="auto"/>
              <w:ind w:firstLine="0" w:firstLineChars="0"/>
              <w:rPr>
                <w:b/>
                <w:color w:val="000000"/>
                <w:sz w:val="24"/>
                <w:szCs w:val="24"/>
              </w:rPr>
            </w:pPr>
            <w:r>
              <w:rPr>
                <w:b/>
                <w:color w:val="000000"/>
                <w:sz w:val="24"/>
                <w:szCs w:val="24"/>
              </w:rPr>
              <w:t>位</w:t>
            </w:r>
          </w:p>
          <w:p>
            <w:pPr>
              <w:spacing w:line="240" w:lineRule="auto"/>
              <w:ind w:firstLine="0" w:firstLineChars="0"/>
              <w:rPr>
                <w:b/>
                <w:color w:val="000000"/>
                <w:sz w:val="24"/>
                <w:szCs w:val="24"/>
              </w:rPr>
            </w:pPr>
            <w:r>
              <w:rPr>
                <w:b/>
                <w:color w:val="000000"/>
                <w:sz w:val="24"/>
                <w:szCs w:val="24"/>
              </w:rPr>
              <w:t>概</w:t>
            </w:r>
          </w:p>
          <w:p>
            <w:pPr>
              <w:spacing w:line="240" w:lineRule="auto"/>
              <w:ind w:firstLine="0" w:firstLineChars="0"/>
              <w:rPr>
                <w:b/>
                <w:color w:val="000000"/>
                <w:sz w:val="24"/>
                <w:szCs w:val="24"/>
              </w:rPr>
            </w:pPr>
            <w:r>
              <w:rPr>
                <w:b/>
                <w:color w:val="000000"/>
                <w:sz w:val="24"/>
                <w:szCs w:val="24"/>
              </w:rPr>
              <w:t>况</w:t>
            </w:r>
          </w:p>
        </w:tc>
        <w:tc>
          <w:tcPr>
            <w:tcW w:w="8411" w:type="dxa"/>
            <w:gridSpan w:val="7"/>
            <w:tcBorders>
              <w:bottom w:val="single" w:color="auto" w:sz="4" w:space="0"/>
            </w:tcBorders>
            <w:vAlign w:val="center"/>
          </w:tcPr>
          <w:p>
            <w:pPr>
              <w:spacing w:line="240" w:lineRule="auto"/>
              <w:ind w:firstLine="0" w:firstLineChars="0"/>
              <w:rPr>
                <w:b/>
                <w:color w:val="000000"/>
                <w:sz w:val="24"/>
                <w:szCs w:val="24"/>
              </w:rPr>
            </w:pPr>
          </w:p>
        </w:tc>
      </w:tr>
    </w:tbl>
    <w:p>
      <w:pPr>
        <w:pStyle w:val="4"/>
        <w:ind w:firstLine="0" w:firstLineChars="0"/>
        <w:rPr>
          <w:rFonts w:ascii="宋体" w:hAnsi="宋体"/>
        </w:rPr>
      </w:pPr>
    </w:p>
    <w:p>
      <w:pPr>
        <w:ind w:firstLine="0" w:firstLineChars="0"/>
        <w:rPr>
          <w:rFonts w:ascii="宋体" w:hAnsi="宋体" w:cs="宋体"/>
          <w:sz w:val="24"/>
        </w:rPr>
      </w:pPr>
      <w:r>
        <w:rPr>
          <w:rFonts w:hint="eastAsia" w:ascii="宋体" w:hAnsi="宋体"/>
          <w:b/>
          <w:sz w:val="22"/>
          <w:szCs w:val="22"/>
        </w:rPr>
        <w:t>注：附营业执照副本或事业单位法人证书、资质证书、根据项目内容提交相关证书等复印件。另附投标保证金缴费证明或投标保函复印件。</w:t>
      </w:r>
    </w:p>
    <w:p>
      <w:pPr>
        <w:pStyle w:val="4"/>
        <w:ind w:firstLine="0" w:firstLineChars="0"/>
        <w:rPr>
          <w:rFonts w:ascii="宋体" w:hAnsi="宋体"/>
          <w:b/>
          <w:sz w:val="22"/>
          <w:szCs w:val="22"/>
        </w:rPr>
      </w:pPr>
    </w:p>
    <w:p>
      <w:pPr>
        <w:pStyle w:val="3"/>
        <w:ind w:firstLine="0" w:firstLineChars="0"/>
        <w:rPr>
          <w:rFonts w:ascii="宋体" w:hAnsi="宋体"/>
        </w:rPr>
      </w:pPr>
      <w:bookmarkStart w:id="109" w:name="_Toc61249578"/>
      <w:bookmarkStart w:id="110" w:name="_Toc229214698"/>
      <w:bookmarkStart w:id="111" w:name="_Toc30324"/>
      <w:bookmarkStart w:id="112" w:name="_Toc16635"/>
      <w:r>
        <w:rPr>
          <w:rFonts w:hint="eastAsia" w:ascii="宋体" w:hAnsi="宋体"/>
        </w:rPr>
        <w:t>附件十一  近三年类似业绩一览表</w:t>
      </w:r>
      <w:bookmarkEnd w:id="109"/>
      <w:bookmarkEnd w:id="110"/>
      <w:bookmarkEnd w:id="111"/>
      <w:bookmarkEnd w:id="112"/>
    </w:p>
    <w:p>
      <w:pPr>
        <w:pStyle w:val="4"/>
        <w:ind w:firstLine="0" w:firstLineChars="0"/>
        <w:rPr>
          <w:rFonts w:ascii="宋体" w:hAnsi="宋体"/>
        </w:rPr>
      </w:pPr>
    </w:p>
    <w:tbl>
      <w:tblPr>
        <w:tblStyle w:val="39"/>
        <w:tblpPr w:leftFromText="180" w:rightFromText="180" w:vertAnchor="text" w:horzAnchor="margin" w:tblpY="211"/>
        <w:tblW w:w="9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3127"/>
        <w:gridCol w:w="1262"/>
        <w:gridCol w:w="1200"/>
        <w:gridCol w:w="1262"/>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exact"/>
        </w:trPr>
        <w:tc>
          <w:tcPr>
            <w:tcW w:w="469"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序号</w:t>
            </w:r>
          </w:p>
        </w:tc>
        <w:tc>
          <w:tcPr>
            <w:tcW w:w="3127"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项目名称</w:t>
            </w:r>
          </w:p>
        </w:tc>
        <w:tc>
          <w:tcPr>
            <w:tcW w:w="1262"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工程规模</w:t>
            </w:r>
          </w:p>
        </w:tc>
        <w:tc>
          <w:tcPr>
            <w:tcW w:w="1200"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项目</w:t>
            </w:r>
          </w:p>
          <w:p>
            <w:pPr>
              <w:spacing w:line="360" w:lineRule="exact"/>
              <w:ind w:firstLine="0" w:firstLineChars="0"/>
              <w:jc w:val="center"/>
              <w:rPr>
                <w:rFonts w:ascii="宋体" w:hAnsi="宋体"/>
                <w:b/>
                <w:sz w:val="22"/>
                <w:szCs w:val="22"/>
              </w:rPr>
            </w:pPr>
            <w:r>
              <w:rPr>
                <w:rFonts w:hint="eastAsia" w:ascii="宋体" w:hAnsi="宋体"/>
                <w:b/>
                <w:sz w:val="22"/>
                <w:szCs w:val="22"/>
              </w:rPr>
              <w:t>所在地</w:t>
            </w:r>
          </w:p>
        </w:tc>
        <w:tc>
          <w:tcPr>
            <w:tcW w:w="1262"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完成年份</w:t>
            </w:r>
          </w:p>
        </w:tc>
        <w:tc>
          <w:tcPr>
            <w:tcW w:w="1803" w:type="dxa"/>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业主联系人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exact"/>
        </w:trPr>
        <w:tc>
          <w:tcPr>
            <w:tcW w:w="469" w:type="dxa"/>
            <w:vMerge w:val="continue"/>
            <w:vAlign w:val="center"/>
          </w:tcPr>
          <w:p>
            <w:pPr>
              <w:spacing w:line="360" w:lineRule="exact"/>
              <w:ind w:firstLine="0" w:firstLineChars="0"/>
              <w:jc w:val="center"/>
              <w:rPr>
                <w:rFonts w:ascii="宋体" w:hAnsi="宋体"/>
                <w:b/>
                <w:sz w:val="22"/>
                <w:szCs w:val="22"/>
              </w:rPr>
            </w:pPr>
          </w:p>
        </w:tc>
        <w:tc>
          <w:tcPr>
            <w:tcW w:w="3127" w:type="dxa"/>
            <w:vMerge w:val="continue"/>
            <w:vAlign w:val="center"/>
          </w:tcPr>
          <w:p>
            <w:pPr>
              <w:spacing w:line="360" w:lineRule="exact"/>
              <w:ind w:firstLine="0" w:firstLineChars="0"/>
              <w:jc w:val="center"/>
              <w:rPr>
                <w:rFonts w:ascii="宋体" w:hAnsi="宋体"/>
                <w:b/>
                <w:sz w:val="22"/>
                <w:szCs w:val="22"/>
              </w:rPr>
            </w:pPr>
          </w:p>
        </w:tc>
        <w:tc>
          <w:tcPr>
            <w:tcW w:w="1262" w:type="dxa"/>
            <w:vMerge w:val="continue"/>
            <w:vAlign w:val="center"/>
          </w:tcPr>
          <w:p>
            <w:pPr>
              <w:spacing w:line="360" w:lineRule="exact"/>
              <w:ind w:firstLine="0" w:firstLineChars="0"/>
              <w:jc w:val="center"/>
              <w:rPr>
                <w:rFonts w:ascii="宋体" w:hAnsi="宋体"/>
                <w:b/>
                <w:sz w:val="22"/>
                <w:szCs w:val="22"/>
              </w:rPr>
            </w:pPr>
          </w:p>
        </w:tc>
        <w:tc>
          <w:tcPr>
            <w:tcW w:w="1200" w:type="dxa"/>
            <w:vMerge w:val="continue"/>
            <w:vAlign w:val="center"/>
          </w:tcPr>
          <w:p>
            <w:pPr>
              <w:spacing w:line="360" w:lineRule="exact"/>
              <w:ind w:firstLine="0" w:firstLineChars="0"/>
              <w:jc w:val="center"/>
              <w:rPr>
                <w:rFonts w:ascii="宋体" w:hAnsi="宋体"/>
                <w:b/>
                <w:sz w:val="22"/>
                <w:szCs w:val="22"/>
              </w:rPr>
            </w:pPr>
          </w:p>
        </w:tc>
        <w:tc>
          <w:tcPr>
            <w:tcW w:w="1262" w:type="dxa"/>
            <w:vMerge w:val="continue"/>
            <w:vAlign w:val="center"/>
          </w:tcPr>
          <w:p>
            <w:pPr>
              <w:spacing w:line="360" w:lineRule="exact"/>
              <w:ind w:firstLine="0" w:firstLineChars="0"/>
              <w:jc w:val="center"/>
              <w:rPr>
                <w:rFonts w:ascii="宋体" w:hAnsi="宋体"/>
                <w:b/>
                <w:sz w:val="22"/>
                <w:szCs w:val="22"/>
              </w:rPr>
            </w:pPr>
          </w:p>
        </w:tc>
        <w:tc>
          <w:tcPr>
            <w:tcW w:w="1803" w:type="dxa"/>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3127"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00"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803" w:type="dxa"/>
            <w:tcBorders>
              <w:bottom w:val="single" w:color="auto" w:sz="4" w:space="0"/>
            </w:tcBorders>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3127"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00"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803" w:type="dxa"/>
            <w:tcBorders>
              <w:bottom w:val="single" w:color="auto" w:sz="4" w:space="0"/>
            </w:tcBorders>
            <w:vAlign w:val="center"/>
          </w:tcPr>
          <w:p>
            <w:pPr>
              <w:spacing w:line="360" w:lineRule="exact"/>
              <w:ind w:firstLine="0" w:firstLineChars="0"/>
              <w:rPr>
                <w:rFonts w:ascii="宋体" w:hAnsi="宋体"/>
                <w:sz w:val="22"/>
                <w:szCs w:val="22"/>
              </w:rPr>
            </w:pPr>
          </w:p>
        </w:tc>
      </w:tr>
    </w:tbl>
    <w:p>
      <w:pPr>
        <w:pStyle w:val="16"/>
        <w:ind w:firstLine="442"/>
        <w:rPr>
          <w:b/>
          <w:sz w:val="22"/>
          <w:szCs w:val="22"/>
        </w:rPr>
      </w:pPr>
      <w:r>
        <w:rPr>
          <w:rFonts w:hint="eastAsia"/>
          <w:b/>
          <w:sz w:val="22"/>
          <w:szCs w:val="22"/>
        </w:rPr>
        <w:t>注：提供自 2018 年以来的类似业绩证明材料。</w:t>
      </w:r>
    </w:p>
    <w:p>
      <w:pPr>
        <w:pStyle w:val="4"/>
        <w:ind w:firstLine="0" w:firstLineChars="0"/>
        <w:rPr>
          <w:rFonts w:ascii="宋体" w:hAnsi="宋体"/>
        </w:rPr>
      </w:pPr>
    </w:p>
    <w:p>
      <w:pPr>
        <w:pStyle w:val="4"/>
        <w:ind w:firstLine="0" w:firstLineChars="0"/>
        <w:rPr>
          <w:rFonts w:ascii="宋体" w:hAnsi="宋体"/>
        </w:rPr>
      </w:pPr>
    </w:p>
    <w:p>
      <w:pPr>
        <w:pStyle w:val="4"/>
        <w:ind w:firstLine="0" w:firstLineChars="0"/>
        <w:rPr>
          <w:rFonts w:ascii="宋体" w:hAnsi="宋体"/>
        </w:rPr>
      </w:pPr>
    </w:p>
    <w:p>
      <w:pPr>
        <w:pStyle w:val="4"/>
        <w:ind w:firstLine="0" w:firstLineChars="0"/>
        <w:rPr>
          <w:rFonts w:ascii="宋体" w:hAnsi="宋体"/>
        </w:rPr>
      </w:pPr>
    </w:p>
    <w:p>
      <w:pPr>
        <w:tabs>
          <w:tab w:val="left" w:pos="3060"/>
          <w:tab w:val="left" w:pos="3600"/>
          <w:tab w:val="left" w:pos="4635"/>
        </w:tabs>
        <w:ind w:firstLine="4200" w:firstLineChars="2000"/>
        <w:rPr>
          <w:rFonts w:ascii="宋体" w:hAnsi="宋体"/>
        </w:rPr>
      </w:pPr>
      <w:r>
        <w:rPr>
          <w:rFonts w:hint="eastAsia" w:ascii="宋体" w:hAnsi="宋体"/>
          <w:szCs w:val="21"/>
        </w:rPr>
        <w:t>投标人全称（盖章）：</w:t>
      </w:r>
    </w:p>
    <w:p>
      <w:pPr>
        <w:tabs>
          <w:tab w:val="left" w:pos="3060"/>
          <w:tab w:val="left" w:pos="4635"/>
        </w:tabs>
        <w:ind w:firstLine="4200" w:firstLineChars="2000"/>
        <w:rPr>
          <w:rFonts w:ascii="宋体" w:hAnsi="宋体"/>
        </w:rPr>
      </w:pPr>
      <w:r>
        <w:rPr>
          <w:rFonts w:hint="eastAsia" w:ascii="宋体" w:hAnsi="宋体"/>
        </w:rPr>
        <w:t>法定代表人或授权代表（签字或盖章）：</w:t>
      </w:r>
    </w:p>
    <w:p>
      <w:pPr>
        <w:pStyle w:val="4"/>
        <w:ind w:firstLine="4200" w:firstLineChars="2000"/>
        <w:rPr>
          <w:rFonts w:ascii="宋体" w:hAnsi="宋体"/>
        </w:rPr>
      </w:pPr>
      <w:r>
        <w:rPr>
          <w:rFonts w:hint="eastAsia" w:ascii="宋体" w:hAnsi="宋体"/>
        </w:rPr>
        <w:t>日期：</w:t>
      </w:r>
    </w:p>
    <w:p>
      <w:pPr>
        <w:pStyle w:val="4"/>
        <w:ind w:firstLine="0" w:firstLineChars="0"/>
        <w:rPr>
          <w:rFonts w:ascii="宋体" w:hAnsi="宋体"/>
        </w:rPr>
      </w:pPr>
    </w:p>
    <w:p>
      <w:pPr>
        <w:pStyle w:val="4"/>
        <w:ind w:firstLine="0" w:firstLineChars="0"/>
        <w:rPr>
          <w:rFonts w:ascii="宋体" w:hAnsi="宋体"/>
        </w:rPr>
      </w:pPr>
    </w:p>
    <w:p>
      <w:pPr>
        <w:pStyle w:val="4"/>
        <w:ind w:firstLine="0" w:firstLineChars="0"/>
        <w:rPr>
          <w:rFonts w:ascii="宋体" w:hAnsi="宋体"/>
        </w:rPr>
      </w:pPr>
    </w:p>
    <w:p>
      <w:pPr>
        <w:pStyle w:val="3"/>
        <w:ind w:firstLine="0" w:firstLineChars="0"/>
        <w:rPr>
          <w:rFonts w:ascii="宋体" w:hAnsi="宋体"/>
        </w:rPr>
      </w:pPr>
      <w:bookmarkStart w:id="113" w:name="_Toc17345"/>
      <w:bookmarkStart w:id="114" w:name="_Toc25090"/>
      <w:bookmarkStart w:id="115" w:name="_Toc229214700"/>
      <w:bookmarkStart w:id="116" w:name="_Toc61249579"/>
      <w:r>
        <w:rPr>
          <w:rFonts w:hint="eastAsia" w:ascii="宋体" w:hAnsi="宋体"/>
        </w:rPr>
        <w:t>附件十二  项目负责人业绩一览表</w:t>
      </w:r>
      <w:bookmarkEnd w:id="113"/>
      <w:bookmarkEnd w:id="114"/>
      <w:bookmarkEnd w:id="115"/>
      <w:bookmarkEnd w:id="116"/>
    </w:p>
    <w:p>
      <w:pPr>
        <w:pStyle w:val="4"/>
        <w:ind w:firstLine="0" w:firstLineChars="0"/>
        <w:rPr>
          <w:rFonts w:ascii="宋体" w:hAnsi="宋体"/>
        </w:rPr>
      </w:pPr>
    </w:p>
    <w:tbl>
      <w:tblPr>
        <w:tblStyle w:val="101"/>
        <w:tblW w:w="9181"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329"/>
        <w:gridCol w:w="1155"/>
        <w:gridCol w:w="216"/>
        <w:gridCol w:w="1416"/>
        <w:gridCol w:w="149"/>
        <w:gridCol w:w="896"/>
        <w:gridCol w:w="682"/>
        <w:gridCol w:w="766"/>
        <w:gridCol w:w="754"/>
        <w:gridCol w:w="1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181" w:type="dxa"/>
            <w:gridSpan w:val="11"/>
          </w:tcPr>
          <w:p>
            <w:pPr>
              <w:pStyle w:val="102"/>
              <w:spacing w:before="158"/>
              <w:jc w:val="center"/>
              <w:rPr>
                <w:rFonts w:eastAsiaTheme="minorEastAsia"/>
                <w:sz w:val="24"/>
              </w:rPr>
            </w:pPr>
            <w:r>
              <w:rPr>
                <w:rFonts w:eastAsiaTheme="minorEastAsia"/>
                <w:sz w:val="24"/>
              </w:rPr>
              <w:t>一般情况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620" w:type="dxa"/>
            <w:gridSpan w:val="2"/>
          </w:tcPr>
          <w:p>
            <w:pPr>
              <w:pStyle w:val="102"/>
              <w:tabs>
                <w:tab w:val="left" w:pos="988"/>
              </w:tabs>
              <w:spacing w:before="146"/>
              <w:rPr>
                <w:rFonts w:eastAsiaTheme="minorEastAsia"/>
                <w:sz w:val="24"/>
              </w:rPr>
            </w:pPr>
            <w:r>
              <w:rPr>
                <w:rFonts w:eastAsiaTheme="minorEastAsia"/>
                <w:sz w:val="24"/>
              </w:rPr>
              <w:t>姓</w:t>
            </w:r>
            <w:r>
              <w:rPr>
                <w:rFonts w:eastAsiaTheme="minorEastAsia"/>
                <w:sz w:val="24"/>
              </w:rPr>
              <w:tab/>
            </w:r>
            <w:r>
              <w:rPr>
                <w:rFonts w:eastAsiaTheme="minorEastAsia"/>
                <w:sz w:val="24"/>
              </w:rPr>
              <w:t>名</w:t>
            </w:r>
          </w:p>
        </w:tc>
        <w:tc>
          <w:tcPr>
            <w:tcW w:w="1371" w:type="dxa"/>
            <w:gridSpan w:val="2"/>
          </w:tcPr>
          <w:p>
            <w:pPr>
              <w:pStyle w:val="102"/>
              <w:rPr>
                <w:rFonts w:ascii="Times New Roman" w:eastAsiaTheme="minorEastAsia"/>
              </w:rPr>
            </w:pPr>
          </w:p>
        </w:tc>
        <w:tc>
          <w:tcPr>
            <w:tcW w:w="1565" w:type="dxa"/>
            <w:gridSpan w:val="2"/>
          </w:tcPr>
          <w:p>
            <w:pPr>
              <w:pStyle w:val="102"/>
              <w:tabs>
                <w:tab w:val="left" w:pos="902"/>
              </w:tabs>
              <w:spacing w:before="146"/>
              <w:rPr>
                <w:rFonts w:eastAsiaTheme="minorEastAsia"/>
                <w:sz w:val="24"/>
              </w:rPr>
            </w:pPr>
            <w:r>
              <w:rPr>
                <w:rFonts w:eastAsiaTheme="minorEastAsia"/>
                <w:sz w:val="24"/>
              </w:rPr>
              <w:t>性</w:t>
            </w:r>
            <w:r>
              <w:rPr>
                <w:rFonts w:eastAsiaTheme="minorEastAsia"/>
                <w:sz w:val="24"/>
              </w:rPr>
              <w:tab/>
            </w:r>
            <w:r>
              <w:rPr>
                <w:rFonts w:eastAsiaTheme="minorEastAsia"/>
                <w:sz w:val="24"/>
              </w:rPr>
              <w:t>别</w:t>
            </w:r>
          </w:p>
        </w:tc>
        <w:tc>
          <w:tcPr>
            <w:tcW w:w="896" w:type="dxa"/>
          </w:tcPr>
          <w:p>
            <w:pPr>
              <w:pStyle w:val="102"/>
              <w:rPr>
                <w:rFonts w:ascii="Times New Roman" w:eastAsiaTheme="minorEastAsia"/>
              </w:rPr>
            </w:pPr>
          </w:p>
        </w:tc>
        <w:tc>
          <w:tcPr>
            <w:tcW w:w="1448" w:type="dxa"/>
            <w:gridSpan w:val="2"/>
          </w:tcPr>
          <w:p>
            <w:pPr>
              <w:pStyle w:val="102"/>
              <w:tabs>
                <w:tab w:val="left" w:pos="841"/>
              </w:tabs>
              <w:spacing w:before="146"/>
              <w:rPr>
                <w:rFonts w:eastAsiaTheme="minorEastAsia"/>
                <w:sz w:val="24"/>
              </w:rPr>
            </w:pPr>
            <w:r>
              <w:rPr>
                <w:rFonts w:eastAsiaTheme="minorEastAsia"/>
                <w:sz w:val="24"/>
              </w:rPr>
              <w:t>年</w:t>
            </w:r>
            <w:r>
              <w:rPr>
                <w:rFonts w:eastAsiaTheme="minorEastAsia"/>
                <w:sz w:val="24"/>
              </w:rPr>
              <w:tab/>
            </w:r>
            <w:r>
              <w:rPr>
                <w:rFonts w:eastAsiaTheme="minorEastAsia"/>
                <w:sz w:val="24"/>
              </w:rPr>
              <w:t>龄</w:t>
            </w:r>
          </w:p>
        </w:tc>
        <w:tc>
          <w:tcPr>
            <w:tcW w:w="2281" w:type="dxa"/>
            <w:gridSpan w:val="2"/>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620" w:type="dxa"/>
            <w:gridSpan w:val="2"/>
          </w:tcPr>
          <w:p>
            <w:pPr>
              <w:pStyle w:val="102"/>
              <w:tabs>
                <w:tab w:val="left" w:pos="928"/>
              </w:tabs>
              <w:spacing w:before="146"/>
              <w:rPr>
                <w:rFonts w:eastAsiaTheme="minorEastAsia"/>
                <w:sz w:val="24"/>
              </w:rPr>
            </w:pPr>
            <w:r>
              <w:rPr>
                <w:rFonts w:eastAsiaTheme="minorEastAsia"/>
                <w:sz w:val="24"/>
              </w:rPr>
              <w:t>职</w:t>
            </w:r>
            <w:r>
              <w:rPr>
                <w:rFonts w:eastAsiaTheme="minorEastAsia"/>
                <w:sz w:val="24"/>
              </w:rPr>
              <w:tab/>
            </w:r>
            <w:r>
              <w:rPr>
                <w:rFonts w:eastAsiaTheme="minorEastAsia"/>
                <w:sz w:val="24"/>
              </w:rPr>
              <w:t>务</w:t>
            </w:r>
          </w:p>
        </w:tc>
        <w:tc>
          <w:tcPr>
            <w:tcW w:w="1371" w:type="dxa"/>
            <w:gridSpan w:val="2"/>
          </w:tcPr>
          <w:p>
            <w:pPr>
              <w:pStyle w:val="102"/>
              <w:rPr>
                <w:rFonts w:ascii="Times New Roman" w:eastAsiaTheme="minorEastAsia"/>
              </w:rPr>
            </w:pPr>
          </w:p>
        </w:tc>
        <w:tc>
          <w:tcPr>
            <w:tcW w:w="1565" w:type="dxa"/>
            <w:gridSpan w:val="2"/>
          </w:tcPr>
          <w:p>
            <w:pPr>
              <w:pStyle w:val="102"/>
              <w:tabs>
                <w:tab w:val="left" w:pos="902"/>
              </w:tabs>
              <w:spacing w:before="146"/>
              <w:rPr>
                <w:rFonts w:eastAsiaTheme="minorEastAsia"/>
                <w:sz w:val="24"/>
              </w:rPr>
            </w:pPr>
            <w:r>
              <w:rPr>
                <w:rFonts w:eastAsiaTheme="minorEastAsia"/>
                <w:sz w:val="24"/>
              </w:rPr>
              <w:t>职</w:t>
            </w:r>
            <w:r>
              <w:rPr>
                <w:rFonts w:eastAsiaTheme="minorEastAsia"/>
                <w:sz w:val="24"/>
              </w:rPr>
              <w:tab/>
            </w:r>
            <w:r>
              <w:rPr>
                <w:rFonts w:eastAsiaTheme="minorEastAsia"/>
                <w:sz w:val="24"/>
              </w:rPr>
              <w:t>称</w:t>
            </w:r>
          </w:p>
        </w:tc>
        <w:tc>
          <w:tcPr>
            <w:tcW w:w="896" w:type="dxa"/>
          </w:tcPr>
          <w:p>
            <w:pPr>
              <w:pStyle w:val="102"/>
              <w:rPr>
                <w:rFonts w:ascii="Times New Roman" w:eastAsiaTheme="minorEastAsia"/>
              </w:rPr>
            </w:pPr>
          </w:p>
        </w:tc>
        <w:tc>
          <w:tcPr>
            <w:tcW w:w="1448" w:type="dxa"/>
            <w:gridSpan w:val="2"/>
          </w:tcPr>
          <w:p>
            <w:pPr>
              <w:pStyle w:val="102"/>
              <w:spacing w:before="146"/>
              <w:rPr>
                <w:rFonts w:eastAsiaTheme="minorEastAsia"/>
                <w:sz w:val="24"/>
              </w:rPr>
            </w:pPr>
            <w:r>
              <w:rPr>
                <w:rFonts w:eastAsiaTheme="minorEastAsia"/>
                <w:sz w:val="24"/>
              </w:rPr>
              <w:t>学历和专业</w:t>
            </w:r>
          </w:p>
        </w:tc>
        <w:tc>
          <w:tcPr>
            <w:tcW w:w="2281" w:type="dxa"/>
            <w:gridSpan w:val="2"/>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620" w:type="dxa"/>
            <w:gridSpan w:val="2"/>
          </w:tcPr>
          <w:p>
            <w:pPr>
              <w:pStyle w:val="102"/>
              <w:spacing w:before="4"/>
              <w:rPr>
                <w:rFonts w:eastAsiaTheme="minorEastAsia"/>
                <w:sz w:val="24"/>
              </w:rPr>
            </w:pPr>
            <w:r>
              <w:rPr>
                <w:rFonts w:eastAsiaTheme="minorEastAsia"/>
                <w:sz w:val="24"/>
              </w:rPr>
              <w:t>专业工作年限</w:t>
            </w:r>
          </w:p>
        </w:tc>
        <w:tc>
          <w:tcPr>
            <w:tcW w:w="1371" w:type="dxa"/>
            <w:gridSpan w:val="2"/>
          </w:tcPr>
          <w:p>
            <w:pPr>
              <w:pStyle w:val="102"/>
              <w:rPr>
                <w:rFonts w:ascii="Times New Roman" w:eastAsiaTheme="minorEastAsia"/>
              </w:rPr>
            </w:pPr>
          </w:p>
        </w:tc>
        <w:tc>
          <w:tcPr>
            <w:tcW w:w="1565" w:type="dxa"/>
            <w:gridSpan w:val="2"/>
          </w:tcPr>
          <w:p>
            <w:pPr>
              <w:pStyle w:val="102"/>
              <w:spacing w:before="4"/>
              <w:rPr>
                <w:rFonts w:eastAsiaTheme="minorEastAsia"/>
                <w:sz w:val="21"/>
              </w:rPr>
            </w:pPr>
            <w:r>
              <w:rPr>
                <w:rFonts w:eastAsiaTheme="minorEastAsia"/>
                <w:sz w:val="21"/>
              </w:rPr>
              <w:t>本项目中拟担任职务</w:t>
            </w:r>
          </w:p>
        </w:tc>
        <w:tc>
          <w:tcPr>
            <w:tcW w:w="2344" w:type="dxa"/>
            <w:gridSpan w:val="3"/>
          </w:tcPr>
          <w:p>
            <w:pPr>
              <w:pStyle w:val="102"/>
              <w:rPr>
                <w:rFonts w:ascii="Times New Roman" w:eastAsiaTheme="minorEastAsia"/>
              </w:rPr>
            </w:pPr>
          </w:p>
        </w:tc>
        <w:tc>
          <w:tcPr>
            <w:tcW w:w="2281" w:type="dxa"/>
            <w:gridSpan w:val="2"/>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181" w:type="dxa"/>
            <w:gridSpan w:val="11"/>
          </w:tcPr>
          <w:p>
            <w:pPr>
              <w:pStyle w:val="102"/>
              <w:spacing w:before="146"/>
              <w:jc w:val="center"/>
              <w:rPr>
                <w:rFonts w:eastAsiaTheme="minorEastAsia"/>
                <w:sz w:val="24"/>
              </w:rPr>
            </w:pPr>
            <w:r>
              <w:rPr>
                <w:rFonts w:eastAsiaTheme="minorEastAsia"/>
                <w:sz w:val="24"/>
              </w:rPr>
              <w:t>近三年承担过的类</w:t>
            </w:r>
            <w:r>
              <w:rPr>
                <w:rFonts w:hint="eastAsia" w:eastAsiaTheme="minorEastAsia"/>
                <w:sz w:val="24"/>
                <w:lang w:eastAsia="zh-CN"/>
              </w:rPr>
              <w:t>似</w:t>
            </w:r>
            <w:r>
              <w:rPr>
                <w:rFonts w:eastAsiaTheme="minorEastAsia"/>
                <w:sz w:val="24"/>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291" w:type="dxa"/>
          </w:tcPr>
          <w:p>
            <w:pPr>
              <w:pStyle w:val="102"/>
              <w:rPr>
                <w:rFonts w:eastAsiaTheme="minorEastAsia"/>
                <w:sz w:val="21"/>
              </w:rPr>
            </w:pPr>
            <w:r>
              <w:rPr>
                <w:rFonts w:eastAsiaTheme="minorEastAsia"/>
                <w:sz w:val="21"/>
              </w:rPr>
              <w:t>项目名称</w:t>
            </w:r>
          </w:p>
        </w:tc>
        <w:tc>
          <w:tcPr>
            <w:tcW w:w="1484" w:type="dxa"/>
            <w:gridSpan w:val="2"/>
          </w:tcPr>
          <w:p>
            <w:pPr>
              <w:pStyle w:val="102"/>
              <w:rPr>
                <w:rFonts w:eastAsiaTheme="minorEastAsia"/>
                <w:sz w:val="21"/>
              </w:rPr>
            </w:pPr>
            <w:r>
              <w:rPr>
                <w:rFonts w:eastAsiaTheme="minorEastAsia"/>
                <w:sz w:val="21"/>
              </w:rPr>
              <w:t>工程地点</w:t>
            </w:r>
          </w:p>
        </w:tc>
        <w:tc>
          <w:tcPr>
            <w:tcW w:w="1632" w:type="dxa"/>
            <w:gridSpan w:val="2"/>
          </w:tcPr>
          <w:p>
            <w:pPr>
              <w:pStyle w:val="102"/>
              <w:rPr>
                <w:rFonts w:eastAsiaTheme="minorEastAsia"/>
                <w:sz w:val="21"/>
              </w:rPr>
            </w:pPr>
            <w:r>
              <w:rPr>
                <w:rFonts w:eastAsiaTheme="minorEastAsia"/>
                <w:sz w:val="21"/>
              </w:rPr>
              <w:t>发包人 名称</w:t>
            </w:r>
          </w:p>
        </w:tc>
        <w:tc>
          <w:tcPr>
            <w:tcW w:w="1727" w:type="dxa"/>
            <w:gridSpan w:val="3"/>
          </w:tcPr>
          <w:p>
            <w:pPr>
              <w:pStyle w:val="102"/>
              <w:rPr>
                <w:rFonts w:eastAsiaTheme="minorEastAsia"/>
                <w:sz w:val="21"/>
              </w:rPr>
            </w:pPr>
            <w:r>
              <w:rPr>
                <w:rFonts w:eastAsiaTheme="minorEastAsia"/>
                <w:sz w:val="21"/>
              </w:rPr>
              <w:t>建设规模</w:t>
            </w:r>
          </w:p>
        </w:tc>
        <w:tc>
          <w:tcPr>
            <w:tcW w:w="1520" w:type="dxa"/>
            <w:gridSpan w:val="2"/>
          </w:tcPr>
          <w:p>
            <w:pPr>
              <w:pStyle w:val="102"/>
              <w:spacing w:before="51"/>
              <w:rPr>
                <w:rFonts w:eastAsiaTheme="minorEastAsia"/>
                <w:sz w:val="21"/>
              </w:rPr>
            </w:pPr>
            <w:r>
              <w:rPr>
                <w:rFonts w:eastAsiaTheme="minorEastAsia"/>
                <w:sz w:val="21"/>
              </w:rPr>
              <w:t>承担的技术职务</w:t>
            </w:r>
          </w:p>
        </w:tc>
        <w:tc>
          <w:tcPr>
            <w:tcW w:w="1527" w:type="dxa"/>
          </w:tcPr>
          <w:p>
            <w:pPr>
              <w:pStyle w:val="102"/>
              <w:jc w:val="center"/>
              <w:rPr>
                <w:rFonts w:eastAsiaTheme="minorEastAsia"/>
                <w:sz w:val="21"/>
              </w:rPr>
            </w:pPr>
            <w:r>
              <w:rPr>
                <w:rFonts w:eastAsiaTheme="minorEastAsia"/>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bl>
    <w:p>
      <w:pPr>
        <w:spacing w:line="360" w:lineRule="exact"/>
        <w:ind w:firstLine="0" w:firstLineChars="0"/>
        <w:rPr>
          <w:rFonts w:ascii="宋体" w:hAnsi="宋体"/>
          <w:sz w:val="22"/>
          <w:szCs w:val="22"/>
        </w:rPr>
      </w:pPr>
    </w:p>
    <w:p>
      <w:pPr>
        <w:spacing w:line="360" w:lineRule="exact"/>
        <w:ind w:firstLine="0" w:firstLineChars="0"/>
        <w:rPr>
          <w:rFonts w:ascii="宋体" w:hAnsi="宋体"/>
          <w:sz w:val="22"/>
          <w:szCs w:val="22"/>
        </w:rPr>
      </w:pPr>
    </w:p>
    <w:p>
      <w:pPr>
        <w:spacing w:line="360" w:lineRule="exact"/>
        <w:ind w:firstLine="0" w:firstLineChars="0"/>
        <w:rPr>
          <w:rFonts w:ascii="宋体" w:hAnsi="宋体"/>
          <w:sz w:val="22"/>
          <w:szCs w:val="22"/>
        </w:rPr>
      </w:pPr>
      <w:r>
        <w:rPr>
          <w:rFonts w:hint="eastAsia" w:ascii="宋体" w:hAnsi="宋体"/>
          <w:sz w:val="22"/>
          <w:szCs w:val="22"/>
        </w:rPr>
        <w:t>注：</w:t>
      </w:r>
      <w:r>
        <w:rPr>
          <w:rFonts w:hint="eastAsia" w:ascii="宋体" w:hAnsi="宋体"/>
          <w:b/>
          <w:sz w:val="22"/>
          <w:szCs w:val="22"/>
        </w:rPr>
        <w:t>1、本表应附职称证书、身份证、业绩证明等复印件。</w:t>
      </w:r>
    </w:p>
    <w:p>
      <w:pPr>
        <w:spacing w:line="360" w:lineRule="exact"/>
        <w:ind w:firstLine="0" w:firstLineChars="0"/>
        <w:rPr>
          <w:rFonts w:ascii="宋体" w:hAnsi="宋体"/>
          <w:sz w:val="22"/>
          <w:szCs w:val="22"/>
        </w:rPr>
      </w:pPr>
      <w:r>
        <w:rPr>
          <w:rFonts w:hint="eastAsia" w:ascii="宋体" w:hAnsi="宋体"/>
          <w:sz w:val="22"/>
          <w:szCs w:val="22"/>
        </w:rPr>
        <w:t>2、本表可在不改变格式的情况下根据具体需要自行增减。</w:t>
      </w:r>
    </w:p>
    <w:p>
      <w:pPr>
        <w:spacing w:line="340" w:lineRule="exact"/>
        <w:ind w:firstLine="0" w:firstLineChars="0"/>
        <w:rPr>
          <w:rFonts w:ascii="宋体" w:hAnsi="宋体"/>
        </w:rPr>
      </w:pPr>
    </w:p>
    <w:p>
      <w:pPr>
        <w:spacing w:line="340" w:lineRule="exact"/>
        <w:ind w:firstLine="0" w:firstLineChars="0"/>
        <w:rPr>
          <w:rFonts w:ascii="宋体" w:hAnsi="宋体"/>
          <w:szCs w:val="21"/>
        </w:rPr>
      </w:pPr>
    </w:p>
    <w:p>
      <w:pPr>
        <w:ind w:firstLine="4410" w:firstLineChars="2100"/>
        <w:rPr>
          <w:rFonts w:ascii="宋体" w:hAnsi="宋体"/>
          <w:sz w:val="22"/>
        </w:rPr>
      </w:pPr>
      <w:r>
        <w:rPr>
          <w:rFonts w:hint="eastAsia" w:ascii="宋体" w:hAnsi="宋体"/>
          <w:szCs w:val="21"/>
        </w:rPr>
        <w:t>投标人全称</w:t>
      </w:r>
      <w:r>
        <w:rPr>
          <w:rFonts w:hint="eastAsia" w:ascii="宋体" w:hAnsi="宋体"/>
          <w:sz w:val="22"/>
        </w:rPr>
        <w:t>（盖章）：</w:t>
      </w:r>
    </w:p>
    <w:p>
      <w:pPr>
        <w:ind w:firstLine="4410" w:firstLineChars="2100"/>
        <w:rPr>
          <w:rFonts w:ascii="宋体" w:hAnsi="宋体"/>
        </w:rPr>
      </w:pPr>
      <w:r>
        <w:rPr>
          <w:rFonts w:hint="eastAsia" w:ascii="宋体" w:hAnsi="宋体"/>
        </w:rPr>
        <w:t>法定代表人或授权代表（签字或盖章）：</w:t>
      </w:r>
    </w:p>
    <w:p>
      <w:pPr>
        <w:ind w:firstLine="4400" w:firstLineChars="2000"/>
        <w:rPr>
          <w:rFonts w:ascii="宋体" w:hAnsi="宋体"/>
          <w:sz w:val="22"/>
        </w:rPr>
      </w:pPr>
      <w:r>
        <w:rPr>
          <w:rFonts w:hint="eastAsia" w:ascii="宋体" w:hAnsi="宋体"/>
          <w:sz w:val="22"/>
        </w:rPr>
        <w:t xml:space="preserve">日    期：   </w:t>
      </w:r>
    </w:p>
    <w:p>
      <w:pPr>
        <w:spacing w:line="340" w:lineRule="exact"/>
        <w:ind w:firstLine="0" w:firstLineChars="0"/>
        <w:rPr>
          <w:rFonts w:ascii="宋体" w:hAnsi="宋体"/>
          <w:sz w:val="22"/>
        </w:rPr>
      </w:pPr>
    </w:p>
    <w:p>
      <w:pPr>
        <w:spacing w:line="340" w:lineRule="exact"/>
        <w:ind w:firstLine="0" w:firstLineChars="0"/>
        <w:rPr>
          <w:rFonts w:ascii="宋体" w:hAnsi="宋体"/>
          <w:sz w:val="22"/>
        </w:rPr>
      </w:pPr>
    </w:p>
    <w:p>
      <w:pPr>
        <w:pStyle w:val="3"/>
        <w:ind w:firstLine="0" w:firstLineChars="0"/>
        <w:rPr>
          <w:rFonts w:ascii="宋体" w:hAnsi="宋体"/>
        </w:rPr>
      </w:pPr>
      <w:bookmarkStart w:id="117" w:name="_Toc31037"/>
      <w:bookmarkStart w:id="118" w:name="_Toc30622"/>
      <w:bookmarkStart w:id="119" w:name="_Toc229214701"/>
      <w:r>
        <w:rPr>
          <w:rFonts w:ascii="宋体" w:hAnsi="宋体"/>
        </w:rPr>
        <w:br w:type="page"/>
      </w:r>
    </w:p>
    <w:p>
      <w:pPr>
        <w:pStyle w:val="3"/>
        <w:ind w:firstLine="0" w:firstLineChars="0"/>
        <w:rPr>
          <w:rFonts w:ascii="宋体" w:hAnsi="宋体"/>
        </w:rPr>
      </w:pPr>
      <w:bookmarkStart w:id="120" w:name="_Toc61249580"/>
      <w:r>
        <w:rPr>
          <w:rFonts w:hint="eastAsia" w:ascii="宋体" w:hAnsi="宋体"/>
        </w:rPr>
        <w:t>附件十三  本项目主要工作人员一览表</w:t>
      </w:r>
      <w:bookmarkEnd w:id="117"/>
      <w:bookmarkEnd w:id="118"/>
      <w:bookmarkEnd w:id="119"/>
      <w:bookmarkEnd w:id="120"/>
    </w:p>
    <w:p>
      <w:pPr>
        <w:spacing w:line="400" w:lineRule="atLeast"/>
        <w:ind w:firstLine="0" w:firstLineChars="0"/>
        <w:rPr>
          <w:rFonts w:ascii="宋体" w:hAnsi="宋体"/>
        </w:rPr>
      </w:pPr>
    </w:p>
    <w:tbl>
      <w:tblPr>
        <w:tblStyle w:val="39"/>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272"/>
        <w:gridCol w:w="978"/>
        <w:gridCol w:w="978"/>
        <w:gridCol w:w="1563"/>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1249"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姓名</w:t>
            </w:r>
          </w:p>
        </w:tc>
        <w:tc>
          <w:tcPr>
            <w:tcW w:w="1272"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专业</w:t>
            </w:r>
          </w:p>
          <w:p>
            <w:pPr>
              <w:spacing w:line="360" w:lineRule="exact"/>
              <w:ind w:firstLine="0" w:firstLineChars="0"/>
              <w:jc w:val="center"/>
              <w:rPr>
                <w:rFonts w:ascii="宋体" w:hAnsi="宋体"/>
                <w:sz w:val="22"/>
                <w:szCs w:val="22"/>
              </w:rPr>
            </w:pPr>
            <w:r>
              <w:rPr>
                <w:rFonts w:hint="eastAsia" w:ascii="宋体" w:hAnsi="宋体"/>
                <w:sz w:val="22"/>
                <w:szCs w:val="22"/>
              </w:rPr>
              <w:t>学历</w:t>
            </w:r>
          </w:p>
        </w:tc>
        <w:tc>
          <w:tcPr>
            <w:tcW w:w="978"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性别</w:t>
            </w:r>
          </w:p>
        </w:tc>
        <w:tc>
          <w:tcPr>
            <w:tcW w:w="978"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年龄</w:t>
            </w:r>
          </w:p>
        </w:tc>
        <w:tc>
          <w:tcPr>
            <w:tcW w:w="1563"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职称职务</w:t>
            </w:r>
          </w:p>
        </w:tc>
        <w:tc>
          <w:tcPr>
            <w:tcW w:w="2225"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主要类似项目业绩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tcBorders>
              <w:bottom w:val="single" w:color="auto" w:sz="4" w:space="0"/>
            </w:tcBorders>
            <w:vAlign w:val="center"/>
          </w:tcPr>
          <w:p>
            <w:pPr>
              <w:spacing w:line="360" w:lineRule="exact"/>
              <w:ind w:firstLine="0" w:firstLineChars="0"/>
              <w:jc w:val="center"/>
              <w:rPr>
                <w:rFonts w:ascii="宋体" w:hAnsi="宋体"/>
                <w:sz w:val="28"/>
              </w:rPr>
            </w:pPr>
          </w:p>
        </w:tc>
        <w:tc>
          <w:tcPr>
            <w:tcW w:w="1272" w:type="dxa"/>
            <w:tcBorders>
              <w:bottom w:val="single" w:color="auto" w:sz="4" w:space="0"/>
            </w:tcBorders>
            <w:vAlign w:val="center"/>
          </w:tcPr>
          <w:p>
            <w:pPr>
              <w:spacing w:line="360" w:lineRule="exact"/>
              <w:ind w:firstLine="0" w:firstLineChars="0"/>
              <w:jc w:val="center"/>
              <w:rPr>
                <w:rFonts w:ascii="宋体" w:hAnsi="宋体"/>
                <w:sz w:val="28"/>
              </w:rPr>
            </w:pPr>
          </w:p>
        </w:tc>
        <w:tc>
          <w:tcPr>
            <w:tcW w:w="978" w:type="dxa"/>
            <w:tcBorders>
              <w:bottom w:val="single" w:color="auto" w:sz="4" w:space="0"/>
            </w:tcBorders>
            <w:vAlign w:val="center"/>
          </w:tcPr>
          <w:p>
            <w:pPr>
              <w:spacing w:line="360" w:lineRule="exact"/>
              <w:ind w:firstLine="0" w:firstLineChars="0"/>
              <w:jc w:val="center"/>
              <w:rPr>
                <w:rFonts w:ascii="宋体" w:hAnsi="宋体"/>
                <w:sz w:val="28"/>
              </w:rPr>
            </w:pPr>
          </w:p>
        </w:tc>
        <w:tc>
          <w:tcPr>
            <w:tcW w:w="978" w:type="dxa"/>
            <w:tcBorders>
              <w:bottom w:val="single" w:color="auto" w:sz="4" w:space="0"/>
            </w:tcBorders>
            <w:vAlign w:val="center"/>
          </w:tcPr>
          <w:p>
            <w:pPr>
              <w:spacing w:line="360" w:lineRule="exact"/>
              <w:ind w:firstLine="0" w:firstLineChars="0"/>
              <w:jc w:val="center"/>
              <w:rPr>
                <w:rFonts w:ascii="宋体" w:hAnsi="宋体"/>
                <w:sz w:val="28"/>
              </w:rPr>
            </w:pPr>
          </w:p>
        </w:tc>
        <w:tc>
          <w:tcPr>
            <w:tcW w:w="1563" w:type="dxa"/>
            <w:tcBorders>
              <w:bottom w:val="single" w:color="auto" w:sz="4" w:space="0"/>
            </w:tcBorders>
            <w:vAlign w:val="center"/>
          </w:tcPr>
          <w:p>
            <w:pPr>
              <w:spacing w:line="360" w:lineRule="exact"/>
              <w:ind w:firstLine="0" w:firstLineChars="0"/>
              <w:jc w:val="center"/>
              <w:rPr>
                <w:rFonts w:ascii="宋体" w:hAnsi="宋体"/>
                <w:sz w:val="28"/>
              </w:rPr>
            </w:pPr>
          </w:p>
        </w:tc>
        <w:tc>
          <w:tcPr>
            <w:tcW w:w="2225" w:type="dxa"/>
            <w:tcBorders>
              <w:bottom w:val="single" w:color="auto" w:sz="4" w:space="0"/>
            </w:tcBorders>
            <w:vAlign w:val="center"/>
          </w:tcPr>
          <w:p>
            <w:pPr>
              <w:spacing w:line="360" w:lineRule="exact"/>
              <w:ind w:firstLine="0" w:firstLineChars="0"/>
              <w:jc w:val="center"/>
              <w:rPr>
                <w:rFonts w:ascii="宋体" w:hAnsi="宋体"/>
                <w:sz w:val="28"/>
              </w:rPr>
            </w:pPr>
          </w:p>
        </w:tc>
      </w:tr>
    </w:tbl>
    <w:p>
      <w:pPr>
        <w:spacing w:line="360" w:lineRule="exact"/>
        <w:ind w:firstLine="0" w:firstLineChars="0"/>
        <w:rPr>
          <w:rFonts w:ascii="宋体" w:hAnsi="宋体"/>
          <w:sz w:val="28"/>
        </w:rPr>
      </w:pPr>
    </w:p>
    <w:p>
      <w:pPr>
        <w:spacing w:line="340" w:lineRule="exact"/>
        <w:ind w:firstLine="0" w:firstLineChars="0"/>
        <w:rPr>
          <w:rFonts w:ascii="宋体" w:hAnsi="宋体"/>
          <w:sz w:val="22"/>
        </w:rPr>
      </w:pPr>
    </w:p>
    <w:p>
      <w:pPr>
        <w:spacing w:line="340" w:lineRule="exact"/>
        <w:ind w:firstLine="0" w:firstLineChars="0"/>
        <w:rPr>
          <w:rFonts w:ascii="宋体" w:hAnsi="宋体"/>
          <w:sz w:val="22"/>
        </w:rPr>
      </w:pPr>
    </w:p>
    <w:p>
      <w:pPr>
        <w:ind w:firstLine="4950" w:firstLineChars="2250"/>
        <w:rPr>
          <w:rFonts w:ascii="宋体" w:hAnsi="宋体"/>
          <w:sz w:val="22"/>
        </w:rPr>
      </w:pPr>
      <w:r>
        <w:rPr>
          <w:rFonts w:hint="eastAsia" w:ascii="宋体" w:hAnsi="宋体"/>
          <w:sz w:val="22"/>
        </w:rPr>
        <w:t>投标人全称（盖章）：</w:t>
      </w:r>
    </w:p>
    <w:p>
      <w:pPr>
        <w:ind w:firstLine="0" w:firstLineChars="0"/>
        <w:rPr>
          <w:rFonts w:ascii="宋体" w:hAnsi="宋体"/>
        </w:rPr>
      </w:pPr>
      <w:r>
        <w:rPr>
          <w:rFonts w:hint="eastAsia" w:ascii="宋体" w:hAnsi="宋体"/>
        </w:rPr>
        <w:t>法定代表人或授权代表（签字或盖章）：</w:t>
      </w:r>
    </w:p>
    <w:p>
      <w:pPr>
        <w:pStyle w:val="4"/>
        <w:ind w:firstLine="0" w:firstLineChars="0"/>
        <w:rPr>
          <w:rFonts w:ascii="宋体" w:hAnsi="宋体"/>
          <w:sz w:val="22"/>
        </w:rPr>
      </w:pPr>
      <w:r>
        <w:rPr>
          <w:rFonts w:hint="eastAsia" w:ascii="宋体" w:hAnsi="宋体"/>
          <w:sz w:val="22"/>
        </w:rPr>
        <w:t xml:space="preserve">                                             日    期： </w:t>
      </w:r>
    </w:p>
    <w:p>
      <w:pPr>
        <w:pStyle w:val="4"/>
        <w:ind w:firstLine="0" w:firstLineChars="0"/>
        <w:rPr>
          <w:rFonts w:ascii="宋体" w:hAnsi="宋体"/>
          <w:sz w:val="22"/>
        </w:rPr>
      </w:pPr>
    </w:p>
    <w:p>
      <w:pPr>
        <w:pStyle w:val="4"/>
        <w:ind w:firstLine="0" w:firstLineChars="0"/>
        <w:rPr>
          <w:rFonts w:ascii="宋体" w:hAnsi="宋体"/>
          <w:sz w:val="22"/>
        </w:rPr>
      </w:pPr>
    </w:p>
    <w:p>
      <w:pPr>
        <w:pStyle w:val="4"/>
        <w:ind w:firstLine="0" w:firstLineChars="0"/>
        <w:rPr>
          <w:rFonts w:ascii="宋体" w:hAnsi="宋体"/>
        </w:rPr>
      </w:pPr>
    </w:p>
    <w:p>
      <w:pPr>
        <w:pStyle w:val="3"/>
        <w:ind w:firstLine="0" w:firstLineChars="0"/>
      </w:pPr>
      <w:bookmarkStart w:id="121" w:name="_Toc229214703"/>
      <w:bookmarkStart w:id="122" w:name="_Toc29159"/>
      <w:bookmarkStart w:id="123" w:name="_Toc3785"/>
      <w:bookmarkStart w:id="124" w:name="_Toc61249581"/>
      <w:r>
        <w:rPr>
          <w:rFonts w:hint="eastAsia"/>
        </w:rPr>
        <w:t>附件十四大纲及项目实施组织管理机构图表</w:t>
      </w:r>
      <w:bookmarkEnd w:id="121"/>
      <w:bookmarkEnd w:id="122"/>
      <w:bookmarkEnd w:id="123"/>
      <w:bookmarkEnd w:id="124"/>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3"/>
        <w:ind w:firstLine="0" w:firstLineChars="0"/>
      </w:pPr>
      <w:bookmarkStart w:id="125" w:name="_Toc61249582"/>
      <w:r>
        <w:rPr>
          <w:rFonts w:hint="eastAsia"/>
        </w:rPr>
        <w:t>附件十五其他材料</w:t>
      </w:r>
      <w:bookmarkEnd w:id="125"/>
    </w:p>
    <w:p>
      <w:pPr>
        <w:pStyle w:val="4"/>
        <w:ind w:firstLine="0" w:firstLineChars="0"/>
      </w:pPr>
    </w:p>
    <w:p>
      <w:pPr>
        <w:pStyle w:val="4"/>
        <w:ind w:firstLine="0" w:firstLineChars="0"/>
        <w:rPr>
          <w:b/>
        </w:rPr>
      </w:pPr>
      <w:r>
        <w:rPr>
          <w:rFonts w:hint="eastAsia"/>
          <w:b/>
        </w:rPr>
        <w:t>投标人认为有必要放置的其他材料或证书等。</w:t>
      </w: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pPr>
    </w:p>
    <w:p>
      <w:pPr>
        <w:pStyle w:val="4"/>
      </w:pPr>
    </w:p>
    <w:p>
      <w:pPr>
        <w:pStyle w:val="4"/>
      </w:pPr>
    </w:p>
    <w:p>
      <w:pPr>
        <w:pStyle w:val="4"/>
      </w:pPr>
    </w:p>
    <w:p>
      <w:pPr>
        <w:pStyle w:val="4"/>
      </w:pPr>
    </w:p>
    <w:p>
      <w:pPr>
        <w:pStyle w:val="4"/>
      </w:pPr>
    </w:p>
    <w:bookmarkEnd w:id="82"/>
    <w:bookmarkEnd w:id="83"/>
    <w:p>
      <w:pPr>
        <w:spacing w:line="375" w:lineRule="atLeast"/>
        <w:ind w:firstLine="0" w:firstLineChars="0"/>
        <w:rPr>
          <w:rFonts w:ascii="宋体" w:hAnsi="宋体" w:cs="Arial"/>
          <w:b/>
          <w:bCs/>
          <w:kern w:val="28"/>
        </w:rPr>
      </w:pPr>
    </w:p>
    <w:sectPr>
      <w:footerReference r:id="rId9" w:type="default"/>
      <w:pgSz w:w="11907" w:h="16840"/>
      <w:pgMar w:top="1418" w:right="1418" w:bottom="1418" w:left="1531" w:header="720" w:footer="720" w:gutter="0"/>
      <w:pgNumType w:start="1" w:chapStyle="1"/>
      <w:cols w:space="720" w:num="1"/>
      <w:docGrid w:type="lines"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rPr>
        <w:rStyle w:val="43"/>
      </w:rPr>
    </w:pPr>
  </w:p>
  <w:p>
    <w:pPr>
      <w:pStyle w:val="26"/>
      <w:ind w:right="360" w:firstLine="360"/>
      <w:jc w:val="center"/>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ind w:firstLine="360"/>
      <w:rPr>
        <w:rStyle w:val="43"/>
        <w:rFonts w:ascii="宋体"/>
      </w:rPr>
    </w:pPr>
    <w:r>
      <w:rPr>
        <w:rFonts w:ascii="宋体"/>
      </w:rPr>
      <w:pict>
        <v:line id="直线 2" o:spid="_x0000_s2049" o:spt="20" style="position:absolute;left:0pt;margin-left:0pt;margin-top:-8.6pt;height:0pt;width:463.5pt;z-index:251658240;mso-width-relative:page;mso-height-relative:page;" coordsize="21600,21600" o:allowincell="f" o:gfxdata="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KvFIO1AAAAAgBAAAPAAAAAAAAAAEAIAAAACIAAABkcnMvZG93bnJldi54&#10;bWxQSwECFAAUAAAACACHTuJACyX7ccUBAACBAwAADgAAAAAAAAABACAAAAAjAQAAZHJzL2Uyb0Rv&#10;Yy54bWxQSwUGAAAAAAYABgBZAQAAWgUAAAAA&#10;">
          <v:path arrowok="t"/>
          <v:fill focussize="0,0"/>
          <v:stroke/>
          <v:imagedata o:title=""/>
          <o:lock v:ext="edit"/>
        </v:line>
      </w:pict>
    </w:r>
    <w:r>
      <w:rPr>
        <w:rStyle w:val="43"/>
        <w:rFonts w:ascii="宋体"/>
      </w:rPr>
      <w:t xml:space="preserve">2 - </w:t>
    </w:r>
    <w:r>
      <w:rPr>
        <w:rFonts w:ascii="宋体"/>
      </w:rPr>
      <w:fldChar w:fldCharType="begin"/>
    </w:r>
    <w:r>
      <w:rPr>
        <w:rStyle w:val="43"/>
        <w:rFonts w:ascii="宋体"/>
      </w:rPr>
      <w:instrText xml:space="preserve">PAGE  </w:instrText>
    </w:r>
    <w:r>
      <w:rPr>
        <w:rFonts w:ascii="宋体"/>
      </w:rPr>
      <w:fldChar w:fldCharType="separate"/>
    </w:r>
    <w:r>
      <w:rPr>
        <w:rStyle w:val="43"/>
        <w:rFonts w:ascii="宋体"/>
      </w:rPr>
      <w:t>5</w:t>
    </w:r>
    <w:r>
      <w:rPr>
        <w:rFonts w:ascii="宋体"/>
      </w:rPr>
      <w:fldChar w:fldCharType="end"/>
    </w:r>
  </w:p>
  <w:p>
    <w:pPr>
      <w:pStyle w:val="26"/>
      <w:ind w:right="360" w:firstLine="360"/>
    </w:pPr>
    <w:r>
      <w:drawing>
        <wp:anchor distT="0" distB="0" distL="114300" distR="114300" simplePos="0" relativeHeight="251655168" behindDoc="0" locked="0" layoutInCell="0" allowOverlap="1">
          <wp:simplePos x="0" y="0"/>
          <wp:positionH relativeFrom="column">
            <wp:posOffset>5297805</wp:posOffset>
          </wp:positionH>
          <wp:positionV relativeFrom="paragraph">
            <wp:posOffset>-108585</wp:posOffset>
          </wp:positionV>
          <wp:extent cx="568325" cy="424180"/>
          <wp:effectExtent l="0" t="0" r="3175" b="13970"/>
          <wp:wrapTopAndBottom/>
          <wp:docPr id="5"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spect="1"/>
                  </pic:cNvPicPr>
                </pic:nvPicPr>
                <pic:blipFill>
                  <a:blip r:embed="rId1"/>
                  <a:stretch>
                    <a:fillRect/>
                  </a:stretch>
                </pic:blipFill>
                <pic:spPr>
                  <a:xfrm>
                    <a:off x="0" y="0"/>
                    <a:ext cx="568325" cy="42418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rPr>
        <w:rStyle w:val="43"/>
      </w:rPr>
    </w:pPr>
  </w:p>
  <w:p>
    <w:pPr>
      <w:pStyle w:val="2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8129329"/>
    </w:sdtPr>
    <w:sdtContent>
      <w:p>
        <w:pPr>
          <w:pStyle w:val="26"/>
          <w:ind w:firstLine="360"/>
          <w:jc w:val="center"/>
        </w:pPr>
        <w:r>
          <w:fldChar w:fldCharType="begin"/>
        </w:r>
        <w:r>
          <w:instrText xml:space="preserve">PAGE   \* MERGEFORMAT</w:instrText>
        </w:r>
        <w:r>
          <w:fldChar w:fldCharType="separate"/>
        </w:r>
        <w:r>
          <w:rPr>
            <w:lang w:val="zh-CN"/>
          </w:rPr>
          <w:t>5</w:t>
        </w:r>
        <w:r>
          <w:rPr>
            <w:lang w:val="zh-CN"/>
          </w:rPr>
          <w:fldChar w:fldCharType="end"/>
        </w:r>
      </w:p>
    </w:sdtContent>
  </w:sdt>
  <w:p>
    <w:pPr>
      <w:pStyle w:val="26"/>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rPr>
        <w:rFonts w:hint="eastAsia" w:ascii="宋体"/>
      </w:rPr>
      <w:t>GMTC00M077                                                  羊城晚报社印刷厂电缆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multilevel"/>
    <w:tmpl w:val="0000001C"/>
    <w:lvl w:ilvl="0" w:tentative="0">
      <w:start w:val="1"/>
      <w:numFmt w:val="decimal"/>
      <w:pStyle w:val="9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ED0630E"/>
    <w:multiLevelType w:val="multilevel"/>
    <w:tmpl w:val="0ED0630E"/>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FC78FB"/>
    <w:multiLevelType w:val="singleLevel"/>
    <w:tmpl w:val="14FC78FB"/>
    <w:lvl w:ilvl="0" w:tentative="0">
      <w:start w:val="1"/>
      <w:numFmt w:val="decimal"/>
      <w:suff w:val="space"/>
      <w:lvlText w:val="%1."/>
      <w:lvlJc w:val="left"/>
    </w:lvl>
  </w:abstractNum>
  <w:abstractNum w:abstractNumId="3">
    <w:nsid w:val="26BD636E"/>
    <w:multiLevelType w:val="multilevel"/>
    <w:tmpl w:val="26BD636E"/>
    <w:lvl w:ilvl="0" w:tentative="0">
      <w:start w:val="1"/>
      <w:numFmt w:val="none"/>
      <w:lvlText w:val="一、"/>
      <w:lvlJc w:val="left"/>
      <w:pPr>
        <w:tabs>
          <w:tab w:val="left" w:pos="851"/>
        </w:tabs>
        <w:ind w:left="851" w:hanging="851"/>
      </w:pPr>
      <w:rPr>
        <w:rFonts w:hint="default" w:ascii="Arial" w:hAnsi="Arial" w:eastAsia="宋体"/>
        <w:b/>
        <w:i w:val="0"/>
        <w:sz w:val="21"/>
        <w:szCs w:val="21"/>
      </w:rPr>
    </w:lvl>
    <w:lvl w:ilvl="1" w:tentative="0">
      <w:start w:val="1"/>
      <w:numFmt w:val="chineseCountingThousand"/>
      <w:lvlText w:val="%2、"/>
      <w:lvlJc w:val="left"/>
      <w:pPr>
        <w:tabs>
          <w:tab w:val="left" w:pos="420"/>
        </w:tabs>
        <w:ind w:left="420" w:hanging="420"/>
      </w:pPr>
      <w:rPr>
        <w:rFonts w:hint="default" w:ascii="Arial" w:hAnsi="Arial"/>
        <w:b/>
        <w:i w:val="0"/>
        <w:sz w:val="21"/>
        <w:szCs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4">
    <w:nsid w:val="31F23FB4"/>
    <w:multiLevelType w:val="multilevel"/>
    <w:tmpl w:val="31F23FB4"/>
    <w:lvl w:ilvl="0" w:tentative="0">
      <w:start w:val="1"/>
      <w:numFmt w:val="decimal"/>
      <w:lvlText w:val="%1."/>
      <w:lvlJc w:val="left"/>
      <w:pPr>
        <w:tabs>
          <w:tab w:val="left" w:pos="851"/>
        </w:tabs>
        <w:ind w:left="851" w:hanging="851"/>
      </w:pPr>
      <w:rPr>
        <w:rFonts w:hint="default" w:ascii="Arial" w:hAnsi="Arial" w:eastAsia="宋体"/>
        <w:b/>
        <w:i w:val="0"/>
        <w:sz w:val="24"/>
      </w:rPr>
    </w:lvl>
    <w:lvl w:ilvl="1" w:tentative="0">
      <w:start w:val="1"/>
      <w:numFmt w:val="decimal"/>
      <w:lvlText w:val="%1.%2"/>
      <w:lvlJc w:val="left"/>
      <w:pPr>
        <w:tabs>
          <w:tab w:val="left" w:pos="851"/>
        </w:tabs>
        <w:ind w:left="851" w:hanging="851"/>
      </w:pPr>
      <w:rPr>
        <w:rFonts w:hint="default" w:ascii="Arial" w:hAnsi="Arial" w:eastAsia="宋体"/>
        <w:b w:val="0"/>
        <w:i w:val="0"/>
        <w:color w:val="auto"/>
        <w:sz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108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5">
    <w:nsid w:val="42BB50F0"/>
    <w:multiLevelType w:val="multilevel"/>
    <w:tmpl w:val="42BB50F0"/>
    <w:lvl w:ilvl="0" w:tentative="0">
      <w:start w:val="1"/>
      <w:numFmt w:val="decimal"/>
      <w:lvlText w:val="%1"/>
      <w:lvlJc w:val="left"/>
      <w:pPr>
        <w:tabs>
          <w:tab w:val="left" w:pos="425"/>
        </w:tabs>
        <w:ind w:left="425" w:hanging="425"/>
      </w:pPr>
      <w:rPr>
        <w:rFonts w:hint="default"/>
        <w:b/>
        <w:i w:val="0"/>
        <w:sz w:val="24"/>
      </w:rPr>
    </w:lvl>
    <w:lvl w:ilvl="1" w:tentative="0">
      <w:start w:val="1"/>
      <w:numFmt w:val="decimal"/>
      <w:lvlText w:val="%1.%2"/>
      <w:lvlJc w:val="left"/>
      <w:pPr>
        <w:tabs>
          <w:tab w:val="left" w:pos="992"/>
        </w:tabs>
        <w:ind w:left="992" w:hanging="567"/>
      </w:pPr>
      <w:rPr>
        <w:rFonts w:hint="default"/>
        <w:b w:val="0"/>
        <w:i w:val="0"/>
        <w:sz w:val="21"/>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451D2B8E"/>
    <w:multiLevelType w:val="multilevel"/>
    <w:tmpl w:val="451D2B8E"/>
    <w:lvl w:ilvl="0" w:tentative="0">
      <w:start w:val="3"/>
      <w:numFmt w:val="decimal"/>
      <w:lvlText w:val="%1"/>
      <w:lvlJc w:val="left"/>
      <w:pPr>
        <w:tabs>
          <w:tab w:val="left" w:pos="360"/>
        </w:tabs>
        <w:ind w:left="360" w:hanging="360"/>
      </w:pPr>
      <w:rPr>
        <w:rFonts w:hint="default" w:ascii="Arial" w:hAnsi="Arial" w:cs="Arial"/>
        <w:color w:val="auto"/>
      </w:rPr>
    </w:lvl>
    <w:lvl w:ilvl="1" w:tentative="0">
      <w:start w:val="1"/>
      <w:numFmt w:val="decimal"/>
      <w:lvlText w:val="%1.%2"/>
      <w:lvlJc w:val="left"/>
      <w:pPr>
        <w:tabs>
          <w:tab w:val="left" w:pos="360"/>
        </w:tabs>
        <w:ind w:left="360" w:hanging="360"/>
      </w:pPr>
      <w:rPr>
        <w:rFonts w:hint="default" w:ascii="Arial" w:hAnsi="Arial" w:cs="Arial"/>
        <w:b w:val="0"/>
        <w:color w:val="auto"/>
      </w:rPr>
    </w:lvl>
    <w:lvl w:ilvl="2" w:tentative="0">
      <w:start w:val="1"/>
      <w:numFmt w:val="decimal"/>
      <w:lvlText w:val="%1.%2.%3"/>
      <w:lvlJc w:val="left"/>
      <w:pPr>
        <w:tabs>
          <w:tab w:val="left" w:pos="720"/>
        </w:tabs>
        <w:ind w:left="720" w:hanging="720"/>
      </w:pPr>
      <w:rPr>
        <w:rFonts w:hint="default" w:ascii="Arial" w:hAnsi="Arial" w:cs="Arial"/>
        <w:color w:val="auto"/>
      </w:rPr>
    </w:lvl>
    <w:lvl w:ilvl="3" w:tentative="0">
      <w:start w:val="1"/>
      <w:numFmt w:val="decimal"/>
      <w:lvlText w:val="%1.%2.%3.%4"/>
      <w:lvlJc w:val="left"/>
      <w:pPr>
        <w:tabs>
          <w:tab w:val="left" w:pos="720"/>
        </w:tabs>
        <w:ind w:left="720" w:hanging="720"/>
      </w:pPr>
      <w:rPr>
        <w:rFonts w:hint="default" w:ascii="Arial" w:hAnsi="Arial" w:cs="Arial"/>
        <w:color w:val="auto"/>
      </w:rPr>
    </w:lvl>
    <w:lvl w:ilvl="4" w:tentative="0">
      <w:start w:val="1"/>
      <w:numFmt w:val="decimal"/>
      <w:lvlText w:val="%1.%2.%3.%4.%5"/>
      <w:lvlJc w:val="left"/>
      <w:pPr>
        <w:tabs>
          <w:tab w:val="left" w:pos="1080"/>
        </w:tabs>
        <w:ind w:left="1080" w:hanging="1080"/>
      </w:pPr>
      <w:rPr>
        <w:rFonts w:hint="default" w:ascii="Arial" w:hAnsi="Arial" w:cs="Arial"/>
        <w:color w:val="auto"/>
      </w:rPr>
    </w:lvl>
    <w:lvl w:ilvl="5" w:tentative="0">
      <w:start w:val="1"/>
      <w:numFmt w:val="decimal"/>
      <w:lvlText w:val="%1.%2.%3.%4.%5.%6"/>
      <w:lvlJc w:val="left"/>
      <w:pPr>
        <w:tabs>
          <w:tab w:val="left" w:pos="1080"/>
        </w:tabs>
        <w:ind w:left="1080" w:hanging="1080"/>
      </w:pPr>
      <w:rPr>
        <w:rFonts w:hint="default" w:ascii="Arial" w:hAnsi="Arial" w:cs="Arial"/>
        <w:color w:val="auto"/>
      </w:rPr>
    </w:lvl>
    <w:lvl w:ilvl="6" w:tentative="0">
      <w:start w:val="1"/>
      <w:numFmt w:val="decimal"/>
      <w:lvlText w:val="%1.%2.%3.%4.%5.%6.%7"/>
      <w:lvlJc w:val="left"/>
      <w:pPr>
        <w:tabs>
          <w:tab w:val="left" w:pos="1080"/>
        </w:tabs>
        <w:ind w:left="1080" w:hanging="1080"/>
      </w:pPr>
      <w:rPr>
        <w:rFonts w:hint="default" w:ascii="Arial" w:hAnsi="Arial" w:cs="Arial"/>
        <w:color w:val="auto"/>
      </w:rPr>
    </w:lvl>
    <w:lvl w:ilvl="7" w:tentative="0">
      <w:start w:val="1"/>
      <w:numFmt w:val="decimal"/>
      <w:lvlText w:val="%1.%2.%3.%4.%5.%6.%7.%8"/>
      <w:lvlJc w:val="left"/>
      <w:pPr>
        <w:tabs>
          <w:tab w:val="left" w:pos="1440"/>
        </w:tabs>
        <w:ind w:left="1440" w:hanging="1440"/>
      </w:pPr>
      <w:rPr>
        <w:rFonts w:hint="default" w:ascii="Arial" w:hAnsi="Arial" w:cs="Arial"/>
        <w:color w:val="auto"/>
      </w:rPr>
    </w:lvl>
    <w:lvl w:ilvl="8" w:tentative="0">
      <w:start w:val="1"/>
      <w:numFmt w:val="decimal"/>
      <w:lvlText w:val="%1.%2.%3.%4.%5.%6.%7.%8.%9"/>
      <w:lvlJc w:val="left"/>
      <w:pPr>
        <w:tabs>
          <w:tab w:val="left" w:pos="1440"/>
        </w:tabs>
        <w:ind w:left="1440" w:hanging="1440"/>
      </w:pPr>
      <w:rPr>
        <w:rFonts w:hint="default" w:ascii="Arial" w:hAnsi="Arial" w:cs="Arial"/>
        <w:color w:val="auto"/>
      </w:rPr>
    </w:lvl>
  </w:abstractNum>
  <w:abstractNum w:abstractNumId="7">
    <w:nsid w:val="47A54EA9"/>
    <w:multiLevelType w:val="multilevel"/>
    <w:tmpl w:val="47A54EA9"/>
    <w:lvl w:ilvl="0" w:tentative="0">
      <w:start w:val="1"/>
      <w:numFmt w:val="decimal"/>
      <w:lvlText w:val="(%1)"/>
      <w:lvlJc w:val="left"/>
      <w:pPr>
        <w:tabs>
          <w:tab w:val="left" w:pos="814"/>
        </w:tabs>
        <w:ind w:left="0" w:firstLine="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6E1710"/>
    <w:multiLevelType w:val="multilevel"/>
    <w:tmpl w:val="526E1710"/>
    <w:lvl w:ilvl="0" w:tentative="0">
      <w:start w:val="1"/>
      <w:numFmt w:val="decimal"/>
      <w:lvlText w:val="（%1）"/>
      <w:lvlJc w:val="left"/>
      <w:pPr>
        <w:tabs>
          <w:tab w:val="left" w:pos="720"/>
        </w:tabs>
        <w:ind w:left="397" w:hanging="397"/>
      </w:pPr>
      <w:rPr>
        <w:rFonts w:hint="default" w:ascii="Arial" w:hAnsi="Arial"/>
        <w:lang w:val="en-US"/>
      </w:rPr>
    </w:lvl>
    <w:lvl w:ilvl="1" w:tentative="0">
      <w:start w:val="1"/>
      <w:numFmt w:val="decimal"/>
      <w:lvlText w:val="%2、"/>
      <w:lvlJc w:val="left"/>
      <w:pPr>
        <w:tabs>
          <w:tab w:val="left" w:pos="780"/>
        </w:tabs>
        <w:ind w:left="780" w:hanging="360"/>
      </w:pPr>
      <w:rPr>
        <w:rFonts w:hint="default" w:hAnsi="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5AE3D33"/>
    <w:multiLevelType w:val="multilevel"/>
    <w:tmpl w:val="55AE3D33"/>
    <w:lvl w:ilvl="0" w:tentative="0">
      <w:start w:val="25"/>
      <w:numFmt w:val="decimal"/>
      <w:lvlText w:val="%1"/>
      <w:lvlJc w:val="left"/>
      <w:pPr>
        <w:tabs>
          <w:tab w:val="left" w:pos="420"/>
        </w:tabs>
        <w:ind w:left="420" w:hanging="420"/>
      </w:pPr>
      <w:rPr>
        <w:rFonts w:hint="default"/>
        <w:sz w:val="21"/>
        <w:szCs w:val="21"/>
      </w:rPr>
    </w:lvl>
    <w:lvl w:ilvl="1" w:tentative="0">
      <w:start w:val="1"/>
      <w:numFmt w:val="decimal"/>
      <w:lvlText w:val="%1.%2"/>
      <w:lvlJc w:val="left"/>
      <w:pPr>
        <w:tabs>
          <w:tab w:val="left" w:pos="846"/>
        </w:tabs>
        <w:ind w:left="846" w:hanging="420"/>
      </w:pPr>
      <w:rPr>
        <w:rFonts w:hint="default" w:ascii="宋体" w:hAnsi="宋体" w:eastAsia="宋体"/>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58242DAE"/>
    <w:multiLevelType w:val="singleLevel"/>
    <w:tmpl w:val="58242DAE"/>
    <w:lvl w:ilvl="0" w:tentative="0">
      <w:start w:val="1"/>
      <w:numFmt w:val="decimal"/>
      <w:suff w:val="nothing"/>
      <w:lvlText w:val="%1、"/>
      <w:lvlJc w:val="left"/>
    </w:lvl>
  </w:abstractNum>
  <w:abstractNum w:abstractNumId="11">
    <w:nsid w:val="621F15A4"/>
    <w:multiLevelType w:val="multilevel"/>
    <w:tmpl w:val="621F15A4"/>
    <w:lvl w:ilvl="0" w:tentative="0">
      <w:start w:val="8"/>
      <w:numFmt w:val="decimal"/>
      <w:lvlText w:val="%1"/>
      <w:lvlJc w:val="left"/>
      <w:pPr>
        <w:tabs>
          <w:tab w:val="left" w:pos="360"/>
        </w:tabs>
        <w:ind w:left="360" w:hanging="360"/>
      </w:pPr>
      <w:rPr>
        <w:rFonts w:hint="default"/>
        <w:b/>
        <w:sz w:val="24"/>
        <w:szCs w:val="24"/>
      </w:rPr>
    </w:lvl>
    <w:lvl w:ilvl="1" w:tentative="0">
      <w:start w:val="1"/>
      <w:numFmt w:val="decimal"/>
      <w:lvlText w:val="%1.%2"/>
      <w:lvlJc w:val="left"/>
      <w:pPr>
        <w:tabs>
          <w:tab w:val="left" w:pos="360"/>
        </w:tabs>
        <w:ind w:left="360" w:hanging="360"/>
      </w:pPr>
      <w:rPr>
        <w:rFonts w:hint="default"/>
        <w:b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2">
    <w:nsid w:val="7E80536A"/>
    <w:multiLevelType w:val="multilevel"/>
    <w:tmpl w:val="7E80536A"/>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4"/>
  </w:num>
  <w:num w:numId="3">
    <w:abstractNumId w:val="6"/>
  </w:num>
  <w:num w:numId="4">
    <w:abstractNumId w:val="11"/>
  </w:num>
  <w:num w:numId="5">
    <w:abstractNumId w:val="8"/>
  </w:num>
  <w:num w:numId="6">
    <w:abstractNumId w:val="9"/>
  </w:num>
  <w:num w:numId="7">
    <w:abstractNumId w:val="12"/>
  </w:num>
  <w:num w:numId="8">
    <w:abstractNumId w:val="3"/>
  </w:num>
  <w:num w:numId="9">
    <w:abstractNumId w:val="1"/>
  </w:num>
  <w:num w:numId="10">
    <w:abstractNumId w:val="2"/>
  </w:num>
  <w:num w:numId="11">
    <w:abstractNumId w:val="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C53FA"/>
    <w:rsid w:val="00000CF0"/>
    <w:rsid w:val="00003A15"/>
    <w:rsid w:val="00003D4A"/>
    <w:rsid w:val="0000417B"/>
    <w:rsid w:val="00004E71"/>
    <w:rsid w:val="00005E1C"/>
    <w:rsid w:val="00006801"/>
    <w:rsid w:val="0000699C"/>
    <w:rsid w:val="00007BC2"/>
    <w:rsid w:val="000105EF"/>
    <w:rsid w:val="000106FC"/>
    <w:rsid w:val="000116CA"/>
    <w:rsid w:val="00011D4E"/>
    <w:rsid w:val="0001285F"/>
    <w:rsid w:val="00012AEA"/>
    <w:rsid w:val="000153EF"/>
    <w:rsid w:val="00015A8E"/>
    <w:rsid w:val="00015B33"/>
    <w:rsid w:val="000163E7"/>
    <w:rsid w:val="00020853"/>
    <w:rsid w:val="00020FD9"/>
    <w:rsid w:val="00022C01"/>
    <w:rsid w:val="000234A1"/>
    <w:rsid w:val="000252C9"/>
    <w:rsid w:val="0002577D"/>
    <w:rsid w:val="00026D2F"/>
    <w:rsid w:val="00026F48"/>
    <w:rsid w:val="00031701"/>
    <w:rsid w:val="00031763"/>
    <w:rsid w:val="00033D39"/>
    <w:rsid w:val="00033F52"/>
    <w:rsid w:val="000344EF"/>
    <w:rsid w:val="000347A4"/>
    <w:rsid w:val="00034E4B"/>
    <w:rsid w:val="00035ECB"/>
    <w:rsid w:val="00035F7F"/>
    <w:rsid w:val="00040328"/>
    <w:rsid w:val="000403CD"/>
    <w:rsid w:val="000404AF"/>
    <w:rsid w:val="00043019"/>
    <w:rsid w:val="0004342D"/>
    <w:rsid w:val="0004390D"/>
    <w:rsid w:val="000501E3"/>
    <w:rsid w:val="00050807"/>
    <w:rsid w:val="00052701"/>
    <w:rsid w:val="00052D68"/>
    <w:rsid w:val="00052F75"/>
    <w:rsid w:val="0006008E"/>
    <w:rsid w:val="000609CD"/>
    <w:rsid w:val="0006534D"/>
    <w:rsid w:val="00065495"/>
    <w:rsid w:val="000656FC"/>
    <w:rsid w:val="0006653D"/>
    <w:rsid w:val="00066866"/>
    <w:rsid w:val="00066DC2"/>
    <w:rsid w:val="00071A5F"/>
    <w:rsid w:val="00071C7F"/>
    <w:rsid w:val="000726BC"/>
    <w:rsid w:val="00073443"/>
    <w:rsid w:val="00074037"/>
    <w:rsid w:val="00074F13"/>
    <w:rsid w:val="0007579F"/>
    <w:rsid w:val="00080DAF"/>
    <w:rsid w:val="000812C6"/>
    <w:rsid w:val="000850C5"/>
    <w:rsid w:val="00085C78"/>
    <w:rsid w:val="00093704"/>
    <w:rsid w:val="00096BF9"/>
    <w:rsid w:val="00096DA2"/>
    <w:rsid w:val="000A0B76"/>
    <w:rsid w:val="000A2D7D"/>
    <w:rsid w:val="000A3464"/>
    <w:rsid w:val="000A61C0"/>
    <w:rsid w:val="000A77BF"/>
    <w:rsid w:val="000B2D0D"/>
    <w:rsid w:val="000B3363"/>
    <w:rsid w:val="000B3488"/>
    <w:rsid w:val="000B5BEB"/>
    <w:rsid w:val="000B7F46"/>
    <w:rsid w:val="000C2F10"/>
    <w:rsid w:val="000C3E19"/>
    <w:rsid w:val="000C4507"/>
    <w:rsid w:val="000C4539"/>
    <w:rsid w:val="000C4D58"/>
    <w:rsid w:val="000C5621"/>
    <w:rsid w:val="000D086E"/>
    <w:rsid w:val="000D35D3"/>
    <w:rsid w:val="000D3CE4"/>
    <w:rsid w:val="000D4324"/>
    <w:rsid w:val="000D5634"/>
    <w:rsid w:val="000D6B52"/>
    <w:rsid w:val="000E0058"/>
    <w:rsid w:val="000E0E04"/>
    <w:rsid w:val="000E1642"/>
    <w:rsid w:val="000E2637"/>
    <w:rsid w:val="000E38A1"/>
    <w:rsid w:val="000E44C9"/>
    <w:rsid w:val="000E44D6"/>
    <w:rsid w:val="000E44E6"/>
    <w:rsid w:val="000E521B"/>
    <w:rsid w:val="000E6A1E"/>
    <w:rsid w:val="000E7B87"/>
    <w:rsid w:val="000F1544"/>
    <w:rsid w:val="000F21C1"/>
    <w:rsid w:val="000F2A4F"/>
    <w:rsid w:val="000F593C"/>
    <w:rsid w:val="000F680A"/>
    <w:rsid w:val="000F7988"/>
    <w:rsid w:val="0010103B"/>
    <w:rsid w:val="00105D42"/>
    <w:rsid w:val="00105FE4"/>
    <w:rsid w:val="0010723B"/>
    <w:rsid w:val="00110B41"/>
    <w:rsid w:val="001128A9"/>
    <w:rsid w:val="00114BC2"/>
    <w:rsid w:val="00116C58"/>
    <w:rsid w:val="00121596"/>
    <w:rsid w:val="0012185D"/>
    <w:rsid w:val="00122774"/>
    <w:rsid w:val="00123E7E"/>
    <w:rsid w:val="00124ADF"/>
    <w:rsid w:val="00125281"/>
    <w:rsid w:val="00125D96"/>
    <w:rsid w:val="001277A9"/>
    <w:rsid w:val="00130721"/>
    <w:rsid w:val="00131C9D"/>
    <w:rsid w:val="001332D9"/>
    <w:rsid w:val="00133478"/>
    <w:rsid w:val="00135595"/>
    <w:rsid w:val="00136642"/>
    <w:rsid w:val="001412AF"/>
    <w:rsid w:val="001424C4"/>
    <w:rsid w:val="00142C1A"/>
    <w:rsid w:val="00142C9C"/>
    <w:rsid w:val="00142CB3"/>
    <w:rsid w:val="001431C9"/>
    <w:rsid w:val="00143296"/>
    <w:rsid w:val="00151AFE"/>
    <w:rsid w:val="00151F15"/>
    <w:rsid w:val="00153019"/>
    <w:rsid w:val="00154392"/>
    <w:rsid w:val="001556F1"/>
    <w:rsid w:val="00155C86"/>
    <w:rsid w:val="001606C8"/>
    <w:rsid w:val="00160B80"/>
    <w:rsid w:val="00162BB0"/>
    <w:rsid w:val="001652E5"/>
    <w:rsid w:val="0016575D"/>
    <w:rsid w:val="00166E3D"/>
    <w:rsid w:val="00170E40"/>
    <w:rsid w:val="00172284"/>
    <w:rsid w:val="00174CF0"/>
    <w:rsid w:val="00175AEE"/>
    <w:rsid w:val="00175B7C"/>
    <w:rsid w:val="001805DA"/>
    <w:rsid w:val="001816A5"/>
    <w:rsid w:val="001823B5"/>
    <w:rsid w:val="00183302"/>
    <w:rsid w:val="00183AAE"/>
    <w:rsid w:val="00184CE1"/>
    <w:rsid w:val="00184D01"/>
    <w:rsid w:val="00185968"/>
    <w:rsid w:val="001872E2"/>
    <w:rsid w:val="0019149E"/>
    <w:rsid w:val="00191669"/>
    <w:rsid w:val="0019533C"/>
    <w:rsid w:val="00197C1C"/>
    <w:rsid w:val="001A22D9"/>
    <w:rsid w:val="001A267B"/>
    <w:rsid w:val="001A272E"/>
    <w:rsid w:val="001A3E9D"/>
    <w:rsid w:val="001B2B0F"/>
    <w:rsid w:val="001B3812"/>
    <w:rsid w:val="001B46C3"/>
    <w:rsid w:val="001B6CC2"/>
    <w:rsid w:val="001C3817"/>
    <w:rsid w:val="001C3ED0"/>
    <w:rsid w:val="001C5E76"/>
    <w:rsid w:val="001C7527"/>
    <w:rsid w:val="001D0478"/>
    <w:rsid w:val="001D116D"/>
    <w:rsid w:val="001D19DE"/>
    <w:rsid w:val="001D3096"/>
    <w:rsid w:val="001D36B3"/>
    <w:rsid w:val="001D3FA2"/>
    <w:rsid w:val="001D4255"/>
    <w:rsid w:val="001D75B3"/>
    <w:rsid w:val="001E101D"/>
    <w:rsid w:val="001E140C"/>
    <w:rsid w:val="001E3E6A"/>
    <w:rsid w:val="001E4B02"/>
    <w:rsid w:val="001E5906"/>
    <w:rsid w:val="001E741C"/>
    <w:rsid w:val="001E7E14"/>
    <w:rsid w:val="001F02FC"/>
    <w:rsid w:val="001F18AE"/>
    <w:rsid w:val="001F1AB2"/>
    <w:rsid w:val="001F2F6D"/>
    <w:rsid w:val="001F3FF1"/>
    <w:rsid w:val="001F42D0"/>
    <w:rsid w:val="001F61FB"/>
    <w:rsid w:val="001F6E57"/>
    <w:rsid w:val="001F71E8"/>
    <w:rsid w:val="001F738A"/>
    <w:rsid w:val="00200E61"/>
    <w:rsid w:val="00203BC6"/>
    <w:rsid w:val="002063F8"/>
    <w:rsid w:val="002075F8"/>
    <w:rsid w:val="002109E9"/>
    <w:rsid w:val="002110AA"/>
    <w:rsid w:val="0021158C"/>
    <w:rsid w:val="00212D69"/>
    <w:rsid w:val="00216523"/>
    <w:rsid w:val="00216EE9"/>
    <w:rsid w:val="00217F59"/>
    <w:rsid w:val="002212DD"/>
    <w:rsid w:val="002215A1"/>
    <w:rsid w:val="00222BC0"/>
    <w:rsid w:val="002245B9"/>
    <w:rsid w:val="00224FDB"/>
    <w:rsid w:val="0022506D"/>
    <w:rsid w:val="00232A7B"/>
    <w:rsid w:val="00235C01"/>
    <w:rsid w:val="0024041F"/>
    <w:rsid w:val="00240B48"/>
    <w:rsid w:val="0024211B"/>
    <w:rsid w:val="00243381"/>
    <w:rsid w:val="002441F7"/>
    <w:rsid w:val="00245A36"/>
    <w:rsid w:val="00250214"/>
    <w:rsid w:val="00250609"/>
    <w:rsid w:val="002515B8"/>
    <w:rsid w:val="00252637"/>
    <w:rsid w:val="00252DCA"/>
    <w:rsid w:val="00254524"/>
    <w:rsid w:val="00254CB7"/>
    <w:rsid w:val="00260A85"/>
    <w:rsid w:val="00261241"/>
    <w:rsid w:val="00261694"/>
    <w:rsid w:val="0026220B"/>
    <w:rsid w:val="0026434B"/>
    <w:rsid w:val="00265861"/>
    <w:rsid w:val="00265E68"/>
    <w:rsid w:val="002706D2"/>
    <w:rsid w:val="00270DD7"/>
    <w:rsid w:val="002710BB"/>
    <w:rsid w:val="002727B8"/>
    <w:rsid w:val="00273137"/>
    <w:rsid w:val="002742B2"/>
    <w:rsid w:val="00274C03"/>
    <w:rsid w:val="00277E7A"/>
    <w:rsid w:val="00281BDA"/>
    <w:rsid w:val="00285D7B"/>
    <w:rsid w:val="00285D80"/>
    <w:rsid w:val="0028663C"/>
    <w:rsid w:val="00286823"/>
    <w:rsid w:val="00286866"/>
    <w:rsid w:val="00291EA9"/>
    <w:rsid w:val="00293039"/>
    <w:rsid w:val="00293985"/>
    <w:rsid w:val="00293D33"/>
    <w:rsid w:val="0029545A"/>
    <w:rsid w:val="00295E25"/>
    <w:rsid w:val="002A11ED"/>
    <w:rsid w:val="002A1803"/>
    <w:rsid w:val="002A4D09"/>
    <w:rsid w:val="002A66BB"/>
    <w:rsid w:val="002A6FAE"/>
    <w:rsid w:val="002A70CC"/>
    <w:rsid w:val="002B11DB"/>
    <w:rsid w:val="002B189E"/>
    <w:rsid w:val="002B1E0F"/>
    <w:rsid w:val="002B4FBA"/>
    <w:rsid w:val="002C11A6"/>
    <w:rsid w:val="002C1935"/>
    <w:rsid w:val="002C1EF5"/>
    <w:rsid w:val="002C2CA3"/>
    <w:rsid w:val="002C2FF3"/>
    <w:rsid w:val="002C3724"/>
    <w:rsid w:val="002C427F"/>
    <w:rsid w:val="002C629A"/>
    <w:rsid w:val="002C685E"/>
    <w:rsid w:val="002C766D"/>
    <w:rsid w:val="002D28CE"/>
    <w:rsid w:val="002D35D0"/>
    <w:rsid w:val="002D5C2B"/>
    <w:rsid w:val="002D693B"/>
    <w:rsid w:val="002E0875"/>
    <w:rsid w:val="002E14FE"/>
    <w:rsid w:val="002E2093"/>
    <w:rsid w:val="002E4836"/>
    <w:rsid w:val="002F163F"/>
    <w:rsid w:val="002F1A1E"/>
    <w:rsid w:val="002F2CA3"/>
    <w:rsid w:val="002F6037"/>
    <w:rsid w:val="002F63D2"/>
    <w:rsid w:val="002F6A9F"/>
    <w:rsid w:val="00300720"/>
    <w:rsid w:val="00301392"/>
    <w:rsid w:val="0030212A"/>
    <w:rsid w:val="00302C27"/>
    <w:rsid w:val="0030511E"/>
    <w:rsid w:val="00311F30"/>
    <w:rsid w:val="00313184"/>
    <w:rsid w:val="0031332E"/>
    <w:rsid w:val="00313ADF"/>
    <w:rsid w:val="00315A3A"/>
    <w:rsid w:val="00317212"/>
    <w:rsid w:val="0031766E"/>
    <w:rsid w:val="00320EBF"/>
    <w:rsid w:val="003228FA"/>
    <w:rsid w:val="003244C1"/>
    <w:rsid w:val="003320B1"/>
    <w:rsid w:val="00332AF5"/>
    <w:rsid w:val="00333596"/>
    <w:rsid w:val="00335190"/>
    <w:rsid w:val="003352A9"/>
    <w:rsid w:val="003364E1"/>
    <w:rsid w:val="003408FE"/>
    <w:rsid w:val="0034251A"/>
    <w:rsid w:val="00342AB7"/>
    <w:rsid w:val="00344B12"/>
    <w:rsid w:val="0034690F"/>
    <w:rsid w:val="003474A6"/>
    <w:rsid w:val="00350F43"/>
    <w:rsid w:val="003511D1"/>
    <w:rsid w:val="00351AC6"/>
    <w:rsid w:val="00352172"/>
    <w:rsid w:val="003525FA"/>
    <w:rsid w:val="00352E61"/>
    <w:rsid w:val="00353064"/>
    <w:rsid w:val="00354678"/>
    <w:rsid w:val="0035474C"/>
    <w:rsid w:val="003574D1"/>
    <w:rsid w:val="0036007E"/>
    <w:rsid w:val="00360CBD"/>
    <w:rsid w:val="00365C2F"/>
    <w:rsid w:val="00366A06"/>
    <w:rsid w:val="00370531"/>
    <w:rsid w:val="0037231A"/>
    <w:rsid w:val="00372886"/>
    <w:rsid w:val="00372A11"/>
    <w:rsid w:val="00375C4B"/>
    <w:rsid w:val="003810D8"/>
    <w:rsid w:val="00381475"/>
    <w:rsid w:val="00382361"/>
    <w:rsid w:val="00382B8D"/>
    <w:rsid w:val="00383390"/>
    <w:rsid w:val="003855DF"/>
    <w:rsid w:val="0038578B"/>
    <w:rsid w:val="00386AA8"/>
    <w:rsid w:val="00390821"/>
    <w:rsid w:val="00391AC5"/>
    <w:rsid w:val="00393E77"/>
    <w:rsid w:val="003941FD"/>
    <w:rsid w:val="003A0D0A"/>
    <w:rsid w:val="003A2ADE"/>
    <w:rsid w:val="003A52AB"/>
    <w:rsid w:val="003A52C0"/>
    <w:rsid w:val="003A5DEF"/>
    <w:rsid w:val="003B0413"/>
    <w:rsid w:val="003B3555"/>
    <w:rsid w:val="003B493F"/>
    <w:rsid w:val="003B5040"/>
    <w:rsid w:val="003B5417"/>
    <w:rsid w:val="003B60BD"/>
    <w:rsid w:val="003B6ADF"/>
    <w:rsid w:val="003B74A1"/>
    <w:rsid w:val="003C3051"/>
    <w:rsid w:val="003C4D8A"/>
    <w:rsid w:val="003C6104"/>
    <w:rsid w:val="003D04A5"/>
    <w:rsid w:val="003D09AA"/>
    <w:rsid w:val="003D2257"/>
    <w:rsid w:val="003D48C5"/>
    <w:rsid w:val="003D4F55"/>
    <w:rsid w:val="003D685A"/>
    <w:rsid w:val="003E0CF4"/>
    <w:rsid w:val="003E18E1"/>
    <w:rsid w:val="003E1CBD"/>
    <w:rsid w:val="003E3923"/>
    <w:rsid w:val="003E46B7"/>
    <w:rsid w:val="003E5BD7"/>
    <w:rsid w:val="003E5D7D"/>
    <w:rsid w:val="003E6BBC"/>
    <w:rsid w:val="003E79AC"/>
    <w:rsid w:val="003F1A51"/>
    <w:rsid w:val="003F26B6"/>
    <w:rsid w:val="003F2843"/>
    <w:rsid w:val="004038E3"/>
    <w:rsid w:val="00403EDA"/>
    <w:rsid w:val="00404D1A"/>
    <w:rsid w:val="00411219"/>
    <w:rsid w:val="004116B0"/>
    <w:rsid w:val="00412E31"/>
    <w:rsid w:val="00420F54"/>
    <w:rsid w:val="004217BC"/>
    <w:rsid w:val="00421A1E"/>
    <w:rsid w:val="00421A46"/>
    <w:rsid w:val="004227E4"/>
    <w:rsid w:val="00422C5B"/>
    <w:rsid w:val="00423723"/>
    <w:rsid w:val="00424819"/>
    <w:rsid w:val="004269E0"/>
    <w:rsid w:val="00431EAA"/>
    <w:rsid w:val="004350EB"/>
    <w:rsid w:val="00435B3F"/>
    <w:rsid w:val="00440C07"/>
    <w:rsid w:val="00443B7B"/>
    <w:rsid w:val="00446613"/>
    <w:rsid w:val="00446AD8"/>
    <w:rsid w:val="00450217"/>
    <w:rsid w:val="0045089F"/>
    <w:rsid w:val="004508AE"/>
    <w:rsid w:val="004559EE"/>
    <w:rsid w:val="00461DE2"/>
    <w:rsid w:val="00462E6E"/>
    <w:rsid w:val="00463CB0"/>
    <w:rsid w:val="004651C8"/>
    <w:rsid w:val="004661BF"/>
    <w:rsid w:val="0046648A"/>
    <w:rsid w:val="00472870"/>
    <w:rsid w:val="0047335A"/>
    <w:rsid w:val="004734D4"/>
    <w:rsid w:val="00474382"/>
    <w:rsid w:val="004744DD"/>
    <w:rsid w:val="00474C77"/>
    <w:rsid w:val="004758FA"/>
    <w:rsid w:val="00476DB1"/>
    <w:rsid w:val="0047738A"/>
    <w:rsid w:val="00477987"/>
    <w:rsid w:val="004800D5"/>
    <w:rsid w:val="00480E74"/>
    <w:rsid w:val="00482016"/>
    <w:rsid w:val="00482281"/>
    <w:rsid w:val="004826FA"/>
    <w:rsid w:val="00485346"/>
    <w:rsid w:val="004860C6"/>
    <w:rsid w:val="0048681C"/>
    <w:rsid w:val="00490F0D"/>
    <w:rsid w:val="0049290A"/>
    <w:rsid w:val="00492F31"/>
    <w:rsid w:val="004937C2"/>
    <w:rsid w:val="00495420"/>
    <w:rsid w:val="004A02E6"/>
    <w:rsid w:val="004A0D24"/>
    <w:rsid w:val="004A22DB"/>
    <w:rsid w:val="004A2EA9"/>
    <w:rsid w:val="004A2FB9"/>
    <w:rsid w:val="004A4100"/>
    <w:rsid w:val="004A4750"/>
    <w:rsid w:val="004A5ACB"/>
    <w:rsid w:val="004A67CF"/>
    <w:rsid w:val="004A6C0C"/>
    <w:rsid w:val="004B0A99"/>
    <w:rsid w:val="004B0BD2"/>
    <w:rsid w:val="004B6484"/>
    <w:rsid w:val="004C11D7"/>
    <w:rsid w:val="004C218B"/>
    <w:rsid w:val="004C2224"/>
    <w:rsid w:val="004C2765"/>
    <w:rsid w:val="004C36F4"/>
    <w:rsid w:val="004C5D42"/>
    <w:rsid w:val="004D0C79"/>
    <w:rsid w:val="004D1E4C"/>
    <w:rsid w:val="004D2C0D"/>
    <w:rsid w:val="004D44FC"/>
    <w:rsid w:val="004D4F86"/>
    <w:rsid w:val="004D57AB"/>
    <w:rsid w:val="004E1F85"/>
    <w:rsid w:val="004E25ED"/>
    <w:rsid w:val="004E4FDA"/>
    <w:rsid w:val="004E605D"/>
    <w:rsid w:val="004E6860"/>
    <w:rsid w:val="004F0258"/>
    <w:rsid w:val="004F183A"/>
    <w:rsid w:val="004F2287"/>
    <w:rsid w:val="004F22E2"/>
    <w:rsid w:val="004F3E5E"/>
    <w:rsid w:val="004F4678"/>
    <w:rsid w:val="004F4743"/>
    <w:rsid w:val="004F7386"/>
    <w:rsid w:val="004F75AB"/>
    <w:rsid w:val="004F79FF"/>
    <w:rsid w:val="00501C18"/>
    <w:rsid w:val="00501C45"/>
    <w:rsid w:val="005023F2"/>
    <w:rsid w:val="00503BC3"/>
    <w:rsid w:val="00504F1A"/>
    <w:rsid w:val="005058BC"/>
    <w:rsid w:val="005064DC"/>
    <w:rsid w:val="00507391"/>
    <w:rsid w:val="00513F83"/>
    <w:rsid w:val="00516326"/>
    <w:rsid w:val="005169F9"/>
    <w:rsid w:val="00516B40"/>
    <w:rsid w:val="00516D1E"/>
    <w:rsid w:val="00516E6C"/>
    <w:rsid w:val="005179B5"/>
    <w:rsid w:val="00520702"/>
    <w:rsid w:val="00520DDE"/>
    <w:rsid w:val="00521026"/>
    <w:rsid w:val="0052214D"/>
    <w:rsid w:val="005227B0"/>
    <w:rsid w:val="00522D0A"/>
    <w:rsid w:val="00523354"/>
    <w:rsid w:val="00524C4D"/>
    <w:rsid w:val="00524F6E"/>
    <w:rsid w:val="00525DF6"/>
    <w:rsid w:val="005274BF"/>
    <w:rsid w:val="00531080"/>
    <w:rsid w:val="00535149"/>
    <w:rsid w:val="00537615"/>
    <w:rsid w:val="005403F5"/>
    <w:rsid w:val="00541328"/>
    <w:rsid w:val="00542430"/>
    <w:rsid w:val="00542508"/>
    <w:rsid w:val="00542AD6"/>
    <w:rsid w:val="00543E76"/>
    <w:rsid w:val="005448B8"/>
    <w:rsid w:val="00544B1E"/>
    <w:rsid w:val="00544B5C"/>
    <w:rsid w:val="00545DE5"/>
    <w:rsid w:val="005466A5"/>
    <w:rsid w:val="00553324"/>
    <w:rsid w:val="00553EA4"/>
    <w:rsid w:val="00554104"/>
    <w:rsid w:val="00554227"/>
    <w:rsid w:val="00557F51"/>
    <w:rsid w:val="005612CE"/>
    <w:rsid w:val="005638D8"/>
    <w:rsid w:val="00565225"/>
    <w:rsid w:val="005653B6"/>
    <w:rsid w:val="00565587"/>
    <w:rsid w:val="00566264"/>
    <w:rsid w:val="00566B86"/>
    <w:rsid w:val="00566D9D"/>
    <w:rsid w:val="0056789C"/>
    <w:rsid w:val="005705D9"/>
    <w:rsid w:val="0057091E"/>
    <w:rsid w:val="00573968"/>
    <w:rsid w:val="00575653"/>
    <w:rsid w:val="005775A6"/>
    <w:rsid w:val="00577E1F"/>
    <w:rsid w:val="005821D5"/>
    <w:rsid w:val="00584C8B"/>
    <w:rsid w:val="00586F46"/>
    <w:rsid w:val="0058746B"/>
    <w:rsid w:val="00587D89"/>
    <w:rsid w:val="00587EEC"/>
    <w:rsid w:val="00590146"/>
    <w:rsid w:val="00590766"/>
    <w:rsid w:val="00592FB1"/>
    <w:rsid w:val="005A2F4C"/>
    <w:rsid w:val="005A4878"/>
    <w:rsid w:val="005A5236"/>
    <w:rsid w:val="005A6FDD"/>
    <w:rsid w:val="005A7866"/>
    <w:rsid w:val="005A7D60"/>
    <w:rsid w:val="005B1D4B"/>
    <w:rsid w:val="005B1D5D"/>
    <w:rsid w:val="005B48F1"/>
    <w:rsid w:val="005B5583"/>
    <w:rsid w:val="005B65DD"/>
    <w:rsid w:val="005B68E9"/>
    <w:rsid w:val="005B7A73"/>
    <w:rsid w:val="005C106B"/>
    <w:rsid w:val="005C1467"/>
    <w:rsid w:val="005C36AC"/>
    <w:rsid w:val="005C49FC"/>
    <w:rsid w:val="005C4B13"/>
    <w:rsid w:val="005C4C92"/>
    <w:rsid w:val="005C65BE"/>
    <w:rsid w:val="005D0503"/>
    <w:rsid w:val="005D15C8"/>
    <w:rsid w:val="005D1E82"/>
    <w:rsid w:val="005D2D8E"/>
    <w:rsid w:val="005D4D97"/>
    <w:rsid w:val="005D5966"/>
    <w:rsid w:val="005D5AC2"/>
    <w:rsid w:val="005E039E"/>
    <w:rsid w:val="005E1DCB"/>
    <w:rsid w:val="005E57C9"/>
    <w:rsid w:val="005E59E0"/>
    <w:rsid w:val="005F0729"/>
    <w:rsid w:val="005F1130"/>
    <w:rsid w:val="005F1871"/>
    <w:rsid w:val="005F4B63"/>
    <w:rsid w:val="005F5F86"/>
    <w:rsid w:val="005F6C0D"/>
    <w:rsid w:val="006022A4"/>
    <w:rsid w:val="00603EB6"/>
    <w:rsid w:val="006046A3"/>
    <w:rsid w:val="00606F92"/>
    <w:rsid w:val="006079D9"/>
    <w:rsid w:val="00607A52"/>
    <w:rsid w:val="00610866"/>
    <w:rsid w:val="006118DC"/>
    <w:rsid w:val="0061474F"/>
    <w:rsid w:val="00620924"/>
    <w:rsid w:val="0062180D"/>
    <w:rsid w:val="00621EFF"/>
    <w:rsid w:val="0062577D"/>
    <w:rsid w:val="00625A29"/>
    <w:rsid w:val="006327E3"/>
    <w:rsid w:val="00632EBE"/>
    <w:rsid w:val="00634479"/>
    <w:rsid w:val="00635437"/>
    <w:rsid w:val="006359A2"/>
    <w:rsid w:val="0063650A"/>
    <w:rsid w:val="00642E1F"/>
    <w:rsid w:val="0064393C"/>
    <w:rsid w:val="0064430D"/>
    <w:rsid w:val="00647495"/>
    <w:rsid w:val="00647B57"/>
    <w:rsid w:val="0065512E"/>
    <w:rsid w:val="00657DA3"/>
    <w:rsid w:val="00660AB4"/>
    <w:rsid w:val="00660BBF"/>
    <w:rsid w:val="00661478"/>
    <w:rsid w:val="00663F99"/>
    <w:rsid w:val="00664864"/>
    <w:rsid w:val="00666BA0"/>
    <w:rsid w:val="00667923"/>
    <w:rsid w:val="00667CA3"/>
    <w:rsid w:val="00667CE6"/>
    <w:rsid w:val="00670C23"/>
    <w:rsid w:val="006728C0"/>
    <w:rsid w:val="00677196"/>
    <w:rsid w:val="00682F09"/>
    <w:rsid w:val="00684C29"/>
    <w:rsid w:val="006858EB"/>
    <w:rsid w:val="00685AD0"/>
    <w:rsid w:val="00691BCB"/>
    <w:rsid w:val="00693B08"/>
    <w:rsid w:val="006941F1"/>
    <w:rsid w:val="00695665"/>
    <w:rsid w:val="006969E7"/>
    <w:rsid w:val="006A0412"/>
    <w:rsid w:val="006A0CEC"/>
    <w:rsid w:val="006A0F70"/>
    <w:rsid w:val="006A6D58"/>
    <w:rsid w:val="006A722B"/>
    <w:rsid w:val="006B1F05"/>
    <w:rsid w:val="006B24D7"/>
    <w:rsid w:val="006B2884"/>
    <w:rsid w:val="006B2CB6"/>
    <w:rsid w:val="006B3E53"/>
    <w:rsid w:val="006B652A"/>
    <w:rsid w:val="006B6CDF"/>
    <w:rsid w:val="006B7365"/>
    <w:rsid w:val="006C2562"/>
    <w:rsid w:val="006C352C"/>
    <w:rsid w:val="006C4FFD"/>
    <w:rsid w:val="006C755D"/>
    <w:rsid w:val="006D086B"/>
    <w:rsid w:val="006D3B2B"/>
    <w:rsid w:val="006D4037"/>
    <w:rsid w:val="006D5D74"/>
    <w:rsid w:val="006D747F"/>
    <w:rsid w:val="006D7F75"/>
    <w:rsid w:val="006E1029"/>
    <w:rsid w:val="006E26C6"/>
    <w:rsid w:val="006E398E"/>
    <w:rsid w:val="006E678C"/>
    <w:rsid w:val="006F0D0B"/>
    <w:rsid w:val="006F39FE"/>
    <w:rsid w:val="006F42B0"/>
    <w:rsid w:val="006F5913"/>
    <w:rsid w:val="006F6ECF"/>
    <w:rsid w:val="006F7A14"/>
    <w:rsid w:val="00700B71"/>
    <w:rsid w:val="007015BB"/>
    <w:rsid w:val="007025E1"/>
    <w:rsid w:val="00703524"/>
    <w:rsid w:val="00703667"/>
    <w:rsid w:val="0070396A"/>
    <w:rsid w:val="00703E35"/>
    <w:rsid w:val="007051CE"/>
    <w:rsid w:val="007073A8"/>
    <w:rsid w:val="00712019"/>
    <w:rsid w:val="00714987"/>
    <w:rsid w:val="00715024"/>
    <w:rsid w:val="007179D8"/>
    <w:rsid w:val="007200E5"/>
    <w:rsid w:val="00721A47"/>
    <w:rsid w:val="00722B54"/>
    <w:rsid w:val="00722D62"/>
    <w:rsid w:val="007231BC"/>
    <w:rsid w:val="00724572"/>
    <w:rsid w:val="00727BB1"/>
    <w:rsid w:val="00727D28"/>
    <w:rsid w:val="00734602"/>
    <w:rsid w:val="00735DD4"/>
    <w:rsid w:val="007400D7"/>
    <w:rsid w:val="0074042A"/>
    <w:rsid w:val="007408EB"/>
    <w:rsid w:val="00742F08"/>
    <w:rsid w:val="00744A29"/>
    <w:rsid w:val="00744BF0"/>
    <w:rsid w:val="00745A07"/>
    <w:rsid w:val="00746C7B"/>
    <w:rsid w:val="00746D73"/>
    <w:rsid w:val="007470E9"/>
    <w:rsid w:val="00747858"/>
    <w:rsid w:val="00750F52"/>
    <w:rsid w:val="00753EEB"/>
    <w:rsid w:val="0075415B"/>
    <w:rsid w:val="007575A0"/>
    <w:rsid w:val="0076117A"/>
    <w:rsid w:val="00764528"/>
    <w:rsid w:val="00765B24"/>
    <w:rsid w:val="00765E2F"/>
    <w:rsid w:val="0076700B"/>
    <w:rsid w:val="00770F5F"/>
    <w:rsid w:val="007741CC"/>
    <w:rsid w:val="00776F76"/>
    <w:rsid w:val="00780662"/>
    <w:rsid w:val="007837B9"/>
    <w:rsid w:val="00786656"/>
    <w:rsid w:val="00786D96"/>
    <w:rsid w:val="007875EB"/>
    <w:rsid w:val="007929E9"/>
    <w:rsid w:val="00792B01"/>
    <w:rsid w:val="00793419"/>
    <w:rsid w:val="00793598"/>
    <w:rsid w:val="00795299"/>
    <w:rsid w:val="00795F5C"/>
    <w:rsid w:val="007975AF"/>
    <w:rsid w:val="007A2A65"/>
    <w:rsid w:val="007A2D94"/>
    <w:rsid w:val="007A4649"/>
    <w:rsid w:val="007A509C"/>
    <w:rsid w:val="007A6DD5"/>
    <w:rsid w:val="007A759B"/>
    <w:rsid w:val="007B53DE"/>
    <w:rsid w:val="007B68A5"/>
    <w:rsid w:val="007B6B57"/>
    <w:rsid w:val="007C11CB"/>
    <w:rsid w:val="007C2A3D"/>
    <w:rsid w:val="007C2ABE"/>
    <w:rsid w:val="007C43C8"/>
    <w:rsid w:val="007C5667"/>
    <w:rsid w:val="007D1DAD"/>
    <w:rsid w:val="007D2947"/>
    <w:rsid w:val="007E0E13"/>
    <w:rsid w:val="007E19EA"/>
    <w:rsid w:val="007E29CE"/>
    <w:rsid w:val="007E344F"/>
    <w:rsid w:val="007E356D"/>
    <w:rsid w:val="007E4361"/>
    <w:rsid w:val="007E501F"/>
    <w:rsid w:val="007E72B6"/>
    <w:rsid w:val="007F04AD"/>
    <w:rsid w:val="007F07D9"/>
    <w:rsid w:val="007F124E"/>
    <w:rsid w:val="007F3EFD"/>
    <w:rsid w:val="007F6342"/>
    <w:rsid w:val="007F76E0"/>
    <w:rsid w:val="0080029A"/>
    <w:rsid w:val="00802B63"/>
    <w:rsid w:val="00803803"/>
    <w:rsid w:val="00804139"/>
    <w:rsid w:val="00804A82"/>
    <w:rsid w:val="00806D6B"/>
    <w:rsid w:val="00807707"/>
    <w:rsid w:val="00810491"/>
    <w:rsid w:val="008124F7"/>
    <w:rsid w:val="00813B3A"/>
    <w:rsid w:val="00813B76"/>
    <w:rsid w:val="00814239"/>
    <w:rsid w:val="00817414"/>
    <w:rsid w:val="00822534"/>
    <w:rsid w:val="0082360D"/>
    <w:rsid w:val="00825E33"/>
    <w:rsid w:val="008316EF"/>
    <w:rsid w:val="008326FE"/>
    <w:rsid w:val="00832E1E"/>
    <w:rsid w:val="00832FD0"/>
    <w:rsid w:val="0083450E"/>
    <w:rsid w:val="00834752"/>
    <w:rsid w:val="00835EC0"/>
    <w:rsid w:val="0083671D"/>
    <w:rsid w:val="00836AF4"/>
    <w:rsid w:val="008370C1"/>
    <w:rsid w:val="00837CD1"/>
    <w:rsid w:val="00837FCB"/>
    <w:rsid w:val="00840010"/>
    <w:rsid w:val="008400E1"/>
    <w:rsid w:val="00842ABC"/>
    <w:rsid w:val="00842E87"/>
    <w:rsid w:val="00844C4C"/>
    <w:rsid w:val="00844D76"/>
    <w:rsid w:val="00853171"/>
    <w:rsid w:val="008531EE"/>
    <w:rsid w:val="00854AC3"/>
    <w:rsid w:val="00855ABA"/>
    <w:rsid w:val="00857DA2"/>
    <w:rsid w:val="00860113"/>
    <w:rsid w:val="00866457"/>
    <w:rsid w:val="00867752"/>
    <w:rsid w:val="008678C2"/>
    <w:rsid w:val="00870094"/>
    <w:rsid w:val="00871C22"/>
    <w:rsid w:val="00874F76"/>
    <w:rsid w:val="00875002"/>
    <w:rsid w:val="00880BF1"/>
    <w:rsid w:val="008863E2"/>
    <w:rsid w:val="008869D2"/>
    <w:rsid w:val="00886AD1"/>
    <w:rsid w:val="008879A6"/>
    <w:rsid w:val="00890D9D"/>
    <w:rsid w:val="008928CB"/>
    <w:rsid w:val="008962F2"/>
    <w:rsid w:val="0089669C"/>
    <w:rsid w:val="00897B6D"/>
    <w:rsid w:val="008A3C58"/>
    <w:rsid w:val="008A60A5"/>
    <w:rsid w:val="008A7C43"/>
    <w:rsid w:val="008B2820"/>
    <w:rsid w:val="008B2BCA"/>
    <w:rsid w:val="008B4C36"/>
    <w:rsid w:val="008B7793"/>
    <w:rsid w:val="008B7C15"/>
    <w:rsid w:val="008C16A3"/>
    <w:rsid w:val="008C3C5B"/>
    <w:rsid w:val="008C46CA"/>
    <w:rsid w:val="008C51D4"/>
    <w:rsid w:val="008C5E5A"/>
    <w:rsid w:val="008D13FE"/>
    <w:rsid w:val="008D1662"/>
    <w:rsid w:val="008D18CF"/>
    <w:rsid w:val="008D1BA2"/>
    <w:rsid w:val="008D1FEA"/>
    <w:rsid w:val="008D208D"/>
    <w:rsid w:val="008D2198"/>
    <w:rsid w:val="008D24BD"/>
    <w:rsid w:val="008D3124"/>
    <w:rsid w:val="008D35D9"/>
    <w:rsid w:val="008D3DDD"/>
    <w:rsid w:val="008D3E76"/>
    <w:rsid w:val="008D5D9E"/>
    <w:rsid w:val="008D600A"/>
    <w:rsid w:val="008D72BB"/>
    <w:rsid w:val="008E01E4"/>
    <w:rsid w:val="008E1E63"/>
    <w:rsid w:val="008E2CED"/>
    <w:rsid w:val="008E35C5"/>
    <w:rsid w:val="008E41AA"/>
    <w:rsid w:val="008E4457"/>
    <w:rsid w:val="008E7CEC"/>
    <w:rsid w:val="008F10FE"/>
    <w:rsid w:val="008F2D1D"/>
    <w:rsid w:val="008F4AAB"/>
    <w:rsid w:val="008F4D5A"/>
    <w:rsid w:val="008F5450"/>
    <w:rsid w:val="008F5AF7"/>
    <w:rsid w:val="008F6BB4"/>
    <w:rsid w:val="008F6E97"/>
    <w:rsid w:val="008F6EAE"/>
    <w:rsid w:val="00900886"/>
    <w:rsid w:val="009008B1"/>
    <w:rsid w:val="00900A2E"/>
    <w:rsid w:val="009014F0"/>
    <w:rsid w:val="009025B1"/>
    <w:rsid w:val="00903237"/>
    <w:rsid w:val="00906054"/>
    <w:rsid w:val="00913046"/>
    <w:rsid w:val="00913A25"/>
    <w:rsid w:val="0091427B"/>
    <w:rsid w:val="009216CC"/>
    <w:rsid w:val="00923075"/>
    <w:rsid w:val="00923502"/>
    <w:rsid w:val="00923605"/>
    <w:rsid w:val="00923623"/>
    <w:rsid w:val="0092503F"/>
    <w:rsid w:val="00927EB5"/>
    <w:rsid w:val="00930AB5"/>
    <w:rsid w:val="00931C1A"/>
    <w:rsid w:val="0093373A"/>
    <w:rsid w:val="009338C1"/>
    <w:rsid w:val="00934703"/>
    <w:rsid w:val="00936B19"/>
    <w:rsid w:val="0093770C"/>
    <w:rsid w:val="00937E8E"/>
    <w:rsid w:val="00937FB6"/>
    <w:rsid w:val="00940440"/>
    <w:rsid w:val="00943E8B"/>
    <w:rsid w:val="009455A9"/>
    <w:rsid w:val="00951644"/>
    <w:rsid w:val="00952AC3"/>
    <w:rsid w:val="009540B1"/>
    <w:rsid w:val="00954294"/>
    <w:rsid w:val="0095505D"/>
    <w:rsid w:val="009577C7"/>
    <w:rsid w:val="00957B18"/>
    <w:rsid w:val="00960DB6"/>
    <w:rsid w:val="00960E67"/>
    <w:rsid w:val="00961011"/>
    <w:rsid w:val="009624CD"/>
    <w:rsid w:val="0096512A"/>
    <w:rsid w:val="00965772"/>
    <w:rsid w:val="00966AD8"/>
    <w:rsid w:val="00972351"/>
    <w:rsid w:val="0097387A"/>
    <w:rsid w:val="00973B29"/>
    <w:rsid w:val="0097417F"/>
    <w:rsid w:val="009753DA"/>
    <w:rsid w:val="0097648E"/>
    <w:rsid w:val="00976A11"/>
    <w:rsid w:val="00976A4C"/>
    <w:rsid w:val="00980246"/>
    <w:rsid w:val="00983B66"/>
    <w:rsid w:val="00985357"/>
    <w:rsid w:val="00985659"/>
    <w:rsid w:val="009879EC"/>
    <w:rsid w:val="00987E59"/>
    <w:rsid w:val="00990740"/>
    <w:rsid w:val="00990E82"/>
    <w:rsid w:val="0099493A"/>
    <w:rsid w:val="00996475"/>
    <w:rsid w:val="009A30F0"/>
    <w:rsid w:val="009A42C8"/>
    <w:rsid w:val="009A5FEC"/>
    <w:rsid w:val="009A750A"/>
    <w:rsid w:val="009A762B"/>
    <w:rsid w:val="009A7C98"/>
    <w:rsid w:val="009B237D"/>
    <w:rsid w:val="009B4B57"/>
    <w:rsid w:val="009B4DA0"/>
    <w:rsid w:val="009B5EBC"/>
    <w:rsid w:val="009B6838"/>
    <w:rsid w:val="009B68A9"/>
    <w:rsid w:val="009C0AD6"/>
    <w:rsid w:val="009C2965"/>
    <w:rsid w:val="009C33B9"/>
    <w:rsid w:val="009C39A5"/>
    <w:rsid w:val="009C53FA"/>
    <w:rsid w:val="009C6368"/>
    <w:rsid w:val="009C723A"/>
    <w:rsid w:val="009D2C47"/>
    <w:rsid w:val="009D74B4"/>
    <w:rsid w:val="009D7D13"/>
    <w:rsid w:val="009E49F7"/>
    <w:rsid w:val="009E5EFB"/>
    <w:rsid w:val="009F124B"/>
    <w:rsid w:val="009F2A96"/>
    <w:rsid w:val="009F73E3"/>
    <w:rsid w:val="009F7903"/>
    <w:rsid w:val="00A0305D"/>
    <w:rsid w:val="00A053F7"/>
    <w:rsid w:val="00A05C2C"/>
    <w:rsid w:val="00A0680C"/>
    <w:rsid w:val="00A07D06"/>
    <w:rsid w:val="00A10651"/>
    <w:rsid w:val="00A12E29"/>
    <w:rsid w:val="00A140EC"/>
    <w:rsid w:val="00A206E0"/>
    <w:rsid w:val="00A22C64"/>
    <w:rsid w:val="00A24401"/>
    <w:rsid w:val="00A267A4"/>
    <w:rsid w:val="00A2783C"/>
    <w:rsid w:val="00A27C83"/>
    <w:rsid w:val="00A30060"/>
    <w:rsid w:val="00A301D9"/>
    <w:rsid w:val="00A32B88"/>
    <w:rsid w:val="00A339C7"/>
    <w:rsid w:val="00A343CA"/>
    <w:rsid w:val="00A34D2E"/>
    <w:rsid w:val="00A424CA"/>
    <w:rsid w:val="00A45817"/>
    <w:rsid w:val="00A45DEC"/>
    <w:rsid w:val="00A47035"/>
    <w:rsid w:val="00A4736C"/>
    <w:rsid w:val="00A52F3A"/>
    <w:rsid w:val="00A56564"/>
    <w:rsid w:val="00A5788F"/>
    <w:rsid w:val="00A60F71"/>
    <w:rsid w:val="00A6519C"/>
    <w:rsid w:val="00A67B98"/>
    <w:rsid w:val="00A71D93"/>
    <w:rsid w:val="00A72311"/>
    <w:rsid w:val="00A75995"/>
    <w:rsid w:val="00A7698B"/>
    <w:rsid w:val="00A76997"/>
    <w:rsid w:val="00A81058"/>
    <w:rsid w:val="00A826F7"/>
    <w:rsid w:val="00A83A0A"/>
    <w:rsid w:val="00A87C86"/>
    <w:rsid w:val="00A910D7"/>
    <w:rsid w:val="00A92919"/>
    <w:rsid w:val="00A93B46"/>
    <w:rsid w:val="00A93FF4"/>
    <w:rsid w:val="00A95376"/>
    <w:rsid w:val="00A954F1"/>
    <w:rsid w:val="00A966D5"/>
    <w:rsid w:val="00A96DA8"/>
    <w:rsid w:val="00AA0C61"/>
    <w:rsid w:val="00AA1C3D"/>
    <w:rsid w:val="00AA1DAF"/>
    <w:rsid w:val="00AA2642"/>
    <w:rsid w:val="00AA3F7C"/>
    <w:rsid w:val="00AA73A4"/>
    <w:rsid w:val="00AA7578"/>
    <w:rsid w:val="00AB0063"/>
    <w:rsid w:val="00AB1C10"/>
    <w:rsid w:val="00AB1DDD"/>
    <w:rsid w:val="00AB2661"/>
    <w:rsid w:val="00AB3961"/>
    <w:rsid w:val="00AB4BC4"/>
    <w:rsid w:val="00AC0305"/>
    <w:rsid w:val="00AC3992"/>
    <w:rsid w:val="00AC5E81"/>
    <w:rsid w:val="00AC65D0"/>
    <w:rsid w:val="00AC7493"/>
    <w:rsid w:val="00AD0366"/>
    <w:rsid w:val="00AD1A14"/>
    <w:rsid w:val="00AD2258"/>
    <w:rsid w:val="00AD2E58"/>
    <w:rsid w:val="00AD4592"/>
    <w:rsid w:val="00AD4FB2"/>
    <w:rsid w:val="00AD51D0"/>
    <w:rsid w:val="00AD5AEF"/>
    <w:rsid w:val="00AD6FA2"/>
    <w:rsid w:val="00AD7F86"/>
    <w:rsid w:val="00AE03F6"/>
    <w:rsid w:val="00AE1877"/>
    <w:rsid w:val="00AE45BE"/>
    <w:rsid w:val="00AE4904"/>
    <w:rsid w:val="00AE747D"/>
    <w:rsid w:val="00AF0266"/>
    <w:rsid w:val="00AF0418"/>
    <w:rsid w:val="00AF2BD2"/>
    <w:rsid w:val="00AF6155"/>
    <w:rsid w:val="00AF663E"/>
    <w:rsid w:val="00AF72D0"/>
    <w:rsid w:val="00B025BA"/>
    <w:rsid w:val="00B04789"/>
    <w:rsid w:val="00B0529B"/>
    <w:rsid w:val="00B070A2"/>
    <w:rsid w:val="00B070DF"/>
    <w:rsid w:val="00B0732F"/>
    <w:rsid w:val="00B07CAC"/>
    <w:rsid w:val="00B113CD"/>
    <w:rsid w:val="00B12A19"/>
    <w:rsid w:val="00B131DD"/>
    <w:rsid w:val="00B13677"/>
    <w:rsid w:val="00B13F4B"/>
    <w:rsid w:val="00B17B7B"/>
    <w:rsid w:val="00B17EF6"/>
    <w:rsid w:val="00B2165D"/>
    <w:rsid w:val="00B21BBA"/>
    <w:rsid w:val="00B21BE6"/>
    <w:rsid w:val="00B255DE"/>
    <w:rsid w:val="00B277AA"/>
    <w:rsid w:val="00B32C03"/>
    <w:rsid w:val="00B3567F"/>
    <w:rsid w:val="00B368FA"/>
    <w:rsid w:val="00B37B4C"/>
    <w:rsid w:val="00B402D8"/>
    <w:rsid w:val="00B40910"/>
    <w:rsid w:val="00B410DF"/>
    <w:rsid w:val="00B42A7C"/>
    <w:rsid w:val="00B44A78"/>
    <w:rsid w:val="00B454A1"/>
    <w:rsid w:val="00B45E35"/>
    <w:rsid w:val="00B478E6"/>
    <w:rsid w:val="00B5309D"/>
    <w:rsid w:val="00B551A4"/>
    <w:rsid w:val="00B626AC"/>
    <w:rsid w:val="00B630FB"/>
    <w:rsid w:val="00B6549F"/>
    <w:rsid w:val="00B66F78"/>
    <w:rsid w:val="00B67B69"/>
    <w:rsid w:val="00B67C73"/>
    <w:rsid w:val="00B71FB6"/>
    <w:rsid w:val="00B725BF"/>
    <w:rsid w:val="00B7435B"/>
    <w:rsid w:val="00B75832"/>
    <w:rsid w:val="00B766C5"/>
    <w:rsid w:val="00B76B4D"/>
    <w:rsid w:val="00B772EC"/>
    <w:rsid w:val="00B808C8"/>
    <w:rsid w:val="00B8162F"/>
    <w:rsid w:val="00B8250B"/>
    <w:rsid w:val="00B84CA6"/>
    <w:rsid w:val="00B863C8"/>
    <w:rsid w:val="00B866A2"/>
    <w:rsid w:val="00B876DF"/>
    <w:rsid w:val="00B87EE7"/>
    <w:rsid w:val="00B90945"/>
    <w:rsid w:val="00B91E12"/>
    <w:rsid w:val="00B92B4D"/>
    <w:rsid w:val="00B9392F"/>
    <w:rsid w:val="00B97BC6"/>
    <w:rsid w:val="00BA4D91"/>
    <w:rsid w:val="00BA5CA9"/>
    <w:rsid w:val="00BA7A76"/>
    <w:rsid w:val="00BA7C1A"/>
    <w:rsid w:val="00BB1B83"/>
    <w:rsid w:val="00BB2E92"/>
    <w:rsid w:val="00BB39CA"/>
    <w:rsid w:val="00BB3A51"/>
    <w:rsid w:val="00BB3E7B"/>
    <w:rsid w:val="00BB4388"/>
    <w:rsid w:val="00BB516E"/>
    <w:rsid w:val="00BB697A"/>
    <w:rsid w:val="00BB75F2"/>
    <w:rsid w:val="00BB78D7"/>
    <w:rsid w:val="00BC0F34"/>
    <w:rsid w:val="00BC48C6"/>
    <w:rsid w:val="00BC52E6"/>
    <w:rsid w:val="00BC7F23"/>
    <w:rsid w:val="00BD506A"/>
    <w:rsid w:val="00BD6423"/>
    <w:rsid w:val="00BE2137"/>
    <w:rsid w:val="00BE2CB6"/>
    <w:rsid w:val="00BE627D"/>
    <w:rsid w:val="00BE73DA"/>
    <w:rsid w:val="00BF35BE"/>
    <w:rsid w:val="00BF592C"/>
    <w:rsid w:val="00C00477"/>
    <w:rsid w:val="00C02A79"/>
    <w:rsid w:val="00C02AEA"/>
    <w:rsid w:val="00C0389D"/>
    <w:rsid w:val="00C0586A"/>
    <w:rsid w:val="00C05CBB"/>
    <w:rsid w:val="00C05F30"/>
    <w:rsid w:val="00C07694"/>
    <w:rsid w:val="00C0775F"/>
    <w:rsid w:val="00C07A1B"/>
    <w:rsid w:val="00C07B5A"/>
    <w:rsid w:val="00C102BB"/>
    <w:rsid w:val="00C10698"/>
    <w:rsid w:val="00C106FD"/>
    <w:rsid w:val="00C14DAC"/>
    <w:rsid w:val="00C151D3"/>
    <w:rsid w:val="00C152D3"/>
    <w:rsid w:val="00C155A0"/>
    <w:rsid w:val="00C1704B"/>
    <w:rsid w:val="00C17666"/>
    <w:rsid w:val="00C205E0"/>
    <w:rsid w:val="00C20F62"/>
    <w:rsid w:val="00C22490"/>
    <w:rsid w:val="00C22B38"/>
    <w:rsid w:val="00C24AD2"/>
    <w:rsid w:val="00C24E45"/>
    <w:rsid w:val="00C25741"/>
    <w:rsid w:val="00C279A8"/>
    <w:rsid w:val="00C3172C"/>
    <w:rsid w:val="00C31F71"/>
    <w:rsid w:val="00C33F92"/>
    <w:rsid w:val="00C358F3"/>
    <w:rsid w:val="00C36008"/>
    <w:rsid w:val="00C37053"/>
    <w:rsid w:val="00C401F4"/>
    <w:rsid w:val="00C40575"/>
    <w:rsid w:val="00C40867"/>
    <w:rsid w:val="00C40AB0"/>
    <w:rsid w:val="00C40CD2"/>
    <w:rsid w:val="00C45AD1"/>
    <w:rsid w:val="00C4778C"/>
    <w:rsid w:val="00C47D37"/>
    <w:rsid w:val="00C506AF"/>
    <w:rsid w:val="00C518A4"/>
    <w:rsid w:val="00C52DEC"/>
    <w:rsid w:val="00C561B7"/>
    <w:rsid w:val="00C56424"/>
    <w:rsid w:val="00C568C7"/>
    <w:rsid w:val="00C569D8"/>
    <w:rsid w:val="00C6095E"/>
    <w:rsid w:val="00C60ED3"/>
    <w:rsid w:val="00C6304A"/>
    <w:rsid w:val="00C6542F"/>
    <w:rsid w:val="00C671AB"/>
    <w:rsid w:val="00C701BB"/>
    <w:rsid w:val="00C71C79"/>
    <w:rsid w:val="00C73158"/>
    <w:rsid w:val="00C7368D"/>
    <w:rsid w:val="00C744BD"/>
    <w:rsid w:val="00C76E6E"/>
    <w:rsid w:val="00C82712"/>
    <w:rsid w:val="00C82C65"/>
    <w:rsid w:val="00C91B14"/>
    <w:rsid w:val="00C91C30"/>
    <w:rsid w:val="00C921E7"/>
    <w:rsid w:val="00C94F25"/>
    <w:rsid w:val="00C953E1"/>
    <w:rsid w:val="00C96A74"/>
    <w:rsid w:val="00CA0231"/>
    <w:rsid w:val="00CA2EFD"/>
    <w:rsid w:val="00CA347F"/>
    <w:rsid w:val="00CA35A7"/>
    <w:rsid w:val="00CA3E07"/>
    <w:rsid w:val="00CA58AB"/>
    <w:rsid w:val="00CA7838"/>
    <w:rsid w:val="00CB23DA"/>
    <w:rsid w:val="00CB2A50"/>
    <w:rsid w:val="00CB548C"/>
    <w:rsid w:val="00CB5791"/>
    <w:rsid w:val="00CB6798"/>
    <w:rsid w:val="00CC1345"/>
    <w:rsid w:val="00CC2673"/>
    <w:rsid w:val="00CC33AB"/>
    <w:rsid w:val="00CC3636"/>
    <w:rsid w:val="00CC39FB"/>
    <w:rsid w:val="00CC5BE4"/>
    <w:rsid w:val="00CC5FEB"/>
    <w:rsid w:val="00CC6749"/>
    <w:rsid w:val="00CC7FCC"/>
    <w:rsid w:val="00CD0B4E"/>
    <w:rsid w:val="00CD16A1"/>
    <w:rsid w:val="00CD16B9"/>
    <w:rsid w:val="00CD18E5"/>
    <w:rsid w:val="00CD1B7C"/>
    <w:rsid w:val="00CD21E4"/>
    <w:rsid w:val="00CD29BC"/>
    <w:rsid w:val="00CD2FDB"/>
    <w:rsid w:val="00CD32E3"/>
    <w:rsid w:val="00CD3B7E"/>
    <w:rsid w:val="00CD7CCC"/>
    <w:rsid w:val="00CE15AC"/>
    <w:rsid w:val="00CE2744"/>
    <w:rsid w:val="00CE5971"/>
    <w:rsid w:val="00CE5B9D"/>
    <w:rsid w:val="00CE6759"/>
    <w:rsid w:val="00CF06DB"/>
    <w:rsid w:val="00CF18E4"/>
    <w:rsid w:val="00CF1D02"/>
    <w:rsid w:val="00CF30B9"/>
    <w:rsid w:val="00CF452B"/>
    <w:rsid w:val="00CF49D1"/>
    <w:rsid w:val="00CF5E07"/>
    <w:rsid w:val="00CF63A5"/>
    <w:rsid w:val="00CF7B21"/>
    <w:rsid w:val="00D00FCB"/>
    <w:rsid w:val="00D023D1"/>
    <w:rsid w:val="00D0240E"/>
    <w:rsid w:val="00D02613"/>
    <w:rsid w:val="00D05E6F"/>
    <w:rsid w:val="00D061FC"/>
    <w:rsid w:val="00D072E5"/>
    <w:rsid w:val="00D10681"/>
    <w:rsid w:val="00D10B72"/>
    <w:rsid w:val="00D10EE9"/>
    <w:rsid w:val="00D11A97"/>
    <w:rsid w:val="00D13436"/>
    <w:rsid w:val="00D15002"/>
    <w:rsid w:val="00D21944"/>
    <w:rsid w:val="00D23F69"/>
    <w:rsid w:val="00D245EA"/>
    <w:rsid w:val="00D32BEB"/>
    <w:rsid w:val="00D3537D"/>
    <w:rsid w:val="00D36B6E"/>
    <w:rsid w:val="00D370D3"/>
    <w:rsid w:val="00D41926"/>
    <w:rsid w:val="00D41D28"/>
    <w:rsid w:val="00D432A5"/>
    <w:rsid w:val="00D43C0C"/>
    <w:rsid w:val="00D450B2"/>
    <w:rsid w:val="00D50F3A"/>
    <w:rsid w:val="00D513E4"/>
    <w:rsid w:val="00D51DCD"/>
    <w:rsid w:val="00D521AE"/>
    <w:rsid w:val="00D53747"/>
    <w:rsid w:val="00D54599"/>
    <w:rsid w:val="00D549A5"/>
    <w:rsid w:val="00D57398"/>
    <w:rsid w:val="00D578CE"/>
    <w:rsid w:val="00D6323A"/>
    <w:rsid w:val="00D63594"/>
    <w:rsid w:val="00D6590E"/>
    <w:rsid w:val="00D65A86"/>
    <w:rsid w:val="00D65E0E"/>
    <w:rsid w:val="00D678CB"/>
    <w:rsid w:val="00D70600"/>
    <w:rsid w:val="00D73AE4"/>
    <w:rsid w:val="00D812BC"/>
    <w:rsid w:val="00D81C83"/>
    <w:rsid w:val="00D82A94"/>
    <w:rsid w:val="00D82B70"/>
    <w:rsid w:val="00D82D2C"/>
    <w:rsid w:val="00D82DDE"/>
    <w:rsid w:val="00D83884"/>
    <w:rsid w:val="00D84A0F"/>
    <w:rsid w:val="00D84E96"/>
    <w:rsid w:val="00D85174"/>
    <w:rsid w:val="00D902A2"/>
    <w:rsid w:val="00D90619"/>
    <w:rsid w:val="00D91FD2"/>
    <w:rsid w:val="00D92460"/>
    <w:rsid w:val="00D9262C"/>
    <w:rsid w:val="00D945F7"/>
    <w:rsid w:val="00D94E36"/>
    <w:rsid w:val="00D95CFF"/>
    <w:rsid w:val="00D9709C"/>
    <w:rsid w:val="00D97A53"/>
    <w:rsid w:val="00DA168F"/>
    <w:rsid w:val="00DA23FE"/>
    <w:rsid w:val="00DA420F"/>
    <w:rsid w:val="00DA4FAF"/>
    <w:rsid w:val="00DA78AB"/>
    <w:rsid w:val="00DB2543"/>
    <w:rsid w:val="00DB47E8"/>
    <w:rsid w:val="00DB540E"/>
    <w:rsid w:val="00DC1913"/>
    <w:rsid w:val="00DC27D4"/>
    <w:rsid w:val="00DC5F72"/>
    <w:rsid w:val="00DC61BC"/>
    <w:rsid w:val="00DC76FA"/>
    <w:rsid w:val="00DC7A8C"/>
    <w:rsid w:val="00DC7F6E"/>
    <w:rsid w:val="00DD05B2"/>
    <w:rsid w:val="00DD0777"/>
    <w:rsid w:val="00DD327F"/>
    <w:rsid w:val="00DD362C"/>
    <w:rsid w:val="00DD3836"/>
    <w:rsid w:val="00DD64D3"/>
    <w:rsid w:val="00DD683E"/>
    <w:rsid w:val="00DD790F"/>
    <w:rsid w:val="00DE6F4D"/>
    <w:rsid w:val="00DF1222"/>
    <w:rsid w:val="00DF2864"/>
    <w:rsid w:val="00DF6BD9"/>
    <w:rsid w:val="00E010AD"/>
    <w:rsid w:val="00E013A5"/>
    <w:rsid w:val="00E02E71"/>
    <w:rsid w:val="00E030B6"/>
    <w:rsid w:val="00E04371"/>
    <w:rsid w:val="00E04E6A"/>
    <w:rsid w:val="00E070E5"/>
    <w:rsid w:val="00E11E6B"/>
    <w:rsid w:val="00E128A8"/>
    <w:rsid w:val="00E1328D"/>
    <w:rsid w:val="00E15A7A"/>
    <w:rsid w:val="00E17422"/>
    <w:rsid w:val="00E175C7"/>
    <w:rsid w:val="00E2257E"/>
    <w:rsid w:val="00E26256"/>
    <w:rsid w:val="00E26869"/>
    <w:rsid w:val="00E27718"/>
    <w:rsid w:val="00E3168D"/>
    <w:rsid w:val="00E32936"/>
    <w:rsid w:val="00E33193"/>
    <w:rsid w:val="00E33894"/>
    <w:rsid w:val="00E33CFE"/>
    <w:rsid w:val="00E37CC5"/>
    <w:rsid w:val="00E421FB"/>
    <w:rsid w:val="00E42587"/>
    <w:rsid w:val="00E42E6F"/>
    <w:rsid w:val="00E476FB"/>
    <w:rsid w:val="00E50FD2"/>
    <w:rsid w:val="00E51008"/>
    <w:rsid w:val="00E52CF0"/>
    <w:rsid w:val="00E52F57"/>
    <w:rsid w:val="00E55982"/>
    <w:rsid w:val="00E568D7"/>
    <w:rsid w:val="00E60121"/>
    <w:rsid w:val="00E619CE"/>
    <w:rsid w:val="00E61FC6"/>
    <w:rsid w:val="00E6210B"/>
    <w:rsid w:val="00E6256C"/>
    <w:rsid w:val="00E64314"/>
    <w:rsid w:val="00E652B7"/>
    <w:rsid w:val="00E66AA5"/>
    <w:rsid w:val="00E67CE4"/>
    <w:rsid w:val="00E71D43"/>
    <w:rsid w:val="00E72A9F"/>
    <w:rsid w:val="00E72AC0"/>
    <w:rsid w:val="00E74688"/>
    <w:rsid w:val="00E800C7"/>
    <w:rsid w:val="00E803E3"/>
    <w:rsid w:val="00E83FC6"/>
    <w:rsid w:val="00E84054"/>
    <w:rsid w:val="00E844E0"/>
    <w:rsid w:val="00E853E6"/>
    <w:rsid w:val="00E86C0B"/>
    <w:rsid w:val="00E87493"/>
    <w:rsid w:val="00E8782A"/>
    <w:rsid w:val="00E9493A"/>
    <w:rsid w:val="00E965F5"/>
    <w:rsid w:val="00EA246D"/>
    <w:rsid w:val="00EA365D"/>
    <w:rsid w:val="00EA4090"/>
    <w:rsid w:val="00EA417E"/>
    <w:rsid w:val="00EA5541"/>
    <w:rsid w:val="00EA62F1"/>
    <w:rsid w:val="00EB27A6"/>
    <w:rsid w:val="00EB3AF3"/>
    <w:rsid w:val="00EB6155"/>
    <w:rsid w:val="00EB76B4"/>
    <w:rsid w:val="00EC06F4"/>
    <w:rsid w:val="00EC4F3F"/>
    <w:rsid w:val="00EC5750"/>
    <w:rsid w:val="00EC69C8"/>
    <w:rsid w:val="00ED09EE"/>
    <w:rsid w:val="00ED26B1"/>
    <w:rsid w:val="00ED306D"/>
    <w:rsid w:val="00ED4111"/>
    <w:rsid w:val="00ED4B07"/>
    <w:rsid w:val="00EE33B3"/>
    <w:rsid w:val="00F0430F"/>
    <w:rsid w:val="00F05310"/>
    <w:rsid w:val="00F05DB3"/>
    <w:rsid w:val="00F06839"/>
    <w:rsid w:val="00F14E4D"/>
    <w:rsid w:val="00F15510"/>
    <w:rsid w:val="00F162FA"/>
    <w:rsid w:val="00F16363"/>
    <w:rsid w:val="00F216CB"/>
    <w:rsid w:val="00F23262"/>
    <w:rsid w:val="00F23E7E"/>
    <w:rsid w:val="00F24117"/>
    <w:rsid w:val="00F24AFE"/>
    <w:rsid w:val="00F2695D"/>
    <w:rsid w:val="00F26FBC"/>
    <w:rsid w:val="00F309D4"/>
    <w:rsid w:val="00F32C14"/>
    <w:rsid w:val="00F34515"/>
    <w:rsid w:val="00F346CC"/>
    <w:rsid w:val="00F348AF"/>
    <w:rsid w:val="00F36B3B"/>
    <w:rsid w:val="00F37048"/>
    <w:rsid w:val="00F4061C"/>
    <w:rsid w:val="00F411A2"/>
    <w:rsid w:val="00F45E7D"/>
    <w:rsid w:val="00F4769B"/>
    <w:rsid w:val="00F5081D"/>
    <w:rsid w:val="00F510C6"/>
    <w:rsid w:val="00F522BB"/>
    <w:rsid w:val="00F54A4D"/>
    <w:rsid w:val="00F56411"/>
    <w:rsid w:val="00F57573"/>
    <w:rsid w:val="00F57722"/>
    <w:rsid w:val="00F64A3A"/>
    <w:rsid w:val="00F6791F"/>
    <w:rsid w:val="00F67A10"/>
    <w:rsid w:val="00F7500C"/>
    <w:rsid w:val="00F76E5F"/>
    <w:rsid w:val="00F82517"/>
    <w:rsid w:val="00F8280B"/>
    <w:rsid w:val="00F8378A"/>
    <w:rsid w:val="00F87050"/>
    <w:rsid w:val="00F87A08"/>
    <w:rsid w:val="00F91912"/>
    <w:rsid w:val="00F93D3C"/>
    <w:rsid w:val="00F948E6"/>
    <w:rsid w:val="00F952E6"/>
    <w:rsid w:val="00F964AC"/>
    <w:rsid w:val="00F97C13"/>
    <w:rsid w:val="00FA137C"/>
    <w:rsid w:val="00FA2010"/>
    <w:rsid w:val="00FA22CA"/>
    <w:rsid w:val="00FA600A"/>
    <w:rsid w:val="00FA7C1B"/>
    <w:rsid w:val="00FB1DF7"/>
    <w:rsid w:val="00FB66BC"/>
    <w:rsid w:val="00FB66F4"/>
    <w:rsid w:val="00FB768C"/>
    <w:rsid w:val="00FC2642"/>
    <w:rsid w:val="00FC2F60"/>
    <w:rsid w:val="00FC5A28"/>
    <w:rsid w:val="00FC5D20"/>
    <w:rsid w:val="00FC7A0B"/>
    <w:rsid w:val="00FD1CD4"/>
    <w:rsid w:val="00FD4B75"/>
    <w:rsid w:val="00FD5C48"/>
    <w:rsid w:val="00FD6E58"/>
    <w:rsid w:val="00FE0937"/>
    <w:rsid w:val="00FE5363"/>
    <w:rsid w:val="00FF1EE5"/>
    <w:rsid w:val="00FF405F"/>
    <w:rsid w:val="00FF68F1"/>
    <w:rsid w:val="00FF6E21"/>
    <w:rsid w:val="021A7751"/>
    <w:rsid w:val="02A730E7"/>
    <w:rsid w:val="046341D8"/>
    <w:rsid w:val="046E4CB2"/>
    <w:rsid w:val="0476539F"/>
    <w:rsid w:val="05C55690"/>
    <w:rsid w:val="061F278C"/>
    <w:rsid w:val="073F7C59"/>
    <w:rsid w:val="08DF0B21"/>
    <w:rsid w:val="0BD07A68"/>
    <w:rsid w:val="0C8A5A23"/>
    <w:rsid w:val="0D880AD1"/>
    <w:rsid w:val="0E884791"/>
    <w:rsid w:val="0F642929"/>
    <w:rsid w:val="103D7973"/>
    <w:rsid w:val="10A406E7"/>
    <w:rsid w:val="127418BB"/>
    <w:rsid w:val="12B56582"/>
    <w:rsid w:val="134F5898"/>
    <w:rsid w:val="13C85F0C"/>
    <w:rsid w:val="17FF2975"/>
    <w:rsid w:val="180B55A7"/>
    <w:rsid w:val="1A614A57"/>
    <w:rsid w:val="1B462FCD"/>
    <w:rsid w:val="1BEA40D3"/>
    <w:rsid w:val="1D73749C"/>
    <w:rsid w:val="1E37618D"/>
    <w:rsid w:val="1E3A2F0E"/>
    <w:rsid w:val="20AB5D14"/>
    <w:rsid w:val="23CF6686"/>
    <w:rsid w:val="2507678A"/>
    <w:rsid w:val="255A6BF8"/>
    <w:rsid w:val="269F12EB"/>
    <w:rsid w:val="27EF4BFA"/>
    <w:rsid w:val="2A082EA0"/>
    <w:rsid w:val="2AC87A08"/>
    <w:rsid w:val="2C9A02F8"/>
    <w:rsid w:val="2DF075C3"/>
    <w:rsid w:val="30C9309B"/>
    <w:rsid w:val="31C43516"/>
    <w:rsid w:val="326B5E9E"/>
    <w:rsid w:val="33475D01"/>
    <w:rsid w:val="337A2A7F"/>
    <w:rsid w:val="35953810"/>
    <w:rsid w:val="385C32F0"/>
    <w:rsid w:val="38FB24A4"/>
    <w:rsid w:val="3AF200A2"/>
    <w:rsid w:val="3B6F40C8"/>
    <w:rsid w:val="3C1E6AB9"/>
    <w:rsid w:val="3D500D2D"/>
    <w:rsid w:val="40B83B8F"/>
    <w:rsid w:val="41CF50ED"/>
    <w:rsid w:val="41DF1E01"/>
    <w:rsid w:val="42D55D6D"/>
    <w:rsid w:val="44E912BA"/>
    <w:rsid w:val="48193C47"/>
    <w:rsid w:val="49394E73"/>
    <w:rsid w:val="494D344A"/>
    <w:rsid w:val="497C271F"/>
    <w:rsid w:val="49D72B32"/>
    <w:rsid w:val="4ACE6968"/>
    <w:rsid w:val="4C2C061A"/>
    <w:rsid w:val="4D9A0C69"/>
    <w:rsid w:val="4FF65560"/>
    <w:rsid w:val="50851B22"/>
    <w:rsid w:val="50F43419"/>
    <w:rsid w:val="51501FF0"/>
    <w:rsid w:val="51CD7651"/>
    <w:rsid w:val="52091C05"/>
    <w:rsid w:val="5291228F"/>
    <w:rsid w:val="52B83CC6"/>
    <w:rsid w:val="52F40FC5"/>
    <w:rsid w:val="53AA6014"/>
    <w:rsid w:val="54806C4D"/>
    <w:rsid w:val="565B5F7C"/>
    <w:rsid w:val="581469E0"/>
    <w:rsid w:val="5910589E"/>
    <w:rsid w:val="5A2A29A2"/>
    <w:rsid w:val="5BCE0F2B"/>
    <w:rsid w:val="5C92779A"/>
    <w:rsid w:val="64775EA5"/>
    <w:rsid w:val="66EF6D7D"/>
    <w:rsid w:val="684E6F57"/>
    <w:rsid w:val="69F97EA0"/>
    <w:rsid w:val="6B0C77BD"/>
    <w:rsid w:val="6C8D3A11"/>
    <w:rsid w:val="6DE83158"/>
    <w:rsid w:val="6EE52AA3"/>
    <w:rsid w:val="6F7A47E4"/>
    <w:rsid w:val="6FFC5381"/>
    <w:rsid w:val="70541288"/>
    <w:rsid w:val="705D6212"/>
    <w:rsid w:val="71D740F2"/>
    <w:rsid w:val="721C0010"/>
    <w:rsid w:val="722A1ADB"/>
    <w:rsid w:val="728D69F8"/>
    <w:rsid w:val="73D865F6"/>
    <w:rsid w:val="74D32006"/>
    <w:rsid w:val="7708301A"/>
    <w:rsid w:val="78234DD9"/>
    <w:rsid w:val="79834A7C"/>
    <w:rsid w:val="7A232C6A"/>
    <w:rsid w:val="7B1B531C"/>
    <w:rsid w:val="7D0132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nhideWhenUsed="0"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ind w:firstLine="200" w:firstLineChars="200"/>
    </w:pPr>
    <w:rPr>
      <w:rFonts w:ascii="Times New Roman" w:hAnsi="Times New Roman" w:eastAsia="宋体" w:cs="Times New Roman"/>
      <w:sz w:val="21"/>
      <w:lang w:val="en-US" w:eastAsia="zh-CN" w:bidi="ar-SA"/>
    </w:rPr>
  </w:style>
  <w:style w:type="paragraph" w:styleId="2">
    <w:name w:val="heading 1"/>
    <w:basedOn w:val="1"/>
    <w:next w:val="1"/>
    <w:qFormat/>
    <w:uiPriority w:val="0"/>
    <w:pPr>
      <w:keepNext/>
      <w:keepLines/>
      <w:widowControl w:val="0"/>
      <w:tabs>
        <w:tab w:val="left" w:pos="840"/>
      </w:tabs>
      <w:jc w:val="center"/>
      <w:outlineLvl w:val="0"/>
    </w:pPr>
    <w:rPr>
      <w:rFonts w:ascii="宋体"/>
      <w:b/>
      <w:kern w:val="44"/>
      <w:sz w:val="44"/>
    </w:rPr>
  </w:style>
  <w:style w:type="paragraph" w:styleId="3">
    <w:name w:val="heading 2"/>
    <w:basedOn w:val="1"/>
    <w:next w:val="4"/>
    <w:qFormat/>
    <w:uiPriority w:val="0"/>
    <w:pPr>
      <w:keepNext/>
      <w:widowControl w:val="0"/>
      <w:jc w:val="center"/>
      <w:outlineLvl w:val="1"/>
    </w:pPr>
    <w:rPr>
      <w:rFonts w:ascii="新宋体" w:hAnsi="新宋体"/>
      <w:b/>
      <w:bCs/>
      <w:sz w:val="32"/>
      <w:szCs w:val="30"/>
    </w:rPr>
  </w:style>
  <w:style w:type="paragraph" w:styleId="5">
    <w:name w:val="heading 3"/>
    <w:basedOn w:val="1"/>
    <w:next w:val="4"/>
    <w:qFormat/>
    <w:uiPriority w:val="0"/>
    <w:pPr>
      <w:widowControl w:val="0"/>
      <w:tabs>
        <w:tab w:val="left" w:pos="851"/>
      </w:tabs>
      <w:autoSpaceDE w:val="0"/>
      <w:autoSpaceDN w:val="0"/>
      <w:jc w:val="both"/>
      <w:outlineLvl w:val="2"/>
    </w:pPr>
    <w:rPr>
      <w:rFonts w:ascii="宋体"/>
      <w:snapToGrid w:val="0"/>
    </w:rPr>
  </w:style>
  <w:style w:type="paragraph" w:styleId="6">
    <w:name w:val="heading 4"/>
    <w:basedOn w:val="1"/>
    <w:next w:val="4"/>
    <w:qFormat/>
    <w:uiPriority w:val="0"/>
    <w:pPr>
      <w:widowControl w:val="0"/>
      <w:autoSpaceDE w:val="0"/>
      <w:autoSpaceDN w:val="0"/>
      <w:jc w:val="both"/>
      <w:outlineLvl w:val="3"/>
    </w:pPr>
    <w:rPr>
      <w:rFonts w:ascii="宋体" w:hAnsi="Arial"/>
      <w:snapToGrid w:val="0"/>
      <w:color w:val="000000"/>
    </w:rPr>
  </w:style>
  <w:style w:type="paragraph" w:styleId="7">
    <w:name w:val="heading 5"/>
    <w:basedOn w:val="1"/>
    <w:next w:val="4"/>
    <w:qFormat/>
    <w:uiPriority w:val="0"/>
    <w:pPr>
      <w:keepNext/>
      <w:widowControl w:val="0"/>
      <w:autoSpaceDE w:val="0"/>
      <w:autoSpaceDN w:val="0"/>
      <w:spacing w:before="280" w:after="290" w:line="376" w:lineRule="auto"/>
      <w:jc w:val="both"/>
      <w:outlineLvl w:val="4"/>
    </w:pPr>
    <w:rPr>
      <w:rFonts w:ascii="宋体"/>
      <w:b/>
      <w:snapToGrid w:val="0"/>
      <w:color w:val="000000"/>
      <w:sz w:val="28"/>
    </w:rPr>
  </w:style>
  <w:style w:type="paragraph" w:styleId="8">
    <w:name w:val="heading 6"/>
    <w:basedOn w:val="1"/>
    <w:next w:val="4"/>
    <w:qFormat/>
    <w:uiPriority w:val="0"/>
    <w:pPr>
      <w:keepNext/>
      <w:widowControl w:val="0"/>
      <w:autoSpaceDE w:val="0"/>
      <w:autoSpaceDN w:val="0"/>
      <w:spacing w:before="240" w:after="64" w:line="320" w:lineRule="auto"/>
      <w:jc w:val="both"/>
      <w:outlineLvl w:val="5"/>
    </w:pPr>
    <w:rPr>
      <w:rFonts w:ascii="Arial" w:hAnsi="Arial" w:eastAsia="黑体"/>
      <w:b/>
      <w:snapToGrid w:val="0"/>
      <w:color w:val="000000"/>
      <w:sz w:val="24"/>
    </w:rPr>
  </w:style>
  <w:style w:type="paragraph" w:styleId="9">
    <w:name w:val="heading 7"/>
    <w:basedOn w:val="1"/>
    <w:next w:val="4"/>
    <w:qFormat/>
    <w:uiPriority w:val="0"/>
    <w:pPr>
      <w:keepNext/>
      <w:widowControl w:val="0"/>
      <w:autoSpaceDE w:val="0"/>
      <w:autoSpaceDN w:val="0"/>
      <w:spacing w:before="240" w:after="64" w:line="320" w:lineRule="auto"/>
      <w:jc w:val="both"/>
      <w:outlineLvl w:val="6"/>
    </w:pPr>
    <w:rPr>
      <w:rFonts w:ascii="宋体"/>
      <w:b/>
      <w:snapToGrid w:val="0"/>
      <w:color w:val="000000"/>
      <w:sz w:val="24"/>
    </w:rPr>
  </w:style>
  <w:style w:type="paragraph" w:styleId="10">
    <w:name w:val="heading 8"/>
    <w:basedOn w:val="1"/>
    <w:next w:val="4"/>
    <w:qFormat/>
    <w:uiPriority w:val="0"/>
    <w:pPr>
      <w:keepNext/>
      <w:widowControl w:val="0"/>
      <w:autoSpaceDE w:val="0"/>
      <w:autoSpaceDN w:val="0"/>
      <w:spacing w:before="240" w:after="64" w:line="320" w:lineRule="auto"/>
      <w:jc w:val="both"/>
      <w:outlineLvl w:val="7"/>
    </w:pPr>
    <w:rPr>
      <w:rFonts w:ascii="Arial" w:hAnsi="Arial" w:eastAsia="黑体"/>
      <w:snapToGrid w:val="0"/>
      <w:color w:val="000000"/>
      <w:sz w:val="24"/>
    </w:rPr>
  </w:style>
  <w:style w:type="paragraph" w:styleId="11">
    <w:name w:val="heading 9"/>
    <w:basedOn w:val="1"/>
    <w:next w:val="4"/>
    <w:qFormat/>
    <w:uiPriority w:val="0"/>
    <w:pPr>
      <w:keepNext/>
      <w:widowControl w:val="0"/>
      <w:autoSpaceDE w:val="0"/>
      <w:autoSpaceDN w:val="0"/>
      <w:spacing w:before="240" w:after="64" w:line="320" w:lineRule="auto"/>
      <w:jc w:val="both"/>
      <w:outlineLvl w:val="8"/>
    </w:pPr>
    <w:rPr>
      <w:rFonts w:ascii="Arial" w:hAnsi="Arial" w:eastAsia="黑体"/>
      <w:snapToGrid w:val="0"/>
      <w:color w:val="000000"/>
    </w:rPr>
  </w:style>
  <w:style w:type="character" w:default="1" w:styleId="41">
    <w:name w:val="Default Paragraph Font"/>
    <w:semiHidden/>
    <w:unhideWhenUsed/>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pPr>
  </w:style>
  <w:style w:type="paragraph" w:styleId="12">
    <w:name w:val="toc 7"/>
    <w:basedOn w:val="1"/>
    <w:next w:val="1"/>
    <w:qFormat/>
    <w:uiPriority w:val="0"/>
    <w:pPr>
      <w:ind w:left="1260"/>
    </w:pPr>
    <w:rPr>
      <w:rFonts w:ascii="Calibri" w:hAnsi="Calibri"/>
      <w:sz w:val="18"/>
      <w:szCs w:val="18"/>
    </w:rPr>
  </w:style>
  <w:style w:type="paragraph" w:styleId="13">
    <w:name w:val="Document Map"/>
    <w:basedOn w:val="1"/>
    <w:semiHidden/>
    <w:qFormat/>
    <w:uiPriority w:val="0"/>
    <w:pPr>
      <w:shd w:val="clear" w:color="auto" w:fill="000080"/>
    </w:pPr>
  </w:style>
  <w:style w:type="paragraph" w:styleId="14">
    <w:name w:val="toa heading"/>
    <w:basedOn w:val="1"/>
    <w:next w:val="1"/>
    <w:semiHidden/>
    <w:qFormat/>
    <w:uiPriority w:val="0"/>
    <w:pPr>
      <w:widowControl w:val="0"/>
      <w:spacing w:before="120"/>
      <w:jc w:val="both"/>
    </w:pPr>
    <w:rPr>
      <w:rFonts w:ascii="Arial" w:hAnsi="Arial" w:cs="Arial"/>
      <w:kern w:val="2"/>
      <w:sz w:val="24"/>
      <w:szCs w:val="24"/>
    </w:rPr>
  </w:style>
  <w:style w:type="paragraph" w:styleId="15">
    <w:name w:val="annotation text"/>
    <w:basedOn w:val="1"/>
    <w:semiHidden/>
    <w:qFormat/>
    <w:uiPriority w:val="0"/>
  </w:style>
  <w:style w:type="paragraph" w:styleId="16">
    <w:name w:val="Body Text"/>
    <w:basedOn w:val="1"/>
    <w:qFormat/>
    <w:uiPriority w:val="0"/>
    <w:pPr>
      <w:widowControl w:val="0"/>
      <w:jc w:val="both"/>
    </w:pPr>
    <w:rPr>
      <w:rFonts w:ascii="楷体_GB2312" w:eastAsia="楷体_GB2312"/>
      <w:kern w:val="2"/>
      <w:sz w:val="32"/>
    </w:rPr>
  </w:style>
  <w:style w:type="paragraph" w:styleId="17">
    <w:name w:val="Body Text Indent"/>
    <w:basedOn w:val="1"/>
    <w:link w:val="103"/>
    <w:qFormat/>
    <w:uiPriority w:val="99"/>
    <w:pPr>
      <w:ind w:left="980"/>
    </w:pPr>
  </w:style>
  <w:style w:type="paragraph" w:styleId="18">
    <w:name w:val="List Number 3"/>
    <w:basedOn w:val="1"/>
    <w:qFormat/>
    <w:uiPriority w:val="0"/>
    <w:pPr>
      <w:tabs>
        <w:tab w:val="left" w:pos="482"/>
        <w:tab w:val="left" w:pos="1200"/>
      </w:tabs>
      <w:spacing w:afterLines="50"/>
      <w:ind w:left="482" w:hanging="340"/>
    </w:pPr>
    <w:rPr>
      <w:sz w:val="24"/>
    </w:rPr>
  </w:style>
  <w:style w:type="paragraph" w:styleId="19">
    <w:name w:val="toc 5"/>
    <w:basedOn w:val="1"/>
    <w:next w:val="1"/>
    <w:qFormat/>
    <w:uiPriority w:val="0"/>
    <w:pPr>
      <w:ind w:left="840"/>
    </w:pPr>
    <w:rPr>
      <w:rFonts w:ascii="Calibri" w:hAnsi="Calibri"/>
      <w:sz w:val="18"/>
      <w:szCs w:val="18"/>
    </w:rPr>
  </w:style>
  <w:style w:type="paragraph" w:styleId="20">
    <w:name w:val="toc 3"/>
    <w:basedOn w:val="1"/>
    <w:next w:val="1"/>
    <w:qFormat/>
    <w:uiPriority w:val="39"/>
    <w:pPr>
      <w:ind w:left="420"/>
    </w:pPr>
    <w:rPr>
      <w:rFonts w:ascii="Calibri" w:hAnsi="Calibri"/>
      <w:i/>
      <w:iCs/>
      <w:sz w:val="20"/>
    </w:rPr>
  </w:style>
  <w:style w:type="paragraph" w:styleId="21">
    <w:name w:val="Plain Text"/>
    <w:basedOn w:val="1"/>
    <w:link w:val="54"/>
    <w:qFormat/>
    <w:uiPriority w:val="0"/>
    <w:pPr>
      <w:widowControl w:val="0"/>
      <w:jc w:val="both"/>
    </w:pPr>
    <w:rPr>
      <w:rFonts w:ascii="宋体" w:hAnsi="Courier New"/>
      <w:kern w:val="2"/>
    </w:rPr>
  </w:style>
  <w:style w:type="paragraph" w:styleId="22">
    <w:name w:val="toc 8"/>
    <w:basedOn w:val="1"/>
    <w:next w:val="1"/>
    <w:qFormat/>
    <w:uiPriority w:val="0"/>
    <w:pPr>
      <w:ind w:left="1470"/>
    </w:pPr>
    <w:rPr>
      <w:rFonts w:ascii="Calibri" w:hAnsi="Calibri"/>
      <w:sz w:val="18"/>
      <w:szCs w:val="18"/>
    </w:rPr>
  </w:style>
  <w:style w:type="paragraph" w:styleId="23">
    <w:name w:val="Date"/>
    <w:basedOn w:val="1"/>
    <w:next w:val="1"/>
    <w:qFormat/>
    <w:uiPriority w:val="0"/>
    <w:pPr>
      <w:widowControl w:val="0"/>
      <w:jc w:val="both"/>
    </w:pPr>
    <w:rPr>
      <w:rFonts w:ascii="宋体"/>
      <w:sz w:val="24"/>
    </w:rPr>
  </w:style>
  <w:style w:type="paragraph" w:styleId="24">
    <w:name w:val="Body Text Indent 2"/>
    <w:basedOn w:val="1"/>
    <w:qFormat/>
    <w:uiPriority w:val="0"/>
    <w:pPr>
      <w:ind w:left="784"/>
    </w:pPr>
  </w:style>
  <w:style w:type="paragraph" w:styleId="25">
    <w:name w:val="Balloon Text"/>
    <w:basedOn w:val="1"/>
    <w:semiHidden/>
    <w:qFormat/>
    <w:uiPriority w:val="0"/>
    <w:rPr>
      <w:sz w:val="18"/>
      <w:szCs w:val="18"/>
    </w:rPr>
  </w:style>
  <w:style w:type="paragraph" w:styleId="26">
    <w:name w:val="footer"/>
    <w:basedOn w:val="1"/>
    <w:link w:val="104"/>
    <w:qFormat/>
    <w:uiPriority w:val="99"/>
    <w:pPr>
      <w:tabs>
        <w:tab w:val="center" w:pos="4153"/>
        <w:tab w:val="right" w:pos="8306"/>
      </w:tabs>
    </w:pPr>
    <w:rPr>
      <w:sz w:val="18"/>
    </w:rPr>
  </w:style>
  <w:style w:type="paragraph" w:styleId="27">
    <w:name w:val="header"/>
    <w:basedOn w:val="1"/>
    <w:qFormat/>
    <w:uiPriority w:val="0"/>
    <w:pPr>
      <w:tabs>
        <w:tab w:val="center" w:pos="4153"/>
        <w:tab w:val="right" w:pos="8306"/>
      </w:tabs>
      <w:jc w:val="center"/>
    </w:pPr>
    <w:rPr>
      <w:sz w:val="18"/>
    </w:rPr>
  </w:style>
  <w:style w:type="paragraph" w:styleId="28">
    <w:name w:val="toc 1"/>
    <w:basedOn w:val="1"/>
    <w:next w:val="1"/>
    <w:qFormat/>
    <w:uiPriority w:val="39"/>
    <w:pPr>
      <w:spacing w:before="120" w:after="120"/>
    </w:pPr>
    <w:rPr>
      <w:rFonts w:ascii="Calibri" w:hAnsi="Calibri"/>
      <w:b/>
      <w:bCs/>
      <w:caps/>
      <w:sz w:val="20"/>
    </w:rPr>
  </w:style>
  <w:style w:type="paragraph" w:styleId="29">
    <w:name w:val="toc 4"/>
    <w:basedOn w:val="1"/>
    <w:next w:val="1"/>
    <w:qFormat/>
    <w:uiPriority w:val="0"/>
    <w:pPr>
      <w:ind w:left="630"/>
    </w:pPr>
    <w:rPr>
      <w:rFonts w:ascii="Calibri" w:hAnsi="Calibri"/>
      <w:sz w:val="18"/>
      <w:szCs w:val="18"/>
    </w:rPr>
  </w:style>
  <w:style w:type="paragraph" w:styleId="30">
    <w:name w:val="toc 6"/>
    <w:basedOn w:val="1"/>
    <w:next w:val="1"/>
    <w:qFormat/>
    <w:uiPriority w:val="0"/>
    <w:pPr>
      <w:ind w:left="1050"/>
    </w:pPr>
    <w:rPr>
      <w:rFonts w:ascii="Calibri" w:hAnsi="Calibri"/>
      <w:sz w:val="18"/>
      <w:szCs w:val="18"/>
    </w:rPr>
  </w:style>
  <w:style w:type="paragraph" w:styleId="31">
    <w:name w:val="Body Text Indent 3"/>
    <w:basedOn w:val="1"/>
    <w:qFormat/>
    <w:uiPriority w:val="0"/>
    <w:pPr>
      <w:ind w:left="784"/>
      <w:jc w:val="both"/>
    </w:pPr>
  </w:style>
  <w:style w:type="paragraph" w:styleId="32">
    <w:name w:val="table of figures"/>
    <w:basedOn w:val="1"/>
    <w:next w:val="1"/>
    <w:semiHidden/>
    <w:qFormat/>
    <w:uiPriority w:val="0"/>
    <w:pPr>
      <w:ind w:left="840" w:leftChars="200" w:hanging="420" w:hangingChars="200"/>
    </w:pPr>
  </w:style>
  <w:style w:type="paragraph" w:styleId="33">
    <w:name w:val="toc 2"/>
    <w:basedOn w:val="1"/>
    <w:next w:val="1"/>
    <w:qFormat/>
    <w:uiPriority w:val="39"/>
    <w:pPr>
      <w:ind w:left="210"/>
    </w:pPr>
    <w:rPr>
      <w:rFonts w:ascii="Calibri" w:hAnsi="Calibri"/>
      <w:smallCaps/>
      <w:sz w:val="20"/>
    </w:rPr>
  </w:style>
  <w:style w:type="paragraph" w:styleId="34">
    <w:name w:val="toc 9"/>
    <w:basedOn w:val="1"/>
    <w:next w:val="1"/>
    <w:qFormat/>
    <w:uiPriority w:val="0"/>
    <w:pPr>
      <w:ind w:left="1680"/>
    </w:pPr>
    <w:rPr>
      <w:rFonts w:ascii="Calibri" w:hAnsi="Calibri"/>
      <w:sz w:val="18"/>
      <w:szCs w:val="18"/>
    </w:rPr>
  </w:style>
  <w:style w:type="paragraph" w:styleId="35">
    <w:name w:val="Body Text 2"/>
    <w:basedOn w:val="1"/>
    <w:qFormat/>
    <w:uiPriority w:val="0"/>
    <w:pPr>
      <w:widowControl w:val="0"/>
      <w:jc w:val="center"/>
    </w:pPr>
    <w:rPr>
      <w:rFonts w:ascii="宋体" w:hAnsi="宋体"/>
      <w:kern w:val="2"/>
      <w:sz w:val="44"/>
      <w:szCs w:val="24"/>
    </w:rPr>
  </w:style>
  <w:style w:type="paragraph" w:styleId="36">
    <w:name w:val="Normal (Web)"/>
    <w:basedOn w:val="1"/>
    <w:qFormat/>
    <w:uiPriority w:val="0"/>
    <w:pPr>
      <w:spacing w:before="100" w:beforeAutospacing="1" w:after="100" w:afterAutospacing="1"/>
    </w:pPr>
    <w:rPr>
      <w:rFonts w:ascii="Arial Unicode MS" w:hAnsi="Arial Unicode MS" w:eastAsia="Times New Roman"/>
      <w:color w:val="000000"/>
      <w:sz w:val="24"/>
      <w:szCs w:val="24"/>
    </w:rPr>
  </w:style>
  <w:style w:type="paragraph" w:styleId="37">
    <w:name w:val="Title"/>
    <w:basedOn w:val="1"/>
    <w:link w:val="53"/>
    <w:qFormat/>
    <w:uiPriority w:val="99"/>
    <w:pPr>
      <w:widowControl w:val="0"/>
      <w:spacing w:before="240" w:after="60" w:line="360" w:lineRule="atLeast"/>
      <w:jc w:val="center"/>
      <w:outlineLvl w:val="0"/>
    </w:pPr>
    <w:rPr>
      <w:rFonts w:ascii="Arial" w:hAnsi="Arial"/>
      <w:b/>
      <w:bCs/>
      <w:sz w:val="36"/>
      <w:szCs w:val="32"/>
    </w:rPr>
  </w:style>
  <w:style w:type="paragraph" w:styleId="38">
    <w:name w:val="annotation subject"/>
    <w:basedOn w:val="15"/>
    <w:next w:val="15"/>
    <w:semiHidden/>
    <w:qFormat/>
    <w:uiPriority w:val="0"/>
    <w:rPr>
      <w:b/>
      <w:bCs/>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line number"/>
    <w:basedOn w:val="41"/>
    <w:qFormat/>
    <w:uiPriority w:val="0"/>
  </w:style>
  <w:style w:type="character" w:styleId="46">
    <w:name w:val="Hyperlink"/>
    <w:basedOn w:val="41"/>
    <w:qFormat/>
    <w:uiPriority w:val="99"/>
    <w:rPr>
      <w:color w:val="0000FF"/>
      <w:u w:val="single"/>
    </w:rPr>
  </w:style>
  <w:style w:type="character" w:styleId="47">
    <w:name w:val="annotation reference"/>
    <w:basedOn w:val="41"/>
    <w:semiHidden/>
    <w:qFormat/>
    <w:uiPriority w:val="0"/>
    <w:rPr>
      <w:sz w:val="21"/>
      <w:szCs w:val="21"/>
    </w:rPr>
  </w:style>
  <w:style w:type="character" w:customStyle="1" w:styleId="48">
    <w:name w:val="Para head"/>
    <w:basedOn w:val="41"/>
    <w:qFormat/>
    <w:uiPriority w:val="0"/>
    <w:rPr>
      <w:rFonts w:ascii="Arial" w:hAnsi="Arial" w:eastAsia="Times New Roman"/>
      <w:sz w:val="20"/>
    </w:rPr>
  </w:style>
  <w:style w:type="character" w:customStyle="1" w:styleId="49">
    <w:name w:val="标题 Char1"/>
    <w:basedOn w:val="41"/>
    <w:qFormat/>
    <w:locked/>
    <w:uiPriority w:val="99"/>
    <w:rPr>
      <w:rFonts w:ascii="Arial" w:hAnsi="Arial"/>
      <w:b/>
      <w:bCs/>
      <w:sz w:val="36"/>
      <w:szCs w:val="32"/>
    </w:rPr>
  </w:style>
  <w:style w:type="character" w:customStyle="1" w:styleId="50">
    <w:name w:val="unnamed51"/>
    <w:basedOn w:val="41"/>
    <w:qFormat/>
    <w:uiPriority w:val="0"/>
    <w:rPr>
      <w:sz w:val="22"/>
      <w:szCs w:val="22"/>
    </w:rPr>
  </w:style>
  <w:style w:type="character" w:customStyle="1" w:styleId="51">
    <w:name w:val="正文缩进 Char"/>
    <w:basedOn w:val="41"/>
    <w:link w:val="4"/>
    <w:qFormat/>
    <w:uiPriority w:val="0"/>
    <w:rPr>
      <w:rFonts w:eastAsia="宋体"/>
      <w:sz w:val="21"/>
      <w:lang w:val="en-US" w:eastAsia="zh-CN" w:bidi="ar-SA"/>
    </w:rPr>
  </w:style>
  <w:style w:type="character" w:customStyle="1" w:styleId="52">
    <w:name w:val="普通文字 Char Char"/>
    <w:basedOn w:val="41"/>
    <w:semiHidden/>
    <w:qFormat/>
    <w:uiPriority w:val="0"/>
    <w:rPr>
      <w:rFonts w:ascii="宋体" w:hAnsi="Courier New" w:eastAsia="宋体"/>
      <w:kern w:val="2"/>
      <w:sz w:val="21"/>
      <w:lang w:val="en-US" w:eastAsia="zh-CN" w:bidi="ar-SA"/>
    </w:rPr>
  </w:style>
  <w:style w:type="character" w:customStyle="1" w:styleId="53">
    <w:name w:val="标题 Char"/>
    <w:basedOn w:val="41"/>
    <w:link w:val="37"/>
    <w:qFormat/>
    <w:uiPriority w:val="0"/>
    <w:rPr>
      <w:rFonts w:ascii="Cambria" w:hAnsi="Cambria" w:cs="Times New Roman"/>
      <w:b/>
      <w:bCs/>
      <w:sz w:val="32"/>
      <w:szCs w:val="32"/>
    </w:rPr>
  </w:style>
  <w:style w:type="character" w:customStyle="1" w:styleId="54">
    <w:name w:val="纯文本 Char"/>
    <w:basedOn w:val="41"/>
    <w:link w:val="21"/>
    <w:qFormat/>
    <w:uiPriority w:val="0"/>
    <w:rPr>
      <w:rFonts w:ascii="宋体" w:hAnsi="Courier New" w:eastAsia="宋体"/>
      <w:kern w:val="2"/>
      <w:sz w:val="21"/>
      <w:lang w:val="en-US" w:eastAsia="zh-CN" w:bidi="ar-SA"/>
    </w:rPr>
  </w:style>
  <w:style w:type="paragraph" w:customStyle="1" w:styleId="55">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sz w:val="24"/>
      <w:szCs w:val="24"/>
      <w:lang w:eastAsia="en-US"/>
    </w:rPr>
  </w:style>
  <w:style w:type="paragraph" w:customStyle="1" w:styleId="56">
    <w:name w:val="Indent a)"/>
    <w:basedOn w:val="1"/>
    <w:qFormat/>
    <w:uiPriority w:val="0"/>
    <w:pPr>
      <w:tabs>
        <w:tab w:val="left" w:pos="1843"/>
        <w:tab w:val="right" w:pos="9072"/>
      </w:tabs>
      <w:suppressAutoHyphens/>
      <w:ind w:right="-21" w:rightChars="-10" w:firstLine="420"/>
      <w:jc w:val="both"/>
    </w:pPr>
    <w:rPr>
      <w:rFonts w:ascii="宋体" w:hAnsi="宋体"/>
      <w:color w:val="000000"/>
      <w:kern w:val="2"/>
    </w:rPr>
  </w:style>
  <w:style w:type="paragraph" w:customStyle="1" w:styleId="57">
    <w:name w:val="font6"/>
    <w:basedOn w:val="1"/>
    <w:qFormat/>
    <w:uiPriority w:val="0"/>
    <w:pPr>
      <w:spacing w:before="100" w:beforeAutospacing="1" w:after="100" w:afterAutospacing="1"/>
    </w:pPr>
    <w:rPr>
      <w:rFonts w:eastAsia="Arial Unicode MS"/>
      <w:szCs w:val="21"/>
      <w:lang w:eastAsia="en-US"/>
    </w:rPr>
  </w:style>
  <w:style w:type="paragraph" w:customStyle="1" w:styleId="58">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szCs w:val="21"/>
      <w:lang w:eastAsia="en-US"/>
    </w:rPr>
  </w:style>
  <w:style w:type="paragraph" w:customStyle="1" w:styleId="59">
    <w:name w:val="目录文字"/>
    <w:basedOn w:val="1"/>
    <w:qFormat/>
    <w:uiPriority w:val="0"/>
    <w:pPr>
      <w:spacing w:line="480" w:lineRule="auto"/>
    </w:pPr>
    <w:rPr>
      <w:rFonts w:ascii="宋体" w:hAnsi="宋体"/>
      <w:sz w:val="24"/>
    </w:rPr>
  </w:style>
  <w:style w:type="paragraph" w:customStyle="1" w:styleId="60">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sz w:val="24"/>
      <w:szCs w:val="24"/>
      <w:lang w:eastAsia="en-US"/>
    </w:rPr>
  </w:style>
  <w:style w:type="paragraph" w:customStyle="1" w:styleId="61">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sz w:val="16"/>
      <w:szCs w:val="16"/>
      <w:lang w:eastAsia="en-US"/>
    </w:rPr>
  </w:style>
  <w:style w:type="paragraph" w:customStyle="1" w:styleId="62">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sz w:val="22"/>
      <w:szCs w:val="22"/>
    </w:rPr>
  </w:style>
  <w:style w:type="paragraph" w:customStyle="1" w:styleId="63">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Courier New"/>
      <w:szCs w:val="21"/>
      <w:lang w:eastAsia="en-US"/>
    </w:rPr>
  </w:style>
  <w:style w:type="paragraph" w:customStyle="1" w:styleId="64">
    <w:name w:val="正文－恩普"/>
    <w:basedOn w:val="4"/>
    <w:qFormat/>
    <w:uiPriority w:val="0"/>
    <w:pPr>
      <w:framePr w:wrap="around" w:vAnchor="text" w:hAnchor="text" w:y="1"/>
      <w:widowControl w:val="0"/>
      <w:ind w:firstLine="200"/>
      <w:jc w:val="both"/>
    </w:pPr>
    <w:rPr>
      <w:kern w:val="2"/>
      <w:sz w:val="24"/>
      <w:szCs w:val="24"/>
    </w:rPr>
  </w:style>
  <w:style w:type="paragraph" w:customStyle="1" w:styleId="65">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 w:val="20"/>
      <w:lang w:eastAsia="en-US"/>
    </w:rPr>
  </w:style>
  <w:style w:type="paragraph" w:customStyle="1" w:styleId="66">
    <w:name w:val="font7"/>
    <w:basedOn w:val="1"/>
    <w:qFormat/>
    <w:uiPriority w:val="0"/>
    <w:pPr>
      <w:spacing w:before="100" w:beforeAutospacing="1" w:after="100" w:afterAutospacing="1"/>
    </w:pPr>
    <w:rPr>
      <w:rFonts w:hint="eastAsia" w:ascii="宋体" w:hAnsi="宋体" w:cs="Courier New"/>
      <w:szCs w:val="21"/>
      <w:lang w:eastAsia="en-US"/>
    </w:rPr>
  </w:style>
  <w:style w:type="paragraph" w:customStyle="1" w:styleId="67">
    <w:name w:val="保留正文"/>
    <w:basedOn w:val="16"/>
    <w:qFormat/>
    <w:uiPriority w:val="0"/>
    <w:pPr>
      <w:keepNext/>
      <w:spacing w:after="160" w:line="240" w:lineRule="auto"/>
    </w:pPr>
    <w:rPr>
      <w:rFonts w:ascii="Times New Roman" w:eastAsia="宋体"/>
      <w:sz w:val="21"/>
      <w:szCs w:val="24"/>
    </w:rPr>
  </w:style>
  <w:style w:type="paragraph" w:customStyle="1" w:styleId="68">
    <w:name w:val="font0"/>
    <w:basedOn w:val="1"/>
    <w:qFormat/>
    <w:uiPriority w:val="0"/>
    <w:pPr>
      <w:spacing w:before="100" w:beforeAutospacing="1" w:after="100" w:afterAutospacing="1"/>
    </w:pPr>
    <w:rPr>
      <w:rFonts w:hint="eastAsia" w:ascii="宋体" w:hAnsi="宋体" w:cs="Courier New"/>
      <w:sz w:val="24"/>
      <w:szCs w:val="24"/>
      <w:lang w:eastAsia="en-US"/>
    </w:rPr>
  </w:style>
  <w:style w:type="paragraph" w:customStyle="1" w:styleId="69">
    <w:name w:val="xl35"/>
    <w:basedOn w:val="1"/>
    <w:qFormat/>
    <w:uiPriority w:val="0"/>
    <w:pPr>
      <w:pBdr>
        <w:left w:val="single" w:color="auto" w:sz="4" w:space="0"/>
        <w:bottom w:val="single" w:color="auto" w:sz="4" w:space="0"/>
        <w:right w:val="single" w:color="auto" w:sz="4" w:space="0"/>
      </w:pBdr>
      <w:spacing w:before="100" w:beforeAutospacing="1" w:after="100" w:afterAutospacing="1"/>
      <w:jc w:val="both"/>
      <w:textAlignment w:val="center"/>
    </w:pPr>
    <w:rPr>
      <w:rFonts w:ascii="Arial Unicode MS" w:hAnsi="Arial Unicode MS" w:eastAsia="Arial Unicode MS"/>
      <w:sz w:val="24"/>
      <w:szCs w:val="24"/>
    </w:rPr>
  </w:style>
  <w:style w:type="paragraph" w:customStyle="1" w:styleId="70">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Cs w:val="21"/>
      <w:lang w:eastAsia="en-US"/>
    </w:rPr>
  </w:style>
  <w:style w:type="paragraph" w:customStyle="1" w:styleId="71">
    <w:name w:val="Char"/>
    <w:basedOn w:val="1"/>
    <w:qFormat/>
    <w:uiPriority w:val="0"/>
    <w:pPr>
      <w:widowControl w:val="0"/>
      <w:jc w:val="both"/>
    </w:pPr>
    <w:rPr>
      <w:rFonts w:ascii="仿宋_GB2312" w:eastAsia="仿宋_GB2312"/>
      <w:b/>
      <w:kern w:val="2"/>
      <w:sz w:val="32"/>
      <w:szCs w:val="32"/>
    </w:rPr>
  </w:style>
  <w:style w:type="paragraph" w:customStyle="1" w:styleId="72">
    <w:name w:val="菲页2"/>
    <w:basedOn w:val="5"/>
    <w:qFormat/>
    <w:uiPriority w:val="0"/>
    <w:pPr>
      <w:keepNext/>
      <w:keepLines/>
      <w:widowControl/>
      <w:tabs>
        <w:tab w:val="left" w:pos="814"/>
        <w:tab w:val="clear" w:pos="851"/>
      </w:tabs>
      <w:autoSpaceDE/>
      <w:autoSpaceDN/>
      <w:adjustRightInd/>
      <w:snapToGrid/>
      <w:spacing w:before="120" w:after="120"/>
      <w:ind w:left="814" w:hanging="360"/>
      <w:jc w:val="center"/>
    </w:pPr>
    <w:rPr>
      <w:rFonts w:ascii="黑体" w:hAnsi="宋体" w:eastAsia="黑体"/>
      <w:snapToGrid/>
      <w:sz w:val="44"/>
    </w:rPr>
  </w:style>
  <w:style w:type="paragraph" w:customStyle="1" w:styleId="73">
    <w:name w:val="Char Char Char"/>
    <w:basedOn w:val="1"/>
    <w:qFormat/>
    <w:uiPriority w:val="0"/>
    <w:pPr>
      <w:widowControl w:val="0"/>
      <w:jc w:val="both"/>
    </w:pPr>
    <w:rPr>
      <w:rFonts w:ascii="Tahoma" w:hAnsi="Tahoma"/>
      <w:kern w:val="2"/>
      <w:sz w:val="24"/>
    </w:rPr>
  </w:style>
  <w:style w:type="paragraph" w:customStyle="1" w:styleId="74">
    <w:name w:val="font5"/>
    <w:basedOn w:val="1"/>
    <w:qFormat/>
    <w:uiPriority w:val="0"/>
    <w:pPr>
      <w:spacing w:before="100" w:beforeAutospacing="1" w:after="100" w:afterAutospacing="1"/>
    </w:pPr>
    <w:rPr>
      <w:rFonts w:hint="eastAsia" w:ascii="宋体" w:hAnsi="宋体" w:cs="Courier New"/>
      <w:sz w:val="18"/>
      <w:szCs w:val="18"/>
      <w:lang w:eastAsia="en-US"/>
    </w:rPr>
  </w:style>
  <w:style w:type="paragraph" w:customStyle="1" w:styleId="75">
    <w:name w:val="菲页(卷)"/>
    <w:basedOn w:val="2"/>
    <w:next w:val="76"/>
    <w:qFormat/>
    <w:uiPriority w:val="0"/>
    <w:pPr>
      <w:keepLines w:val="0"/>
      <w:widowControl/>
      <w:tabs>
        <w:tab w:val="left" w:pos="814"/>
        <w:tab w:val="clear" w:pos="840"/>
      </w:tabs>
      <w:adjustRightInd/>
      <w:snapToGrid/>
      <w:spacing w:line="240" w:lineRule="auto"/>
      <w:ind w:left="814" w:hanging="360"/>
      <w:outlineLvl w:val="1"/>
    </w:pPr>
    <w:rPr>
      <w:rFonts w:ascii="黑体" w:eastAsia="黑体"/>
      <w:b w:val="0"/>
      <w:kern w:val="0"/>
      <w:sz w:val="52"/>
    </w:rPr>
  </w:style>
  <w:style w:type="paragraph" w:customStyle="1" w:styleId="76">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7">
    <w:name w:val="font8"/>
    <w:basedOn w:val="1"/>
    <w:qFormat/>
    <w:uiPriority w:val="0"/>
    <w:pPr>
      <w:spacing w:before="100" w:beforeAutospacing="1" w:after="100" w:afterAutospacing="1"/>
    </w:pPr>
    <w:rPr>
      <w:rFonts w:eastAsia="Arial Unicode MS"/>
      <w:sz w:val="24"/>
      <w:szCs w:val="24"/>
      <w:lang w:eastAsia="en-US"/>
    </w:rPr>
  </w:style>
  <w:style w:type="paragraph" w:customStyle="1" w:styleId="78">
    <w:name w:val="正文段"/>
    <w:basedOn w:val="1"/>
    <w:qFormat/>
    <w:uiPriority w:val="0"/>
    <w:pPr>
      <w:spacing w:afterLines="50"/>
      <w:jc w:val="both"/>
    </w:pPr>
    <w:rPr>
      <w:sz w:val="24"/>
    </w:rPr>
  </w:style>
  <w:style w:type="paragraph" w:customStyle="1" w:styleId="79">
    <w:name w:val="xl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sz w:val="18"/>
      <w:szCs w:val="18"/>
    </w:rPr>
  </w:style>
  <w:style w:type="paragraph" w:customStyle="1" w:styleId="80">
    <w:name w:val="Char Char Char Char Char Char Char"/>
    <w:basedOn w:val="1"/>
    <w:qFormat/>
    <w:uiPriority w:val="0"/>
    <w:pPr>
      <w:widowControl w:val="0"/>
      <w:jc w:val="both"/>
    </w:pPr>
    <w:rPr>
      <w:rFonts w:ascii="仿宋_GB2312" w:eastAsia="仿宋_GB2312"/>
      <w:b/>
      <w:kern w:val="2"/>
      <w:sz w:val="32"/>
      <w:szCs w:val="32"/>
    </w:rPr>
  </w:style>
  <w:style w:type="paragraph" w:customStyle="1" w:styleId="81">
    <w:name w:val="Char Char Char Char Char Char Char Char Char Char Char Char Char"/>
    <w:basedOn w:val="1"/>
    <w:qFormat/>
    <w:uiPriority w:val="0"/>
    <w:pPr>
      <w:widowControl w:val="0"/>
      <w:jc w:val="both"/>
    </w:pPr>
    <w:rPr>
      <w:rFonts w:ascii="Tahoma" w:hAnsi="Tahoma"/>
      <w:kern w:val="2"/>
      <w:sz w:val="24"/>
    </w:rPr>
  </w:style>
  <w:style w:type="paragraph" w:customStyle="1" w:styleId="82">
    <w:name w:val="Char1"/>
    <w:basedOn w:val="1"/>
    <w:qFormat/>
    <w:uiPriority w:val="0"/>
    <w:pPr>
      <w:widowControl w:val="0"/>
      <w:jc w:val="both"/>
    </w:pPr>
    <w:rPr>
      <w:rFonts w:ascii="仿宋_GB2312" w:eastAsia="仿宋_GB2312"/>
      <w:b/>
      <w:kern w:val="2"/>
      <w:sz w:val="32"/>
      <w:szCs w:val="32"/>
    </w:rPr>
  </w:style>
  <w:style w:type="paragraph" w:customStyle="1" w:styleId="83">
    <w:name w:val="样式 标题 3条标题1.1.1Level 3 Headsect1.2.3h33rd levelH33Head 3..."/>
    <w:basedOn w:val="5"/>
    <w:qFormat/>
    <w:uiPriority w:val="0"/>
    <w:pPr>
      <w:keepNext/>
      <w:keepLines/>
      <w:tabs>
        <w:tab w:val="clear" w:pos="851"/>
      </w:tabs>
      <w:autoSpaceDE/>
      <w:autoSpaceDN/>
      <w:adjustRightInd/>
      <w:snapToGrid/>
    </w:pPr>
    <w:rPr>
      <w:rFonts w:hAnsi="宋体"/>
      <w:b/>
      <w:bCs/>
      <w:snapToGrid/>
      <w:kern w:val="2"/>
      <w:sz w:val="24"/>
      <w:szCs w:val="32"/>
    </w:rPr>
  </w:style>
  <w:style w:type="paragraph" w:customStyle="1" w:styleId="84">
    <w:name w:val="table_1stline"/>
    <w:basedOn w:val="1"/>
    <w:qFormat/>
    <w:uiPriority w:val="0"/>
    <w:pPr>
      <w:spacing w:before="120"/>
    </w:pPr>
    <w:rPr>
      <w:bCs/>
      <w:sz w:val="20"/>
      <w:lang w:val="de-DE" w:eastAsia="de-DE"/>
    </w:rPr>
  </w:style>
  <w:style w:type="paragraph" w:customStyle="1" w:styleId="85">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sz w:val="14"/>
      <w:szCs w:val="14"/>
      <w:lang w:eastAsia="en-US"/>
    </w:rPr>
  </w:style>
  <w:style w:type="paragraph" w:customStyle="1" w:styleId="86">
    <w:name w:val="目录"/>
    <w:basedOn w:val="1"/>
    <w:qFormat/>
    <w:uiPriority w:val="0"/>
    <w:pPr>
      <w:jc w:val="center"/>
    </w:pPr>
    <w:rPr>
      <w:rFonts w:hint="eastAsia" w:ascii="宋体"/>
      <w:b/>
      <w:sz w:val="36"/>
    </w:rPr>
  </w:style>
  <w:style w:type="paragraph" w:customStyle="1" w:styleId="87">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 w:val="24"/>
      <w:szCs w:val="24"/>
      <w:lang w:eastAsia="en-US"/>
    </w:rPr>
  </w:style>
  <w:style w:type="paragraph" w:customStyle="1" w:styleId="88">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sz w:val="20"/>
    </w:rPr>
  </w:style>
  <w:style w:type="paragraph" w:customStyle="1" w:styleId="89">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Courier New"/>
      <w:sz w:val="24"/>
      <w:szCs w:val="24"/>
      <w:lang w:eastAsia="en-US"/>
    </w:rPr>
  </w:style>
  <w:style w:type="paragraph" w:customStyle="1" w:styleId="90">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 w:val="14"/>
      <w:szCs w:val="14"/>
      <w:lang w:eastAsia="en-US"/>
    </w:rPr>
  </w:style>
  <w:style w:type="paragraph" w:customStyle="1" w:styleId="91">
    <w:name w:val="Char Char Char Char Char Char3 Char Char Char Char Char Char Char"/>
    <w:basedOn w:val="1"/>
    <w:next w:val="1"/>
    <w:qFormat/>
    <w:uiPriority w:val="0"/>
    <w:pPr>
      <w:widowControl w:val="0"/>
      <w:jc w:val="both"/>
    </w:pPr>
    <w:rPr>
      <w:rFonts w:eastAsia="黑体"/>
      <w:kern w:val="2"/>
      <w:sz w:val="28"/>
      <w:szCs w:val="24"/>
    </w:rPr>
  </w:style>
  <w:style w:type="paragraph" w:customStyle="1" w:styleId="92">
    <w:name w:val="Char Char Char Char Char Char Char Char Char Char Char Char Char Char Char Char Char Char Char"/>
    <w:basedOn w:val="1"/>
    <w:qFormat/>
    <w:uiPriority w:val="0"/>
    <w:pPr>
      <w:widowControl w:val="0"/>
      <w:jc w:val="both"/>
    </w:pPr>
    <w:rPr>
      <w:rFonts w:ascii="仿宋_GB2312" w:eastAsia="仿宋_GB2312"/>
      <w:b/>
      <w:kern w:val="2"/>
      <w:sz w:val="32"/>
      <w:szCs w:val="32"/>
    </w:rPr>
  </w:style>
  <w:style w:type="paragraph" w:customStyle="1" w:styleId="93">
    <w:name w:val="菲页1"/>
    <w:basedOn w:val="3"/>
    <w:qFormat/>
    <w:uiPriority w:val="0"/>
    <w:pPr>
      <w:keepLines/>
      <w:widowControl/>
      <w:adjustRightInd/>
      <w:snapToGrid/>
      <w:spacing w:before="260" w:after="260" w:line="416" w:lineRule="auto"/>
    </w:pPr>
    <w:rPr>
      <w:rFonts w:ascii="黑体" w:hAnsi="宋体" w:eastAsia="黑体"/>
      <w:b w:val="0"/>
      <w:bCs w:val="0"/>
      <w:sz w:val="52"/>
    </w:rPr>
  </w:style>
  <w:style w:type="paragraph" w:customStyle="1" w:styleId="94">
    <w:name w:val="Char Char"/>
    <w:basedOn w:val="1"/>
    <w:qFormat/>
    <w:uiPriority w:val="0"/>
    <w:pPr>
      <w:widowControl w:val="0"/>
      <w:jc w:val="both"/>
    </w:pPr>
    <w:rPr>
      <w:rFonts w:ascii="仿宋_GB2312" w:eastAsia="仿宋_GB2312"/>
      <w:b/>
      <w:kern w:val="2"/>
      <w:sz w:val="32"/>
      <w:szCs w:val="32"/>
    </w:rPr>
  </w:style>
  <w:style w:type="paragraph" w:customStyle="1" w:styleId="95">
    <w:name w:val="样式1"/>
    <w:basedOn w:val="1"/>
    <w:qFormat/>
    <w:uiPriority w:val="0"/>
    <w:pPr>
      <w:widowControl w:val="0"/>
      <w:spacing w:before="120" w:after="120" w:line="300" w:lineRule="auto"/>
      <w:jc w:val="both"/>
    </w:pPr>
    <w:rPr>
      <w:rFonts w:ascii="宋体" w:hAnsi="宋体"/>
      <w:b/>
      <w:kern w:val="2"/>
      <w:sz w:val="24"/>
    </w:rPr>
  </w:style>
  <w:style w:type="paragraph" w:customStyle="1" w:styleId="96">
    <w:name w:val="TOC 标题1"/>
    <w:basedOn w:val="2"/>
    <w:next w:val="1"/>
    <w:unhideWhenUsed/>
    <w:qFormat/>
    <w:uiPriority w:val="39"/>
    <w:pPr>
      <w:widowControl/>
      <w:tabs>
        <w:tab w:val="clear" w:pos="840"/>
      </w:tabs>
      <w:adjustRightInd/>
      <w:snapToGrid/>
      <w:spacing w:before="480" w:line="276" w:lineRule="auto"/>
      <w:jc w:val="left"/>
      <w:outlineLvl w:val="9"/>
    </w:pPr>
    <w:rPr>
      <w:rFonts w:ascii="Cambria" w:hAnsi="Cambria"/>
      <w:bCs/>
      <w:color w:val="365F91"/>
      <w:kern w:val="0"/>
      <w:sz w:val="28"/>
      <w:szCs w:val="28"/>
    </w:rPr>
  </w:style>
  <w:style w:type="paragraph" w:customStyle="1" w:styleId="97">
    <w:name w:val="项目"/>
    <w:basedOn w:val="1"/>
    <w:qFormat/>
    <w:uiPriority w:val="0"/>
    <w:pPr>
      <w:widowControl w:val="0"/>
      <w:numPr>
        <w:ilvl w:val="0"/>
        <w:numId w:val="1"/>
      </w:numPr>
      <w:tabs>
        <w:tab w:val="left" w:pos="840"/>
        <w:tab w:val="clear" w:pos="360"/>
      </w:tabs>
      <w:spacing w:before="120" w:after="120"/>
      <w:textAlignment w:val="baseline"/>
    </w:pPr>
    <w:rPr>
      <w:rFonts w:ascii="宋体"/>
      <w:sz w:val="24"/>
    </w:rPr>
  </w:style>
  <w:style w:type="paragraph" w:customStyle="1" w:styleId="98">
    <w:name w:val="列表段落1"/>
    <w:basedOn w:val="1"/>
    <w:qFormat/>
    <w:uiPriority w:val="99"/>
    <w:pPr>
      <w:ind w:firstLine="420"/>
    </w:pPr>
  </w:style>
  <w:style w:type="paragraph" w:customStyle="1" w:styleId="9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100">
    <w:name w:val="List Paragraph"/>
    <w:basedOn w:val="1"/>
    <w:qFormat/>
    <w:uiPriority w:val="99"/>
    <w:pPr>
      <w:ind w:firstLine="420"/>
    </w:pPr>
  </w:style>
  <w:style w:type="table" w:customStyle="1" w:styleId="101">
    <w:name w:val="Table Normal"/>
    <w:semiHidden/>
    <w:unhideWhenUsed/>
    <w:qFormat/>
    <w:uiPriority w:val="2"/>
    <w:tblPr>
      <w:tblCellMar>
        <w:top w:w="0" w:type="dxa"/>
        <w:left w:w="0" w:type="dxa"/>
        <w:bottom w:w="0" w:type="dxa"/>
        <w:right w:w="0" w:type="dxa"/>
      </w:tblCellMar>
    </w:tblPr>
  </w:style>
  <w:style w:type="paragraph" w:customStyle="1" w:styleId="102">
    <w:name w:val="Table Paragraph"/>
    <w:basedOn w:val="1"/>
    <w:qFormat/>
    <w:uiPriority w:val="1"/>
    <w:pPr>
      <w:widowControl w:val="0"/>
      <w:autoSpaceDE w:val="0"/>
      <w:autoSpaceDN w:val="0"/>
      <w:adjustRightInd/>
      <w:snapToGrid/>
      <w:spacing w:line="240" w:lineRule="auto"/>
      <w:ind w:firstLine="0" w:firstLineChars="0"/>
    </w:pPr>
    <w:rPr>
      <w:rFonts w:ascii="宋体" w:hAnsi="宋体" w:cs="宋体"/>
      <w:sz w:val="22"/>
      <w:szCs w:val="22"/>
      <w:lang w:val="ja-JP" w:eastAsia="ja-JP" w:bidi="ja-JP"/>
    </w:rPr>
  </w:style>
  <w:style w:type="character" w:customStyle="1" w:styleId="103">
    <w:name w:val="正文文本缩进 Char"/>
    <w:basedOn w:val="41"/>
    <w:link w:val="17"/>
    <w:qFormat/>
    <w:uiPriority w:val="99"/>
    <w:rPr>
      <w:rFonts w:ascii="Times New Roman" w:hAnsi="Times New Roman"/>
      <w:sz w:val="21"/>
    </w:rPr>
  </w:style>
  <w:style w:type="character" w:customStyle="1" w:styleId="104">
    <w:name w:val="页脚 Char"/>
    <w:basedOn w:val="41"/>
    <w:link w:val="26"/>
    <w:uiPriority w:val="99"/>
    <w:rPr>
      <w:rFonts w:ascii="Times New Roman" w:hAnsi="Times New Roman"/>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theme" Target="theme/theme1.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57186-EB0E-496E-9288-C76A7A9DDCB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44</Pages>
  <Words>3957</Words>
  <Characters>22556</Characters>
  <Lines>187</Lines>
  <Paragraphs>52</Paragraphs>
  <TotalTime>127</TotalTime>
  <ScaleCrop>false</ScaleCrop>
  <LinksUpToDate>false</LinksUpToDate>
  <CharactersWithSpaces>26461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2020-08-27T03:54:00Z</dcterms:created>
  <dc:creator>张定武</dc:creator>
  <cp:lastModifiedBy>Administrator</cp:lastModifiedBy>
  <cp:lastPrinted>2020-08-17T09:44:00Z</cp:lastPrinted>
  <dcterms:modified xsi:type="dcterms:W3CDTF">2021-01-12T03:35:17Z</dcterms:modified>
  <dc:title>瑞安市公共资源交易中心</dc:title>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