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76" w:lineRule="auto"/>
        <w:jc w:val="center"/>
        <w:rPr>
          <w:rFonts w:cs="宋体" w:asciiTheme="minorEastAsia" w:hAnsiTheme="minorEastAsia" w:eastAsiaTheme="minorEastAsia"/>
          <w:b/>
          <w:bCs/>
          <w:sz w:val="40"/>
          <w:szCs w:val="40"/>
        </w:rPr>
      </w:pPr>
    </w:p>
    <w:p>
      <w:pPr>
        <w:spacing w:line="276" w:lineRule="auto"/>
        <w:jc w:val="center"/>
        <w:rPr>
          <w:rFonts w:cs="宋体" w:asciiTheme="minorEastAsia" w:hAnsiTheme="minorEastAsia" w:eastAsiaTheme="minorEastAsia"/>
          <w:b/>
          <w:bCs/>
          <w:sz w:val="44"/>
          <w:szCs w:val="44"/>
        </w:rPr>
      </w:pPr>
    </w:p>
    <w:p>
      <w:pPr>
        <w:spacing w:line="276" w:lineRule="auto"/>
        <w:jc w:val="center"/>
        <w:rPr>
          <w:rFonts w:cs="宋体" w:asciiTheme="minorEastAsia" w:hAnsiTheme="minorEastAsia" w:eastAsiaTheme="minorEastAsia"/>
          <w:b/>
          <w:bCs/>
          <w:sz w:val="84"/>
          <w:szCs w:val="84"/>
        </w:rPr>
      </w:pPr>
    </w:p>
    <w:p>
      <w:pPr>
        <w:spacing w:line="276" w:lineRule="auto"/>
        <w:jc w:val="center"/>
        <w:rPr>
          <w:rFonts w:cs="宋体" w:asciiTheme="minorEastAsia" w:hAnsiTheme="minorEastAsia" w:eastAsiaTheme="minorEastAsia"/>
          <w:b/>
          <w:bCs/>
          <w:sz w:val="84"/>
          <w:szCs w:val="84"/>
        </w:rPr>
      </w:pPr>
      <w:r>
        <w:rPr>
          <w:rFonts w:hint="eastAsia" w:cs="宋体" w:asciiTheme="minorEastAsia" w:hAnsiTheme="minorEastAsia" w:eastAsiaTheme="minorEastAsia"/>
          <w:b/>
          <w:bCs/>
          <w:sz w:val="84"/>
          <w:szCs w:val="84"/>
        </w:rPr>
        <w:t>谈 判 文 件</w:t>
      </w:r>
    </w:p>
    <w:p>
      <w:pPr>
        <w:spacing w:line="276" w:lineRule="auto"/>
        <w:jc w:val="center"/>
        <w:rPr>
          <w:rFonts w:cs="宋体" w:asciiTheme="minorEastAsia" w:hAnsiTheme="minorEastAsia" w:eastAsiaTheme="minorEastAsia"/>
          <w:b/>
          <w:bCs/>
          <w:sz w:val="44"/>
          <w:szCs w:val="44"/>
        </w:rPr>
      </w:pPr>
    </w:p>
    <w:p>
      <w:pPr>
        <w:spacing w:line="276" w:lineRule="auto"/>
        <w:jc w:val="center"/>
        <w:rPr>
          <w:rFonts w:cs="宋体" w:asciiTheme="minorEastAsia" w:hAnsiTheme="minorEastAsia" w:eastAsiaTheme="minorEastAsia"/>
          <w:b/>
          <w:bCs/>
          <w:sz w:val="44"/>
          <w:szCs w:val="44"/>
        </w:rPr>
      </w:pPr>
    </w:p>
    <w:p>
      <w:pPr>
        <w:spacing w:line="276" w:lineRule="auto"/>
        <w:jc w:val="center"/>
        <w:rPr>
          <w:rFonts w:cs="宋体" w:asciiTheme="minorEastAsia" w:hAnsiTheme="minorEastAsia" w:eastAsiaTheme="minorEastAsia"/>
          <w:b/>
          <w:bCs/>
          <w:sz w:val="44"/>
          <w:szCs w:val="44"/>
        </w:rPr>
      </w:pPr>
    </w:p>
    <w:p>
      <w:pPr>
        <w:spacing w:line="500" w:lineRule="exact"/>
        <w:ind w:left="1405" w:hanging="1405" w:hangingChars="500"/>
        <w:rPr>
          <w:rFonts w:hint="eastAsia" w:cs="宋体" w:asciiTheme="minorEastAsia" w:hAnsiTheme="minorEastAsia" w:eastAsiaTheme="minorEastAsia"/>
          <w:b/>
          <w:sz w:val="28"/>
          <w:szCs w:val="28"/>
          <w:lang w:val="zh-CN" w:eastAsia="zh-CN"/>
        </w:rPr>
      </w:pPr>
      <w:r>
        <w:rPr>
          <w:rFonts w:hint="eastAsia" w:cs="宋体" w:asciiTheme="minorEastAsia" w:hAnsiTheme="minorEastAsia" w:eastAsiaTheme="minorEastAsia"/>
          <w:b/>
          <w:sz w:val="28"/>
          <w:szCs w:val="28"/>
          <w:lang w:val="zh-CN"/>
        </w:rPr>
        <w:t>项目名称：</w:t>
      </w:r>
      <w:r>
        <w:rPr>
          <w:rFonts w:hint="eastAsia" w:cs="宋体" w:asciiTheme="minorEastAsia" w:hAnsiTheme="minorEastAsia" w:eastAsiaTheme="minorEastAsia"/>
          <w:b/>
          <w:sz w:val="28"/>
          <w:szCs w:val="28"/>
          <w:lang w:eastAsia="zh-CN"/>
        </w:rPr>
        <w:t>囊谦县“民族大团结万岁”大型宣传标语及广告灯箱建设项目</w:t>
      </w:r>
    </w:p>
    <w:p>
      <w:pPr>
        <w:spacing w:line="500" w:lineRule="exact"/>
        <w:ind w:left="1405" w:hanging="1405" w:hangingChars="500"/>
        <w:rPr>
          <w:rFonts w:cs="宋体" w:asciiTheme="minorEastAsia" w:hAnsiTheme="minorEastAsia" w:eastAsiaTheme="minorEastAsia"/>
          <w:b/>
          <w:sz w:val="28"/>
          <w:szCs w:val="28"/>
          <w:lang w:val="zh-CN"/>
        </w:rPr>
      </w:pPr>
      <w:r>
        <w:rPr>
          <w:rFonts w:hint="eastAsia" w:cs="宋体" w:asciiTheme="minorEastAsia" w:hAnsiTheme="minorEastAsia" w:eastAsiaTheme="minorEastAsia"/>
          <w:b/>
          <w:sz w:val="28"/>
          <w:szCs w:val="28"/>
          <w:lang w:val="zh-CN"/>
        </w:rPr>
        <w:t>项目编号：西安秦汉竞谈（工程）2020-067</w:t>
      </w:r>
    </w:p>
    <w:p>
      <w:pPr>
        <w:spacing w:line="500" w:lineRule="exact"/>
        <w:ind w:left="1405" w:hanging="1405" w:hangingChars="500"/>
        <w:rPr>
          <w:rFonts w:hint="eastAsia" w:cs="宋体" w:asciiTheme="minorEastAsia" w:hAnsiTheme="minorEastAsia" w:eastAsiaTheme="minorEastAsia"/>
          <w:b/>
          <w:sz w:val="28"/>
          <w:szCs w:val="28"/>
          <w:lang w:val="zh-CN" w:eastAsia="zh-CN"/>
        </w:rPr>
      </w:pPr>
      <w:r>
        <w:rPr>
          <w:rFonts w:hint="eastAsia" w:cs="宋体" w:asciiTheme="minorEastAsia" w:hAnsiTheme="minorEastAsia" w:eastAsiaTheme="minorEastAsia"/>
          <w:b/>
          <w:sz w:val="28"/>
          <w:szCs w:val="28"/>
          <w:lang w:val="zh-CN"/>
        </w:rPr>
        <w:t>采购单位：</w:t>
      </w:r>
      <w:r>
        <w:rPr>
          <w:rFonts w:hint="eastAsia" w:cs="宋体" w:asciiTheme="minorEastAsia" w:hAnsiTheme="minorEastAsia" w:eastAsiaTheme="minorEastAsia"/>
          <w:b/>
          <w:sz w:val="28"/>
          <w:szCs w:val="28"/>
          <w:lang w:eastAsia="zh-CN"/>
        </w:rPr>
        <w:t>中共囊谦县委统战部</w:t>
      </w:r>
    </w:p>
    <w:p>
      <w:pPr>
        <w:spacing w:line="500" w:lineRule="exact"/>
        <w:ind w:left="1405" w:hanging="1405" w:hangingChars="5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采购代理机构：</w:t>
      </w:r>
      <w:r>
        <w:rPr>
          <w:rFonts w:hint="eastAsia" w:cs="宋体" w:asciiTheme="minorEastAsia" w:hAnsiTheme="minorEastAsia" w:eastAsiaTheme="minorEastAsia"/>
          <w:b/>
          <w:sz w:val="28"/>
          <w:szCs w:val="28"/>
          <w:lang w:val="zh-CN"/>
        </w:rPr>
        <w:t>西安秦汉工程造价咨询有限责任公司</w:t>
      </w: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2020年11月</w:t>
      </w:r>
    </w:p>
    <w:p>
      <w:pPr>
        <w:spacing w:line="276" w:lineRule="auto"/>
        <w:rPr>
          <w:rFonts w:cs="宋体" w:asciiTheme="minorEastAsia" w:hAnsiTheme="minorEastAsia" w:eastAsiaTheme="minorEastAsia"/>
          <w:b/>
          <w:bCs/>
          <w:sz w:val="44"/>
          <w:szCs w:val="44"/>
        </w:rPr>
        <w:sectPr>
          <w:footerReference r:id="rId3" w:type="default"/>
          <w:pgSz w:w="11907" w:h="16840"/>
          <w:pgMar w:top="1440" w:right="1803" w:bottom="1440" w:left="1803" w:header="851" w:footer="992" w:gutter="0"/>
          <w:cols w:space="720" w:num="1"/>
        </w:sectPr>
      </w:pPr>
    </w:p>
    <w:p>
      <w:pPr>
        <w:spacing w:line="276" w:lineRule="auto"/>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44"/>
          <w:szCs w:val="44"/>
        </w:rPr>
        <w:t>目  录</w:t>
      </w:r>
    </w:p>
    <w:p>
      <w:pPr>
        <w:pStyle w:val="15"/>
        <w:spacing w:line="276" w:lineRule="auto"/>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 TOC \o "1-3" \h \z \u </w:instrText>
      </w:r>
      <w:r>
        <w:rPr>
          <w:rFonts w:hint="eastAsia" w:cs="宋体" w:asciiTheme="minorEastAsia" w:hAnsiTheme="minorEastAsia" w:eastAsiaTheme="minorEastAsia"/>
          <w:sz w:val="28"/>
          <w:szCs w:val="28"/>
        </w:rPr>
        <w:fldChar w:fldCharType="separate"/>
      </w:r>
      <w:r>
        <w:fldChar w:fldCharType="begin"/>
      </w:r>
      <w:r>
        <w:instrText xml:space="preserve"> HYPERLINK \l "_Toc490138679" </w:instrText>
      </w:r>
      <w:r>
        <w:fldChar w:fldCharType="separate"/>
      </w:r>
      <w:r>
        <w:rPr>
          <w:rStyle w:val="22"/>
          <w:rFonts w:hint="eastAsia" w:cs="宋体" w:asciiTheme="minorEastAsia" w:hAnsiTheme="minorEastAsia" w:eastAsiaTheme="minorEastAsia"/>
          <w:color w:val="auto"/>
          <w:sz w:val="28"/>
          <w:szCs w:val="28"/>
        </w:rPr>
        <w:t>第一部分竞争性谈判公告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line="276" w:lineRule="auto"/>
        <w:rPr>
          <w:rFonts w:asciiTheme="minorEastAsia" w:hAnsiTheme="minorEastAsia" w:eastAsiaTheme="minorEastAsia" w:cstheme="minorBidi"/>
          <w:sz w:val="28"/>
          <w:szCs w:val="28"/>
        </w:rPr>
      </w:pPr>
      <w:r>
        <w:fldChar w:fldCharType="begin"/>
      </w:r>
      <w:r>
        <w:instrText xml:space="preserve"> HYPERLINK \l "_Toc490138680" </w:instrText>
      </w:r>
      <w:r>
        <w:fldChar w:fldCharType="separate"/>
      </w:r>
      <w:r>
        <w:rPr>
          <w:rStyle w:val="22"/>
          <w:rFonts w:hint="eastAsia" w:cs="宋体" w:asciiTheme="minorEastAsia" w:hAnsiTheme="minorEastAsia" w:eastAsiaTheme="minorEastAsia"/>
          <w:color w:val="auto"/>
          <w:sz w:val="28"/>
          <w:szCs w:val="28"/>
        </w:rPr>
        <w:t>第二部分谈判供应商须知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line="276" w:lineRule="auto"/>
        <w:rPr>
          <w:rFonts w:asciiTheme="minorEastAsia" w:hAnsiTheme="minorEastAsia" w:eastAsiaTheme="minorEastAsia" w:cstheme="minorBidi"/>
          <w:sz w:val="28"/>
          <w:szCs w:val="28"/>
        </w:rPr>
      </w:pPr>
      <w:r>
        <w:fldChar w:fldCharType="begin"/>
      </w:r>
      <w:r>
        <w:instrText xml:space="preserve"> HYPERLINK \l "_Toc490138690" </w:instrText>
      </w:r>
      <w:r>
        <w:fldChar w:fldCharType="separate"/>
      </w:r>
      <w:r>
        <w:rPr>
          <w:rStyle w:val="22"/>
          <w:rFonts w:hint="eastAsia" w:cs="宋体" w:asciiTheme="minorEastAsia" w:hAnsiTheme="minorEastAsia" w:eastAsiaTheme="minorEastAsia"/>
          <w:color w:val="auto"/>
          <w:sz w:val="28"/>
          <w:szCs w:val="28"/>
        </w:rPr>
        <w:t>第三部分合同文本样式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line="276" w:lineRule="auto"/>
        <w:rPr>
          <w:rFonts w:asciiTheme="minorEastAsia" w:hAnsiTheme="minorEastAsia" w:eastAsiaTheme="minorEastAsia" w:cstheme="minorBidi"/>
          <w:sz w:val="28"/>
          <w:szCs w:val="28"/>
        </w:rPr>
      </w:pPr>
      <w:r>
        <w:fldChar w:fldCharType="begin"/>
      </w:r>
      <w:r>
        <w:instrText xml:space="preserve"> HYPERLINK \l "_Toc490138691" </w:instrText>
      </w:r>
      <w:r>
        <w:fldChar w:fldCharType="separate"/>
      </w:r>
      <w:r>
        <w:rPr>
          <w:rStyle w:val="22"/>
          <w:rFonts w:hint="eastAsia" w:cs="宋体" w:asciiTheme="minorEastAsia" w:hAnsiTheme="minorEastAsia" w:eastAsiaTheme="minorEastAsia"/>
          <w:color w:val="auto"/>
          <w:kern w:val="0"/>
          <w:sz w:val="28"/>
          <w:szCs w:val="28"/>
        </w:rPr>
        <w:t>第四部分响应文件格式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line="276" w:lineRule="auto"/>
        <w:rPr>
          <w:rFonts w:asciiTheme="minorEastAsia" w:hAnsiTheme="minorEastAsia" w:eastAsiaTheme="minorEastAsia" w:cstheme="minorBidi"/>
          <w:sz w:val="28"/>
          <w:szCs w:val="28"/>
        </w:rPr>
      </w:pPr>
      <w:r>
        <w:fldChar w:fldCharType="begin"/>
      </w:r>
      <w:r>
        <w:instrText xml:space="preserve"> HYPERLINK \l "_Toc490138707" </w:instrText>
      </w:r>
      <w:r>
        <w:fldChar w:fldCharType="separate"/>
      </w:r>
      <w:r>
        <w:rPr>
          <w:rStyle w:val="22"/>
          <w:rFonts w:hint="eastAsia" w:cs="宋体" w:asciiTheme="minorEastAsia" w:hAnsiTheme="minorEastAsia" w:eastAsiaTheme="minorEastAsia"/>
          <w:color w:val="auto"/>
          <w:kern w:val="0"/>
          <w:sz w:val="28"/>
          <w:szCs w:val="28"/>
        </w:rPr>
        <w:t>第五部分工程量清单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_Toc490138707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spacing w:line="276" w:lineRule="auto"/>
        <w:rPr>
          <w:rFonts w:asciiTheme="minorEastAsia" w:hAnsiTheme="minorEastAsia" w:eastAsiaTheme="minorEastAsia"/>
          <w:sz w:val="24"/>
          <w:szCs w:val="24"/>
        </w:rPr>
      </w:pPr>
      <w:r>
        <w:rPr>
          <w:rFonts w:hint="eastAsia" w:asciiTheme="minorEastAsia" w:hAnsiTheme="minorEastAsia" w:eastAsiaTheme="minorEastAsia"/>
          <w:sz w:val="28"/>
          <w:szCs w:val="28"/>
        </w:rPr>
        <w:fldChar w:fldCharType="end"/>
      </w:r>
    </w:p>
    <w:p>
      <w:pPr>
        <w:pStyle w:val="3"/>
        <w:spacing w:before="0" w:after="0" w:line="276" w:lineRule="auto"/>
        <w:jc w:val="center"/>
        <w:rPr>
          <w:rFonts w:cs="宋体" w:asciiTheme="minorEastAsia" w:hAnsiTheme="minorEastAsia" w:eastAsiaTheme="minorEastAsia"/>
        </w:rPr>
      </w:pPr>
      <w:r>
        <w:rPr>
          <w:rFonts w:hint="eastAsia" w:cs="宋体" w:asciiTheme="minorEastAsia" w:hAnsiTheme="minorEastAsia" w:eastAsiaTheme="minorEastAsia"/>
          <w:b w:val="0"/>
          <w:bCs w:val="0"/>
        </w:rPr>
        <w:br w:type="page"/>
      </w:r>
      <w:bookmarkStart w:id="0" w:name="_Toc490138679"/>
      <w:r>
        <w:rPr>
          <w:rFonts w:hint="eastAsia" w:cs="宋体" w:asciiTheme="minorEastAsia" w:hAnsiTheme="minorEastAsia" w:eastAsiaTheme="minorEastAsia"/>
          <w:sz w:val="36"/>
          <w:szCs w:val="36"/>
        </w:rPr>
        <w:t>第一部分  竞争性谈判公告</w:t>
      </w:r>
      <w:bookmarkEnd w:id="0"/>
    </w:p>
    <w:p>
      <w:pPr>
        <w:widowControl w:val="0"/>
        <w:adjustRightInd/>
        <w:snapToGrid/>
        <w:spacing w:line="300" w:lineRule="exact"/>
        <w:jc w:val="both"/>
        <w:rPr>
          <w:rFonts w:ascii="宋体" w:hAnsi="宋体" w:eastAsia="宋体" w:cs="宋体"/>
          <w:b/>
          <w:bCs/>
          <w:sz w:val="32"/>
          <w:szCs w:val="32"/>
        </w:rPr>
      </w:pPr>
      <w:r>
        <w:rPr>
          <w:rFonts w:hint="eastAsia" w:ascii="宋体" w:hAnsi="宋体" w:eastAsia="宋体" w:cs="宋体"/>
          <w:b/>
          <w:bCs/>
          <w:sz w:val="28"/>
          <w:szCs w:val="28"/>
        </w:rPr>
        <w:t>项目概况</w:t>
      </w:r>
    </w:p>
    <w:p>
      <w:pPr>
        <w:widowControl w:val="0"/>
        <w:pBdr>
          <w:top w:val="single" w:color="auto" w:sz="4" w:space="0"/>
          <w:left w:val="single" w:color="auto" w:sz="4" w:space="0"/>
          <w:bottom w:val="single" w:color="auto" w:sz="4" w:space="0"/>
          <w:right w:val="single" w:color="auto" w:sz="4" w:space="0"/>
        </w:pBdr>
        <w:tabs>
          <w:tab w:val="left" w:pos="1620"/>
        </w:tabs>
        <w:adjustRightInd/>
        <w:snapToGrid/>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lang w:eastAsia="zh-CN"/>
        </w:rPr>
        <w:t>囊谦县“民族大团结万岁”大型宣传标语及广告灯箱建设项目</w:t>
      </w:r>
      <w:r>
        <w:rPr>
          <w:rFonts w:hint="eastAsia" w:ascii="宋体" w:hAnsi="宋体" w:eastAsia="宋体" w:cs="宋体"/>
          <w:sz w:val="21"/>
          <w:szCs w:val="21"/>
        </w:rPr>
        <w:t>的潜在供应商在西宁市海湖新区五四西路71号安泰大厦东座15楼获取竞争性谈判采购文件，并与2020年</w:t>
      </w:r>
      <w:r>
        <w:rPr>
          <w:rFonts w:hint="eastAsia" w:ascii="宋体" w:hAnsi="宋体" w:eastAsia="宋体" w:cs="宋体"/>
          <w:sz w:val="21"/>
          <w:szCs w:val="21"/>
          <w:lang w:eastAsia="zh-CN"/>
        </w:rPr>
        <w:t>11月20日</w:t>
      </w:r>
      <w:r>
        <w:rPr>
          <w:rFonts w:hint="eastAsia" w:ascii="宋体" w:hAnsi="宋体" w:eastAsia="宋体" w:cs="宋体"/>
          <w:sz w:val="21"/>
          <w:szCs w:val="21"/>
        </w:rPr>
        <w:t>上午9点30分（北京时间）前提交响应文件。</w:t>
      </w:r>
    </w:p>
    <w:p>
      <w:pPr>
        <w:widowControl w:val="0"/>
        <w:tabs>
          <w:tab w:val="left" w:pos="16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一、项目基本情况</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zh-CN"/>
        </w:rPr>
        <w:t>1.项目编号：西安秦汉竞谈（工程）2020-067</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rPr>
        <w:t>2</w:t>
      </w:r>
      <w:r>
        <w:rPr>
          <w:rFonts w:hint="eastAsia" w:ascii="宋体" w:hAnsi="宋体" w:eastAsia="宋体" w:cs="宋体"/>
          <w:sz w:val="24"/>
          <w:szCs w:val="24"/>
          <w:lang w:val="zh-CN"/>
        </w:rPr>
        <w:t>.项目名称：</w:t>
      </w:r>
      <w:r>
        <w:rPr>
          <w:rFonts w:hint="eastAsia" w:ascii="宋体" w:hAnsi="宋体" w:eastAsia="宋体" w:cs="宋体"/>
          <w:sz w:val="24"/>
          <w:szCs w:val="24"/>
          <w:lang w:eastAsia="zh-CN"/>
        </w:rPr>
        <w:t>囊谦县“民族大团结万岁”大型宣传标语及广告灯箱建设项目</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.采购方式：竞争性谈判</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.预算金额：</w:t>
      </w:r>
      <w:r>
        <w:rPr>
          <w:rFonts w:hint="eastAsia" w:ascii="宋体" w:hAnsi="宋体" w:eastAsia="宋体" w:cs="宋体"/>
          <w:sz w:val="24"/>
          <w:szCs w:val="24"/>
          <w:lang w:val="en-US" w:eastAsia="zh-CN"/>
        </w:rPr>
        <w:t>40</w:t>
      </w:r>
      <w:r>
        <w:rPr>
          <w:rFonts w:hint="eastAsia" w:ascii="宋体" w:hAnsi="宋体" w:eastAsia="宋体" w:cs="宋体"/>
          <w:sz w:val="24"/>
          <w:szCs w:val="24"/>
        </w:rPr>
        <w:t>万元</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.最高限价：</w:t>
      </w:r>
      <w:r>
        <w:rPr>
          <w:rFonts w:hint="eastAsia" w:ascii="宋体" w:hAnsi="宋体" w:eastAsia="宋体" w:cs="宋体"/>
          <w:sz w:val="24"/>
          <w:szCs w:val="24"/>
          <w:lang w:val="en-US" w:eastAsia="zh-CN"/>
        </w:rPr>
        <w:t>40</w:t>
      </w:r>
      <w:r>
        <w:rPr>
          <w:rFonts w:hint="eastAsia" w:ascii="宋体" w:hAnsi="宋体" w:eastAsia="宋体" w:cs="宋体"/>
          <w:sz w:val="24"/>
          <w:szCs w:val="24"/>
        </w:rPr>
        <w:t>万元</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.采购需求：</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25"/>
        <w:gridCol w:w="857"/>
        <w:gridCol w:w="1815"/>
        <w:gridCol w:w="789"/>
        <w:gridCol w:w="172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99"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标项序号</w:t>
            </w:r>
          </w:p>
        </w:tc>
        <w:tc>
          <w:tcPr>
            <w:tcW w:w="1525"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标项名称</w:t>
            </w:r>
          </w:p>
        </w:tc>
        <w:tc>
          <w:tcPr>
            <w:tcW w:w="857"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数量</w:t>
            </w:r>
          </w:p>
        </w:tc>
        <w:tc>
          <w:tcPr>
            <w:tcW w:w="1815"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预算金额（元）</w:t>
            </w:r>
          </w:p>
        </w:tc>
        <w:tc>
          <w:tcPr>
            <w:tcW w:w="789"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单位</w:t>
            </w:r>
          </w:p>
        </w:tc>
        <w:tc>
          <w:tcPr>
            <w:tcW w:w="1726"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简要规格描述</w:t>
            </w:r>
          </w:p>
        </w:tc>
        <w:tc>
          <w:tcPr>
            <w:tcW w:w="711"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exact"/>
        </w:trPr>
        <w:tc>
          <w:tcPr>
            <w:tcW w:w="1099"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1</w:t>
            </w:r>
          </w:p>
        </w:tc>
        <w:tc>
          <w:tcPr>
            <w:tcW w:w="1525"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囊谦县“民族大团结万岁”大型宣传标语及广告灯箱建设项目</w:t>
            </w:r>
          </w:p>
        </w:tc>
        <w:tc>
          <w:tcPr>
            <w:tcW w:w="857"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1</w:t>
            </w:r>
          </w:p>
        </w:tc>
        <w:tc>
          <w:tcPr>
            <w:tcW w:w="1815"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400000.00</w:t>
            </w:r>
          </w:p>
        </w:tc>
        <w:tc>
          <w:tcPr>
            <w:tcW w:w="789"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w:t>
            </w:r>
          </w:p>
        </w:tc>
        <w:tc>
          <w:tcPr>
            <w:tcW w:w="1726"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详见竞争性谈判采购文件</w:t>
            </w:r>
          </w:p>
        </w:tc>
        <w:tc>
          <w:tcPr>
            <w:tcW w:w="711" w:type="dxa"/>
            <w:vAlign w:val="center"/>
          </w:tcPr>
          <w:p>
            <w:pPr>
              <w:pStyle w:val="2"/>
              <w:keepNext/>
              <w:keepLines/>
              <w:pageBreakBefore w:val="0"/>
              <w:widowControl w:val="0"/>
              <w:kinsoku/>
              <w:wordWrap/>
              <w:overflowPunct/>
              <w:topLinePunct w:val="0"/>
              <w:autoSpaceDE/>
              <w:autoSpaceDN/>
              <w:bidi w:val="0"/>
              <w:adjustRightInd/>
              <w:snapToGrid/>
              <w:spacing w:before="260" w:after="260" w:line="200" w:lineRule="exact"/>
              <w:ind w:left="0" w:leftChars="0" w:right="0" w:rightChars="0" w:firstLine="0" w:firstLineChars="0"/>
              <w:jc w:val="center"/>
              <w:textAlignment w:val="auto"/>
              <w:outlineLvl w:val="1"/>
              <w:rPr>
                <w:rFonts w:ascii="宋体" w:hAnsi="宋体" w:eastAsia="宋体" w:cs="宋体"/>
                <w:b w:val="0"/>
                <w:bCs w:val="0"/>
                <w:sz w:val="20"/>
                <w:szCs w:val="20"/>
                <w:lang w:val="zh-CN"/>
              </w:rPr>
            </w:pPr>
          </w:p>
        </w:tc>
      </w:tr>
    </w:tbl>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7.合同履行期限：</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天</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8.本项目不接受联合体。</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二、申请人的资格要求：</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1.满足《中华人民共和国政府采购法》第22条及《中华人民共和国政府采购法实施条例》第17条的规定；</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(1)投标人的营业执照等证明文件，自然人的身份证明。</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(2)财务状况报告，依法缴纳税收和社会保障资金的相关材料。</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(3)具备履行合同所必需的设备和专业技术能力的证明材料。</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2.落实政府采购政策需满足的资格要求：无</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3.本项目的特定资格要求：</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(1)提供“信用中国（www.creditchina.gov.cn）”和“中国政府采购网（www.ccgp.gov.cn）”网站无任何不良记录的查询截图，时间为投标截止时间前10天内；</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(2)供应商经济实力足以承担本项目的经济责任。单位负责人为同一人或者存在直接控股、管理关系的不同投标人，不得参加同一合同项下的政府采购活动。否则，皆取消投标资格；</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(3)投标人具备</w:t>
      </w:r>
      <w:r>
        <w:rPr>
          <w:rFonts w:hint="eastAsia" w:ascii="宋体" w:hAnsi="宋体" w:eastAsia="宋体" w:cs="宋体"/>
          <w:sz w:val="24"/>
          <w:szCs w:val="24"/>
          <w:lang w:val="zh-CN" w:eastAsia="zh-CN"/>
        </w:rPr>
        <w:t>市政公用工程施工</w:t>
      </w:r>
      <w:r>
        <w:rPr>
          <w:rFonts w:hint="eastAsia" w:ascii="宋体" w:hAnsi="宋体" w:eastAsia="宋体" w:cs="宋体"/>
          <w:sz w:val="24"/>
          <w:szCs w:val="24"/>
          <w:lang w:val="zh-CN"/>
        </w:rPr>
        <w:t>总承包叁级及以上资质，并在人员、技术力量、设备、资金等方面具备相应的施工能力；</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(4)拟派项目负责人具备相关专业中级及以上职称；</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(5)省外企业须提供进青备案登记手续。</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三、获取谈判文件</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时间：2020年11月</w:t>
      </w:r>
      <w:r>
        <w:rPr>
          <w:rFonts w:hint="eastAsia" w:ascii="宋体" w:hAnsi="宋体" w:eastAsia="宋体" w:cs="宋体"/>
          <w:sz w:val="24"/>
          <w:szCs w:val="24"/>
          <w:lang w:val="en-US" w:eastAsia="zh-CN"/>
        </w:rPr>
        <w:t>16</w:t>
      </w:r>
      <w:r>
        <w:rPr>
          <w:rFonts w:hint="eastAsia" w:ascii="宋体" w:hAnsi="宋体" w:eastAsia="宋体" w:cs="宋体"/>
          <w:sz w:val="24"/>
          <w:szCs w:val="24"/>
          <w:lang w:val="zh-CN"/>
        </w:rPr>
        <w:t>日至2020年11月</w:t>
      </w:r>
      <w:r>
        <w:rPr>
          <w:rFonts w:hint="eastAsia" w:ascii="宋体" w:hAnsi="宋体" w:eastAsia="宋体" w:cs="宋体"/>
          <w:sz w:val="24"/>
          <w:szCs w:val="24"/>
          <w:lang w:val="en-US" w:eastAsia="zh-CN"/>
        </w:rPr>
        <w:t>18</w:t>
      </w:r>
      <w:r>
        <w:rPr>
          <w:rFonts w:hint="eastAsia" w:ascii="宋体" w:hAnsi="宋体" w:eastAsia="宋体" w:cs="宋体"/>
          <w:sz w:val="24"/>
          <w:szCs w:val="24"/>
          <w:lang w:val="zh-CN"/>
        </w:rPr>
        <w:t>日（法定公休日除外），每日上午09时00分至12时00分，下午14时30分至17时30分（北京时间，下同）。</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地点：西宁市海湖新区安泰大厦东座15楼</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方式：现场获取或网上购买</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购买谈判文件时应提供材料：</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（1）营业执照副本复印件（加盖单位公章）</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（2）法定代表人授权书（原件）</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（3）购买人的身份证复印件（加盖单位公章）</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注：需网上购买谈判文件的供应商应将以上材料扫描后发至我公司联系邮箱xaqhqhfgs@163.com，在邮件中标明购买项目名称、项目编号、联系人及联系方式，并与我公司工作人员进行联系确认。</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售价：300.00元，文件售后一概不退，投标资格不能转让。</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四、响应文件提交</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截止时间：2020年11月20日9:30（北京时间） </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地点：西安秦汉工程造价咨询有限责任公司开标室</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地址：西宁市海湖新区安泰大厦东座15楼</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五、开启</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时间：2020年11月20日9:30（北京时间）</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地点：西安秦汉工程造价咨询有限责任公司开标室</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地址：西宁市海湖新区安泰大厦东座15楼</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六、公告期限</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自本公告发布之日起3个工作日。供应商认为采购文件使自己的权益受到损害的，可以自收到采购文件之日（发售截止日之后收到采购文件的，以发售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七、其它补充事宜</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本项目竞争性谈判公告将在《青海省招标投标公共服务平台》、《青海政府采购网》同时发布。</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公告内容以青海政府采购网发布的为准。</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八、凡对本次采购提出询问，请按以下方式联系</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名    称：中共囊谦县委统战部</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地    址：</w:t>
      </w:r>
      <w:r>
        <w:rPr>
          <w:rFonts w:hint="eastAsia" w:ascii="宋体" w:hAnsi="宋体" w:eastAsia="宋体" w:cs="宋体"/>
          <w:sz w:val="24"/>
          <w:szCs w:val="24"/>
          <w:lang w:val="zh-CN" w:eastAsia="zh-CN"/>
        </w:rPr>
        <w:t>囊谦县香达东街</w:t>
      </w:r>
      <w:r>
        <w:rPr>
          <w:rFonts w:hint="eastAsia" w:ascii="宋体" w:hAnsi="宋体" w:eastAsia="宋体" w:cs="宋体"/>
          <w:sz w:val="24"/>
          <w:szCs w:val="24"/>
          <w:lang w:val="en-US" w:eastAsia="zh-CN"/>
        </w:rPr>
        <w:t>43号</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 系 人：</w:t>
      </w:r>
      <w:r>
        <w:rPr>
          <w:rFonts w:hint="eastAsia" w:ascii="宋体" w:hAnsi="宋体" w:eastAsia="宋体" w:cs="宋体"/>
          <w:sz w:val="24"/>
          <w:szCs w:val="24"/>
          <w:lang w:eastAsia="zh-CN"/>
        </w:rPr>
        <w:t>杨先生</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电    话：</w:t>
      </w:r>
      <w:r>
        <w:rPr>
          <w:rFonts w:hint="eastAsia" w:ascii="宋体" w:hAnsi="宋体" w:eastAsia="宋体" w:cs="宋体"/>
          <w:sz w:val="24"/>
          <w:szCs w:val="24"/>
          <w:lang w:eastAsia="zh-CN"/>
        </w:rPr>
        <w:t>0976-8871001</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2.采购代理机构信息</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名    称：西安秦汉工程造价咨询有限责任公司</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地    址：西宁市海湖新区安泰大厦东座15楼</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 系 人：刁先生、麻女士</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电    话：0971-6182158</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电子邮件：</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"mailto:xaqhqhfgs@163.com"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xaqhqhfgs@163.com</w:t>
      </w:r>
      <w:r>
        <w:rPr>
          <w:rFonts w:hint="eastAsia" w:ascii="宋体" w:hAnsi="宋体" w:eastAsia="宋体" w:cs="宋体"/>
          <w:sz w:val="24"/>
          <w:szCs w:val="24"/>
          <w:lang w:val="zh-CN"/>
        </w:rPr>
        <w:fldChar w:fldCharType="end"/>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开户银行：西宁农商银行普丰路支行</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收 款 人：西安秦汉工程造价咨询有限责任公司青海分公司</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zh-CN"/>
        </w:rPr>
        <w:t xml:space="preserve">账    号：8201 0000 0003 8039 5  </w:t>
      </w:r>
      <w:r>
        <w:rPr>
          <w:rFonts w:hint="eastAsia" w:ascii="宋体" w:hAnsi="宋体" w:eastAsia="宋体" w:cs="宋体"/>
          <w:sz w:val="24"/>
          <w:szCs w:val="24"/>
        </w:rPr>
        <w:t xml:space="preserve">                                 </w:t>
      </w:r>
    </w:p>
    <w:p>
      <w:pPr>
        <w:tabs>
          <w:tab w:val="left" w:pos="1620"/>
        </w:tabs>
        <w:spacing w:line="260" w:lineRule="exact"/>
        <w:ind w:firstLine="3840" w:firstLineChars="1600"/>
        <w:rPr>
          <w:rFonts w:ascii="宋体" w:hAnsi="宋体" w:eastAsia="宋体" w:cs="宋体"/>
          <w:sz w:val="24"/>
          <w:szCs w:val="24"/>
        </w:rPr>
      </w:pPr>
    </w:p>
    <w:p>
      <w:pPr>
        <w:tabs>
          <w:tab w:val="left" w:pos="1620"/>
        </w:tabs>
        <w:spacing w:line="2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西安秦汉工程造价咨询有限责任公司</w:t>
      </w:r>
    </w:p>
    <w:p>
      <w:pPr>
        <w:tabs>
          <w:tab w:val="left" w:pos="1620"/>
        </w:tabs>
        <w:spacing w:line="2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2020年11月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pPr>
        <w:pStyle w:val="3"/>
        <w:spacing w:before="0" w:after="0" w:line="276" w:lineRule="auto"/>
        <w:jc w:val="center"/>
        <w:rPr>
          <w:rFonts w:cs="宋体" w:asciiTheme="minorEastAsia" w:hAnsiTheme="minorEastAsia" w:eastAsiaTheme="minorEastAsia"/>
          <w:sz w:val="36"/>
          <w:szCs w:val="36"/>
        </w:rPr>
      </w:pPr>
      <w:r>
        <w:rPr>
          <w:rFonts w:hint="eastAsia" w:cs="宋体" w:asciiTheme="minorEastAsia" w:hAnsiTheme="minorEastAsia" w:eastAsiaTheme="minorEastAsia"/>
          <w:b w:val="0"/>
          <w:bCs w:val="0"/>
          <w:sz w:val="24"/>
          <w:szCs w:val="24"/>
        </w:rPr>
        <w:br w:type="page"/>
      </w:r>
      <w:bookmarkStart w:id="1" w:name="_Toc490138680"/>
      <w:r>
        <w:rPr>
          <w:rFonts w:hint="eastAsia" w:cs="宋体" w:asciiTheme="minorEastAsia" w:hAnsiTheme="minorEastAsia" w:eastAsiaTheme="minorEastAsia"/>
          <w:sz w:val="36"/>
          <w:szCs w:val="36"/>
        </w:rPr>
        <w:t>第二部分  谈判供应商须知</w:t>
      </w:r>
      <w:bookmarkEnd w:id="1"/>
    </w:p>
    <w:p>
      <w:pPr>
        <w:pStyle w:val="2"/>
        <w:spacing w:before="0" w:after="0" w:line="276" w:lineRule="auto"/>
        <w:jc w:val="center"/>
        <w:rPr>
          <w:rFonts w:cs="宋体" w:asciiTheme="minorEastAsia" w:hAnsiTheme="minorEastAsia" w:eastAsiaTheme="minorEastAsia"/>
          <w:sz w:val="24"/>
          <w:szCs w:val="24"/>
        </w:rPr>
      </w:pPr>
      <w:bookmarkStart w:id="2" w:name="_Toc490138681"/>
      <w:r>
        <w:rPr>
          <w:rFonts w:hint="eastAsia" w:cs="宋体" w:asciiTheme="minorEastAsia" w:hAnsiTheme="minorEastAsia" w:eastAsiaTheme="minorEastAsia"/>
          <w:sz w:val="24"/>
          <w:szCs w:val="24"/>
        </w:rPr>
        <w:t>一、名词解释</w:t>
      </w:r>
      <w:bookmarkEnd w:id="2"/>
    </w:p>
    <w:p>
      <w:pPr>
        <w:tabs>
          <w:tab w:val="left" w:pos="480"/>
        </w:tabs>
        <w:spacing w:after="0" w:line="276" w:lineRule="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采购单位：</w:t>
      </w:r>
      <w:r>
        <w:rPr>
          <w:rFonts w:hint="eastAsia" w:cs="宋体" w:asciiTheme="minorEastAsia" w:hAnsiTheme="minorEastAsia" w:eastAsiaTheme="minorEastAsia"/>
          <w:sz w:val="24"/>
          <w:szCs w:val="24"/>
          <w:lang w:eastAsia="zh-CN"/>
        </w:rPr>
        <w:t>中共囊谦县委统战部</w:t>
      </w:r>
    </w:p>
    <w:p>
      <w:pPr>
        <w:tabs>
          <w:tab w:val="left" w:pos="480"/>
        </w:tabs>
        <w:spacing w:after="0" w:line="276" w:lineRule="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监督机构：</w:t>
      </w:r>
      <w:r>
        <w:rPr>
          <w:rFonts w:hint="eastAsia" w:cs="宋体" w:asciiTheme="minorEastAsia" w:hAnsiTheme="minorEastAsia" w:eastAsiaTheme="minorEastAsia"/>
          <w:sz w:val="24"/>
          <w:szCs w:val="24"/>
          <w:lang w:eastAsia="zh-CN"/>
        </w:rPr>
        <w:t>囊谦县财政局</w:t>
      </w:r>
    </w:p>
    <w:p>
      <w:pPr>
        <w:tabs>
          <w:tab w:val="left" w:pos="480"/>
        </w:tabs>
        <w:spacing w:after="0"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采购代理机构：</w:t>
      </w:r>
      <w:r>
        <w:rPr>
          <w:rFonts w:hint="eastAsia" w:cs="宋体" w:asciiTheme="minorEastAsia" w:hAnsiTheme="minorEastAsia" w:eastAsiaTheme="minorEastAsia"/>
          <w:sz w:val="24"/>
          <w:szCs w:val="24"/>
          <w:lang w:val="zh-CN"/>
        </w:rPr>
        <w:t>西安秦汉工程造价咨询有限责任公司</w:t>
      </w:r>
    </w:p>
    <w:p>
      <w:pPr>
        <w:tabs>
          <w:tab w:val="left" w:pos="480"/>
        </w:tabs>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谈判供应商：满足本次谈判要求具有相应资质和完成项目能力的供应商</w:t>
      </w:r>
    </w:p>
    <w:p>
      <w:pPr>
        <w:tabs>
          <w:tab w:val="left" w:pos="480"/>
        </w:tabs>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谈判文件：谈判文件与响应文件的统称</w:t>
      </w:r>
    </w:p>
    <w:p>
      <w:pPr>
        <w:tabs>
          <w:tab w:val="left" w:pos="480"/>
        </w:tabs>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成交供应商：由谈判小组推荐并经采购单位确认的谈判供应商</w:t>
      </w:r>
    </w:p>
    <w:p>
      <w:pPr>
        <w:pStyle w:val="2"/>
        <w:spacing w:before="0" w:after="0" w:line="276" w:lineRule="auto"/>
        <w:jc w:val="center"/>
        <w:rPr>
          <w:rFonts w:cs="宋体" w:asciiTheme="minorEastAsia" w:hAnsiTheme="minorEastAsia" w:eastAsiaTheme="minorEastAsia"/>
          <w:sz w:val="24"/>
          <w:szCs w:val="24"/>
        </w:rPr>
      </w:pPr>
      <w:bookmarkStart w:id="3" w:name="_Toc490138682"/>
      <w:r>
        <w:rPr>
          <w:rFonts w:hint="eastAsia" w:cs="宋体" w:asciiTheme="minorEastAsia" w:hAnsiTheme="minorEastAsia" w:eastAsiaTheme="minorEastAsia"/>
          <w:sz w:val="24"/>
          <w:szCs w:val="24"/>
        </w:rPr>
        <w:t>二、谈判供应商</w:t>
      </w:r>
      <w:bookmarkEnd w:id="3"/>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1、合格谈判供应商</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1）满足本谈判文件“第一部分  竞争性谈判公告”中“</w:t>
      </w:r>
      <w:r>
        <w:rPr>
          <w:rFonts w:hint="eastAsia" w:ascii="宋体" w:hAnsi="宋体" w:eastAsia="宋体" w:cs="宋体"/>
          <w:sz w:val="24"/>
          <w:szCs w:val="24"/>
        </w:rPr>
        <w:t>申请人的资格要求</w:t>
      </w:r>
      <w:r>
        <w:rPr>
          <w:rFonts w:hint="eastAsia" w:cs="宋体" w:asciiTheme="minorEastAsia" w:hAnsiTheme="minorEastAsia" w:eastAsiaTheme="minorEastAsia"/>
          <w:sz w:val="24"/>
          <w:szCs w:val="24"/>
        </w:rPr>
        <w:t>”的规定；</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2）法律、行政法规规定的其他条件；</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3）完全同意并愿意自觉遵守本谈判文件中的所有规定和要求。</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2、谈判委托</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如谈判商代表不是法定代表人，须持有《法定代表人授权书》（原件）。</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3、谈判费用</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无论谈判结果如何，谈判供应商自行承担参加谈判相关的全部费用。</w:t>
      </w:r>
    </w:p>
    <w:p>
      <w:pPr>
        <w:pStyle w:val="2"/>
        <w:spacing w:before="0" w:after="0" w:line="276" w:lineRule="auto"/>
        <w:jc w:val="center"/>
        <w:rPr>
          <w:rFonts w:cs="宋体" w:asciiTheme="minorEastAsia" w:hAnsiTheme="minorEastAsia" w:eastAsiaTheme="minorEastAsia"/>
          <w:sz w:val="24"/>
          <w:szCs w:val="24"/>
        </w:rPr>
      </w:pPr>
      <w:bookmarkStart w:id="4" w:name="_Toc490138683"/>
      <w:r>
        <w:rPr>
          <w:rFonts w:hint="eastAsia" w:cs="宋体" w:asciiTheme="minorEastAsia" w:hAnsiTheme="minorEastAsia" w:eastAsiaTheme="minorEastAsia"/>
          <w:sz w:val="24"/>
          <w:szCs w:val="24"/>
        </w:rPr>
        <w:t>三、谈判文件</w:t>
      </w:r>
      <w:bookmarkEnd w:id="4"/>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1、谈判文件</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谈判文件由谈判文件总目录所列内容组成；谈判供应商应详细阅读谈判文件中所有的事项、格式、条款和规范要求,在响应文件中对谈判文件的各方面都应做出实质性的响应，按照谈判文件的要求提交全部资料。</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2、谈判文件的澄清</w:t>
      </w:r>
    </w:p>
    <w:p>
      <w:pPr>
        <w:spacing w:after="0" w:line="276"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任何需要对谈判文件进行澄清的供应商，均应在提交首次响应文件截止之日3个工作日前按谈判文件中的通讯地址以书面形式通知采购代理机构，采购代理机构对收到的书面澄清将以书面形式在3个工作日内予以答复，并通知其它购买谈判文件的谈判供应商。对谈判文件中有关表述不准确或难以理解或有疑义的内容，各谈判供应商应及时与有关部门人员联系；否则，因此带来的一切不利后果由各谈判供应商自负。</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3、谈判文件的修改</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方便谈判供应商对谈判文件修改或澄清内容有充分的时间进行补充修改，采购代理机构可延长谈判截止时间和谈判时间，具体应在谈判文件要求提交响应文件的截止时间3日前，将变更时间书面通知所有购买谈判文件的谈判供应商。</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4、谈判文件的购买</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谈判供应商须从采购代理机构购买谈判文件，谈判文件一经售出，一律不退，本文件仅适用此次谈判。</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5、谈判的处理依据</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谈判小组有权对在谈判过程中出现的一切问题，根据《中华人民共和国政府采购法》和《政府采购非招标采购方式管理办法》等的条款，本着公开、公平、公正的原则进行处理。</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6、解释权归属</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本谈判文件的解释权归采购代理机构。</w:t>
      </w:r>
    </w:p>
    <w:p>
      <w:pPr>
        <w:pStyle w:val="2"/>
        <w:spacing w:before="0" w:after="0" w:line="276" w:lineRule="auto"/>
        <w:jc w:val="center"/>
        <w:rPr>
          <w:rFonts w:cs="宋体" w:asciiTheme="minorEastAsia" w:hAnsiTheme="minorEastAsia" w:eastAsiaTheme="minorEastAsia"/>
          <w:sz w:val="24"/>
          <w:szCs w:val="24"/>
        </w:rPr>
      </w:pPr>
      <w:bookmarkStart w:id="5" w:name="_Toc490138684"/>
      <w:r>
        <w:rPr>
          <w:rFonts w:hint="eastAsia" w:cs="宋体" w:asciiTheme="minorEastAsia" w:hAnsiTheme="minorEastAsia" w:eastAsiaTheme="minorEastAsia"/>
          <w:sz w:val="24"/>
          <w:szCs w:val="24"/>
        </w:rPr>
        <w:t>四、谈判要求</w:t>
      </w:r>
      <w:bookmarkEnd w:id="5"/>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1、谈判内容</w:t>
      </w:r>
    </w:p>
    <w:p>
      <w:pPr>
        <w:spacing w:after="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本次谈判内容为</w:t>
      </w:r>
      <w:r>
        <w:rPr>
          <w:rFonts w:hint="eastAsia" w:ascii="宋体" w:hAnsi="宋体" w:eastAsia="宋体" w:cs="宋体"/>
          <w:sz w:val="24"/>
          <w:szCs w:val="24"/>
          <w:lang w:eastAsia="zh-CN"/>
        </w:rPr>
        <w:t>囊谦县“民族大团结万岁”大型宣传标语及广告灯箱建设项目</w:t>
      </w:r>
      <w:r>
        <w:rPr>
          <w:rFonts w:hint="eastAsia" w:ascii="宋体" w:hAnsi="宋体" w:eastAsia="宋体" w:cs="宋体"/>
          <w:sz w:val="24"/>
          <w:szCs w:val="24"/>
        </w:rPr>
        <w:t>工程；谈判供应商可根据自身的资质情况和经营范围进行谈判，不得将其子目再行分解或只响应其中的一部分内容，否则谈判无效；谈判、成交、签订合同均以包为单位进行。</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2、谈判供应商须提交以下资质证明文件：</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1）有效的企业法人营业执照副本复印件，组织机构代码证副本复印件、税务登记证副本复印件或三证合一的营业执照副本复印件、资质证书、进青许可证复印件（省外企业提供）；</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2）拟派</w:t>
      </w:r>
      <w:r>
        <w:rPr>
          <w:rFonts w:hint="eastAsia" w:ascii="宋体" w:hAnsi="宋体" w:eastAsia="宋体" w:cs="宋体"/>
          <w:sz w:val="24"/>
          <w:szCs w:val="24"/>
          <w:lang w:val="zh-CN"/>
        </w:rPr>
        <w:t>项目负责人具备相关专业中级及以上职称</w:t>
      </w:r>
      <w:r>
        <w:rPr>
          <w:rFonts w:hint="eastAsia" w:cs="宋体" w:asciiTheme="minorEastAsia" w:hAnsiTheme="minorEastAsia" w:eastAsiaTheme="minorEastAsia"/>
          <w:sz w:val="24"/>
          <w:szCs w:val="24"/>
        </w:rPr>
        <w:t>；</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3）法定代表人授权书及被授权人身份证（法定代表人直接谈判只须提交其身份证原件）；</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4）谈判保证金交纳凭证；</w:t>
      </w:r>
    </w:p>
    <w:p>
      <w:pPr>
        <w:kinsoku w:val="0"/>
        <w:spacing w:after="0"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bCs/>
          <w:sz w:val="24"/>
          <w:szCs w:val="24"/>
        </w:rPr>
        <w:t>5</w:t>
      </w:r>
      <w:r>
        <w:rPr>
          <w:rFonts w:hint="eastAsia" w:cs="宋体" w:asciiTheme="minorEastAsia" w:hAnsiTheme="minorEastAsia" w:eastAsiaTheme="minorEastAsia"/>
          <w:sz w:val="24"/>
          <w:szCs w:val="24"/>
        </w:rPr>
        <w:t>）提供</w:t>
      </w:r>
      <w:r>
        <w:rPr>
          <w:rFonts w:hint="eastAsia" w:cs="宋体" w:asciiTheme="minorEastAsia" w:hAnsiTheme="minorEastAsia" w:eastAsiaTheme="minorEastAsia"/>
          <w:sz w:val="24"/>
          <w:szCs w:val="24"/>
          <w:lang w:val="zh-CN"/>
        </w:rPr>
        <w:t>基本开户银行近三个月内出具的资信证明或201</w:t>
      </w:r>
      <w:r>
        <w:rPr>
          <w:rFonts w:hint="eastAsia" w:cs="宋体" w:asciiTheme="minorEastAsia" w:hAnsiTheme="minorEastAsia" w:eastAsiaTheme="minorEastAsia"/>
          <w:sz w:val="24"/>
          <w:szCs w:val="24"/>
        </w:rPr>
        <w:t>9</w:t>
      </w:r>
      <w:r>
        <w:rPr>
          <w:rFonts w:hint="eastAsia" w:cs="宋体" w:asciiTheme="minorEastAsia" w:hAnsiTheme="minorEastAsia" w:eastAsiaTheme="minorEastAsia"/>
          <w:sz w:val="24"/>
          <w:szCs w:val="24"/>
          <w:lang w:val="zh-CN"/>
        </w:rPr>
        <w:t>年度经第三方审计的财务状况报告（扫描或复印件应全面、完整、清晰），包括资产负债表、现金流量表、利润表和财务（会计）报表附注，并提供第三方机构的营业执照、执业证书</w:t>
      </w:r>
      <w:r>
        <w:rPr>
          <w:rFonts w:hint="eastAsia" w:cs="宋体" w:asciiTheme="minorEastAsia" w:hAnsiTheme="minorEastAsia" w:eastAsiaTheme="minorEastAsia"/>
          <w:sz w:val="24"/>
          <w:szCs w:val="24"/>
        </w:rPr>
        <w:t>；</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6）提供</w:t>
      </w:r>
      <w:r>
        <w:rPr>
          <w:rFonts w:hint="eastAsia" w:ascii="宋体" w:hAnsi="宋体" w:eastAsia="宋体" w:cs="宋体"/>
          <w:sz w:val="24"/>
        </w:rPr>
        <w:t>2020年任意3个月</w:t>
      </w:r>
      <w:r>
        <w:rPr>
          <w:rFonts w:hint="eastAsia" w:cs="宋体" w:asciiTheme="minorEastAsia" w:hAnsiTheme="minorEastAsia" w:eastAsiaTheme="minorEastAsia"/>
          <w:sz w:val="24"/>
          <w:szCs w:val="24"/>
        </w:rPr>
        <w:t>依法缴纳税收和社会保障资金记录的证明材料；</w:t>
      </w:r>
    </w:p>
    <w:p>
      <w:pPr>
        <w:widowControl w:val="0"/>
        <w:autoSpaceDE w:val="0"/>
        <w:autoSpaceDN w:val="0"/>
        <w:snapToGrid/>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r>
        <w:rPr>
          <w:rFonts w:hint="eastAsia" w:cs="宋体" w:asciiTheme="minorEastAsia" w:hAnsiTheme="minorEastAsia" w:eastAsiaTheme="minorEastAsia"/>
          <w:sz w:val="24"/>
          <w:szCs w:val="24"/>
          <w:lang w:val="zh-CN"/>
        </w:rPr>
        <w:t>具备履行合同所必需的设备和专业技术能力的证明材料</w:t>
      </w:r>
      <w:r>
        <w:rPr>
          <w:rFonts w:hint="eastAsia" w:cs="宋体" w:asciiTheme="minorEastAsia" w:hAnsiTheme="minorEastAsia" w:eastAsiaTheme="minorEastAsia"/>
          <w:sz w:val="24"/>
          <w:szCs w:val="24"/>
        </w:rPr>
        <w:t>；</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8）参加政府采购活动前3年内在经营活动中没有重大违法记录的书面声明；</w:t>
      </w:r>
    </w:p>
    <w:p>
      <w:pPr>
        <w:kinsoku w:val="0"/>
        <w:spacing w:after="0"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以上1-</w:t>
      </w:r>
      <w:r>
        <w:rPr>
          <w:rFonts w:hint="eastAsia" w:cs="宋体" w:asciiTheme="minorEastAsia" w:hAnsiTheme="minorEastAsia" w:eastAsiaTheme="minorEastAsia"/>
          <w:sz w:val="24"/>
          <w:szCs w:val="24"/>
        </w:rPr>
        <w:t>8</w:t>
      </w:r>
      <w:r>
        <w:rPr>
          <w:rFonts w:hint="eastAsia" w:cs="宋体" w:asciiTheme="minorEastAsia" w:hAnsiTheme="minorEastAsia" w:eastAsiaTheme="minorEastAsia"/>
          <w:sz w:val="24"/>
          <w:szCs w:val="24"/>
          <w:lang w:val="zh-CN"/>
        </w:rPr>
        <w:t>为必备资质，缺一项或某项达不到要求，按无效文件处理。</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3、响应文件的编制</w:t>
      </w:r>
    </w:p>
    <w:p>
      <w:pPr>
        <w:pStyle w:val="8"/>
        <w:kinsoku w:val="0"/>
        <w:autoSpaceDE w:val="0"/>
        <w:autoSpaceDN w:val="0"/>
        <w:spacing w:line="276" w:lineRule="auto"/>
        <w:ind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响应文件必须根据谈判文件提供的内容及格式编制，并对谈判文件做出实质性响应；具体内容包括但不限于以下内容：</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响应文件封面格式</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目录格式</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响应函</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报价一览表</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最终报价确定表</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法定代表人证明书</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法定代表人授权书</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供应商承诺函</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供应商诚信承诺书</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资格证明材料</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财务状况</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税收记录证明和社会保障资金</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具备履行合同所必需的设备和专业技术能力的证明材料</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近三年在经营活动中没有重大违法记录的声明</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谈判保证金</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拟派项目负责人简历表</w:t>
      </w:r>
    </w:p>
    <w:p>
      <w:pPr>
        <w:numPr>
          <w:ilvl w:val="0"/>
          <w:numId w:val="1"/>
        </w:numPr>
        <w:spacing w:after="0" w:line="276"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其他资料</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4、谈判报价</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1）所有报价一律以人民币报价。采购单位不接受任何非人民币币种的报价；</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2）报价包括：工程量清单及图纸所含全部内容；</w:t>
      </w:r>
    </w:p>
    <w:p>
      <w:pPr>
        <w:kinsoku w:val="0"/>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3）报价一览表应有法定代表人或被授权人和造价员的签字、盖章；</w:t>
      </w:r>
    </w:p>
    <w:p>
      <w:pPr>
        <w:kinsoku w:val="0"/>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4）合同价格：经谈判小组确认的某一谈判供应商的最终报价，在合同执行过程中是固定不变的，不受外汇汇率及市场价格变化的影响；</w:t>
      </w:r>
    </w:p>
    <w:p>
      <w:pPr>
        <w:kinsoku w:val="0"/>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5）凡因谈判供应商对谈判文件阅读不深、理解不透、误解、疏漏、或因市场行情了解不清造成的后果和风险均由谈判供应商自负；</w:t>
      </w:r>
    </w:p>
    <w:p>
      <w:pPr>
        <w:kinsoku w:val="0"/>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谈判供应商不得以低于成本的报价参加谈判。当谈判小组认为某个谈判供应商的谈判价或者某些分项报价明显不合理或者低于成本，有可能影响产品质量和不能诚信履约的，可要求该谈判供应商在规定的期限内提供书面文件予以解释说明，并提交相关证明材料；否则，谈判小组可以取消该谈判供应商的成交候选资格。</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5、谈判保证金</w:t>
      </w:r>
    </w:p>
    <w:p>
      <w:pPr>
        <w:kinsoku w:val="0"/>
        <w:spacing w:after="0" w:line="276"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zh-CN"/>
        </w:rPr>
        <w:t>投标人须在</w:t>
      </w:r>
      <w:r>
        <w:rPr>
          <w:rFonts w:hint="eastAsia" w:cs="宋体" w:asciiTheme="minorEastAsia" w:hAnsiTheme="minorEastAsia" w:eastAsiaTheme="minorEastAsia"/>
          <w:bCs/>
          <w:sz w:val="24"/>
          <w:szCs w:val="24"/>
        </w:rPr>
        <w:t>谈判开始前</w:t>
      </w:r>
      <w:r>
        <w:rPr>
          <w:rFonts w:hint="eastAsia" w:cs="宋体" w:asciiTheme="minorEastAsia" w:hAnsiTheme="minorEastAsia" w:eastAsiaTheme="minorEastAsia"/>
          <w:bCs/>
          <w:sz w:val="24"/>
          <w:szCs w:val="24"/>
          <w:lang w:val="zh-CN"/>
        </w:rPr>
        <w:t>按以下要求交纳投标保证金（说明：收取的投标保证金不得超过采购项目预算金额的2%）：</w:t>
      </w:r>
    </w:p>
    <w:p>
      <w:pPr>
        <w:kinsoku w:val="0"/>
        <w:spacing w:after="0" w:line="276"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投标保证金：</w:t>
      </w:r>
      <w:r>
        <w:rPr>
          <w:rFonts w:hint="eastAsia" w:cs="宋体" w:asciiTheme="minorEastAsia" w:hAnsiTheme="minorEastAsia" w:eastAsiaTheme="minorEastAsia"/>
          <w:bCs/>
          <w:sz w:val="24"/>
          <w:szCs w:val="24"/>
        </w:rPr>
        <w:t>5000.00</w:t>
      </w:r>
      <w:r>
        <w:rPr>
          <w:rFonts w:hint="eastAsia" w:cs="宋体" w:asciiTheme="minorEastAsia" w:hAnsiTheme="minorEastAsia" w:eastAsiaTheme="minorEastAsia"/>
          <w:bCs/>
          <w:sz w:val="24"/>
          <w:szCs w:val="24"/>
          <w:lang w:val="zh-CN"/>
        </w:rPr>
        <w:t xml:space="preserve">元（大写：伍仟元整） </w:t>
      </w:r>
    </w:p>
    <w:p>
      <w:pPr>
        <w:kinsoku w:val="0"/>
        <w:spacing w:after="0" w:line="276"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收款单位：</w:t>
      </w:r>
      <w:r>
        <w:rPr>
          <w:rFonts w:hint="eastAsia" w:cs="宋体" w:asciiTheme="minorEastAsia" w:hAnsiTheme="minorEastAsia" w:eastAsiaTheme="minorEastAsia"/>
          <w:sz w:val="24"/>
          <w:szCs w:val="24"/>
        </w:rPr>
        <w:t>西安秦汉工程造价咨询有限责任公司青海分公司</w:t>
      </w:r>
    </w:p>
    <w:p>
      <w:pPr>
        <w:kinsoku w:val="0"/>
        <w:spacing w:after="0"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bCs/>
          <w:sz w:val="24"/>
          <w:szCs w:val="24"/>
          <w:lang w:val="zh-CN"/>
        </w:rPr>
        <w:t>开 户 行：</w:t>
      </w:r>
      <w:r>
        <w:rPr>
          <w:rFonts w:hint="eastAsia" w:cs="宋体" w:asciiTheme="minorEastAsia" w:hAnsiTheme="minorEastAsia" w:eastAsiaTheme="minorEastAsia"/>
          <w:sz w:val="24"/>
          <w:szCs w:val="24"/>
          <w:lang w:val="zh-CN"/>
        </w:rPr>
        <w:t>西宁农商银行西川南路支行</w:t>
      </w:r>
    </w:p>
    <w:p>
      <w:pPr>
        <w:kinsoku w:val="0"/>
        <w:spacing w:after="0"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账号：</w:t>
      </w:r>
      <w:r>
        <w:rPr>
          <w:rFonts w:hint="eastAsia" w:cs="宋体" w:asciiTheme="minorEastAsia" w:hAnsiTheme="minorEastAsia" w:eastAsiaTheme="minorEastAsia"/>
          <w:sz w:val="24"/>
          <w:szCs w:val="24"/>
          <w:lang w:val="zh-CN"/>
        </w:rPr>
        <w:t>8201</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0000</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0004</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0722</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8</w:t>
      </w:r>
    </w:p>
    <w:p>
      <w:pPr>
        <w:kinsoku w:val="0"/>
        <w:spacing w:after="0" w:line="276"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如采购项目变更谈判时间，则保证金交纳时间相应顺延。</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w:t>
      </w:r>
      <w:r>
        <w:rPr>
          <w:rFonts w:hint="eastAsia" w:cs="宋体" w:asciiTheme="minorEastAsia" w:hAnsiTheme="minorEastAsia" w:eastAsiaTheme="minorEastAsia"/>
          <w:sz w:val="24"/>
          <w:szCs w:val="24"/>
          <w:lang w:val="zh-CN"/>
        </w:rPr>
        <w:t>谈判供应应将谈判保证金在响应文件递交截止时间前由供应商从其基本账户汇（转）入采购代理机构指定账户（需提供开户许可证），票据附言栏内须注明项目名称及用途，到账时间以</w:t>
      </w:r>
      <w:r>
        <w:rPr>
          <w:rFonts w:hint="eastAsia" w:cs="宋体" w:asciiTheme="minorEastAsia" w:hAnsiTheme="minorEastAsia" w:eastAsiaTheme="minorEastAsia"/>
          <w:sz w:val="24"/>
          <w:szCs w:val="24"/>
        </w:rPr>
        <w:t>采购代理机构财务收到银行送达回单为准，否则争性谈判参与无效。</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3）谈判供应商未缴纳、未足额缴纳或未按规定时间及要求缴纳保证金的，将被视为自动放弃谈判权利。</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4）谈判保证金的交付单位和谈判供应商的名称必须一致，否则将视为谈判响应无效；</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5）未成交供应商的保证金，在成交通知书发出后五个工作日内无息全额退还（不退现金</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；成交供应商的谈判保证金在与采购单位签订合同后五个工作日内无息退还（不退现金</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6）发生下列情况之一，谈判保证金将被没收：</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A．递交响应文件截止时间后在谈判有效期间，谈判供应商撤回其响应文件；</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B．成交供应商在规定的时间内未能签订合同；</w:t>
      </w:r>
    </w:p>
    <w:p>
      <w:pPr>
        <w:kinsoku w:val="0"/>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C．由于谈判供应商的原因导致成交无效的。</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6、谈判有效期</w:t>
      </w:r>
    </w:p>
    <w:p>
      <w:pPr>
        <w:pStyle w:val="40"/>
        <w:spacing w:line="276" w:lineRule="auto"/>
        <w:ind w:firstLine="480"/>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谈判有效期为自响应文件递交截止时间起60个日历日，响应文件有效期短于规定的谈判有效期，视为无效文件。</w:t>
      </w:r>
    </w:p>
    <w:p>
      <w:pPr>
        <w:spacing w:after="0" w:line="276" w:lineRule="auto"/>
        <w:rPr>
          <w:rFonts w:cs="宋体" w:asciiTheme="minorEastAsia" w:hAnsiTheme="minorEastAsia" w:eastAsiaTheme="minorEastAsia"/>
          <w:b/>
          <w:kern w:val="2"/>
          <w:sz w:val="24"/>
          <w:szCs w:val="24"/>
        </w:rPr>
      </w:pPr>
      <w:r>
        <w:rPr>
          <w:rFonts w:hint="eastAsia" w:cs="宋体" w:asciiTheme="minorEastAsia" w:hAnsiTheme="minorEastAsia" w:eastAsiaTheme="minorEastAsia"/>
          <w:b/>
          <w:sz w:val="24"/>
          <w:szCs w:val="24"/>
        </w:rPr>
        <w:t>7、响应文件的份数、签署及规定</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1）谈判供应商名称应填写全称，谈判供应商须依据本谈判文件内容和响应文件格式的要求编制响应文件；</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响应文件的正本和所有的副本均需使用不褪色的材料打印或书写，并注明“正本”、“副本”字样。若发生正本和副本不符，以正本为准。响应文件副本可采用正本的复印件加盖骑缝章，响应文件统一使用A4幅面的纸张印制，左侧胶装成册</w:t>
      </w:r>
      <w:r>
        <w:rPr>
          <w:rFonts w:hint="eastAsia" w:cs="宋体" w:asciiTheme="minorEastAsia" w:hAnsiTheme="minorEastAsia" w:eastAsiaTheme="minorEastAsia"/>
          <w:bCs/>
          <w:sz w:val="24"/>
          <w:szCs w:val="24"/>
          <w:lang w:val="zh-CN"/>
        </w:rPr>
        <w:t>并编码</w:t>
      </w:r>
      <w:r>
        <w:rPr>
          <w:rFonts w:hint="eastAsia" w:cs="宋体" w:asciiTheme="minorEastAsia" w:hAnsiTheme="minorEastAsia" w:eastAsiaTheme="minorEastAsia"/>
          <w:bCs/>
          <w:sz w:val="24"/>
          <w:szCs w:val="24"/>
        </w:rPr>
        <w:t>其他方式装订的响应文件一概不予接受；</w:t>
      </w:r>
    </w:p>
    <w:p>
      <w:pPr>
        <w:spacing w:after="0" w:line="276"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rPr>
        <w:t>3）响应文件份数，本次谈判需提交响应文件正本一份，副本两份，</w:t>
      </w:r>
      <w:r>
        <w:rPr>
          <w:rFonts w:hint="eastAsia" w:cs="宋体" w:asciiTheme="minorEastAsia" w:hAnsiTheme="minorEastAsia" w:eastAsiaTheme="minorEastAsia"/>
          <w:bCs/>
          <w:sz w:val="24"/>
          <w:szCs w:val="24"/>
          <w:lang w:val="zh-CN"/>
        </w:rPr>
        <w:t>电子文档</w:t>
      </w:r>
      <w:r>
        <w:rPr>
          <w:rFonts w:hint="eastAsia" w:cs="宋体" w:asciiTheme="minorEastAsia" w:hAnsiTheme="minorEastAsia" w:eastAsiaTheme="minorEastAsia"/>
          <w:bCs/>
          <w:sz w:val="24"/>
          <w:szCs w:val="24"/>
        </w:rPr>
        <w:t>一份</w:t>
      </w:r>
      <w:r>
        <w:rPr>
          <w:rFonts w:hint="eastAsia" w:cs="宋体" w:asciiTheme="minorEastAsia" w:hAnsiTheme="minorEastAsia" w:eastAsiaTheme="minorEastAsia"/>
          <w:bCs/>
          <w:sz w:val="24"/>
          <w:szCs w:val="24"/>
          <w:lang w:val="zh-CN"/>
        </w:rPr>
        <w:t>用光盘或U盘制作，采用不可修改文档格式（如：PDF格式），内容必须和纸质投标文件正本</w:t>
      </w:r>
      <w:r>
        <w:rPr>
          <w:rFonts w:hint="eastAsia" w:cs="宋体" w:asciiTheme="minorEastAsia" w:hAnsiTheme="minorEastAsia" w:eastAsiaTheme="minorEastAsia"/>
          <w:bCs/>
          <w:sz w:val="24"/>
          <w:szCs w:val="24"/>
        </w:rPr>
        <w:t>(上、下册)</w:t>
      </w:r>
      <w:r>
        <w:rPr>
          <w:rFonts w:hint="eastAsia" w:cs="宋体" w:asciiTheme="minorEastAsia" w:hAnsiTheme="minorEastAsia" w:eastAsiaTheme="minorEastAsia"/>
          <w:bCs/>
          <w:sz w:val="24"/>
          <w:szCs w:val="24"/>
          <w:lang w:val="zh-CN"/>
        </w:rPr>
        <w:t>完全一致，包括封面、页码、签字、盖章等。</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4）谈判供应商在响应文件中指定的页面落款处，必须按谈判文件要求加盖印章和签字。</w:t>
      </w:r>
    </w:p>
    <w:p>
      <w:pPr>
        <w:pStyle w:val="10"/>
        <w:spacing w:line="276" w:lineRule="auto"/>
        <w:jc w:val="left"/>
        <w:rPr>
          <w:rFonts w:cs="宋体" w:asciiTheme="minorEastAsia" w:hAnsiTheme="minorEastAsia" w:eastAsiaTheme="minorEastAsia"/>
          <w:spacing w:val="6"/>
          <w:sz w:val="24"/>
          <w:szCs w:val="24"/>
        </w:rPr>
      </w:pPr>
      <w:r>
        <w:rPr>
          <w:rFonts w:hint="eastAsia" w:cs="宋体" w:asciiTheme="minorEastAsia" w:hAnsiTheme="minorEastAsia" w:eastAsiaTheme="minorEastAsia"/>
          <w:bCs/>
          <w:sz w:val="24"/>
          <w:szCs w:val="24"/>
        </w:rPr>
        <w:t>5）</w:t>
      </w:r>
      <w:r>
        <w:rPr>
          <w:rFonts w:hint="eastAsia" w:cs="宋体" w:asciiTheme="minorEastAsia" w:hAnsiTheme="minorEastAsia" w:eastAsiaTheme="minorEastAsia"/>
          <w:sz w:val="24"/>
          <w:szCs w:val="24"/>
        </w:rPr>
        <w:t>响应文件正本中的法人授权书须为原件，其它资质证明文件为复印件加盖谈判供应商公章；响应文件副本中的法人授权书可以为复印件，其它资质证明文件可为正本复印件；</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6）响应文件的任何行间插字、涂改和增删，必须由法定代表人或被授权人在改动处旁签字和加盖公章方为有效；</w:t>
      </w:r>
    </w:p>
    <w:p>
      <w:pPr>
        <w:spacing w:after="0"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7）响应文件因字迹潦草或表达不清所引起的后果由谈判供应商负责；</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8）谈判结束前供应商应向谈判小组递交最终报价确定表（此表由供应商在参加谈判前先将供应商公章盖好、法人代表或授权代表签字，待递交时当场填写）。</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8、文字要求</w:t>
      </w:r>
    </w:p>
    <w:p>
      <w:pPr>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本次谈判只接受简体中文文字的响应文件。</w:t>
      </w:r>
    </w:p>
    <w:p>
      <w:pPr>
        <w:pStyle w:val="2"/>
        <w:spacing w:before="0" w:after="0" w:line="276" w:lineRule="auto"/>
        <w:jc w:val="center"/>
        <w:rPr>
          <w:rFonts w:cs="宋体" w:asciiTheme="minorEastAsia" w:hAnsiTheme="minorEastAsia" w:eastAsiaTheme="minorEastAsia"/>
          <w:sz w:val="24"/>
          <w:szCs w:val="24"/>
        </w:rPr>
      </w:pPr>
      <w:bookmarkStart w:id="6" w:name="_Toc490138685"/>
      <w:bookmarkStart w:id="7" w:name="_Toc32397"/>
      <w:r>
        <w:rPr>
          <w:rFonts w:hint="eastAsia" w:cs="宋体" w:asciiTheme="minorEastAsia" w:hAnsiTheme="minorEastAsia" w:eastAsiaTheme="minorEastAsia"/>
          <w:sz w:val="24"/>
          <w:szCs w:val="24"/>
        </w:rPr>
        <w:t>五、响应文件封装、递交</w:t>
      </w:r>
      <w:bookmarkEnd w:id="6"/>
      <w:bookmarkEnd w:id="7"/>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1、响应文件的封装及标记</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谈判供应商应将响应文件的正本、所有副本和电子响应文件，分别用单独分装密封（封袋不得有破损），在封袋上标明“正本”、“副本”、“电子响应文件”字样，封袋应加贴封条，并在封线处加盖谈判供应商公章，封袋正面要粘贴标识（注明项目名称、项目编号、采购单位、采购代理机构、谈判供应商、响应文件递交场所的名称、于*年*月*日*时*分之前不得开封）。</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2）如果谈判供应商未按上述要求封装及加写标记，误投或过早启封的响应文件，出现此类情况的响应文件，采购代理机构将拒绝接收，并退回谈判供应商。采购代理机构对响应文件的误投和提前启封概不负责。</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2、响应文件递交及递交截止时间</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1）谈判供应商必须在谈判文件规定的时间和地点，将全部响应文件递交至采购代理机构；</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2）采购代理机构在谈判文件规定的响应文件递交截止时间前，负责响应文件的接收、清点、造册登记工作，并请递交人签字确认，但不负责其有效性；</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3）采购代理机构在宣布递交响应文件时间截止之后，拒绝接收任何人响应文件；</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4）响应文件</w:t>
      </w:r>
      <w:r>
        <w:rPr>
          <w:rFonts w:hint="eastAsia" w:cs="宋体" w:asciiTheme="minorEastAsia" w:hAnsiTheme="minorEastAsia" w:eastAsiaTheme="minorEastAsia"/>
          <w:sz w:val="24"/>
          <w:szCs w:val="24"/>
        </w:rPr>
        <w:t>以电报、电话、传真形式递交的，</w:t>
      </w:r>
      <w:r>
        <w:rPr>
          <w:rFonts w:hint="eastAsia" w:cs="宋体" w:asciiTheme="minorEastAsia" w:hAnsiTheme="minorEastAsia" w:eastAsiaTheme="minorEastAsia"/>
          <w:spacing w:val="6"/>
          <w:sz w:val="24"/>
          <w:szCs w:val="24"/>
        </w:rPr>
        <w:t>采购代理机构</w:t>
      </w:r>
      <w:r>
        <w:rPr>
          <w:rFonts w:hint="eastAsia" w:cs="宋体" w:asciiTheme="minorEastAsia" w:hAnsiTheme="minorEastAsia" w:eastAsiaTheme="minorEastAsia"/>
          <w:sz w:val="24"/>
          <w:szCs w:val="24"/>
        </w:rPr>
        <w:t>概不接受。</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5）无论谈判供应商成交与否，其响应文件正本概不退还。</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6）采购代理机构因采购单位推迟响应文件递交截止时间时，应以书面（或传真）的形式，通知所有谈判供应商；在这种情况下，采购代理机构和谈判供应商的权利和义务将受到新的截止期的约束。</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3、响应文件的修改和撤回</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1）响应文件递交后，如果谈判供应商提出书面修改和撤回响应文件要求，在递交响应文件截止时间前以书面形式送达采购代理机构；</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2）谈判供应商修改响应文件的书面材料，须密封送达采购代理机构，修改或补充的内容应按谈判文件要求签署、盖章、密封、标记，并作为响应文件的组成部分；</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戳为准；</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4）在递交最终报价之后至规定的谈判有效期满之间的这段时间内，谈判供应商不得撤回其响应文件；</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5）谈判供应商在响应文件递交截止时间后，不得对其响应文件做任何修改。</w:t>
      </w:r>
    </w:p>
    <w:p>
      <w:pPr>
        <w:pStyle w:val="2"/>
        <w:spacing w:before="0" w:after="0" w:line="276" w:lineRule="auto"/>
        <w:jc w:val="center"/>
        <w:rPr>
          <w:rFonts w:cs="宋体" w:asciiTheme="minorEastAsia" w:hAnsiTheme="minorEastAsia" w:eastAsiaTheme="minorEastAsia"/>
          <w:sz w:val="24"/>
          <w:szCs w:val="24"/>
        </w:rPr>
      </w:pPr>
      <w:bookmarkStart w:id="8" w:name="_Toc3639"/>
      <w:bookmarkStart w:id="9" w:name="_Toc490138686"/>
      <w:r>
        <w:rPr>
          <w:rFonts w:hint="eastAsia" w:cs="宋体" w:asciiTheme="minorEastAsia" w:hAnsiTheme="minorEastAsia" w:eastAsiaTheme="minorEastAsia"/>
          <w:sz w:val="24"/>
          <w:szCs w:val="24"/>
        </w:rPr>
        <w:t>六、谈判、澄清、成交</w:t>
      </w:r>
      <w:bookmarkEnd w:id="8"/>
      <w:bookmarkEnd w:id="9"/>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1）采购代理机构按谈判文件规定的时间、地点组织谈判；谈判会议由采购代理机构主持，谈判小组、监督机构及有关工作人员参加，参加谈判的代表应签名报到以证明其出席；谈判供应商派代表参加谈判会议；</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2）为确保谈判工作</w:t>
      </w:r>
      <w:r>
        <w:rPr>
          <w:rFonts w:hint="eastAsia" w:cs="宋体" w:asciiTheme="minorEastAsia" w:hAnsiTheme="minorEastAsia" w:eastAsiaTheme="minorEastAsia"/>
          <w:sz w:val="24"/>
          <w:szCs w:val="24"/>
        </w:rPr>
        <w:t>公开、公平、公正和诚实信用</w:t>
      </w:r>
      <w:r>
        <w:rPr>
          <w:rFonts w:hint="eastAsia" w:cs="宋体" w:asciiTheme="minorEastAsia" w:hAnsiTheme="minorEastAsia" w:eastAsiaTheme="minorEastAsia"/>
          <w:spacing w:val="6"/>
          <w:sz w:val="24"/>
          <w:szCs w:val="24"/>
        </w:rPr>
        <w:t>，依法成立三人及以上的谈判小组。谈判小组由采购单位及政府采购专家库成员组成，其中技术、经济等方面的专家不少于谈判小组成员总数的三分之二，专家由相关关人员在专家库中随机抽取，谈判小组成员应当遵守并履行下列责任和义务：</w:t>
      </w:r>
    </w:p>
    <w:p>
      <w:pPr>
        <w:kinsoku w:val="0"/>
        <w:spacing w:after="0" w:line="276"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A、遵纪守法，客观、公正、认真负责地履行职责，审查响应文件是否符合谈判文件的要求，并做出评价；</w:t>
      </w:r>
    </w:p>
    <w:p>
      <w:pPr>
        <w:kinsoku w:val="0"/>
        <w:spacing w:after="0" w:line="276"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B、要求谈判供应商对响应文件有关事项作出解释或澄清；</w:t>
      </w:r>
    </w:p>
    <w:p>
      <w:pPr>
        <w:kinsoku w:val="0"/>
        <w:spacing w:after="0" w:line="276"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C、按照谈判文件的要求和谈判标准进行谈判，推荐成交候选供应商名单，对评审意见承担个人责任；</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z w:val="24"/>
          <w:szCs w:val="24"/>
        </w:rPr>
        <w:t>D、对谈判过程和结果以及谈判供应商的商业秘密保密。</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2、响应文件的初审</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1）初审阶段为资格性审查和符合性审查。响应文件在响应谈判文件要求方面出现的偏离，分为实质性偏离和非实质性偏离。</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2）实质性偏离是指响应文件未能实质性响应谈判文件的要求。以下情况属于实质性偏离，响应文件有下列情况之一的，按无效响应处理。</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）不满足本谈判文件“第一部分  竞争性谈判公告”中“</w:t>
      </w:r>
      <w:r>
        <w:rPr>
          <w:rFonts w:hint="eastAsia" w:ascii="宋体" w:hAnsi="宋体" w:eastAsia="宋体" w:cs="宋体"/>
          <w:sz w:val="24"/>
          <w:szCs w:val="24"/>
        </w:rPr>
        <w:t>申请人的资格要求</w:t>
      </w:r>
      <w:r>
        <w:rPr>
          <w:rFonts w:hint="eastAsia" w:cs="宋体" w:asciiTheme="minorEastAsia" w:hAnsiTheme="minorEastAsia" w:eastAsiaTheme="minorEastAsia"/>
          <w:sz w:val="24"/>
          <w:szCs w:val="24"/>
        </w:rPr>
        <w:t>”规定；</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）未按谈判文件要求缴纳或未足额缴纳谈判保证金的；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）未按响应文件格式要求提供相关资料的；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）响应文件内容没有按谈判文件规定和要求签字、盖章的；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）响应文件编排混乱，导致评审工作难以正常进行的；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）工期、谈判有效期不能满足谈判文件要求的；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（7）谈判参与文件中附有采购人不能接受的条件的；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（8）报价超过采购预算额度的；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（9）未提供电子文档的；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（10）参与文件纸质与电子文档不一致的；</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（11）评审委员会认为应按无效响应处理的其他情况；</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非实质性偏离是指响应文件实质性响应谈判文件，但在部分可允许范围内存在一些不规则、不一致、不完整的内容，通过澄清、说明或者补正后这些内容不会改变响应文件的实质性。以下情况属于非实质性偏离：</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）响应文件文字表述的内容含义不明确；</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）同类问题表述不一致；</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）有明显文字和计算错误；</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）提供的技术信息和数据资料不完整；</w:t>
      </w:r>
    </w:p>
    <w:p>
      <w:pPr>
        <w:autoSpaceDE w:val="0"/>
        <w:autoSpaceDN w:val="0"/>
        <w:spacing w:after="0"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）评审委员会认定的其他非实质性偏离情况。</w:t>
      </w:r>
    </w:p>
    <w:p>
      <w:pPr>
        <w:spacing w:after="0"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3、澄清</w:t>
      </w:r>
    </w:p>
    <w:p>
      <w:pPr>
        <w:autoSpaceDE w:val="0"/>
        <w:autoSpaceDN w:val="0"/>
        <w:spacing w:after="0" w:line="276" w:lineRule="auto"/>
        <w:ind w:firstLine="480" w:firstLineChars="200"/>
        <w:rPr>
          <w:rFonts w:cs="宋体" w:asciiTheme="minorEastAsia" w:hAnsiTheme="minorEastAsia" w:eastAsiaTheme="minorEastAsia"/>
          <w:spacing w:val="6"/>
          <w:sz w:val="24"/>
          <w:szCs w:val="24"/>
        </w:rPr>
      </w:pPr>
      <w:r>
        <w:rPr>
          <w:rFonts w:hint="eastAsia" w:cs="宋体" w:asciiTheme="minorEastAsia" w:hAnsiTheme="minorEastAsia" w:eastAsiaTheme="minorEastAsia"/>
          <w:sz w:val="24"/>
          <w:szCs w:val="24"/>
        </w:rPr>
        <w:t>响应文件有上述情形之一的，评审委员会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评审委员会将按照谈判文件的要求对现有的响应资料做出评审意见。如澄清、补正、说明的内容与谈判响应文件内容有重大相悖或矛盾，将被认定为无效文件；评审委员会对供应商主动提出的澄清、说明的内容将不予接受。</w:t>
      </w:r>
    </w:p>
    <w:p>
      <w:pPr>
        <w:numPr>
          <w:ilvl w:val="0"/>
          <w:numId w:val="2"/>
        </w:numPr>
        <w:spacing w:after="0" w:line="276" w:lineRule="auto"/>
        <w:rPr>
          <w:rFonts w:cs="宋体" w:asciiTheme="minorEastAsia" w:hAnsiTheme="minorEastAsia" w:eastAsiaTheme="minorEastAsia"/>
          <w:b/>
          <w:bCs/>
          <w:spacing w:val="6"/>
          <w:sz w:val="24"/>
          <w:szCs w:val="24"/>
        </w:rPr>
      </w:pPr>
      <w:r>
        <w:rPr>
          <w:rFonts w:hint="eastAsia" w:cs="宋体" w:asciiTheme="minorEastAsia" w:hAnsiTheme="minorEastAsia" w:eastAsiaTheme="minorEastAsia"/>
          <w:b/>
          <w:bCs/>
          <w:spacing w:val="6"/>
          <w:sz w:val="24"/>
          <w:szCs w:val="24"/>
        </w:rPr>
        <w:t>成交</w:t>
      </w:r>
    </w:p>
    <w:p>
      <w:pPr>
        <w:spacing w:after="0" w:line="276"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谈判小组所有成员与初审合格且实质性响应谈判文件要求的供应商分别进行谈判，给予所有参加谈判的供应商平等的谈判机会。谈判文件按列明的采购标的标准、规范、内容及工期要求的逐一进行谈判，谈判结束后，谈判小组应当要求所有继续参加谈判的供应商在谈判现场提交最后报价，提交最后报价的供应商不得少于3家。未实质性响应谈判文件的响应文件按无效处理，谈判小组应当告知有关供应商。</w:t>
      </w:r>
    </w:p>
    <w:p>
      <w:pPr>
        <w:spacing w:after="0" w:line="276" w:lineRule="auto"/>
        <w:ind w:firstLine="480" w:firstLineChars="200"/>
        <w:rPr>
          <w:rFonts w:cs="宋体" w:asciiTheme="minorEastAsia" w:hAnsiTheme="minorEastAsia" w:eastAsiaTheme="minorEastAsia"/>
          <w:spacing w:val="6"/>
          <w:sz w:val="24"/>
          <w:szCs w:val="24"/>
        </w:rPr>
      </w:pPr>
      <w:r>
        <w:rPr>
          <w:rFonts w:hint="eastAsia" w:ascii="宋体" w:hAnsi="宋体" w:eastAsia="宋体" w:cs="宋体"/>
          <w:sz w:val="24"/>
          <w:szCs w:val="24"/>
          <w:shd w:val="clear" w:color="auto" w:fill="FFFFFF"/>
        </w:rPr>
        <w:t>2）谈判小组从质量和工期均能满足采购文件实质性响应要求的供应商中，按照最后报价由低到高的顺序提出3名以上成交候选人，并编写评审报告。</w:t>
      </w:r>
      <w:r>
        <w:rPr>
          <w:rFonts w:hint="eastAsia" w:cs="宋体" w:asciiTheme="minorEastAsia" w:hAnsiTheme="minorEastAsia" w:eastAsiaTheme="minorEastAsia"/>
          <w:spacing w:val="6"/>
          <w:sz w:val="24"/>
          <w:szCs w:val="24"/>
        </w:rPr>
        <w:t>本次评审采取最低评标价法，即响应文件初审合格，且满足谈判文件全部实质性要求的供应商最终报价最低的供应商为成交候选人的评标方法。</w:t>
      </w:r>
    </w:p>
    <w:p>
      <w:pPr>
        <w:spacing w:after="0" w:line="276"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3）本次谈判采购谈判小组与供应商的谈判可进行多轮。</w:t>
      </w:r>
    </w:p>
    <w:p>
      <w:pPr>
        <w:autoSpaceDE w:val="0"/>
        <w:autoSpaceDN w:val="0"/>
        <w:spacing w:after="0" w:line="276"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4）响应文件初审、复审过程中，如果评审委员会成员出现对评审结果有不同意见的，应当以书面形式反映，评审报告中应注明该不同意见。评审委员会成员拒绝在评审报告中签字又不书面说明其不同意见和理由的，视为同意评审结果。</w:t>
      </w:r>
    </w:p>
    <w:p>
      <w:pPr>
        <w:pStyle w:val="2"/>
        <w:spacing w:before="0" w:after="0" w:line="276" w:lineRule="auto"/>
        <w:jc w:val="center"/>
        <w:rPr>
          <w:rFonts w:cs="宋体" w:asciiTheme="minorEastAsia" w:hAnsiTheme="minorEastAsia" w:eastAsiaTheme="minorEastAsia"/>
          <w:sz w:val="24"/>
          <w:szCs w:val="24"/>
        </w:rPr>
      </w:pPr>
      <w:bookmarkStart w:id="10" w:name="_Toc28103"/>
      <w:bookmarkStart w:id="11" w:name="_Toc490138687"/>
      <w:r>
        <w:rPr>
          <w:rFonts w:hint="eastAsia" w:cs="宋体" w:asciiTheme="minorEastAsia" w:hAnsiTheme="minorEastAsia" w:eastAsiaTheme="minorEastAsia"/>
          <w:sz w:val="24"/>
          <w:szCs w:val="24"/>
        </w:rPr>
        <w:t>七、签订合同</w:t>
      </w:r>
      <w:bookmarkEnd w:id="10"/>
      <w:bookmarkEnd w:id="11"/>
    </w:p>
    <w:p>
      <w:pPr>
        <w:spacing w:after="0" w:line="276" w:lineRule="auto"/>
      </w:pP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w:t>
      </w:r>
      <w:r>
        <w:rPr>
          <w:rFonts w:hint="eastAsia" w:cs="宋体" w:asciiTheme="minorEastAsia" w:hAnsiTheme="minorEastAsia" w:eastAsiaTheme="minorEastAsia"/>
          <w:sz w:val="24"/>
          <w:szCs w:val="24"/>
          <w:lang w:val="zh-CN"/>
        </w:rPr>
        <w:t>成交供应商应在签订合同前向采购单位缴足成交金额</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zh-CN"/>
        </w:rPr>
        <w:t>%</w:t>
      </w:r>
      <w:r>
        <w:rPr>
          <w:rFonts w:hint="eastAsia" w:cs="宋体" w:asciiTheme="minorEastAsia" w:hAnsiTheme="minorEastAsia" w:eastAsiaTheme="minorEastAsia"/>
          <w:sz w:val="24"/>
          <w:szCs w:val="24"/>
          <w:lang w:val="zh-CN"/>
        </w:rPr>
        <w:t>的履约保证金。</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2、成交后，成交供应商与采购单位洽谈合同条款，并签订施工合同，同时送监督机构备案，谈判文件及成交供应商响应文件均作为合同的组成部分；</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3、合同履行中，单位需追加与合同标的相同的货物、工程或者服务的，在不改变合同其他条款的前提下，可以与供应商协商签订补充合同，但所有补充合同的采购金额不得超过原合同采购金额的百分之十。</w:t>
      </w:r>
    </w:p>
    <w:p>
      <w:pPr>
        <w:pStyle w:val="2"/>
        <w:spacing w:before="0" w:after="0" w:line="276" w:lineRule="auto"/>
        <w:jc w:val="center"/>
        <w:rPr>
          <w:rFonts w:cs="宋体" w:asciiTheme="minorEastAsia" w:hAnsiTheme="minorEastAsia" w:eastAsiaTheme="minorEastAsia"/>
          <w:sz w:val="24"/>
          <w:szCs w:val="24"/>
        </w:rPr>
      </w:pPr>
      <w:bookmarkStart w:id="12" w:name="_Toc12701"/>
      <w:bookmarkStart w:id="13" w:name="_Toc490138688"/>
      <w:r>
        <w:rPr>
          <w:rFonts w:hint="eastAsia" w:cs="宋体" w:asciiTheme="minorEastAsia" w:hAnsiTheme="minorEastAsia" w:eastAsiaTheme="minorEastAsia"/>
          <w:sz w:val="24"/>
          <w:szCs w:val="24"/>
        </w:rPr>
        <w:t>八、采购代理服务费</w:t>
      </w:r>
      <w:bookmarkEnd w:id="12"/>
      <w:bookmarkEnd w:id="13"/>
    </w:p>
    <w:p>
      <w:pPr>
        <w:spacing w:after="0" w:line="276" w:lineRule="auto"/>
      </w:pP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1、采购代理服务费按约定由</w:t>
      </w:r>
      <w:r>
        <w:rPr>
          <w:rFonts w:hint="eastAsia" w:cs="宋体" w:asciiTheme="minorEastAsia" w:hAnsiTheme="minorEastAsia" w:eastAsiaTheme="minorEastAsia"/>
          <w:spacing w:val="6"/>
          <w:sz w:val="24"/>
          <w:szCs w:val="24"/>
          <w:lang w:eastAsia="zh-CN"/>
        </w:rPr>
        <w:t>中标人</w:t>
      </w:r>
      <w:r>
        <w:rPr>
          <w:rFonts w:hint="eastAsia" w:cs="宋体" w:asciiTheme="minorEastAsia" w:hAnsiTheme="minorEastAsia" w:eastAsiaTheme="minorEastAsia"/>
          <w:spacing w:val="6"/>
          <w:sz w:val="24"/>
          <w:szCs w:val="24"/>
        </w:rPr>
        <w:t>支付。</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2、采购代理服务费按《关于进一步放开建设项目专业服务价格的通知》（发改价格【2015】299号）计取，向采购人收取</w:t>
      </w:r>
      <w:r>
        <w:rPr>
          <w:rFonts w:hint="eastAsia" w:cs="宋体" w:asciiTheme="minorEastAsia" w:hAnsiTheme="minorEastAsia" w:eastAsiaTheme="minorEastAsia"/>
          <w:spacing w:val="6"/>
          <w:sz w:val="24"/>
          <w:szCs w:val="24"/>
          <w:lang w:val="en-US" w:eastAsia="zh-CN"/>
        </w:rPr>
        <w:t>5</w:t>
      </w:r>
      <w:r>
        <w:rPr>
          <w:rFonts w:hint="eastAsia" w:cs="宋体" w:asciiTheme="minorEastAsia" w:hAnsiTheme="minorEastAsia" w:eastAsiaTheme="minorEastAsia"/>
          <w:spacing w:val="6"/>
          <w:sz w:val="24"/>
          <w:szCs w:val="24"/>
        </w:rPr>
        <w:t>000.00元整。</w:t>
      </w:r>
    </w:p>
    <w:p>
      <w:pPr>
        <w:pStyle w:val="2"/>
        <w:spacing w:before="0" w:after="0" w:line="276" w:lineRule="auto"/>
        <w:jc w:val="center"/>
        <w:rPr>
          <w:rFonts w:cs="宋体" w:asciiTheme="minorEastAsia" w:hAnsiTheme="minorEastAsia" w:eastAsiaTheme="minorEastAsia"/>
          <w:sz w:val="24"/>
          <w:szCs w:val="24"/>
        </w:rPr>
      </w:pPr>
      <w:bookmarkStart w:id="14" w:name="_Toc490138689"/>
      <w:bookmarkStart w:id="15" w:name="_Toc21496"/>
      <w:r>
        <w:rPr>
          <w:rFonts w:hint="eastAsia" w:cs="宋体" w:asciiTheme="minorEastAsia" w:hAnsiTheme="minorEastAsia" w:eastAsiaTheme="minorEastAsia"/>
          <w:sz w:val="24"/>
          <w:szCs w:val="24"/>
        </w:rPr>
        <w:t>九、其它事项</w:t>
      </w:r>
      <w:bookmarkEnd w:id="14"/>
      <w:bookmarkEnd w:id="15"/>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1、有效谈判供应商不足三家时，由谈判小组集体研究并报监督管理机关同意，采用相应方式完成采购。</w:t>
      </w:r>
    </w:p>
    <w:p>
      <w:pPr>
        <w:spacing w:after="0" w:line="276"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2、当第二次报价全部超过财政预算限额或均低于公认的施工成本时，谈判小组有权决定是否谈判失败或进行最终报价。当最终报价若超出财政预算，且采购单位又无力支付，谈判小组有权决定谈判失败。</w:t>
      </w:r>
    </w:p>
    <w:p>
      <w:pPr>
        <w:spacing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pacing w:val="6"/>
          <w:sz w:val="24"/>
          <w:szCs w:val="24"/>
        </w:rPr>
        <w:t>3、成交供应商确定后，成交供应商无正当理由拖延或拒签合同的，或未能按照规定的时间提交履约保证金，采购单位有权取消其成交资格，并按评审顺序重新确定成交供应商。同时报请监督机构予以通报，禁止其进入青海省政府采购交易市场，并没收其保证金。给采购单位造成损失超过谈判保证金额的，还应当对超过部分予以赔偿，并依法承担相应法律责任。</w:t>
      </w:r>
    </w:p>
    <w:p>
      <w:pPr>
        <w:pStyle w:val="3"/>
        <w:spacing w:before="0" w:after="0" w:line="276" w:lineRule="auto"/>
        <w:jc w:val="center"/>
        <w:rPr>
          <w:rFonts w:cs="宋体" w:asciiTheme="minorEastAsia" w:hAnsiTheme="minorEastAsia" w:eastAsiaTheme="minorEastAsia"/>
          <w:sz w:val="36"/>
          <w:szCs w:val="36"/>
        </w:rPr>
      </w:pPr>
      <w:r>
        <w:rPr>
          <w:rFonts w:hint="eastAsia" w:cs="宋体" w:asciiTheme="minorEastAsia" w:hAnsiTheme="minorEastAsia" w:eastAsiaTheme="minorEastAsia"/>
          <w:b w:val="0"/>
          <w:bCs w:val="0"/>
          <w:sz w:val="24"/>
          <w:szCs w:val="24"/>
        </w:rPr>
        <w:br w:type="page"/>
      </w:r>
      <w:bookmarkStart w:id="16" w:name="_Toc490138690"/>
      <w:r>
        <w:rPr>
          <w:rFonts w:hint="eastAsia" w:cs="宋体" w:asciiTheme="minorEastAsia" w:hAnsiTheme="minorEastAsia" w:eastAsiaTheme="minorEastAsia"/>
          <w:sz w:val="36"/>
          <w:szCs w:val="36"/>
        </w:rPr>
        <w:t>第三部分  合同文本样式</w:t>
      </w:r>
      <w:bookmarkEnd w:id="16"/>
    </w:p>
    <w:p>
      <w:pPr>
        <w:rPr>
          <w:rFonts w:cs="宋体" w:asciiTheme="minorEastAsia" w:hAnsiTheme="minorEastAsia" w:eastAsiaTheme="minorEastAsia"/>
          <w:sz w:val="36"/>
          <w:szCs w:val="36"/>
        </w:rPr>
      </w:pPr>
    </w:p>
    <w:p>
      <w:pPr>
        <w:rPr>
          <w:rFonts w:cs="宋体" w:asciiTheme="minorEastAsia" w:hAnsiTheme="minorEastAsia" w:eastAsiaTheme="minorEastAsia"/>
          <w:sz w:val="36"/>
          <w:szCs w:val="36"/>
        </w:rPr>
      </w:pPr>
    </w:p>
    <w:p>
      <w:pPr>
        <w:spacing w:line="276" w:lineRule="auto"/>
        <w:jc w:val="center"/>
        <w:rPr>
          <w:rFonts w:cs="宋体" w:asciiTheme="minorEastAsia" w:hAnsiTheme="minorEastAsia" w:eastAsiaTheme="minorEastAsia"/>
          <w:b/>
          <w:bCs/>
          <w:sz w:val="24"/>
          <w:szCs w:val="24"/>
        </w:rPr>
      </w:pPr>
      <w:bookmarkStart w:id="17" w:name="_Toc298683390"/>
      <w:r>
        <w:rPr>
          <w:rFonts w:hint="eastAsia" w:cs="宋体" w:asciiTheme="minorEastAsia" w:hAnsiTheme="minorEastAsia" w:eastAsiaTheme="minorEastAsia"/>
          <w:b/>
          <w:bCs/>
          <w:sz w:val="24"/>
          <w:szCs w:val="24"/>
        </w:rPr>
        <w:t>按建设工程施工合同执行</w:t>
      </w:r>
    </w:p>
    <w:p>
      <w:pPr>
        <w:spacing w:line="276" w:lineRule="auto"/>
        <w:jc w:val="center"/>
        <w:rPr>
          <w:rFonts w:cs="宋体" w:asciiTheme="minorEastAsia" w:hAnsiTheme="minorEastAsia" w:eastAsiaTheme="minorEastAsia"/>
          <w:b/>
          <w:bCs/>
          <w:sz w:val="24"/>
          <w:szCs w:val="24"/>
        </w:rPr>
      </w:pP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合同编号：</w:t>
      </w:r>
    </w:p>
    <w:p>
      <w:pPr>
        <w:spacing w:line="276" w:lineRule="auto"/>
        <w:rPr>
          <w:rFonts w:cs="宋体" w:asciiTheme="minorEastAsia" w:hAnsiTheme="minorEastAsia" w:eastAsiaTheme="minorEastAsia"/>
          <w:b/>
          <w:bCs/>
          <w:sz w:val="24"/>
          <w:szCs w:val="24"/>
        </w:rPr>
      </w:pPr>
    </w:p>
    <w:p>
      <w:pPr>
        <w:spacing w:line="276" w:lineRule="auto"/>
        <w:ind w:firstLine="472" w:firstLineChars="196"/>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其中付款方式为：待竣工验收合格后支付合同价款的100%。</w:t>
      </w:r>
    </w:p>
    <w:p>
      <w:pPr>
        <w:spacing w:line="276" w:lineRule="auto"/>
        <w:ind w:firstLine="472" w:firstLineChars="196"/>
        <w:rPr>
          <w:rFonts w:cs="宋体" w:asciiTheme="minorEastAsia" w:hAnsiTheme="minorEastAsia" w:eastAsiaTheme="minorEastAsia"/>
          <w:b/>
          <w:bCs/>
          <w:sz w:val="24"/>
          <w:szCs w:val="24"/>
        </w:rPr>
      </w:pP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备注：合同发包人与承包人签字盖章处，须添加以下文字：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采购代理机构（盖章）：</w:t>
      </w:r>
      <w:r>
        <w:rPr>
          <w:rFonts w:hint="eastAsia" w:cs="宋体" w:asciiTheme="minorEastAsia" w:hAnsiTheme="minorEastAsia" w:eastAsiaTheme="minorEastAsia"/>
          <w:sz w:val="24"/>
          <w:szCs w:val="24"/>
          <w:lang w:val="zh-CN"/>
        </w:rPr>
        <w:t>西安秦汉工程造价咨询有限责任公司</w:t>
      </w:r>
    </w:p>
    <w:p>
      <w:pPr>
        <w:spacing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lang w:val="zh-CN"/>
        </w:rPr>
        <w:t>西宁市海湖新区安泰大厦东座15楼</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法定代表人或被授权人（签字）：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电话：0971-6182158</w:t>
      </w:r>
    </w:p>
    <w:p>
      <w:pPr>
        <w:pStyle w:val="3"/>
        <w:spacing w:before="0" w:after="0" w:line="276"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18" w:name="_Toc490138691"/>
      <w:r>
        <w:rPr>
          <w:rFonts w:hint="eastAsia" w:cs="宋体" w:asciiTheme="minorEastAsia" w:hAnsiTheme="minorEastAsia" w:eastAsiaTheme="minorEastAsia"/>
          <w:sz w:val="36"/>
          <w:szCs w:val="36"/>
        </w:rPr>
        <w:t>第四部分  响应文件格式</w:t>
      </w:r>
      <w:bookmarkEnd w:id="17"/>
      <w:bookmarkEnd w:id="18"/>
    </w:p>
    <w:p>
      <w:pPr>
        <w:pStyle w:val="2"/>
        <w:spacing w:before="0" w:after="0" w:line="276" w:lineRule="auto"/>
        <w:rPr>
          <w:rFonts w:cs="宋体" w:asciiTheme="minorEastAsia" w:hAnsiTheme="minorEastAsia" w:eastAsiaTheme="minorEastAsia"/>
          <w:kern w:val="0"/>
          <w:sz w:val="24"/>
          <w:szCs w:val="24"/>
        </w:rPr>
      </w:pPr>
      <w:bookmarkStart w:id="19" w:name="_Toc24916"/>
      <w:bookmarkStart w:id="20" w:name="_Toc490138692"/>
      <w:r>
        <w:rPr>
          <w:rFonts w:hint="eastAsia" w:cs="宋体" w:asciiTheme="minorEastAsia" w:hAnsiTheme="minorEastAsia" w:eastAsiaTheme="minorEastAsia"/>
          <w:kern w:val="0"/>
          <w:sz w:val="24"/>
          <w:szCs w:val="24"/>
        </w:rPr>
        <w:t>附件1：响应文件封面格式</w:t>
      </w:r>
      <w:bookmarkEnd w:id="19"/>
      <w:bookmarkEnd w:id="20"/>
    </w:p>
    <w:p>
      <w:pPr>
        <w:autoSpaceDE w:val="0"/>
        <w:autoSpaceDN w:val="0"/>
        <w:spacing w:line="276" w:lineRule="auto"/>
        <w:jc w:val="center"/>
        <w:rPr>
          <w:rFonts w:cs="宋体" w:asciiTheme="minorEastAsia" w:hAnsiTheme="minorEastAsia" w:eastAsiaTheme="minorEastAsia"/>
          <w:b/>
          <w:sz w:val="24"/>
          <w:szCs w:val="24"/>
        </w:rPr>
      </w:pPr>
    </w:p>
    <w:p>
      <w:pPr>
        <w:autoSpaceDE w:val="0"/>
        <w:autoSpaceDN w:val="0"/>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响应文件</w:t>
      </w: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项目编号：</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供 应 商：（盖章）</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法定代表人或其委托代理人：（签字）</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采购代理机构：</w:t>
      </w:r>
      <w:r>
        <w:rPr>
          <w:rFonts w:hint="eastAsia" w:cs="宋体" w:asciiTheme="minorEastAsia" w:hAnsiTheme="minorEastAsia" w:eastAsiaTheme="minorEastAsia"/>
          <w:b/>
          <w:sz w:val="24"/>
          <w:szCs w:val="24"/>
          <w:lang w:val="zh-CN"/>
        </w:rPr>
        <w:t>西安秦汉工程造价咨询有限责任公司</w:t>
      </w:r>
    </w:p>
    <w:p>
      <w:pPr>
        <w:autoSpaceDE w:val="0"/>
        <w:autoSpaceDN w:val="0"/>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年  月  日</w:t>
      </w:r>
    </w:p>
    <w:p>
      <w:pPr>
        <w:pStyle w:val="2"/>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val="0"/>
          <w:bCs w:val="0"/>
          <w:sz w:val="24"/>
          <w:szCs w:val="24"/>
        </w:rPr>
        <w:br w:type="page"/>
      </w:r>
      <w:bookmarkStart w:id="21" w:name="_Toc490138693"/>
      <w:bookmarkStart w:id="22" w:name="_Toc323717399"/>
      <w:bookmarkStart w:id="23" w:name="_Toc201287635"/>
      <w:r>
        <w:rPr>
          <w:rFonts w:hint="eastAsia" w:cs="宋体" w:asciiTheme="minorEastAsia" w:hAnsiTheme="minorEastAsia" w:eastAsiaTheme="minorEastAsia"/>
          <w:sz w:val="24"/>
          <w:szCs w:val="24"/>
        </w:rPr>
        <w:t>附件2：目录格式</w:t>
      </w:r>
      <w:bookmarkEnd w:id="21"/>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  录</w:t>
      </w:r>
      <w:bookmarkEnd w:id="22"/>
      <w:bookmarkEnd w:id="23"/>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响应文件封面格式</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目录格式</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响应函</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报价一览表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最终报价确定表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法定代表人证明书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法定代表人授权书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供应商承诺函</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供应商诚信承诺书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资格证明材料</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财务状况</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税收记录证明和社会保障资金</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具备履行合同所必需的设备和专业技术能力的证明材料</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近三年在经营活动中没有重大违法记录的声明</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谈判保证金</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拟派项目负责人简历表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其他资料</w:t>
      </w:r>
    </w:p>
    <w:p>
      <w:pPr>
        <w:widowControl w:val="0"/>
        <w:autoSpaceDE w:val="0"/>
        <w:autoSpaceDN w:val="0"/>
        <w:snapToGrid/>
        <w:spacing w:after="0" w:line="276"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24" w:name="_Toc490138694"/>
      <w:r>
        <w:rPr>
          <w:rFonts w:hint="eastAsia" w:cs="宋体" w:asciiTheme="minorEastAsia" w:hAnsiTheme="minorEastAsia" w:eastAsiaTheme="minorEastAsia"/>
          <w:b/>
          <w:bCs/>
          <w:kern w:val="2"/>
          <w:sz w:val="24"/>
          <w:szCs w:val="24"/>
        </w:rPr>
        <w:t>附件3：响应函</w:t>
      </w:r>
      <w:bookmarkEnd w:id="24"/>
    </w:p>
    <w:p>
      <w:pPr>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响应函</w:t>
      </w:r>
    </w:p>
    <w:p>
      <w:pPr>
        <w:spacing w:line="276"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西安秦汉工程造价咨询有限责任公司</w:t>
      </w:r>
      <w:r>
        <w:rPr>
          <w:rFonts w:hint="eastAsia" w:cs="宋体" w:asciiTheme="minorEastAsia" w:hAnsiTheme="minorEastAsia" w:eastAsiaTheme="minorEastAsia"/>
          <w:sz w:val="24"/>
          <w:szCs w:val="24"/>
        </w:rPr>
        <w:t>：</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我单位收到贵公司</w:t>
      </w:r>
      <w:r>
        <w:rPr>
          <w:rFonts w:hint="eastAsia" w:cs="宋体" w:asciiTheme="minorEastAsia" w:hAnsiTheme="minorEastAsia" w:eastAsiaTheme="minorEastAsia"/>
          <w:sz w:val="24"/>
          <w:szCs w:val="24"/>
          <w:u w:val="single"/>
        </w:rPr>
        <w:t xml:space="preserve">       （项目名称）    （项目编号）</w:t>
      </w:r>
      <w:r>
        <w:rPr>
          <w:rFonts w:hint="eastAsia" w:cs="宋体" w:asciiTheme="minorEastAsia" w:hAnsiTheme="minorEastAsia" w:eastAsiaTheme="minorEastAsia"/>
          <w:sz w:val="24"/>
          <w:szCs w:val="24"/>
        </w:rPr>
        <w:t>谈判文件，经详细研究，决定参加本次谈判活动。为此，我方郑重声明以下几点，并愿负法律责任。</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1、按照谈判文件中的一切要求，提供完全满足采购需求的合格工程和全面技术、售后服务保障。</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2、如若成交，将根据谈判文件的要求、响应文件及承诺条件，全面签约并履行合同规定的责任和义务。</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3、我方提交的响应文件共份，其中正本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份，副本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份,电子标书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4、我方按谈判文件要求缴纳谈判保证金为人民币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5、我方已详细阅读和核实谈判文件全部内容，完全理解并同意放弃提出含糊不清和误解问题的权力。</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6、同意提供贵方要求的与本次谈判有关的任何证明资料。</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7、我方的响应文件自递交截止时间起有效期为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个日历日；工期：</w:t>
      </w:r>
      <w:r>
        <w:rPr>
          <w:rFonts w:hint="eastAsia" w:cs="宋体" w:asciiTheme="minorEastAsia" w:hAnsiTheme="minorEastAsia" w:eastAsiaTheme="minorEastAsia"/>
          <w:sz w:val="24"/>
          <w:szCs w:val="24"/>
          <w:u w:val="single"/>
        </w:rPr>
        <w:t xml:space="preserve">合同签订后         </w:t>
      </w:r>
      <w:r>
        <w:rPr>
          <w:rFonts w:hint="eastAsia" w:cs="宋体" w:asciiTheme="minorEastAsia" w:hAnsiTheme="minorEastAsia" w:eastAsiaTheme="minorEastAsia"/>
          <w:sz w:val="24"/>
          <w:szCs w:val="24"/>
        </w:rPr>
        <w:t>。</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8、所有关于本次谈判的函电，请按下列地址、方式联系：</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地址：_____________________   邮编：______________</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电话：_____________________   传真：______________</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职务：______________</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spacing w:line="276" w:lineRule="auto"/>
        <w:jc w:val="cente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b/>
          <w:bCs/>
          <w:kern w:val="2"/>
          <w:sz w:val="24"/>
          <w:szCs w:val="24"/>
        </w:rPr>
      </w:pPr>
      <w:bookmarkStart w:id="25" w:name="_Toc152045790"/>
      <w:bookmarkStart w:id="26" w:name="_Toc246996358"/>
      <w:bookmarkStart w:id="27" w:name="_Toc247085876"/>
      <w:bookmarkStart w:id="28" w:name="_Toc246997101"/>
      <w:bookmarkStart w:id="29" w:name="_Toc144974859"/>
      <w:bookmarkStart w:id="30" w:name="_Toc179632810"/>
      <w:bookmarkStart w:id="31" w:name="_Toc152042579"/>
      <w:r>
        <w:rPr>
          <w:rFonts w:hint="eastAsia" w:cs="宋体" w:asciiTheme="minorEastAsia" w:hAnsiTheme="minorEastAsia" w:eastAsiaTheme="minorEastAsia"/>
          <w:b/>
          <w:bCs/>
          <w:kern w:val="2"/>
          <w:sz w:val="24"/>
          <w:szCs w:val="24"/>
        </w:rPr>
        <w:t>附件4：报价一览表</w:t>
      </w:r>
    </w:p>
    <w:p>
      <w:pPr>
        <w:spacing w:line="276" w:lineRule="auto"/>
        <w:jc w:val="center"/>
        <w:rPr>
          <w:rFonts w:cs="Times New Roman" w:asciiTheme="minorEastAsia" w:hAnsiTheme="minorEastAsia" w:eastAsiaTheme="minorEastAsia"/>
          <w:b/>
          <w:sz w:val="24"/>
          <w:szCs w:val="24"/>
        </w:rPr>
      </w:pPr>
      <w:r>
        <w:rPr>
          <w:rFonts w:hint="eastAsia" w:asciiTheme="minorEastAsia" w:hAnsiTheme="minorEastAsia" w:eastAsiaTheme="minorEastAsia"/>
          <w:b/>
          <w:bCs/>
          <w:sz w:val="24"/>
          <w:szCs w:val="24"/>
        </w:rPr>
        <w:t>报价一览表</w:t>
      </w:r>
    </w:p>
    <w:p>
      <w:pPr>
        <w:pStyle w:val="43"/>
        <w:spacing w:line="276"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响应人名称（盖章）：                             响应日期：年　月　日</w:t>
      </w:r>
    </w:p>
    <w:tbl>
      <w:tblPr>
        <w:tblStyle w:val="2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076"/>
        <w:gridCol w:w="23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5"/>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4076" w:type="dxa"/>
            <w:tcBorders>
              <w:top w:val="single" w:color="auto" w:sz="4" w:space="0"/>
              <w:left w:val="single" w:color="auto" w:sz="4" w:space="0"/>
              <w:bottom w:val="single" w:color="auto" w:sz="4" w:space="0"/>
              <w:right w:val="single" w:color="auto" w:sz="4" w:space="0"/>
            </w:tcBorders>
            <w:vAlign w:val="center"/>
          </w:tcPr>
          <w:p>
            <w:pPr>
              <w:pStyle w:val="45"/>
              <w:spacing w:line="276" w:lineRule="auto"/>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2355" w:type="dxa"/>
            <w:tcBorders>
              <w:top w:val="single" w:color="auto" w:sz="4" w:space="0"/>
              <w:left w:val="single" w:color="auto" w:sz="4" w:space="0"/>
              <w:bottom w:val="single" w:color="auto" w:sz="4" w:space="0"/>
              <w:right w:val="single" w:color="auto" w:sz="4" w:space="0"/>
            </w:tcBorders>
            <w:vAlign w:val="center"/>
          </w:tcPr>
          <w:p>
            <w:pPr>
              <w:pStyle w:val="45"/>
              <w:spacing w:line="276" w:lineRule="auto"/>
              <w:rPr>
                <w:rFonts w:asciiTheme="minorEastAsia" w:hAnsiTheme="minorEastAsia" w:eastAsiaTheme="minorEastAsia"/>
                <w:sz w:val="24"/>
              </w:rPr>
            </w:pPr>
            <w:r>
              <w:rPr>
                <w:rFonts w:hint="eastAsia" w:asciiTheme="minorEastAsia" w:hAnsiTheme="minorEastAsia" w:eastAsiaTheme="minorEastAsia"/>
                <w:sz w:val="24"/>
              </w:rPr>
              <w:t>响应总价（元）</w:t>
            </w:r>
          </w:p>
        </w:tc>
        <w:tc>
          <w:tcPr>
            <w:tcW w:w="1605" w:type="dxa"/>
            <w:tcBorders>
              <w:top w:val="single" w:color="auto" w:sz="4" w:space="0"/>
              <w:left w:val="single" w:color="auto" w:sz="4" w:space="0"/>
              <w:bottom w:val="single" w:color="auto" w:sz="4" w:space="0"/>
              <w:right w:val="single" w:color="auto" w:sz="4" w:space="0"/>
            </w:tcBorders>
            <w:vAlign w:val="center"/>
          </w:tcPr>
          <w:p>
            <w:pPr>
              <w:pStyle w:val="45"/>
              <w:spacing w:line="276" w:lineRule="auto"/>
              <w:rPr>
                <w:rFonts w:asciiTheme="minorEastAsia" w:hAnsiTheme="minorEastAsia" w:eastAsiaTheme="minorEastAsia"/>
                <w:sz w:val="24"/>
              </w:rPr>
            </w:pPr>
            <w:r>
              <w:rPr>
                <w:rFonts w:hint="eastAsia" w:asciiTheme="minorEastAsia" w:hAnsiTheme="minorEastAsia" w:eastAsiaTheme="minorEastAsia"/>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r>
              <w:rPr>
                <w:rFonts w:asciiTheme="minorEastAsia" w:hAnsiTheme="minorEastAsia" w:eastAsiaTheme="minorEastAsia"/>
                <w:sz w:val="24"/>
              </w:rPr>
              <w:t>1</w:t>
            </w:r>
          </w:p>
        </w:tc>
        <w:tc>
          <w:tcPr>
            <w:tcW w:w="4076"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1605" w:type="dxa"/>
            <w:vMerge w:val="restart"/>
            <w:tcBorders>
              <w:top w:val="single" w:color="auto" w:sz="4" w:space="0"/>
              <w:left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r>
              <w:rPr>
                <w:rFonts w:asciiTheme="minorEastAsia" w:hAnsiTheme="minorEastAsia" w:eastAsiaTheme="minorEastAsia"/>
                <w:sz w:val="24"/>
              </w:rPr>
              <w:t>2</w:t>
            </w:r>
          </w:p>
        </w:tc>
        <w:tc>
          <w:tcPr>
            <w:tcW w:w="4076"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r>
              <w:rPr>
                <w:rFonts w:asciiTheme="minorEastAsia" w:hAnsiTheme="minorEastAsia" w:eastAsiaTheme="minorEastAsia"/>
                <w:sz w:val="24"/>
              </w:rPr>
              <w:t>3</w:t>
            </w:r>
          </w:p>
        </w:tc>
        <w:tc>
          <w:tcPr>
            <w:tcW w:w="4076"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r>
              <w:rPr>
                <w:rFonts w:asciiTheme="minorEastAsia" w:hAnsiTheme="minorEastAsia" w:eastAsiaTheme="minorEastAsia"/>
                <w:sz w:val="24"/>
              </w:rPr>
              <w:t>4</w:t>
            </w:r>
          </w:p>
        </w:tc>
        <w:tc>
          <w:tcPr>
            <w:tcW w:w="4076"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r>
              <w:rPr>
                <w:rFonts w:hint="eastAsia" w:asciiTheme="minorEastAsia" w:hAnsiTheme="minorEastAsia" w:eastAsiaTheme="minorEastAsia"/>
                <w:sz w:val="24"/>
              </w:rPr>
              <w:t>5</w:t>
            </w:r>
          </w:p>
        </w:tc>
        <w:tc>
          <w:tcPr>
            <w:tcW w:w="4076"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4"/>
              <w:spacing w:line="276" w:lineRule="auto"/>
              <w:rPr>
                <w:rFonts w:asciiTheme="minorEastAsia" w:hAnsiTheme="minorEastAsia" w:eastAsiaTheme="minorEastAsia"/>
                <w:sz w:val="24"/>
              </w:rPr>
            </w:pPr>
          </w:p>
        </w:tc>
        <w:tc>
          <w:tcPr>
            <w:tcW w:w="1605" w:type="dxa"/>
            <w:vMerge w:val="continue"/>
            <w:tcBorders>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791" w:type="dxa"/>
            <w:gridSpan w:val="4"/>
            <w:tcBorders>
              <w:top w:val="single" w:color="auto" w:sz="4" w:space="0"/>
              <w:left w:val="single" w:color="auto" w:sz="4" w:space="0"/>
              <w:bottom w:val="single" w:color="auto" w:sz="4" w:space="0"/>
              <w:right w:val="single" w:color="auto" w:sz="4" w:space="0"/>
            </w:tcBorders>
            <w:vAlign w:val="center"/>
          </w:tcPr>
          <w:p>
            <w:pPr>
              <w:pStyle w:val="44"/>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总价大写（人民币）：</w:t>
            </w:r>
          </w:p>
        </w:tc>
      </w:tr>
    </w:tbl>
    <w:p>
      <w:pPr>
        <w:pStyle w:val="43"/>
        <w:spacing w:line="276" w:lineRule="auto"/>
        <w:ind w:firstLine="0" w:firstLineChars="0"/>
        <w:rPr>
          <w:rFonts w:asciiTheme="minorEastAsia" w:hAnsiTheme="minorEastAsia" w:eastAsiaTheme="minorEastAsia"/>
          <w:szCs w:val="24"/>
        </w:rPr>
      </w:pPr>
    </w:p>
    <w:p>
      <w:pPr>
        <w:pStyle w:val="43"/>
        <w:ind w:firstLine="0" w:firstLineChars="0"/>
      </w:pPr>
      <w:r>
        <w:rPr>
          <w:rFonts w:hint="eastAsia"/>
        </w:rPr>
        <w:t>注：一、投标总价应与已标价工程清单中“投标总报价”的金额一致。</w:t>
      </w:r>
    </w:p>
    <w:p>
      <w:pPr>
        <w:pStyle w:val="43"/>
        <w:ind w:firstLine="480"/>
        <w:rPr>
          <w:u w:val="single"/>
        </w:rPr>
      </w:pPr>
      <w:r>
        <w:rPr>
          <w:rFonts w:hint="eastAsia"/>
        </w:rPr>
        <w:t>法定代表人或其委托代理人：</w:t>
      </w:r>
      <w:r>
        <w:rPr>
          <w:rFonts w:hint="eastAsia"/>
          <w:u w:val="single"/>
        </w:rPr>
        <w:t xml:space="preserve"> （签字或盖章）</w:t>
      </w:r>
    </w:p>
    <w:p>
      <w:pPr>
        <w:spacing w:line="276" w:lineRule="auto"/>
        <w:rPr>
          <w:rFonts w:asciiTheme="minorEastAsia" w:hAnsiTheme="minorEastAsia" w:eastAsiaTheme="minorEastAsia"/>
          <w:sz w:val="24"/>
          <w:szCs w:val="24"/>
        </w:rPr>
      </w:pPr>
    </w:p>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响应函附录</w:t>
      </w:r>
      <w:bookmarkEnd w:id="25"/>
      <w:bookmarkEnd w:id="26"/>
      <w:bookmarkEnd w:id="27"/>
      <w:bookmarkEnd w:id="28"/>
      <w:bookmarkEnd w:id="29"/>
      <w:bookmarkEnd w:id="30"/>
      <w:bookmarkEnd w:id="31"/>
    </w:p>
    <w:tbl>
      <w:tblPr>
        <w:tblStyle w:val="2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序号</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条款名称</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合同条款号</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约定内容</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项目负责人</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1.1.2.4</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u w:val="single"/>
              </w:rPr>
            </w:pPr>
            <w:r>
              <w:rPr>
                <w:rFonts w:hint="eastAsia" w:asciiTheme="minorEastAsia" w:hAnsiTheme="minorEastAsia" w:eastAsiaTheme="minorEastAsia"/>
                <w:sz w:val="24"/>
                <w:szCs w:val="24"/>
              </w:rPr>
              <w:t>姓名：</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2</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工期</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1.1.4.3</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u w:val="single"/>
              </w:rPr>
            </w:pPr>
            <w:r>
              <w:rPr>
                <w:rFonts w:hint="eastAsia" w:asciiTheme="minorEastAsia" w:hAnsiTheme="minorEastAsia" w:eastAsiaTheme="minorEastAsia"/>
                <w:sz w:val="24"/>
                <w:szCs w:val="24"/>
              </w:rPr>
              <w:t>天数：</w:t>
            </w:r>
            <w:r>
              <w:rPr>
                <w:rFonts w:hint="eastAsia" w:asciiTheme="minorEastAsia" w:hAnsiTheme="minorEastAsia" w:eastAsiaTheme="minorEastAsia"/>
                <w:sz w:val="24"/>
                <w:szCs w:val="24"/>
                <w:u w:val="single"/>
              </w:rPr>
              <w:t xml:space="preserve">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3</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缺陷责任期</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1.1.4.5</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xml:space="preserve">时间：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bl>
    <w:p>
      <w:pPr>
        <w:pStyle w:val="2"/>
        <w:spacing w:before="0" w:after="0" w:line="276" w:lineRule="auto"/>
        <w:rPr>
          <w:rFonts w:cs="宋体" w:asciiTheme="minorEastAsia" w:hAnsiTheme="minorEastAsia" w:eastAsiaTheme="minorEastAsia"/>
          <w:sz w:val="24"/>
          <w:szCs w:val="24"/>
        </w:rPr>
      </w:pPr>
      <w:bookmarkStart w:id="32" w:name="_Toc490138695"/>
    </w:p>
    <w:p>
      <w:pPr>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sz w:val="24"/>
          <w:szCs w:val="24"/>
        </w:rPr>
      </w:pPr>
    </w:p>
    <w:p/>
    <w:p>
      <w:pPr>
        <w:pStyle w:val="2"/>
        <w:spacing w:before="0"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附件5：最终报价确定表</w:t>
      </w:r>
      <w:bookmarkEnd w:id="32"/>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最终报价确定表</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供应商名称：</w:t>
      </w:r>
    </w:p>
    <w:tbl>
      <w:tblPr>
        <w:tblStyle w:val="24"/>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最初报价</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工期</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调整因素</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最终报价</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最终确定的质量保证及服务承诺</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kern w:val="2"/>
                <w:sz w:val="24"/>
                <w:szCs w:val="24"/>
              </w:rPr>
            </w:pPr>
          </w:p>
        </w:tc>
      </w:tr>
    </w:tbl>
    <w:p>
      <w:pPr>
        <w:spacing w:line="276" w:lineRule="auto"/>
        <w:rPr>
          <w:rFonts w:cs="宋体" w:asciiTheme="minorEastAsia" w:hAnsiTheme="minorEastAsia" w:eastAsiaTheme="minorEastAsia"/>
          <w:bCs/>
          <w:kern w:val="2"/>
          <w:sz w:val="24"/>
          <w:szCs w:val="24"/>
        </w:rPr>
      </w:pPr>
      <w:r>
        <w:rPr>
          <w:rFonts w:hint="eastAsia" w:cs="宋体" w:asciiTheme="minorEastAsia" w:hAnsiTheme="minorEastAsia" w:eastAsiaTheme="minorEastAsia"/>
          <w:b/>
          <w:bCs/>
          <w:sz w:val="24"/>
          <w:szCs w:val="24"/>
        </w:rPr>
        <w:t>注</w:t>
      </w:r>
      <w:r>
        <w:rPr>
          <w:rFonts w:hint="eastAsia" w:cs="宋体" w:asciiTheme="minorEastAsia" w:hAnsiTheme="minorEastAsia" w:eastAsiaTheme="minorEastAsia"/>
          <w:bCs/>
          <w:sz w:val="24"/>
          <w:szCs w:val="24"/>
        </w:rPr>
        <w:t>：此表不需装订在《响应文件》中,由供应商在参加谈判前先将供应商公章盖好、法人代表或授权代表签字，待递交时当场填写此表。</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33" w:name="_Toc298683397"/>
      <w:bookmarkStart w:id="34" w:name="_Toc490138696"/>
      <w:r>
        <w:rPr>
          <w:rFonts w:hint="eastAsia" w:cs="宋体" w:asciiTheme="minorEastAsia" w:hAnsiTheme="minorEastAsia" w:eastAsiaTheme="minorEastAsia"/>
          <w:kern w:val="0"/>
          <w:sz w:val="24"/>
          <w:szCs w:val="24"/>
        </w:rPr>
        <w:t>附件</w:t>
      </w:r>
      <w:bookmarkEnd w:id="33"/>
      <w:bookmarkStart w:id="35" w:name="_Toc323717404"/>
      <w:bookmarkStart w:id="36" w:name="_Toc201287640"/>
      <w:bookmarkStart w:id="37" w:name="_Toc323800509"/>
      <w:r>
        <w:rPr>
          <w:rFonts w:hint="eastAsia" w:cs="宋体" w:asciiTheme="minorEastAsia" w:hAnsiTheme="minorEastAsia" w:eastAsiaTheme="minorEastAsia"/>
          <w:kern w:val="0"/>
          <w:sz w:val="24"/>
          <w:szCs w:val="24"/>
        </w:rPr>
        <w:t>6：法定代表人证明书</w:t>
      </w:r>
      <w:bookmarkEnd w:id="34"/>
    </w:p>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b/>
          <w:bCs/>
          <w:sz w:val="24"/>
          <w:szCs w:val="24"/>
        </w:rPr>
        <w:t>法定代表人证明书</w:t>
      </w: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西安秦汉工程造价咨询有限责任公司</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（法定代表人姓名）</w:t>
      </w:r>
      <w:r>
        <w:rPr>
          <w:rFonts w:hint="eastAsia" w:cs="宋体" w:asciiTheme="minorEastAsia" w:hAnsiTheme="minorEastAsia" w:eastAsiaTheme="minorEastAsia"/>
          <w:sz w:val="24"/>
          <w:szCs w:val="24"/>
        </w:rPr>
        <w:t>现任我单位职务，为法定代表人，特此证明。</w:t>
      </w:r>
    </w:p>
    <w:p>
      <w:pPr>
        <w:autoSpaceDE w:val="0"/>
        <w:autoSpaceDN w:val="0"/>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法定代表人具本情况：</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性别：      年龄：      民族：</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p>
    <w:p>
      <w:pPr>
        <w:autoSpaceDE w:val="0"/>
        <w:autoSpaceDN w:val="0"/>
        <w:spacing w:line="276"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sz w:val="24"/>
          <w:szCs w:val="24"/>
        </w:rPr>
        <w:t>身份证号码：</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（附法定代表人身份证双面复印件）</w:t>
      </w: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sz w:val="24"/>
          <w:szCs w:val="24"/>
        </w:rPr>
        <w:t>供应商名称（公章）</w:t>
      </w:r>
      <w:r>
        <w:rPr>
          <w:rFonts w:hint="eastAsia" w:cs="宋体" w:asciiTheme="minorEastAsia" w:hAnsiTheme="minorEastAsia" w:eastAsiaTheme="minorEastAsia"/>
          <w:bCs/>
          <w:sz w:val="24"/>
          <w:szCs w:val="24"/>
        </w:rPr>
        <w:t>：</w:t>
      </w: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年   月   日</w:t>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38" w:name="_Toc298683399"/>
      <w:bookmarkStart w:id="39" w:name="_Toc490138697"/>
      <w:r>
        <w:rPr>
          <w:rFonts w:hint="eastAsia" w:cs="宋体" w:asciiTheme="minorEastAsia" w:hAnsiTheme="minorEastAsia" w:eastAsiaTheme="minorEastAsia"/>
          <w:kern w:val="0"/>
          <w:sz w:val="24"/>
          <w:szCs w:val="24"/>
        </w:rPr>
        <w:t>附件</w:t>
      </w:r>
      <w:bookmarkEnd w:id="38"/>
      <w:r>
        <w:rPr>
          <w:rFonts w:hint="eastAsia" w:cs="宋体" w:asciiTheme="minorEastAsia" w:hAnsiTheme="minorEastAsia" w:eastAsiaTheme="minorEastAsia"/>
          <w:kern w:val="0"/>
          <w:sz w:val="24"/>
          <w:szCs w:val="24"/>
        </w:rPr>
        <w:t>7：法定代表人授权书</w:t>
      </w:r>
      <w:bookmarkEnd w:id="39"/>
    </w:p>
    <w:bookmarkEnd w:id="35"/>
    <w:bookmarkEnd w:id="36"/>
    <w:bookmarkEnd w:id="37"/>
    <w:p>
      <w:pPr>
        <w:spacing w:line="276" w:lineRule="auto"/>
        <w:jc w:val="center"/>
        <w:rPr>
          <w:rFonts w:cs="宋体" w:asciiTheme="minorEastAsia" w:hAnsiTheme="minorEastAsia" w:eastAsiaTheme="minorEastAsia"/>
          <w:b/>
          <w:bCs/>
          <w:kern w:val="2"/>
          <w:sz w:val="24"/>
          <w:szCs w:val="24"/>
        </w:rPr>
      </w:pPr>
      <w:bookmarkStart w:id="40" w:name="_Toc323800510"/>
      <w:bookmarkStart w:id="41" w:name="_Toc201287641"/>
      <w:bookmarkStart w:id="42" w:name="_Toc323717405"/>
      <w:r>
        <w:rPr>
          <w:rFonts w:hint="eastAsia" w:cs="宋体" w:asciiTheme="minorEastAsia" w:hAnsiTheme="minorEastAsia" w:eastAsiaTheme="minorEastAsia"/>
          <w:b/>
          <w:bCs/>
          <w:sz w:val="24"/>
          <w:szCs w:val="24"/>
        </w:rPr>
        <w:t>法定代表人授权书</w:t>
      </w: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西安秦汉工程造价咨询有限责任公司</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（供应商名称）</w:t>
      </w:r>
      <w:r>
        <w:rPr>
          <w:rFonts w:hint="eastAsia" w:cs="宋体" w:asciiTheme="minorEastAsia" w:hAnsiTheme="minorEastAsia" w:eastAsiaTheme="minorEastAsia"/>
          <w:sz w:val="24"/>
          <w:szCs w:val="24"/>
        </w:rPr>
        <w:t>系中华人民共和国合法企业，法定地址。</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（法定代表人姓名）</w:t>
      </w:r>
      <w:r>
        <w:rPr>
          <w:rFonts w:hint="eastAsia" w:cs="宋体" w:asciiTheme="minorEastAsia" w:hAnsiTheme="minorEastAsia" w:eastAsiaTheme="minorEastAsia"/>
          <w:sz w:val="24"/>
          <w:szCs w:val="24"/>
        </w:rPr>
        <w:t>特授权</w:t>
      </w:r>
      <w:r>
        <w:rPr>
          <w:rFonts w:hint="eastAsia" w:cs="宋体" w:asciiTheme="minorEastAsia" w:hAnsiTheme="minorEastAsia" w:eastAsiaTheme="minorEastAsia"/>
          <w:sz w:val="24"/>
          <w:szCs w:val="24"/>
          <w:u w:val="single"/>
        </w:rPr>
        <w:t>（被授权人姓名）</w:t>
      </w:r>
      <w:r>
        <w:rPr>
          <w:rFonts w:hint="eastAsia" w:cs="宋体" w:asciiTheme="minorEastAsia" w:hAnsiTheme="minorEastAsia" w:eastAsiaTheme="minorEastAsia"/>
          <w:sz w:val="24"/>
          <w:szCs w:val="24"/>
        </w:rPr>
        <w:t>代表我单位全权办理针对上述项目的竞争性谈判参与、谈判、签约等具体工作，并签署全部有关的文件、协议及合同。</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我单位对被授权人的签名负全部责任。</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在撤销授权的书面通知以前，本授权书一直有效。被授权人签署的所有文件（在授权书有效期内签署的）不因授权的撤销而失效。</w:t>
      </w: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期限：自签发之日起至     年   月    日止（同谈判有效期）。</w:t>
      </w:r>
    </w:p>
    <w:p>
      <w:pPr>
        <w:spacing w:line="276"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法定代表人签名：                  被授权人签名：</w:t>
      </w:r>
    </w:p>
    <w:p>
      <w:pPr>
        <w:spacing w:line="276" w:lineRule="auto"/>
        <w:ind w:firstLine="1680" w:firstLineChars="7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职务：                          职务：</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（附被授权人身份证双面复印件）</w:t>
      </w:r>
    </w:p>
    <w:p>
      <w:pPr>
        <w:spacing w:line="276" w:lineRule="auto"/>
        <w:rPr>
          <w:rFonts w:cs="宋体" w:asciiTheme="minorEastAsia" w:hAnsiTheme="minorEastAsia" w:eastAsiaTheme="minorEastAsia"/>
          <w:kern w:val="2"/>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供应商名称（公章）</w:t>
      </w:r>
      <w:r>
        <w:rPr>
          <w:rFonts w:hint="eastAsia" w:cs="宋体" w:asciiTheme="minorEastAsia" w:hAnsiTheme="minorEastAsia" w:eastAsiaTheme="minorEastAsia"/>
          <w:bCs/>
          <w:sz w:val="24"/>
          <w:szCs w:val="24"/>
        </w:rPr>
        <w:t>：</w:t>
      </w: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年   月   日</w:t>
      </w:r>
      <w:bookmarkStart w:id="43" w:name="_Toc298683401"/>
    </w:p>
    <w:p>
      <w:pPr>
        <w:pStyle w:val="2"/>
        <w:rPr>
          <w:rFonts w:ascii="宋体" w:hAnsi="宋体" w:cs="宋体"/>
          <w:lang w:val="zh-CN"/>
        </w:rPr>
      </w:pPr>
      <w:r>
        <w:rPr>
          <w:rFonts w:hint="eastAsia" w:cs="宋体" w:asciiTheme="minorEastAsia" w:hAnsiTheme="minorEastAsia" w:eastAsiaTheme="minorEastAsia"/>
          <w:b w:val="0"/>
          <w:bCs w:val="0"/>
          <w:sz w:val="24"/>
          <w:szCs w:val="24"/>
        </w:rPr>
        <w:br w:type="page"/>
      </w:r>
      <w:bookmarkStart w:id="44" w:name="_Toc490138698"/>
      <w:bookmarkStart w:id="45" w:name="_Toc358560685"/>
      <w:r>
        <w:rPr>
          <w:rFonts w:hint="eastAsia" w:cs="宋体" w:asciiTheme="minorEastAsia" w:hAnsiTheme="minorEastAsia" w:eastAsiaTheme="minorEastAsia"/>
          <w:sz w:val="24"/>
          <w:szCs w:val="24"/>
        </w:rPr>
        <w:t>附件8：</w:t>
      </w:r>
      <w:bookmarkEnd w:id="44"/>
      <w:bookmarkEnd w:id="45"/>
      <w:bookmarkStart w:id="46" w:name="_Toc490138699"/>
      <w:r>
        <w:rPr>
          <w:rFonts w:hint="eastAsia" w:cs="宋体" w:asciiTheme="minorEastAsia" w:hAnsiTheme="minorEastAsia" w:eastAsiaTheme="minorEastAsia"/>
          <w:sz w:val="24"/>
          <w:szCs w:val="24"/>
        </w:rPr>
        <w:t>供应商承诺函</w:t>
      </w:r>
    </w:p>
    <w:p>
      <w:pPr>
        <w:autoSpaceDE w:val="0"/>
        <w:autoSpaceDN w:val="0"/>
        <w:spacing w:line="400" w:lineRule="exact"/>
        <w:rPr>
          <w:rFonts w:ascii="宋体" w:hAnsi="宋体" w:cs="宋体"/>
          <w:sz w:val="24"/>
          <w:lang w:val="zh-CN"/>
        </w:rPr>
      </w:pPr>
    </w:p>
    <w:p>
      <w:pPr>
        <w:autoSpaceDE w:val="0"/>
        <w:autoSpaceDN w:val="0"/>
        <w:spacing w:line="40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供应商承诺函</w:t>
      </w:r>
    </w:p>
    <w:p>
      <w:pPr>
        <w:autoSpaceDE w:val="0"/>
        <w:autoSpaceDN w:val="0"/>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西安秦汉工程造价咨询有限责任公司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关于贵方2020年xx月xx日          (项目名称)采购项目，本签字人愿意参加谈判，实施清单及图纸所有内容，并证实提交的所有资料是准确的和真实的。同时，我代表（供应商名称），在此作如下承诺：</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1.完全理解和接受谈判文件的一切规定和要求；</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若成交，我方将按照谈判文件的具体规定与采购人签订采购合同，并且严格履行合同义务，按期完工，提供合格的产品。如果在合同执行过程中，发现质量问题，我方一定尽快返工处理，并承担相应的经济责任；</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3.在整个谈判过程中我方若有违规行为，贵方可按谈判文件之规定给予处罚，我方完全接受。</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4.若成交，本承诺将成为合同不可分割的一部分，与合同具有同等的法律效力。</w:t>
      </w:r>
    </w:p>
    <w:p>
      <w:pPr>
        <w:autoSpaceDE w:val="0"/>
        <w:autoSpaceDN w:val="0"/>
        <w:spacing w:line="400" w:lineRule="exact"/>
        <w:rPr>
          <w:rFonts w:ascii="宋体" w:hAnsi="宋体" w:cs="宋体"/>
          <w:sz w:val="24"/>
          <w:lang w:val="zh-CN"/>
        </w:rPr>
      </w:pPr>
    </w:p>
    <w:p>
      <w:pPr>
        <w:autoSpaceDE w:val="0"/>
        <w:autoSpaceDN w:val="0"/>
        <w:spacing w:line="400" w:lineRule="exact"/>
        <w:rPr>
          <w:rFonts w:ascii="宋体" w:hAnsi="宋体" w:cs="宋体"/>
          <w:sz w:val="24"/>
          <w:lang w:val="zh-CN"/>
        </w:rPr>
      </w:pPr>
    </w:p>
    <w:p>
      <w:pPr>
        <w:autoSpaceDE w:val="0"/>
        <w:autoSpaceDN w:val="0"/>
        <w:spacing w:line="400" w:lineRule="exact"/>
        <w:rPr>
          <w:rFonts w:ascii="宋体" w:hAnsi="宋体" w:cs="宋体"/>
          <w:sz w:val="24"/>
          <w:lang w:val="zh-CN"/>
        </w:rPr>
      </w:pPr>
    </w:p>
    <w:p>
      <w:pPr>
        <w:spacing w:line="276" w:lineRule="auto"/>
        <w:rPr>
          <w:rFonts w:cs="宋体" w:asciiTheme="minorEastAsia" w:hAnsiTheme="minorEastAsia" w:eastAsiaTheme="minorEastAsia"/>
          <w:sz w:val="24"/>
          <w:szCs w:val="24"/>
        </w:rPr>
      </w:pPr>
    </w:p>
    <w:p>
      <w:pPr>
        <w:spacing w:line="276" w:lineRule="auto"/>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             （公章）</w:t>
      </w:r>
    </w:p>
    <w:p>
      <w:pPr>
        <w:spacing w:line="276" w:lineRule="auto"/>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法定代表人或委托代理人：             （签字）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autoSpaceDE w:val="0"/>
        <w:autoSpaceDN w:val="0"/>
        <w:spacing w:line="400" w:lineRule="exact"/>
        <w:rPr>
          <w:rFonts w:ascii="华文仿宋" w:hAnsi="华文仿宋" w:eastAsia="华文仿宋" w:cs="华文仿宋"/>
          <w:sz w:val="24"/>
          <w:lang w:val="zh-CN"/>
        </w:rPr>
      </w:pPr>
    </w:p>
    <w:p>
      <w:pPr>
        <w:autoSpaceDE w:val="0"/>
        <w:autoSpaceDN w:val="0"/>
        <w:spacing w:line="400" w:lineRule="exact"/>
        <w:rPr>
          <w:rFonts w:ascii="华文仿宋" w:hAnsi="华文仿宋" w:eastAsia="华文仿宋" w:cs="华文仿宋"/>
          <w:sz w:val="24"/>
          <w:lang w:val="zh-CN"/>
        </w:rPr>
      </w:pPr>
    </w:p>
    <w:p>
      <w:pPr>
        <w:pStyle w:val="2"/>
        <w:rPr>
          <w:rFonts w:cs="宋体" w:asciiTheme="minorEastAsia" w:hAnsiTheme="minorEastAsia" w:eastAsiaTheme="minorEastAsia"/>
          <w:kern w:val="0"/>
          <w:sz w:val="24"/>
          <w:szCs w:val="24"/>
        </w:rPr>
      </w:pPr>
      <w:bookmarkStart w:id="47" w:name="_Toc5492"/>
      <w:bookmarkStart w:id="48" w:name="_Toc11348"/>
      <w:bookmarkStart w:id="49" w:name="_Toc8987"/>
      <w:r>
        <w:rPr>
          <w:rFonts w:hint="eastAsia" w:cs="宋体" w:asciiTheme="minorEastAsia" w:hAnsiTheme="minorEastAsia" w:eastAsiaTheme="minorEastAsia"/>
          <w:kern w:val="0"/>
          <w:sz w:val="24"/>
          <w:szCs w:val="24"/>
        </w:rPr>
        <w:t>格式9：供应商诚信承诺书</w:t>
      </w:r>
      <w:bookmarkEnd w:id="47"/>
      <w:bookmarkEnd w:id="48"/>
      <w:bookmarkEnd w:id="49"/>
    </w:p>
    <w:p>
      <w:pPr>
        <w:autoSpaceDE w:val="0"/>
        <w:autoSpaceDN w:val="0"/>
        <w:spacing w:line="40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供应商诚信承诺书 </w:t>
      </w:r>
    </w:p>
    <w:p>
      <w:pPr>
        <w:autoSpaceDE w:val="0"/>
        <w:autoSpaceDN w:val="0"/>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西安秦汉工程造价咨询有限责任公司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为了诚实、客观、有序地参与青海省政府采购活动，愿就以下内容作出承诺：</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一、自觉遵守各项法律、法规、规章、制度以及社会公德，维护廉洁环境，与同场竞争的供应商平等参加政府采购活动。</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二、参加采购代理机构组织的政府采购活动时，严格按照采购文件的规定和要求提供所需的相关材料，并对所提供的各类资料的真实性负责，不虚假应标，不虚列业绩。</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三、尊重参与政府采购活动各相关方的合法行为，接受政府采购活动依法形成的意见、结果。</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四、依法参加政府采购活动，不围标、串标，维护市场秩序，不提供“三无”产品、以次充好。</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六、认真履行成交人应承担的责任和义务，全面执行采购合同规定的各项内容，保质保量地按时提供采购物品。</w:t>
      </w:r>
    </w:p>
    <w:p>
      <w:pPr>
        <w:autoSpaceDE w:val="0"/>
        <w:autoSpaceDN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若本企业（单位）发生有悖于上述承诺的行为，愿意接受《中华人民共和国政府采购法》和《政府采购法实施条例》中对供应商的相关处理。</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本承诺是采购项目响应文件的组成部分。</w:t>
      </w:r>
    </w:p>
    <w:p>
      <w:pPr>
        <w:autoSpaceDE w:val="0"/>
        <w:autoSpaceDN w:val="0"/>
        <w:spacing w:line="400" w:lineRule="exact"/>
        <w:ind w:firstLine="4435" w:firstLineChars="1848"/>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             （公章）</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法定代表人或委托代理人：             （签字）</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autoSpaceDE w:val="0"/>
        <w:autoSpaceDN w:val="0"/>
        <w:spacing w:line="400" w:lineRule="exact"/>
        <w:rPr>
          <w:rFonts w:ascii="宋体" w:hAnsi="宋体" w:cs="宋体"/>
          <w:b/>
          <w:bCs/>
          <w:sz w:val="24"/>
          <w:lang w:val="zh-CN"/>
        </w:rPr>
      </w:pPr>
    </w:p>
    <w:p>
      <w:pPr>
        <w:pStyle w:val="2"/>
        <w:rPr>
          <w:rFonts w:cs="宋体" w:asciiTheme="minorEastAsia" w:hAnsiTheme="minorEastAsia" w:eastAsiaTheme="minorEastAsia"/>
          <w:kern w:val="0"/>
          <w:sz w:val="24"/>
          <w:szCs w:val="24"/>
        </w:rPr>
      </w:pPr>
      <w:bookmarkStart w:id="50" w:name="_Toc490138704"/>
      <w:r>
        <w:rPr>
          <w:rFonts w:hint="eastAsia" w:cs="宋体" w:asciiTheme="minorEastAsia" w:hAnsiTheme="minorEastAsia" w:eastAsiaTheme="minorEastAsia"/>
          <w:kern w:val="0"/>
          <w:sz w:val="24"/>
          <w:szCs w:val="24"/>
        </w:rPr>
        <w:t>格式10：供应商资格证明材料</w:t>
      </w:r>
    </w:p>
    <w:p>
      <w:pPr>
        <w:autoSpaceDE w:val="0"/>
        <w:autoSpaceDN w:val="0"/>
        <w:spacing w:line="360" w:lineRule="auto"/>
        <w:jc w:val="center"/>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资格证明材料</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资格证明材料包括：</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w:t>
      </w:r>
      <w:r>
        <w:rPr>
          <w:rFonts w:hint="eastAsia" w:cs="宋体" w:asciiTheme="minorEastAsia" w:hAnsiTheme="minorEastAsia" w:eastAsiaTheme="minorEastAsia"/>
          <w:color w:val="000000" w:themeColor="text1"/>
          <w:sz w:val="24"/>
          <w:szCs w:val="24"/>
        </w:rPr>
        <w:t>1</w:t>
      </w:r>
      <w:r>
        <w:rPr>
          <w:rFonts w:hint="eastAsia" w:cs="宋体" w:asciiTheme="minorEastAsia" w:hAnsiTheme="minorEastAsia" w:eastAsiaTheme="minorEastAsia"/>
          <w:color w:val="000000" w:themeColor="text1"/>
          <w:sz w:val="24"/>
          <w:szCs w:val="24"/>
          <w:lang w:val="zh-CN"/>
        </w:rPr>
        <w:t>）投标人的营业执照；</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（2）招标文件规定的有关资格证书、许可证书、认证等；</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（3）投标企业简介及获得相关证书证明文件；</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（4）投标人认为有必要提供的其他资格证明文件。</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如果是非法人资格的投标人，须提供身份证明。</w:t>
      </w:r>
    </w:p>
    <w:p>
      <w:pPr>
        <w:pStyle w:val="2"/>
        <w:spacing w:before="0" w:after="0" w:line="276" w:lineRule="auto"/>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附件11：财务状况</w:t>
      </w:r>
    </w:p>
    <w:p>
      <w:pPr>
        <w:spacing w:line="276" w:lineRule="auto"/>
        <w:jc w:val="center"/>
        <w:rPr>
          <w:rFonts w:cs="宋体" w:asciiTheme="minorEastAsia" w:hAnsiTheme="minorEastAsia" w:eastAsiaTheme="minorEastAsia"/>
          <w:b/>
          <w:bCs/>
          <w:sz w:val="24"/>
          <w:szCs w:val="24"/>
        </w:rPr>
      </w:pPr>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财务状况</w:t>
      </w:r>
    </w:p>
    <w:p>
      <w:pPr>
        <w:autoSpaceDE w:val="0"/>
        <w:autoSpaceDN w:val="0"/>
        <w:spacing w:after="0" w:line="400" w:lineRule="exact"/>
        <w:ind w:firstLine="482"/>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投标人是法人的，提供基本开户银行近三个月内出具的资信证明（同时提供基本存款账户开户许可证）或2019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2"/>
        <w:spacing w:before="0"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val="0"/>
          <w:bCs w:val="0"/>
          <w:sz w:val="24"/>
          <w:szCs w:val="24"/>
        </w:rPr>
        <w:br w:type="page"/>
      </w:r>
      <w:r>
        <w:rPr>
          <w:rFonts w:hint="eastAsia" w:cs="宋体" w:asciiTheme="minorEastAsia" w:hAnsiTheme="minorEastAsia" w:eastAsiaTheme="minorEastAsia"/>
          <w:sz w:val="24"/>
          <w:szCs w:val="24"/>
        </w:rPr>
        <w:t>附件12：税收记录证明和社会保障资金</w:t>
      </w:r>
      <w:bookmarkStart w:id="77" w:name="_GoBack"/>
      <w:bookmarkEnd w:id="77"/>
    </w:p>
    <w:p>
      <w:pPr>
        <w:spacing w:line="276" w:lineRule="auto"/>
        <w:jc w:val="center"/>
        <w:rPr>
          <w:rFonts w:cs="宋体" w:asciiTheme="minorEastAsia" w:hAnsiTheme="minorEastAsia" w:eastAsiaTheme="minorEastAsia"/>
          <w:b/>
          <w:bCs/>
          <w:sz w:val="24"/>
          <w:szCs w:val="24"/>
        </w:rPr>
      </w:pPr>
    </w:p>
    <w:p>
      <w:pPr>
        <w:spacing w:line="276"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税收记录证明和社会保障资金</w:t>
      </w:r>
    </w:p>
    <w:p>
      <w:pPr>
        <w:autoSpaceDE w:val="0"/>
        <w:autoSpaceDN w:val="0"/>
        <w:spacing w:after="0" w:line="400" w:lineRule="exact"/>
        <w:ind w:firstLine="482"/>
        <w:rPr>
          <w:rFonts w:cs="宋体" w:asciiTheme="minorEastAsia" w:hAnsiTheme="minorEastAsia" w:eastAsiaTheme="minorEastAsia"/>
          <w:sz w:val="24"/>
          <w:szCs w:val="24"/>
        </w:rPr>
      </w:pPr>
      <w:r>
        <w:rPr>
          <w:rFonts w:hint="eastAsia" w:ascii="宋体" w:hAnsi="宋体" w:eastAsia="宋体" w:cs="宋体"/>
          <w:sz w:val="24"/>
        </w:rPr>
        <w:t>提供2020年任意3个月</w:t>
      </w:r>
      <w:r>
        <w:rPr>
          <w:rFonts w:hint="eastAsia" w:cs="宋体" w:asciiTheme="minorEastAsia" w:hAnsiTheme="minorEastAsia" w:eastAsiaTheme="minorEastAsia"/>
          <w:sz w:val="24"/>
          <w:szCs w:val="24"/>
          <w:lang w:val="zh-CN"/>
        </w:rPr>
        <w:t>依法缴纳税收和社会保障资金记录的证明材料；依法免税或不需要缴纳社会保障资金的竞争性谈判参与人需提供相应文件证明其依法免税或不需要缴纳社会保障资金。</w:t>
      </w:r>
    </w:p>
    <w:p>
      <w:pPr>
        <w:pStyle w:val="2"/>
      </w:pPr>
      <w:r>
        <w:rPr>
          <w:rFonts w:hint="eastAsia" w:cs="宋体" w:asciiTheme="minorEastAsia" w:hAnsiTheme="minorEastAsia" w:eastAsiaTheme="minorEastAsia"/>
          <w:b w:val="0"/>
          <w:bCs w:val="0"/>
          <w:sz w:val="24"/>
          <w:szCs w:val="24"/>
        </w:rPr>
        <w:br w:type="page"/>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附件13：</w:t>
      </w:r>
      <w:r>
        <w:rPr>
          <w:rFonts w:hint="eastAsia" w:cs="宋体" w:asciiTheme="minorEastAsia" w:hAnsiTheme="minorEastAsia" w:eastAsiaTheme="minorEastAsia"/>
          <w:kern w:val="0"/>
          <w:sz w:val="24"/>
          <w:szCs w:val="24"/>
          <w:lang w:val="zh-CN"/>
        </w:rPr>
        <w:t>具备履行合同所必需的设备和专业技术能力的证明材料</w:t>
      </w:r>
    </w:p>
    <w:p>
      <w:pP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具备履行合同所必需的设备和专业技术能力的证明材料</w:t>
      </w:r>
    </w:p>
    <w:p>
      <w:pPr>
        <w:autoSpaceDE w:val="0"/>
        <w:autoSpaceDN w:val="0"/>
        <w:spacing w:line="400" w:lineRule="exact"/>
        <w:ind w:firstLine="480"/>
        <w:rPr>
          <w:rFonts w:ascii="宋体" w:hAnsi="宋体" w:eastAsia="宋体" w:cs="宋体"/>
          <w:sz w:val="24"/>
        </w:rPr>
      </w:pPr>
      <w:r>
        <w:rPr>
          <w:rFonts w:hint="eastAsia" w:ascii="宋体" w:hAnsi="宋体" w:eastAsia="宋体" w:cs="宋体"/>
          <w:sz w:val="24"/>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b w:val="0"/>
          <w:bCs w:val="0"/>
          <w:kern w:val="0"/>
          <w:sz w:val="24"/>
          <w:szCs w:val="24"/>
        </w:rPr>
      </w:pPr>
      <w:r>
        <w:rPr>
          <w:rFonts w:hint="eastAsia" w:cs="宋体" w:asciiTheme="minorEastAsia" w:hAnsiTheme="minorEastAsia" w:eastAsiaTheme="minorEastAsia"/>
          <w:kern w:val="0"/>
          <w:sz w:val="24"/>
          <w:szCs w:val="24"/>
        </w:rPr>
        <w:t>附件14：近三年内，在经营活动中没有重大违法记录的声明</w:t>
      </w:r>
      <w:bookmarkEnd w:id="50"/>
    </w:p>
    <w:p>
      <w:pPr>
        <w:spacing w:line="276" w:lineRule="auto"/>
        <w:ind w:firstLine="480" w:firstLineChars="200"/>
        <w:rPr>
          <w:rFonts w:cs="宋体" w:asciiTheme="minorEastAsia" w:hAnsiTheme="minorEastAsia" w:eastAsiaTheme="minorEastAsia"/>
          <w:sz w:val="24"/>
          <w:szCs w:val="24"/>
        </w:rPr>
      </w:pPr>
    </w:p>
    <w:p>
      <w:pPr>
        <w:spacing w:line="276" w:lineRule="auto"/>
        <w:ind w:firstLine="482"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近三年内，在经营活动中没有重大违法记录的声明</w:t>
      </w:r>
    </w:p>
    <w:p>
      <w:pPr>
        <w:spacing w:line="276" w:lineRule="auto"/>
        <w:ind w:firstLine="480" w:firstLineChars="200"/>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西安秦汉工程造价咨询有限责任公司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我单位参加本次政府采购项目活动前三年内，在经营活动中无重大违法活动记录，符合《政府采购法》规定的供应商资格条件。我方对此声明负全部法律责任。</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特此声明。</w:t>
      </w:r>
    </w:p>
    <w:p>
      <w:pPr>
        <w:autoSpaceDE w:val="0"/>
        <w:autoSpaceDN w:val="0"/>
        <w:spacing w:line="360" w:lineRule="auto"/>
        <w:rPr>
          <w:rFonts w:ascii="宋体" w:hAnsi="宋体" w:cs="宋体"/>
          <w:color w:val="000000"/>
          <w:lang w:val="zh-CN"/>
        </w:rPr>
      </w:pPr>
    </w:p>
    <w:p>
      <w:pPr>
        <w:autoSpaceDE w:val="0"/>
        <w:autoSpaceDN w:val="0"/>
        <w:spacing w:line="360" w:lineRule="auto"/>
        <w:ind w:firstLine="442" w:firstLineChars="200"/>
        <w:rPr>
          <w:rFonts w:ascii="宋体" w:hAnsi="宋体" w:cs="宋体"/>
          <w:b/>
          <w:bCs/>
          <w:color w:val="000000"/>
          <w:lang w:val="zh-CN"/>
        </w:rPr>
      </w:pPr>
      <w:r>
        <w:rPr>
          <w:rFonts w:hint="eastAsia" w:ascii="宋体" w:hAnsi="宋体" w:eastAsia="宋体" w:cs="宋体"/>
          <w:b/>
          <w:bCs/>
          <w:color w:val="000000"/>
          <w:lang w:val="zh-CN"/>
        </w:rPr>
        <w:t>附“信用中国”和“中国政府采购网”网站查询截图，时间为投标截止时间前</w:t>
      </w:r>
      <w:r>
        <w:rPr>
          <w:rFonts w:hint="eastAsia" w:ascii="宋体" w:hAnsi="宋体" w:eastAsia="宋体" w:cs="宋体"/>
          <w:b/>
          <w:bCs/>
          <w:color w:val="000000"/>
        </w:rPr>
        <w:t>10</w:t>
      </w:r>
      <w:r>
        <w:rPr>
          <w:rFonts w:hint="eastAsia" w:ascii="宋体" w:hAnsi="宋体" w:eastAsia="宋体" w:cs="宋体"/>
          <w:b/>
          <w:bCs/>
          <w:color w:val="000000"/>
          <w:lang w:val="zh-CN"/>
        </w:rPr>
        <w:t>天内。</w:t>
      </w: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ind w:firstLine="480"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autoSpaceDE w:val="0"/>
        <w:autoSpaceDN w:val="0"/>
        <w:spacing w:line="400" w:lineRule="exact"/>
        <w:rPr>
          <w:rFonts w:ascii="宋体" w:hAnsi="宋体" w:cs="宋体"/>
          <w:b/>
          <w:bCs/>
          <w:sz w:val="24"/>
          <w:lang w:val="zh-CN"/>
        </w:rPr>
      </w:pPr>
      <w:r>
        <w:rPr>
          <w:rFonts w:hint="eastAsia" w:cs="宋体" w:asciiTheme="minorEastAsia" w:hAnsiTheme="minorEastAsia" w:eastAsiaTheme="minorEastAsia"/>
          <w:sz w:val="24"/>
          <w:szCs w:val="24"/>
        </w:rPr>
        <w:br w:type="page"/>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w:t>
      </w:r>
      <w:bookmarkEnd w:id="43"/>
      <w:r>
        <w:rPr>
          <w:rFonts w:hint="eastAsia" w:cs="宋体" w:asciiTheme="minorEastAsia" w:hAnsiTheme="minorEastAsia" w:eastAsiaTheme="minorEastAsia"/>
          <w:kern w:val="0"/>
          <w:sz w:val="24"/>
          <w:szCs w:val="24"/>
        </w:rPr>
        <w:t>15：谈判保证金</w:t>
      </w:r>
      <w:bookmarkEnd w:id="46"/>
    </w:p>
    <w:bookmarkEnd w:id="40"/>
    <w:bookmarkEnd w:id="41"/>
    <w:bookmarkEnd w:id="42"/>
    <w:p>
      <w:pPr>
        <w:spacing w:line="276" w:lineRule="auto"/>
        <w:jc w:val="center"/>
        <w:rPr>
          <w:rFonts w:cs="宋体" w:asciiTheme="minorEastAsia" w:hAnsiTheme="minorEastAsia" w:eastAsiaTheme="minorEastAsia"/>
          <w:b/>
          <w:bCs/>
          <w:sz w:val="24"/>
          <w:szCs w:val="24"/>
        </w:rPr>
      </w:pPr>
    </w:p>
    <w:p>
      <w:pPr>
        <w:spacing w:line="276" w:lineRule="auto"/>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sz w:val="24"/>
          <w:szCs w:val="24"/>
        </w:rPr>
        <w:t>谈判保证金</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致：西安秦汉工程造价咨询有限责任公司</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我方为（采购项目名称）项目（采购项目编号为：        ）递交保证金人民币       （大写：人民币        元）已于     年    月    日以基本户转账方式汇入你方账户。</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附件：保证金交款证明复印件（加盖公章）</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 xml:space="preserve">      开户许可证复印件（加盖公章）</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户    名：</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开户银行：</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开户帐号：</w:t>
      </w: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ind w:firstLine="480"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autoSpaceDE w:val="0"/>
        <w:autoSpaceDN w:val="0"/>
        <w:spacing w:line="276" w:lineRule="auto"/>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sz w:val="24"/>
          <w:szCs w:val="24"/>
        </w:rPr>
        <w:br w:type="page"/>
      </w:r>
      <w:bookmarkStart w:id="51" w:name="_Toc17620"/>
      <w:bookmarkStart w:id="52" w:name="_Toc333248991"/>
      <w:bookmarkStart w:id="53" w:name="_Toc333497433"/>
      <w:bookmarkStart w:id="54" w:name="_Toc323800523"/>
      <w:bookmarkStart w:id="55" w:name="_Toc298683403"/>
      <w:bookmarkStart w:id="56" w:name="_Toc323717437"/>
      <w:bookmarkStart w:id="57" w:name="_Toc201287669"/>
    </w:p>
    <w:p>
      <w:pPr>
        <w:autoSpaceDE w:val="0"/>
        <w:autoSpaceDN w:val="0"/>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bCs/>
          <w:kern w:val="2"/>
          <w:sz w:val="24"/>
          <w:szCs w:val="24"/>
        </w:rPr>
        <w:t>附件16：拟派项目</w:t>
      </w:r>
      <w:r>
        <w:rPr>
          <w:rFonts w:hint="eastAsia" w:cs="宋体" w:asciiTheme="minorEastAsia" w:hAnsiTheme="minorEastAsia" w:eastAsiaTheme="minorEastAsia"/>
          <w:b/>
          <w:bCs/>
          <w:sz w:val="24"/>
          <w:szCs w:val="24"/>
        </w:rPr>
        <w:t>负责人</w:t>
      </w:r>
      <w:r>
        <w:rPr>
          <w:rFonts w:hint="eastAsia" w:cs="宋体" w:asciiTheme="minorEastAsia" w:hAnsiTheme="minorEastAsia" w:eastAsiaTheme="minorEastAsia"/>
          <w:b/>
          <w:bCs/>
          <w:kern w:val="2"/>
          <w:sz w:val="24"/>
          <w:szCs w:val="24"/>
        </w:rPr>
        <w:t>简历表</w:t>
      </w:r>
      <w:bookmarkEnd w:id="51"/>
      <w:bookmarkEnd w:id="52"/>
      <w:bookmarkEnd w:id="53"/>
    </w:p>
    <w:p>
      <w:pPr>
        <w:spacing w:line="276" w:lineRule="auto"/>
        <w:jc w:val="center"/>
        <w:rPr>
          <w:rFonts w:cs="Times New Roman" w:asciiTheme="minorEastAsia" w:hAnsiTheme="minorEastAsia" w:eastAsiaTheme="minorEastAsia"/>
          <w:b/>
          <w:bCs/>
          <w:kern w:val="2"/>
          <w:sz w:val="24"/>
          <w:szCs w:val="24"/>
        </w:rPr>
      </w:pPr>
      <w:r>
        <w:rPr>
          <w:rFonts w:hint="eastAsia" w:cs="宋体" w:asciiTheme="minorEastAsia" w:hAnsiTheme="minorEastAsia" w:eastAsiaTheme="minorEastAsia"/>
          <w:b/>
          <w:bCs/>
          <w:sz w:val="24"/>
          <w:szCs w:val="24"/>
        </w:rPr>
        <w:t>拟派项目负责人简历表</w:t>
      </w:r>
    </w:p>
    <w:tbl>
      <w:tblPr>
        <w:tblStyle w:val="24"/>
        <w:tblW w:w="9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1228"/>
        <w:gridCol w:w="15"/>
        <w:gridCol w:w="1649"/>
        <w:gridCol w:w="887"/>
        <w:gridCol w:w="735"/>
        <w:gridCol w:w="1816"/>
        <w:gridCol w:w="7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年龄</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学历</w:t>
            </w:r>
          </w:p>
        </w:tc>
        <w:tc>
          <w:tcPr>
            <w:tcW w:w="1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职称</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专业</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拟在本合同任职</w:t>
            </w:r>
          </w:p>
        </w:tc>
        <w:tc>
          <w:tcPr>
            <w:tcW w:w="1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586" w:type="dxa"/>
            <w:gridSpan w:val="9"/>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时间</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参加过的类似项目</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担任职务</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发包人联系电话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bl>
    <w:p>
      <w:pPr>
        <w:autoSpaceDE w:val="0"/>
        <w:autoSpaceDN w:val="0"/>
        <w:spacing w:line="276" w:lineRule="auto"/>
        <w:rPr>
          <w:rFonts w:cs="宋体" w:asciiTheme="minorEastAsia" w:hAnsiTheme="minorEastAsia" w:eastAsiaTheme="minorEastAsia"/>
          <w:b/>
          <w:kern w:val="2"/>
          <w:sz w:val="24"/>
          <w:szCs w:val="24"/>
        </w:rPr>
      </w:pPr>
      <w:r>
        <w:rPr>
          <w:rFonts w:hint="eastAsia" w:cs="宋体" w:asciiTheme="minorEastAsia" w:hAnsiTheme="minorEastAsia" w:eastAsiaTheme="minorEastAsia"/>
          <w:b/>
          <w:sz w:val="24"/>
          <w:szCs w:val="24"/>
        </w:rPr>
        <w:t>注：后附项目负责人相关资质证书</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autoSpaceDE w:val="0"/>
        <w:autoSpaceDN w:val="0"/>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pStyle w:val="2"/>
        <w:spacing w:before="0" w:after="0" w:line="276" w:lineRule="auto"/>
        <w:rPr>
          <w:rFonts w:cs="宋体" w:asciiTheme="minorEastAsia" w:hAnsiTheme="minorEastAsia" w:eastAsiaTheme="minorEastAsia"/>
          <w:kern w:val="0"/>
          <w:sz w:val="24"/>
          <w:szCs w:val="24"/>
        </w:rPr>
      </w:pPr>
      <w:bookmarkStart w:id="58" w:name="_Toc490138701"/>
    </w:p>
    <w:p>
      <w:pPr>
        <w:adjustRightInd/>
        <w:snapToGrid/>
        <w:spacing w:line="220" w:lineRule="atLeast"/>
        <w:rPr>
          <w:rFonts w:cs="宋体" w:asciiTheme="minorEastAsia" w:hAnsiTheme="minorEastAsia" w:eastAsiaTheme="minorEastAsia"/>
          <w:b/>
          <w:bCs/>
          <w:sz w:val="24"/>
          <w:szCs w:val="24"/>
        </w:rPr>
      </w:pPr>
      <w:r>
        <w:rPr>
          <w:rFonts w:cs="宋体" w:asciiTheme="minorEastAsia" w:hAnsiTheme="minorEastAsia" w:eastAsiaTheme="minorEastAsia"/>
          <w:sz w:val="24"/>
          <w:szCs w:val="24"/>
        </w:rPr>
        <w:br w:type="page"/>
      </w:r>
    </w:p>
    <w:bookmarkEnd w:id="54"/>
    <w:bookmarkEnd w:id="55"/>
    <w:bookmarkEnd w:id="56"/>
    <w:bookmarkEnd w:id="57"/>
    <w:bookmarkEnd w:id="58"/>
    <w:p>
      <w:pPr>
        <w:pStyle w:val="2"/>
        <w:spacing w:before="0" w:after="0" w:line="276" w:lineRule="auto"/>
        <w:rPr>
          <w:rFonts w:cs="宋体" w:asciiTheme="minorEastAsia" w:hAnsiTheme="minorEastAsia" w:eastAsiaTheme="minorEastAsia"/>
          <w:kern w:val="0"/>
          <w:sz w:val="24"/>
          <w:szCs w:val="24"/>
        </w:rPr>
      </w:pPr>
      <w:bookmarkStart w:id="59" w:name="_Toc298683407"/>
      <w:bookmarkStart w:id="60" w:name="_Toc490138706"/>
      <w:r>
        <w:rPr>
          <w:rFonts w:hint="eastAsia" w:cs="宋体" w:asciiTheme="minorEastAsia" w:hAnsiTheme="minorEastAsia" w:eastAsiaTheme="minorEastAsia"/>
          <w:kern w:val="0"/>
          <w:sz w:val="24"/>
          <w:szCs w:val="24"/>
        </w:rPr>
        <w:t>附件</w:t>
      </w:r>
      <w:bookmarkEnd w:id="59"/>
      <w:r>
        <w:rPr>
          <w:rFonts w:hint="eastAsia" w:cs="宋体" w:asciiTheme="minorEastAsia" w:hAnsiTheme="minorEastAsia" w:eastAsiaTheme="minorEastAsia"/>
          <w:kern w:val="0"/>
          <w:sz w:val="24"/>
          <w:szCs w:val="24"/>
        </w:rPr>
        <w:t>17：其他资料</w:t>
      </w:r>
      <w:bookmarkEnd w:id="60"/>
    </w:p>
    <w:p>
      <w:pPr>
        <w:spacing w:line="276" w:lineRule="auto"/>
        <w:jc w:val="center"/>
        <w:rPr>
          <w:rFonts w:cs="宋体" w:asciiTheme="minorEastAsia" w:hAnsiTheme="minorEastAsia" w:eastAsiaTheme="minorEastAsia"/>
          <w:kern w:val="2"/>
          <w:sz w:val="24"/>
          <w:szCs w:val="24"/>
        </w:rPr>
      </w:pPr>
      <w:bookmarkStart w:id="61" w:name="_Toc298683408"/>
      <w:r>
        <w:rPr>
          <w:rFonts w:hint="eastAsia" w:cs="宋体" w:asciiTheme="minorEastAsia" w:hAnsiTheme="minorEastAsia" w:eastAsiaTheme="minorEastAsia"/>
          <w:b/>
          <w:bCs/>
          <w:sz w:val="24"/>
          <w:szCs w:val="24"/>
        </w:rPr>
        <w:t>其他资料</w:t>
      </w:r>
      <w:bookmarkEnd w:id="61"/>
    </w:p>
    <w:p>
      <w:pPr>
        <w:autoSpaceDE w:val="0"/>
        <w:autoSpaceDN w:val="0"/>
        <w:spacing w:line="276"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附相关工实施方案、等方面的承诺以及供应商认为需要提供的相关资料。</w:t>
      </w:r>
    </w:p>
    <w:p>
      <w:pPr>
        <w:pStyle w:val="3"/>
        <w:spacing w:before="0" w:after="0" w:line="276"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62" w:name="_Toc490138707"/>
      <w:r>
        <w:rPr>
          <w:rFonts w:hint="eastAsia" w:cs="宋体" w:asciiTheme="minorEastAsia" w:hAnsiTheme="minorEastAsia" w:eastAsiaTheme="minorEastAsia"/>
          <w:sz w:val="36"/>
          <w:szCs w:val="36"/>
        </w:rPr>
        <w:t>第五部分  工程量清单</w:t>
      </w:r>
      <w:bookmarkEnd w:id="62"/>
      <w:r>
        <w:rPr>
          <w:rFonts w:hint="eastAsia" w:cs="宋体" w:asciiTheme="minorEastAsia" w:hAnsiTheme="minorEastAsia" w:eastAsiaTheme="minorEastAsia"/>
          <w:sz w:val="36"/>
          <w:szCs w:val="36"/>
        </w:rPr>
        <w:t>及设施采购清单</w:t>
      </w:r>
    </w:p>
    <w:p>
      <w:pPr>
        <w:pStyle w:val="2"/>
        <w:spacing w:before="0" w:after="0" w:line="276" w:lineRule="auto"/>
        <w:jc w:val="center"/>
        <w:rPr>
          <w:rFonts w:cs="宋体" w:asciiTheme="minorEastAsia" w:hAnsiTheme="minorEastAsia" w:eastAsiaTheme="minorEastAsia"/>
          <w:bCs w:val="0"/>
          <w:sz w:val="24"/>
          <w:szCs w:val="24"/>
        </w:rPr>
      </w:pPr>
      <w:bookmarkStart w:id="63" w:name="_Toc490138708"/>
      <w:r>
        <w:rPr>
          <w:rFonts w:hint="eastAsia" w:cs="宋体" w:asciiTheme="minorEastAsia" w:hAnsiTheme="minorEastAsia" w:eastAsiaTheme="minorEastAsia"/>
          <w:bCs w:val="0"/>
          <w:sz w:val="24"/>
          <w:szCs w:val="24"/>
        </w:rPr>
        <w:t>一、竞争性谈判参与说明</w:t>
      </w:r>
      <w:bookmarkEnd w:id="63"/>
    </w:p>
    <w:p>
      <w:pPr>
        <w:pStyle w:val="2"/>
        <w:spacing w:before="0" w:after="0" w:line="276" w:lineRule="auto"/>
        <w:rPr>
          <w:rFonts w:cs="TimesNewRomanPSMT" w:asciiTheme="minorEastAsia" w:hAnsiTheme="minorEastAsia" w:eastAsiaTheme="minorEastAsia"/>
          <w:kern w:val="0"/>
          <w:sz w:val="24"/>
          <w:szCs w:val="24"/>
        </w:rPr>
      </w:pPr>
      <w:bookmarkStart w:id="64" w:name="_Toc365994292"/>
      <w:bookmarkStart w:id="65" w:name="_Toc201287630"/>
      <w:bookmarkStart w:id="66" w:name="_Toc194999248"/>
      <w:bookmarkStart w:id="67" w:name="_Toc490138709"/>
      <w:bookmarkStart w:id="68" w:name="_Toc480443628"/>
      <w:r>
        <w:rPr>
          <w:rFonts w:hint="eastAsia" w:cs="TimesNewRomanPSMT" w:asciiTheme="minorEastAsia" w:hAnsiTheme="minorEastAsia" w:eastAsiaTheme="minorEastAsia"/>
          <w:kern w:val="0"/>
          <w:sz w:val="24"/>
          <w:szCs w:val="24"/>
        </w:rPr>
        <w:t>1.工程建设条件</w:t>
      </w:r>
      <w:bookmarkEnd w:id="64"/>
      <w:bookmarkEnd w:id="65"/>
      <w:bookmarkEnd w:id="66"/>
      <w:bookmarkEnd w:id="67"/>
      <w:bookmarkEnd w:id="68"/>
    </w:p>
    <w:p>
      <w:pPr>
        <w:pStyle w:val="11"/>
        <w:spacing w:line="276" w:lineRule="auto"/>
        <w:ind w:left="440"/>
        <w:rPr>
          <w:rFonts w:asciiTheme="minorEastAsia" w:hAnsiTheme="minorEastAsia" w:eastAsiaTheme="minorEastAsia"/>
          <w:iCs/>
          <w:sz w:val="24"/>
          <w:szCs w:val="24"/>
        </w:rPr>
      </w:pPr>
      <w:r>
        <w:rPr>
          <w:rFonts w:asciiTheme="minorEastAsia" w:hAnsiTheme="minorEastAsia" w:eastAsiaTheme="minorEastAsia"/>
          <w:iCs/>
          <w:sz w:val="24"/>
          <w:szCs w:val="24"/>
        </w:rPr>
        <w:t>1</w:t>
      </w:r>
      <w:r>
        <w:rPr>
          <w:rFonts w:hint="eastAsia" w:asciiTheme="minorEastAsia" w:hAnsiTheme="minorEastAsia" w:eastAsiaTheme="minorEastAsia"/>
          <w:iCs/>
          <w:sz w:val="24"/>
          <w:szCs w:val="24"/>
        </w:rPr>
        <w:t>、现场施工条件：现场已具备施工条件。</w:t>
      </w:r>
      <w:bookmarkStart w:id="69" w:name="_Toc30386154"/>
      <w:bookmarkStart w:id="70" w:name="_Toc49912620"/>
    </w:p>
    <w:p>
      <w:pPr>
        <w:pStyle w:val="2"/>
        <w:spacing w:before="0" w:after="0" w:line="276" w:lineRule="auto"/>
        <w:rPr>
          <w:rFonts w:cs="TimesNewRomanPSMT" w:asciiTheme="minorEastAsia" w:hAnsiTheme="minorEastAsia" w:eastAsiaTheme="minorEastAsia"/>
          <w:kern w:val="0"/>
          <w:sz w:val="24"/>
          <w:szCs w:val="24"/>
        </w:rPr>
      </w:pPr>
      <w:bookmarkStart w:id="71" w:name="_Toc365994293"/>
      <w:bookmarkStart w:id="72" w:name="_Toc490138710"/>
      <w:bookmarkStart w:id="73" w:name="_Toc480443629"/>
      <w:bookmarkStart w:id="74" w:name="_Toc194999249"/>
      <w:bookmarkStart w:id="75" w:name="_Toc201287631"/>
      <w:r>
        <w:rPr>
          <w:rFonts w:hint="eastAsia" w:cs="TimesNewRomanPSMT" w:asciiTheme="minorEastAsia" w:hAnsiTheme="minorEastAsia" w:eastAsiaTheme="minorEastAsia"/>
          <w:kern w:val="0"/>
          <w:sz w:val="24"/>
          <w:szCs w:val="24"/>
        </w:rPr>
        <w:t>2.工程建设要求</w:t>
      </w:r>
      <w:bookmarkEnd w:id="69"/>
      <w:bookmarkEnd w:id="70"/>
      <w:bookmarkEnd w:id="71"/>
      <w:bookmarkEnd w:id="72"/>
      <w:bookmarkEnd w:id="73"/>
      <w:bookmarkEnd w:id="74"/>
      <w:bookmarkEnd w:id="75"/>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2.1质量：合格；</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2.2施工工期：</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天；</w:t>
      </w:r>
    </w:p>
    <w:p>
      <w:pPr>
        <w:pStyle w:val="2"/>
        <w:spacing w:before="0" w:after="0" w:line="276" w:lineRule="auto"/>
        <w:jc w:val="center"/>
        <w:rPr>
          <w:rFonts w:cs="宋体" w:asciiTheme="minorEastAsia" w:hAnsiTheme="minorEastAsia" w:eastAsiaTheme="minorEastAsia"/>
          <w:sz w:val="24"/>
          <w:szCs w:val="24"/>
        </w:rPr>
      </w:pPr>
      <w:bookmarkStart w:id="76" w:name="_Toc490138712"/>
      <w:r>
        <w:rPr>
          <w:rFonts w:hint="eastAsia" w:cs="宋体" w:asciiTheme="minorEastAsia" w:hAnsiTheme="minorEastAsia" w:eastAsiaTheme="minorEastAsia"/>
          <w:bCs w:val="0"/>
          <w:sz w:val="24"/>
          <w:szCs w:val="24"/>
        </w:rPr>
        <w:t>二</w:t>
      </w:r>
      <w:r>
        <w:rPr>
          <w:rFonts w:hint="eastAsia" w:cs="宋体" w:asciiTheme="minorEastAsia" w:hAnsiTheme="minorEastAsia" w:eastAsiaTheme="minorEastAsia"/>
          <w:sz w:val="24"/>
          <w:szCs w:val="24"/>
        </w:rPr>
        <w:t>、工程量清单</w:t>
      </w:r>
      <w:bookmarkEnd w:id="76"/>
    </w:p>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已标价工程量清单格式按照《建设工程工程量清单计价规范》（GB50500-2013），分别按照响应总价、总说明、工程项目响应报价汇总表、分部分项工程量清单与计价表、措施项目清单与计价表、规费、税金项目清单与计价表、工程量清单综合单价分析表、主要材料价格表等标准格式列出。并由造价专业人员签字和加盖资质专用章。</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清单后附</w:t>
      </w: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94947"/>
    </w:sdtPr>
    <w:sdtContent>
      <w:p>
        <w:pPr>
          <w:pStyle w:val="1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pPr>
        <w:ind w:left="0" w:firstLine="0"/>
      </w:pPr>
    </w:lvl>
  </w:abstractNum>
  <w:abstractNum w:abstractNumId="1">
    <w:nsid w:val="59B95475"/>
    <w:multiLevelType w:val="singleLevel"/>
    <w:tmpl w:val="59B95475"/>
    <w:lvl w:ilvl="0" w:tentative="0">
      <w:start w:val="4"/>
      <w:numFmt w:val="decimal"/>
      <w:suff w:val="nothing"/>
      <w:lvlText w:val="%1、"/>
      <w:lvlJc w:val="left"/>
    </w:lvl>
  </w:abstractNum>
  <w:abstractNum w:abstractNumId="2">
    <w:nsid w:val="6B3A5929"/>
    <w:multiLevelType w:val="multilevel"/>
    <w:tmpl w:val="6B3A59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21"/>
    <w:rsid w:val="000056C7"/>
    <w:rsid w:val="00010914"/>
    <w:rsid w:val="00012CD8"/>
    <w:rsid w:val="000169E2"/>
    <w:rsid w:val="00017AD9"/>
    <w:rsid w:val="00017D9F"/>
    <w:rsid w:val="0002013B"/>
    <w:rsid w:val="000240C2"/>
    <w:rsid w:val="0002509C"/>
    <w:rsid w:val="00045878"/>
    <w:rsid w:val="0005051B"/>
    <w:rsid w:val="00064FC4"/>
    <w:rsid w:val="00074493"/>
    <w:rsid w:val="00081A06"/>
    <w:rsid w:val="00086403"/>
    <w:rsid w:val="00091C59"/>
    <w:rsid w:val="000976ED"/>
    <w:rsid w:val="000A4280"/>
    <w:rsid w:val="000B213F"/>
    <w:rsid w:val="000B47AD"/>
    <w:rsid w:val="000B75B1"/>
    <w:rsid w:val="000C68FA"/>
    <w:rsid w:val="000D400A"/>
    <w:rsid w:val="000D703B"/>
    <w:rsid w:val="000E060F"/>
    <w:rsid w:val="000E5C52"/>
    <w:rsid w:val="000F2DF7"/>
    <w:rsid w:val="000F7543"/>
    <w:rsid w:val="00107E87"/>
    <w:rsid w:val="00110EAC"/>
    <w:rsid w:val="00112B16"/>
    <w:rsid w:val="00112DFB"/>
    <w:rsid w:val="00120961"/>
    <w:rsid w:val="001369F8"/>
    <w:rsid w:val="00154DF8"/>
    <w:rsid w:val="001600CA"/>
    <w:rsid w:val="001619FD"/>
    <w:rsid w:val="001724D7"/>
    <w:rsid w:val="0017255B"/>
    <w:rsid w:val="00174483"/>
    <w:rsid w:val="001B1703"/>
    <w:rsid w:val="001B5121"/>
    <w:rsid w:val="001C1A84"/>
    <w:rsid w:val="001C7228"/>
    <w:rsid w:val="001D67B2"/>
    <w:rsid w:val="001E4787"/>
    <w:rsid w:val="001E64C8"/>
    <w:rsid w:val="001E6688"/>
    <w:rsid w:val="001E7313"/>
    <w:rsid w:val="001F2B3E"/>
    <w:rsid w:val="002074D1"/>
    <w:rsid w:val="00226743"/>
    <w:rsid w:val="00227B24"/>
    <w:rsid w:val="00235FF2"/>
    <w:rsid w:val="00245384"/>
    <w:rsid w:val="0025604F"/>
    <w:rsid w:val="00261302"/>
    <w:rsid w:val="0026775C"/>
    <w:rsid w:val="00276F04"/>
    <w:rsid w:val="00281A02"/>
    <w:rsid w:val="002942A8"/>
    <w:rsid w:val="002956D2"/>
    <w:rsid w:val="002968A9"/>
    <w:rsid w:val="002A113E"/>
    <w:rsid w:val="002A4CD8"/>
    <w:rsid w:val="002B34B7"/>
    <w:rsid w:val="002B4068"/>
    <w:rsid w:val="002B447D"/>
    <w:rsid w:val="002C2FDE"/>
    <w:rsid w:val="002D1CC1"/>
    <w:rsid w:val="002D773B"/>
    <w:rsid w:val="002F4444"/>
    <w:rsid w:val="002F6925"/>
    <w:rsid w:val="002F7709"/>
    <w:rsid w:val="00320C40"/>
    <w:rsid w:val="00322C21"/>
    <w:rsid w:val="00323B43"/>
    <w:rsid w:val="00333160"/>
    <w:rsid w:val="00345162"/>
    <w:rsid w:val="00357B3C"/>
    <w:rsid w:val="003663F4"/>
    <w:rsid w:val="003723ED"/>
    <w:rsid w:val="0038282D"/>
    <w:rsid w:val="003878CC"/>
    <w:rsid w:val="00394531"/>
    <w:rsid w:val="003A0152"/>
    <w:rsid w:val="003A204C"/>
    <w:rsid w:val="003A5C16"/>
    <w:rsid w:val="003B0677"/>
    <w:rsid w:val="003B5715"/>
    <w:rsid w:val="003B72BC"/>
    <w:rsid w:val="003C0734"/>
    <w:rsid w:val="003C0859"/>
    <w:rsid w:val="003C45B4"/>
    <w:rsid w:val="003C6430"/>
    <w:rsid w:val="003C6F5C"/>
    <w:rsid w:val="003D2CB7"/>
    <w:rsid w:val="003D37D8"/>
    <w:rsid w:val="003E771A"/>
    <w:rsid w:val="003F301E"/>
    <w:rsid w:val="003F63BD"/>
    <w:rsid w:val="00403573"/>
    <w:rsid w:val="00406351"/>
    <w:rsid w:val="0040650F"/>
    <w:rsid w:val="00406FD1"/>
    <w:rsid w:val="004074DC"/>
    <w:rsid w:val="00414421"/>
    <w:rsid w:val="004225CF"/>
    <w:rsid w:val="00426133"/>
    <w:rsid w:val="004306AB"/>
    <w:rsid w:val="004358AB"/>
    <w:rsid w:val="00441DCD"/>
    <w:rsid w:val="0044665E"/>
    <w:rsid w:val="004477F5"/>
    <w:rsid w:val="004610E0"/>
    <w:rsid w:val="004627B8"/>
    <w:rsid w:val="0046730F"/>
    <w:rsid w:val="004903AF"/>
    <w:rsid w:val="00492E5C"/>
    <w:rsid w:val="004950C4"/>
    <w:rsid w:val="004A3331"/>
    <w:rsid w:val="004B1ECC"/>
    <w:rsid w:val="004B63CB"/>
    <w:rsid w:val="004D2FFE"/>
    <w:rsid w:val="004D6B36"/>
    <w:rsid w:val="004E2AAB"/>
    <w:rsid w:val="004F5F9D"/>
    <w:rsid w:val="004F636D"/>
    <w:rsid w:val="00515DBC"/>
    <w:rsid w:val="00522E07"/>
    <w:rsid w:val="00525D32"/>
    <w:rsid w:val="00530342"/>
    <w:rsid w:val="00532EF1"/>
    <w:rsid w:val="00536EB9"/>
    <w:rsid w:val="00541BD8"/>
    <w:rsid w:val="00554D32"/>
    <w:rsid w:val="00564575"/>
    <w:rsid w:val="00567AE5"/>
    <w:rsid w:val="0057147F"/>
    <w:rsid w:val="00591CD0"/>
    <w:rsid w:val="005A511F"/>
    <w:rsid w:val="005A5835"/>
    <w:rsid w:val="005A6E93"/>
    <w:rsid w:val="005B225F"/>
    <w:rsid w:val="005B5CFD"/>
    <w:rsid w:val="005C2927"/>
    <w:rsid w:val="005C4D5D"/>
    <w:rsid w:val="005E1E0D"/>
    <w:rsid w:val="005E7554"/>
    <w:rsid w:val="005F29DA"/>
    <w:rsid w:val="006115C3"/>
    <w:rsid w:val="00611CBE"/>
    <w:rsid w:val="00616657"/>
    <w:rsid w:val="00623D87"/>
    <w:rsid w:val="006269E5"/>
    <w:rsid w:val="00630375"/>
    <w:rsid w:val="00630F28"/>
    <w:rsid w:val="00632AF6"/>
    <w:rsid w:val="0065152C"/>
    <w:rsid w:val="0065235A"/>
    <w:rsid w:val="0065632C"/>
    <w:rsid w:val="00660B62"/>
    <w:rsid w:val="0068071D"/>
    <w:rsid w:val="006E5189"/>
    <w:rsid w:val="0071511A"/>
    <w:rsid w:val="00716447"/>
    <w:rsid w:val="0074239C"/>
    <w:rsid w:val="00754AFC"/>
    <w:rsid w:val="00767654"/>
    <w:rsid w:val="007706C8"/>
    <w:rsid w:val="007735CC"/>
    <w:rsid w:val="00774B8E"/>
    <w:rsid w:val="00777F19"/>
    <w:rsid w:val="007972D5"/>
    <w:rsid w:val="007A102D"/>
    <w:rsid w:val="007A6566"/>
    <w:rsid w:val="007B44FA"/>
    <w:rsid w:val="007B45F2"/>
    <w:rsid w:val="007C3ADE"/>
    <w:rsid w:val="007C4A63"/>
    <w:rsid w:val="007C76E0"/>
    <w:rsid w:val="007D0CD6"/>
    <w:rsid w:val="007D65FB"/>
    <w:rsid w:val="007F23FE"/>
    <w:rsid w:val="008104CE"/>
    <w:rsid w:val="00816024"/>
    <w:rsid w:val="00817831"/>
    <w:rsid w:val="00821E26"/>
    <w:rsid w:val="00827183"/>
    <w:rsid w:val="00840017"/>
    <w:rsid w:val="008462B8"/>
    <w:rsid w:val="008617A2"/>
    <w:rsid w:val="0087287C"/>
    <w:rsid w:val="008748D2"/>
    <w:rsid w:val="00883232"/>
    <w:rsid w:val="0089235F"/>
    <w:rsid w:val="008A5DF9"/>
    <w:rsid w:val="008B7726"/>
    <w:rsid w:val="008C213C"/>
    <w:rsid w:val="00904EE6"/>
    <w:rsid w:val="009111A9"/>
    <w:rsid w:val="00912B59"/>
    <w:rsid w:val="00920894"/>
    <w:rsid w:val="00920B3D"/>
    <w:rsid w:val="009333C1"/>
    <w:rsid w:val="0093576B"/>
    <w:rsid w:val="00962AB5"/>
    <w:rsid w:val="00964709"/>
    <w:rsid w:val="009807B2"/>
    <w:rsid w:val="009816DC"/>
    <w:rsid w:val="00982549"/>
    <w:rsid w:val="0098780B"/>
    <w:rsid w:val="009900C0"/>
    <w:rsid w:val="0099323E"/>
    <w:rsid w:val="00994895"/>
    <w:rsid w:val="0099563B"/>
    <w:rsid w:val="0099664B"/>
    <w:rsid w:val="009A39C7"/>
    <w:rsid w:val="009B2949"/>
    <w:rsid w:val="009B7DD7"/>
    <w:rsid w:val="009C57EF"/>
    <w:rsid w:val="009D5346"/>
    <w:rsid w:val="009D5436"/>
    <w:rsid w:val="009D67FE"/>
    <w:rsid w:val="009E2F49"/>
    <w:rsid w:val="009F2DC3"/>
    <w:rsid w:val="009F5825"/>
    <w:rsid w:val="009F5841"/>
    <w:rsid w:val="009F6EE6"/>
    <w:rsid w:val="00A0301E"/>
    <w:rsid w:val="00A043BE"/>
    <w:rsid w:val="00A06938"/>
    <w:rsid w:val="00A13B67"/>
    <w:rsid w:val="00A3073B"/>
    <w:rsid w:val="00A31411"/>
    <w:rsid w:val="00A344B5"/>
    <w:rsid w:val="00A36668"/>
    <w:rsid w:val="00A41F2D"/>
    <w:rsid w:val="00A5166C"/>
    <w:rsid w:val="00A64F1D"/>
    <w:rsid w:val="00A777AB"/>
    <w:rsid w:val="00A8304D"/>
    <w:rsid w:val="00A8426B"/>
    <w:rsid w:val="00A8708F"/>
    <w:rsid w:val="00A90F14"/>
    <w:rsid w:val="00AA064C"/>
    <w:rsid w:val="00AA1ECB"/>
    <w:rsid w:val="00AA65E9"/>
    <w:rsid w:val="00AA7871"/>
    <w:rsid w:val="00AC3C89"/>
    <w:rsid w:val="00AF44D1"/>
    <w:rsid w:val="00AF5B13"/>
    <w:rsid w:val="00B12E4F"/>
    <w:rsid w:val="00B22CFE"/>
    <w:rsid w:val="00B23261"/>
    <w:rsid w:val="00B253E1"/>
    <w:rsid w:val="00B33DF7"/>
    <w:rsid w:val="00B363C0"/>
    <w:rsid w:val="00B47073"/>
    <w:rsid w:val="00B66FEA"/>
    <w:rsid w:val="00B72183"/>
    <w:rsid w:val="00B761DE"/>
    <w:rsid w:val="00B802A9"/>
    <w:rsid w:val="00B81783"/>
    <w:rsid w:val="00B81B29"/>
    <w:rsid w:val="00B921AC"/>
    <w:rsid w:val="00B92470"/>
    <w:rsid w:val="00B973C7"/>
    <w:rsid w:val="00BA0695"/>
    <w:rsid w:val="00BB7B68"/>
    <w:rsid w:val="00BC556B"/>
    <w:rsid w:val="00BC76F0"/>
    <w:rsid w:val="00BD2D89"/>
    <w:rsid w:val="00BE0C80"/>
    <w:rsid w:val="00BF4C1A"/>
    <w:rsid w:val="00BF7B00"/>
    <w:rsid w:val="00C0033A"/>
    <w:rsid w:val="00C004F7"/>
    <w:rsid w:val="00C03964"/>
    <w:rsid w:val="00C07368"/>
    <w:rsid w:val="00C15900"/>
    <w:rsid w:val="00C22C62"/>
    <w:rsid w:val="00C253CF"/>
    <w:rsid w:val="00C275D1"/>
    <w:rsid w:val="00C33B8C"/>
    <w:rsid w:val="00C413D7"/>
    <w:rsid w:val="00C42215"/>
    <w:rsid w:val="00C5106B"/>
    <w:rsid w:val="00C5760C"/>
    <w:rsid w:val="00C57C18"/>
    <w:rsid w:val="00C62970"/>
    <w:rsid w:val="00C67567"/>
    <w:rsid w:val="00C85E08"/>
    <w:rsid w:val="00C909CC"/>
    <w:rsid w:val="00CC7C07"/>
    <w:rsid w:val="00CD1A4D"/>
    <w:rsid w:val="00CD5371"/>
    <w:rsid w:val="00CF09B3"/>
    <w:rsid w:val="00CF10DC"/>
    <w:rsid w:val="00CF35C2"/>
    <w:rsid w:val="00CF68B0"/>
    <w:rsid w:val="00D00135"/>
    <w:rsid w:val="00D072E2"/>
    <w:rsid w:val="00D23360"/>
    <w:rsid w:val="00D23A91"/>
    <w:rsid w:val="00D31D50"/>
    <w:rsid w:val="00D5054B"/>
    <w:rsid w:val="00D5653A"/>
    <w:rsid w:val="00D75145"/>
    <w:rsid w:val="00D75A72"/>
    <w:rsid w:val="00D81D20"/>
    <w:rsid w:val="00D939CF"/>
    <w:rsid w:val="00DA1643"/>
    <w:rsid w:val="00DA404D"/>
    <w:rsid w:val="00DB06B1"/>
    <w:rsid w:val="00DB0E2E"/>
    <w:rsid w:val="00DB2514"/>
    <w:rsid w:val="00DC3F18"/>
    <w:rsid w:val="00DC4C58"/>
    <w:rsid w:val="00DE2A71"/>
    <w:rsid w:val="00DE4C6A"/>
    <w:rsid w:val="00E01251"/>
    <w:rsid w:val="00E02947"/>
    <w:rsid w:val="00E10F29"/>
    <w:rsid w:val="00E138F0"/>
    <w:rsid w:val="00E15553"/>
    <w:rsid w:val="00E176AF"/>
    <w:rsid w:val="00E30630"/>
    <w:rsid w:val="00E329F9"/>
    <w:rsid w:val="00E343D2"/>
    <w:rsid w:val="00E4029E"/>
    <w:rsid w:val="00E47EFD"/>
    <w:rsid w:val="00E5086E"/>
    <w:rsid w:val="00E55E8B"/>
    <w:rsid w:val="00E7258C"/>
    <w:rsid w:val="00E72C27"/>
    <w:rsid w:val="00E74376"/>
    <w:rsid w:val="00E87117"/>
    <w:rsid w:val="00E8777C"/>
    <w:rsid w:val="00E90C67"/>
    <w:rsid w:val="00E91B27"/>
    <w:rsid w:val="00E91CFF"/>
    <w:rsid w:val="00EA56EF"/>
    <w:rsid w:val="00EC4829"/>
    <w:rsid w:val="00EC62D0"/>
    <w:rsid w:val="00ED1BEA"/>
    <w:rsid w:val="00ED4BF2"/>
    <w:rsid w:val="00ED77AE"/>
    <w:rsid w:val="00EF0039"/>
    <w:rsid w:val="00EF4D90"/>
    <w:rsid w:val="00F22F63"/>
    <w:rsid w:val="00F2508B"/>
    <w:rsid w:val="00F46AC3"/>
    <w:rsid w:val="00F63B21"/>
    <w:rsid w:val="00F64DF5"/>
    <w:rsid w:val="00F706FE"/>
    <w:rsid w:val="00F7223E"/>
    <w:rsid w:val="00F86485"/>
    <w:rsid w:val="00F879C8"/>
    <w:rsid w:val="00FA2B36"/>
    <w:rsid w:val="00FA37F6"/>
    <w:rsid w:val="00FA547B"/>
    <w:rsid w:val="00FB6BEB"/>
    <w:rsid w:val="00FC5169"/>
    <w:rsid w:val="00FD2302"/>
    <w:rsid w:val="00FD6CFE"/>
    <w:rsid w:val="00FE0B48"/>
    <w:rsid w:val="00FE0E44"/>
    <w:rsid w:val="00FE7113"/>
    <w:rsid w:val="00FF2DA6"/>
    <w:rsid w:val="00FF3875"/>
    <w:rsid w:val="01002C8B"/>
    <w:rsid w:val="019E64EB"/>
    <w:rsid w:val="03C47FB8"/>
    <w:rsid w:val="040503BC"/>
    <w:rsid w:val="05E27378"/>
    <w:rsid w:val="063F2841"/>
    <w:rsid w:val="0CA915BD"/>
    <w:rsid w:val="0CEC503B"/>
    <w:rsid w:val="0DBE3638"/>
    <w:rsid w:val="0E114D30"/>
    <w:rsid w:val="0F811D2D"/>
    <w:rsid w:val="136D3834"/>
    <w:rsid w:val="143A745A"/>
    <w:rsid w:val="1479087E"/>
    <w:rsid w:val="15371DA9"/>
    <w:rsid w:val="15974F3D"/>
    <w:rsid w:val="165C1C81"/>
    <w:rsid w:val="17B1149A"/>
    <w:rsid w:val="19342325"/>
    <w:rsid w:val="1C7E662F"/>
    <w:rsid w:val="1D7A0D99"/>
    <w:rsid w:val="1F443956"/>
    <w:rsid w:val="203F0414"/>
    <w:rsid w:val="20CB719E"/>
    <w:rsid w:val="224A3586"/>
    <w:rsid w:val="25FE4D65"/>
    <w:rsid w:val="2C72686C"/>
    <w:rsid w:val="2CD87559"/>
    <w:rsid w:val="32196434"/>
    <w:rsid w:val="322E1C3A"/>
    <w:rsid w:val="34C8106C"/>
    <w:rsid w:val="34CD6438"/>
    <w:rsid w:val="35C1700C"/>
    <w:rsid w:val="36304A92"/>
    <w:rsid w:val="382561C9"/>
    <w:rsid w:val="38757274"/>
    <w:rsid w:val="39767B89"/>
    <w:rsid w:val="3CF044F0"/>
    <w:rsid w:val="3DA42BDF"/>
    <w:rsid w:val="3ED24851"/>
    <w:rsid w:val="403F2D99"/>
    <w:rsid w:val="406D12E7"/>
    <w:rsid w:val="42D64706"/>
    <w:rsid w:val="43BA48BE"/>
    <w:rsid w:val="43ED1671"/>
    <w:rsid w:val="44982C94"/>
    <w:rsid w:val="45926CEF"/>
    <w:rsid w:val="46C004BB"/>
    <w:rsid w:val="472369CD"/>
    <w:rsid w:val="49297C4C"/>
    <w:rsid w:val="4B5969E7"/>
    <w:rsid w:val="4C5652D8"/>
    <w:rsid w:val="4F2D0744"/>
    <w:rsid w:val="4FE009D4"/>
    <w:rsid w:val="4FF1581D"/>
    <w:rsid w:val="52F66BF5"/>
    <w:rsid w:val="55D904B7"/>
    <w:rsid w:val="587A3F3A"/>
    <w:rsid w:val="59F72634"/>
    <w:rsid w:val="5BC75A0B"/>
    <w:rsid w:val="5CA74343"/>
    <w:rsid w:val="5EE917F0"/>
    <w:rsid w:val="64F336EA"/>
    <w:rsid w:val="669625C1"/>
    <w:rsid w:val="680C6A81"/>
    <w:rsid w:val="6B955C50"/>
    <w:rsid w:val="6C347957"/>
    <w:rsid w:val="6DA92433"/>
    <w:rsid w:val="6EB36FFD"/>
    <w:rsid w:val="757B3433"/>
    <w:rsid w:val="76DF7C3E"/>
    <w:rsid w:val="789416BA"/>
    <w:rsid w:val="78997008"/>
    <w:rsid w:val="79D55CE6"/>
    <w:rsid w:val="7A7A2BA3"/>
    <w:rsid w:val="7BC630A2"/>
    <w:rsid w:val="7BCD3712"/>
    <w:rsid w:val="7D0E40E6"/>
    <w:rsid w:val="7FA82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2">
    <w:name w:val="heading 2"/>
    <w:basedOn w:val="1"/>
    <w:next w:val="1"/>
    <w:link w:val="27"/>
    <w:unhideWhenUsed/>
    <w:qFormat/>
    <w:uiPriority w:val="0"/>
    <w:pPr>
      <w:keepNext/>
      <w:keepLines/>
      <w:widowControl w:val="0"/>
      <w:adjustRightInd/>
      <w:snapToGrid/>
      <w:spacing w:before="260" w:after="260" w:line="412" w:lineRule="auto"/>
      <w:jc w:val="both"/>
      <w:outlineLvl w:val="1"/>
    </w:pPr>
    <w:rPr>
      <w:rFonts w:ascii="Arial" w:hAnsi="Arial" w:eastAsia="黑体" w:cs="Times New Roman"/>
      <w:b/>
      <w:bCs/>
      <w:kern w:val="2"/>
      <w:sz w:val="32"/>
      <w:szCs w:val="32"/>
    </w:rPr>
  </w:style>
  <w:style w:type="paragraph" w:styleId="4">
    <w:name w:val="heading 3"/>
    <w:basedOn w:val="1"/>
    <w:next w:val="1"/>
    <w:link w:val="28"/>
    <w:unhideWhenUsed/>
    <w:qFormat/>
    <w:uiPriority w:val="0"/>
    <w:pPr>
      <w:keepNext/>
      <w:keepLines/>
      <w:widowControl w:val="0"/>
      <w:adjustRightInd/>
      <w:snapToGrid/>
      <w:spacing w:before="260" w:after="260" w:line="412" w:lineRule="auto"/>
      <w:jc w:val="both"/>
      <w:outlineLvl w:val="2"/>
    </w:pPr>
    <w:rPr>
      <w:rFonts w:ascii="Times New Roman" w:hAnsi="Times New Roman" w:eastAsia="宋体" w:cs="Times New Roman"/>
      <w:b/>
      <w:bCs/>
      <w:kern w:val="2"/>
      <w:sz w:val="32"/>
      <w:szCs w:val="32"/>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unhideWhenUsed/>
    <w:qFormat/>
    <w:uiPriority w:val="0"/>
    <w:rPr>
      <w:b/>
      <w:bCs/>
    </w:rPr>
  </w:style>
  <w:style w:type="paragraph" w:styleId="6">
    <w:name w:val="annotation text"/>
    <w:basedOn w:val="1"/>
    <w:link w:val="30"/>
    <w:unhideWhenUsed/>
    <w:qFormat/>
    <w:uiPriority w:val="0"/>
    <w:pPr>
      <w:widowControl w:val="0"/>
      <w:adjustRightInd/>
      <w:snapToGrid/>
      <w:spacing w:after="0"/>
    </w:pPr>
    <w:rPr>
      <w:rFonts w:ascii="Calibri" w:hAnsi="Calibri" w:eastAsia="宋体" w:cs="Times New Roman"/>
      <w:kern w:val="2"/>
      <w:sz w:val="21"/>
    </w:rPr>
  </w:style>
  <w:style w:type="paragraph" w:styleId="7">
    <w:name w:val="Normal Indent"/>
    <w:basedOn w:val="1"/>
    <w:link w:val="29"/>
    <w:unhideWhenUsed/>
    <w:qFormat/>
    <w:uiPriority w:val="0"/>
    <w:pPr>
      <w:widowControl w:val="0"/>
      <w:adjustRightInd/>
      <w:snapToGrid/>
      <w:spacing w:after="0" w:line="400" w:lineRule="exact"/>
      <w:ind w:firstLine="420" w:firstLineChars="200"/>
      <w:jc w:val="both"/>
    </w:pPr>
    <w:rPr>
      <w:rFonts w:ascii="Times New Roman" w:hAnsi="Times New Roman" w:cs="Times New Roman"/>
      <w:sz w:val="24"/>
      <w:szCs w:val="24"/>
    </w:rPr>
  </w:style>
  <w:style w:type="paragraph" w:styleId="8">
    <w:name w:val="Body Text Indent"/>
    <w:basedOn w:val="1"/>
    <w:link w:val="33"/>
    <w:unhideWhenUsed/>
    <w:qFormat/>
    <w:uiPriority w:val="0"/>
    <w:pPr>
      <w:widowControl w:val="0"/>
      <w:adjustRightInd/>
      <w:snapToGrid/>
      <w:spacing w:after="0"/>
      <w:ind w:firstLine="480"/>
      <w:jc w:val="both"/>
    </w:pPr>
    <w:rPr>
      <w:rFonts w:ascii="宋体" w:hAnsi="宋体" w:eastAsia="宋体" w:cs="Times New Roman"/>
      <w:kern w:val="2"/>
      <w:sz w:val="21"/>
    </w:rPr>
  </w:style>
  <w:style w:type="paragraph" w:styleId="9">
    <w:name w:val="toc 3"/>
    <w:basedOn w:val="1"/>
    <w:next w:val="1"/>
    <w:unhideWhenUsed/>
    <w:qFormat/>
    <w:uiPriority w:val="0"/>
    <w:pPr>
      <w:widowControl w:val="0"/>
      <w:adjustRightInd/>
      <w:snapToGrid/>
      <w:spacing w:after="0"/>
      <w:ind w:left="840" w:leftChars="400"/>
      <w:jc w:val="both"/>
    </w:pPr>
    <w:rPr>
      <w:rFonts w:ascii="Calibri" w:hAnsi="Calibri" w:eastAsia="宋体" w:cs="Times New Roman"/>
      <w:kern w:val="2"/>
      <w:sz w:val="21"/>
    </w:rPr>
  </w:style>
  <w:style w:type="paragraph" w:styleId="10">
    <w:name w:val="Plain Text"/>
    <w:basedOn w:val="1"/>
    <w:link w:val="50"/>
    <w:unhideWhenUsed/>
    <w:qFormat/>
    <w:uiPriority w:val="0"/>
    <w:pPr>
      <w:widowControl w:val="0"/>
      <w:adjustRightInd/>
      <w:snapToGrid/>
      <w:spacing w:after="0"/>
      <w:jc w:val="both"/>
    </w:pPr>
    <w:rPr>
      <w:rFonts w:ascii="宋体" w:hAnsi="Courier New" w:eastAsia="宋体" w:cs="Courier New"/>
      <w:sz w:val="20"/>
      <w:szCs w:val="21"/>
    </w:rPr>
  </w:style>
  <w:style w:type="paragraph" w:styleId="11">
    <w:name w:val="Body Text Indent 2"/>
    <w:basedOn w:val="1"/>
    <w:link w:val="34"/>
    <w:unhideWhenUsed/>
    <w:qFormat/>
    <w:uiPriority w:val="0"/>
    <w:pPr>
      <w:widowControl w:val="0"/>
      <w:adjustRightInd/>
      <w:snapToGrid/>
      <w:spacing w:after="120" w:line="480" w:lineRule="auto"/>
      <w:ind w:left="420" w:leftChars="200"/>
      <w:jc w:val="both"/>
    </w:pPr>
    <w:rPr>
      <w:rFonts w:ascii="Calibri" w:hAnsi="Calibri" w:eastAsia="宋体" w:cs="Times New Roman"/>
      <w:kern w:val="2"/>
      <w:sz w:val="21"/>
    </w:rPr>
  </w:style>
  <w:style w:type="paragraph" w:styleId="12">
    <w:name w:val="Balloon Text"/>
    <w:basedOn w:val="1"/>
    <w:link w:val="37"/>
    <w:unhideWhenUsed/>
    <w:qFormat/>
    <w:uiPriority w:val="0"/>
    <w:pPr>
      <w:widowControl w:val="0"/>
      <w:adjustRightInd/>
      <w:snapToGrid/>
      <w:spacing w:after="0"/>
      <w:jc w:val="both"/>
    </w:pPr>
    <w:rPr>
      <w:rFonts w:ascii="Calibri" w:hAnsi="Calibri" w:eastAsia="宋体" w:cs="Times New Roman"/>
      <w:kern w:val="2"/>
      <w:sz w:val="18"/>
      <w:szCs w:val="18"/>
    </w:rPr>
  </w:style>
  <w:style w:type="paragraph" w:styleId="13">
    <w:name w:val="footer"/>
    <w:basedOn w:val="1"/>
    <w:link w:val="49"/>
    <w:unhideWhenUsed/>
    <w:qFormat/>
    <w:uiPriority w:val="99"/>
    <w:pPr>
      <w:widowControl w:val="0"/>
      <w:tabs>
        <w:tab w:val="center" w:pos="4153"/>
        <w:tab w:val="right" w:pos="8306"/>
      </w:tabs>
      <w:adjustRightInd/>
      <w:spacing w:after="0"/>
    </w:pPr>
    <w:rPr>
      <w:rFonts w:ascii="Calibri" w:hAnsi="Calibri" w:eastAsia="宋体" w:cs="Times New Roman"/>
      <w:sz w:val="18"/>
      <w:szCs w:val="18"/>
    </w:rPr>
  </w:style>
  <w:style w:type="paragraph" w:styleId="14">
    <w:name w:val="header"/>
    <w:basedOn w:val="1"/>
    <w:link w:val="51"/>
    <w:unhideWhenUsed/>
    <w:qFormat/>
    <w:uiPriority w:val="0"/>
    <w:pPr>
      <w:widowControl w:val="0"/>
      <w:pBdr>
        <w:bottom w:val="single" w:color="auto" w:sz="6" w:space="1"/>
      </w:pBdr>
      <w:tabs>
        <w:tab w:val="center" w:pos="4153"/>
        <w:tab w:val="right" w:pos="8306"/>
      </w:tabs>
      <w:adjustRightInd/>
      <w:spacing w:after="0"/>
      <w:jc w:val="center"/>
    </w:pPr>
    <w:rPr>
      <w:rFonts w:ascii="Calibri" w:hAnsi="Calibri" w:eastAsia="宋体" w:cs="Times New Roman"/>
      <w:sz w:val="18"/>
      <w:szCs w:val="18"/>
    </w:rPr>
  </w:style>
  <w:style w:type="paragraph" w:styleId="15">
    <w:name w:val="toc 1"/>
    <w:basedOn w:val="1"/>
    <w:next w:val="1"/>
    <w:unhideWhenUsed/>
    <w:qFormat/>
    <w:uiPriority w:val="39"/>
    <w:pPr>
      <w:widowControl w:val="0"/>
      <w:tabs>
        <w:tab w:val="right" w:leader="dot" w:pos="8296"/>
      </w:tabs>
      <w:adjustRightInd/>
      <w:snapToGrid/>
      <w:spacing w:after="0" w:line="600" w:lineRule="auto"/>
      <w:jc w:val="both"/>
    </w:pPr>
    <w:rPr>
      <w:rFonts w:ascii="Calibri" w:hAnsi="Calibri" w:eastAsia="宋体" w:cs="Times New Roman"/>
      <w:kern w:val="2"/>
      <w:sz w:val="21"/>
    </w:rPr>
  </w:style>
  <w:style w:type="paragraph" w:styleId="16">
    <w:name w:val="toc 2"/>
    <w:basedOn w:val="1"/>
    <w:next w:val="1"/>
    <w:unhideWhenUsed/>
    <w:qFormat/>
    <w:uiPriority w:val="39"/>
    <w:pPr>
      <w:widowControl w:val="0"/>
      <w:tabs>
        <w:tab w:val="right" w:leader="dot" w:pos="8296"/>
      </w:tabs>
      <w:adjustRightInd/>
      <w:snapToGrid/>
      <w:spacing w:after="0"/>
      <w:ind w:left="440" w:leftChars="200"/>
      <w:jc w:val="both"/>
    </w:pPr>
    <w:rPr>
      <w:rFonts w:ascii="Calibri" w:hAnsi="Calibri" w:eastAsia="宋体" w:cs="Times New Roman"/>
      <w:kern w:val="2"/>
      <w:sz w:val="21"/>
    </w:rPr>
  </w:style>
  <w:style w:type="paragraph" w:styleId="17">
    <w:name w:val="Normal (Web)"/>
    <w:basedOn w:val="1"/>
    <w:unhideWhenUsed/>
    <w:qFormat/>
    <w:uiPriority w:val="0"/>
    <w:pPr>
      <w:adjustRightInd/>
      <w:snapToGrid/>
      <w:spacing w:before="100" w:beforeAutospacing="1" w:after="100" w:afterAutospacing="1"/>
    </w:pPr>
    <w:rPr>
      <w:rFonts w:ascii="宋体" w:hAnsi="宋体" w:eastAsia="宋体" w:cs="宋体"/>
      <w:sz w:val="24"/>
    </w:rPr>
  </w:style>
  <w:style w:type="paragraph" w:styleId="18">
    <w:name w:val="Title"/>
    <w:basedOn w:val="1"/>
    <w:next w:val="1"/>
    <w:qFormat/>
    <w:uiPriority w:val="10"/>
    <w:pPr>
      <w:spacing w:before="240" w:after="60"/>
      <w:jc w:val="center"/>
      <w:outlineLvl w:val="0"/>
    </w:pPr>
    <w:rPr>
      <w:rFonts w:ascii="Cambria" w:hAnsi="Cambria"/>
      <w:b/>
      <w:bCs/>
      <w:sz w:val="36"/>
      <w:szCs w:val="32"/>
    </w:rPr>
  </w:style>
  <w:style w:type="character" w:styleId="20">
    <w:name w:val="Strong"/>
    <w:basedOn w:val="19"/>
    <w:qFormat/>
    <w:uiPriority w:val="22"/>
    <w:rPr>
      <w:b/>
    </w:rPr>
  </w:style>
  <w:style w:type="character" w:styleId="21">
    <w:name w:val="FollowedHyperlink"/>
    <w:basedOn w:val="19"/>
    <w:unhideWhenUsed/>
    <w:qFormat/>
    <w:uiPriority w:val="99"/>
    <w:rPr>
      <w:color w:val="800080" w:themeColor="followedHyperlink"/>
      <w:u w:val="single"/>
    </w:rPr>
  </w:style>
  <w:style w:type="character" w:styleId="22">
    <w:name w:val="Hyperlink"/>
    <w:basedOn w:val="19"/>
    <w:unhideWhenUsed/>
    <w:qFormat/>
    <w:uiPriority w:val="99"/>
    <w:rPr>
      <w:color w:val="0000FF"/>
      <w:u w:val="single"/>
    </w:rPr>
  </w:style>
  <w:style w:type="character" w:styleId="23">
    <w:name w:val="annotation reference"/>
    <w:basedOn w:val="19"/>
    <w:unhideWhenUsed/>
    <w:qFormat/>
    <w:uiPriority w:val="0"/>
    <w:rPr>
      <w:sz w:val="21"/>
      <w:szCs w:val="21"/>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19"/>
    <w:link w:val="3"/>
    <w:qFormat/>
    <w:uiPriority w:val="0"/>
    <w:rPr>
      <w:rFonts w:ascii="Times New Roman" w:hAnsi="Times New Roman" w:eastAsia="宋体" w:cs="Times New Roman"/>
      <w:b/>
      <w:bCs/>
      <w:kern w:val="44"/>
      <w:sz w:val="44"/>
      <w:szCs w:val="44"/>
    </w:rPr>
  </w:style>
  <w:style w:type="character" w:customStyle="1" w:styleId="27">
    <w:name w:val="标题 2 Char"/>
    <w:basedOn w:val="19"/>
    <w:link w:val="2"/>
    <w:semiHidden/>
    <w:qFormat/>
    <w:uiPriority w:val="0"/>
    <w:rPr>
      <w:rFonts w:ascii="Arial" w:hAnsi="Arial" w:eastAsia="黑体" w:cs="Times New Roman"/>
      <w:b/>
      <w:bCs/>
      <w:kern w:val="2"/>
      <w:sz w:val="32"/>
      <w:szCs w:val="32"/>
    </w:rPr>
  </w:style>
  <w:style w:type="character" w:customStyle="1" w:styleId="28">
    <w:name w:val="标题 3 Char"/>
    <w:basedOn w:val="19"/>
    <w:link w:val="4"/>
    <w:semiHidden/>
    <w:qFormat/>
    <w:uiPriority w:val="0"/>
    <w:rPr>
      <w:rFonts w:ascii="Times New Roman" w:hAnsi="Times New Roman" w:eastAsia="宋体" w:cs="Times New Roman"/>
      <w:b/>
      <w:bCs/>
      <w:kern w:val="2"/>
      <w:sz w:val="32"/>
      <w:szCs w:val="32"/>
    </w:rPr>
  </w:style>
  <w:style w:type="character" w:customStyle="1" w:styleId="29">
    <w:name w:val="正文缩进 Char"/>
    <w:basedOn w:val="19"/>
    <w:link w:val="7"/>
    <w:semiHidden/>
    <w:qFormat/>
    <w:locked/>
    <w:uiPriority w:val="0"/>
    <w:rPr>
      <w:rFonts w:ascii="Times New Roman" w:hAnsi="Times New Roman" w:cs="Times New Roman"/>
      <w:sz w:val="24"/>
      <w:szCs w:val="24"/>
    </w:rPr>
  </w:style>
  <w:style w:type="character" w:customStyle="1" w:styleId="30">
    <w:name w:val="批注文字 Char"/>
    <w:basedOn w:val="19"/>
    <w:link w:val="6"/>
    <w:semiHidden/>
    <w:qFormat/>
    <w:uiPriority w:val="0"/>
    <w:rPr>
      <w:rFonts w:ascii="Calibri" w:hAnsi="Calibri" w:eastAsia="宋体" w:cs="Times New Roman"/>
      <w:kern w:val="2"/>
      <w:sz w:val="21"/>
    </w:rPr>
  </w:style>
  <w:style w:type="character" w:customStyle="1" w:styleId="31">
    <w:name w:val="页眉 Char"/>
    <w:basedOn w:val="19"/>
    <w:semiHidden/>
    <w:qFormat/>
    <w:uiPriority w:val="0"/>
    <w:rPr>
      <w:rFonts w:ascii="Tahoma" w:hAnsi="Tahoma"/>
      <w:sz w:val="18"/>
      <w:szCs w:val="18"/>
    </w:rPr>
  </w:style>
  <w:style w:type="character" w:customStyle="1" w:styleId="32">
    <w:name w:val="页脚 Char"/>
    <w:basedOn w:val="19"/>
    <w:qFormat/>
    <w:uiPriority w:val="99"/>
    <w:rPr>
      <w:rFonts w:ascii="Tahoma" w:hAnsi="Tahoma"/>
      <w:sz w:val="18"/>
      <w:szCs w:val="18"/>
    </w:rPr>
  </w:style>
  <w:style w:type="character" w:customStyle="1" w:styleId="33">
    <w:name w:val="正文文本缩进 Char"/>
    <w:basedOn w:val="19"/>
    <w:link w:val="8"/>
    <w:semiHidden/>
    <w:qFormat/>
    <w:uiPriority w:val="0"/>
    <w:rPr>
      <w:rFonts w:ascii="宋体" w:hAnsi="宋体" w:eastAsia="宋体" w:cs="Times New Roman"/>
      <w:kern w:val="2"/>
      <w:sz w:val="21"/>
    </w:rPr>
  </w:style>
  <w:style w:type="character" w:customStyle="1" w:styleId="34">
    <w:name w:val="正文文本缩进 2 Char"/>
    <w:basedOn w:val="19"/>
    <w:link w:val="11"/>
    <w:semiHidden/>
    <w:qFormat/>
    <w:uiPriority w:val="0"/>
    <w:rPr>
      <w:rFonts w:ascii="Calibri" w:hAnsi="Calibri" w:eastAsia="宋体" w:cs="Times New Roman"/>
      <w:kern w:val="2"/>
      <w:sz w:val="21"/>
    </w:rPr>
  </w:style>
  <w:style w:type="character" w:customStyle="1" w:styleId="35">
    <w:name w:val="纯文本 Char"/>
    <w:basedOn w:val="19"/>
    <w:semiHidden/>
    <w:qFormat/>
    <w:uiPriority w:val="0"/>
    <w:rPr>
      <w:rFonts w:ascii="宋体" w:hAnsi="Courier New" w:eastAsia="宋体" w:cs="Courier New"/>
      <w:sz w:val="21"/>
      <w:szCs w:val="21"/>
    </w:rPr>
  </w:style>
  <w:style w:type="character" w:customStyle="1" w:styleId="36">
    <w:name w:val="批注主题 Char"/>
    <w:basedOn w:val="30"/>
    <w:link w:val="5"/>
    <w:semiHidden/>
    <w:qFormat/>
    <w:uiPriority w:val="0"/>
    <w:rPr>
      <w:rFonts w:ascii="Calibri" w:hAnsi="Calibri" w:eastAsia="宋体" w:cs="Times New Roman"/>
      <w:b/>
      <w:bCs/>
      <w:kern w:val="2"/>
      <w:sz w:val="21"/>
    </w:rPr>
  </w:style>
  <w:style w:type="character" w:customStyle="1" w:styleId="37">
    <w:name w:val="批注框文本 Char"/>
    <w:basedOn w:val="19"/>
    <w:link w:val="12"/>
    <w:semiHidden/>
    <w:qFormat/>
    <w:uiPriority w:val="0"/>
    <w:rPr>
      <w:rFonts w:ascii="Calibri" w:hAnsi="Calibri" w:eastAsia="宋体" w:cs="Times New Roman"/>
      <w:kern w:val="2"/>
      <w:sz w:val="18"/>
      <w:szCs w:val="18"/>
    </w:rPr>
  </w:style>
  <w:style w:type="paragraph" w:customStyle="1" w:styleId="38">
    <w:name w:val="1 Char Char Char Char"/>
    <w:basedOn w:val="1"/>
    <w:qFormat/>
    <w:uiPriority w:val="0"/>
    <w:pPr>
      <w:widowControl w:val="0"/>
      <w:adjustRightInd/>
      <w:snapToGrid/>
      <w:spacing w:after="0"/>
      <w:jc w:val="both"/>
    </w:pPr>
    <w:rPr>
      <w:rFonts w:ascii="Calibri" w:hAnsi="Calibri" w:eastAsia="宋体" w:cs="Times New Roman"/>
      <w:kern w:val="2"/>
      <w:sz w:val="21"/>
    </w:rPr>
  </w:style>
  <w:style w:type="paragraph" w:customStyle="1" w:styleId="39">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40">
    <w:name w:val="09正文_wh"/>
    <w:qFormat/>
    <w:uiPriority w:val="0"/>
    <w:pPr>
      <w:spacing w:line="300" w:lineRule="auto"/>
      <w:ind w:firstLine="200" w:firstLineChars="200"/>
      <w:jc w:val="both"/>
    </w:pPr>
    <w:rPr>
      <w:rFonts w:ascii="Calibri" w:hAnsi="Calibri" w:eastAsia="宋体" w:cs="Times New Roman"/>
      <w:sz w:val="28"/>
      <w:lang w:val="en-US" w:eastAsia="zh-CN" w:bidi="ar-SA"/>
    </w:rPr>
  </w:style>
  <w:style w:type="paragraph" w:customStyle="1" w:styleId="41">
    <w:name w:val="Char"/>
    <w:basedOn w:val="1"/>
    <w:qFormat/>
    <w:uiPriority w:val="0"/>
    <w:pPr>
      <w:widowControl w:val="0"/>
      <w:adjustRightInd/>
      <w:snapToGrid/>
      <w:spacing w:after="0"/>
    </w:pPr>
    <w:rPr>
      <w:rFonts w:eastAsia="宋体" w:cs="Times New Roman"/>
      <w:bCs/>
      <w:kern w:val="2"/>
      <w:sz w:val="24"/>
      <w:szCs w:val="24"/>
    </w:rPr>
  </w:style>
  <w:style w:type="paragraph" w:customStyle="1" w:styleId="42">
    <w:name w:val="二级"/>
    <w:basedOn w:val="2"/>
    <w:qFormat/>
    <w:uiPriority w:val="0"/>
    <w:pPr>
      <w:keepNext w:val="0"/>
      <w:keepLines w:val="0"/>
      <w:widowControl/>
      <w:spacing w:before="200" w:after="0" w:line="360" w:lineRule="auto"/>
      <w:jc w:val="left"/>
    </w:pPr>
    <w:rPr>
      <w:rFonts w:ascii="Cambria" w:hAnsi="Cambria" w:eastAsia="宋体"/>
      <w:b w:val="0"/>
      <w:bCs w:val="0"/>
      <w:kern w:val="0"/>
      <w:sz w:val="21"/>
      <w:szCs w:val="21"/>
      <w:lang w:eastAsia="en-US"/>
    </w:rPr>
  </w:style>
  <w:style w:type="paragraph" w:customStyle="1" w:styleId="43">
    <w:name w:val="正文（正式）"/>
    <w:basedOn w:val="1"/>
    <w:qFormat/>
    <w:uiPriority w:val="0"/>
    <w:pPr>
      <w:widowControl w:val="0"/>
      <w:spacing w:after="0" w:line="312" w:lineRule="auto"/>
      <w:ind w:firstLine="200" w:firstLineChars="200"/>
      <w:jc w:val="both"/>
    </w:pPr>
    <w:rPr>
      <w:rFonts w:ascii="Times New Roman" w:hAnsi="Times New Roman" w:eastAsia="宋体" w:cs="Times New Roman"/>
      <w:bCs/>
      <w:kern w:val="2"/>
      <w:sz w:val="24"/>
      <w:szCs w:val="28"/>
    </w:rPr>
  </w:style>
  <w:style w:type="paragraph" w:customStyle="1" w:styleId="44">
    <w:name w:val="表内文字  居中"/>
    <w:basedOn w:val="1"/>
    <w:next w:val="43"/>
    <w:qFormat/>
    <w:uiPriority w:val="0"/>
    <w:pPr>
      <w:widowControl w:val="0"/>
      <w:adjustRightInd/>
      <w:snapToGrid/>
      <w:spacing w:after="0"/>
      <w:jc w:val="center"/>
    </w:pPr>
    <w:rPr>
      <w:rFonts w:ascii="Times New Roman" w:hAnsi="Times New Roman" w:eastAsia="宋体" w:cs="Times New Roman"/>
      <w:kern w:val="2"/>
      <w:sz w:val="21"/>
      <w:szCs w:val="24"/>
    </w:rPr>
  </w:style>
  <w:style w:type="paragraph" w:customStyle="1" w:styleId="45">
    <w:name w:val="标题行"/>
    <w:basedOn w:val="1"/>
    <w:next w:val="43"/>
    <w:qFormat/>
    <w:uiPriority w:val="0"/>
    <w:pPr>
      <w:widowControl w:val="0"/>
      <w:adjustRightInd/>
      <w:spacing w:after="0"/>
      <w:jc w:val="center"/>
    </w:pPr>
    <w:rPr>
      <w:rFonts w:ascii="Times New Roman" w:hAnsi="Times New Roman" w:eastAsia="宋体" w:cs="Times New Roman"/>
      <w:b/>
      <w:bCs/>
      <w:kern w:val="2"/>
      <w:sz w:val="21"/>
      <w:szCs w:val="24"/>
    </w:rPr>
  </w:style>
  <w:style w:type="character" w:customStyle="1" w:styleId="46">
    <w:name w:val="纯文本 Char3"/>
    <w:basedOn w:val="19"/>
    <w:qFormat/>
    <w:uiPriority w:val="0"/>
    <w:rPr>
      <w:rFonts w:hint="eastAsia" w:ascii="宋体" w:hAnsi="Courier New" w:eastAsia="宋体"/>
      <w:kern w:val="2"/>
      <w:sz w:val="24"/>
    </w:rPr>
  </w:style>
  <w:style w:type="character" w:customStyle="1" w:styleId="47">
    <w:name w:val="apple-converted-space"/>
    <w:basedOn w:val="19"/>
    <w:qFormat/>
    <w:uiPriority w:val="0"/>
  </w:style>
  <w:style w:type="character" w:customStyle="1" w:styleId="48">
    <w:name w:val="Char Char29"/>
    <w:basedOn w:val="19"/>
    <w:qFormat/>
    <w:uiPriority w:val="0"/>
    <w:rPr>
      <w:rFonts w:hint="eastAsia" w:ascii="宋体" w:hAnsi="宋体" w:eastAsia="宋体"/>
      <w:b/>
      <w:kern w:val="2"/>
      <w:sz w:val="24"/>
      <w:lang w:val="en-US" w:eastAsia="zh-CN" w:bidi="ar-SA"/>
    </w:rPr>
  </w:style>
  <w:style w:type="character" w:customStyle="1" w:styleId="49">
    <w:name w:val="页脚 Char1"/>
    <w:basedOn w:val="19"/>
    <w:link w:val="13"/>
    <w:semiHidden/>
    <w:qFormat/>
    <w:locked/>
    <w:uiPriority w:val="0"/>
    <w:rPr>
      <w:rFonts w:ascii="Calibri" w:hAnsi="Calibri" w:eastAsia="宋体" w:cs="Times New Roman"/>
      <w:sz w:val="18"/>
      <w:szCs w:val="18"/>
    </w:rPr>
  </w:style>
  <w:style w:type="character" w:customStyle="1" w:styleId="50">
    <w:name w:val="纯文本 Char1"/>
    <w:basedOn w:val="19"/>
    <w:link w:val="10"/>
    <w:semiHidden/>
    <w:qFormat/>
    <w:locked/>
    <w:uiPriority w:val="0"/>
    <w:rPr>
      <w:rFonts w:ascii="宋体" w:hAnsi="Courier New" w:eastAsia="宋体" w:cs="Courier New"/>
      <w:sz w:val="20"/>
      <w:szCs w:val="21"/>
    </w:rPr>
  </w:style>
  <w:style w:type="character" w:customStyle="1" w:styleId="51">
    <w:name w:val="页眉 Char1"/>
    <w:basedOn w:val="19"/>
    <w:link w:val="14"/>
    <w:semiHidden/>
    <w:qFormat/>
    <w:locked/>
    <w:uiPriority w:val="0"/>
    <w:rPr>
      <w:rFonts w:ascii="Calibri" w:hAnsi="Calibri" w:eastAsia="宋体" w:cs="Times New Roman"/>
      <w:sz w:val="18"/>
      <w:szCs w:val="18"/>
    </w:rPr>
  </w:style>
  <w:style w:type="paragraph" w:customStyle="1" w:styleId="52">
    <w:name w:val="列出段落2"/>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16058-5CAE-4C7A-A43A-709FC83D6C5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2099</Words>
  <Characters>11968</Characters>
  <Lines>99</Lines>
  <Paragraphs>28</Paragraphs>
  <TotalTime>0</TotalTime>
  <ScaleCrop>false</ScaleCrop>
  <LinksUpToDate>false</LinksUpToDate>
  <CharactersWithSpaces>14039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2018-07-11T10:08:00Z</dcterms:created>
  <dc:creator>Administrator</dc:creator>
  <cp:lastModifiedBy>Administrator</cp:lastModifiedBy>
  <cp:lastPrinted>2018-07-11T10:12:00Z</cp:lastPrinted>
  <dcterms:modified xsi:type="dcterms:W3CDTF">2020-11-13T07:29:53Z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