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b/>
          <w:sz w:val="48"/>
          <w:szCs w:val="48"/>
        </w:rPr>
      </w:pPr>
    </w:p>
    <w:p>
      <w:pPr>
        <w:adjustRightInd w:val="0"/>
        <w:spacing w:line="360" w:lineRule="auto"/>
        <w:jc w:val="center"/>
        <w:textAlignment w:val="baseline"/>
        <w:rPr>
          <w:rFonts w:ascii="宋体" w:hAnsi="宋体"/>
          <w:sz w:val="48"/>
          <w:szCs w:val="48"/>
        </w:rPr>
      </w:pPr>
    </w:p>
    <w:p>
      <w:pPr>
        <w:adjustRightInd w:val="0"/>
        <w:spacing w:line="360" w:lineRule="auto"/>
        <w:jc w:val="center"/>
        <w:textAlignment w:val="baseline"/>
        <w:rPr>
          <w:rFonts w:ascii="宋体" w:hAnsi="宋体"/>
          <w:sz w:val="32"/>
        </w:rPr>
      </w:pPr>
    </w:p>
    <w:p>
      <w:pPr>
        <w:pStyle w:val="29"/>
        <w:spacing w:before="0" w:after="0" w:line="360" w:lineRule="auto"/>
        <w:rPr>
          <w:rFonts w:ascii="宋体" w:hAnsi="宋体"/>
          <w:sz w:val="96"/>
        </w:rPr>
      </w:pPr>
      <w:bookmarkStart w:id="0" w:name="_Toc449568588"/>
      <w:r>
        <w:rPr>
          <w:rFonts w:hint="eastAsia" w:ascii="宋体" w:hAnsi="宋体"/>
          <w:sz w:val="96"/>
        </w:rPr>
        <w:t>竞争性磋商文件</w:t>
      </w:r>
      <w:bookmarkEnd w:id="0"/>
    </w:p>
    <w:p>
      <w:pPr>
        <w:adjustRightInd w:val="0"/>
        <w:spacing w:line="360" w:lineRule="auto"/>
        <w:jc w:val="both"/>
        <w:textAlignment w:val="baseline"/>
        <w:rPr>
          <w:rFonts w:ascii="宋体" w:hAnsi="宋体"/>
          <w:sz w:val="36"/>
          <w:szCs w:val="36"/>
        </w:rPr>
      </w:pPr>
    </w:p>
    <w:p>
      <w:pPr>
        <w:pStyle w:val="2"/>
        <w:rPr>
          <w:rFonts w:ascii="宋体" w:hAnsi="宋体"/>
          <w:sz w:val="36"/>
          <w:szCs w:val="36"/>
        </w:rPr>
      </w:pPr>
    </w:p>
    <w:p>
      <w:pPr>
        <w:rPr>
          <w:rFonts w:ascii="宋体" w:hAnsi="宋体"/>
          <w:sz w:val="36"/>
          <w:szCs w:val="36"/>
        </w:rPr>
      </w:pPr>
    </w:p>
    <w:p>
      <w:pPr>
        <w:pStyle w:val="2"/>
      </w:pPr>
    </w:p>
    <w:p>
      <w:pPr>
        <w:adjustRightInd w:val="0"/>
        <w:spacing w:line="360" w:lineRule="auto"/>
        <w:jc w:val="center"/>
        <w:textAlignment w:val="baseline"/>
        <w:rPr>
          <w:rFonts w:ascii="宋体" w:hAnsi="宋体"/>
          <w:sz w:val="36"/>
          <w:szCs w:val="36"/>
        </w:rPr>
      </w:pPr>
    </w:p>
    <w:p>
      <w:pPr>
        <w:spacing w:line="360" w:lineRule="auto"/>
        <w:ind w:left="2887" w:leftChars="304" w:hanging="2249" w:hangingChars="700"/>
        <w:rPr>
          <w:rFonts w:hint="default" w:ascii="宋体" w:hAnsi="宋体" w:eastAsia="宋体" w:cs="Arial"/>
          <w:b/>
          <w:kern w:val="0"/>
          <w:sz w:val="32"/>
          <w:szCs w:val="32"/>
          <w:lang w:val="en-US" w:eastAsia="zh-CN"/>
        </w:rPr>
      </w:pPr>
      <w:r>
        <w:rPr>
          <w:rFonts w:hint="eastAsia" w:ascii="宋体" w:hAnsi="宋体" w:cs="Arial"/>
          <w:b/>
          <w:kern w:val="0"/>
          <w:sz w:val="32"/>
          <w:szCs w:val="32"/>
        </w:rPr>
        <w:t>采购项目名称：</w:t>
      </w:r>
      <w:r>
        <w:rPr>
          <w:rFonts w:hint="eastAsia"/>
          <w:b/>
          <w:sz w:val="32"/>
          <w:lang w:eastAsia="zh-CN"/>
        </w:rPr>
        <w:t>公共文化活动室采购项目</w:t>
      </w:r>
    </w:p>
    <w:p>
      <w:pPr>
        <w:widowControl/>
        <w:adjustRightInd w:val="0"/>
        <w:snapToGrid w:val="0"/>
        <w:spacing w:line="360" w:lineRule="auto"/>
        <w:ind w:firstLine="643" w:firstLineChars="200"/>
        <w:jc w:val="left"/>
        <w:textAlignment w:val="baseline"/>
        <w:rPr>
          <w:rFonts w:hint="default" w:ascii="宋体" w:hAnsi="宋体" w:eastAsia="宋体" w:cs="Arial"/>
          <w:b/>
          <w:kern w:val="0"/>
          <w:sz w:val="32"/>
          <w:szCs w:val="32"/>
          <w:lang w:val="en-US" w:eastAsia="zh-CN"/>
        </w:rPr>
      </w:pPr>
      <w:r>
        <w:rPr>
          <w:rFonts w:hint="eastAsia" w:ascii="宋体" w:hAnsi="宋体" w:cs="Arial"/>
          <w:b/>
          <w:kern w:val="0"/>
          <w:sz w:val="32"/>
          <w:szCs w:val="32"/>
        </w:rPr>
        <w:t>采购项目编号：</w:t>
      </w:r>
      <w:r>
        <w:rPr>
          <w:rFonts w:hint="eastAsia" w:ascii="宋体" w:hAnsi="宋体" w:cs="Arial"/>
          <w:b/>
          <w:kern w:val="0"/>
          <w:sz w:val="32"/>
          <w:szCs w:val="32"/>
          <w:lang w:eastAsia="zh-CN"/>
        </w:rPr>
        <w:t>宿迁建威竞磋（货物）2020-019</w:t>
      </w:r>
    </w:p>
    <w:p>
      <w:pPr>
        <w:widowControl/>
        <w:adjustRightInd w:val="0"/>
        <w:snapToGrid w:val="0"/>
        <w:spacing w:line="360" w:lineRule="auto"/>
        <w:ind w:firstLine="643" w:firstLineChars="200"/>
        <w:jc w:val="left"/>
        <w:textAlignment w:val="baseline"/>
        <w:rPr>
          <w:rFonts w:hint="default" w:ascii="宋体" w:hAnsi="宋体"/>
          <w:sz w:val="32"/>
          <w:szCs w:val="32"/>
          <w:lang w:val="en-US"/>
        </w:rPr>
      </w:pPr>
      <w:r>
        <w:rPr>
          <w:rFonts w:hint="eastAsia" w:ascii="宋体" w:hAnsi="宋体" w:cs="Arial"/>
          <w:b/>
          <w:kern w:val="0"/>
          <w:sz w:val="32"/>
          <w:szCs w:val="32"/>
        </w:rPr>
        <w:t>采  购 单 位</w:t>
      </w:r>
      <w:r>
        <w:rPr>
          <w:rFonts w:hint="eastAsia" w:ascii="宋体" w:hAnsi="宋体"/>
          <w:sz w:val="32"/>
          <w:szCs w:val="32"/>
        </w:rPr>
        <w:t>：</w:t>
      </w:r>
      <w:r>
        <w:rPr>
          <w:rFonts w:hint="eastAsia" w:ascii="宋体" w:hAnsi="宋体" w:cs="Arial"/>
          <w:b/>
          <w:kern w:val="0"/>
          <w:sz w:val="32"/>
          <w:szCs w:val="32"/>
          <w:lang w:eastAsia="zh-CN"/>
        </w:rPr>
        <w:t>西宁市城东区文体旅游科技局</w:t>
      </w:r>
    </w:p>
    <w:p>
      <w:pPr>
        <w:widowControl/>
        <w:adjustRightInd w:val="0"/>
        <w:snapToGrid w:val="0"/>
        <w:spacing w:line="360" w:lineRule="auto"/>
        <w:ind w:firstLine="643" w:firstLineChars="200"/>
        <w:jc w:val="left"/>
        <w:textAlignment w:val="baseline"/>
        <w:rPr>
          <w:rFonts w:ascii="宋体" w:hAnsi="宋体"/>
          <w:b/>
          <w:bCs/>
          <w:sz w:val="32"/>
          <w:szCs w:val="32"/>
        </w:rPr>
      </w:pPr>
      <w:r>
        <w:rPr>
          <w:rFonts w:ascii="宋体" w:hAnsi="宋体"/>
          <w:b/>
          <w:bCs/>
          <w:sz w:val="32"/>
          <w:szCs w:val="32"/>
        </w:rPr>
        <w:t>采购代理机构</w:t>
      </w:r>
      <w:r>
        <w:rPr>
          <w:rFonts w:hint="eastAsia" w:ascii="宋体" w:hAnsi="宋体"/>
          <w:b/>
          <w:bCs/>
          <w:sz w:val="32"/>
          <w:szCs w:val="32"/>
        </w:rPr>
        <w:t>：宿迁建威工程咨询有限公司</w:t>
      </w:r>
    </w:p>
    <w:p>
      <w:pPr>
        <w:widowControl/>
        <w:adjustRightInd w:val="0"/>
        <w:snapToGrid w:val="0"/>
        <w:spacing w:line="360" w:lineRule="auto"/>
        <w:ind w:left="2681" w:leftChars="194" w:hanging="2274" w:hangingChars="708"/>
        <w:jc w:val="left"/>
        <w:textAlignment w:val="baseline"/>
        <w:rPr>
          <w:rFonts w:ascii="宋体" w:hAnsi="宋体"/>
          <w:b/>
          <w:bCs/>
          <w:sz w:val="32"/>
          <w:szCs w:val="32"/>
        </w:rPr>
      </w:pPr>
    </w:p>
    <w:p>
      <w:pPr>
        <w:adjustRightInd w:val="0"/>
        <w:spacing w:line="360" w:lineRule="auto"/>
        <w:jc w:val="center"/>
        <w:textAlignment w:val="baseline"/>
        <w:rPr>
          <w:rFonts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20</w:t>
      </w:r>
      <w:r>
        <w:rPr>
          <w:rFonts w:hint="eastAsia" w:ascii="宋体" w:hAnsi="宋体"/>
          <w:b/>
          <w:bCs/>
          <w:sz w:val="32"/>
          <w:szCs w:val="32"/>
        </w:rPr>
        <w:t>年</w:t>
      </w:r>
      <w:r>
        <w:rPr>
          <w:rFonts w:hint="eastAsia" w:ascii="宋体" w:hAnsi="宋体"/>
          <w:b/>
          <w:bCs/>
          <w:sz w:val="32"/>
          <w:szCs w:val="32"/>
          <w:lang w:val="en-US" w:eastAsia="zh-CN"/>
        </w:rPr>
        <w:t>9</w:t>
      </w:r>
      <w:r>
        <w:rPr>
          <w:rFonts w:hint="eastAsia" w:ascii="宋体" w:hAnsi="宋体"/>
          <w:b/>
          <w:bCs/>
          <w:sz w:val="32"/>
          <w:szCs w:val="32"/>
        </w:rPr>
        <w:t>月</w:t>
      </w:r>
    </w:p>
    <w:p>
      <w:pPr>
        <w:spacing w:line="360" w:lineRule="auto"/>
        <w:jc w:val="center"/>
        <w:rPr>
          <w:rFonts w:ascii="宋体" w:hAnsi="宋体"/>
          <w:sz w:val="24"/>
        </w:rPr>
      </w:pPr>
      <w:r>
        <w:rPr>
          <w:rFonts w:ascii="宋体" w:hAnsi="宋体"/>
        </w:rPr>
        <w:br w:type="page"/>
      </w:r>
      <w:r>
        <w:rPr>
          <w:rFonts w:ascii="宋体" w:hAnsi="宋体"/>
          <w:b/>
          <w:sz w:val="48"/>
          <w:szCs w:val="48"/>
        </w:rPr>
        <w:t>目录</w:t>
      </w:r>
    </w:p>
    <w:p>
      <w:pPr>
        <w:pStyle w:val="22"/>
        <w:jc w:val="center"/>
        <w:rPr>
          <w:rFonts w:asciiTheme="minorHAnsi" w:hAnsiTheme="minorHAnsi" w:eastAsiaTheme="minorEastAsia" w:cstheme="minorBidi"/>
          <w:sz w:val="24"/>
          <w:szCs w:val="22"/>
        </w:rPr>
      </w:pPr>
      <w:r>
        <w:rPr>
          <w:rFonts w:ascii="宋体" w:hAnsi="宋体"/>
          <w:sz w:val="24"/>
        </w:rPr>
        <w:fldChar w:fldCharType="begin"/>
      </w:r>
      <w:r>
        <w:rPr>
          <w:rFonts w:ascii="宋体" w:hAnsi="宋体"/>
          <w:sz w:val="24"/>
        </w:rPr>
        <w:instrText xml:space="preserve"> TOC \h \z \t "标题 1,1,标题 2,1,标题 3,1,标题 4,1,标题 5,1,标题 6,1,标题 7,1,副标题,1" </w:instrText>
      </w:r>
      <w:r>
        <w:rPr>
          <w:rFonts w:ascii="宋体" w:hAnsi="宋体"/>
          <w:sz w:val="24"/>
        </w:rPr>
        <w:fldChar w:fldCharType="separate"/>
      </w:r>
      <w:r>
        <w:fldChar w:fldCharType="begin"/>
      </w:r>
      <w:r>
        <w:instrText xml:space="preserve"> HYPERLINK \l "_Toc1575293" </w:instrText>
      </w:r>
      <w:r>
        <w:fldChar w:fldCharType="separate"/>
      </w:r>
      <w:r>
        <w:rPr>
          <w:rStyle w:val="43"/>
          <w:rFonts w:hint="eastAsia" w:ascii="宋体" w:hAnsi="宋体"/>
          <w:sz w:val="24"/>
        </w:rPr>
        <w:t>第一部分磋商邀请</w:t>
      </w:r>
      <w:r>
        <w:rPr>
          <w:sz w:val="24"/>
        </w:rPr>
        <w:tab/>
      </w:r>
      <w:r>
        <w:rPr>
          <w:sz w:val="24"/>
        </w:rPr>
        <w:fldChar w:fldCharType="begin"/>
      </w:r>
      <w:r>
        <w:rPr>
          <w:sz w:val="24"/>
        </w:rPr>
        <w:instrText xml:space="preserve"> PAGEREF _Toc1575293 \h </w:instrText>
      </w:r>
      <w:r>
        <w:rPr>
          <w:sz w:val="24"/>
        </w:rPr>
        <w:fldChar w:fldCharType="separate"/>
      </w:r>
      <w:r>
        <w:rPr>
          <w:sz w:val="24"/>
        </w:rPr>
        <w:t>2</w:t>
      </w:r>
      <w:r>
        <w:rPr>
          <w:sz w:val="24"/>
        </w:rPr>
        <w:fldChar w:fldCharType="end"/>
      </w:r>
      <w:r>
        <w:rPr>
          <w:sz w:val="24"/>
        </w:rPr>
        <w:fldChar w:fldCharType="end"/>
      </w:r>
    </w:p>
    <w:p>
      <w:pPr>
        <w:pStyle w:val="22"/>
        <w:jc w:val="center"/>
        <w:rPr>
          <w:rFonts w:asciiTheme="minorHAnsi" w:hAnsiTheme="minorHAnsi" w:eastAsiaTheme="minorEastAsia" w:cstheme="minorBidi"/>
          <w:sz w:val="24"/>
          <w:szCs w:val="22"/>
        </w:rPr>
      </w:pPr>
      <w:r>
        <w:fldChar w:fldCharType="begin"/>
      </w:r>
      <w:r>
        <w:instrText xml:space="preserve"> HYPERLINK \l "_Toc1575294" </w:instrText>
      </w:r>
      <w:r>
        <w:fldChar w:fldCharType="separate"/>
      </w:r>
      <w:r>
        <w:rPr>
          <w:rStyle w:val="43"/>
          <w:rFonts w:hint="eastAsia" w:ascii="宋体" w:hAnsi="宋体"/>
          <w:sz w:val="24"/>
        </w:rPr>
        <w:t>第二部分磋商供应商须知前附表</w:t>
      </w:r>
      <w:r>
        <w:rPr>
          <w:sz w:val="24"/>
        </w:rPr>
        <w:tab/>
      </w:r>
      <w:r>
        <w:rPr>
          <w:sz w:val="24"/>
        </w:rPr>
        <w:fldChar w:fldCharType="begin"/>
      </w:r>
      <w:r>
        <w:rPr>
          <w:sz w:val="24"/>
        </w:rPr>
        <w:instrText xml:space="preserve"> PAGEREF _Toc1575294 \h </w:instrText>
      </w:r>
      <w:r>
        <w:rPr>
          <w:sz w:val="24"/>
        </w:rPr>
        <w:fldChar w:fldCharType="separate"/>
      </w:r>
      <w:r>
        <w:rPr>
          <w:sz w:val="24"/>
        </w:rPr>
        <w:t>4</w:t>
      </w:r>
      <w:r>
        <w:rPr>
          <w:sz w:val="24"/>
        </w:rPr>
        <w:fldChar w:fldCharType="end"/>
      </w:r>
      <w:r>
        <w:rPr>
          <w:sz w:val="24"/>
        </w:rPr>
        <w:fldChar w:fldCharType="end"/>
      </w:r>
    </w:p>
    <w:p>
      <w:pPr>
        <w:pStyle w:val="22"/>
        <w:jc w:val="center"/>
        <w:rPr>
          <w:rFonts w:asciiTheme="minorHAnsi" w:hAnsiTheme="minorHAnsi" w:eastAsiaTheme="minorEastAsia" w:cstheme="minorBidi"/>
          <w:sz w:val="24"/>
          <w:szCs w:val="22"/>
        </w:rPr>
      </w:pPr>
      <w:r>
        <w:fldChar w:fldCharType="begin"/>
      </w:r>
      <w:r>
        <w:instrText xml:space="preserve"> HYPERLINK \l "_Toc1575295" </w:instrText>
      </w:r>
      <w:r>
        <w:fldChar w:fldCharType="separate"/>
      </w:r>
      <w:r>
        <w:rPr>
          <w:rStyle w:val="43"/>
          <w:rFonts w:hint="eastAsia" w:ascii="宋体" w:hAnsi="宋体"/>
          <w:sz w:val="24"/>
        </w:rPr>
        <w:t>第三部分磋商供应商须知</w:t>
      </w:r>
      <w:r>
        <w:rPr>
          <w:sz w:val="24"/>
        </w:rPr>
        <w:tab/>
      </w:r>
      <w:r>
        <w:rPr>
          <w:sz w:val="24"/>
        </w:rPr>
        <w:fldChar w:fldCharType="begin"/>
      </w:r>
      <w:r>
        <w:rPr>
          <w:sz w:val="24"/>
        </w:rPr>
        <w:instrText xml:space="preserve"> PAGEREF _Toc1575295 \h </w:instrText>
      </w:r>
      <w:r>
        <w:rPr>
          <w:sz w:val="24"/>
        </w:rPr>
        <w:fldChar w:fldCharType="separate"/>
      </w:r>
      <w:r>
        <w:rPr>
          <w:sz w:val="24"/>
        </w:rPr>
        <w:t>7</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"_Toc1575296" </w:instrText>
      </w:r>
      <w:r>
        <w:fldChar w:fldCharType="separate"/>
      </w:r>
      <w:r>
        <w:rPr>
          <w:rStyle w:val="43"/>
          <w:rFonts w:hint="eastAsia" w:hAnsi="宋体"/>
          <w:sz w:val="24"/>
        </w:rPr>
        <w:t>一、说明</w:t>
      </w:r>
      <w:r>
        <w:rPr>
          <w:sz w:val="24"/>
        </w:rPr>
        <w:tab/>
      </w:r>
      <w:r>
        <w:rPr>
          <w:sz w:val="24"/>
        </w:rPr>
        <w:fldChar w:fldCharType="begin"/>
      </w:r>
      <w:r>
        <w:rPr>
          <w:sz w:val="24"/>
        </w:rPr>
        <w:instrText xml:space="preserve"> PAGEREF _Toc1575296 \h </w:instrText>
      </w:r>
      <w:r>
        <w:rPr>
          <w:sz w:val="24"/>
        </w:rPr>
        <w:fldChar w:fldCharType="separate"/>
      </w:r>
      <w:r>
        <w:rPr>
          <w:sz w:val="24"/>
        </w:rPr>
        <w:t>7</w:t>
      </w:r>
      <w:r>
        <w:rPr>
          <w:sz w:val="24"/>
        </w:rPr>
        <w:fldChar w:fldCharType="end"/>
      </w:r>
      <w:r>
        <w:rPr>
          <w:sz w:val="24"/>
        </w:rPr>
        <w:fldChar w:fldCharType="end"/>
      </w:r>
    </w:p>
    <w:p>
      <w:pPr>
        <w:pStyle w:val="22"/>
        <w:tabs>
          <w:tab w:val="left" w:pos="630"/>
        </w:tabs>
        <w:jc w:val="center"/>
        <w:rPr>
          <w:rFonts w:asciiTheme="minorHAnsi" w:hAnsiTheme="minorHAnsi" w:eastAsiaTheme="minorEastAsia" w:cstheme="minorBidi"/>
          <w:sz w:val="24"/>
          <w:szCs w:val="22"/>
        </w:rPr>
      </w:pPr>
      <w:r>
        <w:fldChar w:fldCharType="begin"/>
      </w:r>
      <w:r>
        <w:instrText xml:space="preserve"> HYPERLINK \l "_Toc1575297" </w:instrText>
      </w:r>
      <w:r>
        <w:fldChar w:fldCharType="separate"/>
      </w:r>
      <w:r>
        <w:rPr>
          <w:rStyle w:val="43"/>
          <w:rFonts w:hint="eastAsia" w:ascii="宋体" w:hAnsi="宋体"/>
          <w:sz w:val="24"/>
        </w:rPr>
        <w:t>1、磋商内容及要求</w:t>
      </w:r>
      <w:r>
        <w:rPr>
          <w:sz w:val="24"/>
        </w:rPr>
        <w:tab/>
      </w:r>
      <w:r>
        <w:rPr>
          <w:sz w:val="24"/>
        </w:rPr>
        <w:fldChar w:fldCharType="begin"/>
      </w:r>
      <w:r>
        <w:rPr>
          <w:sz w:val="24"/>
        </w:rPr>
        <w:instrText xml:space="preserve"> PAGEREF _Toc1575297 \h </w:instrText>
      </w:r>
      <w:r>
        <w:rPr>
          <w:sz w:val="24"/>
        </w:rPr>
        <w:fldChar w:fldCharType="separate"/>
      </w:r>
      <w:r>
        <w:rPr>
          <w:sz w:val="24"/>
        </w:rPr>
        <w:t>7</w:t>
      </w:r>
      <w:r>
        <w:rPr>
          <w:sz w:val="24"/>
        </w:rPr>
        <w:fldChar w:fldCharType="end"/>
      </w:r>
      <w:r>
        <w:rPr>
          <w:sz w:val="24"/>
        </w:rPr>
        <w:fldChar w:fldCharType="end"/>
      </w:r>
    </w:p>
    <w:p>
      <w:pPr>
        <w:pStyle w:val="22"/>
        <w:tabs>
          <w:tab w:val="left" w:pos="630"/>
        </w:tabs>
        <w:jc w:val="center"/>
        <w:rPr>
          <w:rFonts w:asciiTheme="minorHAnsi" w:hAnsiTheme="minorHAnsi" w:eastAsiaTheme="minorEastAsia" w:cstheme="minorBidi"/>
          <w:sz w:val="24"/>
          <w:szCs w:val="22"/>
        </w:rPr>
      </w:pPr>
      <w:r>
        <w:fldChar w:fldCharType="begin"/>
      </w:r>
      <w:r>
        <w:instrText xml:space="preserve"> HYPERLINK \l "_Toc1575298" </w:instrText>
      </w:r>
      <w:r>
        <w:fldChar w:fldCharType="separate"/>
      </w:r>
      <w:r>
        <w:rPr>
          <w:rStyle w:val="43"/>
          <w:rFonts w:hint="eastAsia" w:ascii="宋体" w:hAnsi="宋体"/>
          <w:sz w:val="24"/>
        </w:rPr>
        <w:t>2、采购方式、合格的磋商供应商</w:t>
      </w:r>
      <w:r>
        <w:rPr>
          <w:sz w:val="24"/>
        </w:rPr>
        <w:tab/>
      </w:r>
      <w:r>
        <w:rPr>
          <w:sz w:val="24"/>
        </w:rPr>
        <w:fldChar w:fldCharType="begin"/>
      </w:r>
      <w:r>
        <w:rPr>
          <w:sz w:val="24"/>
        </w:rPr>
        <w:instrText xml:space="preserve"> PAGEREF _Toc1575298 \h </w:instrText>
      </w:r>
      <w:r>
        <w:rPr>
          <w:sz w:val="24"/>
        </w:rPr>
        <w:fldChar w:fldCharType="separate"/>
      </w:r>
      <w:r>
        <w:rPr>
          <w:sz w:val="24"/>
        </w:rPr>
        <w:t>7</w:t>
      </w:r>
      <w:r>
        <w:rPr>
          <w:sz w:val="24"/>
        </w:rPr>
        <w:fldChar w:fldCharType="end"/>
      </w:r>
      <w:r>
        <w:rPr>
          <w:sz w:val="24"/>
        </w:rPr>
        <w:fldChar w:fldCharType="end"/>
      </w:r>
    </w:p>
    <w:p>
      <w:pPr>
        <w:pStyle w:val="22"/>
        <w:tabs>
          <w:tab w:val="left" w:pos="630"/>
        </w:tabs>
        <w:jc w:val="center"/>
        <w:rPr>
          <w:rFonts w:asciiTheme="minorHAnsi" w:hAnsiTheme="minorHAnsi" w:eastAsiaTheme="minorEastAsia" w:cstheme="minorBidi"/>
          <w:sz w:val="24"/>
          <w:szCs w:val="22"/>
        </w:rPr>
      </w:pPr>
      <w:r>
        <w:fldChar w:fldCharType="begin"/>
      </w:r>
      <w:r>
        <w:instrText xml:space="preserve"> HYPERLINK \l "_Toc1575299" </w:instrText>
      </w:r>
      <w:r>
        <w:fldChar w:fldCharType="separate"/>
      </w:r>
      <w:r>
        <w:rPr>
          <w:rStyle w:val="43"/>
          <w:rFonts w:hint="eastAsia" w:ascii="宋体" w:hAnsi="宋体"/>
          <w:sz w:val="24"/>
        </w:rPr>
        <w:t>3、磋商费用</w:t>
      </w:r>
      <w:r>
        <w:rPr>
          <w:sz w:val="24"/>
        </w:rPr>
        <w:tab/>
      </w:r>
      <w:r>
        <w:rPr>
          <w:sz w:val="24"/>
        </w:rPr>
        <w:fldChar w:fldCharType="begin"/>
      </w:r>
      <w:r>
        <w:rPr>
          <w:sz w:val="24"/>
        </w:rPr>
        <w:instrText xml:space="preserve"> PAGEREF _Toc1575299 \h </w:instrText>
      </w:r>
      <w:r>
        <w:rPr>
          <w:sz w:val="24"/>
        </w:rPr>
        <w:fldChar w:fldCharType="separate"/>
      </w:r>
      <w:r>
        <w:rPr>
          <w:sz w:val="24"/>
        </w:rPr>
        <w:t>7</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"_Toc1575300" </w:instrText>
      </w:r>
      <w:r>
        <w:fldChar w:fldCharType="separate"/>
      </w:r>
      <w:r>
        <w:rPr>
          <w:rStyle w:val="43"/>
          <w:rFonts w:hint="eastAsia" w:hAnsi="宋体"/>
          <w:sz w:val="24"/>
        </w:rPr>
        <w:t>二、磋商文件说明</w:t>
      </w:r>
      <w:r>
        <w:rPr>
          <w:sz w:val="24"/>
        </w:rPr>
        <w:tab/>
      </w:r>
      <w:r>
        <w:rPr>
          <w:sz w:val="24"/>
        </w:rPr>
        <w:fldChar w:fldCharType="begin"/>
      </w:r>
      <w:r>
        <w:rPr>
          <w:sz w:val="24"/>
        </w:rPr>
        <w:instrText xml:space="preserve"> PAGEREF _Toc1575300 \h </w:instrText>
      </w:r>
      <w:r>
        <w:rPr>
          <w:sz w:val="24"/>
        </w:rPr>
        <w:fldChar w:fldCharType="separate"/>
      </w:r>
      <w:r>
        <w:rPr>
          <w:sz w:val="24"/>
        </w:rPr>
        <w:t>7</w:t>
      </w:r>
      <w:r>
        <w:rPr>
          <w:sz w:val="24"/>
        </w:rPr>
        <w:fldChar w:fldCharType="end"/>
      </w:r>
      <w:r>
        <w:rPr>
          <w:sz w:val="24"/>
        </w:rPr>
        <w:fldChar w:fldCharType="end"/>
      </w:r>
    </w:p>
    <w:p>
      <w:pPr>
        <w:pStyle w:val="22"/>
        <w:tabs>
          <w:tab w:val="left" w:pos="630"/>
        </w:tabs>
        <w:jc w:val="center"/>
        <w:rPr>
          <w:rFonts w:asciiTheme="minorHAnsi" w:hAnsiTheme="minorHAnsi" w:eastAsiaTheme="minorEastAsia" w:cstheme="minorBidi"/>
          <w:sz w:val="24"/>
          <w:szCs w:val="22"/>
        </w:rPr>
      </w:pPr>
      <w:r>
        <w:fldChar w:fldCharType="begin"/>
      </w:r>
      <w:r>
        <w:instrText xml:space="preserve"> HYPERLINK \l "_Toc1575301" </w:instrText>
      </w:r>
      <w:r>
        <w:fldChar w:fldCharType="separate"/>
      </w:r>
      <w:r>
        <w:rPr>
          <w:rStyle w:val="43"/>
          <w:rFonts w:hint="eastAsia" w:ascii="宋体" w:hAnsi="宋体"/>
          <w:sz w:val="24"/>
        </w:rPr>
        <w:t>4、磋商文件的构成</w:t>
      </w:r>
      <w:r>
        <w:rPr>
          <w:sz w:val="24"/>
        </w:rPr>
        <w:tab/>
      </w:r>
      <w:r>
        <w:rPr>
          <w:sz w:val="24"/>
        </w:rPr>
        <w:fldChar w:fldCharType="begin"/>
      </w:r>
      <w:r>
        <w:rPr>
          <w:sz w:val="24"/>
        </w:rPr>
        <w:instrText xml:space="preserve"> PAGEREF _Toc1575301 \h </w:instrText>
      </w:r>
      <w:r>
        <w:rPr>
          <w:sz w:val="24"/>
        </w:rPr>
        <w:fldChar w:fldCharType="separate"/>
      </w:r>
      <w:r>
        <w:rPr>
          <w:sz w:val="24"/>
        </w:rPr>
        <w:t>8</w:t>
      </w:r>
      <w:r>
        <w:rPr>
          <w:sz w:val="24"/>
        </w:rPr>
        <w:fldChar w:fldCharType="end"/>
      </w:r>
      <w:r>
        <w:rPr>
          <w:sz w:val="24"/>
        </w:rPr>
        <w:fldChar w:fldCharType="end"/>
      </w:r>
    </w:p>
    <w:p>
      <w:pPr>
        <w:pStyle w:val="22"/>
        <w:tabs>
          <w:tab w:val="left" w:pos="630"/>
        </w:tabs>
        <w:jc w:val="center"/>
        <w:rPr>
          <w:rFonts w:asciiTheme="minorHAnsi" w:hAnsiTheme="minorHAnsi" w:eastAsiaTheme="minorEastAsia" w:cstheme="minorBidi"/>
          <w:sz w:val="24"/>
          <w:szCs w:val="22"/>
        </w:rPr>
      </w:pPr>
      <w:r>
        <w:fldChar w:fldCharType="begin"/>
      </w:r>
      <w:r>
        <w:instrText xml:space="preserve"> HYPERLINK \l "_Toc1575302" </w:instrText>
      </w:r>
      <w:r>
        <w:fldChar w:fldCharType="separate"/>
      </w:r>
      <w:r>
        <w:rPr>
          <w:rStyle w:val="43"/>
          <w:rFonts w:hint="eastAsia" w:ascii="宋体" w:hAnsi="宋体"/>
          <w:sz w:val="24"/>
        </w:rPr>
        <w:t>5、磋商文件、磋商活动和中标结果的质疑</w:t>
      </w:r>
      <w:r>
        <w:rPr>
          <w:sz w:val="24"/>
        </w:rPr>
        <w:tab/>
      </w:r>
      <w:r>
        <w:rPr>
          <w:sz w:val="24"/>
        </w:rPr>
        <w:fldChar w:fldCharType="begin"/>
      </w:r>
      <w:r>
        <w:rPr>
          <w:sz w:val="24"/>
        </w:rPr>
        <w:instrText xml:space="preserve"> PAGEREF _Toc1575302 \h </w:instrText>
      </w:r>
      <w:r>
        <w:rPr>
          <w:sz w:val="24"/>
        </w:rPr>
        <w:fldChar w:fldCharType="separate"/>
      </w:r>
      <w:r>
        <w:rPr>
          <w:sz w:val="24"/>
        </w:rPr>
        <w:t>8</w:t>
      </w:r>
      <w:r>
        <w:rPr>
          <w:sz w:val="24"/>
        </w:rPr>
        <w:fldChar w:fldCharType="end"/>
      </w:r>
      <w:r>
        <w:rPr>
          <w:sz w:val="24"/>
        </w:rPr>
        <w:fldChar w:fldCharType="end"/>
      </w:r>
    </w:p>
    <w:p>
      <w:pPr>
        <w:pStyle w:val="22"/>
        <w:tabs>
          <w:tab w:val="left" w:pos="630"/>
        </w:tabs>
        <w:jc w:val="center"/>
        <w:rPr>
          <w:rFonts w:asciiTheme="minorHAnsi" w:hAnsiTheme="minorHAnsi" w:eastAsiaTheme="minorEastAsia" w:cstheme="minorBidi"/>
          <w:sz w:val="24"/>
          <w:szCs w:val="22"/>
        </w:rPr>
      </w:pPr>
      <w:r>
        <w:fldChar w:fldCharType="begin"/>
      </w:r>
      <w:r>
        <w:instrText xml:space="preserve"> HYPERLINK \l "_Toc1575303" </w:instrText>
      </w:r>
      <w:r>
        <w:fldChar w:fldCharType="separate"/>
      </w:r>
      <w:r>
        <w:rPr>
          <w:rStyle w:val="43"/>
          <w:rFonts w:hint="eastAsia" w:ascii="宋体" w:hAnsi="宋体"/>
          <w:sz w:val="24"/>
        </w:rPr>
        <w:t>6、磋商文件的修改</w:t>
      </w:r>
      <w:r>
        <w:rPr>
          <w:sz w:val="24"/>
        </w:rPr>
        <w:tab/>
      </w:r>
      <w:r>
        <w:rPr>
          <w:sz w:val="24"/>
        </w:rPr>
        <w:fldChar w:fldCharType="begin"/>
      </w:r>
      <w:r>
        <w:rPr>
          <w:sz w:val="24"/>
        </w:rPr>
        <w:instrText xml:space="preserve"> PAGEREF _Toc1575303 \h </w:instrText>
      </w:r>
      <w:r>
        <w:rPr>
          <w:sz w:val="24"/>
        </w:rPr>
        <w:fldChar w:fldCharType="separate"/>
      </w:r>
      <w:r>
        <w:rPr>
          <w:sz w:val="24"/>
        </w:rPr>
        <w:t>9</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"_Toc1575304" </w:instrText>
      </w:r>
      <w:r>
        <w:fldChar w:fldCharType="separate"/>
      </w:r>
      <w:r>
        <w:rPr>
          <w:rStyle w:val="43"/>
          <w:rFonts w:hint="eastAsia" w:hAnsi="宋体"/>
          <w:sz w:val="24"/>
        </w:rPr>
        <w:t>三、磋商响应文件的编写</w:t>
      </w:r>
      <w:r>
        <w:rPr>
          <w:sz w:val="24"/>
        </w:rPr>
        <w:tab/>
      </w:r>
      <w:r>
        <w:rPr>
          <w:sz w:val="24"/>
        </w:rPr>
        <w:fldChar w:fldCharType="begin"/>
      </w:r>
      <w:r>
        <w:rPr>
          <w:sz w:val="24"/>
        </w:rPr>
        <w:instrText xml:space="preserve"> PAGEREF _Toc1575304 \h </w:instrText>
      </w:r>
      <w:r>
        <w:rPr>
          <w:sz w:val="24"/>
        </w:rPr>
        <w:fldChar w:fldCharType="separate"/>
      </w:r>
      <w:r>
        <w:rPr>
          <w:sz w:val="24"/>
        </w:rPr>
        <w:t>9</w:t>
      </w:r>
      <w:r>
        <w:rPr>
          <w:sz w:val="24"/>
        </w:rPr>
        <w:fldChar w:fldCharType="end"/>
      </w:r>
      <w:r>
        <w:rPr>
          <w:sz w:val="24"/>
        </w:rPr>
        <w:fldChar w:fldCharType="end"/>
      </w:r>
    </w:p>
    <w:p>
      <w:pPr>
        <w:pStyle w:val="22"/>
        <w:tabs>
          <w:tab w:val="left" w:pos="630"/>
        </w:tabs>
        <w:jc w:val="center"/>
        <w:rPr>
          <w:rFonts w:asciiTheme="minorHAnsi" w:hAnsiTheme="minorHAnsi" w:eastAsiaTheme="minorEastAsia" w:cstheme="minorBidi"/>
          <w:sz w:val="24"/>
          <w:szCs w:val="22"/>
        </w:rPr>
      </w:pPr>
      <w:r>
        <w:fldChar w:fldCharType="begin"/>
      </w:r>
      <w:r>
        <w:instrText xml:space="preserve"> HYPERLINK \l "_Toc1575305" </w:instrText>
      </w:r>
      <w:r>
        <w:fldChar w:fldCharType="separate"/>
      </w:r>
      <w:r>
        <w:rPr>
          <w:rStyle w:val="43"/>
          <w:rFonts w:hint="eastAsia" w:ascii="宋体" w:hAnsi="宋体"/>
          <w:sz w:val="24"/>
        </w:rPr>
        <w:t>7、磋商响应文件的语言及度量衡单位</w:t>
      </w:r>
      <w:r>
        <w:rPr>
          <w:sz w:val="24"/>
        </w:rPr>
        <w:tab/>
      </w:r>
      <w:r>
        <w:rPr>
          <w:sz w:val="24"/>
        </w:rPr>
        <w:fldChar w:fldCharType="begin"/>
      </w:r>
      <w:r>
        <w:rPr>
          <w:sz w:val="24"/>
        </w:rPr>
        <w:instrText xml:space="preserve"> PAGEREF _Toc1575305 \h </w:instrText>
      </w:r>
      <w:r>
        <w:rPr>
          <w:sz w:val="24"/>
        </w:rPr>
        <w:fldChar w:fldCharType="separate"/>
      </w:r>
      <w:r>
        <w:rPr>
          <w:sz w:val="24"/>
        </w:rPr>
        <w:t>9</w:t>
      </w:r>
      <w:r>
        <w:rPr>
          <w:sz w:val="24"/>
        </w:rPr>
        <w:fldChar w:fldCharType="end"/>
      </w:r>
      <w:r>
        <w:rPr>
          <w:sz w:val="24"/>
        </w:rPr>
        <w:fldChar w:fldCharType="end"/>
      </w:r>
    </w:p>
    <w:p>
      <w:pPr>
        <w:pStyle w:val="22"/>
        <w:tabs>
          <w:tab w:val="left" w:pos="630"/>
        </w:tabs>
        <w:jc w:val="center"/>
        <w:rPr>
          <w:rFonts w:asciiTheme="minorHAnsi" w:hAnsiTheme="minorHAnsi" w:eastAsiaTheme="minorEastAsia" w:cstheme="minorBidi"/>
          <w:sz w:val="24"/>
          <w:szCs w:val="22"/>
        </w:rPr>
      </w:pPr>
      <w:r>
        <w:fldChar w:fldCharType="begin"/>
      </w:r>
      <w:r>
        <w:instrText xml:space="preserve"> HYPERLINK \l "_Toc1575306" </w:instrText>
      </w:r>
      <w:r>
        <w:fldChar w:fldCharType="separate"/>
      </w:r>
      <w:r>
        <w:rPr>
          <w:rStyle w:val="43"/>
          <w:rFonts w:hint="eastAsia" w:ascii="宋体" w:hAnsi="宋体"/>
          <w:sz w:val="24"/>
        </w:rPr>
        <w:t>8、磋商报价及币种</w:t>
      </w:r>
      <w:r>
        <w:rPr>
          <w:sz w:val="24"/>
        </w:rPr>
        <w:tab/>
      </w:r>
      <w:r>
        <w:rPr>
          <w:sz w:val="24"/>
        </w:rPr>
        <w:fldChar w:fldCharType="begin"/>
      </w:r>
      <w:r>
        <w:rPr>
          <w:sz w:val="24"/>
        </w:rPr>
        <w:instrText xml:space="preserve"> PAGEREF _Toc1575306 \h </w:instrText>
      </w:r>
      <w:r>
        <w:rPr>
          <w:sz w:val="24"/>
        </w:rPr>
        <w:fldChar w:fldCharType="separate"/>
      </w:r>
      <w:r>
        <w:rPr>
          <w:sz w:val="24"/>
        </w:rPr>
        <w:t>9</w:t>
      </w:r>
      <w:r>
        <w:rPr>
          <w:sz w:val="24"/>
        </w:rPr>
        <w:fldChar w:fldCharType="end"/>
      </w:r>
      <w:r>
        <w:rPr>
          <w:sz w:val="24"/>
        </w:rPr>
        <w:fldChar w:fldCharType="end"/>
      </w:r>
    </w:p>
    <w:p>
      <w:pPr>
        <w:pStyle w:val="22"/>
        <w:tabs>
          <w:tab w:val="left" w:pos="630"/>
        </w:tabs>
        <w:jc w:val="center"/>
        <w:rPr>
          <w:rFonts w:asciiTheme="minorHAnsi" w:hAnsiTheme="minorHAnsi" w:eastAsiaTheme="minorEastAsia" w:cstheme="minorBidi"/>
          <w:sz w:val="24"/>
          <w:szCs w:val="22"/>
        </w:rPr>
      </w:pPr>
      <w:r>
        <w:fldChar w:fldCharType="begin"/>
      </w:r>
      <w:r>
        <w:instrText xml:space="preserve"> HYPERLINK \l "_Toc1575307" </w:instrText>
      </w:r>
      <w:r>
        <w:fldChar w:fldCharType="separate"/>
      </w:r>
      <w:r>
        <w:rPr>
          <w:rStyle w:val="43"/>
          <w:rFonts w:hint="eastAsia" w:ascii="宋体" w:hAnsi="宋体"/>
          <w:sz w:val="24"/>
        </w:rPr>
        <w:t>9、磋商保证金</w:t>
      </w:r>
      <w:r>
        <w:rPr>
          <w:sz w:val="24"/>
        </w:rPr>
        <w:tab/>
      </w:r>
      <w:r>
        <w:rPr>
          <w:sz w:val="24"/>
        </w:rPr>
        <w:fldChar w:fldCharType="begin"/>
      </w:r>
      <w:r>
        <w:rPr>
          <w:sz w:val="24"/>
        </w:rPr>
        <w:instrText xml:space="preserve"> PAGEREF _Toc1575307 \h </w:instrText>
      </w:r>
      <w:r>
        <w:rPr>
          <w:sz w:val="24"/>
        </w:rPr>
        <w:fldChar w:fldCharType="separate"/>
      </w:r>
      <w:r>
        <w:rPr>
          <w:sz w:val="24"/>
        </w:rPr>
        <w:t>10</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"_Toc1575308" </w:instrText>
      </w:r>
      <w:r>
        <w:fldChar w:fldCharType="separate"/>
      </w:r>
      <w:r>
        <w:rPr>
          <w:rStyle w:val="43"/>
          <w:rFonts w:hint="eastAsia" w:ascii="宋体" w:hAnsi="宋体"/>
          <w:sz w:val="24"/>
        </w:rPr>
        <w:t>10、磋商有效期</w:t>
      </w:r>
      <w:r>
        <w:rPr>
          <w:sz w:val="24"/>
        </w:rPr>
        <w:tab/>
      </w:r>
      <w:r>
        <w:rPr>
          <w:sz w:val="24"/>
        </w:rPr>
        <w:fldChar w:fldCharType="begin"/>
      </w:r>
      <w:r>
        <w:rPr>
          <w:sz w:val="24"/>
        </w:rPr>
        <w:instrText xml:space="preserve"> PAGEREF _Toc1575308 \h </w:instrText>
      </w:r>
      <w:r>
        <w:rPr>
          <w:sz w:val="24"/>
        </w:rPr>
        <w:fldChar w:fldCharType="separate"/>
      </w:r>
      <w:r>
        <w:rPr>
          <w:sz w:val="24"/>
        </w:rPr>
        <w:t>10</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"_Toc1575309" </w:instrText>
      </w:r>
      <w:r>
        <w:fldChar w:fldCharType="separate"/>
      </w:r>
      <w:r>
        <w:rPr>
          <w:rStyle w:val="43"/>
          <w:rFonts w:hint="eastAsia" w:ascii="宋体" w:hAnsi="宋体"/>
          <w:sz w:val="24"/>
        </w:rPr>
        <w:t>11、磋商响应文件的构成</w:t>
      </w:r>
      <w:r>
        <w:rPr>
          <w:sz w:val="24"/>
        </w:rPr>
        <w:tab/>
      </w:r>
      <w:r>
        <w:rPr>
          <w:sz w:val="24"/>
        </w:rPr>
        <w:fldChar w:fldCharType="begin"/>
      </w:r>
      <w:r>
        <w:rPr>
          <w:sz w:val="24"/>
        </w:rPr>
        <w:instrText xml:space="preserve"> PAGEREF _Toc1575309 \h </w:instrText>
      </w:r>
      <w:r>
        <w:rPr>
          <w:sz w:val="24"/>
        </w:rPr>
        <w:fldChar w:fldCharType="separate"/>
      </w:r>
      <w:r>
        <w:rPr>
          <w:sz w:val="24"/>
        </w:rPr>
        <w:t>11</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"_Toc1575310" </w:instrText>
      </w:r>
      <w:r>
        <w:fldChar w:fldCharType="separate"/>
      </w:r>
      <w:r>
        <w:rPr>
          <w:rStyle w:val="43"/>
          <w:rFonts w:hint="eastAsia" w:ascii="宋体" w:hAnsi="宋体"/>
          <w:sz w:val="24"/>
        </w:rPr>
        <w:t>12、磋商响应文件的编制要求</w:t>
      </w:r>
      <w:r>
        <w:rPr>
          <w:sz w:val="24"/>
        </w:rPr>
        <w:tab/>
      </w:r>
      <w:r>
        <w:rPr>
          <w:sz w:val="24"/>
        </w:rPr>
        <w:fldChar w:fldCharType="begin"/>
      </w:r>
      <w:r>
        <w:rPr>
          <w:sz w:val="24"/>
        </w:rPr>
        <w:instrText xml:space="preserve"> PAGEREF _Toc1575310 \h </w:instrText>
      </w:r>
      <w:r>
        <w:rPr>
          <w:sz w:val="24"/>
        </w:rPr>
        <w:fldChar w:fldCharType="separate"/>
      </w:r>
      <w:r>
        <w:rPr>
          <w:sz w:val="24"/>
        </w:rPr>
        <w:t>12</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"_Toc1575311" </w:instrText>
      </w:r>
      <w:r>
        <w:fldChar w:fldCharType="separate"/>
      </w:r>
      <w:r>
        <w:rPr>
          <w:rStyle w:val="43"/>
          <w:rFonts w:hint="eastAsia" w:hAnsi="宋体"/>
          <w:sz w:val="24"/>
        </w:rPr>
        <w:t>四、磋商响应文件的递交</w:t>
      </w:r>
      <w:r>
        <w:rPr>
          <w:sz w:val="24"/>
        </w:rPr>
        <w:tab/>
      </w:r>
      <w:r>
        <w:rPr>
          <w:sz w:val="24"/>
        </w:rPr>
        <w:fldChar w:fldCharType="begin"/>
      </w:r>
      <w:r>
        <w:rPr>
          <w:sz w:val="24"/>
        </w:rPr>
        <w:instrText xml:space="preserve"> PAGEREF _Toc1575311 \h </w:instrText>
      </w:r>
      <w:r>
        <w:rPr>
          <w:sz w:val="24"/>
        </w:rPr>
        <w:fldChar w:fldCharType="separate"/>
      </w:r>
      <w:r>
        <w:rPr>
          <w:sz w:val="24"/>
        </w:rPr>
        <w:t>12</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"_Toc1575312" </w:instrText>
      </w:r>
      <w:r>
        <w:fldChar w:fldCharType="separate"/>
      </w:r>
      <w:r>
        <w:rPr>
          <w:rStyle w:val="43"/>
          <w:rFonts w:hint="eastAsia" w:ascii="宋体" w:hAnsi="宋体"/>
          <w:sz w:val="24"/>
        </w:rPr>
        <w:t>13、磋商响应文件的密封和标记</w:t>
      </w:r>
      <w:r>
        <w:rPr>
          <w:sz w:val="24"/>
        </w:rPr>
        <w:tab/>
      </w:r>
      <w:r>
        <w:rPr>
          <w:sz w:val="24"/>
        </w:rPr>
        <w:fldChar w:fldCharType="begin"/>
      </w:r>
      <w:r>
        <w:rPr>
          <w:sz w:val="24"/>
        </w:rPr>
        <w:instrText xml:space="preserve"> PAGEREF _Toc1575312 \h </w:instrText>
      </w:r>
      <w:r>
        <w:rPr>
          <w:sz w:val="24"/>
        </w:rPr>
        <w:fldChar w:fldCharType="separate"/>
      </w:r>
      <w:r>
        <w:rPr>
          <w:sz w:val="24"/>
        </w:rPr>
        <w:t>12</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"_Toc1575313" </w:instrText>
      </w:r>
      <w:r>
        <w:fldChar w:fldCharType="separate"/>
      </w:r>
      <w:r>
        <w:rPr>
          <w:rStyle w:val="43"/>
          <w:rFonts w:hint="eastAsia" w:ascii="宋体" w:hAnsi="宋体"/>
          <w:sz w:val="24"/>
        </w:rPr>
        <w:t>14、递交磋商响应文件的地点、截止时间</w:t>
      </w:r>
      <w:r>
        <w:rPr>
          <w:sz w:val="24"/>
        </w:rPr>
        <w:tab/>
      </w:r>
      <w:r>
        <w:rPr>
          <w:sz w:val="24"/>
        </w:rPr>
        <w:fldChar w:fldCharType="begin"/>
      </w:r>
      <w:r>
        <w:rPr>
          <w:sz w:val="24"/>
        </w:rPr>
        <w:instrText xml:space="preserve"> PAGEREF _Toc1575313 \h </w:instrText>
      </w:r>
      <w:r>
        <w:rPr>
          <w:sz w:val="24"/>
        </w:rPr>
        <w:fldChar w:fldCharType="separate"/>
      </w:r>
      <w:r>
        <w:rPr>
          <w:sz w:val="24"/>
        </w:rPr>
        <w:t>13</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"_Toc1575314" </w:instrText>
      </w:r>
      <w:r>
        <w:fldChar w:fldCharType="separate"/>
      </w:r>
      <w:r>
        <w:rPr>
          <w:rStyle w:val="43"/>
          <w:rFonts w:hint="eastAsia" w:ascii="宋体" w:hAnsi="宋体"/>
          <w:sz w:val="24"/>
        </w:rPr>
        <w:t>15、磋商响应文件的撤回和修改</w:t>
      </w:r>
      <w:r>
        <w:rPr>
          <w:sz w:val="24"/>
        </w:rPr>
        <w:tab/>
      </w:r>
      <w:r>
        <w:rPr>
          <w:sz w:val="24"/>
        </w:rPr>
        <w:fldChar w:fldCharType="begin"/>
      </w:r>
      <w:r>
        <w:rPr>
          <w:sz w:val="24"/>
        </w:rPr>
        <w:instrText xml:space="preserve"> PAGEREF _Toc1575314 \h </w:instrText>
      </w:r>
      <w:r>
        <w:rPr>
          <w:sz w:val="24"/>
        </w:rPr>
        <w:fldChar w:fldCharType="separate"/>
      </w:r>
      <w:r>
        <w:rPr>
          <w:sz w:val="24"/>
        </w:rPr>
        <w:t>13</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"_Toc1575315" </w:instrText>
      </w:r>
      <w:r>
        <w:fldChar w:fldCharType="separate"/>
      </w:r>
      <w:r>
        <w:rPr>
          <w:rStyle w:val="43"/>
          <w:rFonts w:hint="eastAsia" w:hAnsi="宋体"/>
          <w:sz w:val="24"/>
        </w:rPr>
        <w:t>五、磋商过程</w:t>
      </w:r>
      <w:r>
        <w:rPr>
          <w:sz w:val="24"/>
        </w:rPr>
        <w:tab/>
      </w:r>
      <w:r>
        <w:rPr>
          <w:sz w:val="24"/>
        </w:rPr>
        <w:fldChar w:fldCharType="begin"/>
      </w:r>
      <w:r>
        <w:rPr>
          <w:sz w:val="24"/>
        </w:rPr>
        <w:instrText xml:space="preserve"> PAGEREF _Toc1575315 \h </w:instrText>
      </w:r>
      <w:r>
        <w:rPr>
          <w:sz w:val="24"/>
        </w:rPr>
        <w:fldChar w:fldCharType="separate"/>
      </w:r>
      <w:r>
        <w:rPr>
          <w:sz w:val="24"/>
        </w:rPr>
        <w:t>13</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"_Toc1575316" </w:instrText>
      </w:r>
      <w:r>
        <w:fldChar w:fldCharType="separate"/>
      </w:r>
      <w:r>
        <w:rPr>
          <w:rStyle w:val="43"/>
          <w:rFonts w:hint="eastAsia" w:hAnsi="宋体"/>
          <w:sz w:val="24"/>
        </w:rPr>
        <w:t>六、资格审查</w:t>
      </w:r>
      <w:r>
        <w:rPr>
          <w:sz w:val="24"/>
        </w:rPr>
        <w:tab/>
      </w:r>
      <w:r>
        <w:rPr>
          <w:sz w:val="24"/>
        </w:rPr>
        <w:fldChar w:fldCharType="begin"/>
      </w:r>
      <w:r>
        <w:rPr>
          <w:sz w:val="24"/>
        </w:rPr>
        <w:instrText xml:space="preserve"> PAGEREF _Toc1575316 \h </w:instrText>
      </w:r>
      <w:r>
        <w:rPr>
          <w:sz w:val="24"/>
        </w:rPr>
        <w:fldChar w:fldCharType="separate"/>
      </w:r>
      <w:r>
        <w:rPr>
          <w:sz w:val="24"/>
        </w:rPr>
        <w:t>13</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"_Toc1575317" </w:instrText>
      </w:r>
      <w:r>
        <w:fldChar w:fldCharType="separate"/>
      </w:r>
      <w:r>
        <w:rPr>
          <w:rStyle w:val="43"/>
          <w:rFonts w:hint="eastAsia" w:hAnsi="宋体"/>
          <w:sz w:val="24"/>
        </w:rPr>
        <w:t>七、评审程序及方法</w:t>
      </w:r>
      <w:r>
        <w:rPr>
          <w:sz w:val="24"/>
        </w:rPr>
        <w:tab/>
      </w:r>
      <w:r>
        <w:rPr>
          <w:sz w:val="24"/>
        </w:rPr>
        <w:fldChar w:fldCharType="begin"/>
      </w:r>
      <w:r>
        <w:rPr>
          <w:sz w:val="24"/>
        </w:rPr>
        <w:instrText xml:space="preserve"> PAGEREF _Toc1575317 \h </w:instrText>
      </w:r>
      <w:r>
        <w:rPr>
          <w:sz w:val="24"/>
        </w:rPr>
        <w:fldChar w:fldCharType="separate"/>
      </w:r>
      <w:r>
        <w:rPr>
          <w:sz w:val="24"/>
        </w:rPr>
        <w:t>14</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"_Toc1575318" </w:instrText>
      </w:r>
      <w:r>
        <w:fldChar w:fldCharType="separate"/>
      </w:r>
      <w:r>
        <w:rPr>
          <w:rStyle w:val="43"/>
          <w:rFonts w:hint="eastAsia" w:ascii="宋体" w:hAnsi="宋体"/>
          <w:sz w:val="24"/>
        </w:rPr>
        <w:t>16、评标委员会</w:t>
      </w:r>
      <w:r>
        <w:rPr>
          <w:sz w:val="24"/>
        </w:rPr>
        <w:tab/>
      </w:r>
      <w:r>
        <w:rPr>
          <w:sz w:val="24"/>
        </w:rPr>
        <w:fldChar w:fldCharType="begin"/>
      </w:r>
      <w:r>
        <w:rPr>
          <w:sz w:val="24"/>
        </w:rPr>
        <w:instrText xml:space="preserve"> PAGEREF _Toc1575318 \h </w:instrText>
      </w:r>
      <w:r>
        <w:rPr>
          <w:sz w:val="24"/>
        </w:rPr>
        <w:fldChar w:fldCharType="separate"/>
      </w:r>
      <w:r>
        <w:rPr>
          <w:sz w:val="24"/>
        </w:rPr>
        <w:t>14</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"_Toc1575319" </w:instrText>
      </w:r>
      <w:r>
        <w:fldChar w:fldCharType="separate"/>
      </w:r>
      <w:r>
        <w:rPr>
          <w:rStyle w:val="43"/>
          <w:rFonts w:hint="eastAsia" w:ascii="宋体" w:hAnsi="宋体"/>
          <w:sz w:val="24"/>
        </w:rPr>
        <w:t>17、磋商程序</w:t>
      </w:r>
      <w:r>
        <w:rPr>
          <w:sz w:val="24"/>
        </w:rPr>
        <w:tab/>
      </w:r>
      <w:r>
        <w:rPr>
          <w:sz w:val="24"/>
        </w:rPr>
        <w:fldChar w:fldCharType="begin"/>
      </w:r>
      <w:r>
        <w:rPr>
          <w:sz w:val="24"/>
        </w:rPr>
        <w:instrText xml:space="preserve"> PAGEREF _Toc1575319 \h </w:instrText>
      </w:r>
      <w:r>
        <w:rPr>
          <w:sz w:val="24"/>
        </w:rPr>
        <w:fldChar w:fldCharType="separate"/>
      </w:r>
      <w:r>
        <w:rPr>
          <w:sz w:val="24"/>
        </w:rPr>
        <w:t>16</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"_Toc1575320" </w:instrText>
      </w:r>
      <w:r>
        <w:fldChar w:fldCharType="separate"/>
      </w:r>
      <w:r>
        <w:rPr>
          <w:rStyle w:val="43"/>
          <w:rFonts w:hint="eastAsia" w:ascii="宋体" w:hAnsi="宋体"/>
          <w:sz w:val="24"/>
        </w:rPr>
        <w:t>18、评审办法</w:t>
      </w:r>
      <w:r>
        <w:rPr>
          <w:sz w:val="24"/>
        </w:rPr>
        <w:tab/>
      </w:r>
      <w:r>
        <w:rPr>
          <w:sz w:val="24"/>
        </w:rPr>
        <w:fldChar w:fldCharType="begin"/>
      </w:r>
      <w:r>
        <w:rPr>
          <w:sz w:val="24"/>
        </w:rPr>
        <w:instrText xml:space="preserve"> PAGEREF _Toc1575320 \h </w:instrText>
      </w:r>
      <w:r>
        <w:rPr>
          <w:sz w:val="24"/>
        </w:rPr>
        <w:fldChar w:fldCharType="separate"/>
      </w:r>
      <w:r>
        <w:rPr>
          <w:sz w:val="24"/>
        </w:rPr>
        <w:t>18</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"_Toc1575321" </w:instrText>
      </w:r>
      <w:r>
        <w:fldChar w:fldCharType="separate"/>
      </w:r>
      <w:r>
        <w:rPr>
          <w:rStyle w:val="43"/>
          <w:rFonts w:hint="eastAsia" w:hAnsi="宋体"/>
          <w:sz w:val="24"/>
        </w:rPr>
        <w:t>八、定标</w:t>
      </w:r>
      <w:r>
        <w:rPr>
          <w:sz w:val="24"/>
        </w:rPr>
        <w:tab/>
      </w:r>
      <w:r>
        <w:rPr>
          <w:sz w:val="24"/>
        </w:rPr>
        <w:fldChar w:fldCharType="begin"/>
      </w:r>
      <w:r>
        <w:rPr>
          <w:sz w:val="24"/>
        </w:rPr>
        <w:instrText xml:space="preserve"> PAGEREF _Toc1575321 \h </w:instrText>
      </w:r>
      <w:r>
        <w:rPr>
          <w:sz w:val="24"/>
        </w:rPr>
        <w:fldChar w:fldCharType="separate"/>
      </w:r>
      <w:r>
        <w:rPr>
          <w:sz w:val="24"/>
        </w:rPr>
        <w:t>19</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"_Toc1575322" </w:instrText>
      </w:r>
      <w:r>
        <w:fldChar w:fldCharType="separate"/>
      </w:r>
      <w:r>
        <w:rPr>
          <w:rStyle w:val="43"/>
          <w:rFonts w:hint="eastAsia" w:ascii="宋体" w:hAnsi="宋体"/>
          <w:sz w:val="24"/>
        </w:rPr>
        <w:t>19、推荐并确定中标磋商供应商</w:t>
      </w:r>
      <w:r>
        <w:rPr>
          <w:sz w:val="24"/>
        </w:rPr>
        <w:tab/>
      </w:r>
      <w:r>
        <w:rPr>
          <w:sz w:val="24"/>
        </w:rPr>
        <w:fldChar w:fldCharType="begin"/>
      </w:r>
      <w:r>
        <w:rPr>
          <w:sz w:val="24"/>
        </w:rPr>
        <w:instrText xml:space="preserve"> PAGEREF _Toc1575322 \h </w:instrText>
      </w:r>
      <w:r>
        <w:rPr>
          <w:sz w:val="24"/>
        </w:rPr>
        <w:fldChar w:fldCharType="separate"/>
      </w:r>
      <w:r>
        <w:rPr>
          <w:sz w:val="24"/>
        </w:rPr>
        <w:t>19</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"_Toc1575323" </w:instrText>
      </w:r>
      <w:r>
        <w:fldChar w:fldCharType="separate"/>
      </w:r>
      <w:r>
        <w:rPr>
          <w:rStyle w:val="43"/>
          <w:rFonts w:hint="eastAsia" w:ascii="宋体" w:hAnsi="宋体"/>
          <w:sz w:val="24"/>
        </w:rPr>
        <w:t>20、中标通知</w:t>
      </w:r>
      <w:r>
        <w:rPr>
          <w:sz w:val="24"/>
        </w:rPr>
        <w:tab/>
      </w:r>
      <w:r>
        <w:rPr>
          <w:sz w:val="24"/>
        </w:rPr>
        <w:fldChar w:fldCharType="begin"/>
      </w:r>
      <w:r>
        <w:rPr>
          <w:sz w:val="24"/>
        </w:rPr>
        <w:instrText xml:space="preserve"> PAGEREF _Toc1575323 \h </w:instrText>
      </w:r>
      <w:r>
        <w:rPr>
          <w:sz w:val="24"/>
        </w:rPr>
        <w:fldChar w:fldCharType="separate"/>
      </w:r>
      <w:r>
        <w:rPr>
          <w:sz w:val="24"/>
        </w:rPr>
        <w:t>20</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"_Toc1575324" </w:instrText>
      </w:r>
      <w:r>
        <w:fldChar w:fldCharType="separate"/>
      </w:r>
      <w:r>
        <w:rPr>
          <w:rStyle w:val="43"/>
          <w:rFonts w:hint="eastAsia" w:hAnsi="宋体"/>
          <w:sz w:val="24"/>
        </w:rPr>
        <w:t>九、授予合同</w:t>
      </w:r>
      <w:r>
        <w:rPr>
          <w:sz w:val="24"/>
        </w:rPr>
        <w:tab/>
      </w:r>
      <w:r>
        <w:rPr>
          <w:sz w:val="24"/>
        </w:rPr>
        <w:fldChar w:fldCharType="begin"/>
      </w:r>
      <w:r>
        <w:rPr>
          <w:sz w:val="24"/>
        </w:rPr>
        <w:instrText xml:space="preserve"> PAGEREF _Toc1575324 \h </w:instrText>
      </w:r>
      <w:r>
        <w:rPr>
          <w:sz w:val="24"/>
        </w:rPr>
        <w:fldChar w:fldCharType="separate"/>
      </w:r>
      <w:r>
        <w:rPr>
          <w:sz w:val="24"/>
        </w:rPr>
        <w:t>21</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"_Toc1575325" </w:instrText>
      </w:r>
      <w:r>
        <w:fldChar w:fldCharType="separate"/>
      </w:r>
      <w:r>
        <w:rPr>
          <w:rStyle w:val="43"/>
          <w:rFonts w:hint="eastAsia" w:ascii="宋体" w:hAnsi="宋体"/>
          <w:sz w:val="24"/>
        </w:rPr>
        <w:t>21、签订合同</w:t>
      </w:r>
      <w:r>
        <w:rPr>
          <w:sz w:val="24"/>
        </w:rPr>
        <w:tab/>
      </w:r>
      <w:r>
        <w:rPr>
          <w:sz w:val="24"/>
        </w:rPr>
        <w:fldChar w:fldCharType="begin"/>
      </w:r>
      <w:r>
        <w:rPr>
          <w:sz w:val="24"/>
        </w:rPr>
        <w:instrText xml:space="preserve"> PAGEREF _Toc1575325 \h </w:instrText>
      </w:r>
      <w:r>
        <w:rPr>
          <w:sz w:val="24"/>
        </w:rPr>
        <w:fldChar w:fldCharType="separate"/>
      </w:r>
      <w:r>
        <w:rPr>
          <w:sz w:val="24"/>
        </w:rPr>
        <w:t>21</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"_Toc1575326" </w:instrText>
      </w:r>
      <w:r>
        <w:fldChar w:fldCharType="separate"/>
      </w:r>
      <w:r>
        <w:rPr>
          <w:rStyle w:val="43"/>
          <w:rFonts w:hint="eastAsia" w:hAnsi="宋体"/>
          <w:sz w:val="24"/>
        </w:rPr>
        <w:t>十、废标条款</w:t>
      </w:r>
      <w:r>
        <w:rPr>
          <w:sz w:val="24"/>
        </w:rPr>
        <w:tab/>
      </w:r>
      <w:r>
        <w:rPr>
          <w:sz w:val="24"/>
        </w:rPr>
        <w:fldChar w:fldCharType="begin"/>
      </w:r>
      <w:r>
        <w:rPr>
          <w:sz w:val="24"/>
        </w:rPr>
        <w:instrText xml:space="preserve"> PAGEREF _Toc1575326 \h </w:instrText>
      </w:r>
      <w:r>
        <w:rPr>
          <w:sz w:val="24"/>
        </w:rPr>
        <w:fldChar w:fldCharType="separate"/>
      </w:r>
      <w:r>
        <w:rPr>
          <w:sz w:val="24"/>
        </w:rPr>
        <w:t>21</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"_Toc1575327" </w:instrText>
      </w:r>
      <w:r>
        <w:fldChar w:fldCharType="separate"/>
      </w:r>
      <w:r>
        <w:rPr>
          <w:rStyle w:val="43"/>
          <w:rFonts w:hint="eastAsia" w:ascii="宋体" w:hAnsi="宋体"/>
          <w:sz w:val="24"/>
        </w:rPr>
        <w:t>22、废标情形</w:t>
      </w:r>
      <w:r>
        <w:rPr>
          <w:sz w:val="24"/>
        </w:rPr>
        <w:tab/>
      </w:r>
      <w:r>
        <w:rPr>
          <w:sz w:val="24"/>
        </w:rPr>
        <w:fldChar w:fldCharType="begin"/>
      </w:r>
      <w:r>
        <w:rPr>
          <w:sz w:val="24"/>
        </w:rPr>
        <w:instrText xml:space="preserve"> PAGEREF _Toc1575327 \h </w:instrText>
      </w:r>
      <w:r>
        <w:rPr>
          <w:sz w:val="24"/>
        </w:rPr>
        <w:fldChar w:fldCharType="separate"/>
      </w:r>
      <w:r>
        <w:rPr>
          <w:sz w:val="24"/>
        </w:rPr>
        <w:t>21</w:t>
      </w:r>
      <w:r>
        <w:rPr>
          <w:sz w:val="24"/>
        </w:rPr>
        <w:fldChar w:fldCharType="end"/>
      </w:r>
      <w:r>
        <w:rPr>
          <w:sz w:val="24"/>
        </w:rPr>
        <w:fldChar w:fldCharType="end"/>
      </w:r>
    </w:p>
    <w:p>
      <w:pPr>
        <w:pStyle w:val="22"/>
        <w:tabs>
          <w:tab w:val="left" w:pos="1050"/>
        </w:tabs>
        <w:jc w:val="center"/>
        <w:rPr>
          <w:rFonts w:asciiTheme="minorHAnsi" w:hAnsiTheme="minorHAnsi" w:eastAsiaTheme="minorEastAsia" w:cstheme="minorBidi"/>
          <w:sz w:val="24"/>
          <w:szCs w:val="22"/>
        </w:rPr>
      </w:pPr>
      <w:r>
        <w:fldChar w:fldCharType="begin"/>
      </w:r>
      <w:r>
        <w:instrText xml:space="preserve"> HYPERLINK \l "_Toc1575328" </w:instrText>
      </w:r>
      <w:r>
        <w:fldChar w:fldCharType="separate"/>
      </w:r>
      <w:r>
        <w:rPr>
          <w:rStyle w:val="43"/>
          <w:rFonts w:hint="eastAsia" w:hAnsi="宋体"/>
          <w:sz w:val="24"/>
        </w:rPr>
        <w:t>十一、其他</w:t>
      </w:r>
      <w:r>
        <w:rPr>
          <w:sz w:val="24"/>
        </w:rPr>
        <w:tab/>
      </w:r>
      <w:r>
        <w:rPr>
          <w:sz w:val="24"/>
        </w:rPr>
        <w:fldChar w:fldCharType="begin"/>
      </w:r>
      <w:r>
        <w:rPr>
          <w:sz w:val="24"/>
        </w:rPr>
        <w:instrText xml:space="preserve"> PAGEREF _Toc1575328 \h </w:instrText>
      </w:r>
      <w:r>
        <w:rPr>
          <w:sz w:val="24"/>
        </w:rPr>
        <w:fldChar w:fldCharType="separate"/>
      </w:r>
      <w:r>
        <w:rPr>
          <w:sz w:val="24"/>
        </w:rPr>
        <w:t>22</w:t>
      </w:r>
      <w:r>
        <w:rPr>
          <w:sz w:val="24"/>
        </w:rPr>
        <w:fldChar w:fldCharType="end"/>
      </w:r>
      <w:r>
        <w:rPr>
          <w:sz w:val="24"/>
        </w:rPr>
        <w:fldChar w:fldCharType="end"/>
      </w:r>
    </w:p>
    <w:p>
      <w:pPr>
        <w:pStyle w:val="22"/>
        <w:tabs>
          <w:tab w:val="left" w:pos="840"/>
        </w:tabs>
        <w:jc w:val="center"/>
        <w:rPr>
          <w:rFonts w:asciiTheme="minorHAnsi" w:hAnsiTheme="minorHAnsi" w:eastAsiaTheme="minorEastAsia" w:cstheme="minorBidi"/>
          <w:sz w:val="24"/>
          <w:szCs w:val="22"/>
        </w:rPr>
      </w:pPr>
      <w:r>
        <w:fldChar w:fldCharType="begin"/>
      </w:r>
      <w:r>
        <w:instrText xml:space="preserve"> HYPERLINK \l "_Toc1575329" </w:instrText>
      </w:r>
      <w:r>
        <w:fldChar w:fldCharType="separate"/>
      </w:r>
      <w:r>
        <w:rPr>
          <w:rStyle w:val="43"/>
          <w:rFonts w:hint="eastAsia" w:ascii="宋体" w:hAnsi="宋体"/>
          <w:sz w:val="24"/>
        </w:rPr>
        <w:t>23、串标情形</w:t>
      </w:r>
      <w:r>
        <w:rPr>
          <w:sz w:val="24"/>
        </w:rPr>
        <w:tab/>
      </w:r>
      <w:r>
        <w:rPr>
          <w:sz w:val="24"/>
        </w:rPr>
        <w:fldChar w:fldCharType="begin"/>
      </w:r>
      <w:r>
        <w:rPr>
          <w:sz w:val="24"/>
        </w:rPr>
        <w:instrText xml:space="preserve"> PAGEREF _Toc1575329 \h </w:instrText>
      </w:r>
      <w:r>
        <w:rPr>
          <w:sz w:val="24"/>
        </w:rPr>
        <w:fldChar w:fldCharType="separate"/>
      </w:r>
      <w:r>
        <w:rPr>
          <w:sz w:val="24"/>
        </w:rPr>
        <w:t>22</w:t>
      </w:r>
      <w:r>
        <w:rPr>
          <w:sz w:val="24"/>
        </w:rPr>
        <w:fldChar w:fldCharType="end"/>
      </w:r>
      <w:r>
        <w:rPr>
          <w:sz w:val="24"/>
        </w:rPr>
        <w:fldChar w:fldCharType="end"/>
      </w:r>
    </w:p>
    <w:p>
      <w:pPr>
        <w:pStyle w:val="22"/>
        <w:jc w:val="center"/>
        <w:rPr>
          <w:rFonts w:asciiTheme="minorHAnsi" w:hAnsiTheme="minorHAnsi" w:eastAsiaTheme="minorEastAsia" w:cstheme="minorBidi"/>
          <w:sz w:val="24"/>
          <w:szCs w:val="22"/>
        </w:rPr>
      </w:pPr>
      <w:r>
        <w:fldChar w:fldCharType="begin"/>
      </w:r>
      <w:r>
        <w:instrText xml:space="preserve"> HYPERLINK \l "_Toc1575330" </w:instrText>
      </w:r>
      <w:r>
        <w:fldChar w:fldCharType="separate"/>
      </w:r>
      <w:r>
        <w:rPr>
          <w:rStyle w:val="43"/>
          <w:rFonts w:hint="eastAsia" w:ascii="宋体" w:hAnsi="宋体"/>
          <w:sz w:val="24"/>
        </w:rPr>
        <w:t>第四部分青海省政府采购合同文本样式</w:t>
      </w:r>
      <w:r>
        <w:rPr>
          <w:sz w:val="24"/>
        </w:rPr>
        <w:tab/>
      </w:r>
      <w:r>
        <w:rPr>
          <w:sz w:val="24"/>
        </w:rPr>
        <w:fldChar w:fldCharType="begin"/>
      </w:r>
      <w:r>
        <w:rPr>
          <w:sz w:val="24"/>
        </w:rPr>
        <w:instrText xml:space="preserve"> PAGEREF _Toc1575330 \h </w:instrText>
      </w:r>
      <w:r>
        <w:rPr>
          <w:sz w:val="24"/>
        </w:rPr>
        <w:fldChar w:fldCharType="separate"/>
      </w:r>
      <w:r>
        <w:rPr>
          <w:sz w:val="24"/>
        </w:rPr>
        <w:t>23</w:t>
      </w:r>
      <w:r>
        <w:rPr>
          <w:sz w:val="24"/>
        </w:rPr>
        <w:fldChar w:fldCharType="end"/>
      </w:r>
      <w:r>
        <w:rPr>
          <w:sz w:val="24"/>
        </w:rPr>
        <w:fldChar w:fldCharType="end"/>
      </w:r>
    </w:p>
    <w:p>
      <w:pPr>
        <w:pStyle w:val="22"/>
        <w:jc w:val="center"/>
        <w:rPr>
          <w:rFonts w:asciiTheme="minorHAnsi" w:hAnsiTheme="minorHAnsi" w:eastAsiaTheme="minorEastAsia" w:cstheme="minorBidi"/>
          <w:sz w:val="24"/>
          <w:szCs w:val="22"/>
        </w:rPr>
      </w:pPr>
      <w:r>
        <w:fldChar w:fldCharType="begin"/>
      </w:r>
      <w:r>
        <w:instrText xml:space="preserve"> HYPERLINK \l "_Toc1575331" </w:instrText>
      </w:r>
      <w:r>
        <w:fldChar w:fldCharType="separate"/>
      </w:r>
      <w:r>
        <w:rPr>
          <w:rStyle w:val="43"/>
          <w:rFonts w:hint="eastAsia" w:ascii="宋体" w:hAnsi="宋体"/>
          <w:sz w:val="24"/>
        </w:rPr>
        <w:t>第五部分磋商响应文件格式</w:t>
      </w:r>
      <w:r>
        <w:rPr>
          <w:sz w:val="24"/>
        </w:rPr>
        <w:tab/>
      </w:r>
      <w:r>
        <w:rPr>
          <w:sz w:val="24"/>
        </w:rPr>
        <w:fldChar w:fldCharType="begin"/>
      </w:r>
      <w:r>
        <w:rPr>
          <w:sz w:val="24"/>
        </w:rPr>
        <w:instrText xml:space="preserve"> PAGEREF _Toc1575331 \h </w:instrText>
      </w:r>
      <w:r>
        <w:rPr>
          <w:sz w:val="24"/>
        </w:rPr>
        <w:fldChar w:fldCharType="separate"/>
      </w:r>
      <w:r>
        <w:rPr>
          <w:sz w:val="24"/>
        </w:rPr>
        <w:t>35</w:t>
      </w:r>
      <w:r>
        <w:rPr>
          <w:sz w:val="24"/>
        </w:rPr>
        <w:fldChar w:fldCharType="end"/>
      </w:r>
      <w:r>
        <w:rPr>
          <w:sz w:val="24"/>
        </w:rPr>
        <w:fldChar w:fldCharType="end"/>
      </w:r>
    </w:p>
    <w:p>
      <w:pPr>
        <w:pStyle w:val="22"/>
        <w:jc w:val="center"/>
        <w:rPr>
          <w:rFonts w:asciiTheme="minorHAnsi" w:hAnsiTheme="minorHAnsi" w:eastAsiaTheme="minorEastAsia" w:cstheme="minorBidi"/>
          <w:sz w:val="24"/>
          <w:szCs w:val="22"/>
        </w:rPr>
      </w:pPr>
      <w:r>
        <w:fldChar w:fldCharType="begin"/>
      </w:r>
      <w:r>
        <w:instrText xml:space="preserve"> HYPERLINK \l "_Toc1575356" </w:instrText>
      </w:r>
      <w:r>
        <w:fldChar w:fldCharType="separate"/>
      </w:r>
      <w:r>
        <w:rPr>
          <w:rStyle w:val="43"/>
          <w:rFonts w:hint="eastAsia" w:ascii="宋体" w:hAnsi="宋体"/>
          <w:sz w:val="24"/>
        </w:rPr>
        <w:t>第六部分采购项目要求及技术参数</w:t>
      </w:r>
      <w:r>
        <w:rPr>
          <w:sz w:val="24"/>
        </w:rPr>
        <w:tab/>
      </w:r>
      <w:r>
        <w:rPr>
          <w:sz w:val="24"/>
        </w:rPr>
        <w:fldChar w:fldCharType="begin"/>
      </w:r>
      <w:r>
        <w:rPr>
          <w:sz w:val="24"/>
        </w:rPr>
        <w:instrText xml:space="preserve"> PAGEREF _Toc1575356 \h </w:instrText>
      </w:r>
      <w:r>
        <w:rPr>
          <w:sz w:val="24"/>
        </w:rPr>
        <w:fldChar w:fldCharType="separate"/>
      </w:r>
      <w:r>
        <w:rPr>
          <w:sz w:val="24"/>
        </w:rPr>
        <w:t>61</w:t>
      </w:r>
      <w:r>
        <w:rPr>
          <w:sz w:val="24"/>
        </w:rPr>
        <w:fldChar w:fldCharType="end"/>
      </w:r>
      <w:r>
        <w:rPr>
          <w:sz w:val="24"/>
        </w:rPr>
        <w:fldChar w:fldCharType="end"/>
      </w:r>
    </w:p>
    <w:p>
      <w:pPr>
        <w:pStyle w:val="22"/>
        <w:jc w:val="center"/>
        <w:rPr>
          <w:rFonts w:asciiTheme="minorHAnsi" w:hAnsiTheme="minorHAnsi" w:eastAsiaTheme="minorEastAsia" w:cstheme="minorBidi"/>
          <w:szCs w:val="22"/>
        </w:rPr>
      </w:pPr>
    </w:p>
    <w:p>
      <w:pPr>
        <w:pStyle w:val="22"/>
        <w:spacing w:line="360" w:lineRule="auto"/>
        <w:jc w:val="both"/>
        <w:rPr>
          <w:rFonts w:ascii="宋体" w:hAnsi="宋体"/>
          <w:bCs/>
          <w:sz w:val="24"/>
        </w:rPr>
      </w:pPr>
      <w:r>
        <w:rPr>
          <w:rFonts w:ascii="宋体" w:hAnsi="宋体"/>
          <w:bCs/>
          <w:sz w:val="24"/>
        </w:rPr>
        <w:fldChar w:fldCharType="end"/>
      </w:r>
    </w:p>
    <w:p>
      <w:pPr>
        <w:pStyle w:val="23"/>
        <w:spacing w:before="0" w:after="0" w:line="360" w:lineRule="auto"/>
        <w:rPr>
          <w:rFonts w:ascii="宋体" w:hAnsi="宋体"/>
          <w:sz w:val="48"/>
        </w:rPr>
      </w:pPr>
      <w:bookmarkStart w:id="1" w:name="_Toc1575293"/>
      <w:bookmarkStart w:id="2" w:name="_Toc444715732"/>
      <w:bookmarkStart w:id="3" w:name="_Hlk503427406"/>
      <w:r>
        <w:rPr>
          <w:rFonts w:hint="eastAsia" w:ascii="宋体" w:hAnsi="宋体"/>
          <w:sz w:val="48"/>
        </w:rPr>
        <w:t>第一部分磋商邀请</w:t>
      </w:r>
      <w:bookmarkEnd w:id="1"/>
      <w:bookmarkEnd w:id="2"/>
    </w:p>
    <w:p>
      <w:pPr>
        <w:spacing w:line="360" w:lineRule="auto"/>
        <w:ind w:firstLine="480" w:firstLineChars="200"/>
        <w:rPr>
          <w:rFonts w:cs="宋体"/>
          <w:sz w:val="24"/>
          <w:lang w:val="zh-CN"/>
        </w:rPr>
      </w:pPr>
      <w:bookmarkStart w:id="4" w:name="_Hlk503427571"/>
      <w:r>
        <w:rPr>
          <w:rFonts w:hint="eastAsia" w:cs="宋体"/>
          <w:sz w:val="24"/>
          <w:lang w:val="zh-CN"/>
        </w:rPr>
        <w:t>宿迁建威工程咨询有限公司（以下均简称“采购代理机构”）受</w:t>
      </w:r>
      <w:r>
        <w:rPr>
          <w:rFonts w:hint="eastAsia" w:cs="宋体"/>
          <w:sz w:val="24"/>
          <w:lang w:val="zh-CN" w:eastAsia="zh-CN"/>
        </w:rPr>
        <w:t>西宁市城东区文体旅游科技局</w:t>
      </w:r>
      <w:r>
        <w:rPr>
          <w:rFonts w:hint="eastAsia" w:cs="宋体"/>
          <w:sz w:val="24"/>
          <w:lang w:val="zh-CN"/>
        </w:rPr>
        <w:t>（以下均简称“采购单位”）委托，拟对</w:t>
      </w:r>
      <w:r>
        <w:rPr>
          <w:rFonts w:hint="eastAsia" w:cs="宋体"/>
          <w:sz w:val="24"/>
          <w:lang w:val="zh-CN" w:eastAsia="zh-CN"/>
        </w:rPr>
        <w:t>公共文化活动室采购项目</w:t>
      </w:r>
      <w:r>
        <w:rPr>
          <w:rFonts w:hint="eastAsia" w:cs="宋体"/>
          <w:sz w:val="24"/>
          <w:lang w:val="zh-CN"/>
        </w:rPr>
        <w:t>（采购项目编号：宿迁建威竞磋（货物）2020-019）进行国内竞争性磋商采购，现予以公告，欢迎潜在的磋商供应商参加本次政府采购活动。</w:t>
      </w:r>
    </w:p>
    <w:tbl>
      <w:tblPr>
        <w:tblStyle w:val="32"/>
        <w:tblW w:w="966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086"/>
        <w:gridCol w:w="758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cs="宋体"/>
                <w:sz w:val="24"/>
                <w:lang w:val="zh-CN"/>
              </w:rPr>
            </w:pPr>
            <w:r>
              <w:rPr>
                <w:rFonts w:hint="eastAsia" w:cs="宋体"/>
                <w:sz w:val="24"/>
                <w:lang w:val="zh-CN"/>
              </w:rPr>
              <w:t>采购项目编号</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54"/>
              <w:rPr>
                <w:rFonts w:hint="default" w:eastAsia="宋体" w:cs="宋体"/>
                <w:sz w:val="24"/>
                <w:lang w:val="en-US" w:eastAsia="zh-CN"/>
              </w:rPr>
            </w:pPr>
            <w:r>
              <w:rPr>
                <w:rFonts w:hint="eastAsia" w:cs="宋体"/>
                <w:sz w:val="24"/>
                <w:lang w:val="zh-CN"/>
              </w:rPr>
              <w:t>宿迁建威竞磋（货物）2020-019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采购项目名称</w:t>
            </w:r>
          </w:p>
        </w:tc>
        <w:tc>
          <w:tcPr>
            <w:tcW w:w="7583" w:type="dxa"/>
            <w:tcBorders>
              <w:top w:val="outset" w:color="000000" w:sz="6" w:space="0"/>
              <w:left w:val="outset" w:color="000000" w:sz="6" w:space="0"/>
              <w:bottom w:val="outset" w:color="000000" w:sz="6" w:space="0"/>
              <w:right w:val="outset" w:color="000000" w:sz="6" w:space="0"/>
            </w:tcBorders>
            <w:vAlign w:val="center"/>
          </w:tcPr>
          <w:p>
            <w:pPr>
              <w:rPr>
                <w:rFonts w:hint="eastAsia" w:ascii="宋体" w:hAnsi="宋体" w:eastAsia="宋体" w:cs="Tahoma"/>
                <w:lang w:eastAsia="zh-CN"/>
              </w:rPr>
            </w:pPr>
            <w:r>
              <w:rPr>
                <w:rFonts w:hint="eastAsia"/>
                <w:sz w:val="24"/>
                <w:lang w:eastAsia="zh-CN"/>
              </w:rPr>
              <w:t>公共文化活动室采购项目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采购方式</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54"/>
              <w:rPr>
                <w:rFonts w:ascii="宋体" w:hAnsi="宋体"/>
                <w:kern w:val="0"/>
                <w:sz w:val="24"/>
              </w:rPr>
            </w:pPr>
            <w:r>
              <w:rPr>
                <w:rFonts w:ascii="宋体" w:hAnsi="宋体"/>
                <w:kern w:val="0"/>
                <w:sz w:val="24"/>
              </w:rPr>
              <w:t>竞争性磋商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采购预算控制额度</w:t>
            </w:r>
          </w:p>
        </w:tc>
        <w:tc>
          <w:tcPr>
            <w:tcW w:w="7583" w:type="dxa"/>
            <w:tcBorders>
              <w:top w:val="outset" w:color="000000" w:sz="6" w:space="0"/>
              <w:left w:val="outset" w:color="000000" w:sz="6" w:space="0"/>
              <w:bottom w:val="outset" w:color="000000" w:sz="6" w:space="0"/>
              <w:right w:val="outset" w:color="000000" w:sz="6" w:space="0"/>
            </w:tcBorders>
            <w:vAlign w:val="center"/>
          </w:tcPr>
          <w:p>
            <w:pPr>
              <w:rPr>
                <w:rFonts w:ascii="宋体" w:hAnsi="宋体"/>
                <w:kern w:val="0"/>
                <w:sz w:val="24"/>
              </w:rPr>
            </w:pPr>
            <w:r>
              <w:rPr>
                <w:rFonts w:hint="eastAsia" w:ascii="宋体" w:hAnsi="宋体"/>
                <w:kern w:val="0"/>
                <w:sz w:val="24"/>
              </w:rPr>
              <w:t>人民币</w:t>
            </w:r>
            <w:r>
              <w:rPr>
                <w:rFonts w:hint="eastAsia" w:ascii="宋体" w:hAnsi="宋体"/>
                <w:kern w:val="0"/>
                <w:sz w:val="24"/>
                <w:lang w:val="en-US" w:eastAsia="zh-CN"/>
              </w:rPr>
              <w:t>1500000.00</w:t>
            </w:r>
            <w:r>
              <w:rPr>
                <w:rFonts w:hint="eastAsia" w:ascii="宋体" w:hAnsi="宋体"/>
                <w:kern w:val="0"/>
                <w:sz w:val="24"/>
              </w:rPr>
              <w:t>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项目分包个数</w:t>
            </w:r>
          </w:p>
        </w:tc>
        <w:tc>
          <w:tcPr>
            <w:tcW w:w="7583" w:type="dxa"/>
            <w:tcBorders>
              <w:top w:val="outset" w:color="000000" w:sz="6" w:space="0"/>
              <w:left w:val="outset" w:color="000000" w:sz="6" w:space="0"/>
              <w:bottom w:val="outset" w:color="000000" w:sz="6" w:space="0"/>
              <w:right w:val="outset" w:color="000000" w:sz="6" w:space="0"/>
            </w:tcBorders>
            <w:vAlign w:val="center"/>
          </w:tcPr>
          <w:p>
            <w:pPr>
              <w:rPr>
                <w:rFonts w:hint="default" w:ascii="宋体" w:hAnsi="宋体"/>
                <w:kern w:val="0"/>
                <w:sz w:val="24"/>
                <w:lang w:val="en-US"/>
              </w:rPr>
            </w:pPr>
            <w:r>
              <w:rPr>
                <w:rFonts w:hint="eastAsia" w:ascii="宋体" w:hAnsi="宋体"/>
                <w:kern w:val="0"/>
                <w:sz w:val="24"/>
                <w:lang w:val="en-US" w:eastAsia="zh-CN"/>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086" w:type="dxa"/>
            <w:tcBorders>
              <w:top w:val="outset" w:color="000000" w:sz="6" w:space="0"/>
              <w:left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项目要求</w:t>
            </w:r>
          </w:p>
        </w:tc>
        <w:tc>
          <w:tcPr>
            <w:tcW w:w="7583" w:type="dxa"/>
            <w:tcBorders>
              <w:top w:val="outset" w:color="000000" w:sz="6" w:space="0"/>
              <w:left w:val="outset" w:color="000000" w:sz="6" w:space="0"/>
              <w:right w:val="outset" w:color="000000" w:sz="6" w:space="0"/>
            </w:tcBorders>
            <w:vAlign w:val="center"/>
          </w:tcPr>
          <w:p>
            <w:pPr>
              <w:pStyle w:val="54"/>
              <w:rPr>
                <w:rFonts w:ascii="宋体" w:hAnsi="宋体"/>
                <w:kern w:val="0"/>
                <w:sz w:val="24"/>
              </w:rPr>
            </w:pPr>
            <w:r>
              <w:rPr>
                <w:rFonts w:hint="eastAsia" w:ascii="宋体" w:hAnsi="宋体"/>
                <w:kern w:val="0"/>
                <w:sz w:val="24"/>
              </w:rPr>
              <w:t>具体内容详见《磋商文件》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cs="宋体"/>
                <w:sz w:val="24"/>
              </w:rPr>
              <w:t>磋商供应商</w:t>
            </w:r>
            <w:r>
              <w:rPr>
                <w:rFonts w:hint="eastAsia" w:ascii="宋体" w:hAnsi="宋体"/>
                <w:kern w:val="0"/>
                <w:sz w:val="24"/>
              </w:rPr>
              <w:t>资格条件</w:t>
            </w:r>
          </w:p>
        </w:tc>
        <w:tc>
          <w:tcPr>
            <w:tcW w:w="7583" w:type="dxa"/>
            <w:tcBorders>
              <w:top w:val="outset" w:color="000000" w:sz="6" w:space="0"/>
              <w:left w:val="outset" w:color="000000" w:sz="6" w:space="0"/>
              <w:bottom w:val="outset" w:color="000000" w:sz="6" w:space="0"/>
              <w:right w:val="outset" w:color="000000" w:sz="6" w:space="0"/>
            </w:tcBorders>
            <w:vAlign w:val="center"/>
          </w:tcPr>
          <w:p>
            <w:pPr>
              <w:autoSpaceDE w:val="0"/>
              <w:autoSpaceDN w:val="0"/>
              <w:jc w:val="left"/>
              <w:rPr>
                <w:rFonts w:ascii="宋体" w:hAnsi="宋体"/>
                <w:kern w:val="0"/>
                <w:sz w:val="24"/>
                <w:lang w:val="zh-CN"/>
              </w:rPr>
            </w:pPr>
            <w:r>
              <w:rPr>
                <w:rFonts w:hint="eastAsia" w:ascii="宋体" w:hAnsi="宋体"/>
                <w:kern w:val="0"/>
                <w:sz w:val="24"/>
              </w:rPr>
              <w:t>1、</w:t>
            </w:r>
            <w:r>
              <w:rPr>
                <w:rFonts w:hint="eastAsia" w:ascii="宋体" w:hAnsi="宋体"/>
                <w:kern w:val="0"/>
                <w:sz w:val="24"/>
                <w:lang w:val="zh-CN"/>
              </w:rPr>
              <w:t>符合《中华人民共和国政府采购法》第22条的条件，并提供下列材料：</w:t>
            </w:r>
          </w:p>
          <w:p>
            <w:pPr>
              <w:autoSpaceDE w:val="0"/>
              <w:autoSpaceDN w:val="0"/>
              <w:jc w:val="left"/>
              <w:rPr>
                <w:rFonts w:ascii="宋体" w:hAnsi="宋体"/>
                <w:kern w:val="0"/>
                <w:sz w:val="24"/>
                <w:lang w:val="zh-CN"/>
              </w:rPr>
            </w:pPr>
            <w:r>
              <w:rPr>
                <w:rFonts w:hint="eastAsia" w:ascii="宋体" w:hAnsi="宋体"/>
                <w:kern w:val="0"/>
                <w:sz w:val="24"/>
              </w:rPr>
              <w:t>（1）</w:t>
            </w:r>
            <w:r>
              <w:rPr>
                <w:rFonts w:hint="eastAsia" w:ascii="宋体" w:hAnsi="宋体"/>
                <w:kern w:val="0"/>
                <w:sz w:val="24"/>
                <w:lang w:val="zh-CN"/>
              </w:rPr>
              <w:t>投标人的营业执照等证明文件，自然人的身份证明。</w:t>
            </w:r>
          </w:p>
          <w:p>
            <w:pPr>
              <w:autoSpaceDE w:val="0"/>
              <w:autoSpaceDN w:val="0"/>
              <w:jc w:val="left"/>
              <w:rPr>
                <w:rFonts w:ascii="宋体" w:hAnsi="宋体"/>
                <w:kern w:val="0"/>
                <w:sz w:val="24"/>
                <w:lang w:val="zh-CN"/>
              </w:rPr>
            </w:pPr>
            <w:r>
              <w:rPr>
                <w:rFonts w:hint="eastAsia" w:ascii="宋体" w:hAnsi="宋体"/>
                <w:kern w:val="0"/>
                <w:sz w:val="24"/>
              </w:rPr>
              <w:t>（2）</w:t>
            </w:r>
            <w:r>
              <w:rPr>
                <w:rFonts w:hint="eastAsia" w:ascii="宋体" w:hAnsi="宋体"/>
                <w:kern w:val="0"/>
                <w:sz w:val="24"/>
                <w:lang w:val="zh-CN"/>
              </w:rPr>
              <w:t>财务状况报告，依法缴纳税收和社会保障资金的相关材料。</w:t>
            </w:r>
          </w:p>
          <w:p>
            <w:pPr>
              <w:autoSpaceDE w:val="0"/>
              <w:autoSpaceDN w:val="0"/>
              <w:jc w:val="left"/>
              <w:rPr>
                <w:rFonts w:ascii="宋体" w:hAnsi="宋体"/>
                <w:kern w:val="0"/>
                <w:sz w:val="24"/>
                <w:lang w:val="zh-CN"/>
              </w:rPr>
            </w:pPr>
            <w:r>
              <w:rPr>
                <w:rFonts w:hint="eastAsia" w:ascii="宋体" w:hAnsi="宋体"/>
                <w:kern w:val="0"/>
                <w:sz w:val="24"/>
              </w:rPr>
              <w:t>（3）</w:t>
            </w:r>
            <w:r>
              <w:rPr>
                <w:rFonts w:hint="eastAsia" w:ascii="宋体" w:hAnsi="宋体"/>
                <w:kern w:val="0"/>
                <w:sz w:val="24"/>
                <w:lang w:val="zh-CN"/>
              </w:rPr>
              <w:t>具备履行合同所必需的设备和专业技术能力的证明材料。</w:t>
            </w:r>
          </w:p>
          <w:p>
            <w:pPr>
              <w:autoSpaceDE w:val="0"/>
              <w:autoSpaceDN w:val="0"/>
              <w:jc w:val="left"/>
              <w:rPr>
                <w:rFonts w:ascii="宋体" w:hAnsi="宋体"/>
                <w:kern w:val="0"/>
                <w:sz w:val="24"/>
                <w:lang w:val="zh-CN"/>
              </w:rPr>
            </w:pPr>
            <w:r>
              <w:rPr>
                <w:rFonts w:hint="eastAsia" w:ascii="宋体" w:hAnsi="宋体"/>
                <w:kern w:val="0"/>
                <w:sz w:val="24"/>
              </w:rPr>
              <w:t>（4）</w:t>
            </w:r>
            <w:r>
              <w:rPr>
                <w:rFonts w:hint="eastAsia" w:ascii="宋体" w:hAnsi="宋体"/>
                <w:kern w:val="0"/>
                <w:sz w:val="24"/>
                <w:lang w:val="zh-CN"/>
              </w:rPr>
              <w:t>参加政府采购活动前3年内在经营活动中没有重大违法记录的书面声明。</w:t>
            </w:r>
          </w:p>
          <w:p>
            <w:pPr>
              <w:autoSpaceDE w:val="0"/>
              <w:autoSpaceDN w:val="0"/>
              <w:jc w:val="left"/>
              <w:rPr>
                <w:rFonts w:hint="eastAsia" w:ascii="宋体" w:hAnsi="宋体"/>
                <w:kern w:val="0"/>
                <w:sz w:val="24"/>
                <w:lang w:val="zh-CN"/>
              </w:rPr>
            </w:pPr>
            <w:r>
              <w:rPr>
                <w:rFonts w:hint="eastAsia" w:ascii="宋体" w:hAnsi="宋体"/>
                <w:kern w:val="0"/>
                <w:sz w:val="24"/>
              </w:rPr>
              <w:t>（5）</w:t>
            </w:r>
            <w:r>
              <w:rPr>
                <w:rFonts w:hint="eastAsia" w:ascii="宋体" w:hAnsi="宋体"/>
                <w:kern w:val="0"/>
                <w:sz w:val="24"/>
                <w:lang w:val="zh-CN"/>
              </w:rPr>
              <w:t>具备法律、行政法规规定的其他条件的证明材料。</w:t>
            </w:r>
          </w:p>
          <w:p>
            <w:pPr>
              <w:pStyle w:val="2"/>
              <w:ind w:left="0" w:leftChars="0" w:firstLine="0" w:firstLineChars="0"/>
              <w:rPr>
                <w:rFonts w:hint="eastAsia" w:ascii="宋体" w:hAnsi="宋体"/>
                <w:kern w:val="0"/>
                <w:sz w:val="24"/>
                <w:lang w:val="en-US" w:eastAsia="zh-CN"/>
              </w:rPr>
            </w:pPr>
            <w:r>
              <w:rPr>
                <w:rFonts w:hint="eastAsia" w:ascii="宋体" w:hAnsi="宋体"/>
                <w:kern w:val="0"/>
                <w:sz w:val="24"/>
                <w:lang w:val="en-US" w:eastAsia="zh-CN"/>
              </w:rPr>
              <w:t>2、单位负责人为同一人或者存在直接控股、管理关系的不同投标人，不得参加同一合同项下的政府采购活动。否则，皆取消投标资格；</w:t>
            </w:r>
          </w:p>
          <w:p>
            <w:pPr>
              <w:rPr>
                <w:rFonts w:hint="default"/>
                <w:lang w:val="en-US" w:eastAsia="zh-CN"/>
              </w:rPr>
            </w:pPr>
            <w:r>
              <w:rPr>
                <w:rFonts w:hint="eastAsia" w:ascii="宋体" w:hAnsi="宋体"/>
                <w:kern w:val="0"/>
                <w:sz w:val="24"/>
                <w:lang w:val="en-US" w:eastAsia="zh-CN"/>
              </w:rPr>
              <w:t>3、为本采购项目提供整体设计、规范编制或者项目管理、监理、检测等服务的投标人，不得再参加该采购项目的其他采购活动；</w:t>
            </w:r>
          </w:p>
          <w:p>
            <w:pPr>
              <w:autoSpaceDE w:val="0"/>
              <w:autoSpaceDN w:val="0"/>
              <w:jc w:val="left"/>
              <w:rPr>
                <w:rFonts w:hint="eastAsia" w:ascii="宋体" w:hAnsi="宋体"/>
                <w:kern w:val="0"/>
                <w:sz w:val="24"/>
                <w:lang w:val="zh-CN"/>
              </w:rPr>
            </w:pPr>
            <w:r>
              <w:rPr>
                <w:rFonts w:hint="eastAsia" w:ascii="宋体" w:hAnsi="宋体"/>
                <w:kern w:val="0"/>
                <w:sz w:val="24"/>
                <w:lang w:val="en-US" w:eastAsia="zh-CN"/>
              </w:rPr>
              <w:t>4</w:t>
            </w:r>
            <w:r>
              <w:rPr>
                <w:rFonts w:hint="eastAsia" w:ascii="宋体" w:hAnsi="宋体"/>
                <w:kern w:val="0"/>
                <w:sz w:val="24"/>
              </w:rPr>
              <w:t>、</w:t>
            </w:r>
            <w:r>
              <w:rPr>
                <w:rFonts w:hint="eastAsia" w:ascii="宋体" w:hAnsi="宋体"/>
                <w:kern w:val="0"/>
                <w:sz w:val="24"/>
                <w:lang w:val="zh-CN"/>
              </w:rPr>
              <w:t>经信用中国</w:t>
            </w:r>
            <w:r>
              <w:rPr>
                <w:rFonts w:hint="eastAsia" w:ascii="宋体" w:hAnsi="宋体"/>
                <w:kern w:val="0"/>
                <w:sz w:val="24"/>
              </w:rPr>
              <w:t>（www.creditchina.gov.cn）</w:t>
            </w:r>
            <w:r>
              <w:rPr>
                <w:rFonts w:hint="eastAsia" w:ascii="宋体" w:hAnsi="宋体"/>
                <w:kern w:val="0"/>
                <w:sz w:val="24"/>
                <w:lang w:val="zh-CN"/>
              </w:rPr>
              <w:t>、中国政府采购网</w:t>
            </w:r>
            <w:r>
              <w:rPr>
                <w:rFonts w:hint="eastAsia" w:ascii="宋体" w:hAnsi="宋体"/>
                <w:kern w:val="0"/>
                <w:sz w:val="24"/>
              </w:rPr>
              <w:t>（www.ccgp.gov.cn）</w:t>
            </w:r>
            <w:r>
              <w:rPr>
                <w:rFonts w:hint="eastAsia" w:ascii="宋体" w:hAnsi="宋体"/>
                <w:kern w:val="0"/>
                <w:sz w:val="24"/>
                <w:lang w:val="zh-CN"/>
              </w:rPr>
              <w:t>等渠道查询后</w:t>
            </w:r>
            <w:r>
              <w:rPr>
                <w:rFonts w:hint="eastAsia" w:ascii="宋体" w:hAnsi="宋体"/>
                <w:kern w:val="0"/>
                <w:sz w:val="24"/>
              </w:rPr>
              <w:t>，</w:t>
            </w:r>
            <w:r>
              <w:rPr>
                <w:rFonts w:hint="eastAsia" w:ascii="宋体" w:hAnsi="宋体"/>
                <w:kern w:val="0"/>
                <w:sz w:val="24"/>
                <w:lang w:val="zh-CN"/>
              </w:rPr>
              <w:t>被列入失信被执行人、重大税收违法案件当事人名单、政府采购严重违法失信行为记录名单的</w:t>
            </w:r>
            <w:r>
              <w:rPr>
                <w:rFonts w:hint="eastAsia" w:ascii="宋体" w:hAnsi="宋体"/>
                <w:kern w:val="0"/>
                <w:sz w:val="24"/>
              </w:rPr>
              <w:t>，</w:t>
            </w:r>
            <w:r>
              <w:rPr>
                <w:rFonts w:hint="eastAsia" w:ascii="宋体" w:hAnsi="宋体"/>
                <w:kern w:val="0"/>
                <w:sz w:val="24"/>
                <w:lang w:val="zh-CN"/>
              </w:rPr>
              <w:t>取消投标资格。（提供“信用中国”网站查询截图，时间为投标截止时间前</w:t>
            </w:r>
            <w:r>
              <w:rPr>
                <w:rFonts w:hint="eastAsia" w:ascii="宋体" w:hAnsi="宋体"/>
                <w:kern w:val="0"/>
                <w:sz w:val="24"/>
                <w:lang w:val="en-US" w:eastAsia="zh-CN"/>
              </w:rPr>
              <w:t>10</w:t>
            </w:r>
            <w:r>
              <w:rPr>
                <w:rFonts w:hint="eastAsia" w:ascii="宋体" w:hAnsi="宋体"/>
                <w:kern w:val="0"/>
                <w:sz w:val="24"/>
                <w:lang w:val="zh-CN"/>
              </w:rPr>
              <w:t>天内）；</w:t>
            </w:r>
          </w:p>
          <w:p>
            <w:pPr>
              <w:autoSpaceDE w:val="0"/>
              <w:autoSpaceDN w:val="0"/>
              <w:jc w:val="left"/>
              <w:rPr>
                <w:rFonts w:hint="default" w:ascii="宋体" w:hAnsi="宋体" w:eastAsia="宋体"/>
                <w:kern w:val="0"/>
                <w:sz w:val="24"/>
                <w:lang w:val="en-US" w:eastAsia="zh-CN"/>
              </w:rPr>
            </w:pPr>
            <w:r>
              <w:rPr>
                <w:rFonts w:hint="eastAsia" w:ascii="宋体" w:hAnsi="宋体"/>
                <w:kern w:val="0"/>
                <w:sz w:val="24"/>
                <w:lang w:val="en-US" w:eastAsia="zh-CN"/>
              </w:rPr>
              <w:t>5</w:t>
            </w:r>
            <w:r>
              <w:rPr>
                <w:rFonts w:hint="eastAsia" w:ascii="宋体" w:hAnsi="宋体"/>
                <w:kern w:val="0"/>
                <w:sz w:val="24"/>
              </w:rPr>
              <w:t>、</w:t>
            </w:r>
            <w:r>
              <w:rPr>
                <w:rFonts w:hint="eastAsia" w:ascii="宋体" w:hAnsi="宋体"/>
                <w:kern w:val="0"/>
                <w:sz w:val="24"/>
                <w:lang w:val="zh-CN"/>
              </w:rPr>
              <w:t>本项目不接受联合体投标；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公告发布时间</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54"/>
              <w:rPr>
                <w:rFonts w:ascii="宋体" w:hAnsi="宋体"/>
                <w:kern w:val="0"/>
                <w:sz w:val="24"/>
              </w:rPr>
            </w:pPr>
            <w:r>
              <w:rPr>
                <w:rFonts w:hint="eastAsia" w:ascii="宋体" w:hAnsi="宋体"/>
                <w:kern w:val="0"/>
                <w:sz w:val="24"/>
                <w:lang w:eastAsia="zh-CN"/>
              </w:rPr>
              <w:t>2020</w:t>
            </w:r>
            <w:r>
              <w:rPr>
                <w:rFonts w:hint="eastAsia" w:ascii="宋体" w:hAnsi="宋体"/>
                <w:kern w:val="0"/>
                <w:sz w:val="24"/>
              </w:rPr>
              <w:t>年</w:t>
            </w:r>
            <w:r>
              <w:rPr>
                <w:rFonts w:hint="eastAsia" w:ascii="宋体" w:hAnsi="宋体"/>
                <w:kern w:val="0"/>
                <w:sz w:val="24"/>
                <w:lang w:val="en-US" w:eastAsia="zh-CN"/>
              </w:rPr>
              <w:t>09</w:t>
            </w:r>
            <w:r>
              <w:rPr>
                <w:rFonts w:hint="eastAsia" w:ascii="宋体" w:hAnsi="宋体"/>
                <w:kern w:val="0"/>
                <w:sz w:val="24"/>
              </w:rPr>
              <w:t>月</w:t>
            </w:r>
            <w:r>
              <w:rPr>
                <w:rFonts w:hint="eastAsia" w:ascii="宋体" w:hAnsi="宋体"/>
                <w:kern w:val="0"/>
                <w:sz w:val="24"/>
                <w:lang w:val="en-US" w:eastAsia="zh-CN"/>
              </w:rPr>
              <w:t>04</w:t>
            </w:r>
            <w:r>
              <w:rPr>
                <w:rFonts w:hint="eastAsia" w:ascii="宋体" w:hAnsi="宋体"/>
                <w:kern w:val="0"/>
                <w:sz w:val="24"/>
              </w:rPr>
              <w:t>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2086" w:type="dxa"/>
            <w:tcBorders>
              <w:top w:val="outset" w:color="000000" w:sz="6" w:space="0"/>
              <w:left w:val="outset" w:color="000000" w:sz="6" w:space="0"/>
              <w:bottom w:val="outset" w:color="000000" w:sz="6" w:space="0"/>
              <w:right w:val="outset" w:color="000000" w:sz="6" w:space="0"/>
            </w:tcBorders>
          </w:tcPr>
          <w:p>
            <w:pPr>
              <w:pStyle w:val="54"/>
              <w:jc w:val="left"/>
              <w:rPr>
                <w:rFonts w:ascii="宋体" w:hAnsi="宋体"/>
                <w:sz w:val="24"/>
              </w:rPr>
            </w:pPr>
            <w:r>
              <w:rPr>
                <w:rFonts w:hint="eastAsia" w:ascii="宋体" w:hAnsi="宋体"/>
                <w:sz w:val="24"/>
              </w:rPr>
              <w:t>磋商文件发售起止时间</w:t>
            </w:r>
          </w:p>
        </w:tc>
        <w:tc>
          <w:tcPr>
            <w:tcW w:w="7583" w:type="dxa"/>
            <w:tcBorders>
              <w:top w:val="outset" w:color="000000" w:sz="6" w:space="0"/>
              <w:left w:val="outset" w:color="000000" w:sz="6" w:space="0"/>
              <w:bottom w:val="outset" w:color="000000" w:sz="6" w:space="0"/>
              <w:right w:val="outset" w:color="000000" w:sz="6" w:space="0"/>
            </w:tcBorders>
          </w:tcPr>
          <w:p>
            <w:pPr>
              <w:pStyle w:val="54"/>
              <w:rPr>
                <w:rFonts w:ascii="宋体" w:hAnsi="宋体"/>
                <w:kern w:val="0"/>
                <w:sz w:val="24"/>
              </w:rPr>
            </w:pPr>
            <w:r>
              <w:rPr>
                <w:rFonts w:hint="eastAsia" w:ascii="宋体" w:hAnsi="宋体"/>
                <w:kern w:val="0"/>
                <w:sz w:val="24"/>
              </w:rPr>
              <w:t>自</w:t>
            </w:r>
            <w:r>
              <w:rPr>
                <w:rFonts w:hint="eastAsia" w:ascii="宋体" w:hAnsi="宋体"/>
                <w:kern w:val="0"/>
                <w:sz w:val="24"/>
                <w:lang w:eastAsia="zh-CN"/>
              </w:rPr>
              <w:t>2020</w:t>
            </w:r>
            <w:r>
              <w:rPr>
                <w:rFonts w:hint="eastAsia" w:ascii="宋体" w:hAnsi="宋体"/>
                <w:kern w:val="0"/>
                <w:sz w:val="24"/>
              </w:rPr>
              <w:t>年</w:t>
            </w:r>
            <w:r>
              <w:rPr>
                <w:rFonts w:hint="eastAsia" w:ascii="宋体" w:hAnsi="宋体"/>
                <w:kern w:val="0"/>
                <w:sz w:val="24"/>
                <w:lang w:val="en-US" w:eastAsia="zh-CN"/>
              </w:rPr>
              <w:t>09</w:t>
            </w:r>
            <w:r>
              <w:rPr>
                <w:rFonts w:hint="eastAsia" w:ascii="宋体" w:hAnsi="宋体"/>
                <w:kern w:val="0"/>
                <w:sz w:val="24"/>
              </w:rPr>
              <w:t>月</w:t>
            </w:r>
            <w:r>
              <w:rPr>
                <w:rFonts w:hint="eastAsia" w:ascii="宋体" w:hAnsi="宋体"/>
                <w:kern w:val="0"/>
                <w:sz w:val="24"/>
                <w:lang w:val="en-US" w:eastAsia="zh-CN"/>
              </w:rPr>
              <w:t>07</w:t>
            </w:r>
            <w:r>
              <w:rPr>
                <w:rFonts w:hint="eastAsia" w:ascii="宋体" w:hAnsi="宋体"/>
                <w:kern w:val="0"/>
                <w:sz w:val="24"/>
              </w:rPr>
              <w:t>日至</w:t>
            </w:r>
            <w:r>
              <w:rPr>
                <w:rFonts w:hint="eastAsia" w:ascii="宋体" w:hAnsi="宋体"/>
                <w:kern w:val="0"/>
                <w:sz w:val="24"/>
                <w:lang w:eastAsia="zh-CN"/>
              </w:rPr>
              <w:t>2020</w:t>
            </w:r>
            <w:r>
              <w:rPr>
                <w:rFonts w:hint="eastAsia" w:ascii="宋体" w:hAnsi="宋体"/>
                <w:kern w:val="0"/>
                <w:sz w:val="24"/>
              </w:rPr>
              <w:t>年</w:t>
            </w:r>
            <w:r>
              <w:rPr>
                <w:rFonts w:hint="eastAsia" w:ascii="宋体" w:hAnsi="宋体"/>
                <w:kern w:val="0"/>
                <w:sz w:val="24"/>
                <w:lang w:val="en-US" w:eastAsia="zh-CN"/>
              </w:rPr>
              <w:t>09</w:t>
            </w:r>
            <w:r>
              <w:rPr>
                <w:rFonts w:hint="eastAsia" w:ascii="宋体" w:hAnsi="宋体"/>
                <w:kern w:val="0"/>
                <w:sz w:val="24"/>
              </w:rPr>
              <w:t>月</w:t>
            </w:r>
            <w:r>
              <w:rPr>
                <w:rFonts w:hint="eastAsia" w:ascii="宋体" w:hAnsi="宋体"/>
                <w:kern w:val="0"/>
                <w:sz w:val="24"/>
                <w:lang w:val="en-US" w:eastAsia="zh-CN"/>
              </w:rPr>
              <w:t>11</w:t>
            </w:r>
            <w:r>
              <w:rPr>
                <w:rFonts w:hint="eastAsia" w:ascii="宋体" w:hAnsi="宋体"/>
                <w:kern w:val="0"/>
                <w:sz w:val="24"/>
              </w:rPr>
              <w:t>日（上午9:00-12:00，下午14:</w:t>
            </w:r>
            <w:r>
              <w:rPr>
                <w:rFonts w:ascii="宋体" w:hAnsi="宋体"/>
                <w:kern w:val="0"/>
                <w:sz w:val="24"/>
              </w:rPr>
              <w:t>0</w:t>
            </w:r>
            <w:r>
              <w:rPr>
                <w:rFonts w:hint="eastAsia" w:ascii="宋体" w:hAnsi="宋体"/>
                <w:kern w:val="0"/>
                <w:sz w:val="24"/>
              </w:rPr>
              <w:t>0-17:00休息日、节假日除外）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磋商文件发售方式</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54"/>
              <w:rPr>
                <w:rFonts w:hint="default" w:ascii="宋体" w:hAnsi="宋体" w:eastAsia="宋体"/>
                <w:kern w:val="0"/>
                <w:sz w:val="24"/>
                <w:lang w:val="en-US" w:eastAsia="zh-CN"/>
              </w:rPr>
            </w:pPr>
            <w:r>
              <w:rPr>
                <w:rFonts w:hint="eastAsia"/>
                <w:kern w:val="0"/>
                <w:sz w:val="24"/>
              </w:rPr>
              <w:t>现场购买</w:t>
            </w:r>
            <w:r>
              <w:rPr>
                <w:rFonts w:hint="eastAsia"/>
                <w:kern w:val="0"/>
                <w:sz w:val="24"/>
                <w:lang w:val="en-US" w:eastAsia="zh-CN"/>
              </w:rPr>
              <w:t>或网上购买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磋商文件售价</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54"/>
              <w:rPr>
                <w:rFonts w:ascii="宋体" w:hAnsi="宋体"/>
                <w:kern w:val="0"/>
                <w:sz w:val="24"/>
              </w:rPr>
            </w:pPr>
            <w:r>
              <w:rPr>
                <w:rFonts w:hint="eastAsia" w:ascii="宋体" w:hAnsi="宋体"/>
                <w:kern w:val="0"/>
                <w:sz w:val="24"/>
              </w:rPr>
              <w:t>500元整/包</w:t>
            </w:r>
            <w:r>
              <w:rPr>
                <w:rFonts w:hint="eastAsia" w:ascii="宋体" w:hAnsi="宋体" w:cs="宋体"/>
                <w:kern w:val="0"/>
                <w:sz w:val="24"/>
                <w:lang w:val="zh-CN"/>
              </w:rPr>
              <w:t>（磋商文件售后不退,磋商资格不能转让）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磋商文件发售地点</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97"/>
              <w:rPr>
                <w:kern w:val="0"/>
                <w:sz w:val="24"/>
              </w:rPr>
            </w:pPr>
            <w:r>
              <w:rPr>
                <w:rFonts w:hint="eastAsia"/>
                <w:kern w:val="0"/>
                <w:sz w:val="24"/>
              </w:rPr>
              <w:t>地址：西宁市城西区西川南路52号金座晟锦华府1号楼4单元4253室</w:t>
            </w:r>
          </w:p>
          <w:p>
            <w:pPr>
              <w:pStyle w:val="97"/>
              <w:rPr>
                <w:rFonts w:hint="eastAsia" w:eastAsia="宋体"/>
                <w:kern w:val="0"/>
                <w:sz w:val="24"/>
                <w:lang w:eastAsia="zh-CN"/>
              </w:rPr>
            </w:pPr>
            <w:r>
              <w:rPr>
                <w:rFonts w:hint="eastAsia"/>
                <w:kern w:val="0"/>
                <w:sz w:val="24"/>
              </w:rPr>
              <w:t>标书购买联系人：</w:t>
            </w:r>
            <w:r>
              <w:rPr>
                <w:rFonts w:hint="eastAsia"/>
                <w:kern w:val="0"/>
                <w:sz w:val="24"/>
                <w:lang w:val="en-US" w:eastAsia="zh-CN"/>
              </w:rPr>
              <w:t>尹女士</w:t>
            </w:r>
          </w:p>
          <w:p>
            <w:pPr>
              <w:pStyle w:val="97"/>
              <w:rPr>
                <w:rFonts w:ascii="宋体" w:hAnsi="宋体"/>
                <w:kern w:val="0"/>
                <w:sz w:val="24"/>
              </w:rPr>
            </w:pPr>
            <w:r>
              <w:rPr>
                <w:rFonts w:hint="eastAsia"/>
                <w:kern w:val="0"/>
                <w:sz w:val="24"/>
              </w:rPr>
              <w:t>联系电话：0971-5362418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购买磋商文件时应提供材料</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97"/>
              <w:rPr>
                <w:rFonts w:ascii="宋体" w:hAnsi="宋体"/>
                <w:kern w:val="0"/>
                <w:sz w:val="24"/>
              </w:rPr>
            </w:pPr>
            <w:r>
              <w:rPr>
                <w:rFonts w:hint="eastAsia" w:ascii="宋体" w:hAnsi="宋体"/>
                <w:kern w:val="0"/>
                <w:sz w:val="24"/>
              </w:rPr>
              <w:t>供应商的营业执照（副本）复印件、</w:t>
            </w:r>
            <w:r>
              <w:rPr>
                <w:rFonts w:hint="eastAsia" w:ascii="宋体" w:hAnsi="宋体"/>
                <w:kern w:val="0"/>
                <w:sz w:val="24"/>
                <w:lang w:val="en-US" w:eastAsia="zh-CN"/>
              </w:rPr>
              <w:t>开户许可证复印件、</w:t>
            </w:r>
            <w:r>
              <w:rPr>
                <w:rFonts w:hint="eastAsia" w:ascii="宋体" w:hAnsi="宋体"/>
                <w:kern w:val="0"/>
                <w:sz w:val="24"/>
              </w:rPr>
              <w:t>法人授权委托书（原件）及法人</w:t>
            </w:r>
            <w:r>
              <w:rPr>
                <w:rFonts w:hint="eastAsia" w:ascii="宋体" w:hAnsi="宋体"/>
                <w:kern w:val="0"/>
                <w:sz w:val="24"/>
                <w:lang w:val="en-US" w:eastAsia="zh-CN"/>
              </w:rPr>
              <w:t>和</w:t>
            </w:r>
            <w:r>
              <w:rPr>
                <w:rFonts w:hint="eastAsia" w:ascii="宋体" w:hAnsi="宋体"/>
                <w:kern w:val="0"/>
                <w:sz w:val="24"/>
              </w:rPr>
              <w:t>被授权人身份证复印件。以上资料除均需加盖公章（采购代理机构对以上资料留存备案）。</w:t>
            </w:r>
            <w:r>
              <w:rPr>
                <w:rFonts w:hint="eastAsia" w:ascii="宋体" w:hAnsi="宋体"/>
                <w:kern w:val="0"/>
                <w:sz w:val="24"/>
                <w:lang w:val="zh-CN"/>
              </w:rPr>
              <w:t>注：需网上购买标书的供应商应将以上材料扫描后发至我公司联系邮箱（</w:t>
            </w:r>
            <w:r>
              <w:rPr>
                <w:rFonts w:hint="eastAsia" w:ascii="宋体" w:hAnsi="宋体"/>
                <w:kern w:val="0"/>
                <w:sz w:val="24"/>
                <w:lang w:val="zh-CN" w:eastAsia="zh-CN"/>
              </w:rPr>
              <w:t>sqjwqhfgs</w:t>
            </w:r>
            <w:r>
              <w:rPr>
                <w:rFonts w:hint="eastAsia" w:ascii="宋体" w:hAnsi="宋体"/>
                <w:kern w:val="0"/>
                <w:sz w:val="24"/>
                <w:lang w:val="zh-CN"/>
              </w:rPr>
              <w:t>@163.com），在邮件中标明购买项目名称、项目编号、联系人及联系方式，并与我公司工作人员进行联系确认。同时将以上资料邮寄至采购代理机构留存备案。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磋商截止时间</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54"/>
              <w:spacing w:line="276" w:lineRule="auto"/>
              <w:rPr>
                <w:rFonts w:ascii="宋体" w:hAnsi="宋体"/>
                <w:kern w:val="0"/>
                <w:sz w:val="24"/>
              </w:rPr>
            </w:pPr>
            <w:r>
              <w:rPr>
                <w:rFonts w:hint="eastAsia" w:ascii="宋体" w:hAnsi="宋体"/>
                <w:kern w:val="0"/>
                <w:sz w:val="24"/>
                <w:lang w:eastAsia="zh-CN"/>
              </w:rPr>
              <w:t>2020年09月17日上午09:30（北京时间）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磋商时间</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54"/>
              <w:spacing w:line="276" w:lineRule="auto"/>
              <w:rPr>
                <w:rFonts w:ascii="宋体" w:hAnsi="宋体"/>
                <w:kern w:val="0"/>
                <w:sz w:val="24"/>
              </w:rPr>
            </w:pPr>
            <w:r>
              <w:rPr>
                <w:rFonts w:hint="eastAsia" w:ascii="宋体" w:hAnsi="宋体"/>
                <w:kern w:val="0"/>
                <w:sz w:val="24"/>
                <w:lang w:eastAsia="zh-CN"/>
              </w:rPr>
              <w:t>2020年09月17日上午09:30（北京时间）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磋商及磋商地点</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54"/>
              <w:spacing w:line="276" w:lineRule="auto"/>
              <w:rPr>
                <w:rFonts w:hint="default" w:ascii="宋体" w:hAnsi="宋体" w:eastAsia="宋体"/>
                <w:kern w:val="0"/>
                <w:sz w:val="24"/>
                <w:lang w:val="en-US" w:eastAsia="zh-CN"/>
              </w:rPr>
            </w:pPr>
            <w:r>
              <w:rPr>
                <w:rFonts w:hint="default" w:ascii="宋体" w:hAnsi="宋体" w:eastAsia="宋体"/>
                <w:kern w:val="0"/>
                <w:sz w:val="24"/>
                <w:lang w:val="en-US" w:eastAsia="zh-CN"/>
              </w:rPr>
              <w:t>西宁市城西区西川南路52号金座晟锦华府1号楼4单元4253室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color w:val="auto"/>
                <w:kern w:val="0"/>
                <w:sz w:val="24"/>
              </w:rPr>
            </w:pPr>
            <w:r>
              <w:rPr>
                <w:rFonts w:hint="eastAsia" w:ascii="宋体" w:hAnsi="宋体"/>
                <w:color w:val="auto"/>
                <w:kern w:val="0"/>
                <w:sz w:val="24"/>
              </w:rPr>
              <w:t>采购单位及联系人电话</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97"/>
              <w:rPr>
                <w:rFonts w:hint="eastAsia" w:ascii="宋体" w:hAnsi="宋体"/>
                <w:color w:val="auto"/>
                <w:kern w:val="0"/>
                <w:sz w:val="24"/>
                <w:lang w:eastAsia="zh-CN"/>
              </w:rPr>
            </w:pPr>
            <w:r>
              <w:rPr>
                <w:rFonts w:hint="eastAsia" w:ascii="宋体" w:hAnsi="宋体"/>
                <w:color w:val="auto"/>
                <w:kern w:val="0"/>
                <w:sz w:val="24"/>
              </w:rPr>
              <w:t>采购人：</w:t>
            </w:r>
            <w:r>
              <w:rPr>
                <w:rFonts w:hint="eastAsia" w:ascii="宋体" w:hAnsi="宋体"/>
                <w:color w:val="auto"/>
                <w:kern w:val="0"/>
                <w:sz w:val="24"/>
                <w:lang w:eastAsia="zh-CN"/>
              </w:rPr>
              <w:t>西宁市城东区文体旅游科技局</w:t>
            </w:r>
          </w:p>
          <w:p>
            <w:pPr>
              <w:pStyle w:val="97"/>
              <w:rPr>
                <w:rFonts w:hint="default" w:ascii="宋体" w:hAnsi="宋体" w:eastAsia="宋体"/>
                <w:color w:val="auto"/>
                <w:kern w:val="0"/>
                <w:sz w:val="24"/>
                <w:lang w:val="en-US" w:eastAsia="zh-CN"/>
              </w:rPr>
            </w:pPr>
            <w:r>
              <w:rPr>
                <w:rFonts w:hint="eastAsia" w:ascii="宋体" w:hAnsi="宋体"/>
                <w:color w:val="auto"/>
                <w:kern w:val="0"/>
                <w:sz w:val="24"/>
              </w:rPr>
              <w:t>联系人：</w:t>
            </w:r>
            <w:r>
              <w:rPr>
                <w:rFonts w:hint="eastAsia" w:ascii="宋体" w:hAnsi="宋体"/>
                <w:color w:val="auto"/>
                <w:kern w:val="0"/>
                <w:sz w:val="24"/>
                <w:lang w:val="en-US" w:eastAsia="zh-CN"/>
              </w:rPr>
              <w:t>李老师</w:t>
            </w:r>
          </w:p>
          <w:p>
            <w:pPr>
              <w:pStyle w:val="97"/>
              <w:rPr>
                <w:rFonts w:hint="eastAsia" w:ascii="宋体" w:hAnsi="宋体" w:eastAsia="宋体"/>
                <w:color w:val="auto"/>
                <w:kern w:val="0"/>
                <w:sz w:val="24"/>
                <w:lang w:val="en-US" w:eastAsia="zh-CN"/>
              </w:rPr>
            </w:pPr>
            <w:r>
              <w:rPr>
                <w:rFonts w:hint="eastAsia" w:ascii="宋体" w:hAnsi="宋体"/>
                <w:color w:val="auto"/>
                <w:kern w:val="0"/>
                <w:sz w:val="24"/>
              </w:rPr>
              <w:t>联系电话：</w:t>
            </w:r>
            <w:r>
              <w:rPr>
                <w:rFonts w:hint="eastAsia" w:ascii="宋体" w:hAnsi="宋体"/>
                <w:color w:val="auto"/>
                <w:kern w:val="0"/>
                <w:sz w:val="24"/>
                <w:lang w:eastAsia="zh-CN"/>
              </w:rPr>
              <w:t>0971-8131353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采购代理机构及联系人电话</w:t>
            </w:r>
          </w:p>
        </w:tc>
        <w:tc>
          <w:tcPr>
            <w:tcW w:w="7583" w:type="dxa"/>
            <w:tcBorders>
              <w:top w:val="outset" w:color="000000" w:sz="6" w:space="0"/>
              <w:left w:val="outset" w:color="000000" w:sz="6" w:space="0"/>
              <w:bottom w:val="outset" w:color="000000" w:sz="6" w:space="0"/>
              <w:right w:val="outset" w:color="000000" w:sz="6" w:space="0"/>
            </w:tcBorders>
            <w:vAlign w:val="center"/>
          </w:tcPr>
          <w:p>
            <w:pPr>
              <w:pStyle w:val="54"/>
              <w:spacing w:line="276" w:lineRule="auto"/>
              <w:rPr>
                <w:rFonts w:ascii="宋体" w:hAnsi="宋体"/>
                <w:kern w:val="0"/>
                <w:sz w:val="24"/>
              </w:rPr>
            </w:pPr>
            <w:r>
              <w:rPr>
                <w:rFonts w:ascii="宋体" w:hAnsi="宋体"/>
                <w:kern w:val="0"/>
                <w:sz w:val="24"/>
              </w:rPr>
              <w:t>采购代理机构：</w:t>
            </w:r>
            <w:r>
              <w:rPr>
                <w:rFonts w:hint="eastAsia" w:ascii="宋体" w:hAnsi="宋体"/>
                <w:kern w:val="0"/>
                <w:sz w:val="24"/>
              </w:rPr>
              <w:t>宿迁建威工程咨询有限公司</w:t>
            </w:r>
          </w:p>
          <w:p>
            <w:pPr>
              <w:pStyle w:val="54"/>
              <w:spacing w:line="276" w:lineRule="auto"/>
              <w:rPr>
                <w:rFonts w:ascii="宋体" w:hAnsi="宋体"/>
                <w:kern w:val="0"/>
                <w:sz w:val="24"/>
              </w:rPr>
            </w:pPr>
            <w:r>
              <w:rPr>
                <w:rFonts w:ascii="宋体" w:hAnsi="宋体"/>
                <w:kern w:val="0"/>
                <w:sz w:val="24"/>
              </w:rPr>
              <w:t>联系人：</w:t>
            </w:r>
            <w:r>
              <w:rPr>
                <w:rFonts w:hint="eastAsia" w:ascii="宋体" w:hAnsi="宋体"/>
                <w:kern w:val="0"/>
                <w:sz w:val="24"/>
                <w:lang w:val="en-US" w:eastAsia="zh-CN"/>
              </w:rPr>
              <w:t>尹女士</w:t>
            </w:r>
            <w:r>
              <w:rPr>
                <w:rFonts w:ascii="宋体" w:hAnsi="宋体"/>
                <w:kern w:val="0"/>
                <w:sz w:val="24"/>
              </w:rPr>
              <w:t xml:space="preserve">   </w:t>
            </w:r>
          </w:p>
          <w:p>
            <w:pPr>
              <w:pStyle w:val="54"/>
              <w:spacing w:line="276" w:lineRule="auto"/>
              <w:rPr>
                <w:rFonts w:ascii="宋体" w:hAnsi="宋体"/>
                <w:kern w:val="0"/>
                <w:sz w:val="24"/>
              </w:rPr>
            </w:pPr>
            <w:r>
              <w:rPr>
                <w:rFonts w:ascii="宋体" w:hAnsi="宋体"/>
                <w:kern w:val="0"/>
                <w:sz w:val="24"/>
              </w:rPr>
              <w:t>联系电话：097</w:t>
            </w:r>
            <w:r>
              <w:rPr>
                <w:rFonts w:hint="eastAsia" w:ascii="宋体" w:hAnsi="宋体"/>
                <w:kern w:val="0"/>
                <w:sz w:val="24"/>
              </w:rPr>
              <w:t>1</w:t>
            </w:r>
            <w:r>
              <w:rPr>
                <w:rFonts w:ascii="宋体" w:hAnsi="宋体"/>
                <w:kern w:val="0"/>
                <w:sz w:val="24"/>
              </w:rPr>
              <w:t>-</w:t>
            </w:r>
            <w:r>
              <w:rPr>
                <w:rFonts w:hint="eastAsia" w:ascii="宋体" w:hAnsi="宋体"/>
                <w:kern w:val="0"/>
                <w:sz w:val="24"/>
              </w:rPr>
              <w:t>5362418</w:t>
            </w:r>
          </w:p>
          <w:p>
            <w:pPr>
              <w:pStyle w:val="54"/>
              <w:spacing w:line="276" w:lineRule="auto"/>
              <w:rPr>
                <w:rFonts w:ascii="宋体" w:hAnsi="宋体"/>
                <w:kern w:val="0"/>
                <w:sz w:val="24"/>
              </w:rPr>
            </w:pPr>
            <w:r>
              <w:rPr>
                <w:rFonts w:hint="eastAsia" w:ascii="宋体" w:hAnsi="宋体"/>
                <w:kern w:val="0"/>
                <w:sz w:val="24"/>
                <w:lang w:val="zh-CN"/>
              </w:rPr>
              <w:t>联系地址：西宁市城西区西川南路52号金座晟锦华府1号楼4单元4253室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采购代理机构开户银行</w:t>
            </w:r>
          </w:p>
        </w:tc>
        <w:tc>
          <w:tcPr>
            <w:tcW w:w="7583"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宋体" w:hAnsi="宋体"/>
                <w:kern w:val="0"/>
                <w:sz w:val="24"/>
                <w:lang w:val="zh-CN"/>
              </w:rPr>
            </w:pPr>
            <w:r>
              <w:rPr>
                <w:rFonts w:ascii="宋体" w:hAnsi="宋体"/>
                <w:kern w:val="0"/>
                <w:sz w:val="24"/>
              </w:rPr>
              <w:t>青海西宁农村商业银行股份有限公司海西路支行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收款人</w:t>
            </w:r>
          </w:p>
        </w:tc>
        <w:tc>
          <w:tcPr>
            <w:tcW w:w="7583"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宋体" w:hAnsi="宋体"/>
                <w:kern w:val="0"/>
                <w:sz w:val="24"/>
                <w:lang w:val="zh-CN"/>
              </w:rPr>
            </w:pPr>
            <w:r>
              <w:rPr>
                <w:rFonts w:hint="eastAsia" w:ascii="宋体" w:hAnsi="宋体"/>
                <w:kern w:val="0"/>
                <w:sz w:val="24"/>
                <w:lang w:val="zh-CN"/>
              </w:rPr>
              <w:t>宿迁建威工程咨询有限公司青海分公司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银行账号</w:t>
            </w:r>
          </w:p>
        </w:tc>
        <w:tc>
          <w:tcPr>
            <w:tcW w:w="7583" w:type="dxa"/>
            <w:tcBorders>
              <w:top w:val="outset" w:color="000000" w:sz="6" w:space="0"/>
              <w:left w:val="outset" w:color="000000" w:sz="6" w:space="0"/>
              <w:bottom w:val="outset" w:color="000000" w:sz="6" w:space="0"/>
              <w:right w:val="outset" w:color="000000" w:sz="6" w:space="0"/>
            </w:tcBorders>
            <w:vAlign w:val="center"/>
          </w:tcPr>
          <w:p>
            <w:pPr>
              <w:spacing w:line="360" w:lineRule="auto"/>
              <w:rPr>
                <w:rFonts w:ascii="宋体" w:hAnsi="宋体" w:cs="宋体"/>
                <w:kern w:val="0"/>
                <w:sz w:val="24"/>
                <w:lang w:val="zh-CN"/>
              </w:rPr>
            </w:pPr>
            <w:r>
              <w:rPr>
                <w:rFonts w:ascii="宋体" w:hAnsi="宋体"/>
                <w:kern w:val="0"/>
                <w:sz w:val="24"/>
              </w:rPr>
              <w:t>82010000000415138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181" w:hRule="atLeast"/>
          <w:jc w:val="center"/>
        </w:trPr>
        <w:tc>
          <w:tcPr>
            <w:tcW w:w="2086" w:type="dxa"/>
            <w:tcBorders>
              <w:top w:val="outset" w:color="000000" w:sz="6" w:space="0"/>
              <w:left w:val="outset" w:color="000000" w:sz="6" w:space="0"/>
              <w:bottom w:val="outset" w:color="000000" w:sz="6" w:space="0"/>
              <w:right w:val="outset" w:color="000000" w:sz="6" w:space="0"/>
            </w:tcBorders>
            <w:vAlign w:val="center"/>
          </w:tcPr>
          <w:p>
            <w:pPr>
              <w:pStyle w:val="54"/>
              <w:jc w:val="left"/>
              <w:rPr>
                <w:rFonts w:ascii="宋体" w:hAnsi="宋体"/>
                <w:kern w:val="0"/>
                <w:sz w:val="24"/>
              </w:rPr>
            </w:pPr>
            <w:r>
              <w:rPr>
                <w:rFonts w:hint="eastAsia" w:ascii="宋体" w:hAnsi="宋体"/>
                <w:kern w:val="0"/>
                <w:sz w:val="24"/>
              </w:rPr>
              <w:t>其他事项</w:t>
            </w:r>
          </w:p>
        </w:tc>
        <w:tc>
          <w:tcPr>
            <w:tcW w:w="7583" w:type="dxa"/>
            <w:tcBorders>
              <w:top w:val="outset" w:color="000000" w:sz="6" w:space="0"/>
              <w:left w:val="outset" w:color="000000" w:sz="6" w:space="0"/>
              <w:bottom w:val="outset" w:color="000000" w:sz="6" w:space="0"/>
              <w:right w:val="outset" w:color="000000" w:sz="6" w:space="0"/>
            </w:tcBorders>
            <w:vAlign w:val="center"/>
          </w:tcPr>
          <w:p>
            <w:pPr>
              <w:widowControl/>
              <w:spacing w:line="276" w:lineRule="auto"/>
              <w:jc w:val="left"/>
              <w:rPr>
                <w:rFonts w:ascii="宋体" w:hAnsi="宋体" w:cs="宋体"/>
                <w:sz w:val="24"/>
              </w:rPr>
            </w:pPr>
            <w:r>
              <w:rPr>
                <w:rFonts w:hint="eastAsia" w:ascii="宋体" w:hAnsi="宋体" w:cs="宋体"/>
                <w:sz w:val="24"/>
                <w:lang w:val="zh-CN"/>
              </w:rPr>
              <w:t>1、投标供应商所投项目必须完全响应磋商文件所列内容。</w:t>
            </w:r>
            <w:r>
              <w:rPr>
                <w:rFonts w:hint="eastAsia" w:ascii="宋体" w:hAnsi="宋体" w:cs="宋体"/>
                <w:sz w:val="24"/>
                <w:lang w:val="zh-CN"/>
              </w:rPr>
              <w:br w:type="textWrapping"/>
            </w:r>
            <w:r>
              <w:rPr>
                <w:rFonts w:hint="eastAsia" w:ascii="宋体" w:hAnsi="宋体" w:cs="宋体"/>
                <w:sz w:val="24"/>
                <w:lang w:val="en-US" w:eastAsia="zh-CN"/>
              </w:rPr>
              <w:t>2</w:t>
            </w:r>
            <w:r>
              <w:rPr>
                <w:rFonts w:hint="eastAsia" w:ascii="宋体" w:hAnsi="宋体" w:cs="宋体"/>
                <w:sz w:val="24"/>
                <w:lang w:val="zh-CN"/>
              </w:rPr>
              <w:t>、磋商内容如有变动，以磋商文件及澄清文件为准。</w:t>
            </w:r>
            <w:r>
              <w:rPr>
                <w:rFonts w:hint="eastAsia" w:ascii="宋体" w:hAnsi="宋体" w:cs="宋体"/>
                <w:sz w:val="24"/>
                <w:lang w:val="zh-CN"/>
              </w:rPr>
              <w:br w:type="textWrapping"/>
            </w:r>
            <w:r>
              <w:rPr>
                <w:rFonts w:hint="eastAsia" w:ascii="宋体" w:hAnsi="宋体" w:cs="宋体"/>
                <w:sz w:val="24"/>
                <w:lang w:val="en-US" w:eastAsia="zh-CN"/>
              </w:rPr>
              <w:t>3</w:t>
            </w:r>
            <w:r>
              <w:rPr>
                <w:rFonts w:hint="eastAsia" w:ascii="宋体" w:hAnsi="宋体" w:cs="宋体"/>
                <w:sz w:val="24"/>
                <w:lang w:val="zh-CN"/>
              </w:rPr>
              <w:t>、本项目磋商公告在《青海政府采购网》、《青海省公共资源交易网》上发布。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086" w:type="dxa"/>
            <w:tcBorders>
              <w:top w:val="outset" w:color="000000" w:sz="6" w:space="0"/>
              <w:left w:val="outset" w:color="000000" w:sz="6" w:space="0"/>
              <w:bottom w:val="outset" w:color="000000" w:sz="6" w:space="0"/>
              <w:right w:val="outset" w:color="000000" w:sz="6" w:space="0"/>
            </w:tcBorders>
          </w:tcPr>
          <w:p>
            <w:pPr>
              <w:autoSpaceDE w:val="0"/>
              <w:autoSpaceDN w:val="0"/>
              <w:jc w:val="left"/>
              <w:rPr>
                <w:rFonts w:ascii="宋体" w:hAnsi="宋体" w:cs="宋体"/>
                <w:sz w:val="24"/>
              </w:rPr>
            </w:pPr>
            <w:r>
              <w:rPr>
                <w:rFonts w:hint="eastAsia" w:ascii="宋体" w:hAnsi="宋体" w:cs="宋体"/>
                <w:sz w:val="24"/>
              </w:rPr>
              <w:t>财政部门监督电话</w:t>
            </w:r>
          </w:p>
        </w:tc>
        <w:tc>
          <w:tcPr>
            <w:tcW w:w="7583"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hint="default" w:ascii="宋体" w:hAnsi="宋体" w:cs="宋体"/>
                <w:kern w:val="0"/>
                <w:sz w:val="24"/>
                <w:lang w:val="en-US"/>
              </w:rPr>
            </w:pPr>
            <w:r>
              <w:rPr>
                <w:rFonts w:hint="default" w:ascii="宋体" w:hAnsi="宋体" w:cs="宋体"/>
                <w:kern w:val="0"/>
                <w:sz w:val="24"/>
                <w:lang w:val="en-US" w:eastAsia="zh-CN"/>
              </w:rPr>
              <w:t>监督单位</w:t>
            </w:r>
            <w:r>
              <w:rPr>
                <w:rFonts w:hint="default" w:ascii="宋体" w:hAnsi="宋体" w:cs="宋体"/>
                <w:kern w:val="0"/>
                <w:sz w:val="24"/>
                <w:lang w:val="en-US"/>
              </w:rPr>
              <w:t>：</w:t>
            </w:r>
            <w:r>
              <w:rPr>
                <w:rFonts w:hint="default" w:ascii="宋体" w:hAnsi="宋体" w:cs="宋体"/>
                <w:kern w:val="0"/>
                <w:sz w:val="24"/>
                <w:lang w:val="en-US" w:eastAsia="zh-CN"/>
              </w:rPr>
              <w:t>城东区</w:t>
            </w:r>
            <w:r>
              <w:rPr>
                <w:rFonts w:hint="default" w:ascii="宋体" w:hAnsi="宋体" w:cs="宋体"/>
                <w:kern w:val="0"/>
                <w:sz w:val="24"/>
                <w:lang w:val="en-US"/>
              </w:rPr>
              <w:t>财政局</w:t>
            </w:r>
          </w:p>
          <w:p>
            <w:pPr>
              <w:widowControl/>
              <w:jc w:val="left"/>
              <w:rPr>
                <w:rFonts w:hint="default" w:ascii="宋体" w:hAnsi="宋体" w:cs="宋体"/>
                <w:kern w:val="0"/>
                <w:sz w:val="24"/>
                <w:lang w:val="en-US"/>
              </w:rPr>
            </w:pPr>
            <w:r>
              <w:rPr>
                <w:rFonts w:hint="default" w:ascii="宋体" w:hAnsi="宋体" w:cs="宋体"/>
                <w:kern w:val="0"/>
                <w:sz w:val="24"/>
                <w:lang w:val="en-US" w:eastAsia="zh-CN"/>
              </w:rPr>
              <w:t>联系电话：0971-8175341</w:t>
            </w:r>
          </w:p>
        </w:tc>
      </w:tr>
    </w:tbl>
    <w:p>
      <w:pPr>
        <w:adjustRightInd w:val="0"/>
        <w:spacing w:line="360" w:lineRule="auto"/>
        <w:jc w:val="right"/>
        <w:textAlignment w:val="baseline"/>
        <w:rPr>
          <w:rFonts w:hint="eastAsia" w:ascii="宋体" w:hAnsi="宋体"/>
          <w:sz w:val="24"/>
        </w:rPr>
      </w:pPr>
    </w:p>
    <w:p>
      <w:pPr>
        <w:adjustRightInd w:val="0"/>
        <w:spacing w:line="360" w:lineRule="auto"/>
        <w:jc w:val="right"/>
        <w:textAlignment w:val="baseline"/>
        <w:rPr>
          <w:rFonts w:hint="eastAsia" w:ascii="宋体" w:hAnsi="宋体"/>
          <w:sz w:val="24"/>
        </w:rPr>
      </w:pPr>
    </w:p>
    <w:p>
      <w:pPr>
        <w:adjustRightInd w:val="0"/>
        <w:spacing w:line="360" w:lineRule="auto"/>
        <w:jc w:val="right"/>
        <w:textAlignment w:val="baseline"/>
        <w:rPr>
          <w:rFonts w:ascii="宋体" w:hAnsi="宋体"/>
          <w:sz w:val="24"/>
        </w:rPr>
      </w:pPr>
      <w:r>
        <w:rPr>
          <w:rFonts w:hint="eastAsia" w:ascii="宋体" w:hAnsi="宋体"/>
          <w:sz w:val="24"/>
        </w:rPr>
        <w:t>宿迁建威工程咨询有限公司</w:t>
      </w:r>
    </w:p>
    <w:p>
      <w:pPr>
        <w:adjustRightInd w:val="0"/>
        <w:spacing w:line="360" w:lineRule="auto"/>
        <w:jc w:val="right"/>
        <w:textAlignment w:val="baseline"/>
        <w:rPr>
          <w:rFonts w:ascii="宋体" w:hAnsi="宋体"/>
          <w:sz w:val="24"/>
        </w:rPr>
      </w:pPr>
      <w:r>
        <w:rPr>
          <w:rFonts w:hint="eastAsia" w:ascii="宋体" w:hAnsi="宋体"/>
          <w:sz w:val="24"/>
          <w:lang w:eastAsia="zh-CN"/>
        </w:rPr>
        <w:t>2020</w:t>
      </w:r>
      <w:r>
        <w:rPr>
          <w:rFonts w:hint="eastAsia" w:ascii="宋体" w:hAnsi="宋体"/>
          <w:sz w:val="24"/>
        </w:rPr>
        <w:t>年</w:t>
      </w:r>
      <w:r>
        <w:rPr>
          <w:rFonts w:hint="eastAsia" w:ascii="宋体" w:hAnsi="宋体"/>
          <w:sz w:val="24"/>
          <w:lang w:val="en-US" w:eastAsia="zh-CN"/>
        </w:rPr>
        <w:t>09</w:t>
      </w:r>
      <w:r>
        <w:rPr>
          <w:rFonts w:hint="eastAsia" w:ascii="宋体" w:hAnsi="宋体"/>
          <w:sz w:val="24"/>
        </w:rPr>
        <w:t>月</w:t>
      </w:r>
      <w:r>
        <w:rPr>
          <w:rFonts w:hint="eastAsia" w:ascii="宋体" w:hAnsi="宋体"/>
          <w:sz w:val="24"/>
          <w:lang w:val="en-US" w:eastAsia="zh-CN"/>
        </w:rPr>
        <w:t>04</w:t>
      </w:r>
      <w:r>
        <w:rPr>
          <w:rFonts w:hint="eastAsia" w:ascii="宋体" w:hAnsi="宋体"/>
          <w:sz w:val="24"/>
        </w:rPr>
        <w:t>日</w:t>
      </w:r>
    </w:p>
    <w:bookmarkEnd w:id="3"/>
    <w:bookmarkEnd w:id="4"/>
    <w:p>
      <w:pPr>
        <w:pStyle w:val="23"/>
        <w:spacing w:before="0" w:after="0" w:line="360" w:lineRule="auto"/>
        <w:rPr>
          <w:rFonts w:ascii="宋体" w:hAnsi="宋体"/>
          <w:lang w:val="zh-CN"/>
        </w:rPr>
      </w:pPr>
      <w:r>
        <w:rPr>
          <w:rFonts w:ascii="宋体" w:hAnsi="宋体"/>
          <w:sz w:val="24"/>
        </w:rPr>
        <w:br w:type="page"/>
      </w:r>
      <w:bookmarkStart w:id="5" w:name="_Toc1575294"/>
      <w:bookmarkStart w:id="6" w:name="_Toc444715733"/>
      <w:r>
        <w:rPr>
          <w:rFonts w:hint="eastAsia" w:ascii="宋体" w:hAnsi="宋体"/>
          <w:sz w:val="48"/>
        </w:rPr>
        <w:t>第二部分磋商供应商须知前附表</w:t>
      </w:r>
      <w:bookmarkEnd w:id="5"/>
      <w:bookmarkEnd w:id="6"/>
    </w:p>
    <w:tbl>
      <w:tblPr>
        <w:tblStyle w:val="32"/>
        <w:tblW w:w="10433" w:type="dxa"/>
        <w:jc w:val="center"/>
        <w:tblLayout w:type="fixed"/>
        <w:tblCellMar>
          <w:top w:w="0" w:type="dxa"/>
          <w:left w:w="57" w:type="dxa"/>
          <w:bottom w:w="0" w:type="dxa"/>
          <w:right w:w="57" w:type="dxa"/>
        </w:tblCellMar>
      </w:tblPr>
      <w:tblGrid>
        <w:gridCol w:w="653"/>
        <w:gridCol w:w="2098"/>
        <w:gridCol w:w="768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ascii="宋体" w:hAnsi="宋体" w:cs="宋体"/>
                <w:kern w:val="0"/>
                <w:sz w:val="24"/>
                <w:lang w:val="zh-CN"/>
              </w:rPr>
            </w:pPr>
            <w:r>
              <w:rPr>
                <w:rFonts w:hint="eastAsia" w:ascii="宋体" w:hAnsi="宋体" w:cs="宋体"/>
                <w:bCs/>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center"/>
              <w:rPr>
                <w:rFonts w:ascii="宋体" w:hAnsi="宋体" w:cs="宋体"/>
                <w:kern w:val="0"/>
                <w:sz w:val="24"/>
                <w:lang w:val="zh-CN"/>
              </w:rPr>
            </w:pPr>
            <w:r>
              <w:rPr>
                <w:rFonts w:hint="eastAsia" w:ascii="宋体" w:hAnsi="宋体" w:cs="宋体"/>
                <w:bCs/>
                <w:kern w:val="0"/>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top"/>
          </w:tcPr>
          <w:p>
            <w:pPr>
              <w:pStyle w:val="120"/>
              <w:spacing w:before="2" w:line="289" w:lineRule="exact"/>
              <w:jc w:val="left"/>
              <w:rPr>
                <w:rFonts w:ascii="宋体" w:hAnsi="宋体" w:cs="宋体"/>
                <w:bCs/>
                <w:kern w:val="0"/>
                <w:sz w:val="24"/>
                <w:lang w:val="zh-CN"/>
              </w:rPr>
            </w:pPr>
            <w:r>
              <w:rPr>
                <w:sz w:val="24"/>
              </w:rPr>
              <w:t>采购项目名称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before="0" w:line="249" w:lineRule="exact"/>
              <w:ind w:left="20" w:leftChars="0" w:right="0" w:rightChars="0" w:firstLine="0" w:firstLineChars="0"/>
              <w:jc w:val="left"/>
              <w:rPr>
                <w:rFonts w:ascii="宋体" w:hAnsi="宋体" w:cs="宋体"/>
                <w:kern w:val="0"/>
                <w:sz w:val="24"/>
                <w:lang w:val="zh-CN"/>
              </w:rPr>
            </w:pPr>
            <w:r>
              <w:rPr>
                <w:rFonts w:hint="eastAsia" w:ascii="宋体" w:hAnsi="宋体" w:cs="宋体"/>
                <w:sz w:val="24"/>
                <w:szCs w:val="22"/>
                <w:lang w:val="zh-CN" w:eastAsia="zh-CN" w:bidi="zh-CN"/>
              </w:rPr>
              <w:t>公共文化活动室采购项目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采购项目编号</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default" w:ascii="宋体" w:hAnsi="宋体" w:eastAsia="宋体" w:cs="宋体"/>
                <w:bCs/>
                <w:kern w:val="0"/>
                <w:sz w:val="24"/>
                <w:lang w:val="en-US" w:eastAsia="zh-CN"/>
              </w:rPr>
            </w:pPr>
            <w:r>
              <w:rPr>
                <w:rFonts w:hint="eastAsia" w:ascii="宋体" w:hAnsi="宋体" w:cs="宋体"/>
                <w:bCs/>
                <w:kern w:val="0"/>
                <w:sz w:val="24"/>
                <w:lang w:val="zh-CN"/>
              </w:rPr>
              <w:t>宿迁建威竞磋（货物）2020-019</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采购单位</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cs="宋体"/>
                <w:bCs/>
                <w:kern w:val="0"/>
                <w:sz w:val="24"/>
                <w:lang w:val="zh-CN"/>
              </w:rPr>
            </w:pPr>
            <w:r>
              <w:rPr>
                <w:rFonts w:hint="eastAsia"/>
                <w:sz w:val="24"/>
                <w:lang w:eastAsia="zh-CN"/>
              </w:rPr>
              <w:t>西宁市城东区文体旅游科技局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采购代理机构</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cs="宋体"/>
                <w:kern w:val="0"/>
                <w:sz w:val="24"/>
                <w:lang w:val="zh-CN"/>
              </w:rPr>
            </w:pPr>
            <w:r>
              <w:rPr>
                <w:rFonts w:hint="eastAsia" w:ascii="宋体" w:hAnsi="宋体" w:cs="宋体"/>
                <w:kern w:val="0"/>
                <w:sz w:val="24"/>
                <w:lang w:val="zh-CN"/>
              </w:rPr>
              <w:t>宿迁建威工程咨询有限公司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采购方式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cs="宋体"/>
                <w:kern w:val="0"/>
                <w:sz w:val="24"/>
                <w:lang w:val="zh-CN"/>
              </w:rPr>
            </w:pPr>
            <w:r>
              <w:rPr>
                <w:rFonts w:hint="eastAsia" w:ascii="宋体" w:hAnsi="宋体" w:cs="宋体"/>
                <w:kern w:val="0"/>
                <w:sz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评分办法</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cs="宋体"/>
                <w:kern w:val="0"/>
                <w:sz w:val="24"/>
                <w:lang w:val="zh-CN"/>
              </w:rPr>
            </w:pPr>
            <w:r>
              <w:rPr>
                <w:rFonts w:hint="eastAsia" w:ascii="宋体" w:hAnsi="宋体" w:cs="宋体"/>
                <w:kern w:val="0"/>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采购预算控制额度</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ascii="宋体" w:hAnsi="宋体" w:cs="宋体"/>
                <w:kern w:val="0"/>
                <w:sz w:val="24"/>
                <w:lang w:val="zh-CN"/>
              </w:rPr>
            </w:pPr>
            <w:r>
              <w:rPr>
                <w:rFonts w:hint="eastAsia" w:ascii="宋体" w:hAnsi="宋体"/>
                <w:kern w:val="0"/>
                <w:sz w:val="24"/>
              </w:rPr>
              <w:t>人民币</w:t>
            </w:r>
            <w:r>
              <w:rPr>
                <w:rFonts w:hint="eastAsia" w:ascii="宋体" w:hAnsi="宋体"/>
                <w:kern w:val="0"/>
                <w:sz w:val="24"/>
                <w:lang w:val="en-US" w:eastAsia="zh-CN"/>
              </w:rPr>
              <w:t>1500000.00</w:t>
            </w:r>
            <w:r>
              <w:rPr>
                <w:rFonts w:hint="eastAsia" w:ascii="宋体" w:hAnsi="宋体"/>
                <w:kern w:val="0"/>
                <w:sz w:val="24"/>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项目分包个数</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ascii="宋体" w:hAnsi="宋体" w:cs="宋体"/>
                <w:kern w:val="0"/>
                <w:sz w:val="24"/>
                <w:lang w:val="zh-CN"/>
              </w:rPr>
            </w:pPr>
            <w:r>
              <w:rPr>
                <w:rFonts w:hint="eastAsia" w:ascii="宋体" w:hAnsi="宋体"/>
                <w:kern w:val="0"/>
                <w:sz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采购要求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rPr>
                <w:rFonts w:ascii="宋体" w:hAnsi="宋体" w:cs="宋体"/>
                <w:kern w:val="0"/>
                <w:sz w:val="24"/>
                <w:lang w:val="zh-CN"/>
              </w:rPr>
            </w:pPr>
            <w:r>
              <w:rPr>
                <w:rFonts w:hint="eastAsia" w:ascii="宋体" w:hAnsi="宋体" w:cs="宋体"/>
                <w:kern w:val="0"/>
                <w:sz w:val="24"/>
                <w:lang w:val="zh-CN"/>
              </w:rPr>
              <w:t>详见磋商文件“第六部分 采购项目要求及技术参数”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sz w:val="24"/>
              </w:rPr>
              <w:t>磋商供应商</w:t>
            </w:r>
            <w:r>
              <w:rPr>
                <w:rFonts w:hint="eastAsia" w:ascii="宋体" w:hAnsi="宋体" w:cs="宋体"/>
                <w:bCs/>
                <w:kern w:val="0"/>
                <w:sz w:val="24"/>
                <w:lang w:val="zh-CN"/>
              </w:rPr>
              <w:t>资格条件</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kern w:val="0"/>
                <w:sz w:val="24"/>
                <w:lang w:val="zh-CN"/>
              </w:rPr>
            </w:pPr>
            <w:r>
              <w:rPr>
                <w:rFonts w:hint="eastAsia" w:ascii="宋体" w:hAnsi="宋体"/>
                <w:kern w:val="0"/>
                <w:sz w:val="24"/>
              </w:rPr>
              <w:t>1、</w:t>
            </w:r>
            <w:r>
              <w:rPr>
                <w:rFonts w:hint="eastAsia" w:ascii="宋体" w:hAnsi="宋体"/>
                <w:kern w:val="0"/>
                <w:sz w:val="24"/>
                <w:lang w:val="zh-CN"/>
              </w:rPr>
              <w:t>符合《中华人民共和国政府采购法》第22条的条件，并提供下列材料：</w:t>
            </w:r>
          </w:p>
          <w:p>
            <w:pPr>
              <w:autoSpaceDE w:val="0"/>
              <w:autoSpaceDN w:val="0"/>
              <w:jc w:val="left"/>
              <w:rPr>
                <w:rFonts w:ascii="宋体" w:hAnsi="宋体"/>
                <w:kern w:val="0"/>
                <w:sz w:val="24"/>
                <w:lang w:val="zh-CN"/>
              </w:rPr>
            </w:pPr>
            <w:r>
              <w:rPr>
                <w:rFonts w:hint="eastAsia" w:ascii="宋体" w:hAnsi="宋体"/>
                <w:kern w:val="0"/>
                <w:sz w:val="24"/>
              </w:rPr>
              <w:t>（1）</w:t>
            </w:r>
            <w:r>
              <w:rPr>
                <w:rFonts w:hint="eastAsia" w:ascii="宋体" w:hAnsi="宋体"/>
                <w:kern w:val="0"/>
                <w:sz w:val="24"/>
                <w:lang w:val="zh-CN"/>
              </w:rPr>
              <w:t>投标人的营业执照等证明文件，自然人的身份证明。</w:t>
            </w:r>
          </w:p>
          <w:p>
            <w:pPr>
              <w:autoSpaceDE w:val="0"/>
              <w:autoSpaceDN w:val="0"/>
              <w:jc w:val="left"/>
              <w:rPr>
                <w:rFonts w:ascii="宋体" w:hAnsi="宋体"/>
                <w:kern w:val="0"/>
                <w:sz w:val="24"/>
                <w:lang w:val="zh-CN"/>
              </w:rPr>
            </w:pPr>
            <w:r>
              <w:rPr>
                <w:rFonts w:hint="eastAsia" w:ascii="宋体" w:hAnsi="宋体"/>
                <w:kern w:val="0"/>
                <w:sz w:val="24"/>
              </w:rPr>
              <w:t>（2）</w:t>
            </w:r>
            <w:r>
              <w:rPr>
                <w:rFonts w:hint="eastAsia" w:ascii="宋体" w:hAnsi="宋体"/>
                <w:kern w:val="0"/>
                <w:sz w:val="24"/>
                <w:lang w:val="zh-CN"/>
              </w:rPr>
              <w:t>财务状况报告，依法缴纳税收和社会保障资金的相关材料。</w:t>
            </w:r>
          </w:p>
          <w:p>
            <w:pPr>
              <w:autoSpaceDE w:val="0"/>
              <w:autoSpaceDN w:val="0"/>
              <w:jc w:val="left"/>
              <w:rPr>
                <w:rFonts w:ascii="宋体" w:hAnsi="宋体"/>
                <w:kern w:val="0"/>
                <w:sz w:val="24"/>
                <w:lang w:val="zh-CN"/>
              </w:rPr>
            </w:pPr>
            <w:r>
              <w:rPr>
                <w:rFonts w:hint="eastAsia" w:ascii="宋体" w:hAnsi="宋体"/>
                <w:kern w:val="0"/>
                <w:sz w:val="24"/>
              </w:rPr>
              <w:t>（3）</w:t>
            </w:r>
            <w:r>
              <w:rPr>
                <w:rFonts w:hint="eastAsia" w:ascii="宋体" w:hAnsi="宋体"/>
                <w:kern w:val="0"/>
                <w:sz w:val="24"/>
                <w:lang w:val="zh-CN"/>
              </w:rPr>
              <w:t>具备履行合同所必需的设备和专业技术能力的证明材料。</w:t>
            </w:r>
          </w:p>
          <w:p>
            <w:pPr>
              <w:autoSpaceDE w:val="0"/>
              <w:autoSpaceDN w:val="0"/>
              <w:jc w:val="left"/>
              <w:rPr>
                <w:rFonts w:ascii="宋体" w:hAnsi="宋体"/>
                <w:kern w:val="0"/>
                <w:sz w:val="24"/>
                <w:lang w:val="zh-CN"/>
              </w:rPr>
            </w:pPr>
            <w:r>
              <w:rPr>
                <w:rFonts w:hint="eastAsia" w:ascii="宋体" w:hAnsi="宋体"/>
                <w:kern w:val="0"/>
                <w:sz w:val="24"/>
              </w:rPr>
              <w:t>（4）</w:t>
            </w:r>
            <w:r>
              <w:rPr>
                <w:rFonts w:hint="eastAsia" w:ascii="宋体" w:hAnsi="宋体"/>
                <w:kern w:val="0"/>
                <w:sz w:val="24"/>
                <w:lang w:val="zh-CN"/>
              </w:rPr>
              <w:t>参加政府采购活动前3年内在经营活动中没有重大违法记录的书面声明。</w:t>
            </w:r>
          </w:p>
          <w:p>
            <w:pPr>
              <w:autoSpaceDE w:val="0"/>
              <w:autoSpaceDN w:val="0"/>
              <w:jc w:val="left"/>
              <w:rPr>
                <w:rFonts w:hint="eastAsia" w:ascii="宋体" w:hAnsi="宋体"/>
                <w:kern w:val="0"/>
                <w:sz w:val="24"/>
                <w:lang w:val="zh-CN"/>
              </w:rPr>
            </w:pPr>
            <w:r>
              <w:rPr>
                <w:rFonts w:hint="eastAsia" w:ascii="宋体" w:hAnsi="宋体"/>
                <w:kern w:val="0"/>
                <w:sz w:val="24"/>
              </w:rPr>
              <w:t>（5）</w:t>
            </w:r>
            <w:r>
              <w:rPr>
                <w:rFonts w:hint="eastAsia" w:ascii="宋体" w:hAnsi="宋体"/>
                <w:kern w:val="0"/>
                <w:sz w:val="24"/>
                <w:lang w:val="zh-CN"/>
              </w:rPr>
              <w:t>具备法律、行政法规规定的其他条件的证明材料。</w:t>
            </w:r>
          </w:p>
          <w:p>
            <w:pPr>
              <w:autoSpaceDE w:val="0"/>
              <w:autoSpaceDN w:val="0"/>
              <w:jc w:val="left"/>
              <w:rPr>
                <w:rFonts w:hint="eastAsia" w:ascii="宋体" w:hAnsi="宋体"/>
                <w:kern w:val="0"/>
                <w:sz w:val="24"/>
                <w:lang w:val="en-US" w:eastAsia="zh-CN"/>
              </w:rPr>
            </w:pPr>
            <w:r>
              <w:rPr>
                <w:rFonts w:hint="eastAsia" w:ascii="宋体" w:hAnsi="宋体"/>
                <w:kern w:val="0"/>
                <w:sz w:val="24"/>
                <w:lang w:val="en-US" w:eastAsia="zh-CN"/>
              </w:rPr>
              <w:t>2、单位负责人为同一人或者存在直接控股、管理关系的不同投标人，不得参加同一合同项下的政府采购活动。否则，皆取消投标资格；</w:t>
            </w:r>
          </w:p>
          <w:p>
            <w:pPr>
              <w:autoSpaceDE w:val="0"/>
              <w:autoSpaceDN w:val="0"/>
              <w:jc w:val="left"/>
              <w:rPr>
                <w:rFonts w:hint="default" w:ascii="宋体" w:hAnsi="宋体"/>
                <w:kern w:val="0"/>
                <w:sz w:val="24"/>
                <w:lang w:val="en-US" w:eastAsia="zh-CN"/>
              </w:rPr>
            </w:pPr>
            <w:r>
              <w:rPr>
                <w:rFonts w:hint="eastAsia" w:ascii="宋体" w:hAnsi="宋体"/>
                <w:kern w:val="0"/>
                <w:sz w:val="24"/>
                <w:lang w:val="en-US" w:eastAsia="zh-CN"/>
              </w:rPr>
              <w:t>3、为本采购项目提供整体设计、规范编制或者项目管理、监理、检测等服务的投标人，不得再参加该采购项目的其他采购活动；</w:t>
            </w:r>
          </w:p>
          <w:p>
            <w:pPr>
              <w:autoSpaceDE w:val="0"/>
              <w:autoSpaceDN w:val="0"/>
              <w:jc w:val="left"/>
              <w:rPr>
                <w:rFonts w:hint="eastAsia" w:ascii="宋体" w:hAnsi="宋体"/>
                <w:kern w:val="0"/>
                <w:sz w:val="24"/>
                <w:lang w:val="zh-CN"/>
              </w:rPr>
            </w:pPr>
            <w:r>
              <w:rPr>
                <w:rFonts w:hint="eastAsia" w:ascii="宋体" w:hAnsi="宋体"/>
                <w:kern w:val="0"/>
                <w:sz w:val="24"/>
                <w:lang w:val="en-US" w:eastAsia="zh-CN"/>
              </w:rPr>
              <w:t>4</w:t>
            </w:r>
            <w:r>
              <w:rPr>
                <w:rFonts w:hint="eastAsia" w:ascii="宋体" w:hAnsi="宋体"/>
                <w:kern w:val="0"/>
                <w:sz w:val="24"/>
              </w:rPr>
              <w:t>、</w:t>
            </w:r>
            <w:r>
              <w:rPr>
                <w:rFonts w:hint="eastAsia" w:ascii="宋体" w:hAnsi="宋体"/>
                <w:kern w:val="0"/>
                <w:sz w:val="24"/>
                <w:lang w:val="zh-CN"/>
              </w:rPr>
              <w:t>经信用中国</w:t>
            </w:r>
            <w:r>
              <w:rPr>
                <w:rFonts w:hint="eastAsia" w:ascii="宋体" w:hAnsi="宋体"/>
                <w:kern w:val="0"/>
                <w:sz w:val="24"/>
              </w:rPr>
              <w:t>（www.creditchina.gov.cn）</w:t>
            </w:r>
            <w:r>
              <w:rPr>
                <w:rFonts w:hint="eastAsia" w:ascii="宋体" w:hAnsi="宋体"/>
                <w:kern w:val="0"/>
                <w:sz w:val="24"/>
                <w:lang w:val="zh-CN"/>
              </w:rPr>
              <w:t>、中国政府采购网</w:t>
            </w:r>
            <w:r>
              <w:rPr>
                <w:rFonts w:hint="eastAsia" w:ascii="宋体" w:hAnsi="宋体"/>
                <w:kern w:val="0"/>
                <w:sz w:val="24"/>
              </w:rPr>
              <w:t>（www.ccgp.gov.cn）</w:t>
            </w:r>
            <w:r>
              <w:rPr>
                <w:rFonts w:hint="eastAsia" w:ascii="宋体" w:hAnsi="宋体"/>
                <w:kern w:val="0"/>
                <w:sz w:val="24"/>
                <w:lang w:val="zh-CN"/>
              </w:rPr>
              <w:t>等渠道查询后</w:t>
            </w:r>
            <w:r>
              <w:rPr>
                <w:rFonts w:hint="eastAsia" w:ascii="宋体" w:hAnsi="宋体"/>
                <w:kern w:val="0"/>
                <w:sz w:val="24"/>
              </w:rPr>
              <w:t>，</w:t>
            </w:r>
            <w:r>
              <w:rPr>
                <w:rFonts w:hint="eastAsia" w:ascii="宋体" w:hAnsi="宋体"/>
                <w:kern w:val="0"/>
                <w:sz w:val="24"/>
                <w:lang w:val="zh-CN"/>
              </w:rPr>
              <w:t>被列入失信被执行人、重大税收违法案件当事人名单、政府采购严重违法失信行为记录名单的</w:t>
            </w:r>
            <w:r>
              <w:rPr>
                <w:rFonts w:hint="eastAsia" w:ascii="宋体" w:hAnsi="宋体"/>
                <w:kern w:val="0"/>
                <w:sz w:val="24"/>
              </w:rPr>
              <w:t>，</w:t>
            </w:r>
            <w:r>
              <w:rPr>
                <w:rFonts w:hint="eastAsia" w:ascii="宋体" w:hAnsi="宋体"/>
                <w:kern w:val="0"/>
                <w:sz w:val="24"/>
                <w:lang w:val="zh-CN"/>
              </w:rPr>
              <w:t>取消投标资格。（提供“信用中国”网站查询截图，时间为投标截止时间前</w:t>
            </w:r>
            <w:r>
              <w:rPr>
                <w:rFonts w:hint="eastAsia" w:ascii="宋体" w:hAnsi="宋体"/>
                <w:kern w:val="0"/>
                <w:sz w:val="24"/>
                <w:lang w:val="en-US" w:eastAsia="zh-CN"/>
              </w:rPr>
              <w:t>10</w:t>
            </w:r>
            <w:r>
              <w:rPr>
                <w:rFonts w:hint="eastAsia" w:ascii="宋体" w:hAnsi="宋体"/>
                <w:kern w:val="0"/>
                <w:sz w:val="24"/>
                <w:lang w:val="zh-CN"/>
              </w:rPr>
              <w:t>天内）；</w:t>
            </w:r>
          </w:p>
          <w:p>
            <w:pPr>
              <w:autoSpaceDE w:val="0"/>
              <w:autoSpaceDN w:val="0"/>
              <w:jc w:val="left"/>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w:t>
            </w:r>
            <w:r>
              <w:rPr>
                <w:rFonts w:hint="eastAsia" w:ascii="宋体" w:hAnsi="宋体"/>
                <w:kern w:val="0"/>
                <w:sz w:val="24"/>
                <w:lang w:val="zh-CN"/>
              </w:rPr>
              <w:t>本项目不接受联合体投标；</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rPr>
            </w:pPr>
          </w:p>
        </w:tc>
        <w:tc>
          <w:tcPr>
            <w:tcW w:w="2098" w:type="dxa"/>
            <w:tcBorders>
              <w:top w:val="single" w:color="000000" w:sz="6" w:space="0"/>
              <w:left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磋商保证金</w:t>
            </w:r>
          </w:p>
        </w:tc>
        <w:tc>
          <w:tcPr>
            <w:tcW w:w="7682" w:type="dxa"/>
            <w:tcBorders>
              <w:top w:val="single" w:color="000000" w:sz="6" w:space="0"/>
              <w:left w:val="single" w:color="000000" w:sz="6" w:space="0"/>
              <w:right w:val="single" w:color="000000" w:sz="6" w:space="0"/>
            </w:tcBorders>
            <w:shd w:val="clear" w:color="000000" w:fill="FFFFFF"/>
          </w:tcPr>
          <w:p>
            <w:pPr>
              <w:pStyle w:val="54"/>
              <w:rPr>
                <w:rFonts w:ascii="宋体" w:hAnsi="宋体" w:cs="宋体"/>
                <w:bCs/>
                <w:kern w:val="0"/>
                <w:sz w:val="24"/>
                <w:lang w:val="zh-CN"/>
              </w:rPr>
            </w:pPr>
            <w:bookmarkStart w:id="7" w:name="_Toc421873478"/>
            <w:bookmarkStart w:id="8" w:name="_Toc435176391"/>
            <w:bookmarkStart w:id="9" w:name="_Toc435175539"/>
            <w:bookmarkStart w:id="10" w:name="_Toc444762753"/>
            <w:r>
              <w:rPr>
                <w:rFonts w:ascii="宋体" w:hAnsi="宋体" w:cs="宋体"/>
                <w:bCs/>
                <w:kern w:val="0"/>
                <w:sz w:val="24"/>
                <w:lang w:val="zh-CN"/>
              </w:rPr>
              <w:t>各磋商供应商须在磋商响应文件递交截止时间前，缴纳磋商保证金（</w:t>
            </w:r>
            <w:r>
              <w:rPr>
                <w:rFonts w:hint="eastAsia" w:ascii="宋体" w:hAnsi="宋体" w:cs="宋体"/>
                <w:bCs/>
                <w:kern w:val="0"/>
                <w:sz w:val="24"/>
                <w:lang w:val="zh-CN"/>
              </w:rPr>
              <w:t>磋商</w:t>
            </w:r>
            <w:r>
              <w:rPr>
                <w:rFonts w:ascii="宋体" w:hAnsi="宋体" w:cs="宋体"/>
                <w:bCs/>
                <w:kern w:val="0"/>
                <w:sz w:val="24"/>
                <w:lang w:val="zh-CN"/>
              </w:rPr>
              <w:t>保证金应当从其基本账户汇出</w:t>
            </w:r>
            <w:bookmarkEnd w:id="7"/>
            <w:r>
              <w:rPr>
                <w:rFonts w:ascii="宋体" w:hAnsi="宋体" w:cs="宋体"/>
                <w:bCs/>
                <w:kern w:val="0"/>
                <w:sz w:val="24"/>
                <w:lang w:val="zh-CN"/>
              </w:rPr>
              <w:t>，磋商响应文件中须附</w:t>
            </w:r>
            <w:r>
              <w:rPr>
                <w:rFonts w:hint="eastAsia" w:ascii="宋体" w:hAnsi="宋体" w:cs="宋体"/>
                <w:bCs/>
                <w:kern w:val="0"/>
                <w:sz w:val="24"/>
                <w:lang w:val="zh-CN"/>
              </w:rPr>
              <w:t>企业</w:t>
            </w:r>
            <w:r>
              <w:rPr>
                <w:rFonts w:ascii="宋体" w:hAnsi="宋体" w:cs="宋体"/>
                <w:bCs/>
                <w:kern w:val="0"/>
                <w:sz w:val="24"/>
                <w:lang w:val="zh-CN"/>
              </w:rPr>
              <w:t>基本账户开户许可证并加盖磋商企业公章）</w:t>
            </w:r>
            <w:bookmarkEnd w:id="8"/>
            <w:bookmarkEnd w:id="9"/>
            <w:bookmarkEnd w:id="10"/>
          </w:p>
          <w:p>
            <w:pPr>
              <w:pStyle w:val="54"/>
              <w:rPr>
                <w:rFonts w:hint="eastAsia" w:ascii="宋体" w:hAnsi="宋体" w:cs="宋体"/>
                <w:bCs/>
                <w:kern w:val="0"/>
                <w:sz w:val="24"/>
              </w:rPr>
            </w:pPr>
            <w:r>
              <w:rPr>
                <w:rFonts w:hint="eastAsia" w:ascii="宋体" w:hAnsi="宋体" w:cs="宋体"/>
                <w:bCs/>
                <w:kern w:val="0"/>
                <w:sz w:val="24"/>
                <w:lang w:val="zh-CN"/>
              </w:rPr>
              <w:t>磋商</w:t>
            </w:r>
            <w:r>
              <w:rPr>
                <w:rFonts w:ascii="宋体" w:hAnsi="宋体" w:cs="宋体"/>
                <w:bCs/>
                <w:kern w:val="0"/>
                <w:sz w:val="24"/>
                <w:lang w:val="zh-CN"/>
              </w:rPr>
              <w:t>保证金金额：</w:t>
            </w:r>
            <w:r>
              <w:rPr>
                <w:rFonts w:hint="eastAsia" w:ascii="宋体" w:hAnsi="宋体" w:cs="宋体"/>
                <w:bCs/>
                <w:kern w:val="0"/>
                <w:sz w:val="24"/>
                <w:lang w:val="en-US" w:eastAsia="zh-CN"/>
              </w:rPr>
              <w:t>30000.00（大写：叁万元整）</w:t>
            </w:r>
          </w:p>
          <w:p>
            <w:pPr>
              <w:pStyle w:val="54"/>
              <w:rPr>
                <w:rFonts w:hint="eastAsia" w:ascii="宋体" w:hAnsi="宋体" w:cs="宋体"/>
                <w:bCs/>
                <w:kern w:val="0"/>
                <w:sz w:val="24"/>
                <w:lang w:val="zh-CN"/>
              </w:rPr>
            </w:pPr>
            <w:r>
              <w:rPr>
                <w:rFonts w:hint="eastAsia" w:ascii="宋体" w:hAnsi="宋体" w:cs="宋体"/>
                <w:bCs/>
                <w:kern w:val="0"/>
                <w:sz w:val="24"/>
                <w:lang w:val="zh-CN"/>
              </w:rPr>
              <w:t>户  名：宿迁建威工程咨询有限公司青海分公司</w:t>
            </w:r>
          </w:p>
          <w:p>
            <w:pPr>
              <w:pStyle w:val="54"/>
              <w:rPr>
                <w:rFonts w:ascii="宋体" w:hAnsi="宋体" w:cs="宋体"/>
                <w:bCs/>
                <w:kern w:val="0"/>
                <w:sz w:val="24"/>
                <w:lang w:val="zh-CN"/>
              </w:rPr>
            </w:pPr>
            <w:r>
              <w:rPr>
                <w:rFonts w:hint="eastAsia" w:ascii="宋体" w:hAnsi="宋体" w:cs="宋体"/>
                <w:bCs/>
                <w:kern w:val="0"/>
                <w:sz w:val="24"/>
                <w:lang w:val="zh-CN"/>
              </w:rPr>
              <w:t>帐  号：</w:t>
            </w:r>
            <w:r>
              <w:rPr>
                <w:rFonts w:ascii="宋体" w:hAnsi="宋体"/>
                <w:kern w:val="0"/>
                <w:sz w:val="24"/>
              </w:rPr>
              <w:t>82010000000415138</w:t>
            </w:r>
          </w:p>
          <w:p>
            <w:pPr>
              <w:pStyle w:val="54"/>
              <w:rPr>
                <w:rFonts w:hint="eastAsia" w:ascii="宋体" w:hAnsi="宋体" w:cs="宋体"/>
                <w:bCs/>
                <w:kern w:val="0"/>
                <w:sz w:val="24"/>
                <w:lang w:val="zh-CN"/>
              </w:rPr>
            </w:pPr>
            <w:r>
              <w:rPr>
                <w:rFonts w:hint="eastAsia" w:ascii="宋体" w:hAnsi="宋体" w:cs="宋体"/>
                <w:bCs/>
                <w:kern w:val="0"/>
                <w:sz w:val="24"/>
                <w:lang w:val="zh-CN"/>
              </w:rPr>
              <w:t>开户行：</w:t>
            </w:r>
            <w:r>
              <w:rPr>
                <w:rFonts w:ascii="宋体" w:hAnsi="宋体"/>
                <w:kern w:val="0"/>
                <w:sz w:val="24"/>
              </w:rPr>
              <w:t>青海西宁农村商业银行股份有限公司海西路支行</w:t>
            </w:r>
          </w:p>
          <w:p>
            <w:pPr>
              <w:pStyle w:val="54"/>
              <w:rPr>
                <w:rFonts w:hint="default" w:ascii="宋体" w:hAnsi="宋体" w:eastAsia="宋体" w:cs="宋体"/>
                <w:bCs/>
                <w:kern w:val="0"/>
                <w:sz w:val="24"/>
                <w:lang w:val="en-US" w:eastAsia="zh-CN"/>
              </w:rPr>
            </w:pPr>
            <w:r>
              <w:rPr>
                <w:rFonts w:hint="eastAsia" w:ascii="宋体" w:hAnsi="宋体" w:cs="宋体"/>
                <w:bCs/>
                <w:kern w:val="0"/>
                <w:sz w:val="24"/>
                <w:lang w:val="en-US" w:eastAsia="zh-CN"/>
              </w:rPr>
              <w:t>款项用途：公共文化活动室采购项目保证金</w:t>
            </w:r>
          </w:p>
          <w:p>
            <w:pPr>
              <w:pStyle w:val="54"/>
              <w:rPr>
                <w:rFonts w:ascii="宋体" w:hAnsi="宋体" w:cs="宋体"/>
                <w:kern w:val="0"/>
                <w:lang w:val="zh-CN"/>
              </w:rPr>
            </w:pPr>
            <w:r>
              <w:rPr>
                <w:rFonts w:hint="eastAsia" w:ascii="宋体" w:hAnsi="宋体" w:cs="宋体"/>
                <w:bCs/>
                <w:kern w:val="0"/>
                <w:sz w:val="24"/>
                <w:lang w:val="zh-CN"/>
              </w:rPr>
              <w:t>缴费时间：磋商截止时间前提交到以上指定帐户。以银行到账时间为准。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保证金缴纳方式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cs="宋体"/>
                <w:kern w:val="0"/>
                <w:sz w:val="24"/>
                <w:lang w:val="zh-CN"/>
              </w:rPr>
            </w:pPr>
            <w:r>
              <w:rPr>
                <w:rFonts w:hint="eastAsia" w:ascii="宋体" w:hAnsi="宋体"/>
                <w:kern w:val="0"/>
                <w:sz w:val="24"/>
              </w:rPr>
              <w:t>磋商</w:t>
            </w:r>
            <w:r>
              <w:rPr>
                <w:rFonts w:hint="eastAsia" w:ascii="宋体" w:hAnsi="宋体" w:cs="宋体"/>
                <w:kern w:val="0"/>
                <w:sz w:val="24"/>
                <w:lang w:val="zh-CN"/>
              </w:rPr>
              <w:t>保证金应当以电汇、支票、汇票、本票或者金融机构、担保机构出具的保函等非现金形式提交。通过银行转账的，必须由磋商供应商从其基本账户（需提供开户许可证）汇（转）入本须知附表中第1</w:t>
            </w:r>
            <w:r>
              <w:rPr>
                <w:rFonts w:ascii="宋体" w:hAnsi="宋体" w:cs="宋体"/>
                <w:kern w:val="0"/>
                <w:sz w:val="24"/>
                <w:lang w:val="zh-CN"/>
              </w:rPr>
              <w:t>1</w:t>
            </w:r>
            <w:r>
              <w:rPr>
                <w:rFonts w:hint="eastAsia" w:ascii="宋体" w:hAnsi="宋体" w:cs="宋体"/>
                <w:kern w:val="0"/>
                <w:sz w:val="24"/>
                <w:lang w:val="zh-CN"/>
              </w:rPr>
              <w:t>条指定的账户。</w:t>
            </w:r>
          </w:p>
          <w:p>
            <w:pPr>
              <w:autoSpaceDE w:val="0"/>
              <w:autoSpaceDN w:val="0"/>
              <w:jc w:val="left"/>
              <w:rPr>
                <w:rFonts w:ascii="宋体" w:hAnsi="宋体" w:cs="宋体"/>
                <w:kern w:val="0"/>
                <w:sz w:val="24"/>
                <w:lang w:val="zh-CN"/>
              </w:rPr>
            </w:pPr>
            <w:r>
              <w:rPr>
                <w:rFonts w:hint="eastAsia" w:ascii="宋体" w:hAnsi="宋体" w:cs="宋体"/>
                <w:kern w:val="0"/>
                <w:sz w:val="24"/>
                <w:lang w:val="zh-CN"/>
              </w:rPr>
              <w:t>磋商供应商未按照磋商文件要求提交</w:t>
            </w:r>
            <w:r>
              <w:rPr>
                <w:rFonts w:hint="eastAsia" w:ascii="宋体" w:hAnsi="宋体"/>
                <w:kern w:val="0"/>
                <w:sz w:val="24"/>
              </w:rPr>
              <w:t>磋商</w:t>
            </w:r>
            <w:r>
              <w:rPr>
                <w:rFonts w:hint="eastAsia" w:ascii="宋体" w:hAnsi="宋体" w:cs="宋体"/>
                <w:kern w:val="0"/>
                <w:sz w:val="24"/>
                <w:lang w:val="zh-CN"/>
              </w:rPr>
              <w:t>保证金的，磋商无效。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保证金退还</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rPr>
                <w:rFonts w:ascii="宋体" w:hAnsi="宋体" w:cs="宋体"/>
                <w:kern w:val="0"/>
                <w:sz w:val="24"/>
                <w:lang w:val="zh-CN"/>
              </w:rPr>
            </w:pPr>
            <w:r>
              <w:rPr>
                <w:rFonts w:hint="eastAsia" w:ascii="宋体" w:hAnsi="宋体" w:cs="宋体"/>
                <w:kern w:val="0"/>
                <w:sz w:val="24"/>
                <w:lang w:val="zh-CN"/>
              </w:rPr>
              <w:t>未中标磋商供应商的</w:t>
            </w:r>
            <w:r>
              <w:rPr>
                <w:rFonts w:hint="eastAsia" w:ascii="宋体" w:hAnsi="宋体"/>
                <w:kern w:val="0"/>
                <w:sz w:val="24"/>
              </w:rPr>
              <w:t>磋商</w:t>
            </w:r>
            <w:r>
              <w:rPr>
                <w:rFonts w:hint="eastAsia" w:ascii="宋体" w:hAnsi="宋体" w:cs="宋体"/>
                <w:kern w:val="0"/>
                <w:sz w:val="24"/>
                <w:lang w:val="zh-CN"/>
              </w:rPr>
              <w:t>保证金自中标通知书发出之日起5个工作日内退还（不退现金）；中标磋商供应商的磋商保证金，自政府采购合同签订之日起5个工作日内退还（不退现金）。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磋商文件编制要求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rPr>
                <w:rFonts w:ascii="宋体" w:hAnsi="宋体" w:cs="宋体"/>
                <w:kern w:val="0"/>
                <w:sz w:val="24"/>
                <w:lang w:val="zh-CN"/>
              </w:rPr>
            </w:pPr>
            <w:r>
              <w:rPr>
                <w:rFonts w:hint="eastAsia" w:ascii="宋体" w:hAnsi="宋体" w:cs="宋体"/>
                <w:kern w:val="0"/>
                <w:sz w:val="24"/>
                <w:lang w:val="zh-CN"/>
              </w:rPr>
              <w:t>1、磋商供应商应按照磋商文件所提供的磋商响应文件格式，分别填写磋商文件第五部分的内容，应分别注明所提供产品的名称、技术配置及参数、数量和价格等内容。</w:t>
            </w:r>
            <w:r>
              <w:rPr>
                <w:rFonts w:hint="eastAsia" w:hAnsi="宋体" w:cs="宋体"/>
                <w:sz w:val="24"/>
                <w:lang w:val="zh-CN"/>
              </w:rPr>
              <w:t>磋商文件要求签字、盖章的地方必须由磋商人的法定代表人或委托代理人按要求签字、盖章。</w:t>
            </w:r>
          </w:p>
          <w:p>
            <w:pPr>
              <w:rPr>
                <w:rFonts w:ascii="宋体" w:hAnsi="宋体" w:cs="宋体"/>
                <w:kern w:val="0"/>
                <w:sz w:val="24"/>
                <w:lang w:val="zh-CN"/>
              </w:rPr>
            </w:pPr>
            <w:r>
              <w:rPr>
                <w:rFonts w:hint="eastAsia" w:ascii="宋体" w:hAnsi="宋体" w:cs="宋体"/>
                <w:kern w:val="0"/>
                <w:sz w:val="24"/>
                <w:lang w:val="zh-CN"/>
              </w:rPr>
              <w:t>2、磋商供应商应按磋商文件要求准备磋商响应文件（1份正本</w:t>
            </w:r>
            <w:r>
              <w:rPr>
                <w:rFonts w:hint="eastAsia" w:hAnsi="宋体"/>
                <w:sz w:val="24"/>
                <w:szCs w:val="28"/>
              </w:rPr>
              <w:t>(上、下册)</w:t>
            </w:r>
            <w:r>
              <w:rPr>
                <w:rFonts w:hint="eastAsia" w:ascii="宋体" w:hAnsi="宋体" w:cs="宋体"/>
                <w:kern w:val="0"/>
                <w:sz w:val="24"/>
                <w:lang w:val="zh-CN"/>
              </w:rPr>
              <w:t>、2份副本</w:t>
            </w:r>
            <w:r>
              <w:rPr>
                <w:rFonts w:hint="eastAsia" w:hAnsi="宋体"/>
                <w:sz w:val="24"/>
                <w:szCs w:val="28"/>
              </w:rPr>
              <w:t>(上、下册)</w:t>
            </w:r>
            <w:r>
              <w:rPr>
                <w:rFonts w:hint="eastAsia" w:ascii="宋体" w:hAnsi="宋体" w:cs="宋体"/>
                <w:kern w:val="0"/>
                <w:sz w:val="24"/>
                <w:lang w:val="zh-CN"/>
              </w:rPr>
              <w:t>和相应的电子文档1份</w:t>
            </w:r>
            <w:r>
              <w:rPr>
                <w:rFonts w:hint="eastAsia" w:hAnsi="宋体"/>
                <w:sz w:val="24"/>
                <w:szCs w:val="28"/>
              </w:rPr>
              <w:t>(上、下册)</w:t>
            </w:r>
            <w:r>
              <w:rPr>
                <w:rFonts w:hint="eastAsia" w:ascii="宋体" w:hAnsi="宋体" w:cs="宋体"/>
                <w:kern w:val="0"/>
                <w:sz w:val="24"/>
                <w:lang w:val="zh-CN"/>
              </w:rPr>
              <w:t>。每份磋商响应文件都必须清楚地标明“正本</w:t>
            </w:r>
            <w:r>
              <w:rPr>
                <w:rFonts w:hint="eastAsia" w:hAnsi="宋体"/>
                <w:sz w:val="24"/>
                <w:szCs w:val="28"/>
              </w:rPr>
              <w:t>(上、下册)</w:t>
            </w:r>
            <w:r>
              <w:rPr>
                <w:rFonts w:hint="eastAsia" w:ascii="宋体" w:hAnsi="宋体" w:cs="宋体"/>
                <w:kern w:val="0"/>
                <w:sz w:val="24"/>
                <w:lang w:val="zh-CN"/>
              </w:rPr>
              <w:t>”或“副本</w:t>
            </w:r>
            <w:r>
              <w:rPr>
                <w:rFonts w:hint="eastAsia" w:hAnsi="宋体"/>
                <w:sz w:val="24"/>
                <w:szCs w:val="28"/>
              </w:rPr>
              <w:t>(上、下册)</w:t>
            </w:r>
            <w:r>
              <w:rPr>
                <w:rFonts w:hint="eastAsia" w:ascii="宋体" w:hAnsi="宋体" w:cs="宋体"/>
                <w:kern w:val="0"/>
                <w:sz w:val="24"/>
                <w:lang w:val="zh-CN"/>
              </w:rPr>
              <w:t>”等字样。若发生正本和副本不符，以正本磋商响应文件为准。磋商响应文件统一使用A4幅面的纸张印制，必须胶装成册并编码，不得采用活页夹等可随时拆换的方式装订，其他方式装订的磋商响应文件一概不予接受。</w:t>
            </w:r>
          </w:p>
          <w:p>
            <w:pPr>
              <w:rPr>
                <w:rFonts w:ascii="宋体" w:hAnsi="宋体" w:cs="宋体"/>
                <w:kern w:val="0"/>
                <w:sz w:val="24"/>
                <w:lang w:val="zh-CN"/>
              </w:rPr>
            </w:pPr>
            <w:r>
              <w:rPr>
                <w:rFonts w:hint="eastAsia" w:ascii="宋体" w:hAnsi="宋体" w:cs="宋体"/>
                <w:kern w:val="0"/>
                <w:sz w:val="24"/>
                <w:lang w:val="zh-CN"/>
              </w:rPr>
              <w:t>3、磋商响应文件的正本</w:t>
            </w:r>
            <w:r>
              <w:rPr>
                <w:rFonts w:hint="eastAsia" w:hAnsi="宋体"/>
                <w:sz w:val="24"/>
                <w:szCs w:val="28"/>
              </w:rPr>
              <w:t>(上、下册)</w:t>
            </w:r>
            <w:r>
              <w:rPr>
                <w:rFonts w:hint="eastAsia" w:ascii="宋体" w:hAnsi="宋体" w:cs="宋体"/>
                <w:kern w:val="0"/>
                <w:sz w:val="24"/>
                <w:lang w:val="zh-CN"/>
              </w:rPr>
              <w:t>和副本</w:t>
            </w:r>
            <w:r>
              <w:rPr>
                <w:rFonts w:hint="eastAsia" w:hAnsi="宋体"/>
                <w:sz w:val="24"/>
                <w:szCs w:val="28"/>
              </w:rPr>
              <w:t>(上、下册)</w:t>
            </w:r>
            <w:r>
              <w:rPr>
                <w:rFonts w:hint="eastAsia" w:ascii="宋体" w:hAnsi="宋体" w:cs="宋体"/>
                <w:kern w:val="0"/>
                <w:sz w:val="24"/>
                <w:lang w:val="zh-CN"/>
              </w:rPr>
              <w:t>均需打印或用不褪色、不变质的墨水书写并由投标供应商的委托代理人签字、加盖公章。磋商响应文件副本可采用正本的复印件，若不满足以上条件，按</w:t>
            </w:r>
            <w:r>
              <w:rPr>
                <w:rFonts w:hint="eastAsia" w:ascii="宋体" w:hAnsi="宋体" w:cs="Arial"/>
                <w:sz w:val="24"/>
                <w:lang w:val="zh-CN"/>
              </w:rPr>
              <w:t>无效投标处理。</w:t>
            </w:r>
          </w:p>
          <w:p>
            <w:pPr>
              <w:rPr>
                <w:rFonts w:ascii="宋体" w:hAnsi="宋体" w:cs="宋体"/>
                <w:kern w:val="0"/>
                <w:sz w:val="24"/>
                <w:lang w:val="zh-CN"/>
              </w:rPr>
            </w:pPr>
            <w:r>
              <w:rPr>
                <w:rFonts w:hint="eastAsia" w:ascii="宋体" w:hAnsi="宋体" w:cs="宋体"/>
                <w:kern w:val="0"/>
                <w:sz w:val="24"/>
                <w:lang w:val="zh-CN"/>
              </w:rPr>
              <w:t>4、电子文档采用可读的U盘编制，电子文档为纸质版磋商响应文件正本的扫描件，需采用不可修改文档格式（如：PDF格式），电子文档与纸质版磋商响应文件正本内容必须完全一致，包括盖章和签字，并与书面磋商响应文件一并提交，否则，视为无效磋商。</w:t>
            </w:r>
          </w:p>
          <w:p>
            <w:pPr>
              <w:pStyle w:val="17"/>
              <w:rPr>
                <w:rFonts w:hAnsi="宋体" w:cs="宋体"/>
                <w:sz w:val="24"/>
                <w:lang w:val="zh-CN"/>
              </w:rPr>
            </w:pPr>
            <w:r>
              <w:rPr>
                <w:rFonts w:hint="eastAsia" w:hAnsi="宋体" w:cs="宋体"/>
                <w:sz w:val="24"/>
                <w:lang w:val="zh-CN"/>
              </w:rPr>
              <w:t>5、磋商响应文件中不得行间插字、涂改或增删，如有修改错漏处，须由磋商供应商法人或其委托代理人签字或盖个人印鉴。</w:t>
            </w:r>
          </w:p>
        </w:tc>
      </w:tr>
      <w:tr>
        <w:tblPrEx>
          <w:tblCellMar>
            <w:top w:w="0" w:type="dxa"/>
            <w:left w:w="57" w:type="dxa"/>
            <w:bottom w:w="0" w:type="dxa"/>
            <w:right w:w="57" w:type="dxa"/>
          </w:tblCellMar>
        </w:tblPrEx>
        <w:trPr>
          <w:trHeight w:val="258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磋商文件的密封</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ascii="宋体" w:hAnsi="宋体" w:cs="宋体"/>
                <w:kern w:val="0"/>
                <w:sz w:val="24"/>
                <w:lang w:val="zh-CN"/>
              </w:rPr>
            </w:pPr>
            <w:r>
              <w:rPr>
                <w:rFonts w:hint="eastAsia" w:ascii="宋体" w:hAnsi="宋体" w:cs="宋体"/>
                <w:kern w:val="0"/>
                <w:sz w:val="24"/>
                <w:lang w:val="zh-CN"/>
              </w:rPr>
              <w:t>磋商响应文件的正本与副本须分别密封，加贴密封条，并在密封包装的封口处加盖磋商单位公章（未按要求密封的磋商响应文件将不予接收）；磋商响应文件的封套上应标记“正本”或“副本”字样，封套上应写明：</w:t>
            </w:r>
          </w:p>
          <w:p>
            <w:pPr>
              <w:autoSpaceDE w:val="0"/>
              <w:autoSpaceDN w:val="0"/>
              <w:rPr>
                <w:rFonts w:ascii="宋体" w:hAnsi="宋体" w:cs="宋体"/>
                <w:kern w:val="0"/>
                <w:sz w:val="24"/>
                <w:lang w:val="zh-CN"/>
              </w:rPr>
            </w:pPr>
            <w:r>
              <w:rPr>
                <w:rFonts w:hint="eastAsia" w:ascii="宋体" w:hAnsi="宋体" w:cs="宋体"/>
                <w:kern w:val="0"/>
                <w:sz w:val="24"/>
                <w:lang w:val="zh-CN"/>
              </w:rPr>
              <w:t>采购项目名称：                正（副）本</w:t>
            </w:r>
            <w:r>
              <w:rPr>
                <w:rFonts w:hint="eastAsia" w:hAnsi="宋体"/>
                <w:sz w:val="24"/>
                <w:szCs w:val="28"/>
              </w:rPr>
              <w:t>(上、下册)</w:t>
            </w:r>
          </w:p>
          <w:p>
            <w:pPr>
              <w:autoSpaceDE w:val="0"/>
              <w:autoSpaceDN w:val="0"/>
              <w:rPr>
                <w:rFonts w:ascii="宋体" w:hAnsi="宋体" w:cs="宋体"/>
                <w:kern w:val="0"/>
                <w:sz w:val="24"/>
                <w:lang w:val="zh-CN"/>
              </w:rPr>
            </w:pPr>
            <w:r>
              <w:rPr>
                <w:rFonts w:hint="eastAsia" w:ascii="宋体" w:hAnsi="宋体" w:cs="宋体"/>
                <w:kern w:val="0"/>
                <w:sz w:val="24"/>
                <w:lang w:val="zh-CN"/>
              </w:rPr>
              <w:t>采购项目编号：</w:t>
            </w:r>
          </w:p>
          <w:p>
            <w:pPr>
              <w:autoSpaceDE w:val="0"/>
              <w:autoSpaceDN w:val="0"/>
              <w:rPr>
                <w:rFonts w:ascii="宋体" w:hAnsi="宋体" w:cs="宋体"/>
                <w:kern w:val="0"/>
                <w:sz w:val="24"/>
                <w:lang w:val="zh-CN"/>
              </w:rPr>
            </w:pPr>
            <w:r>
              <w:rPr>
                <w:rFonts w:hint="eastAsia" w:ascii="宋体" w:hAnsi="宋体" w:cs="宋体"/>
                <w:kern w:val="0"/>
                <w:sz w:val="24"/>
                <w:lang w:val="zh-CN"/>
              </w:rPr>
              <w:t>磋商供应商：</w:t>
            </w:r>
            <w:r>
              <w:rPr>
                <w:rFonts w:hint="eastAsia" w:ascii="宋体" w:hAnsi="宋体" w:cs="宋体"/>
                <w:kern w:val="0"/>
                <w:sz w:val="24"/>
                <w:lang w:val="en-US" w:eastAsia="zh-CN"/>
              </w:rPr>
              <w:t xml:space="preserve">                </w:t>
            </w:r>
            <w:r>
              <w:rPr>
                <w:rFonts w:hint="eastAsia" w:ascii="宋体" w:hAnsi="宋体" w:cs="宋体"/>
                <w:kern w:val="0"/>
                <w:sz w:val="24"/>
                <w:lang w:val="zh-CN"/>
              </w:rPr>
              <w:t>（加盖单位公章）</w:t>
            </w:r>
          </w:p>
          <w:p>
            <w:pPr>
              <w:autoSpaceDE w:val="0"/>
              <w:autoSpaceDN w:val="0"/>
              <w:rPr>
                <w:rFonts w:ascii="宋体" w:hAnsi="宋体" w:cs="宋体"/>
                <w:kern w:val="0"/>
                <w:sz w:val="24"/>
                <w:lang w:val="zh-CN"/>
              </w:rPr>
            </w:pPr>
            <w:r>
              <w:rPr>
                <w:rFonts w:hint="eastAsia" w:ascii="宋体" w:hAnsi="宋体" w:cs="宋体"/>
                <w:kern w:val="0"/>
                <w:sz w:val="24"/>
                <w:lang w:val="zh-CN"/>
              </w:rPr>
              <w:t>法定代表人</w:t>
            </w:r>
            <w:r>
              <w:rPr>
                <w:rFonts w:hint="eastAsia" w:ascii="宋体" w:hAnsi="宋体" w:cs="宋体"/>
                <w:kern w:val="0"/>
                <w:sz w:val="24"/>
                <w:lang w:val="en-US" w:eastAsia="zh-CN"/>
              </w:rPr>
              <w:t>或委托代理人</w:t>
            </w:r>
            <w:r>
              <w:rPr>
                <w:rFonts w:hint="eastAsia" w:ascii="宋体" w:hAnsi="宋体" w:cs="宋体"/>
                <w:kern w:val="0"/>
                <w:sz w:val="24"/>
                <w:lang w:val="zh-CN"/>
              </w:rPr>
              <w:t>：    （签字</w:t>
            </w:r>
            <w:r>
              <w:rPr>
                <w:rFonts w:hint="eastAsia" w:ascii="宋体" w:hAnsi="宋体" w:cs="宋体"/>
                <w:kern w:val="0"/>
                <w:sz w:val="24"/>
                <w:lang w:val="en-US" w:eastAsia="zh-CN"/>
              </w:rPr>
              <w:t>或盖章</w:t>
            </w:r>
            <w:r>
              <w:rPr>
                <w:rFonts w:hint="eastAsia" w:ascii="宋体" w:hAnsi="宋体" w:cs="宋体"/>
                <w:kern w:val="0"/>
                <w:sz w:val="24"/>
                <w:lang w:val="zh-CN"/>
              </w:rPr>
              <w:t>）</w:t>
            </w:r>
          </w:p>
          <w:p>
            <w:pPr>
              <w:autoSpaceDE w:val="0"/>
              <w:autoSpaceDN w:val="0"/>
              <w:jc w:val="left"/>
              <w:rPr>
                <w:rFonts w:ascii="宋体" w:hAnsi="宋体" w:cs="宋体"/>
                <w:kern w:val="0"/>
                <w:sz w:val="24"/>
                <w:lang w:val="zh-CN"/>
              </w:rPr>
            </w:pPr>
            <w:r>
              <w:rPr>
                <w:rFonts w:hint="eastAsia" w:ascii="宋体" w:hAnsi="宋体" w:cs="宋体"/>
                <w:kern w:val="0"/>
                <w:sz w:val="24"/>
                <w:lang w:val="zh-CN"/>
              </w:rPr>
              <w:t>于</w:t>
            </w:r>
            <w:r>
              <w:rPr>
                <w:rFonts w:hint="eastAsia" w:ascii="宋体" w:hAnsi="宋体"/>
                <w:kern w:val="0"/>
                <w:sz w:val="24"/>
                <w:lang w:eastAsia="zh-CN"/>
              </w:rPr>
              <w:t>2020年09月17日上午09:30（北京时间）</w:t>
            </w:r>
            <w:r>
              <w:rPr>
                <w:rFonts w:hint="eastAsia" w:ascii="宋体" w:hAnsi="宋体" w:cs="宋体"/>
                <w:kern w:val="0"/>
                <w:sz w:val="24"/>
                <w:lang w:val="zh-CN"/>
              </w:rPr>
              <w:t>前不准启封</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递交磋商文件方式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现场递交，不接受邮寄磋商。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kern w:val="0"/>
                <w:sz w:val="24"/>
              </w:rPr>
              <w:t>磋商</w:t>
            </w:r>
            <w:r>
              <w:rPr>
                <w:rFonts w:hint="eastAsia" w:ascii="宋体" w:hAnsi="宋体" w:cs="宋体"/>
                <w:bCs/>
                <w:kern w:val="0"/>
                <w:sz w:val="24"/>
                <w:lang w:val="zh-CN"/>
              </w:rPr>
              <w:t>截止时间</w:t>
            </w:r>
          </w:p>
        </w:tc>
        <w:tc>
          <w:tcPr>
            <w:tcW w:w="7682" w:type="dxa"/>
            <w:tcBorders>
              <w:top w:val="outset" w:color="000000" w:sz="6" w:space="0"/>
              <w:left w:val="outset" w:color="000000" w:sz="6" w:space="0"/>
              <w:bottom w:val="outset" w:color="000000" w:sz="6" w:space="0"/>
              <w:right w:val="outset" w:color="000000" w:sz="6" w:space="0"/>
            </w:tcBorders>
            <w:vAlign w:val="center"/>
          </w:tcPr>
          <w:p>
            <w:pPr>
              <w:pStyle w:val="54"/>
              <w:rPr>
                <w:rFonts w:ascii="宋体" w:hAnsi="宋体"/>
                <w:kern w:val="0"/>
                <w:sz w:val="24"/>
              </w:rPr>
            </w:pPr>
            <w:r>
              <w:rPr>
                <w:rFonts w:hint="eastAsia" w:ascii="宋体" w:hAnsi="宋体"/>
                <w:kern w:val="0"/>
                <w:sz w:val="24"/>
                <w:lang w:eastAsia="zh-CN"/>
              </w:rPr>
              <w:t>2020年09月17日上午09:30（北京时间）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磋商时间</w:t>
            </w:r>
          </w:p>
        </w:tc>
        <w:tc>
          <w:tcPr>
            <w:tcW w:w="7682" w:type="dxa"/>
            <w:tcBorders>
              <w:top w:val="outset" w:color="000000" w:sz="6" w:space="0"/>
              <w:left w:val="outset" w:color="000000" w:sz="6" w:space="0"/>
              <w:bottom w:val="outset" w:color="000000" w:sz="6" w:space="0"/>
              <w:right w:val="outset" w:color="000000" w:sz="6" w:space="0"/>
            </w:tcBorders>
            <w:vAlign w:val="center"/>
          </w:tcPr>
          <w:p>
            <w:pPr>
              <w:pStyle w:val="54"/>
              <w:rPr>
                <w:rFonts w:ascii="宋体" w:hAnsi="宋体"/>
                <w:kern w:val="0"/>
                <w:sz w:val="24"/>
              </w:rPr>
            </w:pPr>
            <w:r>
              <w:rPr>
                <w:rFonts w:hint="eastAsia" w:ascii="宋体" w:hAnsi="宋体"/>
                <w:kern w:val="0"/>
                <w:sz w:val="24"/>
                <w:lang w:eastAsia="zh-CN"/>
              </w:rPr>
              <w:t>2020年09月17日上午09:30（北京时间）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磋商及磋商地点</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hint="eastAsia" w:ascii="宋体" w:hAnsi="宋体" w:eastAsia="宋体" w:cs="宋体"/>
                <w:kern w:val="0"/>
                <w:sz w:val="24"/>
                <w:lang w:val="en-US" w:eastAsia="zh-CN"/>
              </w:rPr>
            </w:pPr>
            <w:r>
              <w:rPr>
                <w:rFonts w:hint="default" w:ascii="宋体" w:hAnsi="宋体" w:eastAsia="宋体"/>
                <w:kern w:val="0"/>
                <w:sz w:val="24"/>
                <w:lang w:val="en-US" w:eastAsia="zh-CN"/>
              </w:rPr>
              <w:t>西宁市城西区西川南路52号金座晟锦华府1号楼4单元4253室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答疑澄清方式</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cs="宋体"/>
                <w:kern w:val="0"/>
                <w:sz w:val="24"/>
                <w:lang w:val="zh-CN"/>
              </w:rPr>
            </w:pPr>
            <w:r>
              <w:rPr>
                <w:rFonts w:hint="eastAsia" w:ascii="宋体" w:hAnsi="宋体" w:cs="宋体"/>
                <w:kern w:val="0"/>
                <w:sz w:val="24"/>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kern w:val="0"/>
                <w:sz w:val="24"/>
                <w:lang w:val="zh-CN"/>
              </w:rPr>
            </w:pPr>
            <w:r>
              <w:rPr>
                <w:rFonts w:hint="eastAsia" w:ascii="宋体" w:hAnsi="宋体" w:cs="宋体"/>
                <w:kern w:val="0"/>
                <w:sz w:val="24"/>
                <w:lang w:val="zh-CN"/>
              </w:rPr>
              <w:t>代理服务费收取</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rPr>
                <w:rFonts w:ascii="宋体" w:hAnsi="宋体" w:cs="宋体"/>
                <w:kern w:val="0"/>
                <w:sz w:val="24"/>
                <w:lang w:val="zh-CN"/>
              </w:rPr>
            </w:pPr>
            <w:r>
              <w:rPr>
                <w:rFonts w:hint="eastAsia" w:ascii="宋体" w:hAnsi="宋体" w:cs="宋体"/>
                <w:kern w:val="0"/>
                <w:sz w:val="24"/>
                <w:lang w:val="zh-CN"/>
              </w:rPr>
              <w:t>招标代理服务费：</w:t>
            </w:r>
          </w:p>
          <w:p>
            <w:pPr>
              <w:autoSpaceDE w:val="0"/>
              <w:autoSpaceDN w:val="0"/>
              <w:rPr>
                <w:rFonts w:ascii="宋体" w:hAnsi="宋体" w:cs="宋体"/>
                <w:kern w:val="0"/>
                <w:sz w:val="24"/>
                <w:lang w:val="zh-CN"/>
              </w:rPr>
            </w:pPr>
            <w:r>
              <w:rPr>
                <w:rFonts w:hint="eastAsia" w:ascii="宋体" w:hAnsi="宋体" w:cs="宋体"/>
                <w:kern w:val="0"/>
                <w:sz w:val="24"/>
                <w:lang w:val="zh-CN"/>
              </w:rPr>
              <w:t>收取对象：中标磋商人</w:t>
            </w:r>
          </w:p>
          <w:p>
            <w:pPr>
              <w:rPr>
                <w:rFonts w:ascii="宋体" w:hAnsi="宋体" w:cs="宋体"/>
                <w:kern w:val="0"/>
                <w:sz w:val="24"/>
                <w:lang w:val="zh-CN"/>
              </w:rPr>
            </w:pPr>
            <w:r>
              <w:rPr>
                <w:rFonts w:hint="eastAsia" w:ascii="宋体" w:hAnsi="宋体" w:cs="宋体"/>
                <w:kern w:val="0"/>
                <w:sz w:val="24"/>
                <w:lang w:val="zh-CN"/>
              </w:rPr>
              <w:t>说明：根据《关于进一步放开建设项目专项业务服务价格的通知》（发改价格[2015]299号）规定，实行市场调节价，应严格遵守《价格法》、《关于商品和服务实行明码标价的规定》等法律法规的规定。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合同签订有效期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cs="宋体"/>
                <w:kern w:val="0"/>
                <w:sz w:val="24"/>
                <w:lang w:val="zh-CN"/>
              </w:rPr>
            </w:pPr>
            <w:r>
              <w:rPr>
                <w:rFonts w:hint="eastAsia" w:ascii="宋体" w:hAnsi="宋体" w:cs="宋体"/>
                <w:kern w:val="0"/>
                <w:sz w:val="24"/>
                <w:lang w:val="zh-CN"/>
              </w:rPr>
              <w:t>自中标通知书发出之日起</w:t>
            </w:r>
            <w:r>
              <w:rPr>
                <w:rFonts w:hint="eastAsia" w:ascii="宋体" w:hAnsi="宋体" w:cs="宋体"/>
                <w:kern w:val="0"/>
                <w:sz w:val="24"/>
              </w:rPr>
              <w:t>30</w:t>
            </w:r>
            <w:r>
              <w:rPr>
                <w:rFonts w:hint="eastAsia" w:ascii="宋体" w:hAnsi="宋体" w:cs="宋体"/>
                <w:kern w:val="0"/>
                <w:sz w:val="24"/>
                <w:lang w:val="zh-CN"/>
              </w:rPr>
              <w:t>日内与采购单位签订供货合同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政府采购合同备案</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rPr>
                <w:rFonts w:ascii="宋体" w:hAnsi="宋体" w:cs="Arial"/>
                <w:sz w:val="24"/>
              </w:rPr>
            </w:pPr>
            <w:r>
              <w:rPr>
                <w:rFonts w:ascii="宋体" w:hAnsi="宋体" w:cs="Arial"/>
                <w:sz w:val="24"/>
              </w:rPr>
              <w:t>采购合同全数返回采购代理机构签证，盖章。</w:t>
            </w:r>
          </w:p>
          <w:p>
            <w:pPr>
              <w:rPr>
                <w:rFonts w:ascii="宋体" w:hAnsi="宋体" w:cs="Arial"/>
                <w:sz w:val="24"/>
              </w:rPr>
            </w:pPr>
            <w:r>
              <w:rPr>
                <w:rFonts w:ascii="宋体" w:hAnsi="宋体" w:cs="Arial"/>
                <w:sz w:val="24"/>
              </w:rPr>
              <w:t>采购代理机构留存</w:t>
            </w:r>
            <w:r>
              <w:rPr>
                <w:rFonts w:hint="eastAsia" w:ascii="宋体" w:hAnsi="宋体" w:cs="Arial"/>
                <w:sz w:val="24"/>
              </w:rPr>
              <w:t>贰</w:t>
            </w:r>
            <w:r>
              <w:rPr>
                <w:rFonts w:ascii="宋体" w:hAnsi="宋体" w:cs="Arial"/>
                <w:sz w:val="24"/>
              </w:rPr>
              <w:t>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磋商有效期</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cs="宋体"/>
                <w:kern w:val="0"/>
                <w:sz w:val="24"/>
                <w:lang w:val="zh-CN"/>
              </w:rPr>
            </w:pPr>
            <w:r>
              <w:rPr>
                <w:rFonts w:hint="eastAsia" w:ascii="宋体" w:hAnsi="宋体" w:cs="宋体"/>
                <w:kern w:val="0"/>
                <w:sz w:val="24"/>
                <w:lang w:val="zh-CN"/>
              </w:rPr>
              <w:t>本次磋商有效期为磋商之日起60个日历日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2"/>
              </w:numPr>
              <w:autoSpaceDE w:val="0"/>
              <w:autoSpaceDN w:val="0"/>
              <w:jc w:val="center"/>
              <w:rPr>
                <w:rFonts w:ascii="宋体" w:hAnsi="宋体" w:cs="宋体"/>
                <w:bCs/>
                <w:kern w:val="0"/>
                <w:sz w:val="24"/>
                <w:lang w:val="zh-CN"/>
              </w:rPr>
            </w:pPr>
          </w:p>
        </w:tc>
        <w:tc>
          <w:tcPr>
            <w:tcW w:w="209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jc w:val="left"/>
              <w:rPr>
                <w:rFonts w:ascii="宋体" w:hAnsi="宋体" w:cs="宋体"/>
                <w:bCs/>
                <w:kern w:val="0"/>
                <w:sz w:val="24"/>
                <w:lang w:val="zh-CN"/>
              </w:rPr>
            </w:pPr>
            <w:r>
              <w:rPr>
                <w:rFonts w:hint="eastAsia" w:ascii="宋体" w:hAnsi="宋体" w:cs="宋体"/>
                <w:bCs/>
                <w:kern w:val="0"/>
                <w:sz w:val="24"/>
                <w:lang w:val="zh-CN"/>
              </w:rPr>
              <w:t>其他要求</w:t>
            </w:r>
          </w:p>
        </w:tc>
        <w:tc>
          <w:tcPr>
            <w:tcW w:w="768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jc w:val="left"/>
              <w:rPr>
                <w:rFonts w:ascii="宋体" w:hAnsi="宋体" w:cs="宋体"/>
                <w:kern w:val="0"/>
                <w:sz w:val="24"/>
                <w:lang w:val="zh-CN"/>
              </w:rPr>
            </w:pPr>
            <w:r>
              <w:rPr>
                <w:rFonts w:hint="eastAsia" w:ascii="宋体" w:hAnsi="宋体" w:cs="宋体"/>
                <w:kern w:val="0"/>
                <w:sz w:val="24"/>
                <w:lang w:val="zh-CN"/>
              </w:rPr>
              <w:t>本公告发布于《青海省政府采购网》、《</w:t>
            </w:r>
            <w:r>
              <w:rPr>
                <w:rFonts w:hint="eastAsia" w:ascii="宋体" w:hAnsi="宋体" w:cs="宋体"/>
                <w:sz w:val="24"/>
                <w:lang w:eastAsia="zh-CN"/>
              </w:rPr>
              <w:t>青海省公共资源交易</w:t>
            </w:r>
            <w:r>
              <w:rPr>
                <w:rFonts w:hint="eastAsia" w:ascii="宋体" w:hAnsi="宋体" w:cs="宋体"/>
                <w:sz w:val="24"/>
                <w:lang w:val="en-US" w:eastAsia="zh-CN"/>
              </w:rPr>
              <w:t>网</w:t>
            </w:r>
            <w:r>
              <w:rPr>
                <w:rFonts w:hint="eastAsia" w:ascii="宋体" w:hAnsi="宋体" w:cs="宋体"/>
                <w:kern w:val="0"/>
                <w:sz w:val="24"/>
                <w:lang w:val="zh-CN"/>
              </w:rPr>
              <w:t>》</w:t>
            </w:r>
          </w:p>
        </w:tc>
      </w:tr>
    </w:tbl>
    <w:p>
      <w:pPr>
        <w:pStyle w:val="23"/>
        <w:spacing w:before="0" w:after="0" w:line="360" w:lineRule="auto"/>
        <w:rPr>
          <w:rFonts w:ascii="宋体" w:hAnsi="宋体"/>
          <w:lang w:val="zh-CN"/>
        </w:rPr>
      </w:pPr>
      <w:r>
        <w:rPr>
          <w:rFonts w:ascii="宋体" w:hAnsi="宋体"/>
          <w:b w:val="0"/>
          <w:sz w:val="44"/>
        </w:rPr>
        <w:br w:type="page"/>
      </w:r>
      <w:bookmarkStart w:id="11" w:name="_Toc444715734"/>
      <w:bookmarkStart w:id="12" w:name="_Toc1575295"/>
      <w:r>
        <w:rPr>
          <w:rFonts w:hint="eastAsia" w:ascii="宋体" w:hAnsi="宋体"/>
          <w:sz w:val="48"/>
        </w:rPr>
        <w:t>第三部分磋商供应商须知</w:t>
      </w:r>
      <w:bookmarkEnd w:id="11"/>
      <w:bookmarkEnd w:id="12"/>
    </w:p>
    <w:p>
      <w:pPr>
        <w:pStyle w:val="5"/>
        <w:rPr>
          <w:rFonts w:hAnsi="宋体"/>
          <w:b/>
        </w:rPr>
      </w:pPr>
      <w:bookmarkStart w:id="13" w:name="_Toc1575296"/>
      <w:r>
        <w:rPr>
          <w:rFonts w:hint="eastAsia" w:hAnsi="宋体"/>
          <w:b/>
        </w:rPr>
        <w:t>说明</w:t>
      </w:r>
      <w:bookmarkEnd w:id="13"/>
    </w:p>
    <w:p>
      <w:pPr>
        <w:pStyle w:val="6"/>
        <w:numPr>
          <w:ilvl w:val="0"/>
          <w:numId w:val="3"/>
        </w:numPr>
        <w:spacing w:before="0" w:after="0" w:line="360" w:lineRule="auto"/>
        <w:rPr>
          <w:rFonts w:ascii="宋体" w:hAnsi="宋体"/>
          <w:b w:val="0"/>
        </w:rPr>
      </w:pPr>
      <w:bookmarkStart w:id="14" w:name="_Toc1575297"/>
      <w:bookmarkStart w:id="15" w:name="_Toc446427794"/>
      <w:bookmarkStart w:id="16" w:name="_Toc459377860"/>
      <w:bookmarkStart w:id="17" w:name="_Toc495570969"/>
      <w:bookmarkStart w:id="18" w:name="_Toc488691479"/>
      <w:r>
        <w:rPr>
          <w:rFonts w:ascii="宋体" w:hAnsi="宋体"/>
          <w:b w:val="0"/>
        </w:rPr>
        <w:t>磋商内容及要求</w:t>
      </w:r>
      <w:bookmarkEnd w:id="14"/>
      <w:bookmarkEnd w:id="15"/>
      <w:bookmarkEnd w:id="16"/>
      <w:bookmarkEnd w:id="17"/>
      <w:bookmarkEnd w:id="18"/>
    </w:p>
    <w:p>
      <w:pPr>
        <w:pStyle w:val="17"/>
        <w:spacing w:line="360" w:lineRule="auto"/>
        <w:ind w:firstLine="480" w:firstLineChars="200"/>
        <w:rPr>
          <w:rFonts w:hAnsi="宋体"/>
          <w:sz w:val="24"/>
          <w:szCs w:val="28"/>
        </w:rPr>
      </w:pPr>
      <w:r>
        <w:rPr>
          <w:rFonts w:hint="eastAsia" w:hAnsi="宋体"/>
          <w:sz w:val="24"/>
          <w:szCs w:val="28"/>
        </w:rPr>
        <w:t>本次采购依据采购单位的采购计划，仅适用于本竞争性磋商文件（以下简称“磋商文件”）中所叙述的项目。</w:t>
      </w:r>
    </w:p>
    <w:p>
      <w:pPr>
        <w:pStyle w:val="6"/>
        <w:numPr>
          <w:ilvl w:val="0"/>
          <w:numId w:val="3"/>
        </w:numPr>
        <w:spacing w:before="0" w:after="0" w:line="360" w:lineRule="auto"/>
        <w:rPr>
          <w:rFonts w:ascii="宋体" w:hAnsi="宋体"/>
          <w:b w:val="0"/>
        </w:rPr>
      </w:pPr>
      <w:bookmarkStart w:id="19" w:name="_Toc1575298"/>
      <w:bookmarkStart w:id="20" w:name="_Toc488673614"/>
      <w:r>
        <w:rPr>
          <w:rFonts w:hint="eastAsia" w:ascii="宋体" w:hAnsi="宋体"/>
          <w:b w:val="0"/>
        </w:rPr>
        <w:t>采购方式、合格的磋商供应商</w:t>
      </w:r>
      <w:bookmarkEnd w:id="19"/>
      <w:bookmarkEnd w:id="20"/>
    </w:p>
    <w:p>
      <w:pPr>
        <w:pStyle w:val="17"/>
        <w:numPr>
          <w:ilvl w:val="1"/>
          <w:numId w:val="4"/>
        </w:numPr>
        <w:spacing w:line="360" w:lineRule="auto"/>
        <w:rPr>
          <w:rFonts w:hAnsi="宋体"/>
          <w:sz w:val="24"/>
          <w:szCs w:val="28"/>
        </w:rPr>
      </w:pPr>
      <w:r>
        <w:rPr>
          <w:rFonts w:hint="eastAsia" w:hAnsi="宋体"/>
          <w:sz w:val="24"/>
          <w:szCs w:val="28"/>
        </w:rPr>
        <w:t>本次磋商采取竞争性磋商方式；</w:t>
      </w:r>
    </w:p>
    <w:p>
      <w:pPr>
        <w:pStyle w:val="17"/>
        <w:numPr>
          <w:ilvl w:val="1"/>
          <w:numId w:val="4"/>
        </w:numPr>
        <w:spacing w:line="360" w:lineRule="auto"/>
        <w:rPr>
          <w:rFonts w:hAnsi="宋体"/>
          <w:sz w:val="24"/>
          <w:szCs w:val="28"/>
        </w:rPr>
      </w:pPr>
      <w:r>
        <w:rPr>
          <w:rFonts w:hAnsi="宋体" w:cs="Arial"/>
          <w:sz w:val="24"/>
          <w:szCs w:val="24"/>
        </w:rPr>
        <w:t>合格的磋商供应商：</w:t>
      </w:r>
    </w:p>
    <w:p>
      <w:pPr>
        <w:pStyle w:val="17"/>
        <w:spacing w:line="360" w:lineRule="auto"/>
        <w:ind w:left="141" w:firstLine="480" w:firstLineChars="200"/>
        <w:rPr>
          <w:rFonts w:hAnsi="宋体"/>
          <w:sz w:val="24"/>
          <w:szCs w:val="28"/>
          <w:lang w:val="zh-CN"/>
        </w:rPr>
      </w:pPr>
      <w:r>
        <w:rPr>
          <w:rFonts w:hint="eastAsia" w:hAnsi="宋体"/>
          <w:sz w:val="24"/>
          <w:szCs w:val="28"/>
        </w:rPr>
        <w:t>1、</w:t>
      </w:r>
      <w:r>
        <w:rPr>
          <w:rFonts w:hint="eastAsia" w:hAnsi="宋体"/>
          <w:sz w:val="24"/>
          <w:szCs w:val="28"/>
          <w:lang w:val="zh-CN"/>
        </w:rPr>
        <w:t>符合《中华人民共和国政府采购法》第22条的条件：</w:t>
      </w:r>
    </w:p>
    <w:p>
      <w:pPr>
        <w:pStyle w:val="17"/>
        <w:spacing w:line="360" w:lineRule="auto"/>
        <w:ind w:left="141"/>
        <w:rPr>
          <w:rFonts w:hAnsi="宋体"/>
          <w:sz w:val="24"/>
          <w:szCs w:val="28"/>
          <w:lang w:val="zh-CN"/>
        </w:rPr>
      </w:pPr>
      <w:r>
        <w:rPr>
          <w:rFonts w:hint="eastAsia" w:hAnsi="宋体"/>
          <w:sz w:val="24"/>
          <w:szCs w:val="28"/>
        </w:rPr>
        <w:t>（1）</w:t>
      </w:r>
      <w:r>
        <w:rPr>
          <w:rFonts w:hint="eastAsia" w:hAnsi="宋体"/>
          <w:sz w:val="24"/>
          <w:szCs w:val="28"/>
          <w:lang w:val="zh-CN"/>
        </w:rPr>
        <w:t>投标人的营业执照等证明文件，自然人的身份证明。</w:t>
      </w:r>
    </w:p>
    <w:p>
      <w:pPr>
        <w:pStyle w:val="17"/>
        <w:spacing w:line="360" w:lineRule="auto"/>
        <w:ind w:left="141"/>
        <w:rPr>
          <w:rFonts w:hAnsi="宋体"/>
          <w:sz w:val="24"/>
          <w:szCs w:val="28"/>
          <w:lang w:val="zh-CN"/>
        </w:rPr>
      </w:pPr>
      <w:r>
        <w:rPr>
          <w:rFonts w:hint="eastAsia" w:hAnsi="宋体"/>
          <w:sz w:val="24"/>
          <w:szCs w:val="28"/>
        </w:rPr>
        <w:t>（2）</w:t>
      </w:r>
      <w:r>
        <w:rPr>
          <w:rFonts w:hint="eastAsia" w:hAnsi="宋体"/>
          <w:sz w:val="24"/>
          <w:szCs w:val="28"/>
          <w:lang w:val="zh-CN"/>
        </w:rPr>
        <w:t>财务状况报告，依法缴纳税收和社会保障资金的相关材料。</w:t>
      </w:r>
    </w:p>
    <w:p>
      <w:pPr>
        <w:pStyle w:val="17"/>
        <w:spacing w:line="360" w:lineRule="auto"/>
        <w:ind w:left="141"/>
        <w:rPr>
          <w:rFonts w:hAnsi="宋体"/>
          <w:sz w:val="24"/>
          <w:szCs w:val="28"/>
          <w:lang w:val="zh-CN"/>
        </w:rPr>
      </w:pPr>
      <w:r>
        <w:rPr>
          <w:rFonts w:hint="eastAsia" w:hAnsi="宋体"/>
          <w:sz w:val="24"/>
          <w:szCs w:val="28"/>
        </w:rPr>
        <w:t>（3）</w:t>
      </w:r>
      <w:r>
        <w:rPr>
          <w:rFonts w:hint="eastAsia" w:hAnsi="宋体"/>
          <w:sz w:val="24"/>
          <w:szCs w:val="28"/>
          <w:lang w:val="zh-CN"/>
        </w:rPr>
        <w:t>具备履行合同所必需的设备和专业技术能力的证明材料。</w:t>
      </w:r>
    </w:p>
    <w:p>
      <w:pPr>
        <w:pStyle w:val="17"/>
        <w:spacing w:line="360" w:lineRule="auto"/>
        <w:ind w:left="141"/>
        <w:rPr>
          <w:rFonts w:hAnsi="宋体"/>
          <w:sz w:val="24"/>
          <w:szCs w:val="28"/>
          <w:lang w:val="zh-CN"/>
        </w:rPr>
      </w:pPr>
      <w:r>
        <w:rPr>
          <w:rFonts w:hint="eastAsia" w:hAnsi="宋体"/>
          <w:sz w:val="24"/>
          <w:szCs w:val="28"/>
        </w:rPr>
        <w:t>（4）</w:t>
      </w:r>
      <w:r>
        <w:rPr>
          <w:rFonts w:hint="eastAsia" w:hAnsi="宋体"/>
          <w:sz w:val="24"/>
          <w:szCs w:val="28"/>
          <w:lang w:val="zh-CN"/>
        </w:rPr>
        <w:t>参加政府采购活动前3年内在经营活动中没有重大违法记录的书面声明。</w:t>
      </w:r>
    </w:p>
    <w:p>
      <w:pPr>
        <w:pStyle w:val="17"/>
        <w:spacing w:line="360" w:lineRule="auto"/>
        <w:ind w:left="141"/>
        <w:rPr>
          <w:rFonts w:hint="eastAsia" w:hAnsi="宋体"/>
          <w:sz w:val="24"/>
          <w:szCs w:val="28"/>
          <w:lang w:val="zh-CN"/>
        </w:rPr>
      </w:pPr>
      <w:r>
        <w:rPr>
          <w:rFonts w:hint="eastAsia" w:hAnsi="宋体"/>
          <w:sz w:val="24"/>
          <w:szCs w:val="28"/>
        </w:rPr>
        <w:t>（5）</w:t>
      </w:r>
      <w:r>
        <w:rPr>
          <w:rFonts w:hint="eastAsia" w:hAnsi="宋体"/>
          <w:sz w:val="24"/>
          <w:szCs w:val="28"/>
          <w:lang w:val="zh-CN"/>
        </w:rPr>
        <w:t>具备法律、行政法规规定的其他条件的证明材料。</w:t>
      </w:r>
    </w:p>
    <w:p>
      <w:pPr>
        <w:pStyle w:val="17"/>
        <w:spacing w:line="360" w:lineRule="auto"/>
        <w:ind w:left="141" w:firstLine="480" w:firstLineChars="200"/>
        <w:rPr>
          <w:rFonts w:hint="eastAsia" w:hAnsi="宋体"/>
          <w:sz w:val="24"/>
          <w:szCs w:val="28"/>
          <w:lang w:val="zh-CN" w:eastAsia="zh-CN"/>
        </w:rPr>
      </w:pPr>
      <w:r>
        <w:rPr>
          <w:rFonts w:hint="eastAsia" w:hAnsi="宋体"/>
          <w:sz w:val="24"/>
          <w:szCs w:val="28"/>
          <w:lang w:val="zh-CN" w:eastAsia="zh-CN"/>
        </w:rPr>
        <w:t>2、单位负责人为同一人或者存在直接控股、管理关系的不同投标人，不得参加同一合同项下的政府采购活动。否则，皆取消投标资格；</w:t>
      </w:r>
    </w:p>
    <w:p>
      <w:pPr>
        <w:pStyle w:val="17"/>
        <w:spacing w:line="360" w:lineRule="auto"/>
        <w:ind w:left="141" w:firstLine="480" w:firstLineChars="200"/>
        <w:rPr>
          <w:rFonts w:hint="eastAsia" w:hAnsi="宋体"/>
          <w:sz w:val="24"/>
          <w:szCs w:val="28"/>
          <w:lang w:val="zh-CN" w:eastAsia="zh-CN"/>
        </w:rPr>
      </w:pPr>
      <w:r>
        <w:rPr>
          <w:rFonts w:hint="eastAsia" w:hAnsi="宋体"/>
          <w:sz w:val="24"/>
          <w:szCs w:val="28"/>
          <w:lang w:val="zh-CN" w:eastAsia="zh-CN"/>
        </w:rPr>
        <w:t>3、为本采购项目提供整体设计、规范编制或者项目管理、监理、检测等服务的投标人，不得再参加该采购项目的其他采购活动；</w:t>
      </w:r>
    </w:p>
    <w:p>
      <w:pPr>
        <w:pStyle w:val="17"/>
        <w:spacing w:line="360" w:lineRule="auto"/>
        <w:ind w:left="141" w:firstLine="480" w:firstLineChars="200"/>
        <w:rPr>
          <w:rFonts w:hint="eastAsia" w:hAnsi="宋体"/>
          <w:sz w:val="24"/>
          <w:szCs w:val="28"/>
          <w:lang w:val="zh-CN"/>
        </w:rPr>
      </w:pPr>
      <w:r>
        <w:rPr>
          <w:rFonts w:hint="eastAsia" w:hAnsi="宋体"/>
          <w:sz w:val="24"/>
          <w:szCs w:val="28"/>
          <w:lang w:val="zh-CN" w:eastAsia="zh-CN"/>
        </w:rPr>
        <w:t>4</w:t>
      </w:r>
      <w:r>
        <w:rPr>
          <w:rFonts w:hint="eastAsia" w:hAnsi="宋体"/>
          <w:sz w:val="24"/>
          <w:szCs w:val="28"/>
          <w:lang w:val="zh-CN"/>
        </w:rPr>
        <w:t>、经信用中国（www.creditchina.gov.cn）、中国政府采购网（www.ccgp.gov.cn）等渠道查询后，被列入失信被执行人、重大税收违法案件当事人名单、政府采购严重违法失信行为记录名单的，取消投标资格。（提供“信用中国”网站查询截图，时间为投标截止时间前</w:t>
      </w:r>
      <w:r>
        <w:rPr>
          <w:rFonts w:hint="eastAsia" w:hAnsi="宋体"/>
          <w:sz w:val="24"/>
          <w:szCs w:val="28"/>
          <w:lang w:val="en-US" w:eastAsia="zh-CN"/>
        </w:rPr>
        <w:t>10</w:t>
      </w:r>
      <w:r>
        <w:rPr>
          <w:rFonts w:hint="eastAsia" w:hAnsi="宋体"/>
          <w:sz w:val="24"/>
          <w:szCs w:val="28"/>
          <w:lang w:val="zh-CN"/>
        </w:rPr>
        <w:t>天内）；</w:t>
      </w:r>
    </w:p>
    <w:p>
      <w:pPr>
        <w:pStyle w:val="17"/>
        <w:spacing w:line="360" w:lineRule="auto"/>
        <w:ind w:left="141" w:firstLine="480" w:firstLineChars="200"/>
        <w:rPr>
          <w:rFonts w:hint="eastAsia" w:hAnsi="宋体"/>
          <w:sz w:val="24"/>
          <w:szCs w:val="28"/>
          <w:lang w:val="zh-CN"/>
        </w:rPr>
      </w:pPr>
      <w:r>
        <w:rPr>
          <w:rFonts w:hint="eastAsia" w:hAnsi="宋体"/>
          <w:sz w:val="24"/>
          <w:szCs w:val="28"/>
          <w:lang w:val="zh-CN" w:eastAsia="zh-CN"/>
        </w:rPr>
        <w:t>5</w:t>
      </w:r>
      <w:r>
        <w:rPr>
          <w:rFonts w:hint="eastAsia" w:hAnsi="宋体"/>
          <w:sz w:val="24"/>
          <w:szCs w:val="28"/>
          <w:lang w:val="zh-CN"/>
        </w:rPr>
        <w:t>、本项目不接受联合体投标。</w:t>
      </w:r>
    </w:p>
    <w:p>
      <w:pPr>
        <w:pStyle w:val="6"/>
        <w:numPr>
          <w:ilvl w:val="0"/>
          <w:numId w:val="3"/>
        </w:numPr>
        <w:spacing w:before="0" w:after="0" w:line="360" w:lineRule="auto"/>
        <w:rPr>
          <w:rFonts w:ascii="宋体" w:hAnsi="宋体"/>
          <w:b w:val="0"/>
        </w:rPr>
      </w:pPr>
      <w:bookmarkStart w:id="21" w:name="_Toc488673615"/>
      <w:bookmarkStart w:id="22" w:name="_Toc1575299"/>
      <w:r>
        <w:rPr>
          <w:rFonts w:hint="eastAsia" w:ascii="宋体" w:hAnsi="宋体"/>
          <w:b w:val="0"/>
        </w:rPr>
        <w:t>磋商费用</w:t>
      </w:r>
      <w:bookmarkEnd w:id="21"/>
      <w:bookmarkEnd w:id="22"/>
    </w:p>
    <w:p>
      <w:pPr>
        <w:pStyle w:val="17"/>
        <w:spacing w:line="360" w:lineRule="auto"/>
        <w:ind w:firstLine="480" w:firstLineChars="200"/>
        <w:rPr>
          <w:rFonts w:hAnsi="宋体"/>
          <w:b/>
          <w:sz w:val="24"/>
          <w:szCs w:val="28"/>
        </w:rPr>
      </w:pPr>
      <w:r>
        <w:rPr>
          <w:rFonts w:hint="eastAsia" w:hAnsi="宋体"/>
          <w:sz w:val="24"/>
          <w:szCs w:val="28"/>
        </w:rPr>
        <w:t>磋商供应商应自愿承担与参加本次磋商有关的费用。采购代理机构对磋商供应商发生的费用不承担任何责任。</w:t>
      </w:r>
    </w:p>
    <w:p>
      <w:pPr>
        <w:pStyle w:val="5"/>
        <w:pBdr>
          <w:top w:val="none" w:color="auto" w:sz="0" w:space="1"/>
          <w:left w:val="none" w:color="auto" w:sz="0" w:space="4"/>
          <w:bottom w:val="none" w:color="auto" w:sz="0" w:space="1"/>
          <w:right w:val="none" w:color="auto" w:sz="0" w:space="4"/>
        </w:pBdr>
        <w:rPr>
          <w:rFonts w:hAnsi="宋体"/>
          <w:b/>
        </w:rPr>
      </w:pPr>
      <w:bookmarkStart w:id="23" w:name="_Toc1575300"/>
      <w:r>
        <w:rPr>
          <w:rFonts w:hint="eastAsia" w:hAnsi="宋体"/>
          <w:b/>
        </w:rPr>
        <w:t>磋商文件说明</w:t>
      </w:r>
      <w:bookmarkEnd w:id="23"/>
    </w:p>
    <w:p>
      <w:pPr>
        <w:pStyle w:val="6"/>
        <w:numPr>
          <w:ilvl w:val="0"/>
          <w:numId w:val="3"/>
        </w:numPr>
        <w:spacing w:before="0" w:after="0" w:line="360" w:lineRule="auto"/>
        <w:rPr>
          <w:rFonts w:ascii="宋体" w:hAnsi="宋体"/>
          <w:b w:val="0"/>
        </w:rPr>
      </w:pPr>
      <w:bookmarkStart w:id="24" w:name="_Toc488673617"/>
      <w:bookmarkStart w:id="25" w:name="_Toc1575301"/>
      <w:r>
        <w:rPr>
          <w:rFonts w:hint="eastAsia" w:ascii="宋体" w:hAnsi="宋体"/>
          <w:b w:val="0"/>
        </w:rPr>
        <w:t>磋商文件的构成</w:t>
      </w:r>
      <w:bookmarkEnd w:id="24"/>
      <w:bookmarkEnd w:id="25"/>
    </w:p>
    <w:p>
      <w:pPr>
        <w:pStyle w:val="17"/>
        <w:numPr>
          <w:ilvl w:val="1"/>
          <w:numId w:val="5"/>
        </w:numPr>
        <w:spacing w:line="360" w:lineRule="auto"/>
        <w:rPr>
          <w:rFonts w:hAnsi="宋体"/>
          <w:sz w:val="24"/>
          <w:szCs w:val="28"/>
        </w:rPr>
      </w:pPr>
      <w:r>
        <w:rPr>
          <w:rFonts w:hint="eastAsia" w:hAnsi="宋体"/>
          <w:sz w:val="24"/>
          <w:szCs w:val="28"/>
        </w:rPr>
        <w:t>磋商文件包括：</w:t>
      </w:r>
    </w:p>
    <w:p>
      <w:pPr>
        <w:pStyle w:val="17"/>
        <w:numPr>
          <w:ilvl w:val="0"/>
          <w:numId w:val="6"/>
        </w:numPr>
        <w:spacing w:line="360" w:lineRule="auto"/>
        <w:rPr>
          <w:rFonts w:hAnsi="宋体" w:cs="Arial"/>
          <w:sz w:val="24"/>
          <w:szCs w:val="24"/>
        </w:rPr>
      </w:pPr>
      <w:r>
        <w:rPr>
          <w:rFonts w:hint="eastAsia" w:hAnsi="宋体" w:cs="Arial"/>
          <w:sz w:val="24"/>
          <w:szCs w:val="24"/>
        </w:rPr>
        <w:t>磋商邀请；</w:t>
      </w:r>
    </w:p>
    <w:p>
      <w:pPr>
        <w:pStyle w:val="17"/>
        <w:numPr>
          <w:ilvl w:val="0"/>
          <w:numId w:val="6"/>
        </w:numPr>
        <w:spacing w:line="360" w:lineRule="auto"/>
        <w:rPr>
          <w:rFonts w:hAnsi="宋体" w:cs="Arial"/>
          <w:sz w:val="24"/>
          <w:szCs w:val="24"/>
        </w:rPr>
      </w:pPr>
      <w:r>
        <w:rPr>
          <w:rFonts w:hint="eastAsia" w:hAnsi="宋体" w:cs="Arial"/>
          <w:sz w:val="24"/>
          <w:szCs w:val="24"/>
        </w:rPr>
        <w:t>磋商供应商须知前附表；</w:t>
      </w:r>
    </w:p>
    <w:p>
      <w:pPr>
        <w:pStyle w:val="17"/>
        <w:numPr>
          <w:ilvl w:val="0"/>
          <w:numId w:val="6"/>
        </w:numPr>
        <w:spacing w:line="360" w:lineRule="auto"/>
        <w:rPr>
          <w:rFonts w:hAnsi="宋体" w:cs="Arial"/>
          <w:sz w:val="24"/>
          <w:szCs w:val="24"/>
        </w:rPr>
      </w:pPr>
      <w:r>
        <w:rPr>
          <w:rFonts w:hint="eastAsia" w:hAnsi="宋体" w:cs="Arial"/>
          <w:sz w:val="24"/>
          <w:szCs w:val="24"/>
        </w:rPr>
        <w:t>磋商供应商须知；</w:t>
      </w:r>
    </w:p>
    <w:p>
      <w:pPr>
        <w:pStyle w:val="17"/>
        <w:numPr>
          <w:ilvl w:val="0"/>
          <w:numId w:val="6"/>
        </w:numPr>
        <w:spacing w:line="360" w:lineRule="auto"/>
        <w:rPr>
          <w:rFonts w:hAnsi="宋体" w:cs="Arial"/>
          <w:sz w:val="24"/>
          <w:szCs w:val="24"/>
        </w:rPr>
      </w:pPr>
      <w:r>
        <w:rPr>
          <w:rFonts w:hint="eastAsia" w:hAnsi="宋体" w:cs="Arial"/>
          <w:sz w:val="24"/>
          <w:szCs w:val="24"/>
        </w:rPr>
        <w:t>青海省政府采购合同文本样式；</w:t>
      </w:r>
    </w:p>
    <w:p>
      <w:pPr>
        <w:pStyle w:val="17"/>
        <w:numPr>
          <w:ilvl w:val="0"/>
          <w:numId w:val="6"/>
        </w:numPr>
        <w:spacing w:line="360" w:lineRule="auto"/>
        <w:rPr>
          <w:rFonts w:hAnsi="宋体" w:cs="Arial"/>
          <w:sz w:val="24"/>
          <w:szCs w:val="24"/>
        </w:rPr>
      </w:pPr>
      <w:r>
        <w:rPr>
          <w:rFonts w:hint="eastAsia" w:hAnsi="宋体" w:cs="Arial"/>
          <w:sz w:val="24"/>
          <w:szCs w:val="24"/>
        </w:rPr>
        <w:t>磋商响应文件格式；</w:t>
      </w:r>
    </w:p>
    <w:p>
      <w:pPr>
        <w:pStyle w:val="17"/>
        <w:numPr>
          <w:ilvl w:val="0"/>
          <w:numId w:val="6"/>
        </w:numPr>
        <w:spacing w:line="360" w:lineRule="auto"/>
        <w:rPr>
          <w:rFonts w:hAnsi="宋体" w:cs="Arial"/>
          <w:sz w:val="24"/>
          <w:szCs w:val="24"/>
        </w:rPr>
      </w:pPr>
      <w:r>
        <w:rPr>
          <w:rFonts w:hint="eastAsia" w:hAnsi="宋体" w:cs="Arial"/>
          <w:sz w:val="24"/>
          <w:szCs w:val="24"/>
        </w:rPr>
        <w:t>采购项目要求及技术参数；</w:t>
      </w:r>
    </w:p>
    <w:p>
      <w:pPr>
        <w:pStyle w:val="17"/>
        <w:numPr>
          <w:ilvl w:val="0"/>
          <w:numId w:val="6"/>
        </w:numPr>
        <w:spacing w:line="360" w:lineRule="auto"/>
        <w:rPr>
          <w:rFonts w:hAnsi="宋体" w:cs="Arial"/>
          <w:sz w:val="24"/>
          <w:szCs w:val="24"/>
        </w:rPr>
      </w:pPr>
      <w:r>
        <w:rPr>
          <w:rFonts w:hint="eastAsia" w:hAnsi="宋体" w:cs="Arial"/>
          <w:sz w:val="24"/>
          <w:szCs w:val="24"/>
        </w:rPr>
        <w:t>采购过程中发生的澄清、变更和补充文件；</w:t>
      </w:r>
    </w:p>
    <w:p>
      <w:pPr>
        <w:pStyle w:val="17"/>
        <w:numPr>
          <w:ilvl w:val="1"/>
          <w:numId w:val="5"/>
        </w:numPr>
        <w:spacing w:line="360" w:lineRule="auto"/>
        <w:rPr>
          <w:rFonts w:hAnsi="宋体"/>
          <w:sz w:val="24"/>
          <w:szCs w:val="28"/>
        </w:rPr>
      </w:pPr>
      <w:r>
        <w:rPr>
          <w:rFonts w:hint="eastAsia" w:hAnsi="宋体"/>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pPr>
        <w:pStyle w:val="6"/>
        <w:numPr>
          <w:ilvl w:val="0"/>
          <w:numId w:val="3"/>
        </w:numPr>
        <w:spacing w:before="0" w:after="0" w:line="360" w:lineRule="auto"/>
        <w:rPr>
          <w:rFonts w:ascii="宋体" w:hAnsi="宋体"/>
          <w:b w:val="0"/>
        </w:rPr>
      </w:pPr>
      <w:bookmarkStart w:id="26" w:name="_Toc1575302"/>
      <w:bookmarkStart w:id="27" w:name="_Toc488673618"/>
      <w:r>
        <w:rPr>
          <w:rFonts w:hint="eastAsia" w:ascii="宋体" w:hAnsi="宋体"/>
          <w:b w:val="0"/>
        </w:rPr>
        <w:t>磋商文件、磋商活动和中标结果的质疑</w:t>
      </w:r>
      <w:bookmarkEnd w:id="26"/>
      <w:bookmarkEnd w:id="27"/>
    </w:p>
    <w:p>
      <w:pPr>
        <w:pStyle w:val="17"/>
        <w:numPr>
          <w:ilvl w:val="1"/>
          <w:numId w:val="7"/>
        </w:numPr>
        <w:spacing w:line="360" w:lineRule="auto"/>
        <w:rPr>
          <w:rFonts w:hAnsi="宋体"/>
          <w:sz w:val="24"/>
          <w:szCs w:val="28"/>
        </w:rPr>
      </w:pPr>
      <w:r>
        <w:rPr>
          <w:rFonts w:hint="eastAsia" w:hAnsi="宋体"/>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pPr>
        <w:pStyle w:val="17"/>
        <w:numPr>
          <w:ilvl w:val="1"/>
          <w:numId w:val="7"/>
        </w:numPr>
        <w:spacing w:line="360" w:lineRule="auto"/>
        <w:rPr>
          <w:rFonts w:hAnsi="宋体"/>
          <w:sz w:val="24"/>
          <w:szCs w:val="28"/>
        </w:rPr>
      </w:pPr>
      <w:r>
        <w:rPr>
          <w:rFonts w:hint="eastAsia" w:hAnsi="宋体"/>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17"/>
        <w:numPr>
          <w:ilvl w:val="1"/>
          <w:numId w:val="7"/>
        </w:numPr>
        <w:spacing w:line="360" w:lineRule="auto"/>
        <w:rPr>
          <w:rFonts w:hAnsi="宋体"/>
          <w:sz w:val="24"/>
          <w:szCs w:val="28"/>
        </w:rPr>
      </w:pPr>
      <w:r>
        <w:rPr>
          <w:rFonts w:hint="eastAsia" w:hAnsi="宋体"/>
          <w:sz w:val="24"/>
          <w:szCs w:val="28"/>
        </w:rPr>
        <w:t>质疑时效期间的计算</w:t>
      </w:r>
    </w:p>
    <w:p>
      <w:pPr>
        <w:pStyle w:val="17"/>
        <w:numPr>
          <w:ilvl w:val="0"/>
          <w:numId w:val="8"/>
        </w:numPr>
        <w:spacing w:line="360" w:lineRule="auto"/>
        <w:rPr>
          <w:rFonts w:hAnsi="宋体" w:cs="Arial"/>
          <w:sz w:val="24"/>
          <w:szCs w:val="24"/>
        </w:rPr>
      </w:pPr>
      <w:r>
        <w:rPr>
          <w:rFonts w:hint="eastAsia" w:hAnsi="宋体" w:cs="Arial"/>
          <w:sz w:val="24"/>
          <w:szCs w:val="24"/>
        </w:rPr>
        <w:t>对可以质疑的磋商文件提出质疑的，为收到磋商文件之日或磋商文件公告期限届满之日；</w:t>
      </w:r>
    </w:p>
    <w:p>
      <w:pPr>
        <w:pStyle w:val="17"/>
        <w:numPr>
          <w:ilvl w:val="0"/>
          <w:numId w:val="8"/>
        </w:numPr>
        <w:spacing w:line="360" w:lineRule="auto"/>
        <w:rPr>
          <w:rFonts w:hAnsi="宋体" w:cs="Arial"/>
          <w:sz w:val="24"/>
          <w:szCs w:val="24"/>
        </w:rPr>
      </w:pPr>
      <w:r>
        <w:rPr>
          <w:rFonts w:hint="eastAsia" w:hAnsi="宋体" w:cs="Arial"/>
          <w:sz w:val="24"/>
          <w:szCs w:val="24"/>
        </w:rPr>
        <w:t>对磋商过程提出质疑的，为磋商程序各环节结束之日；</w:t>
      </w:r>
    </w:p>
    <w:p>
      <w:pPr>
        <w:pStyle w:val="17"/>
        <w:numPr>
          <w:ilvl w:val="0"/>
          <w:numId w:val="8"/>
        </w:numPr>
        <w:spacing w:line="360" w:lineRule="auto"/>
        <w:rPr>
          <w:rFonts w:hAnsi="宋体" w:cs="Arial"/>
          <w:sz w:val="24"/>
          <w:szCs w:val="24"/>
        </w:rPr>
      </w:pPr>
      <w:r>
        <w:rPr>
          <w:rFonts w:hint="eastAsia" w:hAnsi="宋体" w:cs="Arial"/>
          <w:sz w:val="24"/>
          <w:szCs w:val="24"/>
        </w:rPr>
        <w:t>对中标结果提出质疑的，为中标公告期限届满之日。</w:t>
      </w:r>
    </w:p>
    <w:p>
      <w:pPr>
        <w:pStyle w:val="6"/>
        <w:numPr>
          <w:ilvl w:val="0"/>
          <w:numId w:val="3"/>
        </w:numPr>
        <w:spacing w:before="0" w:after="0" w:line="360" w:lineRule="auto"/>
        <w:rPr>
          <w:rFonts w:ascii="宋体" w:hAnsi="宋体"/>
          <w:b w:val="0"/>
        </w:rPr>
      </w:pPr>
      <w:bookmarkStart w:id="28" w:name="_Toc488673619"/>
      <w:bookmarkStart w:id="29" w:name="_Toc1575303"/>
      <w:r>
        <w:rPr>
          <w:rFonts w:hint="eastAsia" w:ascii="宋体" w:hAnsi="宋体"/>
          <w:b w:val="0"/>
        </w:rPr>
        <w:t>磋商文件的修改</w:t>
      </w:r>
      <w:bookmarkEnd w:id="28"/>
      <w:bookmarkEnd w:id="29"/>
    </w:p>
    <w:p>
      <w:pPr>
        <w:pStyle w:val="17"/>
        <w:numPr>
          <w:ilvl w:val="1"/>
          <w:numId w:val="9"/>
        </w:numPr>
        <w:spacing w:line="360" w:lineRule="auto"/>
        <w:rPr>
          <w:rFonts w:hAnsi="宋体"/>
          <w:sz w:val="24"/>
          <w:szCs w:val="28"/>
        </w:rPr>
      </w:pPr>
      <w:r>
        <w:rPr>
          <w:rFonts w:hint="eastAsia" w:hAnsi="宋体"/>
          <w:sz w:val="24"/>
          <w:szCs w:val="28"/>
        </w:rPr>
        <w:t>在磋商截止期前，采购单位或采购代理机构可对磋商文件进行必要的修改或者澄清；</w:t>
      </w:r>
    </w:p>
    <w:p>
      <w:pPr>
        <w:pStyle w:val="17"/>
        <w:numPr>
          <w:ilvl w:val="1"/>
          <w:numId w:val="9"/>
        </w:numPr>
        <w:spacing w:line="360" w:lineRule="auto"/>
        <w:rPr>
          <w:rFonts w:hAnsi="宋体"/>
          <w:sz w:val="24"/>
          <w:szCs w:val="28"/>
        </w:rPr>
      </w:pPr>
      <w:r>
        <w:rPr>
          <w:rFonts w:hint="eastAsia" w:hAnsi="宋体"/>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int="eastAsia" w:hAnsi="宋体"/>
          <w:sz w:val="24"/>
          <w:szCs w:val="28"/>
        </w:rPr>
        <w:t>日前，在青海政府采购网、</w:t>
      </w:r>
      <w:r>
        <w:rPr>
          <w:rFonts w:hint="eastAsia" w:hAnsi="宋体"/>
          <w:sz w:val="24"/>
          <w:szCs w:val="28"/>
          <w:lang w:eastAsia="zh-CN"/>
        </w:rPr>
        <w:t>青海省公共资源交易服务平台</w:t>
      </w:r>
      <w:r>
        <w:rPr>
          <w:rFonts w:hint="eastAsia" w:hAnsi="宋体"/>
          <w:sz w:val="24"/>
          <w:szCs w:val="28"/>
        </w:rPr>
        <w:t>、青海项目信息网等媒体上发布公告。不足</w:t>
      </w:r>
      <w:r>
        <w:rPr>
          <w:rFonts w:hAnsi="宋体"/>
          <w:sz w:val="24"/>
          <w:szCs w:val="28"/>
        </w:rPr>
        <w:t>5</w:t>
      </w:r>
      <w:r>
        <w:rPr>
          <w:rFonts w:hint="eastAsia" w:hAnsi="宋体"/>
          <w:sz w:val="24"/>
          <w:szCs w:val="28"/>
        </w:rPr>
        <w:t>日的，顺延提交磋商响应文件的截止时间。该澄清或者修改的内容为磋商文件的组成部分；</w:t>
      </w:r>
    </w:p>
    <w:p>
      <w:pPr>
        <w:pStyle w:val="17"/>
        <w:numPr>
          <w:ilvl w:val="1"/>
          <w:numId w:val="9"/>
        </w:numPr>
        <w:spacing w:line="360" w:lineRule="auto"/>
        <w:rPr>
          <w:rFonts w:hAnsi="宋体"/>
          <w:sz w:val="24"/>
          <w:szCs w:val="28"/>
        </w:rPr>
      </w:pPr>
      <w:r>
        <w:rPr>
          <w:rFonts w:hint="eastAsia" w:hAnsi="宋体"/>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pPr>
        <w:pStyle w:val="5"/>
        <w:rPr>
          <w:rFonts w:hAnsi="宋体"/>
          <w:b/>
        </w:rPr>
      </w:pPr>
      <w:bookmarkStart w:id="30" w:name="_Toc1575304"/>
      <w:r>
        <w:rPr>
          <w:rFonts w:hint="eastAsia" w:hAnsi="宋体"/>
          <w:b/>
        </w:rPr>
        <w:t>磋商响应文件的编写</w:t>
      </w:r>
      <w:bookmarkEnd w:id="30"/>
    </w:p>
    <w:p>
      <w:pPr>
        <w:pStyle w:val="6"/>
        <w:numPr>
          <w:ilvl w:val="0"/>
          <w:numId w:val="3"/>
        </w:numPr>
        <w:spacing w:before="0" w:after="0" w:line="360" w:lineRule="auto"/>
        <w:rPr>
          <w:rFonts w:ascii="宋体" w:hAnsi="宋体"/>
          <w:b w:val="0"/>
        </w:rPr>
      </w:pPr>
      <w:bookmarkStart w:id="31" w:name="_Toc1575305"/>
      <w:bookmarkStart w:id="32" w:name="_Toc488673621"/>
      <w:r>
        <w:rPr>
          <w:rFonts w:hint="eastAsia" w:ascii="宋体" w:hAnsi="宋体"/>
          <w:b w:val="0"/>
        </w:rPr>
        <w:t>磋商响应文件的语言及度量衡单位</w:t>
      </w:r>
      <w:bookmarkEnd w:id="31"/>
      <w:bookmarkEnd w:id="32"/>
    </w:p>
    <w:p>
      <w:pPr>
        <w:pStyle w:val="17"/>
        <w:numPr>
          <w:ilvl w:val="1"/>
          <w:numId w:val="10"/>
        </w:numPr>
        <w:spacing w:line="360" w:lineRule="auto"/>
        <w:rPr>
          <w:rFonts w:hAnsi="宋体"/>
          <w:sz w:val="24"/>
          <w:szCs w:val="28"/>
        </w:rPr>
      </w:pPr>
      <w:r>
        <w:rPr>
          <w:rFonts w:hint="eastAsia" w:hAnsi="宋体"/>
          <w:sz w:val="24"/>
          <w:szCs w:val="28"/>
        </w:rPr>
        <w:t>磋商供应商提交的磋商响应文件以及磋商供应商与采购代理机构就此磋商发生的所有来往函电均应使用简体中文；</w:t>
      </w:r>
    </w:p>
    <w:p>
      <w:pPr>
        <w:pStyle w:val="17"/>
        <w:numPr>
          <w:ilvl w:val="1"/>
          <w:numId w:val="10"/>
        </w:numPr>
        <w:spacing w:line="360" w:lineRule="auto"/>
        <w:rPr>
          <w:rFonts w:hAnsi="宋体"/>
          <w:sz w:val="24"/>
          <w:szCs w:val="28"/>
        </w:rPr>
      </w:pPr>
      <w:r>
        <w:rPr>
          <w:rFonts w:hint="eastAsia" w:hAnsi="宋体"/>
          <w:sz w:val="24"/>
          <w:szCs w:val="28"/>
        </w:rPr>
        <w:t>除磋商文件中另有规定外，磋商文件所使用的度量衡单位，均须采用国家法定计量单位；</w:t>
      </w:r>
    </w:p>
    <w:p>
      <w:pPr>
        <w:pStyle w:val="17"/>
        <w:numPr>
          <w:ilvl w:val="1"/>
          <w:numId w:val="10"/>
        </w:numPr>
        <w:spacing w:line="360" w:lineRule="auto"/>
        <w:rPr>
          <w:rFonts w:hAnsi="宋体"/>
          <w:sz w:val="24"/>
          <w:szCs w:val="28"/>
        </w:rPr>
      </w:pPr>
      <w:r>
        <w:rPr>
          <w:rFonts w:hint="eastAsia" w:hAnsi="宋体"/>
          <w:sz w:val="24"/>
          <w:szCs w:val="28"/>
        </w:rPr>
        <w:t>附有外文资料的须翻译成中文，并加盖磋商供应商公章，如果翻译的中文资料与外文资料出现差异与矛盾时，以中文为准，其准确性由磋商供应商负责。</w:t>
      </w:r>
    </w:p>
    <w:p>
      <w:pPr>
        <w:pStyle w:val="6"/>
        <w:numPr>
          <w:ilvl w:val="0"/>
          <w:numId w:val="3"/>
        </w:numPr>
        <w:spacing w:before="0" w:after="0" w:line="360" w:lineRule="auto"/>
        <w:rPr>
          <w:rFonts w:ascii="宋体" w:hAnsi="宋体"/>
          <w:b w:val="0"/>
        </w:rPr>
      </w:pPr>
      <w:bookmarkStart w:id="33" w:name="_Toc1575306"/>
      <w:bookmarkStart w:id="34" w:name="_Toc488673622"/>
      <w:r>
        <w:rPr>
          <w:rFonts w:hint="eastAsia" w:ascii="宋体" w:hAnsi="宋体"/>
          <w:b w:val="0"/>
        </w:rPr>
        <w:t>磋商报价及币种</w:t>
      </w:r>
      <w:bookmarkEnd w:id="33"/>
      <w:bookmarkEnd w:id="34"/>
    </w:p>
    <w:p>
      <w:pPr>
        <w:pStyle w:val="17"/>
        <w:numPr>
          <w:ilvl w:val="1"/>
          <w:numId w:val="11"/>
        </w:numPr>
        <w:spacing w:line="360" w:lineRule="auto"/>
        <w:rPr>
          <w:rFonts w:hAnsi="宋体"/>
          <w:sz w:val="24"/>
          <w:szCs w:val="28"/>
        </w:rPr>
      </w:pPr>
      <w:r>
        <w:rPr>
          <w:rFonts w:hint="eastAsia" w:hAnsi="宋体"/>
          <w:sz w:val="24"/>
          <w:szCs w:val="28"/>
        </w:rPr>
        <w:t>磋商报价为磋商总价。磋商报价必须包括：</w:t>
      </w:r>
      <w:bookmarkStart w:id="35" w:name="_Hlk497466989"/>
      <w:r>
        <w:rPr>
          <w:rFonts w:hint="eastAsia" w:hAnsi="宋体"/>
          <w:sz w:val="24"/>
          <w:szCs w:val="28"/>
          <w:lang w:val="zh-CN"/>
        </w:rPr>
        <w:t>产品费、验收费、手续费、包装费、运输费、保险费、安装费、售前、售中、售后服务费、招标代理费、税金及不可预见费等全部费用。</w:t>
      </w:r>
      <w:r>
        <w:rPr>
          <w:rFonts w:hint="eastAsia" w:hAnsi="宋体"/>
          <w:sz w:val="24"/>
          <w:szCs w:val="28"/>
        </w:rPr>
        <w:t>（说明：具体内容应根据项目特点实事求是的填写）</w:t>
      </w:r>
      <w:bookmarkEnd w:id="35"/>
    </w:p>
    <w:p>
      <w:pPr>
        <w:pStyle w:val="17"/>
        <w:numPr>
          <w:ilvl w:val="1"/>
          <w:numId w:val="11"/>
        </w:numPr>
        <w:spacing w:line="360" w:lineRule="auto"/>
        <w:rPr>
          <w:rFonts w:hAnsi="宋体"/>
          <w:sz w:val="24"/>
          <w:szCs w:val="28"/>
        </w:rPr>
      </w:pPr>
      <w:r>
        <w:rPr>
          <w:rFonts w:hint="eastAsia" w:hAnsi="宋体"/>
          <w:sz w:val="24"/>
          <w:szCs w:val="28"/>
        </w:rPr>
        <w:t>磋商报价应注明有效期，有效期应与磋商有效期一致；</w:t>
      </w:r>
    </w:p>
    <w:p>
      <w:pPr>
        <w:pStyle w:val="17"/>
        <w:numPr>
          <w:ilvl w:val="1"/>
          <w:numId w:val="11"/>
        </w:numPr>
        <w:spacing w:line="360" w:lineRule="auto"/>
        <w:rPr>
          <w:rFonts w:hAnsi="宋体"/>
          <w:sz w:val="24"/>
          <w:szCs w:val="28"/>
        </w:rPr>
      </w:pPr>
      <w:r>
        <w:rPr>
          <w:rFonts w:hint="eastAsia" w:hAnsi="宋体"/>
          <w:sz w:val="24"/>
          <w:szCs w:val="28"/>
        </w:rPr>
        <w:t>磋商供应商应根据磋商文件规定的格式完整填写所有内容，并保证所提供的全部资料真实可靠，自愿承担相应责任；</w:t>
      </w:r>
    </w:p>
    <w:p>
      <w:pPr>
        <w:pStyle w:val="17"/>
        <w:numPr>
          <w:ilvl w:val="1"/>
          <w:numId w:val="11"/>
        </w:numPr>
        <w:spacing w:line="360" w:lineRule="auto"/>
        <w:rPr>
          <w:rFonts w:hAnsi="宋体"/>
          <w:sz w:val="24"/>
          <w:szCs w:val="28"/>
        </w:rPr>
      </w:pPr>
      <w:r>
        <w:rPr>
          <w:rFonts w:hint="eastAsia" w:hAnsi="宋体"/>
          <w:sz w:val="24"/>
          <w:szCs w:val="28"/>
        </w:rPr>
        <w:t>磋商报价为闭口价，即中标后在合同有效期内价格不变；</w:t>
      </w:r>
    </w:p>
    <w:p>
      <w:pPr>
        <w:pStyle w:val="17"/>
        <w:numPr>
          <w:ilvl w:val="1"/>
          <w:numId w:val="11"/>
        </w:numPr>
        <w:spacing w:line="360" w:lineRule="auto"/>
        <w:rPr>
          <w:rFonts w:hAnsi="宋体"/>
          <w:sz w:val="24"/>
          <w:szCs w:val="28"/>
        </w:rPr>
      </w:pPr>
      <w:r>
        <w:rPr>
          <w:rFonts w:hint="eastAsia" w:hAnsi="宋体"/>
          <w:sz w:val="24"/>
          <w:szCs w:val="28"/>
        </w:rPr>
        <w:t>磋商币种为人民币。</w:t>
      </w:r>
    </w:p>
    <w:p>
      <w:pPr>
        <w:pStyle w:val="6"/>
        <w:numPr>
          <w:ilvl w:val="0"/>
          <w:numId w:val="3"/>
        </w:numPr>
        <w:spacing w:before="0" w:after="0" w:line="360" w:lineRule="auto"/>
        <w:rPr>
          <w:rFonts w:ascii="宋体" w:hAnsi="宋体"/>
          <w:b w:val="0"/>
        </w:rPr>
      </w:pPr>
      <w:bookmarkStart w:id="36" w:name="_Toc488673623"/>
      <w:bookmarkStart w:id="37" w:name="_Toc1575307"/>
      <w:r>
        <w:rPr>
          <w:rFonts w:hint="eastAsia" w:ascii="宋体" w:hAnsi="宋体"/>
          <w:b w:val="0"/>
        </w:rPr>
        <w:t>磋商保证金</w:t>
      </w:r>
      <w:bookmarkEnd w:id="36"/>
      <w:bookmarkEnd w:id="37"/>
    </w:p>
    <w:p>
      <w:pPr>
        <w:pStyle w:val="17"/>
        <w:numPr>
          <w:ilvl w:val="1"/>
          <w:numId w:val="12"/>
        </w:numPr>
        <w:spacing w:line="360" w:lineRule="auto"/>
        <w:rPr>
          <w:rFonts w:hAnsi="宋体"/>
          <w:sz w:val="24"/>
          <w:szCs w:val="28"/>
        </w:rPr>
      </w:pPr>
      <w:r>
        <w:rPr>
          <w:rFonts w:hint="eastAsia" w:hAnsi="宋体"/>
          <w:sz w:val="24"/>
          <w:szCs w:val="28"/>
        </w:rPr>
        <w:t>磋商供应商应将磋商保证金缴纳证明作为磋商响应文件的内容一并提供。缴纳的磋商保证金用于因磋商供应商的行为使本次磋商活动受到损失的抵项；</w:t>
      </w:r>
    </w:p>
    <w:p>
      <w:pPr>
        <w:pStyle w:val="17"/>
        <w:numPr>
          <w:ilvl w:val="1"/>
          <w:numId w:val="12"/>
        </w:numPr>
        <w:spacing w:line="360" w:lineRule="auto"/>
        <w:rPr>
          <w:rFonts w:hAnsi="宋体"/>
          <w:sz w:val="24"/>
          <w:szCs w:val="28"/>
        </w:rPr>
      </w:pPr>
      <w:r>
        <w:rPr>
          <w:rFonts w:hint="eastAsia" w:hAnsi="宋体"/>
          <w:sz w:val="24"/>
          <w:szCs w:val="28"/>
        </w:rPr>
        <w:t>磋商人须在投标截止期前按以下要求交纳投标保证金：</w:t>
      </w:r>
    </w:p>
    <w:p>
      <w:pPr>
        <w:pStyle w:val="17"/>
        <w:spacing w:line="276" w:lineRule="auto"/>
        <w:ind w:left="141" w:leftChars="67" w:firstLine="352" w:firstLineChars="147"/>
        <w:rPr>
          <w:rFonts w:hint="default" w:hAnsi="宋体" w:eastAsia="宋体"/>
          <w:sz w:val="24"/>
          <w:szCs w:val="24"/>
          <w:lang w:val="en-US" w:eastAsia="zh-CN"/>
        </w:rPr>
      </w:pPr>
      <w:r>
        <w:rPr>
          <w:rFonts w:hint="default" w:hAnsi="宋体" w:eastAsia="宋体"/>
          <w:sz w:val="24"/>
          <w:szCs w:val="24"/>
          <w:lang w:val="en-US" w:eastAsia="zh-CN"/>
        </w:rPr>
        <w:t>磋商保证金金额：</w:t>
      </w:r>
      <w:r>
        <w:rPr>
          <w:rFonts w:hint="eastAsia" w:hAnsi="宋体"/>
          <w:sz w:val="24"/>
          <w:szCs w:val="24"/>
          <w:lang w:val="en-US" w:eastAsia="zh-CN"/>
        </w:rPr>
        <w:t>30000.00（大写：叁万元整）</w:t>
      </w:r>
    </w:p>
    <w:p>
      <w:pPr>
        <w:pStyle w:val="17"/>
        <w:spacing w:line="276" w:lineRule="auto"/>
        <w:ind w:left="141" w:leftChars="67" w:firstLine="352" w:firstLineChars="147"/>
        <w:rPr>
          <w:rFonts w:hAnsi="宋体"/>
          <w:sz w:val="24"/>
          <w:szCs w:val="24"/>
          <w:lang w:val="zh-CN"/>
        </w:rPr>
      </w:pPr>
      <w:r>
        <w:rPr>
          <w:rFonts w:hint="eastAsia" w:hAnsi="宋体"/>
          <w:sz w:val="24"/>
          <w:szCs w:val="24"/>
          <w:lang w:val="zh-CN"/>
        </w:rPr>
        <w:t>户  名：宿迁建威工程咨询有限公司青海分公司</w:t>
      </w:r>
    </w:p>
    <w:p>
      <w:pPr>
        <w:pStyle w:val="17"/>
        <w:spacing w:line="276" w:lineRule="auto"/>
        <w:ind w:left="141" w:leftChars="67" w:firstLine="352" w:firstLineChars="147"/>
        <w:rPr>
          <w:rFonts w:hAnsi="宋体"/>
          <w:sz w:val="24"/>
          <w:szCs w:val="24"/>
          <w:lang w:val="zh-CN"/>
        </w:rPr>
      </w:pPr>
      <w:r>
        <w:rPr>
          <w:rFonts w:hint="eastAsia" w:hAnsi="宋体"/>
          <w:sz w:val="24"/>
          <w:szCs w:val="24"/>
          <w:lang w:val="zh-CN"/>
        </w:rPr>
        <w:t>帐  号：</w:t>
      </w:r>
      <w:r>
        <w:rPr>
          <w:rFonts w:hint="eastAsia" w:ascii="宋体" w:hAnsi="宋体" w:eastAsia="宋体" w:cs="宋体"/>
          <w:bCs/>
          <w:kern w:val="0"/>
          <w:sz w:val="24"/>
          <w:szCs w:val="24"/>
          <w:lang w:val="zh-CN" w:eastAsia="zh-CN" w:bidi="ar-SA"/>
        </w:rPr>
        <w:t>82010000000415138</w:t>
      </w:r>
    </w:p>
    <w:p>
      <w:pPr>
        <w:pStyle w:val="17"/>
        <w:spacing w:line="276" w:lineRule="auto"/>
        <w:ind w:left="141" w:leftChars="67" w:firstLine="352" w:firstLineChars="147"/>
        <w:rPr>
          <w:rFonts w:hint="eastAsia" w:hAnsi="宋体"/>
          <w:sz w:val="24"/>
          <w:szCs w:val="24"/>
          <w:lang w:val="zh-CN"/>
        </w:rPr>
      </w:pPr>
      <w:r>
        <w:rPr>
          <w:rFonts w:hint="eastAsia" w:hAnsi="宋体"/>
          <w:sz w:val="24"/>
          <w:szCs w:val="24"/>
          <w:lang w:val="zh-CN"/>
        </w:rPr>
        <w:t>开户行：</w:t>
      </w:r>
      <w:r>
        <w:rPr>
          <w:rFonts w:hint="eastAsia" w:ascii="宋体" w:hAnsi="宋体" w:cs="宋体"/>
          <w:bCs/>
          <w:kern w:val="0"/>
          <w:sz w:val="24"/>
          <w:lang w:val="zh-CN"/>
        </w:rPr>
        <w:t>青海西宁农村商业银行股份有限公司海西路支行</w:t>
      </w:r>
    </w:p>
    <w:p>
      <w:pPr>
        <w:pStyle w:val="17"/>
        <w:spacing w:line="276" w:lineRule="auto"/>
        <w:ind w:left="141" w:leftChars="67" w:firstLine="352" w:firstLineChars="147"/>
        <w:rPr>
          <w:rFonts w:hint="eastAsia" w:hAnsi="宋体"/>
          <w:sz w:val="24"/>
          <w:szCs w:val="24"/>
          <w:lang w:val="zh-CN"/>
        </w:rPr>
      </w:pPr>
      <w:r>
        <w:rPr>
          <w:rFonts w:hint="eastAsia" w:hAnsi="宋体"/>
          <w:sz w:val="24"/>
          <w:szCs w:val="24"/>
          <w:lang w:val="zh-CN" w:eastAsia="zh-CN"/>
        </w:rPr>
        <w:t>款项用途：公共文化活动室采购项目保证金</w:t>
      </w:r>
    </w:p>
    <w:p>
      <w:pPr>
        <w:pStyle w:val="17"/>
        <w:spacing w:line="276" w:lineRule="auto"/>
        <w:ind w:firstLine="480" w:firstLineChars="200"/>
        <w:rPr>
          <w:rFonts w:hAnsi="宋体"/>
          <w:sz w:val="24"/>
          <w:szCs w:val="24"/>
        </w:rPr>
      </w:pPr>
      <w:r>
        <w:rPr>
          <w:rFonts w:hint="eastAsia" w:hAnsi="宋体"/>
          <w:sz w:val="24"/>
          <w:szCs w:val="24"/>
          <w:lang w:val="zh-CN"/>
        </w:rPr>
        <w:t>缴费时间：</w:t>
      </w:r>
      <w:r>
        <w:rPr>
          <w:rFonts w:hint="eastAsia" w:ascii="宋体" w:hAnsi="宋体"/>
          <w:kern w:val="0"/>
          <w:sz w:val="24"/>
        </w:rPr>
        <w:t>磋商</w:t>
      </w:r>
      <w:r>
        <w:rPr>
          <w:rFonts w:hint="eastAsia" w:ascii="宋体" w:hAnsi="宋体" w:cs="宋体"/>
          <w:bCs/>
          <w:kern w:val="0"/>
          <w:sz w:val="24"/>
          <w:lang w:val="zh-CN"/>
        </w:rPr>
        <w:t>截止时间</w:t>
      </w:r>
      <w:r>
        <w:rPr>
          <w:rFonts w:hint="eastAsia" w:hAnsi="宋体"/>
          <w:sz w:val="24"/>
          <w:szCs w:val="24"/>
          <w:lang w:val="zh-CN"/>
        </w:rPr>
        <w:t>前提交到以上指定帐户。以银行到账时间为准。</w:t>
      </w:r>
    </w:p>
    <w:p>
      <w:pPr>
        <w:pStyle w:val="17"/>
        <w:numPr>
          <w:ilvl w:val="1"/>
          <w:numId w:val="12"/>
        </w:numPr>
        <w:spacing w:line="360" w:lineRule="auto"/>
        <w:rPr>
          <w:rFonts w:hAnsi="宋体"/>
          <w:sz w:val="24"/>
          <w:szCs w:val="28"/>
        </w:rPr>
      </w:pPr>
      <w:r>
        <w:rPr>
          <w:rFonts w:hint="eastAsia" w:hAnsi="宋体"/>
          <w:sz w:val="24"/>
          <w:szCs w:val="28"/>
        </w:rPr>
        <w:t>磋商供应商应在磋商截止时间前将磋商保证金缴纳到采购代理机构账户，以银行到账时间为准；</w:t>
      </w:r>
    </w:p>
    <w:p>
      <w:pPr>
        <w:pStyle w:val="17"/>
        <w:numPr>
          <w:ilvl w:val="1"/>
          <w:numId w:val="12"/>
        </w:numPr>
        <w:spacing w:line="360" w:lineRule="auto"/>
        <w:rPr>
          <w:rFonts w:hAnsi="宋体"/>
          <w:sz w:val="24"/>
          <w:szCs w:val="28"/>
        </w:rPr>
      </w:pPr>
      <w:r>
        <w:rPr>
          <w:rFonts w:hint="eastAsia" w:hAnsi="宋体"/>
          <w:sz w:val="24"/>
          <w:szCs w:val="28"/>
        </w:rPr>
        <w:t>磋商保证金应当以电汇、支票、汇票、本票或者金融机构、担保机构出具的保函等非现金形式提交，通过银行转账的，必须从磋商供应商基本账户直接汇（转）入采购代理机构指定账户；</w:t>
      </w:r>
    </w:p>
    <w:p>
      <w:pPr>
        <w:pStyle w:val="17"/>
        <w:numPr>
          <w:ilvl w:val="1"/>
          <w:numId w:val="12"/>
        </w:numPr>
        <w:spacing w:line="360" w:lineRule="auto"/>
        <w:rPr>
          <w:rFonts w:hAnsi="宋体"/>
          <w:sz w:val="24"/>
          <w:szCs w:val="28"/>
        </w:rPr>
      </w:pPr>
      <w:r>
        <w:rPr>
          <w:rFonts w:hint="eastAsia" w:hAnsi="宋体"/>
          <w:sz w:val="24"/>
          <w:szCs w:val="28"/>
        </w:rPr>
        <w:t>未按磋商文件要求在规定时间前交纳规定数额磋商保证金的磋商将被拒绝；</w:t>
      </w:r>
    </w:p>
    <w:p>
      <w:pPr>
        <w:pStyle w:val="17"/>
        <w:numPr>
          <w:ilvl w:val="1"/>
          <w:numId w:val="12"/>
        </w:numPr>
        <w:spacing w:line="360" w:lineRule="auto"/>
        <w:rPr>
          <w:rFonts w:hAnsi="宋体"/>
          <w:sz w:val="24"/>
          <w:szCs w:val="28"/>
        </w:rPr>
      </w:pPr>
      <w:r>
        <w:rPr>
          <w:rFonts w:hint="eastAsia" w:hAnsi="宋体"/>
          <w:sz w:val="24"/>
          <w:szCs w:val="28"/>
        </w:rPr>
        <w:t>未中标磋商供应商的磋商保证金自中标通知书发出之日起5个工作日内全额无息退还（不退现金）；中标磋商供应商的磋商保证金，自政府采购合同签订之日起5个工作日内全额无息退还（不退现金）；</w:t>
      </w:r>
    </w:p>
    <w:p>
      <w:pPr>
        <w:pStyle w:val="17"/>
        <w:numPr>
          <w:ilvl w:val="1"/>
          <w:numId w:val="12"/>
        </w:numPr>
        <w:spacing w:line="360" w:lineRule="auto"/>
        <w:rPr>
          <w:rFonts w:hAnsi="宋体"/>
          <w:sz w:val="24"/>
          <w:szCs w:val="28"/>
        </w:rPr>
      </w:pPr>
      <w:r>
        <w:rPr>
          <w:rFonts w:hint="eastAsia" w:hAnsi="宋体"/>
          <w:sz w:val="24"/>
          <w:szCs w:val="28"/>
        </w:rPr>
        <w:t>下列任何情况发生时，磋商保证金将不予退还：</w:t>
      </w:r>
    </w:p>
    <w:p>
      <w:pPr>
        <w:pStyle w:val="17"/>
        <w:numPr>
          <w:ilvl w:val="0"/>
          <w:numId w:val="13"/>
        </w:numPr>
        <w:spacing w:line="360" w:lineRule="auto"/>
        <w:rPr>
          <w:rFonts w:hAnsi="宋体" w:cs="Arial"/>
          <w:sz w:val="24"/>
          <w:szCs w:val="24"/>
        </w:rPr>
      </w:pPr>
      <w:r>
        <w:rPr>
          <w:rFonts w:hint="eastAsia" w:hAnsi="宋体" w:cs="Arial"/>
          <w:sz w:val="24"/>
          <w:szCs w:val="24"/>
        </w:rPr>
        <w:t>磋商供应商在递交磋商响应文件的截止时间前未到达现场并且没有以书面形式如信函、传真等告知采购代理机构要撤其磋商的；</w:t>
      </w:r>
    </w:p>
    <w:p>
      <w:pPr>
        <w:pStyle w:val="17"/>
        <w:numPr>
          <w:ilvl w:val="0"/>
          <w:numId w:val="13"/>
        </w:numPr>
        <w:spacing w:line="360" w:lineRule="auto"/>
        <w:rPr>
          <w:rFonts w:hAnsi="宋体" w:cs="Arial"/>
          <w:sz w:val="24"/>
          <w:szCs w:val="24"/>
        </w:rPr>
      </w:pPr>
      <w:r>
        <w:rPr>
          <w:rFonts w:hint="eastAsia" w:hAnsi="宋体" w:cs="Arial"/>
          <w:sz w:val="24"/>
          <w:szCs w:val="24"/>
        </w:rPr>
        <w:t>中标磋商供应商在规定期限内未能按规定签订合同或未按规定缴纳中标服务费；</w:t>
      </w:r>
    </w:p>
    <w:p>
      <w:pPr>
        <w:pStyle w:val="17"/>
        <w:numPr>
          <w:ilvl w:val="0"/>
          <w:numId w:val="13"/>
        </w:numPr>
        <w:spacing w:line="360" w:lineRule="auto"/>
        <w:rPr>
          <w:rFonts w:hAnsi="宋体" w:cs="Arial"/>
          <w:sz w:val="24"/>
          <w:szCs w:val="24"/>
        </w:rPr>
      </w:pPr>
      <w:r>
        <w:rPr>
          <w:rFonts w:hint="eastAsia" w:hAnsi="宋体" w:cs="Arial"/>
          <w:sz w:val="24"/>
          <w:szCs w:val="24"/>
        </w:rPr>
        <w:t>提供虚假材料谋取中标的；</w:t>
      </w:r>
    </w:p>
    <w:p>
      <w:pPr>
        <w:pStyle w:val="17"/>
        <w:numPr>
          <w:ilvl w:val="0"/>
          <w:numId w:val="13"/>
        </w:numPr>
        <w:spacing w:line="360" w:lineRule="auto"/>
        <w:rPr>
          <w:rFonts w:hAnsi="宋体" w:cs="Arial"/>
          <w:sz w:val="24"/>
          <w:szCs w:val="24"/>
        </w:rPr>
      </w:pPr>
      <w:r>
        <w:rPr>
          <w:rFonts w:hint="eastAsia" w:hAnsi="宋体" w:cs="Arial"/>
          <w:sz w:val="24"/>
          <w:szCs w:val="24"/>
        </w:rPr>
        <w:t>将中标项目转让给他人，或者在磋商响应文件中未说明，将中标项目分包给他人的；</w:t>
      </w:r>
    </w:p>
    <w:p>
      <w:pPr>
        <w:pStyle w:val="17"/>
        <w:numPr>
          <w:ilvl w:val="0"/>
          <w:numId w:val="13"/>
        </w:numPr>
        <w:spacing w:line="360" w:lineRule="auto"/>
        <w:rPr>
          <w:rFonts w:hAnsi="宋体" w:cs="Arial"/>
          <w:sz w:val="24"/>
          <w:szCs w:val="24"/>
        </w:rPr>
      </w:pPr>
      <w:r>
        <w:rPr>
          <w:rFonts w:hint="eastAsia" w:hAnsi="宋体" w:cs="Arial"/>
          <w:sz w:val="24"/>
          <w:szCs w:val="24"/>
        </w:rPr>
        <w:t>拒绝履行合同义务的；</w:t>
      </w:r>
    </w:p>
    <w:p>
      <w:pPr>
        <w:pStyle w:val="17"/>
        <w:numPr>
          <w:ilvl w:val="0"/>
          <w:numId w:val="13"/>
        </w:numPr>
        <w:spacing w:line="360" w:lineRule="auto"/>
        <w:rPr>
          <w:rFonts w:hAnsi="宋体" w:cs="Arial"/>
          <w:sz w:val="24"/>
          <w:szCs w:val="24"/>
        </w:rPr>
      </w:pPr>
      <w:r>
        <w:rPr>
          <w:rFonts w:hint="eastAsia" w:hAnsi="宋体" w:cs="Arial"/>
          <w:sz w:val="24"/>
          <w:szCs w:val="24"/>
        </w:rPr>
        <w:t>法律、法规规定的其他情形。</w:t>
      </w:r>
    </w:p>
    <w:p>
      <w:pPr>
        <w:pStyle w:val="6"/>
        <w:numPr>
          <w:ilvl w:val="0"/>
          <w:numId w:val="3"/>
        </w:numPr>
        <w:spacing w:before="0" w:after="0" w:line="360" w:lineRule="auto"/>
        <w:rPr>
          <w:rFonts w:ascii="宋体" w:hAnsi="宋体"/>
          <w:b w:val="0"/>
        </w:rPr>
      </w:pPr>
      <w:bookmarkStart w:id="38" w:name="_Toc488673624"/>
      <w:bookmarkStart w:id="39" w:name="_Toc1575308"/>
      <w:r>
        <w:rPr>
          <w:rFonts w:ascii="宋体" w:hAnsi="宋体"/>
          <w:b w:val="0"/>
        </w:rPr>
        <w:t>磋商有效期</w:t>
      </w:r>
      <w:bookmarkEnd w:id="38"/>
      <w:bookmarkEnd w:id="39"/>
    </w:p>
    <w:p>
      <w:pPr>
        <w:pStyle w:val="17"/>
        <w:spacing w:line="360" w:lineRule="auto"/>
        <w:ind w:firstLine="480" w:firstLineChars="200"/>
        <w:rPr>
          <w:rFonts w:hAnsi="宋体"/>
          <w:b/>
          <w:sz w:val="24"/>
          <w:szCs w:val="28"/>
        </w:rPr>
      </w:pPr>
      <w:r>
        <w:rPr>
          <w:rFonts w:hAnsi="宋体" w:cs="Arial"/>
          <w:sz w:val="24"/>
          <w:szCs w:val="24"/>
        </w:rPr>
        <w:t>本次磋商有效期为自</w:t>
      </w:r>
      <w:r>
        <w:rPr>
          <w:rFonts w:hint="eastAsia" w:hAnsi="宋体" w:cs="Arial"/>
          <w:sz w:val="24"/>
          <w:szCs w:val="24"/>
        </w:rPr>
        <w:t>磋商</w:t>
      </w:r>
      <w:r>
        <w:rPr>
          <w:rFonts w:hAnsi="宋体" w:cs="Arial"/>
          <w:sz w:val="24"/>
          <w:szCs w:val="24"/>
        </w:rPr>
        <w:t>之日起</w:t>
      </w:r>
      <w:r>
        <w:rPr>
          <w:rFonts w:hint="eastAsia" w:hAnsi="宋体" w:cs="Arial"/>
          <w:sz w:val="24"/>
          <w:szCs w:val="24"/>
        </w:rPr>
        <w:t>60</w:t>
      </w:r>
      <w:r>
        <w:rPr>
          <w:rFonts w:hAnsi="宋体" w:cs="Arial"/>
          <w:sz w:val="24"/>
          <w:szCs w:val="24"/>
        </w:rPr>
        <w:t>个日历日</w:t>
      </w:r>
      <w:r>
        <w:rPr>
          <w:rFonts w:hint="eastAsia" w:hAnsi="宋体" w:cs="Arial"/>
          <w:sz w:val="24"/>
          <w:szCs w:val="24"/>
        </w:rPr>
        <w:t>。</w:t>
      </w:r>
    </w:p>
    <w:p>
      <w:pPr>
        <w:pStyle w:val="6"/>
        <w:numPr>
          <w:ilvl w:val="0"/>
          <w:numId w:val="3"/>
        </w:numPr>
        <w:spacing w:before="0" w:after="0" w:line="360" w:lineRule="auto"/>
        <w:rPr>
          <w:rFonts w:ascii="宋体" w:hAnsi="宋体"/>
          <w:b w:val="0"/>
        </w:rPr>
      </w:pPr>
      <w:bookmarkStart w:id="40" w:name="_Toc488673625"/>
      <w:bookmarkStart w:id="41" w:name="_Toc1575309"/>
      <w:r>
        <w:rPr>
          <w:rFonts w:hint="eastAsia" w:ascii="宋体" w:hAnsi="宋体"/>
          <w:b w:val="0"/>
        </w:rPr>
        <w:t>磋商响应文件的构成</w:t>
      </w:r>
      <w:bookmarkEnd w:id="40"/>
      <w:bookmarkEnd w:id="41"/>
    </w:p>
    <w:p>
      <w:pPr>
        <w:pStyle w:val="17"/>
        <w:spacing w:line="360" w:lineRule="auto"/>
        <w:ind w:firstLine="600" w:firstLineChars="250"/>
        <w:rPr>
          <w:rFonts w:hAnsi="宋体"/>
          <w:sz w:val="24"/>
          <w:szCs w:val="28"/>
        </w:rPr>
      </w:pPr>
      <w:r>
        <w:rPr>
          <w:rFonts w:hint="eastAsia" w:hAnsi="宋体"/>
          <w:sz w:val="24"/>
          <w:szCs w:val="28"/>
        </w:rPr>
        <w:t>磋商供应商应提交相关证明材料，作为其参加磋商和中标后有能力履行合同的证明。编写的磋商响应文件须包括以下内容（格式见磋商文件“第五部分 磋商响应文件格式”）：</w:t>
      </w:r>
    </w:p>
    <w:p>
      <w:pPr>
        <w:autoSpaceDE w:val="0"/>
        <w:autoSpaceDN w:val="0"/>
        <w:spacing w:line="360" w:lineRule="auto"/>
        <w:ind w:left="426"/>
        <w:rPr>
          <w:kern w:val="0"/>
          <w:sz w:val="24"/>
          <w:lang w:val="zh-CN"/>
        </w:rPr>
      </w:pPr>
      <w:r>
        <w:rPr>
          <w:rFonts w:hint="eastAsia"/>
          <w:kern w:val="0"/>
          <w:sz w:val="24"/>
          <w:lang w:val="zh-CN"/>
        </w:rPr>
        <w:t>11.1 磋商响应</w:t>
      </w:r>
      <w:r>
        <w:rPr>
          <w:kern w:val="0"/>
          <w:sz w:val="24"/>
          <w:lang w:val="zh-CN"/>
        </w:rPr>
        <w:t>文件（上册）（资格审查）</w:t>
      </w:r>
    </w:p>
    <w:p>
      <w:pPr>
        <w:autoSpaceDE w:val="0"/>
        <w:autoSpaceDN w:val="0"/>
        <w:spacing w:line="360" w:lineRule="auto"/>
        <w:ind w:firstLine="480" w:firstLineChars="200"/>
        <w:rPr>
          <w:kern w:val="0"/>
          <w:sz w:val="24"/>
          <w:lang w:val="zh-CN"/>
        </w:rPr>
      </w:pPr>
      <w:r>
        <w:rPr>
          <w:kern w:val="0"/>
          <w:sz w:val="24"/>
          <w:lang w:val="zh-CN"/>
        </w:rPr>
        <w:t>一、</w:t>
      </w:r>
      <w:r>
        <w:rPr>
          <w:rFonts w:hint="eastAsia"/>
          <w:kern w:val="0"/>
          <w:sz w:val="24"/>
          <w:lang w:val="zh-CN"/>
        </w:rPr>
        <w:t>磋商响应</w:t>
      </w:r>
      <w:r>
        <w:rPr>
          <w:kern w:val="0"/>
          <w:sz w:val="24"/>
          <w:lang w:val="zh-CN"/>
        </w:rPr>
        <w:t>文件封面（上册）</w:t>
      </w:r>
    </w:p>
    <w:p>
      <w:pPr>
        <w:autoSpaceDE w:val="0"/>
        <w:autoSpaceDN w:val="0"/>
        <w:spacing w:line="360" w:lineRule="auto"/>
        <w:ind w:firstLine="480" w:firstLineChars="200"/>
        <w:rPr>
          <w:sz w:val="24"/>
        </w:rPr>
      </w:pPr>
      <w:r>
        <w:rPr>
          <w:kern w:val="0"/>
          <w:sz w:val="24"/>
          <w:lang w:val="zh-CN"/>
        </w:rPr>
        <w:t>二、</w:t>
      </w:r>
      <w:r>
        <w:rPr>
          <w:rFonts w:hint="eastAsia"/>
          <w:kern w:val="0"/>
          <w:sz w:val="24"/>
          <w:lang w:val="zh-CN"/>
        </w:rPr>
        <w:t>磋商响应</w:t>
      </w:r>
      <w:r>
        <w:rPr>
          <w:kern w:val="0"/>
          <w:sz w:val="24"/>
          <w:lang w:val="zh-CN"/>
        </w:rPr>
        <w:t>文件目录（上册）</w:t>
      </w:r>
    </w:p>
    <w:p>
      <w:pPr>
        <w:pStyle w:val="17"/>
        <w:numPr>
          <w:ilvl w:val="0"/>
          <w:numId w:val="14"/>
        </w:numPr>
        <w:spacing w:line="360" w:lineRule="auto"/>
        <w:rPr>
          <w:rFonts w:hAnsi="宋体" w:cs="Arial"/>
          <w:sz w:val="24"/>
          <w:szCs w:val="24"/>
        </w:rPr>
      </w:pPr>
      <w:r>
        <w:rPr>
          <w:rFonts w:hint="eastAsia" w:hAnsi="宋体" w:cs="Arial"/>
          <w:sz w:val="24"/>
          <w:szCs w:val="24"/>
        </w:rPr>
        <w:t>磋商函；</w:t>
      </w:r>
    </w:p>
    <w:p>
      <w:pPr>
        <w:pStyle w:val="17"/>
        <w:numPr>
          <w:ilvl w:val="0"/>
          <w:numId w:val="14"/>
        </w:numPr>
        <w:spacing w:line="360" w:lineRule="auto"/>
        <w:rPr>
          <w:rFonts w:hAnsi="宋体" w:cs="Arial"/>
          <w:sz w:val="24"/>
          <w:szCs w:val="24"/>
        </w:rPr>
      </w:pPr>
      <w:r>
        <w:rPr>
          <w:rFonts w:hint="eastAsia" w:hAnsi="宋体" w:cs="Arial"/>
          <w:sz w:val="24"/>
          <w:szCs w:val="24"/>
        </w:rPr>
        <w:t>法定代表人证明书；</w:t>
      </w:r>
    </w:p>
    <w:p>
      <w:pPr>
        <w:pStyle w:val="17"/>
        <w:numPr>
          <w:ilvl w:val="0"/>
          <w:numId w:val="14"/>
        </w:numPr>
        <w:spacing w:line="360" w:lineRule="auto"/>
        <w:rPr>
          <w:rFonts w:hAnsi="宋体" w:cs="Arial"/>
          <w:sz w:val="24"/>
          <w:szCs w:val="24"/>
        </w:rPr>
      </w:pPr>
      <w:r>
        <w:rPr>
          <w:rFonts w:hint="eastAsia" w:hAnsi="宋体" w:cs="Arial"/>
          <w:sz w:val="24"/>
          <w:szCs w:val="24"/>
        </w:rPr>
        <w:t>法定代表人授权书；</w:t>
      </w:r>
    </w:p>
    <w:p>
      <w:pPr>
        <w:pStyle w:val="17"/>
        <w:numPr>
          <w:ilvl w:val="0"/>
          <w:numId w:val="14"/>
        </w:numPr>
        <w:spacing w:line="360" w:lineRule="auto"/>
        <w:rPr>
          <w:rFonts w:hAnsi="宋体" w:cs="Arial"/>
          <w:sz w:val="24"/>
          <w:szCs w:val="24"/>
        </w:rPr>
      </w:pPr>
      <w:r>
        <w:rPr>
          <w:rFonts w:hint="eastAsia" w:hAnsi="宋体" w:cs="Arial"/>
          <w:sz w:val="24"/>
          <w:szCs w:val="24"/>
        </w:rPr>
        <w:t>磋商供应商承诺书；</w:t>
      </w:r>
    </w:p>
    <w:p>
      <w:pPr>
        <w:pStyle w:val="17"/>
        <w:numPr>
          <w:ilvl w:val="0"/>
          <w:numId w:val="14"/>
        </w:numPr>
        <w:spacing w:line="360" w:lineRule="auto"/>
        <w:rPr>
          <w:rFonts w:hAnsi="宋体" w:cs="Arial"/>
          <w:sz w:val="24"/>
          <w:szCs w:val="24"/>
        </w:rPr>
      </w:pPr>
      <w:r>
        <w:rPr>
          <w:rFonts w:hint="eastAsia" w:hAnsi="宋体" w:cs="Arial"/>
          <w:sz w:val="24"/>
          <w:szCs w:val="24"/>
        </w:rPr>
        <w:t>供应商诚信承诺书；</w:t>
      </w:r>
    </w:p>
    <w:p>
      <w:pPr>
        <w:pStyle w:val="17"/>
        <w:numPr>
          <w:ilvl w:val="0"/>
          <w:numId w:val="14"/>
        </w:numPr>
        <w:spacing w:line="360" w:lineRule="auto"/>
        <w:rPr>
          <w:rFonts w:hAnsi="宋体" w:cs="Arial"/>
          <w:sz w:val="24"/>
          <w:szCs w:val="24"/>
        </w:rPr>
      </w:pPr>
      <w:r>
        <w:rPr>
          <w:rFonts w:hint="eastAsia" w:hAnsi="宋体" w:cs="Arial"/>
          <w:sz w:val="24"/>
          <w:szCs w:val="24"/>
        </w:rPr>
        <w:t>资格证明材料；</w:t>
      </w:r>
    </w:p>
    <w:p>
      <w:pPr>
        <w:pStyle w:val="17"/>
        <w:numPr>
          <w:ilvl w:val="0"/>
          <w:numId w:val="14"/>
        </w:numPr>
        <w:spacing w:line="360" w:lineRule="auto"/>
        <w:rPr>
          <w:rFonts w:hAnsi="宋体" w:cs="Arial"/>
          <w:sz w:val="24"/>
          <w:szCs w:val="24"/>
        </w:rPr>
      </w:pPr>
      <w:r>
        <w:rPr>
          <w:rFonts w:hint="eastAsia" w:hAnsi="宋体" w:cs="Arial"/>
          <w:sz w:val="24"/>
          <w:szCs w:val="24"/>
        </w:rPr>
        <w:t>财务状况、缴纳税收和社会保障资金证明；</w:t>
      </w:r>
    </w:p>
    <w:p>
      <w:pPr>
        <w:pStyle w:val="17"/>
        <w:numPr>
          <w:ilvl w:val="0"/>
          <w:numId w:val="14"/>
        </w:numPr>
        <w:spacing w:line="360" w:lineRule="auto"/>
        <w:rPr>
          <w:rFonts w:hAnsi="宋体" w:cs="Arial"/>
          <w:sz w:val="24"/>
          <w:szCs w:val="24"/>
        </w:rPr>
      </w:pPr>
      <w:r>
        <w:rPr>
          <w:rFonts w:hint="eastAsia" w:hAnsi="宋体" w:cs="Arial"/>
          <w:sz w:val="24"/>
          <w:szCs w:val="24"/>
        </w:rPr>
        <w:t>具备履行合同所必须的设备和专业技术能力证明；</w:t>
      </w:r>
    </w:p>
    <w:p>
      <w:pPr>
        <w:pStyle w:val="17"/>
        <w:numPr>
          <w:ilvl w:val="0"/>
          <w:numId w:val="14"/>
        </w:numPr>
        <w:spacing w:line="360" w:lineRule="auto"/>
        <w:rPr>
          <w:rFonts w:hAnsi="宋体" w:cs="Arial"/>
          <w:sz w:val="24"/>
          <w:szCs w:val="24"/>
        </w:rPr>
      </w:pPr>
      <w:r>
        <w:rPr>
          <w:rFonts w:hint="eastAsia" w:hAnsi="宋体" w:cs="Arial"/>
          <w:sz w:val="24"/>
          <w:szCs w:val="24"/>
        </w:rPr>
        <w:t>无重大违法记录声明；</w:t>
      </w:r>
    </w:p>
    <w:p>
      <w:pPr>
        <w:pStyle w:val="17"/>
        <w:numPr>
          <w:ilvl w:val="0"/>
          <w:numId w:val="14"/>
        </w:numPr>
        <w:spacing w:line="360" w:lineRule="auto"/>
        <w:rPr>
          <w:rFonts w:hAnsi="宋体" w:cs="Arial"/>
          <w:sz w:val="24"/>
          <w:szCs w:val="24"/>
        </w:rPr>
      </w:pPr>
      <w:r>
        <w:rPr>
          <w:rFonts w:hint="eastAsia" w:hAnsi="宋体" w:cs="Arial"/>
          <w:sz w:val="24"/>
          <w:szCs w:val="24"/>
        </w:rPr>
        <w:t>磋商保证金证明；</w:t>
      </w:r>
    </w:p>
    <w:p>
      <w:pPr>
        <w:autoSpaceDE w:val="0"/>
        <w:autoSpaceDN w:val="0"/>
        <w:spacing w:line="360" w:lineRule="auto"/>
        <w:ind w:left="425"/>
        <w:rPr>
          <w:kern w:val="0"/>
          <w:sz w:val="24"/>
          <w:lang w:val="zh-CN"/>
        </w:rPr>
      </w:pPr>
      <w:r>
        <w:rPr>
          <w:rFonts w:hint="eastAsia"/>
          <w:kern w:val="0"/>
          <w:sz w:val="24"/>
          <w:lang w:val="zh-CN"/>
        </w:rPr>
        <w:t>11.2磋商响应</w:t>
      </w:r>
      <w:r>
        <w:rPr>
          <w:kern w:val="0"/>
          <w:sz w:val="24"/>
          <w:lang w:val="zh-CN"/>
        </w:rPr>
        <w:t>文件（下册）</w:t>
      </w:r>
    </w:p>
    <w:p>
      <w:pPr>
        <w:autoSpaceDE w:val="0"/>
        <w:autoSpaceDN w:val="0"/>
        <w:spacing w:line="360" w:lineRule="auto"/>
        <w:ind w:firstLine="960" w:firstLineChars="400"/>
        <w:rPr>
          <w:kern w:val="0"/>
          <w:sz w:val="24"/>
          <w:lang w:val="zh-CN"/>
        </w:rPr>
      </w:pPr>
      <w:r>
        <w:rPr>
          <w:kern w:val="0"/>
          <w:sz w:val="24"/>
          <w:lang w:val="zh-CN"/>
        </w:rPr>
        <w:t>三、</w:t>
      </w:r>
      <w:r>
        <w:rPr>
          <w:rFonts w:hint="eastAsia"/>
          <w:kern w:val="0"/>
          <w:sz w:val="24"/>
          <w:lang w:val="zh-CN"/>
        </w:rPr>
        <w:t>磋商响应</w:t>
      </w:r>
      <w:r>
        <w:rPr>
          <w:kern w:val="0"/>
          <w:sz w:val="24"/>
          <w:lang w:val="zh-CN"/>
        </w:rPr>
        <w:t>文件封面（</w:t>
      </w:r>
      <w:r>
        <w:rPr>
          <w:kern w:val="0"/>
          <w:sz w:val="24"/>
        </w:rPr>
        <w:t>下</w:t>
      </w:r>
      <w:r>
        <w:rPr>
          <w:kern w:val="0"/>
          <w:sz w:val="24"/>
          <w:lang w:val="zh-CN"/>
        </w:rPr>
        <w:t>册）</w:t>
      </w:r>
    </w:p>
    <w:p>
      <w:pPr>
        <w:autoSpaceDE w:val="0"/>
        <w:autoSpaceDN w:val="0"/>
        <w:spacing w:line="360" w:lineRule="auto"/>
        <w:ind w:firstLine="960" w:firstLineChars="400"/>
        <w:rPr>
          <w:kern w:val="0"/>
          <w:sz w:val="24"/>
          <w:lang w:val="zh-CN"/>
        </w:rPr>
      </w:pPr>
      <w:r>
        <w:rPr>
          <w:kern w:val="0"/>
          <w:sz w:val="24"/>
          <w:lang w:val="zh-CN"/>
        </w:rPr>
        <w:t>四、</w:t>
      </w:r>
      <w:r>
        <w:rPr>
          <w:rFonts w:hint="eastAsia"/>
          <w:kern w:val="0"/>
          <w:sz w:val="24"/>
          <w:lang w:val="zh-CN"/>
        </w:rPr>
        <w:t>磋商响应</w:t>
      </w:r>
      <w:r>
        <w:rPr>
          <w:kern w:val="0"/>
          <w:sz w:val="24"/>
          <w:lang w:val="zh-CN"/>
        </w:rPr>
        <w:t>文件目录（</w:t>
      </w:r>
      <w:r>
        <w:rPr>
          <w:kern w:val="0"/>
          <w:sz w:val="24"/>
        </w:rPr>
        <w:t>下</w:t>
      </w:r>
      <w:r>
        <w:rPr>
          <w:kern w:val="0"/>
          <w:sz w:val="24"/>
          <w:lang w:val="zh-CN"/>
        </w:rPr>
        <w:t>册）</w:t>
      </w:r>
    </w:p>
    <w:p>
      <w:pPr>
        <w:pStyle w:val="17"/>
        <w:numPr>
          <w:ilvl w:val="0"/>
          <w:numId w:val="14"/>
        </w:numPr>
        <w:spacing w:line="360" w:lineRule="auto"/>
        <w:rPr>
          <w:rFonts w:hAnsi="宋体" w:cs="Arial"/>
          <w:sz w:val="24"/>
          <w:szCs w:val="24"/>
        </w:rPr>
      </w:pPr>
      <w:r>
        <w:rPr>
          <w:rFonts w:hint="eastAsia" w:hAnsi="宋体" w:cs="Arial"/>
          <w:sz w:val="24"/>
          <w:szCs w:val="24"/>
        </w:rPr>
        <w:t>评分对照表</w:t>
      </w:r>
    </w:p>
    <w:p>
      <w:pPr>
        <w:pStyle w:val="17"/>
        <w:numPr>
          <w:ilvl w:val="0"/>
          <w:numId w:val="14"/>
        </w:numPr>
        <w:spacing w:line="360" w:lineRule="auto"/>
        <w:rPr>
          <w:rFonts w:hAnsi="宋体" w:cs="Arial"/>
          <w:sz w:val="24"/>
          <w:szCs w:val="24"/>
        </w:rPr>
      </w:pPr>
      <w:r>
        <w:rPr>
          <w:rFonts w:hint="eastAsia" w:hAnsi="宋体" w:cs="Arial"/>
          <w:sz w:val="24"/>
          <w:szCs w:val="24"/>
        </w:rPr>
        <w:t>竞争性磋商首次报价表；</w:t>
      </w:r>
    </w:p>
    <w:p>
      <w:pPr>
        <w:pStyle w:val="17"/>
        <w:numPr>
          <w:ilvl w:val="0"/>
          <w:numId w:val="14"/>
        </w:numPr>
        <w:spacing w:line="360" w:lineRule="auto"/>
        <w:rPr>
          <w:rFonts w:hAnsi="宋体" w:cs="Arial"/>
          <w:sz w:val="24"/>
          <w:szCs w:val="24"/>
        </w:rPr>
      </w:pPr>
      <w:r>
        <w:rPr>
          <w:rFonts w:hAnsi="宋体" w:cs="Arial"/>
          <w:sz w:val="24"/>
          <w:szCs w:val="24"/>
        </w:rPr>
        <w:t>分项报价表</w:t>
      </w:r>
      <w:r>
        <w:rPr>
          <w:rFonts w:hint="eastAsia" w:hAnsi="宋体" w:cs="Arial"/>
          <w:sz w:val="24"/>
          <w:szCs w:val="24"/>
        </w:rPr>
        <w:t>；</w:t>
      </w:r>
    </w:p>
    <w:p>
      <w:pPr>
        <w:pStyle w:val="17"/>
        <w:numPr>
          <w:ilvl w:val="0"/>
          <w:numId w:val="14"/>
        </w:numPr>
        <w:spacing w:line="360" w:lineRule="auto"/>
        <w:rPr>
          <w:rFonts w:hAnsi="宋体" w:cs="Arial"/>
          <w:sz w:val="24"/>
          <w:szCs w:val="24"/>
        </w:rPr>
      </w:pPr>
      <w:r>
        <w:rPr>
          <w:rFonts w:hint="eastAsia" w:hAnsi="宋体" w:cs="Arial"/>
          <w:sz w:val="24"/>
          <w:szCs w:val="24"/>
        </w:rPr>
        <w:t>技术规格响应表；</w:t>
      </w:r>
    </w:p>
    <w:p>
      <w:pPr>
        <w:pStyle w:val="17"/>
        <w:numPr>
          <w:ilvl w:val="0"/>
          <w:numId w:val="14"/>
        </w:numPr>
        <w:spacing w:line="360" w:lineRule="auto"/>
        <w:rPr>
          <w:rFonts w:hAnsi="宋体" w:cs="Arial"/>
          <w:sz w:val="24"/>
          <w:szCs w:val="24"/>
        </w:rPr>
      </w:pPr>
      <w:r>
        <w:rPr>
          <w:rFonts w:hint="eastAsia" w:hAnsi="宋体" w:cs="Arial"/>
          <w:sz w:val="24"/>
          <w:szCs w:val="24"/>
        </w:rPr>
        <w:t>磋商产品相关资料；</w:t>
      </w:r>
    </w:p>
    <w:p>
      <w:pPr>
        <w:pStyle w:val="17"/>
        <w:numPr>
          <w:ilvl w:val="0"/>
          <w:numId w:val="14"/>
        </w:numPr>
        <w:spacing w:line="360" w:lineRule="auto"/>
        <w:rPr>
          <w:rFonts w:hAnsi="宋体" w:cs="Arial"/>
          <w:sz w:val="24"/>
          <w:szCs w:val="24"/>
        </w:rPr>
      </w:pPr>
      <w:r>
        <w:rPr>
          <w:rFonts w:hint="eastAsia" w:hAnsi="宋体" w:cs="Arial"/>
          <w:sz w:val="24"/>
          <w:szCs w:val="24"/>
        </w:rPr>
        <w:t>磋商供应商的类似业绩证明材料；</w:t>
      </w:r>
    </w:p>
    <w:p>
      <w:pPr>
        <w:pStyle w:val="17"/>
        <w:numPr>
          <w:ilvl w:val="0"/>
          <w:numId w:val="14"/>
        </w:numPr>
        <w:spacing w:line="360" w:lineRule="auto"/>
        <w:rPr>
          <w:rFonts w:hAnsi="宋体" w:cs="Arial"/>
          <w:sz w:val="24"/>
          <w:szCs w:val="24"/>
        </w:rPr>
      </w:pPr>
      <w:r>
        <w:rPr>
          <w:rFonts w:hint="eastAsia" w:hAnsi="宋体" w:cs="Arial"/>
          <w:sz w:val="24"/>
          <w:szCs w:val="24"/>
        </w:rPr>
        <w:t>制造（生产）企业小型、微型企业声明函；</w:t>
      </w:r>
    </w:p>
    <w:p>
      <w:pPr>
        <w:pStyle w:val="17"/>
        <w:numPr>
          <w:ilvl w:val="0"/>
          <w:numId w:val="14"/>
        </w:numPr>
        <w:spacing w:line="360" w:lineRule="auto"/>
        <w:rPr>
          <w:rFonts w:hAnsi="宋体" w:cs="Arial"/>
          <w:sz w:val="24"/>
          <w:szCs w:val="24"/>
        </w:rPr>
      </w:pPr>
      <w:r>
        <w:rPr>
          <w:rFonts w:hint="eastAsia" w:hAnsi="宋体" w:cs="Arial"/>
          <w:sz w:val="24"/>
          <w:szCs w:val="24"/>
        </w:rPr>
        <w:t>残疾人福利性单位声明函</w:t>
      </w:r>
    </w:p>
    <w:p>
      <w:pPr>
        <w:pStyle w:val="17"/>
        <w:numPr>
          <w:ilvl w:val="0"/>
          <w:numId w:val="14"/>
        </w:numPr>
        <w:spacing w:line="360" w:lineRule="auto"/>
        <w:rPr>
          <w:rFonts w:hAnsi="宋体" w:cs="Arial"/>
          <w:sz w:val="24"/>
          <w:szCs w:val="24"/>
        </w:rPr>
      </w:pPr>
      <w:r>
        <w:rPr>
          <w:rFonts w:hint="eastAsia" w:hAnsi="宋体" w:cs="Arial"/>
          <w:sz w:val="24"/>
          <w:szCs w:val="24"/>
        </w:rPr>
        <w:t>磋商供应商认为在其他方面有必要说明的事项；</w:t>
      </w:r>
    </w:p>
    <w:p>
      <w:pPr>
        <w:pStyle w:val="17"/>
        <w:numPr>
          <w:ilvl w:val="0"/>
          <w:numId w:val="14"/>
        </w:numPr>
        <w:spacing w:line="360" w:lineRule="auto"/>
        <w:rPr>
          <w:rFonts w:hAnsi="宋体" w:cs="Arial"/>
          <w:sz w:val="24"/>
          <w:szCs w:val="24"/>
        </w:rPr>
      </w:pPr>
      <w:r>
        <w:rPr>
          <w:rFonts w:hAnsi="宋体" w:cs="Arial"/>
          <w:sz w:val="24"/>
          <w:szCs w:val="24"/>
        </w:rPr>
        <w:t>磋商最终报价表</w:t>
      </w:r>
      <w:r>
        <w:rPr>
          <w:rFonts w:hint="eastAsia" w:hAnsi="宋体" w:cs="Arial"/>
          <w:sz w:val="24"/>
          <w:szCs w:val="24"/>
        </w:rPr>
        <w:t>。</w:t>
      </w:r>
    </w:p>
    <w:p>
      <w:pPr>
        <w:pStyle w:val="17"/>
        <w:spacing w:line="360" w:lineRule="auto"/>
        <w:ind w:left="845"/>
        <w:rPr>
          <w:rFonts w:hAnsi="宋体" w:cs="Arial"/>
          <w:sz w:val="24"/>
          <w:szCs w:val="24"/>
        </w:rPr>
      </w:pPr>
      <w:r>
        <w:rPr>
          <w:rFonts w:hint="eastAsia" w:hAnsi="宋体" w:cs="Arial"/>
          <w:sz w:val="24"/>
          <w:szCs w:val="24"/>
        </w:rPr>
        <w:t>注：磋商人须按上述内容、顺序和格式编制磋商响应文件，并按要求编制目录、页码，并保证所提供的全部资料真实可信，自愿承担相应责任。</w:t>
      </w:r>
    </w:p>
    <w:p>
      <w:pPr>
        <w:pStyle w:val="6"/>
        <w:numPr>
          <w:ilvl w:val="0"/>
          <w:numId w:val="3"/>
        </w:numPr>
        <w:spacing w:before="0" w:after="0" w:line="360" w:lineRule="auto"/>
        <w:rPr>
          <w:rFonts w:ascii="宋体" w:hAnsi="宋体"/>
          <w:b w:val="0"/>
        </w:rPr>
      </w:pPr>
      <w:bookmarkStart w:id="42" w:name="_Toc488673626"/>
      <w:bookmarkStart w:id="43" w:name="_Toc1575310"/>
      <w:r>
        <w:rPr>
          <w:rFonts w:hint="eastAsia" w:ascii="宋体" w:hAnsi="宋体"/>
          <w:b w:val="0"/>
        </w:rPr>
        <w:t>磋商响应文件的编制要求</w:t>
      </w:r>
      <w:bookmarkEnd w:id="42"/>
      <w:bookmarkEnd w:id="43"/>
    </w:p>
    <w:p>
      <w:pPr>
        <w:pStyle w:val="17"/>
        <w:numPr>
          <w:ilvl w:val="1"/>
          <w:numId w:val="15"/>
        </w:numPr>
        <w:spacing w:line="360" w:lineRule="auto"/>
        <w:ind w:left="960"/>
        <w:rPr>
          <w:rFonts w:hAnsi="宋体"/>
          <w:sz w:val="24"/>
          <w:szCs w:val="28"/>
        </w:rPr>
      </w:pPr>
      <w:r>
        <w:rPr>
          <w:rFonts w:hint="eastAsia" w:hAnsi="宋体" w:cs="宋体"/>
          <w:sz w:val="24"/>
          <w:lang w:val="zh-CN"/>
        </w:rPr>
        <w:t>磋商供应商应按照磋商文件所提供的磋商响应文件格式，分别填写磋商文件第五部分的内容，应分别注明所提供产品的名称、技术配置及参数、数量和价格等内容；磋商响应文件要求签字、盖章的地方必须由磋商人的法定代表人或委托代理人按要求签字、盖章。</w:t>
      </w:r>
    </w:p>
    <w:p>
      <w:pPr>
        <w:pStyle w:val="17"/>
        <w:numPr>
          <w:ilvl w:val="1"/>
          <w:numId w:val="15"/>
        </w:numPr>
        <w:spacing w:line="360" w:lineRule="auto"/>
        <w:ind w:left="960"/>
        <w:rPr>
          <w:rFonts w:hAnsi="宋体"/>
          <w:sz w:val="24"/>
          <w:szCs w:val="28"/>
        </w:rPr>
      </w:pPr>
      <w:r>
        <w:rPr>
          <w:rFonts w:hint="eastAsia" w:hAnsi="宋体"/>
          <w:sz w:val="24"/>
          <w:szCs w:val="28"/>
        </w:rPr>
        <w:t>磋商供应商应按磋商文件要求准备磋商响应文件（1份正本(上、下册)、2份副本(上、下册)和相应的电子文档1份(上、下册)。每份磋商响应文件都必须清楚地标明“正本(上、下册)”或“副本(上、下册)”等字样。若发生正本和副本不符，以正本磋商响应文件为准。</w:t>
      </w:r>
      <w:r>
        <w:rPr>
          <w:rFonts w:hint="eastAsia" w:hAnsi="宋体" w:cs="宋体"/>
          <w:sz w:val="24"/>
          <w:lang w:val="zh-CN"/>
        </w:rPr>
        <w:t>磋商响应文件统一使用A4幅面的纸张印制，必须胶装成册并编码，不得采用活页夹等可随时拆换的方式装订，其他方式装订的磋商响应文件一概不予接受。</w:t>
      </w:r>
    </w:p>
    <w:p>
      <w:pPr>
        <w:pStyle w:val="17"/>
        <w:numPr>
          <w:ilvl w:val="1"/>
          <w:numId w:val="15"/>
        </w:numPr>
        <w:spacing w:line="360" w:lineRule="auto"/>
        <w:ind w:left="960"/>
        <w:rPr>
          <w:rFonts w:hAnsi="宋体"/>
          <w:sz w:val="24"/>
          <w:szCs w:val="28"/>
        </w:rPr>
      </w:pPr>
      <w:r>
        <w:rPr>
          <w:rFonts w:hint="eastAsia" w:hAnsi="宋体" w:cs="宋体"/>
          <w:sz w:val="24"/>
          <w:lang w:val="zh-CN"/>
        </w:rPr>
        <w:t>磋商响应文件的正本</w:t>
      </w:r>
      <w:r>
        <w:rPr>
          <w:rFonts w:hint="eastAsia" w:hAnsi="宋体"/>
          <w:sz w:val="24"/>
          <w:szCs w:val="28"/>
        </w:rPr>
        <w:t>(上、下册)</w:t>
      </w:r>
      <w:r>
        <w:rPr>
          <w:rFonts w:hint="eastAsia" w:hAnsi="宋体" w:cs="宋体"/>
          <w:sz w:val="24"/>
          <w:lang w:val="zh-CN"/>
        </w:rPr>
        <w:t>和副本</w:t>
      </w:r>
      <w:r>
        <w:rPr>
          <w:rFonts w:hint="eastAsia" w:hAnsi="宋体"/>
          <w:sz w:val="24"/>
          <w:szCs w:val="28"/>
        </w:rPr>
        <w:t>(上、下册)</w:t>
      </w:r>
      <w:r>
        <w:rPr>
          <w:rFonts w:hint="eastAsia" w:hAnsi="宋体" w:cs="宋体"/>
          <w:sz w:val="24"/>
          <w:lang w:val="zh-CN"/>
        </w:rPr>
        <w:t>均需打印或用不褪色、不变质的墨水书写并由投标供应商的委托代理人签字、加盖公章。磋商响应文件副本</w:t>
      </w:r>
      <w:r>
        <w:rPr>
          <w:rFonts w:hint="eastAsia" w:hAnsi="宋体"/>
          <w:sz w:val="24"/>
          <w:szCs w:val="28"/>
        </w:rPr>
        <w:t>(上、下册)</w:t>
      </w:r>
      <w:r>
        <w:rPr>
          <w:rFonts w:hint="eastAsia" w:hAnsi="宋体" w:cs="宋体"/>
          <w:sz w:val="24"/>
          <w:lang w:val="zh-CN"/>
        </w:rPr>
        <w:t>可采用正本</w:t>
      </w:r>
      <w:r>
        <w:rPr>
          <w:rFonts w:hint="eastAsia" w:hAnsi="宋体"/>
          <w:sz w:val="24"/>
          <w:szCs w:val="28"/>
        </w:rPr>
        <w:t>(上、下册)</w:t>
      </w:r>
      <w:r>
        <w:rPr>
          <w:rFonts w:hint="eastAsia" w:hAnsi="宋体" w:cs="宋体"/>
          <w:sz w:val="24"/>
          <w:lang w:val="zh-CN"/>
        </w:rPr>
        <w:t>的复印件，若不满足以上条件，按</w:t>
      </w:r>
      <w:r>
        <w:rPr>
          <w:rFonts w:hint="eastAsia" w:hAnsi="宋体" w:cs="Arial"/>
          <w:sz w:val="24"/>
          <w:lang w:val="zh-CN"/>
        </w:rPr>
        <w:t>无效投标处理。</w:t>
      </w:r>
    </w:p>
    <w:p>
      <w:pPr>
        <w:pStyle w:val="17"/>
        <w:numPr>
          <w:ilvl w:val="1"/>
          <w:numId w:val="15"/>
        </w:numPr>
        <w:spacing w:line="360" w:lineRule="auto"/>
        <w:ind w:left="993"/>
        <w:rPr>
          <w:rFonts w:hAnsi="宋体"/>
          <w:sz w:val="24"/>
          <w:szCs w:val="28"/>
        </w:rPr>
      </w:pPr>
      <w:r>
        <w:rPr>
          <w:rFonts w:hint="eastAsia" w:hAnsi="宋体" w:cs="宋体"/>
          <w:sz w:val="24"/>
          <w:lang w:val="zh-CN"/>
        </w:rPr>
        <w:t>电子文档采用可读的U盘编制，电子文档为纸质版磋商响应文件正本</w:t>
      </w:r>
      <w:r>
        <w:rPr>
          <w:rFonts w:hint="eastAsia" w:hAnsi="宋体"/>
          <w:sz w:val="24"/>
          <w:szCs w:val="28"/>
        </w:rPr>
        <w:t>(上、下册)</w:t>
      </w:r>
      <w:r>
        <w:rPr>
          <w:rFonts w:hint="eastAsia" w:hAnsi="宋体" w:cs="宋体"/>
          <w:sz w:val="24"/>
          <w:lang w:val="zh-CN"/>
        </w:rPr>
        <w:t>的扫描件，需采用不可修改文档格式（如：PDF格式），电子文档与纸质版磋商响应文件正本</w:t>
      </w:r>
      <w:r>
        <w:rPr>
          <w:rFonts w:hint="eastAsia" w:hAnsi="宋体"/>
          <w:sz w:val="24"/>
          <w:szCs w:val="28"/>
        </w:rPr>
        <w:t>(上、下册)</w:t>
      </w:r>
      <w:r>
        <w:rPr>
          <w:rFonts w:hint="eastAsia" w:hAnsi="宋体" w:cs="宋体"/>
          <w:sz w:val="24"/>
          <w:lang w:val="zh-CN"/>
        </w:rPr>
        <w:t>内容必须完全一致，包括盖章和签字，并与书面磋商响应文件一并提交，否则，视为无效磋商。</w:t>
      </w:r>
    </w:p>
    <w:p>
      <w:pPr>
        <w:pStyle w:val="17"/>
        <w:numPr>
          <w:ilvl w:val="1"/>
          <w:numId w:val="15"/>
        </w:numPr>
        <w:spacing w:line="360" w:lineRule="auto"/>
        <w:ind w:left="960"/>
        <w:rPr>
          <w:rFonts w:hAnsi="宋体" w:cs="宋体"/>
          <w:sz w:val="24"/>
          <w:lang w:val="zh-CN"/>
        </w:rPr>
      </w:pPr>
      <w:r>
        <w:rPr>
          <w:rFonts w:hint="eastAsia" w:hAnsi="宋体" w:cs="宋体"/>
          <w:sz w:val="24"/>
          <w:lang w:val="zh-CN"/>
        </w:rPr>
        <w:t>磋商响应文件中不得行间插字、涂改或增删，如有修改错漏处，须由磋商供应商法人或其委托代理人签字或盖个人印鉴。</w:t>
      </w:r>
    </w:p>
    <w:p>
      <w:pPr>
        <w:pStyle w:val="5"/>
        <w:rPr>
          <w:rFonts w:hAnsi="宋体"/>
          <w:b/>
        </w:rPr>
      </w:pPr>
      <w:bookmarkStart w:id="44" w:name="_Toc1575311"/>
      <w:r>
        <w:rPr>
          <w:rFonts w:hint="eastAsia" w:hAnsi="宋体"/>
          <w:b/>
        </w:rPr>
        <w:t>磋商响应文件的递交</w:t>
      </w:r>
      <w:bookmarkEnd w:id="44"/>
    </w:p>
    <w:p>
      <w:pPr>
        <w:pStyle w:val="6"/>
        <w:numPr>
          <w:ilvl w:val="0"/>
          <w:numId w:val="3"/>
        </w:numPr>
        <w:spacing w:before="0" w:after="0" w:line="360" w:lineRule="auto"/>
        <w:rPr>
          <w:rFonts w:ascii="宋体" w:hAnsi="宋体"/>
          <w:b w:val="0"/>
        </w:rPr>
      </w:pPr>
      <w:bookmarkStart w:id="45" w:name="_Toc488673628"/>
      <w:bookmarkStart w:id="46" w:name="_Toc1575312"/>
      <w:r>
        <w:rPr>
          <w:rFonts w:hint="eastAsia" w:ascii="宋体" w:hAnsi="宋体"/>
          <w:b w:val="0"/>
        </w:rPr>
        <w:t>磋商响应文件的密封和标记</w:t>
      </w:r>
      <w:bookmarkEnd w:id="45"/>
      <w:bookmarkEnd w:id="46"/>
    </w:p>
    <w:p>
      <w:pPr>
        <w:pStyle w:val="17"/>
        <w:numPr>
          <w:ilvl w:val="1"/>
          <w:numId w:val="16"/>
        </w:numPr>
        <w:spacing w:line="360" w:lineRule="auto"/>
        <w:rPr>
          <w:rFonts w:hAnsi="宋体"/>
          <w:sz w:val="24"/>
          <w:szCs w:val="28"/>
        </w:rPr>
      </w:pPr>
      <w:r>
        <w:rPr>
          <w:rFonts w:hint="eastAsia" w:hAnsi="宋体"/>
          <w:sz w:val="24"/>
          <w:szCs w:val="28"/>
        </w:rPr>
        <w:t>磋商响应文件正本(上、下册)、所有副本(上、下册)和磋商响应文件要求单独提交的电子文档(上、下册)，应分别封装于不同的密封袋内，密封袋上应分别标上“正本(上、下册)”、“副本(上、下册)”、 “电子文档”，并注明磋商供应商名称、采购项目编号、采购项目名称及分包号（如有分包）</w:t>
      </w:r>
      <w:r>
        <w:rPr>
          <w:rFonts w:hint="eastAsia" w:hAnsi="宋体"/>
          <w:sz w:val="24"/>
          <w:szCs w:val="28"/>
          <w:lang w:val="en-US" w:eastAsia="zh-CN"/>
        </w:rPr>
        <w:t>,</w:t>
      </w:r>
      <w:r>
        <w:rPr>
          <w:rFonts w:hint="eastAsia" w:ascii="宋体" w:hAnsi="宋体" w:cs="宋体"/>
          <w:kern w:val="0"/>
          <w:sz w:val="24"/>
          <w:lang w:val="zh-CN"/>
        </w:rPr>
        <w:t>并在密封包装的封口处加盖磋商单位公章</w:t>
      </w:r>
      <w:r>
        <w:rPr>
          <w:rFonts w:hint="eastAsia" w:hAnsi="宋体"/>
          <w:sz w:val="24"/>
          <w:szCs w:val="28"/>
        </w:rPr>
        <w:t>；</w:t>
      </w:r>
    </w:p>
    <w:p>
      <w:pPr>
        <w:pStyle w:val="17"/>
        <w:numPr>
          <w:ilvl w:val="1"/>
          <w:numId w:val="16"/>
        </w:numPr>
        <w:spacing w:line="360" w:lineRule="auto"/>
        <w:rPr>
          <w:rFonts w:hAnsi="宋体"/>
          <w:sz w:val="24"/>
          <w:szCs w:val="28"/>
        </w:rPr>
      </w:pPr>
      <w:r>
        <w:rPr>
          <w:rFonts w:hint="eastAsia" w:hAnsi="宋体"/>
          <w:sz w:val="24"/>
          <w:szCs w:val="28"/>
        </w:rPr>
        <w:t>为方便我司退还磋商保证金，磋商供应商应将“磋商保证金证明”单独密封，并在信封上标明“磋商保证金证明”字样；</w:t>
      </w:r>
    </w:p>
    <w:p>
      <w:pPr>
        <w:pStyle w:val="17"/>
        <w:numPr>
          <w:ilvl w:val="1"/>
          <w:numId w:val="16"/>
        </w:numPr>
        <w:spacing w:line="360" w:lineRule="auto"/>
        <w:rPr>
          <w:rFonts w:hAnsi="宋体"/>
          <w:sz w:val="24"/>
          <w:szCs w:val="28"/>
        </w:rPr>
      </w:pPr>
      <w:r>
        <w:rPr>
          <w:rFonts w:hint="eastAsia" w:hAnsi="宋体"/>
          <w:sz w:val="24"/>
          <w:szCs w:val="28"/>
        </w:rPr>
        <w:t>密封后的磋商响应文件均应：</w:t>
      </w:r>
    </w:p>
    <w:p>
      <w:pPr>
        <w:pStyle w:val="17"/>
        <w:numPr>
          <w:ilvl w:val="0"/>
          <w:numId w:val="17"/>
        </w:numPr>
        <w:spacing w:line="360" w:lineRule="auto"/>
        <w:rPr>
          <w:rFonts w:hAnsi="宋体" w:cs="Arial"/>
          <w:sz w:val="24"/>
          <w:szCs w:val="24"/>
        </w:rPr>
      </w:pPr>
      <w:r>
        <w:rPr>
          <w:rFonts w:hint="eastAsia" w:hAnsi="宋体" w:cs="Arial"/>
          <w:sz w:val="24"/>
          <w:szCs w:val="24"/>
        </w:rPr>
        <w:t>按“磋商供应商须知前附表”注明的时间、地址送达；</w:t>
      </w:r>
    </w:p>
    <w:p>
      <w:pPr>
        <w:pStyle w:val="17"/>
        <w:numPr>
          <w:ilvl w:val="0"/>
          <w:numId w:val="17"/>
        </w:numPr>
        <w:spacing w:line="360" w:lineRule="auto"/>
        <w:rPr>
          <w:rFonts w:hAnsi="宋体" w:cs="Arial"/>
          <w:sz w:val="24"/>
          <w:szCs w:val="24"/>
        </w:rPr>
      </w:pPr>
      <w:r>
        <w:rPr>
          <w:rFonts w:hint="eastAsia" w:hAnsi="宋体" w:cs="Arial"/>
          <w:sz w:val="24"/>
          <w:szCs w:val="24"/>
        </w:rPr>
        <w:t>磋商响应文件密封袋</w:t>
      </w:r>
      <w:r>
        <w:rPr>
          <w:rFonts w:hint="eastAsia" w:hAnsi="宋体" w:cs="Arial"/>
          <w:sz w:val="24"/>
          <w:szCs w:val="24"/>
          <w:lang w:val="en-US" w:eastAsia="zh-CN"/>
        </w:rPr>
        <w:t>标注</w:t>
      </w:r>
      <w:r>
        <w:rPr>
          <w:rFonts w:hint="eastAsia" w:hAnsi="宋体" w:cs="Arial"/>
          <w:sz w:val="24"/>
          <w:szCs w:val="24"/>
        </w:rPr>
        <w:t>“于</w:t>
      </w:r>
      <w:r>
        <w:rPr>
          <w:rFonts w:hint="eastAsia" w:hAnsi="宋体" w:cs="Arial"/>
          <w:sz w:val="24"/>
          <w:szCs w:val="24"/>
          <w:lang w:eastAsia="zh-CN"/>
        </w:rPr>
        <w:t>2020年09月17日上午09:30（北京时间）</w:t>
      </w:r>
      <w:r>
        <w:rPr>
          <w:rFonts w:hint="eastAsia" w:hAnsi="宋体" w:cs="Arial"/>
          <w:sz w:val="24"/>
          <w:szCs w:val="24"/>
        </w:rPr>
        <w:t>之前不准启封”的</w:t>
      </w:r>
      <w:r>
        <w:rPr>
          <w:rFonts w:hint="eastAsia" w:hAnsi="宋体" w:cs="Arial"/>
          <w:sz w:val="24"/>
          <w:szCs w:val="24"/>
          <w:lang w:val="en-US" w:eastAsia="zh-CN"/>
        </w:rPr>
        <w:t>字样</w:t>
      </w:r>
      <w:r>
        <w:rPr>
          <w:rFonts w:hint="eastAsia" w:hAnsi="宋体" w:cs="Arial"/>
          <w:sz w:val="24"/>
          <w:szCs w:val="24"/>
        </w:rPr>
        <w:t>。</w:t>
      </w:r>
    </w:p>
    <w:p>
      <w:pPr>
        <w:pStyle w:val="17"/>
        <w:numPr>
          <w:ilvl w:val="1"/>
          <w:numId w:val="16"/>
        </w:numPr>
        <w:spacing w:line="360" w:lineRule="auto"/>
        <w:rPr>
          <w:rFonts w:hAnsi="宋体"/>
          <w:sz w:val="24"/>
          <w:szCs w:val="28"/>
        </w:rPr>
      </w:pPr>
      <w:r>
        <w:rPr>
          <w:rFonts w:hint="eastAsia" w:hAnsi="宋体"/>
          <w:sz w:val="24"/>
          <w:szCs w:val="28"/>
        </w:rPr>
        <w:t>如果磋商供应商未按第13.1-1</w:t>
      </w:r>
      <w:r>
        <w:rPr>
          <w:rFonts w:hAnsi="宋体"/>
          <w:sz w:val="24"/>
          <w:szCs w:val="28"/>
        </w:rPr>
        <w:t>3</w:t>
      </w:r>
      <w:r>
        <w:rPr>
          <w:rFonts w:hint="eastAsia" w:hAnsi="宋体"/>
          <w:sz w:val="24"/>
          <w:szCs w:val="28"/>
        </w:rPr>
        <w:t>.</w:t>
      </w:r>
      <w:r>
        <w:rPr>
          <w:rFonts w:hAnsi="宋体"/>
          <w:sz w:val="24"/>
          <w:szCs w:val="28"/>
        </w:rPr>
        <w:t>4</w:t>
      </w:r>
      <w:r>
        <w:rPr>
          <w:rFonts w:hint="eastAsia" w:hAnsi="宋体"/>
          <w:sz w:val="24"/>
          <w:szCs w:val="28"/>
        </w:rPr>
        <w:t>条要求将磋商响应文件密封或在密封袋上加写标记，采购代理机构对误投或过早启封概不负责。由此造成提前启封的磋商响应文件，采购代理机构予以拒绝，并退回磋商供应商；</w:t>
      </w:r>
    </w:p>
    <w:p>
      <w:pPr>
        <w:pStyle w:val="17"/>
        <w:numPr>
          <w:ilvl w:val="1"/>
          <w:numId w:val="16"/>
        </w:numPr>
        <w:spacing w:line="360" w:lineRule="auto"/>
        <w:rPr>
          <w:rFonts w:hAnsi="宋体"/>
          <w:sz w:val="24"/>
          <w:szCs w:val="28"/>
        </w:rPr>
      </w:pPr>
      <w:r>
        <w:rPr>
          <w:rFonts w:hint="eastAsia" w:hAnsi="宋体"/>
          <w:sz w:val="24"/>
          <w:szCs w:val="28"/>
        </w:rPr>
        <w:t>磋商供应商以电报、电话、传真形式磋商的，采购代理机构概不接受。</w:t>
      </w:r>
    </w:p>
    <w:p>
      <w:pPr>
        <w:pStyle w:val="6"/>
        <w:numPr>
          <w:ilvl w:val="0"/>
          <w:numId w:val="3"/>
        </w:numPr>
        <w:spacing w:before="0" w:after="0" w:line="360" w:lineRule="auto"/>
        <w:rPr>
          <w:rFonts w:ascii="宋体" w:hAnsi="宋体"/>
          <w:b w:val="0"/>
        </w:rPr>
      </w:pPr>
      <w:bookmarkStart w:id="47" w:name="_Toc488673629"/>
      <w:bookmarkStart w:id="48" w:name="_Toc1575313"/>
      <w:r>
        <w:rPr>
          <w:rFonts w:hint="eastAsia" w:ascii="宋体" w:hAnsi="宋体"/>
          <w:b w:val="0"/>
        </w:rPr>
        <w:t>递交磋商响应文件的地点、截止时间</w:t>
      </w:r>
      <w:bookmarkEnd w:id="47"/>
      <w:bookmarkEnd w:id="48"/>
    </w:p>
    <w:p>
      <w:pPr>
        <w:pStyle w:val="17"/>
        <w:numPr>
          <w:ilvl w:val="1"/>
          <w:numId w:val="18"/>
        </w:numPr>
        <w:spacing w:line="360" w:lineRule="auto"/>
        <w:rPr>
          <w:rFonts w:hAnsi="宋体"/>
          <w:sz w:val="24"/>
          <w:szCs w:val="28"/>
        </w:rPr>
      </w:pPr>
      <w:r>
        <w:rPr>
          <w:rFonts w:hint="eastAsia" w:hAnsi="宋体"/>
          <w:sz w:val="24"/>
          <w:szCs w:val="28"/>
        </w:rPr>
        <w:t>所有磋商响应文件都必须按磋商文件规定的磋商截止时间之前送达磋商地点；</w:t>
      </w:r>
    </w:p>
    <w:p>
      <w:pPr>
        <w:pStyle w:val="17"/>
        <w:numPr>
          <w:ilvl w:val="1"/>
          <w:numId w:val="18"/>
        </w:numPr>
        <w:spacing w:line="360" w:lineRule="auto"/>
        <w:rPr>
          <w:rFonts w:hAnsi="宋体"/>
          <w:sz w:val="24"/>
          <w:szCs w:val="28"/>
        </w:rPr>
      </w:pPr>
      <w:r>
        <w:rPr>
          <w:rFonts w:hint="eastAsia" w:hAnsi="宋体"/>
          <w:sz w:val="24"/>
          <w:szCs w:val="28"/>
        </w:rPr>
        <w:t>采购代理机构将拒绝接收在磋商截止时间之后送达的磋商响应文件；</w:t>
      </w:r>
    </w:p>
    <w:p>
      <w:pPr>
        <w:pStyle w:val="6"/>
        <w:numPr>
          <w:ilvl w:val="0"/>
          <w:numId w:val="3"/>
        </w:numPr>
        <w:spacing w:before="0" w:after="0" w:line="360" w:lineRule="auto"/>
        <w:rPr>
          <w:rFonts w:ascii="宋体" w:hAnsi="宋体"/>
          <w:b w:val="0"/>
        </w:rPr>
      </w:pPr>
      <w:bookmarkStart w:id="49" w:name="_Toc488673630"/>
      <w:bookmarkStart w:id="50" w:name="_Toc1575314"/>
      <w:r>
        <w:rPr>
          <w:rFonts w:hint="eastAsia" w:ascii="宋体" w:hAnsi="宋体"/>
          <w:b w:val="0"/>
        </w:rPr>
        <w:t>磋商响应文件的撤回和修改</w:t>
      </w:r>
      <w:bookmarkEnd w:id="49"/>
      <w:bookmarkEnd w:id="50"/>
    </w:p>
    <w:p>
      <w:pPr>
        <w:pStyle w:val="17"/>
        <w:spacing w:line="360" w:lineRule="auto"/>
        <w:ind w:firstLine="480" w:firstLineChars="200"/>
        <w:rPr>
          <w:rFonts w:hAnsi="宋体"/>
          <w:sz w:val="24"/>
          <w:szCs w:val="28"/>
        </w:rPr>
      </w:pPr>
      <w:r>
        <w:rPr>
          <w:rFonts w:hint="eastAsia" w:hAnsi="宋体"/>
          <w:sz w:val="24"/>
          <w:szCs w:val="28"/>
        </w:rPr>
        <w:t>15.1、允许磋商供应商在磋商截止期前撤回其磋商响应文件（须以书面形式通知采购代理机构），磋商截止期后不得撤回其磋商响应文件。否则，其磋商保证金将不予退还，上缴同级财政部门。</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15.2、</w:t>
      </w:r>
      <w:r>
        <w:rPr>
          <w:rFonts w:ascii="宋体" w:hAnsi="宋体" w:cs="宋体"/>
          <w:kern w:val="0"/>
          <w:sz w:val="24"/>
        </w:rPr>
        <w:t>无论中标与否，磋商人递交的一切磋商材料均不予退还</w:t>
      </w:r>
      <w:r>
        <w:rPr>
          <w:rFonts w:hint="eastAsia" w:ascii="宋体" w:hAnsi="宋体" w:cs="宋体"/>
          <w:kern w:val="0"/>
          <w:sz w:val="24"/>
        </w:rPr>
        <w:t>。</w:t>
      </w:r>
    </w:p>
    <w:p>
      <w:pPr>
        <w:pStyle w:val="5"/>
        <w:rPr>
          <w:rFonts w:hAnsi="宋体"/>
          <w:b/>
        </w:rPr>
      </w:pPr>
      <w:bookmarkStart w:id="51" w:name="_Toc1575315"/>
      <w:r>
        <w:rPr>
          <w:rFonts w:hint="eastAsia" w:hAnsi="宋体"/>
          <w:b/>
        </w:rPr>
        <w:t>磋商过程</w:t>
      </w:r>
      <w:bookmarkEnd w:id="51"/>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rPr>
        <w:t>采购代理机构按本磋商文件中确定的时间和地点组织本项目的磋商活动。供应商应由其委托代理人参加。</w:t>
      </w:r>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rPr>
        <w:t>磋商时，对不同文字文本响应文件的解释发生异议的，以中文文本为准。</w:t>
      </w:r>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rPr>
        <w:t>磋商工作由采购代理机构组织，采购单位、采购监管、纪检监察等有关方面代表可根据采购项目的具体情况列席。</w:t>
      </w:r>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rPr>
        <w:t>磋商过程有专人记录，并存档备查。</w:t>
      </w:r>
    </w:p>
    <w:p>
      <w:pPr>
        <w:pStyle w:val="94"/>
        <w:numPr>
          <w:ilvl w:val="0"/>
          <w:numId w:val="19"/>
        </w:numPr>
        <w:spacing w:line="360" w:lineRule="auto"/>
        <w:ind w:firstLineChars="0"/>
        <w:jc w:val="left"/>
        <w:rPr>
          <w:rFonts w:ascii="宋体" w:hAnsi="宋体" w:cs="宋体"/>
          <w:sz w:val="24"/>
        </w:rPr>
      </w:pPr>
      <w:r>
        <w:rPr>
          <w:rFonts w:hint="eastAsia" w:ascii="宋体" w:hAnsi="宋体" w:cs="宋体"/>
          <w:sz w:val="24"/>
          <w:lang w:val="en-US" w:eastAsia="zh-CN"/>
        </w:rPr>
        <w:t>评审专家</w:t>
      </w:r>
      <w:r>
        <w:rPr>
          <w:rFonts w:hint="eastAsia" w:ascii="宋体" w:hAnsi="宋体" w:cs="宋体"/>
          <w:sz w:val="24"/>
        </w:rPr>
        <w:t>应当依法对磋商人的资格进行审查。</w:t>
      </w:r>
    </w:p>
    <w:p>
      <w:pPr>
        <w:pStyle w:val="5"/>
        <w:rPr>
          <w:rFonts w:hAnsi="宋体"/>
          <w:b/>
        </w:rPr>
      </w:pPr>
      <w:bookmarkStart w:id="52" w:name="_Toc1575316"/>
      <w:r>
        <w:rPr>
          <w:rFonts w:hint="eastAsia" w:hAnsi="宋体"/>
          <w:b/>
        </w:rPr>
        <w:t>资格审查</w:t>
      </w:r>
      <w:bookmarkEnd w:id="52"/>
    </w:p>
    <w:p>
      <w:pPr>
        <w:spacing w:line="360" w:lineRule="auto"/>
        <w:ind w:firstLine="480" w:firstLineChars="200"/>
        <w:rPr>
          <w:rFonts w:ascii="宋体" w:hAnsi="宋体"/>
          <w:b/>
          <w:sz w:val="28"/>
          <w:szCs w:val="20"/>
        </w:rPr>
      </w:pPr>
      <w:r>
        <w:rPr>
          <w:rFonts w:hint="eastAsia" w:ascii="宋体" w:hAnsi="宋体" w:cs="宋体"/>
          <w:kern w:val="0"/>
          <w:sz w:val="24"/>
        </w:rPr>
        <w:t>1 、</w:t>
      </w:r>
      <w:r>
        <w:rPr>
          <w:rFonts w:hint="eastAsia" w:ascii="宋体" w:hAnsi="宋体" w:cs="宋体"/>
          <w:sz w:val="24"/>
          <w:lang w:val="en-US" w:eastAsia="zh-CN"/>
        </w:rPr>
        <w:t>评审专家</w:t>
      </w:r>
      <w:r>
        <w:rPr>
          <w:rFonts w:hint="eastAsia" w:ascii="宋体" w:hAnsi="宋体" w:cs="宋体"/>
          <w:kern w:val="0"/>
          <w:sz w:val="24"/>
        </w:rPr>
        <w:t>应当依法对投标人的资格性审查文件（上册）进行审查。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 、合格投标人不足3家的，不得评标。</w:t>
      </w:r>
    </w:p>
    <w:p>
      <w:pPr>
        <w:autoSpaceDE w:val="0"/>
        <w:autoSpaceDN w:val="0"/>
        <w:spacing w:line="360" w:lineRule="auto"/>
        <w:ind w:firstLine="480" w:firstLineChars="200"/>
        <w:rPr>
          <w:rFonts w:ascii="宋体" w:hAnsi="宋体" w:cs="宋体"/>
          <w:sz w:val="24"/>
        </w:rPr>
      </w:pPr>
      <w:bookmarkStart w:id="53" w:name="_Toc497503449"/>
      <w:bookmarkStart w:id="54" w:name="_Toc30809"/>
      <w:bookmarkStart w:id="55" w:name="_Toc497503516"/>
      <w:bookmarkStart w:id="56" w:name="_Toc497503315"/>
      <w:bookmarkStart w:id="57" w:name="_Toc497503249"/>
      <w:r>
        <w:rPr>
          <w:rFonts w:hint="eastAsia" w:ascii="宋体" w:hAnsi="宋体" w:cs="宋体"/>
          <w:kern w:val="0"/>
          <w:sz w:val="24"/>
        </w:rPr>
        <w:t>3 、资格审查时，投标人存在下列情况之一的，按无效投标处理：</w:t>
      </w:r>
      <w:bookmarkEnd w:id="53"/>
      <w:bookmarkEnd w:id="54"/>
      <w:bookmarkEnd w:id="55"/>
      <w:bookmarkEnd w:id="56"/>
      <w:bookmarkEnd w:id="57"/>
    </w:p>
    <w:p>
      <w:pPr>
        <w:numPr>
          <w:ilvl w:val="0"/>
          <w:numId w:val="20"/>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sz w:val="24"/>
          <w:shd w:val="clear" w:color="auto" w:fill="FFFFFF"/>
        </w:rPr>
        <w:t>不具备</w:t>
      </w:r>
      <w:r>
        <w:rPr>
          <w:rFonts w:hint="eastAsia" w:ascii="宋体" w:hAnsi="宋体" w:cs="宋体"/>
          <w:kern w:val="0"/>
          <w:sz w:val="24"/>
          <w:lang w:val="zh-CN"/>
        </w:rPr>
        <w:t>第2.2款“合格的投标人”</w:t>
      </w:r>
      <w:r>
        <w:rPr>
          <w:rFonts w:hint="eastAsia" w:ascii="宋体" w:hAnsi="宋体" w:cs="宋体"/>
          <w:sz w:val="24"/>
          <w:shd w:val="clear" w:color="auto" w:fill="FFFFFF"/>
        </w:rPr>
        <w:t>规定的资格要求的；</w:t>
      </w:r>
    </w:p>
    <w:p>
      <w:pPr>
        <w:numPr>
          <w:ilvl w:val="0"/>
          <w:numId w:val="20"/>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未按招标文件要求交纳或未足额交纳投标保证金的；</w:t>
      </w:r>
    </w:p>
    <w:p>
      <w:pPr>
        <w:numPr>
          <w:ilvl w:val="0"/>
          <w:numId w:val="20"/>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未按第11</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lang w:val="en-US" w:eastAsia="zh-CN"/>
        </w:rPr>
        <w:t>-（10）</w:t>
      </w:r>
      <w:r>
        <w:rPr>
          <w:rFonts w:hint="eastAsia" w:ascii="宋体" w:hAnsi="宋体" w:cs="宋体"/>
          <w:kern w:val="0"/>
          <w:sz w:val="24"/>
        </w:rPr>
        <w:t>要求提供相关资料的；</w:t>
      </w:r>
    </w:p>
    <w:p>
      <w:pPr>
        <w:numPr>
          <w:ilvl w:val="0"/>
          <w:numId w:val="20"/>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rPr>
        <w:t>资格性审查文件未按招标文件规定和要求签字、盖章的；</w:t>
      </w:r>
    </w:p>
    <w:p>
      <w:pPr>
        <w:numPr>
          <w:ilvl w:val="0"/>
          <w:numId w:val="20"/>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报价超过招标文件中规定的预算金额或者最高限价的；</w:t>
      </w:r>
    </w:p>
    <w:p>
      <w:pPr>
        <w:numPr>
          <w:ilvl w:val="0"/>
          <w:numId w:val="20"/>
        </w:numPr>
        <w:tabs>
          <w:tab w:val="left" w:pos="960"/>
        </w:tabs>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kern w:val="0"/>
          <w:sz w:val="24"/>
          <w:lang w:val="zh-CN"/>
        </w:rPr>
        <w:t>投标有效期不能满足招标文件要求的；</w:t>
      </w:r>
    </w:p>
    <w:p>
      <w:pPr>
        <w:numPr>
          <w:ilvl w:val="0"/>
          <w:numId w:val="20"/>
        </w:numPr>
        <w:tabs>
          <w:tab w:val="left" w:pos="960"/>
        </w:tabs>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未按照招标文件要求提供电子文档</w:t>
      </w:r>
      <w:r>
        <w:rPr>
          <w:rFonts w:hint="eastAsia" w:ascii="宋体" w:hAnsi="宋体" w:cs="宋体"/>
          <w:kern w:val="0"/>
          <w:sz w:val="24"/>
          <w:lang w:val="zh-CN"/>
        </w:rPr>
        <w:t>的。</w:t>
      </w:r>
    </w:p>
    <w:p>
      <w:pPr>
        <w:pStyle w:val="5"/>
        <w:rPr>
          <w:rFonts w:hAnsi="宋体"/>
          <w:b/>
        </w:rPr>
      </w:pPr>
      <w:bookmarkStart w:id="58" w:name="_Toc1575317"/>
      <w:r>
        <w:rPr>
          <w:rFonts w:hint="eastAsia" w:hAnsi="宋体"/>
          <w:b/>
        </w:rPr>
        <w:t>评审程序及方法</w:t>
      </w:r>
      <w:bookmarkEnd w:id="58"/>
    </w:p>
    <w:p>
      <w:pPr>
        <w:pStyle w:val="6"/>
        <w:numPr>
          <w:ilvl w:val="0"/>
          <w:numId w:val="3"/>
        </w:numPr>
        <w:spacing w:before="0" w:after="0" w:line="360" w:lineRule="auto"/>
        <w:rPr>
          <w:rFonts w:ascii="宋体" w:hAnsi="宋体"/>
          <w:b w:val="0"/>
        </w:rPr>
      </w:pPr>
      <w:bookmarkStart w:id="59" w:name="_Toc1575318"/>
      <w:bookmarkStart w:id="60" w:name="_Toc488673633"/>
      <w:r>
        <w:rPr>
          <w:rFonts w:hint="eastAsia" w:ascii="宋体" w:hAnsi="宋体"/>
          <w:b w:val="0"/>
        </w:rPr>
        <w:t>评标委员会</w:t>
      </w:r>
      <w:bookmarkEnd w:id="59"/>
      <w:bookmarkEnd w:id="60"/>
    </w:p>
    <w:p>
      <w:pPr>
        <w:pStyle w:val="17"/>
        <w:numPr>
          <w:ilvl w:val="1"/>
          <w:numId w:val="21"/>
        </w:numPr>
        <w:spacing w:line="360" w:lineRule="auto"/>
        <w:rPr>
          <w:rFonts w:hAnsi="宋体"/>
          <w:sz w:val="24"/>
          <w:szCs w:val="28"/>
        </w:rPr>
      </w:pPr>
      <w:r>
        <w:rPr>
          <w:rFonts w:hint="eastAsia" w:hAnsi="宋体" w:cs="宋体"/>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pPr>
        <w:autoSpaceDE w:val="0"/>
        <w:autoSpaceDN w:val="0"/>
        <w:spacing w:line="360" w:lineRule="auto"/>
        <w:ind w:left="481" w:leftChars="229" w:firstLine="480" w:firstLineChars="200"/>
        <w:rPr>
          <w:rFonts w:ascii="宋体" w:hAnsi="宋体" w:cs="宋体"/>
          <w:kern w:val="0"/>
          <w:sz w:val="24"/>
        </w:rPr>
      </w:pPr>
      <w:r>
        <w:rPr>
          <w:rFonts w:hint="eastAsia" w:ascii="宋体" w:hAnsi="宋体" w:cs="宋体"/>
          <w:kern w:val="0"/>
          <w:sz w:val="24"/>
        </w:rPr>
        <w:t>采购项目符合下列情形之一的，评标委员会成员人数应当为7人以上单数：</w:t>
      </w:r>
    </w:p>
    <w:p>
      <w:pPr>
        <w:numPr>
          <w:ilvl w:val="0"/>
          <w:numId w:val="22"/>
        </w:numPr>
        <w:autoSpaceDE w:val="0"/>
        <w:autoSpaceDN w:val="0"/>
        <w:spacing w:line="360" w:lineRule="auto"/>
        <w:rPr>
          <w:rFonts w:ascii="宋体" w:hAnsi="宋体" w:cs="宋体"/>
          <w:kern w:val="0"/>
          <w:sz w:val="24"/>
        </w:rPr>
      </w:pPr>
      <w:r>
        <w:rPr>
          <w:rFonts w:hint="eastAsia" w:ascii="宋体" w:hAnsi="宋体" w:cs="宋体"/>
          <w:kern w:val="0"/>
          <w:sz w:val="24"/>
        </w:rPr>
        <w:t>采购预算金额在1000万元以上；</w:t>
      </w:r>
    </w:p>
    <w:p>
      <w:pPr>
        <w:numPr>
          <w:ilvl w:val="0"/>
          <w:numId w:val="22"/>
        </w:numPr>
        <w:autoSpaceDE w:val="0"/>
        <w:autoSpaceDN w:val="0"/>
        <w:spacing w:line="360" w:lineRule="auto"/>
        <w:rPr>
          <w:rFonts w:ascii="宋体" w:hAnsi="宋体" w:cs="宋体"/>
          <w:kern w:val="0"/>
          <w:sz w:val="24"/>
        </w:rPr>
      </w:pPr>
      <w:r>
        <w:rPr>
          <w:rFonts w:hint="eastAsia" w:ascii="宋体" w:hAnsi="宋体" w:cs="宋体"/>
          <w:kern w:val="0"/>
          <w:sz w:val="24"/>
        </w:rPr>
        <w:t>技术复杂；</w:t>
      </w:r>
    </w:p>
    <w:p>
      <w:pPr>
        <w:numPr>
          <w:ilvl w:val="0"/>
          <w:numId w:val="22"/>
        </w:numPr>
        <w:autoSpaceDE w:val="0"/>
        <w:autoSpaceDN w:val="0"/>
        <w:spacing w:line="360" w:lineRule="auto"/>
        <w:rPr>
          <w:rFonts w:ascii="宋体" w:hAnsi="宋体" w:cs="宋体"/>
          <w:kern w:val="0"/>
          <w:sz w:val="24"/>
        </w:rPr>
      </w:pPr>
      <w:r>
        <w:rPr>
          <w:rFonts w:hint="eastAsia" w:ascii="宋体" w:hAnsi="宋体" w:cs="宋体"/>
          <w:kern w:val="0"/>
          <w:sz w:val="24"/>
        </w:rPr>
        <w:t>社会影响较大。</w:t>
      </w:r>
    </w:p>
    <w:p>
      <w:pPr>
        <w:autoSpaceDE w:val="0"/>
        <w:autoSpaceDN w:val="0"/>
        <w:spacing w:line="360" w:lineRule="auto"/>
        <w:ind w:left="481" w:leftChars="229" w:firstLine="600" w:firstLineChars="250"/>
        <w:rPr>
          <w:rFonts w:ascii="宋体" w:hAns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pStyle w:val="17"/>
        <w:spacing w:line="360" w:lineRule="auto"/>
        <w:ind w:left="481" w:leftChars="229" w:firstLine="720" w:firstLineChars="300"/>
        <w:rPr>
          <w:rFonts w:hAnsi="宋体" w:cs="宋体"/>
          <w:sz w:val="24"/>
          <w:szCs w:val="24"/>
        </w:rPr>
      </w:pPr>
      <w:r>
        <w:rPr>
          <w:rFonts w:hint="eastAsia" w:hAnsi="宋体" w:cs="宋体"/>
          <w:sz w:val="24"/>
          <w:szCs w:val="24"/>
        </w:rPr>
        <w:t>评标委员会成员名单在评标结果公告前应当保密。</w:t>
      </w:r>
    </w:p>
    <w:p>
      <w:pPr>
        <w:pStyle w:val="17"/>
        <w:numPr>
          <w:ilvl w:val="1"/>
          <w:numId w:val="21"/>
        </w:numPr>
        <w:spacing w:line="360" w:lineRule="auto"/>
        <w:rPr>
          <w:rFonts w:hAnsi="宋体" w:cs="宋体"/>
          <w:sz w:val="24"/>
          <w:szCs w:val="24"/>
        </w:rPr>
      </w:pPr>
      <w:r>
        <w:rPr>
          <w:rFonts w:hint="eastAsia" w:hAnsi="宋体" w:cs="宋体"/>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pStyle w:val="17"/>
        <w:numPr>
          <w:ilvl w:val="1"/>
          <w:numId w:val="21"/>
        </w:numPr>
        <w:spacing w:line="360" w:lineRule="auto"/>
        <w:rPr>
          <w:rFonts w:hAnsi="宋体" w:cs="宋体"/>
          <w:sz w:val="24"/>
          <w:szCs w:val="24"/>
        </w:rPr>
      </w:pPr>
      <w:r>
        <w:rPr>
          <w:rFonts w:hint="eastAsia" w:hAnsi="宋体" w:cs="宋体"/>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磋商响应文件和开标、评标资料，依法重新组建评标委员会进行评标。原评标委员会所作出的评标意见无效。</w:t>
      </w:r>
    </w:p>
    <w:p>
      <w:pPr>
        <w:pStyle w:val="17"/>
        <w:spacing w:line="360" w:lineRule="auto"/>
        <w:ind w:left="622" w:leftChars="296" w:firstLine="480" w:firstLineChars="200"/>
        <w:rPr>
          <w:rFonts w:hAnsi="宋体" w:cs="宋体"/>
          <w:sz w:val="24"/>
          <w:szCs w:val="24"/>
        </w:rPr>
      </w:pPr>
      <w:r>
        <w:rPr>
          <w:rFonts w:hint="eastAsia" w:hAnsi="宋体" w:cs="宋体"/>
          <w:sz w:val="24"/>
          <w:szCs w:val="24"/>
          <w:lang w:val="zh-CN"/>
        </w:rPr>
        <w:t>采购人或采购代理机构</w:t>
      </w:r>
      <w:r>
        <w:rPr>
          <w:rFonts w:hint="eastAsia" w:hAnsi="宋体" w:cs="宋体"/>
          <w:sz w:val="24"/>
          <w:szCs w:val="24"/>
        </w:rPr>
        <w:t>应当将变更、重新组建评标委员会的情况予以记录，并随磋商文件一并存档。</w:t>
      </w:r>
    </w:p>
    <w:p>
      <w:pPr>
        <w:pStyle w:val="17"/>
        <w:numPr>
          <w:ilvl w:val="1"/>
          <w:numId w:val="21"/>
        </w:numPr>
        <w:spacing w:line="360" w:lineRule="auto"/>
        <w:rPr>
          <w:rFonts w:hAnsi="宋体" w:cs="宋体"/>
          <w:sz w:val="24"/>
          <w:szCs w:val="24"/>
        </w:rPr>
      </w:pPr>
      <w:r>
        <w:rPr>
          <w:rFonts w:hint="eastAsia" w:hAnsi="宋体" w:cs="宋体"/>
          <w:sz w:val="24"/>
          <w:szCs w:val="24"/>
        </w:rPr>
        <w:t>采购人、采购代理机构应当采取必要措施，保证评标在严格保密的情况下进行。除采购人代表、评标现场组织人员外，采购人的其他工作人员以及与评标工作无关的人员不得进入评标现场。</w:t>
      </w:r>
    </w:p>
    <w:p>
      <w:pPr>
        <w:pStyle w:val="17"/>
        <w:spacing w:line="360" w:lineRule="auto"/>
        <w:ind w:left="621"/>
        <w:rPr>
          <w:rFonts w:hAnsi="宋体" w:cs="宋体"/>
          <w:sz w:val="24"/>
          <w:szCs w:val="24"/>
        </w:rPr>
      </w:pPr>
      <w:r>
        <w:rPr>
          <w:rFonts w:hint="eastAsia" w:hAnsi="宋体" w:cs="宋体"/>
          <w:sz w:val="24"/>
          <w:szCs w:val="24"/>
        </w:rPr>
        <w:t>有关人员对评标情况以及在评标过程中获悉的国家秘密、商业秘密负有保密责任。</w:t>
      </w:r>
    </w:p>
    <w:p>
      <w:pPr>
        <w:pStyle w:val="17"/>
        <w:numPr>
          <w:ilvl w:val="1"/>
          <w:numId w:val="21"/>
        </w:numPr>
        <w:spacing w:line="360" w:lineRule="auto"/>
        <w:rPr>
          <w:rFonts w:hAnsi="宋体"/>
          <w:sz w:val="24"/>
          <w:szCs w:val="28"/>
        </w:rPr>
      </w:pPr>
      <w:r>
        <w:rPr>
          <w:rFonts w:hint="eastAsia" w:hAnsi="宋体" w:cs="宋体"/>
          <w:sz w:val="24"/>
          <w:szCs w:val="24"/>
        </w:rPr>
        <w:t>磋商由采购代理机构负责组织，具体磋商事务由依法组建的磋商小组负责，并独立履行下列职责：</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宣布评标纪律；</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公布磋商人名单，告知评审专家应当回避的情形；</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组织评标委员会推选评标组长，采购人代表不得担任组长；</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在评标期间采取必要的通讯管理措施，保证评标活动不受外界干扰；</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根据评标委员会的要求介绍政府采购相关政策法规、磋商文件；</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维护评标秩序，监督评标委员会依照磋商文件规定的评标程序、方法和标准进行独立评审，及时制止和纠正采购人代表、评审专家的倾向性言论或者违法违规行为；</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核对评标结果，有19.3规定情形的，要求评标委员会复核或者书面说明理由，评标委员会拒绝的，应予记录并向本级财政部门报告；</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numPr>
          <w:ilvl w:val="0"/>
          <w:numId w:val="23"/>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处理与评标有关的其他事项。</w:t>
      </w:r>
    </w:p>
    <w:p>
      <w:pPr>
        <w:pStyle w:val="17"/>
        <w:spacing w:line="360" w:lineRule="auto"/>
        <w:ind w:left="480"/>
        <w:rPr>
          <w:rFonts w:hAnsi="宋体"/>
          <w:sz w:val="24"/>
          <w:szCs w:val="24"/>
        </w:rPr>
      </w:pPr>
      <w:r>
        <w:rPr>
          <w:rFonts w:hint="eastAsia" w:hAnsi="宋体" w:cs="宋体"/>
          <w:sz w:val="24"/>
          <w:szCs w:val="24"/>
          <w:lang w:val="zh-CN"/>
        </w:rPr>
        <w:t>采购人可以在评标前说明项目背景和采购需求，说明内容不得含有歧视性、倾向性意见，不得超出磋商文件所述范围。说明应当提交书面材料，并随磋商文件一并存档。</w:t>
      </w:r>
    </w:p>
    <w:p>
      <w:pPr>
        <w:pStyle w:val="17"/>
        <w:numPr>
          <w:ilvl w:val="1"/>
          <w:numId w:val="21"/>
        </w:numPr>
        <w:spacing w:line="360" w:lineRule="auto"/>
        <w:rPr>
          <w:rFonts w:hAnsi="宋体"/>
          <w:sz w:val="24"/>
          <w:szCs w:val="28"/>
        </w:rPr>
      </w:pPr>
      <w:r>
        <w:rPr>
          <w:rFonts w:hint="eastAsia" w:hAnsi="宋体" w:cs="宋体"/>
          <w:sz w:val="24"/>
          <w:szCs w:val="24"/>
        </w:rPr>
        <w:t>磋商小组应遵守并履行下列义务</w:t>
      </w:r>
      <w:r>
        <w:rPr>
          <w:rFonts w:hint="eastAsia" w:hAnsi="宋体"/>
          <w:sz w:val="24"/>
          <w:szCs w:val="28"/>
        </w:rPr>
        <w:t>：</w:t>
      </w:r>
    </w:p>
    <w:p>
      <w:pPr>
        <w:numPr>
          <w:ilvl w:val="0"/>
          <w:numId w:val="24"/>
        </w:numPr>
        <w:autoSpaceDE w:val="0"/>
        <w:autoSpaceDN w:val="0"/>
        <w:spacing w:line="360" w:lineRule="auto"/>
        <w:rPr>
          <w:rFonts w:ascii="宋体" w:hAnsi="宋体" w:cs="宋体"/>
          <w:kern w:val="0"/>
          <w:sz w:val="24"/>
        </w:rPr>
      </w:pPr>
      <w:r>
        <w:rPr>
          <w:rFonts w:hint="eastAsia" w:ascii="宋体" w:hAnsi="宋体" w:cs="宋体"/>
          <w:kern w:val="0"/>
          <w:sz w:val="24"/>
        </w:rPr>
        <w:t>审查、评价磋商响应文件是否符合磋商文件的商务、技术等实质性要求；</w:t>
      </w:r>
    </w:p>
    <w:p>
      <w:pPr>
        <w:numPr>
          <w:ilvl w:val="0"/>
          <w:numId w:val="24"/>
        </w:numPr>
        <w:autoSpaceDE w:val="0"/>
        <w:autoSpaceDN w:val="0"/>
        <w:spacing w:line="360" w:lineRule="auto"/>
        <w:rPr>
          <w:rFonts w:ascii="宋体" w:hAnsi="宋体" w:cs="宋体"/>
          <w:kern w:val="0"/>
          <w:sz w:val="24"/>
        </w:rPr>
      </w:pPr>
      <w:r>
        <w:rPr>
          <w:rFonts w:hint="eastAsia" w:ascii="宋体" w:hAnsi="宋体" w:cs="宋体"/>
          <w:kern w:val="0"/>
          <w:sz w:val="24"/>
        </w:rPr>
        <w:t>要求磋商人对磋商响应文件有关事项作出澄清或者说明；</w:t>
      </w:r>
    </w:p>
    <w:p>
      <w:pPr>
        <w:numPr>
          <w:ilvl w:val="0"/>
          <w:numId w:val="24"/>
        </w:numPr>
        <w:autoSpaceDE w:val="0"/>
        <w:autoSpaceDN w:val="0"/>
        <w:spacing w:line="360" w:lineRule="auto"/>
        <w:rPr>
          <w:rFonts w:ascii="宋体" w:hAnsi="宋体" w:cs="宋体"/>
          <w:kern w:val="0"/>
          <w:sz w:val="24"/>
        </w:rPr>
      </w:pPr>
      <w:r>
        <w:rPr>
          <w:rFonts w:hint="eastAsia" w:ascii="宋体" w:hAnsi="宋体" w:cs="宋体"/>
          <w:kern w:val="0"/>
          <w:sz w:val="24"/>
        </w:rPr>
        <w:t>对磋商响应文件进行比较和评价；</w:t>
      </w:r>
    </w:p>
    <w:p>
      <w:pPr>
        <w:numPr>
          <w:ilvl w:val="0"/>
          <w:numId w:val="24"/>
        </w:numPr>
        <w:autoSpaceDE w:val="0"/>
        <w:autoSpaceDN w:val="0"/>
        <w:spacing w:line="360" w:lineRule="auto"/>
        <w:rPr>
          <w:rFonts w:ascii="宋体" w:hAnsi="宋体" w:cs="宋体"/>
          <w:kern w:val="0"/>
          <w:sz w:val="24"/>
        </w:rPr>
      </w:pPr>
      <w:r>
        <w:rPr>
          <w:rFonts w:hint="eastAsia" w:ascii="宋体" w:hAnsi="宋体" w:cs="宋体"/>
          <w:kern w:val="0"/>
          <w:sz w:val="24"/>
        </w:rPr>
        <w:t>确定中标候选人名单，以及根据采购人委托直接确定中标人；</w:t>
      </w:r>
    </w:p>
    <w:p>
      <w:pPr>
        <w:numPr>
          <w:ilvl w:val="0"/>
          <w:numId w:val="24"/>
        </w:numPr>
        <w:autoSpaceDE w:val="0"/>
        <w:autoSpaceDN w:val="0"/>
        <w:spacing w:line="360" w:lineRule="auto"/>
        <w:rPr>
          <w:rFonts w:ascii="宋体" w:hAnsi="宋体" w:cs="宋体"/>
          <w:kern w:val="0"/>
          <w:sz w:val="24"/>
        </w:rPr>
      </w:pPr>
      <w:r>
        <w:rPr>
          <w:rFonts w:hint="eastAsia" w:ascii="宋体" w:hAnsi="宋体" w:cs="宋体"/>
          <w:kern w:val="0"/>
          <w:sz w:val="24"/>
        </w:rPr>
        <w:t>向采购人、采购代理机构或者有关部门报告评标中发现的违法行为。</w:t>
      </w:r>
    </w:p>
    <w:p>
      <w:pPr>
        <w:pStyle w:val="17"/>
        <w:numPr>
          <w:ilvl w:val="1"/>
          <w:numId w:val="21"/>
        </w:numPr>
        <w:spacing w:line="360" w:lineRule="auto"/>
        <w:rPr>
          <w:rFonts w:hAnsi="宋体"/>
          <w:sz w:val="24"/>
          <w:szCs w:val="28"/>
        </w:rPr>
      </w:pPr>
      <w:r>
        <w:rPr>
          <w:rFonts w:hint="eastAsia" w:hAnsi="宋体"/>
          <w:sz w:val="24"/>
          <w:szCs w:val="28"/>
        </w:rPr>
        <w:t>评审工作在有关部门的监督下依法开展，任何单位和个人不得非法干预、影响评审工作和评审结果。</w:t>
      </w:r>
    </w:p>
    <w:p>
      <w:pPr>
        <w:pStyle w:val="6"/>
        <w:numPr>
          <w:ilvl w:val="0"/>
          <w:numId w:val="3"/>
        </w:numPr>
        <w:spacing w:before="0" w:after="0" w:line="360" w:lineRule="auto"/>
        <w:rPr>
          <w:rFonts w:ascii="宋体" w:hAnsi="宋体"/>
          <w:b w:val="0"/>
        </w:rPr>
      </w:pPr>
      <w:bookmarkStart w:id="61" w:name="_Toc488673634"/>
      <w:bookmarkStart w:id="62" w:name="_Toc1575319"/>
      <w:r>
        <w:rPr>
          <w:rFonts w:hint="eastAsia" w:ascii="宋体" w:hAnsi="宋体"/>
          <w:b w:val="0"/>
        </w:rPr>
        <w:t>磋商程序</w:t>
      </w:r>
      <w:bookmarkEnd w:id="61"/>
      <w:bookmarkEnd w:id="62"/>
    </w:p>
    <w:p>
      <w:pPr>
        <w:pStyle w:val="17"/>
        <w:numPr>
          <w:ilvl w:val="1"/>
          <w:numId w:val="25"/>
        </w:numPr>
        <w:spacing w:line="360" w:lineRule="auto"/>
        <w:rPr>
          <w:rFonts w:hAnsi="宋体"/>
          <w:sz w:val="24"/>
          <w:szCs w:val="24"/>
        </w:rPr>
      </w:pPr>
      <w:r>
        <w:rPr>
          <w:rFonts w:hint="eastAsia" w:hAnsi="宋体" w:cs="宋体"/>
          <w:sz w:val="24"/>
          <w:szCs w:val="24"/>
          <w:lang w:val="zh-CN"/>
        </w:rPr>
        <w:t>评标委员会应当对符合资格的磋商人的磋商响应文件进行符合性审查，以确定其是否满足磋商文件的实质性要求。</w:t>
      </w:r>
    </w:p>
    <w:p>
      <w:pPr>
        <w:pStyle w:val="17"/>
        <w:numPr>
          <w:ilvl w:val="0"/>
          <w:numId w:val="26"/>
        </w:numPr>
        <w:spacing w:line="360" w:lineRule="auto"/>
        <w:rPr>
          <w:rFonts w:hAnsi="宋体" w:cs="Arial"/>
          <w:sz w:val="24"/>
          <w:szCs w:val="24"/>
        </w:rPr>
      </w:pPr>
      <w:r>
        <w:rPr>
          <w:rFonts w:hint="eastAsia" w:hAnsi="宋体" w:cs="Arial"/>
          <w:sz w:val="24"/>
          <w:szCs w:val="24"/>
        </w:rPr>
        <w:t>本次综合评分的主要因素是：磋商报价、</w:t>
      </w:r>
      <w:r>
        <w:rPr>
          <w:rFonts w:hAnsi="宋体" w:cs="Arial"/>
          <w:sz w:val="24"/>
        </w:rPr>
        <w:t>技术</w:t>
      </w:r>
      <w:r>
        <w:rPr>
          <w:rFonts w:hint="eastAsia" w:hAnsi="宋体" w:cs="Arial"/>
          <w:sz w:val="24"/>
        </w:rPr>
        <w:t>水平</w:t>
      </w:r>
      <w:r>
        <w:rPr>
          <w:rFonts w:hint="eastAsia" w:hAnsi="宋体" w:cs="Arial"/>
          <w:sz w:val="24"/>
          <w:szCs w:val="24"/>
        </w:rPr>
        <w:t>、履约能力、</w:t>
      </w:r>
      <w:r>
        <w:rPr>
          <w:rFonts w:hAnsi="宋体" w:cs="Arial"/>
          <w:sz w:val="24"/>
        </w:rPr>
        <w:t>售后服务</w:t>
      </w:r>
      <w:r>
        <w:rPr>
          <w:rFonts w:hint="eastAsia" w:hAnsi="宋体" w:cs="Arial"/>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17"/>
        <w:spacing w:line="360" w:lineRule="auto"/>
        <w:ind w:left="840" w:leftChars="400" w:firstLine="480" w:firstLineChars="200"/>
        <w:rPr>
          <w:rFonts w:hAnsi="宋体" w:cs="宋体"/>
          <w:sz w:val="24"/>
          <w:szCs w:val="24"/>
          <w:lang w:val="zh-CN"/>
        </w:rPr>
      </w:pPr>
      <w:r>
        <w:rPr>
          <w:rFonts w:hint="eastAsia" w:hAnsi="宋体" w:cs="宋体"/>
          <w:sz w:val="24"/>
          <w:szCs w:val="24"/>
          <w:lang w:val="zh-CN"/>
        </w:rPr>
        <w:t>根据《政府采购促进中小企业发展暂行办法》，属小型、微型企业制造的货物（产品），磋商人须提供该制造（生产）企业出具的《小型、微型企业声明函》、《从业人员声明函》，其划型标准严格按照国家工信部、国家统计局、国家发改委、财政部出台的《中小企业划型标准规定》（工信部联企业[2011]300号）执行。磋商人提供的《小型、微型企业声明函》、《从业人员声明函》资料必须真实，否则，按照有关规定予以处理。</w:t>
      </w:r>
    </w:p>
    <w:p>
      <w:pPr>
        <w:pStyle w:val="17"/>
        <w:spacing w:line="360" w:lineRule="auto"/>
        <w:ind w:left="840" w:leftChars="400" w:firstLine="480" w:firstLineChars="200"/>
        <w:rPr>
          <w:rFonts w:hAnsi="宋体" w:cs="Arial"/>
          <w:sz w:val="24"/>
          <w:szCs w:val="24"/>
        </w:rPr>
      </w:pPr>
      <w:r>
        <w:rPr>
          <w:rFonts w:hint="eastAsia" w:hAnsi="宋体" w:cs="宋体"/>
          <w:sz w:val="24"/>
          <w:lang w:val="zh-CN"/>
        </w:rPr>
        <w:t>根据财政部、民政部、中国残疾人联合会出台的《关于促进残疾人就业政府采购政策的通知》（财库[2017]141号），属残疾人福利性单位的，投标人须提供《残疾人福利性单位声明函》（详见下册格式</w:t>
      </w:r>
      <w:r>
        <w:rPr>
          <w:rFonts w:hint="eastAsia" w:hAnsi="宋体" w:cs="宋体"/>
          <w:sz w:val="24"/>
        </w:rPr>
        <w:t>18</w:t>
      </w:r>
      <w:r>
        <w:rPr>
          <w:rFonts w:hint="eastAsia" w:hAnsi="宋体" w:cs="宋体"/>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pStyle w:val="17"/>
        <w:numPr>
          <w:ilvl w:val="0"/>
          <w:numId w:val="26"/>
        </w:numPr>
        <w:spacing w:line="360" w:lineRule="auto"/>
        <w:rPr>
          <w:rFonts w:hAnsi="宋体" w:cs="Arial"/>
          <w:sz w:val="24"/>
          <w:szCs w:val="24"/>
        </w:rPr>
      </w:pPr>
      <w:r>
        <w:rPr>
          <w:rFonts w:hint="eastAsia" w:hAnsi="宋体" w:cs="Arial"/>
          <w:sz w:val="24"/>
          <w:szCs w:val="24"/>
        </w:rPr>
        <w:t>除磋商价格因素外，评标委员会应依据磋商文件规定的评审方法和评审标准对其他因素进行客观评审；</w:t>
      </w:r>
    </w:p>
    <w:p>
      <w:pPr>
        <w:pStyle w:val="17"/>
        <w:numPr>
          <w:ilvl w:val="1"/>
          <w:numId w:val="25"/>
        </w:numPr>
        <w:spacing w:line="360" w:lineRule="auto"/>
        <w:rPr>
          <w:rFonts w:hAnsi="宋体"/>
          <w:sz w:val="24"/>
          <w:szCs w:val="24"/>
        </w:rPr>
      </w:pPr>
      <w:r>
        <w:rPr>
          <w:rFonts w:hint="eastAsia" w:hAnsi="宋体" w:cs="宋体"/>
          <w:sz w:val="24"/>
          <w:szCs w:val="24"/>
          <w:lang w:val="zh-CN"/>
        </w:rPr>
        <w:t>磋商响应文件中含义不明确、同类问题表述不一致或者有明显文字和计算错误的内容，评标委员会应当以书面形式要求磋商人作出必要的澄清、说明或者补正。</w:t>
      </w:r>
    </w:p>
    <w:p>
      <w:pPr>
        <w:pStyle w:val="17"/>
        <w:spacing w:line="360" w:lineRule="auto"/>
        <w:ind w:left="621"/>
        <w:rPr>
          <w:rFonts w:hAnsi="宋体"/>
          <w:sz w:val="24"/>
          <w:szCs w:val="24"/>
        </w:rPr>
      </w:pPr>
      <w:r>
        <w:rPr>
          <w:rFonts w:hint="eastAsia" w:hAnsi="宋体" w:cs="宋体"/>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pPr>
        <w:pStyle w:val="17"/>
        <w:numPr>
          <w:ilvl w:val="0"/>
          <w:numId w:val="27"/>
        </w:numPr>
        <w:spacing w:line="360" w:lineRule="auto"/>
        <w:rPr>
          <w:rFonts w:hAnsi="宋体" w:cs="Arial"/>
          <w:sz w:val="24"/>
          <w:szCs w:val="24"/>
        </w:rPr>
      </w:pPr>
      <w:r>
        <w:rPr>
          <w:rFonts w:hint="eastAsia" w:hAnsi="宋体" w:cs="Arial"/>
          <w:sz w:val="24"/>
          <w:szCs w:val="24"/>
        </w:rPr>
        <w:t>磋商人存在下列情况之一的，按无效磋商处理：</w:t>
      </w:r>
    </w:p>
    <w:p>
      <w:pPr>
        <w:pStyle w:val="17"/>
        <w:numPr>
          <w:ilvl w:val="0"/>
          <w:numId w:val="28"/>
        </w:numPr>
        <w:spacing w:line="360" w:lineRule="auto"/>
        <w:rPr>
          <w:rFonts w:hAnsi="宋体" w:cs="Arial"/>
          <w:sz w:val="24"/>
          <w:szCs w:val="24"/>
        </w:rPr>
      </w:pPr>
      <w:r>
        <w:rPr>
          <w:rFonts w:hint="eastAsia" w:hAnsi="宋体" w:cs="宋体"/>
          <w:sz w:val="24"/>
          <w:lang w:val="zh-CN"/>
        </w:rPr>
        <w:t>符合性审查文件未按招标文件要求签署、盖章的；</w:t>
      </w:r>
    </w:p>
    <w:p>
      <w:pPr>
        <w:pStyle w:val="17"/>
        <w:numPr>
          <w:ilvl w:val="0"/>
          <w:numId w:val="28"/>
        </w:numPr>
        <w:spacing w:line="360" w:lineRule="auto"/>
        <w:rPr>
          <w:rFonts w:hAnsi="宋体" w:cs="Arial"/>
          <w:sz w:val="24"/>
          <w:szCs w:val="24"/>
        </w:rPr>
      </w:pPr>
      <w:r>
        <w:rPr>
          <w:rFonts w:hint="eastAsia" w:hAnsi="宋体" w:cs="Arial"/>
          <w:sz w:val="24"/>
          <w:szCs w:val="24"/>
        </w:rPr>
        <w:t>产品交货期、磋商有效期不能满足磋商文件要求的；</w:t>
      </w:r>
    </w:p>
    <w:p>
      <w:pPr>
        <w:pStyle w:val="17"/>
        <w:numPr>
          <w:ilvl w:val="0"/>
          <w:numId w:val="28"/>
        </w:numPr>
        <w:spacing w:line="360" w:lineRule="auto"/>
        <w:rPr>
          <w:rFonts w:hAnsi="宋体" w:cs="Arial"/>
          <w:sz w:val="24"/>
          <w:szCs w:val="24"/>
        </w:rPr>
      </w:pPr>
      <w:r>
        <w:rPr>
          <w:rFonts w:hint="eastAsia" w:hAnsi="宋体" w:cs="Arial"/>
          <w:sz w:val="24"/>
          <w:szCs w:val="24"/>
        </w:rPr>
        <w:t>未按第11.2</w:t>
      </w:r>
      <w:r>
        <w:rPr>
          <w:rFonts w:hint="eastAsia" w:hAnsi="宋体" w:cs="宋体"/>
          <w:sz w:val="24"/>
          <w:lang w:val="zh-CN"/>
        </w:rPr>
        <w:t>（12）-</w:t>
      </w:r>
      <w:r>
        <w:rPr>
          <w:rFonts w:hAnsi="宋体" w:cs="宋体"/>
          <w:sz w:val="24"/>
          <w:lang w:val="zh-CN"/>
        </w:rPr>
        <w:t>（</w:t>
      </w:r>
      <w:r>
        <w:rPr>
          <w:rFonts w:hint="eastAsia" w:hAnsi="宋体" w:cs="宋体"/>
          <w:sz w:val="24"/>
          <w:lang w:val="zh-CN"/>
        </w:rPr>
        <w:t>15</w:t>
      </w:r>
      <w:r>
        <w:rPr>
          <w:rFonts w:hAnsi="宋体" w:cs="宋体"/>
          <w:sz w:val="24"/>
          <w:lang w:val="zh-CN"/>
        </w:rPr>
        <w:t>）</w:t>
      </w:r>
      <w:r>
        <w:rPr>
          <w:rFonts w:hint="eastAsia" w:hAnsi="宋体" w:cs="Arial"/>
          <w:sz w:val="24"/>
          <w:szCs w:val="24"/>
        </w:rPr>
        <w:t>款中要求提供相关资料的；</w:t>
      </w:r>
    </w:p>
    <w:p>
      <w:pPr>
        <w:pStyle w:val="17"/>
        <w:numPr>
          <w:ilvl w:val="0"/>
          <w:numId w:val="28"/>
        </w:numPr>
        <w:spacing w:line="360" w:lineRule="auto"/>
        <w:rPr>
          <w:rFonts w:hAnsi="宋体" w:cs="Arial"/>
          <w:sz w:val="24"/>
          <w:szCs w:val="24"/>
        </w:rPr>
      </w:pPr>
      <w:r>
        <w:rPr>
          <w:rFonts w:hint="eastAsia" w:hAnsi="宋体" w:cs="Arial"/>
          <w:sz w:val="24"/>
          <w:szCs w:val="24"/>
        </w:rPr>
        <w:t>磋商项目的</w:t>
      </w:r>
      <w:r>
        <w:rPr>
          <w:rFonts w:hint="eastAsia" w:hAnsi="宋体" w:cs="Arial"/>
          <w:sz w:val="24"/>
          <w:szCs w:val="24"/>
          <w:lang w:val="en-US" w:eastAsia="zh-CN"/>
        </w:rPr>
        <w:t>采购</w:t>
      </w:r>
      <w:r>
        <w:rPr>
          <w:rFonts w:hint="eastAsia" w:hAnsi="宋体" w:cs="Arial"/>
          <w:sz w:val="24"/>
          <w:szCs w:val="24"/>
        </w:rPr>
        <w:t>内</w:t>
      </w:r>
      <w:r>
        <w:rPr>
          <w:rFonts w:hint="eastAsia" w:hAnsi="宋体" w:cs="Arial"/>
          <w:sz w:val="24"/>
          <w:szCs w:val="24"/>
          <w:lang w:val="en-US" w:eastAsia="zh-CN"/>
        </w:rPr>
        <w:t>容</w:t>
      </w:r>
      <w:r>
        <w:rPr>
          <w:rFonts w:hint="eastAsia" w:hAnsi="宋体" w:cs="Arial"/>
          <w:sz w:val="24"/>
          <w:szCs w:val="24"/>
        </w:rPr>
        <w:t>明显不符合采购项目要求的；</w:t>
      </w:r>
    </w:p>
    <w:p>
      <w:pPr>
        <w:pStyle w:val="17"/>
        <w:numPr>
          <w:ilvl w:val="0"/>
          <w:numId w:val="28"/>
        </w:numPr>
        <w:spacing w:line="360" w:lineRule="auto"/>
        <w:rPr>
          <w:rFonts w:hAnsi="宋体" w:cs="Arial"/>
          <w:sz w:val="24"/>
          <w:szCs w:val="24"/>
        </w:rPr>
      </w:pPr>
      <w:r>
        <w:rPr>
          <w:rFonts w:hint="eastAsia"/>
          <w:sz w:val="24"/>
          <w:lang w:val="en-US" w:eastAsia="zh-CN"/>
        </w:rPr>
        <w:t>磋商</w:t>
      </w:r>
      <w:r>
        <w:rPr>
          <w:sz w:val="24"/>
        </w:rPr>
        <w:t>项目的技术规格、技术标准明显不符合采购项目要求的；</w:t>
      </w:r>
    </w:p>
    <w:p>
      <w:pPr>
        <w:pStyle w:val="17"/>
        <w:numPr>
          <w:ilvl w:val="0"/>
          <w:numId w:val="28"/>
        </w:numPr>
        <w:spacing w:line="360" w:lineRule="auto"/>
        <w:rPr>
          <w:rFonts w:hAnsi="宋体" w:cs="Arial"/>
          <w:sz w:val="24"/>
          <w:szCs w:val="24"/>
        </w:rPr>
      </w:pPr>
      <w:r>
        <w:rPr>
          <w:rFonts w:hint="eastAsia" w:hAnsi="宋体" w:cs="Arial"/>
          <w:sz w:val="24"/>
          <w:szCs w:val="24"/>
        </w:rPr>
        <w:t>磋商响应文件中含有采购单位不能接受的条件的；</w:t>
      </w:r>
    </w:p>
    <w:p>
      <w:pPr>
        <w:pStyle w:val="17"/>
        <w:numPr>
          <w:ilvl w:val="0"/>
          <w:numId w:val="28"/>
        </w:numPr>
        <w:spacing w:line="360" w:lineRule="auto"/>
        <w:rPr>
          <w:rFonts w:hAnsi="宋体" w:cs="Arial"/>
          <w:sz w:val="24"/>
          <w:szCs w:val="24"/>
        </w:rPr>
      </w:pPr>
      <w:r>
        <w:rPr>
          <w:rFonts w:hint="eastAsia" w:hAnsi="宋体" w:cs="Arial"/>
          <w:sz w:val="24"/>
          <w:szCs w:val="24"/>
        </w:rPr>
        <w:t>电子文档与纸质磋商响应文件正本不一致的；</w:t>
      </w:r>
    </w:p>
    <w:p>
      <w:pPr>
        <w:pStyle w:val="17"/>
        <w:numPr>
          <w:ilvl w:val="0"/>
          <w:numId w:val="28"/>
        </w:numPr>
        <w:spacing w:line="360" w:lineRule="auto"/>
        <w:rPr>
          <w:rFonts w:hAnsi="宋体" w:cs="Arial"/>
          <w:sz w:val="24"/>
          <w:szCs w:val="24"/>
        </w:rPr>
      </w:pPr>
      <w:r>
        <w:rPr>
          <w:rFonts w:hAnsi="宋体" w:cs="Arial"/>
          <w:sz w:val="24"/>
          <w:szCs w:val="24"/>
        </w:rPr>
        <w:t>最后报价出现两个或两个以上报价方案的。</w:t>
      </w:r>
    </w:p>
    <w:p>
      <w:pPr>
        <w:pStyle w:val="17"/>
        <w:numPr>
          <w:ilvl w:val="0"/>
          <w:numId w:val="28"/>
        </w:numPr>
        <w:spacing w:line="360" w:lineRule="auto"/>
        <w:rPr>
          <w:rFonts w:hAnsi="宋体" w:cs="Arial"/>
          <w:sz w:val="24"/>
          <w:szCs w:val="24"/>
        </w:rPr>
      </w:pPr>
      <w:r>
        <w:rPr>
          <w:rFonts w:hAnsi="宋体" w:cs="Arial"/>
          <w:sz w:val="24"/>
          <w:szCs w:val="24"/>
        </w:rPr>
        <w:t>最终报价超过采购预算额度的；</w:t>
      </w:r>
    </w:p>
    <w:p>
      <w:pPr>
        <w:pStyle w:val="17"/>
        <w:numPr>
          <w:ilvl w:val="0"/>
          <w:numId w:val="28"/>
        </w:numPr>
        <w:spacing w:line="360" w:lineRule="auto"/>
        <w:rPr>
          <w:rFonts w:hAnsi="宋体" w:cs="Arial"/>
          <w:sz w:val="24"/>
          <w:szCs w:val="24"/>
        </w:rPr>
      </w:pPr>
      <w:r>
        <w:rPr>
          <w:rFonts w:hint="eastAsia" w:hAnsi="宋体" w:cs="宋体"/>
          <w:sz w:val="24"/>
          <w:lang w:val="zh-CN"/>
        </w:rPr>
        <w:t>存在串通投标行为；</w:t>
      </w:r>
    </w:p>
    <w:p>
      <w:pPr>
        <w:pStyle w:val="17"/>
        <w:numPr>
          <w:ilvl w:val="0"/>
          <w:numId w:val="28"/>
        </w:numPr>
        <w:spacing w:line="360" w:lineRule="auto"/>
        <w:rPr>
          <w:rFonts w:hAnsi="宋体" w:cs="Arial"/>
          <w:sz w:val="24"/>
          <w:szCs w:val="24"/>
        </w:rPr>
      </w:pPr>
      <w:r>
        <w:rPr>
          <w:rFonts w:hint="eastAsia" w:hAnsi="宋体" w:cs="Arial"/>
          <w:sz w:val="24"/>
          <w:szCs w:val="24"/>
        </w:rPr>
        <w:t>法律、法规和磋商文件规定的其他无效情形。</w:t>
      </w:r>
    </w:p>
    <w:p>
      <w:pPr>
        <w:pStyle w:val="17"/>
        <w:numPr>
          <w:ilvl w:val="0"/>
          <w:numId w:val="27"/>
        </w:numPr>
        <w:spacing w:line="360" w:lineRule="auto"/>
        <w:rPr>
          <w:rFonts w:hAnsi="宋体" w:cs="Arial"/>
          <w:sz w:val="24"/>
          <w:szCs w:val="24"/>
        </w:rPr>
      </w:pPr>
      <w:r>
        <w:rPr>
          <w:rFonts w:hint="eastAsia" w:hAnsi="宋体" w:cs="Arial"/>
          <w:sz w:val="24"/>
          <w:szCs w:val="24"/>
        </w:rPr>
        <w:t>磋商响应文件报价出现前后不一致的，按照下列规定修正：</w:t>
      </w:r>
    </w:p>
    <w:p>
      <w:pPr>
        <w:pStyle w:val="17"/>
        <w:numPr>
          <w:ilvl w:val="0"/>
          <w:numId w:val="29"/>
        </w:numPr>
        <w:spacing w:line="360" w:lineRule="auto"/>
        <w:rPr>
          <w:rFonts w:hAnsi="宋体" w:cs="Arial"/>
          <w:sz w:val="24"/>
          <w:szCs w:val="24"/>
        </w:rPr>
      </w:pPr>
      <w:r>
        <w:rPr>
          <w:rFonts w:hint="eastAsia" w:hAnsi="宋体" w:cs="Arial"/>
          <w:sz w:val="24"/>
          <w:szCs w:val="24"/>
        </w:rPr>
        <w:t>大写金额和小写金额不一致的，以大写金额为准；</w:t>
      </w:r>
    </w:p>
    <w:p>
      <w:pPr>
        <w:pStyle w:val="17"/>
        <w:numPr>
          <w:ilvl w:val="0"/>
          <w:numId w:val="29"/>
        </w:numPr>
        <w:spacing w:line="360" w:lineRule="auto"/>
        <w:rPr>
          <w:rFonts w:hAnsi="宋体" w:cs="Arial"/>
          <w:sz w:val="24"/>
          <w:szCs w:val="24"/>
        </w:rPr>
      </w:pPr>
      <w:r>
        <w:rPr>
          <w:rFonts w:hint="eastAsia" w:hAnsi="宋体" w:cs="Arial"/>
          <w:sz w:val="24"/>
          <w:szCs w:val="24"/>
        </w:rPr>
        <w:t>总价金额与按单价汇总金额不一致的，以单价金额计算结果为准。</w:t>
      </w:r>
    </w:p>
    <w:p>
      <w:pPr>
        <w:pStyle w:val="17"/>
        <w:spacing w:line="360" w:lineRule="auto"/>
        <w:ind w:left="1129"/>
        <w:rPr>
          <w:rFonts w:hAnsi="宋体" w:cs="宋体"/>
          <w:sz w:val="24"/>
          <w:szCs w:val="24"/>
        </w:rPr>
      </w:pPr>
      <w:r>
        <w:rPr>
          <w:rFonts w:hint="eastAsia" w:hAnsi="宋体" w:cs="宋体"/>
          <w:sz w:val="24"/>
          <w:szCs w:val="24"/>
        </w:rPr>
        <w:t>同时出现两种以上不一致的，按照前款规定的顺序修正。修正后的报价按17.2第二款的规定经磋商人确认后产生约束力，磋商人不确认的，其投标无效。</w:t>
      </w:r>
    </w:p>
    <w:p>
      <w:pPr>
        <w:pStyle w:val="17"/>
        <w:numPr>
          <w:ilvl w:val="1"/>
          <w:numId w:val="25"/>
        </w:numPr>
        <w:spacing w:line="360" w:lineRule="auto"/>
        <w:rPr>
          <w:rFonts w:hAnsi="宋体" w:cs="Arial"/>
          <w:sz w:val="24"/>
          <w:szCs w:val="24"/>
        </w:rPr>
      </w:pPr>
      <w:r>
        <w:rPr>
          <w:rFonts w:hint="eastAsia" w:hAnsi="宋体" w:cs="宋体"/>
          <w:sz w:val="24"/>
          <w:szCs w:val="24"/>
          <w:lang w:val="zh-CN"/>
        </w:rPr>
        <w:t>在评审过程中，</w:t>
      </w:r>
      <w:r>
        <w:rPr>
          <w:rFonts w:hint="eastAsia" w:hAnsi="宋体" w:cs="宋体"/>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pStyle w:val="17"/>
        <w:numPr>
          <w:ilvl w:val="1"/>
          <w:numId w:val="25"/>
        </w:numPr>
        <w:spacing w:line="360" w:lineRule="auto"/>
        <w:rPr>
          <w:rFonts w:hAnsi="宋体" w:cs="Arial"/>
          <w:sz w:val="24"/>
          <w:szCs w:val="24"/>
        </w:rPr>
      </w:pPr>
      <w:r>
        <w:rPr>
          <w:rFonts w:hint="eastAsia" w:hAnsi="宋体" w:cs="宋体"/>
          <w:sz w:val="24"/>
          <w:szCs w:val="24"/>
          <w:shd w:val="clear" w:color="auto" w:fill="FFFFFF"/>
        </w:rPr>
        <w:t>评标委员会应当按照磋商文件中规定的评标方法和标准，对符合性审查合格的磋商响应文件进行商务和技术评估，综合比较与评价。</w:t>
      </w:r>
    </w:p>
    <w:p>
      <w:pPr>
        <w:pStyle w:val="17"/>
        <w:numPr>
          <w:ilvl w:val="1"/>
          <w:numId w:val="25"/>
        </w:numPr>
        <w:spacing w:line="360" w:lineRule="auto"/>
        <w:rPr>
          <w:rFonts w:hAnsi="宋体" w:cs="Arial"/>
          <w:sz w:val="24"/>
          <w:szCs w:val="24"/>
        </w:rPr>
      </w:pPr>
      <w:r>
        <w:rPr>
          <w:rFonts w:hint="eastAsia" w:hAnsi="宋体" w:cs="宋体"/>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pPr>
        <w:pStyle w:val="17"/>
        <w:numPr>
          <w:ilvl w:val="1"/>
          <w:numId w:val="25"/>
        </w:numPr>
        <w:spacing w:line="360" w:lineRule="auto"/>
        <w:rPr>
          <w:rFonts w:hAnsi="宋体" w:cs="Arial"/>
          <w:sz w:val="24"/>
          <w:szCs w:val="24"/>
        </w:rPr>
      </w:pPr>
      <w:r>
        <w:rPr>
          <w:rFonts w:hint="eastAsia" w:hAnsi="宋体" w:cs="宋体"/>
          <w:sz w:val="24"/>
          <w:szCs w:val="24"/>
          <w:shd w:val="clear" w:color="auto" w:fill="FFFFFF"/>
        </w:rPr>
        <w:t>综合评分法的采购项目，提供相同品牌产品且通过资格审查、符合性审查的不同磋商人参加同一合同项下投标的，按一家磋商人计算，评审后得分最高的同品牌磋商人获得中标人推荐资格；评审得分相同的，由采购人或者采购人委托评标委员会按照磋商文件规定的方式确定一个磋商人获得中标人推荐资格，磋商文件未规定的采取随机抽取方式确定，其他同品牌磋商人不作为中标候选人。</w:t>
      </w:r>
    </w:p>
    <w:p>
      <w:pPr>
        <w:pStyle w:val="17"/>
        <w:spacing w:line="360" w:lineRule="auto"/>
        <w:ind w:left="621"/>
        <w:rPr>
          <w:rFonts w:hAnsi="宋体" w:cs="Arial"/>
          <w:sz w:val="24"/>
          <w:szCs w:val="24"/>
        </w:rPr>
      </w:pPr>
      <w:r>
        <w:rPr>
          <w:rFonts w:hint="eastAsia" w:hAnsi="宋体" w:cs="宋体"/>
          <w:sz w:val="24"/>
          <w:szCs w:val="24"/>
          <w:shd w:val="clear" w:color="auto" w:fill="FFFFFF"/>
        </w:rPr>
        <w:t>非单一产品采购项目，采购人应当根据采购项目技术构成、产品价格比重等合理确定核心产品，并在磋商文件中载明。多家磋商人提供的核心产品品牌相同的，按前款规定处理。</w:t>
      </w:r>
    </w:p>
    <w:p>
      <w:pPr>
        <w:pStyle w:val="6"/>
        <w:numPr>
          <w:ilvl w:val="0"/>
          <w:numId w:val="3"/>
        </w:numPr>
        <w:spacing w:before="0" w:after="0" w:line="360" w:lineRule="auto"/>
        <w:rPr>
          <w:rFonts w:ascii="宋体" w:hAnsi="宋体"/>
          <w:b w:val="0"/>
        </w:rPr>
      </w:pPr>
      <w:bookmarkStart w:id="63" w:name="_Toc488673635"/>
      <w:bookmarkStart w:id="64" w:name="_Toc1575320"/>
      <w:r>
        <w:rPr>
          <w:rFonts w:hint="eastAsia" w:ascii="宋体" w:hAnsi="宋体"/>
          <w:b w:val="0"/>
        </w:rPr>
        <w:t>评审办法</w:t>
      </w:r>
      <w:bookmarkEnd w:id="63"/>
      <w:bookmarkEnd w:id="64"/>
    </w:p>
    <w:p>
      <w:pPr>
        <w:pStyle w:val="17"/>
        <w:numPr>
          <w:ilvl w:val="1"/>
          <w:numId w:val="30"/>
        </w:numPr>
        <w:spacing w:line="360" w:lineRule="auto"/>
        <w:jc w:val="left"/>
        <w:rPr>
          <w:rFonts w:hAnsi="宋体"/>
          <w:sz w:val="24"/>
          <w:szCs w:val="28"/>
        </w:rPr>
      </w:pPr>
      <w:r>
        <w:rPr>
          <w:rFonts w:hint="eastAsia" w:hAnsi="宋体"/>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pPr>
        <w:pStyle w:val="17"/>
        <w:numPr>
          <w:ilvl w:val="1"/>
          <w:numId w:val="30"/>
        </w:numPr>
        <w:spacing w:line="360" w:lineRule="auto"/>
        <w:jc w:val="left"/>
        <w:rPr>
          <w:rFonts w:hAnsi="宋体"/>
          <w:sz w:val="24"/>
          <w:szCs w:val="24"/>
        </w:rPr>
      </w:pPr>
      <w:r>
        <w:rPr>
          <w:rFonts w:hint="eastAsia" w:hAnsi="宋体" w:cs="宋体"/>
          <w:sz w:val="24"/>
          <w:szCs w:val="24"/>
          <w:lang w:val="zh-CN"/>
        </w:rPr>
        <w:t>本次评审方法采用综合评分法</w:t>
      </w:r>
      <w:r>
        <w:rPr>
          <w:rFonts w:hint="eastAsia" w:hAnsi="宋体" w:cs="宋体"/>
          <w:sz w:val="24"/>
          <w:szCs w:val="24"/>
        </w:rPr>
        <w:t>。</w:t>
      </w:r>
    </w:p>
    <w:p>
      <w:pPr>
        <w:pStyle w:val="17"/>
        <w:numPr>
          <w:ilvl w:val="1"/>
          <w:numId w:val="30"/>
        </w:numPr>
        <w:spacing w:line="360" w:lineRule="auto"/>
        <w:jc w:val="left"/>
        <w:rPr>
          <w:rFonts w:hAnsi="宋体"/>
          <w:sz w:val="24"/>
        </w:rPr>
      </w:pPr>
      <w:r>
        <w:rPr>
          <w:rFonts w:hAnsi="宋体" w:cs="Arial"/>
          <w:sz w:val="24"/>
          <w:szCs w:val="24"/>
        </w:rPr>
        <w:t>评审标准和分值分配</w:t>
      </w:r>
      <w:r>
        <w:rPr>
          <w:rFonts w:hint="eastAsia" w:hAnsi="宋体" w:cs="Arial"/>
          <w:sz w:val="24"/>
          <w:szCs w:val="24"/>
        </w:rPr>
        <w:t>：</w:t>
      </w:r>
    </w:p>
    <w:p>
      <w:pPr>
        <w:pStyle w:val="17"/>
        <w:spacing w:line="360" w:lineRule="auto"/>
        <w:ind w:firstLine="482" w:firstLineChars="200"/>
        <w:jc w:val="left"/>
        <w:rPr>
          <w:rFonts w:hint="eastAsia" w:hAnsi="宋体"/>
          <w:b/>
          <w:sz w:val="24"/>
        </w:rPr>
      </w:pPr>
      <w:bookmarkStart w:id="65" w:name="_Hlk497723873"/>
      <w:r>
        <w:rPr>
          <w:rFonts w:hint="eastAsia" w:hAnsi="宋体"/>
          <w:b/>
          <w:sz w:val="24"/>
        </w:rPr>
        <w:t>具体项目及评分细则：</w:t>
      </w:r>
    </w:p>
    <w:tbl>
      <w:tblPr>
        <w:tblStyle w:val="32"/>
        <w:tblW w:w="0" w:type="auto"/>
        <w:jc w:val="center"/>
        <w:tblLayout w:type="fixed"/>
        <w:tblCellMar>
          <w:top w:w="0" w:type="dxa"/>
          <w:left w:w="108" w:type="dxa"/>
          <w:bottom w:w="0" w:type="dxa"/>
          <w:right w:w="108" w:type="dxa"/>
        </w:tblCellMar>
      </w:tblPr>
      <w:tblGrid>
        <w:gridCol w:w="740"/>
        <w:gridCol w:w="1366"/>
        <w:gridCol w:w="6933"/>
      </w:tblGrid>
      <w:tr>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序号</w:t>
            </w:r>
          </w:p>
        </w:tc>
        <w:tc>
          <w:tcPr>
            <w:tcW w:w="136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lang w:val="zh-CN"/>
              </w:rPr>
              <w:t>评审</w:t>
            </w:r>
            <w:r>
              <w:rPr>
                <w:rFonts w:hint="eastAsia" w:ascii="宋体" w:hAnsi="宋体" w:cs="宋体"/>
                <w:color w:val="auto"/>
                <w:sz w:val="24"/>
                <w:szCs w:val="24"/>
              </w:rPr>
              <w:t>因素</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rPr>
              <w:t>评审标准</w:t>
            </w:r>
          </w:p>
        </w:tc>
      </w:tr>
      <w:tr>
        <w:tblPrEx>
          <w:tblCellMar>
            <w:top w:w="0" w:type="dxa"/>
            <w:left w:w="108" w:type="dxa"/>
            <w:bottom w:w="0" w:type="dxa"/>
            <w:right w:w="108" w:type="dxa"/>
          </w:tblCellMar>
        </w:tblPrEx>
        <w:trPr>
          <w:trHeight w:val="976" w:hRule="atLeast"/>
          <w:jc w:val="center"/>
        </w:trPr>
        <w:tc>
          <w:tcPr>
            <w:tcW w:w="74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rPr>
              <w:t>1</w:t>
            </w:r>
          </w:p>
        </w:tc>
        <w:tc>
          <w:tcPr>
            <w:tcW w:w="136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rPr>
              <w:t>投标报价</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rPr>
              <w:t>(30分)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在所有的有效投标报价中，以最低投标报价为基准价，其价格分为满分。其他投标人的报价分统一按下列公式计算：投标报价得分=(评标基准价／投标报价)×价格权值（</w:t>
            </w:r>
            <w:r>
              <w:rPr>
                <w:rFonts w:hint="eastAsia" w:ascii="宋体" w:hAnsi="宋体" w:cs="宋体"/>
                <w:color w:val="auto"/>
                <w:sz w:val="24"/>
                <w:szCs w:val="24"/>
              </w:rPr>
              <w:t>30</w:t>
            </w:r>
            <w:r>
              <w:rPr>
                <w:rFonts w:hint="eastAsia" w:ascii="宋体" w:hAnsi="宋体" w:cs="宋体"/>
                <w:color w:val="auto"/>
                <w:sz w:val="24"/>
                <w:szCs w:val="24"/>
                <w:lang w:val="zh-CN"/>
              </w:rPr>
              <w:t>%）×100（四舍五入后保留小数点后两位）。</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注：1.根据《政府采购促进中小企业发展暂行办法》的相关规定，对小型和微型企业制造（生产）产品的价格给予6%的扣除，用扣除后的价格参与评审。</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2.残疾人福利性单位属于小型、微型企业的，不重复享受政策。</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lang w:val="zh-CN"/>
              </w:rPr>
              <w:t>3.根据《关于促进残疾人就业政府采购政策的通知》（财库（2017）141号），残疾人福利性单位视同小型、微型企业。</w:t>
            </w:r>
          </w:p>
        </w:tc>
      </w:tr>
      <w:tr>
        <w:tblPrEx>
          <w:tblCellMar>
            <w:top w:w="0" w:type="dxa"/>
            <w:left w:w="108" w:type="dxa"/>
            <w:bottom w:w="0" w:type="dxa"/>
            <w:right w:w="108" w:type="dxa"/>
          </w:tblCellMar>
        </w:tblPrEx>
        <w:trPr>
          <w:trHeight w:val="2993" w:hRule="atLeast"/>
          <w:jc w:val="center"/>
        </w:trPr>
        <w:tc>
          <w:tcPr>
            <w:tcW w:w="74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rPr>
              <w:t>2</w:t>
            </w:r>
          </w:p>
        </w:tc>
        <w:tc>
          <w:tcPr>
            <w:tcW w:w="136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技术水平</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32</w:t>
            </w:r>
            <w:r>
              <w:rPr>
                <w:rFonts w:hint="eastAsia" w:ascii="宋体" w:hAnsi="宋体" w:cs="宋体"/>
                <w:color w:val="auto"/>
                <w:sz w:val="24"/>
                <w:szCs w:val="24"/>
              </w:rPr>
              <w:t>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lang w:val="zh-CN"/>
              </w:rPr>
              <w:t>（1）</w:t>
            </w:r>
            <w:r>
              <w:rPr>
                <w:rFonts w:hint="eastAsia" w:ascii="宋体" w:hAnsi="宋体" w:cs="宋体"/>
                <w:color w:val="auto"/>
                <w:sz w:val="24"/>
                <w:szCs w:val="24"/>
              </w:rPr>
              <w:t>技术参数：投标产品技术参数和配置完全满足或高于招标文件要求的，得</w:t>
            </w:r>
            <w:r>
              <w:rPr>
                <w:rFonts w:hint="eastAsia" w:ascii="宋体" w:hAnsi="宋体" w:cs="宋体"/>
                <w:color w:val="auto"/>
                <w:sz w:val="24"/>
                <w:szCs w:val="24"/>
                <w:lang w:val="en-US" w:eastAsia="zh-CN"/>
              </w:rPr>
              <w:t>30</w:t>
            </w:r>
            <w:r>
              <w:rPr>
                <w:rFonts w:hint="eastAsia" w:ascii="宋体" w:hAnsi="宋体" w:cs="宋体"/>
                <w:color w:val="auto"/>
                <w:sz w:val="24"/>
                <w:szCs w:val="24"/>
              </w:rPr>
              <w:t>分；</w:t>
            </w:r>
            <w:r>
              <w:rPr>
                <w:rFonts w:hint="eastAsia" w:ascii="宋体" w:hAnsi="宋体" w:cs="宋体"/>
                <w:color w:val="auto"/>
                <w:sz w:val="24"/>
                <w:szCs w:val="24"/>
                <w:lang w:val="en-US" w:eastAsia="zh-CN"/>
              </w:rPr>
              <w:t>核心产品</w:t>
            </w:r>
            <w:r>
              <w:rPr>
                <w:rFonts w:hint="eastAsia" w:ascii="宋体" w:hAnsi="宋体" w:cs="宋体"/>
                <w:color w:val="auto"/>
                <w:sz w:val="24"/>
                <w:szCs w:val="24"/>
              </w:rPr>
              <w:t>每有一项负偏离扣</w:t>
            </w:r>
            <w:r>
              <w:rPr>
                <w:rFonts w:hint="eastAsia" w:ascii="宋体" w:hAnsi="宋体" w:cs="宋体"/>
                <w:color w:val="auto"/>
                <w:sz w:val="24"/>
                <w:szCs w:val="24"/>
                <w:lang w:val="en-US" w:eastAsia="zh-CN"/>
              </w:rPr>
              <w:t>5</w:t>
            </w:r>
            <w:r>
              <w:rPr>
                <w:rFonts w:hint="eastAsia" w:ascii="宋体" w:hAnsi="宋体" w:cs="宋体"/>
                <w:color w:val="auto"/>
                <w:sz w:val="24"/>
                <w:szCs w:val="24"/>
              </w:rPr>
              <w:t>分，</w:t>
            </w:r>
            <w:r>
              <w:rPr>
                <w:rFonts w:hint="eastAsia" w:ascii="宋体" w:hAnsi="宋体" w:cs="宋体"/>
                <w:color w:val="auto"/>
                <w:sz w:val="24"/>
                <w:szCs w:val="24"/>
                <w:lang w:val="en-US" w:eastAsia="zh-CN"/>
              </w:rPr>
              <w:t>非核心产品每有一项负偏离扣3分，</w:t>
            </w:r>
            <w:r>
              <w:rPr>
                <w:rFonts w:hint="eastAsia" w:ascii="宋体" w:hAnsi="宋体" w:cs="宋体"/>
                <w:color w:val="auto"/>
                <w:sz w:val="24"/>
                <w:szCs w:val="24"/>
              </w:rPr>
              <w:t>扣完该项得分为止</w:t>
            </w:r>
            <w:r>
              <w:rPr>
                <w:rFonts w:hint="eastAsia" w:ascii="宋体" w:hAnsi="宋体" w:cs="宋体"/>
                <w:color w:val="auto"/>
                <w:sz w:val="24"/>
                <w:szCs w:val="24"/>
                <w:lang w:eastAsia="zh-CN"/>
              </w:rPr>
              <w:t>（</w:t>
            </w:r>
            <w:r>
              <w:rPr>
                <w:rFonts w:hint="eastAsia" w:ascii="宋体" w:hAnsi="宋体" w:cs="宋体"/>
                <w:color w:val="auto"/>
                <w:sz w:val="24"/>
                <w:szCs w:val="24"/>
              </w:rPr>
              <w:t>此项评分以产品彩页、检测报告等为依据</w:t>
            </w:r>
            <w:r>
              <w:rPr>
                <w:rFonts w:hint="eastAsia" w:ascii="宋体" w:hAnsi="宋体" w:cs="宋体"/>
                <w:color w:val="auto"/>
                <w:sz w:val="24"/>
                <w:szCs w:val="24"/>
                <w:lang w:eastAsia="zh-CN"/>
              </w:rPr>
              <w:t>）</w:t>
            </w:r>
            <w:r>
              <w:rPr>
                <w:rFonts w:hint="eastAsia" w:ascii="宋体" w:hAnsi="宋体" w:cs="宋体"/>
                <w:color w:val="auto"/>
                <w:sz w:val="24"/>
                <w:szCs w:val="24"/>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2）节能和环保：所投产品为节能产品，得1分，所投产品为环保产品，得1分，共2分；未提供不得分。该项得分的认定以《国家节能产品认证证书》、《中国环境标志产品认证证书》复印件和政府部门公布的《节能产品政府采购清单》、《环境标志产品政府采购清单》网页截屏为准。</w:t>
            </w:r>
          </w:p>
        </w:tc>
      </w:tr>
      <w:tr>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rPr>
              <w:t>3</w:t>
            </w:r>
          </w:p>
        </w:tc>
        <w:tc>
          <w:tcPr>
            <w:tcW w:w="136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履约能力</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rPr>
              <w:t>（</w:t>
            </w:r>
            <w:r>
              <w:rPr>
                <w:rFonts w:hint="eastAsia" w:ascii="宋体" w:hAnsi="宋体" w:cs="宋体"/>
                <w:color w:val="auto"/>
                <w:sz w:val="24"/>
                <w:szCs w:val="24"/>
                <w:lang w:val="en-US" w:eastAsia="zh-CN"/>
              </w:rPr>
              <w:t>26</w:t>
            </w:r>
            <w:r>
              <w:rPr>
                <w:rFonts w:hint="eastAsia" w:ascii="宋体" w:hAnsi="宋体" w:cs="宋体"/>
                <w:color w:val="auto"/>
                <w:sz w:val="24"/>
                <w:szCs w:val="24"/>
              </w:rPr>
              <w:t>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类似业绩情况：提供</w:t>
            </w:r>
            <w:r>
              <w:rPr>
                <w:rFonts w:hint="eastAsia" w:ascii="宋体" w:hAnsi="宋体" w:cs="宋体"/>
                <w:color w:val="auto"/>
                <w:sz w:val="24"/>
                <w:szCs w:val="24"/>
                <w:lang w:val="en-US" w:eastAsia="zh-CN"/>
              </w:rPr>
              <w:t>2017年以来</w:t>
            </w:r>
            <w:r>
              <w:rPr>
                <w:rFonts w:hint="eastAsia" w:ascii="宋体" w:hAnsi="宋体" w:cs="宋体"/>
                <w:color w:val="auto"/>
                <w:sz w:val="24"/>
                <w:szCs w:val="24"/>
              </w:rPr>
              <w:t>的投标人类似业绩证明材料（提供</w:t>
            </w:r>
            <w:r>
              <w:rPr>
                <w:rFonts w:hint="eastAsia" w:ascii="宋体" w:hAnsi="宋体" w:cs="宋体"/>
                <w:color w:val="auto"/>
                <w:sz w:val="24"/>
                <w:szCs w:val="24"/>
                <w:lang w:val="en-US" w:eastAsia="zh-CN"/>
              </w:rPr>
              <w:t>中标通知书和</w:t>
            </w:r>
            <w:r>
              <w:rPr>
                <w:rFonts w:hint="eastAsia" w:ascii="宋体" w:hAnsi="宋体" w:cs="宋体"/>
                <w:color w:val="auto"/>
                <w:sz w:val="24"/>
                <w:szCs w:val="24"/>
              </w:rPr>
              <w:t>合同</w:t>
            </w:r>
            <w:r>
              <w:rPr>
                <w:rFonts w:hint="eastAsia" w:ascii="宋体" w:hAnsi="宋体" w:cs="宋体"/>
                <w:color w:val="auto"/>
                <w:sz w:val="24"/>
                <w:szCs w:val="24"/>
                <w:lang w:val="en-US" w:eastAsia="zh-CN"/>
              </w:rPr>
              <w:t>协议书</w:t>
            </w:r>
            <w:r>
              <w:rPr>
                <w:rFonts w:hint="eastAsia" w:ascii="宋体" w:hAnsi="宋体" w:cs="宋体"/>
                <w:color w:val="auto"/>
                <w:sz w:val="24"/>
                <w:szCs w:val="24"/>
              </w:rPr>
              <w:t>复印件），每提供1项得</w:t>
            </w:r>
            <w:r>
              <w:rPr>
                <w:rFonts w:hint="eastAsia" w:ascii="宋体" w:hAnsi="宋体" w:cs="宋体"/>
                <w:color w:val="auto"/>
                <w:sz w:val="24"/>
                <w:szCs w:val="24"/>
                <w:lang w:val="en-US" w:eastAsia="zh-CN"/>
              </w:rPr>
              <w:t>2</w:t>
            </w:r>
            <w:r>
              <w:rPr>
                <w:rFonts w:hint="eastAsia" w:ascii="宋体" w:hAnsi="宋体" w:cs="宋体"/>
                <w:color w:val="auto"/>
                <w:sz w:val="24"/>
                <w:szCs w:val="24"/>
              </w:rPr>
              <w:t>分,满分</w:t>
            </w:r>
            <w:r>
              <w:rPr>
                <w:rFonts w:hint="eastAsia" w:ascii="宋体" w:hAnsi="宋体" w:cs="宋体"/>
                <w:color w:val="auto"/>
                <w:sz w:val="24"/>
                <w:szCs w:val="24"/>
                <w:lang w:val="en-US" w:eastAsia="zh-CN"/>
              </w:rPr>
              <w:t>8</w:t>
            </w:r>
            <w:r>
              <w:rPr>
                <w:rFonts w:hint="eastAsia" w:ascii="宋体" w:hAnsi="宋体" w:cs="宋体"/>
                <w:color w:val="auto"/>
                <w:sz w:val="24"/>
                <w:szCs w:val="24"/>
              </w:rPr>
              <w:t>分；不提供不得分。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cs="宋体"/>
                <w:color w:val="auto"/>
                <w:sz w:val="24"/>
                <w:szCs w:val="24"/>
              </w:rPr>
              <w:t>项目管理及实施方案：</w:t>
            </w:r>
            <w:r>
              <w:rPr>
                <w:rFonts w:hint="eastAsia" w:ascii="宋体" w:hAnsi="宋体" w:cs="宋体"/>
                <w:color w:val="auto"/>
                <w:sz w:val="24"/>
                <w:szCs w:val="24"/>
                <w:lang w:val="en-US" w:eastAsia="zh-CN"/>
              </w:rPr>
              <w:t>设置了项目管理机构，并且有科学、具体的项目管理措施、技术人员配置、技术方案</w:t>
            </w:r>
            <w:r>
              <w:rPr>
                <w:rFonts w:hint="eastAsia" w:ascii="宋体" w:hAnsi="宋体" w:cs="宋体"/>
                <w:color w:val="auto"/>
                <w:sz w:val="24"/>
                <w:szCs w:val="24"/>
              </w:rPr>
              <w:t>能够结合项目特点制定</w:t>
            </w:r>
            <w:r>
              <w:rPr>
                <w:rFonts w:hint="eastAsia" w:ascii="宋体" w:hAnsi="宋体" w:cs="宋体"/>
                <w:color w:val="auto"/>
                <w:sz w:val="24"/>
                <w:szCs w:val="24"/>
                <w:lang w:val="en-US" w:eastAsia="zh-CN"/>
              </w:rPr>
              <w:t>的，</w:t>
            </w:r>
            <w:r>
              <w:rPr>
                <w:rFonts w:hint="eastAsia" w:ascii="宋体" w:hAnsi="宋体" w:cs="宋体"/>
                <w:color w:val="auto"/>
                <w:sz w:val="24"/>
                <w:szCs w:val="24"/>
              </w:rPr>
              <w:t>优秀的得</w:t>
            </w:r>
            <w:r>
              <w:rPr>
                <w:rFonts w:hint="eastAsia" w:ascii="宋体" w:hAnsi="宋体" w:cs="宋体"/>
                <w:color w:val="auto"/>
                <w:sz w:val="24"/>
                <w:szCs w:val="24"/>
                <w:lang w:val="en-US" w:eastAsia="zh-CN"/>
              </w:rPr>
              <w:t>8</w:t>
            </w:r>
            <w:r>
              <w:rPr>
                <w:rFonts w:hint="eastAsia" w:ascii="宋体" w:hAnsi="宋体" w:cs="宋体"/>
                <w:color w:val="auto"/>
                <w:sz w:val="24"/>
                <w:szCs w:val="24"/>
              </w:rPr>
              <w:t>分，</w:t>
            </w:r>
            <w:r>
              <w:rPr>
                <w:rFonts w:hint="eastAsia" w:ascii="宋体" w:hAnsi="宋体" w:cs="宋体"/>
                <w:color w:val="auto"/>
                <w:sz w:val="24"/>
                <w:szCs w:val="24"/>
                <w:lang w:val="en-US" w:eastAsia="zh-CN"/>
              </w:rPr>
              <w:t>较好的得5分，</w:t>
            </w:r>
            <w:r>
              <w:rPr>
                <w:rFonts w:hint="eastAsia" w:ascii="宋体" w:hAnsi="宋体" w:cs="宋体"/>
                <w:color w:val="auto"/>
                <w:sz w:val="24"/>
                <w:szCs w:val="24"/>
              </w:rPr>
              <w:t>良好的得3分，一般的得</w:t>
            </w:r>
            <w:r>
              <w:rPr>
                <w:rFonts w:hint="eastAsia" w:ascii="宋体" w:hAnsi="宋体" w:cs="宋体"/>
                <w:color w:val="auto"/>
                <w:sz w:val="24"/>
                <w:szCs w:val="24"/>
                <w:lang w:val="en-US" w:eastAsia="zh-CN"/>
              </w:rPr>
              <w:t>1</w:t>
            </w:r>
            <w:r>
              <w:rPr>
                <w:rFonts w:hint="eastAsia" w:ascii="宋体" w:hAnsi="宋体" w:cs="宋体"/>
                <w:color w:val="auto"/>
                <w:sz w:val="24"/>
                <w:szCs w:val="24"/>
              </w:rPr>
              <w:t>分，没有不得分。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lang w:val="zh-CN" w:eastAsia="zh-CN"/>
              </w:rPr>
              <w:t>根据</w:t>
            </w:r>
            <w:r>
              <w:rPr>
                <w:rFonts w:hint="eastAsia" w:ascii="宋体" w:hAnsi="宋体" w:cs="宋体"/>
                <w:color w:val="auto"/>
                <w:sz w:val="24"/>
                <w:szCs w:val="24"/>
                <w:lang w:val="en-US" w:eastAsia="zh-CN"/>
              </w:rPr>
              <w:t>项目实施进度、质量控制措施、安全保障</w:t>
            </w:r>
            <w:r>
              <w:rPr>
                <w:rFonts w:hint="eastAsia" w:ascii="宋体" w:hAnsi="宋体" w:cs="宋体"/>
                <w:color w:val="auto"/>
                <w:sz w:val="24"/>
                <w:szCs w:val="24"/>
                <w:lang w:val="zh-CN" w:eastAsia="zh-CN"/>
              </w:rPr>
              <w:t>措施的合理性、</w:t>
            </w:r>
            <w:r>
              <w:rPr>
                <w:rFonts w:hint="eastAsia" w:ascii="宋体" w:hAnsi="宋体" w:cs="宋体"/>
                <w:color w:val="auto"/>
                <w:sz w:val="24"/>
                <w:szCs w:val="24"/>
                <w:lang w:val="en-US" w:eastAsia="zh-CN"/>
              </w:rPr>
              <w:t>周密</w:t>
            </w:r>
            <w:r>
              <w:rPr>
                <w:rFonts w:hint="eastAsia" w:ascii="宋体" w:hAnsi="宋体" w:cs="宋体"/>
                <w:color w:val="auto"/>
                <w:sz w:val="24"/>
                <w:szCs w:val="24"/>
                <w:lang w:val="zh-CN" w:eastAsia="zh-CN"/>
              </w:rPr>
              <w:t>性等</w:t>
            </w:r>
            <w:r>
              <w:rPr>
                <w:rFonts w:hint="eastAsia" w:ascii="宋体" w:hAnsi="宋体" w:cs="宋体"/>
                <w:color w:val="auto"/>
                <w:sz w:val="24"/>
                <w:szCs w:val="24"/>
              </w:rPr>
              <w:t>好的得</w:t>
            </w:r>
            <w:r>
              <w:rPr>
                <w:rFonts w:hint="eastAsia" w:ascii="宋体" w:hAnsi="宋体" w:cs="宋体"/>
                <w:color w:val="auto"/>
                <w:sz w:val="24"/>
                <w:szCs w:val="24"/>
                <w:lang w:val="en-US" w:eastAsia="zh-CN"/>
              </w:rPr>
              <w:t>5</w:t>
            </w:r>
            <w:r>
              <w:rPr>
                <w:rFonts w:hint="eastAsia" w:ascii="宋体" w:hAnsi="宋体" w:cs="宋体"/>
                <w:color w:val="auto"/>
                <w:sz w:val="24"/>
                <w:szCs w:val="24"/>
              </w:rPr>
              <w:t>分，一般的得</w:t>
            </w:r>
            <w:r>
              <w:rPr>
                <w:rFonts w:hint="eastAsia" w:ascii="宋体" w:hAnsi="宋体" w:cs="宋体"/>
                <w:color w:val="auto"/>
                <w:sz w:val="24"/>
                <w:szCs w:val="24"/>
                <w:lang w:val="en-US" w:eastAsia="zh-CN"/>
              </w:rPr>
              <w:t>3</w:t>
            </w:r>
            <w:r>
              <w:rPr>
                <w:rFonts w:hint="eastAsia" w:ascii="宋体" w:hAnsi="宋体" w:cs="宋体"/>
                <w:color w:val="auto"/>
                <w:sz w:val="24"/>
                <w:szCs w:val="24"/>
              </w:rPr>
              <w:t>分，差的</w:t>
            </w:r>
            <w:r>
              <w:rPr>
                <w:rFonts w:hint="eastAsia" w:ascii="宋体" w:hAnsi="宋体" w:cs="宋体"/>
                <w:color w:val="auto"/>
                <w:sz w:val="24"/>
                <w:szCs w:val="24"/>
                <w:lang w:val="en-US" w:eastAsia="zh-CN"/>
              </w:rPr>
              <w:t>得1分，</w:t>
            </w:r>
            <w:r>
              <w:rPr>
                <w:rFonts w:hint="eastAsia" w:ascii="宋体" w:hAnsi="宋体" w:cs="宋体"/>
                <w:color w:val="auto"/>
                <w:sz w:val="24"/>
                <w:szCs w:val="24"/>
              </w:rPr>
              <w:t>无此项内容不得分。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形象墙设计创意：</w:t>
            </w:r>
            <w:r>
              <w:rPr>
                <w:rFonts w:hint="eastAsia" w:ascii="宋体" w:hAnsi="宋体" w:eastAsia="宋体" w:cs="宋体"/>
                <w:b w:val="0"/>
                <w:bCs w:val="0"/>
                <w:sz w:val="24"/>
                <w:szCs w:val="24"/>
              </w:rPr>
              <w:t>在设计上尊重现场环境、构思明确、内容丰富、布局科学、材质应用、色彩应用等进行深化分析的比较</w:t>
            </w:r>
            <w:r>
              <w:rPr>
                <w:rFonts w:hint="eastAsia" w:ascii="宋体" w:hAnsi="宋体" w:cs="宋体"/>
                <w:b w:val="0"/>
                <w:bCs w:val="0"/>
                <w:sz w:val="24"/>
                <w:szCs w:val="24"/>
                <w:lang w:eastAsia="zh-CN"/>
              </w:rPr>
              <w:t>，</w:t>
            </w:r>
            <w:r>
              <w:rPr>
                <w:rFonts w:hint="eastAsia" w:ascii="宋体" w:hAnsi="宋体" w:cs="宋体"/>
                <w:b w:val="0"/>
                <w:bCs w:val="0"/>
                <w:sz w:val="24"/>
                <w:szCs w:val="24"/>
                <w:lang w:val="zh-CN" w:eastAsia="zh-CN"/>
              </w:rPr>
              <w:t>优</w:t>
            </w:r>
            <w:r>
              <w:rPr>
                <w:rFonts w:hint="eastAsia" w:ascii="宋体" w:hAnsi="宋体" w:cs="宋体"/>
                <w:b w:val="0"/>
                <w:bCs w:val="0"/>
                <w:sz w:val="24"/>
                <w:szCs w:val="24"/>
                <w:lang w:val="en-US" w:eastAsia="zh-CN"/>
              </w:rPr>
              <w:t>秀</w:t>
            </w:r>
            <w:r>
              <w:rPr>
                <w:rFonts w:hint="eastAsia" w:ascii="宋体" w:hAnsi="宋体" w:cs="宋体"/>
                <w:b w:val="0"/>
                <w:bCs w:val="0"/>
                <w:sz w:val="24"/>
                <w:szCs w:val="24"/>
                <w:lang w:val="zh-CN" w:eastAsia="zh-CN"/>
              </w:rPr>
              <w:t>的得</w:t>
            </w:r>
            <w:r>
              <w:rPr>
                <w:rFonts w:hint="eastAsia" w:ascii="宋体" w:hAnsi="宋体" w:cs="宋体"/>
                <w:b w:val="0"/>
                <w:bCs w:val="0"/>
                <w:sz w:val="24"/>
                <w:szCs w:val="24"/>
                <w:lang w:val="en-US" w:eastAsia="zh-CN"/>
              </w:rPr>
              <w:t>5</w:t>
            </w:r>
            <w:r>
              <w:rPr>
                <w:rFonts w:hint="eastAsia" w:ascii="宋体" w:hAnsi="宋体" w:cs="宋体"/>
                <w:b w:val="0"/>
                <w:bCs w:val="0"/>
                <w:sz w:val="24"/>
                <w:szCs w:val="24"/>
                <w:lang w:val="zh-CN" w:eastAsia="zh-CN"/>
              </w:rPr>
              <w:t>分，良</w:t>
            </w:r>
            <w:r>
              <w:rPr>
                <w:rFonts w:hint="eastAsia" w:ascii="宋体" w:hAnsi="宋体" w:cs="宋体"/>
                <w:b w:val="0"/>
                <w:bCs w:val="0"/>
                <w:sz w:val="24"/>
                <w:szCs w:val="24"/>
                <w:lang w:val="en-US" w:eastAsia="zh-CN"/>
              </w:rPr>
              <w:t>好</w:t>
            </w:r>
            <w:r>
              <w:rPr>
                <w:rFonts w:hint="eastAsia" w:ascii="宋体" w:hAnsi="宋体" w:cs="宋体"/>
                <w:b w:val="0"/>
                <w:bCs w:val="0"/>
                <w:sz w:val="24"/>
                <w:szCs w:val="24"/>
                <w:lang w:val="zh-CN" w:eastAsia="zh-CN"/>
              </w:rPr>
              <w:t>的得</w:t>
            </w:r>
            <w:r>
              <w:rPr>
                <w:rFonts w:hint="eastAsia" w:ascii="宋体" w:hAnsi="宋体" w:cs="宋体"/>
                <w:b w:val="0"/>
                <w:bCs w:val="0"/>
                <w:sz w:val="24"/>
                <w:szCs w:val="24"/>
                <w:lang w:val="en-US" w:eastAsia="zh-CN"/>
              </w:rPr>
              <w:t>3</w:t>
            </w:r>
            <w:r>
              <w:rPr>
                <w:rFonts w:hint="eastAsia" w:ascii="宋体" w:hAnsi="宋体" w:cs="宋体"/>
                <w:b w:val="0"/>
                <w:bCs w:val="0"/>
                <w:sz w:val="24"/>
                <w:szCs w:val="24"/>
                <w:lang w:val="zh-CN" w:eastAsia="zh-CN"/>
              </w:rPr>
              <w:t>分，一般</w:t>
            </w:r>
            <w:r>
              <w:rPr>
                <w:rFonts w:hint="eastAsia" w:ascii="宋体" w:hAnsi="宋体" w:cs="宋体"/>
                <w:b w:val="0"/>
                <w:bCs w:val="0"/>
                <w:sz w:val="24"/>
                <w:szCs w:val="24"/>
                <w:lang w:val="en-US" w:eastAsia="zh-CN"/>
              </w:rPr>
              <w:t>的</w:t>
            </w:r>
            <w:r>
              <w:rPr>
                <w:rFonts w:hint="eastAsia" w:ascii="宋体" w:hAnsi="宋体" w:cs="宋体"/>
                <w:b w:val="0"/>
                <w:bCs w:val="0"/>
                <w:sz w:val="24"/>
                <w:szCs w:val="24"/>
                <w:lang w:val="zh-CN" w:eastAsia="zh-CN"/>
              </w:rPr>
              <w:t>得</w:t>
            </w:r>
            <w:r>
              <w:rPr>
                <w:rFonts w:hint="eastAsia" w:ascii="宋体" w:hAnsi="宋体" w:cs="宋体"/>
                <w:b w:val="0"/>
                <w:bCs w:val="0"/>
                <w:sz w:val="24"/>
                <w:szCs w:val="24"/>
                <w:lang w:val="en-US" w:eastAsia="zh-CN"/>
              </w:rPr>
              <w:t>1</w:t>
            </w:r>
            <w:r>
              <w:rPr>
                <w:rFonts w:hint="eastAsia" w:ascii="宋体" w:hAnsi="宋体" w:cs="宋体"/>
                <w:b w:val="0"/>
                <w:bCs w:val="0"/>
                <w:sz w:val="24"/>
                <w:szCs w:val="24"/>
                <w:lang w:val="zh-CN" w:eastAsia="zh-CN"/>
              </w:rPr>
              <w:t>分，没有不得分。（</w:t>
            </w:r>
            <w:r>
              <w:rPr>
                <w:rFonts w:hint="eastAsia" w:ascii="宋体" w:hAnsi="宋体" w:cs="宋体"/>
                <w:b w:val="0"/>
                <w:bCs w:val="0"/>
                <w:sz w:val="24"/>
                <w:szCs w:val="24"/>
                <w:lang w:val="en-US" w:eastAsia="zh-CN"/>
              </w:rPr>
              <w:t>提供相应的彩色效果图</w:t>
            </w:r>
            <w:r>
              <w:rPr>
                <w:rFonts w:hint="eastAsia" w:ascii="宋体" w:hAnsi="宋体" w:cs="宋体"/>
                <w:b w:val="0"/>
                <w:bCs w:val="0"/>
                <w:sz w:val="24"/>
                <w:szCs w:val="24"/>
                <w:lang w:val="zh-CN" w:eastAsia="zh-CN"/>
              </w:rPr>
              <w:t>）</w:t>
            </w:r>
          </w:p>
        </w:tc>
      </w:tr>
      <w:tr>
        <w:tblPrEx>
          <w:tblCellMar>
            <w:top w:w="0" w:type="dxa"/>
            <w:left w:w="108" w:type="dxa"/>
            <w:bottom w:w="0" w:type="dxa"/>
            <w:right w:w="108" w:type="dxa"/>
          </w:tblCellMar>
        </w:tblPrEx>
        <w:trPr>
          <w:trHeight w:val="415" w:hRule="atLeast"/>
          <w:jc w:val="center"/>
        </w:trPr>
        <w:tc>
          <w:tcPr>
            <w:tcW w:w="74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rPr>
              <w:t>4</w:t>
            </w:r>
          </w:p>
        </w:tc>
        <w:tc>
          <w:tcPr>
            <w:tcW w:w="136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售后服务</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cs="宋体"/>
                <w:color w:val="auto"/>
                <w:sz w:val="24"/>
                <w:szCs w:val="24"/>
              </w:rPr>
              <w:t>本地化服务能力：在</w:t>
            </w:r>
            <w:r>
              <w:rPr>
                <w:rFonts w:hint="eastAsia" w:ascii="宋体" w:hAnsi="宋体" w:cs="宋体"/>
                <w:color w:val="auto"/>
                <w:sz w:val="24"/>
                <w:szCs w:val="24"/>
                <w:lang w:val="en-US" w:eastAsia="zh-CN"/>
              </w:rPr>
              <w:t>青海省</w:t>
            </w:r>
            <w:r>
              <w:rPr>
                <w:rFonts w:hint="eastAsia" w:ascii="宋体" w:hAnsi="宋体" w:cs="宋体"/>
                <w:color w:val="auto"/>
                <w:sz w:val="24"/>
                <w:szCs w:val="24"/>
                <w:lang w:val="zh-CN"/>
              </w:rPr>
              <w:t>有</w:t>
            </w:r>
            <w:r>
              <w:rPr>
                <w:rFonts w:hint="eastAsia" w:ascii="宋体" w:hAnsi="宋体" w:cs="宋体"/>
                <w:color w:val="auto"/>
                <w:sz w:val="24"/>
                <w:szCs w:val="24"/>
              </w:rPr>
              <w:t>服务机构的，得</w:t>
            </w:r>
            <w:r>
              <w:rPr>
                <w:rFonts w:hint="eastAsia" w:ascii="宋体" w:hAnsi="宋体" w:cs="宋体"/>
                <w:color w:val="auto"/>
                <w:sz w:val="24"/>
                <w:szCs w:val="24"/>
                <w:lang w:val="en-US" w:eastAsia="zh-CN"/>
              </w:rPr>
              <w:t>5</w:t>
            </w:r>
            <w:r>
              <w:rPr>
                <w:rFonts w:hint="eastAsia" w:ascii="宋体" w:hAnsi="宋体" w:cs="宋体"/>
                <w:color w:val="auto"/>
                <w:sz w:val="24"/>
                <w:szCs w:val="24"/>
              </w:rPr>
              <w:t>分；有合作性服务机构的，得</w:t>
            </w:r>
            <w:r>
              <w:rPr>
                <w:rFonts w:hint="eastAsia" w:ascii="宋体" w:hAnsi="宋体" w:cs="宋体"/>
                <w:color w:val="auto"/>
                <w:sz w:val="24"/>
                <w:szCs w:val="24"/>
                <w:lang w:val="en-US" w:eastAsia="zh-CN"/>
              </w:rPr>
              <w:t>2</w:t>
            </w:r>
            <w:r>
              <w:rPr>
                <w:rFonts w:hint="eastAsia" w:ascii="宋体" w:hAnsi="宋体" w:cs="宋体"/>
                <w:color w:val="auto"/>
                <w:sz w:val="24"/>
                <w:szCs w:val="24"/>
              </w:rPr>
              <w:t>分；没有的不得分。（需提供服务机构的营业执照及委托协议等证明文件）。</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）售后服务计划、措施及服务承诺：针对本项目有配送、安装、调试、验收等方面</w:t>
            </w:r>
            <w:r>
              <w:rPr>
                <w:rFonts w:hint="eastAsia" w:ascii="宋体" w:hAnsi="宋体" w:cs="宋体"/>
                <w:color w:val="auto"/>
                <w:sz w:val="24"/>
                <w:szCs w:val="24"/>
                <w:lang w:val="en-US" w:eastAsia="zh-CN"/>
              </w:rPr>
              <w:t>的</w:t>
            </w:r>
            <w:r>
              <w:rPr>
                <w:rFonts w:hint="eastAsia" w:ascii="宋体" w:hAnsi="宋体" w:cs="宋体"/>
                <w:color w:val="auto"/>
                <w:sz w:val="24"/>
                <w:szCs w:val="24"/>
              </w:rPr>
              <w:t>售后服务能力计划、措施及服务承诺，优秀的得</w:t>
            </w:r>
            <w:r>
              <w:rPr>
                <w:rFonts w:hint="eastAsia" w:ascii="宋体" w:hAnsi="宋体" w:cs="宋体"/>
                <w:color w:val="auto"/>
                <w:sz w:val="24"/>
                <w:szCs w:val="24"/>
                <w:lang w:val="en-US" w:eastAsia="zh-CN"/>
              </w:rPr>
              <w:t>7</w:t>
            </w:r>
            <w:r>
              <w:rPr>
                <w:rFonts w:hint="eastAsia" w:ascii="宋体" w:hAnsi="宋体" w:cs="宋体"/>
                <w:color w:val="auto"/>
                <w:sz w:val="24"/>
                <w:szCs w:val="24"/>
              </w:rPr>
              <w:t>分，</w:t>
            </w:r>
            <w:r>
              <w:rPr>
                <w:rFonts w:hint="eastAsia" w:ascii="宋体" w:hAnsi="宋体" w:cs="宋体"/>
                <w:color w:val="auto"/>
                <w:sz w:val="24"/>
                <w:szCs w:val="24"/>
                <w:lang w:val="en-US" w:eastAsia="zh-CN"/>
              </w:rPr>
              <w:t>较好的得5分，好的得3分，</w:t>
            </w:r>
            <w:r>
              <w:rPr>
                <w:rFonts w:hint="eastAsia" w:ascii="宋体" w:hAnsi="宋体" w:cs="宋体"/>
                <w:color w:val="auto"/>
                <w:sz w:val="24"/>
                <w:szCs w:val="24"/>
              </w:rPr>
              <w:t>一般的得</w:t>
            </w:r>
            <w:r>
              <w:rPr>
                <w:rFonts w:hint="eastAsia" w:ascii="宋体" w:hAnsi="宋体" w:cs="宋体"/>
                <w:color w:val="auto"/>
                <w:sz w:val="24"/>
                <w:szCs w:val="24"/>
                <w:lang w:val="en-US" w:eastAsia="zh-CN"/>
              </w:rPr>
              <w:t>1</w:t>
            </w:r>
            <w:r>
              <w:rPr>
                <w:rFonts w:hint="eastAsia" w:ascii="宋体" w:hAnsi="宋体" w:cs="宋体"/>
                <w:color w:val="auto"/>
                <w:sz w:val="24"/>
                <w:szCs w:val="24"/>
              </w:rPr>
              <w:t>分，没有不得分。</w:t>
            </w:r>
          </w:p>
        </w:tc>
      </w:tr>
    </w:tbl>
    <w:p>
      <w:pPr>
        <w:pStyle w:val="17"/>
        <w:spacing w:line="360" w:lineRule="auto"/>
        <w:jc w:val="left"/>
        <w:rPr>
          <w:rFonts w:hAnsi="宋体"/>
          <w:b/>
          <w:sz w:val="24"/>
        </w:rPr>
      </w:pPr>
    </w:p>
    <w:bookmarkEnd w:id="65"/>
    <w:p>
      <w:pPr>
        <w:pStyle w:val="5"/>
        <w:rPr>
          <w:rFonts w:hAnsi="宋体"/>
          <w:b/>
        </w:rPr>
      </w:pPr>
      <w:bookmarkStart w:id="66" w:name="_Toc1575321"/>
      <w:r>
        <w:rPr>
          <w:rFonts w:hint="eastAsia" w:hAnsi="宋体" w:cs="Times New Roman"/>
          <w:b/>
        </w:rPr>
        <w:t>定标</w:t>
      </w:r>
      <w:bookmarkEnd w:id="66"/>
    </w:p>
    <w:p>
      <w:pPr>
        <w:pStyle w:val="6"/>
        <w:numPr>
          <w:ilvl w:val="0"/>
          <w:numId w:val="3"/>
        </w:numPr>
        <w:spacing w:before="0" w:after="0" w:line="360" w:lineRule="auto"/>
        <w:rPr>
          <w:rFonts w:ascii="宋体" w:hAnsi="宋体"/>
          <w:b w:val="0"/>
        </w:rPr>
      </w:pPr>
      <w:bookmarkStart w:id="67" w:name="_Toc488673637"/>
      <w:bookmarkStart w:id="68" w:name="_Toc1575322"/>
      <w:r>
        <w:rPr>
          <w:rFonts w:hint="eastAsia" w:ascii="宋体" w:hAnsi="宋体"/>
          <w:b w:val="0"/>
        </w:rPr>
        <w:t>推荐并确定中标磋商供应商</w:t>
      </w:r>
      <w:bookmarkEnd w:id="67"/>
      <w:bookmarkEnd w:id="68"/>
    </w:p>
    <w:p>
      <w:pPr>
        <w:pStyle w:val="17"/>
        <w:numPr>
          <w:ilvl w:val="1"/>
          <w:numId w:val="31"/>
        </w:numPr>
        <w:spacing w:line="360" w:lineRule="auto"/>
        <w:jc w:val="left"/>
        <w:rPr>
          <w:rFonts w:hAnsi="宋体"/>
          <w:sz w:val="24"/>
          <w:szCs w:val="24"/>
        </w:rPr>
      </w:pPr>
      <w:r>
        <w:rPr>
          <w:rFonts w:hint="eastAsia" w:hAnsi="宋体" w:cs="宋体"/>
          <w:b/>
          <w:bCs/>
          <w:sz w:val="24"/>
          <w:szCs w:val="24"/>
        </w:rPr>
        <w:t>采用综合评分法的，</w:t>
      </w:r>
      <w:r>
        <w:rPr>
          <w:rFonts w:hint="eastAsia" w:hAnsi="宋体" w:cs="宋体"/>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pPr>
        <w:pStyle w:val="17"/>
        <w:numPr>
          <w:ilvl w:val="1"/>
          <w:numId w:val="31"/>
        </w:numPr>
        <w:spacing w:line="360" w:lineRule="auto"/>
        <w:jc w:val="left"/>
        <w:rPr>
          <w:rFonts w:hAnsi="宋体"/>
          <w:sz w:val="24"/>
          <w:szCs w:val="28"/>
        </w:rPr>
      </w:pPr>
      <w:r>
        <w:rPr>
          <w:rFonts w:hint="eastAsia" w:hAnsi="宋体"/>
          <w:sz w:val="24"/>
          <w:szCs w:val="28"/>
        </w:rPr>
        <w:t>中标磋商供应商因不可抗力或自身原因不能履行合同时，采购单位可以按照评审报告推荐的预中标候选磋商供应商名单排序，确定下一候选磋商供应商为中标磋商供应商，也可重新开展政府采购活动。</w:t>
      </w:r>
    </w:p>
    <w:p>
      <w:pPr>
        <w:pStyle w:val="17"/>
        <w:numPr>
          <w:ilvl w:val="1"/>
          <w:numId w:val="31"/>
        </w:numPr>
        <w:spacing w:line="360" w:lineRule="auto"/>
        <w:jc w:val="left"/>
        <w:rPr>
          <w:rFonts w:hAnsi="宋体"/>
          <w:sz w:val="24"/>
          <w:szCs w:val="24"/>
        </w:rPr>
      </w:pPr>
      <w:r>
        <w:rPr>
          <w:rFonts w:hint="eastAsia" w:hAnsi="宋体" w:cs="宋体"/>
          <w:sz w:val="24"/>
          <w:szCs w:val="24"/>
          <w:shd w:val="clear" w:color="auto" w:fill="FFFFFF"/>
        </w:rPr>
        <w:t>评标结果汇总完成后，除下列情形外，任何人不得修改评标结果：</w:t>
      </w:r>
    </w:p>
    <w:p>
      <w:pPr>
        <w:pStyle w:val="17"/>
        <w:numPr>
          <w:ilvl w:val="0"/>
          <w:numId w:val="32"/>
        </w:numPr>
        <w:spacing w:line="360" w:lineRule="auto"/>
        <w:jc w:val="left"/>
        <w:rPr>
          <w:rFonts w:hAnsi="宋体"/>
          <w:sz w:val="24"/>
          <w:szCs w:val="24"/>
        </w:rPr>
      </w:pPr>
      <w:r>
        <w:rPr>
          <w:rFonts w:hint="eastAsia" w:hAnsi="宋体" w:cs="宋体"/>
          <w:sz w:val="24"/>
          <w:szCs w:val="24"/>
          <w:shd w:val="clear" w:color="auto" w:fill="FFFFFF"/>
        </w:rPr>
        <w:t>分值汇总计算错误的；</w:t>
      </w:r>
    </w:p>
    <w:p>
      <w:pPr>
        <w:pStyle w:val="17"/>
        <w:numPr>
          <w:ilvl w:val="0"/>
          <w:numId w:val="32"/>
        </w:numPr>
        <w:spacing w:line="360" w:lineRule="auto"/>
        <w:jc w:val="left"/>
        <w:rPr>
          <w:rFonts w:hAnsi="宋体"/>
          <w:sz w:val="24"/>
          <w:szCs w:val="24"/>
        </w:rPr>
      </w:pPr>
      <w:r>
        <w:rPr>
          <w:rFonts w:hint="eastAsia" w:hAnsi="宋体" w:cs="宋体"/>
          <w:sz w:val="24"/>
          <w:szCs w:val="24"/>
          <w:shd w:val="clear" w:color="auto" w:fill="FFFFFF"/>
        </w:rPr>
        <w:t>分项评分超出评分标准范围的；</w:t>
      </w:r>
    </w:p>
    <w:p>
      <w:pPr>
        <w:pStyle w:val="17"/>
        <w:numPr>
          <w:ilvl w:val="0"/>
          <w:numId w:val="32"/>
        </w:numPr>
        <w:spacing w:line="360" w:lineRule="auto"/>
        <w:jc w:val="left"/>
        <w:rPr>
          <w:rFonts w:hAnsi="宋体"/>
          <w:sz w:val="24"/>
          <w:szCs w:val="24"/>
        </w:rPr>
      </w:pPr>
      <w:r>
        <w:rPr>
          <w:rFonts w:hint="eastAsia" w:hAnsi="宋体" w:cs="宋体"/>
          <w:sz w:val="24"/>
          <w:szCs w:val="24"/>
          <w:shd w:val="clear" w:color="auto" w:fill="FFFFFF"/>
        </w:rPr>
        <w:t>评标委员会成员对客观评审因素评分不一致的；</w:t>
      </w:r>
    </w:p>
    <w:p>
      <w:pPr>
        <w:pStyle w:val="17"/>
        <w:numPr>
          <w:ilvl w:val="0"/>
          <w:numId w:val="32"/>
        </w:numPr>
        <w:spacing w:line="360" w:lineRule="auto"/>
        <w:jc w:val="left"/>
        <w:rPr>
          <w:rFonts w:hAnsi="宋体"/>
          <w:sz w:val="24"/>
          <w:szCs w:val="24"/>
        </w:rPr>
      </w:pPr>
      <w:r>
        <w:rPr>
          <w:rFonts w:hint="eastAsia" w:hAnsi="宋体" w:cs="宋体"/>
          <w:sz w:val="24"/>
          <w:szCs w:val="24"/>
          <w:shd w:val="clear" w:color="auto" w:fill="FFFFFF"/>
        </w:rPr>
        <w:t>经评标委员会认定评分畸高、畸低的。</w:t>
      </w:r>
    </w:p>
    <w:p>
      <w:pPr>
        <w:autoSpaceDE w:val="0"/>
        <w:autoSpaceDN w:val="0"/>
        <w:spacing w:line="360" w:lineRule="auto"/>
        <w:ind w:left="1042" w:leftChars="496" w:firstLine="480" w:firstLineChars="200"/>
        <w:rPr>
          <w:rFonts w:ascii="宋体" w:hAns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7"/>
        <w:spacing w:line="360" w:lineRule="auto"/>
        <w:ind w:left="1042" w:leftChars="496" w:firstLine="480" w:firstLineChars="200"/>
        <w:jc w:val="left"/>
        <w:rPr>
          <w:rFonts w:hAnsi="宋体"/>
          <w:sz w:val="24"/>
          <w:szCs w:val="24"/>
        </w:rPr>
      </w:pPr>
      <w:r>
        <w:rPr>
          <w:rFonts w:hint="eastAsia" w:hAnsi="宋体" w:cs="宋体"/>
          <w:sz w:val="24"/>
          <w:szCs w:val="24"/>
          <w:shd w:val="clear" w:color="auto" w:fill="FFFFFF"/>
        </w:rPr>
        <w:t>磋商人对以上情形提出质疑的，采购人或者采购代理机构可以组织原评标委员会进行重新评审，重新评审改变评标结果的，应当书面报告本级财政部门。</w:t>
      </w:r>
    </w:p>
    <w:p>
      <w:pPr>
        <w:pStyle w:val="6"/>
        <w:numPr>
          <w:ilvl w:val="0"/>
          <w:numId w:val="3"/>
        </w:numPr>
        <w:spacing w:before="0" w:after="0" w:line="360" w:lineRule="auto"/>
        <w:rPr>
          <w:rFonts w:ascii="宋体" w:hAnsi="宋体"/>
          <w:b w:val="0"/>
        </w:rPr>
      </w:pPr>
      <w:bookmarkStart w:id="69" w:name="_Toc1575323"/>
      <w:bookmarkStart w:id="70" w:name="_Toc488673638"/>
      <w:r>
        <w:rPr>
          <w:rFonts w:hint="eastAsia" w:ascii="宋体" w:hAnsi="宋体"/>
          <w:b w:val="0"/>
        </w:rPr>
        <w:t>中标通知</w:t>
      </w:r>
      <w:bookmarkEnd w:id="69"/>
      <w:bookmarkEnd w:id="70"/>
    </w:p>
    <w:p>
      <w:pPr>
        <w:pStyle w:val="17"/>
        <w:numPr>
          <w:ilvl w:val="1"/>
          <w:numId w:val="33"/>
        </w:numPr>
        <w:spacing w:line="360" w:lineRule="auto"/>
        <w:jc w:val="left"/>
        <w:rPr>
          <w:rFonts w:hAnsi="宋体"/>
          <w:b/>
          <w:bCs/>
          <w:sz w:val="24"/>
          <w:szCs w:val="24"/>
        </w:rPr>
      </w:pPr>
      <w:r>
        <w:rPr>
          <w:rFonts w:hint="eastAsia" w:hAnsi="宋体" w:cs="宋体"/>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pPr>
        <w:pStyle w:val="17"/>
        <w:numPr>
          <w:ilvl w:val="1"/>
          <w:numId w:val="33"/>
        </w:numPr>
        <w:spacing w:line="360" w:lineRule="auto"/>
        <w:jc w:val="left"/>
        <w:rPr>
          <w:rFonts w:hAnsi="宋体"/>
          <w:b/>
          <w:bCs/>
          <w:sz w:val="24"/>
          <w:szCs w:val="24"/>
        </w:rPr>
      </w:pPr>
      <w:r>
        <w:rPr>
          <w:rFonts w:hint="eastAsia" w:hAnsi="宋体" w:cs="宋体"/>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17"/>
        <w:numPr>
          <w:ilvl w:val="1"/>
          <w:numId w:val="33"/>
        </w:numPr>
        <w:spacing w:line="360" w:lineRule="auto"/>
        <w:jc w:val="left"/>
        <w:rPr>
          <w:rFonts w:hAnsi="宋体"/>
          <w:b/>
          <w:bCs/>
          <w:sz w:val="32"/>
        </w:rPr>
      </w:pPr>
      <w:r>
        <w:rPr>
          <w:rFonts w:hint="eastAsia" w:hAnsi="宋体"/>
          <w:sz w:val="24"/>
          <w:szCs w:val="28"/>
        </w:rPr>
        <w:t>采购代理机构自中标磋商供应商确定之日起2个工作日内发出《中标通知书》，并在青海政府采购网、</w:t>
      </w:r>
      <w:r>
        <w:rPr>
          <w:rFonts w:hint="eastAsia" w:hAnsi="宋体"/>
          <w:sz w:val="24"/>
          <w:szCs w:val="28"/>
          <w:lang w:eastAsia="zh-CN"/>
        </w:rPr>
        <w:t>青海省公共资源交易服务平台</w:t>
      </w:r>
      <w:r>
        <w:rPr>
          <w:rFonts w:hint="eastAsia" w:hAnsi="宋体"/>
          <w:sz w:val="24"/>
          <w:szCs w:val="28"/>
        </w:rPr>
        <w:t>、青海项目信息网等媒体上公告中标结果。</w:t>
      </w:r>
    </w:p>
    <w:p>
      <w:pPr>
        <w:pStyle w:val="17"/>
        <w:numPr>
          <w:ilvl w:val="1"/>
          <w:numId w:val="33"/>
        </w:numPr>
        <w:spacing w:line="360" w:lineRule="auto"/>
        <w:jc w:val="left"/>
        <w:rPr>
          <w:rFonts w:hAnsi="宋体"/>
          <w:b/>
          <w:bCs/>
          <w:sz w:val="24"/>
          <w:szCs w:val="24"/>
        </w:rPr>
      </w:pPr>
      <w:r>
        <w:rPr>
          <w:rFonts w:hint="eastAsia" w:hAnsi="宋体" w:cs="宋体"/>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17"/>
        <w:numPr>
          <w:ilvl w:val="1"/>
          <w:numId w:val="33"/>
        </w:numPr>
        <w:spacing w:line="360" w:lineRule="auto"/>
        <w:jc w:val="left"/>
        <w:rPr>
          <w:rFonts w:hAnsi="宋体"/>
          <w:b/>
          <w:bCs/>
          <w:sz w:val="24"/>
          <w:szCs w:val="24"/>
        </w:rPr>
      </w:pPr>
      <w:r>
        <w:rPr>
          <w:rFonts w:hint="eastAsia" w:hAnsi="宋体" w:cs="宋体"/>
          <w:sz w:val="24"/>
          <w:szCs w:val="24"/>
        </w:rPr>
        <w:t>中标公告期限为1个工作日。</w:t>
      </w:r>
    </w:p>
    <w:p>
      <w:pPr>
        <w:pStyle w:val="17"/>
        <w:numPr>
          <w:ilvl w:val="1"/>
          <w:numId w:val="33"/>
        </w:numPr>
        <w:spacing w:line="360" w:lineRule="auto"/>
        <w:jc w:val="left"/>
        <w:rPr>
          <w:rFonts w:hAnsi="宋体"/>
          <w:b/>
          <w:bCs/>
          <w:sz w:val="24"/>
          <w:szCs w:val="24"/>
        </w:rPr>
      </w:pPr>
      <w:r>
        <w:rPr>
          <w:rFonts w:hint="eastAsia" w:hAnsi="宋体" w:cs="宋体"/>
          <w:sz w:val="24"/>
          <w:szCs w:val="24"/>
        </w:rPr>
        <w:t>在公告中标结果的同时，</w:t>
      </w:r>
      <w:r>
        <w:rPr>
          <w:rFonts w:hint="eastAsia" w:hAnsi="宋体" w:cs="宋体"/>
          <w:sz w:val="24"/>
          <w:szCs w:val="24"/>
          <w:shd w:val="clear" w:color="auto" w:fill="FFFFFF"/>
        </w:rPr>
        <w:t>采购人或者采购代理机构</w:t>
      </w:r>
      <w:r>
        <w:rPr>
          <w:rFonts w:hint="eastAsia" w:hAnsi="宋体" w:cs="宋体"/>
          <w:sz w:val="24"/>
          <w:szCs w:val="24"/>
        </w:rPr>
        <w:t>应当向中标人发出中标通知书；采用综合评分法评审的，还应当告知未中标人本人的评审得分与排序。</w:t>
      </w:r>
    </w:p>
    <w:p>
      <w:pPr>
        <w:pStyle w:val="17"/>
        <w:numPr>
          <w:ilvl w:val="1"/>
          <w:numId w:val="33"/>
        </w:numPr>
        <w:spacing w:line="360" w:lineRule="auto"/>
        <w:jc w:val="left"/>
        <w:rPr>
          <w:rFonts w:hAnsi="宋体"/>
          <w:b/>
          <w:bCs/>
          <w:sz w:val="24"/>
          <w:szCs w:val="24"/>
        </w:rPr>
      </w:pPr>
      <w:r>
        <w:rPr>
          <w:rFonts w:hint="eastAsia" w:hAnsi="宋体" w:cs="宋体"/>
          <w:sz w:val="24"/>
          <w:szCs w:val="24"/>
        </w:rPr>
        <w:t>中标通知书发出后，采购人不得违法改变中标结果，中标人无正当理由不得放弃中标。</w:t>
      </w:r>
    </w:p>
    <w:p>
      <w:pPr>
        <w:pStyle w:val="17"/>
        <w:numPr>
          <w:ilvl w:val="1"/>
          <w:numId w:val="33"/>
        </w:numPr>
        <w:spacing w:line="360" w:lineRule="auto"/>
        <w:jc w:val="left"/>
        <w:rPr>
          <w:rFonts w:hAnsi="宋体"/>
          <w:b/>
          <w:bCs/>
          <w:sz w:val="32"/>
        </w:rPr>
      </w:pPr>
      <w:r>
        <w:rPr>
          <w:rFonts w:hint="eastAsia" w:hAnsi="宋体"/>
          <w:sz w:val="24"/>
          <w:szCs w:val="28"/>
        </w:rPr>
        <w:t>《中标通知书》对采购单位和中标磋商供应商具有同等效力，《中标通知书》发出后，采购单位改变中标结果的，或者中标磋商供应商无正当理由放弃中标项目的，依法承担法律责任。</w:t>
      </w:r>
    </w:p>
    <w:p>
      <w:pPr>
        <w:pStyle w:val="5"/>
        <w:rPr>
          <w:rFonts w:hAnsi="宋体"/>
          <w:b/>
        </w:rPr>
      </w:pPr>
      <w:bookmarkStart w:id="71" w:name="_Toc1575324"/>
      <w:r>
        <w:rPr>
          <w:rFonts w:hint="eastAsia" w:hAnsi="宋体"/>
          <w:b/>
        </w:rPr>
        <w:t>授予合同</w:t>
      </w:r>
      <w:bookmarkEnd w:id="71"/>
    </w:p>
    <w:p>
      <w:pPr>
        <w:pStyle w:val="6"/>
        <w:numPr>
          <w:ilvl w:val="0"/>
          <w:numId w:val="3"/>
        </w:numPr>
        <w:spacing w:before="0" w:after="0" w:line="360" w:lineRule="auto"/>
        <w:rPr>
          <w:rFonts w:ascii="宋体" w:hAnsi="宋体"/>
          <w:b w:val="0"/>
        </w:rPr>
      </w:pPr>
      <w:bookmarkStart w:id="72" w:name="_Toc1575325"/>
      <w:bookmarkStart w:id="73" w:name="_Toc488673640"/>
      <w:r>
        <w:rPr>
          <w:rFonts w:hint="eastAsia" w:ascii="宋体" w:hAnsi="宋体"/>
          <w:b w:val="0"/>
        </w:rPr>
        <w:t>签订合同</w:t>
      </w:r>
      <w:bookmarkEnd w:id="72"/>
      <w:bookmarkEnd w:id="73"/>
    </w:p>
    <w:p>
      <w:pPr>
        <w:pStyle w:val="17"/>
        <w:numPr>
          <w:ilvl w:val="1"/>
          <w:numId w:val="34"/>
        </w:numPr>
        <w:spacing w:line="360" w:lineRule="auto"/>
        <w:jc w:val="left"/>
        <w:rPr>
          <w:rFonts w:hAnsi="宋体"/>
          <w:sz w:val="24"/>
          <w:szCs w:val="28"/>
        </w:rPr>
      </w:pPr>
      <w:r>
        <w:rPr>
          <w:rFonts w:hint="eastAsia" w:hAnsi="宋体"/>
          <w:sz w:val="24"/>
          <w:szCs w:val="28"/>
        </w:rPr>
        <w:t>采购单位与中标磋商供应商双方应当自《中标通知书》发出之日起30日内，签订采购合同，送采购代理机构审核并备案；</w:t>
      </w:r>
    </w:p>
    <w:p>
      <w:pPr>
        <w:pStyle w:val="17"/>
        <w:numPr>
          <w:ilvl w:val="1"/>
          <w:numId w:val="34"/>
        </w:numPr>
        <w:spacing w:line="360" w:lineRule="auto"/>
        <w:jc w:val="left"/>
        <w:rPr>
          <w:rFonts w:hAnsi="宋体"/>
          <w:sz w:val="24"/>
          <w:szCs w:val="28"/>
        </w:rPr>
      </w:pPr>
      <w:r>
        <w:rPr>
          <w:rFonts w:hint="eastAsia" w:hAnsi="宋体"/>
          <w:sz w:val="24"/>
          <w:szCs w:val="28"/>
        </w:rPr>
        <w:t>中标磋商供应商在法定期限内无正当理由拒签合同的，按违约处理。同时，采购代理机构和采购单位可依评标排序重新确定中标磋商供应商，并协调双方签订采购合同，或重新组织采购活动；</w:t>
      </w:r>
    </w:p>
    <w:p>
      <w:pPr>
        <w:pStyle w:val="17"/>
        <w:numPr>
          <w:ilvl w:val="1"/>
          <w:numId w:val="34"/>
        </w:numPr>
        <w:spacing w:line="360" w:lineRule="auto"/>
        <w:jc w:val="left"/>
        <w:rPr>
          <w:rFonts w:hAnsi="宋体"/>
          <w:sz w:val="24"/>
          <w:szCs w:val="28"/>
        </w:rPr>
      </w:pPr>
      <w:r>
        <w:rPr>
          <w:rFonts w:hint="eastAsia" w:hAnsi="宋体"/>
          <w:sz w:val="24"/>
          <w:szCs w:val="28"/>
        </w:rPr>
        <w:t>采购单位不得向中标供应商提出任何不合理的要求作为订立合同的条件，采购单位和中标供应商不得私下订立背离合同实质性内容的协议；</w:t>
      </w:r>
    </w:p>
    <w:p>
      <w:pPr>
        <w:pStyle w:val="17"/>
        <w:numPr>
          <w:ilvl w:val="1"/>
          <w:numId w:val="34"/>
        </w:numPr>
        <w:spacing w:line="360" w:lineRule="auto"/>
        <w:jc w:val="left"/>
        <w:rPr>
          <w:rFonts w:hAnsi="宋体"/>
          <w:sz w:val="24"/>
          <w:szCs w:val="28"/>
        </w:rPr>
      </w:pPr>
      <w:r>
        <w:rPr>
          <w:rFonts w:hint="eastAsia" w:hAnsi="宋体"/>
          <w:sz w:val="24"/>
          <w:szCs w:val="28"/>
        </w:rPr>
        <w:t>磋商文件、中标磋商供应商的磋商响应文件、《中标通知书》及其澄清、说明文件、承诺等，均为签订采购合同的依据，作为采购合同的组成部分；</w:t>
      </w:r>
    </w:p>
    <w:p>
      <w:pPr>
        <w:pStyle w:val="17"/>
        <w:numPr>
          <w:ilvl w:val="1"/>
          <w:numId w:val="34"/>
        </w:numPr>
        <w:spacing w:line="360" w:lineRule="auto"/>
        <w:jc w:val="left"/>
        <w:rPr>
          <w:rFonts w:hAnsi="宋体"/>
          <w:sz w:val="24"/>
          <w:szCs w:val="28"/>
        </w:rPr>
      </w:pPr>
      <w:r>
        <w:rPr>
          <w:rFonts w:hint="eastAsia" w:hAnsi="宋体"/>
          <w:sz w:val="24"/>
          <w:szCs w:val="28"/>
        </w:rPr>
        <w:t>采购人与中标人应当根据合同的约定依法履行合同义务。政府采购合同的履行、违约责任和解决争议的方法等适用《中华人民共和国合同法》。</w:t>
      </w:r>
    </w:p>
    <w:p>
      <w:pPr>
        <w:pStyle w:val="17"/>
        <w:numPr>
          <w:ilvl w:val="1"/>
          <w:numId w:val="34"/>
        </w:numPr>
        <w:spacing w:line="360" w:lineRule="auto"/>
        <w:jc w:val="left"/>
        <w:rPr>
          <w:rFonts w:hAnsi="宋体"/>
          <w:sz w:val="24"/>
          <w:szCs w:val="28"/>
        </w:rPr>
      </w:pPr>
      <w:r>
        <w:rPr>
          <w:rFonts w:hint="eastAsia" w:hAnsi="宋体"/>
          <w:sz w:val="24"/>
          <w:szCs w:val="28"/>
        </w:rPr>
        <w:t>采购人应当及时对采购项目进行验收。采购人可以邀请参加本项目的其他磋商人或者第三方机构参与验收。参与验收的磋商人或者第三方机构的意见作为验收书的参考资料一并存档。</w:t>
      </w:r>
    </w:p>
    <w:p>
      <w:pPr>
        <w:pStyle w:val="17"/>
        <w:numPr>
          <w:ilvl w:val="1"/>
          <w:numId w:val="34"/>
        </w:numPr>
        <w:spacing w:line="360" w:lineRule="auto"/>
        <w:jc w:val="left"/>
        <w:rPr>
          <w:rFonts w:hAnsi="宋体"/>
          <w:sz w:val="24"/>
          <w:szCs w:val="28"/>
        </w:rPr>
      </w:pPr>
      <w:r>
        <w:rPr>
          <w:rFonts w:hint="eastAsia" w:hAnsi="宋体"/>
          <w:sz w:val="24"/>
          <w:szCs w:val="28"/>
        </w:rPr>
        <w:t>采购人应当加强对中标人的履约管理，并按照采购合同约定，及时向中标人支付采购资金。对于中标人违反采购合同约定的行为，采购人应当及时处理，依法追究其违约责任。</w:t>
      </w:r>
    </w:p>
    <w:p>
      <w:pPr>
        <w:pStyle w:val="17"/>
        <w:numPr>
          <w:ilvl w:val="1"/>
          <w:numId w:val="34"/>
        </w:numPr>
        <w:spacing w:line="360" w:lineRule="auto"/>
        <w:jc w:val="left"/>
        <w:rPr>
          <w:rFonts w:hAnsi="宋体"/>
          <w:sz w:val="24"/>
          <w:szCs w:val="28"/>
        </w:rPr>
      </w:pPr>
      <w:r>
        <w:rPr>
          <w:rFonts w:hint="eastAsia" w:hAnsi="宋体"/>
          <w:sz w:val="24"/>
          <w:szCs w:val="28"/>
        </w:rPr>
        <w:t>采购合同签订之日起2个工作日内，由采购单位将采购合同在青海政府采购网、</w:t>
      </w:r>
      <w:r>
        <w:rPr>
          <w:rFonts w:hint="eastAsia" w:hAnsi="宋体"/>
          <w:sz w:val="24"/>
          <w:szCs w:val="28"/>
          <w:lang w:eastAsia="zh-CN"/>
        </w:rPr>
        <w:t>青海省公共资源交易服务平台</w:t>
      </w:r>
      <w:r>
        <w:rPr>
          <w:rFonts w:hint="eastAsia" w:hAnsi="宋体"/>
          <w:sz w:val="24"/>
          <w:szCs w:val="28"/>
        </w:rPr>
        <w:t>、青海项目信息网等媒体上公告，但采购合同中涉及国家秘密、商业秘密的内容除外。</w:t>
      </w:r>
    </w:p>
    <w:p>
      <w:pPr>
        <w:pStyle w:val="17"/>
        <w:numPr>
          <w:ilvl w:val="1"/>
          <w:numId w:val="34"/>
        </w:numPr>
        <w:spacing w:line="360" w:lineRule="auto"/>
        <w:jc w:val="left"/>
        <w:rPr>
          <w:rFonts w:hAnsi="宋体"/>
          <w:sz w:val="24"/>
          <w:szCs w:val="28"/>
        </w:rPr>
      </w:pPr>
      <w:r>
        <w:rPr>
          <w:rFonts w:hint="eastAsia" w:hAnsi="宋体"/>
          <w:sz w:val="24"/>
          <w:szCs w:val="28"/>
        </w:rPr>
        <w:t>采购人、采购代理机构应当建立真实完整的招标采购档案，妥善保存每项采购活动的磋商文件。</w:t>
      </w:r>
    </w:p>
    <w:p>
      <w:pPr>
        <w:pStyle w:val="5"/>
        <w:rPr>
          <w:rFonts w:hAnsi="宋体"/>
          <w:b/>
        </w:rPr>
      </w:pPr>
      <w:bookmarkStart w:id="74" w:name="_Toc1575326"/>
      <w:r>
        <w:rPr>
          <w:rFonts w:hint="eastAsia" w:hAnsi="宋体"/>
          <w:b/>
        </w:rPr>
        <w:t>废标条款</w:t>
      </w:r>
      <w:bookmarkEnd w:id="74"/>
    </w:p>
    <w:p>
      <w:pPr>
        <w:pStyle w:val="6"/>
        <w:numPr>
          <w:ilvl w:val="0"/>
          <w:numId w:val="3"/>
        </w:numPr>
        <w:spacing w:before="0" w:after="0" w:line="360" w:lineRule="auto"/>
        <w:rPr>
          <w:rFonts w:ascii="宋体" w:hAnsi="宋体"/>
          <w:b w:val="0"/>
        </w:rPr>
      </w:pPr>
      <w:bookmarkStart w:id="75" w:name="_Toc1575327"/>
      <w:bookmarkStart w:id="76" w:name="_Toc488673642"/>
      <w:r>
        <w:rPr>
          <w:rFonts w:hint="eastAsia" w:ascii="宋体" w:hAnsi="宋体"/>
          <w:b w:val="0"/>
        </w:rPr>
        <w:t>废标情形</w:t>
      </w:r>
      <w:bookmarkEnd w:id="75"/>
      <w:bookmarkEnd w:id="76"/>
    </w:p>
    <w:p>
      <w:pPr>
        <w:pStyle w:val="17"/>
        <w:numPr>
          <w:ilvl w:val="1"/>
          <w:numId w:val="35"/>
        </w:numPr>
        <w:spacing w:line="360" w:lineRule="auto"/>
        <w:jc w:val="left"/>
        <w:rPr>
          <w:rFonts w:hAnsi="宋体"/>
          <w:sz w:val="24"/>
          <w:szCs w:val="28"/>
        </w:rPr>
      </w:pPr>
      <w:r>
        <w:rPr>
          <w:rFonts w:hAnsi="宋体" w:cs="Arial"/>
          <w:sz w:val="24"/>
          <w:szCs w:val="24"/>
        </w:rPr>
        <w:t>在磋商采购中，出现下列情形之一的，应予废标</w:t>
      </w:r>
      <w:r>
        <w:rPr>
          <w:rFonts w:hint="eastAsia" w:hAnsi="宋体" w:cs="Arial"/>
          <w:sz w:val="24"/>
          <w:szCs w:val="24"/>
        </w:rPr>
        <w:t>：</w:t>
      </w:r>
    </w:p>
    <w:p>
      <w:pPr>
        <w:pStyle w:val="17"/>
        <w:numPr>
          <w:ilvl w:val="0"/>
          <w:numId w:val="36"/>
        </w:numPr>
        <w:spacing w:line="360" w:lineRule="auto"/>
        <w:rPr>
          <w:rFonts w:hAnsi="宋体" w:cs="Arial"/>
          <w:sz w:val="24"/>
          <w:szCs w:val="24"/>
        </w:rPr>
      </w:pPr>
      <w:r>
        <w:rPr>
          <w:rFonts w:hint="eastAsia" w:hAnsi="宋体" w:cs="Arial"/>
          <w:sz w:val="24"/>
          <w:szCs w:val="24"/>
        </w:rPr>
        <w:t>符合磋商条件的磋商供应商或者对磋商文件作出实质性响应的磋商供应商不足三家的；</w:t>
      </w:r>
    </w:p>
    <w:p>
      <w:pPr>
        <w:pStyle w:val="17"/>
        <w:numPr>
          <w:ilvl w:val="0"/>
          <w:numId w:val="36"/>
        </w:numPr>
        <w:spacing w:line="360" w:lineRule="auto"/>
        <w:rPr>
          <w:rFonts w:hAnsi="宋体" w:cs="Arial"/>
          <w:sz w:val="24"/>
          <w:szCs w:val="24"/>
        </w:rPr>
      </w:pPr>
      <w:r>
        <w:rPr>
          <w:rFonts w:hint="eastAsia" w:hAnsi="宋体" w:cs="Arial"/>
          <w:sz w:val="24"/>
          <w:szCs w:val="24"/>
        </w:rPr>
        <w:t>出现影响采购活动正常推进的违法、违规行为的；</w:t>
      </w:r>
    </w:p>
    <w:p>
      <w:pPr>
        <w:pStyle w:val="17"/>
        <w:numPr>
          <w:ilvl w:val="0"/>
          <w:numId w:val="36"/>
        </w:numPr>
        <w:spacing w:line="360" w:lineRule="auto"/>
        <w:rPr>
          <w:rFonts w:hAnsi="宋体" w:cs="Arial"/>
          <w:sz w:val="24"/>
          <w:szCs w:val="24"/>
        </w:rPr>
      </w:pPr>
      <w:r>
        <w:rPr>
          <w:rFonts w:hint="eastAsia" w:hAnsi="宋体" w:cs="Arial"/>
          <w:sz w:val="24"/>
          <w:szCs w:val="24"/>
        </w:rPr>
        <w:t>磋商供应商的报价均超出采购预算额度，采购单位不能支付的；</w:t>
      </w:r>
    </w:p>
    <w:p>
      <w:pPr>
        <w:pStyle w:val="17"/>
        <w:numPr>
          <w:ilvl w:val="0"/>
          <w:numId w:val="36"/>
        </w:numPr>
        <w:spacing w:line="360" w:lineRule="auto"/>
        <w:rPr>
          <w:rFonts w:hAnsi="宋体" w:cs="Arial"/>
          <w:sz w:val="24"/>
          <w:szCs w:val="24"/>
        </w:rPr>
      </w:pPr>
      <w:r>
        <w:rPr>
          <w:rFonts w:hint="eastAsia" w:hAnsi="宋体" w:cs="Arial"/>
          <w:sz w:val="24"/>
          <w:szCs w:val="24"/>
        </w:rPr>
        <w:t>因重大变故，采购任务取消的。</w:t>
      </w:r>
    </w:p>
    <w:p>
      <w:pPr>
        <w:pStyle w:val="17"/>
        <w:numPr>
          <w:ilvl w:val="1"/>
          <w:numId w:val="35"/>
        </w:numPr>
        <w:spacing w:line="360" w:lineRule="auto"/>
        <w:jc w:val="left"/>
        <w:rPr>
          <w:rFonts w:hAnsi="宋体"/>
          <w:sz w:val="24"/>
          <w:szCs w:val="28"/>
        </w:rPr>
      </w:pPr>
      <w:r>
        <w:rPr>
          <w:rFonts w:hint="eastAsia" w:hAnsi="宋体"/>
          <w:sz w:val="24"/>
          <w:szCs w:val="28"/>
        </w:rPr>
        <w:t>废标后，由采购代理机构发布废标公告。</w:t>
      </w:r>
    </w:p>
    <w:p>
      <w:pPr>
        <w:pStyle w:val="5"/>
        <w:rPr>
          <w:rFonts w:hAnsi="宋体"/>
          <w:b/>
        </w:rPr>
      </w:pPr>
      <w:bookmarkStart w:id="77" w:name="_Toc1575328"/>
      <w:r>
        <w:rPr>
          <w:rFonts w:hint="eastAsia" w:hAnsi="宋体"/>
          <w:b/>
        </w:rPr>
        <w:t>其他</w:t>
      </w:r>
      <w:bookmarkEnd w:id="77"/>
    </w:p>
    <w:p>
      <w:pPr>
        <w:pStyle w:val="6"/>
        <w:numPr>
          <w:ilvl w:val="0"/>
          <w:numId w:val="3"/>
        </w:numPr>
        <w:spacing w:before="0" w:after="0" w:line="360" w:lineRule="auto"/>
        <w:rPr>
          <w:rFonts w:ascii="宋体" w:hAnsi="宋体"/>
          <w:b w:val="0"/>
        </w:rPr>
      </w:pPr>
      <w:bookmarkStart w:id="78" w:name="_Toc1575329"/>
      <w:bookmarkStart w:id="79" w:name="_Toc488673644"/>
      <w:r>
        <w:rPr>
          <w:rFonts w:hint="eastAsia" w:ascii="宋体" w:hAnsi="宋体"/>
          <w:b w:val="0"/>
        </w:rPr>
        <w:t>串标情形</w:t>
      </w:r>
      <w:bookmarkEnd w:id="78"/>
      <w:bookmarkEnd w:id="79"/>
    </w:p>
    <w:p>
      <w:pPr>
        <w:pStyle w:val="17"/>
        <w:numPr>
          <w:ilvl w:val="0"/>
          <w:numId w:val="37"/>
        </w:numPr>
        <w:spacing w:line="360" w:lineRule="auto"/>
        <w:jc w:val="left"/>
        <w:rPr>
          <w:rFonts w:hAnsi="宋体"/>
          <w:sz w:val="24"/>
          <w:szCs w:val="28"/>
        </w:rPr>
      </w:pPr>
      <w:r>
        <w:rPr>
          <w:rFonts w:hint="eastAsia" w:hAnsi="宋体"/>
          <w:sz w:val="24"/>
          <w:szCs w:val="28"/>
        </w:rPr>
        <w:t>磋商人应当遵循公平竞争的原则，不得恶意串通，不得妨碍其他磋商人的竞争行为，不得损害采购人或者其他磋商人的合法权益</w:t>
      </w:r>
      <w:r>
        <w:rPr>
          <w:rFonts w:hint="eastAsia" w:hAnsi="宋体" w:cs="宋体"/>
        </w:rPr>
        <w:t>。</w:t>
      </w:r>
    </w:p>
    <w:p>
      <w:pPr>
        <w:pStyle w:val="17"/>
        <w:spacing w:line="360" w:lineRule="auto"/>
        <w:ind w:left="1042" w:leftChars="496" w:firstLine="480" w:firstLineChars="200"/>
        <w:jc w:val="left"/>
        <w:rPr>
          <w:rFonts w:hAnsi="宋体" w:cs="宋体"/>
        </w:rPr>
      </w:pPr>
      <w:r>
        <w:rPr>
          <w:rFonts w:hint="eastAsia" w:hAnsi="宋体"/>
          <w:sz w:val="24"/>
          <w:szCs w:val="28"/>
        </w:rPr>
        <w:t>在评标过程中发现磋商人有上述情形的，评标委员会应当认定其投标无效，并书面报告本级财政部门</w:t>
      </w:r>
      <w:r>
        <w:rPr>
          <w:rFonts w:hint="eastAsia" w:hAnsi="宋体" w:cs="宋体"/>
        </w:rPr>
        <w:t>。</w:t>
      </w:r>
    </w:p>
    <w:p>
      <w:pPr>
        <w:pStyle w:val="17"/>
        <w:numPr>
          <w:ilvl w:val="0"/>
          <w:numId w:val="37"/>
        </w:numPr>
        <w:spacing w:line="360" w:lineRule="auto"/>
        <w:jc w:val="left"/>
        <w:rPr>
          <w:rFonts w:hAnsi="宋体"/>
          <w:sz w:val="24"/>
          <w:szCs w:val="28"/>
        </w:rPr>
      </w:pPr>
      <w:r>
        <w:rPr>
          <w:rFonts w:hint="eastAsia" w:hAnsi="宋体"/>
          <w:sz w:val="24"/>
          <w:szCs w:val="28"/>
        </w:rPr>
        <w:t>有下列情形之一的，视为磋商人串通投标，其投标无效：</w:t>
      </w:r>
    </w:p>
    <w:p>
      <w:pPr>
        <w:pStyle w:val="17"/>
        <w:numPr>
          <w:ilvl w:val="0"/>
          <w:numId w:val="38"/>
        </w:numPr>
        <w:spacing w:line="360" w:lineRule="auto"/>
        <w:jc w:val="left"/>
        <w:rPr>
          <w:rFonts w:hAnsi="宋体"/>
          <w:sz w:val="24"/>
          <w:szCs w:val="24"/>
        </w:rPr>
      </w:pPr>
      <w:r>
        <w:rPr>
          <w:rFonts w:hint="eastAsia" w:hAnsi="宋体" w:cs="宋体"/>
          <w:sz w:val="24"/>
          <w:szCs w:val="24"/>
        </w:rPr>
        <w:t>不同磋商人的磋商响应文件由同一单位或者个人编制；</w:t>
      </w:r>
    </w:p>
    <w:p>
      <w:pPr>
        <w:pStyle w:val="17"/>
        <w:numPr>
          <w:ilvl w:val="0"/>
          <w:numId w:val="38"/>
        </w:numPr>
        <w:spacing w:line="360" w:lineRule="auto"/>
        <w:jc w:val="left"/>
        <w:rPr>
          <w:rFonts w:hAnsi="宋体"/>
          <w:sz w:val="24"/>
          <w:szCs w:val="24"/>
        </w:rPr>
      </w:pPr>
      <w:r>
        <w:rPr>
          <w:rFonts w:hint="eastAsia" w:hAnsi="宋体" w:cs="宋体"/>
          <w:sz w:val="24"/>
          <w:szCs w:val="24"/>
        </w:rPr>
        <w:t>不同磋商人委托同一单位或者个人办理投标事宜；</w:t>
      </w:r>
    </w:p>
    <w:p>
      <w:pPr>
        <w:pStyle w:val="17"/>
        <w:numPr>
          <w:ilvl w:val="0"/>
          <w:numId w:val="38"/>
        </w:numPr>
        <w:spacing w:line="360" w:lineRule="auto"/>
        <w:jc w:val="left"/>
        <w:rPr>
          <w:rFonts w:hAnsi="宋体"/>
          <w:sz w:val="24"/>
          <w:szCs w:val="24"/>
        </w:rPr>
      </w:pPr>
      <w:r>
        <w:rPr>
          <w:rFonts w:hint="eastAsia" w:hAnsi="宋体" w:cs="宋体"/>
          <w:sz w:val="24"/>
          <w:szCs w:val="24"/>
        </w:rPr>
        <w:t>不同磋商人的磋商响应文件载明的项目管理成员或者联系人员为同一人；</w:t>
      </w:r>
    </w:p>
    <w:p>
      <w:pPr>
        <w:pStyle w:val="17"/>
        <w:numPr>
          <w:ilvl w:val="0"/>
          <w:numId w:val="38"/>
        </w:numPr>
        <w:spacing w:line="360" w:lineRule="auto"/>
        <w:jc w:val="left"/>
        <w:rPr>
          <w:rFonts w:hAnsi="宋体"/>
          <w:sz w:val="24"/>
          <w:szCs w:val="24"/>
        </w:rPr>
      </w:pPr>
      <w:r>
        <w:rPr>
          <w:rFonts w:hint="eastAsia" w:hAnsi="宋体" w:cs="宋体"/>
          <w:sz w:val="24"/>
          <w:szCs w:val="24"/>
        </w:rPr>
        <w:t>不同磋商人的磋商响应文件异常一致或者投标报价呈规律性差异；</w:t>
      </w:r>
    </w:p>
    <w:p>
      <w:pPr>
        <w:pStyle w:val="17"/>
        <w:numPr>
          <w:ilvl w:val="0"/>
          <w:numId w:val="38"/>
        </w:numPr>
        <w:spacing w:line="360" w:lineRule="auto"/>
        <w:jc w:val="left"/>
        <w:rPr>
          <w:rFonts w:hAnsi="宋体"/>
          <w:sz w:val="24"/>
          <w:szCs w:val="24"/>
        </w:rPr>
      </w:pPr>
      <w:r>
        <w:rPr>
          <w:rFonts w:hint="eastAsia" w:hAnsi="宋体" w:cs="宋体"/>
          <w:sz w:val="24"/>
          <w:szCs w:val="24"/>
        </w:rPr>
        <w:t>不同磋商人的磋商响应文件相互混装；</w:t>
      </w:r>
    </w:p>
    <w:p>
      <w:pPr>
        <w:pStyle w:val="17"/>
        <w:numPr>
          <w:ilvl w:val="0"/>
          <w:numId w:val="38"/>
        </w:numPr>
        <w:spacing w:line="360" w:lineRule="auto"/>
        <w:jc w:val="left"/>
        <w:rPr>
          <w:rFonts w:hAnsi="宋体"/>
          <w:sz w:val="24"/>
          <w:szCs w:val="24"/>
        </w:rPr>
      </w:pPr>
      <w:r>
        <w:rPr>
          <w:rFonts w:hint="eastAsia" w:hAnsi="宋体" w:cs="宋体"/>
          <w:sz w:val="24"/>
          <w:szCs w:val="24"/>
        </w:rPr>
        <w:t>不同磋商人的投标保证金从同一单位或者个人的账户转出。</w:t>
      </w:r>
    </w:p>
    <w:p>
      <w:pPr>
        <w:pStyle w:val="17"/>
        <w:numPr>
          <w:ilvl w:val="0"/>
          <w:numId w:val="37"/>
        </w:numPr>
        <w:spacing w:line="360" w:lineRule="auto"/>
        <w:jc w:val="left"/>
        <w:rPr>
          <w:rFonts w:hAnsi="宋体"/>
          <w:sz w:val="24"/>
          <w:szCs w:val="28"/>
        </w:rPr>
      </w:pPr>
      <w:r>
        <w:rPr>
          <w:rFonts w:hint="eastAsia" w:hAnsi="宋体"/>
          <w:sz w:val="24"/>
          <w:szCs w:val="28"/>
        </w:rPr>
        <w:t>其他未尽事宜，按照《中华人民共和国政府采购法》、《中华人民共和国合同法》、《中华人民共和国政府采购法实施条例》、《政府采购竞争性磋商采购方式管理暂行办法》等法律法规的有关条款执行。</w:t>
      </w:r>
    </w:p>
    <w:p>
      <w:pPr>
        <w:pStyle w:val="23"/>
        <w:spacing w:before="0" w:after="0" w:line="360" w:lineRule="auto"/>
        <w:rPr>
          <w:rFonts w:ascii="宋体" w:hAnsi="宋体"/>
          <w:sz w:val="48"/>
        </w:rPr>
      </w:pPr>
      <w:r>
        <w:rPr>
          <w:rFonts w:hAnsi="宋体"/>
          <w:sz w:val="24"/>
          <w:szCs w:val="28"/>
        </w:rPr>
        <w:br w:type="page"/>
      </w:r>
      <w:bookmarkStart w:id="80" w:name="_Toc1575330"/>
      <w:r>
        <w:rPr>
          <w:rFonts w:hint="eastAsia" w:ascii="宋体" w:hAnsi="宋体"/>
          <w:sz w:val="48"/>
        </w:rPr>
        <w:t>第四部分青海省政府采购合同文本样式</w:t>
      </w:r>
      <w:bookmarkEnd w:id="80"/>
    </w:p>
    <w:p>
      <w:pPr>
        <w:pStyle w:val="17"/>
        <w:spacing w:line="360" w:lineRule="auto"/>
        <w:ind w:firstLine="1124" w:firstLineChars="200"/>
        <w:jc w:val="left"/>
        <w:rPr>
          <w:rFonts w:hAnsi="宋体"/>
          <w:b/>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spacing w:val="120"/>
          <w:sz w:val="56"/>
          <w:szCs w:val="72"/>
        </w:rPr>
      </w:pPr>
    </w:p>
    <w:p>
      <w:pPr>
        <w:spacing w:line="360" w:lineRule="auto"/>
        <w:jc w:val="center"/>
        <w:rPr>
          <w:rFonts w:ascii="宋体" w:hAnsi="宋体"/>
          <w:b/>
          <w:bCs/>
          <w:sz w:val="72"/>
          <w:szCs w:val="50"/>
          <w:lang w:val="zh-CN"/>
        </w:rPr>
      </w:pPr>
      <w:r>
        <w:rPr>
          <w:rFonts w:hint="eastAsia" w:ascii="宋体" w:hAnsi="宋体"/>
          <w:b/>
          <w:bCs/>
          <w:sz w:val="72"/>
          <w:szCs w:val="50"/>
          <w:lang w:val="zh-CN"/>
        </w:rPr>
        <w:t>青海省政府采购合同书</w:t>
      </w:r>
    </w:p>
    <w:p>
      <w:pPr>
        <w:spacing w:line="360" w:lineRule="auto"/>
        <w:rPr>
          <w:rFonts w:ascii="宋体" w:hAnsi="宋体"/>
          <w:b/>
          <w:sz w:val="56"/>
          <w:szCs w:val="72"/>
        </w:rPr>
      </w:pPr>
    </w:p>
    <w:p>
      <w:pPr>
        <w:spacing w:line="360" w:lineRule="auto"/>
        <w:rPr>
          <w:rFonts w:ascii="宋体" w:hAnsi="宋体"/>
          <w:b/>
          <w:sz w:val="56"/>
          <w:szCs w:val="72"/>
        </w:rPr>
      </w:pPr>
    </w:p>
    <w:p>
      <w:pPr>
        <w:spacing w:line="360" w:lineRule="auto"/>
        <w:rPr>
          <w:rFonts w:ascii="宋体" w:hAnsi="宋体"/>
          <w:b/>
          <w:sz w:val="24"/>
          <w:szCs w:val="28"/>
        </w:rPr>
      </w:pPr>
    </w:p>
    <w:p>
      <w:pPr>
        <w:spacing w:line="360" w:lineRule="auto"/>
        <w:ind w:left="2316" w:leftChars="357" w:hanging="1566" w:hangingChars="650"/>
        <w:rPr>
          <w:rFonts w:hint="eastAsia" w:ascii="宋体" w:hAnsi="宋体" w:eastAsia="宋体"/>
          <w:b/>
          <w:sz w:val="24"/>
          <w:szCs w:val="28"/>
          <w:u w:val="single"/>
          <w:lang w:eastAsia="zh-CN"/>
        </w:rPr>
      </w:pPr>
      <w:r>
        <w:rPr>
          <w:rFonts w:hint="eastAsia" w:ascii="宋体" w:hAnsi="宋体"/>
          <w:b/>
          <w:sz w:val="24"/>
          <w:szCs w:val="28"/>
        </w:rPr>
        <w:t>采购项目名称：</w:t>
      </w:r>
      <w:r>
        <w:rPr>
          <w:rFonts w:hint="eastAsia" w:ascii="宋体" w:hAnsi="宋体"/>
          <w:b/>
          <w:sz w:val="24"/>
          <w:szCs w:val="28"/>
          <w:u w:val="single"/>
          <w:lang w:eastAsia="zh-CN"/>
        </w:rPr>
        <w:t>公共文化活动室采购项目</w:t>
      </w:r>
    </w:p>
    <w:p>
      <w:pPr>
        <w:spacing w:line="360" w:lineRule="auto"/>
        <w:ind w:firstLine="723" w:firstLineChars="300"/>
        <w:rPr>
          <w:rFonts w:ascii="宋体" w:hAnsi="宋体"/>
          <w:b/>
          <w:sz w:val="24"/>
          <w:szCs w:val="28"/>
          <w:u w:val="single"/>
        </w:rPr>
      </w:pPr>
      <w:r>
        <w:rPr>
          <w:rFonts w:ascii="宋体" w:hAnsi="宋体"/>
          <w:b/>
          <w:sz w:val="24"/>
          <w:szCs w:val="28"/>
        </w:rPr>
        <w:t>采购项目编号</w:t>
      </w:r>
      <w:r>
        <w:rPr>
          <w:rFonts w:hint="eastAsia" w:ascii="宋体" w:hAnsi="宋体"/>
          <w:b/>
          <w:sz w:val="24"/>
          <w:szCs w:val="28"/>
        </w:rPr>
        <w:t>：</w:t>
      </w:r>
      <w:r>
        <w:rPr>
          <w:rFonts w:hint="eastAsia" w:ascii="宋体" w:hAnsi="宋体"/>
          <w:b/>
          <w:sz w:val="24"/>
          <w:szCs w:val="28"/>
          <w:u w:val="single"/>
          <w:lang w:eastAsia="zh-CN"/>
        </w:rPr>
        <w:t>宿迁建威竞磋（货物）2020-019</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采购合同编号</w:t>
      </w:r>
      <w:r>
        <w:rPr>
          <w:rFonts w:hint="eastAsia" w:ascii="宋体" w:hAnsi="宋体"/>
          <w:b/>
          <w:sz w:val="24"/>
          <w:szCs w:val="28"/>
        </w:rPr>
        <w:t>：</w:t>
      </w:r>
      <w:r>
        <w:rPr>
          <w:rFonts w:hint="eastAsia" w:ascii="宋体" w:hAnsi="宋体"/>
          <w:b/>
          <w:sz w:val="24"/>
          <w:szCs w:val="28"/>
          <w:u w:val="single"/>
        </w:rPr>
        <w:t>SQJW-</w:t>
      </w:r>
      <w:r>
        <w:rPr>
          <w:rFonts w:hint="eastAsia" w:ascii="宋体" w:hAnsi="宋体"/>
          <w:b/>
          <w:sz w:val="24"/>
          <w:szCs w:val="28"/>
          <w:u w:val="single"/>
          <w:lang w:eastAsia="zh-CN"/>
        </w:rPr>
        <w:t>2020</w:t>
      </w:r>
      <w:r>
        <w:rPr>
          <w:rFonts w:hint="eastAsia" w:ascii="宋体" w:hAnsi="宋体"/>
          <w:b/>
          <w:sz w:val="24"/>
          <w:szCs w:val="28"/>
          <w:u w:val="single"/>
        </w:rPr>
        <w:t>-</w:t>
      </w:r>
      <w:r>
        <w:rPr>
          <w:rFonts w:hint="eastAsia" w:ascii="宋体" w:hAnsi="宋体"/>
          <w:b/>
          <w:sz w:val="24"/>
          <w:szCs w:val="28"/>
          <w:u w:val="single"/>
          <w:lang w:val="en-US" w:eastAsia="zh-CN"/>
        </w:rPr>
        <w:t>019</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ascii="宋体" w:hAnsi="宋体"/>
          <w:b/>
          <w:sz w:val="24"/>
          <w:szCs w:val="28"/>
        </w:rPr>
        <w:t>合同金额</w:t>
      </w:r>
      <w:r>
        <w:rPr>
          <w:rFonts w:hint="eastAsia" w:ascii="宋体" w:hAnsi="宋体"/>
          <w:b/>
          <w:sz w:val="24"/>
          <w:szCs w:val="28"/>
        </w:rPr>
        <w:t>（</w:t>
      </w:r>
      <w:r>
        <w:rPr>
          <w:rFonts w:ascii="宋体" w:hAnsi="宋体"/>
          <w:b/>
          <w:sz w:val="24"/>
          <w:szCs w:val="28"/>
        </w:rPr>
        <w:t>人民币</w:t>
      </w:r>
      <w:r>
        <w:rPr>
          <w:rFonts w:hint="eastAsia" w:ascii="宋体" w:hAnsi="宋体"/>
          <w:b/>
          <w:sz w:val="24"/>
          <w:szCs w:val="28"/>
        </w:rPr>
        <w:t>）：</w:t>
      </w:r>
      <w:r>
        <w:rPr>
          <w:rFonts w:hint="eastAsia" w:ascii="宋体" w:hAnsi="宋体"/>
          <w:b/>
          <w:sz w:val="24"/>
          <w:szCs w:val="28"/>
          <w:u w:val="single"/>
        </w:rPr>
        <w:t xml:space="preserve">                                              </w:t>
      </w:r>
    </w:p>
    <w:p>
      <w:pPr>
        <w:spacing w:line="360" w:lineRule="auto"/>
        <w:ind w:firstLine="723" w:firstLineChars="300"/>
        <w:rPr>
          <w:rFonts w:ascii="宋体" w:hAnsi="宋体"/>
          <w:b/>
          <w:sz w:val="24"/>
          <w:szCs w:val="28"/>
          <w:u w:val="single"/>
        </w:rPr>
      </w:pPr>
      <w:r>
        <w:rPr>
          <w:rFonts w:hint="eastAsia" w:ascii="宋体" w:hAnsi="宋体"/>
          <w:b/>
          <w:sz w:val="24"/>
          <w:szCs w:val="28"/>
        </w:rPr>
        <w:t>采购单位（</w:t>
      </w:r>
      <w:r>
        <w:rPr>
          <w:rFonts w:ascii="宋体" w:hAnsi="宋体"/>
          <w:b/>
          <w:sz w:val="24"/>
          <w:szCs w:val="28"/>
        </w:rPr>
        <w:t>甲方</w:t>
      </w:r>
      <w:r>
        <w:rPr>
          <w:rFonts w:hint="eastAsia" w:ascii="宋体" w:hAnsi="宋体"/>
          <w:b/>
          <w:sz w:val="24"/>
          <w:szCs w:val="28"/>
        </w:rPr>
        <w:t>）：</w:t>
      </w:r>
      <w:r>
        <w:rPr>
          <w:rFonts w:hint="eastAsia" w:ascii="宋体" w:hAnsi="宋体"/>
          <w:b/>
          <w:sz w:val="24"/>
          <w:szCs w:val="28"/>
          <w:u w:val="single"/>
        </w:rPr>
        <w:t xml:space="preserve">                                        （盖章）</w:t>
      </w:r>
    </w:p>
    <w:p>
      <w:pPr>
        <w:spacing w:line="360" w:lineRule="auto"/>
        <w:ind w:firstLine="723" w:firstLineChars="300"/>
        <w:rPr>
          <w:rFonts w:ascii="宋体" w:hAnsi="宋体"/>
          <w:b/>
          <w:sz w:val="24"/>
          <w:szCs w:val="28"/>
          <w:u w:val="single"/>
        </w:rPr>
      </w:pPr>
      <w:r>
        <w:rPr>
          <w:rFonts w:ascii="宋体" w:hAnsi="宋体"/>
          <w:b/>
          <w:sz w:val="24"/>
          <w:szCs w:val="28"/>
        </w:rPr>
        <w:t>中标磋商供应商</w:t>
      </w:r>
      <w:r>
        <w:rPr>
          <w:rFonts w:hint="eastAsia" w:ascii="宋体" w:hAnsi="宋体"/>
          <w:b/>
          <w:sz w:val="24"/>
          <w:szCs w:val="28"/>
        </w:rPr>
        <w:t>（</w:t>
      </w:r>
      <w:r>
        <w:rPr>
          <w:rFonts w:ascii="宋体" w:hAnsi="宋体"/>
          <w:b/>
          <w:sz w:val="24"/>
          <w:szCs w:val="28"/>
        </w:rPr>
        <w:t>乙方</w:t>
      </w:r>
      <w:r>
        <w:rPr>
          <w:rFonts w:hint="eastAsia" w:ascii="宋体" w:hAnsi="宋体"/>
          <w:b/>
          <w:sz w:val="24"/>
          <w:szCs w:val="28"/>
        </w:rPr>
        <w:t xml:space="preserve">）： </w:t>
      </w:r>
      <w:r>
        <w:rPr>
          <w:rFonts w:hint="eastAsia" w:ascii="宋体" w:hAnsi="宋体"/>
          <w:b/>
          <w:sz w:val="24"/>
          <w:szCs w:val="28"/>
          <w:u w:val="single"/>
        </w:rPr>
        <w:t xml:space="preserve">                                 （盖章）</w:t>
      </w:r>
    </w:p>
    <w:p>
      <w:pPr>
        <w:spacing w:line="360" w:lineRule="auto"/>
        <w:ind w:firstLine="723" w:firstLineChars="300"/>
        <w:rPr>
          <w:rFonts w:ascii="宋体" w:hAnsi="宋体"/>
          <w:b/>
          <w:sz w:val="24"/>
          <w:szCs w:val="28"/>
          <w:u w:val="single"/>
        </w:rPr>
      </w:pPr>
      <w:r>
        <w:rPr>
          <w:rFonts w:ascii="宋体" w:hAnsi="宋体"/>
          <w:b/>
          <w:sz w:val="24"/>
          <w:szCs w:val="28"/>
        </w:rPr>
        <w:t>采购日期</w:t>
      </w:r>
      <w:r>
        <w:rPr>
          <w:rFonts w:hint="eastAsia" w:ascii="宋体" w:hAnsi="宋体"/>
          <w:b/>
          <w:sz w:val="24"/>
          <w:szCs w:val="28"/>
        </w:rPr>
        <w:t>：</w:t>
      </w:r>
      <w:r>
        <w:rPr>
          <w:rFonts w:hint="eastAsia" w:ascii="宋体" w:hAnsi="宋体"/>
          <w:b/>
          <w:sz w:val="24"/>
          <w:szCs w:val="28"/>
          <w:u w:val="single"/>
        </w:rPr>
        <w:t xml:space="preserve">                                                        </w:t>
      </w:r>
    </w:p>
    <w:p>
      <w:pPr>
        <w:spacing w:line="360" w:lineRule="auto"/>
        <w:rPr>
          <w:rFonts w:ascii="宋体" w:hAnsi="宋体" w:cs="宋体"/>
          <w:b/>
          <w:sz w:val="24"/>
        </w:rPr>
      </w:pPr>
      <w:r>
        <w:rPr>
          <w:rFonts w:ascii="宋体" w:hAnsi="宋体"/>
          <w:sz w:val="28"/>
          <w:szCs w:val="28"/>
          <w:u w:val="single"/>
        </w:rPr>
        <w:br w:type="page"/>
      </w:r>
      <w:r>
        <w:rPr>
          <w:rFonts w:hint="eastAsia" w:ascii="宋体" w:hAnsi="宋体" w:cs="宋体"/>
          <w:b/>
          <w:sz w:val="24"/>
        </w:rPr>
        <w:t>采购单位（以下简称甲方）：</w:t>
      </w:r>
    </w:p>
    <w:p>
      <w:pPr>
        <w:spacing w:line="360" w:lineRule="auto"/>
        <w:rPr>
          <w:rFonts w:ascii="宋体" w:hAnsi="宋体" w:cs="宋体"/>
          <w:b/>
          <w:sz w:val="24"/>
        </w:rPr>
      </w:pPr>
      <w:r>
        <w:rPr>
          <w:rFonts w:hint="eastAsia" w:ascii="宋体" w:hAnsi="宋体" w:cs="宋体"/>
          <w:b/>
          <w:sz w:val="24"/>
        </w:rPr>
        <w:t>中标</w:t>
      </w:r>
      <w:r>
        <w:rPr>
          <w:rFonts w:ascii="宋体" w:hAnsi="宋体" w:cs="宋体"/>
          <w:b/>
          <w:sz w:val="24"/>
        </w:rPr>
        <w:t>供应商</w:t>
      </w:r>
      <w:r>
        <w:rPr>
          <w:rFonts w:hint="eastAsia" w:ascii="宋体" w:hAnsi="宋体" w:cs="宋体"/>
          <w:b/>
          <w:sz w:val="24"/>
        </w:rPr>
        <w:t>（</w:t>
      </w:r>
      <w:r>
        <w:rPr>
          <w:rFonts w:ascii="宋体" w:hAnsi="宋体" w:cs="宋体"/>
          <w:b/>
          <w:sz w:val="24"/>
        </w:rPr>
        <w:t>以下简称乙方</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val="zh-CN" w:eastAsia="zh-CN"/>
        </w:rPr>
        <w:t>公共文化活动室采购项目</w:t>
      </w:r>
      <w:r>
        <w:rPr>
          <w:rFonts w:hint="eastAsia" w:ascii="宋体" w:hAnsi="宋体" w:cs="宋体"/>
          <w:sz w:val="24"/>
        </w:rPr>
        <w:t>（</w:t>
      </w:r>
      <w:r>
        <w:rPr>
          <w:rFonts w:hint="eastAsia" w:ascii="宋体" w:hAnsi="宋体" w:cs="宋体"/>
          <w:sz w:val="24"/>
          <w:lang w:eastAsia="zh-CN"/>
        </w:rPr>
        <w:t>宿迁建威竞磋（货物）2020-019</w:t>
      </w:r>
      <w:r>
        <w:rPr>
          <w:rFonts w:hint="eastAsia" w:ascii="宋体" w:hAnsi="宋体" w:cs="宋体"/>
          <w:sz w:val="24"/>
        </w:rPr>
        <w:t>）的磋商文件要求和采购代理机构出具的《</w:t>
      </w:r>
      <w:r>
        <w:rPr>
          <w:rFonts w:hint="eastAsia" w:ascii="宋体" w:hAnsi="宋体" w:cs="宋体"/>
          <w:sz w:val="24"/>
          <w:lang w:val="en-US" w:eastAsia="zh-CN"/>
        </w:rPr>
        <w:t>成交</w:t>
      </w:r>
      <w:r>
        <w:rPr>
          <w:rFonts w:hint="eastAsia" w:ascii="宋体" w:hAnsi="宋体" w:cs="宋体"/>
          <w:sz w:val="24"/>
        </w:rPr>
        <w:t>通知书》，并经双方协商一致，签订本合同协议书。</w:t>
      </w:r>
    </w:p>
    <w:p>
      <w:pPr>
        <w:spacing w:line="360" w:lineRule="auto"/>
        <w:rPr>
          <w:rFonts w:ascii="宋体" w:hAnsi="宋体" w:cs="宋体"/>
          <w:b/>
          <w:sz w:val="24"/>
        </w:rPr>
      </w:pPr>
      <w:r>
        <w:rPr>
          <w:rFonts w:ascii="宋体" w:hAnsi="宋体" w:cs="宋体"/>
          <w:b/>
          <w:sz w:val="24"/>
        </w:rPr>
        <w:t>一</w:t>
      </w:r>
      <w:r>
        <w:rPr>
          <w:rFonts w:hint="eastAsia" w:ascii="宋体" w:hAnsi="宋体" w:cs="宋体"/>
          <w:b/>
          <w:sz w:val="24"/>
        </w:rPr>
        <w:t>、签订本政府采购合同的依据</w:t>
      </w:r>
    </w:p>
    <w:p>
      <w:pPr>
        <w:spacing w:line="360" w:lineRule="auto"/>
        <w:ind w:firstLine="480" w:firstLineChars="200"/>
        <w:rPr>
          <w:rFonts w:ascii="宋体" w:hAnsi="宋体" w:cs="宋体"/>
          <w:sz w:val="24"/>
        </w:rPr>
      </w:pPr>
      <w:r>
        <w:rPr>
          <w:rFonts w:hint="eastAsia" w:ascii="宋体" w:hAnsi="宋体" w:cs="宋体"/>
          <w:sz w:val="24"/>
        </w:rPr>
        <w:t>本政府采购合同所附下列文件是构成本政府采购合同不可分割的部分：</w:t>
      </w:r>
    </w:p>
    <w:p>
      <w:pPr>
        <w:spacing w:line="360" w:lineRule="auto"/>
        <w:rPr>
          <w:rFonts w:ascii="宋体" w:hAnsi="宋体" w:cs="宋体"/>
          <w:sz w:val="24"/>
        </w:rPr>
      </w:pPr>
      <w:r>
        <w:rPr>
          <w:rFonts w:hint="eastAsia" w:ascii="宋体" w:hAnsi="宋体" w:cs="宋体"/>
          <w:sz w:val="24"/>
        </w:rPr>
        <w:t>1．磋商文件；</w:t>
      </w:r>
    </w:p>
    <w:p>
      <w:pPr>
        <w:spacing w:line="360" w:lineRule="auto"/>
        <w:rPr>
          <w:rFonts w:ascii="宋体" w:hAnsi="宋体" w:cs="宋体"/>
          <w:sz w:val="24"/>
        </w:rPr>
      </w:pPr>
      <w:r>
        <w:rPr>
          <w:rFonts w:hint="eastAsia" w:ascii="宋体" w:hAnsi="宋体" w:cs="宋体"/>
          <w:sz w:val="24"/>
        </w:rPr>
        <w:t>2．磋商文件的更正、变更公告；</w:t>
      </w:r>
    </w:p>
    <w:p>
      <w:pPr>
        <w:spacing w:line="360" w:lineRule="auto"/>
        <w:rPr>
          <w:rFonts w:ascii="宋体" w:hAnsi="宋体" w:cs="宋体"/>
          <w:sz w:val="24"/>
        </w:rPr>
      </w:pPr>
      <w:r>
        <w:rPr>
          <w:rFonts w:hint="eastAsia" w:ascii="宋体" w:hAnsi="宋体" w:cs="宋体"/>
          <w:sz w:val="24"/>
        </w:rPr>
        <w:t>3．中标磋商供应商提交的磋商响应文件；</w:t>
      </w:r>
    </w:p>
    <w:p>
      <w:pPr>
        <w:spacing w:line="360" w:lineRule="auto"/>
        <w:rPr>
          <w:rFonts w:ascii="宋体" w:hAnsi="宋体" w:cs="宋体"/>
          <w:sz w:val="24"/>
        </w:rPr>
      </w:pPr>
      <w:r>
        <w:rPr>
          <w:rFonts w:hint="eastAsia" w:ascii="宋体" w:hAnsi="宋体" w:cs="宋体"/>
          <w:sz w:val="24"/>
        </w:rPr>
        <w:t>4．磋商文件中规定的政府采购合同通用条款；</w:t>
      </w:r>
    </w:p>
    <w:p>
      <w:pPr>
        <w:spacing w:line="360" w:lineRule="auto"/>
        <w:rPr>
          <w:rFonts w:ascii="宋体" w:hAnsi="宋体" w:cs="宋体"/>
          <w:sz w:val="24"/>
        </w:rPr>
      </w:pPr>
      <w:r>
        <w:rPr>
          <w:rFonts w:hint="eastAsia" w:ascii="宋体" w:hAnsi="宋体" w:cs="宋体"/>
          <w:sz w:val="24"/>
        </w:rPr>
        <w:t>5．成交通知书；</w:t>
      </w:r>
    </w:p>
    <w:p>
      <w:pPr>
        <w:spacing w:line="360" w:lineRule="auto"/>
        <w:rPr>
          <w:rFonts w:ascii="宋体" w:hAnsi="宋体" w:cs="宋体"/>
          <w:sz w:val="24"/>
        </w:rPr>
      </w:pPr>
      <w:r>
        <w:rPr>
          <w:rFonts w:hint="eastAsia" w:ascii="宋体" w:hAnsi="宋体" w:cs="宋体"/>
          <w:sz w:val="24"/>
        </w:rPr>
        <w:t>6. 履约保证金缴纳证明。</w:t>
      </w:r>
    </w:p>
    <w:p>
      <w:pPr>
        <w:spacing w:line="360" w:lineRule="auto"/>
        <w:rPr>
          <w:rFonts w:ascii="宋体" w:hAnsi="宋体"/>
          <w:b/>
          <w:sz w:val="24"/>
        </w:rPr>
      </w:pPr>
      <w:r>
        <w:rPr>
          <w:rFonts w:hint="eastAsia" w:ascii="宋体" w:hAnsi="宋体"/>
          <w:b/>
          <w:sz w:val="24"/>
        </w:rPr>
        <w:t xml:space="preserve">二、合同标的及金额                                          </w:t>
      </w:r>
      <w:r>
        <w:rPr>
          <w:rFonts w:hint="eastAsia" w:ascii="宋体" w:hAnsi="宋体"/>
          <w:sz w:val="24"/>
        </w:rPr>
        <w:t>单位：    元</w:t>
      </w:r>
    </w:p>
    <w:tbl>
      <w:tblPr>
        <w:tblStyle w:val="32"/>
        <w:tblW w:w="9644" w:type="dxa"/>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序号</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标的名称</w:t>
            </w: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型号规格</w:t>
            </w: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数量</w:t>
            </w: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单价</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总价</w:t>
            </w:r>
          </w:p>
        </w:tc>
        <w:tc>
          <w:tcPr>
            <w:tcW w:w="212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trHeight w:val="564"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1</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7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r>
      <w:tr>
        <w:tblPrEx>
          <w:tblCellMar>
            <w:top w:w="0" w:type="dxa"/>
            <w:left w:w="108" w:type="dxa"/>
            <w:bottom w:w="0" w:type="dxa"/>
            <w:right w:w="108" w:type="dxa"/>
          </w:tblCellMar>
        </w:tblPrEx>
        <w:trPr>
          <w:trHeight w:val="702" w:hRule="atLeast"/>
        </w:trPr>
        <w:tc>
          <w:tcPr>
            <w:tcW w:w="1265"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2</w:t>
            </w:r>
          </w:p>
        </w:tc>
        <w:tc>
          <w:tcPr>
            <w:tcW w:w="12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30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56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417" w:type="dxa"/>
            <w:tcBorders>
              <w:top w:val="nil"/>
              <w:left w:val="nil"/>
              <w:bottom w:val="single" w:color="auto" w:sz="4" w:space="0"/>
              <w:right w:val="nil"/>
            </w:tcBorders>
            <w:shd w:val="clear" w:color="auto" w:fill="FFFFFF"/>
            <w:vAlign w:val="center"/>
          </w:tcPr>
          <w:p>
            <w:pPr>
              <w:spacing w:line="360" w:lineRule="auto"/>
              <w:jc w:val="center"/>
              <w:rPr>
                <w:rFonts w:ascii="宋体" w:hAnsi="宋体"/>
                <w:sz w:val="24"/>
              </w:rPr>
            </w:pPr>
          </w:p>
        </w:tc>
        <w:tc>
          <w:tcPr>
            <w:tcW w:w="2126" w:type="dxa"/>
            <w:tcBorders>
              <w:top w:val="nil"/>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r>
      <w:tr>
        <w:tblPrEx>
          <w:tblCellMar>
            <w:top w:w="0" w:type="dxa"/>
            <w:left w:w="108" w:type="dxa"/>
            <w:bottom w:w="0" w:type="dxa"/>
            <w:right w:w="108" w:type="dxa"/>
          </w:tblCellMar>
        </w:tblPrEx>
        <w:trPr>
          <w:trHeight w:val="702" w:hRule="atLeast"/>
        </w:trPr>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r>
              <w:rPr>
                <w:rFonts w:hint="eastAsia" w:ascii="宋体" w:hAnsi="宋体"/>
                <w:sz w:val="24"/>
              </w:rPr>
              <w:t>…</w:t>
            </w:r>
          </w:p>
        </w:tc>
        <w:tc>
          <w:tcPr>
            <w:tcW w:w="12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3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70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56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c>
          <w:tcPr>
            <w:tcW w:w="1417" w:type="dxa"/>
            <w:tcBorders>
              <w:top w:val="single" w:color="auto" w:sz="4" w:space="0"/>
              <w:left w:val="nil"/>
              <w:bottom w:val="single" w:color="auto" w:sz="4" w:space="0"/>
              <w:right w:val="nil"/>
            </w:tcBorders>
            <w:shd w:val="clear" w:color="auto" w:fill="FFFFFF"/>
            <w:vAlign w:val="center"/>
          </w:tcPr>
          <w:p>
            <w:pPr>
              <w:spacing w:line="360" w:lineRule="auto"/>
              <w:jc w:val="center"/>
              <w:rPr>
                <w:rFonts w:ascii="宋体" w:hAnsi="宋体"/>
                <w:sz w:val="24"/>
              </w:rPr>
            </w:pP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rPr>
            </w:pPr>
          </w:p>
        </w:tc>
      </w:tr>
    </w:tbl>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根据上述政府采购合同文件要求，本政府采购合同的总金额为人民币（大写）元。</w:t>
      </w:r>
    </w:p>
    <w:p>
      <w:pPr>
        <w:spacing w:line="360" w:lineRule="auto"/>
        <w:ind w:firstLine="480" w:firstLineChars="200"/>
        <w:rPr>
          <w:rFonts w:hint="eastAsia" w:ascii="宋体" w:hAnsi="宋体"/>
          <w:sz w:val="24"/>
        </w:rPr>
      </w:pPr>
      <w:r>
        <w:rPr>
          <w:rFonts w:hint="eastAsia" w:ascii="宋体" w:hAnsi="宋体"/>
          <w:sz w:val="24"/>
        </w:rPr>
        <w:t>本合同以人民币进行结算，合同总价包括：</w:t>
      </w:r>
      <w:r>
        <w:rPr>
          <w:rFonts w:hint="eastAsia" w:ascii="宋体" w:hAnsi="宋体"/>
          <w:sz w:val="24"/>
          <w:lang w:val="zh-CN"/>
        </w:rPr>
        <w:t>产品费、验收费、手续费、包装费、运输费、保险费、安装费、售前、售中、售后服务费、招标代理费、税金及不可预见费等全部费用。</w:t>
      </w:r>
    </w:p>
    <w:p>
      <w:pPr>
        <w:spacing w:line="360" w:lineRule="auto"/>
        <w:ind w:firstLine="480" w:firstLineChars="200"/>
        <w:rPr>
          <w:rFonts w:ascii="宋体" w:hAnsi="宋体"/>
          <w:sz w:val="24"/>
        </w:rPr>
      </w:pPr>
      <w:r>
        <w:rPr>
          <w:rFonts w:hint="eastAsia" w:ascii="宋体" w:hAnsi="宋体"/>
          <w:sz w:val="24"/>
        </w:rPr>
        <w:t>（说明：具体内容应根据项目特点实事求是的填写）</w:t>
      </w:r>
    </w:p>
    <w:p>
      <w:pPr>
        <w:spacing w:line="360" w:lineRule="auto"/>
        <w:rPr>
          <w:rFonts w:ascii="宋体" w:hAnsi="宋体"/>
          <w:b/>
          <w:sz w:val="24"/>
        </w:rPr>
      </w:pPr>
      <w:r>
        <w:rPr>
          <w:rFonts w:hint="eastAsia" w:ascii="宋体" w:hAnsi="宋体"/>
          <w:b/>
          <w:sz w:val="24"/>
        </w:rPr>
        <w:t>三、交付时间、地点和要求</w:t>
      </w:r>
    </w:p>
    <w:p>
      <w:pPr>
        <w:shd w:val="clear"/>
        <w:spacing w:line="360" w:lineRule="auto"/>
        <w:rPr>
          <w:rFonts w:ascii="宋体" w:hAnsi="宋体"/>
          <w:color w:val="auto"/>
          <w:sz w:val="24"/>
        </w:rPr>
      </w:pPr>
      <w:r>
        <w:rPr>
          <w:rFonts w:hint="eastAsia" w:ascii="宋体" w:hAnsi="宋体"/>
          <w:color w:val="auto"/>
          <w:sz w:val="24"/>
        </w:rPr>
        <w:t>1.交货期：自合同签订之日起</w:t>
      </w:r>
      <w:r>
        <w:rPr>
          <w:rFonts w:hint="eastAsia" w:ascii="宋体" w:hAnsi="宋体"/>
          <w:color w:val="auto"/>
          <w:sz w:val="24"/>
          <w:lang w:val="en-US" w:eastAsia="zh-CN"/>
        </w:rPr>
        <w:t>60</w:t>
      </w:r>
      <w:r>
        <w:rPr>
          <w:rFonts w:hint="eastAsia" w:ascii="宋体" w:hAnsi="宋体"/>
          <w:color w:val="auto"/>
          <w:sz w:val="24"/>
        </w:rPr>
        <w:t>日历日</w:t>
      </w:r>
      <w:r>
        <w:rPr>
          <w:rFonts w:hint="eastAsia" w:ascii="宋体" w:hAnsi="宋体"/>
          <w:color w:val="auto"/>
          <w:sz w:val="24"/>
          <w:lang w:val="en-US" w:eastAsia="zh-CN"/>
        </w:rPr>
        <w:t>内</w:t>
      </w:r>
      <w:r>
        <w:rPr>
          <w:rFonts w:hint="eastAsia" w:ascii="宋体" w:hAnsi="宋体"/>
          <w:color w:val="auto"/>
          <w:sz w:val="24"/>
        </w:rPr>
        <w:t>；</w:t>
      </w:r>
    </w:p>
    <w:p>
      <w:pPr>
        <w:shd w:val="clear"/>
        <w:spacing w:line="360" w:lineRule="auto"/>
        <w:ind w:firstLine="240" w:firstLineChars="100"/>
        <w:rPr>
          <w:rFonts w:ascii="宋体" w:hAnsi="宋体"/>
          <w:color w:val="auto"/>
          <w:sz w:val="24"/>
        </w:rPr>
      </w:pPr>
      <w:r>
        <w:rPr>
          <w:rFonts w:hint="eastAsia" w:ascii="宋体" w:hAnsi="宋体"/>
          <w:color w:val="auto"/>
          <w:sz w:val="24"/>
        </w:rPr>
        <w:t>交货地点：</w:t>
      </w:r>
      <w:bookmarkStart w:id="81" w:name="_Hlk497746416"/>
      <w:r>
        <w:rPr>
          <w:rFonts w:hint="eastAsia" w:ascii="宋体" w:hAnsi="宋体" w:cs="宋体"/>
          <w:color w:val="auto"/>
          <w:kern w:val="0"/>
          <w:sz w:val="24"/>
          <w:lang w:val="zh-CN"/>
        </w:rPr>
        <w:t>采购人指定地点</w:t>
      </w:r>
      <w:r>
        <w:rPr>
          <w:rFonts w:hint="eastAsia" w:ascii="宋体" w:hAnsi="宋体"/>
          <w:color w:val="auto"/>
          <w:sz w:val="24"/>
        </w:rPr>
        <w:t>；</w:t>
      </w:r>
    </w:p>
    <w:p>
      <w:pPr>
        <w:shd w:val="clear"/>
        <w:spacing w:line="360" w:lineRule="auto"/>
        <w:ind w:firstLine="240" w:firstLineChars="100"/>
        <w:rPr>
          <w:rFonts w:ascii="宋体" w:hAnsi="宋体"/>
          <w:color w:val="auto"/>
          <w:sz w:val="24"/>
        </w:rPr>
      </w:pPr>
      <w:r>
        <w:rPr>
          <w:rFonts w:hint="eastAsia" w:ascii="宋体" w:hAnsi="宋体"/>
          <w:color w:val="auto"/>
          <w:sz w:val="24"/>
        </w:rPr>
        <w:t>质保期：</w:t>
      </w:r>
      <w:r>
        <w:rPr>
          <w:rFonts w:hint="eastAsia" w:ascii="宋体" w:hAnsi="宋体"/>
          <w:color w:val="auto"/>
          <w:sz w:val="24"/>
          <w:lang w:val="en-US" w:eastAsia="zh-CN"/>
        </w:rPr>
        <w:t>一</w:t>
      </w:r>
      <w:r>
        <w:rPr>
          <w:rFonts w:hint="eastAsia" w:ascii="宋体" w:hAnsi="宋体"/>
          <w:color w:val="auto"/>
          <w:sz w:val="24"/>
        </w:rPr>
        <w:t>年；</w:t>
      </w:r>
    </w:p>
    <w:bookmarkEnd w:id="81"/>
    <w:p>
      <w:pPr>
        <w:spacing w:line="360" w:lineRule="auto"/>
        <w:rPr>
          <w:rFonts w:ascii="宋体" w:hAnsi="宋体"/>
          <w:sz w:val="24"/>
        </w:rPr>
      </w:pPr>
      <w:r>
        <w:rPr>
          <w:rFonts w:hint="eastAsia" w:ascii="宋体" w:hAnsi="宋体"/>
          <w:sz w:val="24"/>
        </w:rPr>
        <w:t>2.乙方提供不符合磋商响应文件和本合同规定的产品，甲方有权拒绝接受；</w:t>
      </w:r>
    </w:p>
    <w:p>
      <w:pPr>
        <w:spacing w:line="360" w:lineRule="auto"/>
        <w:rPr>
          <w:rFonts w:ascii="宋体" w:hAnsi="宋体"/>
          <w:sz w:val="24"/>
        </w:rPr>
      </w:pPr>
      <w:r>
        <w:rPr>
          <w:rFonts w:hint="eastAsia" w:ascii="宋体" w:hAnsi="宋体"/>
          <w:sz w:val="24"/>
        </w:rPr>
        <w:t>3.乙方应将提供产品的装箱清单、用户手册、原厂保修卡、随机资料、工具和备品、备件等（如有）交付给甲方，如有缺失应及时补齐，否则视为逾期交货；</w:t>
      </w:r>
    </w:p>
    <w:p>
      <w:pPr>
        <w:spacing w:line="360" w:lineRule="auto"/>
        <w:rPr>
          <w:rFonts w:ascii="宋体" w:hAnsi="宋体"/>
          <w:sz w:val="24"/>
        </w:rPr>
      </w:pPr>
      <w:r>
        <w:rPr>
          <w:rFonts w:hint="eastAsia" w:ascii="宋体" w:hAnsi="宋体"/>
          <w:sz w:val="24"/>
        </w:rPr>
        <w:t>4.甲方应当在到货（安装、调试完）后10个工作日内进行验收，逾期不验收的，乙方可视为验收合格。验收合格后，由甲乙双方签署产品验收单并加盖采购单位公章，甲乙双方各执一份；</w:t>
      </w:r>
    </w:p>
    <w:p>
      <w:pPr>
        <w:spacing w:line="360" w:lineRule="auto"/>
        <w:rPr>
          <w:rFonts w:ascii="宋体" w:hAnsi="宋体"/>
          <w:sz w:val="24"/>
        </w:rPr>
      </w:pPr>
      <w:r>
        <w:rPr>
          <w:rFonts w:hint="eastAsia" w:ascii="宋体" w:hAnsi="宋体"/>
          <w:sz w:val="24"/>
        </w:rPr>
        <w:t>5.甲方应提供该项目验收报告交同级财政监管部门，由财政部门按规定程序抽验后办理资金拨付；</w:t>
      </w:r>
    </w:p>
    <w:p>
      <w:pPr>
        <w:spacing w:line="360" w:lineRule="auto"/>
        <w:rPr>
          <w:rFonts w:ascii="宋体" w:hAnsi="宋体"/>
          <w:sz w:val="24"/>
        </w:rPr>
      </w:pPr>
      <w:r>
        <w:rPr>
          <w:rFonts w:hint="eastAsia" w:ascii="宋体" w:hAnsi="宋体"/>
          <w:sz w:val="24"/>
        </w:rPr>
        <w:t>6.甲方在验收过程中发现乙方有违约问题，可按磋商响应文件的规定要求乙方及时予以解决；</w:t>
      </w:r>
    </w:p>
    <w:p>
      <w:pPr>
        <w:spacing w:line="360" w:lineRule="auto"/>
        <w:rPr>
          <w:rFonts w:ascii="宋体" w:hAnsi="宋体"/>
          <w:sz w:val="24"/>
        </w:rPr>
      </w:pPr>
      <w:r>
        <w:rPr>
          <w:rFonts w:hint="eastAsia" w:ascii="宋体" w:hAnsi="宋体"/>
          <w:sz w:val="24"/>
        </w:rPr>
        <w:t>7.乙方向甲方提供产品相关完税销售发票。</w:t>
      </w:r>
    </w:p>
    <w:p>
      <w:pPr>
        <w:spacing w:line="360" w:lineRule="auto"/>
        <w:rPr>
          <w:rFonts w:ascii="宋体" w:hAnsi="宋体"/>
          <w:b/>
          <w:sz w:val="24"/>
        </w:rPr>
      </w:pPr>
      <w:r>
        <w:rPr>
          <w:rFonts w:hint="eastAsia" w:ascii="宋体" w:hAnsi="宋体"/>
          <w:b/>
          <w:sz w:val="24"/>
        </w:rPr>
        <w:t>四、付款方式</w:t>
      </w:r>
    </w:p>
    <w:p>
      <w:pPr>
        <w:spacing w:line="360" w:lineRule="auto"/>
        <w:ind w:firstLine="480" w:firstLineChars="200"/>
        <w:rPr>
          <w:rFonts w:ascii="宋体" w:hAnsi="宋体"/>
          <w:sz w:val="24"/>
        </w:rPr>
      </w:pPr>
      <w:r>
        <w:rPr>
          <w:rFonts w:hint="eastAsia" w:ascii="宋体" w:hAnsi="宋体"/>
          <w:sz w:val="24"/>
        </w:rPr>
        <w:t>1．本项目不支付预付款；</w:t>
      </w:r>
    </w:p>
    <w:p>
      <w:pPr>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乙方所交付的产品由甲方验收合格，验收合格后由甲方报同级财政监管部门，申请资金拨付,按合同金额向乙方支付合同总价款的</w:t>
      </w:r>
      <w:r>
        <w:rPr>
          <w:rFonts w:hint="eastAsia" w:ascii="宋体" w:hAnsi="宋体"/>
          <w:sz w:val="24"/>
        </w:rPr>
        <w:t>100</w:t>
      </w:r>
      <w:r>
        <w:rPr>
          <w:rFonts w:ascii="宋体" w:hAnsi="宋体"/>
          <w:sz w:val="24"/>
        </w:rPr>
        <w:t>%，即人民币（大写）：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元。</w:t>
      </w:r>
      <w:r>
        <w:rPr>
          <w:rFonts w:hint="eastAsia" w:ascii="宋体" w:hAnsi="宋体"/>
          <w:sz w:val="24"/>
        </w:rPr>
        <w:t>合同签订前乙方向甲方提交10</w:t>
      </w:r>
      <w:r>
        <w:rPr>
          <w:rFonts w:ascii="宋体" w:hAnsi="宋体"/>
          <w:sz w:val="24"/>
        </w:rPr>
        <w:t>%</w:t>
      </w:r>
      <w:r>
        <w:rPr>
          <w:rFonts w:hint="eastAsia" w:ascii="宋体" w:hAnsi="宋体"/>
          <w:sz w:val="24"/>
        </w:rPr>
        <w:t>履约保证金计（大写）</w:t>
      </w:r>
      <w:r>
        <w:rPr>
          <w:rFonts w:hint="eastAsia" w:ascii="宋体" w:hAnsi="宋体"/>
          <w:sz w:val="24"/>
          <w:u w:val="single"/>
        </w:rPr>
        <w:t xml:space="preserve">              </w:t>
      </w:r>
      <w:r>
        <w:rPr>
          <w:rFonts w:hint="eastAsia" w:ascii="宋体" w:hAnsi="宋体"/>
          <w:sz w:val="24"/>
        </w:rPr>
        <w:t>元转为质量保证金。质量保证金待约定的质保期满</w:t>
      </w:r>
      <w:r>
        <w:rPr>
          <w:rFonts w:hint="eastAsia" w:ascii="宋体" w:hAnsi="宋体"/>
          <w:sz w:val="24"/>
          <w:u w:val="single"/>
        </w:rPr>
        <w:t xml:space="preserve">     </w:t>
      </w:r>
      <w:r>
        <w:rPr>
          <w:rFonts w:hint="eastAsia" w:ascii="宋体" w:hAnsi="宋体"/>
          <w:sz w:val="24"/>
        </w:rPr>
        <w:t>（年）且产品无质量问题后，由乙方提出书面申请，甲方以转账方式予以退还。</w:t>
      </w:r>
    </w:p>
    <w:p>
      <w:pPr>
        <w:autoSpaceDE w:val="0"/>
        <w:autoSpaceDN w:val="0"/>
        <w:spacing w:line="360" w:lineRule="auto"/>
        <w:rPr>
          <w:rFonts w:ascii="宋体" w:hAnsi="宋体"/>
          <w:b/>
          <w:sz w:val="24"/>
        </w:rPr>
      </w:pPr>
      <w:r>
        <w:rPr>
          <w:rFonts w:hint="eastAsia" w:ascii="宋体" w:hAnsi="宋体"/>
          <w:b/>
          <w:sz w:val="24"/>
        </w:rPr>
        <w:t>五、合同的变更、终止与转让</w:t>
      </w:r>
    </w:p>
    <w:p>
      <w:pPr>
        <w:spacing w:line="360" w:lineRule="auto"/>
        <w:rPr>
          <w:rFonts w:ascii="宋体" w:hAnsi="宋体"/>
          <w:sz w:val="24"/>
        </w:rPr>
      </w:pPr>
      <w:r>
        <w:rPr>
          <w:rFonts w:hint="eastAsia" w:ascii="宋体" w:hAnsi="宋体"/>
          <w:sz w:val="24"/>
        </w:rPr>
        <w:t>1．除《中华人民共和国政府采购法》第50条规定的情形外，本合同一经签订，甲乙双方不得擅自变更、中止或终止；</w:t>
      </w:r>
    </w:p>
    <w:p>
      <w:pPr>
        <w:spacing w:line="360" w:lineRule="auto"/>
        <w:rPr>
          <w:rFonts w:ascii="宋体" w:hAnsi="宋体"/>
          <w:sz w:val="24"/>
        </w:rPr>
      </w:pPr>
      <w:r>
        <w:rPr>
          <w:rFonts w:hint="eastAsia" w:ascii="宋体" w:hAnsi="宋体"/>
          <w:sz w:val="24"/>
        </w:rPr>
        <w:t>2．乙方不得擅自转让其应履行的合同义务。</w:t>
      </w:r>
    </w:p>
    <w:p>
      <w:pPr>
        <w:spacing w:line="360" w:lineRule="auto"/>
        <w:rPr>
          <w:rFonts w:ascii="宋体" w:hAnsi="宋体"/>
          <w:b/>
          <w:sz w:val="24"/>
        </w:rPr>
      </w:pPr>
      <w:r>
        <w:rPr>
          <w:rFonts w:hint="eastAsia" w:ascii="宋体" w:hAnsi="宋体"/>
          <w:b/>
          <w:sz w:val="24"/>
        </w:rPr>
        <w:t>六、违约责任</w:t>
      </w:r>
    </w:p>
    <w:p>
      <w:pPr>
        <w:spacing w:line="360" w:lineRule="auto"/>
        <w:rPr>
          <w:rFonts w:ascii="宋体" w:hAnsi="宋体"/>
          <w:sz w:val="24"/>
        </w:rPr>
      </w:pPr>
      <w:r>
        <w:rPr>
          <w:rFonts w:hint="eastAsia" w:ascii="宋体" w:hAnsi="宋体"/>
          <w:sz w:val="24"/>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360" w:lineRule="auto"/>
        <w:rPr>
          <w:rFonts w:ascii="宋体" w:hAnsi="宋体"/>
          <w:sz w:val="24"/>
        </w:rPr>
      </w:pPr>
      <w:r>
        <w:rPr>
          <w:rFonts w:hint="eastAsia" w:ascii="宋体" w:hAnsi="宋体"/>
          <w:sz w:val="24"/>
        </w:rPr>
        <w:t>2．乙方提供的货物如侵犯了第三方权益而引发纠纷或诉讼的，均由乙方负责交涉并承担全部责任；</w:t>
      </w:r>
    </w:p>
    <w:p>
      <w:pPr>
        <w:spacing w:line="360" w:lineRule="auto"/>
        <w:rPr>
          <w:rFonts w:ascii="宋体" w:hAnsi="宋体"/>
          <w:sz w:val="24"/>
        </w:rPr>
      </w:pPr>
      <w:r>
        <w:rPr>
          <w:rFonts w:hint="eastAsia" w:ascii="宋体" w:hAnsi="宋体"/>
          <w:sz w:val="24"/>
        </w:rPr>
        <w:t>3．因包装、运输引起的货物损坏，按质量不合格处罚；</w:t>
      </w:r>
    </w:p>
    <w:p>
      <w:pPr>
        <w:spacing w:line="360" w:lineRule="auto"/>
        <w:rPr>
          <w:rFonts w:ascii="宋体" w:hAnsi="宋体"/>
          <w:sz w:val="24"/>
        </w:rPr>
      </w:pPr>
      <w:r>
        <w:rPr>
          <w:rFonts w:hint="eastAsia" w:ascii="宋体" w:hAnsi="宋体"/>
          <w:sz w:val="24"/>
        </w:rPr>
        <w:t>4．甲方无故延期接受货物和乙方逾期交货的，每天应向对方偿付未交货物的货款3‰的违约金，但违约金累计不得超过违约货款的5%，超过10天对方有权解除合同，违约方承担因此给对方造成的经济损失；</w:t>
      </w:r>
    </w:p>
    <w:p>
      <w:pPr>
        <w:spacing w:line="360" w:lineRule="auto"/>
        <w:rPr>
          <w:rFonts w:ascii="宋体" w:hAnsi="宋体"/>
          <w:sz w:val="24"/>
        </w:rPr>
      </w:pPr>
      <w:r>
        <w:rPr>
          <w:rFonts w:hint="eastAsia" w:ascii="宋体" w:hAnsi="宋体"/>
          <w:sz w:val="24"/>
        </w:rPr>
        <w:t>5．乙方未按本合同和磋商文件中规定的服务承诺提供售后服务的，乙方应按本合同合计金额的5%向甲方支付违约金；</w:t>
      </w:r>
    </w:p>
    <w:p>
      <w:pPr>
        <w:spacing w:line="360" w:lineRule="auto"/>
        <w:rPr>
          <w:rFonts w:ascii="宋体" w:hAnsi="宋体"/>
          <w:sz w:val="24"/>
        </w:rPr>
      </w:pPr>
      <w:r>
        <w:rPr>
          <w:rFonts w:hint="eastAsia" w:ascii="宋体" w:hAnsi="宋体"/>
          <w:sz w:val="24"/>
        </w:rPr>
        <w:t>6．乙方提供的货物在质量保证期内，因设计、工艺或材料的缺陷和其它质量原因造成的问题，由乙方负责，费用从履约保证金中扣除，不足另补；</w:t>
      </w:r>
    </w:p>
    <w:p>
      <w:pPr>
        <w:spacing w:line="360" w:lineRule="auto"/>
        <w:rPr>
          <w:rFonts w:ascii="宋体" w:hAnsi="宋体"/>
          <w:sz w:val="24"/>
        </w:rPr>
      </w:pPr>
      <w:r>
        <w:rPr>
          <w:rFonts w:hint="eastAsia" w:ascii="宋体" w:hAnsi="宋体"/>
          <w:sz w:val="24"/>
        </w:rPr>
        <w:t>7．其它违约行为按违约货款额5%收取违约金并赔偿经济损失。</w:t>
      </w:r>
    </w:p>
    <w:p>
      <w:pPr>
        <w:spacing w:line="360" w:lineRule="auto"/>
        <w:rPr>
          <w:rFonts w:ascii="宋体" w:hAnsi="宋体"/>
          <w:b/>
          <w:sz w:val="24"/>
        </w:rPr>
      </w:pPr>
      <w:r>
        <w:rPr>
          <w:rFonts w:hint="eastAsia" w:ascii="宋体" w:hAnsi="宋体"/>
          <w:b/>
          <w:sz w:val="24"/>
        </w:rPr>
        <w:t>七、不可抗力</w:t>
      </w:r>
    </w:p>
    <w:p>
      <w:pPr>
        <w:spacing w:line="360" w:lineRule="auto"/>
        <w:rPr>
          <w:rFonts w:ascii="宋体" w:hAnsi="宋体"/>
          <w:sz w:val="24"/>
        </w:rPr>
      </w:pPr>
      <w:r>
        <w:rPr>
          <w:rFonts w:hint="eastAsia" w:ascii="宋体" w:hAnsi="宋体"/>
          <w:sz w:val="24"/>
        </w:rPr>
        <w:t>1．不可抗力使合同的某些内容有变更必要的，双方应通过协商在</w:t>
      </w:r>
      <w:r>
        <w:rPr>
          <w:rFonts w:ascii="宋体" w:hAnsi="宋体"/>
          <w:sz w:val="24"/>
          <w:u w:val="single"/>
        </w:rPr>
        <w:t>3</w:t>
      </w:r>
      <w:r>
        <w:rPr>
          <w:rFonts w:hint="eastAsia" w:ascii="宋体" w:hAnsi="宋体"/>
          <w:sz w:val="24"/>
        </w:rPr>
        <w:t>天内达成进一步履行合同的协议，因不可抗力致使合同不能履行的，合同终止；</w:t>
      </w:r>
    </w:p>
    <w:p>
      <w:pPr>
        <w:spacing w:line="360" w:lineRule="auto"/>
        <w:rPr>
          <w:rFonts w:ascii="宋体" w:hAnsi="宋体"/>
          <w:sz w:val="24"/>
        </w:rPr>
      </w:pPr>
      <w:r>
        <w:rPr>
          <w:rFonts w:hint="eastAsia" w:ascii="宋体" w:hAnsi="宋体"/>
          <w:sz w:val="24"/>
        </w:rPr>
        <w:t>2．除法律、法规规定的不可抗力情形外，双方约定出现</w:t>
      </w:r>
      <w:r>
        <w:rPr>
          <w:rFonts w:hint="eastAsia" w:ascii="宋体" w:hAnsi="宋体"/>
          <w:sz w:val="24"/>
          <w:u w:val="single"/>
        </w:rPr>
        <w:t xml:space="preserve"> 自然灾害 </w:t>
      </w:r>
      <w:r>
        <w:rPr>
          <w:rFonts w:hint="eastAsia" w:ascii="宋体" w:hAnsi="宋体"/>
          <w:sz w:val="24"/>
        </w:rPr>
        <w:t>情况亦视为不可抗力。</w:t>
      </w:r>
    </w:p>
    <w:p>
      <w:pPr>
        <w:spacing w:line="360" w:lineRule="auto"/>
        <w:rPr>
          <w:rFonts w:ascii="宋体" w:hAnsi="宋体"/>
          <w:b/>
          <w:sz w:val="24"/>
        </w:rPr>
      </w:pPr>
      <w:r>
        <w:rPr>
          <w:rFonts w:hint="eastAsia" w:ascii="宋体" w:hAnsi="宋体"/>
          <w:b/>
          <w:sz w:val="24"/>
        </w:rPr>
        <w:t>八、知识产权：</w:t>
      </w:r>
    </w:p>
    <w:p>
      <w:pPr>
        <w:spacing w:line="360" w:lineRule="auto"/>
        <w:rPr>
          <w:rFonts w:ascii="宋体" w:hAnsi="宋体"/>
          <w:b/>
          <w:sz w:val="24"/>
        </w:rPr>
      </w:pPr>
      <w:r>
        <w:rPr>
          <w:rFonts w:hint="eastAsia" w:ascii="宋体" w:hAnsi="宋体"/>
          <w:b/>
          <w:sz w:val="24"/>
        </w:rPr>
        <w:t>九、其他约定：</w:t>
      </w:r>
    </w:p>
    <w:p>
      <w:pPr>
        <w:spacing w:line="360" w:lineRule="auto"/>
        <w:rPr>
          <w:rFonts w:ascii="宋体" w:hAnsi="宋体"/>
          <w:b/>
          <w:sz w:val="24"/>
        </w:rPr>
      </w:pPr>
      <w:r>
        <w:rPr>
          <w:rFonts w:hint="eastAsia" w:ascii="宋体" w:hAnsi="宋体"/>
          <w:b/>
          <w:sz w:val="24"/>
        </w:rPr>
        <w:t>十、合同争议解决</w:t>
      </w:r>
    </w:p>
    <w:p>
      <w:pPr>
        <w:spacing w:line="360" w:lineRule="auto"/>
        <w:rPr>
          <w:rFonts w:ascii="宋体" w:hAnsi="宋体"/>
          <w:sz w:val="24"/>
        </w:rPr>
      </w:pPr>
      <w:r>
        <w:rPr>
          <w:rFonts w:hint="eastAsia" w:ascii="宋体" w:hAnsi="宋体"/>
          <w:sz w:val="24"/>
        </w:rPr>
        <w:t>1．因产品质量问题发生争议的，应邀请国家认可的质量检测机构进行鉴定。产品符合标准的，鉴定费由甲方承担；产品不符合标准的，鉴定费由乙方承担；</w:t>
      </w:r>
    </w:p>
    <w:p>
      <w:pPr>
        <w:spacing w:line="360" w:lineRule="auto"/>
        <w:rPr>
          <w:rFonts w:ascii="宋体" w:hAnsi="宋体"/>
          <w:sz w:val="24"/>
        </w:rPr>
      </w:pPr>
      <w:r>
        <w:rPr>
          <w:rFonts w:hint="eastAsia" w:ascii="宋体" w:hAnsi="宋体"/>
          <w:sz w:val="24"/>
        </w:rPr>
        <w:t>2．因履行本合同引起的或与本合同有关的争议，甲乙双方应首先通过友好协商解决，如果协商不能解决，可向甲方所在地仲裁委员会申请仲裁或向甲方所在地人民法院提起诉讼；</w:t>
      </w:r>
    </w:p>
    <w:p>
      <w:pPr>
        <w:spacing w:line="360" w:lineRule="auto"/>
        <w:rPr>
          <w:rFonts w:ascii="宋体" w:hAnsi="宋体"/>
          <w:sz w:val="24"/>
        </w:rPr>
      </w:pPr>
      <w:r>
        <w:rPr>
          <w:rFonts w:hint="eastAsia" w:ascii="宋体" w:hAnsi="宋体"/>
          <w:sz w:val="24"/>
        </w:rPr>
        <w:t>3．诉讼期间，本合同继续履行。</w:t>
      </w:r>
    </w:p>
    <w:p>
      <w:pPr>
        <w:spacing w:line="360" w:lineRule="auto"/>
        <w:rPr>
          <w:rFonts w:ascii="宋体" w:hAnsi="宋体"/>
          <w:b/>
          <w:sz w:val="24"/>
        </w:rPr>
      </w:pPr>
      <w:r>
        <w:rPr>
          <w:rFonts w:hint="eastAsia" w:ascii="宋体" w:hAnsi="宋体"/>
          <w:b/>
          <w:sz w:val="24"/>
        </w:rPr>
        <w:t>十一、合同生效及其它：</w:t>
      </w:r>
    </w:p>
    <w:p>
      <w:pPr>
        <w:spacing w:line="360" w:lineRule="auto"/>
        <w:rPr>
          <w:rFonts w:ascii="宋体" w:hAnsi="宋体"/>
          <w:sz w:val="24"/>
        </w:rPr>
      </w:pPr>
      <w:r>
        <w:rPr>
          <w:rFonts w:hint="eastAsia" w:ascii="宋体" w:hAnsi="宋体"/>
          <w:sz w:val="24"/>
        </w:rPr>
        <w:t>1．本合同一式八份，经双方签字，并加盖公章即为生效；</w:t>
      </w:r>
    </w:p>
    <w:p>
      <w:pPr>
        <w:spacing w:line="360" w:lineRule="auto"/>
        <w:rPr>
          <w:rFonts w:ascii="宋体" w:hAnsi="宋体"/>
          <w:sz w:val="24"/>
        </w:rPr>
      </w:pPr>
      <w:r>
        <w:rPr>
          <w:rFonts w:hint="eastAsia" w:ascii="宋体" w:hAnsi="宋体"/>
          <w:sz w:val="24"/>
        </w:rPr>
        <w:t>2．本合同未尽事宜，按经济合同法有关规定处理；</w:t>
      </w:r>
    </w:p>
    <w:p>
      <w:pPr>
        <w:spacing w:line="360" w:lineRule="auto"/>
        <w:rPr>
          <w:rFonts w:ascii="宋体" w:hAnsi="宋体"/>
          <w:sz w:val="24"/>
        </w:rPr>
      </w:pPr>
      <w:r>
        <w:rPr>
          <w:rFonts w:hint="eastAsia" w:ascii="宋体" w:hAnsi="宋体"/>
          <w:sz w:val="24"/>
        </w:rPr>
        <w:t>3．本合同的组成包含《合同通用条款》，可自行在青海政府采购网下载《合同通用条款》</w:t>
      </w:r>
    </w:p>
    <w:p>
      <w:pPr>
        <w:spacing w:line="240" w:lineRule="auto"/>
        <w:rPr>
          <w:rFonts w:ascii="宋体" w:hAnsi="宋体"/>
          <w:sz w:val="24"/>
        </w:rPr>
      </w:pPr>
      <w:r>
        <w:rPr>
          <w:rFonts w:hint="eastAsia" w:ascii="宋体" w:hAnsi="宋体"/>
          <w:sz w:val="24"/>
        </w:rPr>
        <w:t>甲方（盖章）：                                  乙方（盖章）：</w:t>
      </w:r>
    </w:p>
    <w:p>
      <w:pPr>
        <w:spacing w:line="240" w:lineRule="auto"/>
        <w:rPr>
          <w:rFonts w:ascii="宋体" w:hAnsi="宋体"/>
          <w:sz w:val="24"/>
        </w:rPr>
      </w:pPr>
      <w:r>
        <w:rPr>
          <w:rFonts w:hint="eastAsia" w:ascii="宋体" w:hAnsi="宋体"/>
          <w:sz w:val="24"/>
        </w:rPr>
        <w:t>法人或委托人（签字）：                          法人或委托人（签字）：</w:t>
      </w:r>
    </w:p>
    <w:p>
      <w:pPr>
        <w:spacing w:line="240" w:lineRule="auto"/>
        <w:rPr>
          <w:rFonts w:ascii="宋体" w:hAnsi="宋体"/>
          <w:sz w:val="24"/>
        </w:rPr>
      </w:pPr>
      <w:r>
        <w:rPr>
          <w:rFonts w:hint="eastAsia" w:ascii="宋体" w:hAnsi="宋体"/>
          <w:sz w:val="24"/>
        </w:rPr>
        <w:t>联系电话：                                      开户银行：</w:t>
      </w:r>
    </w:p>
    <w:p>
      <w:pPr>
        <w:spacing w:line="240" w:lineRule="auto"/>
        <w:ind w:firstLine="4320" w:firstLineChars="1800"/>
        <w:rPr>
          <w:rFonts w:ascii="宋体" w:hAnsi="宋体"/>
          <w:sz w:val="24"/>
        </w:rPr>
      </w:pPr>
      <w:r>
        <w:rPr>
          <w:rFonts w:hint="eastAsia" w:ascii="宋体" w:hAnsi="宋体"/>
          <w:sz w:val="24"/>
        </w:rPr>
        <w:t xml:space="preserve">            账号：</w:t>
      </w:r>
    </w:p>
    <w:p>
      <w:pPr>
        <w:spacing w:line="240" w:lineRule="auto"/>
        <w:ind w:firstLine="4320" w:firstLineChars="1800"/>
        <w:rPr>
          <w:rFonts w:ascii="宋体" w:hAnsi="宋体"/>
          <w:sz w:val="24"/>
        </w:rPr>
      </w:pPr>
      <w:r>
        <w:rPr>
          <w:rFonts w:hint="eastAsia" w:ascii="宋体" w:hAnsi="宋体"/>
          <w:sz w:val="24"/>
        </w:rPr>
        <w:t xml:space="preserve">            联系电话：</w:t>
      </w:r>
    </w:p>
    <w:p>
      <w:pPr>
        <w:spacing w:line="240" w:lineRule="auto"/>
        <w:jc w:val="right"/>
        <w:rPr>
          <w:rFonts w:ascii="宋体" w:hAnsi="宋体" w:cs="宋体"/>
          <w:kern w:val="0"/>
          <w:sz w:val="24"/>
        </w:rPr>
      </w:pPr>
      <w:r>
        <w:rPr>
          <w:rFonts w:hint="eastAsia" w:ascii="宋体" w:hAnsi="宋体"/>
          <w:sz w:val="24"/>
        </w:rPr>
        <w:t>签约时间：    年  月  日</w:t>
      </w:r>
    </w:p>
    <w:p>
      <w:pPr>
        <w:spacing w:line="360" w:lineRule="auto"/>
        <w:rPr>
          <w:rFonts w:ascii="宋体" w:hAnsi="宋体"/>
          <w:sz w:val="24"/>
        </w:rPr>
      </w:pPr>
      <w:r>
        <w:rPr>
          <w:rFonts w:hint="eastAsia" w:ascii="宋体" w:hAnsi="宋体"/>
          <w:sz w:val="24"/>
        </w:rPr>
        <w:t>采购代理机构：宿迁建威工程咨询有限公司</w:t>
      </w:r>
    </w:p>
    <w:p>
      <w:pPr>
        <w:spacing w:line="360" w:lineRule="auto"/>
        <w:rPr>
          <w:rFonts w:ascii="宋体" w:hAnsi="宋体"/>
          <w:sz w:val="24"/>
        </w:rPr>
      </w:pPr>
      <w:r>
        <w:rPr>
          <w:rFonts w:hint="eastAsia" w:ascii="宋体" w:hAnsi="宋体"/>
          <w:sz w:val="24"/>
        </w:rPr>
        <w:t>负责人或经办人：</w:t>
      </w:r>
    </w:p>
    <w:p>
      <w:pPr>
        <w:spacing w:line="360" w:lineRule="auto"/>
        <w:rPr>
          <w:rFonts w:ascii="宋体" w:hAnsi="宋体"/>
          <w:sz w:val="24"/>
        </w:rPr>
      </w:pPr>
      <w:r>
        <w:rPr>
          <w:rFonts w:hint="eastAsia" w:ascii="宋体" w:hAnsi="宋体"/>
          <w:sz w:val="24"/>
        </w:rPr>
        <w:t>合同备案日期：    年   月   日</w:t>
      </w:r>
    </w:p>
    <w:p>
      <w:pPr>
        <w:spacing w:line="360" w:lineRule="auto"/>
        <w:jc w:val="center"/>
        <w:rPr>
          <w:rFonts w:ascii="宋体" w:hAnsi="宋体" w:cs="宋体"/>
          <w:b/>
          <w:bCs/>
          <w:kern w:val="0"/>
          <w:sz w:val="28"/>
          <w:szCs w:val="28"/>
          <w:lang w:val="zh-CN"/>
        </w:rPr>
      </w:pPr>
      <w:r>
        <w:rPr>
          <w:rFonts w:ascii="宋体" w:hAnsi="宋体"/>
          <w:szCs w:val="28"/>
        </w:rPr>
        <w:br w:type="page"/>
      </w:r>
      <w:r>
        <w:rPr>
          <w:rFonts w:hint="eastAsia" w:ascii="宋体" w:hAnsi="宋体"/>
          <w:b/>
          <w:sz w:val="28"/>
          <w:szCs w:val="28"/>
        </w:rPr>
        <w:t>合同通用条款</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定义</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本合同中的下列术语应解释为：</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“合同金额”指根据合同规定，乙方在正确地完全履行合同义务后甲方应付给乙方的价款。</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“合同条款”指本合同条款。</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“货物”指乙方根据合同约定须向甲方提供的一切产品、设备、机械、仪表、备件等，包括辅助工具、使用手册等相关资料。</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“甲方”指购买货物和服务的单位。</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“乙方”指提供本合同条款下货物和服务的公司或其他实体。</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“现场”指合同规定货物将要运至和安装的地点。</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“验收”指合同双方依据强制性的国家技术质量规范和合同约定，确认合同条款下的货物符合合同规定的活动。</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原产地：指产品的生产地，或提供服务的来源地。</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“工作日”指国家法定工作日，“天”指日历天数。</w:t>
      </w:r>
    </w:p>
    <w:p>
      <w:pPr>
        <w:numPr>
          <w:ilvl w:val="0"/>
          <w:numId w:val="3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技术规格要求</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本合同条款下提交货物的技术规格要求应等于或优于招磋商文件技术规格要求。若技术规格要求中无相应规定，则应符合相应的国家有关部门最新颁布的相应正式标准。</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乙方应向甲方提供货物及服务有关的标准的中文文本。</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除非技术规范中另有规定，计量单位均采用中华人民共和国法定计量单位。</w:t>
      </w:r>
    </w:p>
    <w:p>
      <w:pPr>
        <w:numPr>
          <w:ilvl w:val="0"/>
          <w:numId w:val="3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合同范围</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乙方应负责培训甲方的技术人员。</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numPr>
          <w:ilvl w:val="0"/>
          <w:numId w:val="3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合同文件和资料</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乙方在提供仪器设备时应同时提供中文版相关的技术资料，如目录索引、图纸、操作手册、使用指南、维修指南、服务手册等。</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numPr>
          <w:ilvl w:val="0"/>
          <w:numId w:val="3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知识产权</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任何第三方提出侵权指控，乙方须与第三方交涉并承担由此产生的一切责任、费用和经济赔偿。</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numPr>
          <w:ilvl w:val="0"/>
          <w:numId w:val="3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保密</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保密信息指任何一方因履行本合同所知悉的任何以口头、书面、图表或电子形式存在的对方信息，具体包括：</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任何涉及对方过去、现在或将来的商业计划、规章制度、操作规程、处理手段、财务信息；</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任何对方的技术措施、技术方案、软件应用及开发，硬件设备的品种、质量、数量、品牌等；</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任何对方的技术秘密或专有知识、文件、报告、数据、客户软件、流程图、数据库、发明、知识、贸易秘密。</w:t>
      </w:r>
    </w:p>
    <w:p>
      <w:pPr>
        <w:numPr>
          <w:ilvl w:val="1"/>
          <w:numId w:val="3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乙方应根据甲方的要求签署相应的保密协议，保密协议与本条款存在不一致的，以保密协议为准。</w:t>
      </w:r>
    </w:p>
    <w:p>
      <w:pPr>
        <w:numPr>
          <w:ilvl w:val="0"/>
          <w:numId w:val="39"/>
        </w:numPr>
        <w:autoSpaceDE w:val="0"/>
        <w:autoSpaceDN w:val="0"/>
        <w:spacing w:line="360" w:lineRule="auto"/>
        <w:rPr>
          <w:rFonts w:ascii="宋体" w:hAnsi="宋体" w:cs="宋体"/>
          <w:kern w:val="0"/>
          <w:sz w:val="24"/>
        </w:rPr>
      </w:pPr>
      <w:r>
        <w:rPr>
          <w:rFonts w:hint="eastAsia" w:ascii="宋体" w:hAnsi="宋体" w:cs="宋体"/>
          <w:b/>
          <w:bCs/>
          <w:kern w:val="0"/>
          <w:sz w:val="24"/>
          <w:lang w:val="zh-CN"/>
        </w:rPr>
        <w:t>质量保证</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货物质量保证</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合同条款下货物的免费质保期自货物通过最终验收起算，合同另行规定除外。</w:t>
      </w:r>
    </w:p>
    <w:p>
      <w:pPr>
        <w:numPr>
          <w:ilvl w:val="1"/>
          <w:numId w:val="3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辅助服务质量保证</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包装要求</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left="480"/>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乙方所提供的货物包装均为出厂时原包装。</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乙方所提供货物必须附有质量合格证，装箱清单，主机、附件、各种零部件和消耗品，有清楚的与装箱单相对应的名称和编号。</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货物运输中的运输费用和保险费用均由乙方承担。运输过程中的一切损失、损坏均由乙方负责。</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价格</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本合同价格为固定价格，包括了乙方履行合同全过程产生的所有成本和费用以及乙方应承担的一切税费。</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检验费用</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甲方按合同计划参加在乙方工厂所在地检验、测试和验收的费用全部由乙方负责并已包含在合同总价中。</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交货方式及交货时间</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交货时间：所有货物运抵现场并经双方开箱验收合格之日。</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检验和验收</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货物运抵现场后，双方应及时开箱验收，并制作验收记录，以确认与本合同约定的数量、型号等是否一致。</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检验验收</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检验测试出现全部或部分未达到本合同所约定的技术指标，甲方有权选择下列任一处理方式：</w:t>
      </w:r>
    </w:p>
    <w:p>
      <w:pPr>
        <w:numPr>
          <w:ilvl w:val="0"/>
          <w:numId w:val="40"/>
        </w:numPr>
        <w:autoSpaceDE w:val="0"/>
        <w:autoSpaceDN w:val="0"/>
        <w:spacing w:line="360" w:lineRule="auto"/>
        <w:rPr>
          <w:rFonts w:ascii="宋体" w:hAnsi="宋体" w:cs="宋体"/>
          <w:kern w:val="0"/>
          <w:sz w:val="24"/>
        </w:rPr>
      </w:pPr>
      <w:r>
        <w:rPr>
          <w:rFonts w:hint="eastAsia" w:ascii="宋体" w:hAnsi="宋体" w:cs="宋体"/>
          <w:kern w:val="0"/>
          <w:sz w:val="24"/>
          <w:lang w:val="zh-CN"/>
        </w:rPr>
        <w:t>重新测试直至合格为止；</w:t>
      </w:r>
    </w:p>
    <w:p>
      <w:pPr>
        <w:numPr>
          <w:ilvl w:val="0"/>
          <w:numId w:val="40"/>
        </w:numPr>
        <w:autoSpaceDE w:val="0"/>
        <w:autoSpaceDN w:val="0"/>
        <w:spacing w:line="360" w:lineRule="auto"/>
        <w:rPr>
          <w:rFonts w:ascii="宋体" w:hAnsi="宋体" w:cs="宋体"/>
          <w:kern w:val="0"/>
          <w:sz w:val="24"/>
        </w:rPr>
      </w:pP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使用过程检验</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付款条件</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履约保证金</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乙方应在合同签订前，按要求提交履约保证金。</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履约保证金用于补偿甲方因乙方不能履行其合同义务而蒙受的损失。</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履约保证金应使用本合同货币，按下述方式之一提交（磋商文件中另有约定的除外）：</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甲方可接受的在中华人民共和国注册和营业的银行出具的履约保函；</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支票或汇票。</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索赔</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numPr>
          <w:ilvl w:val="1"/>
          <w:numId w:val="3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迟延交货</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乙方应按照合同约定的时间交货和提供服务。</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除不可抗力因素外，乙方迟延交货，甲方有权提出违约损失赔偿或解除合同。</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违约赔偿</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不可抗力</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受事故影响的一方应在不可抗力的事故发生后以书面形式通知另一方。</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税费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与本合同有关的一切税费均由乙方承担。</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合同争议的解决</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甲方和乙方由于本合同的履行而发生任何争议时，双方可先通过协商解决。</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任何一方不愿通过协商或通过协商仍不能解决争议，则双方中任何一方均应向甲方所在地人民法院起诉。</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违约解除合同</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出现下列情形之一的，视为乙方违约。甲方可向乙方发出书面通知，部分或全部终止合同，同时保留向乙方索赔的权利。</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乙方未能在合同规定的限期或甲方同意延长的限期内，提供全部或部分货物的；</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乙方未能履行合同规定的其它主要义务的；</w:t>
      </w:r>
    </w:p>
    <w:p>
      <w:pPr>
        <w:numPr>
          <w:ilvl w:val="2"/>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乙方在本合同履行过程中有欺诈行为的。</w:t>
      </w:r>
    </w:p>
    <w:p>
      <w:pPr>
        <w:numPr>
          <w:ilvl w:val="1"/>
          <w:numId w:val="39"/>
        </w:num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破产终止合同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numPr>
          <w:ilvl w:val="0"/>
          <w:numId w:val="39"/>
        </w:numPr>
        <w:autoSpaceDE w:val="0"/>
        <w:autoSpaceDN w:val="0"/>
        <w:spacing w:line="360" w:lineRule="auto"/>
        <w:rPr>
          <w:rFonts w:ascii="宋体" w:hAnsi="宋体" w:cs="宋体"/>
          <w:b/>
          <w:bCs/>
          <w:kern w:val="0"/>
          <w:sz w:val="24"/>
          <w:lang w:val="zh-CN"/>
        </w:rPr>
      </w:pPr>
      <w:r>
        <w:rPr>
          <w:rFonts w:hint="eastAsia" w:ascii="宋体" w:hAnsi="宋体" w:cs="宋体"/>
          <w:b/>
          <w:bCs/>
          <w:kern w:val="0"/>
          <w:sz w:val="24"/>
          <w:lang w:val="zh-CN"/>
        </w:rPr>
        <w:t>转让和分包</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政府采购合同不能转让。</w:t>
      </w:r>
    </w:p>
    <w:p>
      <w:pPr>
        <w:numPr>
          <w:ilvl w:val="1"/>
          <w:numId w:val="39"/>
        </w:numPr>
        <w:autoSpaceDE w:val="0"/>
        <w:autoSpaceDN w:val="0"/>
        <w:spacing w:line="360" w:lineRule="auto"/>
        <w:rPr>
          <w:rFonts w:ascii="宋体" w:hAnsi="宋体" w:cs="宋体"/>
          <w:kern w:val="0"/>
          <w:sz w:val="24"/>
        </w:rPr>
      </w:pP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合同修改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通知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计量单位</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pPr>
        <w:numPr>
          <w:ilvl w:val="0"/>
          <w:numId w:val="39"/>
        </w:numPr>
        <w:autoSpaceDE w:val="0"/>
        <w:autoSpaceDN w:val="0"/>
        <w:spacing w:line="360" w:lineRule="auto"/>
        <w:rPr>
          <w:rFonts w:ascii="宋体" w:hAnsi="宋体" w:cs="宋体"/>
          <w:b/>
          <w:bCs/>
          <w:kern w:val="0"/>
          <w:sz w:val="24"/>
        </w:rPr>
      </w:pPr>
      <w:r>
        <w:rPr>
          <w:rFonts w:hint="eastAsia" w:ascii="宋体" w:hAnsi="宋体" w:cs="宋体"/>
          <w:b/>
          <w:bCs/>
          <w:kern w:val="0"/>
          <w:sz w:val="24"/>
          <w:lang w:val="zh-CN"/>
        </w:rPr>
        <w:t>适用法律</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本合同按照中华人民共和国的相关法律进行解释。</w:t>
      </w:r>
    </w:p>
    <w:p>
      <w:pPr>
        <w:pStyle w:val="23"/>
        <w:spacing w:before="0" w:after="0" w:line="360" w:lineRule="auto"/>
        <w:rPr>
          <w:rFonts w:ascii="宋体" w:hAnsi="宋体"/>
        </w:rPr>
      </w:pPr>
      <w:r>
        <w:rPr>
          <w:rFonts w:ascii="宋体" w:hAnsi="宋体" w:cs="宋体"/>
          <w:kern w:val="0"/>
          <w:sz w:val="24"/>
          <w:lang w:val="zh-CN"/>
        </w:rPr>
        <w:br w:type="page"/>
      </w:r>
      <w:bookmarkStart w:id="82" w:name="_Toc1575331"/>
      <w:r>
        <w:rPr>
          <w:rFonts w:hint="eastAsia" w:ascii="宋体" w:hAnsi="宋体"/>
          <w:sz w:val="48"/>
        </w:rPr>
        <w:t>第五部分磋商响应文件格式</w:t>
      </w:r>
      <w:bookmarkEnd w:id="82"/>
    </w:p>
    <w:p>
      <w:pPr>
        <w:spacing w:line="360" w:lineRule="auto"/>
        <w:rPr>
          <w:rFonts w:ascii="宋体" w:hAnsi="宋体"/>
          <w:sz w:val="32"/>
        </w:rPr>
      </w:pPr>
    </w:p>
    <w:p>
      <w:pPr>
        <w:widowControl/>
        <w:spacing w:line="360" w:lineRule="auto"/>
        <w:ind w:firstLine="630" w:firstLineChars="224"/>
        <w:rPr>
          <w:rFonts w:ascii="宋体" w:hAnsi="宋体" w:cs="宋体"/>
          <w:b/>
          <w:bCs/>
          <w:kern w:val="0"/>
          <w:sz w:val="28"/>
          <w:szCs w:val="28"/>
          <w:lang w:val="zh-CN"/>
        </w:rPr>
      </w:pPr>
      <w:r>
        <w:rPr>
          <w:rFonts w:hint="eastAsia" w:ascii="宋体" w:hAnsi="宋体" w:cs="宋体"/>
          <w:b/>
          <w:bCs/>
          <w:kern w:val="0"/>
          <w:sz w:val="28"/>
          <w:szCs w:val="28"/>
          <w:lang w:val="zh-CN"/>
        </w:rPr>
        <w:t>磋商供应商应严格按照本格式要求编制磋商响应文件，胶装成册并编制相应页码，否则其磋商响应文件将不予接受。</w:t>
      </w:r>
    </w:p>
    <w:p>
      <w:pPr>
        <w:rPr>
          <w:b/>
          <w:lang w:val="zh-CN"/>
        </w:rPr>
      </w:pPr>
      <w:r>
        <w:rPr>
          <w:rFonts w:cs="宋体"/>
          <w:kern w:val="0"/>
          <w:szCs w:val="28"/>
          <w:lang w:val="zh-CN"/>
        </w:rPr>
        <w:br w:type="page"/>
      </w:r>
    </w:p>
    <w:p>
      <w:pPr>
        <w:pStyle w:val="5"/>
        <w:numPr>
          <w:ilvl w:val="0"/>
          <w:numId w:val="0"/>
        </w:numPr>
        <w:ind w:left="709" w:hanging="709"/>
        <w:rPr>
          <w:lang w:val="zh-CN"/>
        </w:rPr>
      </w:pPr>
      <w:bookmarkStart w:id="83" w:name="_Toc1575332"/>
      <w:r>
        <w:rPr>
          <w:rFonts w:hint="eastAsia" w:hAnsi="宋体"/>
          <w:b/>
          <w:sz w:val="32"/>
          <w:lang w:val="zh-CN"/>
        </w:rPr>
        <w:t>一、磋商响应文件封面(上册)</w:t>
      </w:r>
      <w:bookmarkEnd w:id="83"/>
    </w:p>
    <w:p>
      <w:pPr>
        <w:spacing w:line="360" w:lineRule="auto"/>
        <w:jc w:val="right"/>
        <w:rPr>
          <w:rFonts w:ascii="宋体" w:hAnsi="宋体"/>
          <w:sz w:val="32"/>
        </w:rPr>
      </w:pPr>
      <w:r>
        <w:rPr>
          <w:rFonts w:hint="eastAsia" w:ascii="宋体" w:hAnsi="宋体" w:cs="宋体"/>
          <w:b/>
          <w:bCs/>
          <w:kern w:val="0"/>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96"/>
        </w:rPr>
      </w:pPr>
      <w:r>
        <w:rPr>
          <w:rFonts w:hint="eastAsia" w:ascii="宋体" w:hAnsi="宋体"/>
          <w:b/>
          <w:sz w:val="72"/>
        </w:rPr>
        <w:t>青海省政府采购项目</w:t>
      </w:r>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jc w:val="center"/>
        <w:rPr>
          <w:rFonts w:ascii="宋体" w:hAnsi="宋体"/>
          <w:b/>
          <w:bCs/>
          <w:sz w:val="32"/>
        </w:rPr>
      </w:pPr>
      <w:r>
        <w:rPr>
          <w:rFonts w:hint="eastAsia" w:ascii="宋体" w:hAnsi="宋体"/>
          <w:b/>
          <w:bCs/>
          <w:sz w:val="32"/>
        </w:rPr>
        <w:t>（上册）</w:t>
      </w:r>
    </w:p>
    <w:p>
      <w:pPr>
        <w:adjustRightInd w:val="0"/>
        <w:spacing w:line="360" w:lineRule="auto"/>
        <w:textAlignment w:val="baseline"/>
        <w:rPr>
          <w:rFonts w:ascii="宋体" w:hAnsi="宋体"/>
          <w:b/>
          <w:bCs/>
          <w:sz w:val="32"/>
        </w:rPr>
      </w:pPr>
    </w:p>
    <w:p>
      <w:pPr>
        <w:adjustRightInd w:val="0"/>
        <w:spacing w:line="360" w:lineRule="auto"/>
        <w:ind w:firstLine="964" w:firstLineChars="300"/>
        <w:textAlignment w:val="baseline"/>
        <w:rPr>
          <w:rFonts w:ascii="宋体" w:hAnsi="宋体"/>
          <w:b/>
          <w:bCs/>
          <w:sz w:val="32"/>
          <w:szCs w:val="32"/>
          <w:u w:val="single"/>
        </w:rPr>
      </w:pPr>
      <w:r>
        <w:rPr>
          <w:rFonts w:hint="eastAsia" w:ascii="宋体" w:hAnsi="宋体"/>
          <w:b/>
          <w:bCs/>
          <w:sz w:val="32"/>
          <w:szCs w:val="32"/>
        </w:rPr>
        <w:t>采购项目编号</w:t>
      </w:r>
      <w:r>
        <w:rPr>
          <w:rFonts w:hint="eastAsia" w:ascii="宋体" w:hAnsi="宋体"/>
          <w:sz w:val="32"/>
          <w:szCs w:val="32"/>
        </w:rPr>
        <w:t>：</w:t>
      </w:r>
    </w:p>
    <w:p>
      <w:pPr>
        <w:adjustRightInd w:val="0"/>
        <w:spacing w:line="360" w:lineRule="auto"/>
        <w:ind w:firstLine="964" w:firstLineChars="300"/>
        <w:textAlignment w:val="baseline"/>
        <w:rPr>
          <w:rFonts w:hint="eastAsia" w:ascii="宋体" w:hAnsi="宋体"/>
          <w:b/>
          <w:bCs/>
          <w:sz w:val="32"/>
          <w:szCs w:val="32"/>
        </w:rPr>
      </w:pPr>
      <w:r>
        <w:rPr>
          <w:rFonts w:hint="eastAsia" w:ascii="宋体" w:hAnsi="宋体"/>
          <w:b/>
          <w:bCs/>
          <w:sz w:val="32"/>
          <w:szCs w:val="32"/>
        </w:rPr>
        <w:t>采购项目名称：</w:t>
      </w:r>
    </w:p>
    <w:p>
      <w:pPr>
        <w:adjustRightInd w:val="0"/>
        <w:spacing w:line="360" w:lineRule="auto"/>
        <w:ind w:firstLine="964" w:firstLineChars="300"/>
        <w:textAlignment w:val="baseline"/>
        <w:rPr>
          <w:rFonts w:hint="eastAsia" w:ascii="宋体" w:hAnsi="宋体"/>
          <w:b/>
          <w:bCs/>
          <w:sz w:val="32"/>
          <w:szCs w:val="32"/>
        </w:rPr>
      </w:pPr>
    </w:p>
    <w:p>
      <w:pPr>
        <w:adjustRightInd w:val="0"/>
        <w:spacing w:line="360" w:lineRule="auto"/>
        <w:ind w:firstLine="964" w:firstLineChars="300"/>
        <w:textAlignment w:val="baseline"/>
        <w:rPr>
          <w:rFonts w:hint="eastAsia" w:ascii="宋体" w:hAnsi="宋体"/>
          <w:b/>
          <w:bCs/>
          <w:sz w:val="32"/>
          <w:szCs w:val="32"/>
        </w:rPr>
      </w:pPr>
    </w:p>
    <w:p>
      <w:pPr>
        <w:adjustRightInd w:val="0"/>
        <w:spacing w:line="360" w:lineRule="auto"/>
        <w:ind w:firstLine="964" w:firstLineChars="300"/>
        <w:textAlignment w:val="baseline"/>
        <w:rPr>
          <w:rFonts w:hint="eastAsia" w:ascii="宋体" w:hAnsi="宋体"/>
          <w:b/>
          <w:bCs/>
          <w:sz w:val="32"/>
          <w:szCs w:val="32"/>
        </w:rPr>
      </w:pPr>
    </w:p>
    <w:p>
      <w:pPr>
        <w:adjustRightInd w:val="0"/>
        <w:spacing w:line="360" w:lineRule="auto"/>
        <w:ind w:firstLine="2249" w:firstLineChars="7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pPr>
        <w:adjustRightInd w:val="0"/>
        <w:spacing w:line="360" w:lineRule="auto"/>
        <w:ind w:firstLine="2249" w:firstLineChars="700"/>
        <w:textAlignment w:val="baseline"/>
        <w:rPr>
          <w:rFonts w:ascii="宋体" w:hAnsi="宋体"/>
          <w:b/>
          <w:sz w:val="32"/>
          <w:u w:val="single"/>
        </w:rPr>
      </w:pPr>
      <w:r>
        <w:rPr>
          <w:rFonts w:hint="eastAsia" w:ascii="宋体" w:hAnsi="宋体"/>
          <w:b/>
          <w:sz w:val="32"/>
        </w:rPr>
        <w:t>法定代表人</w:t>
      </w:r>
      <w:r>
        <w:rPr>
          <w:rFonts w:hint="eastAsia" w:ascii="宋体" w:hAnsi="宋体"/>
          <w:b/>
          <w:sz w:val="32"/>
          <w:lang w:val="en-US" w:eastAsia="zh-CN"/>
        </w:rPr>
        <w:t>或委托代理人</w:t>
      </w:r>
      <w:r>
        <w:rPr>
          <w:rFonts w:hint="eastAsia" w:ascii="宋体" w:hAnsi="宋体"/>
          <w:b/>
          <w:sz w:val="32"/>
        </w:rPr>
        <w:t>：</w:t>
      </w:r>
      <w:r>
        <w:rPr>
          <w:rFonts w:hint="eastAsia" w:ascii="宋体" w:hAnsi="宋体"/>
          <w:b/>
          <w:sz w:val="32"/>
          <w:u w:val="single"/>
        </w:rPr>
        <w:t xml:space="preserve">         </w:t>
      </w:r>
      <w:r>
        <w:rPr>
          <w:rFonts w:hint="eastAsia" w:ascii="宋体" w:hAnsi="宋体"/>
          <w:b/>
          <w:sz w:val="32"/>
          <w:szCs w:val="32"/>
          <w:u w:val="single"/>
        </w:rPr>
        <w:t>（</w:t>
      </w:r>
      <w:r>
        <w:rPr>
          <w:rFonts w:hint="eastAsia" w:ascii="宋体" w:hAnsi="宋体"/>
          <w:b/>
          <w:sz w:val="32"/>
          <w:u w:val="single"/>
        </w:rPr>
        <w:t>签字）</w:t>
      </w:r>
    </w:p>
    <w:p>
      <w:pPr>
        <w:spacing w:line="360" w:lineRule="auto"/>
        <w:ind w:firstLine="645"/>
        <w:jc w:val="center"/>
        <w:rPr>
          <w:rFonts w:ascii="宋体" w:hAnsi="宋体"/>
          <w:b/>
          <w:bCs/>
          <w:sz w:val="32"/>
        </w:rPr>
      </w:pPr>
      <w:r>
        <w:rPr>
          <w:rFonts w:hint="eastAsia" w:ascii="宋体" w:hAnsi="宋体"/>
          <w:sz w:val="32"/>
        </w:rPr>
        <w:t xml:space="preserve">               </w:t>
      </w:r>
      <w:r>
        <w:rPr>
          <w:rFonts w:hint="eastAsia" w:ascii="宋体" w:hAnsi="宋体"/>
          <w:sz w:val="32"/>
          <w:lang w:val="en-US" w:eastAsia="zh-CN"/>
        </w:rPr>
        <w:t xml:space="preserve">   </w:t>
      </w:r>
      <w:r>
        <w:rPr>
          <w:rFonts w:hint="eastAsia" w:ascii="宋体" w:hAnsi="宋体"/>
          <w:b/>
          <w:bCs/>
          <w:sz w:val="32"/>
          <w:lang w:val="en-US" w:eastAsia="zh-CN"/>
        </w:rPr>
        <w:t>日期：</w:t>
      </w:r>
      <w:r>
        <w:rPr>
          <w:rFonts w:hint="eastAsia" w:ascii="宋体" w:hAnsi="宋体"/>
          <w:b/>
          <w:bCs/>
          <w:sz w:val="32"/>
        </w:rPr>
        <w:t xml:space="preserve"> 年   月  </w:t>
      </w:r>
      <w:r>
        <w:rPr>
          <w:rFonts w:hint="eastAsia" w:ascii="宋体" w:hAnsi="宋体"/>
          <w:b/>
          <w:bCs/>
          <w:sz w:val="32"/>
          <w:lang w:val="en-US" w:eastAsia="zh-CN"/>
        </w:rPr>
        <w:t xml:space="preserve"> </w:t>
      </w:r>
      <w:r>
        <w:rPr>
          <w:rFonts w:hint="eastAsia" w:ascii="宋体" w:hAnsi="宋体"/>
          <w:b/>
          <w:bCs/>
          <w:sz w:val="32"/>
        </w:rPr>
        <w:t>日</w:t>
      </w:r>
      <w:bookmarkStart w:id="84" w:name="_Toc444715735"/>
    </w:p>
    <w:p>
      <w:pPr>
        <w:pStyle w:val="5"/>
        <w:numPr>
          <w:ilvl w:val="0"/>
          <w:numId w:val="0"/>
        </w:numPr>
        <w:ind w:left="709" w:hanging="709"/>
        <w:rPr>
          <w:rFonts w:hAnsi="宋体"/>
          <w:b/>
          <w:sz w:val="32"/>
          <w:lang w:val="zh-CN"/>
        </w:rPr>
      </w:pPr>
      <w:r>
        <w:rPr>
          <w:rFonts w:hAnsi="宋体"/>
        </w:rPr>
        <w:br w:type="page"/>
      </w:r>
      <w:bookmarkStart w:id="85" w:name="_Toc1575333"/>
      <w:r>
        <w:rPr>
          <w:rFonts w:hint="eastAsia" w:hAnsi="宋体"/>
          <w:b/>
        </w:rPr>
        <w:t>二、</w:t>
      </w:r>
      <w:r>
        <w:rPr>
          <w:rFonts w:hint="eastAsia" w:hAnsi="宋体"/>
          <w:b/>
          <w:sz w:val="32"/>
          <w:lang w:val="zh-CN"/>
        </w:rPr>
        <w:t>磋商响应文件目录</w:t>
      </w:r>
      <w:bookmarkEnd w:id="84"/>
      <w:r>
        <w:rPr>
          <w:rFonts w:hint="eastAsia" w:hAnsi="宋体"/>
          <w:b/>
          <w:sz w:val="32"/>
          <w:lang w:val="zh-CN"/>
        </w:rPr>
        <w:t>（上册）</w:t>
      </w:r>
      <w:bookmarkEnd w:id="85"/>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磋商</w:t>
      </w:r>
      <w:r>
        <w:rPr>
          <w:rFonts w:hint="eastAsia" w:ascii="宋体" w:hAnsi="宋体" w:cs="宋体"/>
          <w:kern w:val="0"/>
          <w:sz w:val="24"/>
          <w:lang w:val="zh-CN"/>
        </w:rPr>
        <w:t>函……………………………………………………………所在页码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）法定代表人证明书………………………………………………所在页码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）法定代表人授权书………………………………………………所在页码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（4）磋商供应商承诺书………………………………………………所在页码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）供应商诚信承诺书………………………………………………所在页码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）资格证明材料……………………………………………………所在页码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）财务状况、缴纳税收和社会保障资金证明……………………所在页码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（8）具备履行合同所必须的设备和专业技术能力证明……………所在页码</w:t>
      </w:r>
    </w:p>
    <w:p>
      <w:pPr>
        <w:autoSpaceDE w:val="0"/>
        <w:autoSpaceDN w:val="0"/>
        <w:spacing w:line="360" w:lineRule="auto"/>
        <w:ind w:firstLine="1080" w:firstLineChars="450"/>
        <w:rPr>
          <w:rFonts w:ascii="宋体" w:hAnsi="宋体" w:cs="宋体"/>
          <w:kern w:val="0"/>
          <w:sz w:val="24"/>
          <w:lang w:val="zh-CN"/>
        </w:rPr>
      </w:pPr>
      <w:r>
        <w:rPr>
          <w:rFonts w:hint="eastAsia" w:ascii="宋体" w:hAnsi="宋体" w:cs="宋体"/>
          <w:kern w:val="0"/>
          <w:sz w:val="24"/>
          <w:lang w:val="zh-CN"/>
        </w:rPr>
        <w:t>（9）</w:t>
      </w:r>
      <w:r>
        <w:rPr>
          <w:rFonts w:hint="eastAsia" w:ascii="宋体" w:hAnsi="宋体" w:cs="宋体"/>
          <w:sz w:val="24"/>
        </w:rPr>
        <w:t>磋商保证金证明</w:t>
      </w:r>
      <w:r>
        <w:rPr>
          <w:rFonts w:hint="eastAsia" w:ascii="宋体" w:hAnsi="宋体" w:cs="宋体"/>
          <w:kern w:val="0"/>
          <w:sz w:val="24"/>
          <w:lang w:val="zh-CN"/>
        </w:rPr>
        <w:t>…………………………………………………所在页码</w:t>
      </w:r>
    </w:p>
    <w:p>
      <w:pPr>
        <w:autoSpaceDE w:val="0"/>
        <w:autoSpaceDN w:val="0"/>
        <w:spacing w:line="360" w:lineRule="auto"/>
        <w:ind w:firstLine="240" w:firstLineChars="100"/>
        <w:jc w:val="center"/>
        <w:rPr>
          <w:rFonts w:ascii="宋体" w:hAnsi="宋体" w:cs="宋体"/>
          <w:kern w:val="0"/>
          <w:sz w:val="24"/>
          <w:lang w:val="zh-CN"/>
        </w:rPr>
      </w:pPr>
      <w:r>
        <w:rPr>
          <w:rFonts w:hint="eastAsia" w:ascii="宋体" w:hAnsi="宋体" w:cs="宋体"/>
          <w:kern w:val="0"/>
          <w:sz w:val="24"/>
          <w:lang w:val="zh-CN"/>
        </w:rPr>
        <w:t>（10）无重大违法记录声明……………………………………………所在页码</w:t>
      </w:r>
    </w:p>
    <w:p>
      <w:pPr>
        <w:autoSpaceDE w:val="0"/>
        <w:autoSpaceDN w:val="0"/>
        <w:spacing w:line="360" w:lineRule="auto"/>
        <w:ind w:firstLine="240" w:firstLineChars="100"/>
        <w:rPr>
          <w:rFonts w:ascii="宋体" w:hAnsi="宋体" w:cs="宋体"/>
          <w:kern w:val="0"/>
          <w:sz w:val="24"/>
          <w:lang w:val="zh-CN"/>
        </w:rPr>
      </w:pPr>
    </w:p>
    <w:p>
      <w:pPr>
        <w:pStyle w:val="5"/>
        <w:numPr>
          <w:ilvl w:val="0"/>
          <w:numId w:val="0"/>
        </w:numPr>
        <w:ind w:left="709" w:hanging="709"/>
        <w:rPr>
          <w:rFonts w:hAnsi="宋体"/>
        </w:rPr>
      </w:pPr>
      <w:r>
        <w:rPr>
          <w:rFonts w:hAnsi="宋体"/>
          <w:b/>
          <w:bCs/>
        </w:rPr>
        <w:br w:type="page"/>
      </w:r>
      <w:bookmarkStart w:id="86" w:name="_Toc1575334"/>
      <w:r>
        <w:rPr>
          <w:rFonts w:hint="eastAsia" w:hAnsi="宋体"/>
          <w:b/>
          <w:sz w:val="32"/>
          <w:lang w:val="zh-CN"/>
        </w:rPr>
        <w:t>格式1、磋商函</w:t>
      </w:r>
      <w:bookmarkEnd w:id="86"/>
    </w:p>
    <w:p>
      <w:pPr>
        <w:adjustRightInd w:val="0"/>
        <w:spacing w:line="360" w:lineRule="auto"/>
        <w:jc w:val="center"/>
        <w:textAlignment w:val="baseline"/>
        <w:rPr>
          <w:rFonts w:ascii="宋体" w:hAnsi="宋体"/>
          <w:b/>
          <w:sz w:val="30"/>
          <w:szCs w:val="30"/>
        </w:rPr>
      </w:pPr>
      <w:r>
        <w:rPr>
          <w:rFonts w:hint="eastAsia" w:ascii="宋体" w:hAnsi="宋体"/>
          <w:b/>
          <w:sz w:val="30"/>
          <w:szCs w:val="30"/>
        </w:rPr>
        <w:t>磋 商 函</w:t>
      </w:r>
    </w:p>
    <w:p>
      <w:pPr>
        <w:adjustRightInd w:val="0"/>
        <w:spacing w:line="360" w:lineRule="auto"/>
        <w:ind w:left="482" w:hanging="482" w:hangingChars="200"/>
        <w:textAlignment w:val="baseline"/>
        <w:rPr>
          <w:rFonts w:ascii="宋体" w:hAnsi="宋体"/>
          <w:b/>
          <w:sz w:val="24"/>
        </w:rPr>
      </w:pPr>
      <w:r>
        <w:rPr>
          <w:rFonts w:hint="eastAsia" w:ascii="宋体" w:hAnsi="宋体"/>
          <w:b/>
          <w:sz w:val="24"/>
        </w:rPr>
        <w:t>致：</w:t>
      </w:r>
      <w:r>
        <w:rPr>
          <w:rFonts w:hint="eastAsia" w:ascii="宋体" w:hAnsi="宋体"/>
          <w:b/>
          <w:sz w:val="24"/>
          <w:u w:val="single"/>
        </w:rPr>
        <w:t>宿迁建威工程咨询有限公司：</w:t>
      </w:r>
    </w:p>
    <w:p>
      <w:pPr>
        <w:adjustRightInd w:val="0"/>
        <w:spacing w:line="360" w:lineRule="auto"/>
        <w:ind w:firstLine="480" w:firstLineChars="200"/>
        <w:textAlignment w:val="baseline"/>
        <w:rPr>
          <w:rFonts w:ascii="宋体" w:hAnsi="宋体"/>
          <w:sz w:val="24"/>
        </w:rPr>
      </w:pPr>
      <w:r>
        <w:rPr>
          <w:rFonts w:hint="eastAsia" w:ascii="宋体" w:hAnsi="宋体"/>
          <w:sz w:val="24"/>
        </w:rPr>
        <w:t>我们收到</w:t>
      </w:r>
      <w:r>
        <w:rPr>
          <w:rFonts w:hint="eastAsia" w:ascii="宋体" w:hAnsi="宋体"/>
          <w:sz w:val="24"/>
          <w:u w:val="single"/>
          <w:lang w:eastAsia="zh-CN"/>
        </w:rPr>
        <w:t>公共文化活动室采购项目</w:t>
      </w:r>
      <w:r>
        <w:rPr>
          <w:rFonts w:hint="eastAsia" w:ascii="宋体" w:hAnsi="宋体"/>
          <w:sz w:val="24"/>
          <w:u w:val="single"/>
        </w:rPr>
        <w:t>（</w:t>
      </w:r>
      <w:r>
        <w:rPr>
          <w:rFonts w:hint="eastAsia" w:ascii="宋体" w:hAnsi="宋体"/>
          <w:sz w:val="24"/>
          <w:u w:val="single"/>
          <w:lang w:eastAsia="zh-CN"/>
        </w:rPr>
        <w:t>宿迁建威竞磋（货物）2020-019</w:t>
      </w:r>
      <w:r>
        <w:rPr>
          <w:rFonts w:hint="eastAsia" w:ascii="宋体" w:hAnsi="宋体"/>
          <w:sz w:val="24"/>
          <w:u w:val="single"/>
        </w:rPr>
        <w:t>）磋</w:t>
      </w:r>
      <w:r>
        <w:rPr>
          <w:rFonts w:hint="eastAsia" w:ascii="宋体" w:hAnsi="宋体"/>
          <w:sz w:val="24"/>
        </w:rPr>
        <w:t>商文件，经研究，法定代表人（姓名、职务）正式授权（委托代理人姓名、职务）代表磋商供应商（磋商供应商名称、地址）提交磋商响应文件。</w:t>
      </w:r>
    </w:p>
    <w:p>
      <w:pPr>
        <w:adjustRightInd w:val="0"/>
        <w:spacing w:line="360" w:lineRule="auto"/>
        <w:ind w:firstLine="480" w:firstLineChars="200"/>
        <w:textAlignment w:val="baseline"/>
        <w:rPr>
          <w:rFonts w:ascii="宋体" w:hAnsi="宋体"/>
          <w:sz w:val="24"/>
        </w:rPr>
      </w:pPr>
      <w:r>
        <w:rPr>
          <w:rFonts w:hint="eastAsia" w:ascii="宋体" w:hAnsi="宋体"/>
          <w:sz w:val="24"/>
        </w:rPr>
        <w:t>据此函，签字代表宣布同意如下：</w:t>
      </w:r>
    </w:p>
    <w:p>
      <w:pPr>
        <w:adjustRightInd w:val="0"/>
        <w:spacing w:line="360" w:lineRule="auto"/>
        <w:ind w:firstLine="480" w:firstLineChars="200"/>
        <w:textAlignment w:val="baseline"/>
        <w:rPr>
          <w:rFonts w:ascii="宋体" w:hAnsi="宋体"/>
          <w:sz w:val="24"/>
        </w:rPr>
      </w:pPr>
      <w:r>
        <w:rPr>
          <w:rFonts w:hint="eastAsia" w:ascii="宋体" w:hAnsi="宋体"/>
          <w:sz w:val="24"/>
        </w:rPr>
        <w:t>1.我方已详阅磋商文件的全部内容，包括澄清、修改条款等有关附件，承诺对其完全理解并接受。</w:t>
      </w:r>
    </w:p>
    <w:p>
      <w:pPr>
        <w:adjustRightInd w:val="0"/>
        <w:spacing w:line="360" w:lineRule="auto"/>
        <w:ind w:firstLine="480" w:firstLineChars="200"/>
        <w:textAlignment w:val="baseline"/>
        <w:rPr>
          <w:rFonts w:ascii="宋体" w:hAnsi="宋体"/>
          <w:sz w:val="24"/>
        </w:rPr>
      </w:pPr>
      <w:r>
        <w:rPr>
          <w:rFonts w:hint="eastAsia" w:ascii="宋体" w:hAnsi="宋体"/>
          <w:sz w:val="24"/>
        </w:rPr>
        <w:t>2.磋商有效期自开标之日起</w:t>
      </w:r>
      <w:r>
        <w:rPr>
          <w:rFonts w:hint="eastAsia" w:ascii="宋体" w:hAnsi="宋体"/>
          <w:sz w:val="24"/>
          <w:u w:val="single"/>
        </w:rPr>
        <w:t xml:space="preserve">       </w:t>
      </w:r>
      <w:r>
        <w:rPr>
          <w:rFonts w:hint="eastAsia" w:ascii="宋体" w:hAnsi="宋体"/>
          <w:sz w:val="24"/>
        </w:rPr>
        <w:t>日历日内有效。如果在规定的开标时间后，我方在磋商有效期内撤回磋商或中标后不签约的，磋商保证金将被贵方没收。</w:t>
      </w:r>
    </w:p>
    <w:p>
      <w:pPr>
        <w:adjustRightInd w:val="0"/>
        <w:spacing w:line="360" w:lineRule="auto"/>
        <w:ind w:firstLine="480" w:firstLineChars="200"/>
        <w:textAlignment w:val="baseline"/>
        <w:rPr>
          <w:rFonts w:ascii="宋体" w:hAnsi="宋体"/>
          <w:sz w:val="24"/>
        </w:rPr>
      </w:pPr>
      <w:r>
        <w:rPr>
          <w:rFonts w:hint="eastAsia" w:ascii="宋体" w:hAnsi="宋体"/>
          <w:sz w:val="24"/>
        </w:rPr>
        <w:t>3.我方同意按照贵方要求提供与磋商有关的一切数据或资料，理解并接受贵方制定的评标办法。</w:t>
      </w:r>
    </w:p>
    <w:p>
      <w:pPr>
        <w:adjustRightInd w:val="0"/>
        <w:spacing w:line="360" w:lineRule="auto"/>
        <w:ind w:firstLine="480" w:firstLineChars="200"/>
        <w:textAlignment w:val="baseline"/>
        <w:rPr>
          <w:rFonts w:ascii="宋体" w:hAnsi="宋体"/>
          <w:sz w:val="24"/>
        </w:rPr>
      </w:pPr>
      <w:r>
        <w:rPr>
          <w:rFonts w:hint="eastAsia" w:ascii="宋体" w:hAnsi="宋体"/>
          <w:sz w:val="24"/>
        </w:rPr>
        <w:t>4.与本磋商有关的一切正式往来通讯请寄：</w:t>
      </w:r>
    </w:p>
    <w:p>
      <w:pPr>
        <w:adjustRightInd w:val="0"/>
        <w:spacing w:line="360" w:lineRule="auto"/>
        <w:ind w:firstLine="480" w:firstLineChars="200"/>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地址：                               邮编：</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电话：                               传真：</w:t>
      </w:r>
    </w:p>
    <w:p>
      <w:pPr>
        <w:adjustRightInd w:val="0"/>
        <w:spacing w:line="360" w:lineRule="auto"/>
        <w:textAlignment w:val="baseline"/>
        <w:rPr>
          <w:rFonts w:ascii="宋体" w:hAnsi="宋体"/>
          <w:sz w:val="24"/>
        </w:rPr>
      </w:pPr>
    </w:p>
    <w:p>
      <w:pPr>
        <w:adjustRightInd w:val="0"/>
        <w:spacing w:line="360" w:lineRule="auto"/>
        <w:textAlignment w:val="baseline"/>
        <w:rPr>
          <w:rFonts w:ascii="宋体" w:hAnsi="宋体"/>
          <w:sz w:val="24"/>
        </w:rPr>
      </w:pPr>
      <w:r>
        <w:rPr>
          <w:rFonts w:hint="eastAsia" w:ascii="宋体" w:hAnsi="宋体"/>
          <w:sz w:val="24"/>
        </w:rPr>
        <w:t>法定代表人姓名：                     职务：</w:t>
      </w:r>
      <w:bookmarkStart w:id="87" w:name="_Toc444715736"/>
    </w:p>
    <w:p>
      <w:pPr>
        <w:tabs>
          <w:tab w:val="left" w:pos="168"/>
        </w:tabs>
        <w:adjustRightInd w:val="0"/>
        <w:spacing w:line="360" w:lineRule="auto"/>
        <w:ind w:right="480"/>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right"/>
        <w:textAlignment w:val="baseline"/>
        <w:rPr>
          <w:rFonts w:ascii="宋体" w:hAnsi="宋体"/>
          <w:bCs/>
          <w:sz w:val="24"/>
          <w:szCs w:val="28"/>
        </w:rPr>
      </w:pP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u w:val="single"/>
          <w:lang w:val="en-US" w:eastAsia="zh-CN"/>
        </w:rPr>
        <w:t xml:space="preserve"> </w:t>
      </w:r>
      <w:r>
        <w:rPr>
          <w:rFonts w:hint="eastAsia" w:ascii="宋体" w:hAnsi="宋体"/>
          <w:bCs/>
          <w:sz w:val="24"/>
          <w:szCs w:val="28"/>
        </w:rPr>
        <w:t>（公章）</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法定代表人或</w:t>
      </w:r>
      <w:r>
        <w:rPr>
          <w:rFonts w:hint="eastAsia" w:ascii="宋体" w:hAnsi="宋体"/>
          <w:bCs/>
          <w:sz w:val="24"/>
          <w:szCs w:val="28"/>
        </w:rPr>
        <w:t>委托代理人：</w:t>
      </w:r>
      <w:r>
        <w:rPr>
          <w:rFonts w:hint="eastAsia" w:ascii="宋体" w:hAnsi="宋体"/>
          <w:bCs/>
          <w:sz w:val="24"/>
          <w:szCs w:val="28"/>
          <w:u w:val="single"/>
        </w:rPr>
        <w:t xml:space="preserve">       </w:t>
      </w:r>
      <w:r>
        <w:rPr>
          <w:rFonts w:hint="eastAsia" w:ascii="宋体" w:hAnsi="宋体"/>
          <w:bCs/>
          <w:sz w:val="24"/>
          <w:szCs w:val="28"/>
        </w:rPr>
        <w:t>（签字）</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    年   月   日</w:t>
      </w:r>
    </w:p>
    <w:bookmarkEnd w:id="87"/>
    <w:p>
      <w:pPr>
        <w:pStyle w:val="5"/>
        <w:numPr>
          <w:ilvl w:val="0"/>
          <w:numId w:val="0"/>
        </w:numPr>
        <w:rPr>
          <w:rFonts w:hAnsi="宋体"/>
          <w:bCs/>
          <w:sz w:val="24"/>
          <w:szCs w:val="28"/>
        </w:rPr>
      </w:pPr>
      <w:bookmarkStart w:id="88" w:name="_Toc25583"/>
      <w:bookmarkStart w:id="89" w:name="_Toc444715737"/>
    </w:p>
    <w:bookmarkEnd w:id="88"/>
    <w:bookmarkEnd w:id="89"/>
    <w:p>
      <w:pPr>
        <w:pStyle w:val="5"/>
        <w:numPr>
          <w:ilvl w:val="0"/>
          <w:numId w:val="0"/>
        </w:numPr>
        <w:rPr>
          <w:rFonts w:hAnsi="宋体"/>
          <w:bCs/>
          <w:sz w:val="24"/>
          <w:szCs w:val="28"/>
        </w:rPr>
      </w:pPr>
    </w:p>
    <w:p>
      <w:pPr>
        <w:pStyle w:val="5"/>
        <w:numPr>
          <w:ilvl w:val="0"/>
          <w:numId w:val="0"/>
        </w:numPr>
        <w:ind w:left="709" w:hanging="709"/>
        <w:rPr>
          <w:rFonts w:hAnsi="宋体"/>
          <w:lang w:val="zh-CN"/>
        </w:rPr>
      </w:pPr>
      <w:bookmarkStart w:id="90" w:name="_Toc1575335"/>
      <w:r>
        <w:rPr>
          <w:rFonts w:hint="eastAsia" w:hAnsi="宋体"/>
          <w:b/>
          <w:sz w:val="32"/>
          <w:lang w:val="zh-CN"/>
        </w:rPr>
        <w:t>格式2、法定代表人证明书</w:t>
      </w:r>
      <w:bookmarkEnd w:id="90"/>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0"/>
          <w:szCs w:val="30"/>
          <w:lang w:val="zh-CN"/>
        </w:rPr>
        <w:t>法定代表人证明书</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致：宿迁建威工程咨询有限公司</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现任我单位职务，为法定代表人，特此证明。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法定代表人基本情况：</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性别：                      年龄：                   民族：</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firstLineChars="200"/>
        <w:rPr>
          <w:rFonts w:ascii="宋体" w:hAnsi="宋体" w:cs="宋体"/>
          <w:kern w:val="0"/>
          <w:sz w:val="24"/>
          <w:u w:val="single"/>
          <w:lang w:val="zh-CN"/>
        </w:rPr>
      </w:pPr>
      <w:r>
        <w:rPr>
          <w:rFonts w:hint="eastAsia" w:ascii="宋体" w:hAnsi="宋体" w:cs="宋体"/>
          <w:kern w:val="0"/>
          <w:sz w:val="24"/>
          <w:lang w:val="zh-CN"/>
        </w:rPr>
        <w:t>地址：</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身份证号码：</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91" w:name="_Toc16858"/>
      <w:bookmarkStart w:id="92" w:name="_Toc444715738"/>
    </w:p>
    <w:p>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 xml:space="preserve">日期： </w:t>
      </w:r>
      <w:r>
        <w:rPr>
          <w:rFonts w:hint="eastAsia" w:ascii="宋体" w:hAnsi="宋体"/>
          <w:bCs/>
          <w:sz w:val="24"/>
          <w:szCs w:val="28"/>
          <w:lang w:val="en-US" w:eastAsia="zh-CN"/>
        </w:rPr>
        <w:t xml:space="preserve">  </w:t>
      </w:r>
      <w:r>
        <w:rPr>
          <w:rFonts w:hint="eastAsia" w:ascii="宋体" w:hAnsi="宋体"/>
          <w:bCs/>
          <w:sz w:val="24"/>
          <w:szCs w:val="28"/>
        </w:rPr>
        <w:t>年   月   日</w:t>
      </w:r>
    </w:p>
    <w:p>
      <w:pPr>
        <w:pStyle w:val="5"/>
        <w:numPr>
          <w:ilvl w:val="0"/>
          <w:numId w:val="0"/>
        </w:numPr>
        <w:ind w:left="709" w:hanging="709"/>
        <w:rPr>
          <w:rFonts w:hAnsi="宋体"/>
          <w:szCs w:val="28"/>
        </w:rPr>
      </w:pPr>
      <w:r>
        <w:rPr>
          <w:rFonts w:hAnsi="宋体"/>
          <w:bCs/>
          <w:szCs w:val="28"/>
        </w:rPr>
        <w:br w:type="page"/>
      </w:r>
      <w:bookmarkStart w:id="93" w:name="_Toc1575336"/>
      <w:r>
        <w:rPr>
          <w:rFonts w:hint="eastAsia" w:hAnsi="宋体"/>
          <w:b/>
          <w:sz w:val="32"/>
          <w:lang w:val="zh-CN"/>
        </w:rPr>
        <w:t>格式3、法定代表人授权书</w:t>
      </w:r>
      <w:bookmarkEnd w:id="91"/>
      <w:bookmarkEnd w:id="92"/>
      <w:bookmarkEnd w:id="93"/>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法定代表人授权书</w:t>
      </w:r>
    </w:p>
    <w:p>
      <w:pPr>
        <w:spacing w:line="360" w:lineRule="auto"/>
        <w:rPr>
          <w:rFonts w:ascii="宋体" w:hAnsi="宋体"/>
          <w:b/>
          <w:bCs/>
          <w:sz w:val="24"/>
        </w:rPr>
      </w:pPr>
      <w:r>
        <w:rPr>
          <w:rFonts w:hint="eastAsia" w:ascii="宋体" w:hAnsi="宋体"/>
          <w:b/>
          <w:bCs/>
          <w:sz w:val="24"/>
        </w:rPr>
        <w:t>致：宿迁建威工程咨询有限公司</w:t>
      </w:r>
    </w:p>
    <w:p>
      <w:pPr>
        <w:spacing w:line="360" w:lineRule="auto"/>
        <w:rPr>
          <w:rFonts w:ascii="宋体" w:hAnsi="宋体"/>
          <w:sz w:val="24"/>
          <w:u w:val="single"/>
        </w:rPr>
      </w:pPr>
    </w:p>
    <w:p>
      <w:pPr>
        <w:spacing w:line="360" w:lineRule="auto"/>
        <w:ind w:firstLine="480" w:firstLineChars="200"/>
        <w:rPr>
          <w:rFonts w:ascii="宋体" w:hAnsi="宋体"/>
          <w:sz w:val="24"/>
        </w:rPr>
      </w:pPr>
      <w:r>
        <w:rPr>
          <w:rFonts w:hint="eastAsia" w:ascii="宋体" w:hAnsi="宋体"/>
          <w:sz w:val="24"/>
          <w:u w:val="single"/>
        </w:rPr>
        <w:t>（磋商供应商名称）</w:t>
      </w:r>
      <w:r>
        <w:rPr>
          <w:rFonts w:hint="eastAsia" w:ascii="宋体" w:hAnsi="宋体"/>
          <w:sz w:val="24"/>
        </w:rPr>
        <w:t>系中华人民共和国合法企业，法定地址。</w:t>
      </w:r>
    </w:p>
    <w:p>
      <w:pPr>
        <w:spacing w:line="360" w:lineRule="auto"/>
        <w:ind w:firstLine="480" w:firstLineChars="200"/>
        <w:rPr>
          <w:rFonts w:ascii="宋体" w:hAnsi="宋体"/>
          <w:sz w:val="24"/>
        </w:rPr>
      </w:pPr>
      <w:r>
        <w:rPr>
          <w:rFonts w:hint="eastAsia" w:ascii="宋体" w:hAnsi="宋体"/>
          <w:sz w:val="24"/>
          <w:u w:val="single"/>
        </w:rPr>
        <w:t>（法定代表人姓名）</w:t>
      </w:r>
      <w:r>
        <w:rPr>
          <w:rFonts w:hint="eastAsia" w:ascii="宋体" w:hAnsi="宋体"/>
          <w:sz w:val="24"/>
        </w:rPr>
        <w:t>特授权</w:t>
      </w:r>
      <w:r>
        <w:rPr>
          <w:rFonts w:hint="eastAsia" w:ascii="宋体" w:hAnsi="宋体"/>
          <w:sz w:val="24"/>
          <w:u w:val="single"/>
        </w:rPr>
        <w:t>（被授权人姓名）</w:t>
      </w:r>
      <w:r>
        <w:rPr>
          <w:rFonts w:hint="eastAsia" w:ascii="宋体" w:hAnsi="宋体"/>
          <w:sz w:val="24"/>
        </w:rPr>
        <w:t>代表我单位全权办理</w:t>
      </w:r>
      <w:r>
        <w:rPr>
          <w:rFonts w:hint="eastAsia" w:ascii="宋体" w:hAnsi="宋体"/>
          <w:sz w:val="24"/>
          <w:u w:val="single"/>
          <w:lang w:val="en-US" w:eastAsia="zh-CN"/>
        </w:rPr>
        <w:t xml:space="preserve">                </w:t>
      </w:r>
      <w:r>
        <w:rPr>
          <w:rFonts w:hint="eastAsia" w:ascii="宋体" w:hAnsi="宋体"/>
          <w:sz w:val="24"/>
        </w:rPr>
        <w:t>项目的磋商、答疑等具体工作，并签署全部有关的文件、协议及合同。</w:t>
      </w:r>
    </w:p>
    <w:p>
      <w:pPr>
        <w:spacing w:line="360" w:lineRule="auto"/>
        <w:ind w:firstLine="480" w:firstLineChars="200"/>
        <w:rPr>
          <w:rFonts w:ascii="宋体" w:hAnsi="宋体"/>
          <w:sz w:val="24"/>
        </w:rPr>
      </w:pPr>
      <w:r>
        <w:rPr>
          <w:rFonts w:hint="eastAsia" w:ascii="宋体" w:hAnsi="宋体"/>
          <w:sz w:val="24"/>
        </w:rPr>
        <w:t>我单位对被授权人的签名负全部责任。</w:t>
      </w:r>
    </w:p>
    <w:p>
      <w:pPr>
        <w:spacing w:line="360" w:lineRule="auto"/>
        <w:ind w:firstLine="480" w:firstLineChars="20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被授权人联系电话</w:t>
      </w:r>
      <w:r>
        <w:rPr>
          <w:rFonts w:hint="eastAsia" w:ascii="宋体" w:hAnsi="宋体"/>
          <w:sz w:val="24"/>
        </w:rPr>
        <w:t>：</w:t>
      </w:r>
    </w:p>
    <w:p>
      <w:pPr>
        <w:spacing w:line="360" w:lineRule="auto"/>
        <w:rPr>
          <w:rFonts w:ascii="宋体" w:hAnsi="宋体"/>
          <w:sz w:val="24"/>
          <w:u w:val="single"/>
        </w:rPr>
      </w:pPr>
      <w:r>
        <w:rPr>
          <w:rFonts w:hint="eastAsia" w:ascii="宋体" w:hAnsi="宋体"/>
          <w:sz w:val="24"/>
        </w:rPr>
        <w:t>被授权人（委托代理人）签</w:t>
      </w:r>
      <w:r>
        <w:rPr>
          <w:rFonts w:hint="eastAsia" w:ascii="宋体" w:hAnsi="宋体"/>
          <w:sz w:val="24"/>
          <w:lang w:val="en-US" w:eastAsia="zh-CN"/>
        </w:rPr>
        <w:t>字</w:t>
      </w:r>
      <w:r>
        <w:rPr>
          <w:rFonts w:hint="eastAsia" w:ascii="宋体" w:hAnsi="宋体"/>
          <w:sz w:val="24"/>
        </w:rPr>
        <w:t>：                   授权人（法定代表人）签</w:t>
      </w:r>
      <w:r>
        <w:rPr>
          <w:rFonts w:hint="eastAsia" w:ascii="宋体" w:hAnsi="宋体"/>
          <w:sz w:val="24"/>
          <w:lang w:val="en-US" w:eastAsia="zh-CN"/>
        </w:rPr>
        <w:t>字</w:t>
      </w:r>
      <w:r>
        <w:rPr>
          <w:rFonts w:hint="eastAsia" w:ascii="宋体" w:hAnsi="宋体"/>
          <w:sz w:val="24"/>
        </w:rPr>
        <w:t>：</w:t>
      </w:r>
    </w:p>
    <w:p>
      <w:pPr>
        <w:spacing w:line="360" w:lineRule="auto"/>
        <w:rPr>
          <w:rFonts w:ascii="宋体" w:hAnsi="宋体"/>
          <w:sz w:val="24"/>
          <w:u w:val="single"/>
        </w:rPr>
      </w:pPr>
      <w:r>
        <w:rPr>
          <w:rFonts w:hint="eastAsia" w:ascii="宋体" w:hAnsi="宋体"/>
          <w:sz w:val="24"/>
        </w:rPr>
        <w:t>职务：                                         职务：</w:t>
      </w:r>
    </w:p>
    <w:p>
      <w:pPr>
        <w:spacing w:line="360" w:lineRule="auto"/>
        <w:rPr>
          <w:rFonts w:ascii="宋体" w:hAnsi="宋体"/>
          <w:sz w:val="24"/>
        </w:rPr>
      </w:pPr>
      <w:r>
        <w:rPr>
          <w:rFonts w:hint="eastAsia" w:ascii="宋体" w:hAnsi="宋体"/>
          <w:sz w:val="24"/>
        </w:rPr>
        <w:t>附：被授权人身份证正、反面扫描（或复印）件</w:t>
      </w: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磋商供应商：             （公章）</w:t>
      </w:r>
      <w:r>
        <w:rPr>
          <w:rFonts w:hint="eastAsia" w:ascii="宋体" w:hAnsi="宋体"/>
          <w:bCs/>
          <w:sz w:val="24"/>
          <w:szCs w:val="28"/>
          <w:lang w:val="en-US" w:eastAsia="zh-CN"/>
        </w:rPr>
        <w:t xml:space="preserve"> </w:t>
      </w:r>
    </w:p>
    <w:p>
      <w:pPr>
        <w:tabs>
          <w:tab w:val="left" w:pos="168"/>
        </w:tabs>
        <w:adjustRightInd w:val="0"/>
        <w:spacing w:line="360" w:lineRule="auto"/>
        <w:ind w:right="480" w:firstLine="5760" w:firstLineChars="2400"/>
        <w:textAlignment w:val="baseline"/>
        <w:rPr>
          <w:rFonts w:ascii="宋体" w:hAnsi="宋体"/>
          <w:bCs/>
          <w:sz w:val="24"/>
          <w:szCs w:val="28"/>
        </w:rPr>
      </w:pPr>
      <w:r>
        <w:rPr>
          <w:rFonts w:hint="eastAsia" w:ascii="宋体" w:hAnsi="宋体"/>
          <w:bCs/>
          <w:sz w:val="24"/>
          <w:szCs w:val="28"/>
        </w:rPr>
        <w:t>日期：   年   月   日</w:t>
      </w:r>
    </w:p>
    <w:p>
      <w:pPr>
        <w:pStyle w:val="5"/>
        <w:numPr>
          <w:ilvl w:val="0"/>
          <w:numId w:val="0"/>
        </w:numPr>
        <w:ind w:left="709" w:hanging="709"/>
        <w:rPr>
          <w:rFonts w:hAnsi="宋体"/>
          <w:lang w:val="zh-CN"/>
        </w:rPr>
      </w:pPr>
      <w:r>
        <w:rPr>
          <w:rFonts w:hAnsi="宋体"/>
          <w:bCs/>
          <w:sz w:val="24"/>
        </w:rPr>
        <w:br w:type="page"/>
      </w:r>
      <w:bookmarkStart w:id="94" w:name="_Toc1575337"/>
      <w:r>
        <w:rPr>
          <w:rFonts w:hint="eastAsia" w:hAnsi="宋体"/>
          <w:b/>
          <w:sz w:val="32"/>
          <w:lang w:val="zh-CN"/>
        </w:rPr>
        <w:t>格式4、磋商供应商承诺书</w:t>
      </w:r>
      <w:bookmarkEnd w:id="94"/>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磋商供应商承诺书</w:t>
      </w:r>
    </w:p>
    <w:p>
      <w:pPr>
        <w:spacing w:line="360" w:lineRule="auto"/>
        <w:rPr>
          <w:rFonts w:ascii="宋体" w:hAnsi="宋体"/>
          <w:b/>
          <w:bCs/>
          <w:sz w:val="24"/>
          <w:szCs w:val="28"/>
        </w:rPr>
      </w:pPr>
      <w:r>
        <w:rPr>
          <w:rFonts w:hint="eastAsia" w:ascii="宋体" w:hAnsi="宋体"/>
          <w:b/>
          <w:bCs/>
          <w:sz w:val="24"/>
          <w:szCs w:val="28"/>
        </w:rPr>
        <w:t>致：宿迁建威工程咨询有限公司</w:t>
      </w:r>
    </w:p>
    <w:p>
      <w:pPr>
        <w:spacing w:line="360" w:lineRule="auto"/>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关于贵方</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r>
        <w:rPr>
          <w:rFonts w:hint="eastAsia" w:ascii="宋体" w:hAnsi="宋体"/>
          <w:sz w:val="24"/>
          <w:szCs w:val="28"/>
          <w:u w:val="single"/>
        </w:rPr>
        <w:t>(项目名称)</w:t>
      </w:r>
      <w:r>
        <w:rPr>
          <w:rFonts w:hint="eastAsia" w:ascii="宋体" w:hAnsi="宋体"/>
          <w:sz w:val="24"/>
          <w:szCs w:val="28"/>
        </w:rPr>
        <w:t>采购项目，本签字人愿意参加磋商，提供采购一览表中要求的所有产品，并证实提交的所有资料是准确的和真实的。同时，我代表</w:t>
      </w:r>
      <w:r>
        <w:rPr>
          <w:rFonts w:hint="eastAsia" w:ascii="宋体" w:hAnsi="宋体"/>
          <w:sz w:val="24"/>
          <w:szCs w:val="28"/>
          <w:u w:val="single"/>
        </w:rPr>
        <w:t>（磋商供应商名称）</w:t>
      </w:r>
      <w:r>
        <w:rPr>
          <w:rFonts w:hint="eastAsia" w:ascii="宋体" w:hAnsi="宋体"/>
          <w:sz w:val="24"/>
          <w:szCs w:val="28"/>
        </w:rPr>
        <w:t>，在此作如下承诺：</w:t>
      </w:r>
    </w:p>
    <w:p>
      <w:pPr>
        <w:spacing w:line="360" w:lineRule="auto"/>
        <w:ind w:firstLine="480" w:firstLineChars="200"/>
        <w:rPr>
          <w:rFonts w:ascii="宋体" w:hAnsi="宋体"/>
          <w:sz w:val="24"/>
          <w:szCs w:val="28"/>
        </w:rPr>
      </w:pPr>
      <w:r>
        <w:rPr>
          <w:rFonts w:ascii="宋体" w:hAnsi="宋体"/>
          <w:sz w:val="24"/>
          <w:szCs w:val="28"/>
        </w:rPr>
        <w:t>1</w:t>
      </w:r>
      <w:r>
        <w:rPr>
          <w:rFonts w:hint="eastAsia" w:ascii="宋体" w:hAnsi="宋体"/>
          <w:sz w:val="24"/>
          <w:szCs w:val="28"/>
        </w:rPr>
        <w:t>、完全理解和接受磋商文件的一切规定和要求；</w:t>
      </w:r>
    </w:p>
    <w:p>
      <w:pPr>
        <w:spacing w:line="360" w:lineRule="auto"/>
        <w:ind w:firstLine="480" w:firstLineChars="200"/>
        <w:rPr>
          <w:rFonts w:ascii="宋体" w:hAnsi="宋体"/>
          <w:sz w:val="24"/>
          <w:szCs w:val="28"/>
        </w:rPr>
      </w:pPr>
      <w:r>
        <w:rPr>
          <w:rFonts w:ascii="宋体" w:hAnsi="宋体"/>
          <w:sz w:val="24"/>
          <w:szCs w:val="28"/>
        </w:rPr>
        <w:t>2</w:t>
      </w:r>
      <w:r>
        <w:rPr>
          <w:rFonts w:hint="eastAsia" w:ascii="宋体" w:hAnsi="宋体"/>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pPr>
        <w:spacing w:line="360" w:lineRule="auto"/>
        <w:ind w:firstLine="480" w:firstLineChars="200"/>
        <w:rPr>
          <w:rFonts w:ascii="宋体" w:hAnsi="宋体"/>
          <w:sz w:val="24"/>
          <w:szCs w:val="28"/>
        </w:rPr>
      </w:pPr>
      <w:r>
        <w:rPr>
          <w:rFonts w:ascii="宋体" w:hAnsi="宋体"/>
          <w:sz w:val="24"/>
          <w:szCs w:val="28"/>
        </w:rPr>
        <w:t>3</w:t>
      </w:r>
      <w:r>
        <w:rPr>
          <w:rFonts w:hint="eastAsia" w:ascii="宋体" w:hAnsi="宋体"/>
          <w:sz w:val="24"/>
          <w:szCs w:val="28"/>
        </w:rPr>
        <w:t>、在整个磋商过程中我方若有违规行为，贵方可按磋商文件之规定给予惩罚，我方完全接受。</w:t>
      </w:r>
    </w:p>
    <w:p>
      <w:pPr>
        <w:spacing w:line="360" w:lineRule="auto"/>
        <w:ind w:firstLine="480" w:firstLineChars="200"/>
        <w:rPr>
          <w:rFonts w:ascii="宋体" w:hAnsi="宋体"/>
          <w:sz w:val="24"/>
          <w:szCs w:val="28"/>
        </w:rPr>
      </w:pPr>
      <w:r>
        <w:rPr>
          <w:rFonts w:ascii="宋体" w:hAnsi="宋体"/>
          <w:sz w:val="24"/>
          <w:szCs w:val="28"/>
        </w:rPr>
        <w:t>4</w:t>
      </w:r>
      <w:r>
        <w:rPr>
          <w:rFonts w:hint="eastAsia" w:ascii="宋体" w:hAnsi="宋体"/>
          <w:sz w:val="24"/>
          <w:szCs w:val="28"/>
        </w:rPr>
        <w:t>、若中标，本承诺将成为合同不可分割的一部分，与合同具有同等的法律效力。</w:t>
      </w: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ind w:firstLine="560" w:firstLineChars="200"/>
        <w:textAlignment w:val="baseline"/>
        <w:rPr>
          <w:rFonts w:ascii="宋体" w:hAnsi="宋体"/>
          <w:bCs/>
          <w:sz w:val="28"/>
          <w:szCs w:val="28"/>
        </w:rPr>
      </w:pP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cs="Times New Roman"/>
          <w:bCs/>
          <w:sz w:val="24"/>
          <w:szCs w:val="28"/>
        </w:rPr>
        <w:t>磋商供应商</w:t>
      </w:r>
      <w:r>
        <w:rPr>
          <w:rFonts w:hint="eastAsia" w:ascii="宋体" w:hAnsi="宋体"/>
          <w:bCs/>
          <w:sz w:val="24"/>
          <w:szCs w:val="28"/>
        </w:rPr>
        <w:t>：</w:t>
      </w:r>
      <w:r>
        <w:rPr>
          <w:rFonts w:hint="eastAsia" w:ascii="宋体" w:hAnsi="宋体"/>
          <w:bCs/>
          <w:sz w:val="24"/>
          <w:szCs w:val="28"/>
          <w:u w:val="single"/>
        </w:rPr>
        <w:t xml:space="preserve">        </w:t>
      </w:r>
      <w:r>
        <w:rPr>
          <w:rFonts w:hint="eastAsia" w:ascii="宋体" w:hAnsi="宋体"/>
          <w:bCs/>
          <w:sz w:val="24"/>
          <w:szCs w:val="28"/>
        </w:rPr>
        <w:t>（公章）</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法定代表人或</w:t>
      </w:r>
      <w:r>
        <w:rPr>
          <w:rFonts w:hint="eastAsia" w:ascii="宋体" w:hAnsi="宋体"/>
          <w:bCs/>
          <w:sz w:val="24"/>
          <w:szCs w:val="28"/>
        </w:rPr>
        <w:t>委托代理人：</w:t>
      </w:r>
      <w:r>
        <w:rPr>
          <w:rFonts w:hint="eastAsia" w:ascii="宋体" w:hAnsi="宋体"/>
          <w:bCs/>
          <w:sz w:val="24"/>
          <w:szCs w:val="28"/>
          <w:u w:val="single"/>
        </w:rPr>
        <w:t xml:space="preserve">       </w:t>
      </w:r>
      <w:r>
        <w:rPr>
          <w:rFonts w:hint="eastAsia" w:ascii="宋体" w:hAnsi="宋体"/>
          <w:bCs/>
          <w:sz w:val="24"/>
          <w:szCs w:val="28"/>
        </w:rPr>
        <w:t>（签字）</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    年   月   日</w:t>
      </w:r>
    </w:p>
    <w:p>
      <w:pPr>
        <w:pStyle w:val="5"/>
        <w:numPr>
          <w:ilvl w:val="0"/>
          <w:numId w:val="0"/>
        </w:numPr>
        <w:ind w:left="709" w:hanging="709"/>
        <w:rPr>
          <w:rFonts w:hAnsi="宋体"/>
          <w:lang w:val="zh-CN"/>
        </w:rPr>
      </w:pPr>
      <w:r>
        <w:rPr>
          <w:rFonts w:hAnsi="宋体"/>
          <w:bCs/>
          <w:sz w:val="24"/>
        </w:rPr>
        <w:br w:type="page"/>
      </w:r>
      <w:bookmarkStart w:id="95" w:name="_Toc1575338"/>
      <w:r>
        <w:rPr>
          <w:rFonts w:hint="eastAsia" w:hAnsi="宋体"/>
          <w:b/>
          <w:sz w:val="32"/>
          <w:lang w:val="zh-CN"/>
        </w:rPr>
        <w:t>格式5、供应商诚信承诺书</w:t>
      </w:r>
      <w:bookmarkEnd w:id="95"/>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供应商诚信承诺书</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致：宿迁建威工程咨询有限公司</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为了诚实、客观、有序地参与青海省政府采购活动，愿就以下内容做出承诺：</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本承诺是采购项目磋商响应文件的组成部分。</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textAlignment w:val="baseline"/>
        <w:rPr>
          <w:rFonts w:ascii="宋体" w:hAnsi="宋体"/>
          <w:bCs/>
          <w:sz w:val="28"/>
          <w:szCs w:val="28"/>
        </w:rPr>
      </w:pPr>
      <w:bookmarkStart w:id="96" w:name="_Toc444715739"/>
      <w:bookmarkStart w:id="97" w:name="_Toc17097"/>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法定代表人或</w:t>
      </w:r>
      <w:r>
        <w:rPr>
          <w:rFonts w:hint="eastAsia" w:ascii="宋体" w:hAnsi="宋体"/>
          <w:bCs/>
          <w:sz w:val="24"/>
          <w:szCs w:val="28"/>
        </w:rPr>
        <w:t>委托代理人：</w:t>
      </w:r>
      <w:r>
        <w:rPr>
          <w:rFonts w:hint="eastAsia" w:ascii="宋体" w:hAnsi="宋体"/>
          <w:bCs/>
          <w:sz w:val="24"/>
          <w:szCs w:val="28"/>
          <w:u w:val="single"/>
        </w:rPr>
        <w:t xml:space="preserve">    </w:t>
      </w:r>
      <w:r>
        <w:rPr>
          <w:rFonts w:hint="eastAsia" w:ascii="宋体" w:hAnsi="宋体"/>
          <w:bCs/>
          <w:sz w:val="24"/>
          <w:szCs w:val="28"/>
          <w:u w:val="single"/>
          <w:lang w:val="en-US" w:eastAsia="zh-CN"/>
        </w:rPr>
        <w:t xml:space="preserve">   </w:t>
      </w:r>
      <w:r>
        <w:rPr>
          <w:rFonts w:hint="eastAsia" w:ascii="宋体" w:hAnsi="宋体"/>
          <w:bCs/>
          <w:sz w:val="24"/>
          <w:szCs w:val="28"/>
          <w:u w:val="single"/>
        </w:rPr>
        <w:t xml:space="preserve">   </w:t>
      </w:r>
      <w:r>
        <w:rPr>
          <w:rFonts w:hint="eastAsia" w:ascii="宋体" w:hAnsi="宋体"/>
          <w:bCs/>
          <w:sz w:val="24"/>
          <w:szCs w:val="28"/>
          <w:u w:val="single"/>
          <w:lang w:val="en-US" w:eastAsia="zh-CN"/>
        </w:rPr>
        <w:t xml:space="preserve">  </w:t>
      </w:r>
      <w:r>
        <w:rPr>
          <w:rFonts w:hint="eastAsia" w:ascii="宋体" w:hAnsi="宋体"/>
          <w:bCs/>
          <w:sz w:val="24"/>
          <w:szCs w:val="28"/>
        </w:rPr>
        <w:t>（签字）</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    年   月   日</w:t>
      </w:r>
    </w:p>
    <w:p>
      <w:pPr>
        <w:pStyle w:val="5"/>
        <w:numPr>
          <w:ilvl w:val="0"/>
          <w:numId w:val="0"/>
        </w:numPr>
        <w:ind w:left="709" w:hanging="709"/>
        <w:rPr>
          <w:rFonts w:hAnsi="宋体" w:cs="宋体"/>
          <w:lang w:val="zh-CN"/>
        </w:rPr>
      </w:pPr>
      <w:r>
        <w:rPr>
          <w:rFonts w:hAnsi="宋体"/>
          <w:bCs/>
          <w:sz w:val="24"/>
        </w:rPr>
        <w:br w:type="page"/>
      </w:r>
      <w:bookmarkStart w:id="98" w:name="_Toc1575339"/>
      <w:r>
        <w:rPr>
          <w:rFonts w:hint="eastAsia" w:hAnsi="宋体"/>
          <w:b/>
          <w:sz w:val="32"/>
          <w:lang w:val="zh-CN"/>
        </w:rPr>
        <w:t>格式6、资格证明材料</w:t>
      </w:r>
      <w:bookmarkEnd w:id="96"/>
      <w:bookmarkEnd w:id="97"/>
      <w:bookmarkEnd w:id="98"/>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资格证明材料</w:t>
      </w:r>
    </w:p>
    <w:p>
      <w:pPr>
        <w:spacing w:line="360" w:lineRule="auto"/>
        <w:ind w:firstLine="424" w:firstLineChars="177"/>
        <w:rPr>
          <w:rFonts w:ascii="宋体" w:hAnsi="宋体" w:cs="Arial"/>
          <w:sz w:val="24"/>
        </w:rPr>
      </w:pPr>
      <w:r>
        <w:rPr>
          <w:rFonts w:ascii="宋体" w:hAnsi="宋体" w:cs="Arial"/>
          <w:sz w:val="24"/>
        </w:rPr>
        <w:t>资格证明材料包括：</w:t>
      </w:r>
    </w:p>
    <w:p>
      <w:pPr>
        <w:spacing w:line="360" w:lineRule="auto"/>
        <w:rPr>
          <w:rFonts w:ascii="宋体" w:hAnsi="宋体" w:cs="Arial"/>
          <w:sz w:val="24"/>
        </w:rPr>
      </w:pPr>
      <w:r>
        <w:rPr>
          <w:rFonts w:ascii="宋体" w:hAnsi="宋体" w:cs="Arial"/>
          <w:sz w:val="24"/>
        </w:rPr>
        <w:t>（1）单位法人营业执照、税务登记证、组织机构代码证；</w:t>
      </w:r>
    </w:p>
    <w:p>
      <w:pPr>
        <w:spacing w:line="360" w:lineRule="auto"/>
        <w:rPr>
          <w:rFonts w:ascii="宋体" w:hAnsi="宋体" w:cs="Arial"/>
          <w:sz w:val="24"/>
        </w:rPr>
      </w:pPr>
      <w:r>
        <w:rPr>
          <w:rFonts w:ascii="宋体" w:hAnsi="宋体" w:cs="Arial"/>
          <w:sz w:val="24"/>
        </w:rPr>
        <w:t>（2）磋商文件规定的有关资格证书、许可证书、认证等；</w:t>
      </w:r>
    </w:p>
    <w:p>
      <w:pPr>
        <w:spacing w:line="360" w:lineRule="auto"/>
        <w:rPr>
          <w:rFonts w:ascii="宋体" w:hAnsi="宋体" w:cs="Arial"/>
          <w:sz w:val="24"/>
        </w:rPr>
      </w:pPr>
      <w:r>
        <w:rPr>
          <w:rFonts w:ascii="宋体" w:hAnsi="宋体" w:cs="Arial"/>
          <w:sz w:val="24"/>
        </w:rPr>
        <w:t>（3）磋商供应商简介及获得相关证书证明文件；</w:t>
      </w:r>
    </w:p>
    <w:p>
      <w:pPr>
        <w:spacing w:line="360" w:lineRule="auto"/>
        <w:rPr>
          <w:rFonts w:ascii="宋体" w:hAnsi="宋体" w:cs="Arial"/>
          <w:sz w:val="24"/>
        </w:rPr>
      </w:pPr>
      <w:r>
        <w:rPr>
          <w:rFonts w:ascii="宋体" w:hAnsi="宋体" w:cs="Arial"/>
          <w:sz w:val="24"/>
        </w:rPr>
        <w:t>（4）磋商供应商认为有必要提供的其他资格证明文件。</w:t>
      </w:r>
    </w:p>
    <w:p>
      <w:pPr>
        <w:pStyle w:val="5"/>
        <w:numPr>
          <w:ilvl w:val="0"/>
          <w:numId w:val="0"/>
        </w:numPr>
        <w:ind w:left="709" w:hanging="709"/>
        <w:rPr>
          <w:rFonts w:hAnsi="宋体"/>
          <w:lang w:val="zh-CN"/>
        </w:rPr>
      </w:pPr>
      <w:r>
        <w:rPr>
          <w:rFonts w:hAnsi="宋体" w:cs="宋体"/>
          <w:kern w:val="0"/>
          <w:sz w:val="24"/>
          <w:lang w:val="zh-CN"/>
        </w:rPr>
        <w:br w:type="page"/>
      </w:r>
      <w:bookmarkStart w:id="99" w:name="_Toc1575340"/>
      <w:bookmarkStart w:id="100" w:name="_Toc444715740"/>
      <w:bookmarkStart w:id="101" w:name="_Toc20673"/>
      <w:r>
        <w:rPr>
          <w:rFonts w:hint="eastAsia" w:hAnsi="宋体"/>
          <w:b/>
          <w:sz w:val="32"/>
          <w:lang w:val="zh-CN"/>
        </w:rPr>
        <w:t>格式7、财务状况、缴纳税收和社会保障资金证明</w:t>
      </w:r>
      <w:bookmarkEnd w:id="99"/>
    </w:p>
    <w:p>
      <w:pPr>
        <w:spacing w:line="360" w:lineRule="auto"/>
        <w:rPr>
          <w:rFonts w:ascii="宋体" w:hAnsi="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pPr>
        <w:autoSpaceDE w:val="0"/>
        <w:autoSpaceDN w:val="0"/>
        <w:spacing w:line="360" w:lineRule="auto"/>
        <w:rPr>
          <w:rFonts w:ascii="宋体" w:hAnsi="宋体" w:cs="Arial"/>
          <w:sz w:val="24"/>
          <w:lang w:val="zh-CN"/>
        </w:rPr>
      </w:pPr>
    </w:p>
    <w:p>
      <w:pPr>
        <w:spacing w:line="360" w:lineRule="auto"/>
        <w:ind w:firstLine="480" w:firstLineChars="200"/>
        <w:rPr>
          <w:rFonts w:ascii="宋体" w:hAnsi="宋体" w:cs="宋体"/>
          <w:sz w:val="24"/>
        </w:rPr>
      </w:pPr>
      <w:r>
        <w:rPr>
          <w:rFonts w:ascii="宋体" w:hAnsi="宋体" w:cs="宋体"/>
          <w:sz w:val="24"/>
        </w:rPr>
        <w:t>按照磋商文件第2.2款（1）中规定提供以下相关材料。</w:t>
      </w:r>
    </w:p>
    <w:p>
      <w:pPr>
        <w:pStyle w:val="51"/>
        <w:numPr>
          <w:ilvl w:val="1"/>
          <w:numId w:val="17"/>
        </w:numPr>
        <w:spacing w:line="360" w:lineRule="auto"/>
        <w:ind w:left="851" w:hanging="360" w:firstLineChars="0"/>
        <w:rPr>
          <w:rFonts w:hint="eastAsia" w:ascii="宋体" w:hAnsi="宋体" w:cs="宋体"/>
          <w:kern w:val="0"/>
          <w:sz w:val="24"/>
          <w:lang w:val="zh-CN"/>
        </w:rPr>
      </w:pPr>
      <w:r>
        <w:rPr>
          <w:rFonts w:hint="eastAsia" w:ascii="宋体" w:hAnsi="宋体" w:cs="宋体"/>
          <w:kern w:val="0"/>
          <w:sz w:val="24"/>
          <w:lang w:val="zh-CN"/>
        </w:rPr>
        <w:t>投标人是法人的，提供基本开户银行近三个月内出具的资信证明（同时提供基本存款账户开户许可证）或（201</w:t>
      </w:r>
      <w:r>
        <w:rPr>
          <w:rFonts w:hint="eastAsia" w:ascii="宋体" w:hAnsi="宋体" w:cs="宋体"/>
          <w:kern w:val="0"/>
          <w:sz w:val="24"/>
          <w:lang w:val="en-US" w:eastAsia="zh-CN"/>
        </w:rPr>
        <w:t>9</w:t>
      </w:r>
      <w:r>
        <w:rPr>
          <w:rFonts w:hint="eastAsia" w:ascii="宋体" w:hAnsi="宋体" w:cs="宋体"/>
          <w:kern w:val="0"/>
          <w:sz w:val="24"/>
          <w:lang w:val="zh-CN"/>
        </w:rPr>
        <w:t>年度）经第三方审计的</w:t>
      </w:r>
      <w:r>
        <w:rPr>
          <w:rFonts w:hint="eastAsia" w:ascii="宋体" w:hAnsi="宋体" w:cs="宋体"/>
          <w:kern w:val="0"/>
          <w:sz w:val="24"/>
          <w:lang w:val="en-US" w:eastAsia="zh-CN"/>
        </w:rPr>
        <w:t>完整</w:t>
      </w:r>
      <w:r>
        <w:rPr>
          <w:rFonts w:hint="eastAsia" w:ascii="宋体" w:hAnsi="宋体" w:cs="宋体"/>
          <w:kern w:val="0"/>
          <w:sz w:val="24"/>
          <w:lang w:val="zh-CN"/>
        </w:rPr>
        <w:t>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pStyle w:val="51"/>
        <w:numPr>
          <w:ilvl w:val="1"/>
          <w:numId w:val="17"/>
        </w:numPr>
        <w:spacing w:line="360" w:lineRule="auto"/>
        <w:ind w:left="851" w:hanging="360" w:firstLineChars="0"/>
        <w:rPr>
          <w:rFonts w:ascii="宋体" w:hAnsi="宋体" w:cs="宋体"/>
          <w:sz w:val="24"/>
        </w:rPr>
      </w:pPr>
      <w:r>
        <w:rPr>
          <w:rFonts w:hint="eastAsia" w:ascii="宋体" w:hAnsi="宋体" w:cs="宋体"/>
          <w:kern w:val="0"/>
          <w:sz w:val="24"/>
          <w:lang w:val="zh-CN"/>
        </w:rPr>
        <w:t>近</w:t>
      </w:r>
      <w:r>
        <w:rPr>
          <w:rFonts w:hint="eastAsia" w:ascii="宋体" w:hAnsi="宋体" w:cs="宋体"/>
          <w:kern w:val="0"/>
          <w:sz w:val="24"/>
          <w:lang w:val="en-US" w:eastAsia="zh-CN"/>
        </w:rPr>
        <w:t>半年任意三个月的</w:t>
      </w:r>
      <w:r>
        <w:rPr>
          <w:rFonts w:hint="eastAsia" w:ascii="宋体" w:hAnsi="宋体" w:cs="宋体"/>
          <w:kern w:val="0"/>
          <w:sz w:val="24"/>
          <w:lang w:val="zh-CN"/>
        </w:rPr>
        <w:t>依法缴纳税收和社会保障资金记录的证明材料；依法免税或不需要缴纳社会保障资金的投标人须提供相应文件证明其依法免税或不需要缴纳社会保障资金。</w:t>
      </w:r>
    </w:p>
    <w:p>
      <w:pPr>
        <w:pStyle w:val="5"/>
        <w:numPr>
          <w:ilvl w:val="0"/>
          <w:numId w:val="0"/>
        </w:numPr>
        <w:ind w:left="709" w:hanging="709"/>
        <w:rPr>
          <w:rFonts w:hAnsi="宋体"/>
          <w:lang w:val="zh-CN"/>
        </w:rPr>
      </w:pPr>
      <w:r>
        <w:rPr>
          <w:rFonts w:hAnsi="宋体"/>
          <w:b/>
          <w:sz w:val="32"/>
          <w:lang w:val="zh-CN"/>
        </w:rPr>
        <w:br w:type="page"/>
      </w:r>
      <w:bookmarkStart w:id="102" w:name="_Toc1575341"/>
      <w:r>
        <w:rPr>
          <w:rFonts w:hint="eastAsia" w:hAnsi="宋体"/>
          <w:b/>
          <w:sz w:val="32"/>
          <w:lang w:val="zh-CN"/>
        </w:rPr>
        <w:t>格式8、具备履行合同所必须的设备和专业技术能力证明</w:t>
      </w:r>
      <w:bookmarkEnd w:id="102"/>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具备履行合同所必须的设备和专业技术能力证明</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480"/>
        <w:rPr>
          <w:rFonts w:ascii="宋体" w:hAnsi="宋体" w:cs="宋体"/>
          <w:kern w:val="0"/>
          <w:sz w:val="24"/>
          <w:lang w:val="zh-CN"/>
        </w:rPr>
      </w:pPr>
      <w:r>
        <w:rPr>
          <w:kern w:val="0"/>
          <w:sz w:val="24"/>
          <w:lang w:val="zh-CN"/>
        </w:rPr>
        <w:t>为保证本项目合同的顺利履行，投标人必须具备履行合同的设备和专业技术能力，</w:t>
      </w:r>
      <w:r>
        <w:rPr>
          <w:rFonts w:hint="eastAsia"/>
          <w:kern w:val="0"/>
          <w:sz w:val="24"/>
          <w:lang w:val="zh-CN"/>
        </w:rPr>
        <w:t>须提供履行合同的设备和专业技术能力的承诺函（格式自拟）</w:t>
      </w:r>
      <w:r>
        <w:rPr>
          <w:rFonts w:hint="eastAsia" w:ascii="宋体" w:hAnsi="宋体" w:cs="宋体"/>
          <w:lang w:val="zh-CN"/>
        </w:rPr>
        <w:t>,</w:t>
      </w:r>
      <w:r>
        <w:rPr>
          <w:kern w:val="0"/>
          <w:sz w:val="24"/>
          <w:lang w:val="zh-CN"/>
        </w:rPr>
        <w:t>须提供相关设备的购置发票以及相关人员的职称证书</w:t>
      </w:r>
      <w:r>
        <w:rPr>
          <w:rFonts w:hint="eastAsia"/>
          <w:kern w:val="0"/>
          <w:sz w:val="24"/>
          <w:lang w:val="en-US" w:eastAsia="zh-CN"/>
        </w:rPr>
        <w:t>或</w:t>
      </w:r>
      <w:r>
        <w:rPr>
          <w:kern w:val="0"/>
          <w:sz w:val="24"/>
          <w:lang w:val="zh-CN"/>
        </w:rPr>
        <w:t>用工合同等证明材料。</w:t>
      </w:r>
    </w:p>
    <w:p>
      <w:pPr>
        <w:pStyle w:val="5"/>
        <w:numPr>
          <w:ilvl w:val="0"/>
          <w:numId w:val="0"/>
        </w:numPr>
        <w:ind w:left="709" w:hanging="709"/>
        <w:rPr>
          <w:rFonts w:hAnsi="宋体" w:cs="宋体"/>
          <w:lang w:val="zh-CN"/>
        </w:rPr>
      </w:pPr>
      <w:r>
        <w:rPr>
          <w:rFonts w:hAnsi="宋体" w:cs="宋体"/>
          <w:kern w:val="0"/>
          <w:sz w:val="24"/>
          <w:lang w:val="zh-CN"/>
        </w:rPr>
        <w:br w:type="page"/>
      </w:r>
      <w:bookmarkStart w:id="103" w:name="_Toc1575342"/>
      <w:r>
        <w:rPr>
          <w:rFonts w:hint="eastAsia" w:hAnsi="宋体"/>
          <w:b/>
          <w:sz w:val="32"/>
          <w:lang w:val="zh-CN"/>
        </w:rPr>
        <w:t>格式</w:t>
      </w:r>
      <w:bookmarkEnd w:id="100"/>
      <w:bookmarkEnd w:id="101"/>
      <w:r>
        <w:rPr>
          <w:rFonts w:hint="eastAsia" w:hAnsi="宋体"/>
          <w:b/>
          <w:sz w:val="32"/>
          <w:lang w:val="zh-CN"/>
        </w:rPr>
        <w:t>9、磋商保证金证明</w:t>
      </w:r>
      <w:bookmarkEnd w:id="103"/>
    </w:p>
    <w:p>
      <w:pPr>
        <w:spacing w:line="360" w:lineRule="auto"/>
        <w:rPr>
          <w:rFonts w:ascii="宋体" w:hAnsi="宋体" w:cs="宋体"/>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磋商保证金证明</w:t>
      </w:r>
    </w:p>
    <w:p>
      <w:pPr>
        <w:autoSpaceDE w:val="0"/>
        <w:autoSpaceDN w:val="0"/>
        <w:adjustRightInd w:val="0"/>
        <w:spacing w:line="360" w:lineRule="auto"/>
        <w:rPr>
          <w:rFonts w:ascii="宋体" w:hAnsi="宋体" w:cs="宋体"/>
          <w:b/>
          <w:bCs/>
          <w:kern w:val="0"/>
          <w:sz w:val="28"/>
          <w:szCs w:val="28"/>
          <w:lang w:val="zh-CN"/>
        </w:rPr>
      </w:pPr>
      <w:bookmarkStart w:id="104" w:name="_Toc325726048"/>
      <w:bookmarkEnd w:id="104"/>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8"/>
          <w:szCs w:val="28"/>
          <w:lang w:val="zh-CN"/>
        </w:rPr>
        <w:t>致：宿迁建威工程咨询有限公司</w:t>
      </w:r>
    </w:p>
    <w:p>
      <w:pPr>
        <w:autoSpaceDE w:val="0"/>
        <w:autoSpaceDN w:val="0"/>
        <w:adjustRightInd w:val="0"/>
        <w:spacing w:line="360" w:lineRule="auto"/>
        <w:rPr>
          <w:rFonts w:ascii="宋体" w:hAnsi="宋体" w:cs="宋体"/>
          <w:b/>
          <w:bCs/>
          <w:kern w:val="0"/>
          <w:sz w:val="24"/>
          <w:lang w:val="zh-CN"/>
        </w:rPr>
      </w:pP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我方为（项目名称：</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）递交保证金人民币（大写：</w:t>
      </w:r>
      <w:r>
        <w:rPr>
          <w:rFonts w:hint="eastAsia" w:ascii="宋体" w:hAnsi="宋体" w:cs="宋体"/>
          <w:kern w:val="0"/>
          <w:sz w:val="24"/>
          <w:u w:val="single"/>
          <w:lang w:val="zh-CN"/>
        </w:rPr>
        <w:t xml:space="preserve">           </w:t>
      </w:r>
      <w:r>
        <w:rPr>
          <w:rFonts w:hint="eastAsia" w:ascii="宋体" w:hAnsi="宋体" w:cs="宋体"/>
          <w:kern w:val="0"/>
          <w:sz w:val="24"/>
          <w:lang w:val="zh-CN"/>
        </w:rPr>
        <w:t>人民币：</w:t>
      </w:r>
      <w:r>
        <w:rPr>
          <w:rFonts w:hint="eastAsia" w:ascii="宋体" w:hAnsi="宋体" w:cs="宋体"/>
          <w:kern w:val="0"/>
          <w:sz w:val="24"/>
          <w:lang w:val="en-US" w:eastAsia="zh-CN"/>
        </w:rPr>
        <w:t xml:space="preserve">     </w:t>
      </w:r>
      <w:r>
        <w:rPr>
          <w:rFonts w:hint="eastAsia" w:ascii="宋体" w:hAnsi="宋体" w:cs="宋体"/>
          <w:kern w:val="0"/>
          <w:sz w:val="24"/>
          <w:lang w:val="zh-CN"/>
        </w:rPr>
        <w:t>元）已于</w:t>
      </w:r>
      <w:r>
        <w:rPr>
          <w:rFonts w:hint="eastAsia" w:ascii="宋体" w:hAnsi="宋体" w:cs="宋体"/>
          <w:kern w:val="0"/>
          <w:sz w:val="24"/>
          <w:lang w:val="en-US" w:eastAsia="zh-CN"/>
        </w:rPr>
        <w:t xml:space="preserve">   </w:t>
      </w:r>
      <w:r>
        <w:rPr>
          <w:rFonts w:hint="eastAsia" w:ascii="宋体" w:hAnsi="宋体" w:cs="宋体"/>
          <w:kern w:val="0"/>
          <w:sz w:val="24"/>
          <w:lang w:val="zh-CN"/>
        </w:rPr>
        <w:t>年</w:t>
      </w:r>
      <w:r>
        <w:rPr>
          <w:rFonts w:hint="eastAsia" w:ascii="宋体" w:hAnsi="宋体" w:cs="宋体"/>
          <w:kern w:val="0"/>
          <w:sz w:val="24"/>
          <w:lang w:val="en-US" w:eastAsia="zh-CN"/>
        </w:rPr>
        <w:t xml:space="preserve">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日以基本户转账方式汇入你方账户。</w:t>
      </w:r>
    </w:p>
    <w:p>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rPr>
          <w:rFonts w:ascii="宋体" w:hAnsi="宋体" w:cs="宋体"/>
          <w:kern w:val="0"/>
          <w:sz w:val="24"/>
          <w:lang w:val="zh-CN"/>
        </w:rPr>
      </w:pP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法定代表人或</w:t>
      </w:r>
      <w:r>
        <w:rPr>
          <w:rFonts w:hint="eastAsia" w:ascii="宋体" w:hAnsi="宋体"/>
          <w:bCs/>
          <w:sz w:val="24"/>
          <w:szCs w:val="28"/>
        </w:rPr>
        <w:t>委托代理人：</w:t>
      </w:r>
      <w:r>
        <w:rPr>
          <w:rFonts w:hint="eastAsia" w:ascii="宋体" w:hAnsi="宋体"/>
          <w:bCs/>
          <w:sz w:val="24"/>
          <w:szCs w:val="28"/>
          <w:u w:val="single"/>
        </w:rPr>
        <w:t xml:space="preserve">       </w:t>
      </w:r>
      <w:r>
        <w:rPr>
          <w:rFonts w:hint="eastAsia" w:ascii="宋体" w:hAnsi="宋体"/>
          <w:bCs/>
          <w:sz w:val="24"/>
          <w:szCs w:val="28"/>
          <w:u w:val="single"/>
          <w:lang w:val="en-US" w:eastAsia="zh-CN"/>
        </w:rPr>
        <w:t xml:space="preserve">     </w:t>
      </w:r>
      <w:r>
        <w:rPr>
          <w:rFonts w:hint="eastAsia" w:ascii="宋体" w:hAnsi="宋体"/>
          <w:bCs/>
          <w:sz w:val="24"/>
          <w:szCs w:val="28"/>
        </w:rPr>
        <w:t>（签字）</w:t>
      </w:r>
    </w:p>
    <w:p>
      <w:pPr>
        <w:tabs>
          <w:tab w:val="left" w:pos="168"/>
        </w:tabs>
        <w:adjustRightInd w:val="0"/>
        <w:spacing w:line="360" w:lineRule="auto"/>
        <w:ind w:firstLine="6480" w:firstLineChars="2700"/>
        <w:jc w:val="both"/>
        <w:textAlignment w:val="baseline"/>
        <w:rPr>
          <w:rFonts w:ascii="宋体" w:hAnsi="宋体"/>
          <w:bCs/>
          <w:sz w:val="24"/>
          <w:szCs w:val="28"/>
        </w:rPr>
      </w:pPr>
      <w:r>
        <w:rPr>
          <w:rFonts w:hint="eastAsia" w:ascii="宋体" w:hAnsi="宋体"/>
          <w:bCs/>
          <w:sz w:val="24"/>
          <w:szCs w:val="28"/>
        </w:rPr>
        <w:t>日期：    年   月   日</w:t>
      </w:r>
    </w:p>
    <w:p>
      <w:pPr>
        <w:spacing w:line="360" w:lineRule="auto"/>
        <w:rPr>
          <w:lang w:val="zh-CN"/>
        </w:rPr>
      </w:pPr>
    </w:p>
    <w:p>
      <w:pPr>
        <w:pStyle w:val="5"/>
        <w:numPr>
          <w:ilvl w:val="0"/>
          <w:numId w:val="0"/>
        </w:numPr>
        <w:ind w:left="709" w:hanging="709"/>
        <w:rPr>
          <w:rFonts w:hAnsi="宋体" w:cs="宋体"/>
        </w:rPr>
      </w:pPr>
      <w:r>
        <w:rPr>
          <w:rFonts w:hAnsi="宋体" w:cs="宋体"/>
          <w:kern w:val="0"/>
          <w:sz w:val="24"/>
          <w:lang w:val="zh-CN"/>
        </w:rPr>
        <w:br w:type="page"/>
      </w:r>
      <w:bookmarkStart w:id="105" w:name="_Toc428180589"/>
      <w:bookmarkStart w:id="106" w:name="_Toc444715741"/>
      <w:bookmarkStart w:id="107" w:name="_Toc1575343"/>
      <w:bookmarkStart w:id="108" w:name="_Toc21450"/>
      <w:r>
        <w:rPr>
          <w:rFonts w:hint="eastAsia" w:hAnsi="宋体"/>
          <w:b/>
          <w:sz w:val="32"/>
          <w:lang w:val="zh-CN"/>
        </w:rPr>
        <w:t>格式10、无重大违法记录声明</w:t>
      </w:r>
      <w:bookmarkEnd w:id="105"/>
      <w:bookmarkEnd w:id="106"/>
      <w:bookmarkEnd w:id="107"/>
      <w:bookmarkEnd w:id="108"/>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pPr>
        <w:autoSpaceDE w:val="0"/>
        <w:autoSpaceDN w:val="0"/>
        <w:adjustRightInd w:val="0"/>
        <w:spacing w:line="360" w:lineRule="auto"/>
        <w:rPr>
          <w:rFonts w:ascii="宋体" w:hAnsi="宋体" w:cs="宋体"/>
          <w:kern w:val="0"/>
          <w:sz w:val="24"/>
          <w:lang w:val="zh-CN"/>
        </w:rPr>
      </w:pPr>
    </w:p>
    <w:p>
      <w:pPr>
        <w:spacing w:line="360" w:lineRule="auto"/>
        <w:ind w:firstLine="498" w:firstLineChars="177"/>
        <w:rPr>
          <w:rFonts w:ascii="宋体" w:hAnsi="宋体" w:cs="Arial"/>
          <w:sz w:val="24"/>
        </w:rPr>
      </w:pPr>
      <w:r>
        <w:rPr>
          <w:rFonts w:hint="eastAsia" w:ascii="宋体" w:hAnsi="宋体" w:cs="宋体"/>
          <w:b/>
          <w:bCs/>
          <w:kern w:val="0"/>
          <w:sz w:val="28"/>
          <w:szCs w:val="28"/>
          <w:lang w:val="zh-CN"/>
        </w:rPr>
        <w:t>致：宿迁建威工程咨询有限公司</w:t>
      </w:r>
    </w:p>
    <w:p>
      <w:pPr>
        <w:spacing w:line="360" w:lineRule="auto"/>
        <w:ind w:firstLine="662" w:firstLineChars="276"/>
        <w:rPr>
          <w:rFonts w:ascii="宋体" w:hAnsi="宋体" w:cs="Arial"/>
          <w:sz w:val="24"/>
        </w:rPr>
      </w:pPr>
      <w:r>
        <w:rPr>
          <w:rFonts w:ascii="宋体" w:hAnsi="宋体" w:cs="Arial"/>
          <w:sz w:val="24"/>
        </w:rPr>
        <w:t>（</w:t>
      </w:r>
      <w:r>
        <w:rPr>
          <w:rFonts w:hint="eastAsia" w:ascii="宋体" w:hAnsi="宋体" w:cs="Arial"/>
          <w:sz w:val="24"/>
        </w:rPr>
        <w:t>磋商</w:t>
      </w:r>
      <w:r>
        <w:rPr>
          <w:rFonts w:ascii="宋体" w:hAnsi="宋体" w:cs="Arial"/>
          <w:sz w:val="24"/>
        </w:rPr>
        <w:t>供应商名称）郑重声明，我方参加本项目</w:t>
      </w:r>
      <w:r>
        <w:rPr>
          <w:rFonts w:hint="eastAsia" w:ascii="宋体" w:hAnsi="宋体" w:cs="Arial"/>
          <w:sz w:val="24"/>
        </w:rPr>
        <w:t>竞磋</w:t>
      </w:r>
      <w:r>
        <w:rPr>
          <w:rFonts w:ascii="宋体" w:hAnsi="宋体" w:cs="Arial"/>
          <w:sz w:val="24"/>
        </w:rPr>
        <w:t>活动前三年内无重大违法活动记录，符合《中华人民共和国政府采购法》规定的供应商资格条件。我方对此声明负全部法律责任。</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662" w:firstLineChars="276"/>
        <w:rPr>
          <w:rFonts w:ascii="宋体" w:hAnsi="宋体" w:cs="Arial"/>
          <w:sz w:val="24"/>
        </w:rPr>
      </w:pPr>
      <w:r>
        <w:rPr>
          <w:rFonts w:ascii="宋体" w:hAnsi="宋体" w:cs="Arial"/>
          <w:sz w:val="24"/>
        </w:rPr>
        <w:t>特此声明。</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662" w:firstLineChars="276"/>
        <w:rPr>
          <w:rFonts w:ascii="宋体" w:hAnsi="宋体" w:cs="Arial"/>
          <w:sz w:val="24"/>
        </w:rPr>
      </w:pPr>
      <w:r>
        <w:rPr>
          <w:rFonts w:hint="eastAsia" w:ascii="宋体" w:hAnsi="宋体" w:cs="Arial"/>
          <w:sz w:val="24"/>
          <w:lang w:val="zh-CN"/>
        </w:rPr>
        <w:t>附“信用中国”网站查询截图。</w:t>
      </w: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spacing w:line="360" w:lineRule="auto"/>
        <w:ind w:firstLine="424" w:firstLineChars="177"/>
        <w:rPr>
          <w:rFonts w:ascii="宋体" w:hAnsi="宋体" w:cs="Arial"/>
          <w:sz w:val="24"/>
        </w:rPr>
      </w:pPr>
    </w:p>
    <w:p>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投标供应商：</w:t>
      </w:r>
      <w:r>
        <w:rPr>
          <w:rFonts w:hint="eastAsia" w:ascii="宋体" w:hAnsi="宋体"/>
          <w:bCs/>
          <w:sz w:val="24"/>
          <w:szCs w:val="28"/>
          <w:u w:val="single"/>
        </w:rPr>
        <w:t xml:space="preserve">             </w:t>
      </w:r>
      <w:r>
        <w:rPr>
          <w:rFonts w:hint="eastAsia" w:ascii="宋体" w:hAnsi="宋体"/>
          <w:bCs/>
          <w:sz w:val="24"/>
          <w:szCs w:val="28"/>
        </w:rPr>
        <w:t>（公章）</w:t>
      </w:r>
    </w:p>
    <w:p>
      <w:pPr>
        <w:tabs>
          <w:tab w:val="left" w:pos="168"/>
        </w:tabs>
        <w:wordWrap w:val="0"/>
        <w:adjustRightInd w:val="0"/>
        <w:spacing w:line="360" w:lineRule="auto"/>
        <w:jc w:val="center"/>
        <w:textAlignment w:val="baseline"/>
        <w:rPr>
          <w:rFonts w:ascii="宋体" w:hAnsi="宋体"/>
          <w:bCs/>
          <w:sz w:val="24"/>
          <w:szCs w:val="28"/>
        </w:rPr>
      </w:pPr>
      <w:r>
        <w:rPr>
          <w:rFonts w:hint="eastAsia" w:ascii="宋体" w:hAnsi="宋体"/>
          <w:bCs/>
          <w:sz w:val="24"/>
          <w:szCs w:val="28"/>
        </w:rPr>
        <w:t xml:space="preserve">                      </w:t>
      </w:r>
      <w:r>
        <w:rPr>
          <w:rFonts w:hint="eastAsia" w:ascii="宋体" w:hAnsi="宋体"/>
          <w:bCs/>
          <w:sz w:val="24"/>
          <w:szCs w:val="28"/>
          <w:lang w:val="en-US" w:eastAsia="zh-CN"/>
        </w:rPr>
        <w:t>法定代表人或</w:t>
      </w:r>
      <w:r>
        <w:rPr>
          <w:rFonts w:hint="eastAsia" w:ascii="宋体" w:hAnsi="宋体"/>
          <w:bCs/>
          <w:sz w:val="24"/>
          <w:szCs w:val="28"/>
        </w:rPr>
        <w:t>委托代理人：</w:t>
      </w:r>
      <w:r>
        <w:rPr>
          <w:rFonts w:hint="eastAsia" w:ascii="宋体" w:hAnsi="宋体"/>
          <w:bCs/>
          <w:sz w:val="24"/>
          <w:szCs w:val="28"/>
          <w:u w:val="single"/>
        </w:rPr>
        <w:t xml:space="preserve">             </w:t>
      </w:r>
      <w:r>
        <w:rPr>
          <w:rFonts w:hint="eastAsia" w:ascii="宋体" w:hAnsi="宋体"/>
          <w:bCs/>
          <w:sz w:val="24"/>
          <w:szCs w:val="28"/>
        </w:rPr>
        <w:t>（签字）</w:t>
      </w:r>
    </w:p>
    <w:p>
      <w:pPr>
        <w:spacing w:line="360" w:lineRule="auto"/>
        <w:ind w:firstLine="424" w:firstLineChars="177"/>
        <w:rPr>
          <w:rFonts w:ascii="宋体" w:hAnsi="宋体" w:cs="Arial"/>
          <w:sz w:val="24"/>
        </w:rPr>
      </w:pPr>
      <w:r>
        <w:rPr>
          <w:rFonts w:hint="eastAsia" w:ascii="宋体" w:hAnsi="宋体"/>
          <w:bCs/>
          <w:sz w:val="24"/>
          <w:szCs w:val="28"/>
        </w:rPr>
        <w:t xml:space="preserve">                                      </w:t>
      </w:r>
      <w:r>
        <w:rPr>
          <w:rFonts w:hint="eastAsia" w:ascii="宋体" w:hAnsi="宋体"/>
          <w:bCs/>
          <w:sz w:val="24"/>
          <w:szCs w:val="28"/>
          <w:lang w:val="en-US" w:eastAsia="zh-CN"/>
        </w:rPr>
        <w:t xml:space="preserve">      </w:t>
      </w:r>
      <w:r>
        <w:rPr>
          <w:rFonts w:hint="eastAsia" w:ascii="宋体" w:hAnsi="宋体"/>
          <w:bCs/>
          <w:sz w:val="24"/>
          <w:szCs w:val="28"/>
        </w:rPr>
        <w:t>日期：   年   月   日</w:t>
      </w:r>
    </w:p>
    <w:p>
      <w:pPr>
        <w:rPr>
          <w:b/>
          <w:lang w:val="zh-CN"/>
        </w:rPr>
      </w:pPr>
      <w:r>
        <w:rPr>
          <w:rFonts w:cs="宋体"/>
          <w:kern w:val="0"/>
          <w:sz w:val="24"/>
          <w:lang w:val="zh-CN"/>
        </w:rPr>
        <w:br w:type="page"/>
      </w:r>
    </w:p>
    <w:p>
      <w:pPr>
        <w:pStyle w:val="5"/>
        <w:numPr>
          <w:ilvl w:val="0"/>
          <w:numId w:val="0"/>
        </w:numPr>
        <w:ind w:left="709" w:hanging="709"/>
        <w:rPr>
          <w:rFonts w:hAnsi="宋体"/>
          <w:b/>
        </w:rPr>
      </w:pPr>
      <w:bookmarkStart w:id="109" w:name="_Toc1575344"/>
      <w:r>
        <w:rPr>
          <w:rFonts w:hint="eastAsia" w:hAnsi="宋体"/>
          <w:b/>
        </w:rPr>
        <w:t>三、磋商响应文件封面(下册)</w:t>
      </w:r>
      <w:bookmarkEnd w:id="109"/>
    </w:p>
    <w:p>
      <w:pPr>
        <w:spacing w:line="360" w:lineRule="auto"/>
        <w:jc w:val="right"/>
        <w:rPr>
          <w:rFonts w:ascii="宋体" w:hAnsi="宋体"/>
          <w:sz w:val="32"/>
        </w:rPr>
      </w:pPr>
      <w:r>
        <w:rPr>
          <w:rFonts w:hint="eastAsia" w:ascii="宋体" w:hAnsi="宋体" w:cs="宋体"/>
          <w:b/>
          <w:bCs/>
          <w:kern w:val="0"/>
          <w:sz w:val="36"/>
          <w:szCs w:val="36"/>
        </w:rPr>
        <w:t>正本/副本</w:t>
      </w:r>
    </w:p>
    <w:p>
      <w:pPr>
        <w:spacing w:line="360" w:lineRule="auto"/>
        <w:rPr>
          <w:rFonts w:ascii="宋体" w:hAnsi="宋体"/>
          <w:sz w:val="32"/>
        </w:rPr>
      </w:pPr>
    </w:p>
    <w:p>
      <w:pPr>
        <w:spacing w:line="360" w:lineRule="auto"/>
        <w:rPr>
          <w:rFonts w:ascii="宋体" w:hAnsi="宋体"/>
          <w:sz w:val="32"/>
        </w:rPr>
      </w:pPr>
    </w:p>
    <w:p>
      <w:pPr>
        <w:spacing w:line="360" w:lineRule="auto"/>
        <w:jc w:val="center"/>
        <w:rPr>
          <w:rFonts w:ascii="宋体" w:hAnsi="宋体"/>
          <w:b/>
          <w:sz w:val="96"/>
        </w:rPr>
      </w:pPr>
      <w:r>
        <w:rPr>
          <w:rFonts w:hint="eastAsia" w:ascii="宋体" w:hAnsi="宋体"/>
          <w:b/>
          <w:sz w:val="72"/>
        </w:rPr>
        <w:t>青海省政府采购项目</w:t>
      </w:r>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jc w:val="center"/>
        <w:rPr>
          <w:rFonts w:ascii="宋体" w:hAnsi="宋体"/>
          <w:b/>
          <w:sz w:val="56"/>
        </w:rPr>
      </w:pPr>
      <w:r>
        <w:rPr>
          <w:rFonts w:hint="eastAsia" w:ascii="宋体" w:hAnsi="宋体"/>
          <w:b/>
          <w:sz w:val="52"/>
        </w:rPr>
        <w:t>磋商响应文件</w:t>
      </w:r>
    </w:p>
    <w:p>
      <w:pPr>
        <w:spacing w:line="360" w:lineRule="auto"/>
        <w:jc w:val="center"/>
        <w:rPr>
          <w:rFonts w:ascii="宋体" w:hAnsi="宋体"/>
          <w:b/>
          <w:bCs/>
          <w:sz w:val="32"/>
        </w:rPr>
      </w:pPr>
      <w:r>
        <w:rPr>
          <w:rFonts w:hint="eastAsia" w:ascii="宋体" w:hAnsi="宋体"/>
          <w:b/>
          <w:bCs/>
          <w:sz w:val="32"/>
        </w:rPr>
        <w:t>（下册）</w:t>
      </w:r>
    </w:p>
    <w:p>
      <w:pPr>
        <w:adjustRightInd w:val="0"/>
        <w:spacing w:line="360" w:lineRule="auto"/>
        <w:textAlignment w:val="baseline"/>
        <w:rPr>
          <w:rFonts w:ascii="宋体" w:hAnsi="宋体"/>
          <w:b/>
          <w:bCs/>
          <w:sz w:val="32"/>
        </w:rPr>
      </w:pPr>
    </w:p>
    <w:p>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采购项目编号：</w:t>
      </w:r>
      <w:r>
        <w:rPr>
          <w:rFonts w:hint="eastAsia" w:ascii="宋体" w:hAnsi="宋体"/>
          <w:b/>
          <w:bCs/>
          <w:sz w:val="32"/>
          <w:szCs w:val="32"/>
          <w:u w:val="single"/>
        </w:rPr>
        <w:t xml:space="preserve">                        </w:t>
      </w:r>
      <w:r>
        <w:rPr>
          <w:rFonts w:hint="eastAsia" w:ascii="宋体" w:hAnsi="宋体"/>
          <w:b/>
          <w:bCs/>
          <w:sz w:val="32"/>
          <w:szCs w:val="32"/>
        </w:rPr>
        <w:t xml:space="preserve">        </w:t>
      </w:r>
    </w:p>
    <w:p>
      <w:pPr>
        <w:adjustRightInd w:val="0"/>
        <w:spacing w:line="360" w:lineRule="auto"/>
        <w:ind w:firstLine="643" w:firstLineChars="200"/>
        <w:textAlignment w:val="baseline"/>
        <w:rPr>
          <w:rFonts w:hint="eastAsia"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r>
        <w:rPr>
          <w:rFonts w:hint="eastAsia" w:ascii="宋体" w:hAnsi="宋体"/>
          <w:b/>
          <w:bCs/>
          <w:sz w:val="32"/>
          <w:szCs w:val="32"/>
        </w:rPr>
        <w:t xml:space="preserve"> </w:t>
      </w:r>
    </w:p>
    <w:p>
      <w:pPr>
        <w:adjustRightInd w:val="0"/>
        <w:spacing w:line="360" w:lineRule="auto"/>
        <w:ind w:firstLine="643" w:firstLineChars="200"/>
        <w:textAlignment w:val="baseline"/>
        <w:rPr>
          <w:rFonts w:hint="eastAsia" w:ascii="宋体" w:hAnsi="宋体"/>
          <w:b/>
          <w:bCs/>
          <w:sz w:val="32"/>
          <w:szCs w:val="32"/>
        </w:rPr>
      </w:pPr>
    </w:p>
    <w:p>
      <w:pPr>
        <w:adjustRightInd w:val="0"/>
        <w:spacing w:line="360" w:lineRule="auto"/>
        <w:ind w:firstLine="643" w:firstLineChars="200"/>
        <w:textAlignment w:val="baseline"/>
        <w:rPr>
          <w:rFonts w:hint="eastAsia" w:ascii="宋体" w:hAnsi="宋体"/>
          <w:b/>
          <w:bCs/>
          <w:sz w:val="32"/>
          <w:szCs w:val="32"/>
        </w:rPr>
      </w:pPr>
    </w:p>
    <w:p>
      <w:pPr>
        <w:adjustRightInd w:val="0"/>
        <w:spacing w:line="360" w:lineRule="auto"/>
        <w:ind w:firstLine="643" w:firstLineChars="200"/>
        <w:textAlignment w:val="baseline"/>
        <w:rPr>
          <w:rFonts w:ascii="宋体" w:hAnsi="宋体"/>
          <w:b/>
          <w:bCs/>
          <w:sz w:val="32"/>
          <w:szCs w:val="32"/>
        </w:rPr>
      </w:pPr>
      <w:r>
        <w:rPr>
          <w:rFonts w:hint="eastAsia" w:ascii="宋体" w:hAnsi="宋体"/>
          <w:b/>
          <w:bCs/>
          <w:sz w:val="32"/>
          <w:szCs w:val="32"/>
        </w:rPr>
        <w:t xml:space="preserve">          </w:t>
      </w:r>
    </w:p>
    <w:p>
      <w:pPr>
        <w:adjustRightInd w:val="0"/>
        <w:spacing w:line="360" w:lineRule="auto"/>
        <w:ind w:firstLine="2570" w:firstLineChars="800"/>
        <w:textAlignment w:val="baseline"/>
        <w:rPr>
          <w:rFonts w:ascii="宋体" w:hAnsi="宋体"/>
          <w:b/>
          <w:bCs/>
          <w:sz w:val="32"/>
          <w:szCs w:val="32"/>
          <w:u w:val="single"/>
        </w:rPr>
      </w:pPr>
      <w:r>
        <w:rPr>
          <w:rFonts w:hint="eastAsia" w:ascii="宋体" w:hAnsi="宋体"/>
          <w:b/>
          <w:bCs/>
          <w:sz w:val="32"/>
          <w:szCs w:val="32"/>
        </w:rPr>
        <w:t>磋商供应商</w:t>
      </w:r>
      <w:r>
        <w:rPr>
          <w:rFonts w:hint="eastAsia" w:ascii="宋体" w:hAnsi="宋体"/>
          <w:b/>
          <w:sz w:val="32"/>
          <w:szCs w:val="32"/>
        </w:rPr>
        <w:t>：</w:t>
      </w:r>
      <w:r>
        <w:rPr>
          <w:rFonts w:hint="eastAsia" w:ascii="宋体" w:hAnsi="宋体"/>
          <w:b/>
          <w:sz w:val="32"/>
          <w:szCs w:val="32"/>
          <w:u w:val="single"/>
        </w:rPr>
        <w:t xml:space="preserve">                   （公章）</w:t>
      </w:r>
    </w:p>
    <w:p>
      <w:pPr>
        <w:adjustRightInd w:val="0"/>
        <w:spacing w:line="360" w:lineRule="auto"/>
        <w:ind w:firstLine="1928" w:firstLineChars="600"/>
        <w:textAlignment w:val="baseline"/>
        <w:rPr>
          <w:rFonts w:ascii="宋体" w:hAnsi="宋体"/>
          <w:b/>
          <w:sz w:val="32"/>
          <w:u w:val="single"/>
        </w:rPr>
      </w:pPr>
      <w:r>
        <w:rPr>
          <w:rFonts w:hint="eastAsia" w:ascii="宋体" w:hAnsi="宋体"/>
          <w:b/>
          <w:sz w:val="32"/>
        </w:rPr>
        <w:t>法定代表人</w:t>
      </w:r>
      <w:r>
        <w:rPr>
          <w:rFonts w:hint="eastAsia" w:ascii="宋体" w:hAnsi="宋体"/>
          <w:b/>
          <w:sz w:val="32"/>
          <w:lang w:val="en-US" w:eastAsia="zh-CN"/>
        </w:rPr>
        <w:t>或委托代理人</w:t>
      </w:r>
      <w:r>
        <w:rPr>
          <w:rFonts w:hint="eastAsia" w:ascii="宋体" w:hAnsi="宋体"/>
          <w:b/>
          <w:sz w:val="32"/>
        </w:rPr>
        <w:t>：</w:t>
      </w:r>
      <w:r>
        <w:rPr>
          <w:rFonts w:hint="eastAsia" w:ascii="宋体" w:hAnsi="宋体"/>
          <w:b/>
          <w:sz w:val="32"/>
          <w:u w:val="single"/>
        </w:rPr>
        <w:t xml:space="preserve">           （签字）</w:t>
      </w:r>
    </w:p>
    <w:p>
      <w:pPr>
        <w:spacing w:line="360" w:lineRule="auto"/>
        <w:ind w:firstLine="645"/>
        <w:jc w:val="center"/>
        <w:rPr>
          <w:rFonts w:ascii="宋体" w:hAnsi="宋体"/>
          <w:sz w:val="32"/>
        </w:rPr>
      </w:pPr>
      <w:r>
        <w:rPr>
          <w:rFonts w:hint="eastAsia" w:ascii="宋体" w:hAnsi="宋体"/>
          <w:sz w:val="32"/>
        </w:rPr>
        <w:t xml:space="preserve">           </w:t>
      </w:r>
      <w:r>
        <w:rPr>
          <w:rFonts w:hint="eastAsia" w:ascii="宋体" w:hAnsi="宋体"/>
          <w:b/>
          <w:bCs/>
          <w:sz w:val="32"/>
        </w:rPr>
        <w:t xml:space="preserve"> </w:t>
      </w:r>
      <w:r>
        <w:rPr>
          <w:rFonts w:hint="eastAsia" w:ascii="宋体" w:hAnsi="宋体"/>
          <w:b/>
          <w:bCs/>
          <w:sz w:val="32"/>
          <w:lang w:val="en-US" w:eastAsia="zh-CN"/>
        </w:rPr>
        <w:t>日期：</w:t>
      </w:r>
      <w:r>
        <w:rPr>
          <w:rFonts w:hint="eastAsia" w:ascii="宋体" w:hAnsi="宋体"/>
          <w:b/>
          <w:bCs/>
          <w:sz w:val="32"/>
        </w:rPr>
        <w:t>年   月  日</w:t>
      </w:r>
    </w:p>
    <w:p>
      <w:pPr>
        <w:pStyle w:val="5"/>
        <w:numPr>
          <w:ilvl w:val="0"/>
          <w:numId w:val="0"/>
        </w:numPr>
        <w:ind w:left="709" w:hanging="709"/>
        <w:rPr>
          <w:rFonts w:hAnsi="宋体"/>
          <w:b/>
          <w:sz w:val="32"/>
          <w:lang w:val="zh-CN"/>
        </w:rPr>
      </w:pPr>
      <w:r>
        <w:rPr>
          <w:rFonts w:hAnsi="宋体"/>
        </w:rPr>
        <w:br w:type="page"/>
      </w:r>
      <w:bookmarkStart w:id="110" w:name="_Toc1575345"/>
      <w:r>
        <w:rPr>
          <w:rFonts w:hint="eastAsia" w:hAnsi="宋体"/>
          <w:b/>
        </w:rPr>
        <w:t>四、</w:t>
      </w:r>
      <w:r>
        <w:rPr>
          <w:rFonts w:hint="eastAsia" w:hAnsi="宋体"/>
          <w:b/>
          <w:sz w:val="32"/>
          <w:lang w:val="zh-CN"/>
        </w:rPr>
        <w:t>磋商响应文件目录（下册）</w:t>
      </w:r>
      <w:bookmarkEnd w:id="110"/>
    </w:p>
    <w:p>
      <w:pPr>
        <w:rPr>
          <w:lang w:val="zh-CN"/>
        </w:rPr>
      </w:pPr>
    </w:p>
    <w:p>
      <w:pPr>
        <w:rPr>
          <w:lang w:val="zh-CN"/>
        </w:rPr>
      </w:pPr>
    </w:p>
    <w:p>
      <w:pPr>
        <w:spacing w:line="360" w:lineRule="auto"/>
        <w:ind w:left="420"/>
        <w:rPr>
          <w:rFonts w:ascii="宋体" w:hAnsi="宋体" w:cs="宋体"/>
          <w:kern w:val="0"/>
          <w:sz w:val="24"/>
          <w:lang w:val="zh-CN"/>
        </w:rPr>
      </w:pPr>
      <w:r>
        <w:rPr>
          <w:rFonts w:hint="eastAsia" w:ascii="宋体" w:hAnsi="宋体" w:cs="宋体"/>
          <w:kern w:val="0"/>
          <w:sz w:val="24"/>
          <w:lang w:val="zh-CN"/>
        </w:rPr>
        <w:t>（11）</w:t>
      </w:r>
      <w:bookmarkStart w:id="111" w:name="_Hlk503366915"/>
      <w:r>
        <w:rPr>
          <w:rFonts w:hint="eastAsia" w:ascii="宋体" w:hAnsi="宋体" w:cs="宋体"/>
          <w:kern w:val="0"/>
          <w:sz w:val="24"/>
          <w:lang w:val="zh-CN"/>
        </w:rPr>
        <w:t>评分对照表</w:t>
      </w:r>
      <w:bookmarkEnd w:id="111"/>
      <w:r>
        <w:rPr>
          <w:rFonts w:hint="eastAsia" w:ascii="宋体" w:hAnsi="宋体" w:cs="宋体"/>
          <w:kern w:val="0"/>
          <w:sz w:val="24"/>
          <w:lang w:val="zh-CN"/>
        </w:rPr>
        <w:t>………………………………………………………所在页码</w:t>
      </w:r>
    </w:p>
    <w:p>
      <w:pPr>
        <w:spacing w:line="360" w:lineRule="auto"/>
        <w:ind w:left="420"/>
        <w:rPr>
          <w:rFonts w:ascii="宋体" w:hAnsi="宋体" w:cs="宋体"/>
          <w:kern w:val="0"/>
          <w:sz w:val="24"/>
          <w:lang w:val="zh-CN"/>
        </w:rPr>
      </w:pPr>
      <w:r>
        <w:rPr>
          <w:rFonts w:hint="eastAsia" w:ascii="宋体" w:hAnsi="宋体" w:cs="宋体"/>
          <w:kern w:val="0"/>
          <w:sz w:val="24"/>
          <w:lang w:val="zh-CN"/>
        </w:rPr>
        <w:t>（12）竞争性磋商首次报价表…………………………………………所在页码</w:t>
      </w:r>
    </w:p>
    <w:p>
      <w:pPr>
        <w:spacing w:line="360" w:lineRule="auto"/>
        <w:ind w:left="420"/>
        <w:rPr>
          <w:rFonts w:ascii="宋体" w:hAnsi="宋体" w:cs="宋体"/>
          <w:kern w:val="0"/>
          <w:sz w:val="24"/>
          <w:lang w:val="zh-CN"/>
        </w:rPr>
      </w:pPr>
      <w:r>
        <w:rPr>
          <w:rFonts w:hint="eastAsia" w:ascii="宋体" w:hAnsi="宋体" w:cs="宋体"/>
          <w:kern w:val="0"/>
          <w:sz w:val="24"/>
          <w:lang w:val="zh-CN"/>
        </w:rPr>
        <w:t>（13）分项报价表………………………………………………………所在页码</w:t>
      </w:r>
    </w:p>
    <w:p>
      <w:pPr>
        <w:spacing w:line="360" w:lineRule="auto"/>
        <w:ind w:left="420"/>
        <w:rPr>
          <w:rFonts w:hint="eastAsia" w:ascii="宋体" w:hAnsi="宋体" w:cs="宋体"/>
          <w:kern w:val="0"/>
          <w:sz w:val="24"/>
          <w:lang w:val="zh-CN"/>
        </w:rPr>
      </w:pPr>
      <w:r>
        <w:rPr>
          <w:rFonts w:hint="eastAsia" w:ascii="宋体" w:hAnsi="宋体" w:cs="宋体"/>
          <w:kern w:val="0"/>
          <w:sz w:val="24"/>
          <w:lang w:val="zh-CN"/>
        </w:rPr>
        <w:t>（14）技术规格响应表…………………………………………………所在页码</w:t>
      </w:r>
    </w:p>
    <w:p>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5</w:t>
      </w:r>
      <w:r>
        <w:rPr>
          <w:rFonts w:hint="eastAsia" w:ascii="宋体" w:hAnsi="宋体" w:cs="宋体"/>
          <w:kern w:val="0"/>
          <w:sz w:val="24"/>
          <w:lang w:val="zh-CN"/>
        </w:rPr>
        <w:t>）磋商产品相关资料………………………………………………所在页码</w:t>
      </w:r>
    </w:p>
    <w:p>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6</w:t>
      </w:r>
      <w:r>
        <w:rPr>
          <w:rFonts w:hint="eastAsia" w:ascii="宋体" w:hAnsi="宋体" w:cs="宋体"/>
          <w:kern w:val="0"/>
          <w:sz w:val="24"/>
          <w:lang w:val="zh-CN"/>
        </w:rPr>
        <w:t>）磋商供应商的类似业绩证明材料………………………………所在页码</w:t>
      </w:r>
    </w:p>
    <w:p>
      <w:pPr>
        <w:spacing w:line="360" w:lineRule="auto"/>
        <w:ind w:left="42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7</w:t>
      </w:r>
      <w:r>
        <w:rPr>
          <w:rFonts w:hint="eastAsia" w:ascii="宋体" w:hAnsi="宋体" w:cs="宋体"/>
          <w:kern w:val="0"/>
          <w:sz w:val="24"/>
          <w:lang w:val="zh-CN"/>
        </w:rPr>
        <w:t>）制造（生产）企业小型、微型企业声明函……………………所在页码</w:t>
      </w:r>
    </w:p>
    <w:p>
      <w:pPr>
        <w:spacing w:line="360" w:lineRule="auto"/>
        <w:ind w:firstLine="424" w:firstLineChars="177"/>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8</w:t>
      </w:r>
      <w:r>
        <w:rPr>
          <w:rFonts w:hint="eastAsia" w:ascii="宋体" w:hAnsi="宋体" w:cs="宋体"/>
          <w:kern w:val="0"/>
          <w:sz w:val="24"/>
          <w:lang w:val="zh-CN"/>
        </w:rPr>
        <w:t>）残疾人福利性单位声明函………………………………………所在页码</w:t>
      </w:r>
    </w:p>
    <w:p>
      <w:pPr>
        <w:spacing w:line="360" w:lineRule="auto"/>
        <w:ind w:left="42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19</w:t>
      </w:r>
      <w:r>
        <w:rPr>
          <w:rFonts w:hint="eastAsia" w:ascii="宋体" w:hAnsi="宋体" w:cs="宋体"/>
          <w:kern w:val="0"/>
          <w:sz w:val="24"/>
          <w:lang w:val="zh-CN"/>
        </w:rPr>
        <w:t>）磋商供应商认为在其他方面有必要说明的事项………………所在页码</w:t>
      </w:r>
    </w:p>
    <w:p>
      <w:pPr>
        <w:spacing w:line="360" w:lineRule="auto"/>
        <w:ind w:left="420"/>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lang w:val="en-US" w:eastAsia="zh-CN"/>
        </w:rPr>
        <w:t>0</w:t>
      </w:r>
      <w:r>
        <w:rPr>
          <w:rFonts w:hint="eastAsia" w:ascii="宋体" w:hAnsi="宋体" w:cs="宋体"/>
          <w:kern w:val="0"/>
          <w:sz w:val="24"/>
          <w:lang w:val="zh-CN"/>
        </w:rPr>
        <w:t>）磋商最终报价表…………………………………………………所在页码</w:t>
      </w:r>
    </w:p>
    <w:p>
      <w:pPr>
        <w:pStyle w:val="5"/>
        <w:numPr>
          <w:ilvl w:val="0"/>
          <w:numId w:val="0"/>
        </w:numPr>
        <w:ind w:left="709" w:hanging="709"/>
        <w:rPr>
          <w:rFonts w:hAnsi="宋体"/>
          <w:b/>
          <w:sz w:val="32"/>
          <w:lang w:val="zh-CN"/>
        </w:rPr>
      </w:pPr>
      <w:r>
        <w:rPr>
          <w:rFonts w:hAnsi="宋体"/>
          <w:bCs/>
          <w:sz w:val="24"/>
          <w:szCs w:val="28"/>
        </w:rPr>
        <w:br w:type="page"/>
      </w:r>
      <w:bookmarkStart w:id="112" w:name="_Toc1575346"/>
      <w:r>
        <w:rPr>
          <w:rFonts w:hint="eastAsia" w:hAnsi="宋体"/>
          <w:b/>
          <w:sz w:val="32"/>
          <w:lang w:val="zh-CN"/>
        </w:rPr>
        <w:t>格式11、评分对照表</w:t>
      </w:r>
      <w:bookmarkEnd w:id="112"/>
    </w:p>
    <w:p>
      <w:pPr>
        <w:spacing w:line="360" w:lineRule="auto"/>
        <w:rPr>
          <w:rFonts w:ascii="宋体" w:hAnsi="宋体"/>
          <w:bCs/>
          <w:sz w:val="24"/>
          <w:szCs w:val="28"/>
        </w:rPr>
      </w:pPr>
    </w:p>
    <w:p>
      <w:pPr>
        <w:spacing w:line="360" w:lineRule="auto"/>
        <w:jc w:val="center"/>
        <w:rPr>
          <w:rFonts w:ascii="宋体" w:hAnsi="宋体" w:cs="宋体"/>
          <w:b/>
          <w:bCs/>
          <w:sz w:val="28"/>
          <w:szCs w:val="28"/>
        </w:rPr>
      </w:pPr>
      <w:r>
        <w:rPr>
          <w:rFonts w:hint="eastAsia" w:ascii="宋体" w:hAnsi="宋体" w:cs="宋体"/>
          <w:b/>
          <w:bCs/>
          <w:sz w:val="28"/>
          <w:szCs w:val="28"/>
        </w:rPr>
        <w:t>评分对照表</w:t>
      </w:r>
    </w:p>
    <w:tbl>
      <w:tblPr>
        <w:tblStyle w:val="3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10"/>
              <w:spacing w:line="360" w:lineRule="auto"/>
              <w:ind w:firstLine="0" w:firstLineChars="0"/>
              <w:jc w:val="center"/>
              <w:rPr>
                <w:rFonts w:ascii="宋体" w:hAnsi="宋体" w:cs="宋体"/>
                <w:sz w:val="24"/>
              </w:rPr>
            </w:pPr>
            <w:r>
              <w:rPr>
                <w:rFonts w:hint="eastAsia" w:ascii="宋体" w:hAnsi="宋体" w:cs="宋体"/>
                <w:sz w:val="24"/>
              </w:rPr>
              <w:t>序号</w:t>
            </w:r>
          </w:p>
        </w:tc>
        <w:tc>
          <w:tcPr>
            <w:tcW w:w="2514" w:type="dxa"/>
            <w:vAlign w:val="center"/>
          </w:tcPr>
          <w:p>
            <w:pPr>
              <w:pStyle w:val="10"/>
              <w:spacing w:line="360" w:lineRule="auto"/>
              <w:ind w:firstLine="0" w:firstLineChars="0"/>
              <w:jc w:val="center"/>
              <w:rPr>
                <w:rFonts w:ascii="宋体" w:hAnsi="宋体" w:cs="宋体"/>
                <w:sz w:val="24"/>
              </w:rPr>
            </w:pPr>
            <w:r>
              <w:rPr>
                <w:rFonts w:hint="eastAsia" w:ascii="宋体" w:hAnsi="宋体" w:cs="宋体"/>
                <w:sz w:val="24"/>
              </w:rPr>
              <w:t>磋商文件评分标准</w:t>
            </w:r>
          </w:p>
        </w:tc>
        <w:tc>
          <w:tcPr>
            <w:tcW w:w="2266" w:type="dxa"/>
            <w:vAlign w:val="center"/>
          </w:tcPr>
          <w:p>
            <w:pPr>
              <w:pStyle w:val="10"/>
              <w:spacing w:line="360" w:lineRule="auto"/>
              <w:ind w:firstLine="0" w:firstLineChars="0"/>
              <w:jc w:val="center"/>
              <w:rPr>
                <w:rFonts w:ascii="宋体" w:hAnsi="宋体" w:cs="宋体"/>
                <w:sz w:val="24"/>
              </w:rPr>
            </w:pPr>
            <w:r>
              <w:rPr>
                <w:rFonts w:hint="eastAsia" w:ascii="宋体" w:hAnsi="宋体" w:cs="宋体"/>
                <w:sz w:val="24"/>
              </w:rPr>
              <w:t>磋商响应部分</w:t>
            </w:r>
          </w:p>
        </w:tc>
        <w:tc>
          <w:tcPr>
            <w:tcW w:w="2966" w:type="dxa"/>
            <w:vAlign w:val="center"/>
          </w:tcPr>
          <w:p>
            <w:pPr>
              <w:pStyle w:val="10"/>
              <w:spacing w:line="360" w:lineRule="auto"/>
              <w:ind w:firstLine="0" w:firstLineChars="0"/>
              <w:jc w:val="center"/>
              <w:rPr>
                <w:rFonts w:ascii="宋体" w:hAnsi="宋体" w:cs="宋体"/>
                <w:sz w:val="24"/>
              </w:rPr>
            </w:pPr>
            <w:r>
              <w:rPr>
                <w:rFonts w:hint="eastAsia" w:ascii="宋体" w:hAnsi="宋体" w:cs="宋体"/>
                <w:sz w:val="24"/>
              </w:rPr>
              <w:t>磋商响应文件中对应页码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jc w:val="center"/>
              <w:rPr>
                <w:rFonts w:ascii="宋体" w:hAnsi="宋体" w:cs="宋体"/>
              </w:rPr>
            </w:pPr>
          </w:p>
        </w:tc>
        <w:tc>
          <w:tcPr>
            <w:tcW w:w="2514" w:type="dxa"/>
            <w:vAlign w:val="center"/>
          </w:tcPr>
          <w:p>
            <w:pPr>
              <w:pStyle w:val="10"/>
              <w:spacing w:line="360" w:lineRule="auto"/>
              <w:jc w:val="center"/>
              <w:rPr>
                <w:rFonts w:ascii="宋体" w:hAnsi="宋体" w:cs="宋体"/>
              </w:rPr>
            </w:pPr>
          </w:p>
        </w:tc>
        <w:tc>
          <w:tcPr>
            <w:tcW w:w="2266" w:type="dxa"/>
            <w:vAlign w:val="center"/>
          </w:tcPr>
          <w:p>
            <w:pPr>
              <w:pStyle w:val="10"/>
              <w:spacing w:line="360" w:lineRule="auto"/>
              <w:jc w:val="center"/>
              <w:rPr>
                <w:rFonts w:ascii="宋体" w:hAnsi="宋体" w:cs="宋体"/>
              </w:rPr>
            </w:pPr>
          </w:p>
        </w:tc>
        <w:tc>
          <w:tcPr>
            <w:tcW w:w="2966" w:type="dxa"/>
            <w:vAlign w:val="center"/>
          </w:tcPr>
          <w:p>
            <w:pPr>
              <w:pStyle w:val="1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jc w:val="center"/>
              <w:rPr>
                <w:rFonts w:ascii="宋体" w:hAnsi="宋体" w:cs="宋体"/>
              </w:rPr>
            </w:pPr>
          </w:p>
        </w:tc>
        <w:tc>
          <w:tcPr>
            <w:tcW w:w="2514" w:type="dxa"/>
            <w:vAlign w:val="center"/>
          </w:tcPr>
          <w:p>
            <w:pPr>
              <w:pStyle w:val="10"/>
              <w:spacing w:line="360" w:lineRule="auto"/>
              <w:jc w:val="center"/>
              <w:rPr>
                <w:rFonts w:ascii="宋体" w:hAnsi="宋体" w:cs="宋体"/>
              </w:rPr>
            </w:pPr>
          </w:p>
        </w:tc>
        <w:tc>
          <w:tcPr>
            <w:tcW w:w="2266" w:type="dxa"/>
            <w:vAlign w:val="center"/>
          </w:tcPr>
          <w:p>
            <w:pPr>
              <w:pStyle w:val="10"/>
              <w:spacing w:line="360" w:lineRule="auto"/>
              <w:jc w:val="center"/>
              <w:rPr>
                <w:rFonts w:ascii="宋体" w:hAnsi="宋体" w:cs="宋体"/>
              </w:rPr>
            </w:pPr>
          </w:p>
        </w:tc>
        <w:tc>
          <w:tcPr>
            <w:tcW w:w="2966" w:type="dxa"/>
            <w:vAlign w:val="center"/>
          </w:tcPr>
          <w:p>
            <w:pPr>
              <w:pStyle w:val="1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jc w:val="center"/>
              <w:rPr>
                <w:rFonts w:ascii="宋体" w:hAnsi="宋体" w:cs="宋体"/>
              </w:rPr>
            </w:pPr>
          </w:p>
        </w:tc>
        <w:tc>
          <w:tcPr>
            <w:tcW w:w="2514" w:type="dxa"/>
            <w:vAlign w:val="center"/>
          </w:tcPr>
          <w:p>
            <w:pPr>
              <w:pStyle w:val="10"/>
              <w:spacing w:line="360" w:lineRule="auto"/>
              <w:jc w:val="center"/>
              <w:rPr>
                <w:rFonts w:ascii="宋体" w:hAnsi="宋体" w:cs="宋体"/>
              </w:rPr>
            </w:pPr>
          </w:p>
        </w:tc>
        <w:tc>
          <w:tcPr>
            <w:tcW w:w="2266" w:type="dxa"/>
            <w:vAlign w:val="center"/>
          </w:tcPr>
          <w:p>
            <w:pPr>
              <w:pStyle w:val="10"/>
              <w:spacing w:line="360" w:lineRule="auto"/>
              <w:jc w:val="center"/>
              <w:rPr>
                <w:rFonts w:ascii="宋体" w:hAnsi="宋体" w:cs="宋体"/>
              </w:rPr>
            </w:pPr>
          </w:p>
        </w:tc>
        <w:tc>
          <w:tcPr>
            <w:tcW w:w="2966" w:type="dxa"/>
            <w:vAlign w:val="center"/>
          </w:tcPr>
          <w:p>
            <w:pPr>
              <w:pStyle w:val="1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jc w:val="center"/>
              <w:rPr>
                <w:rFonts w:ascii="宋体" w:hAnsi="宋体" w:cs="宋体"/>
              </w:rPr>
            </w:pPr>
          </w:p>
        </w:tc>
        <w:tc>
          <w:tcPr>
            <w:tcW w:w="2514" w:type="dxa"/>
            <w:vAlign w:val="center"/>
          </w:tcPr>
          <w:p>
            <w:pPr>
              <w:pStyle w:val="10"/>
              <w:spacing w:line="360" w:lineRule="auto"/>
              <w:jc w:val="center"/>
              <w:rPr>
                <w:rFonts w:ascii="宋体" w:hAnsi="宋体" w:cs="宋体"/>
              </w:rPr>
            </w:pPr>
          </w:p>
        </w:tc>
        <w:tc>
          <w:tcPr>
            <w:tcW w:w="2266" w:type="dxa"/>
            <w:vAlign w:val="center"/>
          </w:tcPr>
          <w:p>
            <w:pPr>
              <w:pStyle w:val="10"/>
              <w:spacing w:line="360" w:lineRule="auto"/>
              <w:jc w:val="center"/>
              <w:rPr>
                <w:rFonts w:ascii="宋体" w:hAnsi="宋体" w:cs="宋体"/>
              </w:rPr>
            </w:pPr>
          </w:p>
        </w:tc>
        <w:tc>
          <w:tcPr>
            <w:tcW w:w="2966" w:type="dxa"/>
            <w:vAlign w:val="center"/>
          </w:tcPr>
          <w:p>
            <w:pPr>
              <w:pStyle w:val="1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jc w:val="center"/>
              <w:rPr>
                <w:rFonts w:ascii="宋体" w:hAnsi="宋体" w:cs="宋体"/>
              </w:rPr>
            </w:pPr>
          </w:p>
        </w:tc>
        <w:tc>
          <w:tcPr>
            <w:tcW w:w="2514" w:type="dxa"/>
            <w:vAlign w:val="center"/>
          </w:tcPr>
          <w:p>
            <w:pPr>
              <w:pStyle w:val="10"/>
              <w:spacing w:line="360" w:lineRule="auto"/>
              <w:jc w:val="center"/>
              <w:rPr>
                <w:rFonts w:ascii="宋体" w:hAnsi="宋体" w:cs="宋体"/>
              </w:rPr>
            </w:pPr>
          </w:p>
        </w:tc>
        <w:tc>
          <w:tcPr>
            <w:tcW w:w="2266" w:type="dxa"/>
            <w:vAlign w:val="center"/>
          </w:tcPr>
          <w:p>
            <w:pPr>
              <w:pStyle w:val="10"/>
              <w:spacing w:line="360" w:lineRule="auto"/>
              <w:jc w:val="center"/>
              <w:rPr>
                <w:rFonts w:ascii="宋体" w:hAnsi="宋体" w:cs="宋体"/>
              </w:rPr>
            </w:pPr>
          </w:p>
        </w:tc>
        <w:tc>
          <w:tcPr>
            <w:tcW w:w="2966" w:type="dxa"/>
            <w:vAlign w:val="center"/>
          </w:tcPr>
          <w:p>
            <w:pPr>
              <w:pStyle w:val="10"/>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10"/>
              <w:spacing w:line="360" w:lineRule="auto"/>
              <w:jc w:val="center"/>
              <w:rPr>
                <w:rFonts w:ascii="宋体" w:hAnsi="宋体" w:cs="宋体"/>
              </w:rPr>
            </w:pPr>
          </w:p>
        </w:tc>
        <w:tc>
          <w:tcPr>
            <w:tcW w:w="2514" w:type="dxa"/>
            <w:vAlign w:val="center"/>
          </w:tcPr>
          <w:p>
            <w:pPr>
              <w:pStyle w:val="10"/>
              <w:spacing w:line="360" w:lineRule="auto"/>
              <w:jc w:val="center"/>
              <w:rPr>
                <w:rFonts w:ascii="宋体" w:hAnsi="宋体" w:cs="宋体"/>
              </w:rPr>
            </w:pPr>
          </w:p>
        </w:tc>
        <w:tc>
          <w:tcPr>
            <w:tcW w:w="2266" w:type="dxa"/>
            <w:vAlign w:val="center"/>
          </w:tcPr>
          <w:p>
            <w:pPr>
              <w:pStyle w:val="10"/>
              <w:spacing w:line="360" w:lineRule="auto"/>
              <w:jc w:val="center"/>
              <w:rPr>
                <w:rFonts w:ascii="宋体" w:hAnsi="宋体" w:cs="宋体"/>
              </w:rPr>
            </w:pPr>
          </w:p>
        </w:tc>
        <w:tc>
          <w:tcPr>
            <w:tcW w:w="2966" w:type="dxa"/>
            <w:vAlign w:val="center"/>
          </w:tcPr>
          <w:p>
            <w:pPr>
              <w:pStyle w:val="10"/>
              <w:spacing w:line="360" w:lineRule="auto"/>
              <w:jc w:val="center"/>
              <w:rPr>
                <w:rFonts w:ascii="宋体" w:hAnsi="宋体" w:cs="宋体"/>
              </w:rPr>
            </w:pPr>
          </w:p>
        </w:tc>
      </w:tr>
    </w:tbl>
    <w:p>
      <w:pPr>
        <w:spacing w:line="360" w:lineRule="auto"/>
        <w:jc w:val="center"/>
        <w:rPr>
          <w:rFonts w:ascii="宋体" w:hAnsi="宋体"/>
          <w:bCs/>
          <w:sz w:val="24"/>
          <w:szCs w:val="28"/>
        </w:rPr>
      </w:pPr>
    </w:p>
    <w:p>
      <w:pPr>
        <w:pStyle w:val="5"/>
        <w:numPr>
          <w:ilvl w:val="0"/>
          <w:numId w:val="0"/>
        </w:numPr>
        <w:ind w:left="709" w:hanging="709"/>
        <w:rPr>
          <w:rFonts w:hAnsi="宋体"/>
          <w:lang w:val="zh-CN"/>
        </w:rPr>
      </w:pPr>
      <w:r>
        <w:rPr>
          <w:rFonts w:hAnsi="宋体"/>
          <w:bCs/>
          <w:sz w:val="24"/>
          <w:szCs w:val="28"/>
        </w:rPr>
        <w:br w:type="page"/>
      </w:r>
      <w:bookmarkStart w:id="113" w:name="_Toc1575347"/>
      <w:r>
        <w:rPr>
          <w:rFonts w:hint="eastAsia" w:hAnsi="宋体"/>
          <w:b/>
          <w:sz w:val="32"/>
          <w:lang w:val="zh-CN"/>
        </w:rPr>
        <w:t>格式12、</w:t>
      </w:r>
      <w:bookmarkStart w:id="114" w:name="_Toc487036155"/>
      <w:r>
        <w:rPr>
          <w:rFonts w:hint="eastAsia" w:hAnsi="宋体"/>
          <w:b/>
          <w:sz w:val="32"/>
          <w:szCs w:val="32"/>
        </w:rPr>
        <w:t>竞争性磋商首次报价表</w:t>
      </w:r>
      <w:bookmarkEnd w:id="113"/>
      <w:bookmarkEnd w:id="114"/>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竞争性磋商首次报价表</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pPr>
        <w:autoSpaceDE w:val="0"/>
        <w:autoSpaceDN w:val="0"/>
        <w:spacing w:line="360" w:lineRule="auto"/>
        <w:jc w:val="right"/>
        <w:rPr>
          <w:rFonts w:ascii="宋体" w:hAnsi="宋体" w:cs="宋体"/>
          <w:bCs/>
          <w:kern w:val="0"/>
          <w:sz w:val="24"/>
          <w:lang w:val="zh-CN"/>
        </w:rPr>
      </w:pPr>
      <w:r>
        <w:rPr>
          <w:rFonts w:hint="eastAsia" w:ascii="宋体" w:hAnsi="宋体" w:cs="宋体"/>
          <w:bCs/>
          <w:kern w:val="0"/>
          <w:sz w:val="24"/>
          <w:lang w:val="zh-CN"/>
        </w:rPr>
        <w:t>单位：人民币（元）</w:t>
      </w:r>
    </w:p>
    <w:p>
      <w:pPr>
        <w:autoSpaceDE w:val="0"/>
        <w:autoSpaceDN w:val="0"/>
        <w:spacing w:line="360" w:lineRule="auto"/>
        <w:rPr>
          <w:rFonts w:ascii="宋体" w:hAnsi="宋体" w:cs="宋体"/>
          <w:b/>
          <w:bCs/>
          <w:sz w:val="24"/>
          <w:lang w:val="zh-CN"/>
        </w:rPr>
      </w:pPr>
      <w:r>
        <w:rPr>
          <w:rFonts w:hint="eastAsia" w:ascii="宋体" w:hAnsi="宋体" w:cs="宋体"/>
          <w:b/>
          <w:bCs/>
          <w:sz w:val="24"/>
          <w:lang w:val="zh-CN"/>
        </w:rPr>
        <w:t>磋商供应商名称：</w:t>
      </w:r>
    </w:p>
    <w:tbl>
      <w:tblPr>
        <w:tblStyle w:val="32"/>
        <w:tblW w:w="9968" w:type="dxa"/>
        <w:jc w:val="center"/>
        <w:tblLayout w:type="fixed"/>
        <w:tblCellMar>
          <w:top w:w="0" w:type="dxa"/>
          <w:left w:w="108" w:type="dxa"/>
          <w:bottom w:w="0" w:type="dxa"/>
          <w:right w:w="108" w:type="dxa"/>
        </w:tblCellMar>
      </w:tblPr>
      <w:tblGrid>
        <w:gridCol w:w="3516"/>
        <w:gridCol w:w="2829"/>
        <w:gridCol w:w="2016"/>
        <w:gridCol w:w="1607"/>
      </w:tblGrid>
      <w:tr>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rPr>
                <w:rFonts w:ascii="Arial" w:hAnsi="Arial" w:cs="Arial"/>
                <w:lang w:val="zh-CN"/>
              </w:rPr>
            </w:pPr>
            <w:r>
              <w:rPr>
                <w:rFonts w:hint="eastAsia" w:ascii="Arial" w:hAnsi="Arial" w:cs="Arial"/>
                <w:bCs/>
                <w:sz w:val="24"/>
                <w:lang w:val="zh-CN"/>
              </w:rPr>
              <w:t>磋商首次</w:t>
            </w:r>
            <w:r>
              <w:rPr>
                <w:rFonts w:ascii="Arial" w:hAnsi="Arial" w:cs="Arial"/>
                <w:bCs/>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Arial" w:hAnsi="Arial" w:cs="Arial"/>
                <w:bCs/>
                <w:sz w:val="24"/>
                <w:lang w:val="zh-CN"/>
              </w:rPr>
            </w:pPr>
            <w:r>
              <w:rPr>
                <w:rFonts w:ascii="Arial" w:hAnsi="Arial" w:cs="Arial"/>
                <w:bCs/>
                <w:sz w:val="24"/>
                <w:lang w:val="zh-CN"/>
              </w:rPr>
              <w:t>交货期</w:t>
            </w:r>
          </w:p>
          <w:p>
            <w:pPr>
              <w:autoSpaceDE w:val="0"/>
              <w:autoSpaceDN w:val="0"/>
              <w:spacing w:line="360" w:lineRule="auto"/>
              <w:jc w:val="center"/>
              <w:rPr>
                <w:rFonts w:ascii="Arial" w:hAnsi="Arial" w:cs="Arial"/>
                <w:sz w:val="24"/>
                <w:lang w:val="zh-CN"/>
              </w:rPr>
            </w:pPr>
            <w:r>
              <w:rPr>
                <w:rFonts w:ascii="Arial" w:hAnsi="Arial" w:cs="Arial"/>
                <w:bCs/>
                <w:sz w:val="24"/>
                <w:lang w:val="zh-CN"/>
              </w:rPr>
              <w:t>（日历日）</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197"/>
              <w:jc w:val="center"/>
              <w:rPr>
                <w:rFonts w:ascii="Arial" w:hAnsi="Arial" w:cs="Arial"/>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2829"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016" w:type="dxa"/>
            <w:vMerge w:val="continue"/>
            <w:tcBorders>
              <w:top w:val="single" w:color="000000" w:sz="6" w:space="0"/>
              <w:left w:val="single" w:color="000000" w:sz="6" w:space="0"/>
              <w:bottom w:val="single" w:color="auto" w:sz="4" w:space="0"/>
              <w:right w:val="single" w:color="auto" w:sz="4" w:space="0"/>
            </w:tcBorders>
            <w:shd w:val="clear" w:color="000000" w:fill="FFFFFF"/>
            <w:vAlign w:val="center"/>
          </w:tcPr>
          <w:p>
            <w:pPr>
              <w:autoSpaceDE w:val="0"/>
              <w:autoSpaceDN w:val="0"/>
              <w:spacing w:line="360" w:lineRule="auto"/>
              <w:jc w:val="center"/>
              <w:rPr>
                <w:rFonts w:ascii="Arial" w:hAnsi="Arial" w:cs="Arial"/>
                <w:lang w:val="zh-CN"/>
              </w:rPr>
            </w:pPr>
          </w:p>
        </w:tc>
        <w:tc>
          <w:tcPr>
            <w:tcW w:w="1607"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782"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spacing w:line="360" w:lineRule="auto"/>
              <w:jc w:val="both"/>
              <w:rPr>
                <w:rFonts w:hint="default" w:ascii="Arial" w:hAnsi="Arial" w:eastAsia="宋体" w:cs="Arial"/>
                <w:lang w:val="en-US" w:eastAsia="zh-CN"/>
              </w:rPr>
            </w:pPr>
            <w:r>
              <w:rPr>
                <w:rFonts w:hint="eastAsia" w:ascii="Arial" w:hAnsi="Arial" w:cs="Arial"/>
                <w:bCs/>
                <w:sz w:val="24"/>
                <w:lang w:val="en-US" w:eastAsia="zh-CN"/>
              </w:rPr>
              <w:t>优惠承诺及其他：</w:t>
            </w:r>
          </w:p>
        </w:tc>
      </w:tr>
    </w:tbl>
    <w:p>
      <w:pPr>
        <w:autoSpaceDE w:val="0"/>
        <w:autoSpaceDN w:val="0"/>
        <w:spacing w:line="360" w:lineRule="auto"/>
        <w:rPr>
          <w:rFonts w:ascii="宋体" w:hAnsi="宋体" w:cs="Arial"/>
          <w:b/>
          <w:bCs/>
          <w:sz w:val="20"/>
          <w:lang w:val="zh-CN"/>
        </w:rPr>
      </w:pPr>
    </w:p>
    <w:p>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pPr>
        <w:spacing w:line="360" w:lineRule="auto"/>
        <w:ind w:firstLine="388" w:firstLineChars="193"/>
        <w:rPr>
          <w:rFonts w:hint="eastAsia"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磋商报价必须包括：产品费、验收费、手续费、包装费、运输费、保险费、安装费、售前、售中、售后服务费、招标代理费、税金及不可预见费等全部费用。</w:t>
      </w:r>
    </w:p>
    <w:p>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ascii="宋体" w:hAnsi="宋体" w:cs="Arial"/>
          <w:b/>
          <w:sz w:val="20"/>
          <w:lang w:val="zh-CN"/>
        </w:rPr>
        <w:t>交货</w:t>
      </w:r>
      <w:r>
        <w:rPr>
          <w:rFonts w:hint="eastAsia" w:ascii="宋体" w:hAnsi="宋体" w:cs="Arial"/>
          <w:b/>
          <w:sz w:val="20"/>
          <w:lang w:val="zh-CN"/>
        </w:rPr>
        <w:t>时间”是指产品能够交付使用的具体时间。</w:t>
      </w:r>
    </w:p>
    <w:p>
      <w:pPr>
        <w:spacing w:line="360" w:lineRule="auto"/>
        <w:ind w:firstLine="388" w:firstLineChars="193"/>
        <w:rPr>
          <w:rFonts w:ascii="宋体" w:hAnsi="宋体" w:cs="Arial"/>
          <w:b/>
          <w:sz w:val="20"/>
          <w:lang w:val="zh-CN"/>
        </w:rPr>
      </w:pPr>
      <w:r>
        <w:rPr>
          <w:rFonts w:hint="eastAsia" w:ascii="宋体" w:hAnsi="宋体" w:cs="Arial"/>
          <w:b/>
          <w:sz w:val="20"/>
          <w:lang w:val="en-US" w:eastAsia="zh-CN"/>
        </w:rPr>
        <w:t>4</w:t>
      </w:r>
      <w:r>
        <w:rPr>
          <w:rFonts w:hint="eastAsia" w:ascii="宋体" w:hAnsi="宋体" w:cs="Arial"/>
          <w:b/>
          <w:sz w:val="20"/>
          <w:lang w:val="zh-CN"/>
        </w:rPr>
        <w:t>、</w:t>
      </w:r>
      <w:r>
        <w:rPr>
          <w:rFonts w:ascii="宋体" w:hAnsi="宋体" w:cs="Arial"/>
          <w:b/>
          <w:sz w:val="20"/>
          <w:lang w:val="zh-CN"/>
        </w:rPr>
        <w:t>磋商报价不能有两个或两个以上的报价方案。</w:t>
      </w:r>
    </w:p>
    <w:p>
      <w:pPr>
        <w:pStyle w:val="13"/>
        <w:rPr>
          <w:rFonts w:hint="default" w:eastAsia="宋体"/>
          <w:lang w:val="en-US" w:eastAsia="zh-CN"/>
        </w:rPr>
      </w:pPr>
      <w:r>
        <w:rPr>
          <w:rFonts w:hint="eastAsia" w:ascii="宋体" w:hAnsi="宋体" w:cs="Arial"/>
          <w:b/>
          <w:sz w:val="20"/>
          <w:lang w:val="en-US" w:eastAsia="zh-CN"/>
        </w:rPr>
        <w:t xml:space="preserve">   </w:t>
      </w:r>
    </w:p>
    <w:p>
      <w:pPr>
        <w:spacing w:line="360" w:lineRule="auto"/>
        <w:ind w:firstLine="388" w:firstLineChars="193"/>
        <w:rPr>
          <w:rFonts w:ascii="宋体" w:hAnsi="宋体" w:cs="宋体"/>
          <w:b/>
          <w:bCs/>
          <w:kern w:val="0"/>
          <w:sz w:val="20"/>
          <w:lang w:val="zh-CN"/>
        </w:rPr>
      </w:pPr>
    </w:p>
    <w:p>
      <w:pPr>
        <w:spacing w:line="360" w:lineRule="auto"/>
        <w:ind w:firstLine="388" w:firstLineChars="193"/>
        <w:rPr>
          <w:rFonts w:ascii="宋体" w:hAnsi="宋体" w:cs="宋体"/>
          <w:b/>
          <w:bCs/>
          <w:kern w:val="0"/>
          <w:sz w:val="20"/>
          <w:lang w:val="zh-CN"/>
        </w:rPr>
      </w:pPr>
    </w:p>
    <w:p>
      <w:pPr>
        <w:spacing w:line="360" w:lineRule="auto"/>
        <w:ind w:firstLine="388" w:firstLineChars="193"/>
        <w:rPr>
          <w:rFonts w:ascii="宋体" w:hAnsi="宋体" w:cs="宋体"/>
          <w:b/>
          <w:bCs/>
          <w:kern w:val="0"/>
          <w:sz w:val="20"/>
          <w:lang w:val="zh-CN"/>
        </w:rPr>
      </w:pPr>
    </w:p>
    <w:p>
      <w:pPr>
        <w:spacing w:line="360" w:lineRule="auto"/>
        <w:ind w:firstLine="388" w:firstLineChars="193"/>
        <w:rPr>
          <w:rFonts w:ascii="宋体" w:hAnsi="宋体" w:cs="宋体"/>
          <w:b/>
          <w:bCs/>
          <w:kern w:val="0"/>
          <w:sz w:val="20"/>
          <w:szCs w:val="22"/>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lang w:val="en-US" w:eastAsia="zh-CN"/>
        </w:rPr>
        <w:t>法定代表人或</w:t>
      </w:r>
      <w:r>
        <w:rPr>
          <w:rFonts w:hint="eastAsia" w:ascii="宋体" w:hAnsi="宋体"/>
          <w:bCs/>
          <w:sz w:val="24"/>
          <w:szCs w:val="28"/>
        </w:rPr>
        <w:t>委托代理人：</w:t>
      </w:r>
      <w:r>
        <w:rPr>
          <w:rFonts w:hint="eastAsia" w:ascii="宋体" w:hAnsi="宋体"/>
          <w:bCs/>
          <w:sz w:val="24"/>
          <w:szCs w:val="28"/>
          <w:u w:val="single"/>
        </w:rPr>
        <w:t xml:space="preserve">             </w:t>
      </w:r>
      <w:r>
        <w:rPr>
          <w:rFonts w:hint="eastAsia" w:ascii="宋体" w:hAnsi="宋体"/>
          <w:bCs/>
          <w:sz w:val="24"/>
          <w:szCs w:val="28"/>
        </w:rPr>
        <w:t>（签字）</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    年   月   日</w:t>
      </w:r>
    </w:p>
    <w:p>
      <w:pPr>
        <w:pStyle w:val="5"/>
        <w:numPr>
          <w:ilvl w:val="0"/>
          <w:numId w:val="0"/>
        </w:numPr>
        <w:ind w:left="709" w:hanging="709"/>
        <w:rPr>
          <w:rFonts w:hAnsi="宋体"/>
          <w:lang w:val="zh-CN"/>
        </w:rPr>
      </w:pPr>
      <w:r>
        <w:rPr>
          <w:rFonts w:hAnsi="宋体"/>
          <w:bCs/>
          <w:sz w:val="24"/>
          <w:szCs w:val="28"/>
        </w:rPr>
        <w:br w:type="page"/>
      </w:r>
      <w:bookmarkStart w:id="115" w:name="_Toc1575348"/>
      <w:r>
        <w:rPr>
          <w:rFonts w:hint="eastAsia" w:hAnsi="宋体"/>
          <w:b/>
          <w:sz w:val="32"/>
          <w:lang w:val="zh-CN"/>
        </w:rPr>
        <w:t>格式13、分项报价表</w:t>
      </w:r>
      <w:bookmarkEnd w:id="115"/>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分项报价表</w:t>
      </w:r>
    </w:p>
    <w:p>
      <w:pPr>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pPr>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p>
      <w:pPr>
        <w:spacing w:line="360" w:lineRule="auto"/>
        <w:jc w:val="right"/>
        <w:rPr>
          <w:rFonts w:ascii="宋体" w:hAnsi="宋体"/>
          <w:lang w:val="zh-CN"/>
        </w:rPr>
      </w:pPr>
      <w:r>
        <w:rPr>
          <w:rFonts w:ascii="宋体" w:hAnsi="宋体" w:cs="宋体"/>
          <w:bCs/>
          <w:kern w:val="0"/>
          <w:sz w:val="24"/>
          <w:lang w:val="zh-CN"/>
        </w:rPr>
        <w:t>单位</w:t>
      </w:r>
      <w:r>
        <w:rPr>
          <w:rFonts w:hint="eastAsia" w:ascii="宋体" w:hAnsi="宋体" w:cs="宋体"/>
          <w:bCs/>
          <w:kern w:val="0"/>
          <w:sz w:val="24"/>
          <w:lang w:val="zh-CN"/>
        </w:rPr>
        <w:t>：</w:t>
      </w:r>
      <w:r>
        <w:rPr>
          <w:rFonts w:ascii="宋体" w:hAnsi="宋体" w:cs="宋体"/>
          <w:bCs/>
          <w:kern w:val="0"/>
          <w:sz w:val="24"/>
          <w:lang w:val="zh-CN"/>
        </w:rPr>
        <w:t>人民币</w:t>
      </w:r>
      <w:r>
        <w:rPr>
          <w:rFonts w:hint="eastAsia" w:ascii="宋体" w:hAnsi="宋体" w:cs="宋体"/>
          <w:bCs/>
          <w:kern w:val="0"/>
          <w:sz w:val="24"/>
          <w:lang w:val="zh-CN"/>
        </w:rPr>
        <w:t>（</w:t>
      </w:r>
      <w:r>
        <w:rPr>
          <w:rFonts w:ascii="宋体" w:hAnsi="宋体" w:cs="宋体"/>
          <w:bCs/>
          <w:kern w:val="0"/>
          <w:sz w:val="24"/>
          <w:lang w:val="zh-CN"/>
        </w:rPr>
        <w:t>元</w:t>
      </w:r>
      <w:r>
        <w:rPr>
          <w:rFonts w:hint="eastAsia" w:ascii="宋体" w:hAnsi="宋体" w:cs="宋体"/>
          <w:bCs/>
          <w:kern w:val="0"/>
          <w:sz w:val="24"/>
          <w:lang w:val="zh-CN"/>
        </w:rPr>
        <w:t>）</w:t>
      </w:r>
    </w:p>
    <w:tbl>
      <w:tblPr>
        <w:tblStyle w:val="32"/>
        <w:tblW w:w="9808" w:type="dxa"/>
        <w:jc w:val="center"/>
        <w:tblLayout w:type="fixed"/>
        <w:tblCellMar>
          <w:top w:w="0" w:type="dxa"/>
          <w:left w:w="28" w:type="dxa"/>
          <w:bottom w:w="0" w:type="dxa"/>
          <w:right w:w="28" w:type="dxa"/>
        </w:tblCellMar>
      </w:tblPr>
      <w:tblGrid>
        <w:gridCol w:w="713"/>
        <w:gridCol w:w="1666"/>
        <w:gridCol w:w="1030"/>
        <w:gridCol w:w="1157"/>
        <w:gridCol w:w="1338"/>
        <w:gridCol w:w="1208"/>
        <w:gridCol w:w="804"/>
        <w:gridCol w:w="947"/>
        <w:gridCol w:w="945"/>
      </w:tblGrid>
      <w:tr>
        <w:tblPrEx>
          <w:tblCellMar>
            <w:top w:w="0" w:type="dxa"/>
            <w:left w:w="28" w:type="dxa"/>
            <w:bottom w:w="0" w:type="dxa"/>
            <w:right w:w="28" w:type="dxa"/>
          </w:tblCellMar>
        </w:tblPrEx>
        <w:trPr>
          <w:trHeight w:val="529" w:hRule="atLeast"/>
          <w:jc w:val="center"/>
        </w:trPr>
        <w:tc>
          <w:tcPr>
            <w:tcW w:w="713"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hint="eastAsia" w:ascii="宋体" w:hAnsi="宋体"/>
                <w:sz w:val="24"/>
                <w:lang w:val="zh-CN"/>
              </w:rPr>
              <w:t>序号</w:t>
            </w:r>
          </w:p>
        </w:tc>
        <w:tc>
          <w:tcPr>
            <w:tcW w:w="166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hint="eastAsia" w:ascii="宋体" w:hAnsi="宋体"/>
                <w:sz w:val="24"/>
                <w:lang w:val="zh-CN"/>
              </w:rPr>
              <w:t>产品名称</w:t>
            </w:r>
          </w:p>
        </w:tc>
        <w:tc>
          <w:tcPr>
            <w:tcW w:w="1030"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hint="eastAsia" w:ascii="宋体" w:hAnsi="宋体"/>
                <w:sz w:val="24"/>
                <w:lang w:val="zh-CN"/>
              </w:rPr>
              <w:t>品牌</w:t>
            </w:r>
          </w:p>
        </w:tc>
        <w:tc>
          <w:tcPr>
            <w:tcW w:w="115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hint="eastAsia" w:ascii="宋体" w:hAnsi="宋体"/>
                <w:sz w:val="24"/>
                <w:lang w:val="zh-CN"/>
              </w:rPr>
              <w:t>规格</w:t>
            </w:r>
          </w:p>
          <w:p>
            <w:pPr>
              <w:jc w:val="center"/>
              <w:rPr>
                <w:rFonts w:ascii="宋体" w:hAnsi="宋体"/>
                <w:sz w:val="24"/>
                <w:lang w:val="zh-CN"/>
              </w:rPr>
            </w:pPr>
            <w:r>
              <w:rPr>
                <w:rFonts w:hint="eastAsia" w:ascii="宋体" w:hAnsi="宋体"/>
                <w:sz w:val="24"/>
                <w:lang w:val="zh-CN"/>
              </w:rPr>
              <w:t>型号</w:t>
            </w:r>
          </w:p>
        </w:tc>
        <w:tc>
          <w:tcPr>
            <w:tcW w:w="133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hint="eastAsia" w:ascii="宋体" w:hAnsi="宋体"/>
                <w:sz w:val="24"/>
                <w:lang w:val="zh-CN"/>
              </w:rPr>
              <w:t>生产厂家</w:t>
            </w:r>
          </w:p>
        </w:tc>
        <w:tc>
          <w:tcPr>
            <w:tcW w:w="120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hint="eastAsia" w:ascii="宋体" w:hAnsi="宋体"/>
                <w:sz w:val="24"/>
                <w:lang w:val="zh-CN"/>
              </w:rPr>
              <w:t>数量</w:t>
            </w:r>
          </w:p>
        </w:tc>
        <w:tc>
          <w:tcPr>
            <w:tcW w:w="80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hint="eastAsia" w:ascii="宋体" w:hAnsi="宋体"/>
                <w:sz w:val="24"/>
                <w:lang w:val="zh-CN"/>
              </w:rPr>
              <w:t>单价</w:t>
            </w:r>
          </w:p>
        </w:tc>
        <w:tc>
          <w:tcPr>
            <w:tcW w:w="94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hint="eastAsia" w:ascii="宋体" w:hAnsi="宋体"/>
                <w:sz w:val="24"/>
                <w:lang w:val="zh-CN"/>
              </w:rPr>
              <w:t>合计</w:t>
            </w:r>
          </w:p>
        </w:tc>
        <w:tc>
          <w:tcPr>
            <w:tcW w:w="945"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jc w:val="center"/>
              <w:rPr>
                <w:rFonts w:hint="eastAsia" w:ascii="宋体" w:hAnsi="宋体" w:eastAsia="宋体"/>
                <w:sz w:val="24"/>
                <w:lang w:val="zh-CN" w:eastAsia="zh-CN"/>
              </w:rPr>
            </w:pPr>
            <w:r>
              <w:rPr>
                <w:rFonts w:hint="eastAsia" w:ascii="宋体" w:hAnsi="宋体"/>
                <w:sz w:val="24"/>
                <w:lang w:val="en-US" w:eastAsia="zh-CN"/>
              </w:rPr>
              <w:t>质保期</w:t>
            </w: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ascii="宋体" w:hAnsi="宋体"/>
                <w:sz w:val="24"/>
                <w:lang w:val="zh-CN"/>
              </w:rPr>
              <w:t>1</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ascii="宋体" w:hAnsi="宋体"/>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ascii="宋体" w:hAnsi="宋体"/>
                <w:sz w:val="24"/>
                <w:lang w:val="zh-CN"/>
              </w:rPr>
              <w:t>2</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ascii="宋体" w:hAnsi="宋体"/>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ascii="宋体" w:hAnsi="宋体"/>
                <w:sz w:val="24"/>
                <w:lang w:val="zh-CN"/>
              </w:rPr>
              <w:t>3</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ascii="宋体" w:hAnsi="宋体"/>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ascii="宋体" w:hAnsi="宋体"/>
                <w:sz w:val="24"/>
                <w:lang w:val="zh-CN"/>
              </w:rPr>
              <w:t>4</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ascii="宋体" w:hAnsi="宋体"/>
                <w:sz w:val="24"/>
                <w:lang w:val="zh-CN"/>
              </w:rPr>
            </w:pPr>
          </w:p>
        </w:tc>
      </w:tr>
      <w:tr>
        <w:tblPrEx>
          <w:tblCellMar>
            <w:top w:w="0" w:type="dxa"/>
            <w:left w:w="28" w:type="dxa"/>
            <w:bottom w:w="0" w:type="dxa"/>
            <w:right w:w="28" w:type="dxa"/>
          </w:tblCellMar>
        </w:tblPrEx>
        <w:trPr>
          <w:trHeight w:val="529" w:hRule="atLeast"/>
          <w:jc w:val="center"/>
        </w:trPr>
        <w:tc>
          <w:tcPr>
            <w:tcW w:w="713"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jc w:val="center"/>
              <w:rPr>
                <w:rFonts w:ascii="宋体" w:hAnsi="宋体"/>
                <w:sz w:val="24"/>
                <w:lang w:val="zh-CN"/>
              </w:rPr>
            </w:pPr>
            <w:r>
              <w:rPr>
                <w:rFonts w:ascii="宋体" w:hAnsi="宋体"/>
                <w:sz w:val="24"/>
                <w:lang w:val="zh-CN"/>
              </w:rPr>
              <w:t>…</w:t>
            </w:r>
          </w:p>
        </w:tc>
        <w:tc>
          <w:tcPr>
            <w:tcW w:w="166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0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1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12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8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center"/>
              <w:rPr>
                <w:rFonts w:ascii="宋体" w:hAnsi="宋体"/>
                <w:sz w:val="24"/>
                <w:lang w:val="zh-CN"/>
              </w:rPr>
            </w:pPr>
          </w:p>
        </w:tc>
        <w:tc>
          <w:tcPr>
            <w:tcW w:w="945"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jc w:val="center"/>
              <w:rPr>
                <w:rFonts w:ascii="宋体" w:hAnsi="宋体"/>
                <w:sz w:val="24"/>
                <w:lang w:val="zh-CN"/>
              </w:rPr>
            </w:pPr>
          </w:p>
        </w:tc>
      </w:tr>
      <w:tr>
        <w:tblPrEx>
          <w:tblCellMar>
            <w:top w:w="0" w:type="dxa"/>
            <w:left w:w="28" w:type="dxa"/>
            <w:bottom w:w="0" w:type="dxa"/>
            <w:right w:w="28" w:type="dxa"/>
          </w:tblCellMar>
        </w:tblPrEx>
        <w:trPr>
          <w:trHeight w:val="1067" w:hRule="atLeast"/>
          <w:jc w:val="center"/>
        </w:trPr>
        <w:tc>
          <w:tcPr>
            <w:tcW w:w="9808"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rPr>
                <w:rFonts w:ascii="宋体" w:hAnsi="宋体"/>
                <w:sz w:val="24"/>
                <w:lang w:val="zh-CN"/>
              </w:rPr>
            </w:pPr>
            <w:r>
              <w:rPr>
                <w:rFonts w:hint="eastAsia" w:ascii="宋体" w:hAnsi="宋体"/>
                <w:sz w:val="24"/>
                <w:lang w:val="zh-CN"/>
              </w:rPr>
              <w:t>优惠承诺及其他：</w:t>
            </w:r>
          </w:p>
          <w:p>
            <w:pPr>
              <w:rPr>
                <w:rFonts w:ascii="宋体" w:hAnsi="宋体"/>
                <w:sz w:val="24"/>
                <w:lang w:val="zh-CN"/>
              </w:rPr>
            </w:pPr>
          </w:p>
        </w:tc>
      </w:tr>
      <w:tr>
        <w:tblPrEx>
          <w:tblCellMar>
            <w:top w:w="0" w:type="dxa"/>
            <w:left w:w="28" w:type="dxa"/>
            <w:bottom w:w="0" w:type="dxa"/>
            <w:right w:w="28" w:type="dxa"/>
          </w:tblCellMar>
        </w:tblPrEx>
        <w:trPr>
          <w:trHeight w:val="1038" w:hRule="atLeast"/>
          <w:jc w:val="center"/>
        </w:trPr>
        <w:tc>
          <w:tcPr>
            <w:tcW w:w="2379"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rPr>
                <w:rFonts w:ascii="宋体" w:hAnsi="宋体"/>
                <w:sz w:val="24"/>
                <w:lang w:val="zh-CN"/>
              </w:rPr>
            </w:pPr>
            <w:r>
              <w:rPr>
                <w:rFonts w:hint="eastAsia" w:ascii="宋体" w:hAnsi="宋体"/>
                <w:sz w:val="24"/>
                <w:lang w:val="zh-CN"/>
              </w:rPr>
              <w:t>投标总价</w:t>
            </w:r>
          </w:p>
        </w:tc>
        <w:tc>
          <w:tcPr>
            <w:tcW w:w="7429"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rPr>
                <w:rFonts w:ascii="宋体" w:hAnsi="宋体"/>
                <w:sz w:val="24"/>
                <w:lang w:val="zh-CN"/>
              </w:rPr>
            </w:pPr>
            <w:r>
              <w:rPr>
                <w:rFonts w:hint="eastAsia" w:ascii="宋体" w:hAnsi="宋体"/>
                <w:sz w:val="24"/>
                <w:lang w:val="zh-CN"/>
              </w:rPr>
              <w:t>小写：</w:t>
            </w:r>
          </w:p>
          <w:p>
            <w:pPr>
              <w:rPr>
                <w:rFonts w:ascii="宋体" w:hAnsi="宋体"/>
                <w:sz w:val="24"/>
                <w:lang w:val="zh-CN"/>
              </w:rPr>
            </w:pPr>
          </w:p>
          <w:p>
            <w:pPr>
              <w:rPr>
                <w:rFonts w:ascii="宋体" w:hAnsi="宋体"/>
                <w:sz w:val="24"/>
                <w:lang w:val="zh-CN"/>
              </w:rPr>
            </w:pPr>
            <w:r>
              <w:rPr>
                <w:rFonts w:hint="eastAsia" w:ascii="宋体" w:hAnsi="宋体"/>
                <w:sz w:val="24"/>
                <w:lang w:val="zh-CN"/>
              </w:rPr>
              <w:t>大写：</w:t>
            </w:r>
          </w:p>
        </w:tc>
      </w:tr>
    </w:tbl>
    <w:p>
      <w:pPr>
        <w:autoSpaceDE w:val="0"/>
        <w:autoSpaceDN w:val="0"/>
        <w:spacing w:line="360" w:lineRule="auto"/>
        <w:rPr>
          <w:rFonts w:ascii="宋体" w:hAnsi="宋体" w:cs="Arial"/>
          <w:b/>
          <w:bCs/>
          <w:sz w:val="20"/>
          <w:lang w:val="zh-CN"/>
        </w:rPr>
      </w:pPr>
      <w:r>
        <w:rPr>
          <w:rFonts w:ascii="宋体" w:hAnsi="宋体" w:cs="Arial"/>
          <w:b/>
          <w:bCs/>
          <w:sz w:val="20"/>
          <w:lang w:val="zh-CN"/>
        </w:rPr>
        <w:t>注：1、本表应依照采购一览表中的产品序号按顺序逐项填写，不得遗漏。</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、“分项报价</w:t>
      </w:r>
      <w:r>
        <w:rPr>
          <w:rFonts w:ascii="宋体" w:hAnsi="宋体" w:cs="Arial"/>
          <w:b/>
          <w:bCs/>
          <w:sz w:val="20"/>
          <w:lang w:val="zh-CN"/>
        </w:rPr>
        <w:t>表</w:t>
      </w:r>
      <w:r>
        <w:rPr>
          <w:rFonts w:hint="eastAsia" w:ascii="宋体" w:hAnsi="宋体" w:cs="Arial"/>
          <w:b/>
          <w:bCs/>
          <w:sz w:val="20"/>
          <w:lang w:val="zh-CN"/>
        </w:rPr>
        <w:t>”</w:t>
      </w:r>
      <w:r>
        <w:rPr>
          <w:rFonts w:ascii="宋体" w:hAnsi="宋体" w:cs="Arial"/>
          <w:b/>
          <w:bCs/>
          <w:sz w:val="20"/>
          <w:lang w:val="zh-CN"/>
        </w:rPr>
        <w:t>须为打印版，手写无效。</w:t>
      </w:r>
    </w:p>
    <w:p>
      <w:pPr>
        <w:spacing w:line="360" w:lineRule="auto"/>
        <w:rPr>
          <w:rFonts w:ascii="宋体" w:hAnsi="宋体"/>
          <w:lang w:val="zh-CN"/>
        </w:rPr>
      </w:pPr>
    </w:p>
    <w:p>
      <w:pPr>
        <w:spacing w:line="360" w:lineRule="auto"/>
        <w:rPr>
          <w:rFonts w:ascii="宋体" w:hAnsi="宋体"/>
          <w:lang w:val="zh-CN"/>
        </w:rPr>
      </w:pPr>
    </w:p>
    <w:p>
      <w:pPr>
        <w:spacing w:line="360" w:lineRule="auto"/>
        <w:rPr>
          <w:rFonts w:ascii="宋体" w:hAnsi="宋体"/>
          <w:lang w:val="zh-CN"/>
        </w:rPr>
      </w:pPr>
    </w:p>
    <w:p>
      <w:pPr>
        <w:spacing w:line="360" w:lineRule="auto"/>
        <w:rPr>
          <w:rFonts w:ascii="宋体" w:hAnsi="宋体"/>
          <w:lang w:val="zh-CN"/>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lang w:val="en-US" w:eastAsia="zh-CN"/>
        </w:rPr>
        <w:t>磋商</w:t>
      </w:r>
      <w:r>
        <w:rPr>
          <w:rFonts w:hint="eastAsia" w:ascii="宋体" w:hAnsi="宋体"/>
          <w:bCs/>
          <w:sz w:val="24"/>
          <w:szCs w:val="28"/>
        </w:rPr>
        <w:t>供应商：</w:t>
      </w:r>
      <w:r>
        <w:rPr>
          <w:rFonts w:hint="eastAsia" w:ascii="宋体" w:hAnsi="宋体"/>
          <w:bCs/>
          <w:sz w:val="24"/>
          <w:szCs w:val="28"/>
          <w:u w:val="single"/>
        </w:rPr>
        <w:t xml:space="preserve">             </w:t>
      </w:r>
      <w:r>
        <w:rPr>
          <w:rFonts w:hint="eastAsia" w:ascii="宋体" w:hAnsi="宋体"/>
          <w:bCs/>
          <w:sz w:val="24"/>
          <w:szCs w:val="28"/>
        </w:rPr>
        <w:t>（公章）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    年   月   日</w:t>
      </w:r>
    </w:p>
    <w:p>
      <w:pPr>
        <w:pStyle w:val="5"/>
        <w:numPr>
          <w:ilvl w:val="0"/>
          <w:numId w:val="0"/>
        </w:numPr>
        <w:ind w:left="709" w:hanging="709"/>
        <w:rPr>
          <w:rFonts w:hAnsi="宋体" w:cs="宋体"/>
        </w:rPr>
      </w:pPr>
      <w:r>
        <w:rPr>
          <w:rFonts w:hAnsi="宋体"/>
          <w:bCs/>
          <w:sz w:val="24"/>
          <w:szCs w:val="28"/>
        </w:rPr>
        <w:br w:type="page"/>
      </w:r>
      <w:bookmarkStart w:id="116" w:name="_Toc1575349"/>
      <w:r>
        <w:rPr>
          <w:rFonts w:hint="eastAsia" w:hAnsi="宋体"/>
          <w:b/>
          <w:sz w:val="32"/>
          <w:lang w:val="zh-CN"/>
        </w:rPr>
        <w:t>格式14、技术规格响应表</w:t>
      </w:r>
      <w:bookmarkEnd w:id="116"/>
    </w:p>
    <w:p>
      <w:pPr>
        <w:autoSpaceDE w:val="0"/>
        <w:autoSpaceDN w:val="0"/>
        <w:adjustRightInd w:val="0"/>
        <w:spacing w:line="360" w:lineRule="auto"/>
        <w:jc w:val="center"/>
        <w:rPr>
          <w:rFonts w:ascii="宋体" w:hAnsi="宋体" w:cs="宋体"/>
          <w:b/>
          <w:bCs/>
          <w:kern w:val="0"/>
          <w:sz w:val="30"/>
          <w:szCs w:val="30"/>
          <w:lang w:val="zh-CN"/>
        </w:rPr>
      </w:pPr>
      <w:bookmarkStart w:id="117" w:name="_Toc20510"/>
      <w:bookmarkStart w:id="118" w:name="_Toc444715742"/>
      <w:bookmarkStart w:id="119" w:name="_Toc25742"/>
      <w:r>
        <w:rPr>
          <w:rFonts w:hint="eastAsia" w:ascii="宋体" w:hAnsi="宋体" w:cs="宋体"/>
          <w:b/>
          <w:bCs/>
          <w:kern w:val="0"/>
          <w:sz w:val="30"/>
          <w:szCs w:val="30"/>
          <w:lang w:val="zh-CN"/>
        </w:rPr>
        <w:t>技术规格响应表</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采购项目名称:  </w:t>
      </w:r>
    </w:p>
    <w:p>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采购项目编号：</w:t>
      </w:r>
    </w:p>
    <w:tbl>
      <w:tblPr>
        <w:tblStyle w:val="32"/>
        <w:tblW w:w="103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701"/>
        <w:gridCol w:w="850"/>
        <w:gridCol w:w="709"/>
        <w:gridCol w:w="1843"/>
        <w:gridCol w:w="1984"/>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51" w:type="dxa"/>
            <w:vMerge w:val="restart"/>
            <w:vAlign w:val="center"/>
          </w:tcPr>
          <w:p>
            <w:pPr>
              <w:spacing w:line="360" w:lineRule="auto"/>
              <w:jc w:val="center"/>
              <w:rPr>
                <w:rFonts w:ascii="宋体" w:hAnsi="宋体"/>
              </w:rPr>
            </w:pPr>
            <w:r>
              <w:rPr>
                <w:rFonts w:hint="eastAsia" w:ascii="宋体" w:hAnsi="宋体"/>
              </w:rPr>
              <w:t>序号</w:t>
            </w:r>
          </w:p>
        </w:tc>
        <w:tc>
          <w:tcPr>
            <w:tcW w:w="3402" w:type="dxa"/>
            <w:gridSpan w:val="3"/>
            <w:vAlign w:val="center"/>
          </w:tcPr>
          <w:p>
            <w:pPr>
              <w:spacing w:line="360" w:lineRule="auto"/>
              <w:jc w:val="center"/>
              <w:rPr>
                <w:rFonts w:ascii="宋体" w:hAnsi="宋体"/>
              </w:rPr>
            </w:pPr>
            <w:r>
              <w:rPr>
                <w:rFonts w:hint="eastAsia" w:ascii="宋体" w:hAnsi="宋体" w:cs="仿宋_GB2312"/>
              </w:rPr>
              <w:t>采购需求技术参数、指标</w:t>
            </w:r>
          </w:p>
        </w:tc>
        <w:tc>
          <w:tcPr>
            <w:tcW w:w="5387" w:type="dxa"/>
            <w:gridSpan w:val="4"/>
            <w:vAlign w:val="center"/>
          </w:tcPr>
          <w:p>
            <w:pPr>
              <w:spacing w:line="360" w:lineRule="auto"/>
              <w:jc w:val="center"/>
              <w:rPr>
                <w:rFonts w:ascii="宋体" w:hAnsi="宋体"/>
              </w:rPr>
            </w:pPr>
            <w:r>
              <w:rPr>
                <w:rFonts w:hint="eastAsia" w:ascii="宋体" w:hAnsi="宋体"/>
              </w:rPr>
              <w:t>投标产品技术参数、指标</w:t>
            </w:r>
          </w:p>
        </w:tc>
        <w:tc>
          <w:tcPr>
            <w:tcW w:w="709" w:type="dxa"/>
            <w:vMerge w:val="restart"/>
            <w:vAlign w:val="center"/>
          </w:tcPr>
          <w:p>
            <w:pPr>
              <w:spacing w:line="360" w:lineRule="auto"/>
              <w:jc w:val="center"/>
              <w:rPr>
                <w:rFonts w:ascii="宋体" w:hAnsi="宋体"/>
              </w:rPr>
            </w:pPr>
            <w:r>
              <w:rPr>
                <w:rFonts w:hint="eastAsia" w:ascii="宋体" w:hAnsi="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51" w:type="dxa"/>
            <w:vMerge w:val="continue"/>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cs="仿宋_GB2312"/>
              </w:rPr>
            </w:pPr>
            <w:r>
              <w:rPr>
                <w:rFonts w:hint="eastAsia" w:ascii="宋体" w:hAnsi="宋体" w:cs="仿宋_GB2312"/>
              </w:rPr>
              <w:t>名称</w:t>
            </w:r>
          </w:p>
        </w:tc>
        <w:tc>
          <w:tcPr>
            <w:tcW w:w="1701" w:type="dxa"/>
            <w:vAlign w:val="center"/>
          </w:tcPr>
          <w:p>
            <w:pPr>
              <w:spacing w:line="360" w:lineRule="auto"/>
              <w:jc w:val="center"/>
              <w:rPr>
                <w:rFonts w:ascii="宋体" w:hAnsi="宋体" w:cs="仿宋_GB2312"/>
              </w:rPr>
            </w:pPr>
            <w:r>
              <w:rPr>
                <w:rFonts w:hint="eastAsia" w:ascii="宋体" w:hAnsi="宋体" w:cs="仿宋_GB2312"/>
              </w:rPr>
              <w:t>技术参数及配置</w:t>
            </w:r>
          </w:p>
        </w:tc>
        <w:tc>
          <w:tcPr>
            <w:tcW w:w="850" w:type="dxa"/>
            <w:vAlign w:val="center"/>
          </w:tcPr>
          <w:p>
            <w:pPr>
              <w:spacing w:line="360" w:lineRule="auto"/>
              <w:jc w:val="center"/>
              <w:rPr>
                <w:rFonts w:ascii="宋体" w:hAnsi="宋体" w:cs="仿宋_GB2312"/>
              </w:rPr>
            </w:pPr>
            <w:r>
              <w:rPr>
                <w:rFonts w:hint="eastAsia" w:ascii="宋体" w:hAnsi="宋体" w:cs="仿宋_GB2312"/>
              </w:rPr>
              <w:t>数量</w:t>
            </w:r>
          </w:p>
        </w:tc>
        <w:tc>
          <w:tcPr>
            <w:tcW w:w="709" w:type="dxa"/>
            <w:vAlign w:val="center"/>
          </w:tcPr>
          <w:p>
            <w:pPr>
              <w:spacing w:line="360" w:lineRule="auto"/>
              <w:jc w:val="center"/>
              <w:rPr>
                <w:rFonts w:ascii="宋体" w:hAnsi="宋体"/>
              </w:rPr>
            </w:pPr>
            <w:r>
              <w:rPr>
                <w:rFonts w:hint="eastAsia" w:ascii="宋体" w:hAnsi="宋体"/>
              </w:rPr>
              <w:t>名称</w:t>
            </w:r>
          </w:p>
        </w:tc>
        <w:tc>
          <w:tcPr>
            <w:tcW w:w="1843" w:type="dxa"/>
            <w:vAlign w:val="center"/>
          </w:tcPr>
          <w:p>
            <w:pPr>
              <w:spacing w:line="360" w:lineRule="auto"/>
              <w:jc w:val="center"/>
              <w:rPr>
                <w:rFonts w:ascii="宋体" w:hAnsi="宋体"/>
              </w:rPr>
            </w:pPr>
            <w:r>
              <w:rPr>
                <w:rFonts w:hint="eastAsia" w:ascii="宋体" w:hAnsi="宋体"/>
              </w:rPr>
              <w:t>规格型号、产地</w:t>
            </w:r>
          </w:p>
        </w:tc>
        <w:tc>
          <w:tcPr>
            <w:tcW w:w="1984" w:type="dxa"/>
            <w:vAlign w:val="center"/>
          </w:tcPr>
          <w:p>
            <w:pPr>
              <w:spacing w:line="360" w:lineRule="auto"/>
              <w:jc w:val="center"/>
              <w:rPr>
                <w:rFonts w:ascii="宋体" w:hAnsi="宋体"/>
              </w:rPr>
            </w:pPr>
            <w:r>
              <w:rPr>
                <w:rFonts w:hint="eastAsia" w:ascii="宋体" w:hAnsi="宋体"/>
              </w:rPr>
              <w:t>技术参数及配置</w:t>
            </w:r>
          </w:p>
        </w:tc>
        <w:tc>
          <w:tcPr>
            <w:tcW w:w="851" w:type="dxa"/>
            <w:vAlign w:val="center"/>
          </w:tcPr>
          <w:p>
            <w:pPr>
              <w:spacing w:line="360" w:lineRule="auto"/>
              <w:jc w:val="center"/>
              <w:rPr>
                <w:rFonts w:ascii="宋体" w:hAnsi="宋体"/>
              </w:rPr>
            </w:pPr>
            <w:r>
              <w:rPr>
                <w:rFonts w:hint="eastAsia" w:ascii="宋体" w:hAnsi="宋体"/>
              </w:rPr>
              <w:t>数量</w:t>
            </w:r>
          </w:p>
        </w:tc>
        <w:tc>
          <w:tcPr>
            <w:tcW w:w="709" w:type="dxa"/>
            <w:vMerge w:val="continue"/>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851" w:type="dxa"/>
            <w:vAlign w:val="center"/>
          </w:tcPr>
          <w:p>
            <w:pPr>
              <w:tabs>
                <w:tab w:val="left" w:pos="3327"/>
              </w:tabs>
              <w:spacing w:line="360" w:lineRule="auto"/>
              <w:jc w:val="center"/>
              <w:rPr>
                <w:rFonts w:ascii="宋体" w:hAnsi="宋体"/>
              </w:rPr>
            </w:pPr>
            <w:r>
              <w:rPr>
                <w:rFonts w:hint="eastAsia" w:ascii="宋体" w:hAnsi="宋体"/>
              </w:rPr>
              <w:t>1</w:t>
            </w:r>
          </w:p>
        </w:tc>
        <w:tc>
          <w:tcPr>
            <w:tcW w:w="851" w:type="dxa"/>
            <w:vAlign w:val="center"/>
          </w:tcPr>
          <w:p>
            <w:pPr>
              <w:tabs>
                <w:tab w:val="left" w:pos="3327"/>
              </w:tabs>
              <w:spacing w:line="360" w:lineRule="auto"/>
              <w:rPr>
                <w:rFonts w:ascii="宋体" w:hAnsi="宋体"/>
              </w:rPr>
            </w:pPr>
          </w:p>
        </w:tc>
        <w:tc>
          <w:tcPr>
            <w:tcW w:w="1701" w:type="dxa"/>
            <w:vAlign w:val="center"/>
          </w:tcPr>
          <w:p>
            <w:pPr>
              <w:tabs>
                <w:tab w:val="left" w:pos="3327"/>
              </w:tabs>
              <w:spacing w:line="360" w:lineRule="auto"/>
              <w:rPr>
                <w:rFonts w:ascii="宋体" w:hAnsi="宋体"/>
              </w:rPr>
            </w:pPr>
          </w:p>
        </w:tc>
        <w:tc>
          <w:tcPr>
            <w:tcW w:w="850" w:type="dxa"/>
            <w:vAlign w:val="center"/>
          </w:tcPr>
          <w:p>
            <w:pPr>
              <w:tabs>
                <w:tab w:val="left" w:pos="3327"/>
              </w:tabs>
              <w:spacing w:line="360" w:lineRule="auto"/>
              <w:rPr>
                <w:rFonts w:ascii="宋体" w:hAnsi="宋体"/>
              </w:rPr>
            </w:pPr>
          </w:p>
        </w:tc>
        <w:tc>
          <w:tcPr>
            <w:tcW w:w="709" w:type="dxa"/>
            <w:vAlign w:val="center"/>
          </w:tcPr>
          <w:p>
            <w:pPr>
              <w:tabs>
                <w:tab w:val="left" w:pos="3327"/>
              </w:tabs>
              <w:spacing w:line="360" w:lineRule="auto"/>
              <w:rPr>
                <w:rFonts w:ascii="宋体" w:hAnsi="宋体"/>
              </w:rPr>
            </w:pPr>
          </w:p>
        </w:tc>
        <w:tc>
          <w:tcPr>
            <w:tcW w:w="1843" w:type="dxa"/>
            <w:vAlign w:val="center"/>
          </w:tcPr>
          <w:p>
            <w:pPr>
              <w:tabs>
                <w:tab w:val="left" w:pos="3327"/>
              </w:tabs>
              <w:spacing w:line="360" w:lineRule="auto"/>
              <w:rPr>
                <w:rFonts w:ascii="宋体" w:hAnsi="宋体"/>
              </w:rPr>
            </w:pPr>
          </w:p>
        </w:tc>
        <w:tc>
          <w:tcPr>
            <w:tcW w:w="1984" w:type="dxa"/>
            <w:vAlign w:val="center"/>
          </w:tcPr>
          <w:p>
            <w:pPr>
              <w:tabs>
                <w:tab w:val="left" w:pos="3327"/>
              </w:tabs>
              <w:spacing w:line="360" w:lineRule="auto"/>
              <w:rPr>
                <w:rFonts w:ascii="宋体" w:hAnsi="宋体"/>
              </w:rPr>
            </w:pPr>
          </w:p>
        </w:tc>
        <w:tc>
          <w:tcPr>
            <w:tcW w:w="851" w:type="dxa"/>
            <w:vAlign w:val="center"/>
          </w:tcPr>
          <w:p>
            <w:pPr>
              <w:tabs>
                <w:tab w:val="left" w:pos="3327"/>
              </w:tabs>
              <w:spacing w:line="360" w:lineRule="auto"/>
              <w:rPr>
                <w:rFonts w:ascii="宋体" w:hAnsi="宋体"/>
              </w:rPr>
            </w:pPr>
          </w:p>
        </w:tc>
        <w:tc>
          <w:tcPr>
            <w:tcW w:w="709"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851" w:type="dxa"/>
            <w:vAlign w:val="center"/>
          </w:tcPr>
          <w:p>
            <w:pPr>
              <w:tabs>
                <w:tab w:val="left" w:pos="3327"/>
              </w:tabs>
              <w:spacing w:line="360" w:lineRule="auto"/>
              <w:jc w:val="center"/>
              <w:rPr>
                <w:rFonts w:ascii="宋体" w:hAnsi="宋体"/>
              </w:rPr>
            </w:pPr>
            <w:r>
              <w:rPr>
                <w:rFonts w:hint="eastAsia" w:ascii="宋体" w:hAnsi="宋体"/>
              </w:rPr>
              <w:t>2</w:t>
            </w:r>
          </w:p>
        </w:tc>
        <w:tc>
          <w:tcPr>
            <w:tcW w:w="851" w:type="dxa"/>
            <w:vAlign w:val="center"/>
          </w:tcPr>
          <w:p>
            <w:pPr>
              <w:tabs>
                <w:tab w:val="left" w:pos="3327"/>
              </w:tabs>
              <w:spacing w:line="360" w:lineRule="auto"/>
              <w:rPr>
                <w:rFonts w:ascii="宋体" w:hAnsi="宋体"/>
              </w:rPr>
            </w:pPr>
          </w:p>
        </w:tc>
        <w:tc>
          <w:tcPr>
            <w:tcW w:w="1701" w:type="dxa"/>
            <w:vAlign w:val="center"/>
          </w:tcPr>
          <w:p>
            <w:pPr>
              <w:tabs>
                <w:tab w:val="left" w:pos="3327"/>
              </w:tabs>
              <w:spacing w:line="360" w:lineRule="auto"/>
              <w:rPr>
                <w:rFonts w:ascii="宋体" w:hAnsi="宋体"/>
              </w:rPr>
            </w:pPr>
          </w:p>
        </w:tc>
        <w:tc>
          <w:tcPr>
            <w:tcW w:w="850" w:type="dxa"/>
            <w:vAlign w:val="center"/>
          </w:tcPr>
          <w:p>
            <w:pPr>
              <w:tabs>
                <w:tab w:val="left" w:pos="3327"/>
              </w:tabs>
              <w:spacing w:line="360" w:lineRule="auto"/>
              <w:rPr>
                <w:rFonts w:ascii="宋体" w:hAnsi="宋体"/>
              </w:rPr>
            </w:pPr>
          </w:p>
        </w:tc>
        <w:tc>
          <w:tcPr>
            <w:tcW w:w="709" w:type="dxa"/>
            <w:vAlign w:val="center"/>
          </w:tcPr>
          <w:p>
            <w:pPr>
              <w:tabs>
                <w:tab w:val="left" w:pos="3327"/>
              </w:tabs>
              <w:spacing w:line="360" w:lineRule="auto"/>
              <w:rPr>
                <w:rFonts w:ascii="宋体" w:hAnsi="宋体"/>
              </w:rPr>
            </w:pPr>
          </w:p>
        </w:tc>
        <w:tc>
          <w:tcPr>
            <w:tcW w:w="1843" w:type="dxa"/>
            <w:vAlign w:val="center"/>
          </w:tcPr>
          <w:p>
            <w:pPr>
              <w:tabs>
                <w:tab w:val="left" w:pos="3327"/>
              </w:tabs>
              <w:spacing w:line="360" w:lineRule="auto"/>
              <w:rPr>
                <w:rFonts w:ascii="宋体" w:hAnsi="宋体"/>
              </w:rPr>
            </w:pPr>
          </w:p>
        </w:tc>
        <w:tc>
          <w:tcPr>
            <w:tcW w:w="1984" w:type="dxa"/>
            <w:vAlign w:val="center"/>
          </w:tcPr>
          <w:p>
            <w:pPr>
              <w:tabs>
                <w:tab w:val="left" w:pos="3327"/>
              </w:tabs>
              <w:spacing w:line="360" w:lineRule="auto"/>
              <w:rPr>
                <w:rFonts w:ascii="宋体" w:hAnsi="宋体"/>
              </w:rPr>
            </w:pPr>
          </w:p>
        </w:tc>
        <w:tc>
          <w:tcPr>
            <w:tcW w:w="851" w:type="dxa"/>
            <w:vAlign w:val="center"/>
          </w:tcPr>
          <w:p>
            <w:pPr>
              <w:tabs>
                <w:tab w:val="left" w:pos="3327"/>
              </w:tabs>
              <w:spacing w:line="360" w:lineRule="auto"/>
              <w:rPr>
                <w:rFonts w:ascii="宋体" w:hAnsi="宋体"/>
              </w:rPr>
            </w:pPr>
          </w:p>
        </w:tc>
        <w:tc>
          <w:tcPr>
            <w:tcW w:w="709"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51" w:type="dxa"/>
            <w:vAlign w:val="center"/>
          </w:tcPr>
          <w:p>
            <w:pPr>
              <w:tabs>
                <w:tab w:val="left" w:pos="3327"/>
              </w:tabs>
              <w:spacing w:line="360" w:lineRule="auto"/>
              <w:jc w:val="center"/>
              <w:rPr>
                <w:rFonts w:ascii="宋体" w:hAnsi="宋体"/>
              </w:rPr>
            </w:pPr>
            <w:r>
              <w:rPr>
                <w:rFonts w:hint="eastAsia" w:ascii="宋体" w:hAnsi="宋体"/>
              </w:rPr>
              <w:t>3</w:t>
            </w:r>
          </w:p>
        </w:tc>
        <w:tc>
          <w:tcPr>
            <w:tcW w:w="851" w:type="dxa"/>
            <w:vAlign w:val="center"/>
          </w:tcPr>
          <w:p>
            <w:pPr>
              <w:tabs>
                <w:tab w:val="left" w:pos="3327"/>
              </w:tabs>
              <w:spacing w:line="360" w:lineRule="auto"/>
              <w:rPr>
                <w:rFonts w:ascii="宋体" w:hAnsi="宋体"/>
              </w:rPr>
            </w:pPr>
          </w:p>
        </w:tc>
        <w:tc>
          <w:tcPr>
            <w:tcW w:w="1701" w:type="dxa"/>
            <w:vAlign w:val="center"/>
          </w:tcPr>
          <w:p>
            <w:pPr>
              <w:tabs>
                <w:tab w:val="left" w:pos="3327"/>
              </w:tabs>
              <w:spacing w:line="360" w:lineRule="auto"/>
              <w:rPr>
                <w:rFonts w:ascii="宋体" w:hAnsi="宋体"/>
              </w:rPr>
            </w:pPr>
          </w:p>
        </w:tc>
        <w:tc>
          <w:tcPr>
            <w:tcW w:w="850" w:type="dxa"/>
            <w:vAlign w:val="center"/>
          </w:tcPr>
          <w:p>
            <w:pPr>
              <w:tabs>
                <w:tab w:val="left" w:pos="3327"/>
              </w:tabs>
              <w:spacing w:line="360" w:lineRule="auto"/>
              <w:rPr>
                <w:rFonts w:ascii="宋体" w:hAnsi="宋体"/>
              </w:rPr>
            </w:pPr>
          </w:p>
        </w:tc>
        <w:tc>
          <w:tcPr>
            <w:tcW w:w="709" w:type="dxa"/>
            <w:vAlign w:val="center"/>
          </w:tcPr>
          <w:p>
            <w:pPr>
              <w:tabs>
                <w:tab w:val="left" w:pos="3327"/>
              </w:tabs>
              <w:spacing w:line="360" w:lineRule="auto"/>
              <w:rPr>
                <w:rFonts w:ascii="宋体" w:hAnsi="宋体"/>
              </w:rPr>
            </w:pPr>
          </w:p>
        </w:tc>
        <w:tc>
          <w:tcPr>
            <w:tcW w:w="1843" w:type="dxa"/>
            <w:vAlign w:val="center"/>
          </w:tcPr>
          <w:p>
            <w:pPr>
              <w:tabs>
                <w:tab w:val="left" w:pos="3327"/>
              </w:tabs>
              <w:spacing w:line="360" w:lineRule="auto"/>
              <w:rPr>
                <w:rFonts w:ascii="宋体" w:hAnsi="宋体"/>
              </w:rPr>
            </w:pPr>
          </w:p>
        </w:tc>
        <w:tc>
          <w:tcPr>
            <w:tcW w:w="1984" w:type="dxa"/>
            <w:vAlign w:val="center"/>
          </w:tcPr>
          <w:p>
            <w:pPr>
              <w:tabs>
                <w:tab w:val="left" w:pos="3327"/>
              </w:tabs>
              <w:spacing w:line="360" w:lineRule="auto"/>
              <w:rPr>
                <w:rFonts w:ascii="宋体" w:hAnsi="宋体"/>
              </w:rPr>
            </w:pPr>
          </w:p>
        </w:tc>
        <w:tc>
          <w:tcPr>
            <w:tcW w:w="851" w:type="dxa"/>
            <w:vAlign w:val="center"/>
          </w:tcPr>
          <w:p>
            <w:pPr>
              <w:tabs>
                <w:tab w:val="left" w:pos="3327"/>
              </w:tabs>
              <w:spacing w:line="360" w:lineRule="auto"/>
              <w:rPr>
                <w:rFonts w:ascii="宋体" w:hAnsi="宋体"/>
              </w:rPr>
            </w:pPr>
          </w:p>
        </w:tc>
        <w:tc>
          <w:tcPr>
            <w:tcW w:w="709"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1" w:type="dxa"/>
            <w:vAlign w:val="center"/>
          </w:tcPr>
          <w:p>
            <w:pPr>
              <w:tabs>
                <w:tab w:val="left" w:pos="3327"/>
              </w:tabs>
              <w:spacing w:line="360" w:lineRule="auto"/>
              <w:jc w:val="center"/>
              <w:rPr>
                <w:rFonts w:ascii="宋体" w:hAnsi="宋体"/>
              </w:rPr>
            </w:pPr>
            <w:r>
              <w:rPr>
                <w:rFonts w:hint="eastAsia" w:ascii="宋体" w:hAnsi="宋体"/>
              </w:rPr>
              <w:t>4</w:t>
            </w:r>
          </w:p>
        </w:tc>
        <w:tc>
          <w:tcPr>
            <w:tcW w:w="851" w:type="dxa"/>
            <w:vAlign w:val="center"/>
          </w:tcPr>
          <w:p>
            <w:pPr>
              <w:tabs>
                <w:tab w:val="left" w:pos="3327"/>
              </w:tabs>
              <w:spacing w:line="360" w:lineRule="auto"/>
              <w:rPr>
                <w:rFonts w:ascii="宋体" w:hAnsi="宋体"/>
              </w:rPr>
            </w:pPr>
          </w:p>
        </w:tc>
        <w:tc>
          <w:tcPr>
            <w:tcW w:w="1701" w:type="dxa"/>
            <w:vAlign w:val="center"/>
          </w:tcPr>
          <w:p>
            <w:pPr>
              <w:tabs>
                <w:tab w:val="left" w:pos="3327"/>
              </w:tabs>
              <w:spacing w:line="360" w:lineRule="auto"/>
              <w:rPr>
                <w:rFonts w:ascii="宋体" w:hAnsi="宋体"/>
              </w:rPr>
            </w:pPr>
          </w:p>
        </w:tc>
        <w:tc>
          <w:tcPr>
            <w:tcW w:w="850" w:type="dxa"/>
            <w:vAlign w:val="center"/>
          </w:tcPr>
          <w:p>
            <w:pPr>
              <w:tabs>
                <w:tab w:val="left" w:pos="3327"/>
              </w:tabs>
              <w:spacing w:line="360" w:lineRule="auto"/>
              <w:rPr>
                <w:rFonts w:ascii="宋体" w:hAnsi="宋体"/>
              </w:rPr>
            </w:pPr>
          </w:p>
        </w:tc>
        <w:tc>
          <w:tcPr>
            <w:tcW w:w="709" w:type="dxa"/>
            <w:vAlign w:val="center"/>
          </w:tcPr>
          <w:p>
            <w:pPr>
              <w:tabs>
                <w:tab w:val="left" w:pos="3327"/>
              </w:tabs>
              <w:spacing w:line="360" w:lineRule="auto"/>
              <w:rPr>
                <w:rFonts w:ascii="宋体" w:hAnsi="宋体"/>
              </w:rPr>
            </w:pPr>
          </w:p>
        </w:tc>
        <w:tc>
          <w:tcPr>
            <w:tcW w:w="1843" w:type="dxa"/>
            <w:vAlign w:val="center"/>
          </w:tcPr>
          <w:p>
            <w:pPr>
              <w:tabs>
                <w:tab w:val="left" w:pos="3327"/>
              </w:tabs>
              <w:spacing w:line="360" w:lineRule="auto"/>
              <w:rPr>
                <w:rFonts w:ascii="宋体" w:hAnsi="宋体"/>
              </w:rPr>
            </w:pPr>
          </w:p>
        </w:tc>
        <w:tc>
          <w:tcPr>
            <w:tcW w:w="1984" w:type="dxa"/>
            <w:vAlign w:val="center"/>
          </w:tcPr>
          <w:p>
            <w:pPr>
              <w:tabs>
                <w:tab w:val="left" w:pos="3327"/>
              </w:tabs>
              <w:spacing w:line="360" w:lineRule="auto"/>
              <w:rPr>
                <w:rFonts w:ascii="宋体" w:hAnsi="宋体"/>
              </w:rPr>
            </w:pPr>
          </w:p>
        </w:tc>
        <w:tc>
          <w:tcPr>
            <w:tcW w:w="851" w:type="dxa"/>
            <w:vAlign w:val="center"/>
          </w:tcPr>
          <w:p>
            <w:pPr>
              <w:tabs>
                <w:tab w:val="left" w:pos="3327"/>
              </w:tabs>
              <w:spacing w:line="360" w:lineRule="auto"/>
              <w:rPr>
                <w:rFonts w:ascii="宋体" w:hAnsi="宋体"/>
              </w:rPr>
            </w:pPr>
          </w:p>
        </w:tc>
        <w:tc>
          <w:tcPr>
            <w:tcW w:w="709"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851" w:type="dxa"/>
            <w:vAlign w:val="center"/>
          </w:tcPr>
          <w:p>
            <w:pPr>
              <w:tabs>
                <w:tab w:val="left" w:pos="3327"/>
              </w:tabs>
              <w:spacing w:line="360" w:lineRule="auto"/>
              <w:jc w:val="center"/>
              <w:rPr>
                <w:rFonts w:ascii="宋体" w:hAnsi="宋体"/>
              </w:rPr>
            </w:pPr>
            <w:r>
              <w:rPr>
                <w:rFonts w:hint="eastAsia" w:ascii="宋体" w:hAnsi="宋体"/>
              </w:rPr>
              <w:t>……</w:t>
            </w:r>
          </w:p>
        </w:tc>
        <w:tc>
          <w:tcPr>
            <w:tcW w:w="851" w:type="dxa"/>
            <w:vAlign w:val="center"/>
          </w:tcPr>
          <w:p>
            <w:pPr>
              <w:tabs>
                <w:tab w:val="left" w:pos="3327"/>
              </w:tabs>
              <w:spacing w:line="360" w:lineRule="auto"/>
              <w:rPr>
                <w:rFonts w:ascii="宋体" w:hAnsi="宋体"/>
              </w:rPr>
            </w:pPr>
          </w:p>
        </w:tc>
        <w:tc>
          <w:tcPr>
            <w:tcW w:w="1701" w:type="dxa"/>
            <w:vAlign w:val="center"/>
          </w:tcPr>
          <w:p>
            <w:pPr>
              <w:tabs>
                <w:tab w:val="left" w:pos="3327"/>
              </w:tabs>
              <w:spacing w:line="360" w:lineRule="auto"/>
              <w:rPr>
                <w:rFonts w:ascii="宋体" w:hAnsi="宋体"/>
              </w:rPr>
            </w:pPr>
          </w:p>
        </w:tc>
        <w:tc>
          <w:tcPr>
            <w:tcW w:w="850" w:type="dxa"/>
            <w:vAlign w:val="center"/>
          </w:tcPr>
          <w:p>
            <w:pPr>
              <w:tabs>
                <w:tab w:val="left" w:pos="3327"/>
              </w:tabs>
              <w:spacing w:line="360" w:lineRule="auto"/>
              <w:rPr>
                <w:rFonts w:ascii="宋体" w:hAnsi="宋体"/>
              </w:rPr>
            </w:pPr>
          </w:p>
        </w:tc>
        <w:tc>
          <w:tcPr>
            <w:tcW w:w="709" w:type="dxa"/>
            <w:vAlign w:val="center"/>
          </w:tcPr>
          <w:p>
            <w:pPr>
              <w:tabs>
                <w:tab w:val="left" w:pos="3327"/>
              </w:tabs>
              <w:spacing w:line="360" w:lineRule="auto"/>
              <w:rPr>
                <w:rFonts w:ascii="宋体" w:hAnsi="宋体"/>
              </w:rPr>
            </w:pPr>
          </w:p>
        </w:tc>
        <w:tc>
          <w:tcPr>
            <w:tcW w:w="1843" w:type="dxa"/>
            <w:vAlign w:val="center"/>
          </w:tcPr>
          <w:p>
            <w:pPr>
              <w:tabs>
                <w:tab w:val="left" w:pos="3327"/>
              </w:tabs>
              <w:spacing w:line="360" w:lineRule="auto"/>
              <w:rPr>
                <w:rFonts w:ascii="宋体" w:hAnsi="宋体"/>
              </w:rPr>
            </w:pPr>
          </w:p>
        </w:tc>
        <w:tc>
          <w:tcPr>
            <w:tcW w:w="1984" w:type="dxa"/>
            <w:vAlign w:val="center"/>
          </w:tcPr>
          <w:p>
            <w:pPr>
              <w:tabs>
                <w:tab w:val="left" w:pos="3327"/>
              </w:tabs>
              <w:spacing w:line="360" w:lineRule="auto"/>
              <w:rPr>
                <w:rFonts w:ascii="宋体" w:hAnsi="宋体"/>
              </w:rPr>
            </w:pPr>
          </w:p>
        </w:tc>
        <w:tc>
          <w:tcPr>
            <w:tcW w:w="851" w:type="dxa"/>
            <w:vAlign w:val="center"/>
          </w:tcPr>
          <w:p>
            <w:pPr>
              <w:tabs>
                <w:tab w:val="left" w:pos="3327"/>
              </w:tabs>
              <w:spacing w:line="360" w:lineRule="auto"/>
              <w:rPr>
                <w:rFonts w:ascii="宋体" w:hAnsi="宋体"/>
              </w:rPr>
            </w:pPr>
          </w:p>
        </w:tc>
        <w:tc>
          <w:tcPr>
            <w:tcW w:w="709" w:type="dxa"/>
            <w:vAlign w:val="center"/>
          </w:tcPr>
          <w:p>
            <w:pPr>
              <w:spacing w:line="360" w:lineRule="auto"/>
              <w:jc w:val="center"/>
              <w:rPr>
                <w:rFonts w:ascii="宋体" w:hAnsi="宋体"/>
              </w:rPr>
            </w:pPr>
          </w:p>
        </w:tc>
      </w:tr>
    </w:tbl>
    <w:p>
      <w:pPr>
        <w:autoSpaceDE w:val="0"/>
        <w:autoSpaceDN w:val="0"/>
        <w:spacing w:line="360" w:lineRule="auto"/>
        <w:rPr>
          <w:rFonts w:ascii="宋体" w:hAnsi="宋体" w:cs="Arial"/>
          <w:b/>
          <w:bCs/>
          <w:sz w:val="20"/>
          <w:lang w:val="zh-CN"/>
        </w:rPr>
      </w:pPr>
      <w:r>
        <w:rPr>
          <w:rFonts w:ascii="宋体" w:hAnsi="宋体" w:cs="Arial"/>
          <w:b/>
          <w:bCs/>
          <w:sz w:val="20"/>
          <w:lang w:val="zh-CN"/>
        </w:rPr>
        <w:t>注：1</w:t>
      </w:r>
      <w:r>
        <w:rPr>
          <w:rFonts w:hint="eastAsia" w:ascii="宋体" w:hAnsi="宋体" w:cs="Arial"/>
          <w:b/>
          <w:bCs/>
          <w:sz w:val="20"/>
          <w:lang w:val="zh-CN"/>
        </w:rPr>
        <w:t>、</w:t>
      </w:r>
      <w:r>
        <w:rPr>
          <w:rFonts w:ascii="宋体" w:hAnsi="宋体" w:cs="Arial"/>
          <w:b/>
          <w:bCs/>
          <w:sz w:val="20"/>
          <w:lang w:val="zh-CN"/>
        </w:rPr>
        <w:t>本表应按照每包采购一览表中产品序号的指标逐项填写，不得遗漏。</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2</w:t>
      </w:r>
      <w:r>
        <w:rPr>
          <w:rFonts w:hint="eastAsia" w:ascii="宋体" w:hAnsi="宋体" w:cs="Arial"/>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3</w:t>
      </w:r>
      <w:r>
        <w:rPr>
          <w:rFonts w:hint="eastAsia" w:ascii="宋体" w:hAnsi="宋体" w:cs="Arial"/>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”偏差，并做出详细说明；如果只注明“</w:t>
      </w:r>
      <w:r>
        <w:rPr>
          <w:rFonts w:ascii="宋体" w:hAnsi="宋体" w:cs="Arial"/>
          <w:b/>
          <w:bCs/>
          <w:sz w:val="20"/>
          <w:lang w:val="zh-CN"/>
        </w:rPr>
        <w:t>+</w:t>
      </w:r>
      <w:r>
        <w:rPr>
          <w:rFonts w:hint="eastAsia" w:ascii="宋体" w:hAnsi="宋体" w:cs="Arial"/>
          <w:b/>
          <w:bCs/>
          <w:sz w:val="20"/>
          <w:lang w:val="zh-CN"/>
        </w:rPr>
        <w:t>”、“</w:t>
      </w:r>
      <w:r>
        <w:rPr>
          <w:rFonts w:ascii="宋体" w:hAnsi="宋体" w:cs="Arial"/>
          <w:b/>
          <w:bCs/>
          <w:sz w:val="20"/>
          <w:lang w:val="zh-CN"/>
        </w:rPr>
        <w:t>-</w:t>
      </w:r>
      <w:r>
        <w:rPr>
          <w:rFonts w:hint="eastAsia" w:ascii="宋体" w:hAnsi="宋体" w:cs="Arial"/>
          <w:b/>
          <w:bCs/>
          <w:sz w:val="20"/>
          <w:lang w:val="zh-CN"/>
        </w:rPr>
        <w:t>”或未填写，将视为该项指标不响应。</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4</w:t>
      </w:r>
      <w:r>
        <w:rPr>
          <w:rFonts w:hint="eastAsia" w:ascii="宋体" w:hAnsi="宋体" w:cs="Arial"/>
          <w:b/>
          <w:bCs/>
          <w:sz w:val="20"/>
          <w:lang w:val="zh-CN"/>
        </w:rPr>
        <w:t>、投标供应商应按投标产品实际情况填写，不得照抄、复制招标文件技术参数要求。</w:t>
      </w:r>
    </w:p>
    <w:p>
      <w:pPr>
        <w:autoSpaceDE w:val="0"/>
        <w:autoSpaceDN w:val="0"/>
        <w:spacing w:line="360" w:lineRule="auto"/>
        <w:ind w:firstLine="402" w:firstLineChars="200"/>
        <w:rPr>
          <w:rFonts w:ascii="宋体" w:hAnsi="宋体" w:cs="Arial"/>
          <w:b/>
          <w:bCs/>
          <w:sz w:val="20"/>
          <w:lang w:val="zh-CN"/>
        </w:rPr>
      </w:pPr>
      <w:r>
        <w:rPr>
          <w:rFonts w:ascii="宋体" w:hAnsi="宋体" w:cs="Arial"/>
          <w:b/>
          <w:bCs/>
          <w:sz w:val="20"/>
          <w:lang w:val="zh-CN"/>
        </w:rPr>
        <w:t>5</w:t>
      </w:r>
      <w:r>
        <w:rPr>
          <w:rFonts w:hint="eastAsia" w:ascii="宋体" w:hAnsi="宋体" w:cs="Arial"/>
          <w:b/>
          <w:bCs/>
          <w:sz w:val="20"/>
          <w:lang w:val="zh-CN"/>
        </w:rPr>
        <w:t>、投标供应商响应采购需求应具体、明确，含糊不清、不确切或伪造、编造证明材料的，按照实质性不响应处理。对伪造、编造证明材料的，将报送采购监管部门查处。</w:t>
      </w:r>
    </w:p>
    <w:p>
      <w:pPr>
        <w:autoSpaceDE w:val="0"/>
        <w:autoSpaceDN w:val="0"/>
        <w:adjustRightInd w:val="0"/>
        <w:spacing w:line="360" w:lineRule="auto"/>
        <w:rPr>
          <w:rFonts w:ascii="宋体" w:hAnsi="宋体" w:cs="宋体"/>
          <w:b/>
          <w:bCs/>
          <w:kern w:val="0"/>
          <w:sz w:val="24"/>
          <w:lang w:val="zh-CN"/>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lang w:val="en-US" w:eastAsia="zh-CN"/>
        </w:rPr>
        <w:t>磋商</w:t>
      </w:r>
      <w:r>
        <w:rPr>
          <w:rFonts w:hint="eastAsia" w:ascii="宋体" w:hAnsi="宋体"/>
          <w:bCs/>
          <w:sz w:val="24"/>
          <w:szCs w:val="28"/>
        </w:rPr>
        <w:t>供应商：</w:t>
      </w:r>
      <w:r>
        <w:rPr>
          <w:rFonts w:hint="eastAsia" w:ascii="宋体" w:hAnsi="宋体"/>
          <w:bCs/>
          <w:sz w:val="24"/>
          <w:szCs w:val="28"/>
          <w:u w:val="single"/>
        </w:rPr>
        <w:t xml:space="preserve">             </w:t>
      </w:r>
      <w:r>
        <w:rPr>
          <w:rFonts w:hint="eastAsia" w:ascii="宋体" w:hAnsi="宋体"/>
          <w:bCs/>
          <w:sz w:val="24"/>
          <w:szCs w:val="28"/>
        </w:rPr>
        <w:t>（公章）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法定代表人或委托代理人：</w:t>
      </w:r>
      <w:r>
        <w:rPr>
          <w:rFonts w:hint="eastAsia" w:ascii="宋体" w:hAnsi="宋体"/>
          <w:bCs/>
          <w:sz w:val="24"/>
          <w:szCs w:val="28"/>
          <w:u w:val="single"/>
        </w:rPr>
        <w:t xml:space="preserve">       </w:t>
      </w:r>
      <w:r>
        <w:rPr>
          <w:rFonts w:hint="eastAsia" w:ascii="宋体" w:hAnsi="宋体"/>
          <w:bCs/>
          <w:sz w:val="24"/>
          <w:szCs w:val="28"/>
        </w:rPr>
        <w:t>（签字）</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    年   月   日</w:t>
      </w:r>
    </w:p>
    <w:p>
      <w:pPr>
        <w:pStyle w:val="5"/>
        <w:numPr>
          <w:ilvl w:val="0"/>
          <w:numId w:val="0"/>
        </w:numPr>
        <w:ind w:left="709" w:hanging="709"/>
        <w:rPr>
          <w:rFonts w:hint="eastAsia" w:hAnsi="宋体"/>
          <w:b/>
          <w:sz w:val="32"/>
          <w:lang w:val="en-US" w:eastAsia="zh-CN"/>
        </w:rPr>
      </w:pPr>
      <w:r>
        <w:rPr>
          <w:rFonts w:hAnsi="宋体"/>
          <w:bCs/>
          <w:szCs w:val="28"/>
        </w:rPr>
        <w:br w:type="page"/>
      </w:r>
      <w:bookmarkStart w:id="120" w:name="_Toc1575350"/>
    </w:p>
    <w:p>
      <w:pPr>
        <w:pStyle w:val="5"/>
        <w:numPr>
          <w:ilvl w:val="0"/>
          <w:numId w:val="0"/>
        </w:numPr>
        <w:ind w:left="709" w:hanging="709"/>
        <w:rPr>
          <w:rFonts w:hAnsi="宋体" w:cs="宋体"/>
          <w:bCs/>
          <w:sz w:val="24"/>
        </w:rPr>
      </w:pPr>
      <w:r>
        <w:rPr>
          <w:rFonts w:hint="eastAsia" w:hAnsi="宋体"/>
          <w:b/>
          <w:sz w:val="32"/>
          <w:lang w:val="en-US" w:eastAsia="zh-CN"/>
        </w:rPr>
        <w:t>格式15、</w:t>
      </w:r>
      <w:r>
        <w:rPr>
          <w:rFonts w:hint="eastAsia" w:hAnsi="宋体"/>
          <w:b/>
          <w:sz w:val="32"/>
          <w:lang w:val="zh-CN"/>
        </w:rPr>
        <w:t>磋商产品相关资料</w:t>
      </w:r>
      <w:bookmarkEnd w:id="120"/>
    </w:p>
    <w:p>
      <w:pPr>
        <w:spacing w:line="360" w:lineRule="auto"/>
        <w:rPr>
          <w:rFonts w:ascii="宋体" w:hAnsi="宋体"/>
          <w:b/>
          <w:bCs/>
          <w:kern w:val="28"/>
          <w:sz w:val="32"/>
          <w:szCs w:val="32"/>
          <w:lang w:val="zh-CN"/>
        </w:rPr>
      </w:pPr>
    </w:p>
    <w:p>
      <w:pPr>
        <w:autoSpaceDE w:val="0"/>
        <w:autoSpaceDN w:val="0"/>
        <w:adjustRightInd w:val="0"/>
        <w:spacing w:line="360" w:lineRule="auto"/>
        <w:jc w:val="center"/>
        <w:rPr>
          <w:rFonts w:ascii="宋体" w:hAnsi="宋体" w:cs="Arial"/>
          <w:bCs/>
          <w:sz w:val="36"/>
          <w:szCs w:val="36"/>
          <w:lang w:val="zh-CN"/>
        </w:rPr>
      </w:pPr>
      <w:r>
        <w:rPr>
          <w:rFonts w:hint="eastAsia" w:ascii="宋体" w:hAnsi="宋体" w:cs="宋体"/>
          <w:b/>
          <w:bCs/>
          <w:kern w:val="0"/>
          <w:sz w:val="30"/>
          <w:szCs w:val="30"/>
          <w:lang w:val="zh-CN"/>
        </w:rPr>
        <w:t>磋商</w:t>
      </w:r>
      <w:r>
        <w:rPr>
          <w:rFonts w:ascii="宋体" w:hAnsi="宋体" w:cs="宋体"/>
          <w:b/>
          <w:bCs/>
          <w:kern w:val="0"/>
          <w:sz w:val="30"/>
          <w:szCs w:val="30"/>
          <w:lang w:val="zh-CN"/>
        </w:rPr>
        <w:t>产品相关资料</w:t>
      </w:r>
    </w:p>
    <w:p>
      <w:pPr>
        <w:spacing w:line="360" w:lineRule="auto"/>
        <w:ind w:firstLine="424" w:firstLineChars="177"/>
        <w:rPr>
          <w:rFonts w:hAnsi="宋体"/>
          <w:b/>
          <w:sz w:val="32"/>
          <w:lang w:val="zh-CN"/>
        </w:rPr>
      </w:pPr>
      <w:r>
        <w:rPr>
          <w:rFonts w:hint="eastAsia" w:ascii="宋体" w:hAnsi="宋体" w:cs="Arial"/>
          <w:sz w:val="24"/>
        </w:rPr>
        <w:t>根据采购项目内容，磋商时提供国家认可的质监机构出具的磋商产品的产品材料的检验报告、证明技术参数响应的相关资料（或厂家公开发布的资料参数）、相关认证等资料。</w:t>
      </w:r>
      <w:bookmarkEnd w:id="117"/>
      <w:bookmarkEnd w:id="118"/>
      <w:bookmarkEnd w:id="119"/>
    </w:p>
    <w:p>
      <w:pPr>
        <w:pStyle w:val="5"/>
        <w:numPr>
          <w:ilvl w:val="0"/>
          <w:numId w:val="0"/>
        </w:numPr>
        <w:ind w:left="709" w:hanging="709"/>
        <w:rPr>
          <w:rFonts w:hAnsi="宋体" w:cs="宋体"/>
        </w:rPr>
      </w:pPr>
      <w:r>
        <w:rPr>
          <w:rFonts w:hAnsi="宋体"/>
          <w:bCs/>
          <w:sz w:val="24"/>
          <w:szCs w:val="28"/>
        </w:rPr>
        <w:br w:type="page"/>
      </w:r>
      <w:bookmarkStart w:id="121" w:name="_Toc1575351"/>
      <w:r>
        <w:rPr>
          <w:rFonts w:hint="eastAsia" w:hAnsi="宋体"/>
          <w:b/>
          <w:sz w:val="32"/>
          <w:lang w:val="zh-CN"/>
        </w:rPr>
        <w:t>格式1</w:t>
      </w:r>
      <w:r>
        <w:rPr>
          <w:rFonts w:hint="eastAsia" w:hAnsi="宋体"/>
          <w:b/>
          <w:sz w:val="32"/>
          <w:lang w:val="en-US" w:eastAsia="zh-CN"/>
        </w:rPr>
        <w:t>6</w:t>
      </w:r>
      <w:r>
        <w:rPr>
          <w:rFonts w:hint="eastAsia" w:hAnsi="宋体"/>
          <w:b/>
          <w:sz w:val="32"/>
          <w:lang w:val="zh-CN"/>
        </w:rPr>
        <w:t>、磋商供应商的类似业绩证明材料</w:t>
      </w:r>
      <w:bookmarkEnd w:id="121"/>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jc w:val="center"/>
        <w:rPr>
          <w:rFonts w:ascii="宋体" w:hAnsi="宋体" w:cs="宋体"/>
          <w:b/>
          <w:bCs/>
          <w:kern w:val="0"/>
          <w:sz w:val="30"/>
          <w:szCs w:val="30"/>
          <w:lang w:val="zh-CN"/>
        </w:rPr>
      </w:pPr>
      <w:r>
        <w:rPr>
          <w:rFonts w:hint="eastAsia" w:ascii="宋体" w:hAnsi="宋体" w:cs="宋体"/>
          <w:b/>
          <w:bCs/>
          <w:kern w:val="0"/>
          <w:sz w:val="30"/>
          <w:szCs w:val="30"/>
          <w:lang w:val="zh-CN"/>
        </w:rPr>
        <w:t>磋商供应商的类似业绩证明材料</w:t>
      </w:r>
    </w:p>
    <w:p>
      <w:pPr>
        <w:autoSpaceDE w:val="0"/>
        <w:autoSpaceDN w:val="0"/>
        <w:adjustRightInd w:val="0"/>
        <w:spacing w:line="360" w:lineRule="auto"/>
        <w:rPr>
          <w:rFonts w:ascii="宋体" w:hAnsi="宋体" w:cs="宋体"/>
          <w:kern w:val="0"/>
          <w:sz w:val="24"/>
          <w:lang w:val="zh-CN"/>
        </w:rPr>
      </w:pPr>
    </w:p>
    <w:p>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color w:val="auto"/>
          <w:kern w:val="0"/>
          <w:sz w:val="24"/>
          <w:lang w:val="zh-CN"/>
        </w:rPr>
        <w:t>提供</w:t>
      </w:r>
      <w:r>
        <w:rPr>
          <w:rFonts w:hint="eastAsia" w:ascii="宋体" w:hAnsi="宋体" w:cs="宋体"/>
          <w:color w:val="auto"/>
          <w:kern w:val="0"/>
          <w:sz w:val="24"/>
          <w:lang w:val="en-US" w:eastAsia="zh-CN"/>
        </w:rPr>
        <w:t>2017年以来</w:t>
      </w:r>
      <w:r>
        <w:rPr>
          <w:rFonts w:hint="eastAsia" w:ascii="宋体" w:hAnsi="宋体" w:cs="宋体"/>
          <w:color w:val="auto"/>
          <w:kern w:val="0"/>
          <w:sz w:val="24"/>
          <w:lang w:val="zh-CN"/>
        </w:rPr>
        <w:t>的投标人类似业绩证明材料。</w:t>
      </w:r>
      <w:r>
        <w:rPr>
          <w:rFonts w:hint="eastAsia" w:ascii="宋体" w:hAnsi="宋体" w:cs="宋体"/>
          <w:kern w:val="0"/>
          <w:sz w:val="24"/>
          <w:lang w:val="zh-CN"/>
        </w:rPr>
        <w:t>类似业绩是指与采购项目在产品类型、使用功能、合同规模等方面相同或相近的项目。</w:t>
      </w:r>
      <w:r>
        <w:rPr>
          <w:rFonts w:ascii="宋体" w:hAnsi="宋体" w:cs="Arial"/>
          <w:sz w:val="24"/>
        </w:rPr>
        <w:t>需提供包含合同首页、标的及金额所在页、交货合同签字盖章页）的扫描（或复印）件）</w:t>
      </w:r>
      <w:r>
        <w:rPr>
          <w:rFonts w:hint="eastAsia" w:ascii="宋体" w:hAnsi="宋体" w:cs="宋体"/>
          <w:kern w:val="0"/>
          <w:sz w:val="24"/>
          <w:lang w:val="zh-CN"/>
        </w:rPr>
        <w:t>。</w:t>
      </w:r>
    </w:p>
    <w:p>
      <w:pPr>
        <w:pStyle w:val="5"/>
        <w:numPr>
          <w:ilvl w:val="0"/>
          <w:numId w:val="0"/>
        </w:numPr>
        <w:ind w:left="709" w:hanging="709"/>
        <w:rPr>
          <w:rFonts w:hAnsi="宋体"/>
          <w:b/>
          <w:sz w:val="32"/>
          <w:lang w:val="zh-CN"/>
        </w:rPr>
      </w:pPr>
      <w:r>
        <w:rPr>
          <w:rFonts w:hAnsi="宋体"/>
          <w:bCs/>
          <w:sz w:val="24"/>
          <w:szCs w:val="28"/>
        </w:rPr>
        <w:br w:type="page"/>
      </w:r>
      <w:bookmarkStart w:id="122" w:name="_Toc1575352"/>
      <w:r>
        <w:rPr>
          <w:rFonts w:hint="eastAsia" w:hAnsi="宋体"/>
          <w:b/>
          <w:sz w:val="32"/>
          <w:lang w:val="zh-CN"/>
        </w:rPr>
        <w:t>格式1</w:t>
      </w:r>
      <w:r>
        <w:rPr>
          <w:rFonts w:hint="eastAsia" w:hAnsi="宋体"/>
          <w:b/>
          <w:sz w:val="32"/>
          <w:lang w:val="en-US" w:eastAsia="zh-CN"/>
        </w:rPr>
        <w:t>7</w:t>
      </w:r>
      <w:r>
        <w:rPr>
          <w:rFonts w:hint="eastAsia" w:hAnsi="宋体"/>
          <w:b/>
          <w:sz w:val="32"/>
          <w:lang w:val="zh-CN"/>
        </w:rPr>
        <w:t>、制造（生产）企业小型、微型企业声明函</w:t>
      </w:r>
      <w:bookmarkEnd w:id="122"/>
    </w:p>
    <w:p>
      <w:pPr>
        <w:rPr>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hAnsi="宋体" w:cs="宋体"/>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sz w:val="28"/>
          <w:szCs w:val="28"/>
          <w:lang w:val="zh-CN"/>
        </w:rPr>
        <w:t>致：宿迁建威工程咨询有限公司</w:t>
      </w: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注：1.此函须由投标产品的制造（生产）企业提供并声明，同时附相关证明材料；</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.此函若出现多家制造（生产）企业的货物（产品）投标时，可按制造（生产）企业分别声明，一家制造（生产）企业填写一张。</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right"/>
        <w:rPr>
          <w:rFonts w:ascii="宋体" w:hAnsi="宋体"/>
          <w:bCs/>
          <w:sz w:val="24"/>
          <w:szCs w:val="28"/>
        </w:rPr>
      </w:pPr>
      <w:r>
        <w:rPr>
          <w:rFonts w:hint="eastAsia" w:ascii="宋体" w:hAnsi="宋体"/>
          <w:bCs/>
          <w:sz w:val="24"/>
          <w:szCs w:val="28"/>
        </w:rPr>
        <w:t>制造（生产）企业名称：       （公章）</w:t>
      </w:r>
    </w:p>
    <w:p>
      <w:pPr>
        <w:autoSpaceDE w:val="0"/>
        <w:autoSpaceDN w:val="0"/>
        <w:spacing w:line="360" w:lineRule="auto"/>
        <w:jc w:val="right"/>
        <w:rPr>
          <w:rFonts w:ascii="宋体" w:hAnsi="宋体"/>
          <w:bCs/>
          <w:sz w:val="24"/>
          <w:szCs w:val="28"/>
        </w:rPr>
      </w:pPr>
      <w:r>
        <w:rPr>
          <w:rFonts w:hint="eastAsia" w:ascii="宋体" w:hAnsi="宋体"/>
          <w:bCs/>
          <w:sz w:val="24"/>
          <w:szCs w:val="28"/>
        </w:rPr>
        <w:t>制造（生产）企业法定代表人：       （签字）</w:t>
      </w:r>
    </w:p>
    <w:p>
      <w:pPr>
        <w:autoSpaceDE w:val="0"/>
        <w:autoSpaceDN w:val="0"/>
        <w:spacing w:line="360" w:lineRule="auto"/>
        <w:jc w:val="center"/>
        <w:rPr>
          <w:rFonts w:ascii="宋体" w:hAnsi="宋体" w:cs="宋体"/>
          <w:b/>
          <w:bCs/>
          <w:kern w:val="0"/>
          <w:lang w:val="zh-CN"/>
        </w:rPr>
      </w:pPr>
      <w:r>
        <w:rPr>
          <w:rFonts w:hint="eastAsia" w:ascii="宋体" w:hAnsi="宋体"/>
          <w:bCs/>
          <w:sz w:val="24"/>
          <w:szCs w:val="28"/>
          <w:lang w:val="en-US" w:eastAsia="zh-CN"/>
        </w:rPr>
        <w:t xml:space="preserve">                                                         </w:t>
      </w:r>
      <w:r>
        <w:rPr>
          <w:rFonts w:hint="eastAsia" w:ascii="宋体" w:hAnsi="宋体"/>
          <w:bCs/>
          <w:sz w:val="24"/>
          <w:szCs w:val="28"/>
        </w:rPr>
        <w:t>日期：    年   月   日</w:t>
      </w:r>
    </w:p>
    <w:p>
      <w:pPr>
        <w:pStyle w:val="5"/>
        <w:numPr>
          <w:ilvl w:val="0"/>
          <w:numId w:val="0"/>
        </w:numPr>
        <w:ind w:left="709" w:hanging="709"/>
        <w:rPr>
          <w:rFonts w:hAnsi="宋体"/>
        </w:rPr>
      </w:pPr>
      <w:r>
        <w:rPr>
          <w:lang w:val="zh-CN"/>
        </w:rPr>
        <w:br w:type="page"/>
      </w:r>
      <w:bookmarkStart w:id="123" w:name="_Toc1575353"/>
      <w:r>
        <w:rPr>
          <w:rFonts w:hint="eastAsia" w:hAnsi="宋体"/>
          <w:b/>
          <w:sz w:val="32"/>
          <w:lang w:val="zh-CN"/>
        </w:rPr>
        <w:t>格式1</w:t>
      </w:r>
      <w:r>
        <w:rPr>
          <w:rFonts w:hint="eastAsia" w:hAnsi="宋体"/>
          <w:b/>
          <w:sz w:val="32"/>
          <w:lang w:val="en-US" w:eastAsia="zh-CN"/>
        </w:rPr>
        <w:t>8</w:t>
      </w:r>
      <w:r>
        <w:rPr>
          <w:rFonts w:hint="eastAsia" w:hAnsi="宋体"/>
          <w:b/>
          <w:sz w:val="32"/>
          <w:lang w:val="zh-CN"/>
        </w:rPr>
        <w:t>、</w:t>
      </w:r>
      <w:bookmarkStart w:id="124" w:name="_Toc500160642"/>
      <w:bookmarkStart w:id="125" w:name="_Toc500160598"/>
      <w:bookmarkStart w:id="126" w:name="_Toc5881"/>
      <w:r>
        <w:rPr>
          <w:rFonts w:hint="eastAsia" w:hAnsi="宋体"/>
          <w:b/>
          <w:sz w:val="32"/>
          <w:lang w:val="zh-CN"/>
        </w:rPr>
        <w:t>残疾人福利性单位声明函</w:t>
      </w:r>
      <w:bookmarkEnd w:id="123"/>
      <w:bookmarkEnd w:id="124"/>
      <w:bookmarkEnd w:id="125"/>
      <w:bookmarkEnd w:id="126"/>
    </w:p>
    <w:p>
      <w:pPr>
        <w:jc w:val="center"/>
        <w:rPr>
          <w:rFonts w:ascii="宋体" w:hAnsi="宋体" w:cs="宋体"/>
          <w:b/>
          <w:sz w:val="36"/>
          <w:szCs w:val="36"/>
        </w:rPr>
      </w:pPr>
      <w:bookmarkStart w:id="127" w:name="OLE_LINK14"/>
      <w:bookmarkStart w:id="128" w:name="OLE_LINK13"/>
    </w:p>
    <w:p>
      <w:pPr>
        <w:autoSpaceDE w:val="0"/>
        <w:autoSpaceDN w:val="0"/>
        <w:spacing w:line="360" w:lineRule="auto"/>
        <w:jc w:val="center"/>
        <w:rPr>
          <w:rFonts w:ascii="宋体" w:hAnsi="宋体" w:cs="宋体"/>
          <w:b/>
          <w:bCs/>
          <w:sz w:val="28"/>
          <w:szCs w:val="28"/>
        </w:rPr>
      </w:pPr>
      <w:bookmarkStart w:id="129" w:name="_Hlk500164733"/>
      <w:r>
        <w:rPr>
          <w:rFonts w:hint="eastAsia" w:ascii="宋体" w:hAnsi="宋体" w:cs="宋体"/>
          <w:b/>
          <w:bCs/>
          <w:kern w:val="0"/>
          <w:sz w:val="28"/>
          <w:szCs w:val="28"/>
        </w:rPr>
        <w:t>残疾人福利性单位声明函</w:t>
      </w:r>
      <w:bookmarkEnd w:id="129"/>
    </w:p>
    <w:bookmarkEnd w:id="127"/>
    <w:bookmarkEnd w:id="128"/>
    <w:p>
      <w:pPr>
        <w:spacing w:afterLines="50"/>
        <w:rPr>
          <w:rFonts w:ascii="宋体" w:hAnsi="宋体" w:cs="宋体"/>
          <w:bCs/>
        </w:rPr>
      </w:pPr>
    </w:p>
    <w:p>
      <w:pPr>
        <w:autoSpaceDE w:val="0"/>
        <w:autoSpaceDN w:val="0"/>
        <w:spacing w:line="360" w:lineRule="auto"/>
        <w:rPr>
          <w:rFonts w:ascii="宋体" w:hAnsi="宋体" w:cs="宋体"/>
          <w:b/>
          <w:bCs/>
        </w:rPr>
      </w:pPr>
      <w:r>
        <w:rPr>
          <w:rFonts w:hint="eastAsia" w:ascii="宋体" w:hAnsi="宋体" w:cs="宋体"/>
          <w:b/>
          <w:bCs/>
          <w:kern w:val="0"/>
          <w:sz w:val="28"/>
          <w:szCs w:val="28"/>
          <w:lang w:val="zh-CN"/>
        </w:rPr>
        <w:t>致：宿迁建威工程咨询有限公司</w:t>
      </w:r>
    </w:p>
    <w:p>
      <w:pPr>
        <w:ind w:firstLine="480"/>
        <w:rPr>
          <w:rFonts w:ascii="宋体" w:hAnsi="宋体" w:cs="宋体"/>
        </w:rPr>
      </w:pP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kern w:val="0"/>
          <w:sz w:val="24"/>
          <w:u w:val="single"/>
          <w:lang w:val="zh-CN"/>
        </w:rPr>
        <w:t xml:space="preserve">       </w:t>
      </w:r>
      <w:r>
        <w:rPr>
          <w:rFonts w:hint="eastAsia" w:ascii="宋体" w:hAnsi="宋体" w:cs="宋体"/>
          <w:kern w:val="0"/>
          <w:sz w:val="24"/>
          <w:lang w:val="zh-CN"/>
        </w:rPr>
        <w:t>人，安置的残疾人人数</w:t>
      </w:r>
      <w:r>
        <w:rPr>
          <w:rFonts w:hint="eastAsia" w:ascii="宋体" w:hAnsi="宋体" w:cs="宋体"/>
          <w:kern w:val="0"/>
          <w:sz w:val="24"/>
          <w:u w:val="single"/>
          <w:lang w:val="zh-CN"/>
        </w:rPr>
        <w:t xml:space="preserve">      </w:t>
      </w:r>
      <w:r>
        <w:rPr>
          <w:rFonts w:hint="eastAsia" w:ascii="宋体" w:hAnsi="宋体" w:cs="宋体"/>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本单位对上述声明的真实性负责。如有虚假，将依法承担相应责任。</w:t>
      </w:r>
    </w:p>
    <w:p>
      <w:pPr>
        <w:autoSpaceDE w:val="0"/>
        <w:autoSpaceDN w:val="0"/>
        <w:spacing w:line="360" w:lineRule="auto"/>
        <w:ind w:firstLine="360"/>
        <w:rPr>
          <w:rFonts w:ascii="宋体" w:hAnsi="宋体" w:cs="宋体"/>
          <w:kern w:val="0"/>
          <w:sz w:val="24"/>
          <w:lang w:val="zh-CN"/>
        </w:rPr>
      </w:pPr>
    </w:p>
    <w:p>
      <w:pPr>
        <w:autoSpaceDE w:val="0"/>
        <w:autoSpaceDN w:val="0"/>
        <w:spacing w:line="360" w:lineRule="auto"/>
        <w:ind w:firstLine="360"/>
        <w:rPr>
          <w:rFonts w:ascii="宋体" w:hAnsi="宋体" w:cs="宋体"/>
          <w:kern w:val="0"/>
          <w:sz w:val="24"/>
          <w:lang w:val="zh-CN"/>
        </w:rPr>
      </w:pPr>
      <w:r>
        <w:rPr>
          <w:rFonts w:hint="eastAsia" w:ascii="宋体" w:hAnsi="宋体" w:cs="宋体"/>
          <w:kern w:val="0"/>
          <w:sz w:val="24"/>
          <w:lang w:val="zh-CN"/>
        </w:rPr>
        <w:t>注：若无此项内容，可不提供此函。</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rPr>
          <w:rFonts w:ascii="宋体" w:hAnsi="宋体" w:cs="宋体"/>
        </w:rPr>
      </w:pPr>
    </w:p>
    <w:p>
      <w:pPr>
        <w:ind w:firstLine="480"/>
        <w:rPr>
          <w:rFonts w:ascii="宋体" w:hAnsi="宋体" w:cs="宋体"/>
        </w:rPr>
      </w:pPr>
    </w:p>
    <w:p>
      <w:pPr>
        <w:ind w:firstLine="480"/>
        <w:rPr>
          <w:rFonts w:ascii="宋体" w:hAnsi="宋体" w:cs="宋体"/>
        </w:rPr>
      </w:pPr>
    </w:p>
    <w:p>
      <w:pPr>
        <w:autoSpaceDE w:val="0"/>
        <w:autoSpaceDN w:val="0"/>
        <w:spacing w:line="360" w:lineRule="auto"/>
        <w:jc w:val="right"/>
        <w:rPr>
          <w:rFonts w:ascii="宋体" w:hAnsi="宋体"/>
          <w:bCs/>
          <w:sz w:val="24"/>
          <w:szCs w:val="28"/>
        </w:rPr>
      </w:pPr>
      <w:r>
        <w:rPr>
          <w:rFonts w:hint="eastAsia" w:ascii="宋体" w:hAnsi="宋体"/>
          <w:bCs/>
          <w:sz w:val="24"/>
          <w:szCs w:val="28"/>
        </w:rPr>
        <w:t>企业名称：       （公章）</w:t>
      </w:r>
    </w:p>
    <w:p>
      <w:pPr>
        <w:autoSpaceDE w:val="0"/>
        <w:autoSpaceDN w:val="0"/>
        <w:spacing w:line="360" w:lineRule="auto"/>
        <w:jc w:val="right"/>
        <w:rPr>
          <w:rFonts w:ascii="宋体" w:hAnsi="宋体"/>
          <w:bCs/>
          <w:sz w:val="24"/>
          <w:szCs w:val="28"/>
        </w:rPr>
      </w:pPr>
      <w:r>
        <w:rPr>
          <w:rFonts w:hint="eastAsia" w:ascii="宋体" w:hAnsi="宋体"/>
          <w:bCs/>
          <w:sz w:val="24"/>
          <w:szCs w:val="28"/>
        </w:rPr>
        <w:t xml:space="preserve">       企业法定代表人：       （签字或盖章）</w:t>
      </w:r>
    </w:p>
    <w:p>
      <w:pPr>
        <w:autoSpaceDE w:val="0"/>
        <w:autoSpaceDN w:val="0"/>
        <w:spacing w:line="360" w:lineRule="auto"/>
        <w:jc w:val="right"/>
        <w:rPr>
          <w:lang w:val="zh-CN"/>
        </w:rPr>
      </w:pPr>
      <w:r>
        <w:rPr>
          <w:rFonts w:hint="eastAsia" w:ascii="宋体" w:hAnsi="宋体"/>
          <w:bCs/>
          <w:sz w:val="24"/>
          <w:szCs w:val="28"/>
        </w:rPr>
        <w:t>日期：    年   月   日</w:t>
      </w:r>
    </w:p>
    <w:p>
      <w:pPr>
        <w:pStyle w:val="5"/>
        <w:numPr>
          <w:ilvl w:val="0"/>
          <w:numId w:val="0"/>
        </w:numPr>
        <w:ind w:left="709" w:hanging="709"/>
        <w:rPr>
          <w:lang w:val="zh-CN"/>
        </w:rPr>
      </w:pPr>
      <w:r>
        <w:rPr>
          <w:lang w:val="zh-CN"/>
        </w:rPr>
        <w:br w:type="page"/>
      </w:r>
    </w:p>
    <w:p>
      <w:pPr>
        <w:adjustRightInd w:val="0"/>
        <w:snapToGrid w:val="0"/>
        <w:spacing w:line="440" w:lineRule="exact"/>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114" w:hanging="6114" w:hangingChars="2900"/>
        <w:rPr>
          <w:rFonts w:ascii="宋体" w:hAnsi="宋体" w:cs="宋体"/>
          <w:b/>
          <w:bCs/>
          <w:kern w:val="0"/>
          <w:lang w:val="zh-CN"/>
        </w:rPr>
      </w:pPr>
    </w:p>
    <w:p>
      <w:pPr>
        <w:adjustRightInd w:val="0"/>
        <w:snapToGrid w:val="0"/>
        <w:spacing w:line="440" w:lineRule="exact"/>
        <w:ind w:left="8152" w:hanging="8152" w:hangingChars="2900"/>
        <w:rPr>
          <w:rFonts w:ascii="宋体" w:hAnsi="宋体" w:cs="宋体"/>
        </w:rPr>
      </w:pPr>
      <w:r>
        <w:rPr>
          <w:rFonts w:hint="eastAsia" w:ascii="宋体" w:hAnsi="宋体" w:cs="宋体"/>
          <w:b/>
          <w:bCs/>
          <w:kern w:val="0"/>
          <w:sz w:val="28"/>
          <w:szCs w:val="28"/>
          <w:lang w:val="zh-CN"/>
        </w:rPr>
        <w:t>致：宿迁建威工程咨询有限公司</w:t>
      </w:r>
    </w:p>
    <w:p>
      <w:pPr>
        <w:adjustRightInd w:val="0"/>
        <w:snapToGrid w:val="0"/>
        <w:spacing w:line="440" w:lineRule="exact"/>
        <w:ind w:left="-4" w:leftChars="-2" w:firstLine="480" w:firstLineChars="200"/>
        <w:rPr>
          <w:rFonts w:ascii="宋体" w:hAnsi="宋体" w:cs="宋体"/>
          <w:sz w:val="24"/>
        </w:rPr>
      </w:pPr>
      <w:r>
        <w:rPr>
          <w:rFonts w:hint="eastAsia" w:ascii="宋体" w:hAnsi="宋体" w:cs="宋体"/>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sz w:val="24"/>
          <w:u w:val="single"/>
        </w:rPr>
        <w:t xml:space="preserve">    </w:t>
      </w:r>
      <w:r>
        <w:rPr>
          <w:rFonts w:hint="eastAsia" w:ascii="宋体" w:hAnsi="宋体" w:cs="宋体"/>
          <w:sz w:val="24"/>
        </w:rPr>
        <w:t>人。</w:t>
      </w:r>
    </w:p>
    <w:p>
      <w:pPr>
        <w:adjustRightInd w:val="0"/>
        <w:snapToGrid w:val="0"/>
        <w:spacing w:line="440" w:lineRule="exact"/>
        <w:ind w:left="-2" w:leftChars="-1" w:firstLine="480" w:firstLineChars="200"/>
        <w:rPr>
          <w:rFonts w:ascii="宋体" w:hAnsi="宋体" w:cs="宋体"/>
          <w:sz w:val="24"/>
        </w:rPr>
      </w:pPr>
      <w:r>
        <w:rPr>
          <w:rFonts w:hint="eastAsia" w:ascii="宋体" w:hAnsi="宋体" w:cs="宋体"/>
          <w:sz w:val="24"/>
        </w:rPr>
        <w:t>本公司对上述声明的真实性负责，如有虚假，将依法承担相应责任。</w:t>
      </w:r>
    </w:p>
    <w:p>
      <w:pPr>
        <w:autoSpaceDE w:val="0"/>
        <w:autoSpaceDN w:val="0"/>
        <w:spacing w:line="360" w:lineRule="auto"/>
        <w:jc w:val="center"/>
        <w:rPr>
          <w:rFonts w:ascii="宋体" w:hAnsi="宋体" w:cs="宋体"/>
          <w:b/>
          <w:bCs/>
          <w:kern w:val="0"/>
          <w:sz w:val="24"/>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both"/>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right"/>
        <w:rPr>
          <w:rFonts w:ascii="宋体" w:hAnsi="宋体"/>
          <w:bCs/>
          <w:sz w:val="24"/>
          <w:szCs w:val="28"/>
        </w:rPr>
      </w:pPr>
      <w:r>
        <w:rPr>
          <w:rFonts w:hint="eastAsia" w:ascii="宋体" w:hAnsi="宋体"/>
          <w:bCs/>
          <w:sz w:val="24"/>
          <w:szCs w:val="28"/>
        </w:rPr>
        <w:t>制造（生产）企业名称：       （公章）</w:t>
      </w:r>
    </w:p>
    <w:p>
      <w:pPr>
        <w:autoSpaceDE w:val="0"/>
        <w:autoSpaceDN w:val="0"/>
        <w:spacing w:line="360" w:lineRule="auto"/>
        <w:jc w:val="right"/>
        <w:rPr>
          <w:rFonts w:ascii="宋体" w:hAnsi="宋体"/>
          <w:bCs/>
          <w:sz w:val="24"/>
          <w:szCs w:val="28"/>
        </w:rPr>
      </w:pPr>
      <w:r>
        <w:rPr>
          <w:rFonts w:hint="eastAsia" w:ascii="宋体" w:hAnsi="宋体"/>
          <w:bCs/>
          <w:sz w:val="24"/>
          <w:szCs w:val="28"/>
        </w:rPr>
        <w:t>制造（生产）企业法定代表人：       （签字）</w:t>
      </w:r>
    </w:p>
    <w:p>
      <w:pPr>
        <w:autoSpaceDE w:val="0"/>
        <w:autoSpaceDN w:val="0"/>
        <w:spacing w:line="360" w:lineRule="auto"/>
        <w:jc w:val="center"/>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    年   月   日</w:t>
      </w:r>
    </w:p>
    <w:p>
      <w:pPr>
        <w:rPr>
          <w:lang w:val="zh-CN"/>
        </w:rPr>
      </w:pPr>
    </w:p>
    <w:p>
      <w:pPr>
        <w:pStyle w:val="5"/>
        <w:numPr>
          <w:ilvl w:val="0"/>
          <w:numId w:val="0"/>
        </w:numPr>
        <w:ind w:left="709" w:hanging="709"/>
        <w:rPr>
          <w:rFonts w:hAnsi="宋体" w:cs="宋体"/>
        </w:rPr>
      </w:pPr>
      <w:r>
        <w:rPr>
          <w:rFonts w:hAnsi="宋体"/>
          <w:bCs/>
          <w:sz w:val="24"/>
          <w:szCs w:val="28"/>
        </w:rPr>
        <w:br w:type="page"/>
      </w:r>
      <w:bookmarkStart w:id="130" w:name="_Toc31287"/>
      <w:bookmarkStart w:id="131" w:name="_Toc1575354"/>
      <w:r>
        <w:rPr>
          <w:rFonts w:hint="eastAsia" w:hAnsi="宋体"/>
          <w:b/>
          <w:sz w:val="32"/>
          <w:lang w:val="zh-CN"/>
        </w:rPr>
        <w:t>格式</w:t>
      </w:r>
      <w:r>
        <w:rPr>
          <w:rFonts w:hint="eastAsia" w:hAnsi="宋体"/>
          <w:b/>
          <w:sz w:val="32"/>
          <w:lang w:val="en-US" w:eastAsia="zh-CN"/>
        </w:rPr>
        <w:t>19</w:t>
      </w:r>
      <w:r>
        <w:rPr>
          <w:rFonts w:hint="eastAsia" w:hAnsi="宋体"/>
          <w:b/>
          <w:sz w:val="32"/>
          <w:lang w:val="zh-CN"/>
        </w:rPr>
        <w:t>、磋商供应商认为在其他方面有必要说明的事项</w:t>
      </w:r>
      <w:bookmarkEnd w:id="130"/>
      <w:bookmarkEnd w:id="131"/>
    </w:p>
    <w:p>
      <w:pPr>
        <w:autoSpaceDE w:val="0"/>
        <w:autoSpaceDN w:val="0"/>
        <w:adjustRightInd w:val="0"/>
        <w:spacing w:line="360" w:lineRule="auto"/>
        <w:rPr>
          <w:rFonts w:ascii="宋体" w:hAnsi="宋体" w:cs="宋体"/>
          <w:kern w:val="0"/>
          <w:sz w:val="24"/>
          <w:lang w:val="zh-CN"/>
        </w:rPr>
      </w:pPr>
    </w:p>
    <w:p>
      <w:pPr>
        <w:pStyle w:val="17"/>
        <w:spacing w:line="360" w:lineRule="auto"/>
        <w:jc w:val="center"/>
        <w:rPr>
          <w:rFonts w:hAnsi="宋体" w:cs="宋体"/>
          <w:b/>
          <w:bCs/>
          <w:sz w:val="30"/>
          <w:szCs w:val="30"/>
          <w:lang w:val="zh-CN"/>
        </w:rPr>
      </w:pPr>
      <w:r>
        <w:rPr>
          <w:rFonts w:hint="eastAsia" w:hAnsi="宋体" w:cs="宋体"/>
          <w:b/>
          <w:bCs/>
          <w:sz w:val="30"/>
          <w:szCs w:val="30"/>
          <w:lang w:val="zh-CN"/>
        </w:rPr>
        <w:t>磋商供应商认为在其他方面有必要说明的事项</w:t>
      </w:r>
    </w:p>
    <w:p>
      <w:pPr>
        <w:autoSpaceDE w:val="0"/>
        <w:autoSpaceDN w:val="0"/>
        <w:adjustRightInd w:val="0"/>
        <w:spacing w:line="360" w:lineRule="auto"/>
        <w:rPr>
          <w:rFonts w:ascii="宋体" w:hAnsi="宋体" w:cs="宋体"/>
          <w:kern w:val="0"/>
          <w:sz w:val="24"/>
          <w:lang w:val="zh-CN"/>
        </w:rPr>
      </w:pP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磋商供应商在参加本项目磋商中根据磋商文件的要求认为需要说明的事项，但不作为评标依据。如没有说明事项，此项可忽略。（格式可自定）</w:t>
      </w:r>
    </w:p>
    <w:p>
      <w:pPr>
        <w:pStyle w:val="5"/>
        <w:numPr>
          <w:ilvl w:val="0"/>
          <w:numId w:val="0"/>
        </w:numPr>
        <w:ind w:left="709" w:hanging="709"/>
        <w:rPr>
          <w:rFonts w:hAnsi="宋体"/>
          <w:b/>
          <w:sz w:val="32"/>
          <w:lang w:val="zh-CN"/>
        </w:rPr>
      </w:pPr>
      <w:r>
        <w:rPr>
          <w:rFonts w:hAnsi="宋体"/>
          <w:bCs/>
          <w:sz w:val="24"/>
          <w:szCs w:val="28"/>
        </w:rPr>
        <w:br w:type="page"/>
      </w:r>
      <w:bookmarkStart w:id="132" w:name="_Toc1575355"/>
      <w:r>
        <w:rPr>
          <w:rFonts w:hint="eastAsia" w:hAnsi="宋体"/>
          <w:b/>
          <w:sz w:val="32"/>
          <w:lang w:val="zh-CN"/>
        </w:rPr>
        <w:t>格式2</w:t>
      </w:r>
      <w:r>
        <w:rPr>
          <w:rFonts w:hint="eastAsia" w:hAnsi="宋体"/>
          <w:b/>
          <w:sz w:val="32"/>
          <w:lang w:val="en-US" w:eastAsia="zh-CN"/>
        </w:rPr>
        <w:t>0</w:t>
      </w:r>
      <w:r>
        <w:rPr>
          <w:rFonts w:hint="eastAsia" w:hAnsi="宋体"/>
          <w:b/>
          <w:sz w:val="32"/>
          <w:lang w:val="zh-CN"/>
        </w:rPr>
        <w:t>、磋商最终报价表</w:t>
      </w:r>
      <w:r>
        <w:rPr>
          <w:rFonts w:hint="eastAsia" w:hAnsi="宋体"/>
          <w:b/>
          <w:sz w:val="36"/>
          <w:szCs w:val="36"/>
        </w:rPr>
        <w:t>（单独提交）</w:t>
      </w:r>
      <w:bookmarkEnd w:id="132"/>
    </w:p>
    <w:p>
      <w:pPr>
        <w:spacing w:line="360" w:lineRule="auto"/>
        <w:jc w:val="center"/>
        <w:rPr>
          <w:rFonts w:ascii="宋体" w:hAnsi="宋体"/>
          <w:b/>
          <w:sz w:val="36"/>
          <w:szCs w:val="36"/>
        </w:rPr>
      </w:pPr>
      <w:r>
        <w:rPr>
          <w:rFonts w:hint="eastAsia" w:ascii="宋体" w:hAnsi="宋体"/>
          <w:b/>
          <w:sz w:val="36"/>
          <w:szCs w:val="36"/>
        </w:rPr>
        <w:t>磋商最终报价表</w:t>
      </w:r>
    </w:p>
    <w:p>
      <w:pPr>
        <w:spacing w:line="360" w:lineRule="auto"/>
        <w:rPr>
          <w:rFonts w:ascii="宋体" w:hAnsi="宋体"/>
          <w:b/>
          <w:sz w:val="28"/>
          <w:szCs w:val="28"/>
        </w:rPr>
      </w:pPr>
      <w:r>
        <w:rPr>
          <w:rFonts w:hint="eastAsia" w:ascii="宋体" w:hAnsi="宋体"/>
          <w:b/>
          <w:sz w:val="28"/>
          <w:szCs w:val="28"/>
        </w:rPr>
        <w:t xml:space="preserve">磋商供应商名称：                                        </w:t>
      </w:r>
      <w:r>
        <w:rPr>
          <w:rFonts w:hint="eastAsia" w:ascii="宋体" w:hAnsi="宋体"/>
          <w:b/>
          <w:sz w:val="24"/>
        </w:rPr>
        <w:t>单位：元</w:t>
      </w:r>
    </w:p>
    <w:tbl>
      <w:tblPr>
        <w:tblStyle w:val="32"/>
        <w:tblW w:w="9968" w:type="dxa"/>
        <w:jc w:val="center"/>
        <w:tblLayout w:type="fixed"/>
        <w:tblCellMar>
          <w:top w:w="0" w:type="dxa"/>
          <w:left w:w="108" w:type="dxa"/>
          <w:bottom w:w="0" w:type="dxa"/>
          <w:right w:w="108" w:type="dxa"/>
        </w:tblCellMar>
      </w:tblPr>
      <w:tblGrid>
        <w:gridCol w:w="3458"/>
        <w:gridCol w:w="2951"/>
        <w:gridCol w:w="2313"/>
        <w:gridCol w:w="1246"/>
      </w:tblGrid>
      <w:tr>
        <w:tblPrEx>
          <w:tblCellMar>
            <w:top w:w="0" w:type="dxa"/>
            <w:left w:w="108" w:type="dxa"/>
            <w:bottom w:w="0" w:type="dxa"/>
            <w:right w:w="108" w:type="dxa"/>
          </w:tblCellMar>
        </w:tblPrEx>
        <w:trPr>
          <w:trHeight w:val="699" w:hRule="atLeast"/>
          <w:jc w:val="center"/>
        </w:trPr>
        <w:tc>
          <w:tcPr>
            <w:tcW w:w="345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sz w:val="24"/>
                <w:lang w:val="zh-CN"/>
              </w:rPr>
            </w:pPr>
            <w:r>
              <w:rPr>
                <w:rFonts w:ascii="Arial" w:hAnsi="Arial" w:cs="Arial"/>
                <w:bCs/>
                <w:sz w:val="24"/>
                <w:lang w:val="zh-CN"/>
              </w:rPr>
              <w:t>项目名称</w:t>
            </w: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ind w:firstLine="482"/>
              <w:jc w:val="center"/>
              <w:rPr>
                <w:rFonts w:ascii="Arial" w:hAnsi="Arial" w:cs="Arial"/>
                <w:lang w:val="zh-CN"/>
              </w:rPr>
            </w:pPr>
            <w:r>
              <w:rPr>
                <w:rFonts w:ascii="Arial" w:hAnsi="Arial" w:cs="Arial"/>
                <w:bCs/>
                <w:sz w:val="24"/>
                <w:lang w:val="zh-CN"/>
              </w:rPr>
              <w:t>投标报价</w:t>
            </w:r>
          </w:p>
        </w:tc>
        <w:tc>
          <w:tcPr>
            <w:tcW w:w="2313"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jc w:val="center"/>
              <w:rPr>
                <w:rFonts w:ascii="Arial" w:hAnsi="Arial" w:cs="Arial"/>
                <w:bCs/>
                <w:sz w:val="24"/>
                <w:lang w:val="zh-CN"/>
              </w:rPr>
            </w:pPr>
            <w:r>
              <w:rPr>
                <w:rFonts w:ascii="Arial" w:hAnsi="Arial" w:cs="Arial"/>
                <w:bCs/>
                <w:sz w:val="24"/>
                <w:lang w:val="zh-CN"/>
              </w:rPr>
              <w:t>交货期</w:t>
            </w:r>
          </w:p>
          <w:p>
            <w:pPr>
              <w:autoSpaceDE w:val="0"/>
              <w:autoSpaceDN w:val="0"/>
              <w:spacing w:line="360" w:lineRule="auto"/>
              <w:jc w:val="center"/>
              <w:rPr>
                <w:rFonts w:ascii="Arial" w:hAnsi="Arial" w:cs="Arial"/>
                <w:sz w:val="24"/>
                <w:lang w:val="zh-CN"/>
              </w:rPr>
            </w:pPr>
            <w:r>
              <w:rPr>
                <w:rFonts w:ascii="Arial" w:hAnsi="Arial" w:cs="Arial"/>
                <w:bCs/>
                <w:sz w:val="24"/>
                <w:lang w:val="zh-CN"/>
              </w:rPr>
              <w:t>（日历日）</w:t>
            </w:r>
          </w:p>
        </w:tc>
        <w:tc>
          <w:tcPr>
            <w:tcW w:w="124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r>
              <w:rPr>
                <w:rFonts w:ascii="Arial" w:hAnsi="Arial" w:cs="Arial"/>
                <w:bCs/>
                <w:sz w:val="24"/>
                <w:lang w:val="zh-CN"/>
              </w:rPr>
              <w:t>备注</w:t>
            </w:r>
          </w:p>
        </w:tc>
      </w:tr>
      <w:tr>
        <w:tblPrEx>
          <w:tblCellMar>
            <w:top w:w="0" w:type="dxa"/>
            <w:left w:w="108" w:type="dxa"/>
            <w:bottom w:w="0" w:type="dxa"/>
            <w:right w:w="108" w:type="dxa"/>
          </w:tblCellMar>
        </w:tblPrEx>
        <w:trPr>
          <w:trHeight w:val="680" w:hRule="atLeast"/>
          <w:jc w:val="center"/>
        </w:trPr>
        <w:tc>
          <w:tcPr>
            <w:tcW w:w="345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rPr>
                <w:rFonts w:ascii="Arial" w:hAnsi="Arial" w:cs="Arial"/>
                <w:lang w:val="zh-CN"/>
              </w:rPr>
            </w:pPr>
            <w:r>
              <w:rPr>
                <w:rFonts w:ascii="Arial" w:hAnsi="Arial" w:cs="Arial"/>
                <w:bCs/>
                <w:sz w:val="24"/>
                <w:lang w:val="zh-CN"/>
              </w:rPr>
              <w:t>大写：</w:t>
            </w:r>
          </w:p>
        </w:tc>
        <w:tc>
          <w:tcPr>
            <w:tcW w:w="2313" w:type="dxa"/>
            <w:vMerge w:val="restart"/>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ind w:firstLine="197"/>
              <w:jc w:val="center"/>
              <w:rPr>
                <w:rFonts w:ascii="Arial" w:hAnsi="Arial" w:cs="Arial"/>
                <w:lang w:val="zh-CN"/>
              </w:rPr>
            </w:pPr>
          </w:p>
        </w:tc>
        <w:tc>
          <w:tcPr>
            <w:tcW w:w="1246"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653" w:hRule="atLeast"/>
          <w:jc w:val="center"/>
        </w:trPr>
        <w:tc>
          <w:tcPr>
            <w:tcW w:w="3458" w:type="dxa"/>
            <w:vMerge w:val="continue"/>
            <w:tcBorders>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c>
          <w:tcPr>
            <w:tcW w:w="295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rPr>
                <w:rFonts w:ascii="Arial" w:hAnsi="Arial" w:cs="Arial"/>
                <w:lang w:val="zh-CN"/>
              </w:rPr>
            </w:pPr>
            <w:r>
              <w:rPr>
                <w:rFonts w:ascii="Arial" w:hAnsi="Arial" w:cs="Arial"/>
                <w:bCs/>
                <w:sz w:val="24"/>
                <w:lang w:val="zh-CN"/>
              </w:rPr>
              <w:t>小写：</w:t>
            </w:r>
          </w:p>
        </w:tc>
        <w:tc>
          <w:tcPr>
            <w:tcW w:w="2313" w:type="dxa"/>
            <w:vMerge w:val="continue"/>
            <w:tcBorders>
              <w:top w:val="single" w:color="000000" w:sz="6" w:space="0"/>
              <w:left w:val="single" w:color="000000" w:sz="6" w:space="0"/>
              <w:bottom w:val="single" w:color="auto" w:sz="4" w:space="0"/>
              <w:right w:val="single" w:color="auto" w:sz="4" w:space="0"/>
            </w:tcBorders>
            <w:shd w:val="clear" w:color="000000" w:fill="FFFFFF"/>
            <w:vAlign w:val="center"/>
          </w:tcPr>
          <w:p>
            <w:pPr>
              <w:autoSpaceDE w:val="0"/>
              <w:autoSpaceDN w:val="0"/>
              <w:spacing w:line="360" w:lineRule="auto"/>
              <w:jc w:val="center"/>
              <w:rPr>
                <w:rFonts w:ascii="Arial" w:hAnsi="Arial" w:cs="Arial"/>
                <w:lang w:val="zh-CN"/>
              </w:rPr>
            </w:pPr>
          </w:p>
        </w:tc>
        <w:tc>
          <w:tcPr>
            <w:tcW w:w="1246" w:type="dxa"/>
            <w:vMerge w:val="continue"/>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spacing w:line="360" w:lineRule="auto"/>
              <w:jc w:val="center"/>
              <w:rPr>
                <w:rFonts w:ascii="Arial" w:hAnsi="Arial" w:cs="Arial"/>
                <w:lang w:val="zh-CN"/>
              </w:rPr>
            </w:pPr>
          </w:p>
        </w:tc>
      </w:tr>
      <w:tr>
        <w:tblPrEx>
          <w:tblCellMar>
            <w:top w:w="0" w:type="dxa"/>
            <w:left w:w="108" w:type="dxa"/>
            <w:bottom w:w="0" w:type="dxa"/>
            <w:right w:w="108" w:type="dxa"/>
          </w:tblCellMar>
        </w:tblPrEx>
        <w:trPr>
          <w:trHeight w:val="1661" w:hRule="atLeast"/>
          <w:jc w:val="center"/>
        </w:trPr>
        <w:tc>
          <w:tcPr>
            <w:tcW w:w="996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spacing w:line="360" w:lineRule="auto"/>
              <w:jc w:val="both"/>
              <w:rPr>
                <w:rFonts w:hint="default" w:ascii="Arial" w:hAnsi="Arial" w:eastAsia="宋体" w:cs="Arial"/>
                <w:lang w:val="en-US" w:eastAsia="zh-CN"/>
              </w:rPr>
            </w:pPr>
            <w:r>
              <w:rPr>
                <w:rFonts w:hint="eastAsia" w:ascii="Arial" w:hAnsi="Arial" w:cs="Arial"/>
                <w:bCs/>
                <w:sz w:val="24"/>
                <w:lang w:val="en-US" w:eastAsia="zh-CN"/>
              </w:rPr>
              <w:t>优惠承诺及其他：</w:t>
            </w:r>
          </w:p>
        </w:tc>
      </w:tr>
    </w:tbl>
    <w:p>
      <w:pPr>
        <w:spacing w:line="360" w:lineRule="auto"/>
        <w:ind w:firstLine="732" w:firstLineChars="347"/>
        <w:jc w:val="left"/>
        <w:rPr>
          <w:rFonts w:ascii="宋体" w:hAnsi="宋体"/>
          <w:b/>
        </w:rPr>
      </w:pPr>
    </w:p>
    <w:p>
      <w:pPr>
        <w:spacing w:line="360" w:lineRule="auto"/>
        <w:ind w:firstLine="732" w:firstLineChars="347"/>
        <w:jc w:val="left"/>
        <w:rPr>
          <w:rFonts w:ascii="宋体" w:hAnsi="宋体"/>
          <w:b/>
        </w:rPr>
      </w:pPr>
      <w:r>
        <w:rPr>
          <w:rFonts w:hint="eastAsia" w:ascii="宋体" w:hAnsi="宋体"/>
          <w:b/>
        </w:rPr>
        <w:t>注</w:t>
      </w:r>
      <w:r>
        <w:rPr>
          <w:rFonts w:ascii="宋体" w:hAnsi="宋体"/>
          <w:b/>
        </w:rPr>
        <w:t>：</w:t>
      </w:r>
      <w:r>
        <w:rPr>
          <w:rFonts w:hint="eastAsia" w:ascii="宋体" w:hAnsi="宋体"/>
          <w:b/>
        </w:rPr>
        <w:t>此表不需装订在磋商响应文件中，磋商供应商事先须盖章、签字。在磋商期间，由磋商小组确定合格的磋商供应商现场填写。</w:t>
      </w: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
          <w:bCs/>
          <w:sz w:val="28"/>
        </w:rPr>
      </w:pPr>
    </w:p>
    <w:p>
      <w:pPr>
        <w:tabs>
          <w:tab w:val="left" w:pos="168"/>
        </w:tabs>
        <w:adjustRightInd w:val="0"/>
        <w:spacing w:line="360" w:lineRule="auto"/>
        <w:textAlignment w:val="baseline"/>
        <w:rPr>
          <w:rFonts w:ascii="宋体" w:hAnsi="宋体"/>
          <w:bCs/>
          <w:sz w:val="28"/>
          <w:szCs w:val="28"/>
        </w:rPr>
      </w:pP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rPr>
        <w:t>磋商供应商：</w:t>
      </w:r>
      <w:r>
        <w:rPr>
          <w:rFonts w:hint="eastAsia" w:ascii="宋体" w:hAnsi="宋体"/>
          <w:bCs/>
          <w:sz w:val="24"/>
          <w:szCs w:val="28"/>
          <w:u w:val="single"/>
        </w:rPr>
        <w:t xml:space="preserve">             </w:t>
      </w:r>
      <w:r>
        <w:rPr>
          <w:rFonts w:hint="eastAsia" w:ascii="宋体" w:hAnsi="宋体"/>
          <w:bCs/>
          <w:sz w:val="24"/>
          <w:szCs w:val="28"/>
        </w:rPr>
        <w:t>（公章）</w:t>
      </w:r>
    </w:p>
    <w:p>
      <w:pPr>
        <w:tabs>
          <w:tab w:val="left" w:pos="168"/>
        </w:tabs>
        <w:adjustRightInd w:val="0"/>
        <w:spacing w:line="360" w:lineRule="auto"/>
        <w:jc w:val="right"/>
        <w:textAlignment w:val="baseline"/>
        <w:rPr>
          <w:rFonts w:ascii="宋体" w:hAnsi="宋体"/>
          <w:bCs/>
          <w:sz w:val="24"/>
          <w:szCs w:val="28"/>
        </w:rPr>
      </w:pPr>
      <w:r>
        <w:rPr>
          <w:rFonts w:hint="eastAsia" w:ascii="宋体" w:hAnsi="宋体"/>
          <w:bCs/>
          <w:sz w:val="24"/>
          <w:szCs w:val="28"/>
          <w:lang w:val="en-US" w:eastAsia="zh-CN"/>
        </w:rPr>
        <w:t xml:space="preserve">       法定代表人或</w:t>
      </w:r>
      <w:r>
        <w:rPr>
          <w:rFonts w:hint="eastAsia" w:ascii="宋体" w:hAnsi="宋体"/>
          <w:bCs/>
          <w:sz w:val="24"/>
          <w:szCs w:val="28"/>
        </w:rPr>
        <w:t>委托代理人：</w:t>
      </w:r>
      <w:r>
        <w:rPr>
          <w:rFonts w:hint="eastAsia" w:ascii="宋体" w:hAnsi="宋体"/>
          <w:bCs/>
          <w:sz w:val="24"/>
          <w:szCs w:val="28"/>
          <w:u w:val="single"/>
        </w:rPr>
        <w:t xml:space="preserve">             </w:t>
      </w:r>
      <w:r>
        <w:rPr>
          <w:rFonts w:hint="eastAsia" w:ascii="宋体" w:hAnsi="宋体"/>
          <w:bCs/>
          <w:sz w:val="24"/>
          <w:szCs w:val="28"/>
        </w:rPr>
        <w:t>（签字）</w:t>
      </w:r>
    </w:p>
    <w:p>
      <w:pPr>
        <w:tabs>
          <w:tab w:val="left" w:pos="168"/>
        </w:tabs>
        <w:adjustRightInd w:val="0"/>
        <w:spacing w:line="360" w:lineRule="auto"/>
        <w:jc w:val="center"/>
        <w:textAlignment w:val="baseline"/>
        <w:rPr>
          <w:rFonts w:ascii="宋体" w:hAnsi="宋体"/>
          <w:bCs/>
          <w:sz w:val="24"/>
          <w:szCs w:val="28"/>
        </w:rPr>
      </w:pPr>
      <w:r>
        <w:rPr>
          <w:rFonts w:hint="eastAsia" w:ascii="宋体" w:hAnsi="宋体"/>
          <w:bCs/>
          <w:sz w:val="24"/>
          <w:szCs w:val="28"/>
          <w:lang w:val="en-US" w:eastAsia="zh-CN"/>
        </w:rPr>
        <w:t xml:space="preserve">                                                </w:t>
      </w:r>
      <w:r>
        <w:rPr>
          <w:rFonts w:hint="eastAsia" w:ascii="宋体" w:hAnsi="宋体"/>
          <w:bCs/>
          <w:sz w:val="24"/>
          <w:szCs w:val="28"/>
        </w:rPr>
        <w:t>日期：   年   月   日</w:t>
      </w:r>
    </w:p>
    <w:p>
      <w:pPr>
        <w:spacing w:line="360" w:lineRule="auto"/>
        <w:jc w:val="center"/>
        <w:rPr>
          <w:rFonts w:ascii="宋体" w:hAnsi="宋体"/>
          <w:bCs/>
          <w:sz w:val="24"/>
          <w:szCs w:val="28"/>
        </w:rPr>
      </w:pPr>
    </w:p>
    <w:p>
      <w:pPr>
        <w:pStyle w:val="23"/>
        <w:spacing w:before="0" w:after="0" w:line="360" w:lineRule="auto"/>
        <w:rPr>
          <w:rFonts w:ascii="宋体" w:hAnsi="宋体"/>
          <w:sz w:val="48"/>
        </w:rPr>
      </w:pPr>
      <w:r>
        <w:rPr>
          <w:rFonts w:ascii="宋体" w:hAnsi="宋体"/>
          <w:b w:val="0"/>
          <w:szCs w:val="44"/>
        </w:rPr>
        <w:br w:type="page"/>
      </w:r>
      <w:bookmarkStart w:id="133" w:name="_Toc444715745"/>
      <w:bookmarkStart w:id="134" w:name="_Toc29404"/>
      <w:bookmarkStart w:id="135" w:name="_Toc1575356"/>
      <w:r>
        <w:rPr>
          <w:rFonts w:hint="eastAsia" w:ascii="宋体" w:hAnsi="宋体"/>
          <w:sz w:val="48"/>
        </w:rPr>
        <w:t>第六部分采购项目要求及技术参数</w:t>
      </w:r>
      <w:bookmarkEnd w:id="133"/>
      <w:bookmarkEnd w:id="134"/>
      <w:bookmarkEnd w:id="135"/>
    </w:p>
    <w:p>
      <w:pPr>
        <w:pStyle w:val="5"/>
        <w:keepNext/>
        <w:keepLines/>
        <w:numPr>
          <w:ilvl w:val="0"/>
          <w:numId w:val="0"/>
        </w:numPr>
        <w:tabs>
          <w:tab w:val="clear" w:pos="425"/>
        </w:tabs>
        <w:snapToGrid/>
        <w:ind w:left="567" w:hanging="567"/>
        <w:jc w:val="center"/>
        <w:rPr>
          <w:rFonts w:hAnsi="宋体"/>
          <w:b/>
          <w:bCs/>
          <w:kern w:val="0"/>
          <w:sz w:val="32"/>
          <w:szCs w:val="32"/>
        </w:rPr>
      </w:pPr>
      <w:bookmarkStart w:id="136" w:name="_Toc1575357"/>
      <w:bookmarkStart w:id="137" w:name="_Toc428180595"/>
      <w:r>
        <w:rPr>
          <w:rFonts w:hint="eastAsia" w:hAnsi="宋体"/>
          <w:b/>
          <w:bCs/>
          <w:kern w:val="0"/>
          <w:sz w:val="32"/>
          <w:szCs w:val="32"/>
        </w:rPr>
        <w:t>一、磋商要求</w:t>
      </w:r>
      <w:bookmarkEnd w:id="136"/>
      <w:bookmarkEnd w:id="137"/>
    </w:p>
    <w:p>
      <w:pPr>
        <w:widowControl/>
        <w:adjustRightInd w:val="0"/>
        <w:snapToGrid w:val="0"/>
        <w:spacing w:line="360" w:lineRule="auto"/>
        <w:ind w:left="425" w:hanging="425"/>
        <w:jc w:val="left"/>
        <w:rPr>
          <w:rFonts w:ascii="宋体" w:hAnsi="宋体"/>
          <w:kern w:val="0"/>
          <w:sz w:val="24"/>
          <w:szCs w:val="22"/>
        </w:rPr>
      </w:pPr>
      <w:bookmarkStart w:id="138" w:name="_Toc428180596"/>
      <w:r>
        <w:rPr>
          <w:rFonts w:ascii="宋体" w:hAnsi="宋体"/>
          <w:kern w:val="0"/>
          <w:sz w:val="24"/>
          <w:szCs w:val="22"/>
        </w:rPr>
        <w:t>1.</w:t>
      </w:r>
      <w:r>
        <w:rPr>
          <w:rFonts w:hint="eastAsia" w:ascii="宋体" w:hAnsi="宋体"/>
          <w:kern w:val="0"/>
          <w:sz w:val="24"/>
          <w:szCs w:val="22"/>
        </w:rPr>
        <w:t>磋商说明</w:t>
      </w:r>
      <w:bookmarkEnd w:id="138"/>
    </w:p>
    <w:p>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1.1.</w:t>
      </w:r>
      <w:r>
        <w:rPr>
          <w:rFonts w:hint="eastAsia" w:ascii="宋体" w:hAnsi="Calibri" w:cs="宋体"/>
          <w:kern w:val="0"/>
          <w:sz w:val="24"/>
          <w:lang w:val="zh-CN"/>
        </w:rPr>
        <w:t>磋商供应商可以按照磋商文件的规定磋商，但必须对所投包号中的所有内容作为一个整体进行磋商，不能拆分或少报。否则，磋商无效。</w:t>
      </w:r>
    </w:p>
    <w:p>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1.2.</w:t>
      </w:r>
      <w:r>
        <w:rPr>
          <w:rFonts w:hint="eastAsia" w:ascii="宋体" w:hAnsi="Calibri" w:cs="宋体"/>
          <w:kern w:val="0"/>
          <w:sz w:val="24"/>
          <w:lang w:val="zh-CN"/>
        </w:rPr>
        <w:t>磋商报价应包括产品费、验收费、手续费、包装费、运输费、保险费、安装费、调试费、培训费、售前、售中、售后服务费、招标代理费、税金及不可预见费等全部费用。</w:t>
      </w:r>
      <w:r>
        <w:rPr>
          <w:rFonts w:hint="eastAsia" w:hAnsi="宋体"/>
          <w:sz w:val="24"/>
          <w:szCs w:val="28"/>
        </w:rPr>
        <w:t>（说明：具体内容应根据项目特点实事求是的填写）</w:t>
      </w:r>
      <w:r>
        <w:rPr>
          <w:rFonts w:hint="eastAsia" w:ascii="宋体" w:hAnsi="Calibri" w:cs="宋体"/>
          <w:kern w:val="0"/>
          <w:sz w:val="24"/>
          <w:lang w:val="zh-CN"/>
        </w:rPr>
        <w:t>。若磋商报价不能完全包括上述内容，该磋商将被认为非实质性响应。</w:t>
      </w:r>
    </w:p>
    <w:p>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1.3.</w:t>
      </w:r>
      <w:r>
        <w:rPr>
          <w:rFonts w:hint="eastAsia" w:ascii="宋体" w:hAnsi="Calibri" w:cs="宋体"/>
          <w:kern w:val="0"/>
          <w:sz w:val="24"/>
          <w:lang w:val="zh-CN"/>
        </w:rPr>
        <w:t>磋商供应商必须如实填写</w:t>
      </w:r>
      <w:r>
        <w:rPr>
          <w:rFonts w:ascii="宋体" w:hAnsi="Calibri" w:cs="宋体"/>
          <w:kern w:val="0"/>
          <w:sz w:val="24"/>
          <w:lang w:val="zh-CN"/>
        </w:rPr>
        <w:t>“</w:t>
      </w:r>
      <w:r>
        <w:rPr>
          <w:rFonts w:hint="eastAsia" w:ascii="宋体" w:hAnsi="Calibri" w:cs="宋体"/>
          <w:kern w:val="0"/>
          <w:sz w:val="24"/>
          <w:lang w:val="zh-CN"/>
        </w:rPr>
        <w:t>技术规格响应表</w:t>
      </w:r>
      <w:r>
        <w:rPr>
          <w:rFonts w:ascii="宋体" w:hAnsi="Calibri" w:cs="宋体"/>
          <w:kern w:val="0"/>
          <w:sz w:val="24"/>
          <w:lang w:val="zh-CN"/>
        </w:rPr>
        <w:t>”</w:t>
      </w:r>
      <w:r>
        <w:rPr>
          <w:rFonts w:hint="eastAsia" w:ascii="宋体" w:hAnsi="Calibri" w:cs="宋体"/>
          <w:kern w:val="0"/>
          <w:sz w:val="24"/>
          <w:lang w:val="zh-CN"/>
        </w:rPr>
        <w:t>，在</w:t>
      </w:r>
      <w:r>
        <w:rPr>
          <w:rFonts w:ascii="宋体" w:hAnsi="Calibri" w:cs="宋体"/>
          <w:kern w:val="0"/>
          <w:sz w:val="24"/>
          <w:lang w:val="zh-CN"/>
        </w:rPr>
        <w:t>“</w:t>
      </w:r>
      <w:r>
        <w:rPr>
          <w:rFonts w:hint="eastAsia" w:ascii="宋体" w:hAnsi="Calibri" w:cs="宋体"/>
          <w:kern w:val="0"/>
          <w:sz w:val="24"/>
          <w:lang w:val="zh-CN"/>
        </w:rPr>
        <w:t>磋商产品技术参数、指标</w:t>
      </w:r>
      <w:r>
        <w:rPr>
          <w:rFonts w:ascii="宋体" w:hAnsi="Calibri" w:cs="宋体"/>
          <w:kern w:val="0"/>
          <w:sz w:val="24"/>
          <w:lang w:val="zh-CN"/>
        </w:rPr>
        <w:t>”</w:t>
      </w:r>
      <w:r>
        <w:rPr>
          <w:rFonts w:hint="eastAsia" w:ascii="宋体" w:hAnsi="Calibri" w:cs="宋体"/>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hint="eastAsia" w:ascii="宋体" w:hAnsi="Calibri" w:cs="宋体"/>
          <w:kern w:val="0"/>
          <w:sz w:val="24"/>
          <w:lang w:val="zh-CN"/>
        </w:rPr>
        <w:t>＋、</w:t>
      </w:r>
      <w:r>
        <w:rPr>
          <w:rFonts w:ascii="宋体" w:hAnsi="Calibri" w:cs="宋体"/>
          <w:kern w:val="0"/>
          <w:sz w:val="24"/>
          <w:lang w:val="zh-CN"/>
        </w:rPr>
        <w:t>-</w:t>
      </w:r>
      <w:r>
        <w:rPr>
          <w:rFonts w:hint="eastAsia" w:ascii="宋体" w:hAnsi="Calibri" w:cs="宋体"/>
          <w:kern w:val="0"/>
          <w:sz w:val="24"/>
          <w:lang w:val="zh-CN"/>
        </w:rPr>
        <w:t>偏差。如果与磋商响应文件中提供的产品检测报告等证明材料中的实质性响应情况不一致或直接复制磋商文件</w:t>
      </w:r>
      <w:r>
        <w:rPr>
          <w:rFonts w:ascii="宋体" w:hAnsi="Calibri" w:cs="宋体"/>
          <w:kern w:val="0"/>
          <w:sz w:val="24"/>
          <w:lang w:val="zh-CN"/>
        </w:rPr>
        <w:t>“</w:t>
      </w:r>
      <w:r>
        <w:rPr>
          <w:rFonts w:hint="eastAsia" w:ascii="宋体" w:hAnsi="Calibri" w:cs="宋体"/>
          <w:kern w:val="0"/>
          <w:sz w:val="24"/>
          <w:lang w:val="zh-CN"/>
        </w:rPr>
        <w:t>采购需求技术参数、指标</w:t>
      </w:r>
      <w:r>
        <w:rPr>
          <w:rFonts w:ascii="宋体" w:hAnsi="Calibri" w:cs="宋体"/>
          <w:kern w:val="0"/>
          <w:sz w:val="24"/>
          <w:lang w:val="zh-CN"/>
        </w:rPr>
        <w:t>”</w:t>
      </w:r>
      <w:r>
        <w:rPr>
          <w:rFonts w:hint="eastAsia" w:ascii="宋体" w:hAnsi="Calibri" w:cs="宋体"/>
          <w:kern w:val="0"/>
          <w:sz w:val="24"/>
          <w:lang w:val="zh-CN"/>
        </w:rPr>
        <w:t>内容的，按无效磋商处理。</w:t>
      </w:r>
    </w:p>
    <w:p>
      <w:pPr>
        <w:autoSpaceDE w:val="0"/>
        <w:autoSpaceDN w:val="0"/>
        <w:adjustRightInd w:val="0"/>
        <w:spacing w:line="360" w:lineRule="auto"/>
        <w:ind w:firstLine="480" w:firstLineChars="200"/>
        <w:rPr>
          <w:rFonts w:ascii="宋体" w:hAnsi="Calibri" w:cs="宋体"/>
          <w:kern w:val="0"/>
          <w:sz w:val="24"/>
          <w:lang w:val="zh-CN"/>
        </w:rPr>
      </w:pPr>
      <w:r>
        <w:rPr>
          <w:rFonts w:ascii="宋体" w:hAnsi="Calibri" w:cs="宋体"/>
          <w:kern w:val="0"/>
          <w:sz w:val="24"/>
          <w:lang w:val="zh-CN"/>
        </w:rPr>
        <w:t>1.4.</w:t>
      </w:r>
      <w:r>
        <w:rPr>
          <w:rFonts w:hint="eastAsia" w:ascii="宋体" w:hAnsi="Calibri" w:cs="宋体"/>
          <w:kern w:val="0"/>
          <w:sz w:val="24"/>
          <w:lang w:val="zh-CN"/>
        </w:rPr>
        <w:t>交货时间、地点：按采购单位指定的时间、地点交货并安装交付使用。</w:t>
      </w:r>
    </w:p>
    <w:p>
      <w:pPr>
        <w:widowControl/>
        <w:adjustRightInd w:val="0"/>
        <w:snapToGrid w:val="0"/>
        <w:spacing w:line="360" w:lineRule="auto"/>
        <w:ind w:left="425" w:hanging="425"/>
        <w:jc w:val="left"/>
        <w:rPr>
          <w:rFonts w:ascii="宋体" w:hAnsi="宋体"/>
          <w:kern w:val="0"/>
          <w:sz w:val="24"/>
          <w:szCs w:val="22"/>
        </w:rPr>
      </w:pPr>
      <w:bookmarkStart w:id="139" w:name="_Toc428180597"/>
      <w:r>
        <w:rPr>
          <w:rFonts w:ascii="宋体" w:hAnsi="宋体"/>
          <w:kern w:val="0"/>
          <w:sz w:val="24"/>
          <w:szCs w:val="22"/>
        </w:rPr>
        <w:t>2.</w:t>
      </w:r>
      <w:r>
        <w:rPr>
          <w:rFonts w:hint="eastAsia" w:ascii="宋体" w:hAnsi="宋体"/>
          <w:kern w:val="0"/>
          <w:sz w:val="24"/>
          <w:szCs w:val="22"/>
        </w:rPr>
        <w:t>报价说明</w:t>
      </w:r>
      <w:bookmarkEnd w:id="139"/>
    </w:p>
    <w:p>
      <w:pPr>
        <w:autoSpaceDE w:val="0"/>
        <w:autoSpaceDN w:val="0"/>
        <w:adjustRightInd w:val="0"/>
        <w:spacing w:line="360" w:lineRule="auto"/>
        <w:ind w:firstLine="480"/>
        <w:rPr>
          <w:rFonts w:ascii="宋体" w:hAnsi="Calibri" w:cs="宋体"/>
          <w:kern w:val="0"/>
          <w:sz w:val="24"/>
          <w:lang w:val="zh-CN"/>
        </w:rPr>
      </w:pPr>
      <w:r>
        <w:rPr>
          <w:rFonts w:hint="eastAsia" w:ascii="宋体" w:hAnsi="Calibri" w:cs="宋体"/>
          <w:kern w:val="0"/>
          <w:sz w:val="24"/>
          <w:lang w:val="zh-CN"/>
        </w:rPr>
        <w:t>本次磋商文件中规定的采购预算额度为磋商最高限价，磋商供应商的磋商报价不得超出此额度。否则，磋商无效。</w:t>
      </w:r>
    </w:p>
    <w:p>
      <w:pPr>
        <w:widowControl/>
        <w:adjustRightInd w:val="0"/>
        <w:snapToGrid w:val="0"/>
        <w:spacing w:line="360" w:lineRule="auto"/>
        <w:ind w:left="425" w:hanging="425"/>
        <w:jc w:val="left"/>
        <w:rPr>
          <w:rFonts w:ascii="宋体" w:hAnsi="宋体"/>
          <w:kern w:val="0"/>
          <w:sz w:val="24"/>
          <w:szCs w:val="22"/>
        </w:rPr>
      </w:pPr>
      <w:bookmarkStart w:id="140" w:name="_Toc428180598"/>
      <w:r>
        <w:rPr>
          <w:rFonts w:ascii="宋体" w:hAnsi="宋体"/>
          <w:kern w:val="0"/>
          <w:sz w:val="24"/>
          <w:szCs w:val="22"/>
        </w:rPr>
        <w:t>3.</w:t>
      </w:r>
      <w:r>
        <w:rPr>
          <w:rFonts w:hint="eastAsia" w:ascii="宋体" w:hAnsi="宋体"/>
          <w:kern w:val="0"/>
          <w:sz w:val="24"/>
          <w:szCs w:val="22"/>
        </w:rPr>
        <w:t>重要指标</w:t>
      </w:r>
      <w:bookmarkEnd w:id="140"/>
    </w:p>
    <w:p>
      <w:pPr>
        <w:spacing w:line="360"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.技术参数中除注明签订合同时提供的相关授权、服务承诺等资料以外，其余相关资料在磋商时必须附在磋商响应文件中。</w:t>
      </w:r>
    </w:p>
    <w:p>
      <w:pPr>
        <w:widowControl/>
        <w:adjustRightInd w:val="0"/>
        <w:snapToGrid w:val="0"/>
        <w:spacing w:line="360" w:lineRule="auto"/>
        <w:ind w:firstLine="480" w:firstLineChars="20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3.2.</w:t>
      </w:r>
      <w:bookmarkStart w:id="141" w:name="_Toc428180599"/>
      <w:r>
        <w:rPr>
          <w:rFonts w:hint="eastAsia" w:ascii="宋体" w:hAnsi="宋体" w:cs="宋体"/>
          <w:color w:val="000000"/>
          <w:sz w:val="24"/>
          <w:szCs w:val="24"/>
          <w:lang w:val="en-US" w:eastAsia="zh-CN"/>
        </w:rPr>
        <w:t>“技术参数”中用星号“★”符号标注的属于重要技术参数、指标，必须完全响应，此项按负偏离扣分，不作废标处理（若未标注，无视此项）。</w:t>
      </w:r>
    </w:p>
    <w:p>
      <w:pPr>
        <w:widowControl/>
        <w:adjustRightInd w:val="0"/>
        <w:snapToGrid w:val="0"/>
        <w:spacing w:line="360" w:lineRule="auto"/>
        <w:jc w:val="left"/>
        <w:rPr>
          <w:rFonts w:ascii="宋体" w:hAnsi="宋体"/>
          <w:kern w:val="0"/>
          <w:sz w:val="24"/>
          <w:szCs w:val="22"/>
        </w:rPr>
      </w:pPr>
      <w:r>
        <w:rPr>
          <w:rFonts w:ascii="宋体" w:hAnsi="宋体"/>
          <w:kern w:val="0"/>
          <w:sz w:val="24"/>
          <w:szCs w:val="22"/>
        </w:rPr>
        <w:t>4.</w:t>
      </w:r>
      <w:r>
        <w:rPr>
          <w:rFonts w:hint="eastAsia" w:ascii="宋体" w:hAnsi="宋体"/>
          <w:kern w:val="0"/>
          <w:sz w:val="24"/>
          <w:szCs w:val="22"/>
        </w:rPr>
        <w:t>商务要求</w:t>
      </w:r>
      <w:bookmarkEnd w:id="141"/>
    </w:p>
    <w:p>
      <w:pPr>
        <w:shd w:val="clear"/>
        <w:spacing w:line="360" w:lineRule="auto"/>
        <w:ind w:firstLine="240" w:firstLineChars="100"/>
        <w:rPr>
          <w:color w:val="auto"/>
        </w:rPr>
      </w:pPr>
      <w:bookmarkStart w:id="142" w:name="_Toc488673674"/>
      <w:r>
        <w:rPr>
          <w:rFonts w:ascii="宋体" w:hAnsi="Calibri" w:cs="宋体"/>
          <w:color w:val="auto"/>
          <w:kern w:val="0"/>
          <w:sz w:val="24"/>
          <w:lang w:val="zh-CN"/>
        </w:rPr>
        <w:t>4.1.</w:t>
      </w:r>
      <w:r>
        <w:rPr>
          <w:rFonts w:hint="eastAsia" w:ascii="宋体" w:hAnsi="Calibri" w:cs="宋体"/>
          <w:color w:val="auto"/>
          <w:kern w:val="0"/>
          <w:sz w:val="24"/>
          <w:lang w:val="zh-CN"/>
        </w:rPr>
        <w:t>交货期：</w:t>
      </w:r>
      <w:bookmarkEnd w:id="142"/>
      <w:r>
        <w:rPr>
          <w:rFonts w:hint="eastAsia" w:ascii="宋体" w:hAnsi="宋体" w:cs="宋体"/>
          <w:color w:val="auto"/>
          <w:kern w:val="0"/>
          <w:sz w:val="24"/>
          <w:lang w:val="zh-CN"/>
        </w:rPr>
        <w:t>自合同签订之日起</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60</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日历日；</w:t>
      </w:r>
    </w:p>
    <w:p>
      <w:pPr>
        <w:shd w:val="clear"/>
        <w:autoSpaceDE w:val="0"/>
        <w:autoSpaceDN w:val="0"/>
        <w:adjustRightInd w:val="0"/>
        <w:spacing w:line="360" w:lineRule="auto"/>
        <w:ind w:firstLine="240" w:firstLineChars="100"/>
        <w:rPr>
          <w:rFonts w:ascii="宋体" w:hAnsi="宋体"/>
          <w:color w:val="auto"/>
          <w:sz w:val="24"/>
          <w:u w:val="single"/>
        </w:rPr>
      </w:pPr>
      <w:bookmarkStart w:id="143" w:name="_Toc488673675"/>
      <w:r>
        <w:rPr>
          <w:rFonts w:ascii="宋体" w:hAnsi="Calibri" w:cs="宋体"/>
          <w:color w:val="auto"/>
          <w:kern w:val="0"/>
          <w:sz w:val="24"/>
          <w:lang w:val="zh-CN"/>
        </w:rPr>
        <w:t>4.2.</w:t>
      </w:r>
      <w:r>
        <w:rPr>
          <w:rFonts w:hint="eastAsia" w:ascii="宋体" w:hAnsi="Calibri" w:cs="宋体"/>
          <w:color w:val="auto"/>
          <w:kern w:val="0"/>
          <w:sz w:val="24"/>
          <w:lang w:val="zh-CN"/>
        </w:rPr>
        <w:t>交货地点：</w:t>
      </w:r>
      <w:bookmarkEnd w:id="143"/>
      <w:r>
        <w:rPr>
          <w:rFonts w:hint="eastAsia" w:ascii="宋体" w:hAnsi="宋体" w:cs="宋体"/>
          <w:color w:val="auto"/>
          <w:kern w:val="0"/>
          <w:sz w:val="24"/>
          <w:lang w:val="zh-CN"/>
        </w:rPr>
        <w:t>采购人指定地点</w:t>
      </w:r>
      <w:r>
        <w:rPr>
          <w:rFonts w:hint="eastAsia" w:ascii="宋体" w:hAnsi="宋体"/>
          <w:color w:val="auto"/>
          <w:sz w:val="24"/>
        </w:rPr>
        <w:t>；</w:t>
      </w:r>
    </w:p>
    <w:p>
      <w:pPr>
        <w:shd w:val="clear"/>
        <w:autoSpaceDE w:val="0"/>
        <w:autoSpaceDN w:val="0"/>
        <w:adjustRightInd w:val="0"/>
        <w:spacing w:line="360" w:lineRule="auto"/>
        <w:ind w:firstLine="240" w:firstLineChars="100"/>
        <w:rPr>
          <w:rFonts w:ascii="宋体" w:hAnsi="Calibri" w:cs="宋体"/>
          <w:color w:val="auto"/>
          <w:kern w:val="0"/>
          <w:sz w:val="24"/>
          <w:lang w:val="zh-CN"/>
        </w:rPr>
      </w:pPr>
      <w:r>
        <w:rPr>
          <w:rFonts w:hint="eastAsia" w:ascii="宋体" w:hAnsi="Calibri" w:cs="宋体"/>
          <w:color w:val="auto"/>
          <w:kern w:val="0"/>
          <w:sz w:val="24"/>
          <w:lang w:val="zh-CN"/>
        </w:rPr>
        <w:t>4.3.质保期：</w:t>
      </w:r>
      <w:r>
        <w:rPr>
          <w:rFonts w:hint="eastAsia" w:ascii="宋体" w:hAnsi="Calibri" w:cs="宋体"/>
          <w:color w:val="auto"/>
          <w:kern w:val="0"/>
          <w:sz w:val="24"/>
          <w:lang w:val="en-US" w:eastAsia="zh-CN"/>
        </w:rPr>
        <w:t>一</w:t>
      </w:r>
      <w:r>
        <w:rPr>
          <w:rFonts w:hint="eastAsia" w:ascii="宋体" w:hAnsi="Calibri" w:cs="宋体"/>
          <w:color w:val="auto"/>
          <w:kern w:val="0"/>
          <w:sz w:val="24"/>
          <w:lang w:val="zh-CN"/>
        </w:rPr>
        <w:t>年；</w:t>
      </w:r>
    </w:p>
    <w:p>
      <w:pPr>
        <w:autoSpaceDE w:val="0"/>
        <w:autoSpaceDN w:val="0"/>
        <w:adjustRightInd w:val="0"/>
        <w:spacing w:line="360" w:lineRule="auto"/>
        <w:ind w:firstLine="240" w:firstLineChars="100"/>
      </w:pPr>
      <w:bookmarkStart w:id="144" w:name="_Toc488673676"/>
      <w:r>
        <w:rPr>
          <w:rFonts w:hint="eastAsia" w:ascii="宋体" w:hAnsi="Calibri" w:cs="宋体"/>
          <w:kern w:val="0"/>
          <w:sz w:val="24"/>
          <w:lang w:val="zh-CN"/>
        </w:rPr>
        <w:t>4.</w:t>
      </w:r>
      <w:r>
        <w:rPr>
          <w:rFonts w:hint="eastAsia" w:ascii="宋体" w:hAnsi="Calibri" w:cs="宋体"/>
          <w:kern w:val="0"/>
          <w:sz w:val="24"/>
          <w:lang w:val="en-US" w:eastAsia="zh-CN"/>
        </w:rPr>
        <w:t>4</w:t>
      </w:r>
      <w:r>
        <w:rPr>
          <w:rFonts w:hint="eastAsia" w:ascii="宋体" w:hAnsi="Calibri" w:cs="宋体"/>
          <w:kern w:val="0"/>
          <w:sz w:val="24"/>
          <w:lang w:val="zh-CN"/>
        </w:rPr>
        <w:t>.付款方式：</w:t>
      </w:r>
      <w:bookmarkEnd w:id="144"/>
      <w:bookmarkStart w:id="145" w:name="_Toc480468113"/>
      <w:bookmarkStart w:id="146" w:name="_Toc459377899"/>
      <w:bookmarkStart w:id="147" w:name="_Hlk486599483"/>
      <w:r>
        <w:rPr>
          <w:kern w:val="0"/>
          <w:sz w:val="24"/>
        </w:rPr>
        <w:t>详见“第</w:t>
      </w:r>
      <w:r>
        <w:rPr>
          <w:rFonts w:hint="eastAsia"/>
          <w:kern w:val="0"/>
          <w:sz w:val="24"/>
        </w:rPr>
        <w:t>四</w:t>
      </w:r>
      <w:r>
        <w:rPr>
          <w:kern w:val="0"/>
          <w:sz w:val="24"/>
        </w:rPr>
        <w:t>部分  青海省政府采购项目合同书范本”中“四、付款方式”的规定。</w:t>
      </w:r>
    </w:p>
    <w:p>
      <w:pPr>
        <w:autoSpaceDE w:val="0"/>
        <w:autoSpaceDN w:val="0"/>
        <w:adjustRightInd w:val="0"/>
        <w:spacing w:line="360" w:lineRule="auto"/>
        <w:rPr>
          <w:rFonts w:ascii="宋体" w:hAnsi="宋体"/>
          <w:b/>
          <w:bCs/>
          <w:kern w:val="0"/>
          <w:sz w:val="32"/>
          <w:szCs w:val="32"/>
        </w:rPr>
        <w:sectPr>
          <w:headerReference r:id="rId4" w:type="first"/>
          <w:headerReference r:id="rId3" w:type="default"/>
          <w:footerReference r:id="rId5" w:type="default"/>
          <w:pgSz w:w="11906" w:h="16838"/>
          <w:pgMar w:top="1440" w:right="1077" w:bottom="1440" w:left="1077" w:header="851" w:footer="992" w:gutter="0"/>
          <w:pgNumType w:start="0"/>
          <w:cols w:space="720" w:num="1"/>
          <w:titlePg/>
          <w:docGrid w:linePitch="312" w:charSpace="0"/>
        </w:sectPr>
      </w:pPr>
    </w:p>
    <w:bookmarkEnd w:id="145"/>
    <w:bookmarkEnd w:id="146"/>
    <w:bookmarkEnd w:id="147"/>
    <w:p>
      <w:pPr>
        <w:jc w:val="center"/>
        <w:rPr>
          <w:rFonts w:hint="default" w:ascii="宋体" w:hAnsi="宋体" w:eastAsia="宋体"/>
          <w:b/>
          <w:bCs/>
          <w:sz w:val="32"/>
          <w:szCs w:val="32"/>
          <w:lang w:val="en-US" w:eastAsia="zh-CN"/>
        </w:rPr>
      </w:pPr>
      <w:r>
        <w:rPr>
          <w:rFonts w:hint="eastAsia" w:ascii="宋体" w:hAnsi="宋体" w:eastAsia="宋体"/>
          <w:b/>
          <w:bCs/>
          <w:sz w:val="32"/>
          <w:szCs w:val="32"/>
          <w:lang w:val="en-US" w:eastAsia="zh-CN"/>
        </w:rPr>
        <w:t>二、项目概况及技术参数</w:t>
      </w:r>
    </w:p>
    <w:tbl>
      <w:tblPr>
        <w:tblStyle w:val="32"/>
        <w:tblW w:w="10243" w:type="dxa"/>
        <w:jc w:val="center"/>
        <w:tblLayout w:type="fixed"/>
        <w:tblCellMar>
          <w:top w:w="0" w:type="dxa"/>
          <w:left w:w="108" w:type="dxa"/>
          <w:bottom w:w="0" w:type="dxa"/>
          <w:right w:w="108" w:type="dxa"/>
        </w:tblCellMar>
      </w:tblPr>
      <w:tblGrid>
        <w:gridCol w:w="662"/>
        <w:gridCol w:w="1798"/>
        <w:gridCol w:w="18"/>
        <w:gridCol w:w="5752"/>
        <w:gridCol w:w="1021"/>
        <w:gridCol w:w="992"/>
      </w:tblGrid>
      <w:tr>
        <w:tblPrEx>
          <w:tblCellMar>
            <w:top w:w="0" w:type="dxa"/>
            <w:left w:w="108" w:type="dxa"/>
            <w:bottom w:w="0" w:type="dxa"/>
            <w:right w:w="108" w:type="dxa"/>
          </w:tblCellMar>
        </w:tblPrEx>
        <w:trPr>
          <w:trHeight w:val="585"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Courier New"/>
                <w:b/>
                <w:bCs/>
                <w:color w:val="000000"/>
                <w:kern w:val="0"/>
                <w:sz w:val="21"/>
                <w:szCs w:val="21"/>
              </w:rPr>
            </w:pPr>
            <w:r>
              <w:rPr>
                <w:rFonts w:ascii="宋体" w:hAnsi="宋体" w:cs="Courier New"/>
                <w:b/>
                <w:bCs/>
                <w:color w:val="000000"/>
                <w:kern w:val="0"/>
                <w:sz w:val="21"/>
                <w:szCs w:val="21"/>
              </w:rPr>
              <w:t>序号</w:t>
            </w:r>
          </w:p>
        </w:tc>
        <w:tc>
          <w:tcPr>
            <w:tcW w:w="1816"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Courier New"/>
                <w:b/>
                <w:bCs/>
                <w:color w:val="000000"/>
                <w:kern w:val="0"/>
                <w:sz w:val="21"/>
                <w:szCs w:val="21"/>
              </w:rPr>
            </w:pPr>
            <w:r>
              <w:rPr>
                <w:rFonts w:hint="eastAsia" w:ascii="宋体" w:hAnsi="宋体" w:cs="Courier New"/>
                <w:b/>
                <w:bCs/>
                <w:color w:val="000000"/>
                <w:kern w:val="0"/>
                <w:sz w:val="21"/>
                <w:szCs w:val="21"/>
              </w:rPr>
              <w:t>货物名称</w:t>
            </w:r>
          </w:p>
        </w:tc>
        <w:tc>
          <w:tcPr>
            <w:tcW w:w="5752"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hint="eastAsia" w:ascii="宋体" w:hAnsi="宋体" w:eastAsia="宋体" w:cs="Courier New"/>
                <w:b/>
                <w:bCs/>
                <w:color w:val="000000"/>
                <w:kern w:val="0"/>
                <w:sz w:val="21"/>
                <w:szCs w:val="21"/>
                <w:lang w:eastAsia="zh-CN"/>
              </w:rPr>
            </w:pPr>
            <w:r>
              <w:rPr>
                <w:rFonts w:hint="eastAsia" w:ascii="宋体" w:hAnsi="宋体" w:cs="Courier New"/>
                <w:b/>
                <w:bCs/>
                <w:color w:val="000000"/>
                <w:kern w:val="0"/>
                <w:sz w:val="21"/>
                <w:szCs w:val="21"/>
              </w:rPr>
              <w:t>技术</w:t>
            </w:r>
            <w:r>
              <w:rPr>
                <w:rFonts w:hint="eastAsia" w:ascii="宋体" w:hAnsi="宋体" w:cs="Courier New"/>
                <w:b/>
                <w:bCs/>
                <w:color w:val="000000"/>
                <w:kern w:val="0"/>
                <w:sz w:val="21"/>
                <w:szCs w:val="21"/>
                <w:lang w:val="en-US" w:eastAsia="zh-CN"/>
              </w:rPr>
              <w:t>参数</w:t>
            </w:r>
          </w:p>
        </w:tc>
        <w:tc>
          <w:tcPr>
            <w:tcW w:w="1021"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Courier New"/>
                <w:b/>
                <w:bCs/>
                <w:color w:val="000000"/>
                <w:kern w:val="0"/>
                <w:sz w:val="21"/>
                <w:szCs w:val="21"/>
              </w:rPr>
            </w:pPr>
            <w:r>
              <w:rPr>
                <w:rFonts w:ascii="宋体" w:hAnsi="宋体" w:cs="Courier New"/>
                <w:b/>
                <w:bCs/>
                <w:color w:val="000000"/>
                <w:kern w:val="0"/>
                <w:sz w:val="21"/>
                <w:szCs w:val="21"/>
              </w:rPr>
              <w:t>数量</w:t>
            </w:r>
          </w:p>
        </w:tc>
        <w:tc>
          <w:tcPr>
            <w:tcW w:w="992"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宋体" w:hAnsi="宋体" w:cs="Courier New"/>
                <w:b/>
                <w:bCs/>
                <w:color w:val="000000"/>
                <w:kern w:val="0"/>
                <w:sz w:val="21"/>
                <w:szCs w:val="21"/>
              </w:rPr>
            </w:pPr>
            <w:r>
              <w:rPr>
                <w:rFonts w:ascii="宋体" w:hAnsi="宋体" w:cs="Courier New"/>
                <w:b/>
                <w:bCs/>
                <w:color w:val="000000"/>
                <w:kern w:val="0"/>
                <w:sz w:val="21"/>
                <w:szCs w:val="21"/>
              </w:rPr>
              <w:t>单位</w:t>
            </w:r>
          </w:p>
        </w:tc>
      </w:tr>
      <w:tr>
        <w:tblPrEx>
          <w:tblCellMar>
            <w:top w:w="0" w:type="dxa"/>
            <w:left w:w="108" w:type="dxa"/>
            <w:bottom w:w="0" w:type="dxa"/>
            <w:right w:w="108" w:type="dxa"/>
          </w:tblCellMar>
        </w:tblPrEx>
        <w:trPr>
          <w:trHeight w:val="543" w:hRule="atLeast"/>
          <w:jc w:val="center"/>
        </w:trPr>
        <w:tc>
          <w:tcPr>
            <w:tcW w:w="10243" w:type="dxa"/>
            <w:gridSpan w:val="6"/>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b/>
                <w:color w:val="000000"/>
                <w:kern w:val="0"/>
                <w:sz w:val="21"/>
                <w:szCs w:val="21"/>
              </w:rPr>
            </w:pPr>
            <w:r>
              <w:rPr>
                <w:rFonts w:hint="eastAsia" w:ascii="宋体" w:hAnsi="宋体" w:cs="宋体"/>
                <w:b/>
                <w:color w:val="000000"/>
                <w:kern w:val="0"/>
                <w:sz w:val="21"/>
                <w:szCs w:val="21"/>
              </w:rPr>
              <w:t>阅览室</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钢制书架</w:t>
            </w:r>
          </w:p>
        </w:tc>
        <w:tc>
          <w:tcPr>
            <w:tcW w:w="5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 w:val="21"/>
                <w:szCs w:val="21"/>
              </w:rPr>
            </w:pPr>
            <w:r>
              <w:rPr>
                <w:rFonts w:hint="eastAsia" w:ascii="宋体" w:hAnsi="宋体" w:cs="宋体"/>
                <w:color w:val="auto"/>
                <w:sz w:val="21"/>
                <w:szCs w:val="21"/>
              </w:rPr>
              <w:t>1、书架规格:双面主架5层，L*B*H:≥1.9m*0.3m*2m</w:t>
            </w:r>
          </w:p>
          <w:p>
            <w:pPr>
              <w:widowControl/>
              <w:spacing w:line="360" w:lineRule="exact"/>
              <w:jc w:val="left"/>
              <w:rPr>
                <w:rFonts w:ascii="宋体" w:hAnsi="宋体" w:cs="宋体"/>
                <w:sz w:val="21"/>
                <w:szCs w:val="21"/>
              </w:rPr>
            </w:pPr>
            <w:r>
              <w:rPr>
                <w:rFonts w:hint="eastAsia" w:ascii="宋体" w:hAnsi="宋体" w:cs="宋体"/>
                <w:sz w:val="21"/>
                <w:szCs w:val="21"/>
              </w:rPr>
              <w:t>2、材料种类、规格:金属，优质冷轧钢板，防锈漆。</w:t>
            </w:r>
          </w:p>
          <w:p>
            <w:pPr>
              <w:widowControl/>
              <w:spacing w:line="360" w:lineRule="exact"/>
              <w:jc w:val="left"/>
              <w:rPr>
                <w:rFonts w:ascii="宋体" w:hAnsi="宋体" w:cs="宋体"/>
                <w:sz w:val="21"/>
                <w:szCs w:val="21"/>
              </w:rPr>
            </w:pPr>
            <w:r>
              <w:rPr>
                <w:rFonts w:hint="eastAsia" w:ascii="宋体" w:hAnsi="宋体" w:cs="宋体"/>
                <w:sz w:val="21"/>
                <w:szCs w:val="21"/>
              </w:rPr>
              <w:t>3、颜色: 双面一列二组（磨砂黑） </w:t>
            </w:r>
          </w:p>
          <w:p>
            <w:pPr>
              <w:widowControl/>
              <w:spacing w:line="360" w:lineRule="exact"/>
              <w:jc w:val="left"/>
              <w:rPr>
                <w:rFonts w:ascii="宋体" w:hAnsi="宋体" w:cs="宋体"/>
                <w:sz w:val="21"/>
                <w:szCs w:val="21"/>
              </w:rPr>
            </w:pPr>
            <w:r>
              <w:rPr>
                <w:rFonts w:hint="eastAsia" w:ascii="宋体" w:hAnsi="宋体" w:cs="宋体"/>
                <w:sz w:val="21"/>
                <w:szCs w:val="21"/>
              </w:rPr>
              <w:t>4、附加功能: 折叠 拆装 移动</w:t>
            </w:r>
          </w:p>
          <w:p>
            <w:pPr>
              <w:widowControl/>
              <w:spacing w:line="360" w:lineRule="exact"/>
              <w:jc w:val="left"/>
              <w:rPr>
                <w:rFonts w:ascii="宋体" w:hAnsi="宋体" w:cs="宋体"/>
                <w:sz w:val="21"/>
                <w:szCs w:val="21"/>
              </w:rPr>
            </w:pPr>
            <w:r>
              <w:rPr>
                <w:rFonts w:hint="eastAsia" w:ascii="宋体" w:hAnsi="宋体" w:cs="宋体"/>
                <w:sz w:val="21"/>
                <w:szCs w:val="21"/>
              </w:rPr>
              <w:t>5、柜体要求；全钢柜体，粉末喷涂</w:t>
            </w:r>
          </w:p>
          <w:p>
            <w:pPr>
              <w:widowControl/>
              <w:spacing w:line="360" w:lineRule="exact"/>
              <w:jc w:val="left"/>
              <w:rPr>
                <w:rFonts w:ascii="宋体" w:hAnsi="宋体" w:cs="宋体"/>
                <w:sz w:val="21"/>
                <w:szCs w:val="21"/>
              </w:rPr>
            </w:pPr>
            <w:r>
              <w:rPr>
                <w:rFonts w:hint="eastAsia" w:ascii="宋体" w:hAnsi="宋体" w:cs="宋体"/>
                <w:sz w:val="21"/>
                <w:szCs w:val="21"/>
              </w:rPr>
              <w:t>6、安全要求：光滑无异，防火防潮</w:t>
            </w:r>
          </w:p>
          <w:p>
            <w:pPr>
              <w:rPr>
                <w:rFonts w:ascii="宋体" w:hAnsi="宋体" w:cs="宋体"/>
                <w:sz w:val="21"/>
                <w:szCs w:val="21"/>
              </w:rPr>
            </w:pPr>
            <w:r>
              <w:rPr>
                <w:rFonts w:hint="eastAsia" w:ascii="宋体" w:hAnsi="宋体" w:cs="宋体"/>
                <w:sz w:val="21"/>
                <w:szCs w:val="21"/>
              </w:rPr>
              <w:t>7、层板要求：优质冷轧钢板，防锈漆、双面档书条</w:t>
            </w:r>
          </w:p>
          <w:p>
            <w:pPr>
              <w:rPr>
                <w:rFonts w:ascii="宋体" w:hAnsi="宋体" w:cs="宋体"/>
                <w:sz w:val="21"/>
                <w:szCs w:val="21"/>
              </w:rPr>
            </w:pPr>
            <w:r>
              <w:rPr>
                <w:rFonts w:hint="eastAsia" w:ascii="宋体" w:hAnsi="宋体" w:cs="宋体"/>
                <w:sz w:val="21"/>
                <w:szCs w:val="21"/>
              </w:rPr>
              <w:t>8、连接方式：卡扣设计，可调节层板高度与层数</w:t>
            </w:r>
          </w:p>
          <w:p>
            <w:pPr>
              <w:rPr>
                <w:rFonts w:ascii="宋体" w:hAnsi="宋体" w:cs="宋体"/>
                <w:sz w:val="21"/>
                <w:szCs w:val="21"/>
              </w:rPr>
            </w:pPr>
            <w:r>
              <w:rPr>
                <w:rFonts w:hint="eastAsia" w:ascii="宋体" w:hAnsi="宋体" w:cs="宋体"/>
                <w:sz w:val="21"/>
                <w:szCs w:val="21"/>
              </w:rPr>
              <w:t>9、包装要求：提供外围打木宽架，每套配件独立高强度纸皮箱包装</w:t>
            </w:r>
          </w:p>
          <w:p>
            <w:pPr>
              <w:widowControl/>
              <w:spacing w:line="360" w:lineRule="atLeast"/>
              <w:ind w:right="300"/>
              <w:rPr>
                <w:rFonts w:ascii="宋体" w:hAnsi="宋体" w:cs="宋体"/>
                <w:sz w:val="21"/>
                <w:szCs w:val="21"/>
              </w:rPr>
            </w:pPr>
            <w:r>
              <w:rPr>
                <w:rFonts w:hint="eastAsia" w:ascii="宋体" w:hAnsi="宋体" w:cs="宋体"/>
                <w:sz w:val="21"/>
                <w:szCs w:val="21"/>
              </w:rPr>
              <w:t>10、安装: 包安装</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组</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中央木质书架</w:t>
            </w:r>
          </w:p>
        </w:tc>
        <w:tc>
          <w:tcPr>
            <w:tcW w:w="5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sz w:val="21"/>
                <w:szCs w:val="21"/>
              </w:rPr>
            </w:pPr>
            <w:r>
              <w:rPr>
                <w:rFonts w:hint="eastAsia" w:ascii="宋体" w:hAnsi="宋体" w:cs="宋体"/>
                <w:sz w:val="21"/>
                <w:szCs w:val="21"/>
              </w:rPr>
              <w:t>1、书架规格:双面主架5层，L*B*H :1*0.32*2m</w:t>
            </w:r>
          </w:p>
          <w:p>
            <w:pPr>
              <w:widowControl/>
              <w:spacing w:line="360" w:lineRule="exact"/>
              <w:jc w:val="left"/>
              <w:rPr>
                <w:rFonts w:ascii="宋体" w:hAnsi="宋体" w:cs="宋体"/>
                <w:sz w:val="21"/>
                <w:szCs w:val="21"/>
              </w:rPr>
            </w:pPr>
            <w:r>
              <w:rPr>
                <w:rFonts w:hint="eastAsia" w:ascii="宋体" w:hAnsi="宋体" w:cs="宋体"/>
                <w:sz w:val="21"/>
                <w:szCs w:val="21"/>
              </w:rPr>
              <w:t xml:space="preserve">2、结构: 框架结构 </w:t>
            </w:r>
          </w:p>
          <w:p>
            <w:pPr>
              <w:widowControl/>
              <w:spacing w:line="360" w:lineRule="exact"/>
              <w:jc w:val="left"/>
              <w:rPr>
                <w:rFonts w:ascii="宋体" w:hAnsi="宋体" w:cs="宋体"/>
                <w:sz w:val="21"/>
                <w:szCs w:val="21"/>
              </w:rPr>
            </w:pPr>
            <w:r>
              <w:rPr>
                <w:rFonts w:hint="eastAsia" w:ascii="宋体" w:hAnsi="宋体" w:cs="宋体"/>
                <w:sz w:val="21"/>
                <w:szCs w:val="21"/>
              </w:rPr>
              <w:t>3、材质: 木质</w:t>
            </w:r>
          </w:p>
          <w:p>
            <w:pPr>
              <w:widowControl/>
              <w:spacing w:line="360" w:lineRule="exact"/>
              <w:jc w:val="left"/>
              <w:rPr>
                <w:rFonts w:ascii="宋体" w:hAnsi="宋体" w:cs="宋体"/>
                <w:sz w:val="21"/>
                <w:szCs w:val="21"/>
              </w:rPr>
            </w:pPr>
            <w:r>
              <w:rPr>
                <w:rFonts w:hint="eastAsia" w:ascii="宋体" w:hAnsi="宋体" w:cs="宋体"/>
                <w:sz w:val="21"/>
                <w:szCs w:val="21"/>
              </w:rPr>
              <w:t>4、分类: 五层 宽书柜</w:t>
            </w:r>
          </w:p>
          <w:p>
            <w:pPr>
              <w:widowControl/>
              <w:spacing w:line="360" w:lineRule="exact"/>
              <w:jc w:val="left"/>
              <w:rPr>
                <w:rFonts w:hint="eastAsia" w:ascii="宋体" w:hAnsi="宋体" w:eastAsia="宋体" w:cs="宋体"/>
                <w:sz w:val="21"/>
                <w:szCs w:val="21"/>
                <w:lang w:eastAsia="zh-CN"/>
              </w:rPr>
            </w:pPr>
            <w:r>
              <w:rPr>
                <w:rFonts w:hint="eastAsia" w:ascii="宋体" w:hAnsi="宋体" w:cs="宋体"/>
                <w:sz w:val="21"/>
                <w:szCs w:val="21"/>
              </w:rPr>
              <w:t>5、木材：橡胶木实木框架，稳固结实，防潮耐磨，腐蚀，承重力强</w:t>
            </w:r>
            <w:r>
              <w:rPr>
                <w:rFonts w:hint="eastAsia" w:ascii="宋体" w:hAnsi="宋体" w:cs="宋体"/>
                <w:sz w:val="21"/>
                <w:szCs w:val="21"/>
                <w:lang w:eastAsia="zh-CN"/>
              </w:rPr>
              <w:t>。</w:t>
            </w:r>
          </w:p>
          <w:p>
            <w:pPr>
              <w:widowControl/>
              <w:spacing w:line="360" w:lineRule="exact"/>
              <w:jc w:val="left"/>
              <w:rPr>
                <w:rFonts w:ascii="宋体" w:hAnsi="宋体" w:cs="宋体"/>
                <w:sz w:val="21"/>
                <w:szCs w:val="21"/>
              </w:rPr>
            </w:pPr>
            <w:r>
              <w:rPr>
                <w:rFonts w:hint="eastAsia" w:ascii="宋体" w:hAnsi="宋体" w:cs="宋体"/>
                <w:sz w:val="21"/>
                <w:szCs w:val="21"/>
              </w:rPr>
              <w:t>6、板料要求：高密度板贴桦木薄片，板面平整光滑，薄片纹理清晰自然，美观大气。</w:t>
            </w:r>
          </w:p>
          <w:p>
            <w:pPr>
              <w:widowControl/>
              <w:spacing w:line="360" w:lineRule="exact"/>
              <w:jc w:val="left"/>
              <w:rPr>
                <w:rFonts w:ascii="宋体" w:hAnsi="宋体" w:cs="宋体"/>
                <w:sz w:val="21"/>
                <w:szCs w:val="21"/>
              </w:rPr>
            </w:pPr>
            <w:r>
              <w:rPr>
                <w:rFonts w:hint="eastAsia" w:ascii="宋体" w:hAnsi="宋体" w:cs="宋体"/>
                <w:sz w:val="21"/>
                <w:szCs w:val="21"/>
              </w:rPr>
              <w:t>7、雕刻：纯手工全实木雕花，每一个花瓣都是千刀百琢完成，花型栩栩如生。</w:t>
            </w:r>
          </w:p>
          <w:p>
            <w:pPr>
              <w:widowControl/>
              <w:spacing w:line="360" w:lineRule="exact"/>
              <w:jc w:val="left"/>
              <w:rPr>
                <w:rFonts w:ascii="宋体" w:hAnsi="宋体" w:cs="宋体"/>
                <w:sz w:val="21"/>
                <w:szCs w:val="21"/>
              </w:rPr>
            </w:pPr>
            <w:r>
              <w:rPr>
                <w:rFonts w:hint="eastAsia" w:ascii="宋体" w:hAnsi="宋体" w:cs="宋体"/>
                <w:sz w:val="21"/>
                <w:szCs w:val="21"/>
              </w:rPr>
              <w:t>8、油漆：环保涂料阿克苏油漆自然环保,三底两面,20-30道涂装工艺，NC透底油漆，木纹清晰</w:t>
            </w:r>
          </w:p>
          <w:p>
            <w:pPr>
              <w:widowControl/>
              <w:spacing w:line="360" w:lineRule="atLeast"/>
              <w:ind w:right="300"/>
              <w:rPr>
                <w:rFonts w:ascii="宋体" w:hAnsi="宋体" w:cs="宋体"/>
                <w:sz w:val="21"/>
                <w:szCs w:val="21"/>
              </w:rPr>
            </w:pPr>
            <w:r>
              <w:rPr>
                <w:rFonts w:hint="eastAsia" w:ascii="宋体" w:hAnsi="宋体" w:cs="宋体"/>
                <w:sz w:val="21"/>
                <w:szCs w:val="21"/>
              </w:rPr>
              <w:t>9、安装: 包安装</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岩面茶几</w:t>
            </w:r>
          </w:p>
        </w:tc>
        <w:tc>
          <w:tcPr>
            <w:tcW w:w="5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 w:val="21"/>
                <w:szCs w:val="21"/>
              </w:rPr>
            </w:pPr>
            <w:r>
              <w:rPr>
                <w:rFonts w:hint="eastAsia" w:ascii="宋体" w:hAnsi="宋体" w:cs="宋体"/>
                <w:color w:val="auto"/>
                <w:sz w:val="21"/>
                <w:szCs w:val="21"/>
              </w:rPr>
              <w:t xml:space="preserve">1、规格:≥长1.3米* 宽0.70米*高0.40米 </w:t>
            </w:r>
          </w:p>
          <w:p>
            <w:pPr>
              <w:widowControl/>
              <w:spacing w:line="360" w:lineRule="exact"/>
              <w:jc w:val="left"/>
              <w:rPr>
                <w:rFonts w:ascii="宋体" w:hAnsi="宋体" w:cs="宋体"/>
                <w:sz w:val="21"/>
                <w:szCs w:val="21"/>
              </w:rPr>
            </w:pPr>
            <w:r>
              <w:rPr>
                <w:rFonts w:hint="eastAsia" w:ascii="宋体" w:hAnsi="宋体" w:cs="宋体"/>
                <w:sz w:val="21"/>
                <w:szCs w:val="21"/>
              </w:rPr>
              <w:t xml:space="preserve">2、材质:火烧石 </w:t>
            </w:r>
          </w:p>
          <w:p>
            <w:pPr>
              <w:widowControl/>
              <w:spacing w:line="360" w:lineRule="exact"/>
              <w:jc w:val="left"/>
              <w:rPr>
                <w:rFonts w:ascii="宋体" w:hAnsi="宋体" w:cs="宋体"/>
                <w:sz w:val="21"/>
                <w:szCs w:val="21"/>
              </w:rPr>
            </w:pPr>
            <w:r>
              <w:rPr>
                <w:rFonts w:hint="eastAsia" w:ascii="宋体" w:hAnsi="宋体" w:cs="宋体"/>
                <w:sz w:val="21"/>
                <w:szCs w:val="21"/>
              </w:rPr>
              <w:t xml:space="preserve">3、风格:现代中式 </w:t>
            </w:r>
          </w:p>
          <w:p>
            <w:pPr>
              <w:widowControl/>
              <w:spacing w:line="360" w:lineRule="atLeast"/>
              <w:ind w:right="300"/>
              <w:rPr>
                <w:rFonts w:ascii="宋体" w:hAnsi="宋体" w:cs="宋体"/>
                <w:sz w:val="21"/>
                <w:szCs w:val="21"/>
              </w:rPr>
            </w:pPr>
            <w:r>
              <w:rPr>
                <w:rFonts w:hint="eastAsia" w:ascii="宋体" w:hAnsi="宋体" w:cs="宋体"/>
                <w:sz w:val="21"/>
                <w:szCs w:val="21"/>
              </w:rPr>
              <w:t>4、材质:人造板</w:t>
            </w:r>
          </w:p>
          <w:p>
            <w:pPr>
              <w:widowControl/>
              <w:spacing w:line="360" w:lineRule="atLeast"/>
              <w:ind w:right="300"/>
              <w:rPr>
                <w:rFonts w:ascii="宋体" w:hAnsi="宋体" w:cs="宋体"/>
                <w:sz w:val="21"/>
                <w:szCs w:val="21"/>
              </w:rPr>
            </w:pPr>
            <w:r>
              <w:rPr>
                <w:rFonts w:hint="eastAsia" w:ascii="宋体" w:hAnsi="宋体" w:cs="宋体"/>
                <w:sz w:val="21"/>
                <w:szCs w:val="21"/>
              </w:rPr>
              <w:t>5、人造板种类:密度板/纤维板</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、形状:方形</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、安装方式:整装</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、颜色分类:1.4茶几 火烧石</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、毛重:120</w:t>
            </w:r>
          </w:p>
          <w:p>
            <w:pPr>
              <w:widowControl/>
              <w:shd w:val="clear"/>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、饰面材质:木</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、是否可伸缩:不可伸缩</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、结构工艺:其他</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、饰面工艺:人造板工艺</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4</w:t>
            </w:r>
            <w:r>
              <w:rPr>
                <w:rFonts w:hint="eastAsia" w:ascii="宋体" w:hAnsi="宋体" w:cs="宋体"/>
                <w:sz w:val="21"/>
                <w:szCs w:val="21"/>
              </w:rPr>
              <w:t>、人造板饰面工艺:木皮饰面</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、是否带滚轮:否</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、门数量:3门</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7</w:t>
            </w:r>
            <w:r>
              <w:rPr>
                <w:rFonts w:hint="eastAsia" w:ascii="宋体" w:hAnsi="宋体" w:cs="宋体"/>
                <w:sz w:val="21"/>
                <w:szCs w:val="21"/>
              </w:rPr>
              <w:t>、是否带储物空间:是</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18</w:t>
            </w:r>
            <w:r>
              <w:rPr>
                <w:rFonts w:hint="eastAsia" w:ascii="宋体" w:hAnsi="宋体" w:cs="宋体"/>
                <w:sz w:val="21"/>
                <w:szCs w:val="21"/>
              </w:rPr>
              <w:t>、是否组装:整装</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19</w:t>
            </w:r>
            <w:r>
              <w:rPr>
                <w:rFonts w:hint="eastAsia" w:ascii="宋体" w:hAnsi="宋体" w:cs="宋体"/>
                <w:sz w:val="21"/>
                <w:szCs w:val="21"/>
              </w:rPr>
              <w:t>、茶几角形状:圆形</w:t>
            </w:r>
          </w:p>
          <w:p>
            <w:pPr>
              <w:widowControl/>
              <w:spacing w:line="360" w:lineRule="atLeast"/>
              <w:ind w:right="3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0</w:t>
            </w:r>
            <w:r>
              <w:rPr>
                <w:rFonts w:hint="eastAsia" w:ascii="宋体" w:hAnsi="宋体" w:cs="宋体"/>
                <w:sz w:val="21"/>
                <w:szCs w:val="21"/>
              </w:rPr>
              <w:t>、款式定位:艺术风格型</w:t>
            </w:r>
          </w:p>
          <w:p>
            <w:pPr>
              <w:widowControl/>
              <w:spacing w:line="360" w:lineRule="atLeast"/>
              <w:ind w:right="3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1</w:t>
            </w:r>
            <w:r>
              <w:rPr>
                <w:rFonts w:hint="eastAsia" w:ascii="宋体" w:hAnsi="宋体" w:cs="宋体"/>
                <w:sz w:val="21"/>
                <w:szCs w:val="21"/>
              </w:rPr>
              <w:t>、安装:包安装</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休闲</w:t>
            </w:r>
            <w:r>
              <w:rPr>
                <w:rFonts w:hint="eastAsia" w:ascii="宋体" w:hAnsi="宋体" w:cs="宋体"/>
                <w:color w:val="auto"/>
                <w:kern w:val="0"/>
                <w:sz w:val="21"/>
                <w:szCs w:val="21"/>
                <w:lang w:val="en-US" w:eastAsia="zh-CN"/>
              </w:rPr>
              <w:t>组合</w:t>
            </w:r>
            <w:r>
              <w:rPr>
                <w:rFonts w:hint="eastAsia" w:ascii="宋体" w:hAnsi="宋体" w:cs="宋体"/>
                <w:color w:val="auto"/>
                <w:kern w:val="0"/>
                <w:sz w:val="21"/>
                <w:szCs w:val="21"/>
              </w:rPr>
              <w:t>沙发</w:t>
            </w:r>
          </w:p>
          <w:p>
            <w:pPr>
              <w:widowControl/>
              <w:spacing w:line="360" w:lineRule="exact"/>
              <w:jc w:val="center"/>
              <w:rPr>
                <w:rFonts w:hint="eastAsia" w:ascii="宋体" w:hAnsi="宋体" w:eastAsia="宋体" w:cs="宋体"/>
                <w:color w:val="000000"/>
                <w:kern w:val="0"/>
                <w:sz w:val="21"/>
                <w:szCs w:val="21"/>
                <w:lang w:eastAsia="zh-CN"/>
              </w:rPr>
            </w:pPr>
          </w:p>
        </w:tc>
        <w:tc>
          <w:tcPr>
            <w:tcW w:w="5752" w:type="dxa"/>
            <w:tcBorders>
              <w:top w:val="single" w:color="auto" w:sz="4" w:space="0"/>
              <w:left w:val="single" w:color="auto" w:sz="4" w:space="0"/>
              <w:bottom w:val="single" w:color="auto" w:sz="4" w:space="0"/>
              <w:right w:val="single" w:color="auto" w:sz="4" w:space="0"/>
            </w:tcBorders>
            <w:noWrap/>
            <w:vAlign w:val="center"/>
          </w:tcPr>
          <w:p>
            <w:pPr>
              <w:widowControl/>
              <w:shd w:val="clear"/>
              <w:spacing w:line="360" w:lineRule="atLeast"/>
              <w:ind w:right="300"/>
              <w:rPr>
                <w:rFonts w:ascii="宋体" w:hAnsi="宋体" w:cs="宋体"/>
                <w:color w:val="auto"/>
                <w:sz w:val="21"/>
                <w:szCs w:val="21"/>
              </w:rPr>
            </w:pPr>
            <w:r>
              <w:rPr>
                <w:rFonts w:hint="eastAsia" w:ascii="宋体" w:hAnsi="宋体" w:cs="宋体"/>
                <w:color w:val="auto"/>
                <w:sz w:val="21"/>
                <w:szCs w:val="21"/>
              </w:rPr>
              <w:t>1、材质:木</w:t>
            </w:r>
          </w:p>
          <w:p>
            <w:pPr>
              <w:widowControl/>
              <w:shd w:val="clear"/>
              <w:spacing w:line="360" w:lineRule="atLeast"/>
              <w:ind w:right="300"/>
              <w:rPr>
                <w:rFonts w:ascii="宋体" w:hAnsi="宋体" w:cs="宋体"/>
                <w:color w:val="auto"/>
                <w:sz w:val="21"/>
                <w:szCs w:val="21"/>
              </w:rPr>
            </w:pPr>
            <w:r>
              <w:rPr>
                <w:rFonts w:hint="eastAsia" w:ascii="宋体" w:hAnsi="宋体" w:cs="宋体"/>
                <w:color w:val="auto"/>
                <w:sz w:val="21"/>
                <w:szCs w:val="21"/>
              </w:rPr>
              <w:t>2、面料:棉</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3、图案:艺术</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4、风格:北欧</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5、几人坐:三人，双人，单人。</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6、颜色分类:深咖色（海绵款）</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7、填充物:乳胶</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lang w:val="en-US" w:eastAsia="zh-CN"/>
              </w:rPr>
              <w:t>8</w:t>
            </w:r>
            <w:r>
              <w:rPr>
                <w:rFonts w:hint="eastAsia" w:ascii="宋体" w:hAnsi="宋体" w:cs="宋体"/>
                <w:color w:val="auto"/>
                <w:sz w:val="21"/>
                <w:szCs w:val="21"/>
              </w:rPr>
              <w:t>、沙发组合形式:L形</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lang w:val="en-US" w:eastAsia="zh-CN"/>
              </w:rPr>
              <w:t>9</w:t>
            </w:r>
            <w:r>
              <w:rPr>
                <w:rFonts w:hint="eastAsia" w:ascii="宋体" w:hAnsi="宋体" w:cs="宋体"/>
                <w:color w:val="auto"/>
                <w:sz w:val="21"/>
                <w:szCs w:val="21"/>
              </w:rPr>
              <w:t>、是否可拆洗:是</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0</w:t>
            </w:r>
            <w:r>
              <w:rPr>
                <w:rFonts w:hint="eastAsia" w:ascii="宋体" w:hAnsi="宋体" w:cs="宋体"/>
                <w:color w:val="auto"/>
                <w:sz w:val="21"/>
                <w:szCs w:val="21"/>
              </w:rPr>
              <w:t>、附加功能:移动</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1</w:t>
            </w:r>
            <w:r>
              <w:rPr>
                <w:rFonts w:hint="eastAsia" w:ascii="宋体" w:hAnsi="宋体" w:cs="宋体"/>
                <w:color w:val="auto"/>
                <w:sz w:val="21"/>
                <w:szCs w:val="21"/>
              </w:rPr>
              <w:t>、适用对象:成人</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2</w:t>
            </w:r>
            <w:r>
              <w:rPr>
                <w:rFonts w:hint="eastAsia" w:ascii="宋体" w:hAnsi="宋体" w:cs="宋体"/>
                <w:color w:val="auto"/>
                <w:sz w:val="21"/>
                <w:szCs w:val="21"/>
              </w:rPr>
              <w:t>、是否带储物空间:否</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3</w:t>
            </w:r>
            <w:r>
              <w:rPr>
                <w:rFonts w:hint="eastAsia" w:ascii="宋体" w:hAnsi="宋体" w:cs="宋体"/>
                <w:color w:val="auto"/>
                <w:sz w:val="21"/>
                <w:szCs w:val="21"/>
              </w:rPr>
              <w:t>、面料饰面工艺:免烫处理</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4</w:t>
            </w:r>
            <w:r>
              <w:rPr>
                <w:rFonts w:hint="eastAsia" w:ascii="宋体" w:hAnsi="宋体" w:cs="宋体"/>
                <w:color w:val="auto"/>
                <w:sz w:val="21"/>
                <w:szCs w:val="21"/>
              </w:rPr>
              <w:t>、是否组装:整装</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5</w:t>
            </w:r>
            <w:r>
              <w:rPr>
                <w:rFonts w:hint="eastAsia" w:ascii="宋体" w:hAnsi="宋体" w:cs="宋体"/>
                <w:color w:val="auto"/>
                <w:sz w:val="21"/>
                <w:szCs w:val="21"/>
              </w:rPr>
              <w:t>、填充物硬度:硬</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val="en-US" w:eastAsia="zh-CN"/>
              </w:rPr>
              <w:t>6</w:t>
            </w:r>
            <w:r>
              <w:rPr>
                <w:rFonts w:hint="eastAsia" w:ascii="宋体" w:hAnsi="宋体" w:cs="宋体"/>
                <w:color w:val="auto"/>
                <w:sz w:val="21"/>
                <w:szCs w:val="21"/>
              </w:rPr>
              <w:t>、款式定位:艺术风格型</w:t>
            </w:r>
          </w:p>
          <w:p>
            <w:pPr>
              <w:widowControl/>
              <w:spacing w:line="360" w:lineRule="atLeast"/>
              <w:ind w:right="300"/>
              <w:rPr>
                <w:rFonts w:hint="eastAsia" w:ascii="宋体" w:hAnsi="宋体" w:cs="宋体"/>
                <w:color w:val="auto"/>
                <w:sz w:val="21"/>
                <w:szCs w:val="21"/>
              </w:rPr>
            </w:pPr>
            <w:r>
              <w:rPr>
                <w:rFonts w:hint="eastAsia" w:ascii="宋体" w:hAnsi="宋体" w:cs="宋体"/>
                <w:color w:val="auto"/>
                <w:sz w:val="21"/>
                <w:szCs w:val="21"/>
                <w:shd w:val="clear" w:color="auto" w:fill="FFFFFF"/>
              </w:rPr>
              <w:t>1</w:t>
            </w:r>
            <w:r>
              <w:rPr>
                <w:rFonts w:hint="eastAsia" w:ascii="宋体" w:hAnsi="宋体" w:cs="宋体"/>
                <w:color w:val="auto"/>
                <w:sz w:val="21"/>
                <w:szCs w:val="21"/>
                <w:shd w:val="clear" w:color="auto" w:fill="FFFFFF"/>
                <w:lang w:val="en-US" w:eastAsia="zh-CN"/>
              </w:rPr>
              <w:t>7</w:t>
            </w:r>
            <w:r>
              <w:rPr>
                <w:rFonts w:hint="eastAsia" w:ascii="宋体" w:hAnsi="宋体" w:cs="宋体"/>
                <w:color w:val="auto"/>
                <w:sz w:val="21"/>
                <w:szCs w:val="21"/>
                <w:shd w:val="clear" w:color="auto" w:fill="FFFFFF"/>
              </w:rPr>
              <w:t>、</w:t>
            </w:r>
            <w:r>
              <w:rPr>
                <w:rFonts w:hint="eastAsia" w:ascii="宋体" w:hAnsi="宋体" w:cs="宋体"/>
                <w:color w:val="auto"/>
                <w:sz w:val="21"/>
                <w:szCs w:val="21"/>
              </w:rPr>
              <w:t>安装:包安装</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lang w:val="en-US" w:eastAsia="zh-CN"/>
              </w:rPr>
              <w:t>18、规格；</w:t>
            </w:r>
            <w:r>
              <w:rPr>
                <w:rFonts w:hint="eastAsia" w:ascii="宋体" w:hAnsi="宋体" w:cs="宋体"/>
                <w:color w:val="auto"/>
                <w:sz w:val="21"/>
                <w:szCs w:val="21"/>
              </w:rPr>
              <w:t>≥</w:t>
            </w:r>
            <w:r>
              <w:rPr>
                <w:rFonts w:hint="eastAsia" w:ascii="宋体" w:hAnsi="宋体" w:cs="宋体"/>
                <w:color w:val="auto"/>
                <w:sz w:val="21"/>
                <w:szCs w:val="21"/>
                <w:lang w:val="en-US" w:eastAsia="zh-CN"/>
              </w:rPr>
              <w:t>2.1m长*0.9m宽</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期刊架</w:t>
            </w:r>
          </w:p>
        </w:tc>
        <w:tc>
          <w:tcPr>
            <w:tcW w:w="5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1、规格:≥高1.65m长0.8m宽0.3m四层 带柜子</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2、安装:包安装</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3、主材材质:实木</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4、包装重量:12公斤</w:t>
            </w:r>
          </w:p>
          <w:p>
            <w:pPr>
              <w:widowControl/>
              <w:spacing w:before="150" w:line="270" w:lineRule="atLeast"/>
              <w:ind w:right="225"/>
              <w:textAlignment w:val="top"/>
              <w:rPr>
                <w:rFonts w:ascii="宋体" w:hAnsi="宋体" w:cs="宋体"/>
                <w:color w:val="auto"/>
                <w:sz w:val="21"/>
                <w:szCs w:val="21"/>
              </w:rPr>
            </w:pPr>
            <w:r>
              <w:rPr>
                <w:rFonts w:hint="eastAsia" w:ascii="宋体" w:hAnsi="宋体" w:cs="宋体"/>
                <w:color w:val="auto"/>
                <w:sz w:val="21"/>
                <w:szCs w:val="21"/>
              </w:rPr>
              <w:t>5、包装重量:7公斤</w:t>
            </w:r>
          </w:p>
          <w:p>
            <w:pPr>
              <w:widowControl/>
              <w:spacing w:before="150" w:line="270" w:lineRule="atLeast"/>
              <w:ind w:right="225"/>
              <w:textAlignment w:val="top"/>
              <w:rPr>
                <w:rFonts w:ascii="宋体" w:hAnsi="宋体" w:cs="宋体"/>
                <w:color w:val="auto"/>
                <w:sz w:val="21"/>
                <w:szCs w:val="21"/>
              </w:rPr>
            </w:pPr>
            <w:r>
              <w:rPr>
                <w:rFonts w:hint="eastAsia" w:ascii="宋体" w:hAnsi="宋体" w:cs="宋体"/>
                <w:color w:val="auto"/>
                <w:sz w:val="21"/>
                <w:szCs w:val="21"/>
              </w:rPr>
              <w:t>6、隔板要求：宽体置面/防掉落边条/</w:t>
            </w:r>
          </w:p>
          <w:p>
            <w:pPr>
              <w:rPr>
                <w:rFonts w:ascii="宋体" w:hAnsi="宋体" w:cs="宋体"/>
                <w:color w:val="auto"/>
                <w:sz w:val="21"/>
                <w:szCs w:val="21"/>
              </w:rPr>
            </w:pPr>
            <w:r>
              <w:rPr>
                <w:rFonts w:hint="eastAsia" w:ascii="宋体" w:hAnsi="宋体" w:cs="宋体"/>
                <w:color w:val="auto"/>
                <w:sz w:val="21"/>
                <w:szCs w:val="21"/>
              </w:rPr>
              <w:t>7、多层分类收纳</w:t>
            </w:r>
          </w:p>
          <w:p>
            <w:pPr>
              <w:rPr>
                <w:rFonts w:ascii="宋体" w:hAnsi="宋体" w:cs="宋体"/>
                <w:color w:val="auto"/>
                <w:sz w:val="21"/>
                <w:szCs w:val="21"/>
              </w:rPr>
            </w:pPr>
            <w:r>
              <w:rPr>
                <w:rFonts w:hint="eastAsia" w:ascii="宋体" w:hAnsi="宋体" w:cs="宋体"/>
                <w:color w:val="auto"/>
                <w:sz w:val="21"/>
                <w:szCs w:val="21"/>
              </w:rPr>
              <w:t>8、组装要求：五金螺丝链接</w:t>
            </w:r>
          </w:p>
          <w:p>
            <w:pPr>
              <w:rPr>
                <w:rFonts w:ascii="宋体" w:hAnsi="宋体" w:cs="宋体"/>
                <w:color w:val="auto"/>
                <w:sz w:val="21"/>
                <w:szCs w:val="21"/>
              </w:rPr>
            </w:pPr>
            <w:r>
              <w:rPr>
                <w:rFonts w:hint="eastAsia" w:ascii="宋体" w:hAnsi="宋体" w:cs="宋体"/>
                <w:color w:val="auto"/>
                <w:sz w:val="21"/>
                <w:szCs w:val="21"/>
              </w:rPr>
              <w:t>9、框架要求：加厚烤漆钢架，全敢接工艺</w:t>
            </w:r>
          </w:p>
          <w:p>
            <w:pPr>
              <w:rPr>
                <w:rFonts w:ascii="宋体" w:hAnsi="宋体" w:cs="宋体"/>
                <w:color w:val="auto"/>
                <w:sz w:val="21"/>
                <w:szCs w:val="21"/>
              </w:rPr>
            </w:pPr>
            <w:r>
              <w:rPr>
                <w:rFonts w:hint="eastAsia" w:ascii="宋体" w:hAnsi="宋体" w:cs="宋体"/>
                <w:color w:val="auto"/>
                <w:sz w:val="21"/>
                <w:szCs w:val="21"/>
              </w:rPr>
              <w:t>10、环保要求：健康环保材钢木材质</w:t>
            </w:r>
          </w:p>
          <w:p>
            <w:pPr>
              <w:rPr>
                <w:rFonts w:ascii="宋体" w:hAnsi="宋体" w:cs="宋体"/>
                <w:color w:val="auto"/>
                <w:sz w:val="21"/>
                <w:szCs w:val="21"/>
              </w:rPr>
            </w:pPr>
            <w:r>
              <w:rPr>
                <w:rFonts w:hint="eastAsia" w:ascii="宋体" w:hAnsi="宋体" w:cs="宋体"/>
                <w:color w:val="auto"/>
                <w:sz w:val="21"/>
                <w:szCs w:val="21"/>
              </w:rPr>
              <w:t>11、防刮/防烫/易清洁</w:t>
            </w:r>
          </w:p>
          <w:p>
            <w:pPr>
              <w:rPr>
                <w:rFonts w:ascii="宋体" w:hAnsi="宋体" w:cs="宋体"/>
                <w:color w:val="auto"/>
                <w:sz w:val="21"/>
                <w:szCs w:val="21"/>
              </w:rPr>
            </w:pPr>
            <w:r>
              <w:rPr>
                <w:rFonts w:hint="eastAsia" w:ascii="宋体" w:hAnsi="宋体" w:cs="宋体"/>
                <w:color w:val="auto"/>
                <w:sz w:val="21"/>
                <w:szCs w:val="21"/>
              </w:rPr>
              <w:t>12、层板要求；层板添加放掉，保护期刊不掉落</w:t>
            </w:r>
          </w:p>
          <w:p>
            <w:pPr>
              <w:rPr>
                <w:rFonts w:ascii="宋体" w:hAnsi="宋体" w:cs="宋体"/>
                <w:color w:val="auto"/>
                <w:sz w:val="21"/>
                <w:szCs w:val="21"/>
              </w:rPr>
            </w:pPr>
            <w:r>
              <w:rPr>
                <w:rFonts w:hint="eastAsia" w:ascii="宋体" w:hAnsi="宋体" w:cs="宋体"/>
                <w:color w:val="auto"/>
                <w:sz w:val="21"/>
                <w:szCs w:val="21"/>
              </w:rPr>
              <w:t>13、防尘要求：多重储物空间</w:t>
            </w:r>
          </w:p>
          <w:p>
            <w:pPr>
              <w:rPr>
                <w:rFonts w:ascii="宋体" w:hAnsi="宋体" w:cs="宋体"/>
                <w:color w:val="auto"/>
                <w:sz w:val="21"/>
                <w:szCs w:val="21"/>
              </w:rPr>
            </w:pPr>
            <w:r>
              <w:rPr>
                <w:rFonts w:hint="eastAsia" w:ascii="宋体" w:hAnsi="宋体" w:cs="宋体"/>
                <w:color w:val="auto"/>
                <w:sz w:val="21"/>
                <w:szCs w:val="21"/>
              </w:rPr>
              <w:t>14、配件要求：五金拉手，液压铰链。</w:t>
            </w:r>
          </w:p>
          <w:p>
            <w:pPr>
              <w:rPr>
                <w:rFonts w:ascii="宋体" w:hAnsi="宋体" w:cs="宋体"/>
                <w:color w:val="auto"/>
                <w:sz w:val="21"/>
                <w:szCs w:val="21"/>
              </w:rPr>
            </w:pPr>
            <w:r>
              <w:rPr>
                <w:rFonts w:hint="eastAsia" w:ascii="宋体" w:hAnsi="宋体" w:cs="宋体"/>
                <w:color w:val="auto"/>
                <w:sz w:val="21"/>
                <w:szCs w:val="21"/>
              </w:rPr>
              <w:t>15、底层要求：防滑脚垫</w:t>
            </w:r>
          </w:p>
          <w:p>
            <w:pPr>
              <w:widowControl/>
              <w:spacing w:line="360" w:lineRule="atLeast"/>
              <w:ind w:right="300"/>
              <w:rPr>
                <w:rFonts w:ascii="宋体" w:hAnsi="宋体" w:cs="宋体"/>
                <w:color w:val="auto"/>
                <w:sz w:val="21"/>
                <w:szCs w:val="21"/>
              </w:rPr>
            </w:pPr>
            <w:r>
              <w:rPr>
                <w:rFonts w:hint="eastAsia" w:ascii="宋体" w:hAnsi="宋体" w:cs="宋体"/>
                <w:color w:val="auto"/>
                <w:sz w:val="21"/>
                <w:szCs w:val="21"/>
              </w:rPr>
              <w:t>16、安装: 包安装</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阅览桌</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color w:val="auto"/>
                <w:sz w:val="21"/>
                <w:szCs w:val="21"/>
              </w:rPr>
            </w:pPr>
            <w:r>
              <w:rPr>
                <w:rFonts w:hint="eastAsia" w:ascii="宋体" w:hAnsi="宋体" w:cs="宋体"/>
                <w:color w:val="auto"/>
                <w:sz w:val="21"/>
                <w:szCs w:val="21"/>
              </w:rPr>
              <w:t>1. 木材：实木松木稳固结实，防潮耐磨，腐蚀，承重力强</w:t>
            </w:r>
          </w:p>
          <w:p>
            <w:pPr>
              <w:spacing w:line="360" w:lineRule="exact"/>
              <w:jc w:val="left"/>
              <w:rPr>
                <w:rFonts w:ascii="宋体" w:hAnsi="宋体" w:cs="宋体"/>
                <w:sz w:val="21"/>
                <w:szCs w:val="21"/>
              </w:rPr>
            </w:pPr>
            <w:r>
              <w:rPr>
                <w:rFonts w:hint="eastAsia" w:ascii="宋体" w:hAnsi="宋体" w:cs="宋体"/>
                <w:sz w:val="21"/>
                <w:szCs w:val="21"/>
              </w:rPr>
              <w:t>2. 油漆：环保水性漆,三底两面,20-30道涂装工艺，NC透底油漆，木纹清晰</w:t>
            </w:r>
          </w:p>
          <w:p>
            <w:pPr>
              <w:spacing w:line="360" w:lineRule="exact"/>
              <w:jc w:val="left"/>
              <w:rPr>
                <w:rFonts w:ascii="宋体" w:hAnsi="宋体" w:cs="宋体"/>
                <w:sz w:val="21"/>
                <w:szCs w:val="21"/>
              </w:rPr>
            </w:pPr>
            <w:r>
              <w:rPr>
                <w:rFonts w:hint="eastAsia" w:ascii="宋体" w:hAnsi="宋体" w:cs="宋体"/>
                <w:sz w:val="21"/>
                <w:szCs w:val="21"/>
              </w:rPr>
              <w:t>3 铁艺的烤漆工艺铁艺是采用静电粉末喷塑，然后再经过200度高温烤漆，不掉色不掉漆，</w:t>
            </w:r>
          </w:p>
          <w:p>
            <w:pPr>
              <w:spacing w:line="360" w:lineRule="exact"/>
              <w:jc w:val="left"/>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.规格:长3.2米*宽1.2米*高0.77米</w:t>
            </w:r>
            <w:r>
              <w:rPr>
                <w:rFonts w:hint="eastAsia" w:ascii="宋体" w:hAnsi="宋体" w:cs="宋体"/>
                <w:sz w:val="21"/>
                <w:szCs w:val="21"/>
              </w:rPr>
              <w:br w:type="textWrapping"/>
            </w:r>
            <w:r>
              <w:rPr>
                <w:rFonts w:hint="eastAsia" w:ascii="宋体" w:hAnsi="宋体" w:cs="宋体"/>
                <w:sz w:val="21"/>
                <w:szCs w:val="21"/>
                <w:lang w:val="en-US" w:eastAsia="zh-CN"/>
              </w:rPr>
              <w:t>5</w:t>
            </w:r>
            <w:r>
              <w:rPr>
                <w:rFonts w:hint="eastAsia" w:ascii="宋体" w:hAnsi="宋体" w:cs="宋体"/>
                <w:sz w:val="21"/>
                <w:szCs w:val="21"/>
              </w:rPr>
              <w:t>.功能:自由组合</w:t>
            </w:r>
            <w:r>
              <w:rPr>
                <w:rFonts w:hint="eastAsia" w:ascii="宋体" w:hAnsi="宋体" w:cs="宋体"/>
                <w:sz w:val="21"/>
                <w:szCs w:val="21"/>
              </w:rPr>
              <w:br w:type="textWrapping"/>
            </w:r>
            <w:r>
              <w:rPr>
                <w:rFonts w:hint="eastAsia" w:ascii="宋体" w:hAnsi="宋体" w:cs="宋体"/>
                <w:sz w:val="21"/>
                <w:szCs w:val="21"/>
                <w:lang w:val="en-US" w:eastAsia="zh-CN"/>
              </w:rPr>
              <w:t>6</w:t>
            </w:r>
            <w:r>
              <w:rPr>
                <w:rFonts w:hint="eastAsia" w:ascii="宋体" w:hAnsi="宋体" w:cs="宋体"/>
                <w:sz w:val="21"/>
                <w:szCs w:val="21"/>
              </w:rPr>
              <w:t>.适用人数:8人-10人</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、安装:包安装</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阅览椅</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sz w:val="21"/>
                <w:szCs w:val="21"/>
              </w:rPr>
              <w:t>1.木纹较深，纹理较好，适用于家具与工艺品雕刻。</w:t>
            </w:r>
          </w:p>
          <w:p>
            <w:pPr>
              <w:spacing w:line="360" w:lineRule="exact"/>
              <w:jc w:val="left"/>
              <w:rPr>
                <w:rFonts w:ascii="宋体" w:hAnsi="宋体" w:cs="宋体"/>
                <w:sz w:val="21"/>
                <w:szCs w:val="21"/>
              </w:rPr>
            </w:pPr>
            <w:r>
              <w:rPr>
                <w:rFonts w:hint="eastAsia" w:ascii="宋体" w:hAnsi="宋体" w:cs="宋体"/>
                <w:sz w:val="21"/>
                <w:szCs w:val="21"/>
              </w:rPr>
              <w:t>油漆及胶粘性能良好。是建筑、家具、船车、胶合板、室内装饰良材。</w:t>
            </w:r>
          </w:p>
          <w:p>
            <w:pPr>
              <w:spacing w:line="360" w:lineRule="exact"/>
              <w:jc w:val="left"/>
              <w:rPr>
                <w:rFonts w:ascii="宋体" w:hAnsi="宋体" w:cs="宋体"/>
                <w:sz w:val="21"/>
                <w:szCs w:val="21"/>
              </w:rPr>
            </w:pPr>
            <w:r>
              <w:rPr>
                <w:rFonts w:hint="eastAsia" w:ascii="宋体" w:hAnsi="宋体" w:cs="宋体"/>
                <w:sz w:val="21"/>
                <w:szCs w:val="21"/>
              </w:rPr>
              <w:t>2.边材色较淡，纹理通直，结构细致，花纹美观，材质适中，防虫耐腐，干燥快，变形小，加工容易</w:t>
            </w:r>
          </w:p>
          <w:p>
            <w:pPr>
              <w:spacing w:line="360" w:lineRule="exact"/>
              <w:jc w:val="left"/>
              <w:rPr>
                <w:rFonts w:ascii="宋体" w:hAnsi="宋体" w:cs="宋体"/>
                <w:sz w:val="21"/>
                <w:szCs w:val="21"/>
              </w:rPr>
            </w:pPr>
            <w:r>
              <w:rPr>
                <w:rFonts w:hint="eastAsia" w:ascii="宋体" w:hAnsi="宋体" w:cs="宋体"/>
                <w:sz w:val="21"/>
                <w:szCs w:val="21"/>
              </w:rPr>
              <w:t>3.坐垫：高弹力海绵外包皮或麻布和绒布多种颜色可选</w:t>
            </w:r>
          </w:p>
          <w:p>
            <w:pPr>
              <w:spacing w:line="360" w:lineRule="exact"/>
              <w:jc w:val="left"/>
              <w:rPr>
                <w:rFonts w:ascii="宋体" w:hAnsi="宋体" w:cs="宋体"/>
                <w:sz w:val="21"/>
                <w:szCs w:val="21"/>
              </w:rPr>
            </w:pPr>
            <w:r>
              <w:rPr>
                <w:rFonts w:hint="eastAsia" w:ascii="宋体" w:hAnsi="宋体" w:cs="宋体"/>
                <w:sz w:val="21"/>
                <w:szCs w:val="21"/>
              </w:rPr>
              <w:t>4.规格:长0.50米*宽0.45米*高0.74米</w:t>
            </w:r>
          </w:p>
          <w:p>
            <w:pPr>
              <w:spacing w:line="360" w:lineRule="exact"/>
              <w:jc w:val="left"/>
              <w:rPr>
                <w:rFonts w:ascii="宋体" w:hAnsi="宋体" w:cs="宋体"/>
                <w:sz w:val="21"/>
                <w:szCs w:val="21"/>
              </w:rPr>
            </w:pPr>
            <w:r>
              <w:rPr>
                <w:rFonts w:hint="eastAsia" w:ascii="宋体" w:hAnsi="宋体" w:cs="宋体"/>
                <w:sz w:val="21"/>
                <w:szCs w:val="21"/>
              </w:rPr>
              <w:t>5.材质:白椿木</w:t>
            </w:r>
            <w:r>
              <w:rPr>
                <w:rFonts w:hint="eastAsia" w:ascii="宋体" w:hAnsi="宋体" w:cs="宋体"/>
                <w:sz w:val="21"/>
                <w:szCs w:val="21"/>
              </w:rPr>
              <w:br w:type="textWrapping"/>
            </w:r>
            <w:r>
              <w:rPr>
                <w:rFonts w:hint="eastAsia" w:ascii="宋体" w:hAnsi="宋体" w:cs="宋体"/>
                <w:sz w:val="21"/>
                <w:szCs w:val="21"/>
              </w:rPr>
              <w:t xml:space="preserve">6.颜色分类:泰柚色、花梨木色、胡桃色、沉船木色、原木色、黑胡桃色                              </w:t>
            </w:r>
          </w:p>
          <w:p>
            <w:pPr>
              <w:spacing w:line="360" w:lineRule="exact"/>
              <w:jc w:val="left"/>
              <w:rPr>
                <w:rFonts w:ascii="宋体" w:hAnsi="宋体" w:cs="宋体"/>
                <w:sz w:val="21"/>
                <w:szCs w:val="21"/>
              </w:rPr>
            </w:pPr>
            <w:r>
              <w:rPr>
                <w:rFonts w:hint="eastAsia" w:ascii="宋体" w:hAnsi="宋体" w:cs="宋体"/>
                <w:sz w:val="21"/>
                <w:szCs w:val="21"/>
              </w:rPr>
              <w:t>7.扶手类型: 固定扶手</w:t>
            </w:r>
          </w:p>
          <w:p>
            <w:pPr>
              <w:widowControl/>
              <w:spacing w:line="360" w:lineRule="atLeast"/>
              <w:ind w:right="300"/>
              <w:rPr>
                <w:rFonts w:ascii="宋体" w:hAnsi="宋体" w:cs="宋体"/>
                <w:sz w:val="21"/>
                <w:szCs w:val="21"/>
              </w:rPr>
            </w:pPr>
            <w:r>
              <w:rPr>
                <w:rFonts w:hint="eastAsia" w:ascii="宋体" w:hAnsi="宋体" w:cs="宋体"/>
                <w:sz w:val="21"/>
                <w:szCs w:val="21"/>
              </w:rPr>
              <w:t>8、安装: 包安装</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宋体" w:hAnsi="宋体" w:eastAsia="宋体" w:cs="宋体"/>
                <w:sz w:val="21"/>
                <w:szCs w:val="21"/>
                <w:lang w:eastAsia="zh-CN"/>
              </w:rPr>
            </w:pPr>
            <w:r>
              <w:rPr>
                <w:rFonts w:hint="eastAsia" w:ascii="宋体" w:hAnsi="宋体" w:cs="宋体"/>
                <w:sz w:val="21"/>
                <w:szCs w:val="21"/>
              </w:rPr>
              <w:t>4</w:t>
            </w:r>
            <w:r>
              <w:rPr>
                <w:rFonts w:hint="eastAsia" w:ascii="宋体" w:hAnsi="宋体" w:cs="宋体"/>
                <w:sz w:val="21"/>
                <w:szCs w:val="21"/>
                <w:lang w:val="en-US" w:eastAsia="zh-CN"/>
              </w:rPr>
              <w:t>8</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把</w:t>
            </w:r>
          </w:p>
        </w:tc>
      </w:tr>
      <w:tr>
        <w:tblPrEx>
          <w:tblCellMar>
            <w:top w:w="0" w:type="dxa"/>
            <w:left w:w="108" w:type="dxa"/>
            <w:bottom w:w="0" w:type="dxa"/>
            <w:right w:w="108" w:type="dxa"/>
          </w:tblCellMar>
        </w:tblPrEx>
        <w:trPr>
          <w:trHeight w:val="560" w:hRule="atLeast"/>
          <w:jc w:val="center"/>
        </w:trPr>
        <w:tc>
          <w:tcPr>
            <w:tcW w:w="10243"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sz w:val="21"/>
                <w:szCs w:val="21"/>
              </w:rPr>
            </w:pPr>
            <w:r>
              <w:rPr>
                <w:rFonts w:hint="eastAsia" w:ascii="宋体" w:hAnsi="宋体" w:cs="宋体"/>
                <w:b/>
                <w:color w:val="000000"/>
                <w:kern w:val="0"/>
                <w:sz w:val="21"/>
                <w:szCs w:val="21"/>
              </w:rPr>
              <w:t>电子阅览室</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岩面茶几</w:t>
            </w:r>
          </w:p>
        </w:tc>
        <w:tc>
          <w:tcPr>
            <w:tcW w:w="5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宋体" w:hAnsi="宋体" w:cs="宋体"/>
                <w:color w:val="auto"/>
                <w:sz w:val="21"/>
                <w:szCs w:val="21"/>
              </w:rPr>
            </w:pPr>
            <w:r>
              <w:rPr>
                <w:rFonts w:hint="eastAsia" w:ascii="宋体" w:hAnsi="宋体" w:cs="宋体"/>
                <w:color w:val="auto"/>
                <w:sz w:val="21"/>
                <w:szCs w:val="21"/>
              </w:rPr>
              <w:t xml:space="preserve">1、规格:≥长1.3米* 宽0.70米*高0.40米 </w:t>
            </w:r>
          </w:p>
          <w:p>
            <w:pPr>
              <w:widowControl/>
              <w:spacing w:line="360" w:lineRule="exact"/>
              <w:jc w:val="left"/>
              <w:rPr>
                <w:rFonts w:ascii="宋体" w:hAnsi="宋体" w:cs="宋体"/>
                <w:sz w:val="21"/>
                <w:szCs w:val="21"/>
              </w:rPr>
            </w:pPr>
            <w:r>
              <w:rPr>
                <w:rFonts w:hint="eastAsia" w:ascii="宋体" w:hAnsi="宋体" w:cs="宋体"/>
                <w:sz w:val="21"/>
                <w:szCs w:val="21"/>
              </w:rPr>
              <w:t xml:space="preserve">2、材质: 火烧石 </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、材质:人造板</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、人造板种类: 密度板/纤维板</w:t>
            </w:r>
          </w:p>
          <w:p>
            <w:pPr>
              <w:widowControl/>
              <w:spacing w:line="360" w:lineRule="atLeast"/>
              <w:ind w:right="300"/>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cs="宋体"/>
                <w:sz w:val="21"/>
                <w:szCs w:val="21"/>
              </w:rPr>
              <w:t>、风格:现代</w:t>
            </w:r>
            <w:r>
              <w:rPr>
                <w:rFonts w:hint="eastAsia" w:ascii="宋体" w:hAnsi="宋体" w:cs="宋体"/>
                <w:sz w:val="21"/>
                <w:szCs w:val="21"/>
                <w:lang w:val="en-US" w:eastAsia="zh-CN"/>
              </w:rPr>
              <w:t>中式</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、形状:方形</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、安装方式:整装</w:t>
            </w:r>
          </w:p>
          <w:p>
            <w:pPr>
              <w:widowControl/>
              <w:shd w:val="clear"/>
              <w:spacing w:line="360" w:lineRule="atLeast"/>
              <w:ind w:right="300"/>
              <w:rPr>
                <w:rFonts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、颜色分类: 1.4茶几 火烧石</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、毛重:120</w:t>
            </w:r>
          </w:p>
          <w:p>
            <w:pPr>
              <w:widowControl/>
              <w:shd w:val="clear"/>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、饰面材质: 木</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、是否可伸缩:不可伸缩</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、饰面工艺: 人造板工艺</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、人造板饰面工艺: 木皮饰面</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4</w:t>
            </w:r>
            <w:r>
              <w:rPr>
                <w:rFonts w:hint="eastAsia" w:ascii="宋体" w:hAnsi="宋体" w:cs="宋体"/>
                <w:sz w:val="21"/>
                <w:szCs w:val="21"/>
              </w:rPr>
              <w:t>、是否带滚轮: 否</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、门数量: 3门</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、是否带储物空间: 是</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17</w:t>
            </w:r>
            <w:r>
              <w:rPr>
                <w:rFonts w:hint="eastAsia" w:ascii="宋体" w:hAnsi="宋体" w:cs="宋体"/>
                <w:sz w:val="21"/>
                <w:szCs w:val="21"/>
              </w:rPr>
              <w:t>、是否组装: 整装</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18</w:t>
            </w:r>
            <w:r>
              <w:rPr>
                <w:rFonts w:hint="eastAsia" w:ascii="宋体" w:hAnsi="宋体" w:cs="宋体"/>
                <w:sz w:val="21"/>
                <w:szCs w:val="21"/>
              </w:rPr>
              <w:t>、茶几角形状: 圆形</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19</w:t>
            </w:r>
            <w:r>
              <w:rPr>
                <w:rFonts w:hint="eastAsia" w:ascii="宋体" w:hAnsi="宋体" w:cs="宋体"/>
                <w:sz w:val="21"/>
                <w:szCs w:val="21"/>
              </w:rPr>
              <w:t>、款式定位: 艺术风格型</w:t>
            </w:r>
          </w:p>
          <w:p>
            <w:pPr>
              <w:widowControl/>
              <w:spacing w:line="360" w:lineRule="atLeast"/>
              <w:ind w:right="30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0</w:t>
            </w:r>
            <w:r>
              <w:rPr>
                <w:rFonts w:hint="eastAsia" w:ascii="宋体" w:hAnsi="宋体" w:cs="宋体"/>
                <w:sz w:val="21"/>
                <w:szCs w:val="21"/>
              </w:rPr>
              <w:t>、安装: 包安装</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宋体" w:hAnsi="宋体" w:cs="宋体"/>
                <w:color w:val="auto"/>
                <w:kern w:val="0"/>
                <w:sz w:val="21"/>
                <w:szCs w:val="21"/>
              </w:rPr>
            </w:pPr>
            <w:r>
              <w:rPr>
                <w:rFonts w:hint="eastAsia" w:ascii="宋体" w:hAnsi="宋体" w:cs="宋体"/>
                <w:color w:val="auto"/>
                <w:kern w:val="0"/>
                <w:sz w:val="21"/>
                <w:szCs w:val="21"/>
              </w:rPr>
              <w:t>休闲</w:t>
            </w:r>
            <w:r>
              <w:rPr>
                <w:rFonts w:hint="eastAsia" w:ascii="宋体" w:hAnsi="宋体" w:cs="宋体"/>
                <w:color w:val="auto"/>
                <w:kern w:val="0"/>
                <w:sz w:val="21"/>
                <w:szCs w:val="21"/>
                <w:lang w:val="en-US" w:eastAsia="zh-CN"/>
              </w:rPr>
              <w:t>组合</w:t>
            </w:r>
            <w:r>
              <w:rPr>
                <w:rFonts w:hint="eastAsia" w:ascii="宋体" w:hAnsi="宋体" w:cs="宋体"/>
                <w:color w:val="auto"/>
                <w:kern w:val="0"/>
                <w:sz w:val="21"/>
                <w:szCs w:val="21"/>
              </w:rPr>
              <w:t>沙发</w:t>
            </w:r>
          </w:p>
          <w:p>
            <w:pPr>
              <w:widowControl/>
              <w:spacing w:line="360" w:lineRule="exact"/>
              <w:jc w:val="center"/>
              <w:rPr>
                <w:rFonts w:hint="eastAsia" w:ascii="宋体" w:hAnsi="宋体" w:eastAsia="宋体" w:cs="宋体"/>
                <w:color w:val="000000"/>
                <w:kern w:val="0"/>
                <w:sz w:val="21"/>
                <w:szCs w:val="21"/>
                <w:lang w:eastAsia="zh-CN"/>
              </w:rPr>
            </w:pPr>
          </w:p>
        </w:tc>
        <w:tc>
          <w:tcPr>
            <w:tcW w:w="575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ind w:right="300"/>
              <w:rPr>
                <w:rFonts w:hint="eastAsia" w:ascii="宋体" w:hAnsi="宋体" w:cs="宋体"/>
                <w:sz w:val="21"/>
                <w:szCs w:val="21"/>
              </w:rPr>
            </w:pPr>
            <w:r>
              <w:rPr>
                <w:rFonts w:hint="eastAsia" w:ascii="宋体" w:hAnsi="宋体" w:cs="宋体"/>
                <w:sz w:val="21"/>
                <w:szCs w:val="21"/>
              </w:rPr>
              <w:t>1、材质: 木</w:t>
            </w:r>
          </w:p>
          <w:p>
            <w:pPr>
              <w:widowControl/>
              <w:spacing w:line="360" w:lineRule="atLeast"/>
              <w:ind w:right="300"/>
              <w:rPr>
                <w:rFonts w:hint="eastAsia" w:ascii="宋体" w:hAnsi="宋体" w:cs="宋体"/>
                <w:sz w:val="21"/>
                <w:szCs w:val="21"/>
              </w:rPr>
            </w:pPr>
            <w:r>
              <w:rPr>
                <w:rFonts w:hint="eastAsia" w:ascii="宋体" w:hAnsi="宋体" w:cs="宋体"/>
                <w:sz w:val="21"/>
                <w:szCs w:val="21"/>
              </w:rPr>
              <w:t>2、面料: 棉</w:t>
            </w:r>
          </w:p>
          <w:p>
            <w:pPr>
              <w:widowControl/>
              <w:spacing w:line="360" w:lineRule="atLeast"/>
              <w:ind w:right="300"/>
              <w:rPr>
                <w:rFonts w:hint="eastAsia" w:ascii="宋体" w:hAnsi="宋体" w:cs="宋体"/>
                <w:sz w:val="21"/>
                <w:szCs w:val="21"/>
              </w:rPr>
            </w:pPr>
            <w:r>
              <w:rPr>
                <w:rFonts w:hint="eastAsia" w:ascii="宋体" w:hAnsi="宋体" w:cs="宋体"/>
                <w:sz w:val="21"/>
                <w:szCs w:val="21"/>
              </w:rPr>
              <w:t>3、图案: 艺术</w:t>
            </w:r>
          </w:p>
          <w:p>
            <w:pPr>
              <w:widowControl/>
              <w:spacing w:line="360" w:lineRule="atLeast"/>
              <w:ind w:right="300"/>
              <w:rPr>
                <w:rFonts w:hint="eastAsia" w:ascii="宋体" w:hAnsi="宋体" w:cs="宋体"/>
                <w:sz w:val="21"/>
                <w:szCs w:val="21"/>
              </w:rPr>
            </w:pPr>
            <w:r>
              <w:rPr>
                <w:rFonts w:hint="eastAsia" w:ascii="宋体" w:hAnsi="宋体" w:cs="宋体"/>
                <w:sz w:val="21"/>
                <w:szCs w:val="21"/>
              </w:rPr>
              <w:t>4、风格: 北欧</w:t>
            </w:r>
          </w:p>
          <w:p>
            <w:pPr>
              <w:widowControl/>
              <w:spacing w:line="360" w:lineRule="atLeast"/>
              <w:ind w:right="300"/>
              <w:rPr>
                <w:rFonts w:hint="eastAsia" w:ascii="宋体" w:hAnsi="宋体" w:cs="宋体"/>
                <w:sz w:val="21"/>
                <w:szCs w:val="21"/>
              </w:rPr>
            </w:pPr>
            <w:r>
              <w:rPr>
                <w:rFonts w:hint="eastAsia" w:ascii="宋体" w:hAnsi="宋体" w:cs="宋体"/>
                <w:sz w:val="21"/>
                <w:szCs w:val="21"/>
              </w:rPr>
              <w:t>5、几人坐: 三人，双人，单人。</w:t>
            </w:r>
          </w:p>
          <w:p>
            <w:pPr>
              <w:widowControl/>
              <w:spacing w:line="360" w:lineRule="atLeast"/>
              <w:ind w:right="300"/>
              <w:rPr>
                <w:rFonts w:hint="eastAsia" w:ascii="宋体" w:hAnsi="宋体" w:cs="宋体"/>
                <w:sz w:val="21"/>
                <w:szCs w:val="21"/>
              </w:rPr>
            </w:pPr>
            <w:r>
              <w:rPr>
                <w:rFonts w:hint="eastAsia" w:ascii="宋体" w:hAnsi="宋体" w:cs="宋体"/>
                <w:sz w:val="21"/>
                <w:szCs w:val="21"/>
              </w:rPr>
              <w:t>6、颜色分类: 深咖色（海绵款）</w:t>
            </w:r>
          </w:p>
          <w:p>
            <w:pPr>
              <w:widowControl/>
              <w:spacing w:line="360" w:lineRule="atLeast"/>
              <w:ind w:right="300"/>
              <w:rPr>
                <w:rFonts w:hint="eastAsia" w:ascii="宋体" w:hAnsi="宋体" w:cs="宋体"/>
                <w:sz w:val="21"/>
                <w:szCs w:val="21"/>
              </w:rPr>
            </w:pPr>
            <w:r>
              <w:rPr>
                <w:rFonts w:hint="eastAsia" w:ascii="宋体" w:hAnsi="宋体" w:cs="宋体"/>
                <w:sz w:val="21"/>
                <w:szCs w:val="21"/>
              </w:rPr>
              <w:t>7、填充物: 乳胶</w:t>
            </w:r>
          </w:p>
          <w:p>
            <w:pPr>
              <w:widowControl/>
              <w:spacing w:line="360" w:lineRule="atLeast"/>
              <w:ind w:right="300"/>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、沙发组合形式: L形</w:t>
            </w:r>
          </w:p>
          <w:p>
            <w:pPr>
              <w:widowControl/>
              <w:spacing w:line="360" w:lineRule="atLeast"/>
              <w:ind w:right="300"/>
              <w:rPr>
                <w:rFonts w:hint="eastAsia"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、是否可拆洗: 是</w:t>
            </w:r>
          </w:p>
          <w:p>
            <w:pPr>
              <w:widowControl/>
              <w:spacing w:line="360" w:lineRule="atLeast"/>
              <w:ind w:right="3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、附加功能: 移动</w:t>
            </w:r>
          </w:p>
          <w:p>
            <w:pPr>
              <w:widowControl/>
              <w:spacing w:line="360" w:lineRule="atLeast"/>
              <w:ind w:right="3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、适用对象: 成人</w:t>
            </w:r>
          </w:p>
          <w:p>
            <w:pPr>
              <w:widowControl/>
              <w:spacing w:line="360" w:lineRule="atLeast"/>
              <w:ind w:right="3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、是否带储物空间: 否</w:t>
            </w:r>
          </w:p>
          <w:p>
            <w:pPr>
              <w:widowControl/>
              <w:spacing w:line="360" w:lineRule="atLeast"/>
              <w:ind w:right="3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3</w:t>
            </w:r>
            <w:r>
              <w:rPr>
                <w:rFonts w:hint="eastAsia" w:ascii="宋体" w:hAnsi="宋体" w:cs="宋体"/>
                <w:sz w:val="21"/>
                <w:szCs w:val="21"/>
              </w:rPr>
              <w:t>、面料饰面工艺: 免烫处理</w:t>
            </w:r>
          </w:p>
          <w:p>
            <w:pPr>
              <w:widowControl/>
              <w:spacing w:line="360" w:lineRule="atLeast"/>
              <w:ind w:right="3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4</w:t>
            </w:r>
            <w:r>
              <w:rPr>
                <w:rFonts w:hint="eastAsia" w:ascii="宋体" w:hAnsi="宋体" w:cs="宋体"/>
                <w:sz w:val="21"/>
                <w:szCs w:val="21"/>
              </w:rPr>
              <w:t>、是否组装: 整装</w:t>
            </w:r>
          </w:p>
          <w:p>
            <w:pPr>
              <w:widowControl/>
              <w:spacing w:line="360" w:lineRule="atLeast"/>
              <w:ind w:right="3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、填充物硬度: 硬</w:t>
            </w:r>
          </w:p>
          <w:p>
            <w:pPr>
              <w:widowControl/>
              <w:spacing w:line="360" w:lineRule="atLeast"/>
              <w:ind w:right="3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、款式定位: 艺术风格型</w:t>
            </w:r>
          </w:p>
          <w:p>
            <w:pPr>
              <w:widowControl/>
              <w:spacing w:line="360" w:lineRule="atLeast"/>
              <w:ind w:right="300"/>
              <w:rPr>
                <w:rFonts w:hint="default" w:eastAsia="宋体"/>
                <w:lang w:val="en-US" w:eastAsia="zh-CN"/>
              </w:rPr>
            </w:pPr>
            <w:r>
              <w:rPr>
                <w:rFonts w:hint="eastAsia" w:ascii="宋体" w:hAnsi="宋体" w:cs="宋体"/>
                <w:color w:val="auto"/>
                <w:sz w:val="21"/>
                <w:szCs w:val="21"/>
                <w:lang w:val="en-US" w:eastAsia="zh-CN"/>
              </w:rPr>
              <w:t>17、规格；</w:t>
            </w:r>
            <w:r>
              <w:rPr>
                <w:rFonts w:hint="eastAsia" w:ascii="宋体" w:hAnsi="宋体" w:cs="宋体"/>
                <w:color w:val="auto"/>
                <w:sz w:val="21"/>
                <w:szCs w:val="21"/>
              </w:rPr>
              <w:t>≥</w:t>
            </w:r>
            <w:r>
              <w:rPr>
                <w:rFonts w:hint="eastAsia" w:ascii="宋体" w:hAnsi="宋体" w:cs="宋体"/>
                <w:color w:val="auto"/>
                <w:sz w:val="21"/>
                <w:szCs w:val="21"/>
                <w:lang w:val="en-US" w:eastAsia="zh-CN"/>
              </w:rPr>
              <w:t>2.1m长*0.9m宽</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台式电脑</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sz w:val="21"/>
                <w:szCs w:val="21"/>
              </w:rPr>
              <w:t xml:space="preserve">1.规格、尺寸:机箱大小：10L-20L  显示器尺寸：27英寸及以上。T510A-15主机i5-9400  8G 1T+256G </w:t>
            </w:r>
          </w:p>
          <w:p>
            <w:pPr>
              <w:spacing w:line="360" w:lineRule="exact"/>
              <w:jc w:val="left"/>
              <w:rPr>
                <w:rFonts w:ascii="宋体" w:hAnsi="宋体" w:cs="宋体"/>
                <w:sz w:val="21"/>
                <w:szCs w:val="21"/>
              </w:rPr>
            </w:pPr>
            <w:r>
              <w:rPr>
                <w:rFonts w:hint="eastAsia" w:ascii="宋体" w:hAnsi="宋体" w:cs="宋体"/>
                <w:sz w:val="21"/>
                <w:szCs w:val="21"/>
              </w:rPr>
              <w:t>2.内存容量:8GB</w:t>
            </w:r>
            <w:r>
              <w:rPr>
                <w:rFonts w:hint="eastAsia" w:ascii="宋体" w:hAnsi="宋体" w:cs="宋体"/>
                <w:sz w:val="21"/>
                <w:szCs w:val="21"/>
              </w:rPr>
              <w:br w:type="textWrapping"/>
            </w:r>
            <w:r>
              <w:rPr>
                <w:rFonts w:hint="eastAsia" w:ascii="宋体" w:hAnsi="宋体" w:cs="宋体"/>
                <w:sz w:val="21"/>
                <w:szCs w:val="21"/>
              </w:rPr>
              <w:t>3.硬盘容量:240GB/256GB SSD+1TB HDD</w:t>
            </w:r>
            <w:r>
              <w:rPr>
                <w:rFonts w:hint="eastAsia" w:ascii="宋体" w:hAnsi="宋体" w:cs="宋体"/>
                <w:sz w:val="21"/>
                <w:szCs w:val="21"/>
              </w:rPr>
              <w:br w:type="textWrapping"/>
            </w:r>
            <w:r>
              <w:rPr>
                <w:rFonts w:hint="eastAsia" w:ascii="宋体" w:hAnsi="宋体" w:cs="宋体"/>
                <w:sz w:val="21"/>
                <w:szCs w:val="21"/>
              </w:rPr>
              <w:t>4.平台:Intel平台</w:t>
            </w:r>
            <w:r>
              <w:rPr>
                <w:rFonts w:hint="eastAsia" w:ascii="宋体" w:hAnsi="宋体" w:cs="宋体"/>
                <w:sz w:val="21"/>
                <w:szCs w:val="21"/>
              </w:rPr>
              <w:br w:type="textWrapping"/>
            </w:r>
            <w:r>
              <w:rPr>
                <w:rFonts w:hint="eastAsia" w:ascii="宋体" w:hAnsi="宋体" w:cs="宋体"/>
                <w:sz w:val="21"/>
                <w:szCs w:val="21"/>
              </w:rPr>
              <w:t>5.操作系统:Windows 10</w:t>
            </w:r>
          </w:p>
          <w:p>
            <w:pPr>
              <w:spacing w:line="360" w:lineRule="exact"/>
              <w:jc w:val="left"/>
              <w:rPr>
                <w:rFonts w:ascii="宋体" w:hAnsi="宋体" w:cs="宋体"/>
                <w:sz w:val="21"/>
                <w:szCs w:val="21"/>
              </w:rPr>
            </w:pPr>
            <w:r>
              <w:rPr>
                <w:rFonts w:hint="eastAsia" w:ascii="宋体" w:hAnsi="宋体" w:cs="宋体"/>
                <w:sz w:val="21"/>
                <w:szCs w:val="21"/>
              </w:rPr>
              <w:t xml:space="preserve">6.显卡：集成显卡  </w:t>
            </w:r>
          </w:p>
          <w:p>
            <w:pPr>
              <w:spacing w:line="360" w:lineRule="exact"/>
              <w:jc w:val="left"/>
              <w:rPr>
                <w:rFonts w:ascii="宋体" w:hAnsi="宋体" w:cs="宋体"/>
                <w:sz w:val="21"/>
                <w:szCs w:val="21"/>
              </w:rPr>
            </w:pPr>
            <w:r>
              <w:rPr>
                <w:rFonts w:hint="eastAsia" w:ascii="宋体" w:hAnsi="宋体" w:cs="宋体"/>
                <w:sz w:val="21"/>
                <w:szCs w:val="21"/>
              </w:rPr>
              <w:t>7.电脑形态：主机+显示器</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22</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电脑桌椅</w:t>
            </w:r>
          </w:p>
        </w:tc>
        <w:tc>
          <w:tcPr>
            <w:tcW w:w="5752"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pacing w:line="360" w:lineRule="exact"/>
              <w:jc w:val="left"/>
              <w:rPr>
                <w:sz w:val="21"/>
                <w:szCs w:val="21"/>
              </w:rPr>
            </w:pPr>
            <w:r>
              <w:rPr>
                <w:rFonts w:hint="eastAsia"/>
                <w:sz w:val="21"/>
                <w:szCs w:val="21"/>
              </w:rPr>
              <w:t>功能:带抽屉</w:t>
            </w:r>
            <w:r>
              <w:rPr>
                <w:rFonts w:hint="eastAsia"/>
                <w:sz w:val="21"/>
                <w:szCs w:val="21"/>
              </w:rPr>
              <w:br w:type="textWrapping"/>
            </w:r>
            <w:r>
              <w:rPr>
                <w:rFonts w:hint="eastAsia"/>
                <w:sz w:val="21"/>
                <w:szCs w:val="21"/>
              </w:rPr>
              <w:t>2、风格:简约现代</w:t>
            </w:r>
            <w:r>
              <w:rPr>
                <w:rFonts w:hint="eastAsia"/>
                <w:sz w:val="21"/>
                <w:szCs w:val="21"/>
              </w:rPr>
              <w:br w:type="textWrapping"/>
            </w:r>
            <w:r>
              <w:rPr>
                <w:rFonts w:hint="eastAsia"/>
                <w:sz w:val="21"/>
                <w:szCs w:val="21"/>
              </w:rPr>
              <w:t>3、组合形式:转角电脑桌</w:t>
            </w:r>
            <w:r>
              <w:rPr>
                <w:rFonts w:hint="eastAsia"/>
                <w:sz w:val="21"/>
                <w:szCs w:val="21"/>
              </w:rPr>
              <w:br w:type="textWrapping"/>
            </w:r>
            <w:r>
              <w:rPr>
                <w:rFonts w:hint="eastAsia"/>
                <w:sz w:val="21"/>
                <w:szCs w:val="21"/>
              </w:rPr>
              <w:t>4、钢架:黑色，白色</w:t>
            </w:r>
          </w:p>
          <w:p>
            <w:pPr>
              <w:shd w:val="clear"/>
              <w:spacing w:line="360" w:lineRule="exact"/>
              <w:jc w:val="left"/>
              <w:rPr>
                <w:color w:val="auto"/>
                <w:sz w:val="21"/>
                <w:szCs w:val="21"/>
                <w:shd w:val="clear"/>
              </w:rPr>
            </w:pPr>
            <w:r>
              <w:rPr>
                <w:rFonts w:hint="eastAsia"/>
                <w:sz w:val="21"/>
                <w:szCs w:val="21"/>
              </w:rPr>
              <w:t>5</w:t>
            </w:r>
            <w:r>
              <w:rPr>
                <w:rFonts w:hint="eastAsia"/>
                <w:color w:val="auto"/>
                <w:sz w:val="21"/>
                <w:szCs w:val="21"/>
                <w:shd w:val="clear"/>
              </w:rPr>
              <w:t>、桌面颜色:白色、黑色</w:t>
            </w:r>
          </w:p>
          <w:p>
            <w:pPr>
              <w:spacing w:line="360" w:lineRule="exact"/>
              <w:jc w:val="left"/>
              <w:rPr>
                <w:sz w:val="21"/>
                <w:szCs w:val="21"/>
              </w:rPr>
            </w:pPr>
            <w:r>
              <w:rPr>
                <w:rFonts w:hint="eastAsia"/>
                <w:sz w:val="21"/>
                <w:szCs w:val="21"/>
              </w:rPr>
              <w:t>6、规</w:t>
            </w:r>
            <w:r>
              <w:rPr>
                <w:rFonts w:hint="eastAsia"/>
                <w:color w:val="auto"/>
                <w:sz w:val="21"/>
                <w:szCs w:val="21"/>
                <w:shd w:val="clear"/>
              </w:rPr>
              <w:t>格</w:t>
            </w:r>
            <w:r>
              <w:rPr>
                <w:rFonts w:hint="eastAsia" w:asciiTheme="minorEastAsia" w:hAnsiTheme="minorEastAsia" w:eastAsiaTheme="minorEastAsia" w:cstheme="minorEastAsia"/>
                <w:color w:val="auto"/>
                <w:sz w:val="21"/>
                <w:szCs w:val="21"/>
                <w:shd w:val="clear"/>
              </w:rPr>
              <w:t>:280CM*120CM*75CM 4人位带</w:t>
            </w:r>
            <w:r>
              <w:rPr>
                <w:rFonts w:hint="eastAsia"/>
                <w:color w:val="auto"/>
                <w:sz w:val="21"/>
                <w:szCs w:val="21"/>
                <w:shd w:val="clear"/>
              </w:rPr>
              <w:t>柜</w:t>
            </w:r>
            <w:r>
              <w:rPr>
                <w:rFonts w:hint="eastAsia"/>
                <w:sz w:val="21"/>
                <w:szCs w:val="21"/>
              </w:rPr>
              <w:t>椅</w:t>
            </w:r>
          </w:p>
          <w:p>
            <w:pPr>
              <w:widowControl/>
              <w:spacing w:line="360" w:lineRule="atLeast"/>
              <w:ind w:right="300"/>
              <w:rPr>
                <w:sz w:val="21"/>
                <w:szCs w:val="21"/>
              </w:rPr>
            </w:pPr>
            <w:r>
              <w:rPr>
                <w:rFonts w:hint="eastAsia"/>
                <w:sz w:val="21"/>
                <w:szCs w:val="21"/>
              </w:rPr>
              <w:t>7、材质: 人造板</w:t>
            </w:r>
          </w:p>
          <w:p>
            <w:pPr>
              <w:widowControl/>
              <w:spacing w:line="360" w:lineRule="atLeast"/>
              <w:ind w:right="300"/>
              <w:rPr>
                <w:sz w:val="21"/>
                <w:szCs w:val="21"/>
              </w:rPr>
            </w:pPr>
            <w:r>
              <w:rPr>
                <w:rFonts w:hint="eastAsia"/>
                <w:sz w:val="21"/>
                <w:szCs w:val="21"/>
              </w:rPr>
              <w:t>人造板种类: 刨花板/三聚氰胺板三聚氰胺板木质坚固，具有坚硬的韧性，可以经受精雕细琢的考验，制成天然的办公家具。</w:t>
            </w:r>
          </w:p>
          <w:p>
            <w:pPr>
              <w:widowControl/>
              <w:shd w:val="clear"/>
              <w:spacing w:line="360" w:lineRule="atLeast"/>
              <w:ind w:right="300"/>
              <w:rPr>
                <w:rFonts w:hint="default" w:eastAsia="宋体"/>
                <w:sz w:val="21"/>
                <w:szCs w:val="21"/>
                <w:lang w:val="en-US" w:eastAsia="zh-CN"/>
              </w:rPr>
            </w:pPr>
            <w:r>
              <w:rPr>
                <w:rFonts w:hint="eastAsia"/>
                <w:sz w:val="21"/>
                <w:szCs w:val="21"/>
              </w:rPr>
              <w:t>8、</w:t>
            </w:r>
            <w:r>
              <w:rPr>
                <w:rFonts w:hint="eastAsia"/>
                <w:sz w:val="21"/>
                <w:szCs w:val="21"/>
                <w:lang w:val="en-US" w:eastAsia="zh-CN"/>
              </w:rPr>
              <w:t>柜体</w:t>
            </w:r>
            <w:r>
              <w:rPr>
                <w:rFonts w:hint="eastAsia"/>
                <w:sz w:val="21"/>
                <w:szCs w:val="21"/>
              </w:rPr>
              <w:t>颜色分类:  4人位+4柜</w:t>
            </w:r>
            <w:r>
              <w:rPr>
                <w:rFonts w:hint="eastAsia"/>
                <w:sz w:val="21"/>
                <w:szCs w:val="21"/>
                <w:lang w:val="en-US" w:eastAsia="zh-CN"/>
              </w:rPr>
              <w:t xml:space="preserve"> (绿色)</w:t>
            </w:r>
          </w:p>
          <w:p>
            <w:pPr>
              <w:widowControl/>
              <w:spacing w:line="360" w:lineRule="atLeast"/>
              <w:ind w:right="300"/>
              <w:rPr>
                <w:sz w:val="21"/>
                <w:szCs w:val="21"/>
              </w:rPr>
            </w:pPr>
            <w:r>
              <w:rPr>
                <w:rFonts w:hint="eastAsia"/>
                <w:sz w:val="21"/>
                <w:szCs w:val="21"/>
                <w:lang w:val="en-US" w:eastAsia="zh-CN"/>
              </w:rPr>
              <w:t>9</w:t>
            </w:r>
            <w:r>
              <w:rPr>
                <w:rFonts w:hint="eastAsia"/>
                <w:sz w:val="21"/>
                <w:szCs w:val="21"/>
              </w:rPr>
              <w:t>、是否带屏风: 否</w:t>
            </w:r>
          </w:p>
          <w:p>
            <w:pPr>
              <w:widowControl/>
              <w:spacing w:line="360" w:lineRule="atLeast"/>
              <w:ind w:right="300"/>
            </w:pPr>
            <w:r>
              <w:rPr>
                <w:rFonts w:hint="eastAsia"/>
                <w:sz w:val="21"/>
                <w:szCs w:val="21"/>
              </w:rPr>
              <w:t>1</w:t>
            </w:r>
            <w:r>
              <w:rPr>
                <w:rFonts w:hint="eastAsia"/>
                <w:sz w:val="21"/>
                <w:szCs w:val="21"/>
                <w:lang w:val="en-US" w:eastAsia="zh-CN"/>
              </w:rPr>
              <w:t>0</w:t>
            </w:r>
            <w:r>
              <w:rPr>
                <w:rFonts w:hint="eastAsia"/>
                <w:sz w:val="21"/>
                <w:szCs w:val="21"/>
              </w:rPr>
              <w:t>、附加功能: 拆装 移动</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16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电脑桌椅</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sz w:val="21"/>
                <w:szCs w:val="21"/>
              </w:rPr>
              <w:t>1、功能:带抽屉</w:t>
            </w:r>
            <w:r>
              <w:rPr>
                <w:rFonts w:hint="eastAsia" w:ascii="宋体" w:hAnsi="宋体" w:cs="宋体"/>
                <w:sz w:val="21"/>
                <w:szCs w:val="21"/>
              </w:rPr>
              <w:br w:type="textWrapping"/>
            </w:r>
            <w:r>
              <w:rPr>
                <w:rFonts w:hint="eastAsia" w:ascii="宋体" w:hAnsi="宋体" w:cs="宋体"/>
                <w:sz w:val="21"/>
                <w:szCs w:val="21"/>
              </w:rPr>
              <w:t>2、风格:简约现代</w:t>
            </w:r>
            <w:r>
              <w:rPr>
                <w:rFonts w:hint="eastAsia" w:ascii="宋体" w:hAnsi="宋体" w:cs="宋体"/>
                <w:sz w:val="21"/>
                <w:szCs w:val="21"/>
              </w:rPr>
              <w:br w:type="textWrapping"/>
            </w:r>
            <w:r>
              <w:rPr>
                <w:rFonts w:hint="eastAsia" w:ascii="宋体" w:hAnsi="宋体" w:cs="宋体"/>
                <w:sz w:val="21"/>
                <w:szCs w:val="21"/>
              </w:rPr>
              <w:t>3、组合形式:转角电脑桌</w:t>
            </w:r>
            <w:r>
              <w:rPr>
                <w:rFonts w:hint="eastAsia" w:ascii="宋体" w:hAnsi="宋体" w:cs="宋体"/>
                <w:sz w:val="21"/>
                <w:szCs w:val="21"/>
              </w:rPr>
              <w:br w:type="textWrapping"/>
            </w:r>
            <w:r>
              <w:rPr>
                <w:rFonts w:hint="eastAsia" w:ascii="宋体" w:hAnsi="宋体" w:cs="宋体"/>
                <w:sz w:val="21"/>
                <w:szCs w:val="21"/>
              </w:rPr>
              <w:t>4、钢架:黑色，白色</w:t>
            </w:r>
            <w:r>
              <w:rPr>
                <w:rFonts w:hint="eastAsia" w:ascii="宋体" w:hAnsi="宋体" w:cs="宋体"/>
                <w:sz w:val="21"/>
                <w:szCs w:val="21"/>
              </w:rPr>
              <w:br w:type="textWrapping"/>
            </w:r>
            <w:r>
              <w:rPr>
                <w:rFonts w:hint="eastAsia" w:ascii="宋体" w:hAnsi="宋体" w:cs="宋体"/>
                <w:sz w:val="21"/>
                <w:szCs w:val="21"/>
              </w:rPr>
              <w:t>5、桌面颜色:白色、黑色、浅胡桃色、柚木色  白枫色</w:t>
            </w:r>
          </w:p>
          <w:p>
            <w:pPr>
              <w:shd w:val="clear"/>
              <w:spacing w:line="360" w:lineRule="exact"/>
              <w:jc w:val="left"/>
              <w:rPr>
                <w:rFonts w:ascii="宋体" w:hAnsi="宋体" w:cs="宋体"/>
                <w:color w:val="auto"/>
                <w:sz w:val="21"/>
                <w:szCs w:val="21"/>
              </w:rPr>
            </w:pPr>
            <w:r>
              <w:rPr>
                <w:rFonts w:hint="eastAsia" w:ascii="宋体" w:hAnsi="宋体" w:cs="宋体"/>
                <w:color w:val="auto"/>
                <w:sz w:val="21"/>
                <w:szCs w:val="21"/>
              </w:rPr>
              <w:t>6、规格:280CM*120CM*75CM 4人位带柜椅</w:t>
            </w:r>
          </w:p>
          <w:p>
            <w:pPr>
              <w:widowControl/>
              <w:spacing w:line="360" w:lineRule="atLeast"/>
              <w:ind w:right="300"/>
              <w:rPr>
                <w:rFonts w:ascii="宋体" w:hAnsi="宋体" w:cs="宋体"/>
                <w:sz w:val="21"/>
                <w:szCs w:val="21"/>
              </w:rPr>
            </w:pPr>
            <w:r>
              <w:rPr>
                <w:rFonts w:hint="eastAsia" w:ascii="宋体" w:hAnsi="宋体" w:cs="宋体"/>
                <w:sz w:val="21"/>
                <w:szCs w:val="21"/>
              </w:rPr>
              <w:t>7、材质: 人造板</w:t>
            </w:r>
          </w:p>
          <w:p>
            <w:pPr>
              <w:widowControl/>
              <w:spacing w:line="360" w:lineRule="atLeast"/>
              <w:ind w:left="75" w:right="300"/>
              <w:rPr>
                <w:rFonts w:ascii="宋体" w:hAnsi="宋体" w:cs="宋体"/>
                <w:sz w:val="21"/>
                <w:szCs w:val="21"/>
              </w:rPr>
            </w:pPr>
            <w:r>
              <w:rPr>
                <w:rFonts w:hint="eastAsia" w:ascii="宋体" w:hAnsi="宋体" w:cs="宋体"/>
                <w:sz w:val="21"/>
                <w:szCs w:val="21"/>
              </w:rPr>
              <w:t>人造板种类: 刨花板/三聚氰胺板三聚氰胺板木质坚固，具有坚硬的韧性，可以经受精雕细琢的考验，制成天然的办公家具。</w:t>
            </w:r>
          </w:p>
          <w:p>
            <w:pPr>
              <w:widowControl/>
              <w:spacing w:line="360" w:lineRule="atLeast"/>
              <w:ind w:right="300"/>
              <w:rPr>
                <w:rFonts w:ascii="宋体" w:hAnsi="宋体" w:cs="宋体"/>
                <w:sz w:val="21"/>
                <w:szCs w:val="21"/>
              </w:rPr>
            </w:pPr>
            <w:r>
              <w:rPr>
                <w:rFonts w:hint="eastAsia" w:ascii="宋体" w:hAnsi="宋体" w:cs="宋体"/>
                <w:sz w:val="21"/>
                <w:szCs w:val="21"/>
              </w:rPr>
              <w:t xml:space="preserve">8、颜色分类: 4人位+4柜（绿色） </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9</w:t>
            </w:r>
            <w:r>
              <w:rPr>
                <w:rFonts w:hint="eastAsia" w:ascii="宋体" w:hAnsi="宋体" w:cs="宋体"/>
                <w:sz w:val="21"/>
                <w:szCs w:val="21"/>
              </w:rPr>
              <w:t>、是否带屏风: 否</w:t>
            </w:r>
          </w:p>
          <w:p>
            <w:pPr>
              <w:widowControl/>
              <w:spacing w:line="360" w:lineRule="atLeast"/>
              <w:ind w:right="30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、附加功能: 拆装 移动</w:t>
            </w:r>
          </w:p>
          <w:p>
            <w:pPr>
              <w:spacing w:line="360" w:lineRule="exact"/>
              <w:jc w:val="lef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、是否组装: 组装</w:t>
            </w:r>
          </w:p>
          <w:p>
            <w:pPr>
              <w:widowControl/>
              <w:spacing w:line="360" w:lineRule="atLeast"/>
              <w:ind w:right="300"/>
              <w:rPr>
                <w:rFonts w:ascii="宋体" w:hAnsi="宋体" w:cs="宋体"/>
                <w:sz w:val="21"/>
                <w:szCs w:val="21"/>
              </w:rPr>
            </w:pPr>
            <w:r>
              <w:rPr>
                <w:rFonts w:hint="eastAsia" w:ascii="宋体" w:hAnsi="宋体" w:cs="宋体"/>
                <w:sz w:val="21"/>
                <w:szCs w:val="21"/>
                <w:lang w:val="en-US" w:eastAsia="zh-CN"/>
              </w:rPr>
              <w:t>12</w:t>
            </w:r>
            <w:r>
              <w:rPr>
                <w:rFonts w:hint="eastAsia" w:ascii="宋体" w:hAnsi="宋体" w:cs="宋体"/>
                <w:sz w:val="21"/>
                <w:szCs w:val="21"/>
              </w:rPr>
              <w:t>、安装: 包安装</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组</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消毒柜</w:t>
            </w:r>
          </w:p>
        </w:tc>
        <w:tc>
          <w:tcPr>
            <w:tcW w:w="575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1"/>
                <w:szCs w:val="21"/>
              </w:rPr>
            </w:pPr>
            <w:r>
              <w:rPr>
                <w:rFonts w:hint="eastAsia" w:ascii="宋体" w:hAnsi="宋体" w:cs="宋体"/>
                <w:sz w:val="21"/>
                <w:szCs w:val="21"/>
              </w:rPr>
              <w:t>1、机器满足使用者自行操作图书杀菌作业的功能要求；</w:t>
            </w:r>
          </w:p>
          <w:p>
            <w:pPr>
              <w:rPr>
                <w:rFonts w:ascii="宋体" w:hAnsi="宋体" w:cs="宋体"/>
                <w:sz w:val="21"/>
                <w:szCs w:val="21"/>
              </w:rPr>
            </w:pPr>
            <w:r>
              <w:rPr>
                <w:rFonts w:hint="eastAsia" w:ascii="宋体" w:hAnsi="宋体" w:cs="宋体"/>
                <w:sz w:val="21"/>
                <w:szCs w:val="21"/>
              </w:rPr>
              <w:t>2、采用臭氧杀菌技术，360度彻底消毒效果，增强杀菌效果，同时可去除图书中的致癌物质二甲苯，氨等异味。</w:t>
            </w:r>
          </w:p>
          <w:p>
            <w:pPr>
              <w:rPr>
                <w:rFonts w:ascii="宋体" w:hAnsi="宋体" w:cs="宋体"/>
                <w:sz w:val="21"/>
                <w:szCs w:val="21"/>
              </w:rPr>
            </w:pPr>
            <w:r>
              <w:rPr>
                <w:rFonts w:hint="eastAsia" w:ascii="宋体" w:hAnsi="宋体" w:cs="宋体"/>
                <w:sz w:val="21"/>
                <w:szCs w:val="21"/>
              </w:rPr>
              <w:t xml:space="preserve">3、本机器配备有祛除书异味过滤装置，能祛除书中的霉味等异味。             </w:t>
            </w:r>
          </w:p>
          <w:p>
            <w:pPr>
              <w:rPr>
                <w:rFonts w:ascii="宋体" w:hAnsi="宋体" w:cs="宋体"/>
                <w:sz w:val="21"/>
                <w:szCs w:val="21"/>
              </w:rPr>
            </w:pPr>
            <w:r>
              <w:rPr>
                <w:rFonts w:hint="eastAsia" w:ascii="宋体" w:hAnsi="宋体" w:cs="宋体"/>
                <w:sz w:val="21"/>
                <w:szCs w:val="21"/>
              </w:rPr>
              <w:t>4、人性化操作介面设计，方便使用者操作；</w:t>
            </w:r>
          </w:p>
          <w:p>
            <w:pPr>
              <w:rPr>
                <w:rFonts w:ascii="宋体" w:hAnsi="宋体" w:cs="宋体"/>
                <w:sz w:val="21"/>
                <w:szCs w:val="21"/>
              </w:rPr>
            </w:pPr>
            <w:r>
              <w:rPr>
                <w:rFonts w:hint="eastAsia" w:ascii="宋体" w:hAnsi="宋体" w:cs="宋体"/>
                <w:sz w:val="21"/>
                <w:szCs w:val="21"/>
              </w:rPr>
              <w:t>5、机器具备杀菌作业进度指示灯，可提示杀菌作业的进度；</w:t>
            </w:r>
          </w:p>
          <w:p>
            <w:pPr>
              <w:rPr>
                <w:rFonts w:ascii="宋体" w:hAnsi="宋体" w:cs="宋体"/>
                <w:sz w:val="21"/>
                <w:szCs w:val="21"/>
              </w:rPr>
            </w:pPr>
            <w:r>
              <w:rPr>
                <w:rFonts w:hint="eastAsia" w:ascii="宋体" w:hAnsi="宋体" w:cs="宋体"/>
                <w:sz w:val="21"/>
                <w:szCs w:val="21"/>
              </w:rPr>
              <w:t>6、操作时开始与结束有声音提示；</w:t>
            </w:r>
          </w:p>
          <w:p>
            <w:pPr>
              <w:rPr>
                <w:rFonts w:ascii="宋体" w:hAnsi="宋体" w:cs="宋体"/>
                <w:sz w:val="21"/>
                <w:szCs w:val="21"/>
              </w:rPr>
            </w:pPr>
            <w:r>
              <w:rPr>
                <w:rFonts w:hint="eastAsia" w:ascii="宋体" w:hAnsi="宋体" w:cs="宋体"/>
                <w:sz w:val="21"/>
                <w:szCs w:val="21"/>
              </w:rPr>
              <w:t>7、杀菌作业不会对书籍封面或内页留下刮痕或任何损害痕迹</w:t>
            </w:r>
          </w:p>
          <w:p>
            <w:pPr>
              <w:rPr>
                <w:rFonts w:ascii="宋体" w:hAnsi="宋体" w:cs="宋体"/>
                <w:sz w:val="21"/>
                <w:szCs w:val="21"/>
              </w:rPr>
            </w:pPr>
            <w:r>
              <w:rPr>
                <w:rFonts w:hint="eastAsia" w:ascii="宋体" w:hAnsi="宋体" w:cs="宋体"/>
                <w:sz w:val="21"/>
                <w:szCs w:val="21"/>
              </w:rPr>
              <w:t>8、硬件规格：1350*550*510(mm)、电源：220V~50HZ；功率：60W；容量：300L；托蓝层数：3层；消毒量(20mm厚度)：150本；臭氧发生量：800mg/h；消毒时间：60分钟；控制方式：微电脑控制；重量：45KG；钢化玻璃+钢结构材质。</w:t>
            </w:r>
          </w:p>
          <w:p>
            <w:pPr>
              <w:rPr>
                <w:rFonts w:ascii="宋体" w:hAnsi="宋体" w:cs="宋体"/>
                <w:sz w:val="21"/>
                <w:szCs w:val="21"/>
              </w:rPr>
            </w:pPr>
            <w:r>
              <w:rPr>
                <w:rFonts w:hint="eastAsia" w:ascii="宋体" w:hAnsi="宋体" w:cs="宋体"/>
                <w:sz w:val="21"/>
                <w:szCs w:val="21"/>
              </w:rPr>
              <w:t>9、包安装；调试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7</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自助借还书机</w:t>
            </w:r>
          </w:p>
        </w:tc>
        <w:tc>
          <w:tcPr>
            <w:tcW w:w="575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1"/>
                <w:szCs w:val="21"/>
              </w:rPr>
            </w:pPr>
            <w:r>
              <w:rPr>
                <w:rFonts w:hint="eastAsia" w:ascii="宋体" w:hAnsi="宋体" w:cs="宋体"/>
                <w:sz w:val="21"/>
                <w:szCs w:val="21"/>
              </w:rPr>
              <w:t>1、嵌入式设计，美观大方，可以很方便地集成到图书馆业务实施环境中。</w:t>
            </w:r>
          </w:p>
          <w:p>
            <w:pPr>
              <w:rPr>
                <w:rFonts w:ascii="宋体" w:hAnsi="宋体" w:cs="宋体"/>
                <w:sz w:val="21"/>
                <w:szCs w:val="21"/>
              </w:rPr>
            </w:pPr>
            <w:r>
              <w:rPr>
                <w:rFonts w:hint="eastAsia" w:ascii="宋体" w:hAnsi="宋体" w:cs="宋体"/>
                <w:sz w:val="21"/>
                <w:szCs w:val="21"/>
              </w:rPr>
              <w:t>2、支持系统与市民卡中心进行对接，进行身份认证功能。</w:t>
            </w:r>
          </w:p>
          <w:p>
            <w:pPr>
              <w:rPr>
                <w:rFonts w:ascii="宋体" w:hAnsi="宋体" w:cs="宋体"/>
                <w:sz w:val="21"/>
                <w:szCs w:val="21"/>
              </w:rPr>
            </w:pPr>
            <w:r>
              <w:rPr>
                <w:rFonts w:hint="eastAsia" w:ascii="微软雅黑" w:hAnsi="微软雅黑" w:eastAsia="微软雅黑" w:cs="微软雅黑"/>
                <w:b w:val="0"/>
                <w:bCs/>
                <w:color w:val="auto"/>
                <w:sz w:val="18"/>
                <w:szCs w:val="18"/>
              </w:rPr>
              <w:t>★</w:t>
            </w:r>
            <w:r>
              <w:rPr>
                <w:rFonts w:hint="eastAsia" w:ascii="宋体" w:hAnsi="宋体" w:cs="宋体"/>
                <w:sz w:val="21"/>
                <w:szCs w:val="21"/>
              </w:rPr>
              <w:t>3、系统与市图书馆系统对接，获取绑定信息。</w:t>
            </w:r>
          </w:p>
          <w:p>
            <w:pPr>
              <w:rPr>
                <w:rFonts w:ascii="宋体" w:hAnsi="宋体" w:cs="宋体"/>
                <w:sz w:val="21"/>
                <w:szCs w:val="21"/>
              </w:rPr>
            </w:pPr>
            <w:r>
              <w:rPr>
                <w:rFonts w:hint="eastAsia" w:ascii="宋体" w:hAnsi="宋体" w:cs="宋体"/>
                <w:sz w:val="21"/>
                <w:szCs w:val="21"/>
              </w:rPr>
              <w:t>4、支持刷卡借还功能，读者可以通过刷卡借还图书。</w:t>
            </w:r>
          </w:p>
          <w:p>
            <w:pPr>
              <w:rPr>
                <w:rFonts w:ascii="宋体" w:hAnsi="宋体" w:cs="宋体"/>
                <w:sz w:val="21"/>
                <w:szCs w:val="21"/>
              </w:rPr>
            </w:pPr>
            <w:r>
              <w:rPr>
                <w:rFonts w:hint="eastAsia" w:ascii="宋体" w:hAnsi="宋体" w:cs="宋体"/>
                <w:sz w:val="21"/>
                <w:szCs w:val="21"/>
              </w:rPr>
              <w:t>5、可以识别图书馆使用的各种类型有效证件（市民卡、二代身份证、IC借书证认证等）。</w:t>
            </w:r>
          </w:p>
          <w:p>
            <w:pPr>
              <w:rPr>
                <w:rFonts w:ascii="宋体" w:hAnsi="宋体" w:cs="宋体"/>
                <w:sz w:val="21"/>
                <w:szCs w:val="21"/>
              </w:rPr>
            </w:pPr>
            <w:r>
              <w:rPr>
                <w:rFonts w:hint="eastAsia" w:ascii="宋体" w:hAnsi="宋体" w:cs="宋体"/>
                <w:sz w:val="21"/>
                <w:szCs w:val="21"/>
              </w:rPr>
              <w:t>6、可以非接触式地快速识别粘贴在流通资料上的RFID标签。</w:t>
            </w:r>
          </w:p>
          <w:p>
            <w:pPr>
              <w:rPr>
                <w:rFonts w:ascii="宋体" w:hAnsi="宋体" w:cs="宋体"/>
                <w:sz w:val="21"/>
                <w:szCs w:val="21"/>
              </w:rPr>
            </w:pPr>
            <w:r>
              <w:rPr>
                <w:rFonts w:hint="eastAsia" w:ascii="宋体" w:hAnsi="宋体" w:cs="宋体"/>
                <w:sz w:val="21"/>
                <w:szCs w:val="21"/>
              </w:rPr>
              <w:t>7、可以对图书馆内的印刷品、光盘等流通资料进行借还操作。</w:t>
            </w:r>
          </w:p>
          <w:p>
            <w:pPr>
              <w:rPr>
                <w:rFonts w:ascii="宋体" w:hAnsi="宋体" w:cs="宋体"/>
                <w:sz w:val="21"/>
                <w:szCs w:val="21"/>
              </w:rPr>
            </w:pPr>
            <w:r>
              <w:rPr>
                <w:rFonts w:hint="eastAsia" w:ascii="宋体" w:hAnsi="宋体" w:cs="宋体"/>
                <w:sz w:val="21"/>
                <w:szCs w:val="21"/>
              </w:rPr>
              <w:t>8、配备触摸屏显示屏或简单按键操作，具有图形化的友好操作界面，可提供简体多语言的视觉交互提示功能。</w:t>
            </w:r>
          </w:p>
          <w:p>
            <w:pPr>
              <w:rPr>
                <w:rFonts w:ascii="宋体" w:hAnsi="宋体" w:cs="宋体"/>
                <w:sz w:val="21"/>
                <w:szCs w:val="21"/>
              </w:rPr>
            </w:pPr>
            <w:r>
              <w:rPr>
                <w:rFonts w:hint="eastAsia" w:ascii="宋体" w:hAnsi="宋体" w:cs="宋体"/>
                <w:sz w:val="21"/>
                <w:szCs w:val="21"/>
              </w:rPr>
              <w:t>9、读者自助操作的实时记录日志功能。</w:t>
            </w:r>
          </w:p>
          <w:p>
            <w:pPr>
              <w:rPr>
                <w:rFonts w:ascii="宋体" w:hAnsi="宋体" w:cs="宋体"/>
                <w:sz w:val="21"/>
                <w:szCs w:val="21"/>
              </w:rPr>
            </w:pPr>
            <w:r>
              <w:rPr>
                <w:rFonts w:hint="eastAsia" w:ascii="宋体" w:hAnsi="宋体" w:cs="宋体"/>
                <w:sz w:val="21"/>
                <w:szCs w:val="21"/>
              </w:rPr>
              <w:t>10、具备防止借阅过程中偷换、抽换书籍的功能。</w:t>
            </w:r>
          </w:p>
          <w:p>
            <w:pPr>
              <w:rPr>
                <w:rFonts w:ascii="宋体" w:hAnsi="宋体" w:cs="宋体"/>
                <w:sz w:val="21"/>
                <w:szCs w:val="21"/>
              </w:rPr>
            </w:pPr>
            <w:r>
              <w:rPr>
                <w:rFonts w:hint="eastAsia" w:ascii="宋体" w:hAnsi="宋体" w:cs="宋体"/>
                <w:sz w:val="21"/>
                <w:szCs w:val="21"/>
              </w:rPr>
              <w:t>11、读者可根据图书馆管理系统需要输入密码。</w:t>
            </w:r>
          </w:p>
          <w:p>
            <w:pPr>
              <w:rPr>
                <w:rFonts w:ascii="宋体" w:hAnsi="宋体" w:cs="宋体"/>
                <w:sz w:val="21"/>
                <w:szCs w:val="21"/>
              </w:rPr>
            </w:pPr>
            <w:r>
              <w:rPr>
                <w:rFonts w:hint="eastAsia" w:ascii="宋体" w:hAnsi="宋体" w:cs="宋体"/>
                <w:sz w:val="21"/>
                <w:szCs w:val="21"/>
              </w:rPr>
              <w:t>12、保护读者隐私，可选择显示读者姓名（借阅资料名称），或读者（借阅资料）条码号，读者已借资料、在借资料数量，超期数量等非隐私信息。</w:t>
            </w:r>
          </w:p>
          <w:p>
            <w:pPr>
              <w:rPr>
                <w:rFonts w:ascii="宋体" w:hAnsi="宋体" w:cs="宋体"/>
                <w:sz w:val="21"/>
                <w:szCs w:val="21"/>
              </w:rPr>
            </w:pPr>
            <w:r>
              <w:rPr>
                <w:rFonts w:hint="eastAsia" w:ascii="宋体" w:hAnsi="宋体" w:cs="宋体"/>
                <w:sz w:val="21"/>
                <w:szCs w:val="21"/>
              </w:rPr>
              <w:t>13、系统提供准确的工作统计，如借还数量、借还类型、成功与否的借还统计等。</w:t>
            </w:r>
          </w:p>
          <w:p>
            <w:pPr>
              <w:rPr>
                <w:rFonts w:ascii="宋体" w:hAnsi="宋体" w:cs="宋体"/>
                <w:sz w:val="21"/>
                <w:szCs w:val="21"/>
              </w:rPr>
            </w:pPr>
            <w:r>
              <w:rPr>
                <w:rFonts w:hint="eastAsia" w:ascii="宋体" w:hAnsi="宋体" w:cs="宋体"/>
                <w:sz w:val="21"/>
                <w:szCs w:val="21"/>
              </w:rPr>
              <w:t>14、提供市民卡、二代身份证、IC借书证相应的配套读卡设备。</w:t>
            </w:r>
          </w:p>
          <w:p>
            <w:pPr>
              <w:rPr>
                <w:rFonts w:ascii="宋体" w:hAnsi="宋体" w:cs="宋体"/>
                <w:sz w:val="21"/>
                <w:szCs w:val="21"/>
              </w:rPr>
            </w:pPr>
            <w:r>
              <w:rPr>
                <w:rFonts w:hint="eastAsia" w:ascii="宋体" w:hAnsi="宋体" w:cs="宋体"/>
                <w:sz w:val="21"/>
                <w:szCs w:val="21"/>
              </w:rPr>
              <w:t>15、外设故障记录到图书馆自动化管理系统（Interlib）流通日志中，可在管理系统的日志查询中查询，同时通过图书馆短信平台通知管理员。</w:t>
            </w:r>
          </w:p>
          <w:p>
            <w:pPr>
              <w:rPr>
                <w:rFonts w:ascii="宋体" w:hAnsi="宋体" w:cs="宋体"/>
                <w:sz w:val="21"/>
                <w:szCs w:val="21"/>
              </w:rPr>
            </w:pPr>
            <w:r>
              <w:rPr>
                <w:rFonts w:hint="eastAsia" w:ascii="宋体" w:hAnsi="宋体" w:cs="宋体"/>
                <w:sz w:val="21"/>
                <w:szCs w:val="21"/>
              </w:rPr>
              <w:t>16、主动上传数据至中心服务器。</w:t>
            </w:r>
          </w:p>
          <w:p>
            <w:pPr>
              <w:rPr>
                <w:rFonts w:ascii="宋体" w:hAnsi="宋体" w:cs="宋体"/>
                <w:sz w:val="21"/>
                <w:szCs w:val="21"/>
              </w:rPr>
            </w:pPr>
            <w:r>
              <w:rPr>
                <w:rFonts w:hint="eastAsia" w:ascii="宋体" w:hAnsi="宋体" w:cs="宋体"/>
                <w:sz w:val="21"/>
                <w:szCs w:val="21"/>
              </w:rPr>
              <w:t>17、还书后同时可按要求变更图书的馆藏地点和文献类型。</w:t>
            </w:r>
          </w:p>
          <w:p>
            <w:pPr>
              <w:rPr>
                <w:rFonts w:ascii="宋体" w:hAnsi="宋体" w:cs="宋体"/>
                <w:sz w:val="21"/>
                <w:szCs w:val="21"/>
              </w:rPr>
            </w:pPr>
            <w:r>
              <w:rPr>
                <w:rFonts w:hint="eastAsia" w:ascii="宋体" w:hAnsi="宋体" w:cs="宋体"/>
                <w:sz w:val="21"/>
                <w:szCs w:val="21"/>
              </w:rPr>
              <w:t>18、可通过标准串口、USB接口或网络接口连接至计算机设备。</w:t>
            </w:r>
          </w:p>
          <w:p>
            <w:pPr>
              <w:rPr>
                <w:rFonts w:ascii="宋体" w:hAnsi="宋体" w:cs="宋体"/>
                <w:sz w:val="21"/>
                <w:szCs w:val="21"/>
              </w:rPr>
            </w:pPr>
            <w:r>
              <w:rPr>
                <w:rFonts w:hint="eastAsia" w:ascii="宋体" w:hAnsi="宋体" w:cs="宋体"/>
                <w:sz w:val="21"/>
                <w:szCs w:val="21"/>
              </w:rPr>
              <w:t>19、符合国际相关行业标准，如ISO15693标准、ISO 18000-3标准、UL1950品质标准或ISO18000-6C标准等。</w:t>
            </w:r>
          </w:p>
          <w:p>
            <w:pPr>
              <w:rPr>
                <w:rFonts w:ascii="宋体" w:hAnsi="宋体" w:cs="宋体"/>
                <w:sz w:val="21"/>
                <w:szCs w:val="21"/>
              </w:rPr>
            </w:pPr>
            <w:r>
              <w:rPr>
                <w:rFonts w:hint="eastAsia" w:ascii="宋体" w:hAnsi="宋体" w:cs="宋体"/>
                <w:sz w:val="21"/>
                <w:szCs w:val="21"/>
              </w:rPr>
              <w:t>20、设备系统提供接口以实现远程诊断、监控。</w:t>
            </w:r>
          </w:p>
          <w:p>
            <w:pPr>
              <w:rPr>
                <w:rFonts w:ascii="宋体" w:hAnsi="宋体" w:cs="宋体"/>
                <w:sz w:val="21"/>
                <w:szCs w:val="21"/>
              </w:rPr>
            </w:pPr>
            <w:r>
              <w:rPr>
                <w:rFonts w:hint="eastAsia" w:ascii="宋体" w:hAnsi="宋体" w:cs="宋体"/>
                <w:sz w:val="21"/>
                <w:szCs w:val="21"/>
              </w:rPr>
              <w:t>21、采用工作站集成式设计，则各部分设备可单独更换，系统应有足够的抗攻击能力和快速的回复能力。</w:t>
            </w:r>
          </w:p>
          <w:p>
            <w:pPr>
              <w:rPr>
                <w:rFonts w:ascii="宋体" w:hAnsi="宋体" w:cs="宋体"/>
                <w:sz w:val="21"/>
                <w:szCs w:val="21"/>
              </w:rPr>
            </w:pPr>
            <w:r>
              <w:rPr>
                <w:rFonts w:hint="eastAsia" w:ascii="宋体" w:hAnsi="宋体" w:cs="宋体"/>
                <w:sz w:val="21"/>
                <w:szCs w:val="21"/>
              </w:rPr>
              <w:t>22、设备系统通过简单的硬件转换可以升级，紧跟最新技术发展。</w:t>
            </w:r>
          </w:p>
          <w:p>
            <w:pPr>
              <w:rPr>
                <w:rFonts w:ascii="宋体" w:hAnsi="宋体" w:cs="宋体"/>
                <w:sz w:val="21"/>
                <w:szCs w:val="21"/>
              </w:rPr>
            </w:pPr>
            <w:r>
              <w:rPr>
                <w:rFonts w:hint="eastAsia" w:ascii="宋体" w:hAnsi="宋体" w:cs="宋体"/>
                <w:sz w:val="21"/>
                <w:szCs w:val="21"/>
              </w:rPr>
              <w:t>23、系统必须提供自动续连功能,在网络短暂故障恢复后,自动连接流通系统服务器,并恢复自助服务,无需馆员协助连接或重新启动服务。</w:t>
            </w:r>
          </w:p>
          <w:p>
            <w:pPr>
              <w:rPr>
                <w:rFonts w:ascii="宋体" w:hAnsi="宋体" w:cs="宋体"/>
                <w:sz w:val="21"/>
                <w:szCs w:val="21"/>
              </w:rPr>
            </w:pPr>
            <w:r>
              <w:rPr>
                <w:rFonts w:hint="eastAsia" w:ascii="宋体" w:hAnsi="宋体" w:cs="宋体"/>
                <w:sz w:val="21"/>
                <w:szCs w:val="21"/>
              </w:rPr>
              <w:t>24、主要设备同时具有硬件和软件看门狗功能，自助系统带定时自动喂狗功能，在系统死机或系统崩溃系统将自动重启。</w:t>
            </w:r>
          </w:p>
          <w:p>
            <w:pPr>
              <w:rPr>
                <w:rFonts w:ascii="宋体" w:hAnsi="宋体" w:cs="宋体"/>
                <w:sz w:val="21"/>
                <w:szCs w:val="21"/>
              </w:rPr>
            </w:pPr>
            <w:r>
              <w:rPr>
                <w:rFonts w:hint="eastAsia" w:ascii="微软雅黑" w:hAnsi="微软雅黑" w:eastAsia="微软雅黑" w:cs="微软雅黑"/>
                <w:b w:val="0"/>
                <w:bCs/>
                <w:color w:val="auto"/>
                <w:sz w:val="18"/>
                <w:szCs w:val="18"/>
              </w:rPr>
              <w:t>★</w:t>
            </w:r>
            <w:r>
              <w:rPr>
                <w:rFonts w:hint="eastAsia" w:ascii="宋体" w:hAnsi="宋体" w:cs="宋体"/>
                <w:sz w:val="21"/>
                <w:szCs w:val="21"/>
              </w:rPr>
              <w:t>25、为保证所投产品使用稳定性，投标人需提供具有国家认可的认证检测机构出具的3C认证证书。</w:t>
            </w:r>
          </w:p>
          <w:p>
            <w:pPr>
              <w:rPr>
                <w:rFonts w:ascii="宋体" w:hAnsi="宋体" w:cs="宋体"/>
                <w:sz w:val="21"/>
                <w:szCs w:val="21"/>
              </w:rPr>
            </w:pPr>
            <w:r>
              <w:rPr>
                <w:rFonts w:hint="eastAsia" w:ascii="微软雅黑" w:hAnsi="微软雅黑" w:eastAsia="微软雅黑" w:cs="微软雅黑"/>
                <w:b w:val="0"/>
                <w:bCs/>
                <w:color w:val="auto"/>
                <w:sz w:val="18"/>
                <w:szCs w:val="18"/>
              </w:rPr>
              <w:t>★</w:t>
            </w:r>
            <w:r>
              <w:rPr>
                <w:rFonts w:hint="eastAsia" w:ascii="宋体" w:hAnsi="宋体" w:cs="宋体"/>
                <w:sz w:val="21"/>
                <w:szCs w:val="21"/>
              </w:rPr>
              <w:t>26、为保证所投产品使用稳定性，所投产品在温度环境适应能力测试需符合《GB/T 2423》系列标准中环境试验关于“温度”测试标准要求，投标人需提供国家认可的认证检测机构出具的相关证明文件复印件加盖投标人公章。</w:t>
            </w:r>
          </w:p>
          <w:p>
            <w:pPr>
              <w:jc w:val="left"/>
              <w:rPr>
                <w:rFonts w:ascii="宋体" w:hAnsi="宋体" w:cs="宋体"/>
                <w:sz w:val="21"/>
                <w:szCs w:val="21"/>
              </w:rPr>
            </w:pPr>
            <w:r>
              <w:rPr>
                <w:rFonts w:hint="eastAsia" w:ascii="微软雅黑" w:hAnsi="微软雅黑" w:eastAsia="微软雅黑" w:cs="微软雅黑"/>
                <w:b w:val="0"/>
                <w:bCs/>
                <w:color w:val="auto"/>
                <w:sz w:val="18"/>
                <w:szCs w:val="18"/>
              </w:rPr>
              <w:t>★</w:t>
            </w:r>
            <w:r>
              <w:rPr>
                <w:rFonts w:hint="eastAsia" w:ascii="宋体" w:hAnsi="宋体" w:cs="宋体"/>
                <w:sz w:val="21"/>
                <w:szCs w:val="21"/>
              </w:rPr>
              <w:t>27、为保证所投产品在公用网络电压环境的适应及使用性能，需符合《GB17625.1-2012》系列标准中关于“电磁兼容 限值 谐波电流发射限值”测试要求；需符合《GB 4943.1》标准中关于“信息技术设备 安全 第1部分：通用要求”测试要求；为避免对人体辐射伤害，特别是对孕妇、心脏起搏器佩戴者以及身体条件缺陷的读者造成伤害，电磁辐射须遵守国家法定要求，需符合《GB 9254-2008》标准关于“信息技术设备的无线电骚扰限值和测量方法”测试要求, 投标人需提供国家认可的认证检测机构出具的相关证明文件复印件加盖投标人公章。</w:t>
            </w:r>
            <w:r>
              <w:rPr>
                <w:rFonts w:hint="eastAsia" w:ascii="宋体" w:hAnsi="宋体" w:cs="宋体"/>
                <w:sz w:val="21"/>
                <w:szCs w:val="21"/>
              </w:rPr>
              <w:br w:type="textWrapping"/>
            </w:r>
            <w:r>
              <w:rPr>
                <w:rFonts w:hint="eastAsia" w:ascii="微软雅黑" w:hAnsi="微软雅黑" w:eastAsia="微软雅黑" w:cs="微软雅黑"/>
                <w:b w:val="0"/>
                <w:bCs/>
                <w:color w:val="auto"/>
                <w:sz w:val="18"/>
                <w:szCs w:val="18"/>
              </w:rPr>
              <w:t>★</w:t>
            </w:r>
            <w:r>
              <w:rPr>
                <w:rFonts w:hint="eastAsia" w:ascii="宋体" w:hAnsi="宋体" w:cs="宋体"/>
                <w:sz w:val="21"/>
                <w:szCs w:val="21"/>
              </w:rPr>
              <w:t>28、为保证产品的安全性，设备集成的读卡器或整机需符合《GB4943.1》标准关于“信息技术设备安全”测试要求，响应单位须提供认证检测机构出具的检测报告复印件加盖响应单位公章。</w:t>
            </w:r>
          </w:p>
          <w:p>
            <w:pPr>
              <w:rPr>
                <w:rFonts w:ascii="宋体" w:hAnsi="宋体" w:cs="宋体"/>
                <w:sz w:val="21"/>
                <w:szCs w:val="21"/>
              </w:rPr>
            </w:pPr>
            <w:r>
              <w:rPr>
                <w:rFonts w:hint="eastAsia" w:ascii="宋体" w:hAnsi="宋体" w:cs="宋体"/>
                <w:sz w:val="21"/>
                <w:szCs w:val="21"/>
              </w:rPr>
              <w:t>29、为考虑产品防水防尘的实际使用环境，设备集成的读卡器或整机需符合IEC 60529:2013检测依据，投标人须提供认证检测机构出具的检测报告复印件加盖投标人公章。</w:t>
            </w:r>
          </w:p>
          <w:p>
            <w:pPr>
              <w:rPr>
                <w:rFonts w:hint="eastAsia" w:ascii="宋体" w:hAnsi="宋体" w:cs="宋体"/>
                <w:sz w:val="21"/>
                <w:szCs w:val="21"/>
              </w:rPr>
            </w:pPr>
            <w:r>
              <w:rPr>
                <w:rFonts w:hint="eastAsia" w:ascii="宋体" w:hAnsi="宋体" w:cs="宋体"/>
                <w:sz w:val="21"/>
                <w:szCs w:val="21"/>
              </w:rPr>
              <w:t>30、为保证所投产品的稳定性兼容性，投标人需提供国家认可的认证检测机构出具的软件著作权证书复印件加盖投标人公章。</w:t>
            </w:r>
          </w:p>
          <w:p>
            <w:pPr>
              <w:rPr>
                <w:rFonts w:ascii="宋体" w:hAnsi="宋体" w:cs="宋体"/>
                <w:sz w:val="21"/>
                <w:szCs w:val="21"/>
              </w:rPr>
            </w:pPr>
            <w:r>
              <w:rPr>
                <w:rFonts w:hint="eastAsia" w:ascii="宋体" w:hAnsi="宋体" w:cs="宋体"/>
                <w:sz w:val="21"/>
                <w:szCs w:val="21"/>
              </w:rPr>
              <w:t>工控机参数（不低于以下配置）：</w:t>
            </w:r>
          </w:p>
          <w:p>
            <w:pPr>
              <w:rPr>
                <w:rFonts w:ascii="宋体" w:hAnsi="宋体" w:cs="宋体"/>
                <w:sz w:val="21"/>
                <w:szCs w:val="21"/>
              </w:rPr>
            </w:pPr>
            <w:r>
              <w:rPr>
                <w:rFonts w:hint="eastAsia" w:ascii="宋体" w:hAnsi="宋体" w:cs="宋体"/>
                <w:sz w:val="21"/>
                <w:szCs w:val="21"/>
              </w:rPr>
              <w:t>INTEL I5/SSD 120G固态硬盘/4G内存/百兆网卡/无风扇设计。</w:t>
            </w:r>
          </w:p>
          <w:p>
            <w:pPr>
              <w:rPr>
                <w:rFonts w:ascii="宋体" w:hAnsi="宋体" w:cs="宋体"/>
                <w:sz w:val="21"/>
                <w:szCs w:val="21"/>
              </w:rPr>
            </w:pPr>
            <w:r>
              <w:rPr>
                <w:rFonts w:hint="eastAsia" w:ascii="宋体" w:hAnsi="宋体" w:cs="宋体"/>
                <w:sz w:val="21"/>
                <w:szCs w:val="21"/>
              </w:rPr>
              <w:t>触摸屏不低于21.5寸。</w:t>
            </w:r>
          </w:p>
          <w:p>
            <w:pPr>
              <w:rPr>
                <w:rFonts w:ascii="宋体" w:hAnsi="宋体" w:cs="宋体"/>
                <w:sz w:val="21"/>
                <w:szCs w:val="21"/>
              </w:rPr>
            </w:pPr>
            <w:r>
              <w:rPr>
                <w:rFonts w:hint="eastAsia" w:ascii="宋体" w:hAnsi="宋体" w:cs="宋体"/>
                <w:sz w:val="21"/>
                <w:szCs w:val="21"/>
              </w:rPr>
              <w:t>工作频率：与RFID标签一致；</w:t>
            </w:r>
          </w:p>
          <w:p>
            <w:pPr>
              <w:rPr>
                <w:rFonts w:ascii="宋体" w:hAnsi="宋体" w:cs="宋体"/>
                <w:sz w:val="21"/>
                <w:szCs w:val="21"/>
              </w:rPr>
            </w:pPr>
            <w:r>
              <w:rPr>
                <w:rFonts w:hint="eastAsia" w:ascii="宋体" w:hAnsi="宋体" w:cs="宋体"/>
                <w:sz w:val="21"/>
                <w:szCs w:val="21"/>
              </w:rPr>
              <w:t>阅读范围半径：确保250mm及250mm范围以内为有效阅读区域；</w:t>
            </w:r>
          </w:p>
          <w:p>
            <w:pPr>
              <w:rPr>
                <w:rFonts w:ascii="宋体" w:hAnsi="宋体" w:cs="宋体"/>
                <w:sz w:val="21"/>
                <w:szCs w:val="21"/>
              </w:rPr>
            </w:pPr>
            <w:r>
              <w:rPr>
                <w:rFonts w:hint="eastAsia" w:ascii="宋体" w:hAnsi="宋体" w:cs="宋体"/>
                <w:sz w:val="21"/>
                <w:szCs w:val="21"/>
              </w:rPr>
              <w:t>通信接口：RS232、RJ45。</w:t>
            </w:r>
          </w:p>
          <w:p>
            <w:pPr>
              <w:spacing w:line="360" w:lineRule="exact"/>
              <w:jc w:val="left"/>
              <w:rPr>
                <w:rFonts w:hint="eastAsia" w:ascii="宋体" w:hAnsi="宋体" w:cs="宋体"/>
                <w:sz w:val="21"/>
                <w:szCs w:val="21"/>
              </w:rPr>
            </w:pPr>
            <w:r>
              <w:rPr>
                <w:rFonts w:hint="eastAsia" w:ascii="宋体" w:hAnsi="宋体" w:cs="宋体"/>
                <w:sz w:val="21"/>
                <w:szCs w:val="21"/>
              </w:rPr>
              <w:t>考虑所投品牌厂家实力，所投品牌厂家需具有有效期内的ISO9001:2015质量管理体系认证证书，ISO14001:2015环境管理体系认证证书，ISO45001:2018职业健康安全管理体系认证证书，ISO20000-1:2011信息技术服务管理体系认证证书，须提供相关证书复印件加盖厂家公章</w:t>
            </w:r>
          </w:p>
          <w:p>
            <w:pPr>
              <w:spacing w:line="36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31、所有书籍需录入自助</w:t>
            </w:r>
            <w:bookmarkStart w:id="148" w:name="_GoBack"/>
            <w:bookmarkEnd w:id="148"/>
            <w:r>
              <w:rPr>
                <w:rFonts w:hint="eastAsia" w:ascii="宋体" w:hAnsi="宋体" w:cs="宋体"/>
                <w:sz w:val="21"/>
                <w:szCs w:val="21"/>
                <w:lang w:val="en-US" w:eastAsia="zh-CN"/>
              </w:rPr>
              <w:t>借还书机综合管理平台，实现通借通还功能。</w:t>
            </w:r>
          </w:p>
          <w:p>
            <w:pPr>
              <w:spacing w:line="360" w:lineRule="exact"/>
              <w:jc w:val="left"/>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2</w:t>
            </w:r>
            <w:r>
              <w:rPr>
                <w:rFonts w:hint="eastAsia" w:ascii="宋体" w:hAnsi="宋体" w:cs="宋体"/>
                <w:sz w:val="21"/>
                <w:szCs w:val="21"/>
              </w:rPr>
              <w:t>、包安装；调试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组</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打印机</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sz w:val="21"/>
                <w:szCs w:val="21"/>
              </w:rPr>
              <w:t xml:space="preserve">1、规格:(长*宽*高):451*460*413mm </w:t>
            </w:r>
            <w:r>
              <w:rPr>
                <w:rFonts w:hint="eastAsia" w:ascii="宋体" w:hAnsi="宋体" w:cs="宋体"/>
                <w:sz w:val="21"/>
                <w:szCs w:val="21"/>
              </w:rPr>
              <w:br w:type="textWrapping"/>
            </w:r>
            <w:r>
              <w:rPr>
                <w:rFonts w:hint="eastAsia" w:ascii="宋体" w:hAnsi="宋体" w:cs="宋体"/>
                <w:sz w:val="21"/>
                <w:szCs w:val="21"/>
              </w:rPr>
              <w:t>2、主要功能：A4彩色激光多功能一体机，支持打印、复印、扫描、内存1GB、5.0英寸彩色触摸屏、打印语言：UFR II、U盘直接打印/mopria/airprint/无线直连、扫描类型：CIS、支持扫描后发送。</w:t>
            </w:r>
          </w:p>
          <w:p>
            <w:pPr>
              <w:spacing w:line="360" w:lineRule="exact"/>
              <w:jc w:val="left"/>
              <w:rPr>
                <w:rFonts w:ascii="宋体" w:hAnsi="宋体" w:cs="宋体"/>
                <w:sz w:val="21"/>
                <w:szCs w:val="21"/>
              </w:rPr>
            </w:pPr>
            <w:r>
              <w:rPr>
                <w:rFonts w:hint="eastAsia" w:ascii="宋体" w:hAnsi="宋体" w:cs="宋体"/>
                <w:sz w:val="21"/>
                <w:szCs w:val="21"/>
              </w:rPr>
              <w:t xml:space="preserve">3、复印、扫描分辨率：600*600dpi </w:t>
            </w:r>
          </w:p>
          <w:p>
            <w:pPr>
              <w:spacing w:line="360" w:lineRule="exact"/>
              <w:jc w:val="left"/>
              <w:rPr>
                <w:rFonts w:ascii="宋体" w:hAnsi="宋体" w:cs="宋体"/>
                <w:sz w:val="21"/>
                <w:szCs w:val="21"/>
              </w:rPr>
            </w:pPr>
            <w:r>
              <w:rPr>
                <w:rFonts w:hint="eastAsia" w:ascii="宋体" w:hAnsi="宋体" w:cs="宋体"/>
                <w:sz w:val="21"/>
                <w:szCs w:val="21"/>
              </w:rPr>
              <w:t>4、打印分辨率：1200*1200dpi</w:t>
            </w:r>
          </w:p>
          <w:p>
            <w:pPr>
              <w:spacing w:line="360" w:lineRule="exact"/>
              <w:jc w:val="left"/>
              <w:rPr>
                <w:rFonts w:ascii="宋体" w:hAnsi="宋体" w:cs="宋体"/>
                <w:sz w:val="21"/>
                <w:szCs w:val="21"/>
              </w:rPr>
            </w:pPr>
            <w:r>
              <w:rPr>
                <w:rFonts w:hint="eastAsia" w:ascii="宋体" w:hAnsi="宋体" w:cs="宋体"/>
                <w:sz w:val="21"/>
                <w:szCs w:val="21"/>
              </w:rPr>
              <w:t>5、包安装；调试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摄像机</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sz w:val="21"/>
                <w:szCs w:val="21"/>
              </w:rPr>
              <w:t>1、产品类型: 摄录一体机</w:t>
            </w:r>
          </w:p>
          <w:p>
            <w:pPr>
              <w:spacing w:line="360" w:lineRule="exact"/>
              <w:jc w:val="left"/>
              <w:rPr>
                <w:rFonts w:ascii="宋体" w:hAnsi="宋体" w:cs="宋体"/>
                <w:sz w:val="21"/>
                <w:szCs w:val="21"/>
              </w:rPr>
            </w:pPr>
            <w:r>
              <w:rPr>
                <w:rFonts w:hint="eastAsia" w:ascii="宋体" w:hAnsi="宋体" w:cs="宋体"/>
                <w:sz w:val="21"/>
                <w:szCs w:val="21"/>
              </w:rPr>
              <w:t>2、CMOS传感器尺寸1.0英寸（13.2×8.8mm）最大像素2000万有效像素约1420万像素（16:9）</w:t>
            </w:r>
          </w:p>
          <w:p>
            <w:pPr>
              <w:spacing w:line="360" w:lineRule="exact"/>
              <w:jc w:val="left"/>
              <w:rPr>
                <w:rFonts w:ascii="宋体" w:hAnsi="宋体" w:cs="宋体"/>
                <w:sz w:val="21"/>
                <w:szCs w:val="21"/>
              </w:rPr>
            </w:pPr>
            <w:r>
              <w:rPr>
                <w:rFonts w:hint="eastAsia" w:ascii="宋体" w:hAnsi="宋体" w:cs="宋体"/>
                <w:sz w:val="21"/>
                <w:szCs w:val="21"/>
              </w:rPr>
              <w:t>约1060万像素（4:3）镜头参数光学变焦12倍数字变焦48倍镜头结构自动聚焦/手动聚焦可选</w:t>
            </w:r>
          </w:p>
          <w:p>
            <w:pPr>
              <w:spacing w:line="360" w:lineRule="exact"/>
              <w:jc w:val="left"/>
              <w:rPr>
                <w:rFonts w:ascii="宋体" w:hAnsi="宋体" w:cs="宋体"/>
                <w:sz w:val="21"/>
                <w:szCs w:val="21"/>
              </w:rPr>
            </w:pPr>
            <w:r>
              <w:rPr>
                <w:rFonts w:hint="eastAsia" w:ascii="宋体" w:hAnsi="宋体" w:cs="宋体"/>
                <w:sz w:val="21"/>
                <w:szCs w:val="21"/>
              </w:rPr>
              <w:t>10mm至无限远（使用广角镜头）</w:t>
            </w:r>
          </w:p>
          <w:p>
            <w:pPr>
              <w:spacing w:line="360" w:lineRule="exact"/>
              <w:jc w:val="left"/>
              <w:rPr>
                <w:rFonts w:ascii="宋体" w:hAnsi="宋体" w:cs="宋体"/>
                <w:sz w:val="21"/>
                <w:szCs w:val="21"/>
              </w:rPr>
            </w:pPr>
            <w:r>
              <w:rPr>
                <w:rFonts w:hint="eastAsia" w:ascii="宋体" w:hAnsi="宋体" w:cs="宋体"/>
                <w:sz w:val="21"/>
                <w:szCs w:val="21"/>
              </w:rPr>
              <w:t>1000mm至无限远（使用长焦镜头）实际焦距f=9.3-111.6mm等效35mm焦距f=29.0-348.0mm（16：9）</w:t>
            </w:r>
          </w:p>
          <w:p>
            <w:pPr>
              <w:spacing w:line="360" w:lineRule="exact"/>
              <w:jc w:val="left"/>
              <w:rPr>
                <w:rFonts w:ascii="宋体" w:hAnsi="宋体" w:cs="宋体"/>
                <w:sz w:val="21"/>
                <w:szCs w:val="21"/>
              </w:rPr>
            </w:pPr>
            <w:r>
              <w:rPr>
                <w:rFonts w:hint="eastAsia" w:ascii="宋体" w:hAnsi="宋体" w:cs="宋体"/>
                <w:sz w:val="21"/>
                <w:szCs w:val="21"/>
              </w:rPr>
              <w:t>f=35.5-426.0mm（4：3）最大光圈F2.8滤镜直径62mm显示参数液晶屏尺寸3.5英寸液晶屏像素156取景器描述0.24英寸155万像素取景器拍摄性能快门描述1/6-1/10000白平衡预设（室内：3200K，室外：5600K±7 级，色温设置范围：2300-15000K），一键式 A、B，自动可选录制参数录制格式</w:t>
            </w:r>
          </w:p>
          <w:p>
            <w:pPr>
              <w:spacing w:line="360" w:lineRule="exact"/>
              <w:jc w:val="left"/>
              <w:rPr>
                <w:rFonts w:ascii="宋体" w:hAnsi="宋体" w:cs="宋体"/>
                <w:sz w:val="21"/>
                <w:szCs w:val="21"/>
              </w:rPr>
            </w:pPr>
            <w:r>
              <w:rPr>
                <w:rFonts w:hint="eastAsia" w:ascii="宋体" w:hAnsi="宋体" w:cs="宋体"/>
                <w:sz w:val="21"/>
                <w:szCs w:val="21"/>
              </w:rPr>
              <w:t>3、视频：XAVC S HD：MPEG4-AVC/H264 4:2:0 Long Profile</w:t>
            </w:r>
          </w:p>
          <w:p>
            <w:pPr>
              <w:spacing w:line="360" w:lineRule="exact"/>
              <w:jc w:val="left"/>
              <w:rPr>
                <w:rFonts w:ascii="宋体" w:hAnsi="宋体" w:cs="宋体"/>
                <w:sz w:val="21"/>
                <w:szCs w:val="21"/>
              </w:rPr>
            </w:pPr>
            <w:r>
              <w:rPr>
                <w:rFonts w:hint="eastAsia" w:ascii="宋体" w:hAnsi="宋体" w:cs="宋体"/>
                <w:sz w:val="21"/>
                <w:szCs w:val="21"/>
              </w:rPr>
              <w:t>   AVCHD： 兼容 MPEG-4 AVC/H.264 AVCHD 2.0 格式</w:t>
            </w:r>
          </w:p>
          <w:p>
            <w:pPr>
              <w:spacing w:line="360" w:lineRule="exact"/>
              <w:jc w:val="left"/>
              <w:rPr>
                <w:rFonts w:ascii="宋体" w:hAnsi="宋体" w:cs="宋体"/>
                <w:sz w:val="21"/>
                <w:szCs w:val="21"/>
              </w:rPr>
            </w:pPr>
            <w:r>
              <w:rPr>
                <w:rFonts w:hint="eastAsia" w:ascii="宋体" w:hAnsi="宋体" w:cs="宋体"/>
                <w:sz w:val="21"/>
                <w:szCs w:val="21"/>
              </w:rPr>
              <w:t>   DV</w:t>
            </w:r>
          </w:p>
          <w:p>
            <w:pPr>
              <w:spacing w:line="360" w:lineRule="exact"/>
              <w:jc w:val="left"/>
              <w:rPr>
                <w:rFonts w:ascii="宋体" w:hAnsi="宋体" w:cs="宋体"/>
                <w:sz w:val="21"/>
                <w:szCs w:val="21"/>
              </w:rPr>
            </w:pPr>
            <w:r>
              <w:rPr>
                <w:rFonts w:hint="eastAsia" w:ascii="宋体" w:hAnsi="宋体" w:cs="宋体"/>
                <w:sz w:val="21"/>
                <w:szCs w:val="21"/>
              </w:rPr>
              <w:t>4、音频：XAVC S HD：线性 PCM 2 通道，16 比特，48kHz</w:t>
            </w:r>
          </w:p>
          <w:p>
            <w:pPr>
              <w:spacing w:line="360" w:lineRule="exact"/>
              <w:jc w:val="left"/>
              <w:rPr>
                <w:rFonts w:ascii="宋体" w:hAnsi="宋体" w:cs="宋体"/>
                <w:sz w:val="21"/>
                <w:szCs w:val="21"/>
              </w:rPr>
            </w:pPr>
            <w:r>
              <w:rPr>
                <w:rFonts w:hint="eastAsia" w:ascii="宋体" w:hAnsi="宋体" w:cs="宋体"/>
                <w:sz w:val="21"/>
                <w:szCs w:val="21"/>
              </w:rPr>
              <w:t>   AVCHD：线性 PCM 2 声道，16-bit，48 kHz / 杜比数字 2 声道，16-bit，48 kHz</w:t>
            </w:r>
          </w:p>
          <w:p>
            <w:pPr>
              <w:spacing w:line="360" w:lineRule="exact"/>
              <w:jc w:val="left"/>
              <w:rPr>
                <w:rFonts w:ascii="宋体" w:hAnsi="宋体" w:cs="宋体"/>
                <w:sz w:val="21"/>
                <w:szCs w:val="21"/>
              </w:rPr>
            </w:pPr>
            <w:r>
              <w:rPr>
                <w:rFonts w:hint="eastAsia" w:ascii="宋体" w:hAnsi="宋体" w:cs="宋体"/>
                <w:sz w:val="21"/>
                <w:szCs w:val="21"/>
              </w:rPr>
              <w:t>5、DV：&amp;录制时间XAVC S HD@LPCM 2声道50 Mbps</w:t>
            </w:r>
          </w:p>
          <w:p>
            <w:pPr>
              <w:spacing w:line="360" w:lineRule="exact"/>
              <w:jc w:val="left"/>
              <w:rPr>
                <w:rFonts w:ascii="宋体" w:hAnsi="宋体" w:cs="宋体"/>
                <w:sz w:val="21"/>
                <w:szCs w:val="21"/>
              </w:rPr>
            </w:pPr>
            <w:r>
              <w:rPr>
                <w:rFonts w:hint="eastAsia" w:ascii="宋体" w:hAnsi="宋体" w:cs="宋体"/>
                <w:sz w:val="21"/>
                <w:szCs w:val="21"/>
              </w:rPr>
              <w:t>使用64GB存储卡时约为155分钟</w:t>
            </w:r>
          </w:p>
          <w:p>
            <w:pPr>
              <w:spacing w:line="360" w:lineRule="exact"/>
              <w:jc w:val="left"/>
              <w:rPr>
                <w:rFonts w:ascii="宋体" w:hAnsi="宋体" w:cs="宋体"/>
                <w:sz w:val="21"/>
                <w:szCs w:val="21"/>
              </w:rPr>
            </w:pPr>
            <w:r>
              <w:rPr>
                <w:rFonts w:hint="eastAsia" w:ascii="宋体" w:hAnsi="宋体" w:cs="宋体"/>
                <w:sz w:val="21"/>
                <w:szCs w:val="21"/>
              </w:rPr>
              <w:t>AVCHD@LPCM 2通道PS模式</w:t>
            </w:r>
          </w:p>
          <w:p>
            <w:pPr>
              <w:spacing w:line="360" w:lineRule="exact"/>
              <w:jc w:val="left"/>
              <w:rPr>
                <w:rFonts w:ascii="宋体" w:hAnsi="宋体" w:cs="宋体"/>
                <w:sz w:val="21"/>
                <w:szCs w:val="21"/>
              </w:rPr>
            </w:pPr>
            <w:r>
              <w:rPr>
                <w:rFonts w:hint="eastAsia" w:ascii="宋体" w:hAnsi="宋体" w:cs="宋体"/>
                <w:sz w:val="21"/>
                <w:szCs w:val="21"/>
              </w:rPr>
              <w:t>使用64GB存储卡时约为290分钟</w:t>
            </w:r>
          </w:p>
          <w:p>
            <w:pPr>
              <w:spacing w:line="360" w:lineRule="exact"/>
              <w:jc w:val="left"/>
              <w:rPr>
                <w:rFonts w:ascii="宋体" w:hAnsi="宋体" w:cs="宋体"/>
                <w:sz w:val="21"/>
                <w:szCs w:val="21"/>
              </w:rPr>
            </w:pPr>
            <w:r>
              <w:rPr>
                <w:rFonts w:hint="eastAsia" w:ascii="宋体" w:hAnsi="宋体" w:cs="宋体"/>
                <w:sz w:val="21"/>
                <w:szCs w:val="21"/>
              </w:rPr>
              <w:t>使用32GB存储卡时约为145分钟</w:t>
            </w:r>
          </w:p>
          <w:p>
            <w:pPr>
              <w:spacing w:line="360" w:lineRule="exact"/>
              <w:jc w:val="left"/>
              <w:rPr>
                <w:rFonts w:ascii="宋体" w:hAnsi="宋体" w:cs="宋体"/>
                <w:sz w:val="21"/>
                <w:szCs w:val="21"/>
              </w:rPr>
            </w:pPr>
            <w:r>
              <w:rPr>
                <w:rFonts w:hint="eastAsia" w:ascii="宋体" w:hAnsi="宋体" w:cs="宋体"/>
                <w:sz w:val="21"/>
                <w:szCs w:val="21"/>
              </w:rPr>
              <w:t>AVCHD@LPCM 2通道FX模式</w:t>
            </w:r>
          </w:p>
          <w:p>
            <w:pPr>
              <w:spacing w:line="360" w:lineRule="exact"/>
              <w:jc w:val="left"/>
              <w:rPr>
                <w:rFonts w:ascii="宋体" w:hAnsi="宋体" w:cs="宋体"/>
                <w:sz w:val="21"/>
                <w:szCs w:val="21"/>
              </w:rPr>
            </w:pPr>
            <w:r>
              <w:rPr>
                <w:rFonts w:hint="eastAsia" w:ascii="宋体" w:hAnsi="宋体" w:cs="宋体"/>
                <w:sz w:val="21"/>
                <w:szCs w:val="21"/>
              </w:rPr>
              <w:t>使用64GB存储卡时约为340分钟</w:t>
            </w:r>
          </w:p>
          <w:p>
            <w:pPr>
              <w:spacing w:line="360" w:lineRule="exact"/>
              <w:jc w:val="left"/>
              <w:rPr>
                <w:rFonts w:ascii="宋体" w:hAnsi="宋体" w:cs="宋体"/>
                <w:sz w:val="21"/>
                <w:szCs w:val="21"/>
              </w:rPr>
            </w:pPr>
            <w:r>
              <w:rPr>
                <w:rFonts w:hint="eastAsia" w:ascii="宋体" w:hAnsi="宋体" w:cs="宋体"/>
                <w:sz w:val="21"/>
                <w:szCs w:val="21"/>
              </w:rPr>
              <w:t>使用32GB存储卡时约为170分钟</w:t>
            </w:r>
          </w:p>
          <w:p>
            <w:pPr>
              <w:spacing w:line="360" w:lineRule="exact"/>
              <w:jc w:val="left"/>
              <w:rPr>
                <w:rFonts w:ascii="宋体" w:hAnsi="宋体" w:cs="宋体"/>
                <w:sz w:val="21"/>
                <w:szCs w:val="21"/>
              </w:rPr>
            </w:pPr>
            <w:r>
              <w:rPr>
                <w:rFonts w:hint="eastAsia" w:ascii="宋体" w:hAnsi="宋体" w:cs="宋体"/>
                <w:sz w:val="21"/>
                <w:szCs w:val="21"/>
              </w:rPr>
              <w:t>AVCHD@LPCM 2通道FH模式</w:t>
            </w:r>
          </w:p>
          <w:p>
            <w:pPr>
              <w:spacing w:line="360" w:lineRule="exact"/>
              <w:jc w:val="left"/>
              <w:rPr>
                <w:rFonts w:ascii="宋体" w:hAnsi="宋体" w:cs="宋体"/>
                <w:sz w:val="21"/>
                <w:szCs w:val="21"/>
              </w:rPr>
            </w:pPr>
            <w:r>
              <w:rPr>
                <w:rFonts w:hint="eastAsia" w:ascii="宋体" w:hAnsi="宋体" w:cs="宋体"/>
                <w:sz w:val="21"/>
                <w:szCs w:val="21"/>
              </w:rPr>
              <w:t>使用64GB存储卡时约为450分钟</w:t>
            </w:r>
          </w:p>
          <w:p>
            <w:pPr>
              <w:spacing w:line="360" w:lineRule="exact"/>
              <w:jc w:val="left"/>
              <w:rPr>
                <w:rFonts w:ascii="宋体" w:hAnsi="宋体" w:cs="宋体"/>
                <w:sz w:val="21"/>
                <w:szCs w:val="21"/>
              </w:rPr>
            </w:pPr>
            <w:r>
              <w:rPr>
                <w:rFonts w:hint="eastAsia" w:ascii="宋体" w:hAnsi="宋体" w:cs="宋体"/>
                <w:sz w:val="21"/>
                <w:szCs w:val="21"/>
              </w:rPr>
              <w:t>使用32GB存储卡时约为225分钟</w:t>
            </w:r>
          </w:p>
          <w:p>
            <w:pPr>
              <w:spacing w:line="360" w:lineRule="exact"/>
              <w:jc w:val="left"/>
              <w:rPr>
                <w:rFonts w:ascii="宋体" w:hAnsi="宋体" w:cs="宋体"/>
                <w:sz w:val="21"/>
                <w:szCs w:val="21"/>
              </w:rPr>
            </w:pPr>
            <w:r>
              <w:rPr>
                <w:rFonts w:hint="eastAsia" w:ascii="宋体" w:hAnsi="宋体" w:cs="宋体"/>
                <w:sz w:val="21"/>
                <w:szCs w:val="21"/>
              </w:rPr>
              <w:t>DV</w:t>
            </w:r>
          </w:p>
          <w:p>
            <w:pPr>
              <w:spacing w:line="360" w:lineRule="exact"/>
              <w:jc w:val="left"/>
              <w:rPr>
                <w:rFonts w:ascii="宋体" w:hAnsi="宋体" w:cs="宋体"/>
                <w:sz w:val="21"/>
                <w:szCs w:val="21"/>
              </w:rPr>
            </w:pPr>
            <w:r>
              <w:rPr>
                <w:rFonts w:hint="eastAsia" w:ascii="宋体" w:hAnsi="宋体" w:cs="宋体"/>
                <w:sz w:val="21"/>
                <w:szCs w:val="21"/>
              </w:rPr>
              <w:t>使用64GB存储卡时约为280分钟</w:t>
            </w:r>
          </w:p>
          <w:p>
            <w:pPr>
              <w:spacing w:line="360" w:lineRule="exact"/>
              <w:jc w:val="left"/>
              <w:rPr>
                <w:rFonts w:ascii="宋体" w:hAnsi="宋体" w:cs="宋体"/>
                <w:sz w:val="21"/>
                <w:szCs w:val="21"/>
              </w:rPr>
            </w:pPr>
            <w:r>
              <w:rPr>
                <w:rFonts w:hint="eastAsia" w:ascii="宋体" w:hAnsi="宋体" w:cs="宋体"/>
                <w:sz w:val="21"/>
                <w:szCs w:val="21"/>
              </w:rPr>
              <w:t>使用32GB存储卡时约为140分钟动态影像AVC S（1920×1080）@50p，25p，50 Mbps</w:t>
            </w:r>
          </w:p>
          <w:p>
            <w:pPr>
              <w:spacing w:line="360" w:lineRule="exact"/>
              <w:jc w:val="left"/>
              <w:rPr>
                <w:rFonts w:ascii="宋体" w:hAnsi="宋体" w:cs="宋体"/>
                <w:sz w:val="21"/>
                <w:szCs w:val="21"/>
              </w:rPr>
            </w:pPr>
            <w:r>
              <w:rPr>
                <w:rFonts w:hint="eastAsia" w:ascii="宋体" w:hAnsi="宋体" w:cs="宋体"/>
                <w:sz w:val="21"/>
                <w:szCs w:val="21"/>
              </w:rPr>
              <w:t>AVCHD（1920×1080）@50p，PS 模式 (28 Mbps)</w:t>
            </w:r>
          </w:p>
          <w:p>
            <w:pPr>
              <w:spacing w:line="360" w:lineRule="exact"/>
              <w:jc w:val="left"/>
              <w:rPr>
                <w:rFonts w:ascii="宋体" w:hAnsi="宋体" w:cs="宋体"/>
                <w:sz w:val="21"/>
                <w:szCs w:val="21"/>
              </w:rPr>
            </w:pPr>
            <w:r>
              <w:rPr>
                <w:rFonts w:hint="eastAsia" w:ascii="宋体" w:hAnsi="宋体" w:cs="宋体"/>
                <w:sz w:val="21"/>
                <w:szCs w:val="21"/>
              </w:rPr>
              <w:t>AVCHD（1920×1080）@50i/25p，FX 模式 (24 Mbps) FH 模式 (17 Mbps)</w:t>
            </w:r>
          </w:p>
          <w:p>
            <w:pPr>
              <w:spacing w:line="360" w:lineRule="exact"/>
              <w:jc w:val="left"/>
              <w:rPr>
                <w:rFonts w:ascii="宋体" w:hAnsi="宋体" w:cs="宋体"/>
                <w:sz w:val="21"/>
                <w:szCs w:val="21"/>
              </w:rPr>
            </w:pPr>
            <w:r>
              <w:rPr>
                <w:rFonts w:hint="eastAsia" w:ascii="宋体" w:hAnsi="宋体" w:cs="宋体"/>
                <w:sz w:val="21"/>
                <w:szCs w:val="21"/>
              </w:rPr>
              <w:t>AVCHD（1440×1080）@50i，HQ 模式 (9 Mbps) LP 模式 (5 Mbps)</w:t>
            </w:r>
          </w:p>
          <w:p>
            <w:pPr>
              <w:spacing w:line="360" w:lineRule="exact"/>
              <w:jc w:val="left"/>
              <w:rPr>
                <w:rFonts w:ascii="宋体" w:hAnsi="宋体" w:cs="宋体"/>
                <w:sz w:val="21"/>
                <w:szCs w:val="21"/>
              </w:rPr>
            </w:pPr>
            <w:r>
              <w:rPr>
                <w:rFonts w:hint="eastAsia" w:ascii="宋体" w:hAnsi="宋体" w:cs="宋体"/>
                <w:sz w:val="21"/>
                <w:szCs w:val="21"/>
              </w:rPr>
              <w:t>AVCHD（1280×720）@50p，FX 模式 (24 Mbps) FH 模式 (17 Mbps) HQ 模式 (9 Mbps)</w:t>
            </w:r>
          </w:p>
          <w:p>
            <w:pPr>
              <w:spacing w:line="360" w:lineRule="exact"/>
              <w:jc w:val="left"/>
              <w:rPr>
                <w:rFonts w:ascii="宋体" w:hAnsi="宋体" w:cs="宋体"/>
                <w:sz w:val="21"/>
                <w:szCs w:val="21"/>
              </w:rPr>
            </w:pPr>
            <w:r>
              <w:rPr>
                <w:rFonts w:hint="eastAsia" w:ascii="宋体" w:hAnsi="宋体" w:cs="宋体"/>
                <w:sz w:val="21"/>
                <w:szCs w:val="21"/>
              </w:rPr>
              <w:t>DV（720×576）@50i，25 Mbps麦克风单向立体声扬声器支持单声道接口性能USB接口Multi，Micro插孔HDMI接口支持A型其它接口音频输入：XLR型3针（母头）</w:t>
            </w:r>
          </w:p>
          <w:p>
            <w:pPr>
              <w:spacing w:line="360" w:lineRule="exact"/>
              <w:jc w:val="left"/>
              <w:rPr>
                <w:rFonts w:ascii="宋体" w:hAnsi="宋体" w:cs="宋体"/>
                <w:sz w:val="21"/>
                <w:szCs w:val="21"/>
              </w:rPr>
            </w:pPr>
            <w:r>
              <w:rPr>
                <w:rFonts w:hint="eastAsia" w:ascii="宋体" w:hAnsi="宋体" w:cs="宋体"/>
                <w:sz w:val="21"/>
                <w:szCs w:val="21"/>
              </w:rPr>
              <w:t>6、视频输出：BNC (×1)，复合</w:t>
            </w:r>
          </w:p>
          <w:p>
            <w:pPr>
              <w:spacing w:line="360" w:lineRule="exact"/>
              <w:jc w:val="left"/>
              <w:rPr>
                <w:rFonts w:ascii="宋体" w:hAnsi="宋体" w:cs="宋体"/>
                <w:sz w:val="21"/>
                <w:szCs w:val="21"/>
              </w:rPr>
            </w:pPr>
            <w:r>
              <w:rPr>
                <w:rFonts w:hint="eastAsia" w:ascii="宋体" w:hAnsi="宋体" w:cs="宋体"/>
                <w:sz w:val="21"/>
                <w:szCs w:val="21"/>
              </w:rPr>
              <w:t>7、音频输出：RCA 针</w:t>
            </w:r>
          </w:p>
          <w:p>
            <w:pPr>
              <w:spacing w:line="360" w:lineRule="exact"/>
              <w:jc w:val="left"/>
              <w:rPr>
                <w:rFonts w:ascii="宋体" w:hAnsi="宋体" w:cs="宋体"/>
                <w:sz w:val="21"/>
                <w:szCs w:val="21"/>
              </w:rPr>
            </w:pPr>
            <w:r>
              <w:rPr>
                <w:rFonts w:hint="eastAsia" w:ascii="宋体" w:hAnsi="宋体" w:cs="宋体"/>
                <w:sz w:val="21"/>
                <w:szCs w:val="21"/>
              </w:rPr>
              <w:t>8、耳机输出：立体声迷你插孔 </w:t>
            </w:r>
          </w:p>
          <w:p>
            <w:pPr>
              <w:spacing w:line="360" w:lineRule="exact"/>
              <w:jc w:val="left"/>
              <w:rPr>
                <w:rFonts w:ascii="宋体" w:hAnsi="宋体" w:cs="宋体"/>
                <w:sz w:val="21"/>
                <w:szCs w:val="21"/>
              </w:rPr>
            </w:pPr>
            <w:r>
              <w:rPr>
                <w:rFonts w:hint="eastAsia" w:ascii="宋体" w:hAnsi="宋体" w:cs="宋体"/>
                <w:sz w:val="21"/>
                <w:szCs w:val="21"/>
              </w:rPr>
              <w:t>DC插孔</w:t>
            </w:r>
          </w:p>
          <w:p>
            <w:pPr>
              <w:spacing w:line="360" w:lineRule="exact"/>
              <w:jc w:val="left"/>
              <w:rPr>
                <w:rFonts w:ascii="宋体" w:hAnsi="宋体" w:cs="宋体"/>
                <w:sz w:val="21"/>
                <w:szCs w:val="21"/>
              </w:rPr>
            </w:pPr>
            <w:r>
              <w:rPr>
                <w:rFonts w:hint="eastAsia" w:ascii="宋体" w:hAnsi="宋体" w:cs="宋体"/>
                <w:sz w:val="21"/>
                <w:szCs w:val="21"/>
              </w:rPr>
              <w:t>9、远程控制：立体声迷你插孔</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照相机</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sz w:val="21"/>
                <w:szCs w:val="21"/>
              </w:rPr>
              <w:t>1、有效像素:约2420万像素</w:t>
            </w:r>
          </w:p>
          <w:p>
            <w:pPr>
              <w:spacing w:line="360" w:lineRule="exact"/>
              <w:jc w:val="left"/>
              <w:rPr>
                <w:rFonts w:ascii="宋体" w:hAnsi="宋体" w:cs="宋体"/>
                <w:sz w:val="21"/>
                <w:szCs w:val="21"/>
              </w:rPr>
            </w:pPr>
            <w:r>
              <w:rPr>
                <w:rFonts w:hint="eastAsia" w:ascii="宋体" w:hAnsi="宋体" w:cs="宋体"/>
                <w:sz w:val="21"/>
                <w:szCs w:val="21"/>
              </w:rPr>
              <w:t>2、外观设计形尺寸：131*99.9*76.2mm</w:t>
            </w:r>
          </w:p>
          <w:p>
            <w:pPr>
              <w:spacing w:line="360" w:lineRule="exact"/>
              <w:jc w:val="left"/>
              <w:rPr>
                <w:rFonts w:ascii="宋体" w:hAnsi="宋体" w:cs="宋体"/>
                <w:sz w:val="21"/>
                <w:szCs w:val="21"/>
              </w:rPr>
            </w:pPr>
            <w:r>
              <w:rPr>
                <w:rFonts w:hint="eastAsia" w:ascii="宋体" w:hAnsi="宋体" w:cs="宋体"/>
                <w:sz w:val="21"/>
                <w:szCs w:val="21"/>
              </w:rPr>
              <w:t>3、显示屏像素：104万像素 液晶屏连拍速度：最高6张/秒4、产品重量：约485g（仅机身），532g（包括电池和储存卡）5、产品类型：入门单反</w:t>
            </w:r>
          </w:p>
          <w:p>
            <w:pPr>
              <w:spacing w:line="360" w:lineRule="exact"/>
              <w:jc w:val="left"/>
              <w:rPr>
                <w:rFonts w:ascii="宋体" w:hAnsi="宋体" w:cs="宋体"/>
                <w:sz w:val="21"/>
                <w:szCs w:val="21"/>
              </w:rPr>
            </w:pPr>
            <w:r>
              <w:rPr>
                <w:rFonts w:hint="eastAsia" w:ascii="宋体" w:hAnsi="宋体" w:cs="宋体"/>
                <w:sz w:val="21"/>
                <w:szCs w:val="21"/>
              </w:rPr>
              <w:t>6、操作方式：全手动操作</w:t>
            </w:r>
          </w:p>
          <w:p>
            <w:pPr>
              <w:spacing w:line="360" w:lineRule="exact"/>
              <w:jc w:val="left"/>
              <w:rPr>
                <w:rFonts w:ascii="宋体" w:hAnsi="宋体" w:cs="宋体"/>
                <w:sz w:val="21"/>
                <w:szCs w:val="21"/>
              </w:rPr>
            </w:pPr>
            <w:r>
              <w:rPr>
                <w:rFonts w:hint="eastAsia" w:ascii="宋体" w:hAnsi="宋体" w:cs="宋体"/>
                <w:sz w:val="21"/>
                <w:szCs w:val="21"/>
              </w:rPr>
              <w:t xml:space="preserve">7、传感器类型：CMOS </w:t>
            </w:r>
          </w:p>
          <w:p>
            <w:pPr>
              <w:spacing w:line="360" w:lineRule="exact"/>
              <w:jc w:val="left"/>
              <w:rPr>
                <w:rFonts w:ascii="宋体" w:hAnsi="宋体" w:cs="宋体"/>
                <w:sz w:val="21"/>
                <w:szCs w:val="21"/>
              </w:rPr>
            </w:pPr>
            <w:r>
              <w:rPr>
                <w:rFonts w:hint="eastAsia" w:ascii="宋体" w:hAnsi="宋体" w:cs="宋体"/>
                <w:sz w:val="21"/>
                <w:szCs w:val="21"/>
              </w:rPr>
              <w:t>8、是否触摸：触摸式</w:t>
            </w:r>
          </w:p>
          <w:p>
            <w:pPr>
              <w:spacing w:line="360" w:lineRule="exact"/>
              <w:jc w:val="left"/>
              <w:rPr>
                <w:rFonts w:ascii="宋体" w:hAnsi="宋体" w:cs="宋体"/>
                <w:sz w:val="21"/>
                <w:szCs w:val="21"/>
              </w:rPr>
            </w:pPr>
            <w:r>
              <w:rPr>
                <w:rFonts w:hint="eastAsia" w:ascii="宋体" w:hAnsi="宋体" w:cs="宋体"/>
                <w:sz w:val="21"/>
                <w:szCs w:val="21"/>
              </w:rPr>
              <w:t>9、闪光灯控制：内置闪光灯功能设置，外接闪光灯功能设置，外接闪光灯的自定义功能设置，具备光学脉冲传输的无线主控功能。</w:t>
            </w:r>
          </w:p>
          <w:p>
            <w:pPr>
              <w:spacing w:line="360" w:lineRule="exact"/>
              <w:jc w:val="left"/>
              <w:rPr>
                <w:rFonts w:ascii="宋体" w:hAnsi="宋体" w:cs="宋体"/>
                <w:sz w:val="21"/>
                <w:szCs w:val="21"/>
              </w:rPr>
            </w:pPr>
            <w:r>
              <w:rPr>
                <w:rFonts w:hint="eastAsia" w:ascii="宋体" w:hAnsi="宋体" w:cs="宋体"/>
                <w:sz w:val="21"/>
                <w:szCs w:val="21"/>
              </w:rPr>
              <w:t>10、全高清1080p</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投影仪</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sz w:val="21"/>
                <w:szCs w:val="21"/>
              </w:rPr>
              <w:t>1、投影技术:3LCD 标准亮度：≥3800流明（ISO21118标准 4000流明中心亮度）</w:t>
            </w:r>
          </w:p>
          <w:p>
            <w:pPr>
              <w:spacing w:line="360" w:lineRule="exact"/>
              <w:jc w:val="left"/>
              <w:rPr>
                <w:rFonts w:ascii="宋体" w:hAnsi="宋体" w:cs="宋体"/>
                <w:sz w:val="21"/>
                <w:szCs w:val="21"/>
              </w:rPr>
            </w:pPr>
            <w:r>
              <w:rPr>
                <w:rFonts w:hint="eastAsia" w:ascii="宋体" w:hAnsi="宋体" w:cs="宋体"/>
                <w:sz w:val="21"/>
                <w:szCs w:val="21"/>
              </w:rPr>
              <w:t>2、投影分辨率:1024*768（XGA)，兼容16:10,16:9</w:t>
            </w:r>
          </w:p>
          <w:p>
            <w:pPr>
              <w:spacing w:line="360" w:lineRule="exact"/>
              <w:jc w:val="left"/>
              <w:rPr>
                <w:rFonts w:ascii="宋体" w:hAnsi="宋体" w:cs="宋体"/>
                <w:sz w:val="21"/>
                <w:szCs w:val="21"/>
              </w:rPr>
            </w:pPr>
            <w:r>
              <w:rPr>
                <w:rFonts w:hint="eastAsia" w:ascii="宋体" w:hAnsi="宋体" w:cs="宋体"/>
                <w:sz w:val="21"/>
                <w:szCs w:val="21"/>
              </w:rPr>
              <w:t>3、功能特点：强光感应功能、加强型空气过滤网、四角梯形矫正功能、曲面功能、USB接口支持移动储存设备</w:t>
            </w:r>
            <w:r>
              <w:rPr>
                <w:rFonts w:hint="eastAsia" w:ascii="宋体" w:hAnsi="宋体" w:cs="宋体"/>
                <w:sz w:val="21"/>
                <w:szCs w:val="21"/>
              </w:rPr>
              <w:br w:type="textWrapping"/>
            </w:r>
            <w:r>
              <w:rPr>
                <w:rFonts w:hint="eastAsia" w:ascii="宋体" w:hAnsi="宋体" w:cs="宋体"/>
                <w:sz w:val="21"/>
                <w:szCs w:val="21"/>
              </w:rPr>
              <w:t>4、液晶板尺寸：≥0.63英寸</w:t>
            </w:r>
          </w:p>
          <w:p>
            <w:pPr>
              <w:spacing w:line="360" w:lineRule="exact"/>
              <w:jc w:val="left"/>
              <w:rPr>
                <w:rFonts w:ascii="宋体" w:hAnsi="宋体" w:cs="宋体"/>
                <w:sz w:val="21"/>
                <w:szCs w:val="21"/>
              </w:rPr>
            </w:pPr>
            <w:r>
              <w:rPr>
                <w:rFonts w:hint="eastAsia" w:ascii="宋体" w:hAnsi="宋体" w:cs="宋体"/>
                <w:sz w:val="21"/>
                <w:szCs w:val="21"/>
              </w:rPr>
              <w:t>5、提供产品权威机构检测报告，通过3C认证，节能环保认证</w:t>
            </w:r>
          </w:p>
          <w:p>
            <w:pPr>
              <w:spacing w:line="360" w:lineRule="exact"/>
              <w:jc w:val="left"/>
              <w:rPr>
                <w:rFonts w:ascii="宋体" w:hAnsi="宋体" w:cs="宋体"/>
                <w:sz w:val="21"/>
                <w:szCs w:val="21"/>
              </w:rPr>
            </w:pPr>
            <w:r>
              <w:rPr>
                <w:rFonts w:hint="eastAsia" w:ascii="宋体" w:hAnsi="宋体" w:cs="宋体"/>
                <w:sz w:val="21"/>
                <w:szCs w:val="21"/>
              </w:rPr>
              <w:t>6、</w:t>
            </w:r>
            <w:r>
              <w:rPr>
                <w:rFonts w:hint="eastAsia" w:ascii="宋体" w:hAnsi="宋体" w:cs="宋体"/>
                <w:sz w:val="21"/>
                <w:szCs w:val="21"/>
                <w:lang w:val="en-US" w:eastAsia="zh-CN"/>
              </w:rPr>
              <w:t>包安装</w:t>
            </w:r>
            <w:r>
              <w:rPr>
                <w:rFonts w:hint="eastAsia" w:ascii="宋体" w:hAnsi="宋体" w:cs="宋体"/>
                <w:sz w:val="21"/>
                <w:szCs w:val="21"/>
              </w:rPr>
              <w:t>；调试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幕布</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sz w:val="21"/>
                <w:szCs w:val="21"/>
              </w:rPr>
              <w:t>1、尺寸:120寸电动白玻纤维幕布</w:t>
            </w:r>
            <w:r>
              <w:rPr>
                <w:rFonts w:hint="eastAsia" w:ascii="宋体" w:hAnsi="宋体" w:cs="宋体"/>
                <w:sz w:val="21"/>
                <w:szCs w:val="21"/>
              </w:rPr>
              <w:br w:type="textWrapping"/>
            </w:r>
            <w:r>
              <w:rPr>
                <w:rFonts w:hint="eastAsia" w:ascii="宋体" w:hAnsi="宋体" w:cs="宋体"/>
                <w:sz w:val="21"/>
                <w:szCs w:val="21"/>
              </w:rPr>
              <w:t xml:space="preserve">2、幕布材质:玻璃纤维   幕布分类：电动  </w:t>
            </w:r>
          </w:p>
          <w:p>
            <w:pPr>
              <w:spacing w:line="360" w:lineRule="exact"/>
              <w:jc w:val="left"/>
              <w:rPr>
                <w:rFonts w:ascii="宋体" w:hAnsi="宋体" w:cs="宋体"/>
                <w:sz w:val="21"/>
                <w:szCs w:val="21"/>
              </w:rPr>
            </w:pPr>
            <w:r>
              <w:rPr>
                <w:rFonts w:hint="eastAsia" w:ascii="宋体" w:hAnsi="宋体" w:cs="宋体"/>
                <w:sz w:val="21"/>
                <w:szCs w:val="21"/>
              </w:rPr>
              <w:t>3、幕布比例:4:3</w:t>
            </w:r>
          </w:p>
          <w:p>
            <w:pPr>
              <w:spacing w:line="360" w:lineRule="exact"/>
              <w:jc w:val="left"/>
              <w:rPr>
                <w:rFonts w:ascii="宋体" w:hAnsi="宋体" w:cs="宋体"/>
                <w:sz w:val="21"/>
                <w:szCs w:val="21"/>
              </w:rPr>
            </w:pPr>
            <w:r>
              <w:rPr>
                <w:rFonts w:hint="eastAsia" w:ascii="宋体" w:hAnsi="宋体" w:cs="宋体"/>
                <w:sz w:val="21"/>
                <w:szCs w:val="21"/>
              </w:rPr>
              <w:t>4、包安装；调试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13</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音响</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sz w:val="21"/>
                <w:szCs w:val="21"/>
              </w:rPr>
              <w:t>1、单元组成:LF;1×6.5″/HF;2×3″(纸盆高音）</w:t>
            </w:r>
            <w:r>
              <w:rPr>
                <w:rFonts w:hint="eastAsia" w:ascii="宋体" w:hAnsi="宋体" w:cs="宋体"/>
                <w:sz w:val="21"/>
                <w:szCs w:val="21"/>
              </w:rPr>
              <w:br w:type="textWrapping"/>
            </w:r>
            <w:r>
              <w:rPr>
                <w:rFonts w:hint="eastAsia" w:ascii="宋体" w:hAnsi="宋体" w:cs="宋体"/>
                <w:sz w:val="21"/>
                <w:szCs w:val="21"/>
              </w:rPr>
              <w:t>2、额定功率：150W</w:t>
            </w:r>
            <w:r>
              <w:rPr>
                <w:rFonts w:hint="eastAsia" w:ascii="宋体" w:hAnsi="宋体" w:cs="宋体"/>
                <w:sz w:val="21"/>
                <w:szCs w:val="21"/>
              </w:rPr>
              <w:br w:type="textWrapping"/>
            </w:r>
            <w:r>
              <w:rPr>
                <w:rFonts w:hint="eastAsia" w:ascii="宋体" w:hAnsi="宋体" w:cs="宋体"/>
                <w:sz w:val="21"/>
                <w:szCs w:val="21"/>
              </w:rPr>
              <w:t>3、功放：300W</w:t>
            </w:r>
          </w:p>
          <w:p>
            <w:pPr>
              <w:spacing w:line="360" w:lineRule="exact"/>
              <w:jc w:val="left"/>
              <w:rPr>
                <w:rFonts w:ascii="宋体" w:hAnsi="宋体" w:cs="宋体"/>
                <w:sz w:val="21"/>
                <w:szCs w:val="21"/>
              </w:rPr>
            </w:pPr>
            <w:r>
              <w:rPr>
                <w:rFonts w:hint="eastAsia" w:ascii="宋体" w:hAnsi="宋体" w:cs="宋体"/>
                <w:sz w:val="21"/>
                <w:szCs w:val="21"/>
              </w:rPr>
              <w:t>4、标称阻抗：8 ohms</w:t>
            </w:r>
            <w:r>
              <w:rPr>
                <w:rFonts w:hint="eastAsia" w:ascii="宋体" w:hAnsi="宋体" w:cs="宋体"/>
                <w:sz w:val="21"/>
                <w:szCs w:val="21"/>
              </w:rPr>
              <w:br w:type="textWrapping"/>
            </w:r>
            <w:r>
              <w:rPr>
                <w:rFonts w:hint="eastAsia" w:ascii="宋体" w:hAnsi="宋体" w:cs="宋体"/>
                <w:sz w:val="21"/>
                <w:szCs w:val="21"/>
              </w:rPr>
              <w:t>5、频率范围：100HZ-19KHZ</w:t>
            </w:r>
          </w:p>
          <w:p>
            <w:pPr>
              <w:spacing w:line="360" w:lineRule="exact"/>
              <w:jc w:val="left"/>
              <w:rPr>
                <w:rFonts w:ascii="宋体" w:hAnsi="宋体" w:cs="宋体"/>
                <w:sz w:val="21"/>
                <w:szCs w:val="21"/>
              </w:rPr>
            </w:pPr>
            <w:r>
              <w:rPr>
                <w:rFonts w:hint="eastAsia" w:ascii="宋体" w:hAnsi="宋体" w:cs="宋体"/>
                <w:sz w:val="21"/>
                <w:szCs w:val="21"/>
              </w:rPr>
              <w:t>6、箱体材料：高密度纤维板</w:t>
            </w:r>
          </w:p>
          <w:p>
            <w:pPr>
              <w:spacing w:line="360" w:lineRule="exact"/>
              <w:jc w:val="left"/>
              <w:rPr>
                <w:rFonts w:ascii="宋体" w:hAnsi="宋体" w:cs="宋体"/>
                <w:sz w:val="21"/>
                <w:szCs w:val="21"/>
              </w:rPr>
            </w:pPr>
            <w:r>
              <w:rPr>
                <w:rFonts w:hint="eastAsia" w:ascii="宋体" w:hAnsi="宋体" w:cs="宋体"/>
                <w:sz w:val="21"/>
                <w:szCs w:val="21"/>
              </w:rPr>
              <w:t xml:space="preserve">7、产品尺寸：W320*D210*H216  </w:t>
            </w:r>
          </w:p>
          <w:p>
            <w:pPr>
              <w:spacing w:line="360" w:lineRule="exact"/>
              <w:jc w:val="left"/>
              <w:rPr>
                <w:rFonts w:ascii="宋体" w:hAnsi="宋体" w:cs="宋体"/>
                <w:sz w:val="21"/>
                <w:szCs w:val="21"/>
              </w:rPr>
            </w:pPr>
            <w:r>
              <w:rPr>
                <w:rFonts w:hint="eastAsia" w:ascii="宋体" w:hAnsi="宋体" w:cs="宋体"/>
                <w:sz w:val="21"/>
                <w:szCs w:val="21"/>
              </w:rPr>
              <w:t>8、产品净重：6.1Kg</w:t>
            </w:r>
          </w:p>
          <w:p>
            <w:pPr>
              <w:spacing w:line="360" w:lineRule="exact"/>
              <w:jc w:val="left"/>
              <w:rPr>
                <w:rFonts w:ascii="宋体" w:hAnsi="宋体" w:cs="宋体"/>
                <w:sz w:val="21"/>
                <w:szCs w:val="21"/>
              </w:rPr>
            </w:pPr>
            <w:r>
              <w:rPr>
                <w:rFonts w:hint="eastAsia" w:ascii="宋体" w:hAnsi="宋体" w:cs="宋体"/>
                <w:sz w:val="21"/>
                <w:szCs w:val="21"/>
              </w:rPr>
              <w:t>9、包安装；调试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对</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14</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功放</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ascii="宋体" w:hAnsi="宋体" w:cs="宋体"/>
                <w:sz w:val="21"/>
                <w:szCs w:val="21"/>
              </w:rPr>
            </w:pPr>
            <w:r>
              <w:rPr>
                <w:rFonts w:hint="eastAsia" w:ascii="宋体" w:hAnsi="宋体" w:cs="宋体"/>
                <w:color w:val="auto"/>
                <w:sz w:val="21"/>
                <w:szCs w:val="21"/>
              </w:rPr>
              <w:t>1、蓝牙4.</w:t>
            </w:r>
            <w:r>
              <w:rPr>
                <w:rFonts w:hint="eastAsia" w:ascii="宋体" w:hAnsi="宋体" w:cs="宋体"/>
                <w:sz w:val="21"/>
                <w:szCs w:val="21"/>
              </w:rPr>
              <w:t xml:space="preserve">2版本带USB/MP3播放器 </w:t>
            </w:r>
          </w:p>
          <w:p>
            <w:pPr>
              <w:spacing w:line="360" w:lineRule="exact"/>
              <w:jc w:val="left"/>
              <w:rPr>
                <w:rFonts w:ascii="宋体" w:hAnsi="宋体" w:cs="宋体"/>
                <w:sz w:val="21"/>
                <w:szCs w:val="21"/>
              </w:rPr>
            </w:pPr>
            <w:r>
              <w:rPr>
                <w:rFonts w:hint="eastAsia" w:ascii="宋体" w:hAnsi="宋体" w:cs="宋体"/>
                <w:sz w:val="21"/>
                <w:szCs w:val="21"/>
              </w:rPr>
              <w:t xml:space="preserve">2、外形尺寸：435（W）*88（H）*318（D）mm  </w:t>
            </w:r>
          </w:p>
          <w:p>
            <w:pPr>
              <w:spacing w:line="360" w:lineRule="exact"/>
              <w:jc w:val="left"/>
              <w:rPr>
                <w:rFonts w:ascii="宋体" w:hAnsi="宋体" w:cs="宋体"/>
                <w:sz w:val="21"/>
                <w:szCs w:val="21"/>
              </w:rPr>
            </w:pPr>
            <w:r>
              <w:rPr>
                <w:rFonts w:hint="eastAsia" w:ascii="宋体" w:hAnsi="宋体" w:cs="宋体"/>
                <w:sz w:val="21"/>
                <w:szCs w:val="21"/>
              </w:rPr>
              <w:t>3、音乐效果输出：190mv/1</w:t>
            </w:r>
          </w:p>
          <w:p>
            <w:pPr>
              <w:spacing w:line="360" w:lineRule="exact"/>
              <w:jc w:val="left"/>
              <w:rPr>
                <w:rFonts w:ascii="宋体" w:hAnsi="宋体" w:cs="宋体"/>
                <w:sz w:val="21"/>
                <w:szCs w:val="21"/>
              </w:rPr>
            </w:pPr>
            <w:r>
              <w:rPr>
                <w:rFonts w:hint="eastAsia" w:ascii="宋体" w:hAnsi="宋体" w:cs="宋体"/>
                <w:sz w:val="21"/>
                <w:szCs w:val="21"/>
              </w:rPr>
              <w:t xml:space="preserve">4、音乐功率：150W   </w:t>
            </w:r>
          </w:p>
          <w:p>
            <w:pPr>
              <w:spacing w:line="360" w:lineRule="exact"/>
              <w:jc w:val="left"/>
              <w:rPr>
                <w:rFonts w:ascii="宋体" w:hAnsi="宋体" w:cs="宋体"/>
                <w:sz w:val="21"/>
                <w:szCs w:val="21"/>
              </w:rPr>
            </w:pPr>
            <w:r>
              <w:rPr>
                <w:rFonts w:hint="eastAsia" w:ascii="宋体" w:hAnsi="宋体" w:cs="宋体"/>
                <w:sz w:val="21"/>
                <w:szCs w:val="21"/>
              </w:rPr>
              <w:t xml:space="preserve">5、声压级：120dB </w:t>
            </w:r>
          </w:p>
          <w:p>
            <w:pPr>
              <w:spacing w:line="360" w:lineRule="exact"/>
              <w:jc w:val="left"/>
              <w:rPr>
                <w:rFonts w:ascii="宋体" w:hAnsi="宋体" w:cs="宋体"/>
                <w:sz w:val="21"/>
                <w:szCs w:val="21"/>
              </w:rPr>
            </w:pPr>
            <w:r>
              <w:rPr>
                <w:rFonts w:hint="eastAsia" w:ascii="宋体" w:hAnsi="宋体" w:cs="宋体"/>
                <w:sz w:val="21"/>
                <w:szCs w:val="21"/>
              </w:rPr>
              <w:t xml:space="preserve">6、箱体材料：高密度纤维板  </w:t>
            </w:r>
          </w:p>
          <w:p>
            <w:pPr>
              <w:spacing w:line="360" w:lineRule="exact"/>
              <w:jc w:val="left"/>
              <w:rPr>
                <w:rFonts w:ascii="宋体" w:hAnsi="宋体" w:cs="宋体"/>
                <w:sz w:val="21"/>
                <w:szCs w:val="21"/>
              </w:rPr>
            </w:pPr>
            <w:r>
              <w:rPr>
                <w:rFonts w:hint="eastAsia" w:ascii="宋体" w:hAnsi="宋体" w:cs="宋体"/>
                <w:sz w:val="21"/>
                <w:szCs w:val="21"/>
              </w:rPr>
              <w:t xml:space="preserve">7、产品尺寸：W320*D210*H216 </w:t>
            </w:r>
          </w:p>
          <w:p>
            <w:pPr>
              <w:spacing w:line="360" w:lineRule="exact"/>
              <w:jc w:val="left"/>
              <w:rPr>
                <w:rFonts w:ascii="宋体" w:hAnsi="宋体" w:cs="宋体"/>
                <w:sz w:val="21"/>
                <w:szCs w:val="21"/>
              </w:rPr>
            </w:pPr>
            <w:r>
              <w:rPr>
                <w:rFonts w:hint="eastAsia" w:ascii="宋体" w:hAnsi="宋体" w:cs="宋体"/>
                <w:sz w:val="21"/>
                <w:szCs w:val="21"/>
              </w:rPr>
              <w:t>8、产品净重：6.1Kg</w:t>
            </w:r>
          </w:p>
          <w:p>
            <w:pPr>
              <w:spacing w:line="360" w:lineRule="exact"/>
              <w:jc w:val="left"/>
              <w:rPr>
                <w:rFonts w:ascii="宋体" w:hAnsi="宋体" w:cs="宋体"/>
                <w:sz w:val="21"/>
                <w:szCs w:val="21"/>
              </w:rPr>
            </w:pPr>
            <w:r>
              <w:rPr>
                <w:rFonts w:hint="eastAsia" w:ascii="宋体" w:hAnsi="宋体" w:cs="宋体"/>
                <w:sz w:val="21"/>
                <w:szCs w:val="21"/>
              </w:rPr>
              <w:t>9、单员组成：LF:1*6.5″/HF:2*3″纸盆高音</w:t>
            </w:r>
          </w:p>
          <w:p>
            <w:pPr>
              <w:spacing w:line="360" w:lineRule="exact"/>
              <w:jc w:val="left"/>
              <w:rPr>
                <w:rFonts w:ascii="宋体" w:hAnsi="宋体" w:cs="宋体"/>
                <w:sz w:val="21"/>
                <w:szCs w:val="21"/>
              </w:rPr>
            </w:pPr>
            <w:r>
              <w:rPr>
                <w:rFonts w:hint="eastAsia" w:ascii="宋体" w:hAnsi="宋体" w:cs="宋体"/>
                <w:sz w:val="21"/>
                <w:szCs w:val="21"/>
              </w:rPr>
              <w:t>10、包安装；调试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10243"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sz w:val="21"/>
                <w:szCs w:val="21"/>
              </w:rPr>
            </w:pPr>
            <w:r>
              <w:rPr>
                <w:rFonts w:hint="eastAsia" w:ascii="宋体" w:hAnsi="宋体" w:cs="宋体"/>
                <w:b/>
                <w:sz w:val="21"/>
                <w:szCs w:val="21"/>
              </w:rPr>
              <w:t>活动室</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拉杆音响</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1、尺寸：（高*宽*深）：88mm*432mm*415mm   </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2、规格参数：5路输入，1路输出，每个输出通道独立的低音和高音控制</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3、输出功率：60瓦，100V和70V输出或4Ω/8Ω，寻呼钟和4、优先级静音</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5、运输重量：11.2Kg</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6、净重量：8.8Kg</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7、Media Player能够从蓝牙或USB驱动器播放MP3文件</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壁挂式电视</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1、可视图像对角线尺寸:约1232mm（49*8000G）</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2、分辨率：4K</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3、背光技术：直下式LED背光源</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4、HDR：4KHDR</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5、数字信号处理系统：4K迅锐图像处理引擎PRO</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6、倍速驱动：MotionflowXR</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7、扬声器技术：低频反射扬声器</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8、智能电视：搭载安卓7.0系统</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9、HDMI接口：4</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10、USB接口：3</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11、增强音频回传：音频回传（ARC）</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12、显示单元尺寸（带底座）（宽*高*深）mm：1101*704*260mm（49*8000G）</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13、显示单元尺寸（宽*高*深）mm：1101*645*57mm（49*8000G）</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14、显示单元净重kg（带底座）：12.4kg（49*8000G）</w:t>
            </w:r>
          </w:p>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15、显示单元净重kg：11.8kg（49*8000G）</w:t>
            </w:r>
          </w:p>
          <w:p>
            <w:p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16、包安装调试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12</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台</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棋牌桌椅</w:t>
            </w:r>
          </w:p>
        </w:tc>
        <w:tc>
          <w:tcPr>
            <w:tcW w:w="5752" w:type="dxa"/>
            <w:tcBorders>
              <w:top w:val="single" w:color="auto" w:sz="4" w:space="0"/>
              <w:left w:val="single" w:color="auto" w:sz="4" w:space="0"/>
              <w:bottom w:val="single" w:color="auto" w:sz="4" w:space="0"/>
              <w:right w:val="single" w:color="auto" w:sz="4" w:space="0"/>
            </w:tcBorders>
            <w:noWrap/>
            <w:vAlign w:val="center"/>
          </w:tcPr>
          <w:p>
            <w:pPr>
              <w:numPr>
                <w:ilvl w:val="0"/>
                <w:numId w:val="42"/>
              </w:numPr>
              <w:spacing w:line="360" w:lineRule="exact"/>
              <w:jc w:val="left"/>
              <w:rPr>
                <w:rFonts w:hint="eastAsia" w:ascii="宋体" w:hAnsi="宋体" w:eastAsia="宋体" w:cs="宋体"/>
                <w:sz w:val="21"/>
                <w:szCs w:val="21"/>
              </w:rPr>
            </w:pPr>
            <w:r>
              <w:rPr>
                <w:rFonts w:hint="eastAsia" w:ascii="宋体" w:hAnsi="宋体" w:eastAsia="宋体" w:cs="宋体"/>
                <w:sz w:val="21"/>
                <w:szCs w:val="21"/>
                <w:shd w:val="clear"/>
              </w:rPr>
              <w:t>材质: 木</w:t>
            </w:r>
            <w:r>
              <w:rPr>
                <w:rFonts w:hint="eastAsia" w:ascii="宋体" w:hAnsi="宋体" w:eastAsia="宋体" w:cs="宋体"/>
                <w:sz w:val="21"/>
                <w:szCs w:val="21"/>
                <w:shd w:val="clear"/>
              </w:rPr>
              <w:br w:type="textWrapping"/>
            </w:r>
            <w:r>
              <w:rPr>
                <w:rFonts w:hint="eastAsia" w:ascii="宋体" w:hAnsi="宋体" w:eastAsia="宋体" w:cs="宋体"/>
                <w:sz w:val="21"/>
                <w:szCs w:val="21"/>
              </w:rPr>
              <w:t>2、规格:长0.7米*宽0.60米*高0.60米  长0.55米*宽0.50米*高0.80米</w:t>
            </w:r>
            <w:r>
              <w:rPr>
                <w:rFonts w:hint="eastAsia" w:ascii="宋体" w:hAnsi="宋体" w:eastAsia="宋体" w:cs="宋体"/>
                <w:sz w:val="21"/>
                <w:szCs w:val="21"/>
              </w:rPr>
              <w:br w:type="textWrapping"/>
            </w:r>
            <w:r>
              <w:rPr>
                <w:rFonts w:hint="eastAsia" w:ascii="宋体" w:hAnsi="宋体" w:eastAsia="宋体" w:cs="宋体"/>
                <w:sz w:val="21"/>
                <w:szCs w:val="21"/>
              </w:rPr>
              <w:t>3、木质材质:白蜡木  图案: 艺术</w:t>
            </w:r>
            <w:r>
              <w:rPr>
                <w:rFonts w:hint="eastAsia" w:ascii="宋体" w:hAnsi="宋体" w:eastAsia="宋体" w:cs="宋体"/>
                <w:sz w:val="21"/>
                <w:szCs w:val="21"/>
              </w:rPr>
              <w:br w:type="textWrapping"/>
            </w:r>
            <w:r>
              <w:rPr>
                <w:rFonts w:hint="eastAsia" w:ascii="宋体" w:hAnsi="宋体" w:eastAsia="宋体" w:cs="宋体"/>
                <w:sz w:val="21"/>
                <w:szCs w:val="21"/>
              </w:rPr>
              <w:t>4、风格:现代中式    是否可折叠: 否</w:t>
            </w:r>
            <w:r>
              <w:rPr>
                <w:rFonts w:hint="eastAsia" w:ascii="宋体" w:hAnsi="宋体" w:eastAsia="宋体" w:cs="宋体"/>
                <w:sz w:val="21"/>
                <w:szCs w:val="21"/>
              </w:rPr>
              <w:br w:type="textWrapping"/>
            </w:r>
            <w:r>
              <w:rPr>
                <w:rFonts w:hint="eastAsia" w:ascii="宋体" w:hAnsi="宋体" w:cs="宋体"/>
                <w:sz w:val="21"/>
                <w:szCs w:val="21"/>
                <w:lang w:val="en-US" w:eastAsia="zh-CN"/>
              </w:rPr>
              <w:t>5</w:t>
            </w:r>
            <w:r>
              <w:rPr>
                <w:rFonts w:hint="eastAsia" w:ascii="宋体" w:hAnsi="宋体" w:eastAsia="宋体" w:cs="宋体"/>
                <w:sz w:val="21"/>
                <w:szCs w:val="21"/>
              </w:rPr>
              <w:t>、是否带棋谱:否</w:t>
            </w:r>
          </w:p>
          <w:p>
            <w:pPr>
              <w:numPr>
                <w:ilvl w:val="0"/>
                <w:numId w:val="0"/>
              </w:numPr>
              <w:spacing w:line="360" w:lineRule="exact"/>
              <w:jc w:val="left"/>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、包安装；调试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12</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组</w:t>
            </w:r>
          </w:p>
        </w:tc>
      </w:tr>
      <w:tr>
        <w:tblPrEx>
          <w:tblCellMar>
            <w:top w:w="0" w:type="dxa"/>
            <w:left w:w="108" w:type="dxa"/>
            <w:bottom w:w="0" w:type="dxa"/>
            <w:right w:w="108" w:type="dxa"/>
          </w:tblCellMar>
        </w:tblPrEx>
        <w:trPr>
          <w:trHeight w:val="560" w:hRule="atLeast"/>
          <w:jc w:val="center"/>
        </w:trPr>
        <w:tc>
          <w:tcPr>
            <w:tcW w:w="10243"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b/>
                <w:sz w:val="21"/>
                <w:szCs w:val="21"/>
              </w:rPr>
            </w:pPr>
            <w:r>
              <w:rPr>
                <w:rFonts w:hint="eastAsia" w:ascii="宋体" w:hAnsi="宋体" w:cs="宋体"/>
                <w:b/>
                <w:color w:val="000000"/>
                <w:kern w:val="0"/>
                <w:sz w:val="21"/>
                <w:szCs w:val="21"/>
              </w:rPr>
              <w:t>儿童活动室</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滑梯</w:t>
            </w:r>
          </w:p>
        </w:tc>
        <w:tc>
          <w:tcPr>
            <w:tcW w:w="5752"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sz w:val="21"/>
                <w:szCs w:val="21"/>
              </w:rPr>
            </w:pPr>
            <w:r>
              <w:rPr>
                <w:rFonts w:hint="eastAsia" w:ascii="宋体" w:hAnsi="宋体" w:cs="宋体"/>
                <w:sz w:val="21"/>
                <w:szCs w:val="21"/>
              </w:rPr>
              <w:t>1、规格:一体秋千/双加高滑到≥2.1米*宽1.2米*高1米</w:t>
            </w:r>
            <w:r>
              <w:rPr>
                <w:rFonts w:hint="eastAsia" w:ascii="宋体" w:hAnsi="宋体" w:cs="宋体"/>
                <w:sz w:val="21"/>
                <w:szCs w:val="21"/>
              </w:rPr>
              <w:br w:type="textWrapping"/>
            </w:r>
            <w:r>
              <w:rPr>
                <w:rFonts w:hint="eastAsia" w:ascii="宋体" w:hAnsi="宋体" w:cs="宋体"/>
                <w:sz w:val="21"/>
                <w:szCs w:val="21"/>
              </w:rPr>
              <w:t>2、适用年龄:18个月  2岁  3岁  4岁  5岁  6岁</w:t>
            </w:r>
          </w:p>
          <w:p>
            <w:pPr>
              <w:widowControl/>
              <w:spacing w:before="150" w:line="270" w:lineRule="atLeast"/>
              <w:ind w:right="226"/>
              <w:textAlignment w:val="top"/>
              <w:rPr>
                <w:rFonts w:ascii="宋体" w:hAnsi="宋体" w:cs="宋体"/>
                <w:sz w:val="21"/>
                <w:szCs w:val="21"/>
              </w:rPr>
            </w:pPr>
            <w:r>
              <w:rPr>
                <w:rFonts w:hint="eastAsia" w:ascii="宋体" w:hAnsi="宋体" w:cs="宋体"/>
                <w:sz w:val="21"/>
                <w:szCs w:val="21"/>
              </w:rPr>
              <w:t>3、材质: PE材质</w:t>
            </w:r>
          </w:p>
          <w:p>
            <w:pPr>
              <w:widowControl/>
              <w:spacing w:before="150" w:line="270" w:lineRule="atLeast"/>
              <w:ind w:left="-360" w:right="226"/>
              <w:textAlignment w:val="top"/>
              <w:rPr>
                <w:rFonts w:ascii="宋体" w:hAnsi="宋体" w:cs="宋体"/>
                <w:sz w:val="21"/>
                <w:szCs w:val="21"/>
              </w:rPr>
            </w:pPr>
            <w:r>
              <w:rPr>
                <w:rFonts w:hint="eastAsia" w:ascii="宋体" w:hAnsi="宋体" w:cs="宋体"/>
                <w:sz w:val="21"/>
                <w:szCs w:val="21"/>
              </w:rPr>
              <w:t>、 4、玩具类型: 塑胶玩具</w:t>
            </w:r>
          </w:p>
          <w:p>
            <w:pPr>
              <w:widowControl/>
              <w:spacing w:before="150" w:line="270" w:lineRule="atLeast"/>
              <w:ind w:left="-360" w:right="226"/>
              <w:textAlignment w:val="top"/>
              <w:rPr>
                <w:rFonts w:ascii="宋体" w:hAnsi="宋体" w:cs="宋体"/>
                <w:sz w:val="21"/>
                <w:szCs w:val="21"/>
              </w:rPr>
            </w:pPr>
            <w:r>
              <w:rPr>
                <w:rFonts w:hint="eastAsia" w:ascii="宋体" w:hAnsi="宋体" w:cs="宋体"/>
                <w:sz w:val="21"/>
                <w:szCs w:val="21"/>
              </w:rPr>
              <w:t>、 5、颜色分类: 加大铁梁三合一（粉）</w:t>
            </w:r>
          </w:p>
          <w:p>
            <w:pPr>
              <w:rPr>
                <w:rFonts w:ascii="宋体" w:hAnsi="宋体" w:cs="宋体"/>
                <w:sz w:val="21"/>
                <w:szCs w:val="21"/>
              </w:rPr>
            </w:pPr>
            <w:r>
              <w:rPr>
                <w:rFonts w:hint="eastAsia" w:ascii="宋体" w:hAnsi="宋体" w:cs="宋体"/>
                <w:sz w:val="21"/>
                <w:szCs w:val="21"/>
              </w:rPr>
              <w:t>6、安全要求：拓展楼梯/扶手/独立平台/</w:t>
            </w:r>
          </w:p>
          <w:p>
            <w:pPr>
              <w:spacing w:line="360" w:lineRule="exact"/>
              <w:rPr>
                <w:rFonts w:ascii="宋体" w:hAnsi="宋体" w:cs="宋体"/>
                <w:sz w:val="21"/>
                <w:szCs w:val="21"/>
              </w:rPr>
            </w:pPr>
            <w:r>
              <w:rPr>
                <w:rFonts w:hint="eastAsia" w:ascii="宋体" w:hAnsi="宋体" w:cs="宋体"/>
                <w:sz w:val="21"/>
                <w:szCs w:val="21"/>
              </w:rPr>
              <w:t>7、楼梯要求：楼梯间隙大于23mm/台阶间隙≥16cm</w:t>
            </w:r>
          </w:p>
          <w:p>
            <w:pPr>
              <w:spacing w:line="360" w:lineRule="exact"/>
              <w:rPr>
                <w:rFonts w:ascii="宋体" w:hAnsi="宋体" w:cs="宋体"/>
                <w:sz w:val="21"/>
                <w:szCs w:val="21"/>
              </w:rPr>
            </w:pPr>
            <w:r>
              <w:rPr>
                <w:rFonts w:hint="eastAsia" w:ascii="宋体" w:hAnsi="宋体" w:cs="宋体"/>
                <w:sz w:val="21"/>
                <w:szCs w:val="21"/>
              </w:rPr>
              <w:t>8、滑道要求：滑到出口扶手≥16cm</w:t>
            </w:r>
          </w:p>
          <w:p>
            <w:pPr>
              <w:rPr>
                <w:rFonts w:ascii="宋体" w:hAnsi="宋体" w:cs="宋体"/>
                <w:sz w:val="21"/>
                <w:szCs w:val="21"/>
              </w:rPr>
            </w:pPr>
            <w:r>
              <w:rPr>
                <w:rFonts w:hint="eastAsia" w:ascii="宋体" w:hAnsi="宋体" w:cs="宋体"/>
                <w:sz w:val="21"/>
                <w:szCs w:val="21"/>
              </w:rPr>
              <w:t>9、座椅要求：座椅≥36cm×20cm/四挡调试</w:t>
            </w:r>
          </w:p>
          <w:p>
            <w:pPr>
              <w:rPr>
                <w:rFonts w:ascii="宋体" w:hAnsi="宋体" w:cs="宋体"/>
                <w:sz w:val="21"/>
                <w:szCs w:val="21"/>
              </w:rPr>
            </w:pPr>
            <w:r>
              <w:rPr>
                <w:rFonts w:hint="eastAsia" w:ascii="宋体" w:hAnsi="宋体" w:cs="宋体"/>
                <w:sz w:val="21"/>
                <w:szCs w:val="21"/>
              </w:rPr>
              <w:t>10、底座要求：可注水增重U型底板</w:t>
            </w:r>
          </w:p>
          <w:p>
            <w:pPr>
              <w:rPr>
                <w:rFonts w:ascii="宋体" w:hAnsi="宋体" w:cs="宋体"/>
                <w:sz w:val="21"/>
                <w:szCs w:val="21"/>
              </w:rPr>
            </w:pPr>
            <w:r>
              <w:rPr>
                <w:rFonts w:hint="eastAsia" w:ascii="宋体" w:hAnsi="宋体" w:cs="宋体"/>
                <w:sz w:val="21"/>
                <w:szCs w:val="21"/>
              </w:rPr>
              <w:t>11、环保要求：PE环保原料</w:t>
            </w:r>
          </w:p>
          <w:p>
            <w:pPr>
              <w:rPr>
                <w:rFonts w:ascii="宋体" w:hAnsi="宋体" w:cs="宋体"/>
                <w:sz w:val="21"/>
                <w:szCs w:val="21"/>
              </w:rPr>
            </w:pPr>
            <w:r>
              <w:rPr>
                <w:rFonts w:hint="eastAsia" w:ascii="宋体" w:hAnsi="宋体" w:cs="宋体"/>
                <w:sz w:val="21"/>
                <w:szCs w:val="21"/>
              </w:rPr>
              <w:t>12、包安装；调试</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扭扭车</w:t>
            </w:r>
          </w:p>
        </w:tc>
        <w:tc>
          <w:tcPr>
            <w:tcW w:w="5752"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ascii="宋体" w:hAnsi="宋体" w:cs="宋体"/>
                <w:sz w:val="21"/>
                <w:szCs w:val="21"/>
              </w:rPr>
            </w:pPr>
            <w:r>
              <w:rPr>
                <w:rFonts w:hint="eastAsia" w:ascii="宋体" w:hAnsi="宋体" w:cs="宋体"/>
                <w:sz w:val="21"/>
                <w:szCs w:val="21"/>
              </w:rPr>
              <w:t>1、每一粒都是呵护健康的PP原材，选用强韧抗冲击PP原料，提升防刮防磨强度环保无异味，不含双酚A，宝宝健康骑行。</w:t>
            </w:r>
          </w:p>
          <w:p>
            <w:pPr>
              <w:ind w:firstLine="210" w:firstLineChars="100"/>
              <w:rPr>
                <w:rFonts w:ascii="宋体" w:hAnsi="宋体" w:cs="宋体"/>
                <w:sz w:val="21"/>
                <w:szCs w:val="21"/>
              </w:rPr>
            </w:pPr>
            <w:r>
              <w:rPr>
                <w:rFonts w:hint="eastAsia" w:ascii="宋体" w:hAnsi="宋体" w:cs="宋体"/>
                <w:sz w:val="21"/>
                <w:szCs w:val="21"/>
              </w:rPr>
              <w:t>2、蝴蝶型方向盘一体连接顺滑轴承，只要一扭就会走，不加润滑油也可以很滑，并且不会因为使用时间久了就影响顺滑程度。</w:t>
            </w:r>
          </w:p>
          <w:p>
            <w:pPr>
              <w:ind w:firstLine="210" w:firstLineChars="100"/>
              <w:rPr>
                <w:rFonts w:ascii="宋体" w:hAnsi="宋体" w:cs="宋体"/>
                <w:sz w:val="21"/>
                <w:szCs w:val="21"/>
              </w:rPr>
            </w:pPr>
            <w:r>
              <w:rPr>
                <w:rFonts w:hint="eastAsia" w:ascii="宋体" w:hAnsi="宋体" w:cs="宋体"/>
                <w:sz w:val="21"/>
                <w:szCs w:val="21"/>
              </w:rPr>
              <w:t>3、强承重抗压PP车体结构+7道科学承重横筋+赋予车体强大的力学支撑，抗压不变形，可以承载110Kg，即使亲子同时承载也不必担心。</w:t>
            </w:r>
          </w:p>
          <w:p>
            <w:pPr>
              <w:ind w:firstLine="210" w:firstLineChars="100"/>
              <w:rPr>
                <w:rFonts w:ascii="宋体" w:hAnsi="宋体" w:cs="宋体"/>
                <w:sz w:val="21"/>
                <w:szCs w:val="21"/>
              </w:rPr>
            </w:pPr>
            <w:r>
              <w:rPr>
                <w:rFonts w:hint="eastAsia" w:ascii="宋体" w:hAnsi="宋体" w:cs="宋体"/>
                <w:sz w:val="21"/>
                <w:szCs w:val="21"/>
              </w:rPr>
              <w:t>4、4.5cm弧线形防滑加高“护栏”，贴合宝宝坐姿给尾椎适宜的力量支撑，细致磨砂坐垫，扭坐更稳当，避免滑落风险。</w:t>
            </w:r>
          </w:p>
          <w:p>
            <w:pPr>
              <w:ind w:firstLine="210" w:firstLineChars="100"/>
              <w:rPr>
                <w:rFonts w:ascii="宋体" w:hAnsi="宋体" w:cs="宋体"/>
                <w:sz w:val="21"/>
                <w:szCs w:val="21"/>
              </w:rPr>
            </w:pPr>
            <w:r>
              <w:rPr>
                <w:rFonts w:hint="eastAsia" w:ascii="宋体" w:hAnsi="宋体" w:cs="宋体"/>
                <w:sz w:val="21"/>
                <w:szCs w:val="21"/>
              </w:rPr>
              <w:t>5、比水晶更通透的PU减震车轮，柔软Q弹PU材料滑行顺畅不刮地板，耐磨度与减震降噪能力俱佳，即使在家里骑行也不会影响楼下邻居。</w:t>
            </w:r>
          </w:p>
          <w:p>
            <w:pPr>
              <w:ind w:firstLine="210" w:firstLineChars="100"/>
              <w:rPr>
                <w:rFonts w:ascii="宋体" w:hAnsi="宋体" w:cs="宋体"/>
                <w:sz w:val="21"/>
                <w:szCs w:val="21"/>
              </w:rPr>
            </w:pPr>
            <w:r>
              <w:rPr>
                <w:rFonts w:hint="eastAsia" w:ascii="宋体" w:hAnsi="宋体" w:cs="宋体"/>
                <w:sz w:val="21"/>
                <w:szCs w:val="21"/>
              </w:rPr>
              <w:t>6、3轮稳固结构，轻松应对各种路况，保证宝宝在快速转弯时的安全性，杜绝侧翻和后仰滑落风险。</w:t>
            </w:r>
          </w:p>
          <w:p>
            <w:pPr>
              <w:ind w:firstLine="210" w:firstLineChars="100"/>
              <w:rPr>
                <w:rFonts w:ascii="宋体" w:hAnsi="宋体" w:cs="宋体"/>
                <w:sz w:val="21"/>
                <w:szCs w:val="21"/>
              </w:rPr>
            </w:pPr>
            <w:r>
              <w:rPr>
                <w:rFonts w:hint="eastAsia" w:ascii="宋体" w:hAnsi="宋体" w:cs="宋体"/>
                <w:sz w:val="21"/>
                <w:szCs w:val="21"/>
              </w:rPr>
              <w:t>7、人体工程学，流线型车身设计，无棱角流线型曲面车身+包裹底盘设计，贴合人体舒适坐感，带给宝宝圆润舒适触感。  8、规格:长0.76米*宽0.31米*高0.42米</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辆</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81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蹦蹦床</w:t>
            </w:r>
          </w:p>
        </w:tc>
        <w:tc>
          <w:tcPr>
            <w:tcW w:w="575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1"/>
                <w:szCs w:val="21"/>
              </w:rPr>
            </w:pPr>
            <w:r>
              <w:rPr>
                <w:rFonts w:hint="eastAsia" w:ascii="宋体" w:hAnsi="宋体" w:cs="宋体"/>
                <w:sz w:val="21"/>
                <w:szCs w:val="21"/>
              </w:rPr>
              <w:t xml:space="preserve">一、工艺和装配  </w:t>
            </w:r>
          </w:p>
          <w:p>
            <w:pPr>
              <w:ind w:firstLine="105" w:firstLineChars="50"/>
              <w:rPr>
                <w:rFonts w:ascii="宋体" w:hAnsi="宋体" w:cs="宋体"/>
                <w:sz w:val="21"/>
                <w:szCs w:val="21"/>
              </w:rPr>
            </w:pPr>
            <w:r>
              <w:rPr>
                <w:rFonts w:hint="eastAsia" w:ascii="宋体" w:hAnsi="宋体" w:cs="宋体"/>
                <w:sz w:val="21"/>
                <w:szCs w:val="21"/>
              </w:rPr>
              <w:t xml:space="preserve"> 1. 钢圈：钢圈弯曲处弧形应圆滑一致          </w:t>
            </w:r>
          </w:p>
          <w:p>
            <w:pPr>
              <w:ind w:firstLine="210" w:firstLineChars="100"/>
              <w:rPr>
                <w:rFonts w:ascii="宋体" w:hAnsi="宋体" w:cs="宋体"/>
                <w:sz w:val="21"/>
                <w:szCs w:val="21"/>
              </w:rPr>
            </w:pPr>
            <w:r>
              <w:rPr>
                <w:rFonts w:hint="eastAsia" w:ascii="宋体" w:hAnsi="宋体" w:cs="宋体"/>
                <w:sz w:val="21"/>
                <w:szCs w:val="21"/>
              </w:rPr>
              <w:t>2.W钩与网布的连接：应可靠，弹簧应安装到位</w:t>
            </w:r>
          </w:p>
          <w:p>
            <w:pPr>
              <w:ind w:firstLine="210" w:firstLineChars="100"/>
              <w:rPr>
                <w:rFonts w:ascii="宋体" w:hAnsi="宋体" w:cs="宋体"/>
                <w:sz w:val="21"/>
                <w:szCs w:val="21"/>
              </w:rPr>
            </w:pPr>
            <w:r>
              <w:rPr>
                <w:rFonts w:hint="eastAsia" w:ascii="宋体" w:hAnsi="宋体" w:cs="宋体"/>
                <w:sz w:val="21"/>
                <w:szCs w:val="21"/>
              </w:rPr>
              <w:t>3.各部位连：应牢固、不得有错装、漏装现象</w:t>
            </w:r>
          </w:p>
          <w:p>
            <w:pPr>
              <w:ind w:firstLine="210" w:firstLineChars="100"/>
              <w:rPr>
                <w:rFonts w:ascii="宋体" w:hAnsi="宋体" w:cs="宋体"/>
                <w:sz w:val="21"/>
                <w:szCs w:val="21"/>
              </w:rPr>
            </w:pPr>
            <w:r>
              <w:rPr>
                <w:rFonts w:hint="eastAsia" w:ascii="宋体" w:hAnsi="宋体" w:cs="宋体"/>
                <w:sz w:val="21"/>
                <w:szCs w:val="21"/>
              </w:rPr>
              <w:t>4.跳床安装后：钢圈应平整，钢管脚应垂直于钢圈，各脚套应着地平稳</w:t>
            </w:r>
          </w:p>
          <w:p>
            <w:pPr>
              <w:ind w:firstLine="210" w:firstLineChars="100"/>
              <w:rPr>
                <w:rFonts w:ascii="宋体" w:hAnsi="宋体" w:cs="宋体"/>
                <w:sz w:val="21"/>
                <w:szCs w:val="21"/>
              </w:rPr>
            </w:pPr>
            <w:r>
              <w:rPr>
                <w:rFonts w:hint="eastAsia" w:ascii="宋体" w:hAnsi="宋体" w:cs="宋体"/>
                <w:sz w:val="21"/>
                <w:szCs w:val="21"/>
              </w:rPr>
              <w:t>5.网布和围圈 ：网布和围圈的缝纫轨迹应匀、直、牢固，筋边应平服齐直、粗细均匀。围圈应无污渍、破损。</w:t>
            </w:r>
          </w:p>
          <w:p>
            <w:pPr>
              <w:rPr>
                <w:rFonts w:ascii="宋体" w:hAnsi="宋体" w:cs="宋体"/>
                <w:sz w:val="21"/>
                <w:szCs w:val="21"/>
              </w:rPr>
            </w:pPr>
            <w:r>
              <w:rPr>
                <w:rFonts w:hint="eastAsia" w:ascii="宋体" w:hAnsi="宋体" w:cs="宋体"/>
                <w:sz w:val="21"/>
                <w:szCs w:val="21"/>
              </w:rPr>
              <w:t>二、安全要求</w:t>
            </w:r>
          </w:p>
          <w:p>
            <w:pPr>
              <w:ind w:firstLine="210" w:firstLineChars="100"/>
              <w:rPr>
                <w:rFonts w:ascii="宋体" w:hAnsi="宋体" w:cs="宋体"/>
                <w:sz w:val="21"/>
                <w:szCs w:val="21"/>
              </w:rPr>
            </w:pPr>
            <w:r>
              <w:rPr>
                <w:rFonts w:hint="eastAsia" w:ascii="宋体" w:hAnsi="宋体" w:cs="宋体"/>
                <w:sz w:val="21"/>
                <w:szCs w:val="21"/>
              </w:rPr>
              <w:t>1.边角：所有在使用时可能触及人手的部件，必须清除毛刺和锐边。</w:t>
            </w:r>
          </w:p>
          <w:p>
            <w:pPr>
              <w:ind w:firstLine="210" w:firstLineChars="100"/>
              <w:rPr>
                <w:rFonts w:ascii="宋体" w:hAnsi="宋体" w:cs="宋体"/>
                <w:sz w:val="21"/>
                <w:szCs w:val="21"/>
              </w:rPr>
            </w:pPr>
            <w:r>
              <w:rPr>
                <w:rFonts w:hint="eastAsia" w:ascii="宋体" w:hAnsi="宋体" w:cs="宋体"/>
                <w:sz w:val="21"/>
                <w:szCs w:val="21"/>
              </w:rPr>
              <w:t>2.弹簧和围圈：钢丝弹簧端口应朝下，围圈应覆盖弹簧和钢圈，围圈和钢圈之间应衬有泡沫塑料。</w:t>
            </w:r>
          </w:p>
          <w:p>
            <w:pPr>
              <w:pStyle w:val="94"/>
              <w:ind w:firstLine="210" w:firstLineChars="100"/>
              <w:jc w:val="left"/>
              <w:rPr>
                <w:rFonts w:ascii="宋体" w:hAnsi="宋体" w:cs="宋体"/>
                <w:sz w:val="21"/>
                <w:szCs w:val="21"/>
              </w:rPr>
            </w:pPr>
            <w:r>
              <w:rPr>
                <w:rFonts w:hint="eastAsia" w:ascii="宋体" w:hAnsi="宋体" w:cs="宋体"/>
                <w:sz w:val="21"/>
                <w:szCs w:val="21"/>
              </w:rPr>
              <w:t>3.警示说明：安全警示标志应包括下列内容：</w:t>
            </w:r>
          </w:p>
          <w:p>
            <w:pPr>
              <w:spacing w:line="360" w:lineRule="exact"/>
              <w:rPr>
                <w:rFonts w:ascii="宋体" w:hAnsi="宋体" w:cs="宋体"/>
                <w:sz w:val="21"/>
                <w:szCs w:val="21"/>
              </w:rPr>
            </w:pPr>
            <w:r>
              <w:rPr>
                <w:rFonts w:hint="eastAsia" w:ascii="宋体" w:hAnsi="宋体" w:cs="宋体"/>
                <w:sz w:val="21"/>
                <w:szCs w:val="21"/>
              </w:rPr>
              <w:t>三、规格:长1.4米*高0.9米，可折叠粉色+扶手（一体跳布）款式:带护网。</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个</w:t>
            </w:r>
          </w:p>
        </w:tc>
      </w:tr>
      <w:tr>
        <w:tblPrEx>
          <w:tblCellMar>
            <w:top w:w="0" w:type="dxa"/>
            <w:left w:w="108" w:type="dxa"/>
            <w:bottom w:w="0" w:type="dxa"/>
            <w:right w:w="108" w:type="dxa"/>
          </w:tblCellMar>
        </w:tblPrEx>
        <w:trPr>
          <w:trHeight w:val="560" w:hRule="atLeast"/>
          <w:jc w:val="center"/>
        </w:trPr>
        <w:tc>
          <w:tcPr>
            <w:tcW w:w="10243"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b/>
                <w:bCs/>
                <w:sz w:val="21"/>
                <w:szCs w:val="21"/>
              </w:rPr>
              <w:t>氛围营造</w:t>
            </w:r>
          </w:p>
        </w:tc>
      </w:tr>
      <w:tr>
        <w:tblPrEx>
          <w:tblCellMar>
            <w:top w:w="0" w:type="dxa"/>
            <w:left w:w="108" w:type="dxa"/>
            <w:bottom w:w="0" w:type="dxa"/>
            <w:right w:w="108" w:type="dxa"/>
          </w:tblCellMar>
        </w:tblPrEx>
        <w:trPr>
          <w:trHeight w:val="560" w:hRule="atLeast"/>
          <w:jc w:val="cent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798" w:type="dxa"/>
            <w:tcBorders>
              <w:top w:val="single" w:color="auto" w:sz="4" w:space="0"/>
              <w:left w:val="single" w:color="auto" w:sz="4" w:space="0"/>
              <w:bottom w:val="single" w:color="auto" w:sz="4" w:space="0"/>
              <w:right w:val="single" w:color="auto" w:sz="4" w:space="0"/>
            </w:tcBorders>
            <w:noWrap/>
            <w:vAlign w:val="center"/>
          </w:tcPr>
          <w:p>
            <w:pPr>
              <w:tabs>
                <w:tab w:val="left" w:pos="2095"/>
              </w:tabs>
              <w:spacing w:line="360" w:lineRule="exact"/>
              <w:rPr>
                <w:rFonts w:ascii="宋体" w:hAnsi="宋体" w:cs="宋体"/>
                <w:sz w:val="21"/>
                <w:szCs w:val="21"/>
              </w:rPr>
            </w:pPr>
            <w:r>
              <w:rPr>
                <w:rFonts w:hint="eastAsia" w:ascii="宋体" w:hAnsi="宋体" w:cs="宋体"/>
                <w:sz w:val="21"/>
                <w:szCs w:val="21"/>
              </w:rPr>
              <w:t>形象墙</w:t>
            </w:r>
            <w:r>
              <w:rPr>
                <w:rFonts w:hint="eastAsia" w:ascii="宋体" w:hAnsi="宋体" w:cs="宋体"/>
                <w:sz w:val="21"/>
                <w:szCs w:val="21"/>
              </w:rPr>
              <w:tab/>
            </w:r>
            <w:r>
              <w:rPr>
                <w:rFonts w:hint="eastAsia" w:ascii="宋体" w:hAnsi="宋体" w:cs="宋体"/>
                <w:sz w:val="21"/>
                <w:szCs w:val="21"/>
              </w:rPr>
              <w:t xml:space="preserve">         1. 墙体氛围营造</w:t>
            </w:r>
          </w:p>
        </w:tc>
        <w:tc>
          <w:tcPr>
            <w:tcW w:w="577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2095"/>
              </w:tabs>
              <w:spacing w:line="360" w:lineRule="exact"/>
              <w:rPr>
                <w:rFonts w:ascii="宋体" w:hAnsi="宋体" w:cs="宋体"/>
                <w:sz w:val="21"/>
                <w:szCs w:val="21"/>
              </w:rPr>
            </w:pPr>
            <w:r>
              <w:rPr>
                <w:rFonts w:hint="eastAsia" w:ascii="宋体" w:hAnsi="宋体" w:cs="宋体"/>
                <w:sz w:val="21"/>
                <w:szCs w:val="21"/>
              </w:rPr>
              <w:t>1、15mm pvc</w:t>
            </w:r>
          </w:p>
          <w:p>
            <w:pPr>
              <w:tabs>
                <w:tab w:val="left" w:pos="2095"/>
              </w:tabs>
              <w:spacing w:line="360" w:lineRule="exact"/>
              <w:rPr>
                <w:rFonts w:ascii="宋体" w:hAnsi="宋体" w:cs="宋体"/>
                <w:sz w:val="21"/>
                <w:szCs w:val="21"/>
              </w:rPr>
            </w:pPr>
            <w:r>
              <w:rPr>
                <w:rFonts w:hint="eastAsia" w:ascii="宋体" w:hAnsi="宋体" w:cs="宋体"/>
                <w:sz w:val="21"/>
                <w:szCs w:val="21"/>
              </w:rPr>
              <w:t>2、高密度底板加面板3mm</w:t>
            </w:r>
          </w:p>
          <w:p>
            <w:pPr>
              <w:tabs>
                <w:tab w:val="left" w:pos="2095"/>
              </w:tabs>
              <w:spacing w:line="360" w:lineRule="exact"/>
              <w:rPr>
                <w:rFonts w:ascii="宋体" w:hAnsi="宋体" w:cs="宋体"/>
                <w:sz w:val="21"/>
                <w:szCs w:val="21"/>
              </w:rPr>
            </w:pPr>
            <w:r>
              <w:rPr>
                <w:rFonts w:hint="eastAsia" w:ascii="宋体" w:hAnsi="宋体" w:cs="宋体"/>
                <w:sz w:val="21"/>
                <w:szCs w:val="21"/>
              </w:rPr>
              <w:t>3、高透光亚克力</w:t>
            </w:r>
          </w:p>
          <w:p>
            <w:pPr>
              <w:tabs>
                <w:tab w:val="left" w:pos="2095"/>
              </w:tabs>
              <w:spacing w:line="360" w:lineRule="exact"/>
              <w:rPr>
                <w:rFonts w:ascii="宋体" w:hAnsi="宋体" w:cs="宋体"/>
                <w:sz w:val="21"/>
                <w:szCs w:val="21"/>
              </w:rPr>
            </w:pPr>
            <w:r>
              <w:rPr>
                <w:rFonts w:hint="eastAsia" w:ascii="宋体" w:hAnsi="宋体" w:cs="宋体"/>
                <w:sz w:val="21"/>
                <w:szCs w:val="21"/>
              </w:rPr>
              <w:t>4、高清环保墨uv机打印，</w:t>
            </w:r>
          </w:p>
          <w:p>
            <w:pPr>
              <w:tabs>
                <w:tab w:val="left" w:pos="2095"/>
              </w:tabs>
              <w:spacing w:line="360" w:lineRule="exact"/>
              <w:rPr>
                <w:rFonts w:ascii="宋体" w:hAnsi="宋体" w:cs="宋体"/>
                <w:sz w:val="21"/>
                <w:szCs w:val="21"/>
              </w:rPr>
            </w:pPr>
            <w:r>
              <w:rPr>
                <w:rFonts w:hint="eastAsia" w:ascii="宋体" w:hAnsi="宋体" w:cs="宋体"/>
                <w:sz w:val="21"/>
                <w:szCs w:val="21"/>
              </w:rPr>
              <w:t>5、高精雕刻机异形裁切UV导带</w:t>
            </w:r>
          </w:p>
          <w:p>
            <w:pPr>
              <w:tabs>
                <w:tab w:val="left" w:pos="2095"/>
              </w:tabs>
              <w:spacing w:line="360" w:lineRule="exact"/>
              <w:rPr>
                <w:rFonts w:ascii="宋体" w:hAnsi="宋体" w:cs="宋体"/>
                <w:sz w:val="21"/>
                <w:szCs w:val="21"/>
              </w:rPr>
            </w:pPr>
            <w:r>
              <w:rPr>
                <w:rFonts w:hint="eastAsia" w:ascii="宋体" w:hAnsi="宋体" w:cs="宋体"/>
                <w:sz w:val="21"/>
                <w:szCs w:val="21"/>
              </w:rPr>
              <w:t>6、GZF3208D高精度uv环保打印</w:t>
            </w:r>
          </w:p>
          <w:p>
            <w:pPr>
              <w:tabs>
                <w:tab w:val="left" w:pos="2095"/>
              </w:tabs>
              <w:spacing w:line="360" w:lineRule="exact"/>
              <w:rPr>
                <w:rFonts w:ascii="宋体" w:hAnsi="宋体" w:cs="宋体"/>
                <w:sz w:val="21"/>
                <w:szCs w:val="21"/>
              </w:rPr>
            </w:pPr>
            <w:r>
              <w:rPr>
                <w:rFonts w:hint="eastAsia" w:ascii="宋体" w:hAnsi="宋体" w:cs="宋体"/>
                <w:sz w:val="21"/>
                <w:szCs w:val="21"/>
              </w:rPr>
              <w:t>7、包安装</w:t>
            </w:r>
          </w:p>
        </w:tc>
        <w:tc>
          <w:tcPr>
            <w:tcW w:w="102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11</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s="宋体"/>
                <w:sz w:val="21"/>
                <w:szCs w:val="21"/>
              </w:rPr>
            </w:pPr>
            <w:r>
              <w:rPr>
                <w:rFonts w:hint="eastAsia" w:ascii="宋体" w:hAnsi="宋体" w:cs="宋体"/>
                <w:sz w:val="21"/>
                <w:szCs w:val="21"/>
              </w:rPr>
              <w:t>面</w:t>
            </w:r>
          </w:p>
        </w:tc>
      </w:tr>
    </w:tbl>
    <w:p>
      <w:pPr>
        <w:pStyle w:val="13"/>
        <w:numPr>
          <w:ilvl w:val="0"/>
          <w:numId w:val="0"/>
        </w:numPr>
        <w:jc w:val="both"/>
        <w:rPr>
          <w:rFonts w:hint="default" w:ascii="宋体" w:hAnsi="宋体" w:eastAsia="宋体" w:cs="Times New Roman"/>
          <w:b/>
          <w:bCs/>
          <w:kern w:val="0"/>
          <w:sz w:val="32"/>
          <w:szCs w:val="32"/>
          <w:lang w:val="en-US" w:eastAsia="zh-CN" w:bidi="ar-SA"/>
        </w:rPr>
      </w:pPr>
    </w:p>
    <w:sectPr>
      <w:footerReference r:id="rId7" w:type="first"/>
      <w:footerReference r:id="rId6" w:type="default"/>
      <w:pgSz w:w="11906" w:h="16838"/>
      <w:pgMar w:top="1440" w:right="1077" w:bottom="1440" w:left="107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20</w:t>
    </w:r>
    <w:r>
      <w:rPr>
        <w:rFonts w:ascii="宋体" w:hAnsi="宋体"/>
        <w:b/>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hAnsi="宋体"/>
        <w:b/>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楷体" w:hAnsi="楷体" w:eastAsia="楷体"/>
      </w:rPr>
    </w:pPr>
    <w:r>
      <w:rPr>
        <w:rFonts w:hint="eastAsia" w:ascii="楷体" w:hAnsi="楷体" w:eastAsia="楷体"/>
        <w:b/>
        <w:sz w:val="21"/>
        <w:szCs w:val="21"/>
        <w:lang w:val="en-US" w:eastAsia="zh-CN"/>
      </w:rPr>
      <w:t xml:space="preserve">                                       </w:t>
    </w:r>
    <w:r>
      <w:rPr>
        <w:rFonts w:hint="eastAsia" w:ascii="楷体" w:hAnsi="楷体" w:eastAsia="楷体"/>
        <w:b/>
        <w:sz w:val="21"/>
        <w:szCs w:val="21"/>
      </w:rPr>
      <w:t xml:space="preserve">                           </w:t>
    </w:r>
    <w:r>
      <w:rPr>
        <w:rFonts w:hint="eastAsia" w:ascii="楷体" w:hAnsi="楷体" w:eastAsia="楷体"/>
        <w:b/>
        <w:sz w:val="21"/>
        <w:szCs w:val="21"/>
        <w:lang w:val="en-US" w:eastAsia="zh-CN"/>
      </w:rPr>
      <w:t xml:space="preserve">              </w:t>
    </w:r>
  </w:p>
  <w:p>
    <w:pPr>
      <w:widowControl/>
      <w:pBdr>
        <w:bottom w:val="none" w:color="auto" w:sz="0" w:space="0"/>
      </w:pBdr>
      <w:adjustRightInd w:val="0"/>
      <w:snapToGrid w:val="0"/>
      <w:spacing w:line="360" w:lineRule="auto"/>
      <w:textAlignment w:val="baseline"/>
      <w:rPr>
        <w:rFonts w:ascii="楷体" w:hAnsi="楷体" w:eastAsia="楷体"/>
        <w:b/>
        <w:sz w:val="16"/>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r>
      <w:rPr>
        <w:rFonts w:hint="eastAsia" w:ascii="楷体" w:hAnsi="楷体" w:eastAsia="楷体"/>
        <w:b/>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5B1CC"/>
    <w:multiLevelType w:val="singleLevel"/>
    <w:tmpl w:val="AE55B1CC"/>
    <w:lvl w:ilvl="0" w:tentative="0">
      <w:start w:val="1"/>
      <w:numFmt w:val="decimal"/>
      <w:suff w:val="nothing"/>
      <w:lvlText w:val="%1、"/>
      <w:lvlJc w:val="left"/>
    </w:lvl>
  </w:abstractNum>
  <w:abstractNum w:abstractNumId="1">
    <w:nsid w:val="EE3DC271"/>
    <w:multiLevelType w:val="singleLevel"/>
    <w:tmpl w:val="EE3DC271"/>
    <w:lvl w:ilvl="0" w:tentative="0">
      <w:start w:val="1"/>
      <w:numFmt w:val="decimal"/>
      <w:suff w:val="nothing"/>
      <w:lvlText w:val="%1、"/>
      <w:lvlJc w:val="left"/>
    </w:lvl>
  </w:abstractNum>
  <w:abstractNum w:abstractNumId="2">
    <w:nsid w:val="005C669B"/>
    <w:multiLevelType w:val="multilevel"/>
    <w:tmpl w:val="005C669B"/>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3">
    <w:nsid w:val="02400DDE"/>
    <w:multiLevelType w:val="multilevel"/>
    <w:tmpl w:val="02400DD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09372158"/>
    <w:multiLevelType w:val="multilevel"/>
    <w:tmpl w:val="09372158"/>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6">
    <w:nsid w:val="0B143627"/>
    <w:multiLevelType w:val="multilevel"/>
    <w:tmpl w:val="0B14362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0FD92A73"/>
    <w:multiLevelType w:val="multilevel"/>
    <w:tmpl w:val="0FD92A73"/>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18814C8C"/>
    <w:multiLevelType w:val="multilevel"/>
    <w:tmpl w:val="18814C8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1E920307"/>
    <w:multiLevelType w:val="multilevel"/>
    <w:tmpl w:val="1E920307"/>
    <w:lvl w:ilvl="0" w:tentative="0">
      <w:start w:val="21"/>
      <w:numFmt w:val="decimal"/>
      <w:lvlText w:val="%1"/>
      <w:lvlJc w:val="left"/>
      <w:pPr>
        <w:ind w:left="480" w:hanging="480"/>
      </w:pPr>
      <w:rPr>
        <w:rFonts w:hint="default"/>
        <w:b w:val="0"/>
        <w:sz w:val="24"/>
      </w:rPr>
    </w:lvl>
    <w:lvl w:ilvl="1" w:tentative="0">
      <w:start w:val="1"/>
      <w:numFmt w:val="decimal"/>
      <w:lvlText w:val="20.%2."/>
      <w:lvlJc w:val="left"/>
      <w:pPr>
        <w:ind w:left="861" w:hanging="720"/>
      </w:pPr>
      <w:rPr>
        <w:rFonts w:hint="eastAsia"/>
        <w:b w:val="0"/>
        <w:sz w:val="24"/>
      </w:rPr>
    </w:lvl>
    <w:lvl w:ilvl="2" w:tentative="0">
      <w:start w:val="1"/>
      <w:numFmt w:val="decimal"/>
      <w:lvlText w:val="%1.%2.%3"/>
      <w:lvlJc w:val="left"/>
      <w:pPr>
        <w:ind w:left="2040" w:hanging="1080"/>
      </w:pPr>
      <w:rPr>
        <w:rFonts w:hint="default"/>
        <w:b w:val="0"/>
        <w:sz w:val="24"/>
      </w:rPr>
    </w:lvl>
    <w:lvl w:ilvl="3" w:tentative="0">
      <w:start w:val="1"/>
      <w:numFmt w:val="decimal"/>
      <w:lvlText w:val="%1.%2.%3.%4"/>
      <w:lvlJc w:val="left"/>
      <w:pPr>
        <w:ind w:left="2880" w:hanging="1440"/>
      </w:pPr>
      <w:rPr>
        <w:rFonts w:hint="default"/>
        <w:b w:val="0"/>
        <w:sz w:val="24"/>
      </w:rPr>
    </w:lvl>
    <w:lvl w:ilvl="4" w:tentative="0">
      <w:start w:val="1"/>
      <w:numFmt w:val="decimal"/>
      <w:lvlText w:val="%1.%2.%3.%4.%5"/>
      <w:lvlJc w:val="left"/>
      <w:pPr>
        <w:ind w:left="3720" w:hanging="1800"/>
      </w:pPr>
      <w:rPr>
        <w:rFonts w:hint="default"/>
        <w:b w:val="0"/>
        <w:sz w:val="24"/>
      </w:rPr>
    </w:lvl>
    <w:lvl w:ilvl="5" w:tentative="0">
      <w:start w:val="1"/>
      <w:numFmt w:val="decimal"/>
      <w:lvlText w:val="%1.%2.%3.%4.%5.%6"/>
      <w:lvlJc w:val="left"/>
      <w:pPr>
        <w:ind w:left="4200" w:hanging="1800"/>
      </w:pPr>
      <w:rPr>
        <w:rFonts w:hint="default"/>
        <w:b w:val="0"/>
        <w:sz w:val="24"/>
      </w:rPr>
    </w:lvl>
    <w:lvl w:ilvl="6" w:tentative="0">
      <w:start w:val="1"/>
      <w:numFmt w:val="decimal"/>
      <w:lvlText w:val="%1.%2.%3.%4.%5.%6.%7"/>
      <w:lvlJc w:val="left"/>
      <w:pPr>
        <w:ind w:left="5040" w:hanging="2160"/>
      </w:pPr>
      <w:rPr>
        <w:rFonts w:hint="default"/>
        <w:b w:val="0"/>
        <w:sz w:val="24"/>
      </w:rPr>
    </w:lvl>
    <w:lvl w:ilvl="7" w:tentative="0">
      <w:start w:val="1"/>
      <w:numFmt w:val="decimal"/>
      <w:lvlText w:val="%1.%2.%3.%4.%5.%6.%7.%8"/>
      <w:lvlJc w:val="left"/>
      <w:pPr>
        <w:ind w:left="5880" w:hanging="2520"/>
      </w:pPr>
      <w:rPr>
        <w:rFonts w:hint="default"/>
        <w:b w:val="0"/>
        <w:sz w:val="24"/>
      </w:rPr>
    </w:lvl>
    <w:lvl w:ilvl="8" w:tentative="0">
      <w:start w:val="1"/>
      <w:numFmt w:val="decimal"/>
      <w:lvlText w:val="%1.%2.%3.%4.%5.%6.%7.%8.%9"/>
      <w:lvlJc w:val="left"/>
      <w:pPr>
        <w:ind w:left="6720" w:hanging="2880"/>
      </w:pPr>
      <w:rPr>
        <w:rFonts w:hint="default"/>
        <w:b w:val="0"/>
        <w:sz w:val="24"/>
      </w:rPr>
    </w:lvl>
  </w:abstractNum>
  <w:abstractNum w:abstractNumId="11">
    <w:nsid w:val="25933C0A"/>
    <w:multiLevelType w:val="multilevel"/>
    <w:tmpl w:val="25933C0A"/>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274D6CBC"/>
    <w:multiLevelType w:val="multilevel"/>
    <w:tmpl w:val="274D6CBC"/>
    <w:lvl w:ilvl="0" w:tentative="0">
      <w:start w:val="1"/>
      <w:numFmt w:val="decimal"/>
      <w:lvlText w:val="（%1）"/>
      <w:lvlJc w:val="left"/>
      <w:pPr>
        <w:ind w:left="1981" w:hanging="420"/>
      </w:pPr>
      <w:rPr>
        <w:rFonts w:hint="default"/>
      </w:rPr>
    </w:lvl>
    <w:lvl w:ilvl="1" w:tentative="0">
      <w:start w:val="1"/>
      <w:numFmt w:val="lowerLetter"/>
      <w:lvlText w:val="%2)"/>
      <w:lvlJc w:val="left"/>
      <w:pPr>
        <w:ind w:left="2401" w:hanging="420"/>
      </w:pPr>
    </w:lvl>
    <w:lvl w:ilvl="2" w:tentative="0">
      <w:start w:val="1"/>
      <w:numFmt w:val="lowerRoman"/>
      <w:lvlText w:val="%3."/>
      <w:lvlJc w:val="right"/>
      <w:pPr>
        <w:ind w:left="2821" w:hanging="420"/>
      </w:pPr>
    </w:lvl>
    <w:lvl w:ilvl="3" w:tentative="0">
      <w:start w:val="1"/>
      <w:numFmt w:val="decimal"/>
      <w:lvlText w:val="%4."/>
      <w:lvlJc w:val="left"/>
      <w:pPr>
        <w:ind w:left="3241" w:hanging="420"/>
      </w:pPr>
    </w:lvl>
    <w:lvl w:ilvl="4" w:tentative="0">
      <w:start w:val="1"/>
      <w:numFmt w:val="lowerLetter"/>
      <w:lvlText w:val="%5)"/>
      <w:lvlJc w:val="left"/>
      <w:pPr>
        <w:ind w:left="3661" w:hanging="420"/>
      </w:pPr>
    </w:lvl>
    <w:lvl w:ilvl="5" w:tentative="0">
      <w:start w:val="1"/>
      <w:numFmt w:val="lowerRoman"/>
      <w:lvlText w:val="%6."/>
      <w:lvlJc w:val="right"/>
      <w:pPr>
        <w:ind w:left="4081" w:hanging="420"/>
      </w:pPr>
    </w:lvl>
    <w:lvl w:ilvl="6" w:tentative="0">
      <w:start w:val="1"/>
      <w:numFmt w:val="decimal"/>
      <w:lvlText w:val="%7."/>
      <w:lvlJc w:val="left"/>
      <w:pPr>
        <w:ind w:left="4501" w:hanging="420"/>
      </w:pPr>
    </w:lvl>
    <w:lvl w:ilvl="7" w:tentative="0">
      <w:start w:val="1"/>
      <w:numFmt w:val="lowerLetter"/>
      <w:lvlText w:val="%8)"/>
      <w:lvlJc w:val="left"/>
      <w:pPr>
        <w:ind w:left="4921" w:hanging="420"/>
      </w:pPr>
    </w:lvl>
    <w:lvl w:ilvl="8" w:tentative="0">
      <w:start w:val="1"/>
      <w:numFmt w:val="lowerRoman"/>
      <w:lvlText w:val="%9."/>
      <w:lvlJc w:val="right"/>
      <w:pPr>
        <w:ind w:left="5341" w:hanging="420"/>
      </w:pPr>
    </w:lvl>
  </w:abstractNum>
  <w:abstractNum w:abstractNumId="13">
    <w:nsid w:val="30EB525F"/>
    <w:multiLevelType w:val="multilevel"/>
    <w:tmpl w:val="30EB525F"/>
    <w:lvl w:ilvl="0" w:tentative="0">
      <w:start w:val="13"/>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4">
    <w:nsid w:val="3298278A"/>
    <w:multiLevelType w:val="multilevel"/>
    <w:tmpl w:val="3298278A"/>
    <w:lvl w:ilvl="0" w:tentative="0">
      <w:start w:val="1"/>
      <w:numFmt w:val="decimal"/>
      <w:lvlText w:val="%1"/>
      <w:lvlJc w:val="left"/>
      <w:pPr>
        <w:ind w:left="420" w:hanging="420"/>
      </w:pPr>
      <w:rPr>
        <w:rFonts w:hint="eastAsia"/>
      </w:rPr>
    </w:lvl>
    <w:lvl w:ilvl="1" w:tentative="0">
      <w:start w:val="4"/>
      <w:numFmt w:val="decimal"/>
      <w:isLgl/>
      <w:lvlText w:val="%1.%2."/>
      <w:lvlJc w:val="left"/>
      <w:pPr>
        <w:ind w:left="1200" w:hanging="720"/>
      </w:pPr>
      <w:rPr>
        <w:rFonts w:hint="default" w:hAnsi="Calibri" w:cs="宋体"/>
      </w:rPr>
    </w:lvl>
    <w:lvl w:ilvl="2" w:tentative="0">
      <w:start w:val="1"/>
      <w:numFmt w:val="decimal"/>
      <w:isLgl/>
      <w:lvlText w:val="%1.%2.%3."/>
      <w:lvlJc w:val="left"/>
      <w:pPr>
        <w:ind w:left="1680" w:hanging="720"/>
      </w:pPr>
      <w:rPr>
        <w:rFonts w:hint="default" w:hAnsi="Calibri" w:cs="宋体"/>
      </w:rPr>
    </w:lvl>
    <w:lvl w:ilvl="3" w:tentative="0">
      <w:start w:val="1"/>
      <w:numFmt w:val="decimal"/>
      <w:isLgl/>
      <w:lvlText w:val="%1.%2.%3.%4."/>
      <w:lvlJc w:val="left"/>
      <w:pPr>
        <w:ind w:left="2520" w:hanging="1080"/>
      </w:pPr>
      <w:rPr>
        <w:rFonts w:hint="default" w:hAnsi="Calibri" w:cs="宋体"/>
      </w:rPr>
    </w:lvl>
    <w:lvl w:ilvl="4" w:tentative="0">
      <w:start w:val="1"/>
      <w:numFmt w:val="decimal"/>
      <w:isLgl/>
      <w:lvlText w:val="%1.%2.%3.%4.%5."/>
      <w:lvlJc w:val="left"/>
      <w:pPr>
        <w:ind w:left="3360" w:hanging="1440"/>
      </w:pPr>
      <w:rPr>
        <w:rFonts w:hint="default" w:hAnsi="Calibri" w:cs="宋体"/>
      </w:rPr>
    </w:lvl>
    <w:lvl w:ilvl="5" w:tentative="0">
      <w:start w:val="1"/>
      <w:numFmt w:val="decimal"/>
      <w:isLgl/>
      <w:lvlText w:val="%1.%2.%3.%4.%5.%6."/>
      <w:lvlJc w:val="left"/>
      <w:pPr>
        <w:ind w:left="3840" w:hanging="1440"/>
      </w:pPr>
      <w:rPr>
        <w:rFonts w:hint="default" w:hAnsi="Calibri" w:cs="宋体"/>
      </w:rPr>
    </w:lvl>
    <w:lvl w:ilvl="6" w:tentative="0">
      <w:start w:val="1"/>
      <w:numFmt w:val="decimal"/>
      <w:isLgl/>
      <w:lvlText w:val="%1.%2.%3.%4.%5.%6.%7."/>
      <w:lvlJc w:val="left"/>
      <w:pPr>
        <w:ind w:left="4680" w:hanging="1800"/>
      </w:pPr>
      <w:rPr>
        <w:rFonts w:hint="default" w:hAnsi="Calibri" w:cs="宋体"/>
      </w:rPr>
    </w:lvl>
    <w:lvl w:ilvl="7" w:tentative="0">
      <w:start w:val="1"/>
      <w:numFmt w:val="decimal"/>
      <w:isLgl/>
      <w:lvlText w:val="%1.%2.%3.%4.%5.%6.%7.%8."/>
      <w:lvlJc w:val="left"/>
      <w:pPr>
        <w:ind w:left="5520" w:hanging="2160"/>
      </w:pPr>
      <w:rPr>
        <w:rFonts w:hint="default" w:hAnsi="Calibri" w:cs="宋体"/>
      </w:rPr>
    </w:lvl>
    <w:lvl w:ilvl="8" w:tentative="0">
      <w:start w:val="1"/>
      <w:numFmt w:val="decimal"/>
      <w:isLgl/>
      <w:lvlText w:val="%1.%2.%3.%4.%5.%6.%7.%8.%9."/>
      <w:lvlJc w:val="left"/>
      <w:pPr>
        <w:ind w:left="6000" w:hanging="2160"/>
      </w:pPr>
      <w:rPr>
        <w:rFonts w:hint="default" w:hAnsi="Calibri" w:cs="宋体"/>
      </w:rPr>
    </w:lvl>
  </w:abstractNum>
  <w:abstractNum w:abstractNumId="15">
    <w:nsid w:val="40CF13D4"/>
    <w:multiLevelType w:val="multilevel"/>
    <w:tmpl w:val="40CF13D4"/>
    <w:lvl w:ilvl="0" w:tentative="0">
      <w:start w:val="1"/>
      <w:numFmt w:val="decimal"/>
      <w:pStyle w:val="3"/>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pStyle w:val="5"/>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433044D6"/>
    <w:multiLevelType w:val="multilevel"/>
    <w:tmpl w:val="433044D6"/>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7">
    <w:nsid w:val="46C71494"/>
    <w:multiLevelType w:val="multilevel"/>
    <w:tmpl w:val="46C71494"/>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8">
    <w:nsid w:val="4E1B30F7"/>
    <w:multiLevelType w:val="multilevel"/>
    <w:tmpl w:val="4E1B30F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9">
    <w:nsid w:val="4EFA17D5"/>
    <w:multiLevelType w:val="multilevel"/>
    <w:tmpl w:val="4EFA17D5"/>
    <w:lvl w:ilvl="0" w:tentative="0">
      <w:start w:val="19"/>
      <w:numFmt w:val="decimal"/>
      <w:lvlText w:val="%1"/>
      <w:lvlJc w:val="left"/>
      <w:pPr>
        <w:ind w:left="480" w:hanging="480"/>
      </w:pPr>
      <w:rPr>
        <w:rFonts w:hint="default"/>
      </w:rPr>
    </w:lvl>
    <w:lvl w:ilvl="1" w:tentative="0">
      <w:start w:val="1"/>
      <w:numFmt w:val="decimal"/>
      <w:lvlText w:val="18.%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0">
    <w:nsid w:val="4FE725AC"/>
    <w:multiLevelType w:val="multilevel"/>
    <w:tmpl w:val="4FE725AC"/>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2">
    <w:nsid w:val="56222FB0"/>
    <w:multiLevelType w:val="multilevel"/>
    <w:tmpl w:val="56222FB0"/>
    <w:lvl w:ilvl="0" w:tentative="0">
      <w:start w:val="14"/>
      <w:numFmt w:val="decimal"/>
      <w:lvlText w:val="%1"/>
      <w:lvlJc w:val="left"/>
      <w:pPr>
        <w:ind w:left="480" w:hanging="480"/>
      </w:pPr>
      <w:rPr>
        <w:rFonts w:hint="default"/>
      </w:rPr>
    </w:lvl>
    <w:lvl w:ilvl="1" w:tentative="0">
      <w:start w:val="1"/>
      <w:numFmt w:val="decimal"/>
      <w:lvlText w:val="%1.%2"/>
      <w:lvlJc w:val="left"/>
      <w:pPr>
        <w:ind w:left="621"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3">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6997346"/>
    <w:multiLevelType w:val="multilevel"/>
    <w:tmpl w:val="56997346"/>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5">
    <w:nsid w:val="57693060"/>
    <w:multiLevelType w:val="multilevel"/>
    <w:tmpl w:val="57693060"/>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57912FC9"/>
    <w:multiLevelType w:val="multilevel"/>
    <w:tmpl w:val="57912FC9"/>
    <w:lvl w:ilvl="0" w:tentative="0">
      <w:start w:val="23"/>
      <w:numFmt w:val="decimal"/>
      <w:lvlText w:val="%1"/>
      <w:lvlJc w:val="left"/>
      <w:pPr>
        <w:ind w:left="465" w:hanging="465"/>
      </w:pPr>
      <w:rPr>
        <w:rFonts w:hint="default" w:ascii="Arial" w:hAnsi="Arial" w:cs="Arial"/>
      </w:rPr>
    </w:lvl>
    <w:lvl w:ilvl="1" w:tentative="0">
      <w:start w:val="1"/>
      <w:numFmt w:val="decimal"/>
      <w:lvlText w:val="22.%2."/>
      <w:lvlJc w:val="left"/>
      <w:pPr>
        <w:ind w:left="606" w:hanging="465"/>
      </w:pPr>
      <w:rPr>
        <w:rFonts w:hint="eastAsia"/>
      </w:rPr>
    </w:lvl>
    <w:lvl w:ilvl="2" w:tentative="0">
      <w:start w:val="1"/>
      <w:numFmt w:val="decimal"/>
      <w:lvlText w:val="%1.%2.%3"/>
      <w:lvlJc w:val="left"/>
      <w:pPr>
        <w:ind w:left="1680" w:hanging="720"/>
      </w:pPr>
      <w:rPr>
        <w:rFonts w:hint="default" w:ascii="Arial" w:hAnsi="Arial" w:cs="Arial"/>
      </w:rPr>
    </w:lvl>
    <w:lvl w:ilvl="3" w:tentative="0">
      <w:start w:val="1"/>
      <w:numFmt w:val="decimal"/>
      <w:lvlText w:val="%1.%2.%3.%4"/>
      <w:lvlJc w:val="left"/>
      <w:pPr>
        <w:ind w:left="2520" w:hanging="1080"/>
      </w:pPr>
      <w:rPr>
        <w:rFonts w:hint="default" w:ascii="Arial" w:hAnsi="Arial" w:cs="Arial"/>
      </w:rPr>
    </w:lvl>
    <w:lvl w:ilvl="4" w:tentative="0">
      <w:start w:val="1"/>
      <w:numFmt w:val="decimal"/>
      <w:lvlText w:val="%1.%2.%3.%4.%5"/>
      <w:lvlJc w:val="left"/>
      <w:pPr>
        <w:ind w:left="3000" w:hanging="1080"/>
      </w:pPr>
      <w:rPr>
        <w:rFonts w:hint="default" w:ascii="Arial" w:hAnsi="Arial" w:cs="Arial"/>
      </w:rPr>
    </w:lvl>
    <w:lvl w:ilvl="5" w:tentative="0">
      <w:start w:val="1"/>
      <w:numFmt w:val="decimal"/>
      <w:lvlText w:val="%1.%2.%3.%4.%5.%6"/>
      <w:lvlJc w:val="left"/>
      <w:pPr>
        <w:ind w:left="3840" w:hanging="1440"/>
      </w:pPr>
      <w:rPr>
        <w:rFonts w:hint="default" w:ascii="Arial" w:hAnsi="Arial" w:cs="Arial"/>
      </w:rPr>
    </w:lvl>
    <w:lvl w:ilvl="6" w:tentative="0">
      <w:start w:val="1"/>
      <w:numFmt w:val="decimal"/>
      <w:lvlText w:val="%1.%2.%3.%4.%5.%6.%7"/>
      <w:lvlJc w:val="left"/>
      <w:pPr>
        <w:ind w:left="4680" w:hanging="1800"/>
      </w:pPr>
      <w:rPr>
        <w:rFonts w:hint="default" w:ascii="Arial" w:hAnsi="Arial" w:cs="Arial"/>
      </w:rPr>
    </w:lvl>
    <w:lvl w:ilvl="7" w:tentative="0">
      <w:start w:val="1"/>
      <w:numFmt w:val="decimal"/>
      <w:lvlText w:val="%1.%2.%3.%4.%5.%6.%7.%8"/>
      <w:lvlJc w:val="left"/>
      <w:pPr>
        <w:ind w:left="5160" w:hanging="1800"/>
      </w:pPr>
      <w:rPr>
        <w:rFonts w:hint="default" w:ascii="Arial" w:hAnsi="Arial" w:cs="Arial"/>
      </w:rPr>
    </w:lvl>
    <w:lvl w:ilvl="8" w:tentative="0">
      <w:start w:val="1"/>
      <w:numFmt w:val="decimal"/>
      <w:lvlText w:val="%1.%2.%3.%4.%5.%6.%7.%8.%9"/>
      <w:lvlJc w:val="left"/>
      <w:pPr>
        <w:ind w:left="6000" w:hanging="2160"/>
      </w:pPr>
      <w:rPr>
        <w:rFonts w:hint="default" w:ascii="Arial" w:hAnsi="Arial" w:cs="Arial"/>
      </w:rPr>
    </w:lvl>
  </w:abstractNum>
  <w:abstractNum w:abstractNumId="27">
    <w:nsid w:val="59FC3E95"/>
    <w:multiLevelType w:val="singleLevel"/>
    <w:tmpl w:val="59FC3E95"/>
    <w:lvl w:ilvl="0" w:tentative="0">
      <w:start w:val="1"/>
      <w:numFmt w:val="decimal"/>
      <w:lvlText w:val="(%1)"/>
      <w:lvlJc w:val="left"/>
      <w:pPr>
        <w:tabs>
          <w:tab w:val="left" w:pos="312"/>
        </w:tabs>
      </w:pPr>
    </w:lvl>
  </w:abstractNum>
  <w:abstractNum w:abstractNumId="28">
    <w:nsid w:val="63AA4A1E"/>
    <w:multiLevelType w:val="multilevel"/>
    <w:tmpl w:val="63AA4A1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9">
    <w:nsid w:val="647E01AF"/>
    <w:multiLevelType w:val="multilevel"/>
    <w:tmpl w:val="647E01AF"/>
    <w:lvl w:ilvl="0" w:tentative="0">
      <w:start w:val="6"/>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0">
    <w:nsid w:val="6B626D06"/>
    <w:multiLevelType w:val="multilevel"/>
    <w:tmpl w:val="6B626D06"/>
    <w:lvl w:ilvl="0" w:tentative="0">
      <w:start w:val="17"/>
      <w:numFmt w:val="decimal"/>
      <w:lvlText w:val="%1"/>
      <w:lvlJc w:val="left"/>
      <w:pPr>
        <w:ind w:left="480" w:hanging="480"/>
      </w:pPr>
      <w:rPr>
        <w:rFonts w:hint="default"/>
      </w:rPr>
    </w:lvl>
    <w:lvl w:ilvl="1" w:tentative="0">
      <w:start w:val="1"/>
      <w:numFmt w:val="decimal"/>
      <w:lvlText w:val="16.%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1">
    <w:nsid w:val="6BC93FB5"/>
    <w:multiLevelType w:val="multilevel"/>
    <w:tmpl w:val="6BC93FB5"/>
    <w:lvl w:ilvl="0" w:tentative="0">
      <w:start w:val="8"/>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2">
    <w:nsid w:val="6C525B9F"/>
    <w:multiLevelType w:val="multilevel"/>
    <w:tmpl w:val="6C525B9F"/>
    <w:lvl w:ilvl="0" w:tentative="0">
      <w:start w:val="5"/>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3">
    <w:nsid w:val="6FBA724A"/>
    <w:multiLevelType w:val="multilevel"/>
    <w:tmpl w:val="6FBA724A"/>
    <w:lvl w:ilvl="0" w:tentative="0">
      <w:start w:val="22"/>
      <w:numFmt w:val="decimal"/>
      <w:lvlText w:val="%1"/>
      <w:lvlJc w:val="left"/>
      <w:pPr>
        <w:ind w:left="480" w:hanging="480"/>
      </w:pPr>
      <w:rPr>
        <w:rFonts w:hint="default"/>
      </w:rPr>
    </w:lvl>
    <w:lvl w:ilvl="1" w:tentative="0">
      <w:start w:val="1"/>
      <w:numFmt w:val="decimal"/>
      <w:lvlText w:val="21.%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4">
    <w:nsid w:val="719C3F02"/>
    <w:multiLevelType w:val="multilevel"/>
    <w:tmpl w:val="719C3F02"/>
    <w:lvl w:ilvl="0" w:tentative="0">
      <w:start w:val="7"/>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5">
    <w:nsid w:val="72C135E4"/>
    <w:multiLevelType w:val="multilevel"/>
    <w:tmpl w:val="72C135E4"/>
    <w:lvl w:ilvl="0" w:tentative="0">
      <w:start w:val="9"/>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6">
    <w:nsid w:val="75300036"/>
    <w:multiLevelType w:val="multilevel"/>
    <w:tmpl w:val="75300036"/>
    <w:lvl w:ilvl="0" w:tentative="0">
      <w:start w:val="4"/>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7">
    <w:nsid w:val="7A113608"/>
    <w:multiLevelType w:val="multilevel"/>
    <w:tmpl w:val="7A11360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7AA846C6"/>
    <w:multiLevelType w:val="multilevel"/>
    <w:tmpl w:val="7AA846C6"/>
    <w:lvl w:ilvl="0" w:tentative="0">
      <w:start w:val="12"/>
      <w:numFmt w:val="decimal"/>
      <w:lvlText w:val="%1"/>
      <w:lvlJc w:val="left"/>
      <w:pPr>
        <w:ind w:left="480" w:hanging="480"/>
      </w:pPr>
      <w:rPr>
        <w:rFonts w:hint="default"/>
      </w:rPr>
    </w:lvl>
    <w:lvl w:ilvl="1" w:tentative="0">
      <w:start w:val="1"/>
      <w:numFmt w:val="decimal"/>
      <w:lvlText w:val="%1.%2"/>
      <w:lvlJc w:val="left"/>
      <w:pPr>
        <w:ind w:left="1190" w:hanging="480"/>
      </w:pPr>
      <w:rPr>
        <w:rFonts w:hint="default"/>
        <w:color w:val="auto"/>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39">
    <w:nsid w:val="7B216D2B"/>
    <w:multiLevelType w:val="multilevel"/>
    <w:tmpl w:val="7B216D2B"/>
    <w:lvl w:ilvl="0" w:tentative="0">
      <w:start w:val="20"/>
      <w:numFmt w:val="decimal"/>
      <w:lvlText w:val="%1"/>
      <w:lvlJc w:val="left"/>
      <w:pPr>
        <w:ind w:left="480" w:hanging="480"/>
      </w:pPr>
      <w:rPr>
        <w:rFonts w:hint="default"/>
      </w:rPr>
    </w:lvl>
    <w:lvl w:ilvl="1" w:tentative="0">
      <w:start w:val="1"/>
      <w:numFmt w:val="decimal"/>
      <w:lvlText w:val="19.%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0">
    <w:nsid w:val="7B9E3C32"/>
    <w:multiLevelType w:val="multilevel"/>
    <w:tmpl w:val="7B9E3C32"/>
    <w:lvl w:ilvl="0" w:tentative="0">
      <w:start w:val="18"/>
      <w:numFmt w:val="decimal"/>
      <w:lvlText w:val="%1"/>
      <w:lvlJc w:val="left"/>
      <w:pPr>
        <w:ind w:left="480" w:hanging="480"/>
      </w:pPr>
      <w:rPr>
        <w:rFonts w:hint="default"/>
      </w:rPr>
    </w:lvl>
    <w:lvl w:ilvl="1" w:tentative="0">
      <w:start w:val="1"/>
      <w:numFmt w:val="decimal"/>
      <w:lvlText w:val="17.%2."/>
      <w:lvlJc w:val="left"/>
      <w:pPr>
        <w:ind w:left="621" w:hanging="480"/>
      </w:pPr>
      <w:rPr>
        <w:rFonts w:hint="eastAsia"/>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41">
    <w:nsid w:val="7CA10DD4"/>
    <w:multiLevelType w:val="multilevel"/>
    <w:tmpl w:val="7CA10DD4"/>
    <w:lvl w:ilvl="0" w:tentative="0">
      <w:start w:val="1"/>
      <w:numFmt w:val="decimal"/>
      <w:lvlText w:val="（%1）"/>
      <w:lvlJc w:val="left"/>
      <w:pPr>
        <w:ind w:left="845" w:hanging="420"/>
      </w:pPr>
    </w:lvl>
    <w:lvl w:ilvl="1" w:tentative="0">
      <w:start w:val="1"/>
      <w:numFmt w:val="decimal"/>
      <w:lvlText w:val="%2."/>
      <w:lvlJc w:val="left"/>
      <w:pPr>
        <w:ind w:left="988"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5"/>
  </w:num>
  <w:num w:numId="2">
    <w:abstractNumId w:val="21"/>
  </w:num>
  <w:num w:numId="3">
    <w:abstractNumId w:val="3"/>
  </w:num>
  <w:num w:numId="4">
    <w:abstractNumId w:val="8"/>
  </w:num>
  <w:num w:numId="5">
    <w:abstractNumId w:val="36"/>
  </w:num>
  <w:num w:numId="6">
    <w:abstractNumId w:val="7"/>
  </w:num>
  <w:num w:numId="7">
    <w:abstractNumId w:val="32"/>
  </w:num>
  <w:num w:numId="8">
    <w:abstractNumId w:val="9"/>
  </w:num>
  <w:num w:numId="9">
    <w:abstractNumId w:val="29"/>
  </w:num>
  <w:num w:numId="10">
    <w:abstractNumId w:val="34"/>
  </w:num>
  <w:num w:numId="11">
    <w:abstractNumId w:val="31"/>
  </w:num>
  <w:num w:numId="12">
    <w:abstractNumId w:val="35"/>
  </w:num>
  <w:num w:numId="13">
    <w:abstractNumId w:val="20"/>
  </w:num>
  <w:num w:numId="14">
    <w:abstractNumId w:val="11"/>
  </w:num>
  <w:num w:numId="15">
    <w:abstractNumId w:val="38"/>
  </w:num>
  <w:num w:numId="16">
    <w:abstractNumId w:val="13"/>
  </w:num>
  <w:num w:numId="17">
    <w:abstractNumId w:val="41"/>
  </w:num>
  <w:num w:numId="18">
    <w:abstractNumId w:val="22"/>
  </w:num>
  <w:num w:numId="19">
    <w:abstractNumId w:val="14"/>
  </w:num>
  <w:num w:numId="20">
    <w:abstractNumId w:val="27"/>
  </w:num>
  <w:num w:numId="21">
    <w:abstractNumId w:val="30"/>
  </w:num>
  <w:num w:numId="22">
    <w:abstractNumId w:val="12"/>
  </w:num>
  <w:num w:numId="23">
    <w:abstractNumId w:val="37"/>
  </w:num>
  <w:num w:numId="24">
    <w:abstractNumId w:val="25"/>
  </w:num>
  <w:num w:numId="25">
    <w:abstractNumId w:val="40"/>
  </w:num>
  <w:num w:numId="26">
    <w:abstractNumId w:val="18"/>
  </w:num>
  <w:num w:numId="27">
    <w:abstractNumId w:val="28"/>
  </w:num>
  <w:num w:numId="28">
    <w:abstractNumId w:val="6"/>
  </w:num>
  <w:num w:numId="29">
    <w:abstractNumId w:val="16"/>
  </w:num>
  <w:num w:numId="30">
    <w:abstractNumId w:val="19"/>
  </w:num>
  <w:num w:numId="31">
    <w:abstractNumId w:val="39"/>
  </w:num>
  <w:num w:numId="32">
    <w:abstractNumId w:val="2"/>
  </w:num>
  <w:num w:numId="33">
    <w:abstractNumId w:val="10"/>
  </w:num>
  <w:num w:numId="34">
    <w:abstractNumId w:val="33"/>
  </w:num>
  <w:num w:numId="35">
    <w:abstractNumId w:val="26"/>
  </w:num>
  <w:num w:numId="36">
    <w:abstractNumId w:val="24"/>
  </w:num>
  <w:num w:numId="37">
    <w:abstractNumId w:val="5"/>
  </w:num>
  <w:num w:numId="38">
    <w:abstractNumId w:val="17"/>
  </w:num>
  <w:num w:numId="39">
    <w:abstractNumId w:val="4"/>
  </w:num>
  <w:num w:numId="40">
    <w:abstractNumId w:val="2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69"/>
    <w:rsid w:val="00002BF7"/>
    <w:rsid w:val="000038F3"/>
    <w:rsid w:val="0000523C"/>
    <w:rsid w:val="00005A48"/>
    <w:rsid w:val="000067C2"/>
    <w:rsid w:val="00006833"/>
    <w:rsid w:val="00010612"/>
    <w:rsid w:val="0001239E"/>
    <w:rsid w:val="00014941"/>
    <w:rsid w:val="000150EB"/>
    <w:rsid w:val="00015785"/>
    <w:rsid w:val="0001710E"/>
    <w:rsid w:val="0001758F"/>
    <w:rsid w:val="0002211A"/>
    <w:rsid w:val="00023E42"/>
    <w:rsid w:val="0002411A"/>
    <w:rsid w:val="000270B5"/>
    <w:rsid w:val="0003102F"/>
    <w:rsid w:val="00034AC1"/>
    <w:rsid w:val="00044157"/>
    <w:rsid w:val="000446E2"/>
    <w:rsid w:val="000457A3"/>
    <w:rsid w:val="00046F57"/>
    <w:rsid w:val="00047F62"/>
    <w:rsid w:val="00051006"/>
    <w:rsid w:val="00051784"/>
    <w:rsid w:val="00053076"/>
    <w:rsid w:val="000532B7"/>
    <w:rsid w:val="00053663"/>
    <w:rsid w:val="00053D3B"/>
    <w:rsid w:val="0005473E"/>
    <w:rsid w:val="000558CC"/>
    <w:rsid w:val="00057DDD"/>
    <w:rsid w:val="00060656"/>
    <w:rsid w:val="00064C22"/>
    <w:rsid w:val="00070389"/>
    <w:rsid w:val="00071AFA"/>
    <w:rsid w:val="00071E6B"/>
    <w:rsid w:val="0007472D"/>
    <w:rsid w:val="00075EB8"/>
    <w:rsid w:val="0007617E"/>
    <w:rsid w:val="0007773A"/>
    <w:rsid w:val="000806B7"/>
    <w:rsid w:val="00081E42"/>
    <w:rsid w:val="00083F67"/>
    <w:rsid w:val="000846AA"/>
    <w:rsid w:val="0008494D"/>
    <w:rsid w:val="000872D0"/>
    <w:rsid w:val="00090332"/>
    <w:rsid w:val="00091938"/>
    <w:rsid w:val="00094715"/>
    <w:rsid w:val="00095A45"/>
    <w:rsid w:val="00095B69"/>
    <w:rsid w:val="00095F54"/>
    <w:rsid w:val="000A3E69"/>
    <w:rsid w:val="000A4266"/>
    <w:rsid w:val="000A4A29"/>
    <w:rsid w:val="000A5B2E"/>
    <w:rsid w:val="000A5D96"/>
    <w:rsid w:val="000A5E33"/>
    <w:rsid w:val="000A670C"/>
    <w:rsid w:val="000A79BC"/>
    <w:rsid w:val="000A7AA9"/>
    <w:rsid w:val="000B04C5"/>
    <w:rsid w:val="000B0C19"/>
    <w:rsid w:val="000B0F1F"/>
    <w:rsid w:val="000B1F19"/>
    <w:rsid w:val="000B46FC"/>
    <w:rsid w:val="000B6C24"/>
    <w:rsid w:val="000C18FF"/>
    <w:rsid w:val="000C2843"/>
    <w:rsid w:val="000C3CC9"/>
    <w:rsid w:val="000C4278"/>
    <w:rsid w:val="000C43F0"/>
    <w:rsid w:val="000C57AF"/>
    <w:rsid w:val="000C60A4"/>
    <w:rsid w:val="000C6505"/>
    <w:rsid w:val="000C6B3B"/>
    <w:rsid w:val="000D1FC0"/>
    <w:rsid w:val="000D3929"/>
    <w:rsid w:val="000D64A4"/>
    <w:rsid w:val="000D7068"/>
    <w:rsid w:val="000D7CD3"/>
    <w:rsid w:val="000E0567"/>
    <w:rsid w:val="000E09CB"/>
    <w:rsid w:val="000E0E00"/>
    <w:rsid w:val="000E346D"/>
    <w:rsid w:val="000E791D"/>
    <w:rsid w:val="000F03C2"/>
    <w:rsid w:val="000F095F"/>
    <w:rsid w:val="000F5C6D"/>
    <w:rsid w:val="00100215"/>
    <w:rsid w:val="001003FB"/>
    <w:rsid w:val="00101C28"/>
    <w:rsid w:val="001033A1"/>
    <w:rsid w:val="00103A39"/>
    <w:rsid w:val="001042F0"/>
    <w:rsid w:val="00104CCA"/>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606C"/>
    <w:rsid w:val="00141D84"/>
    <w:rsid w:val="0014227A"/>
    <w:rsid w:val="0014346E"/>
    <w:rsid w:val="00144745"/>
    <w:rsid w:val="00150B55"/>
    <w:rsid w:val="00153051"/>
    <w:rsid w:val="001538F6"/>
    <w:rsid w:val="00153B72"/>
    <w:rsid w:val="00161442"/>
    <w:rsid w:val="00163370"/>
    <w:rsid w:val="00163BF1"/>
    <w:rsid w:val="00164B21"/>
    <w:rsid w:val="00165018"/>
    <w:rsid w:val="001655A7"/>
    <w:rsid w:val="001659BA"/>
    <w:rsid w:val="001673A5"/>
    <w:rsid w:val="00170482"/>
    <w:rsid w:val="00172D02"/>
    <w:rsid w:val="00174D3A"/>
    <w:rsid w:val="00174F7A"/>
    <w:rsid w:val="00175247"/>
    <w:rsid w:val="00176770"/>
    <w:rsid w:val="001801DD"/>
    <w:rsid w:val="00180A83"/>
    <w:rsid w:val="00181301"/>
    <w:rsid w:val="001829C0"/>
    <w:rsid w:val="00184ADA"/>
    <w:rsid w:val="00185FA7"/>
    <w:rsid w:val="00187489"/>
    <w:rsid w:val="00191300"/>
    <w:rsid w:val="00194DC7"/>
    <w:rsid w:val="00197375"/>
    <w:rsid w:val="001A1F4C"/>
    <w:rsid w:val="001A27B9"/>
    <w:rsid w:val="001A589B"/>
    <w:rsid w:val="001A5D19"/>
    <w:rsid w:val="001A6164"/>
    <w:rsid w:val="001A6395"/>
    <w:rsid w:val="001B258F"/>
    <w:rsid w:val="001B3A0B"/>
    <w:rsid w:val="001B5289"/>
    <w:rsid w:val="001B6AEF"/>
    <w:rsid w:val="001C1E19"/>
    <w:rsid w:val="001C3362"/>
    <w:rsid w:val="001C4112"/>
    <w:rsid w:val="001C5860"/>
    <w:rsid w:val="001C7E11"/>
    <w:rsid w:val="001D0BB0"/>
    <w:rsid w:val="001D2B64"/>
    <w:rsid w:val="001D704B"/>
    <w:rsid w:val="001E08C0"/>
    <w:rsid w:val="001E1452"/>
    <w:rsid w:val="001E1C73"/>
    <w:rsid w:val="001E62CF"/>
    <w:rsid w:val="001E78D7"/>
    <w:rsid w:val="001F15AA"/>
    <w:rsid w:val="001F165B"/>
    <w:rsid w:val="001F37EE"/>
    <w:rsid w:val="001F6CA1"/>
    <w:rsid w:val="002002AB"/>
    <w:rsid w:val="00202142"/>
    <w:rsid w:val="002027BC"/>
    <w:rsid w:val="002062BB"/>
    <w:rsid w:val="00206488"/>
    <w:rsid w:val="002069D8"/>
    <w:rsid w:val="00210596"/>
    <w:rsid w:val="00210EEA"/>
    <w:rsid w:val="0021138A"/>
    <w:rsid w:val="002118EC"/>
    <w:rsid w:val="00212E60"/>
    <w:rsid w:val="002136BF"/>
    <w:rsid w:val="00213F9D"/>
    <w:rsid w:val="00221B90"/>
    <w:rsid w:val="00224136"/>
    <w:rsid w:val="0022430C"/>
    <w:rsid w:val="002249FE"/>
    <w:rsid w:val="002307FD"/>
    <w:rsid w:val="0023168C"/>
    <w:rsid w:val="0023487E"/>
    <w:rsid w:val="00234B46"/>
    <w:rsid w:val="00234FAA"/>
    <w:rsid w:val="0023585A"/>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60023"/>
    <w:rsid w:val="0026098D"/>
    <w:rsid w:val="002612E7"/>
    <w:rsid w:val="00262A92"/>
    <w:rsid w:val="00263995"/>
    <w:rsid w:val="00263C2D"/>
    <w:rsid w:val="00263CBE"/>
    <w:rsid w:val="00263CC7"/>
    <w:rsid w:val="00264625"/>
    <w:rsid w:val="00264E70"/>
    <w:rsid w:val="00265C78"/>
    <w:rsid w:val="00266513"/>
    <w:rsid w:val="00271723"/>
    <w:rsid w:val="0027217E"/>
    <w:rsid w:val="00273870"/>
    <w:rsid w:val="00273EF6"/>
    <w:rsid w:val="00280EEC"/>
    <w:rsid w:val="002812BE"/>
    <w:rsid w:val="00281F11"/>
    <w:rsid w:val="0028262A"/>
    <w:rsid w:val="002839E2"/>
    <w:rsid w:val="00284776"/>
    <w:rsid w:val="00285653"/>
    <w:rsid w:val="002863DA"/>
    <w:rsid w:val="002867B9"/>
    <w:rsid w:val="00287023"/>
    <w:rsid w:val="00287F14"/>
    <w:rsid w:val="00292A1E"/>
    <w:rsid w:val="0029318E"/>
    <w:rsid w:val="00293AFC"/>
    <w:rsid w:val="002948C0"/>
    <w:rsid w:val="00294A2B"/>
    <w:rsid w:val="002A252B"/>
    <w:rsid w:val="002B0774"/>
    <w:rsid w:val="002B0B5B"/>
    <w:rsid w:val="002B3C13"/>
    <w:rsid w:val="002B3D73"/>
    <w:rsid w:val="002B3D9A"/>
    <w:rsid w:val="002B40F9"/>
    <w:rsid w:val="002B5212"/>
    <w:rsid w:val="002B6CF5"/>
    <w:rsid w:val="002B7080"/>
    <w:rsid w:val="002C0A84"/>
    <w:rsid w:val="002C225A"/>
    <w:rsid w:val="002C59C7"/>
    <w:rsid w:val="002C6A48"/>
    <w:rsid w:val="002C6AFF"/>
    <w:rsid w:val="002C7F49"/>
    <w:rsid w:val="002D5143"/>
    <w:rsid w:val="002D56ED"/>
    <w:rsid w:val="002D7C5E"/>
    <w:rsid w:val="002E0050"/>
    <w:rsid w:val="002E120E"/>
    <w:rsid w:val="002E18F2"/>
    <w:rsid w:val="002E27F1"/>
    <w:rsid w:val="002E2E37"/>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33E5"/>
    <w:rsid w:val="003244B0"/>
    <w:rsid w:val="003304B9"/>
    <w:rsid w:val="0033150D"/>
    <w:rsid w:val="00331ABE"/>
    <w:rsid w:val="00341D0D"/>
    <w:rsid w:val="003440F7"/>
    <w:rsid w:val="00344401"/>
    <w:rsid w:val="0034606E"/>
    <w:rsid w:val="00347405"/>
    <w:rsid w:val="0034743D"/>
    <w:rsid w:val="00347C5C"/>
    <w:rsid w:val="0035056F"/>
    <w:rsid w:val="00353663"/>
    <w:rsid w:val="00354055"/>
    <w:rsid w:val="003560BD"/>
    <w:rsid w:val="00356255"/>
    <w:rsid w:val="00357C79"/>
    <w:rsid w:val="00361505"/>
    <w:rsid w:val="00362A2D"/>
    <w:rsid w:val="00363694"/>
    <w:rsid w:val="00370C11"/>
    <w:rsid w:val="00373EBB"/>
    <w:rsid w:val="00374189"/>
    <w:rsid w:val="00375A67"/>
    <w:rsid w:val="00382732"/>
    <w:rsid w:val="00386E74"/>
    <w:rsid w:val="003871E6"/>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45D2"/>
    <w:rsid w:val="003C0201"/>
    <w:rsid w:val="003C4D8F"/>
    <w:rsid w:val="003C644F"/>
    <w:rsid w:val="003C7A96"/>
    <w:rsid w:val="003D0248"/>
    <w:rsid w:val="003D0529"/>
    <w:rsid w:val="003D1776"/>
    <w:rsid w:val="003D1CBD"/>
    <w:rsid w:val="003D322B"/>
    <w:rsid w:val="003D4271"/>
    <w:rsid w:val="003D46EA"/>
    <w:rsid w:val="003D5817"/>
    <w:rsid w:val="003D6B4E"/>
    <w:rsid w:val="003D7DDD"/>
    <w:rsid w:val="003E0378"/>
    <w:rsid w:val="003E0BFB"/>
    <w:rsid w:val="003E1052"/>
    <w:rsid w:val="003E4F99"/>
    <w:rsid w:val="003E536F"/>
    <w:rsid w:val="003E625F"/>
    <w:rsid w:val="003E68AA"/>
    <w:rsid w:val="003E7FCD"/>
    <w:rsid w:val="003F1EDC"/>
    <w:rsid w:val="003F374E"/>
    <w:rsid w:val="003F6B9A"/>
    <w:rsid w:val="003F70BB"/>
    <w:rsid w:val="003F7545"/>
    <w:rsid w:val="003F78B4"/>
    <w:rsid w:val="003F794B"/>
    <w:rsid w:val="00400FFB"/>
    <w:rsid w:val="00402BE9"/>
    <w:rsid w:val="004060D8"/>
    <w:rsid w:val="00411025"/>
    <w:rsid w:val="00415A34"/>
    <w:rsid w:val="004165A2"/>
    <w:rsid w:val="00416D43"/>
    <w:rsid w:val="00417367"/>
    <w:rsid w:val="0041793E"/>
    <w:rsid w:val="00417C36"/>
    <w:rsid w:val="00420E67"/>
    <w:rsid w:val="004239FA"/>
    <w:rsid w:val="004245B7"/>
    <w:rsid w:val="00425183"/>
    <w:rsid w:val="00426906"/>
    <w:rsid w:val="004273F5"/>
    <w:rsid w:val="004318C5"/>
    <w:rsid w:val="00433A07"/>
    <w:rsid w:val="00436011"/>
    <w:rsid w:val="004429E4"/>
    <w:rsid w:val="004435F8"/>
    <w:rsid w:val="00443800"/>
    <w:rsid w:val="00443869"/>
    <w:rsid w:val="004443A4"/>
    <w:rsid w:val="00446641"/>
    <w:rsid w:val="00450E42"/>
    <w:rsid w:val="00451525"/>
    <w:rsid w:val="00451913"/>
    <w:rsid w:val="00451ED2"/>
    <w:rsid w:val="0045206A"/>
    <w:rsid w:val="00452B6F"/>
    <w:rsid w:val="00452FAD"/>
    <w:rsid w:val="004569F1"/>
    <w:rsid w:val="00457735"/>
    <w:rsid w:val="00461142"/>
    <w:rsid w:val="00461184"/>
    <w:rsid w:val="00461E9F"/>
    <w:rsid w:val="00462027"/>
    <w:rsid w:val="0046364C"/>
    <w:rsid w:val="00463BB6"/>
    <w:rsid w:val="00464C20"/>
    <w:rsid w:val="00466044"/>
    <w:rsid w:val="004704BB"/>
    <w:rsid w:val="00473DDA"/>
    <w:rsid w:val="00475DE5"/>
    <w:rsid w:val="00475FE2"/>
    <w:rsid w:val="00476424"/>
    <w:rsid w:val="004766AB"/>
    <w:rsid w:val="004773FB"/>
    <w:rsid w:val="004777F0"/>
    <w:rsid w:val="004802FC"/>
    <w:rsid w:val="00480C84"/>
    <w:rsid w:val="00481C49"/>
    <w:rsid w:val="00482CF8"/>
    <w:rsid w:val="00482F1A"/>
    <w:rsid w:val="004844D1"/>
    <w:rsid w:val="00490F61"/>
    <w:rsid w:val="004938FF"/>
    <w:rsid w:val="00494755"/>
    <w:rsid w:val="004955F0"/>
    <w:rsid w:val="0049591A"/>
    <w:rsid w:val="0049768E"/>
    <w:rsid w:val="004A1B0D"/>
    <w:rsid w:val="004A2070"/>
    <w:rsid w:val="004A2FAE"/>
    <w:rsid w:val="004A3ED2"/>
    <w:rsid w:val="004A4982"/>
    <w:rsid w:val="004A732D"/>
    <w:rsid w:val="004A7B50"/>
    <w:rsid w:val="004A7C28"/>
    <w:rsid w:val="004B244C"/>
    <w:rsid w:val="004B489F"/>
    <w:rsid w:val="004B5A65"/>
    <w:rsid w:val="004B6399"/>
    <w:rsid w:val="004C0CD5"/>
    <w:rsid w:val="004C1069"/>
    <w:rsid w:val="004C6759"/>
    <w:rsid w:val="004D249E"/>
    <w:rsid w:val="004D282F"/>
    <w:rsid w:val="004D2858"/>
    <w:rsid w:val="004D3CFB"/>
    <w:rsid w:val="004E0FA5"/>
    <w:rsid w:val="004E1822"/>
    <w:rsid w:val="004E26CF"/>
    <w:rsid w:val="004E6FBE"/>
    <w:rsid w:val="004F0575"/>
    <w:rsid w:val="004F193D"/>
    <w:rsid w:val="004F2EB9"/>
    <w:rsid w:val="004F305B"/>
    <w:rsid w:val="004F3B9C"/>
    <w:rsid w:val="004F4D1B"/>
    <w:rsid w:val="004F7309"/>
    <w:rsid w:val="004F7C4F"/>
    <w:rsid w:val="00500775"/>
    <w:rsid w:val="00500AC0"/>
    <w:rsid w:val="00504944"/>
    <w:rsid w:val="005053C9"/>
    <w:rsid w:val="00505B0A"/>
    <w:rsid w:val="00506FCA"/>
    <w:rsid w:val="00510EB0"/>
    <w:rsid w:val="00511A7C"/>
    <w:rsid w:val="00511E57"/>
    <w:rsid w:val="00511FD7"/>
    <w:rsid w:val="0051425A"/>
    <w:rsid w:val="005146F9"/>
    <w:rsid w:val="005151EB"/>
    <w:rsid w:val="0051535D"/>
    <w:rsid w:val="00515EE5"/>
    <w:rsid w:val="00515EF3"/>
    <w:rsid w:val="005166FC"/>
    <w:rsid w:val="00521E96"/>
    <w:rsid w:val="005234AC"/>
    <w:rsid w:val="005278AC"/>
    <w:rsid w:val="00527F7E"/>
    <w:rsid w:val="005315A3"/>
    <w:rsid w:val="00531A76"/>
    <w:rsid w:val="0053263F"/>
    <w:rsid w:val="005354DE"/>
    <w:rsid w:val="00535DA6"/>
    <w:rsid w:val="00536BD8"/>
    <w:rsid w:val="00541B49"/>
    <w:rsid w:val="005468E9"/>
    <w:rsid w:val="00546EDF"/>
    <w:rsid w:val="005476BB"/>
    <w:rsid w:val="0055015E"/>
    <w:rsid w:val="00552132"/>
    <w:rsid w:val="00552880"/>
    <w:rsid w:val="0055309F"/>
    <w:rsid w:val="005530FE"/>
    <w:rsid w:val="00553AC2"/>
    <w:rsid w:val="00553E6B"/>
    <w:rsid w:val="005553DD"/>
    <w:rsid w:val="00556754"/>
    <w:rsid w:val="00556F99"/>
    <w:rsid w:val="00561DC2"/>
    <w:rsid w:val="00562FD5"/>
    <w:rsid w:val="00563186"/>
    <w:rsid w:val="0056552C"/>
    <w:rsid w:val="00574777"/>
    <w:rsid w:val="00583185"/>
    <w:rsid w:val="00583C82"/>
    <w:rsid w:val="00584EFC"/>
    <w:rsid w:val="0058630A"/>
    <w:rsid w:val="005864CE"/>
    <w:rsid w:val="00592F25"/>
    <w:rsid w:val="0059310B"/>
    <w:rsid w:val="005936E2"/>
    <w:rsid w:val="005A075B"/>
    <w:rsid w:val="005A0E7D"/>
    <w:rsid w:val="005A196F"/>
    <w:rsid w:val="005A2653"/>
    <w:rsid w:val="005A3726"/>
    <w:rsid w:val="005A3934"/>
    <w:rsid w:val="005A4403"/>
    <w:rsid w:val="005A47D2"/>
    <w:rsid w:val="005A4B0F"/>
    <w:rsid w:val="005B11B1"/>
    <w:rsid w:val="005B2A68"/>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10F4"/>
    <w:rsid w:val="005E6FAC"/>
    <w:rsid w:val="005E713D"/>
    <w:rsid w:val="005F449B"/>
    <w:rsid w:val="005F47F0"/>
    <w:rsid w:val="005F489F"/>
    <w:rsid w:val="005F51C8"/>
    <w:rsid w:val="005F54A6"/>
    <w:rsid w:val="005F5C48"/>
    <w:rsid w:val="005F7412"/>
    <w:rsid w:val="005F76F1"/>
    <w:rsid w:val="00600293"/>
    <w:rsid w:val="0060118C"/>
    <w:rsid w:val="00601782"/>
    <w:rsid w:val="00601B0F"/>
    <w:rsid w:val="00605754"/>
    <w:rsid w:val="00607D57"/>
    <w:rsid w:val="00615373"/>
    <w:rsid w:val="00617319"/>
    <w:rsid w:val="0061747E"/>
    <w:rsid w:val="00617B01"/>
    <w:rsid w:val="00617C82"/>
    <w:rsid w:val="00617E12"/>
    <w:rsid w:val="006212DE"/>
    <w:rsid w:val="006222CF"/>
    <w:rsid w:val="00623FB7"/>
    <w:rsid w:val="0062460E"/>
    <w:rsid w:val="00625C34"/>
    <w:rsid w:val="00627D6F"/>
    <w:rsid w:val="00627E81"/>
    <w:rsid w:val="00630504"/>
    <w:rsid w:val="00633C11"/>
    <w:rsid w:val="006341AF"/>
    <w:rsid w:val="006348D7"/>
    <w:rsid w:val="00640890"/>
    <w:rsid w:val="00640AEB"/>
    <w:rsid w:val="00640CB5"/>
    <w:rsid w:val="00641042"/>
    <w:rsid w:val="006412F8"/>
    <w:rsid w:val="00643FA8"/>
    <w:rsid w:val="00645286"/>
    <w:rsid w:val="00645415"/>
    <w:rsid w:val="00647FF2"/>
    <w:rsid w:val="006509E1"/>
    <w:rsid w:val="0065116F"/>
    <w:rsid w:val="0065148E"/>
    <w:rsid w:val="00651C89"/>
    <w:rsid w:val="0065351A"/>
    <w:rsid w:val="00654177"/>
    <w:rsid w:val="00654E30"/>
    <w:rsid w:val="006552D2"/>
    <w:rsid w:val="006553E6"/>
    <w:rsid w:val="00656667"/>
    <w:rsid w:val="006613FE"/>
    <w:rsid w:val="006629DD"/>
    <w:rsid w:val="00662A00"/>
    <w:rsid w:val="00665B15"/>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90057"/>
    <w:rsid w:val="006911C8"/>
    <w:rsid w:val="006915A7"/>
    <w:rsid w:val="00691E36"/>
    <w:rsid w:val="006923A3"/>
    <w:rsid w:val="00692C09"/>
    <w:rsid w:val="0069396F"/>
    <w:rsid w:val="006939DB"/>
    <w:rsid w:val="00694FA6"/>
    <w:rsid w:val="00695987"/>
    <w:rsid w:val="006968BC"/>
    <w:rsid w:val="006977B3"/>
    <w:rsid w:val="006A13F2"/>
    <w:rsid w:val="006A4AEA"/>
    <w:rsid w:val="006A757E"/>
    <w:rsid w:val="006A7D4C"/>
    <w:rsid w:val="006B1E3B"/>
    <w:rsid w:val="006B489C"/>
    <w:rsid w:val="006B7A72"/>
    <w:rsid w:val="006C00C2"/>
    <w:rsid w:val="006C17EB"/>
    <w:rsid w:val="006C722E"/>
    <w:rsid w:val="006C76D2"/>
    <w:rsid w:val="006C7D4B"/>
    <w:rsid w:val="006D0531"/>
    <w:rsid w:val="006D08B1"/>
    <w:rsid w:val="006D23BD"/>
    <w:rsid w:val="006D2C3B"/>
    <w:rsid w:val="006D2F46"/>
    <w:rsid w:val="006D6A3A"/>
    <w:rsid w:val="006D6A9B"/>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147AC"/>
    <w:rsid w:val="007161D7"/>
    <w:rsid w:val="00721ED0"/>
    <w:rsid w:val="00722462"/>
    <w:rsid w:val="00725686"/>
    <w:rsid w:val="00725CB3"/>
    <w:rsid w:val="007344C1"/>
    <w:rsid w:val="007355A5"/>
    <w:rsid w:val="00736326"/>
    <w:rsid w:val="007364E9"/>
    <w:rsid w:val="00737626"/>
    <w:rsid w:val="007376A4"/>
    <w:rsid w:val="0074048C"/>
    <w:rsid w:val="0074198E"/>
    <w:rsid w:val="00741F64"/>
    <w:rsid w:val="00743A70"/>
    <w:rsid w:val="007444D7"/>
    <w:rsid w:val="00747B55"/>
    <w:rsid w:val="00747D95"/>
    <w:rsid w:val="007503A1"/>
    <w:rsid w:val="007511E0"/>
    <w:rsid w:val="0075218F"/>
    <w:rsid w:val="0075230D"/>
    <w:rsid w:val="0075345E"/>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E33"/>
    <w:rsid w:val="00781110"/>
    <w:rsid w:val="00784E87"/>
    <w:rsid w:val="007857CA"/>
    <w:rsid w:val="00786E76"/>
    <w:rsid w:val="00790229"/>
    <w:rsid w:val="00790933"/>
    <w:rsid w:val="00793135"/>
    <w:rsid w:val="007965CC"/>
    <w:rsid w:val="00796C6D"/>
    <w:rsid w:val="0079732D"/>
    <w:rsid w:val="00797DEF"/>
    <w:rsid w:val="00797F6F"/>
    <w:rsid w:val="007A04A0"/>
    <w:rsid w:val="007A1690"/>
    <w:rsid w:val="007A1AE0"/>
    <w:rsid w:val="007A4F27"/>
    <w:rsid w:val="007A6A33"/>
    <w:rsid w:val="007B0EBE"/>
    <w:rsid w:val="007B1E2E"/>
    <w:rsid w:val="007B33D6"/>
    <w:rsid w:val="007B6126"/>
    <w:rsid w:val="007B663F"/>
    <w:rsid w:val="007B6E26"/>
    <w:rsid w:val="007B71CF"/>
    <w:rsid w:val="007B7DFC"/>
    <w:rsid w:val="007C08A8"/>
    <w:rsid w:val="007C1D0A"/>
    <w:rsid w:val="007C2716"/>
    <w:rsid w:val="007C2854"/>
    <w:rsid w:val="007C5D11"/>
    <w:rsid w:val="007C5EEB"/>
    <w:rsid w:val="007C6874"/>
    <w:rsid w:val="007D440C"/>
    <w:rsid w:val="007D452A"/>
    <w:rsid w:val="007D4AC6"/>
    <w:rsid w:val="007E14CA"/>
    <w:rsid w:val="007E1910"/>
    <w:rsid w:val="007E1990"/>
    <w:rsid w:val="007E378F"/>
    <w:rsid w:val="007E3A0B"/>
    <w:rsid w:val="007E3CEB"/>
    <w:rsid w:val="007E6A9F"/>
    <w:rsid w:val="007E6FBA"/>
    <w:rsid w:val="007E75C5"/>
    <w:rsid w:val="007F1082"/>
    <w:rsid w:val="007F39A1"/>
    <w:rsid w:val="007F5058"/>
    <w:rsid w:val="007F77E1"/>
    <w:rsid w:val="007F7A13"/>
    <w:rsid w:val="00802677"/>
    <w:rsid w:val="00802AB0"/>
    <w:rsid w:val="00806850"/>
    <w:rsid w:val="00814F4D"/>
    <w:rsid w:val="008152A0"/>
    <w:rsid w:val="0081697B"/>
    <w:rsid w:val="00817241"/>
    <w:rsid w:val="008251D4"/>
    <w:rsid w:val="00825455"/>
    <w:rsid w:val="00825D4C"/>
    <w:rsid w:val="00826813"/>
    <w:rsid w:val="00836013"/>
    <w:rsid w:val="00842137"/>
    <w:rsid w:val="0084233F"/>
    <w:rsid w:val="0084267A"/>
    <w:rsid w:val="008441EC"/>
    <w:rsid w:val="0084557F"/>
    <w:rsid w:val="0084590C"/>
    <w:rsid w:val="0084772E"/>
    <w:rsid w:val="00855832"/>
    <w:rsid w:val="00856A9B"/>
    <w:rsid w:val="00861847"/>
    <w:rsid w:val="00861D6D"/>
    <w:rsid w:val="0086215A"/>
    <w:rsid w:val="00863D0C"/>
    <w:rsid w:val="0087022A"/>
    <w:rsid w:val="0087096E"/>
    <w:rsid w:val="0087111C"/>
    <w:rsid w:val="00871CDC"/>
    <w:rsid w:val="00872472"/>
    <w:rsid w:val="00873425"/>
    <w:rsid w:val="00877BF5"/>
    <w:rsid w:val="00882BF7"/>
    <w:rsid w:val="00882D04"/>
    <w:rsid w:val="00884917"/>
    <w:rsid w:val="0088681B"/>
    <w:rsid w:val="00887206"/>
    <w:rsid w:val="00887706"/>
    <w:rsid w:val="0089181E"/>
    <w:rsid w:val="008958F5"/>
    <w:rsid w:val="008A02DB"/>
    <w:rsid w:val="008A2660"/>
    <w:rsid w:val="008A35BE"/>
    <w:rsid w:val="008A3E2F"/>
    <w:rsid w:val="008A46F7"/>
    <w:rsid w:val="008A560A"/>
    <w:rsid w:val="008A6B8E"/>
    <w:rsid w:val="008A7E5E"/>
    <w:rsid w:val="008B3C23"/>
    <w:rsid w:val="008B54D7"/>
    <w:rsid w:val="008B5E77"/>
    <w:rsid w:val="008B5E94"/>
    <w:rsid w:val="008C3631"/>
    <w:rsid w:val="008C4B00"/>
    <w:rsid w:val="008C748A"/>
    <w:rsid w:val="008D0DE3"/>
    <w:rsid w:val="008D267D"/>
    <w:rsid w:val="008D2A93"/>
    <w:rsid w:val="008D5F9D"/>
    <w:rsid w:val="008D72FE"/>
    <w:rsid w:val="008D7A9C"/>
    <w:rsid w:val="008E004E"/>
    <w:rsid w:val="008E4609"/>
    <w:rsid w:val="008E5310"/>
    <w:rsid w:val="008E5FAD"/>
    <w:rsid w:val="008E673D"/>
    <w:rsid w:val="008F1533"/>
    <w:rsid w:val="008F3DCD"/>
    <w:rsid w:val="008F51A5"/>
    <w:rsid w:val="008F6925"/>
    <w:rsid w:val="008F72EF"/>
    <w:rsid w:val="0090236C"/>
    <w:rsid w:val="009026AD"/>
    <w:rsid w:val="0090541D"/>
    <w:rsid w:val="009054B8"/>
    <w:rsid w:val="009101C1"/>
    <w:rsid w:val="00910B88"/>
    <w:rsid w:val="00911107"/>
    <w:rsid w:val="0091331B"/>
    <w:rsid w:val="00913443"/>
    <w:rsid w:val="00915FF3"/>
    <w:rsid w:val="00917D96"/>
    <w:rsid w:val="00920A97"/>
    <w:rsid w:val="00921BBA"/>
    <w:rsid w:val="00923BFF"/>
    <w:rsid w:val="009261BF"/>
    <w:rsid w:val="009268CF"/>
    <w:rsid w:val="009301E4"/>
    <w:rsid w:val="00930A61"/>
    <w:rsid w:val="00930D70"/>
    <w:rsid w:val="00934E60"/>
    <w:rsid w:val="0093621F"/>
    <w:rsid w:val="00940C26"/>
    <w:rsid w:val="0094161D"/>
    <w:rsid w:val="00942C2C"/>
    <w:rsid w:val="00943987"/>
    <w:rsid w:val="00950149"/>
    <w:rsid w:val="00951B84"/>
    <w:rsid w:val="00956908"/>
    <w:rsid w:val="0095717A"/>
    <w:rsid w:val="00960E06"/>
    <w:rsid w:val="00966D4C"/>
    <w:rsid w:val="009674BE"/>
    <w:rsid w:val="00970037"/>
    <w:rsid w:val="00973A76"/>
    <w:rsid w:val="00976557"/>
    <w:rsid w:val="0097741C"/>
    <w:rsid w:val="00977562"/>
    <w:rsid w:val="0097795F"/>
    <w:rsid w:val="009828B4"/>
    <w:rsid w:val="00982F4D"/>
    <w:rsid w:val="00985A6C"/>
    <w:rsid w:val="00985FB9"/>
    <w:rsid w:val="009873DE"/>
    <w:rsid w:val="009915BB"/>
    <w:rsid w:val="00993AF9"/>
    <w:rsid w:val="0099454B"/>
    <w:rsid w:val="00997DE3"/>
    <w:rsid w:val="009B0593"/>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643"/>
    <w:rsid w:val="009E3F8B"/>
    <w:rsid w:val="009E6666"/>
    <w:rsid w:val="009E6B13"/>
    <w:rsid w:val="009E6C38"/>
    <w:rsid w:val="009E7ABE"/>
    <w:rsid w:val="009F0213"/>
    <w:rsid w:val="009F0DD2"/>
    <w:rsid w:val="009F14AA"/>
    <w:rsid w:val="009F29D6"/>
    <w:rsid w:val="009F4D27"/>
    <w:rsid w:val="009F61B2"/>
    <w:rsid w:val="00A00AE9"/>
    <w:rsid w:val="00A047DC"/>
    <w:rsid w:val="00A124DF"/>
    <w:rsid w:val="00A128E0"/>
    <w:rsid w:val="00A12AD7"/>
    <w:rsid w:val="00A13BC5"/>
    <w:rsid w:val="00A14D97"/>
    <w:rsid w:val="00A16C28"/>
    <w:rsid w:val="00A171B4"/>
    <w:rsid w:val="00A17C8F"/>
    <w:rsid w:val="00A20362"/>
    <w:rsid w:val="00A21327"/>
    <w:rsid w:val="00A21E8B"/>
    <w:rsid w:val="00A223C2"/>
    <w:rsid w:val="00A26A7D"/>
    <w:rsid w:val="00A27724"/>
    <w:rsid w:val="00A27EEB"/>
    <w:rsid w:val="00A34447"/>
    <w:rsid w:val="00A348F7"/>
    <w:rsid w:val="00A3544C"/>
    <w:rsid w:val="00A37371"/>
    <w:rsid w:val="00A40343"/>
    <w:rsid w:val="00A40760"/>
    <w:rsid w:val="00A415F3"/>
    <w:rsid w:val="00A416E7"/>
    <w:rsid w:val="00A4197A"/>
    <w:rsid w:val="00A435B7"/>
    <w:rsid w:val="00A44FCA"/>
    <w:rsid w:val="00A4547C"/>
    <w:rsid w:val="00A5192A"/>
    <w:rsid w:val="00A54024"/>
    <w:rsid w:val="00A5428B"/>
    <w:rsid w:val="00A5540B"/>
    <w:rsid w:val="00A60C9B"/>
    <w:rsid w:val="00A619FF"/>
    <w:rsid w:val="00A621C5"/>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E05"/>
    <w:rsid w:val="00AA0200"/>
    <w:rsid w:val="00AA1ABB"/>
    <w:rsid w:val="00AA1C23"/>
    <w:rsid w:val="00AA4361"/>
    <w:rsid w:val="00AA4700"/>
    <w:rsid w:val="00AA4C43"/>
    <w:rsid w:val="00AA672B"/>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6E70"/>
    <w:rsid w:val="00AD20C4"/>
    <w:rsid w:val="00AD3FC7"/>
    <w:rsid w:val="00AD47C8"/>
    <w:rsid w:val="00AD6081"/>
    <w:rsid w:val="00AD72EB"/>
    <w:rsid w:val="00AE02A9"/>
    <w:rsid w:val="00AE0954"/>
    <w:rsid w:val="00AE130E"/>
    <w:rsid w:val="00AE161C"/>
    <w:rsid w:val="00AE51B0"/>
    <w:rsid w:val="00AE67E5"/>
    <w:rsid w:val="00AF22E0"/>
    <w:rsid w:val="00AF2438"/>
    <w:rsid w:val="00B02254"/>
    <w:rsid w:val="00B04E1D"/>
    <w:rsid w:val="00B0638F"/>
    <w:rsid w:val="00B10B98"/>
    <w:rsid w:val="00B13683"/>
    <w:rsid w:val="00B13CBF"/>
    <w:rsid w:val="00B2088A"/>
    <w:rsid w:val="00B2366B"/>
    <w:rsid w:val="00B2428A"/>
    <w:rsid w:val="00B2652E"/>
    <w:rsid w:val="00B274E3"/>
    <w:rsid w:val="00B34B22"/>
    <w:rsid w:val="00B3682F"/>
    <w:rsid w:val="00B408B8"/>
    <w:rsid w:val="00B438A2"/>
    <w:rsid w:val="00B469A4"/>
    <w:rsid w:val="00B53B19"/>
    <w:rsid w:val="00B53FB6"/>
    <w:rsid w:val="00B54AA4"/>
    <w:rsid w:val="00B56EAB"/>
    <w:rsid w:val="00B574B3"/>
    <w:rsid w:val="00B575A6"/>
    <w:rsid w:val="00B615F5"/>
    <w:rsid w:val="00B61E76"/>
    <w:rsid w:val="00B64A69"/>
    <w:rsid w:val="00B703C9"/>
    <w:rsid w:val="00B7155D"/>
    <w:rsid w:val="00B71C5F"/>
    <w:rsid w:val="00B80E7E"/>
    <w:rsid w:val="00B81EC6"/>
    <w:rsid w:val="00B83CEA"/>
    <w:rsid w:val="00B855A5"/>
    <w:rsid w:val="00B8715D"/>
    <w:rsid w:val="00B92AAF"/>
    <w:rsid w:val="00B92CE2"/>
    <w:rsid w:val="00B953CD"/>
    <w:rsid w:val="00B95544"/>
    <w:rsid w:val="00B96E1A"/>
    <w:rsid w:val="00B97D84"/>
    <w:rsid w:val="00BA02C4"/>
    <w:rsid w:val="00BA06DE"/>
    <w:rsid w:val="00BA2610"/>
    <w:rsid w:val="00BA2C35"/>
    <w:rsid w:val="00BA4E56"/>
    <w:rsid w:val="00BA5209"/>
    <w:rsid w:val="00BA7388"/>
    <w:rsid w:val="00BB29A0"/>
    <w:rsid w:val="00BB4F06"/>
    <w:rsid w:val="00BB564A"/>
    <w:rsid w:val="00BB6646"/>
    <w:rsid w:val="00BB7E4E"/>
    <w:rsid w:val="00BB7F5E"/>
    <w:rsid w:val="00BC21FF"/>
    <w:rsid w:val="00BC38C0"/>
    <w:rsid w:val="00BC412B"/>
    <w:rsid w:val="00BC429B"/>
    <w:rsid w:val="00BC5685"/>
    <w:rsid w:val="00BD107F"/>
    <w:rsid w:val="00BD2868"/>
    <w:rsid w:val="00BD3C3F"/>
    <w:rsid w:val="00BD4955"/>
    <w:rsid w:val="00BD56EE"/>
    <w:rsid w:val="00BE00AE"/>
    <w:rsid w:val="00BE0E79"/>
    <w:rsid w:val="00BE1010"/>
    <w:rsid w:val="00BF1160"/>
    <w:rsid w:val="00BF2453"/>
    <w:rsid w:val="00BF252F"/>
    <w:rsid w:val="00BF29BD"/>
    <w:rsid w:val="00BF3A9B"/>
    <w:rsid w:val="00BF41B3"/>
    <w:rsid w:val="00BF6684"/>
    <w:rsid w:val="00BF739E"/>
    <w:rsid w:val="00BF76F9"/>
    <w:rsid w:val="00BF7DC4"/>
    <w:rsid w:val="00BF7E77"/>
    <w:rsid w:val="00C00EB6"/>
    <w:rsid w:val="00C02CDD"/>
    <w:rsid w:val="00C035D4"/>
    <w:rsid w:val="00C04555"/>
    <w:rsid w:val="00C05D98"/>
    <w:rsid w:val="00C0668E"/>
    <w:rsid w:val="00C1140D"/>
    <w:rsid w:val="00C11C36"/>
    <w:rsid w:val="00C1234B"/>
    <w:rsid w:val="00C13FD0"/>
    <w:rsid w:val="00C1647E"/>
    <w:rsid w:val="00C16FED"/>
    <w:rsid w:val="00C17C0C"/>
    <w:rsid w:val="00C2056C"/>
    <w:rsid w:val="00C26D03"/>
    <w:rsid w:val="00C26EC5"/>
    <w:rsid w:val="00C30ADD"/>
    <w:rsid w:val="00C32130"/>
    <w:rsid w:val="00C3338E"/>
    <w:rsid w:val="00C426E1"/>
    <w:rsid w:val="00C42A87"/>
    <w:rsid w:val="00C44494"/>
    <w:rsid w:val="00C45893"/>
    <w:rsid w:val="00C46213"/>
    <w:rsid w:val="00C507E6"/>
    <w:rsid w:val="00C52C62"/>
    <w:rsid w:val="00C53499"/>
    <w:rsid w:val="00C57BB8"/>
    <w:rsid w:val="00C60B36"/>
    <w:rsid w:val="00C63BB4"/>
    <w:rsid w:val="00C64D9E"/>
    <w:rsid w:val="00C659CE"/>
    <w:rsid w:val="00C66EFD"/>
    <w:rsid w:val="00C675A6"/>
    <w:rsid w:val="00C71456"/>
    <w:rsid w:val="00C71DCD"/>
    <w:rsid w:val="00C720A9"/>
    <w:rsid w:val="00C75470"/>
    <w:rsid w:val="00C75C88"/>
    <w:rsid w:val="00C76992"/>
    <w:rsid w:val="00C7769A"/>
    <w:rsid w:val="00C8015D"/>
    <w:rsid w:val="00C80213"/>
    <w:rsid w:val="00C80B98"/>
    <w:rsid w:val="00C81676"/>
    <w:rsid w:val="00C84C9A"/>
    <w:rsid w:val="00C854C8"/>
    <w:rsid w:val="00C864FA"/>
    <w:rsid w:val="00C8720D"/>
    <w:rsid w:val="00C87AA4"/>
    <w:rsid w:val="00C91AF0"/>
    <w:rsid w:val="00C9234F"/>
    <w:rsid w:val="00C92394"/>
    <w:rsid w:val="00C92C12"/>
    <w:rsid w:val="00C93443"/>
    <w:rsid w:val="00C94B4B"/>
    <w:rsid w:val="00CA4273"/>
    <w:rsid w:val="00CA5E08"/>
    <w:rsid w:val="00CA79B5"/>
    <w:rsid w:val="00CB082D"/>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766"/>
    <w:rsid w:val="00CD2294"/>
    <w:rsid w:val="00CD3105"/>
    <w:rsid w:val="00CD4F9B"/>
    <w:rsid w:val="00CE274E"/>
    <w:rsid w:val="00CE410A"/>
    <w:rsid w:val="00CE5BC0"/>
    <w:rsid w:val="00CF181E"/>
    <w:rsid w:val="00CF2690"/>
    <w:rsid w:val="00D00C1C"/>
    <w:rsid w:val="00D019FE"/>
    <w:rsid w:val="00D01A2B"/>
    <w:rsid w:val="00D038BD"/>
    <w:rsid w:val="00D04FAA"/>
    <w:rsid w:val="00D052C7"/>
    <w:rsid w:val="00D05DDF"/>
    <w:rsid w:val="00D120C5"/>
    <w:rsid w:val="00D12AD0"/>
    <w:rsid w:val="00D21155"/>
    <w:rsid w:val="00D2152B"/>
    <w:rsid w:val="00D22568"/>
    <w:rsid w:val="00D24E43"/>
    <w:rsid w:val="00D24EFD"/>
    <w:rsid w:val="00D25E80"/>
    <w:rsid w:val="00D264DF"/>
    <w:rsid w:val="00D30074"/>
    <w:rsid w:val="00D34E96"/>
    <w:rsid w:val="00D352F6"/>
    <w:rsid w:val="00D35BB3"/>
    <w:rsid w:val="00D4019B"/>
    <w:rsid w:val="00D46659"/>
    <w:rsid w:val="00D469F5"/>
    <w:rsid w:val="00D47322"/>
    <w:rsid w:val="00D50E50"/>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1CF5"/>
    <w:rsid w:val="00D952AA"/>
    <w:rsid w:val="00D976CD"/>
    <w:rsid w:val="00D97C77"/>
    <w:rsid w:val="00DA65FD"/>
    <w:rsid w:val="00DA726B"/>
    <w:rsid w:val="00DB1B9F"/>
    <w:rsid w:val="00DB2057"/>
    <w:rsid w:val="00DB640C"/>
    <w:rsid w:val="00DB6C1F"/>
    <w:rsid w:val="00DC13ED"/>
    <w:rsid w:val="00DC2156"/>
    <w:rsid w:val="00DC2A7A"/>
    <w:rsid w:val="00DC7A94"/>
    <w:rsid w:val="00DD37B9"/>
    <w:rsid w:val="00DD3F6D"/>
    <w:rsid w:val="00DD40DE"/>
    <w:rsid w:val="00DD5BF5"/>
    <w:rsid w:val="00DE026E"/>
    <w:rsid w:val="00DE1C04"/>
    <w:rsid w:val="00DE2173"/>
    <w:rsid w:val="00DE3FB4"/>
    <w:rsid w:val="00DE5B86"/>
    <w:rsid w:val="00DE5DD3"/>
    <w:rsid w:val="00DF3B1E"/>
    <w:rsid w:val="00DF56B6"/>
    <w:rsid w:val="00DF57FE"/>
    <w:rsid w:val="00DF7194"/>
    <w:rsid w:val="00E001EA"/>
    <w:rsid w:val="00E02E1D"/>
    <w:rsid w:val="00E03C78"/>
    <w:rsid w:val="00E066B7"/>
    <w:rsid w:val="00E06791"/>
    <w:rsid w:val="00E10C55"/>
    <w:rsid w:val="00E137C3"/>
    <w:rsid w:val="00E13C8E"/>
    <w:rsid w:val="00E1650E"/>
    <w:rsid w:val="00E16611"/>
    <w:rsid w:val="00E205D8"/>
    <w:rsid w:val="00E22299"/>
    <w:rsid w:val="00E22AB6"/>
    <w:rsid w:val="00E3223C"/>
    <w:rsid w:val="00E32F66"/>
    <w:rsid w:val="00E3515E"/>
    <w:rsid w:val="00E4106A"/>
    <w:rsid w:val="00E428A4"/>
    <w:rsid w:val="00E42E05"/>
    <w:rsid w:val="00E42E3F"/>
    <w:rsid w:val="00E43626"/>
    <w:rsid w:val="00E43BDB"/>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482"/>
    <w:rsid w:val="00E676AC"/>
    <w:rsid w:val="00E71966"/>
    <w:rsid w:val="00E739D3"/>
    <w:rsid w:val="00E7503E"/>
    <w:rsid w:val="00E75194"/>
    <w:rsid w:val="00E76345"/>
    <w:rsid w:val="00E7754C"/>
    <w:rsid w:val="00E80A49"/>
    <w:rsid w:val="00E850EA"/>
    <w:rsid w:val="00E857DE"/>
    <w:rsid w:val="00E85F02"/>
    <w:rsid w:val="00E863E4"/>
    <w:rsid w:val="00E903F3"/>
    <w:rsid w:val="00E91FDC"/>
    <w:rsid w:val="00E94002"/>
    <w:rsid w:val="00E9488F"/>
    <w:rsid w:val="00E94CFB"/>
    <w:rsid w:val="00E94E2B"/>
    <w:rsid w:val="00E9526F"/>
    <w:rsid w:val="00E96018"/>
    <w:rsid w:val="00E97934"/>
    <w:rsid w:val="00EA08BE"/>
    <w:rsid w:val="00EA4FD4"/>
    <w:rsid w:val="00EB05A8"/>
    <w:rsid w:val="00EB155B"/>
    <w:rsid w:val="00EB32DF"/>
    <w:rsid w:val="00EB3B69"/>
    <w:rsid w:val="00EB453C"/>
    <w:rsid w:val="00EC1D36"/>
    <w:rsid w:val="00EC3658"/>
    <w:rsid w:val="00EC3783"/>
    <w:rsid w:val="00EC3F72"/>
    <w:rsid w:val="00EC4AE2"/>
    <w:rsid w:val="00EC5FA5"/>
    <w:rsid w:val="00ED00C2"/>
    <w:rsid w:val="00ED11C5"/>
    <w:rsid w:val="00ED13D2"/>
    <w:rsid w:val="00ED2034"/>
    <w:rsid w:val="00ED2B6B"/>
    <w:rsid w:val="00ED69EA"/>
    <w:rsid w:val="00ED6D93"/>
    <w:rsid w:val="00EE0FA3"/>
    <w:rsid w:val="00EE1CC1"/>
    <w:rsid w:val="00EE3D8E"/>
    <w:rsid w:val="00EE4DAC"/>
    <w:rsid w:val="00EE65FC"/>
    <w:rsid w:val="00EE69CB"/>
    <w:rsid w:val="00EF0785"/>
    <w:rsid w:val="00EF352F"/>
    <w:rsid w:val="00EF7276"/>
    <w:rsid w:val="00F01A98"/>
    <w:rsid w:val="00F0360C"/>
    <w:rsid w:val="00F040F9"/>
    <w:rsid w:val="00F06FDA"/>
    <w:rsid w:val="00F10E2E"/>
    <w:rsid w:val="00F14DDC"/>
    <w:rsid w:val="00F1551E"/>
    <w:rsid w:val="00F1566D"/>
    <w:rsid w:val="00F17B79"/>
    <w:rsid w:val="00F24250"/>
    <w:rsid w:val="00F2591F"/>
    <w:rsid w:val="00F2646C"/>
    <w:rsid w:val="00F307EE"/>
    <w:rsid w:val="00F32226"/>
    <w:rsid w:val="00F35D0E"/>
    <w:rsid w:val="00F40076"/>
    <w:rsid w:val="00F40354"/>
    <w:rsid w:val="00F40436"/>
    <w:rsid w:val="00F40AE3"/>
    <w:rsid w:val="00F41A6C"/>
    <w:rsid w:val="00F44A0B"/>
    <w:rsid w:val="00F45240"/>
    <w:rsid w:val="00F52B42"/>
    <w:rsid w:val="00F545E6"/>
    <w:rsid w:val="00F54911"/>
    <w:rsid w:val="00F5607B"/>
    <w:rsid w:val="00F565AD"/>
    <w:rsid w:val="00F63C45"/>
    <w:rsid w:val="00F64E03"/>
    <w:rsid w:val="00F6717C"/>
    <w:rsid w:val="00F67930"/>
    <w:rsid w:val="00F70B79"/>
    <w:rsid w:val="00F71700"/>
    <w:rsid w:val="00F7303F"/>
    <w:rsid w:val="00F736B7"/>
    <w:rsid w:val="00F83881"/>
    <w:rsid w:val="00F86599"/>
    <w:rsid w:val="00F8784A"/>
    <w:rsid w:val="00F904DE"/>
    <w:rsid w:val="00F909FE"/>
    <w:rsid w:val="00F90CA3"/>
    <w:rsid w:val="00F92111"/>
    <w:rsid w:val="00F93087"/>
    <w:rsid w:val="00F93535"/>
    <w:rsid w:val="00F96460"/>
    <w:rsid w:val="00FA1534"/>
    <w:rsid w:val="00FA3153"/>
    <w:rsid w:val="00FA4582"/>
    <w:rsid w:val="00FA5A06"/>
    <w:rsid w:val="00FB1454"/>
    <w:rsid w:val="00FB1504"/>
    <w:rsid w:val="00FB260D"/>
    <w:rsid w:val="00FB3A04"/>
    <w:rsid w:val="00FB3BEB"/>
    <w:rsid w:val="00FC1155"/>
    <w:rsid w:val="00FC13A8"/>
    <w:rsid w:val="00FC296D"/>
    <w:rsid w:val="00FC31C0"/>
    <w:rsid w:val="00FC3B2E"/>
    <w:rsid w:val="00FC53FC"/>
    <w:rsid w:val="00FD0A4E"/>
    <w:rsid w:val="00FD1E2C"/>
    <w:rsid w:val="00FD45C7"/>
    <w:rsid w:val="00FD5632"/>
    <w:rsid w:val="00FD6E57"/>
    <w:rsid w:val="00FD74CC"/>
    <w:rsid w:val="00FE18DB"/>
    <w:rsid w:val="00FE1D0D"/>
    <w:rsid w:val="00FE5BFA"/>
    <w:rsid w:val="00FE749B"/>
    <w:rsid w:val="00FF3BC6"/>
    <w:rsid w:val="00FF529F"/>
    <w:rsid w:val="00FF7082"/>
    <w:rsid w:val="0175658C"/>
    <w:rsid w:val="02164AA3"/>
    <w:rsid w:val="021B04CD"/>
    <w:rsid w:val="02466BF8"/>
    <w:rsid w:val="02975CC9"/>
    <w:rsid w:val="02CF2A1F"/>
    <w:rsid w:val="041D6970"/>
    <w:rsid w:val="052B18D9"/>
    <w:rsid w:val="0563529E"/>
    <w:rsid w:val="065B11C0"/>
    <w:rsid w:val="067A2563"/>
    <w:rsid w:val="073E1E56"/>
    <w:rsid w:val="07A72D26"/>
    <w:rsid w:val="07E772B6"/>
    <w:rsid w:val="08B34FE0"/>
    <w:rsid w:val="09D74BCD"/>
    <w:rsid w:val="09E83B23"/>
    <w:rsid w:val="0A3129D3"/>
    <w:rsid w:val="0AA42F62"/>
    <w:rsid w:val="0AC96687"/>
    <w:rsid w:val="0AEE5286"/>
    <w:rsid w:val="0B28053B"/>
    <w:rsid w:val="0B6F782F"/>
    <w:rsid w:val="0BE40111"/>
    <w:rsid w:val="0BF262A2"/>
    <w:rsid w:val="0C59767E"/>
    <w:rsid w:val="0C956483"/>
    <w:rsid w:val="0D176414"/>
    <w:rsid w:val="0DC5380A"/>
    <w:rsid w:val="0DE749EF"/>
    <w:rsid w:val="0F6C18C4"/>
    <w:rsid w:val="0FF43131"/>
    <w:rsid w:val="0FFB57D8"/>
    <w:rsid w:val="10C57798"/>
    <w:rsid w:val="11146E66"/>
    <w:rsid w:val="115C0473"/>
    <w:rsid w:val="129144C2"/>
    <w:rsid w:val="12EB2FD4"/>
    <w:rsid w:val="13881127"/>
    <w:rsid w:val="140028FF"/>
    <w:rsid w:val="14256557"/>
    <w:rsid w:val="146D1C5D"/>
    <w:rsid w:val="14893727"/>
    <w:rsid w:val="14E264DB"/>
    <w:rsid w:val="14FE7A54"/>
    <w:rsid w:val="167D2C2C"/>
    <w:rsid w:val="16C05047"/>
    <w:rsid w:val="17C3078E"/>
    <w:rsid w:val="17EB35BA"/>
    <w:rsid w:val="1870795C"/>
    <w:rsid w:val="18BB4682"/>
    <w:rsid w:val="192743A9"/>
    <w:rsid w:val="198637F4"/>
    <w:rsid w:val="19CC15D0"/>
    <w:rsid w:val="1A667F4C"/>
    <w:rsid w:val="1A670E6E"/>
    <w:rsid w:val="1AE51725"/>
    <w:rsid w:val="1BF92CA9"/>
    <w:rsid w:val="1C1D7807"/>
    <w:rsid w:val="1C6B42A6"/>
    <w:rsid w:val="1CB304DE"/>
    <w:rsid w:val="1CD0128B"/>
    <w:rsid w:val="1D064F3E"/>
    <w:rsid w:val="1D15028C"/>
    <w:rsid w:val="1D561530"/>
    <w:rsid w:val="1D5A0D1E"/>
    <w:rsid w:val="1D7112EF"/>
    <w:rsid w:val="1DFF1483"/>
    <w:rsid w:val="1E3B36DD"/>
    <w:rsid w:val="1E751E6B"/>
    <w:rsid w:val="1E932000"/>
    <w:rsid w:val="1EA4227C"/>
    <w:rsid w:val="1EAD4C00"/>
    <w:rsid w:val="1EE50EBF"/>
    <w:rsid w:val="1F2428AA"/>
    <w:rsid w:val="1F296BC7"/>
    <w:rsid w:val="1F3E4740"/>
    <w:rsid w:val="1F55307A"/>
    <w:rsid w:val="1FE51A9A"/>
    <w:rsid w:val="20245CB6"/>
    <w:rsid w:val="208C46E1"/>
    <w:rsid w:val="20F32178"/>
    <w:rsid w:val="21501F75"/>
    <w:rsid w:val="216A43D5"/>
    <w:rsid w:val="222614A8"/>
    <w:rsid w:val="22E62C3A"/>
    <w:rsid w:val="243C16BF"/>
    <w:rsid w:val="25023016"/>
    <w:rsid w:val="25591A7F"/>
    <w:rsid w:val="264C3F6C"/>
    <w:rsid w:val="2699409E"/>
    <w:rsid w:val="26A82602"/>
    <w:rsid w:val="26D02186"/>
    <w:rsid w:val="26DB1A50"/>
    <w:rsid w:val="26DB3441"/>
    <w:rsid w:val="27EB0EC7"/>
    <w:rsid w:val="286333C7"/>
    <w:rsid w:val="287D36CF"/>
    <w:rsid w:val="291C22BF"/>
    <w:rsid w:val="2A225BAB"/>
    <w:rsid w:val="2AC04004"/>
    <w:rsid w:val="2C087541"/>
    <w:rsid w:val="2C374C20"/>
    <w:rsid w:val="2C726454"/>
    <w:rsid w:val="2C7D1033"/>
    <w:rsid w:val="2D7A3C56"/>
    <w:rsid w:val="2DAE2509"/>
    <w:rsid w:val="2E11034D"/>
    <w:rsid w:val="2E70574E"/>
    <w:rsid w:val="2E8A1B51"/>
    <w:rsid w:val="2FC03056"/>
    <w:rsid w:val="30013C82"/>
    <w:rsid w:val="302E39CE"/>
    <w:rsid w:val="30A809F3"/>
    <w:rsid w:val="31377344"/>
    <w:rsid w:val="31501DEB"/>
    <w:rsid w:val="31811153"/>
    <w:rsid w:val="320878FA"/>
    <w:rsid w:val="32131E5F"/>
    <w:rsid w:val="322E3BC4"/>
    <w:rsid w:val="32A0784F"/>
    <w:rsid w:val="32AE598A"/>
    <w:rsid w:val="33C46F2A"/>
    <w:rsid w:val="33EE4838"/>
    <w:rsid w:val="342049AE"/>
    <w:rsid w:val="342879A4"/>
    <w:rsid w:val="344202C5"/>
    <w:rsid w:val="345D7966"/>
    <w:rsid w:val="34C955FA"/>
    <w:rsid w:val="34D43266"/>
    <w:rsid w:val="35142AAA"/>
    <w:rsid w:val="3535277C"/>
    <w:rsid w:val="35354280"/>
    <w:rsid w:val="35476187"/>
    <w:rsid w:val="361F75F1"/>
    <w:rsid w:val="362E26F6"/>
    <w:rsid w:val="363E4EDB"/>
    <w:rsid w:val="3642008C"/>
    <w:rsid w:val="36D62057"/>
    <w:rsid w:val="38025E2A"/>
    <w:rsid w:val="381738C2"/>
    <w:rsid w:val="3855295A"/>
    <w:rsid w:val="3931104F"/>
    <w:rsid w:val="3A7F4CDA"/>
    <w:rsid w:val="3A9F3029"/>
    <w:rsid w:val="3AF35C04"/>
    <w:rsid w:val="3B48477A"/>
    <w:rsid w:val="3B671FD2"/>
    <w:rsid w:val="3BBA7728"/>
    <w:rsid w:val="3BD645B3"/>
    <w:rsid w:val="3BDE11D1"/>
    <w:rsid w:val="3C7A3AB9"/>
    <w:rsid w:val="3D0F11C1"/>
    <w:rsid w:val="3DB01D5C"/>
    <w:rsid w:val="3DD3580C"/>
    <w:rsid w:val="3E6D13D8"/>
    <w:rsid w:val="3F0F0AE4"/>
    <w:rsid w:val="3FA31841"/>
    <w:rsid w:val="40385959"/>
    <w:rsid w:val="40530676"/>
    <w:rsid w:val="407B1AFB"/>
    <w:rsid w:val="41172790"/>
    <w:rsid w:val="42394C8E"/>
    <w:rsid w:val="42DE1098"/>
    <w:rsid w:val="43094B53"/>
    <w:rsid w:val="43B804E0"/>
    <w:rsid w:val="43EA25A2"/>
    <w:rsid w:val="44047301"/>
    <w:rsid w:val="440A5346"/>
    <w:rsid w:val="442C194F"/>
    <w:rsid w:val="443B7CB5"/>
    <w:rsid w:val="44B21462"/>
    <w:rsid w:val="44C056C5"/>
    <w:rsid w:val="45025D73"/>
    <w:rsid w:val="450A17A0"/>
    <w:rsid w:val="46434C66"/>
    <w:rsid w:val="46B745EF"/>
    <w:rsid w:val="47BC6A24"/>
    <w:rsid w:val="48CB00A1"/>
    <w:rsid w:val="491A6F1F"/>
    <w:rsid w:val="491A705F"/>
    <w:rsid w:val="49CC0887"/>
    <w:rsid w:val="49F72ED4"/>
    <w:rsid w:val="4B1403EE"/>
    <w:rsid w:val="4B1D199C"/>
    <w:rsid w:val="4B4614C9"/>
    <w:rsid w:val="4C1C0AF3"/>
    <w:rsid w:val="4C27383E"/>
    <w:rsid w:val="4C6007C5"/>
    <w:rsid w:val="4D191CF7"/>
    <w:rsid w:val="4DAB6299"/>
    <w:rsid w:val="4DB14896"/>
    <w:rsid w:val="4DDB098B"/>
    <w:rsid w:val="4E725FAD"/>
    <w:rsid w:val="4E89713C"/>
    <w:rsid w:val="4E905A63"/>
    <w:rsid w:val="4F4E63B8"/>
    <w:rsid w:val="4FDE4134"/>
    <w:rsid w:val="5003386C"/>
    <w:rsid w:val="50250051"/>
    <w:rsid w:val="50F05098"/>
    <w:rsid w:val="50F13BB1"/>
    <w:rsid w:val="50F70FCF"/>
    <w:rsid w:val="519A07FB"/>
    <w:rsid w:val="51A75942"/>
    <w:rsid w:val="51E15C5A"/>
    <w:rsid w:val="52145806"/>
    <w:rsid w:val="53760C7E"/>
    <w:rsid w:val="53B71393"/>
    <w:rsid w:val="53C945FB"/>
    <w:rsid w:val="5428356D"/>
    <w:rsid w:val="54333971"/>
    <w:rsid w:val="54477C90"/>
    <w:rsid w:val="54924B88"/>
    <w:rsid w:val="54D57AF7"/>
    <w:rsid w:val="550C0D66"/>
    <w:rsid w:val="55AE1778"/>
    <w:rsid w:val="55F743AA"/>
    <w:rsid w:val="561F6ACD"/>
    <w:rsid w:val="566D3FD2"/>
    <w:rsid w:val="56F13A35"/>
    <w:rsid w:val="56F227A2"/>
    <w:rsid w:val="56FF58CA"/>
    <w:rsid w:val="57112F61"/>
    <w:rsid w:val="574F4D3C"/>
    <w:rsid w:val="594D0780"/>
    <w:rsid w:val="5A075C5D"/>
    <w:rsid w:val="5A3B477C"/>
    <w:rsid w:val="5A563900"/>
    <w:rsid w:val="5AB51DED"/>
    <w:rsid w:val="5B727E44"/>
    <w:rsid w:val="5C4D3844"/>
    <w:rsid w:val="5D2676FF"/>
    <w:rsid w:val="5D4019D1"/>
    <w:rsid w:val="5DEB2C03"/>
    <w:rsid w:val="5DF07947"/>
    <w:rsid w:val="5E262101"/>
    <w:rsid w:val="5F175599"/>
    <w:rsid w:val="5F327661"/>
    <w:rsid w:val="5F3F0CC7"/>
    <w:rsid w:val="5F6A3D1E"/>
    <w:rsid w:val="5F9304B0"/>
    <w:rsid w:val="5FC20162"/>
    <w:rsid w:val="600971B1"/>
    <w:rsid w:val="60427088"/>
    <w:rsid w:val="604E0D70"/>
    <w:rsid w:val="612C182B"/>
    <w:rsid w:val="61896C5F"/>
    <w:rsid w:val="618A6458"/>
    <w:rsid w:val="61B96524"/>
    <w:rsid w:val="62BB5F31"/>
    <w:rsid w:val="6300250C"/>
    <w:rsid w:val="63927A28"/>
    <w:rsid w:val="63B20856"/>
    <w:rsid w:val="64096D82"/>
    <w:rsid w:val="6453793B"/>
    <w:rsid w:val="65AE65BE"/>
    <w:rsid w:val="65E80907"/>
    <w:rsid w:val="6615324D"/>
    <w:rsid w:val="665151C5"/>
    <w:rsid w:val="66551F2A"/>
    <w:rsid w:val="667D2CFF"/>
    <w:rsid w:val="66B47905"/>
    <w:rsid w:val="672F31ED"/>
    <w:rsid w:val="67C70996"/>
    <w:rsid w:val="67F15358"/>
    <w:rsid w:val="688F4618"/>
    <w:rsid w:val="68C76282"/>
    <w:rsid w:val="68ED34F2"/>
    <w:rsid w:val="69FB6C48"/>
    <w:rsid w:val="6BBB50D5"/>
    <w:rsid w:val="6CAC6281"/>
    <w:rsid w:val="6D810075"/>
    <w:rsid w:val="6DB31B27"/>
    <w:rsid w:val="6E495A0D"/>
    <w:rsid w:val="6E970AB9"/>
    <w:rsid w:val="6EA152D5"/>
    <w:rsid w:val="6EA350FB"/>
    <w:rsid w:val="6F7C7252"/>
    <w:rsid w:val="6FEE196D"/>
    <w:rsid w:val="705C7381"/>
    <w:rsid w:val="70691DC8"/>
    <w:rsid w:val="70B20A00"/>
    <w:rsid w:val="71536AB4"/>
    <w:rsid w:val="716E0C2D"/>
    <w:rsid w:val="71917A25"/>
    <w:rsid w:val="722D38AF"/>
    <w:rsid w:val="726E0FA5"/>
    <w:rsid w:val="728C6382"/>
    <w:rsid w:val="72B549B1"/>
    <w:rsid w:val="72D94F8E"/>
    <w:rsid w:val="73056C60"/>
    <w:rsid w:val="733608AB"/>
    <w:rsid w:val="735F328E"/>
    <w:rsid w:val="74CF68BC"/>
    <w:rsid w:val="75126594"/>
    <w:rsid w:val="75492F63"/>
    <w:rsid w:val="762545B5"/>
    <w:rsid w:val="7682052C"/>
    <w:rsid w:val="76834336"/>
    <w:rsid w:val="775C0430"/>
    <w:rsid w:val="776754A6"/>
    <w:rsid w:val="78443C7C"/>
    <w:rsid w:val="78E615EA"/>
    <w:rsid w:val="799A7EFC"/>
    <w:rsid w:val="79EF2C25"/>
    <w:rsid w:val="7A6B66F1"/>
    <w:rsid w:val="7AAB394B"/>
    <w:rsid w:val="7BC03CE3"/>
    <w:rsid w:val="7C715447"/>
    <w:rsid w:val="7C8E01D2"/>
    <w:rsid w:val="7D3A2B3F"/>
    <w:rsid w:val="7DAB7649"/>
    <w:rsid w:val="7DC54411"/>
    <w:rsid w:val="7DF63CAB"/>
    <w:rsid w:val="7E0D07A6"/>
    <w:rsid w:val="7F092441"/>
    <w:rsid w:val="7F3C0D77"/>
    <w:rsid w:val="7F3C6061"/>
    <w:rsid w:val="7FAA3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numPr>
        <w:ilvl w:val="0"/>
        <w:numId w:val="1"/>
      </w:numPr>
      <w:snapToGrid w:val="0"/>
      <w:spacing w:line="400" w:lineRule="atLeast"/>
      <w:outlineLvl w:val="0"/>
    </w:pPr>
    <w:rPr>
      <w:rFonts w:ascii="宋体" w:eastAsia="黑体"/>
      <w:kern w:val="28"/>
      <w:sz w:val="28"/>
      <w:szCs w:val="20"/>
    </w:rPr>
  </w:style>
  <w:style w:type="paragraph" w:styleId="4">
    <w:name w:val="heading 2"/>
    <w:basedOn w:val="1"/>
    <w:next w:val="1"/>
    <w:link w:val="71"/>
    <w:qFormat/>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3"/>
    <w:basedOn w:val="4"/>
    <w:next w:val="1"/>
    <w:link w:val="79"/>
    <w:qFormat/>
    <w:uiPriority w:val="0"/>
    <w:pPr>
      <w:numPr>
        <w:ilvl w:val="2"/>
      </w:numPr>
      <w:outlineLvl w:val="2"/>
    </w:pPr>
  </w:style>
  <w:style w:type="paragraph" w:styleId="6">
    <w:name w:val="heading 4"/>
    <w:basedOn w:val="1"/>
    <w:next w:val="1"/>
    <w:link w:val="74"/>
    <w:qFormat/>
    <w:uiPriority w:val="0"/>
    <w:pPr>
      <w:keepNext/>
      <w:keepLines/>
      <w:spacing w:before="280" w:after="290" w:line="376" w:lineRule="auto"/>
      <w:outlineLvl w:val="3"/>
    </w:pPr>
    <w:rPr>
      <w:rFonts w:ascii="Calibri Light" w:hAnsi="Calibri Light"/>
      <w:b/>
      <w:bCs/>
      <w:kern w:val="0"/>
      <w:sz w:val="28"/>
      <w:szCs w:val="28"/>
    </w:rPr>
  </w:style>
  <w:style w:type="paragraph" w:styleId="7">
    <w:name w:val="heading 5"/>
    <w:basedOn w:val="1"/>
    <w:next w:val="1"/>
    <w:link w:val="77"/>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70"/>
    <w:qFormat/>
    <w:uiPriority w:val="0"/>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87"/>
    <w:qFormat/>
    <w:uiPriority w:val="9"/>
    <w:pPr>
      <w:keepNext/>
      <w:keepLines/>
      <w:spacing w:before="240" w:after="64" w:line="320" w:lineRule="auto"/>
      <w:outlineLvl w:val="6"/>
    </w:pPr>
    <w:rPr>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10">
    <w:name w:val="Normal Indent"/>
    <w:basedOn w:val="1"/>
    <w:qFormat/>
    <w:uiPriority w:val="0"/>
    <w:pPr>
      <w:ind w:firstLine="420" w:firstLineChars="200"/>
    </w:pPr>
  </w:style>
  <w:style w:type="paragraph" w:styleId="11">
    <w:name w:val="Document Map"/>
    <w:basedOn w:val="1"/>
    <w:link w:val="72"/>
    <w:unhideWhenUsed/>
    <w:qFormat/>
    <w:uiPriority w:val="99"/>
    <w:rPr>
      <w:rFonts w:ascii="Microsoft YaHei UI" w:eastAsia="Microsoft YaHei UI"/>
      <w:kern w:val="0"/>
      <w:sz w:val="18"/>
      <w:szCs w:val="18"/>
    </w:rPr>
  </w:style>
  <w:style w:type="paragraph" w:styleId="12">
    <w:name w:val="annotation text"/>
    <w:basedOn w:val="1"/>
    <w:link w:val="88"/>
    <w:qFormat/>
    <w:uiPriority w:val="0"/>
    <w:pPr>
      <w:jc w:val="left"/>
    </w:pPr>
    <w:rPr>
      <w:kern w:val="0"/>
      <w:sz w:val="20"/>
    </w:rPr>
  </w:style>
  <w:style w:type="paragraph" w:styleId="13">
    <w:name w:val="Body Text"/>
    <w:basedOn w:val="1"/>
    <w:next w:val="1"/>
    <w:link w:val="81"/>
    <w:qFormat/>
    <w:uiPriority w:val="0"/>
    <w:pPr>
      <w:spacing w:after="120"/>
    </w:pPr>
    <w:rPr>
      <w:kern w:val="0"/>
      <w:sz w:val="20"/>
    </w:rPr>
  </w:style>
  <w:style w:type="paragraph" w:styleId="14">
    <w:name w:val="Body Text Indent"/>
    <w:basedOn w:val="1"/>
    <w:link w:val="90"/>
    <w:qFormat/>
    <w:uiPriority w:val="0"/>
    <w:pPr>
      <w:tabs>
        <w:tab w:val="left" w:pos="2160"/>
      </w:tabs>
      <w:ind w:left="2159" w:leftChars="1028" w:firstLine="1"/>
    </w:pPr>
    <w:rPr>
      <w:rFonts w:ascii="宋体" w:hAnsi="宋体"/>
      <w:kern w:val="0"/>
      <w:sz w:val="20"/>
      <w:szCs w:val="21"/>
    </w:rPr>
  </w:style>
  <w:style w:type="paragraph" w:styleId="15">
    <w:name w:val="index 4"/>
    <w:basedOn w:val="1"/>
    <w:next w:val="1"/>
    <w:semiHidden/>
    <w:unhideWhenUsed/>
    <w:qFormat/>
    <w:uiPriority w:val="99"/>
    <w:pPr>
      <w:ind w:left="600" w:leftChars="600"/>
    </w:pPr>
  </w:style>
  <w:style w:type="paragraph" w:styleId="16">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link w:val="83"/>
    <w:qFormat/>
    <w:uiPriority w:val="0"/>
    <w:rPr>
      <w:rFonts w:ascii="宋体" w:hAnsi="Courier New"/>
      <w:kern w:val="0"/>
      <w:sz w:val="20"/>
      <w:szCs w:val="20"/>
    </w:rPr>
  </w:style>
  <w:style w:type="paragraph" w:styleId="18">
    <w:name w:val="Date"/>
    <w:basedOn w:val="1"/>
    <w:next w:val="1"/>
    <w:link w:val="91"/>
    <w:qFormat/>
    <w:uiPriority w:val="0"/>
    <w:pPr>
      <w:ind w:left="100" w:leftChars="2500"/>
    </w:pPr>
    <w:rPr>
      <w:kern w:val="0"/>
      <w:sz w:val="20"/>
    </w:rPr>
  </w:style>
  <w:style w:type="paragraph" w:styleId="19">
    <w:name w:val="Balloon Text"/>
    <w:basedOn w:val="1"/>
    <w:link w:val="68"/>
    <w:qFormat/>
    <w:uiPriority w:val="0"/>
    <w:rPr>
      <w:kern w:val="0"/>
      <w:sz w:val="18"/>
      <w:szCs w:val="18"/>
    </w:rPr>
  </w:style>
  <w:style w:type="paragraph" w:styleId="20">
    <w:name w:val="footer"/>
    <w:basedOn w:val="1"/>
    <w:link w:val="67"/>
    <w:qFormat/>
    <w:uiPriority w:val="99"/>
    <w:pPr>
      <w:tabs>
        <w:tab w:val="center" w:pos="4153"/>
        <w:tab w:val="right" w:pos="8306"/>
      </w:tabs>
      <w:snapToGrid w:val="0"/>
      <w:jc w:val="left"/>
    </w:pPr>
    <w:rPr>
      <w:kern w:val="0"/>
      <w:sz w:val="18"/>
      <w:szCs w:val="20"/>
    </w:rPr>
  </w:style>
  <w:style w:type="paragraph" w:styleId="21">
    <w:name w:val="header"/>
    <w:basedOn w:val="1"/>
    <w:link w:val="86"/>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qFormat/>
    <w:uiPriority w:val="39"/>
    <w:pPr>
      <w:tabs>
        <w:tab w:val="right" w:leader="dot" w:pos="8296"/>
      </w:tabs>
      <w:jc w:val="left"/>
    </w:pPr>
  </w:style>
  <w:style w:type="paragraph" w:styleId="23">
    <w:name w:val="Subtitle"/>
    <w:basedOn w:val="1"/>
    <w:next w:val="1"/>
    <w:link w:val="73"/>
    <w:qFormat/>
    <w:uiPriority w:val="0"/>
    <w:pPr>
      <w:spacing w:before="240" w:after="60" w:line="312" w:lineRule="auto"/>
      <w:jc w:val="center"/>
      <w:outlineLvl w:val="1"/>
    </w:pPr>
    <w:rPr>
      <w:rFonts w:ascii="Calibri Light" w:hAnsi="Calibri Light"/>
      <w:b/>
      <w:bCs/>
      <w:kern w:val="28"/>
      <w:sz w:val="32"/>
      <w:szCs w:val="32"/>
    </w:rPr>
  </w:style>
  <w:style w:type="paragraph" w:styleId="24">
    <w:name w:val="Body Text Indent 3"/>
    <w:basedOn w:val="1"/>
    <w:link w:val="69"/>
    <w:qFormat/>
    <w:uiPriority w:val="0"/>
    <w:pPr>
      <w:spacing w:after="120"/>
      <w:ind w:left="420" w:leftChars="200"/>
    </w:pPr>
    <w:rPr>
      <w:kern w:val="0"/>
      <w:sz w:val="16"/>
      <w:szCs w:val="16"/>
    </w:rPr>
  </w:style>
  <w:style w:type="paragraph" w:styleId="25">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6">
    <w:name w:val="toc 9"/>
    <w:basedOn w:val="1"/>
    <w:next w:val="1"/>
    <w:qFormat/>
    <w:uiPriority w:val="0"/>
    <w:pPr>
      <w:ind w:left="3360" w:leftChars="1600"/>
    </w:pPr>
  </w:style>
  <w:style w:type="paragraph" w:styleId="27">
    <w:name w:val="HTML Preformatted"/>
    <w:basedOn w:val="1"/>
    <w:link w:val="1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link w:val="89"/>
    <w:qFormat/>
    <w:uiPriority w:val="0"/>
    <w:pPr>
      <w:spacing w:before="240" w:after="60"/>
      <w:jc w:val="center"/>
      <w:outlineLvl w:val="0"/>
    </w:pPr>
    <w:rPr>
      <w:rFonts w:ascii="Cambria" w:hAnsi="Cambria"/>
      <w:b/>
      <w:bCs/>
      <w:kern w:val="0"/>
      <w:sz w:val="36"/>
      <w:szCs w:val="32"/>
    </w:rPr>
  </w:style>
  <w:style w:type="paragraph" w:styleId="30">
    <w:name w:val="annotation subject"/>
    <w:basedOn w:val="12"/>
    <w:next w:val="12"/>
    <w:link w:val="65"/>
    <w:qFormat/>
    <w:uiPriority w:val="99"/>
    <w:rPr>
      <w:b/>
      <w:bCs/>
    </w:rPr>
  </w:style>
  <w:style w:type="paragraph" w:styleId="31">
    <w:name w:val="Body Text First Indent"/>
    <w:basedOn w:val="13"/>
    <w:link w:val="80"/>
    <w:qFormat/>
    <w:uiPriority w:val="0"/>
    <w:pPr>
      <w:ind w:firstLine="420" w:firstLineChars="1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style>
  <w:style w:type="character" w:styleId="36">
    <w:name w:val="page number"/>
    <w:qFormat/>
    <w:uiPriority w:val="0"/>
  </w:style>
  <w:style w:type="character" w:styleId="37">
    <w:name w:val="FollowedHyperlink"/>
    <w:qFormat/>
    <w:uiPriority w:val="99"/>
    <w:rPr>
      <w:color w:val="0000FF"/>
      <w:u w:val="single"/>
    </w:rPr>
  </w:style>
  <w:style w:type="character" w:styleId="38">
    <w:name w:val="Emphasis"/>
    <w:qFormat/>
    <w:uiPriority w:val="0"/>
    <w:rPr>
      <w:i/>
      <w:iCs/>
    </w:rPr>
  </w:style>
  <w:style w:type="character" w:styleId="39">
    <w:name w:val="HTML Definition"/>
    <w:basedOn w:val="34"/>
    <w:semiHidden/>
    <w:unhideWhenUsed/>
    <w:qFormat/>
    <w:uiPriority w:val="99"/>
  </w:style>
  <w:style w:type="character" w:styleId="40">
    <w:name w:val="HTML Typewriter"/>
    <w:basedOn w:val="34"/>
    <w:semiHidden/>
    <w:unhideWhenUsed/>
    <w:qFormat/>
    <w:uiPriority w:val="99"/>
    <w:rPr>
      <w:rFonts w:hint="default" w:ascii="monospace" w:hAnsi="monospace" w:eastAsia="monospace" w:cs="monospace"/>
      <w:sz w:val="20"/>
    </w:rPr>
  </w:style>
  <w:style w:type="character" w:styleId="41">
    <w:name w:val="HTML Acronym"/>
    <w:basedOn w:val="34"/>
    <w:semiHidden/>
    <w:unhideWhenUsed/>
    <w:qFormat/>
    <w:uiPriority w:val="99"/>
  </w:style>
  <w:style w:type="character" w:styleId="42">
    <w:name w:val="HTML Variable"/>
    <w:basedOn w:val="34"/>
    <w:semiHidden/>
    <w:unhideWhenUsed/>
    <w:qFormat/>
    <w:uiPriority w:val="99"/>
  </w:style>
  <w:style w:type="character" w:styleId="43">
    <w:name w:val="Hyperlink"/>
    <w:qFormat/>
    <w:uiPriority w:val="99"/>
    <w:rPr>
      <w:color w:val="000099"/>
      <w:u w:val="none"/>
    </w:rPr>
  </w:style>
  <w:style w:type="character" w:styleId="44">
    <w:name w:val="HTML Code"/>
    <w:basedOn w:val="34"/>
    <w:semiHidden/>
    <w:unhideWhenUsed/>
    <w:qFormat/>
    <w:uiPriority w:val="99"/>
    <w:rPr>
      <w:rFonts w:hint="default" w:ascii="monospace" w:hAnsi="monospace" w:eastAsia="monospace" w:cs="monospace"/>
      <w:sz w:val="20"/>
    </w:rPr>
  </w:style>
  <w:style w:type="character" w:styleId="45">
    <w:name w:val="annotation reference"/>
    <w:qFormat/>
    <w:uiPriority w:val="0"/>
    <w:rPr>
      <w:sz w:val="21"/>
      <w:szCs w:val="21"/>
    </w:rPr>
  </w:style>
  <w:style w:type="character" w:styleId="46">
    <w:name w:val="HTML Cite"/>
    <w:basedOn w:val="34"/>
    <w:semiHidden/>
    <w:unhideWhenUsed/>
    <w:qFormat/>
    <w:uiPriority w:val="99"/>
  </w:style>
  <w:style w:type="character" w:styleId="47">
    <w:name w:val="HTML Keyboard"/>
    <w:basedOn w:val="34"/>
    <w:semiHidden/>
    <w:unhideWhenUsed/>
    <w:qFormat/>
    <w:uiPriority w:val="99"/>
    <w:rPr>
      <w:rFonts w:ascii="monospace" w:hAnsi="monospace" w:eastAsia="monospace" w:cs="monospace"/>
      <w:sz w:val="20"/>
    </w:rPr>
  </w:style>
  <w:style w:type="character" w:styleId="48">
    <w:name w:val="HTML Sample"/>
    <w:basedOn w:val="34"/>
    <w:semiHidden/>
    <w:unhideWhenUsed/>
    <w:qFormat/>
    <w:uiPriority w:val="99"/>
    <w:rPr>
      <w:rFonts w:hint="default" w:ascii="monospace" w:hAnsi="monospace" w:eastAsia="monospace" w:cs="monospace"/>
    </w:rPr>
  </w:style>
  <w:style w:type="paragraph" w:customStyle="1" w:styleId="49">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51">
    <w:name w:val="3"/>
    <w:basedOn w:val="1"/>
    <w:qFormat/>
    <w:uiPriority w:val="34"/>
    <w:pPr>
      <w:ind w:firstLine="420" w:firstLineChars="200"/>
    </w:pPr>
  </w:style>
  <w:style w:type="paragraph" w:customStyle="1" w:styleId="52">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5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2"/>
    <w:link w:val="85"/>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56">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57">
    <w:name w:val="_Style 3"/>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Char1"/>
    <w:basedOn w:val="11"/>
    <w:qFormat/>
    <w:uiPriority w:val="0"/>
    <w:pPr>
      <w:shd w:val="clear" w:color="auto" w:fill="000080"/>
    </w:pPr>
    <w:rPr>
      <w:rFonts w:ascii="Times New Roman" w:eastAsia="宋体"/>
      <w:sz w:val="21"/>
      <w:szCs w:val="20"/>
      <w:shd w:val="clear" w:color="auto" w:fill="000080"/>
    </w:rPr>
  </w:style>
  <w:style w:type="paragraph" w:customStyle="1" w:styleId="59">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60">
    <w:name w:val="列出段落111"/>
    <w:basedOn w:val="1"/>
    <w:qFormat/>
    <w:uiPriority w:val="0"/>
    <w:pPr>
      <w:ind w:firstLine="420" w:firstLineChars="200"/>
    </w:pPr>
    <w:rPr>
      <w:rFonts w:ascii="Calibri" w:hAnsi="Calibri"/>
      <w:sz w:val="28"/>
    </w:rPr>
  </w:style>
  <w:style w:type="paragraph" w:customStyle="1" w:styleId="61">
    <w:name w:val="样式1"/>
    <w:basedOn w:val="1"/>
    <w:qFormat/>
    <w:uiPriority w:val="0"/>
    <w:rPr>
      <w:rFonts w:eastAsia="仿宋_GB2312"/>
      <w:kern w:val="0"/>
      <w:sz w:val="32"/>
      <w:szCs w:val="20"/>
    </w:rPr>
  </w:style>
  <w:style w:type="paragraph" w:customStyle="1" w:styleId="62">
    <w:name w:val="1"/>
    <w:basedOn w:val="3"/>
    <w:next w:val="1"/>
    <w:qFormat/>
    <w:uiPriority w:val="39"/>
    <w:pPr>
      <w:widowControl/>
      <w:numPr>
        <w:numId w:val="0"/>
      </w:numPr>
      <w:snapToGrid/>
      <w:spacing w:before="240" w:line="259" w:lineRule="auto"/>
      <w:jc w:val="left"/>
      <w:outlineLvl w:val="9"/>
    </w:pPr>
    <w:rPr>
      <w:rFonts w:ascii="Calibri Light" w:hAnsi="Calibri Light" w:eastAsia="宋体"/>
      <w:color w:val="2E74B5"/>
      <w:kern w:val="0"/>
      <w:sz w:val="32"/>
      <w:szCs w:val="32"/>
    </w:rPr>
  </w:style>
  <w:style w:type="paragraph" w:customStyle="1" w:styleId="63">
    <w:name w:val="列出段落11"/>
    <w:basedOn w:val="1"/>
    <w:qFormat/>
    <w:uiPriority w:val="0"/>
    <w:pPr>
      <w:ind w:firstLine="420" w:firstLineChars="200"/>
    </w:pPr>
  </w:style>
  <w:style w:type="paragraph" w:customStyle="1" w:styleId="64">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65">
    <w:name w:val="批注主题 Char1"/>
    <w:link w:val="30"/>
    <w:qFormat/>
    <w:uiPriority w:val="99"/>
    <w:rPr>
      <w:rFonts w:ascii="Times New Roman" w:hAnsi="Times New Roman" w:eastAsia="宋体" w:cs="Times New Roman"/>
      <w:b/>
      <w:bCs/>
      <w:szCs w:val="24"/>
    </w:rPr>
  </w:style>
  <w:style w:type="character" w:customStyle="1" w:styleId="66">
    <w:name w:val="标题 1 Char"/>
    <w:link w:val="3"/>
    <w:qFormat/>
    <w:uiPriority w:val="0"/>
    <w:rPr>
      <w:rFonts w:ascii="宋体" w:hAnsi="Times New Roman" w:eastAsia="黑体"/>
      <w:kern w:val="28"/>
      <w:sz w:val="28"/>
    </w:rPr>
  </w:style>
  <w:style w:type="character" w:customStyle="1" w:styleId="67">
    <w:name w:val="页脚 Char"/>
    <w:link w:val="20"/>
    <w:qFormat/>
    <w:uiPriority w:val="99"/>
    <w:rPr>
      <w:rFonts w:ascii="Times New Roman" w:hAnsi="Times New Roman" w:eastAsia="宋体" w:cs="Times New Roman"/>
      <w:sz w:val="18"/>
      <w:szCs w:val="20"/>
    </w:rPr>
  </w:style>
  <w:style w:type="character" w:customStyle="1" w:styleId="68">
    <w:name w:val="批注框文本 Char"/>
    <w:link w:val="19"/>
    <w:qFormat/>
    <w:uiPriority w:val="0"/>
    <w:rPr>
      <w:rFonts w:ascii="Times New Roman" w:hAnsi="Times New Roman" w:eastAsia="宋体" w:cs="Times New Roman"/>
      <w:sz w:val="18"/>
      <w:szCs w:val="18"/>
    </w:rPr>
  </w:style>
  <w:style w:type="character" w:customStyle="1" w:styleId="69">
    <w:name w:val="正文文本缩进 3 Char"/>
    <w:link w:val="24"/>
    <w:qFormat/>
    <w:uiPriority w:val="0"/>
    <w:rPr>
      <w:rFonts w:ascii="Times New Roman" w:hAnsi="Times New Roman" w:eastAsia="宋体" w:cs="Times New Roman"/>
      <w:sz w:val="16"/>
      <w:szCs w:val="16"/>
    </w:rPr>
  </w:style>
  <w:style w:type="character" w:customStyle="1" w:styleId="70">
    <w:name w:val="标题 6 Char"/>
    <w:link w:val="8"/>
    <w:qFormat/>
    <w:uiPriority w:val="0"/>
    <w:rPr>
      <w:rFonts w:ascii="Calibri Light" w:hAnsi="Calibri Light" w:eastAsia="宋体" w:cs="Times New Roman"/>
      <w:b/>
      <w:bCs/>
      <w:sz w:val="24"/>
      <w:szCs w:val="24"/>
    </w:rPr>
  </w:style>
  <w:style w:type="character" w:customStyle="1" w:styleId="71">
    <w:name w:val="标题 2 Char"/>
    <w:link w:val="4"/>
    <w:qFormat/>
    <w:uiPriority w:val="0"/>
    <w:rPr>
      <w:rFonts w:ascii="宋体" w:hAnsi="Times New Roman"/>
      <w:kern w:val="2"/>
      <w:sz w:val="28"/>
    </w:rPr>
  </w:style>
  <w:style w:type="character" w:customStyle="1" w:styleId="72">
    <w:name w:val="文档结构图 Char"/>
    <w:link w:val="11"/>
    <w:semiHidden/>
    <w:qFormat/>
    <w:uiPriority w:val="99"/>
    <w:rPr>
      <w:rFonts w:ascii="Microsoft YaHei UI" w:hAnsi="Times New Roman" w:eastAsia="Microsoft YaHei UI" w:cs="Times New Roman"/>
      <w:sz w:val="18"/>
      <w:szCs w:val="18"/>
    </w:rPr>
  </w:style>
  <w:style w:type="character" w:customStyle="1" w:styleId="73">
    <w:name w:val="副标题 Char"/>
    <w:link w:val="23"/>
    <w:qFormat/>
    <w:uiPriority w:val="0"/>
    <w:rPr>
      <w:rFonts w:ascii="Calibri Light" w:hAnsi="Calibri Light" w:eastAsia="宋体" w:cs="Times New Roman"/>
      <w:b/>
      <w:bCs/>
      <w:kern w:val="28"/>
      <w:sz w:val="32"/>
      <w:szCs w:val="32"/>
    </w:rPr>
  </w:style>
  <w:style w:type="character" w:customStyle="1" w:styleId="74">
    <w:name w:val="标题 4 Char"/>
    <w:link w:val="6"/>
    <w:qFormat/>
    <w:uiPriority w:val="0"/>
    <w:rPr>
      <w:rFonts w:ascii="Calibri Light" w:hAnsi="Calibri Light" w:eastAsia="宋体" w:cs="Times New Roman"/>
      <w:b/>
      <w:bCs/>
      <w:sz w:val="28"/>
      <w:szCs w:val="28"/>
    </w:rPr>
  </w:style>
  <w:style w:type="character" w:customStyle="1" w:styleId="75">
    <w:name w:val="标题 Char1"/>
    <w:qFormat/>
    <w:uiPriority w:val="0"/>
    <w:rPr>
      <w:rFonts w:ascii="Calibri Light" w:hAnsi="Calibri Light" w:eastAsia="宋体" w:cs="Times New Roman"/>
      <w:b/>
      <w:bCs/>
      <w:sz w:val="32"/>
      <w:szCs w:val="32"/>
    </w:rPr>
  </w:style>
  <w:style w:type="character" w:customStyle="1" w:styleId="76">
    <w:name w:val="批注文字 Char"/>
    <w:qFormat/>
    <w:uiPriority w:val="0"/>
    <w:rPr>
      <w:rFonts w:ascii="Times New Roman" w:hAnsi="Times New Roman" w:eastAsia="宋体" w:cs="Times New Roman"/>
      <w:szCs w:val="24"/>
    </w:rPr>
  </w:style>
  <w:style w:type="character" w:customStyle="1" w:styleId="77">
    <w:name w:val="标题 5 Char"/>
    <w:link w:val="7"/>
    <w:qFormat/>
    <w:uiPriority w:val="0"/>
    <w:rPr>
      <w:rFonts w:ascii="Times New Roman" w:hAnsi="Times New Roman" w:eastAsia="宋体" w:cs="Times New Roman"/>
      <w:b/>
      <w:bCs/>
      <w:sz w:val="28"/>
      <w:szCs w:val="28"/>
    </w:rPr>
  </w:style>
  <w:style w:type="character" w:customStyle="1" w:styleId="78">
    <w:name w:val="Table Text Char Char Char"/>
    <w:qFormat/>
    <w:uiPriority w:val="0"/>
    <w:rPr>
      <w:rFonts w:ascii="Arial" w:hAnsi="Arial" w:eastAsia="宋体" w:cs="Arial"/>
      <w:sz w:val="18"/>
      <w:szCs w:val="18"/>
      <w:lang w:val="en-US" w:eastAsia="zh-CN" w:bidi="ar-SA"/>
    </w:rPr>
  </w:style>
  <w:style w:type="character" w:customStyle="1" w:styleId="79">
    <w:name w:val="标题 3 Char"/>
    <w:link w:val="5"/>
    <w:qFormat/>
    <w:uiPriority w:val="0"/>
    <w:rPr>
      <w:rFonts w:ascii="宋体" w:hAnsi="Times New Roman"/>
      <w:kern w:val="2"/>
      <w:sz w:val="28"/>
    </w:rPr>
  </w:style>
  <w:style w:type="character" w:customStyle="1" w:styleId="80">
    <w:name w:val="正文首行缩进 Char"/>
    <w:link w:val="31"/>
    <w:qFormat/>
    <w:uiPriority w:val="0"/>
    <w:rPr>
      <w:rFonts w:ascii="Times New Roman" w:hAnsi="Times New Roman" w:eastAsia="宋体" w:cs="Times New Roman"/>
      <w:szCs w:val="24"/>
    </w:rPr>
  </w:style>
  <w:style w:type="character" w:customStyle="1" w:styleId="81">
    <w:name w:val="正文文本 Char"/>
    <w:link w:val="13"/>
    <w:qFormat/>
    <w:uiPriority w:val="0"/>
    <w:rPr>
      <w:rFonts w:ascii="Times New Roman" w:hAnsi="Times New Roman" w:eastAsia="宋体" w:cs="Times New Roman"/>
      <w:szCs w:val="24"/>
    </w:rPr>
  </w:style>
  <w:style w:type="character" w:customStyle="1" w:styleId="82">
    <w:name w:val="纯文本 Char"/>
    <w:qFormat/>
    <w:uiPriority w:val="0"/>
    <w:rPr>
      <w:rFonts w:ascii="宋体" w:hAnsi="Courier New" w:eastAsia="宋体" w:cs="Courier New"/>
      <w:szCs w:val="21"/>
    </w:rPr>
  </w:style>
  <w:style w:type="character" w:customStyle="1" w:styleId="83">
    <w:name w:val="纯文本 Char2"/>
    <w:link w:val="17"/>
    <w:qFormat/>
    <w:uiPriority w:val="0"/>
    <w:rPr>
      <w:rFonts w:ascii="宋体" w:hAnsi="Courier New" w:eastAsia="宋体" w:cs="Times New Roman"/>
      <w:szCs w:val="20"/>
    </w:rPr>
  </w:style>
  <w:style w:type="character" w:customStyle="1" w:styleId="84">
    <w:name w:val="Table Text Char"/>
    <w:qFormat/>
    <w:uiPriority w:val="0"/>
    <w:rPr>
      <w:rFonts w:ascii="Arial" w:hAnsi="Arial" w:eastAsia="宋体"/>
      <w:sz w:val="18"/>
      <w:lang w:val="en-US" w:eastAsia="zh-CN" w:bidi="ar-SA"/>
    </w:rPr>
  </w:style>
  <w:style w:type="character" w:customStyle="1" w:styleId="85">
    <w:name w:val="无间隔 Char"/>
    <w:link w:val="54"/>
    <w:qFormat/>
    <w:uiPriority w:val="1"/>
    <w:rPr>
      <w:rFonts w:ascii="Times New Roman" w:hAnsi="Times New Roman"/>
      <w:kern w:val="2"/>
      <w:sz w:val="21"/>
      <w:szCs w:val="24"/>
      <w:lang w:val="en-US" w:eastAsia="zh-CN" w:bidi="ar-SA"/>
    </w:rPr>
  </w:style>
  <w:style w:type="character" w:customStyle="1" w:styleId="86">
    <w:name w:val="页眉 Char1"/>
    <w:link w:val="21"/>
    <w:qFormat/>
    <w:uiPriority w:val="99"/>
    <w:rPr>
      <w:rFonts w:ascii="Times New Roman" w:hAnsi="Times New Roman" w:eastAsia="宋体" w:cs="Times New Roman"/>
      <w:sz w:val="18"/>
      <w:szCs w:val="20"/>
    </w:rPr>
  </w:style>
  <w:style w:type="character" w:customStyle="1" w:styleId="87">
    <w:name w:val="标题 7 Char"/>
    <w:link w:val="9"/>
    <w:semiHidden/>
    <w:qFormat/>
    <w:uiPriority w:val="9"/>
    <w:rPr>
      <w:rFonts w:ascii="Times New Roman" w:hAnsi="Times New Roman"/>
      <w:b/>
      <w:bCs/>
      <w:kern w:val="2"/>
      <w:sz w:val="24"/>
      <w:szCs w:val="24"/>
    </w:rPr>
  </w:style>
  <w:style w:type="character" w:customStyle="1" w:styleId="88">
    <w:name w:val="批注文字 Char1"/>
    <w:link w:val="12"/>
    <w:qFormat/>
    <w:uiPriority w:val="0"/>
    <w:rPr>
      <w:rFonts w:ascii="Times New Roman" w:hAnsi="Times New Roman" w:eastAsia="宋体" w:cs="Times New Roman"/>
      <w:szCs w:val="24"/>
    </w:rPr>
  </w:style>
  <w:style w:type="character" w:customStyle="1" w:styleId="89">
    <w:name w:val="标题 Char"/>
    <w:link w:val="29"/>
    <w:qFormat/>
    <w:uiPriority w:val="0"/>
    <w:rPr>
      <w:rFonts w:ascii="Cambria" w:hAnsi="Cambria"/>
      <w:b/>
      <w:bCs/>
      <w:sz w:val="36"/>
      <w:szCs w:val="32"/>
    </w:rPr>
  </w:style>
  <w:style w:type="character" w:customStyle="1" w:styleId="90">
    <w:name w:val="正文文本缩进 Char"/>
    <w:link w:val="14"/>
    <w:qFormat/>
    <w:uiPriority w:val="0"/>
    <w:rPr>
      <w:rFonts w:ascii="宋体" w:hAnsi="宋体" w:eastAsia="宋体" w:cs="Times New Roman"/>
      <w:szCs w:val="21"/>
    </w:rPr>
  </w:style>
  <w:style w:type="character" w:customStyle="1" w:styleId="91">
    <w:name w:val="日期 Char"/>
    <w:link w:val="18"/>
    <w:qFormat/>
    <w:uiPriority w:val="0"/>
    <w:rPr>
      <w:rFonts w:ascii="Times New Roman" w:hAnsi="Times New Roman" w:eastAsia="宋体" w:cs="Times New Roman"/>
      <w:szCs w:val="24"/>
    </w:rPr>
  </w:style>
  <w:style w:type="character" w:customStyle="1" w:styleId="92">
    <w:name w:val="批注主题 Char"/>
    <w:semiHidden/>
    <w:qFormat/>
    <w:uiPriority w:val="99"/>
    <w:rPr>
      <w:rFonts w:ascii="Times New Roman" w:hAnsi="Times New Roman" w:eastAsia="宋体" w:cs="Times New Roman"/>
      <w:b/>
      <w:bCs/>
      <w:szCs w:val="24"/>
    </w:rPr>
  </w:style>
  <w:style w:type="paragraph" w:customStyle="1" w:styleId="93">
    <w:name w:val="p16"/>
    <w:basedOn w:val="1"/>
    <w:qFormat/>
    <w:uiPriority w:val="0"/>
    <w:pPr>
      <w:widowControl/>
    </w:pPr>
    <w:rPr>
      <w:rFonts w:ascii="宋体" w:hAnsi="宋体" w:cs="宋体"/>
      <w:kern w:val="0"/>
      <w:szCs w:val="21"/>
    </w:rPr>
  </w:style>
  <w:style w:type="paragraph" w:styleId="94">
    <w:name w:val="List Paragraph"/>
    <w:basedOn w:val="1"/>
    <w:unhideWhenUsed/>
    <w:qFormat/>
    <w:uiPriority w:val="34"/>
    <w:pPr>
      <w:ind w:firstLine="420" w:firstLineChars="200"/>
    </w:pPr>
  </w:style>
  <w:style w:type="paragraph" w:customStyle="1" w:styleId="9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96">
    <w:name w:val="列出段落1"/>
    <w:basedOn w:val="1"/>
    <w:qFormat/>
    <w:uiPriority w:val="34"/>
    <w:pPr>
      <w:ind w:firstLine="420" w:firstLineChars="200"/>
    </w:pPr>
    <w:rPr>
      <w:rFonts w:ascii="Calibri" w:hAnsi="Calibri" w:cs="黑体"/>
      <w:szCs w:val="22"/>
    </w:rPr>
  </w:style>
  <w:style w:type="paragraph" w:styleId="97">
    <w:name w:val="No Spacing"/>
    <w:link w:val="11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段 Char Char"/>
    <w:link w:val="99"/>
    <w:qFormat/>
    <w:uiPriority w:val="0"/>
    <w:rPr>
      <w:rFonts w:ascii="宋体"/>
      <w:sz w:val="21"/>
      <w:lang w:val="en-US" w:eastAsia="zh-CN" w:bidi="ar-SA"/>
    </w:rPr>
  </w:style>
  <w:style w:type="paragraph" w:customStyle="1" w:styleId="99">
    <w:name w:val="段"/>
    <w:link w:val="98"/>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00">
    <w:name w:val="三级条标题 Char Char"/>
    <w:link w:val="101"/>
    <w:qFormat/>
    <w:uiPriority w:val="0"/>
    <w:rPr>
      <w:rFonts w:ascii="黑体" w:eastAsia="黑体"/>
      <w:sz w:val="21"/>
    </w:rPr>
  </w:style>
  <w:style w:type="paragraph" w:customStyle="1" w:styleId="101">
    <w:name w:val="三级条标题"/>
    <w:basedOn w:val="102"/>
    <w:next w:val="99"/>
    <w:link w:val="100"/>
    <w:qFormat/>
    <w:uiPriority w:val="0"/>
    <w:pPr>
      <w:tabs>
        <w:tab w:val="left" w:pos="720"/>
        <w:tab w:val="left" w:pos="992"/>
      </w:tabs>
      <w:ind w:left="992" w:hanging="992"/>
      <w:outlineLvl w:val="4"/>
    </w:pPr>
  </w:style>
  <w:style w:type="paragraph" w:customStyle="1" w:styleId="102">
    <w:name w:val="二级条标题"/>
    <w:basedOn w:val="103"/>
    <w:next w:val="99"/>
    <w:link w:val="105"/>
    <w:qFormat/>
    <w:uiPriority w:val="0"/>
    <w:pPr>
      <w:tabs>
        <w:tab w:val="left" w:pos="720"/>
      </w:tabs>
      <w:outlineLvl w:val="3"/>
    </w:pPr>
  </w:style>
  <w:style w:type="paragraph" w:customStyle="1" w:styleId="103">
    <w:name w:val="一级条标题"/>
    <w:basedOn w:val="104"/>
    <w:next w:val="99"/>
    <w:link w:val="107"/>
    <w:qFormat/>
    <w:uiPriority w:val="0"/>
    <w:pPr>
      <w:tabs>
        <w:tab w:val="left" w:pos="720"/>
      </w:tabs>
      <w:spacing w:beforeLines="0" w:afterLines="0"/>
      <w:outlineLvl w:val="2"/>
    </w:pPr>
  </w:style>
  <w:style w:type="paragraph" w:customStyle="1" w:styleId="104">
    <w:name w:val="章标题"/>
    <w:next w:val="99"/>
    <w:link w:val="106"/>
    <w:qFormat/>
    <w:uiPriority w:val="0"/>
    <w:pPr>
      <w:tabs>
        <w:tab w:val="left" w:pos="720"/>
      </w:tabs>
      <w:spacing w:beforeLines="50" w:afterLines="50"/>
      <w:ind w:left="567" w:hanging="567"/>
      <w:jc w:val="both"/>
      <w:outlineLvl w:val="1"/>
    </w:pPr>
    <w:rPr>
      <w:rFonts w:ascii="黑体" w:hAnsi="Calibri" w:eastAsia="黑体" w:cs="Times New Roman"/>
      <w:sz w:val="21"/>
      <w:lang w:val="en-US" w:eastAsia="zh-CN" w:bidi="ar-SA"/>
    </w:rPr>
  </w:style>
  <w:style w:type="character" w:customStyle="1" w:styleId="105">
    <w:name w:val="二级条标题 Char Char"/>
    <w:link w:val="102"/>
    <w:qFormat/>
    <w:uiPriority w:val="0"/>
    <w:rPr>
      <w:rFonts w:ascii="黑体" w:eastAsia="黑体"/>
      <w:sz w:val="21"/>
    </w:rPr>
  </w:style>
  <w:style w:type="character" w:customStyle="1" w:styleId="106">
    <w:name w:val="章标题 Char Char"/>
    <w:link w:val="104"/>
    <w:qFormat/>
    <w:uiPriority w:val="0"/>
    <w:rPr>
      <w:rFonts w:ascii="黑体" w:eastAsia="黑体"/>
      <w:sz w:val="21"/>
      <w:lang w:val="en-US" w:eastAsia="zh-CN" w:bidi="ar-SA"/>
    </w:rPr>
  </w:style>
  <w:style w:type="character" w:customStyle="1" w:styleId="107">
    <w:name w:val="一级条标题 Char Char"/>
    <w:link w:val="103"/>
    <w:qFormat/>
    <w:uiPriority w:val="0"/>
    <w:rPr>
      <w:rFonts w:ascii="黑体" w:eastAsia="黑体"/>
      <w:sz w:val="21"/>
    </w:rPr>
  </w:style>
  <w:style w:type="paragraph" w:customStyle="1" w:styleId="108">
    <w:name w:val="正文图标题"/>
    <w:next w:val="99"/>
    <w:qFormat/>
    <w:uiPriority w:val="0"/>
    <w:pPr>
      <w:ind w:left="360" w:hanging="360"/>
      <w:jc w:val="center"/>
    </w:pPr>
    <w:rPr>
      <w:rFonts w:ascii="黑体" w:hAnsi="Times New Roman" w:eastAsia="黑体" w:cs="Times New Roman"/>
      <w:sz w:val="21"/>
      <w:lang w:val="en-US" w:eastAsia="zh-CN" w:bidi="ar-SA"/>
    </w:rPr>
  </w:style>
  <w:style w:type="paragraph" w:customStyle="1" w:styleId="109">
    <w:name w:val="正文表标题"/>
    <w:next w:val="99"/>
    <w:qFormat/>
    <w:uiPriority w:val="0"/>
    <w:pPr>
      <w:ind w:left="360" w:hanging="360"/>
      <w:jc w:val="center"/>
    </w:pPr>
    <w:rPr>
      <w:rFonts w:ascii="黑体" w:hAnsi="Times New Roman" w:eastAsia="黑体" w:cs="Times New Roman"/>
      <w:sz w:val="21"/>
      <w:lang w:val="en-US" w:eastAsia="zh-CN" w:bidi="ar-SA"/>
    </w:rPr>
  </w:style>
  <w:style w:type="paragraph" w:customStyle="1" w:styleId="110">
    <w:name w:val="目次、标准名称标题"/>
    <w:basedOn w:val="1"/>
    <w:next w:val="99"/>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11">
    <w:name w:val="纯文本 Char1"/>
    <w:qFormat/>
    <w:uiPriority w:val="0"/>
    <w:rPr>
      <w:rFonts w:ascii="宋体" w:hAnsi="Courier New" w:eastAsia="宋体" w:cs="Courier New"/>
      <w:sz w:val="21"/>
      <w:szCs w:val="21"/>
    </w:rPr>
  </w:style>
  <w:style w:type="character" w:customStyle="1" w:styleId="112">
    <w:name w:val="无间隔 Char1"/>
    <w:link w:val="97"/>
    <w:qFormat/>
    <w:uiPriority w:val="1"/>
    <w:rPr>
      <w:rFonts w:ascii="Times New Roman" w:hAnsi="Times New Roman"/>
      <w:kern w:val="2"/>
      <w:sz w:val="21"/>
      <w:szCs w:val="24"/>
      <w:lang w:bidi="ar-SA"/>
    </w:rPr>
  </w:style>
  <w:style w:type="character" w:customStyle="1" w:styleId="113">
    <w:name w:val="HTML 预设格式 Char"/>
    <w:link w:val="27"/>
    <w:qFormat/>
    <w:uiPriority w:val="99"/>
    <w:rPr>
      <w:rFonts w:ascii="宋体" w:hAnsi="宋体" w:cs="宋体"/>
      <w:sz w:val="24"/>
      <w:szCs w:val="24"/>
    </w:rPr>
  </w:style>
  <w:style w:type="character" w:customStyle="1" w:styleId="114">
    <w:name w:val="页眉 Char"/>
    <w:qFormat/>
    <w:uiPriority w:val="99"/>
    <w:rPr>
      <w:lang w:eastAsia="zh-CN"/>
    </w:rPr>
  </w:style>
  <w:style w:type="character" w:customStyle="1" w:styleId="115">
    <w:name w:val="textcontents"/>
    <w:qFormat/>
    <w:uiPriority w:val="0"/>
    <w:rPr>
      <w:rFonts w:cs="Times New Roman"/>
    </w:rPr>
  </w:style>
  <w:style w:type="character" w:customStyle="1" w:styleId="116">
    <w:name w:val="标题4 Char Char"/>
    <w:link w:val="117"/>
    <w:qFormat/>
    <w:uiPriority w:val="0"/>
    <w:rPr>
      <w:rFonts w:ascii="Arial" w:hAnsi="Arial"/>
      <w:b/>
      <w:bCs/>
      <w:sz w:val="24"/>
      <w:szCs w:val="32"/>
    </w:rPr>
  </w:style>
  <w:style w:type="paragraph" w:customStyle="1" w:styleId="117">
    <w:name w:val="标题4"/>
    <w:basedOn w:val="4"/>
    <w:next w:val="15"/>
    <w:link w:val="116"/>
    <w:qFormat/>
    <w:uiPriority w:val="0"/>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118">
    <w:name w:val="tabg"/>
    <w:qFormat/>
    <w:uiPriority w:val="0"/>
    <w:rPr>
      <w:rFonts w:ascii="微软雅黑" w:hAnsi="微软雅黑" w:eastAsia="微软雅黑" w:cs="微软雅黑"/>
      <w:color w:val="FFFFFF"/>
      <w:sz w:val="27"/>
      <w:szCs w:val="27"/>
    </w:rPr>
  </w:style>
  <w:style w:type="paragraph" w:customStyle="1" w:styleId="119">
    <w:name w:val="xl15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120">
    <w:name w:val="Table Paragraph"/>
    <w:basedOn w:val="1"/>
    <w:qFormat/>
    <w:uiPriority w:val="1"/>
    <w:rPr>
      <w:rFonts w:ascii="宋体" w:hAnsi="宋体" w:eastAsia="宋体" w:cs="宋体"/>
      <w:lang w:val="zh-CN" w:eastAsia="zh-CN" w:bidi="zh-CN"/>
    </w:rPr>
  </w:style>
  <w:style w:type="character" w:customStyle="1" w:styleId="121">
    <w:name w:val="font01"/>
    <w:basedOn w:val="34"/>
    <w:qFormat/>
    <w:uiPriority w:val="0"/>
    <w:rPr>
      <w:rFonts w:hint="eastAsia" w:ascii="宋体" w:hAnsi="宋体" w:eastAsia="宋体" w:cs="宋体"/>
      <w:color w:val="000000"/>
      <w:sz w:val="20"/>
      <w:szCs w:val="20"/>
      <w:u w:val="none"/>
    </w:rPr>
  </w:style>
  <w:style w:type="character" w:customStyle="1" w:styleId="122">
    <w:name w:val="font191"/>
    <w:basedOn w:val="34"/>
    <w:qFormat/>
    <w:uiPriority w:val="0"/>
    <w:rPr>
      <w:rFonts w:hint="eastAsia" w:ascii="宋体" w:hAnsi="宋体" w:eastAsia="宋体" w:cs="宋体"/>
      <w:color w:val="000000"/>
      <w:sz w:val="16"/>
      <w:szCs w:val="16"/>
      <w:u w:val="none"/>
    </w:rPr>
  </w:style>
  <w:style w:type="character" w:customStyle="1" w:styleId="123">
    <w:name w:val="font51"/>
    <w:basedOn w:val="34"/>
    <w:qFormat/>
    <w:uiPriority w:val="0"/>
    <w:rPr>
      <w:rFonts w:hint="eastAsia" w:ascii="宋体" w:hAnsi="宋体" w:eastAsia="宋体" w:cs="宋体"/>
      <w:color w:val="000000"/>
      <w:sz w:val="18"/>
      <w:szCs w:val="18"/>
      <w:u w:val="none"/>
    </w:rPr>
  </w:style>
  <w:style w:type="character" w:customStyle="1" w:styleId="124">
    <w:name w:val="font151"/>
    <w:basedOn w:val="3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5957</Words>
  <Characters>33958</Characters>
  <Lines>282</Lines>
  <Paragraphs>79</Paragraphs>
  <TotalTime>394</TotalTime>
  <ScaleCrop>false</ScaleCrop>
  <LinksUpToDate>false</LinksUpToDate>
  <CharactersWithSpaces>39836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2019-01-07T09:57:00Z</dcterms:created>
  <dc:creator>李青</dc:creator>
  <cp:lastModifiedBy>早</cp:lastModifiedBy>
  <cp:lastPrinted>2018-06-19T07:41:00Z</cp:lastPrinted>
  <dcterms:modified xsi:type="dcterms:W3CDTF">2020-09-04T08:01:23Z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