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hint="eastAsia" w:ascii="宋体" w:hAnsi="宋体" w:eastAsia="宋体" w:cs="宋体"/>
          <w:b/>
          <w:sz w:val="24"/>
          <w:szCs w:val="24"/>
        </w:rPr>
      </w:pPr>
    </w:p>
    <w:p>
      <w:pPr>
        <w:adjustRightInd w:val="0"/>
        <w:spacing w:line="360" w:lineRule="auto"/>
        <w:textAlignment w:val="baseline"/>
        <w:rPr>
          <w:rFonts w:hint="eastAsia" w:ascii="宋体" w:hAnsi="宋体" w:eastAsia="宋体" w:cs="宋体"/>
          <w:sz w:val="24"/>
          <w:szCs w:val="24"/>
        </w:rPr>
      </w:pPr>
    </w:p>
    <w:p>
      <w:pPr>
        <w:adjustRightInd w:val="0"/>
        <w:spacing w:line="360" w:lineRule="auto"/>
        <w:jc w:val="center"/>
        <w:textAlignment w:val="baseline"/>
        <w:rPr>
          <w:rFonts w:hint="eastAsia" w:ascii="宋体" w:hAnsi="宋体" w:eastAsia="宋体" w:cs="宋体"/>
          <w:sz w:val="24"/>
          <w:szCs w:val="24"/>
        </w:rPr>
      </w:pPr>
    </w:p>
    <w:p>
      <w:pPr>
        <w:pStyle w:val="28"/>
        <w:spacing w:before="0" w:after="0" w:line="360" w:lineRule="auto"/>
        <w:rPr>
          <w:rFonts w:hint="eastAsia" w:ascii="宋体" w:hAnsi="宋体" w:eastAsia="宋体" w:cs="宋体"/>
          <w:sz w:val="72"/>
          <w:szCs w:val="72"/>
        </w:rPr>
      </w:pPr>
      <w:bookmarkStart w:id="0" w:name="_Toc449568588"/>
      <w:r>
        <w:rPr>
          <w:rFonts w:hint="eastAsia" w:ascii="宋体" w:hAnsi="宋体" w:eastAsia="宋体" w:cs="宋体"/>
          <w:sz w:val="72"/>
          <w:szCs w:val="72"/>
        </w:rPr>
        <w:t>竞争性磋商文件</w:t>
      </w:r>
      <w:bookmarkEnd w:id="0"/>
    </w:p>
    <w:p>
      <w:pPr>
        <w:pStyle w:val="28"/>
        <w:rPr>
          <w:rFonts w:hint="eastAsia" w:ascii="宋体" w:hAnsi="宋体" w:eastAsia="宋体" w:cs="宋体"/>
          <w:sz w:val="24"/>
          <w:szCs w:val="24"/>
        </w:rPr>
      </w:pPr>
    </w:p>
    <w:p>
      <w:pPr>
        <w:adjustRightInd w:val="0"/>
        <w:spacing w:line="360" w:lineRule="auto"/>
        <w:jc w:val="center"/>
        <w:textAlignment w:val="baseline"/>
        <w:rPr>
          <w:rFonts w:hint="eastAsia" w:ascii="宋体" w:hAnsi="宋体" w:eastAsia="宋体" w:cs="宋体"/>
          <w:sz w:val="24"/>
          <w:szCs w:val="24"/>
        </w:rPr>
      </w:pPr>
    </w:p>
    <w:p>
      <w:pPr>
        <w:adjustRightInd w:val="0"/>
        <w:spacing w:line="360" w:lineRule="auto"/>
        <w:jc w:val="center"/>
        <w:textAlignment w:val="baseline"/>
        <w:rPr>
          <w:rFonts w:hint="eastAsia" w:ascii="宋体" w:hAnsi="宋体" w:eastAsia="宋体" w:cs="宋体"/>
          <w:sz w:val="24"/>
          <w:szCs w:val="24"/>
        </w:rPr>
      </w:pPr>
    </w:p>
    <w:p>
      <w:pPr>
        <w:adjustRightInd w:val="0"/>
        <w:spacing w:line="360" w:lineRule="auto"/>
        <w:textAlignment w:val="baseline"/>
        <w:rPr>
          <w:rFonts w:hint="eastAsia" w:ascii="宋体" w:hAnsi="宋体" w:eastAsia="宋体" w:cs="宋体"/>
          <w:sz w:val="24"/>
          <w:szCs w:val="24"/>
        </w:rPr>
      </w:pPr>
    </w:p>
    <w:p>
      <w:pPr>
        <w:spacing w:line="480" w:lineRule="auto"/>
        <w:ind w:firstLine="843" w:firstLineChars="300"/>
        <w:rPr>
          <w:rFonts w:hint="eastAsia" w:ascii="宋体" w:hAnsi="宋体" w:eastAsia="宋体" w:cs="宋体"/>
          <w:b/>
          <w:kern w:val="0"/>
          <w:sz w:val="28"/>
          <w:szCs w:val="28"/>
          <w:lang w:eastAsia="zh-CN"/>
        </w:rPr>
      </w:pPr>
      <w:r>
        <w:rPr>
          <w:rFonts w:hint="eastAsia" w:ascii="宋体" w:hAnsi="宋体" w:eastAsia="宋体" w:cs="宋体"/>
          <w:b/>
          <w:kern w:val="0"/>
          <w:sz w:val="28"/>
          <w:szCs w:val="28"/>
        </w:rPr>
        <w:t>采购项目名称：</w:t>
      </w:r>
      <w:r>
        <w:rPr>
          <w:rFonts w:hint="eastAsia" w:ascii="宋体" w:hAnsi="宋体" w:eastAsia="宋体" w:cs="宋体"/>
          <w:b/>
          <w:kern w:val="0"/>
          <w:sz w:val="28"/>
          <w:szCs w:val="28"/>
          <w:lang w:eastAsia="zh-CN"/>
        </w:rPr>
        <w:t>大通兴农基层供销社标杆社建设项目-罐装线设备采购</w:t>
      </w:r>
    </w:p>
    <w:p>
      <w:pPr>
        <w:spacing w:line="480" w:lineRule="auto"/>
        <w:ind w:firstLine="2811" w:firstLineChars="1000"/>
        <w:rPr>
          <w:rFonts w:hint="eastAsia" w:ascii="宋体" w:hAnsi="宋体" w:eastAsia="宋体" w:cs="宋体"/>
          <w:b/>
          <w:kern w:val="0"/>
          <w:sz w:val="28"/>
          <w:szCs w:val="28"/>
        </w:rPr>
      </w:pPr>
      <w:r>
        <w:rPr>
          <w:rFonts w:hint="eastAsia" w:ascii="宋体" w:hAnsi="宋体" w:eastAsia="宋体" w:cs="宋体"/>
          <w:b/>
          <w:kern w:val="0"/>
          <w:sz w:val="28"/>
          <w:szCs w:val="28"/>
          <w:lang w:eastAsia="zh-CN"/>
        </w:rPr>
        <w:t>及安装（标段二）</w:t>
      </w:r>
    </w:p>
    <w:p>
      <w:pPr>
        <w:widowControl/>
        <w:adjustRightInd w:val="0"/>
        <w:snapToGrid w:val="0"/>
        <w:spacing w:line="480" w:lineRule="auto"/>
        <w:ind w:firstLine="843" w:firstLineChars="300"/>
        <w:jc w:val="left"/>
        <w:textAlignment w:val="baseline"/>
        <w:rPr>
          <w:rFonts w:hint="eastAsia" w:ascii="宋体" w:hAnsi="宋体" w:eastAsia="宋体" w:cs="宋体"/>
          <w:b/>
          <w:kern w:val="0"/>
          <w:sz w:val="28"/>
          <w:szCs w:val="28"/>
          <w:lang w:eastAsia="zh-CN"/>
        </w:rPr>
      </w:pPr>
      <w:r>
        <w:rPr>
          <w:rFonts w:hint="eastAsia" w:ascii="宋体" w:hAnsi="宋体" w:eastAsia="宋体" w:cs="宋体"/>
          <w:b/>
          <w:kern w:val="0"/>
          <w:sz w:val="28"/>
          <w:szCs w:val="28"/>
        </w:rPr>
        <w:t>采购项目编号：</w:t>
      </w:r>
      <w:r>
        <w:rPr>
          <w:rFonts w:hint="eastAsia" w:ascii="宋体" w:hAnsi="宋体" w:eastAsia="宋体" w:cs="宋体"/>
          <w:b/>
          <w:kern w:val="0"/>
          <w:sz w:val="28"/>
          <w:szCs w:val="28"/>
          <w:lang w:eastAsia="zh-CN"/>
        </w:rPr>
        <w:t>青海国焱竞磋（货物）2022-161号</w:t>
      </w:r>
    </w:p>
    <w:p>
      <w:pPr>
        <w:widowControl/>
        <w:adjustRightInd w:val="0"/>
        <w:snapToGrid w:val="0"/>
        <w:spacing w:line="480" w:lineRule="auto"/>
        <w:ind w:firstLine="843" w:firstLineChars="300"/>
        <w:jc w:val="left"/>
        <w:textAlignment w:val="baseline"/>
        <w:rPr>
          <w:rFonts w:hint="eastAsia" w:ascii="宋体" w:hAnsi="宋体" w:eastAsia="宋体" w:cs="宋体"/>
          <w:b/>
          <w:kern w:val="0"/>
          <w:sz w:val="28"/>
          <w:szCs w:val="28"/>
        </w:rPr>
      </w:pPr>
      <w:r>
        <w:rPr>
          <w:rFonts w:hint="eastAsia" w:ascii="宋体" w:hAnsi="宋体" w:eastAsia="宋体" w:cs="宋体"/>
          <w:b/>
          <w:kern w:val="0"/>
          <w:sz w:val="28"/>
          <w:szCs w:val="28"/>
        </w:rPr>
        <w:t>采 购 单 位</w:t>
      </w:r>
      <w:r>
        <w:rPr>
          <w:rFonts w:hint="eastAsia" w:ascii="宋体" w:hAnsi="宋体" w:eastAsia="宋体" w:cs="宋体"/>
          <w:sz w:val="28"/>
          <w:szCs w:val="28"/>
        </w:rPr>
        <w:t>：</w:t>
      </w:r>
      <w:r>
        <w:rPr>
          <w:rFonts w:hint="eastAsia" w:ascii="宋体" w:hAnsi="宋体" w:eastAsia="宋体" w:cs="宋体"/>
          <w:b/>
          <w:kern w:val="0"/>
          <w:sz w:val="28"/>
          <w:szCs w:val="28"/>
          <w:lang w:eastAsia="zh-CN"/>
        </w:rPr>
        <w:t>大通县兴农供销合作社</w:t>
      </w:r>
      <w:r>
        <w:rPr>
          <w:rFonts w:hint="eastAsia" w:ascii="宋体" w:hAnsi="宋体" w:eastAsia="宋体" w:cs="宋体"/>
          <w:b/>
          <w:kern w:val="0"/>
          <w:sz w:val="28"/>
          <w:szCs w:val="28"/>
        </w:rPr>
        <w:t xml:space="preserve"> </w:t>
      </w:r>
    </w:p>
    <w:p>
      <w:pPr>
        <w:widowControl/>
        <w:adjustRightInd w:val="0"/>
        <w:snapToGrid w:val="0"/>
        <w:spacing w:line="480" w:lineRule="auto"/>
        <w:ind w:firstLine="843" w:firstLineChars="300"/>
        <w:jc w:val="left"/>
        <w:textAlignment w:val="baseline"/>
        <w:rPr>
          <w:rFonts w:hint="eastAsia" w:ascii="宋体" w:hAnsi="宋体" w:eastAsia="宋体" w:cs="宋体"/>
          <w:b/>
          <w:bCs/>
          <w:sz w:val="28"/>
          <w:szCs w:val="28"/>
        </w:rPr>
      </w:pPr>
      <w:r>
        <w:rPr>
          <w:rFonts w:hint="eastAsia" w:ascii="宋体" w:hAnsi="宋体" w:eastAsia="宋体" w:cs="宋体"/>
          <w:b/>
          <w:bCs/>
          <w:sz w:val="28"/>
          <w:szCs w:val="28"/>
        </w:rPr>
        <w:t>采购代理机构：青海国焱工程项目管理有限公司</w:t>
      </w:r>
    </w:p>
    <w:p>
      <w:pPr>
        <w:adjustRightInd w:val="0"/>
        <w:spacing w:line="480" w:lineRule="auto"/>
        <w:jc w:val="center"/>
        <w:textAlignment w:val="baseline"/>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adjustRightIn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2022年0</w:t>
      </w: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月</w:t>
      </w: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8"/>
          <w:szCs w:val="28"/>
        </w:rPr>
        <w:t>目录</w:t>
      </w:r>
    </w:p>
    <w:p>
      <w:pPr>
        <w:pStyle w:val="21"/>
        <w:tabs>
          <w:tab w:val="right" w:leader="dot" w:pos="9752"/>
          <w:tab w:val="clear" w:pos="829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\h \z \t "标题 1,1,标题 2,1,标题 3,1,标题 4,1,标题 5,1,标题 6,1,标题 7,1,副标题,1" </w:instrText>
      </w:r>
      <w:r>
        <w:rPr>
          <w:rFonts w:hint="eastAsia" w:ascii="宋体" w:hAnsi="宋体" w:eastAsia="宋体" w:cs="宋体"/>
          <w:sz w:val="24"/>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_Toc8019 </w:instrText>
      </w:r>
      <w:r>
        <w:rPr>
          <w:rFonts w:hint="eastAsia" w:ascii="宋体" w:hAnsi="宋体" w:eastAsia="宋体" w:cs="宋体"/>
          <w:szCs w:val="24"/>
        </w:rPr>
        <w:fldChar w:fldCharType="separate"/>
      </w:r>
      <w:r>
        <w:rPr>
          <w:rFonts w:hint="eastAsia" w:ascii="宋体" w:hAnsi="宋体" w:eastAsia="宋体" w:cs="宋体"/>
          <w:szCs w:val="36"/>
        </w:rPr>
        <w:t>第一部分磋商邀请</w:t>
      </w:r>
      <w:r>
        <w:tab/>
      </w:r>
      <w:r>
        <w:fldChar w:fldCharType="begin"/>
      </w:r>
      <w:r>
        <w:instrText xml:space="preserve"> PAGEREF _Toc8019 \h </w:instrText>
      </w:r>
      <w:r>
        <w:fldChar w:fldCharType="separate"/>
      </w:r>
      <w:r>
        <w:t>3</w:t>
      </w:r>
      <w:r>
        <w:fldChar w:fldCharType="end"/>
      </w:r>
      <w:r>
        <w:rPr>
          <w:rFonts w:hint="eastAsia" w:ascii="宋体" w:hAnsi="宋体" w:eastAsia="宋体" w:cs="宋体"/>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_Toc21810 </w:instrText>
      </w:r>
      <w:r>
        <w:rPr>
          <w:rFonts w:hint="eastAsia" w:ascii="宋体" w:hAnsi="宋体" w:eastAsia="宋体" w:cs="宋体"/>
          <w:bCs/>
          <w:szCs w:val="24"/>
        </w:rPr>
        <w:fldChar w:fldCharType="separate"/>
      </w:r>
      <w:r>
        <w:rPr>
          <w:rFonts w:hint="eastAsia" w:ascii="宋体" w:hAnsi="宋体" w:eastAsia="宋体" w:cs="宋体"/>
          <w:szCs w:val="36"/>
        </w:rPr>
        <w:t>第二部分磋商供应商须知前附表</w:t>
      </w:r>
      <w:r>
        <w:tab/>
      </w:r>
      <w:r>
        <w:fldChar w:fldCharType="begin"/>
      </w:r>
      <w:r>
        <w:instrText xml:space="preserve"> PAGEREF _Toc21810 \h </w:instrText>
      </w:r>
      <w:r>
        <w:fldChar w:fldCharType="separate"/>
      </w:r>
      <w:r>
        <w:t>6</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_Toc17039 </w:instrText>
      </w:r>
      <w:r>
        <w:rPr>
          <w:rFonts w:hint="eastAsia" w:ascii="宋体" w:hAnsi="宋体" w:eastAsia="宋体" w:cs="宋体"/>
          <w:bCs/>
          <w:szCs w:val="24"/>
        </w:rPr>
        <w:fldChar w:fldCharType="separate"/>
      </w:r>
      <w:r>
        <w:rPr>
          <w:rFonts w:hint="eastAsia" w:ascii="宋体" w:hAnsi="宋体" w:eastAsia="宋体" w:cs="宋体"/>
          <w:szCs w:val="36"/>
        </w:rPr>
        <w:t>第三部分磋商供应商须知</w:t>
      </w:r>
      <w:r>
        <w:tab/>
      </w:r>
      <w:r>
        <w:fldChar w:fldCharType="begin"/>
      </w:r>
      <w:r>
        <w:instrText xml:space="preserve"> PAGEREF _Toc17039 \h </w:instrText>
      </w:r>
      <w:r>
        <w:fldChar w:fldCharType="separate"/>
      </w:r>
      <w:r>
        <w:t>9</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_Toc17723 </w:instrText>
      </w:r>
      <w:r>
        <w:rPr>
          <w:rFonts w:hint="eastAsia" w:ascii="宋体" w:hAnsi="宋体" w:eastAsia="宋体" w:cs="宋体"/>
          <w:bCs/>
          <w:szCs w:val="24"/>
        </w:rPr>
        <w:fldChar w:fldCharType="separate"/>
      </w:r>
      <w:r>
        <w:rPr>
          <w:rFonts w:hint="eastAsia" w:ascii="宋体" w:hAnsi="宋体" w:eastAsia="宋体" w:cs="宋体"/>
          <w:szCs w:val="24"/>
        </w:rPr>
        <w:t>一、 说明</w:t>
      </w:r>
      <w:r>
        <w:tab/>
      </w:r>
      <w:r>
        <w:fldChar w:fldCharType="begin"/>
      </w:r>
      <w:r>
        <w:instrText xml:space="preserve"> PAGEREF _Toc17723 \h </w:instrText>
      </w:r>
      <w:r>
        <w:fldChar w:fldCharType="separate"/>
      </w:r>
      <w:r>
        <w:t>9</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_Toc13794 </w:instrText>
      </w:r>
      <w:r>
        <w:rPr>
          <w:rFonts w:hint="eastAsia" w:ascii="宋体" w:hAnsi="宋体" w:eastAsia="宋体" w:cs="宋体"/>
          <w:bCs/>
          <w:szCs w:val="24"/>
        </w:rPr>
        <w:fldChar w:fldCharType="separate"/>
      </w:r>
      <w:r>
        <w:rPr>
          <w:rFonts w:hint="default" w:ascii="宋体" w:hAnsi="宋体" w:eastAsia="宋体" w:cs="宋体"/>
          <w:szCs w:val="24"/>
        </w:rPr>
        <w:t xml:space="preserve">1、 </w:t>
      </w:r>
      <w:r>
        <w:rPr>
          <w:rFonts w:hint="eastAsia" w:ascii="宋体" w:hAnsi="宋体" w:eastAsia="宋体" w:cs="宋体"/>
          <w:szCs w:val="24"/>
        </w:rPr>
        <w:t>磋商内容及要求</w:t>
      </w:r>
      <w:r>
        <w:tab/>
      </w:r>
      <w:r>
        <w:fldChar w:fldCharType="begin"/>
      </w:r>
      <w:r>
        <w:instrText xml:space="preserve"> PAGEREF _Toc13794 \h </w:instrText>
      </w:r>
      <w:r>
        <w:fldChar w:fldCharType="separate"/>
      </w:r>
      <w:r>
        <w:t>9</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_Toc12059 </w:instrText>
      </w:r>
      <w:r>
        <w:rPr>
          <w:rFonts w:hint="eastAsia" w:ascii="宋体" w:hAnsi="宋体" w:eastAsia="宋体" w:cs="宋体"/>
          <w:bCs/>
          <w:szCs w:val="24"/>
        </w:rPr>
        <w:fldChar w:fldCharType="separate"/>
      </w:r>
      <w:r>
        <w:rPr>
          <w:rFonts w:hint="default" w:ascii="宋体" w:hAnsi="宋体" w:eastAsia="宋体" w:cs="宋体"/>
          <w:szCs w:val="24"/>
        </w:rPr>
        <w:t xml:space="preserve">2、 </w:t>
      </w:r>
      <w:r>
        <w:rPr>
          <w:rFonts w:hint="eastAsia" w:ascii="宋体" w:hAnsi="宋体" w:eastAsia="宋体" w:cs="宋体"/>
          <w:szCs w:val="24"/>
        </w:rPr>
        <w:t>采购方式、合格的磋商供应商</w:t>
      </w:r>
      <w:r>
        <w:tab/>
      </w:r>
      <w:r>
        <w:fldChar w:fldCharType="begin"/>
      </w:r>
      <w:r>
        <w:instrText xml:space="preserve"> PAGEREF _Toc12059 \h </w:instrText>
      </w:r>
      <w:r>
        <w:fldChar w:fldCharType="separate"/>
      </w:r>
      <w:r>
        <w:t>9</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_Toc600 </w:instrText>
      </w:r>
      <w:r>
        <w:rPr>
          <w:rFonts w:hint="eastAsia" w:ascii="宋体" w:hAnsi="宋体" w:eastAsia="宋体" w:cs="宋体"/>
          <w:bCs/>
          <w:szCs w:val="24"/>
        </w:rPr>
        <w:fldChar w:fldCharType="separate"/>
      </w:r>
      <w:r>
        <w:rPr>
          <w:rFonts w:hint="default" w:ascii="宋体" w:hAnsi="宋体" w:eastAsia="宋体" w:cs="宋体"/>
          <w:szCs w:val="24"/>
        </w:rPr>
        <w:t xml:space="preserve">3、 </w:t>
      </w:r>
      <w:r>
        <w:rPr>
          <w:rFonts w:hint="eastAsia" w:ascii="宋体" w:hAnsi="宋体" w:eastAsia="宋体" w:cs="宋体"/>
          <w:szCs w:val="24"/>
        </w:rPr>
        <w:t>磋商费用</w:t>
      </w:r>
      <w:r>
        <w:tab/>
      </w:r>
      <w:r>
        <w:fldChar w:fldCharType="begin"/>
      </w:r>
      <w:r>
        <w:instrText xml:space="preserve"> PAGEREF _Toc600 \h </w:instrText>
      </w:r>
      <w:r>
        <w:fldChar w:fldCharType="separate"/>
      </w:r>
      <w:r>
        <w:t>9</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_Toc10904 </w:instrText>
      </w:r>
      <w:r>
        <w:rPr>
          <w:rFonts w:hint="eastAsia" w:ascii="宋体" w:hAnsi="宋体" w:eastAsia="宋体" w:cs="宋体"/>
          <w:bCs/>
          <w:szCs w:val="24"/>
        </w:rPr>
        <w:fldChar w:fldCharType="separate"/>
      </w:r>
      <w:r>
        <w:rPr>
          <w:rFonts w:hint="eastAsia" w:ascii="宋体" w:hAnsi="宋体" w:eastAsia="宋体" w:cs="宋体"/>
          <w:szCs w:val="24"/>
        </w:rPr>
        <w:t>二、 磋商文件说明</w:t>
      </w:r>
      <w:r>
        <w:tab/>
      </w:r>
      <w:r>
        <w:fldChar w:fldCharType="begin"/>
      </w:r>
      <w:r>
        <w:instrText xml:space="preserve"> PAGEREF _Toc10904 \h </w:instrText>
      </w:r>
      <w:r>
        <w:fldChar w:fldCharType="separate"/>
      </w:r>
      <w:r>
        <w:t>9</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_Toc28638 </w:instrText>
      </w:r>
      <w:r>
        <w:rPr>
          <w:rFonts w:hint="eastAsia" w:ascii="宋体" w:hAnsi="宋体" w:eastAsia="宋体" w:cs="宋体"/>
          <w:bCs/>
          <w:szCs w:val="24"/>
        </w:rPr>
        <w:fldChar w:fldCharType="separate"/>
      </w:r>
      <w:r>
        <w:rPr>
          <w:rFonts w:hint="default" w:ascii="宋体" w:hAnsi="宋体" w:eastAsia="宋体" w:cs="宋体"/>
          <w:szCs w:val="24"/>
        </w:rPr>
        <w:t xml:space="preserve">4、 </w:t>
      </w:r>
      <w:r>
        <w:rPr>
          <w:rFonts w:hint="eastAsia" w:ascii="宋体" w:hAnsi="宋体" w:eastAsia="宋体" w:cs="宋体"/>
          <w:szCs w:val="24"/>
        </w:rPr>
        <w:t>磋商文件的构成</w:t>
      </w:r>
      <w:r>
        <w:tab/>
      </w:r>
      <w:r>
        <w:fldChar w:fldCharType="begin"/>
      </w:r>
      <w:r>
        <w:instrText xml:space="preserve"> PAGEREF _Toc28638 \h </w:instrText>
      </w:r>
      <w:r>
        <w:fldChar w:fldCharType="separate"/>
      </w:r>
      <w:r>
        <w:t>10</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_Toc14886 </w:instrText>
      </w:r>
      <w:r>
        <w:rPr>
          <w:rFonts w:hint="eastAsia" w:ascii="宋体" w:hAnsi="宋体" w:eastAsia="宋体" w:cs="宋体"/>
          <w:bCs/>
          <w:szCs w:val="24"/>
        </w:rPr>
        <w:fldChar w:fldCharType="separate"/>
      </w:r>
      <w:r>
        <w:rPr>
          <w:rFonts w:hint="default" w:ascii="宋体" w:hAnsi="宋体" w:eastAsia="宋体" w:cs="宋体"/>
          <w:szCs w:val="24"/>
        </w:rPr>
        <w:t xml:space="preserve">5、 </w:t>
      </w:r>
      <w:r>
        <w:rPr>
          <w:rFonts w:hint="eastAsia" w:ascii="宋体" w:hAnsi="宋体" w:eastAsia="宋体" w:cs="宋体"/>
          <w:szCs w:val="24"/>
        </w:rPr>
        <w:t>磋商文件、磋商活动和中标结果的质疑</w:t>
      </w:r>
      <w:r>
        <w:tab/>
      </w:r>
      <w:r>
        <w:fldChar w:fldCharType="begin"/>
      </w:r>
      <w:r>
        <w:instrText xml:space="preserve"> PAGEREF _Toc14886 \h </w:instrText>
      </w:r>
      <w:r>
        <w:fldChar w:fldCharType="separate"/>
      </w:r>
      <w:r>
        <w:t>10</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_Toc20593 </w:instrText>
      </w:r>
      <w:r>
        <w:rPr>
          <w:rFonts w:hint="eastAsia" w:ascii="宋体" w:hAnsi="宋体" w:eastAsia="宋体" w:cs="宋体"/>
          <w:bCs/>
          <w:szCs w:val="24"/>
        </w:rPr>
        <w:fldChar w:fldCharType="separate"/>
      </w:r>
      <w:r>
        <w:rPr>
          <w:rFonts w:hint="default" w:ascii="宋体" w:hAnsi="宋体" w:eastAsia="宋体" w:cs="宋体"/>
          <w:szCs w:val="24"/>
        </w:rPr>
        <w:t xml:space="preserve">6、 </w:t>
      </w:r>
      <w:r>
        <w:rPr>
          <w:rFonts w:hint="eastAsia" w:ascii="宋体" w:hAnsi="宋体" w:eastAsia="宋体" w:cs="宋体"/>
          <w:szCs w:val="24"/>
        </w:rPr>
        <w:t>磋商文件的修改</w:t>
      </w:r>
      <w:r>
        <w:tab/>
      </w:r>
      <w:r>
        <w:fldChar w:fldCharType="begin"/>
      </w:r>
      <w:r>
        <w:instrText xml:space="preserve"> PAGEREF _Toc20593 \h </w:instrText>
      </w:r>
      <w:r>
        <w:fldChar w:fldCharType="separate"/>
      </w:r>
      <w:r>
        <w:t>11</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_Toc9180 </w:instrText>
      </w:r>
      <w:r>
        <w:rPr>
          <w:rFonts w:hint="eastAsia" w:ascii="宋体" w:hAnsi="宋体" w:eastAsia="宋体" w:cs="宋体"/>
          <w:bCs/>
          <w:szCs w:val="24"/>
        </w:rPr>
        <w:fldChar w:fldCharType="separate"/>
      </w:r>
      <w:r>
        <w:rPr>
          <w:rFonts w:hint="eastAsia" w:ascii="宋体" w:hAnsi="宋体" w:eastAsia="宋体" w:cs="宋体"/>
          <w:szCs w:val="24"/>
        </w:rPr>
        <w:t>三、 磋商响应文件的编写</w:t>
      </w:r>
      <w:r>
        <w:tab/>
      </w:r>
      <w:r>
        <w:fldChar w:fldCharType="begin"/>
      </w:r>
      <w:r>
        <w:instrText xml:space="preserve"> PAGEREF _Toc9180 \h </w:instrText>
      </w:r>
      <w:r>
        <w:fldChar w:fldCharType="separate"/>
      </w:r>
      <w:r>
        <w:t>11</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_Toc17834 </w:instrText>
      </w:r>
      <w:r>
        <w:rPr>
          <w:rFonts w:hint="eastAsia" w:ascii="宋体" w:hAnsi="宋体" w:eastAsia="宋体" w:cs="宋体"/>
          <w:bCs/>
          <w:szCs w:val="24"/>
        </w:rPr>
        <w:fldChar w:fldCharType="separate"/>
      </w:r>
      <w:r>
        <w:rPr>
          <w:rFonts w:hint="default" w:ascii="宋体" w:hAnsi="宋体" w:eastAsia="宋体" w:cs="宋体"/>
          <w:szCs w:val="24"/>
        </w:rPr>
        <w:t xml:space="preserve">7、 </w:t>
      </w:r>
      <w:r>
        <w:rPr>
          <w:rFonts w:hint="eastAsia" w:ascii="宋体" w:hAnsi="宋体" w:eastAsia="宋体" w:cs="宋体"/>
          <w:szCs w:val="24"/>
        </w:rPr>
        <w:t>磋商响应文件的语言及度量衡单位</w:t>
      </w:r>
      <w:r>
        <w:tab/>
      </w:r>
      <w:r>
        <w:fldChar w:fldCharType="begin"/>
      </w:r>
      <w:r>
        <w:instrText xml:space="preserve"> PAGEREF _Toc17834 \h </w:instrText>
      </w:r>
      <w:r>
        <w:fldChar w:fldCharType="separate"/>
      </w:r>
      <w:r>
        <w:t>11</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_Toc12097 </w:instrText>
      </w:r>
      <w:r>
        <w:rPr>
          <w:rFonts w:hint="eastAsia" w:ascii="宋体" w:hAnsi="宋体" w:eastAsia="宋体" w:cs="宋体"/>
          <w:bCs/>
          <w:szCs w:val="24"/>
        </w:rPr>
        <w:fldChar w:fldCharType="separate"/>
      </w:r>
      <w:r>
        <w:rPr>
          <w:rFonts w:hint="default" w:ascii="宋体" w:hAnsi="宋体" w:eastAsia="宋体" w:cs="宋体"/>
          <w:szCs w:val="24"/>
        </w:rPr>
        <w:t xml:space="preserve">8、 </w:t>
      </w:r>
      <w:r>
        <w:rPr>
          <w:rFonts w:hint="eastAsia" w:ascii="宋体" w:hAnsi="宋体" w:eastAsia="宋体" w:cs="宋体"/>
          <w:szCs w:val="24"/>
        </w:rPr>
        <w:t>磋商报价及币种</w:t>
      </w:r>
      <w:r>
        <w:tab/>
      </w:r>
      <w:r>
        <w:fldChar w:fldCharType="begin"/>
      </w:r>
      <w:r>
        <w:instrText xml:space="preserve"> PAGEREF _Toc12097 \h </w:instrText>
      </w:r>
      <w:r>
        <w:fldChar w:fldCharType="separate"/>
      </w:r>
      <w:r>
        <w:t>11</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_Toc23525 </w:instrText>
      </w:r>
      <w:r>
        <w:rPr>
          <w:rFonts w:hint="eastAsia" w:ascii="宋体" w:hAnsi="宋体" w:eastAsia="宋体" w:cs="宋体"/>
          <w:bCs/>
          <w:szCs w:val="24"/>
        </w:rPr>
        <w:fldChar w:fldCharType="separate"/>
      </w:r>
      <w:r>
        <w:rPr>
          <w:rFonts w:hint="default" w:ascii="宋体" w:hAnsi="宋体" w:eastAsia="宋体" w:cs="宋体"/>
          <w:szCs w:val="24"/>
        </w:rPr>
        <w:t xml:space="preserve">9、 </w:t>
      </w:r>
      <w:r>
        <w:rPr>
          <w:rFonts w:hint="eastAsia" w:ascii="宋体" w:hAnsi="宋体" w:eastAsia="宋体" w:cs="宋体"/>
          <w:szCs w:val="24"/>
        </w:rPr>
        <w:t>磋商保证金</w:t>
      </w:r>
      <w:r>
        <w:tab/>
      </w:r>
      <w:r>
        <w:fldChar w:fldCharType="begin"/>
      </w:r>
      <w:r>
        <w:instrText xml:space="preserve"> PAGEREF _Toc23525 \h </w:instrText>
      </w:r>
      <w:r>
        <w:fldChar w:fldCharType="separate"/>
      </w:r>
      <w:r>
        <w:t>11</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_Toc22131 </w:instrText>
      </w:r>
      <w:r>
        <w:rPr>
          <w:rFonts w:hint="eastAsia" w:ascii="宋体" w:hAnsi="宋体" w:eastAsia="宋体" w:cs="宋体"/>
          <w:bCs/>
          <w:szCs w:val="24"/>
        </w:rPr>
        <w:fldChar w:fldCharType="separate"/>
      </w:r>
      <w:r>
        <w:rPr>
          <w:rFonts w:hint="default" w:ascii="宋体" w:hAnsi="宋体" w:eastAsia="宋体" w:cs="宋体"/>
          <w:szCs w:val="24"/>
        </w:rPr>
        <w:t xml:space="preserve">10、 </w:t>
      </w:r>
      <w:r>
        <w:rPr>
          <w:rFonts w:hint="eastAsia" w:ascii="宋体" w:hAnsi="宋体" w:eastAsia="宋体" w:cs="宋体"/>
          <w:szCs w:val="24"/>
        </w:rPr>
        <w:t>磋商有效期</w:t>
      </w:r>
      <w:r>
        <w:tab/>
      </w:r>
      <w:r>
        <w:fldChar w:fldCharType="begin"/>
      </w:r>
      <w:r>
        <w:instrText xml:space="preserve"> PAGEREF _Toc22131 \h </w:instrText>
      </w:r>
      <w:r>
        <w:fldChar w:fldCharType="separate"/>
      </w:r>
      <w:r>
        <w:t>12</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_Toc28492 </w:instrText>
      </w:r>
      <w:r>
        <w:rPr>
          <w:rFonts w:hint="eastAsia" w:ascii="宋体" w:hAnsi="宋体" w:eastAsia="宋体" w:cs="宋体"/>
          <w:bCs/>
          <w:szCs w:val="24"/>
        </w:rPr>
        <w:fldChar w:fldCharType="separate"/>
      </w:r>
      <w:r>
        <w:rPr>
          <w:rFonts w:hint="default" w:ascii="宋体" w:hAnsi="宋体" w:eastAsia="宋体" w:cs="宋体"/>
          <w:szCs w:val="24"/>
        </w:rPr>
        <w:t xml:space="preserve">11、 </w:t>
      </w:r>
      <w:r>
        <w:rPr>
          <w:rFonts w:hint="eastAsia" w:ascii="宋体" w:hAnsi="宋体" w:eastAsia="宋体" w:cs="宋体"/>
          <w:szCs w:val="24"/>
        </w:rPr>
        <w:t>磋商响应文件的构成</w:t>
      </w:r>
      <w:r>
        <w:tab/>
      </w:r>
      <w:r>
        <w:fldChar w:fldCharType="begin"/>
      </w:r>
      <w:r>
        <w:instrText xml:space="preserve"> PAGEREF _Toc28492 \h </w:instrText>
      </w:r>
      <w:r>
        <w:fldChar w:fldCharType="separate"/>
      </w:r>
      <w:r>
        <w:t>12</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_Toc11623 </w:instrText>
      </w:r>
      <w:r>
        <w:rPr>
          <w:rFonts w:hint="eastAsia" w:ascii="宋体" w:hAnsi="宋体" w:eastAsia="宋体" w:cs="宋体"/>
          <w:bCs/>
          <w:szCs w:val="24"/>
        </w:rPr>
        <w:fldChar w:fldCharType="separate"/>
      </w:r>
      <w:r>
        <w:rPr>
          <w:rFonts w:hint="default" w:ascii="宋体" w:hAnsi="宋体" w:eastAsia="宋体" w:cs="宋体"/>
          <w:szCs w:val="24"/>
        </w:rPr>
        <w:t xml:space="preserve">12、 </w:t>
      </w:r>
      <w:r>
        <w:rPr>
          <w:rFonts w:hint="eastAsia" w:ascii="宋体" w:hAnsi="宋体" w:eastAsia="宋体" w:cs="宋体"/>
          <w:szCs w:val="24"/>
        </w:rPr>
        <w:t>磋商响应文件的编制要求</w:t>
      </w:r>
      <w:r>
        <w:tab/>
      </w:r>
      <w:r>
        <w:fldChar w:fldCharType="begin"/>
      </w:r>
      <w:r>
        <w:instrText xml:space="preserve"> PAGEREF _Toc11623 \h </w:instrText>
      </w:r>
      <w:r>
        <w:fldChar w:fldCharType="separate"/>
      </w:r>
      <w:r>
        <w:t>12</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_Toc12943 </w:instrText>
      </w:r>
      <w:r>
        <w:rPr>
          <w:rFonts w:hint="eastAsia" w:ascii="宋体" w:hAnsi="宋体" w:eastAsia="宋体" w:cs="宋体"/>
          <w:bCs/>
          <w:szCs w:val="24"/>
        </w:rPr>
        <w:fldChar w:fldCharType="separate"/>
      </w:r>
      <w:r>
        <w:rPr>
          <w:rFonts w:hint="eastAsia" w:ascii="宋体" w:hAnsi="宋体" w:eastAsia="宋体" w:cs="宋体"/>
          <w:szCs w:val="24"/>
        </w:rPr>
        <w:t>四、 磋商响应文件的递交</w:t>
      </w:r>
      <w:r>
        <w:tab/>
      </w:r>
      <w:r>
        <w:fldChar w:fldCharType="begin"/>
      </w:r>
      <w:r>
        <w:instrText xml:space="preserve"> PAGEREF _Toc12943 \h </w:instrText>
      </w:r>
      <w:r>
        <w:fldChar w:fldCharType="separate"/>
      </w:r>
      <w:r>
        <w:t>13</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_Toc6237 </w:instrText>
      </w:r>
      <w:r>
        <w:rPr>
          <w:rFonts w:hint="eastAsia" w:ascii="宋体" w:hAnsi="宋体" w:eastAsia="宋体" w:cs="宋体"/>
          <w:bCs/>
          <w:szCs w:val="24"/>
        </w:rPr>
        <w:fldChar w:fldCharType="separate"/>
      </w:r>
      <w:r>
        <w:rPr>
          <w:rFonts w:hint="default" w:ascii="宋体" w:hAnsi="宋体" w:eastAsia="宋体" w:cs="宋体"/>
          <w:szCs w:val="24"/>
        </w:rPr>
        <w:t xml:space="preserve">13、 </w:t>
      </w:r>
      <w:r>
        <w:rPr>
          <w:rFonts w:hint="eastAsia" w:ascii="宋体" w:hAnsi="宋体" w:eastAsia="宋体" w:cs="宋体"/>
          <w:szCs w:val="24"/>
        </w:rPr>
        <w:t>磋商响应文件的密封和标记</w:t>
      </w:r>
      <w:r>
        <w:tab/>
      </w:r>
      <w:r>
        <w:fldChar w:fldCharType="begin"/>
      </w:r>
      <w:r>
        <w:instrText xml:space="preserve"> PAGEREF _Toc6237 \h </w:instrText>
      </w:r>
      <w:r>
        <w:fldChar w:fldCharType="separate"/>
      </w:r>
      <w:r>
        <w:t>13</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_Toc11283 </w:instrText>
      </w:r>
      <w:r>
        <w:rPr>
          <w:rFonts w:hint="eastAsia" w:ascii="宋体" w:hAnsi="宋体" w:eastAsia="宋体" w:cs="宋体"/>
          <w:bCs/>
          <w:szCs w:val="24"/>
        </w:rPr>
        <w:fldChar w:fldCharType="separate"/>
      </w:r>
      <w:r>
        <w:rPr>
          <w:rFonts w:hint="default" w:ascii="宋体" w:hAnsi="宋体" w:eastAsia="宋体" w:cs="宋体"/>
          <w:szCs w:val="24"/>
        </w:rPr>
        <w:t xml:space="preserve">14、 </w:t>
      </w:r>
      <w:r>
        <w:rPr>
          <w:rFonts w:hint="eastAsia" w:ascii="宋体" w:hAnsi="宋体" w:eastAsia="宋体" w:cs="宋体"/>
          <w:szCs w:val="24"/>
        </w:rPr>
        <w:t>递交磋商响应文件的地点、截止时间</w:t>
      </w:r>
      <w:r>
        <w:tab/>
      </w:r>
      <w:r>
        <w:fldChar w:fldCharType="begin"/>
      </w:r>
      <w:r>
        <w:instrText xml:space="preserve"> PAGEREF _Toc11283 \h </w:instrText>
      </w:r>
      <w:r>
        <w:fldChar w:fldCharType="separate"/>
      </w:r>
      <w:r>
        <w:t>13</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_Toc29370 </w:instrText>
      </w:r>
      <w:r>
        <w:rPr>
          <w:rFonts w:hint="eastAsia" w:ascii="宋体" w:hAnsi="宋体" w:eastAsia="宋体" w:cs="宋体"/>
          <w:bCs/>
          <w:szCs w:val="24"/>
        </w:rPr>
        <w:fldChar w:fldCharType="separate"/>
      </w:r>
      <w:r>
        <w:rPr>
          <w:rFonts w:hint="default" w:ascii="宋体" w:hAnsi="宋体" w:eastAsia="宋体" w:cs="宋体"/>
          <w:szCs w:val="24"/>
        </w:rPr>
        <w:t xml:space="preserve">15、 </w:t>
      </w:r>
      <w:r>
        <w:rPr>
          <w:rFonts w:hint="eastAsia" w:ascii="宋体" w:hAnsi="宋体" w:eastAsia="宋体" w:cs="宋体"/>
          <w:szCs w:val="24"/>
        </w:rPr>
        <w:t>磋商响应文件的撤回和修改</w:t>
      </w:r>
      <w:r>
        <w:tab/>
      </w:r>
      <w:r>
        <w:fldChar w:fldCharType="begin"/>
      </w:r>
      <w:r>
        <w:instrText xml:space="preserve"> PAGEREF _Toc29370 \h </w:instrText>
      </w:r>
      <w:r>
        <w:fldChar w:fldCharType="separate"/>
      </w:r>
      <w:r>
        <w:t>14</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_Toc26076 </w:instrText>
      </w:r>
      <w:r>
        <w:rPr>
          <w:rFonts w:hint="eastAsia" w:ascii="宋体" w:hAnsi="宋体" w:eastAsia="宋体" w:cs="宋体"/>
          <w:bCs/>
          <w:szCs w:val="24"/>
        </w:rPr>
        <w:fldChar w:fldCharType="separate"/>
      </w:r>
      <w:r>
        <w:rPr>
          <w:rFonts w:hint="eastAsia" w:ascii="宋体" w:hAnsi="宋体" w:eastAsia="宋体" w:cs="宋体"/>
          <w:szCs w:val="24"/>
        </w:rPr>
        <w:t>五、 磋商过程</w:t>
      </w:r>
      <w:r>
        <w:tab/>
      </w:r>
      <w:r>
        <w:fldChar w:fldCharType="begin"/>
      </w:r>
      <w:r>
        <w:instrText xml:space="preserve"> PAGEREF _Toc26076 \h </w:instrText>
      </w:r>
      <w:r>
        <w:fldChar w:fldCharType="separate"/>
      </w:r>
      <w:r>
        <w:t>14</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_Toc4579 </w:instrText>
      </w:r>
      <w:r>
        <w:rPr>
          <w:rFonts w:hint="eastAsia" w:ascii="宋体" w:hAnsi="宋体" w:eastAsia="宋体" w:cs="宋体"/>
          <w:bCs/>
          <w:szCs w:val="24"/>
        </w:rPr>
        <w:fldChar w:fldCharType="separate"/>
      </w:r>
      <w:r>
        <w:rPr>
          <w:rFonts w:hint="eastAsia" w:ascii="宋体" w:hAnsi="宋体" w:eastAsia="宋体" w:cs="宋体"/>
          <w:szCs w:val="24"/>
        </w:rPr>
        <w:t>六、 资格审查</w:t>
      </w:r>
      <w:r>
        <w:tab/>
      </w:r>
      <w:r>
        <w:fldChar w:fldCharType="begin"/>
      </w:r>
      <w:r>
        <w:instrText xml:space="preserve"> PAGEREF _Toc4579 \h </w:instrText>
      </w:r>
      <w:r>
        <w:fldChar w:fldCharType="separate"/>
      </w:r>
      <w:r>
        <w:t>14</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_Toc11645 </w:instrText>
      </w:r>
      <w:r>
        <w:rPr>
          <w:rFonts w:hint="eastAsia" w:ascii="宋体" w:hAnsi="宋体" w:eastAsia="宋体" w:cs="宋体"/>
          <w:bCs/>
          <w:szCs w:val="24"/>
        </w:rPr>
        <w:fldChar w:fldCharType="separate"/>
      </w:r>
      <w:r>
        <w:rPr>
          <w:rFonts w:hint="eastAsia" w:ascii="宋体" w:hAnsi="宋体" w:eastAsia="宋体" w:cs="宋体"/>
          <w:szCs w:val="24"/>
        </w:rPr>
        <w:t>七、 评审程序及方法</w:t>
      </w:r>
      <w:r>
        <w:tab/>
      </w:r>
      <w:r>
        <w:fldChar w:fldCharType="begin"/>
      </w:r>
      <w:r>
        <w:instrText xml:space="preserve"> PAGEREF _Toc11645 \h </w:instrText>
      </w:r>
      <w:r>
        <w:fldChar w:fldCharType="separate"/>
      </w:r>
      <w:r>
        <w:t>14</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_Toc11219 </w:instrText>
      </w:r>
      <w:r>
        <w:rPr>
          <w:rFonts w:hint="eastAsia" w:ascii="宋体" w:hAnsi="宋体" w:eastAsia="宋体" w:cs="宋体"/>
          <w:bCs/>
          <w:szCs w:val="24"/>
        </w:rPr>
        <w:fldChar w:fldCharType="separate"/>
      </w:r>
      <w:r>
        <w:rPr>
          <w:rFonts w:hint="default" w:ascii="宋体" w:hAnsi="宋体" w:eastAsia="宋体" w:cs="宋体"/>
          <w:szCs w:val="24"/>
        </w:rPr>
        <w:t xml:space="preserve">16、 </w:t>
      </w:r>
      <w:r>
        <w:rPr>
          <w:rFonts w:hint="eastAsia" w:ascii="宋体" w:hAnsi="宋体" w:eastAsia="宋体" w:cs="宋体"/>
          <w:szCs w:val="24"/>
        </w:rPr>
        <w:t>评标委员会</w:t>
      </w:r>
      <w:r>
        <w:tab/>
      </w:r>
      <w:r>
        <w:fldChar w:fldCharType="begin"/>
      </w:r>
      <w:r>
        <w:instrText xml:space="preserve"> PAGEREF _Toc11219 \h </w:instrText>
      </w:r>
      <w:r>
        <w:fldChar w:fldCharType="separate"/>
      </w:r>
      <w:r>
        <w:t>14</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_Toc27858 </w:instrText>
      </w:r>
      <w:r>
        <w:rPr>
          <w:rFonts w:hint="eastAsia" w:ascii="宋体" w:hAnsi="宋体" w:eastAsia="宋体" w:cs="宋体"/>
          <w:bCs/>
          <w:szCs w:val="24"/>
        </w:rPr>
        <w:fldChar w:fldCharType="separate"/>
      </w:r>
      <w:r>
        <w:rPr>
          <w:rFonts w:hint="default" w:ascii="宋体" w:hAnsi="宋体" w:eastAsia="宋体" w:cs="宋体"/>
          <w:szCs w:val="24"/>
        </w:rPr>
        <w:t xml:space="preserve">17、 </w:t>
      </w:r>
      <w:r>
        <w:rPr>
          <w:rFonts w:hint="eastAsia" w:ascii="宋体" w:hAnsi="宋体" w:eastAsia="宋体" w:cs="宋体"/>
          <w:szCs w:val="24"/>
        </w:rPr>
        <w:t>磋商程序</w:t>
      </w:r>
      <w:r>
        <w:tab/>
      </w:r>
      <w:r>
        <w:fldChar w:fldCharType="begin"/>
      </w:r>
      <w:r>
        <w:instrText xml:space="preserve"> PAGEREF _Toc27858 \h </w:instrText>
      </w:r>
      <w:r>
        <w:fldChar w:fldCharType="separate"/>
      </w:r>
      <w:r>
        <w:t>16</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_Toc10114 </w:instrText>
      </w:r>
      <w:r>
        <w:rPr>
          <w:rFonts w:hint="eastAsia" w:ascii="宋体" w:hAnsi="宋体" w:eastAsia="宋体" w:cs="宋体"/>
          <w:bCs/>
          <w:szCs w:val="24"/>
        </w:rPr>
        <w:fldChar w:fldCharType="separate"/>
      </w:r>
      <w:r>
        <w:rPr>
          <w:rFonts w:hint="default" w:ascii="宋体" w:hAnsi="宋体" w:eastAsia="宋体" w:cs="宋体"/>
          <w:szCs w:val="24"/>
        </w:rPr>
        <w:t xml:space="preserve">18、 </w:t>
      </w:r>
      <w:r>
        <w:rPr>
          <w:rFonts w:hint="eastAsia" w:ascii="宋体" w:hAnsi="宋体" w:eastAsia="宋体" w:cs="宋体"/>
          <w:szCs w:val="24"/>
        </w:rPr>
        <w:t>评审办法</w:t>
      </w:r>
      <w:r>
        <w:tab/>
      </w:r>
      <w:r>
        <w:fldChar w:fldCharType="begin"/>
      </w:r>
      <w:r>
        <w:instrText xml:space="preserve"> PAGEREF _Toc10114 \h </w:instrText>
      </w:r>
      <w:r>
        <w:fldChar w:fldCharType="separate"/>
      </w:r>
      <w:r>
        <w:t>18</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_Toc10583 </w:instrText>
      </w:r>
      <w:r>
        <w:rPr>
          <w:rFonts w:hint="eastAsia" w:ascii="宋体" w:hAnsi="宋体" w:eastAsia="宋体" w:cs="宋体"/>
          <w:bCs/>
          <w:szCs w:val="24"/>
        </w:rPr>
        <w:fldChar w:fldCharType="separate"/>
      </w:r>
      <w:r>
        <w:rPr>
          <w:rFonts w:hint="eastAsia" w:ascii="宋体" w:hAnsi="宋体" w:eastAsia="宋体" w:cs="宋体"/>
          <w:szCs w:val="24"/>
        </w:rPr>
        <w:t>八、 定标</w:t>
      </w:r>
      <w:r>
        <w:tab/>
      </w:r>
      <w:r>
        <w:fldChar w:fldCharType="begin"/>
      </w:r>
      <w:r>
        <w:instrText xml:space="preserve"> PAGEREF _Toc10583 \h </w:instrText>
      </w:r>
      <w:r>
        <w:fldChar w:fldCharType="separate"/>
      </w:r>
      <w:r>
        <w:t>19</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_Toc19798 </w:instrText>
      </w:r>
      <w:r>
        <w:rPr>
          <w:rFonts w:hint="eastAsia" w:ascii="宋体" w:hAnsi="宋体" w:eastAsia="宋体" w:cs="宋体"/>
          <w:bCs/>
          <w:szCs w:val="24"/>
        </w:rPr>
        <w:fldChar w:fldCharType="separate"/>
      </w:r>
      <w:r>
        <w:rPr>
          <w:rFonts w:hint="default" w:ascii="宋体" w:hAnsi="宋体" w:eastAsia="宋体" w:cs="宋体"/>
          <w:szCs w:val="24"/>
        </w:rPr>
        <w:t xml:space="preserve">19、 </w:t>
      </w:r>
      <w:r>
        <w:rPr>
          <w:rFonts w:hint="eastAsia" w:ascii="宋体" w:hAnsi="宋体" w:eastAsia="宋体" w:cs="宋体"/>
          <w:szCs w:val="24"/>
        </w:rPr>
        <w:t>推荐并确定成交磋商供应商</w:t>
      </w:r>
      <w:r>
        <w:tab/>
      </w:r>
      <w:r>
        <w:fldChar w:fldCharType="begin"/>
      </w:r>
      <w:r>
        <w:instrText xml:space="preserve"> PAGEREF _Toc19798 \h </w:instrText>
      </w:r>
      <w:r>
        <w:fldChar w:fldCharType="separate"/>
      </w:r>
      <w:r>
        <w:t>19</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_Toc26449 </w:instrText>
      </w:r>
      <w:r>
        <w:rPr>
          <w:rFonts w:hint="eastAsia" w:ascii="宋体" w:hAnsi="宋体" w:eastAsia="宋体" w:cs="宋体"/>
          <w:bCs/>
          <w:szCs w:val="24"/>
        </w:rPr>
        <w:fldChar w:fldCharType="separate"/>
      </w:r>
      <w:r>
        <w:rPr>
          <w:rFonts w:hint="default" w:ascii="宋体" w:hAnsi="宋体" w:eastAsia="宋体" w:cs="宋体"/>
          <w:szCs w:val="24"/>
        </w:rPr>
        <w:t xml:space="preserve">20、 </w:t>
      </w:r>
      <w:r>
        <w:rPr>
          <w:rFonts w:hint="eastAsia" w:ascii="宋体" w:hAnsi="宋体" w:eastAsia="宋体" w:cs="宋体"/>
          <w:szCs w:val="24"/>
        </w:rPr>
        <w:t>中标通知</w:t>
      </w:r>
      <w:r>
        <w:tab/>
      </w:r>
      <w:r>
        <w:fldChar w:fldCharType="begin"/>
      </w:r>
      <w:r>
        <w:instrText xml:space="preserve"> PAGEREF _Toc26449 \h </w:instrText>
      </w:r>
      <w:r>
        <w:fldChar w:fldCharType="separate"/>
      </w:r>
      <w:r>
        <w:t>20</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_Toc16428 </w:instrText>
      </w:r>
      <w:r>
        <w:rPr>
          <w:rFonts w:hint="eastAsia" w:ascii="宋体" w:hAnsi="宋体" w:eastAsia="宋体" w:cs="宋体"/>
          <w:bCs/>
          <w:szCs w:val="24"/>
        </w:rPr>
        <w:fldChar w:fldCharType="separate"/>
      </w:r>
      <w:r>
        <w:rPr>
          <w:rFonts w:hint="eastAsia" w:ascii="宋体" w:hAnsi="宋体" w:eastAsia="宋体" w:cs="宋体"/>
          <w:szCs w:val="24"/>
        </w:rPr>
        <w:t>九、 授予合同</w:t>
      </w:r>
      <w:r>
        <w:tab/>
      </w:r>
      <w:r>
        <w:fldChar w:fldCharType="begin"/>
      </w:r>
      <w:r>
        <w:instrText xml:space="preserve"> PAGEREF _Toc16428 \h </w:instrText>
      </w:r>
      <w:r>
        <w:fldChar w:fldCharType="separate"/>
      </w:r>
      <w:r>
        <w:t>21</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_Toc22310 </w:instrText>
      </w:r>
      <w:r>
        <w:rPr>
          <w:rFonts w:hint="eastAsia" w:ascii="宋体" w:hAnsi="宋体" w:eastAsia="宋体" w:cs="宋体"/>
          <w:bCs/>
          <w:szCs w:val="24"/>
        </w:rPr>
        <w:fldChar w:fldCharType="separate"/>
      </w:r>
      <w:r>
        <w:rPr>
          <w:rFonts w:hint="default" w:ascii="宋体" w:hAnsi="宋体" w:eastAsia="宋体" w:cs="宋体"/>
          <w:szCs w:val="24"/>
        </w:rPr>
        <w:t xml:space="preserve">21、 </w:t>
      </w:r>
      <w:r>
        <w:rPr>
          <w:rFonts w:hint="eastAsia" w:ascii="宋体" w:hAnsi="宋体" w:eastAsia="宋体" w:cs="宋体"/>
          <w:szCs w:val="24"/>
        </w:rPr>
        <w:t>签订合同</w:t>
      </w:r>
      <w:r>
        <w:tab/>
      </w:r>
      <w:r>
        <w:fldChar w:fldCharType="begin"/>
      </w:r>
      <w:r>
        <w:instrText xml:space="preserve"> PAGEREF _Toc22310 \h </w:instrText>
      </w:r>
      <w:r>
        <w:fldChar w:fldCharType="separate"/>
      </w:r>
      <w:r>
        <w:t>21</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_Toc11209 </w:instrText>
      </w:r>
      <w:r>
        <w:rPr>
          <w:rFonts w:hint="eastAsia" w:ascii="宋体" w:hAnsi="宋体" w:eastAsia="宋体" w:cs="宋体"/>
          <w:bCs/>
          <w:szCs w:val="24"/>
        </w:rPr>
        <w:fldChar w:fldCharType="separate"/>
      </w:r>
      <w:r>
        <w:rPr>
          <w:rFonts w:hint="eastAsia" w:ascii="宋体" w:hAnsi="宋体" w:eastAsia="宋体" w:cs="宋体"/>
          <w:szCs w:val="24"/>
        </w:rPr>
        <w:t>十、 废标条款</w:t>
      </w:r>
      <w:r>
        <w:tab/>
      </w:r>
      <w:r>
        <w:fldChar w:fldCharType="begin"/>
      </w:r>
      <w:r>
        <w:instrText xml:space="preserve"> PAGEREF _Toc11209 \h </w:instrText>
      </w:r>
      <w:r>
        <w:fldChar w:fldCharType="separate"/>
      </w:r>
      <w:r>
        <w:t>21</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_Toc9881 </w:instrText>
      </w:r>
      <w:r>
        <w:rPr>
          <w:rFonts w:hint="eastAsia" w:ascii="宋体" w:hAnsi="宋体" w:eastAsia="宋体" w:cs="宋体"/>
          <w:bCs/>
          <w:szCs w:val="24"/>
        </w:rPr>
        <w:fldChar w:fldCharType="separate"/>
      </w:r>
      <w:r>
        <w:rPr>
          <w:rFonts w:hint="default" w:ascii="宋体" w:hAnsi="宋体" w:eastAsia="宋体" w:cs="宋体"/>
          <w:szCs w:val="24"/>
        </w:rPr>
        <w:t xml:space="preserve">22、 </w:t>
      </w:r>
      <w:r>
        <w:rPr>
          <w:rFonts w:hint="eastAsia" w:ascii="宋体" w:hAnsi="宋体" w:eastAsia="宋体" w:cs="宋体"/>
          <w:szCs w:val="24"/>
        </w:rPr>
        <w:t>废标情形</w:t>
      </w:r>
      <w:r>
        <w:tab/>
      </w:r>
      <w:r>
        <w:fldChar w:fldCharType="begin"/>
      </w:r>
      <w:r>
        <w:instrText xml:space="preserve"> PAGEREF _Toc9881 \h </w:instrText>
      </w:r>
      <w:r>
        <w:fldChar w:fldCharType="separate"/>
      </w:r>
      <w:r>
        <w:t>21</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_Toc15280 </w:instrText>
      </w:r>
      <w:r>
        <w:rPr>
          <w:rFonts w:hint="eastAsia" w:ascii="宋体" w:hAnsi="宋体" w:eastAsia="宋体" w:cs="宋体"/>
          <w:bCs/>
          <w:szCs w:val="24"/>
        </w:rPr>
        <w:fldChar w:fldCharType="separate"/>
      </w:r>
      <w:r>
        <w:rPr>
          <w:rFonts w:hint="eastAsia" w:ascii="宋体" w:hAnsi="宋体" w:eastAsia="宋体" w:cs="宋体"/>
          <w:szCs w:val="24"/>
        </w:rPr>
        <w:t>十一、 其他</w:t>
      </w:r>
      <w:r>
        <w:tab/>
      </w:r>
      <w:r>
        <w:fldChar w:fldCharType="begin"/>
      </w:r>
      <w:r>
        <w:instrText xml:space="preserve"> PAGEREF _Toc15280 \h </w:instrText>
      </w:r>
      <w:r>
        <w:fldChar w:fldCharType="separate"/>
      </w:r>
      <w:r>
        <w:t>22</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_Toc23750 </w:instrText>
      </w:r>
      <w:r>
        <w:rPr>
          <w:rFonts w:hint="eastAsia" w:ascii="宋体" w:hAnsi="宋体" w:eastAsia="宋体" w:cs="宋体"/>
          <w:bCs/>
          <w:szCs w:val="24"/>
        </w:rPr>
        <w:fldChar w:fldCharType="separate"/>
      </w:r>
      <w:r>
        <w:rPr>
          <w:rFonts w:hint="default" w:ascii="宋体" w:hAnsi="宋体" w:eastAsia="宋体" w:cs="宋体"/>
          <w:szCs w:val="24"/>
        </w:rPr>
        <w:t xml:space="preserve">23、 </w:t>
      </w:r>
      <w:r>
        <w:rPr>
          <w:rFonts w:hint="eastAsia" w:ascii="宋体" w:hAnsi="宋体" w:eastAsia="宋体" w:cs="宋体"/>
          <w:szCs w:val="24"/>
        </w:rPr>
        <w:t>串标情形</w:t>
      </w:r>
      <w:r>
        <w:tab/>
      </w:r>
      <w:r>
        <w:fldChar w:fldCharType="begin"/>
      </w:r>
      <w:r>
        <w:instrText xml:space="preserve"> PAGEREF _Toc23750 \h </w:instrText>
      </w:r>
      <w:r>
        <w:fldChar w:fldCharType="separate"/>
      </w:r>
      <w:r>
        <w:t>22</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_Toc17830 </w:instrText>
      </w:r>
      <w:r>
        <w:rPr>
          <w:rFonts w:hint="eastAsia" w:ascii="宋体" w:hAnsi="宋体" w:eastAsia="宋体" w:cs="宋体"/>
          <w:bCs/>
          <w:szCs w:val="24"/>
        </w:rPr>
        <w:fldChar w:fldCharType="separate"/>
      </w:r>
      <w:r>
        <w:rPr>
          <w:rFonts w:hint="eastAsia" w:ascii="宋体" w:hAnsi="宋体" w:eastAsia="宋体" w:cs="宋体"/>
          <w:szCs w:val="36"/>
        </w:rPr>
        <w:t>第四部分 采购合同文本样式</w:t>
      </w:r>
      <w:r>
        <w:tab/>
      </w:r>
      <w:r>
        <w:fldChar w:fldCharType="begin"/>
      </w:r>
      <w:r>
        <w:instrText xml:space="preserve"> PAGEREF _Toc17830 \h </w:instrText>
      </w:r>
      <w:r>
        <w:fldChar w:fldCharType="separate"/>
      </w:r>
      <w:r>
        <w:t>23</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_Toc7949 </w:instrText>
      </w:r>
      <w:r>
        <w:rPr>
          <w:rFonts w:hint="eastAsia" w:ascii="宋体" w:hAnsi="宋体" w:eastAsia="宋体" w:cs="宋体"/>
          <w:bCs/>
          <w:szCs w:val="24"/>
        </w:rPr>
        <w:fldChar w:fldCharType="separate"/>
      </w:r>
      <w:r>
        <w:rPr>
          <w:rFonts w:hint="eastAsia" w:ascii="宋体" w:hAnsi="宋体" w:eastAsia="宋体" w:cs="宋体"/>
          <w:szCs w:val="36"/>
        </w:rPr>
        <w:t>第五部分</w:t>
      </w:r>
      <w:r>
        <w:rPr>
          <w:rFonts w:hint="eastAsia" w:ascii="宋体" w:hAnsi="宋体" w:cs="宋体"/>
          <w:szCs w:val="36"/>
          <w:lang w:val="en-US" w:eastAsia="zh-CN"/>
        </w:rPr>
        <w:t xml:space="preserve">  </w:t>
      </w:r>
      <w:r>
        <w:rPr>
          <w:rFonts w:hint="eastAsia" w:ascii="宋体" w:hAnsi="宋体" w:eastAsia="宋体" w:cs="宋体"/>
          <w:szCs w:val="36"/>
        </w:rPr>
        <w:t>磋商响应文件格式</w:t>
      </w:r>
      <w:r>
        <w:tab/>
      </w:r>
      <w:r>
        <w:fldChar w:fldCharType="begin"/>
      </w:r>
      <w:r>
        <w:instrText xml:space="preserve"> PAGEREF _Toc7949 \h </w:instrText>
      </w:r>
      <w:r>
        <w:fldChar w:fldCharType="separate"/>
      </w:r>
      <w:r>
        <w:t>35</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_Toc11638 </w:instrText>
      </w:r>
      <w:r>
        <w:rPr>
          <w:rFonts w:hint="eastAsia" w:ascii="宋体" w:hAnsi="宋体" w:eastAsia="宋体" w:cs="宋体"/>
          <w:bCs/>
          <w:szCs w:val="24"/>
        </w:rPr>
        <w:fldChar w:fldCharType="separate"/>
      </w:r>
      <w:r>
        <w:rPr>
          <w:rFonts w:hint="eastAsia" w:ascii="宋体" w:hAnsi="宋体" w:eastAsia="宋体" w:cs="宋体"/>
          <w:szCs w:val="28"/>
          <w:lang w:val="zh-CN"/>
        </w:rPr>
        <w:t>磋商响应文件封面</w:t>
      </w:r>
      <w:r>
        <w:tab/>
      </w:r>
      <w:r>
        <w:fldChar w:fldCharType="begin"/>
      </w:r>
      <w:r>
        <w:instrText xml:space="preserve"> PAGEREF _Toc11638 \h </w:instrText>
      </w:r>
      <w:r>
        <w:fldChar w:fldCharType="separate"/>
      </w:r>
      <w:r>
        <w:t>36</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_Toc28241 </w:instrText>
      </w:r>
      <w:r>
        <w:rPr>
          <w:rFonts w:hint="eastAsia" w:ascii="宋体" w:hAnsi="宋体" w:eastAsia="宋体" w:cs="宋体"/>
          <w:bCs/>
          <w:szCs w:val="24"/>
        </w:rPr>
        <w:fldChar w:fldCharType="separate"/>
      </w:r>
      <w:r>
        <w:rPr>
          <w:rFonts w:hint="eastAsia" w:ascii="宋体" w:hAnsi="宋体" w:eastAsia="宋体" w:cs="宋体"/>
          <w:szCs w:val="24"/>
          <w:lang w:val="zh-CN"/>
        </w:rPr>
        <w:t>磋商响应文件目录</w:t>
      </w:r>
      <w:r>
        <w:tab/>
      </w:r>
      <w:r>
        <w:fldChar w:fldCharType="begin"/>
      </w:r>
      <w:r>
        <w:instrText xml:space="preserve"> PAGEREF _Toc28241 \h </w:instrText>
      </w:r>
      <w:r>
        <w:fldChar w:fldCharType="separate"/>
      </w:r>
      <w:r>
        <w:t>37</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_Toc29614 </w:instrText>
      </w:r>
      <w:r>
        <w:rPr>
          <w:rFonts w:hint="eastAsia" w:ascii="宋体" w:hAnsi="宋体" w:eastAsia="宋体" w:cs="宋体"/>
          <w:bCs/>
          <w:szCs w:val="24"/>
        </w:rPr>
        <w:fldChar w:fldCharType="separate"/>
      </w:r>
      <w:r>
        <w:rPr>
          <w:rFonts w:hint="eastAsia" w:ascii="宋体" w:hAnsi="宋体" w:eastAsia="宋体" w:cs="宋体"/>
          <w:szCs w:val="24"/>
          <w:lang w:val="zh-CN"/>
        </w:rPr>
        <w:t>格式1、磋商函</w:t>
      </w:r>
      <w:r>
        <w:tab/>
      </w:r>
      <w:r>
        <w:fldChar w:fldCharType="begin"/>
      </w:r>
      <w:r>
        <w:instrText xml:space="preserve"> PAGEREF _Toc29614 \h </w:instrText>
      </w:r>
      <w:r>
        <w:fldChar w:fldCharType="separate"/>
      </w:r>
      <w:r>
        <w:t>38</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_Toc10039 </w:instrText>
      </w:r>
      <w:r>
        <w:rPr>
          <w:rFonts w:hint="eastAsia" w:ascii="宋体" w:hAnsi="宋体" w:eastAsia="宋体" w:cs="宋体"/>
          <w:bCs/>
          <w:szCs w:val="24"/>
        </w:rPr>
        <w:fldChar w:fldCharType="separate"/>
      </w:r>
      <w:r>
        <w:rPr>
          <w:rFonts w:hint="eastAsia" w:ascii="宋体" w:hAnsi="宋体" w:eastAsia="宋体" w:cs="宋体"/>
          <w:szCs w:val="24"/>
          <w:lang w:val="zh-CN"/>
        </w:rPr>
        <w:t>格式2、法定代表人证明书</w:t>
      </w:r>
      <w:r>
        <w:tab/>
      </w:r>
      <w:r>
        <w:fldChar w:fldCharType="begin"/>
      </w:r>
      <w:r>
        <w:instrText xml:space="preserve"> PAGEREF _Toc10039 \h </w:instrText>
      </w:r>
      <w:r>
        <w:fldChar w:fldCharType="separate"/>
      </w:r>
      <w:r>
        <w:t>39</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_Toc12143 </w:instrText>
      </w:r>
      <w:r>
        <w:rPr>
          <w:rFonts w:hint="eastAsia" w:ascii="宋体" w:hAnsi="宋体" w:eastAsia="宋体" w:cs="宋体"/>
          <w:bCs/>
          <w:szCs w:val="24"/>
        </w:rPr>
        <w:fldChar w:fldCharType="separate"/>
      </w:r>
      <w:r>
        <w:rPr>
          <w:rFonts w:hint="eastAsia" w:ascii="宋体" w:hAnsi="宋体" w:eastAsia="宋体" w:cs="宋体"/>
          <w:szCs w:val="24"/>
          <w:lang w:val="zh-CN"/>
        </w:rPr>
        <w:t>格式3、法定代表人授权书</w:t>
      </w:r>
      <w:r>
        <w:tab/>
      </w:r>
      <w:r>
        <w:fldChar w:fldCharType="begin"/>
      </w:r>
      <w:r>
        <w:instrText xml:space="preserve"> PAGEREF _Toc12143 \h </w:instrText>
      </w:r>
      <w:r>
        <w:fldChar w:fldCharType="separate"/>
      </w:r>
      <w:r>
        <w:t>40</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_Toc9539 </w:instrText>
      </w:r>
      <w:r>
        <w:rPr>
          <w:rFonts w:hint="eastAsia" w:ascii="宋体" w:hAnsi="宋体" w:eastAsia="宋体" w:cs="宋体"/>
          <w:bCs/>
          <w:szCs w:val="24"/>
        </w:rPr>
        <w:fldChar w:fldCharType="separate"/>
      </w:r>
      <w:r>
        <w:rPr>
          <w:rFonts w:hint="eastAsia" w:ascii="宋体" w:hAnsi="宋体" w:eastAsia="宋体" w:cs="宋体"/>
          <w:szCs w:val="24"/>
          <w:lang w:val="zh-CN"/>
        </w:rPr>
        <w:t>格式4、磋商供应商承诺书</w:t>
      </w:r>
      <w:r>
        <w:tab/>
      </w:r>
      <w:r>
        <w:fldChar w:fldCharType="begin"/>
      </w:r>
      <w:r>
        <w:instrText xml:space="preserve"> PAGEREF _Toc9539 \h </w:instrText>
      </w:r>
      <w:r>
        <w:fldChar w:fldCharType="separate"/>
      </w:r>
      <w:r>
        <w:t>41</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_Toc29569 </w:instrText>
      </w:r>
      <w:r>
        <w:rPr>
          <w:rFonts w:hint="eastAsia" w:ascii="宋体" w:hAnsi="宋体" w:eastAsia="宋体" w:cs="宋体"/>
          <w:bCs/>
          <w:szCs w:val="24"/>
        </w:rPr>
        <w:fldChar w:fldCharType="separate"/>
      </w:r>
      <w:r>
        <w:rPr>
          <w:rFonts w:hint="eastAsia" w:ascii="宋体" w:hAnsi="宋体" w:eastAsia="宋体" w:cs="宋体"/>
          <w:szCs w:val="24"/>
          <w:lang w:val="zh-CN"/>
        </w:rPr>
        <w:t>格式5、供应商诚信承诺书</w:t>
      </w:r>
      <w:r>
        <w:tab/>
      </w:r>
      <w:r>
        <w:fldChar w:fldCharType="begin"/>
      </w:r>
      <w:r>
        <w:instrText xml:space="preserve"> PAGEREF _Toc29569 \h </w:instrText>
      </w:r>
      <w:r>
        <w:fldChar w:fldCharType="separate"/>
      </w:r>
      <w:r>
        <w:t>42</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_Toc10251 </w:instrText>
      </w:r>
      <w:r>
        <w:rPr>
          <w:rFonts w:hint="eastAsia" w:ascii="宋体" w:hAnsi="宋体" w:eastAsia="宋体" w:cs="宋体"/>
          <w:bCs/>
          <w:szCs w:val="24"/>
        </w:rPr>
        <w:fldChar w:fldCharType="separate"/>
      </w:r>
      <w:r>
        <w:rPr>
          <w:rFonts w:hint="eastAsia" w:ascii="宋体" w:hAnsi="宋体" w:eastAsia="宋体" w:cs="宋体"/>
          <w:szCs w:val="24"/>
          <w:lang w:val="zh-CN"/>
        </w:rPr>
        <w:t>格式6、资格证明材料</w:t>
      </w:r>
      <w:r>
        <w:tab/>
      </w:r>
      <w:r>
        <w:fldChar w:fldCharType="begin"/>
      </w:r>
      <w:r>
        <w:instrText xml:space="preserve"> PAGEREF _Toc10251 \h </w:instrText>
      </w:r>
      <w:r>
        <w:fldChar w:fldCharType="separate"/>
      </w:r>
      <w:r>
        <w:t>43</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_Toc24908 </w:instrText>
      </w:r>
      <w:r>
        <w:rPr>
          <w:rFonts w:hint="eastAsia" w:ascii="宋体" w:hAnsi="宋体" w:eastAsia="宋体" w:cs="宋体"/>
          <w:bCs/>
          <w:szCs w:val="24"/>
        </w:rPr>
        <w:fldChar w:fldCharType="separate"/>
      </w:r>
      <w:r>
        <w:rPr>
          <w:rFonts w:hint="eastAsia" w:ascii="宋体" w:hAnsi="宋体" w:eastAsia="宋体" w:cs="宋体"/>
          <w:szCs w:val="24"/>
          <w:lang w:val="zh-CN"/>
        </w:rPr>
        <w:t>格式7、财务状况、缴纳税收和社会保障资金证明</w:t>
      </w:r>
      <w:r>
        <w:tab/>
      </w:r>
      <w:r>
        <w:fldChar w:fldCharType="begin"/>
      </w:r>
      <w:r>
        <w:instrText xml:space="preserve"> PAGEREF _Toc24908 \h </w:instrText>
      </w:r>
      <w:r>
        <w:fldChar w:fldCharType="separate"/>
      </w:r>
      <w:r>
        <w:t>44</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_Toc21211 </w:instrText>
      </w:r>
      <w:r>
        <w:rPr>
          <w:rFonts w:hint="eastAsia" w:ascii="宋体" w:hAnsi="宋体" w:eastAsia="宋体" w:cs="宋体"/>
          <w:bCs/>
          <w:szCs w:val="24"/>
        </w:rPr>
        <w:fldChar w:fldCharType="separate"/>
      </w:r>
      <w:r>
        <w:rPr>
          <w:rFonts w:hint="eastAsia" w:ascii="宋体" w:hAnsi="宋体" w:eastAsia="宋体" w:cs="宋体"/>
          <w:szCs w:val="24"/>
          <w:lang w:val="zh-CN"/>
        </w:rPr>
        <w:t>格式8、具备履行合同所必须的设备和专业技术能力证明</w:t>
      </w:r>
      <w:r>
        <w:tab/>
      </w:r>
      <w:r>
        <w:fldChar w:fldCharType="begin"/>
      </w:r>
      <w:r>
        <w:instrText xml:space="preserve"> PAGEREF _Toc21211 \h </w:instrText>
      </w:r>
      <w:r>
        <w:fldChar w:fldCharType="separate"/>
      </w:r>
      <w:r>
        <w:t>45</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_Toc108 </w:instrText>
      </w:r>
      <w:r>
        <w:rPr>
          <w:rFonts w:hint="eastAsia" w:ascii="宋体" w:hAnsi="宋体" w:eastAsia="宋体" w:cs="宋体"/>
          <w:bCs/>
          <w:szCs w:val="24"/>
        </w:rPr>
        <w:fldChar w:fldCharType="separate"/>
      </w:r>
      <w:r>
        <w:rPr>
          <w:rFonts w:hint="eastAsia" w:ascii="宋体" w:hAnsi="宋体" w:eastAsia="宋体" w:cs="宋体"/>
          <w:szCs w:val="24"/>
          <w:lang w:val="zh-CN"/>
        </w:rPr>
        <w:t>格式9、无重大违法记录声明</w:t>
      </w:r>
      <w:r>
        <w:tab/>
      </w:r>
      <w:r>
        <w:fldChar w:fldCharType="begin"/>
      </w:r>
      <w:r>
        <w:instrText xml:space="preserve"> PAGEREF _Toc108 \h </w:instrText>
      </w:r>
      <w:r>
        <w:fldChar w:fldCharType="separate"/>
      </w:r>
      <w:r>
        <w:t>46</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_Toc8816 </w:instrText>
      </w:r>
      <w:r>
        <w:rPr>
          <w:rFonts w:hint="eastAsia" w:ascii="宋体" w:hAnsi="宋体" w:eastAsia="宋体" w:cs="宋体"/>
          <w:bCs/>
          <w:szCs w:val="24"/>
        </w:rPr>
        <w:fldChar w:fldCharType="separate"/>
      </w:r>
      <w:r>
        <w:rPr>
          <w:rFonts w:hint="eastAsia" w:ascii="宋体" w:hAnsi="宋体" w:eastAsia="宋体" w:cs="宋体"/>
          <w:szCs w:val="24"/>
          <w:lang w:val="zh-CN"/>
        </w:rPr>
        <w:t>格式10、评分对照表</w:t>
      </w:r>
      <w:r>
        <w:tab/>
      </w:r>
      <w:r>
        <w:fldChar w:fldCharType="begin"/>
      </w:r>
      <w:r>
        <w:instrText xml:space="preserve"> PAGEREF _Toc8816 \h </w:instrText>
      </w:r>
      <w:r>
        <w:fldChar w:fldCharType="separate"/>
      </w:r>
      <w:r>
        <w:t>47</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_Toc26606 </w:instrText>
      </w:r>
      <w:r>
        <w:rPr>
          <w:rFonts w:hint="eastAsia" w:ascii="宋体" w:hAnsi="宋体" w:eastAsia="宋体" w:cs="宋体"/>
          <w:bCs/>
          <w:szCs w:val="24"/>
        </w:rPr>
        <w:fldChar w:fldCharType="separate"/>
      </w:r>
      <w:r>
        <w:rPr>
          <w:rFonts w:hint="eastAsia" w:ascii="宋体" w:hAnsi="宋体" w:eastAsia="宋体" w:cs="宋体"/>
          <w:szCs w:val="24"/>
          <w:lang w:val="zh-CN"/>
        </w:rPr>
        <w:t>格式11、</w:t>
      </w:r>
      <w:r>
        <w:rPr>
          <w:rFonts w:hint="eastAsia" w:ascii="宋体" w:hAnsi="宋体" w:eastAsia="宋体" w:cs="宋体"/>
          <w:szCs w:val="24"/>
        </w:rPr>
        <w:t>竞争性磋商首次报价表</w:t>
      </w:r>
      <w:r>
        <w:tab/>
      </w:r>
      <w:r>
        <w:fldChar w:fldCharType="begin"/>
      </w:r>
      <w:r>
        <w:instrText xml:space="preserve"> PAGEREF _Toc26606 \h </w:instrText>
      </w:r>
      <w:r>
        <w:fldChar w:fldCharType="separate"/>
      </w:r>
      <w:r>
        <w:t>48</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_Toc20932 </w:instrText>
      </w:r>
      <w:r>
        <w:rPr>
          <w:rFonts w:hint="eastAsia" w:ascii="宋体" w:hAnsi="宋体" w:eastAsia="宋体" w:cs="宋体"/>
          <w:bCs/>
          <w:szCs w:val="24"/>
        </w:rPr>
        <w:fldChar w:fldCharType="separate"/>
      </w:r>
      <w:r>
        <w:rPr>
          <w:rFonts w:hint="eastAsia" w:ascii="宋体" w:hAnsi="宋体" w:eastAsia="宋体" w:cs="宋体"/>
          <w:szCs w:val="24"/>
          <w:lang w:val="zh-CN"/>
        </w:rPr>
        <w:t>格式12、分项报价表</w:t>
      </w:r>
      <w:r>
        <w:tab/>
      </w:r>
      <w:r>
        <w:fldChar w:fldCharType="begin"/>
      </w:r>
      <w:r>
        <w:instrText xml:space="preserve"> PAGEREF _Toc20932 \h </w:instrText>
      </w:r>
      <w:r>
        <w:fldChar w:fldCharType="separate"/>
      </w:r>
      <w:r>
        <w:t>49</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_Toc28290 </w:instrText>
      </w:r>
      <w:r>
        <w:rPr>
          <w:rFonts w:hint="eastAsia" w:ascii="宋体" w:hAnsi="宋体" w:eastAsia="宋体" w:cs="宋体"/>
          <w:bCs/>
          <w:szCs w:val="24"/>
        </w:rPr>
        <w:fldChar w:fldCharType="separate"/>
      </w:r>
      <w:r>
        <w:rPr>
          <w:rFonts w:hint="eastAsia" w:ascii="宋体" w:hAnsi="宋体" w:eastAsia="宋体" w:cs="宋体"/>
          <w:szCs w:val="24"/>
          <w:lang w:val="zh-CN"/>
        </w:rPr>
        <w:t>格式13、技术规格响应表</w:t>
      </w:r>
      <w:r>
        <w:tab/>
      </w:r>
      <w:r>
        <w:fldChar w:fldCharType="begin"/>
      </w:r>
      <w:r>
        <w:instrText xml:space="preserve"> PAGEREF _Toc28290 \h </w:instrText>
      </w:r>
      <w:r>
        <w:fldChar w:fldCharType="separate"/>
      </w:r>
      <w:r>
        <w:t>50</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_Toc11772 </w:instrText>
      </w:r>
      <w:r>
        <w:rPr>
          <w:rFonts w:hint="eastAsia" w:ascii="宋体" w:hAnsi="宋体" w:eastAsia="宋体" w:cs="宋体"/>
          <w:bCs/>
          <w:szCs w:val="24"/>
        </w:rPr>
        <w:fldChar w:fldCharType="separate"/>
      </w:r>
      <w:r>
        <w:rPr>
          <w:rFonts w:hint="eastAsia" w:ascii="宋体" w:hAnsi="宋体" w:eastAsia="宋体" w:cs="宋体"/>
          <w:szCs w:val="24"/>
          <w:lang w:val="zh-CN"/>
        </w:rPr>
        <w:t>格式14、磋商产品相关资料</w:t>
      </w:r>
      <w:r>
        <w:tab/>
      </w:r>
      <w:r>
        <w:fldChar w:fldCharType="begin"/>
      </w:r>
      <w:r>
        <w:instrText xml:space="preserve"> PAGEREF _Toc11772 \h </w:instrText>
      </w:r>
      <w:r>
        <w:fldChar w:fldCharType="separate"/>
      </w:r>
      <w:r>
        <w:t>51</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_Toc286 </w:instrText>
      </w:r>
      <w:r>
        <w:rPr>
          <w:rFonts w:hint="eastAsia" w:ascii="宋体" w:hAnsi="宋体" w:eastAsia="宋体" w:cs="宋体"/>
          <w:bCs/>
          <w:szCs w:val="24"/>
        </w:rPr>
        <w:fldChar w:fldCharType="separate"/>
      </w:r>
      <w:r>
        <w:rPr>
          <w:rFonts w:hint="eastAsia" w:ascii="宋体" w:hAnsi="宋体" w:eastAsia="宋体" w:cs="宋体"/>
          <w:szCs w:val="24"/>
          <w:lang w:val="zh-CN"/>
        </w:rPr>
        <w:t>格式15、磋商供应商的类似业绩证明材料</w:t>
      </w:r>
      <w:r>
        <w:tab/>
      </w:r>
      <w:r>
        <w:fldChar w:fldCharType="begin"/>
      </w:r>
      <w:r>
        <w:instrText xml:space="preserve"> PAGEREF _Toc286 \h </w:instrText>
      </w:r>
      <w:r>
        <w:fldChar w:fldCharType="separate"/>
      </w:r>
      <w:r>
        <w:t>52</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_Toc6900 </w:instrText>
      </w:r>
      <w:r>
        <w:rPr>
          <w:rFonts w:hint="eastAsia" w:ascii="宋体" w:hAnsi="宋体" w:eastAsia="宋体" w:cs="宋体"/>
          <w:bCs/>
          <w:szCs w:val="24"/>
        </w:rPr>
        <w:fldChar w:fldCharType="separate"/>
      </w:r>
      <w:r>
        <w:rPr>
          <w:rFonts w:hint="eastAsia" w:ascii="宋体" w:hAnsi="宋体" w:eastAsia="宋体" w:cs="宋体"/>
          <w:szCs w:val="24"/>
          <w:lang w:val="zh-CN"/>
        </w:rPr>
        <w:t>格式16、享受政府采购政策优惠的证明资料</w:t>
      </w:r>
      <w:r>
        <w:tab/>
      </w:r>
      <w:r>
        <w:fldChar w:fldCharType="begin"/>
      </w:r>
      <w:r>
        <w:instrText xml:space="preserve"> PAGEREF _Toc6900 \h </w:instrText>
      </w:r>
      <w:r>
        <w:fldChar w:fldCharType="separate"/>
      </w:r>
      <w:r>
        <w:t>53</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_Toc31726 </w:instrText>
      </w:r>
      <w:r>
        <w:rPr>
          <w:rFonts w:hint="eastAsia" w:ascii="宋体" w:hAnsi="宋体" w:eastAsia="宋体" w:cs="宋体"/>
          <w:bCs/>
          <w:szCs w:val="24"/>
        </w:rPr>
        <w:fldChar w:fldCharType="separate"/>
      </w:r>
      <w:r>
        <w:rPr>
          <w:rFonts w:hint="eastAsia" w:ascii="宋体" w:hAnsi="宋体" w:eastAsia="宋体" w:cs="宋体"/>
          <w:szCs w:val="24"/>
          <w:lang w:val="zh-CN"/>
        </w:rPr>
        <w:t>格式17、磋商供应商认为在其他方面有必要说明的事项</w:t>
      </w:r>
      <w:r>
        <w:tab/>
      </w:r>
      <w:r>
        <w:fldChar w:fldCharType="begin"/>
      </w:r>
      <w:r>
        <w:instrText xml:space="preserve"> PAGEREF _Toc31726 \h </w:instrText>
      </w:r>
      <w:r>
        <w:fldChar w:fldCharType="separate"/>
      </w:r>
      <w:r>
        <w:t>57</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_Toc21759 </w:instrText>
      </w:r>
      <w:r>
        <w:rPr>
          <w:rFonts w:hint="eastAsia" w:ascii="宋体" w:hAnsi="宋体" w:eastAsia="宋体" w:cs="宋体"/>
          <w:bCs/>
          <w:szCs w:val="24"/>
        </w:rPr>
        <w:fldChar w:fldCharType="separate"/>
      </w:r>
      <w:r>
        <w:rPr>
          <w:rFonts w:hint="eastAsia" w:ascii="宋体" w:hAnsi="宋体" w:eastAsia="宋体" w:cs="宋体"/>
          <w:szCs w:val="24"/>
          <w:lang w:val="zh-CN"/>
        </w:rPr>
        <w:t>格式18、磋商最终报价表（单独提交）</w:t>
      </w:r>
      <w:r>
        <w:tab/>
      </w:r>
      <w:r>
        <w:fldChar w:fldCharType="begin"/>
      </w:r>
      <w:r>
        <w:instrText xml:space="preserve"> PAGEREF _Toc21759 \h </w:instrText>
      </w:r>
      <w:r>
        <w:fldChar w:fldCharType="separate"/>
      </w:r>
      <w:r>
        <w:t>58</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_Toc32639 </w:instrText>
      </w:r>
      <w:r>
        <w:rPr>
          <w:rFonts w:hint="eastAsia" w:ascii="宋体" w:hAnsi="宋体" w:eastAsia="宋体" w:cs="宋体"/>
          <w:bCs/>
          <w:szCs w:val="24"/>
        </w:rPr>
        <w:fldChar w:fldCharType="separate"/>
      </w:r>
      <w:r>
        <w:rPr>
          <w:rFonts w:hint="eastAsia" w:ascii="宋体" w:hAnsi="宋体" w:eastAsia="宋体" w:cs="宋体"/>
          <w:szCs w:val="32"/>
        </w:rPr>
        <w:t>第六部分 采购项目要求及技术参数</w:t>
      </w:r>
      <w:r>
        <w:tab/>
      </w:r>
      <w:r>
        <w:fldChar w:fldCharType="begin"/>
      </w:r>
      <w:r>
        <w:instrText xml:space="preserve"> PAGEREF _Toc32639 \h </w:instrText>
      </w:r>
      <w:r>
        <w:fldChar w:fldCharType="separate"/>
      </w:r>
      <w:r>
        <w:t>59</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_Toc8661 </w:instrText>
      </w:r>
      <w:r>
        <w:rPr>
          <w:rFonts w:hint="eastAsia" w:ascii="宋体" w:hAnsi="宋体" w:eastAsia="宋体" w:cs="宋体"/>
          <w:bCs/>
          <w:szCs w:val="24"/>
        </w:rPr>
        <w:fldChar w:fldCharType="separate"/>
      </w:r>
      <w:r>
        <w:rPr>
          <w:rFonts w:hint="eastAsia" w:ascii="宋体" w:hAnsi="宋体" w:eastAsia="宋体" w:cs="宋体"/>
          <w:bCs/>
          <w:kern w:val="0"/>
          <w:szCs w:val="24"/>
        </w:rPr>
        <w:t>一、磋商要求</w:t>
      </w:r>
      <w:r>
        <w:tab/>
      </w:r>
      <w:r>
        <w:fldChar w:fldCharType="begin"/>
      </w:r>
      <w:r>
        <w:instrText xml:space="preserve"> PAGEREF _Toc8661 \h </w:instrText>
      </w:r>
      <w:r>
        <w:fldChar w:fldCharType="separate"/>
      </w:r>
      <w:r>
        <w:t>59</w:t>
      </w:r>
      <w:r>
        <w:fldChar w:fldCharType="end"/>
      </w:r>
      <w:r>
        <w:rPr>
          <w:rFonts w:hint="eastAsia" w:ascii="宋体" w:hAnsi="宋体" w:eastAsia="宋体" w:cs="宋体"/>
          <w:bCs/>
          <w:szCs w:val="24"/>
        </w:rPr>
        <w:fldChar w:fldCharType="end"/>
      </w:r>
    </w:p>
    <w:p>
      <w:pPr>
        <w:pStyle w:val="21"/>
        <w:tabs>
          <w:tab w:val="right" w:leader="dot" w:pos="9752"/>
          <w:tab w:val="clear" w:pos="8296"/>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_Toc19591 </w:instrText>
      </w:r>
      <w:r>
        <w:rPr>
          <w:rFonts w:hint="eastAsia" w:ascii="宋体" w:hAnsi="宋体" w:eastAsia="宋体" w:cs="宋体"/>
          <w:bCs/>
          <w:szCs w:val="24"/>
        </w:rPr>
        <w:fldChar w:fldCharType="separate"/>
      </w:r>
      <w:r>
        <w:rPr>
          <w:rFonts w:hint="eastAsia" w:ascii="宋体" w:hAnsi="宋体" w:eastAsia="宋体" w:cs="宋体"/>
          <w:szCs w:val="24"/>
        </w:rPr>
        <w:t>二、采购项目参数及要求</w:t>
      </w:r>
      <w:r>
        <w:tab/>
      </w:r>
      <w:r>
        <w:fldChar w:fldCharType="begin"/>
      </w:r>
      <w:r>
        <w:instrText xml:space="preserve"> PAGEREF _Toc19591 \h </w:instrText>
      </w:r>
      <w:r>
        <w:fldChar w:fldCharType="separate"/>
      </w:r>
      <w:r>
        <w:t>60</w:t>
      </w:r>
      <w:r>
        <w:fldChar w:fldCharType="end"/>
      </w:r>
      <w:r>
        <w:rPr>
          <w:rFonts w:hint="eastAsia" w:ascii="宋体" w:hAnsi="宋体" w:eastAsia="宋体" w:cs="宋体"/>
          <w:bCs/>
          <w:szCs w:val="24"/>
        </w:rPr>
        <w:fldChar w:fldCharType="end"/>
      </w:r>
    </w:p>
    <w:p>
      <w:pPr>
        <w:pStyle w:val="21"/>
        <w:spacing w:line="276" w:lineRule="auto"/>
        <w:jc w:val="center"/>
        <w:rPr>
          <w:rFonts w:hint="eastAsia" w:ascii="宋体" w:hAnsi="宋体" w:eastAsia="宋体" w:cs="宋体"/>
          <w:bCs/>
          <w:sz w:val="24"/>
          <w:szCs w:val="24"/>
        </w:rPr>
      </w:pPr>
      <w:r>
        <w:rPr>
          <w:rFonts w:hint="eastAsia" w:ascii="宋体" w:hAnsi="宋体" w:eastAsia="宋体" w:cs="宋体"/>
          <w:bCs/>
          <w:szCs w:val="24"/>
        </w:rPr>
        <w:fldChar w:fldCharType="end"/>
      </w:r>
    </w:p>
    <w:p>
      <w:pPr>
        <w:pStyle w:val="22"/>
        <w:spacing w:before="0" w:after="0" w:line="360" w:lineRule="auto"/>
        <w:rPr>
          <w:rFonts w:hint="eastAsia" w:ascii="宋体" w:hAnsi="宋体" w:eastAsia="宋体" w:cs="宋体"/>
          <w:sz w:val="24"/>
          <w:szCs w:val="24"/>
        </w:rPr>
      </w:pPr>
      <w:r>
        <w:rPr>
          <w:rFonts w:hint="eastAsia" w:ascii="宋体" w:hAnsi="宋体" w:eastAsia="宋体" w:cs="宋体"/>
          <w:sz w:val="24"/>
          <w:szCs w:val="24"/>
        </w:rPr>
        <w:br w:type="page"/>
      </w:r>
      <w:bookmarkStart w:id="1" w:name="_Toc8019"/>
      <w:bookmarkStart w:id="2" w:name="_Toc444715732"/>
      <w:bookmarkStart w:id="3" w:name="_Hlk503427406"/>
      <w:r>
        <w:rPr>
          <w:rFonts w:hint="eastAsia" w:ascii="宋体" w:hAnsi="宋体" w:eastAsia="宋体" w:cs="宋体"/>
          <w:sz w:val="36"/>
          <w:szCs w:val="36"/>
        </w:rPr>
        <w:t>第一部分磋商邀请</w:t>
      </w:r>
      <w:bookmarkEnd w:id="1"/>
      <w:bookmarkEnd w:id="2"/>
    </w:p>
    <w:p>
      <w:pPr>
        <w:spacing w:line="360" w:lineRule="auto"/>
        <w:ind w:firstLine="480" w:firstLineChars="200"/>
        <w:rPr>
          <w:rFonts w:hint="eastAsia" w:ascii="宋体" w:hAnsi="宋体" w:eastAsia="宋体" w:cs="宋体"/>
          <w:sz w:val="24"/>
          <w:szCs w:val="24"/>
          <w:lang w:val="zh-CN"/>
        </w:rPr>
      </w:pPr>
      <w:bookmarkStart w:id="4" w:name="_Hlk503427571"/>
      <w:r>
        <w:rPr>
          <w:rFonts w:hint="eastAsia" w:ascii="宋体" w:hAnsi="宋体" w:eastAsia="宋体" w:cs="宋体"/>
          <w:sz w:val="24"/>
          <w:szCs w:val="24"/>
          <w:lang w:val="zh-CN"/>
        </w:rPr>
        <w:t>青海国焱工程项目管理有限公司（以下均简称“采购代理机构”）受大通县兴农供销合作社（以下均简称“采购单位”）委托，拟对</w:t>
      </w:r>
      <w:r>
        <w:rPr>
          <w:rFonts w:hint="eastAsia" w:ascii="宋体" w:hAnsi="宋体" w:eastAsia="宋体" w:cs="宋体"/>
          <w:sz w:val="24"/>
          <w:szCs w:val="24"/>
          <w:lang w:eastAsia="zh-CN"/>
        </w:rPr>
        <w:t>大通兴农基层供销社标杆社建设项目-罐装线设备采购及安装（标段二）</w:t>
      </w:r>
      <w:r>
        <w:rPr>
          <w:rFonts w:hint="eastAsia" w:ascii="宋体" w:hAnsi="宋体" w:eastAsia="宋体" w:cs="宋体"/>
          <w:sz w:val="24"/>
          <w:szCs w:val="24"/>
          <w:lang w:val="zh-CN"/>
        </w:rPr>
        <w:t>（采购项目编号：青海国焱竞磋（货物）2022-161号）进行国内竞争性磋商采购，现予以公告，欢迎潜在的磋商供应商参加本次采购活动。</w:t>
      </w:r>
    </w:p>
    <w:tbl>
      <w:tblPr>
        <w:tblStyle w:val="31"/>
        <w:tblW w:w="966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086"/>
        <w:gridCol w:w="758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sz w:val="24"/>
                <w:szCs w:val="24"/>
                <w:lang w:val="zh-CN"/>
              </w:rPr>
            </w:pPr>
            <w:r>
              <w:rPr>
                <w:rFonts w:hint="eastAsia" w:ascii="宋体" w:hAnsi="宋体" w:eastAsia="宋体" w:cs="宋体"/>
                <w:sz w:val="24"/>
                <w:szCs w:val="24"/>
                <w:lang w:val="zh-CN"/>
              </w:rPr>
              <w:t>采购项目编号</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44"/>
              <w:rPr>
                <w:rFonts w:hint="eastAsia" w:ascii="宋体" w:hAnsi="宋体" w:eastAsia="宋体" w:cs="宋体"/>
                <w:sz w:val="24"/>
                <w:szCs w:val="24"/>
                <w:lang w:val="zh-CN"/>
              </w:rPr>
            </w:pPr>
            <w:r>
              <w:rPr>
                <w:rFonts w:hint="eastAsia" w:ascii="宋体" w:hAnsi="宋体" w:eastAsia="宋体" w:cs="宋体"/>
                <w:sz w:val="24"/>
                <w:szCs w:val="24"/>
                <w:lang w:val="zh-CN"/>
              </w:rPr>
              <w:t>青海国焱竞磋（货物）2022-161号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采购项目名称</w:t>
            </w:r>
          </w:p>
        </w:tc>
        <w:tc>
          <w:tcPr>
            <w:tcW w:w="7583" w:type="dxa"/>
            <w:tcBorders>
              <w:top w:val="outset" w:color="000000" w:sz="6" w:space="0"/>
              <w:left w:val="outset" w:color="000000" w:sz="6" w:space="0"/>
              <w:bottom w:val="outset" w:color="000000" w:sz="6" w:space="0"/>
              <w:right w:val="outset" w:color="000000" w:sz="6" w:space="0"/>
            </w:tcBorders>
            <w:vAlign w:val="center"/>
          </w:tcPr>
          <w:p>
            <w:pPr>
              <w:rPr>
                <w:rFonts w:hint="eastAsia" w:ascii="宋体" w:hAnsi="宋体" w:eastAsia="宋体" w:cs="宋体"/>
                <w:sz w:val="24"/>
                <w:szCs w:val="24"/>
              </w:rPr>
            </w:pPr>
            <w:r>
              <w:rPr>
                <w:rFonts w:hint="eastAsia" w:ascii="宋体" w:hAnsi="宋体" w:eastAsia="宋体" w:cs="宋体"/>
                <w:kern w:val="0"/>
                <w:sz w:val="24"/>
                <w:szCs w:val="24"/>
                <w:lang w:eastAsia="zh-CN"/>
              </w:rPr>
              <w:t>大通兴农基层供销社标杆社建设项目-罐装线设备采购及安装（标段二）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采购方式</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44"/>
              <w:rPr>
                <w:rFonts w:hint="eastAsia" w:ascii="宋体" w:hAnsi="宋体" w:eastAsia="宋体" w:cs="宋体"/>
                <w:kern w:val="0"/>
                <w:sz w:val="24"/>
                <w:szCs w:val="24"/>
              </w:rPr>
            </w:pPr>
            <w:r>
              <w:rPr>
                <w:rFonts w:hint="eastAsia" w:ascii="宋体" w:hAnsi="宋体" w:eastAsia="宋体" w:cs="宋体"/>
                <w:kern w:val="0"/>
                <w:sz w:val="24"/>
                <w:szCs w:val="24"/>
              </w:rPr>
              <w:t>竞争性磋商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采购预算控制额度</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44"/>
              <w:rPr>
                <w:rFonts w:hint="eastAsia" w:ascii="宋体" w:hAnsi="宋体" w:eastAsia="宋体" w:cs="宋体"/>
                <w:kern w:val="0"/>
                <w:sz w:val="24"/>
                <w:szCs w:val="24"/>
              </w:rPr>
            </w:pPr>
            <w:r>
              <w:rPr>
                <w:rFonts w:hint="eastAsia" w:ascii="宋体" w:hAnsi="宋体" w:eastAsia="宋体" w:cs="宋体"/>
                <w:kern w:val="0"/>
                <w:sz w:val="24"/>
                <w:szCs w:val="24"/>
              </w:rPr>
              <w:t>人民币</w:t>
            </w:r>
            <w:r>
              <w:rPr>
                <w:rFonts w:hint="eastAsia" w:ascii="宋体" w:hAnsi="宋体" w:eastAsia="宋体" w:cs="宋体"/>
                <w:kern w:val="0"/>
                <w:sz w:val="24"/>
                <w:szCs w:val="24"/>
                <w:lang w:val="en-US" w:eastAsia="zh-CN"/>
              </w:rPr>
              <w:t>71</w:t>
            </w:r>
            <w:r>
              <w:rPr>
                <w:rFonts w:hint="eastAsia" w:ascii="宋体" w:hAnsi="宋体" w:eastAsia="宋体" w:cs="宋体"/>
                <w:kern w:val="0"/>
                <w:sz w:val="24"/>
                <w:szCs w:val="24"/>
              </w:rPr>
              <w:t>万元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项目分包个数</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44"/>
              <w:rPr>
                <w:rFonts w:hint="eastAsia" w:ascii="宋体" w:hAnsi="宋体" w:eastAsia="宋体" w:cs="宋体"/>
                <w:kern w:val="0"/>
                <w:sz w:val="24"/>
                <w:szCs w:val="24"/>
              </w:rPr>
            </w:pPr>
            <w:r>
              <w:rPr>
                <w:rFonts w:hint="eastAsia" w:ascii="宋体" w:hAnsi="宋体" w:eastAsia="宋体" w:cs="宋体"/>
                <w:sz w:val="24"/>
                <w:szCs w:val="24"/>
                <w:lang w:val="en-US" w:eastAsia="zh-CN"/>
              </w:rPr>
              <w:t>两个标段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086" w:type="dxa"/>
            <w:tcBorders>
              <w:top w:val="outset" w:color="000000" w:sz="6" w:space="0"/>
              <w:left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项目要求</w:t>
            </w:r>
          </w:p>
        </w:tc>
        <w:tc>
          <w:tcPr>
            <w:tcW w:w="7583" w:type="dxa"/>
            <w:tcBorders>
              <w:top w:val="outset" w:color="000000" w:sz="6" w:space="0"/>
              <w:left w:val="outset" w:color="000000" w:sz="6" w:space="0"/>
              <w:right w:val="outset" w:color="000000" w:sz="6" w:space="0"/>
            </w:tcBorders>
            <w:vAlign w:val="center"/>
          </w:tcPr>
          <w:p>
            <w:pPr>
              <w:spacing w:line="288" w:lineRule="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标段一：大通兴农基层供销社标杆社建设项目（标段一）</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color w:val="000000"/>
                <w:sz w:val="24"/>
                <w:szCs w:val="24"/>
              </w:rPr>
              <w:t>招标控制价：</w:t>
            </w:r>
            <w:r>
              <w:rPr>
                <w:rFonts w:hint="eastAsia" w:ascii="宋体" w:hAnsi="宋体" w:eastAsia="宋体" w:cs="宋体"/>
                <w:b/>
                <w:bCs/>
                <w:sz w:val="24"/>
                <w:szCs w:val="24"/>
                <w:lang w:val="en-US" w:eastAsia="zh-CN"/>
              </w:rPr>
              <w:t>635</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879</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29</w:t>
            </w:r>
            <w:r>
              <w:rPr>
                <w:rFonts w:hint="eastAsia" w:ascii="宋体" w:hAnsi="宋体" w:eastAsia="宋体" w:cs="宋体"/>
                <w:b/>
                <w:bCs/>
                <w:sz w:val="24"/>
                <w:szCs w:val="24"/>
              </w:rPr>
              <w:t>元，</w:t>
            </w:r>
            <w:r>
              <w:rPr>
                <w:rFonts w:hint="eastAsia" w:ascii="宋体" w:hAnsi="宋体" w:eastAsia="宋体" w:cs="宋体"/>
                <w:b/>
                <w:bCs/>
                <w:sz w:val="24"/>
                <w:szCs w:val="24"/>
                <w:lang w:val="en-US" w:eastAsia="zh-CN"/>
              </w:rPr>
              <w:t>陆拾叁万伍仟捌佰柒拾玖元贰角玖分</w:t>
            </w:r>
            <w:r>
              <w:rPr>
                <w:rFonts w:hint="eastAsia" w:ascii="宋体" w:hAnsi="宋体" w:eastAsia="宋体" w:cs="宋体"/>
                <w:b/>
                <w:bCs/>
                <w:sz w:val="24"/>
                <w:szCs w:val="24"/>
              </w:rPr>
              <w:t>；</w:t>
            </w:r>
          </w:p>
          <w:p>
            <w:pPr>
              <w:pStyle w:val="2"/>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标段二：</w:t>
            </w:r>
            <w:r>
              <w:rPr>
                <w:rFonts w:hint="eastAsia" w:ascii="宋体" w:hAnsi="宋体" w:eastAsia="宋体" w:cs="宋体"/>
                <w:b/>
                <w:bCs/>
                <w:color w:val="000000"/>
                <w:sz w:val="24"/>
                <w:szCs w:val="24"/>
                <w:lang w:val="en-US" w:eastAsia="zh-CN" w:bidi="ar-SA"/>
              </w:rPr>
              <w:t>大通兴农基层供销社标杆社建设项目</w:t>
            </w:r>
            <w:r>
              <w:rPr>
                <w:rFonts w:hint="eastAsia" w:ascii="宋体" w:hAnsi="宋体" w:eastAsia="宋体" w:cs="宋体"/>
                <w:b/>
                <w:bCs/>
                <w:sz w:val="24"/>
                <w:szCs w:val="24"/>
                <w:lang w:val="en-US" w:eastAsia="zh-CN" w:bidi="ar-SA"/>
              </w:rPr>
              <w:t>-罐装线设备采购及安装（标段二）</w:t>
            </w:r>
          </w:p>
          <w:p>
            <w:pPr>
              <w:spacing w:line="360" w:lineRule="auto"/>
              <w:rPr>
                <w:rFonts w:hint="eastAsia" w:ascii="宋体" w:hAnsi="宋体" w:eastAsia="宋体" w:cs="宋体"/>
                <w:kern w:val="0"/>
                <w:sz w:val="24"/>
                <w:szCs w:val="24"/>
              </w:rPr>
            </w:pPr>
            <w:r>
              <w:rPr>
                <w:rFonts w:hint="eastAsia" w:ascii="宋体" w:hAnsi="宋体" w:eastAsia="宋体" w:cs="宋体"/>
                <w:b/>
                <w:bCs/>
                <w:color w:val="000000"/>
                <w:sz w:val="24"/>
                <w:szCs w:val="24"/>
              </w:rPr>
              <w:t>招标控制价：</w:t>
            </w:r>
            <w:r>
              <w:rPr>
                <w:rFonts w:hint="eastAsia" w:ascii="宋体" w:hAnsi="宋体" w:eastAsia="宋体" w:cs="宋体"/>
                <w:b/>
                <w:bCs/>
                <w:sz w:val="24"/>
                <w:szCs w:val="24"/>
                <w:lang w:val="en-US" w:eastAsia="zh-CN"/>
              </w:rPr>
              <w:t>710</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000</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00</w:t>
            </w:r>
            <w:r>
              <w:rPr>
                <w:rFonts w:hint="eastAsia" w:ascii="宋体" w:hAnsi="宋体" w:eastAsia="宋体" w:cs="宋体"/>
                <w:b/>
                <w:bCs/>
                <w:sz w:val="24"/>
                <w:szCs w:val="24"/>
              </w:rPr>
              <w:t>元，</w:t>
            </w:r>
            <w:r>
              <w:rPr>
                <w:rFonts w:hint="eastAsia" w:ascii="宋体" w:hAnsi="宋体" w:eastAsia="宋体" w:cs="宋体"/>
                <w:b/>
                <w:bCs/>
                <w:sz w:val="24"/>
                <w:szCs w:val="24"/>
                <w:lang w:val="en-US" w:eastAsia="zh-CN"/>
              </w:rPr>
              <w:t>柒拾壹万元整</w:t>
            </w:r>
            <w:r>
              <w:rPr>
                <w:rFonts w:hint="eastAsia" w:ascii="宋体" w:hAnsi="宋体" w:eastAsia="宋体" w:cs="宋体"/>
                <w:b/>
                <w:bCs/>
                <w:sz w:val="24"/>
                <w:szCs w:val="24"/>
              </w:rPr>
              <w:t>；</w:t>
            </w:r>
          </w:p>
          <w:p>
            <w:pPr>
              <w:rPr>
                <w:rFonts w:hint="eastAsia" w:ascii="宋体" w:hAnsi="宋体" w:eastAsia="宋体" w:cs="宋体"/>
                <w:sz w:val="24"/>
                <w:szCs w:val="24"/>
              </w:rPr>
            </w:pPr>
            <w:r>
              <w:rPr>
                <w:rFonts w:hint="eastAsia" w:ascii="宋体" w:hAnsi="宋体" w:eastAsia="宋体" w:cs="宋体"/>
                <w:kern w:val="0"/>
                <w:sz w:val="24"/>
                <w:szCs w:val="24"/>
              </w:rPr>
              <w:t>具体内容详见《磋商文件》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sz w:val="24"/>
                <w:szCs w:val="24"/>
              </w:rPr>
              <w:t>磋商供应商</w:t>
            </w:r>
            <w:r>
              <w:rPr>
                <w:rFonts w:hint="eastAsia" w:ascii="宋体" w:hAnsi="宋体" w:eastAsia="宋体" w:cs="宋体"/>
                <w:kern w:val="0"/>
                <w:sz w:val="24"/>
                <w:szCs w:val="24"/>
              </w:rPr>
              <w:t>资格条件</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44"/>
              <w:rPr>
                <w:rFonts w:hint="eastAsia" w:ascii="宋体" w:hAnsi="宋体" w:eastAsia="宋体" w:cs="宋体"/>
                <w:color w:val="000000" w:themeColor="text1"/>
                <w:kern w:val="0"/>
                <w:sz w:val="24"/>
                <w:szCs w:val="24"/>
                <w:lang w:val="zh-CN" w:eastAsia="zh-CN"/>
              </w:rPr>
            </w:pPr>
            <w:r>
              <w:rPr>
                <w:rFonts w:hint="eastAsia" w:ascii="宋体" w:hAnsi="宋体" w:eastAsia="宋体" w:cs="宋体"/>
                <w:color w:val="000000" w:themeColor="text1"/>
                <w:kern w:val="0"/>
                <w:sz w:val="24"/>
                <w:szCs w:val="24"/>
                <w:lang w:val="zh-CN" w:eastAsia="zh-CN"/>
              </w:rPr>
              <w:t>1.符合《政府采购法》第22条条件，并提供下列材料：</w:t>
            </w:r>
          </w:p>
          <w:p>
            <w:pPr>
              <w:pStyle w:val="44"/>
              <w:rPr>
                <w:rFonts w:hint="eastAsia" w:ascii="宋体" w:hAnsi="宋体" w:eastAsia="宋体" w:cs="宋体"/>
                <w:color w:val="000000" w:themeColor="text1"/>
                <w:kern w:val="0"/>
                <w:sz w:val="24"/>
                <w:szCs w:val="24"/>
                <w:lang w:val="zh-CN" w:eastAsia="zh-CN"/>
              </w:rPr>
            </w:pPr>
            <w:r>
              <w:rPr>
                <w:rFonts w:hint="eastAsia" w:ascii="宋体" w:hAnsi="宋体" w:eastAsia="宋体" w:cs="宋体"/>
                <w:color w:val="000000" w:themeColor="text1"/>
                <w:kern w:val="0"/>
                <w:sz w:val="24"/>
                <w:szCs w:val="24"/>
                <w:lang w:val="zh-CN" w:eastAsia="zh-CN"/>
              </w:rPr>
              <w:t>&lt;1&gt;磋商人的营业执照等证明文件，自然人的身份证明。</w:t>
            </w:r>
          </w:p>
          <w:p>
            <w:pPr>
              <w:pStyle w:val="44"/>
              <w:rPr>
                <w:rFonts w:hint="eastAsia" w:ascii="宋体" w:hAnsi="宋体" w:eastAsia="宋体" w:cs="宋体"/>
                <w:color w:val="000000" w:themeColor="text1"/>
                <w:kern w:val="0"/>
                <w:sz w:val="24"/>
                <w:szCs w:val="24"/>
                <w:lang w:val="zh-CN" w:eastAsia="zh-CN"/>
              </w:rPr>
            </w:pPr>
            <w:r>
              <w:rPr>
                <w:rFonts w:hint="eastAsia" w:ascii="宋体" w:hAnsi="宋体" w:eastAsia="宋体" w:cs="宋体"/>
                <w:color w:val="000000" w:themeColor="text1"/>
                <w:kern w:val="0"/>
                <w:sz w:val="24"/>
                <w:szCs w:val="24"/>
                <w:lang w:val="zh-CN" w:eastAsia="zh-CN"/>
              </w:rPr>
              <w:t>&lt;2&gt;财务状况报告，依法缴纳税收和社会保障资金的相关材料。</w:t>
            </w:r>
          </w:p>
          <w:p>
            <w:pPr>
              <w:pStyle w:val="44"/>
              <w:rPr>
                <w:rFonts w:hint="eastAsia" w:ascii="宋体" w:hAnsi="宋体" w:eastAsia="宋体" w:cs="宋体"/>
                <w:color w:val="000000" w:themeColor="text1"/>
                <w:kern w:val="0"/>
                <w:sz w:val="24"/>
                <w:szCs w:val="24"/>
                <w:lang w:val="zh-CN" w:eastAsia="zh-CN"/>
              </w:rPr>
            </w:pPr>
            <w:r>
              <w:rPr>
                <w:rFonts w:hint="eastAsia" w:ascii="宋体" w:hAnsi="宋体" w:eastAsia="宋体" w:cs="宋体"/>
                <w:color w:val="000000" w:themeColor="text1"/>
                <w:kern w:val="0"/>
                <w:sz w:val="24"/>
                <w:szCs w:val="24"/>
                <w:lang w:val="zh-CN" w:eastAsia="zh-CN"/>
              </w:rPr>
              <w:t>&lt;3&gt;具备履行合同所必需的设备和专业技术能力的证明材料。</w:t>
            </w:r>
          </w:p>
          <w:p>
            <w:pPr>
              <w:pStyle w:val="44"/>
              <w:rPr>
                <w:rFonts w:hint="eastAsia" w:ascii="宋体" w:hAnsi="宋体" w:eastAsia="宋体" w:cs="宋体"/>
                <w:color w:val="000000" w:themeColor="text1"/>
                <w:kern w:val="0"/>
                <w:sz w:val="24"/>
                <w:szCs w:val="24"/>
                <w:lang w:val="zh-CN" w:eastAsia="zh-CN"/>
              </w:rPr>
            </w:pPr>
            <w:r>
              <w:rPr>
                <w:rFonts w:hint="eastAsia" w:ascii="宋体" w:hAnsi="宋体" w:eastAsia="宋体" w:cs="宋体"/>
                <w:color w:val="000000" w:themeColor="text1"/>
                <w:kern w:val="0"/>
                <w:sz w:val="24"/>
                <w:szCs w:val="24"/>
                <w:lang w:val="zh-CN" w:eastAsia="zh-CN"/>
              </w:rPr>
              <w:t>&lt;4&gt;参加政府采购活动前3年内在经营活动中没有重大违法记录的书面声明。</w:t>
            </w:r>
          </w:p>
          <w:p>
            <w:pPr>
              <w:pStyle w:val="44"/>
              <w:rPr>
                <w:rFonts w:hint="eastAsia" w:ascii="宋体" w:hAnsi="宋体" w:eastAsia="宋体" w:cs="宋体"/>
                <w:color w:val="000000" w:themeColor="text1"/>
                <w:kern w:val="0"/>
                <w:sz w:val="24"/>
                <w:szCs w:val="24"/>
                <w:lang w:val="zh-CN" w:eastAsia="zh-CN"/>
              </w:rPr>
            </w:pPr>
            <w:r>
              <w:rPr>
                <w:rFonts w:hint="eastAsia" w:ascii="宋体" w:hAnsi="宋体" w:eastAsia="宋体" w:cs="宋体"/>
                <w:color w:val="000000" w:themeColor="text1"/>
                <w:kern w:val="0"/>
                <w:sz w:val="24"/>
                <w:szCs w:val="24"/>
                <w:lang w:val="zh-CN" w:eastAsia="zh-CN"/>
              </w:rPr>
              <w:t>&lt;5&gt;具备法律、行政法规规定的其他条件的证明材料。</w:t>
            </w:r>
          </w:p>
          <w:p>
            <w:pPr>
              <w:pStyle w:val="44"/>
              <w:rPr>
                <w:rFonts w:hint="eastAsia" w:ascii="宋体" w:hAnsi="宋体" w:eastAsia="宋体" w:cs="宋体"/>
                <w:color w:val="000000" w:themeColor="text1"/>
                <w:kern w:val="0"/>
                <w:sz w:val="24"/>
                <w:szCs w:val="24"/>
                <w:lang w:val="zh-CN" w:eastAsia="zh-CN"/>
              </w:rPr>
            </w:pPr>
            <w:r>
              <w:rPr>
                <w:rFonts w:hint="eastAsia" w:ascii="宋体" w:hAnsi="宋体" w:eastAsia="宋体" w:cs="宋体"/>
                <w:color w:val="000000" w:themeColor="text1"/>
                <w:kern w:val="0"/>
                <w:sz w:val="24"/>
                <w:szCs w:val="24"/>
                <w:lang w:val="zh-CN" w:eastAsia="zh-CN"/>
              </w:rPr>
              <w:t>2.单位负责人为同一人或者存在直接控股、管理关系的不同磋商人，不得参加同一合同项下的政府采购活动。否则，皆取消投标资格；</w:t>
            </w:r>
          </w:p>
          <w:p>
            <w:pPr>
              <w:pStyle w:val="44"/>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zh-CN" w:eastAsia="zh-CN"/>
              </w:rPr>
              <w:t>3.</w:t>
            </w:r>
            <w:r>
              <w:rPr>
                <w:rFonts w:hint="eastAsia" w:ascii="宋体" w:hAnsi="宋体" w:eastAsia="宋体" w:cs="宋体"/>
                <w:color w:val="000000" w:themeColor="text1"/>
                <w:kern w:val="0"/>
                <w:sz w:val="24"/>
                <w:szCs w:val="24"/>
                <w:lang w:val="en-US" w:eastAsia="zh-CN"/>
              </w:rPr>
              <w:t>符合、承认并承诺履行本招标文件各项规定，所提供的货物和服务须在我国境内合法生产销售的；</w:t>
            </w:r>
          </w:p>
          <w:p>
            <w:pPr>
              <w:pStyle w:val="44"/>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4.</w:t>
            </w:r>
            <w:r>
              <w:rPr>
                <w:rFonts w:hint="eastAsia" w:ascii="宋体" w:hAnsi="宋体" w:eastAsia="宋体" w:cs="宋体"/>
                <w:color w:val="000000" w:themeColor="text1"/>
                <w:kern w:val="0"/>
                <w:sz w:val="24"/>
                <w:szCs w:val="24"/>
                <w:lang w:val="zh-CN" w:eastAsia="zh-CN"/>
              </w:rPr>
              <w:t>经信用中</w:t>
            </w:r>
            <w:r>
              <w:rPr>
                <w:rFonts w:hint="eastAsia" w:ascii="宋体" w:hAnsi="宋体" w:eastAsia="宋体" w:cs="宋体"/>
                <w:color w:val="000000" w:themeColor="text1"/>
                <w:kern w:val="0"/>
                <w:sz w:val="24"/>
                <w:szCs w:val="24"/>
                <w:lang w:val="en-US" w:eastAsia="zh-CN"/>
              </w:rPr>
              <w:t>国（www.creditchina.gov.cn）、中国政府采购网（www.ccgp.gov.cn）等渠道查询后，列入失信被执行人、税收违法黑名单</w:t>
            </w:r>
            <w:r>
              <w:rPr>
                <w:rFonts w:hint="eastAsia" w:ascii="宋体" w:hAnsi="宋体" w:eastAsia="宋体" w:cs="宋体"/>
                <w:color w:val="000000" w:themeColor="text1"/>
                <w:kern w:val="0"/>
                <w:sz w:val="24"/>
                <w:szCs w:val="24"/>
                <w:lang w:val="en-US" w:eastAsia="zh-CN"/>
              </w:rPr>
              <w:t>、政府采购严重违法失信行为记录名单的，取消投标资格(提</w:t>
            </w:r>
            <w:r>
              <w:rPr>
                <w:rFonts w:hint="eastAsia" w:ascii="宋体" w:hAnsi="宋体" w:eastAsia="宋体" w:cs="宋体"/>
                <w:color w:val="000000" w:themeColor="text1"/>
                <w:kern w:val="0"/>
                <w:sz w:val="24"/>
                <w:szCs w:val="24"/>
                <w:lang w:val="zh-CN" w:eastAsia="zh-CN"/>
              </w:rPr>
              <w:t>供</w:t>
            </w:r>
            <w:r>
              <w:rPr>
                <w:rFonts w:hint="eastAsia" w:ascii="宋体" w:hAnsi="宋体" w:eastAsia="宋体" w:cs="宋体"/>
                <w:color w:val="000000" w:themeColor="text1"/>
                <w:kern w:val="0"/>
                <w:sz w:val="24"/>
                <w:szCs w:val="24"/>
                <w:lang w:val="en-US" w:eastAsia="zh-CN"/>
              </w:rPr>
              <w:t>“</w:t>
            </w:r>
            <w:r>
              <w:rPr>
                <w:rFonts w:hint="eastAsia" w:ascii="宋体" w:hAnsi="宋体" w:eastAsia="宋体" w:cs="宋体"/>
                <w:color w:val="000000" w:themeColor="text1"/>
                <w:kern w:val="0"/>
                <w:sz w:val="24"/>
                <w:szCs w:val="24"/>
                <w:lang w:val="zh-CN" w:eastAsia="zh-CN"/>
              </w:rPr>
              <w:t>信用中国</w:t>
            </w:r>
            <w:r>
              <w:rPr>
                <w:rFonts w:hint="eastAsia" w:ascii="宋体" w:hAnsi="宋体" w:eastAsia="宋体" w:cs="宋体"/>
                <w:color w:val="000000" w:themeColor="text1"/>
                <w:kern w:val="0"/>
                <w:sz w:val="24"/>
                <w:szCs w:val="24"/>
                <w:lang w:val="en-US" w:eastAsia="zh-CN"/>
              </w:rPr>
              <w:t>”</w:t>
            </w:r>
            <w:r>
              <w:rPr>
                <w:rFonts w:hint="eastAsia" w:ascii="宋体" w:hAnsi="宋体" w:eastAsia="宋体" w:cs="宋体"/>
                <w:color w:val="000000" w:themeColor="text1"/>
                <w:kern w:val="0"/>
                <w:sz w:val="24"/>
                <w:szCs w:val="24"/>
                <w:lang w:val="zh-CN" w:eastAsia="zh-CN"/>
              </w:rPr>
              <w:t>网站的查询截图</w:t>
            </w:r>
            <w:r>
              <w:rPr>
                <w:rFonts w:hint="eastAsia" w:ascii="宋体" w:hAnsi="宋体" w:eastAsia="宋体" w:cs="宋体"/>
                <w:color w:val="000000" w:themeColor="text1"/>
                <w:kern w:val="0"/>
                <w:sz w:val="24"/>
                <w:szCs w:val="24"/>
                <w:lang w:val="en-US" w:eastAsia="zh-CN"/>
              </w:rPr>
              <w:t>)；</w:t>
            </w:r>
          </w:p>
          <w:p>
            <w:pPr>
              <w:pStyle w:val="44"/>
              <w:rPr>
                <w:rFonts w:hint="eastAsia" w:ascii="宋体" w:hAnsi="宋体" w:eastAsia="宋体" w:cs="宋体"/>
                <w:color w:val="000000" w:themeColor="text1"/>
                <w:kern w:val="0"/>
                <w:sz w:val="24"/>
                <w:szCs w:val="24"/>
                <w:lang w:val="zh-CN" w:eastAsia="zh-CN"/>
              </w:rPr>
            </w:pPr>
            <w:r>
              <w:rPr>
                <w:rFonts w:hint="eastAsia" w:ascii="宋体" w:hAnsi="宋体" w:eastAsia="宋体" w:cs="宋体"/>
                <w:color w:val="000000" w:themeColor="text1"/>
                <w:kern w:val="0"/>
                <w:sz w:val="24"/>
                <w:szCs w:val="24"/>
                <w:lang w:val="zh-CN" w:eastAsia="zh-CN"/>
              </w:rPr>
              <w:t>5.本项目不接受磋商人以联合体方式进行投标。</w:t>
            </w:r>
          </w:p>
          <w:p>
            <w:pPr>
              <w:pStyle w:val="44"/>
              <w:rPr>
                <w:rFonts w:hint="default"/>
                <w:lang w:val="en-US"/>
              </w:rPr>
            </w:pPr>
            <w:r>
              <w:rPr>
                <w:rFonts w:hint="eastAsia" w:ascii="宋体" w:hAnsi="宋体" w:eastAsia="宋体" w:cs="宋体"/>
                <w:color w:val="000000" w:themeColor="text1"/>
                <w:kern w:val="0"/>
                <w:sz w:val="24"/>
                <w:szCs w:val="24"/>
                <w:lang w:val="en-US" w:eastAsia="zh-CN"/>
              </w:rPr>
              <w:t>6</w:t>
            </w:r>
            <w:r>
              <w:rPr>
                <w:rFonts w:hint="eastAsia" w:ascii="宋体" w:hAnsi="宋体" w:eastAsia="宋体" w:cs="宋体"/>
                <w:color w:val="000000" w:themeColor="text1"/>
                <w:kern w:val="0"/>
                <w:sz w:val="24"/>
                <w:szCs w:val="24"/>
                <w:lang w:val="zh-CN" w:eastAsia="zh-CN"/>
              </w:rPr>
              <w:t>.本项目中小企业预留份额100%，全部面向中小企业采购。</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公告发布时间</w:t>
            </w:r>
          </w:p>
        </w:tc>
        <w:tc>
          <w:tcPr>
            <w:tcW w:w="7583"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2022年0</w:t>
            </w:r>
            <w:r>
              <w:rPr>
                <w:rFonts w:hint="eastAsia" w:ascii="宋体" w:hAnsi="宋体" w:eastAsia="宋体" w:cs="宋体"/>
                <w:kern w:val="0"/>
                <w:sz w:val="24"/>
                <w:szCs w:val="24"/>
                <w:lang w:val="en-US" w:eastAsia="zh-CN" w:bidi="ar-SA"/>
              </w:rPr>
              <w:t>7</w:t>
            </w:r>
            <w:r>
              <w:rPr>
                <w:rFonts w:hint="eastAsia" w:ascii="宋体" w:hAnsi="宋体" w:eastAsia="宋体" w:cs="宋体"/>
                <w:kern w:val="0"/>
                <w:sz w:val="24"/>
                <w:szCs w:val="24"/>
                <w:lang w:val="zh-CN" w:eastAsia="zh-CN" w:bidi="ar-SA"/>
              </w:rPr>
              <w:t>月</w:t>
            </w:r>
            <w:r>
              <w:rPr>
                <w:rFonts w:hint="eastAsia" w:ascii="宋体" w:hAnsi="宋体" w:eastAsia="宋体" w:cs="宋体"/>
                <w:kern w:val="0"/>
                <w:sz w:val="24"/>
                <w:szCs w:val="24"/>
                <w:lang w:val="en-US" w:eastAsia="zh-CN" w:bidi="ar-SA"/>
              </w:rPr>
              <w:t>25</w:t>
            </w:r>
            <w:r>
              <w:rPr>
                <w:rFonts w:hint="eastAsia" w:ascii="宋体" w:hAnsi="宋体" w:eastAsia="宋体" w:cs="宋体"/>
                <w:kern w:val="0"/>
                <w:sz w:val="24"/>
                <w:szCs w:val="24"/>
                <w:lang w:val="zh-CN" w:eastAsia="zh-CN" w:bidi="ar-SA"/>
              </w:rPr>
              <w:t>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2086" w:type="dxa"/>
            <w:tcBorders>
              <w:top w:val="outset" w:color="000000" w:sz="6" w:space="0"/>
              <w:left w:val="outset" w:color="000000" w:sz="6" w:space="0"/>
              <w:bottom w:val="outset" w:color="000000" w:sz="6" w:space="0"/>
              <w:right w:val="outset" w:color="000000" w:sz="6" w:space="0"/>
            </w:tcBorders>
          </w:tcPr>
          <w:p>
            <w:pPr>
              <w:pStyle w:val="44"/>
              <w:jc w:val="left"/>
              <w:rPr>
                <w:rFonts w:hint="eastAsia" w:ascii="宋体" w:hAnsi="宋体" w:eastAsia="宋体" w:cs="宋体"/>
                <w:sz w:val="24"/>
                <w:szCs w:val="24"/>
              </w:rPr>
            </w:pPr>
            <w:r>
              <w:rPr>
                <w:rFonts w:hint="eastAsia" w:ascii="宋体" w:hAnsi="宋体" w:eastAsia="宋体" w:cs="宋体"/>
                <w:sz w:val="24"/>
                <w:szCs w:val="24"/>
              </w:rPr>
              <w:t>磋商文件发售起止时间</w:t>
            </w:r>
          </w:p>
        </w:tc>
        <w:tc>
          <w:tcPr>
            <w:tcW w:w="7583" w:type="dxa"/>
            <w:tcBorders>
              <w:top w:val="outset" w:color="000000" w:sz="6" w:space="0"/>
              <w:left w:val="outset" w:color="000000" w:sz="6" w:space="0"/>
              <w:bottom w:val="outset" w:color="000000" w:sz="6" w:space="0"/>
              <w:right w:val="outset" w:color="000000" w:sz="6" w:space="0"/>
            </w:tcBorders>
            <w:vAlign w:val="top"/>
          </w:tcPr>
          <w:p>
            <w:pPr>
              <w:spacing w:line="288" w:lineRule="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自2022年0</w:t>
            </w:r>
            <w:r>
              <w:rPr>
                <w:rFonts w:hint="eastAsia" w:ascii="宋体" w:hAnsi="宋体" w:eastAsia="宋体" w:cs="宋体"/>
                <w:kern w:val="0"/>
                <w:sz w:val="24"/>
                <w:szCs w:val="24"/>
                <w:lang w:val="en-US" w:eastAsia="zh-CN" w:bidi="ar-SA"/>
              </w:rPr>
              <w:t>7</w:t>
            </w:r>
            <w:r>
              <w:rPr>
                <w:rFonts w:hint="eastAsia" w:ascii="宋体" w:hAnsi="宋体" w:eastAsia="宋体" w:cs="宋体"/>
                <w:kern w:val="0"/>
                <w:sz w:val="24"/>
                <w:szCs w:val="24"/>
                <w:lang w:val="zh-CN" w:eastAsia="zh-CN" w:bidi="ar-SA"/>
              </w:rPr>
              <w:t>月</w:t>
            </w:r>
            <w:r>
              <w:rPr>
                <w:rFonts w:hint="eastAsia" w:ascii="宋体" w:hAnsi="宋体" w:eastAsia="宋体" w:cs="宋体"/>
                <w:kern w:val="0"/>
                <w:sz w:val="24"/>
                <w:szCs w:val="24"/>
                <w:lang w:val="en-US" w:eastAsia="zh-CN" w:bidi="ar-SA"/>
              </w:rPr>
              <w:t>26</w:t>
            </w:r>
            <w:r>
              <w:rPr>
                <w:rFonts w:hint="eastAsia" w:ascii="宋体" w:hAnsi="宋体" w:eastAsia="宋体" w:cs="宋体"/>
                <w:kern w:val="0"/>
                <w:sz w:val="24"/>
                <w:szCs w:val="24"/>
                <w:lang w:val="zh-CN" w:eastAsia="zh-CN" w:bidi="ar-SA"/>
              </w:rPr>
              <w:t>日至2022年0</w:t>
            </w:r>
            <w:r>
              <w:rPr>
                <w:rFonts w:hint="eastAsia" w:ascii="宋体" w:hAnsi="宋体" w:eastAsia="宋体" w:cs="宋体"/>
                <w:kern w:val="0"/>
                <w:sz w:val="24"/>
                <w:szCs w:val="24"/>
                <w:lang w:val="en-US" w:eastAsia="zh-CN" w:bidi="ar-SA"/>
              </w:rPr>
              <w:t>8</w:t>
            </w:r>
            <w:r>
              <w:rPr>
                <w:rFonts w:hint="eastAsia" w:ascii="宋体" w:hAnsi="宋体" w:eastAsia="宋体" w:cs="宋体"/>
                <w:kern w:val="0"/>
                <w:sz w:val="24"/>
                <w:szCs w:val="24"/>
                <w:lang w:val="zh-CN" w:eastAsia="zh-CN" w:bidi="ar-SA"/>
              </w:rPr>
              <w:t>月</w:t>
            </w:r>
            <w:r>
              <w:rPr>
                <w:rFonts w:hint="eastAsia" w:ascii="宋体" w:hAnsi="宋体" w:eastAsia="宋体" w:cs="宋体"/>
                <w:kern w:val="0"/>
                <w:sz w:val="24"/>
                <w:szCs w:val="24"/>
                <w:lang w:val="en-US" w:eastAsia="zh-CN" w:bidi="ar-SA"/>
              </w:rPr>
              <w:t>01</w:t>
            </w:r>
            <w:r>
              <w:rPr>
                <w:rFonts w:hint="eastAsia" w:ascii="宋体" w:hAnsi="宋体" w:eastAsia="宋体" w:cs="宋体"/>
                <w:kern w:val="0"/>
                <w:sz w:val="24"/>
                <w:szCs w:val="24"/>
                <w:lang w:val="zh-CN" w:eastAsia="zh-CN" w:bidi="ar-SA"/>
              </w:rPr>
              <w:t>日（上午9:00-12:00，下午14:00-17:30休息日、节假日除外）。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磋商文件发售方式</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44"/>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网上获取或现场获取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磋商文件售价</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44"/>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500元整</w:t>
            </w:r>
            <w:r>
              <w:rPr>
                <w:rFonts w:hint="eastAsia" w:ascii="宋体" w:hAnsi="宋体" w:eastAsia="宋体" w:cs="宋体"/>
                <w:color w:val="000000" w:themeColor="text1"/>
                <w:kern w:val="0"/>
                <w:sz w:val="24"/>
                <w:szCs w:val="24"/>
                <w:lang w:val="zh-CN"/>
              </w:rPr>
              <w:t>（磋商文件售后不退,磋商资格不能转让）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68" w:hRule="atLeast"/>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磋商文件发售地点</w:t>
            </w:r>
          </w:p>
        </w:tc>
        <w:tc>
          <w:tcPr>
            <w:tcW w:w="7583"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地址：青海省西宁市城西区新宁路36号青海省投资大厦10楼东侧</w:t>
            </w:r>
          </w:p>
          <w:p>
            <w:pPr>
              <w:spacing w:line="288"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标书购买联系人：刘先生</w:t>
            </w:r>
          </w:p>
          <w:p>
            <w:pPr>
              <w:spacing w:line="288"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联系电话：0971-8456071</w:t>
            </w:r>
          </w:p>
          <w:p>
            <w:pPr>
              <w:pStyle w:val="44"/>
              <w:rPr>
                <w:rFonts w:hint="eastAsia" w:ascii="宋体" w:hAnsi="宋体" w:eastAsia="宋体" w:cs="宋体"/>
                <w:color w:val="000000" w:themeColor="text1"/>
                <w:kern w:val="0"/>
                <w:sz w:val="24"/>
                <w:szCs w:val="24"/>
              </w:rPr>
            </w:pPr>
            <w:r>
              <w:rPr>
                <w:rFonts w:hint="eastAsia" w:ascii="宋体" w:hAnsi="宋体" w:eastAsia="宋体" w:cs="宋体"/>
                <w:kern w:val="0"/>
                <w:sz w:val="24"/>
                <w:szCs w:val="24"/>
                <w:lang w:val="en-US" w:eastAsia="zh-CN" w:bidi="ar-SA"/>
              </w:rPr>
              <w:t>电子邮箱：qhgyzb@126.com</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53" w:hRule="atLeast"/>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购买磋商文件时应提供材料</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87"/>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磋商人的营业执照（副本）复印件、组织机构代码证（副本）复印件、税务登记证（副本）复印件或三证合一营业执照（副本）复印件、法人授权委托书（原件）及法人身份证复印件、被授权人身份证复印件。以上资料复印件均需加盖公章（采购代理机构对以上资料留存备案）。</w:t>
            </w:r>
          </w:p>
          <w:p>
            <w:pPr>
              <w:pStyle w:val="87"/>
              <w:numPr>
                <w:ilvl w:val="0"/>
                <w:numId w:val="0"/>
              </w:numPr>
              <w:spacing w:line="360" w:lineRule="auto"/>
              <w:ind w:leftChars="0"/>
              <w:rPr>
                <w:rFonts w:hint="eastAsia" w:ascii="宋体" w:hAnsi="宋体" w:eastAsia="宋体" w:cs="宋体"/>
                <w:color w:val="000000" w:themeColor="text1"/>
                <w:kern w:val="0"/>
                <w:sz w:val="24"/>
                <w:szCs w:val="24"/>
              </w:rPr>
            </w:pPr>
            <w:r>
              <w:rPr>
                <w:rFonts w:hint="eastAsia" w:ascii="宋体" w:hAnsi="宋体" w:eastAsia="宋体" w:cs="宋体"/>
                <w:kern w:val="0"/>
                <w:sz w:val="24"/>
                <w:szCs w:val="24"/>
                <w:lang w:val="en-US" w:eastAsia="zh-CN" w:bidi="ar-SA"/>
              </w:rPr>
              <w:t>2、网上购买标书的磋商人应将以上材料扫描后发至我公司联系邮箱(qhgyzb@126.com)，在邮件中标明购买项目名称、项目编号、联系人及联系方式，并与我公司工作人员进行联系确认。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磋商截止时间</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44"/>
              <w:spacing w:line="276"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2022年0</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月0</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日上午</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:30（北京时间）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磋商时间</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44"/>
              <w:spacing w:line="276"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2022年0</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月0</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日上午</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:30（北京时间）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磋商及磋商地点</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44"/>
              <w:spacing w:line="276"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青海省西宁市城西区新宁路36号青海省投资大厦10楼东侧青海国焱工程项目管理有限公司开标室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采购单位及联系人电话</w:t>
            </w:r>
          </w:p>
        </w:tc>
        <w:tc>
          <w:tcPr>
            <w:tcW w:w="7583"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采购单位：大通县兴农供销合作社</w:t>
            </w:r>
          </w:p>
          <w:p>
            <w:pPr>
              <w:spacing w:line="288"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联系人：杨女士</w:t>
            </w:r>
          </w:p>
          <w:p>
            <w:pPr>
              <w:spacing w:line="288"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联系电话：0971-2725242</w:t>
            </w:r>
          </w:p>
          <w:p>
            <w:pPr>
              <w:pStyle w:val="44"/>
              <w:spacing w:line="276" w:lineRule="auto"/>
              <w:rPr>
                <w:rFonts w:hint="eastAsia" w:ascii="宋体" w:hAnsi="宋体" w:eastAsia="宋体" w:cs="宋体"/>
                <w:color w:val="000000" w:themeColor="text1"/>
                <w:kern w:val="0"/>
                <w:sz w:val="24"/>
                <w:szCs w:val="24"/>
              </w:rPr>
            </w:pPr>
            <w:r>
              <w:rPr>
                <w:rFonts w:hint="eastAsia" w:ascii="宋体" w:hAnsi="宋体" w:eastAsia="宋体" w:cs="宋体"/>
                <w:kern w:val="0"/>
                <w:sz w:val="24"/>
                <w:szCs w:val="24"/>
                <w:lang w:val="en-US" w:eastAsia="zh-CN" w:bidi="ar-SA"/>
              </w:rPr>
              <w:t>联系地址：西宁市大通回族土族自治县人民路24号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采购代理机构及联系人电话</w:t>
            </w:r>
          </w:p>
        </w:tc>
        <w:tc>
          <w:tcPr>
            <w:tcW w:w="7583" w:type="dxa"/>
            <w:tcBorders>
              <w:top w:val="outset" w:color="000000" w:sz="6" w:space="0"/>
              <w:left w:val="outset" w:color="000000" w:sz="6" w:space="0"/>
              <w:bottom w:val="outset" w:color="000000" w:sz="6" w:space="0"/>
              <w:right w:val="outset" w:color="000000" w:sz="6" w:space="0"/>
            </w:tcBorders>
            <w:vAlign w:val="center"/>
          </w:tcPr>
          <w:p>
            <w:pPr>
              <w:spacing w:line="276"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采购代理机构：青海国焱工程项目管理有限公司</w:t>
            </w:r>
          </w:p>
          <w:p>
            <w:pPr>
              <w:spacing w:line="276" w:lineRule="auto"/>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rPr>
              <w:t>联   系   人：</w:t>
            </w:r>
            <w:r>
              <w:rPr>
                <w:rFonts w:hint="eastAsia" w:ascii="宋体" w:hAnsi="宋体" w:eastAsia="宋体" w:cs="宋体"/>
                <w:color w:val="000000" w:themeColor="text1"/>
                <w:kern w:val="0"/>
                <w:sz w:val="24"/>
                <w:szCs w:val="24"/>
                <w:lang w:val="en-US" w:eastAsia="zh-CN"/>
              </w:rPr>
              <w:t>张先生</w:t>
            </w:r>
          </w:p>
          <w:p>
            <w:pPr>
              <w:spacing w:line="276"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联 系  电 话：0971-8456071</w:t>
            </w:r>
          </w:p>
          <w:p>
            <w:pPr>
              <w:spacing w:line="276"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邮        箱：qhgyzb@126.com</w:t>
            </w:r>
          </w:p>
          <w:p>
            <w:pPr>
              <w:pStyle w:val="44"/>
              <w:spacing w:line="276"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联 系  地 址：青海省西宁市城西区新宁路36号青海省投资大厦10楼东侧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采购代理机构开户银行</w:t>
            </w:r>
          </w:p>
        </w:tc>
        <w:tc>
          <w:tcPr>
            <w:tcW w:w="7583"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中国工商银行股份有限公司西宁五四大街支行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收款人</w:t>
            </w:r>
          </w:p>
        </w:tc>
        <w:tc>
          <w:tcPr>
            <w:tcW w:w="7583"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青海国焱工程项目管理有限公司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kern w:val="0"/>
                <w:sz w:val="24"/>
                <w:szCs w:val="24"/>
              </w:rPr>
            </w:pPr>
            <w:r>
              <w:rPr>
                <w:rFonts w:hint="eastAsia" w:ascii="宋体" w:hAnsi="宋体" w:eastAsia="宋体" w:cs="宋体"/>
                <w:kern w:val="0"/>
                <w:sz w:val="24"/>
                <w:szCs w:val="24"/>
              </w:rPr>
              <w:t>银行账号</w:t>
            </w:r>
          </w:p>
        </w:tc>
        <w:tc>
          <w:tcPr>
            <w:tcW w:w="7583"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2806001309000043259（开户行号：102851000139）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61" w:hRule="atLeast"/>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44"/>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其他事项</w:t>
            </w:r>
          </w:p>
        </w:tc>
        <w:tc>
          <w:tcPr>
            <w:tcW w:w="7583"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lang w:eastAsia="zh-CN"/>
              </w:rPr>
              <w:t>1、本公告在《青海政府采购网》、《青海项目信息网》、《青海省电子招投标公共服务平台》、《中国招标与采购网》同时发布（公告期限：自青海政府采购网发布之日起5个工作日；公告内容以青海政府采购网发布的为准）。</w:t>
            </w:r>
          </w:p>
          <w:p>
            <w:pPr>
              <w:spacing w:line="360" w:lineRule="auto"/>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lang w:eastAsia="zh-CN"/>
              </w:rPr>
              <w:t>2、本项目共分为二个</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，二个</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分别</w:t>
            </w:r>
            <w:r>
              <w:rPr>
                <w:rFonts w:hint="eastAsia" w:ascii="宋体" w:hAnsi="宋体" w:eastAsia="宋体" w:cs="宋体"/>
                <w:color w:val="000000" w:themeColor="text1"/>
                <w:kern w:val="0"/>
                <w:sz w:val="24"/>
                <w:szCs w:val="24"/>
                <w:lang w:val="en-US" w:eastAsia="zh-CN"/>
              </w:rPr>
              <w:t>为</w:t>
            </w:r>
            <w:r>
              <w:rPr>
                <w:rFonts w:hint="eastAsia" w:ascii="宋体" w:hAnsi="宋体" w:eastAsia="宋体" w:cs="宋体"/>
                <w:color w:val="000000" w:themeColor="text1"/>
                <w:kern w:val="0"/>
                <w:sz w:val="24"/>
                <w:szCs w:val="24"/>
                <w:lang w:eastAsia="zh-CN"/>
              </w:rPr>
              <w:t>两个磋商文件，</w:t>
            </w:r>
            <w:r>
              <w:rPr>
                <w:rFonts w:hint="eastAsia" w:ascii="宋体" w:hAnsi="宋体" w:cs="宋体"/>
                <w:color w:val="000000" w:themeColor="text1"/>
                <w:kern w:val="0"/>
                <w:sz w:val="24"/>
                <w:szCs w:val="24"/>
                <w:lang w:eastAsia="zh-CN"/>
              </w:rPr>
              <w:t>磋商</w:t>
            </w:r>
            <w:r>
              <w:rPr>
                <w:rFonts w:hint="eastAsia" w:ascii="宋体" w:hAnsi="宋体" w:eastAsia="宋体" w:cs="宋体"/>
                <w:color w:val="000000" w:themeColor="text1"/>
                <w:kern w:val="0"/>
                <w:sz w:val="24"/>
                <w:szCs w:val="24"/>
                <w:lang w:eastAsia="zh-CN"/>
              </w:rPr>
              <w:t>人须针对</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号购买磋商文件并针对该</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进行投标，投标时须单独提交磋商响应文件（即每个</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均须按照该</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磋商文件单独编制磋商响应文件）。</w:t>
            </w:r>
          </w:p>
          <w:p>
            <w:pPr>
              <w:spacing w:line="360" w:lineRule="auto"/>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lang w:eastAsia="zh-CN"/>
              </w:rPr>
              <w:t>3、本项目报名时须填写清楚所报</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号，投标时</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号须与报名时</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号一致，否则其</w:t>
            </w:r>
            <w:r>
              <w:rPr>
                <w:rFonts w:hint="eastAsia" w:ascii="宋体" w:hAnsi="宋体" w:cs="宋体"/>
                <w:color w:val="000000" w:themeColor="text1"/>
                <w:kern w:val="0"/>
                <w:sz w:val="24"/>
                <w:szCs w:val="24"/>
                <w:lang w:val="en-US" w:eastAsia="zh-CN"/>
              </w:rPr>
              <w:t>磋商响应</w:t>
            </w:r>
            <w:r>
              <w:rPr>
                <w:rFonts w:hint="eastAsia" w:ascii="宋体" w:hAnsi="宋体" w:eastAsia="宋体" w:cs="宋体"/>
                <w:color w:val="000000" w:themeColor="text1"/>
                <w:kern w:val="0"/>
                <w:sz w:val="24"/>
                <w:szCs w:val="24"/>
                <w:lang w:eastAsia="zh-CN"/>
              </w:rPr>
              <w:t>文件将不予接收。</w:t>
            </w:r>
          </w:p>
          <w:p>
            <w:pPr>
              <w:spacing w:line="360" w:lineRule="auto"/>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lang w:eastAsia="zh-CN"/>
              </w:rPr>
              <w:t>4、</w:t>
            </w:r>
            <w:r>
              <w:rPr>
                <w:rFonts w:hint="eastAsia" w:ascii="宋体" w:hAnsi="宋体" w:eastAsia="宋体" w:cs="宋体"/>
                <w:color w:val="000000" w:themeColor="text1"/>
                <w:kern w:val="0"/>
                <w:sz w:val="24"/>
                <w:szCs w:val="24"/>
                <w:lang w:val="zh-CN" w:eastAsia="zh-CN"/>
              </w:rPr>
              <w:t>本项目</w:t>
            </w:r>
            <w:r>
              <w:rPr>
                <w:rFonts w:hint="eastAsia" w:ascii="宋体" w:hAnsi="宋体" w:eastAsia="宋体" w:cs="宋体"/>
                <w:color w:val="000000" w:themeColor="text1"/>
                <w:kern w:val="0"/>
                <w:sz w:val="24"/>
                <w:szCs w:val="24"/>
                <w:lang w:val="en-US" w:eastAsia="zh-CN"/>
              </w:rPr>
              <w:t>磋商</w:t>
            </w:r>
            <w:r>
              <w:rPr>
                <w:rFonts w:hint="eastAsia" w:ascii="宋体" w:hAnsi="宋体" w:eastAsia="宋体" w:cs="宋体"/>
                <w:color w:val="000000" w:themeColor="text1"/>
                <w:kern w:val="0"/>
                <w:sz w:val="24"/>
                <w:szCs w:val="24"/>
                <w:lang w:val="zh-CN" w:eastAsia="zh-CN"/>
              </w:rPr>
              <w:t>人可选其一或多个</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val="zh-CN" w:eastAsia="zh-CN"/>
              </w:rPr>
              <w:t>进行投标，若中标，只能中一个</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val="zh-CN" w:eastAsia="zh-CN"/>
              </w:rPr>
              <w:t>，采用大</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val="zh-CN" w:eastAsia="zh-CN"/>
              </w:rPr>
              <w:t>优先原则。</w:t>
            </w:r>
          </w:p>
          <w:p>
            <w:pPr>
              <w:spacing w:line="360" w:lineRule="auto"/>
              <w:rPr>
                <w:rFonts w:hint="eastAsia" w:ascii="宋体" w:hAnsi="宋体" w:eastAsia="宋体" w:cs="宋体"/>
                <w:bCs/>
                <w:color w:val="000000" w:themeColor="text1"/>
                <w:kern w:val="0"/>
                <w:sz w:val="24"/>
                <w:szCs w:val="24"/>
                <w:lang w:val="zh-CN"/>
              </w:rPr>
            </w:pPr>
            <w:r>
              <w:rPr>
                <w:rFonts w:hint="eastAsia" w:ascii="宋体" w:hAnsi="宋体" w:eastAsia="宋体" w:cs="宋体"/>
                <w:color w:val="000000" w:themeColor="text1"/>
                <w:kern w:val="0"/>
                <w:sz w:val="24"/>
                <w:szCs w:val="24"/>
                <w:lang w:eastAsia="zh-CN"/>
              </w:rPr>
              <w:t>5、磋商人参与磋商须签署《交易主体疫情防控承诺》与磋商响应文件一并单独提交</w:t>
            </w:r>
            <w:r>
              <w:rPr>
                <w:rFonts w:hint="eastAsia" w:ascii="宋体" w:hAnsi="宋体" w:eastAsia="宋体" w:cs="宋体"/>
                <w:sz w:val="24"/>
                <w:szCs w:val="24"/>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61" w:hRule="atLeast"/>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监督部门及电话</w:t>
            </w:r>
          </w:p>
        </w:tc>
        <w:tc>
          <w:tcPr>
            <w:tcW w:w="7583"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监督单位：大通县财政局</w:t>
            </w:r>
          </w:p>
          <w:p>
            <w:pPr>
              <w:autoSpaceDE w:val="0"/>
              <w:autoSpaceDN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联系电话：0971-2720177</w:t>
            </w:r>
          </w:p>
        </w:tc>
      </w:tr>
    </w:tbl>
    <w:p>
      <w:pPr>
        <w:adjustRightInd w:val="0"/>
        <w:spacing w:line="360" w:lineRule="auto"/>
        <w:jc w:val="right"/>
        <w:textAlignment w:val="baseline"/>
        <w:rPr>
          <w:rFonts w:hint="eastAsia" w:ascii="宋体" w:hAnsi="宋体" w:eastAsia="宋体" w:cs="宋体"/>
          <w:color w:val="000000" w:themeColor="text1"/>
          <w:sz w:val="24"/>
          <w:szCs w:val="24"/>
        </w:rPr>
      </w:pPr>
      <w:r>
        <w:rPr>
          <w:rFonts w:hint="eastAsia" w:ascii="宋体" w:hAnsi="宋体" w:eastAsia="宋体" w:cs="宋体"/>
          <w:sz w:val="24"/>
          <w:szCs w:val="24"/>
        </w:rPr>
        <w:t>青海国焱工程项目管理有限公司</w:t>
      </w:r>
    </w:p>
    <w:bookmarkEnd w:id="3"/>
    <w:bookmarkEnd w:id="4"/>
    <w:p>
      <w:pPr>
        <w:jc w:val="right"/>
        <w:textAlignment w:val="baseline"/>
        <w:rPr>
          <w:rFonts w:ascii="宋体" w:hAnsi="宋体" w:cs="宋体"/>
          <w:color w:val="auto"/>
          <w:sz w:val="24"/>
          <w:szCs w:val="24"/>
        </w:rPr>
      </w:pPr>
      <w:r>
        <w:rPr>
          <w:rFonts w:hint="eastAsia" w:ascii="宋体" w:hAnsi="宋体" w:cs="宋体"/>
          <w:color w:val="auto"/>
          <w:sz w:val="24"/>
          <w:szCs w:val="24"/>
        </w:rPr>
        <w:t>2022年0</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25</w:t>
      </w:r>
      <w:r>
        <w:rPr>
          <w:rFonts w:hint="eastAsia" w:ascii="宋体" w:hAnsi="宋体" w:cs="宋体"/>
          <w:color w:val="auto"/>
          <w:sz w:val="24"/>
          <w:szCs w:val="24"/>
        </w:rPr>
        <w:t>日</w:t>
      </w:r>
    </w:p>
    <w:p>
      <w:pPr>
        <w:pStyle w:val="22"/>
        <w:spacing w:before="0" w:after="0" w:line="360" w:lineRule="auto"/>
        <w:rPr>
          <w:rFonts w:hint="eastAsia" w:ascii="宋体" w:hAnsi="宋体" w:eastAsia="宋体" w:cs="宋体"/>
          <w:sz w:val="24"/>
          <w:szCs w:val="24"/>
          <w:lang w:val="zh-CN"/>
        </w:rPr>
      </w:pPr>
      <w:r>
        <w:rPr>
          <w:rFonts w:hint="eastAsia" w:ascii="宋体" w:hAnsi="宋体" w:eastAsia="宋体" w:cs="宋体"/>
          <w:sz w:val="24"/>
          <w:szCs w:val="24"/>
        </w:rPr>
        <w:br w:type="page"/>
      </w:r>
      <w:bookmarkStart w:id="5" w:name="_Toc21810"/>
      <w:bookmarkStart w:id="6" w:name="_Toc444715733"/>
      <w:r>
        <w:rPr>
          <w:rFonts w:hint="eastAsia" w:ascii="宋体" w:hAnsi="宋体" w:eastAsia="宋体" w:cs="宋体"/>
          <w:sz w:val="36"/>
          <w:szCs w:val="36"/>
        </w:rPr>
        <w:t>第二部分磋商供应商须知前附表</w:t>
      </w:r>
      <w:bookmarkEnd w:id="5"/>
      <w:bookmarkEnd w:id="6"/>
    </w:p>
    <w:tbl>
      <w:tblPr>
        <w:tblStyle w:val="31"/>
        <w:tblW w:w="10433" w:type="dxa"/>
        <w:jc w:val="center"/>
        <w:tblLayout w:type="fixed"/>
        <w:tblCellMar>
          <w:top w:w="0" w:type="dxa"/>
          <w:left w:w="57" w:type="dxa"/>
          <w:bottom w:w="0" w:type="dxa"/>
          <w:right w:w="57" w:type="dxa"/>
        </w:tblCellMar>
      </w:tblPr>
      <w:tblGrid>
        <w:gridCol w:w="653"/>
        <w:gridCol w:w="2098"/>
        <w:gridCol w:w="7682"/>
      </w:tblGrid>
      <w:tr>
        <w:tblPrEx>
          <w:tblCellMar>
            <w:top w:w="0" w:type="dxa"/>
            <w:left w:w="57" w:type="dxa"/>
            <w:bottom w:w="0" w:type="dxa"/>
            <w:right w:w="57" w:type="dxa"/>
          </w:tblCellMar>
        </w:tblPrEx>
        <w:trPr>
          <w:trHeight w:val="3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宋体" w:hAnsi="宋体" w:eastAsia="宋体" w:cs="宋体"/>
                <w:kern w:val="0"/>
                <w:sz w:val="24"/>
                <w:szCs w:val="24"/>
                <w:lang w:val="zh-CN"/>
              </w:rPr>
            </w:pPr>
            <w:r>
              <w:rPr>
                <w:rFonts w:hint="eastAsia" w:ascii="宋体" w:hAnsi="宋体" w:eastAsia="宋体" w:cs="宋体"/>
                <w:bCs/>
                <w:kern w:val="0"/>
                <w:sz w:val="24"/>
                <w:szCs w:val="24"/>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宋体" w:hAnsi="宋体" w:eastAsia="宋体" w:cs="宋体"/>
                <w:kern w:val="0"/>
                <w:sz w:val="24"/>
                <w:szCs w:val="24"/>
                <w:lang w:val="zh-CN"/>
              </w:rPr>
            </w:pPr>
            <w:r>
              <w:rPr>
                <w:rFonts w:hint="eastAsia" w:ascii="宋体" w:hAnsi="宋体" w:eastAsia="宋体" w:cs="宋体"/>
                <w:bCs/>
                <w:kern w:val="0"/>
                <w:sz w:val="24"/>
                <w:szCs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hint="eastAsia" w:ascii="宋体" w:hAnsi="宋体" w:eastAsia="宋体" w:cs="宋体"/>
                <w:kern w:val="0"/>
                <w:sz w:val="24"/>
                <w:szCs w:val="24"/>
                <w:lang w:val="zh-CN"/>
              </w:rPr>
            </w:pPr>
            <w:r>
              <w:rPr>
                <w:rFonts w:hint="eastAsia" w:ascii="宋体" w:hAnsi="宋体" w:eastAsia="宋体" w:cs="宋体"/>
                <w:bCs/>
                <w:kern w:val="0"/>
                <w:sz w:val="24"/>
                <w:szCs w:val="24"/>
                <w:lang w:val="zh-CN"/>
              </w:rPr>
              <w:t>大通兴农基层供销社标杆社建设项目-罐装线设备采购及安装（标段二）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青海国焱竞磋（货物）2022-161号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 xml:space="preserve">大通县兴农供销合作社 </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青海国焱工程项目管理有限公司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left"/>
              <w:rPr>
                <w:rFonts w:hint="eastAsia" w:ascii="宋体" w:hAnsi="宋体" w:eastAsia="宋体" w:cs="宋体"/>
                <w:kern w:val="0"/>
                <w:sz w:val="24"/>
                <w:szCs w:val="24"/>
                <w:lang w:val="zh-CN"/>
              </w:rPr>
            </w:pPr>
            <w:r>
              <w:rPr>
                <w:rFonts w:hint="eastAsia" w:ascii="宋体" w:hAnsi="宋体" w:eastAsia="宋体" w:cs="宋体"/>
                <w:kern w:val="0"/>
                <w:sz w:val="24"/>
                <w:szCs w:val="24"/>
              </w:rPr>
              <w:t>人民币</w:t>
            </w:r>
            <w:r>
              <w:rPr>
                <w:rFonts w:hint="eastAsia" w:ascii="宋体" w:hAnsi="宋体" w:cs="宋体"/>
                <w:kern w:val="0"/>
                <w:sz w:val="24"/>
                <w:szCs w:val="24"/>
                <w:lang w:val="en-US" w:eastAsia="zh-CN"/>
              </w:rPr>
              <w:t>71</w:t>
            </w:r>
            <w:r>
              <w:rPr>
                <w:rFonts w:hint="eastAsia" w:ascii="宋体" w:hAnsi="宋体" w:eastAsia="宋体" w:cs="宋体"/>
                <w:kern w:val="0"/>
                <w:sz w:val="24"/>
                <w:szCs w:val="24"/>
              </w:rPr>
              <w:t>万元整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left"/>
              <w:rPr>
                <w:rFonts w:hint="eastAsia" w:ascii="宋体" w:hAnsi="宋体" w:eastAsia="宋体" w:cs="宋体"/>
                <w:kern w:val="0"/>
                <w:sz w:val="24"/>
                <w:szCs w:val="24"/>
                <w:lang w:val="zh-CN"/>
              </w:rPr>
            </w:pPr>
            <w:r>
              <w:rPr>
                <w:rFonts w:hint="eastAsia" w:ascii="宋体" w:hAnsi="宋体" w:eastAsia="宋体" w:cs="宋体"/>
                <w:bCs/>
                <w:kern w:val="0"/>
                <w:sz w:val="24"/>
                <w:szCs w:val="24"/>
                <w:lang w:val="en-US" w:eastAsia="zh-CN"/>
              </w:rPr>
              <w:t>两个标段</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详见磋商文件“第六部分 采购项目要求及技术参数”</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sz w:val="24"/>
                <w:szCs w:val="24"/>
              </w:rPr>
              <w:t>磋商供应商</w:t>
            </w:r>
            <w:r>
              <w:rPr>
                <w:rFonts w:hint="eastAsia" w:ascii="宋体" w:hAnsi="宋体" w:eastAsia="宋体" w:cs="宋体"/>
                <w:bCs/>
                <w:kern w:val="0"/>
                <w:sz w:val="24"/>
                <w:szCs w:val="24"/>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hint="eastAsia" w:ascii="宋体" w:hAnsi="宋体" w:eastAsia="宋体" w:cs="宋体"/>
                <w:sz w:val="24"/>
                <w:szCs w:val="24"/>
                <w:lang w:val="zh-CN"/>
              </w:rPr>
            </w:pPr>
            <w:r>
              <w:rPr>
                <w:rFonts w:hint="eastAsia" w:ascii="宋体" w:hAnsi="宋体" w:eastAsia="宋体" w:cs="宋体"/>
                <w:sz w:val="24"/>
                <w:szCs w:val="24"/>
                <w:lang w:val="zh-CN"/>
              </w:rPr>
              <w:t>1.符合《政府采购法》第22条条件，并提供下列材料：</w:t>
            </w:r>
          </w:p>
          <w:p>
            <w:pPr>
              <w:autoSpaceDE w:val="0"/>
              <w:autoSpaceDN w:val="0"/>
              <w:jc w:val="left"/>
              <w:rPr>
                <w:rFonts w:hint="eastAsia" w:ascii="宋体" w:hAnsi="宋体" w:eastAsia="宋体" w:cs="宋体"/>
                <w:sz w:val="24"/>
                <w:szCs w:val="24"/>
                <w:lang w:val="zh-CN"/>
              </w:rPr>
            </w:pPr>
            <w:r>
              <w:rPr>
                <w:rFonts w:hint="eastAsia" w:ascii="宋体" w:hAnsi="宋体" w:eastAsia="宋体" w:cs="宋体"/>
                <w:sz w:val="24"/>
                <w:szCs w:val="24"/>
                <w:lang w:val="zh-CN"/>
              </w:rPr>
              <w:t>&lt;1&gt;磋商人的营业执照等证明文件，自然人的身份证明。</w:t>
            </w:r>
          </w:p>
          <w:p>
            <w:pPr>
              <w:autoSpaceDE w:val="0"/>
              <w:autoSpaceDN w:val="0"/>
              <w:jc w:val="left"/>
              <w:rPr>
                <w:rFonts w:hint="eastAsia" w:ascii="宋体" w:hAnsi="宋体" w:eastAsia="宋体" w:cs="宋体"/>
                <w:sz w:val="24"/>
                <w:szCs w:val="24"/>
                <w:lang w:val="zh-CN"/>
              </w:rPr>
            </w:pPr>
            <w:r>
              <w:rPr>
                <w:rFonts w:hint="eastAsia" w:ascii="宋体" w:hAnsi="宋体" w:eastAsia="宋体" w:cs="宋体"/>
                <w:sz w:val="24"/>
                <w:szCs w:val="24"/>
                <w:lang w:val="zh-CN"/>
              </w:rPr>
              <w:t>&lt;2&gt;财务状况报告，依法缴纳税收和社会保障资金的相关材料。</w:t>
            </w:r>
          </w:p>
          <w:p>
            <w:pPr>
              <w:autoSpaceDE w:val="0"/>
              <w:autoSpaceDN w:val="0"/>
              <w:jc w:val="left"/>
              <w:rPr>
                <w:rFonts w:hint="eastAsia" w:ascii="宋体" w:hAnsi="宋体" w:eastAsia="宋体" w:cs="宋体"/>
                <w:sz w:val="24"/>
                <w:szCs w:val="24"/>
                <w:lang w:val="zh-CN"/>
              </w:rPr>
            </w:pPr>
            <w:r>
              <w:rPr>
                <w:rFonts w:hint="eastAsia" w:ascii="宋体" w:hAnsi="宋体" w:eastAsia="宋体" w:cs="宋体"/>
                <w:sz w:val="24"/>
                <w:szCs w:val="24"/>
                <w:lang w:val="zh-CN"/>
              </w:rPr>
              <w:t>&lt;3&gt;具备履行合同所必需的设备和专业技术能力的证明材料。</w:t>
            </w:r>
          </w:p>
          <w:p>
            <w:pPr>
              <w:autoSpaceDE w:val="0"/>
              <w:autoSpaceDN w:val="0"/>
              <w:jc w:val="left"/>
              <w:rPr>
                <w:rFonts w:hint="eastAsia"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pPr>
              <w:autoSpaceDE w:val="0"/>
              <w:autoSpaceDN w:val="0"/>
              <w:jc w:val="left"/>
              <w:rPr>
                <w:rFonts w:hint="eastAsia" w:ascii="宋体" w:hAnsi="宋体" w:eastAsia="宋体" w:cs="宋体"/>
                <w:sz w:val="24"/>
                <w:szCs w:val="24"/>
                <w:lang w:val="zh-CN"/>
              </w:rPr>
            </w:pPr>
            <w:r>
              <w:rPr>
                <w:rFonts w:hint="eastAsia" w:ascii="宋体" w:hAnsi="宋体" w:eastAsia="宋体" w:cs="宋体"/>
                <w:sz w:val="24"/>
                <w:szCs w:val="24"/>
                <w:lang w:val="zh-CN"/>
              </w:rPr>
              <w:t>&lt;5&gt;具备法律、行政法规规定的其他条件的证明材料。</w:t>
            </w:r>
          </w:p>
          <w:p>
            <w:pPr>
              <w:autoSpaceDE w:val="0"/>
              <w:autoSpaceDN w:val="0"/>
              <w:jc w:val="left"/>
              <w:rPr>
                <w:rFonts w:hint="eastAsia" w:ascii="宋体" w:hAnsi="宋体" w:eastAsia="宋体" w:cs="宋体"/>
                <w:sz w:val="24"/>
                <w:szCs w:val="24"/>
                <w:lang w:val="zh-CN"/>
              </w:rPr>
            </w:pPr>
            <w:r>
              <w:rPr>
                <w:rFonts w:hint="eastAsia" w:ascii="宋体" w:hAnsi="宋体" w:eastAsia="宋体" w:cs="宋体"/>
                <w:sz w:val="24"/>
                <w:szCs w:val="24"/>
                <w:lang w:val="zh-CN"/>
              </w:rPr>
              <w:t>2.单位负责人为同一人或者存在直接控股、管理关系的不同磋商人，不得参加同一合同项下的政府采购活动。否则，皆取消投标资格；</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lang w:val="zh-CN"/>
              </w:rPr>
              <w:t>3.</w:t>
            </w:r>
            <w:r>
              <w:rPr>
                <w:rFonts w:hint="eastAsia" w:ascii="宋体" w:hAnsi="宋体" w:eastAsia="宋体" w:cs="宋体"/>
                <w:sz w:val="24"/>
                <w:szCs w:val="24"/>
              </w:rPr>
              <w:t>符合、承认并承诺履行本招标文件各项规定，所提供的货物和服务须在我国境内合法生产销售的；</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经信用中</w:t>
            </w:r>
            <w:r>
              <w:rPr>
                <w:rFonts w:hint="eastAsia" w:ascii="宋体" w:hAnsi="宋体" w:eastAsia="宋体" w:cs="宋体"/>
                <w:sz w:val="24"/>
                <w:szCs w:val="24"/>
              </w:rPr>
              <w:t>国（www.creditchina.gov.cn）、中国政府采购网（www.ccgp.gov.cn）等渠道查询后，列入失信被执行人、</w:t>
            </w:r>
            <w:r>
              <w:rPr>
                <w:rFonts w:hint="eastAsia" w:ascii="宋体" w:hAnsi="宋体" w:eastAsia="宋体" w:cs="宋体"/>
                <w:color w:val="000000" w:themeColor="text1"/>
                <w:kern w:val="0"/>
                <w:sz w:val="24"/>
                <w:szCs w:val="24"/>
                <w:lang w:val="en-US" w:eastAsia="zh-CN"/>
              </w:rPr>
              <w:t>税收违法黑名单</w:t>
            </w:r>
            <w:r>
              <w:rPr>
                <w:rFonts w:hint="eastAsia" w:ascii="宋体" w:hAnsi="宋体" w:eastAsia="宋体" w:cs="宋体"/>
                <w:sz w:val="24"/>
                <w:szCs w:val="24"/>
              </w:rPr>
              <w:t>、政府采购严重违法失信行为记录名单的，取消投标资格(提供“信用中国”网站的查询截图)；</w:t>
            </w:r>
          </w:p>
          <w:p>
            <w:pPr>
              <w:autoSpaceDE w:val="0"/>
              <w:autoSpaceDN w:val="0"/>
              <w:jc w:val="left"/>
              <w:rPr>
                <w:rFonts w:hint="eastAsia" w:ascii="宋体" w:hAnsi="宋体" w:eastAsia="宋体" w:cs="宋体"/>
                <w:sz w:val="24"/>
                <w:szCs w:val="24"/>
                <w:lang w:val="zh-CN"/>
              </w:rPr>
            </w:pPr>
            <w:r>
              <w:rPr>
                <w:rFonts w:hint="eastAsia" w:ascii="宋体" w:hAnsi="宋体" w:eastAsia="宋体" w:cs="宋体"/>
                <w:sz w:val="24"/>
                <w:szCs w:val="24"/>
                <w:lang w:val="zh-CN"/>
              </w:rPr>
              <w:t>5.本项目不接受磋商人以联合体方式进行投标。</w:t>
            </w:r>
          </w:p>
          <w:p>
            <w:pPr>
              <w:autoSpaceDE w:val="0"/>
              <w:autoSpaceDN w:val="0"/>
              <w:jc w:val="left"/>
              <w:rPr>
                <w:rFonts w:hint="default" w:eastAsia="宋体"/>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本项目中小企业预留份额100%，全部面向中小企业采购。</w:t>
            </w:r>
          </w:p>
        </w:tc>
      </w:tr>
      <w:tr>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rPr>
            </w:pPr>
          </w:p>
        </w:tc>
        <w:tc>
          <w:tcPr>
            <w:tcW w:w="2098" w:type="dxa"/>
            <w:tcBorders>
              <w:top w:val="single" w:color="000000" w:sz="6" w:space="0"/>
              <w:left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磋商保证金</w:t>
            </w:r>
          </w:p>
        </w:tc>
        <w:tc>
          <w:tcPr>
            <w:tcW w:w="7682" w:type="dxa"/>
            <w:tcBorders>
              <w:top w:val="single" w:color="000000" w:sz="6" w:space="0"/>
              <w:left w:val="single" w:color="000000" w:sz="6" w:space="0"/>
              <w:right w:val="single" w:color="000000" w:sz="6" w:space="0"/>
            </w:tcBorders>
            <w:shd w:val="clear" w:color="000000" w:fill="FFFFFF"/>
          </w:tcPr>
          <w:p>
            <w:pPr>
              <w:pStyle w:val="44"/>
              <w:rPr>
                <w:rFonts w:hint="eastAsia" w:ascii="宋体" w:hAnsi="宋体" w:eastAsia="宋体" w:cs="宋体"/>
                <w:kern w:val="0"/>
                <w:sz w:val="24"/>
                <w:szCs w:val="24"/>
                <w:lang w:val="zh-CN"/>
              </w:rPr>
            </w:pPr>
            <w:r>
              <w:rPr>
                <w:rFonts w:hint="eastAsia" w:ascii="宋体" w:hAnsi="宋体" w:eastAsia="宋体" w:cs="宋体"/>
                <w:bCs/>
                <w:kern w:val="0"/>
                <w:sz w:val="24"/>
                <w:szCs w:val="24"/>
                <w:lang w:val="zh-CN"/>
              </w:rPr>
              <w:t>本项目不收取磋商保证金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kern w:val="0"/>
                <w:sz w:val="24"/>
                <w:szCs w:val="24"/>
              </w:rPr>
              <w:t>磋商</w:t>
            </w:r>
            <w:r>
              <w:rPr>
                <w:rFonts w:hint="eastAsia" w:ascii="宋体" w:hAnsi="宋体" w:eastAsia="宋体" w:cs="宋体"/>
                <w:bCs/>
                <w:kern w:val="0"/>
                <w:sz w:val="24"/>
                <w:szCs w:val="24"/>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kern w:val="0"/>
                <w:sz w:val="24"/>
                <w:szCs w:val="24"/>
              </w:rPr>
              <w:t>磋商</w:t>
            </w:r>
            <w:r>
              <w:rPr>
                <w:rFonts w:hint="eastAsia" w:ascii="宋体" w:hAnsi="宋体" w:eastAsia="宋体" w:cs="宋体"/>
                <w:bCs/>
                <w:kern w:val="0"/>
                <w:sz w:val="24"/>
                <w:szCs w:val="24"/>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磋商文件编制要求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1、磋商供应商应按照磋商文件所提供的磋商响应文件格式，分别填写磋商文件第五部分的内容，应分别注明所提供产品的名称、技术配置及参数、数量和价格等内容。</w:t>
            </w:r>
            <w:r>
              <w:rPr>
                <w:rFonts w:hint="eastAsia" w:ascii="宋体" w:hAnsi="宋体" w:eastAsia="宋体" w:cs="宋体"/>
                <w:sz w:val="24"/>
                <w:szCs w:val="24"/>
                <w:lang w:val="zh-CN"/>
              </w:rPr>
              <w:t>磋商文件要求签字、盖章的地方必须由磋商人的法定代表人或委托代理人按要求签字、盖章。</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磋商供应商应按磋商文件要求准备磋商响应文件（1份正本、2份副本和相应的电子文档1份，磋商首次报价1份）。每份磋商响应文件都必须清楚地标明“正本”或“副本”等字样。若发生正本和副本不符，以正本磋商响应文件为准。磋商响应文件统一使用A4幅面的纸张印制，必须胶装成册并编码，不得采用活页夹等可随时拆换的方式装订，其他方式装订的磋商响应文件一概不予接受。</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3、磋商响应文件的正本和副本均需打印或用不褪色、不变质的墨水书写并由投标供应商的委托代理人逐页加盖公章。磋商响应文件副本可采用正本的复印件，若不满足以上条件，按</w:t>
            </w:r>
            <w:r>
              <w:rPr>
                <w:rFonts w:hint="eastAsia" w:ascii="宋体" w:hAnsi="宋体" w:eastAsia="宋体" w:cs="宋体"/>
                <w:sz w:val="24"/>
                <w:szCs w:val="24"/>
                <w:lang w:val="zh-CN"/>
              </w:rPr>
              <w:t>无效投标处理。</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电子文档采用可读的U盘编制，须写明采购项目名称、供应商名称及磋商日期，电子文档为纸质版磋商响应文件正本的扫描件，需采用不可修改文档格式（如：PDF格式），电子文档与纸质版磋商响应文件正本内容必须完全一致，包括盖章和签字，并与书面磋商响应文件一并提交，否则，视为无效磋商。</w:t>
            </w:r>
          </w:p>
          <w:p>
            <w:pPr>
              <w:pStyle w:val="17"/>
              <w:rPr>
                <w:rFonts w:hint="eastAsia" w:ascii="宋体" w:hAnsi="宋体" w:eastAsia="宋体" w:cs="宋体"/>
                <w:sz w:val="24"/>
                <w:szCs w:val="24"/>
                <w:lang w:val="zh-CN"/>
              </w:rPr>
            </w:pPr>
            <w:r>
              <w:rPr>
                <w:rFonts w:hint="eastAsia" w:ascii="宋体" w:hAnsi="宋体" w:eastAsia="宋体" w:cs="宋体"/>
                <w:sz w:val="24"/>
                <w:szCs w:val="24"/>
                <w:lang w:val="zh-CN"/>
              </w:rPr>
              <w:t>5、磋商响应文件中不得行间插字、涂改或增删，如有修改错漏处，须由磋商供应商法人或其委托代理人签字或盖个人印鉴。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磋商文件的密封</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磋商响应文件的正本与副本须分别密封，加贴密封条，并在密封包装的封口处加盖磋商单位公章和法人章（未按要求密封的磋商响应文件将不予接收）；磋商响应文件的封套上应标记“正本”或“副本”字样，封套上应写明：</w:t>
            </w:r>
          </w:p>
          <w:p>
            <w:pPr>
              <w:autoSpaceDE w:val="0"/>
              <w:autoSpaceDN w:val="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采购项目名称：                正（副）本</w:t>
            </w:r>
          </w:p>
          <w:p>
            <w:pPr>
              <w:autoSpaceDE w:val="0"/>
              <w:autoSpaceDN w:val="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采购项目编号：</w:t>
            </w:r>
          </w:p>
          <w:p>
            <w:pPr>
              <w:pStyle w:val="2"/>
              <w:rPr>
                <w:rFonts w:hint="eastAsia" w:eastAsia="宋体"/>
                <w:lang w:val="en-US" w:eastAsia="zh-CN"/>
              </w:rPr>
            </w:pPr>
            <w:r>
              <w:rPr>
                <w:rFonts w:hint="eastAsia" w:ascii="宋体" w:hAnsi="宋体" w:cs="宋体"/>
                <w:color w:val="auto"/>
                <w:kern w:val="0"/>
                <w:sz w:val="24"/>
                <w:szCs w:val="24"/>
                <w:lang w:val="en-US" w:eastAsia="zh-CN"/>
              </w:rPr>
              <w:t>标段号：</w:t>
            </w:r>
          </w:p>
          <w:p>
            <w:pPr>
              <w:autoSpaceDE w:val="0"/>
              <w:autoSpaceDN w:val="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磋商供应商名称：（加盖单位公章）</w:t>
            </w:r>
          </w:p>
          <w:p>
            <w:pPr>
              <w:autoSpaceDE w:val="0"/>
              <w:autoSpaceDN w:val="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    （签字并加盖法人章）</w:t>
            </w:r>
          </w:p>
          <w:p>
            <w:pPr>
              <w:autoSpaceDE w:val="0"/>
              <w:autoSpaceDN w:val="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于</w:t>
            </w:r>
            <w:r>
              <w:rPr>
                <w:rFonts w:hint="eastAsia" w:ascii="宋体" w:hAnsi="宋体" w:eastAsia="宋体" w:cs="宋体"/>
                <w:color w:val="auto"/>
                <w:kern w:val="0"/>
                <w:sz w:val="24"/>
                <w:szCs w:val="24"/>
              </w:rPr>
              <w:t>2022年0</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月0</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日上午</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:30（北京时间）</w:t>
            </w:r>
            <w:r>
              <w:rPr>
                <w:rFonts w:hint="eastAsia" w:ascii="宋体" w:hAnsi="宋体" w:eastAsia="宋体" w:cs="宋体"/>
                <w:color w:val="auto"/>
                <w:kern w:val="0"/>
                <w:sz w:val="24"/>
                <w:szCs w:val="24"/>
                <w:lang w:val="zh-CN"/>
              </w:rPr>
              <w:t>前不准启封</w:t>
            </w:r>
          </w:p>
        </w:tc>
      </w:tr>
      <w:tr>
        <w:tblPrEx>
          <w:tblCellMar>
            <w:top w:w="0" w:type="dxa"/>
            <w:left w:w="57" w:type="dxa"/>
            <w:bottom w:w="0" w:type="dxa"/>
            <w:right w:w="57" w:type="dxa"/>
          </w:tblCellMar>
        </w:tblPrEx>
        <w:trPr>
          <w:trHeight w:val="458"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递交磋商文件方式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现场递交。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kern w:val="0"/>
                <w:sz w:val="24"/>
                <w:szCs w:val="24"/>
              </w:rPr>
              <w:t>磋商</w:t>
            </w:r>
            <w:r>
              <w:rPr>
                <w:rFonts w:hint="eastAsia" w:ascii="宋体" w:hAnsi="宋体" w:eastAsia="宋体" w:cs="宋体"/>
                <w:bCs/>
                <w:kern w:val="0"/>
                <w:sz w:val="24"/>
                <w:szCs w:val="24"/>
                <w:lang w:val="zh-CN"/>
              </w:rPr>
              <w:t>截止时间</w:t>
            </w:r>
          </w:p>
        </w:tc>
        <w:tc>
          <w:tcPr>
            <w:tcW w:w="7682" w:type="dxa"/>
            <w:tcBorders>
              <w:top w:val="outset" w:color="000000" w:sz="6" w:space="0"/>
              <w:left w:val="outset" w:color="000000" w:sz="6" w:space="0"/>
              <w:bottom w:val="outset" w:color="000000" w:sz="6" w:space="0"/>
              <w:right w:val="outset" w:color="000000" w:sz="6" w:space="0"/>
            </w:tcBorders>
            <w:vAlign w:val="center"/>
          </w:tcPr>
          <w:p>
            <w:pPr>
              <w:pStyle w:val="44"/>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2022年0</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月0</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日上午</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磋商时间</w:t>
            </w:r>
          </w:p>
        </w:tc>
        <w:tc>
          <w:tcPr>
            <w:tcW w:w="7682" w:type="dxa"/>
            <w:tcBorders>
              <w:top w:val="outset" w:color="000000" w:sz="6" w:space="0"/>
              <w:left w:val="outset" w:color="000000" w:sz="6" w:space="0"/>
              <w:bottom w:val="outset" w:color="000000" w:sz="6" w:space="0"/>
              <w:right w:val="outset" w:color="000000" w:sz="6" w:space="0"/>
            </w:tcBorders>
            <w:vAlign w:val="center"/>
          </w:tcPr>
          <w:p>
            <w:pPr>
              <w:pStyle w:val="44"/>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2022年0</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月0</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日上午</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磋商及磋商地点</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rPr>
              <w:t>青海省西宁市城西区新宁路36号青海省投资大厦10楼东侧青海国焱工程项目管理有限公司开标室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答疑澄清方式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采用现场答疑。磋商供应商须提供准确的联系方式（手机和固定电话），应在规定的时间内到达评审现场进行答疑澄清，如在规定的时间内联系无果或未按时到达的，视同放弃答疑。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招标代理服务费：</w:t>
            </w:r>
          </w:p>
          <w:p>
            <w:pPr>
              <w:autoSpaceDE w:val="0"/>
              <w:autoSpaceDN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收取对象：成交磋商供应商</w:t>
            </w:r>
          </w:p>
          <w:p>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autoSpaceDE w:val="0"/>
              <w:autoSpaceDN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代理服务费的支付形式：电汇、支票。</w:t>
            </w:r>
          </w:p>
          <w:p>
            <w:pPr>
              <w:autoSpaceDE w:val="0"/>
              <w:autoSpaceDN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账户名：青海国焱工程项目管理有限公司</w:t>
            </w:r>
          </w:p>
          <w:p>
            <w:pPr>
              <w:autoSpaceDE w:val="0"/>
              <w:autoSpaceDN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开户行号：102851000139</w:t>
            </w:r>
          </w:p>
          <w:p>
            <w:pPr>
              <w:autoSpaceDE w:val="0"/>
              <w:autoSpaceDN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账  号：2806001309000043259</w:t>
            </w:r>
          </w:p>
          <w:p>
            <w:pPr>
              <w:autoSpaceDE w:val="0"/>
              <w:autoSpaceDN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开户行：中国工商银行股份有限公司西宁五四大街支行</w:t>
            </w:r>
          </w:p>
          <w:p>
            <w:pPr>
              <w:autoSpaceDE w:val="0"/>
              <w:autoSpaceDN w:val="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代理服务费以人民币支付。</w:t>
            </w:r>
          </w:p>
          <w:p>
            <w:pPr>
              <w:autoSpaceDE w:val="0"/>
              <w:autoSpaceDN w:val="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代理服务费不在投标报价中单列。</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自成交通知书发出之日起</w:t>
            </w:r>
            <w:r>
              <w:rPr>
                <w:rFonts w:hint="eastAsia" w:ascii="宋体" w:hAnsi="宋体" w:eastAsia="宋体" w:cs="宋体"/>
                <w:kern w:val="0"/>
                <w:sz w:val="24"/>
                <w:szCs w:val="24"/>
              </w:rPr>
              <w:t>30</w:t>
            </w:r>
            <w:r>
              <w:rPr>
                <w:rFonts w:hint="eastAsia" w:ascii="宋体" w:hAnsi="宋体" w:eastAsia="宋体" w:cs="宋体"/>
                <w:kern w:val="0"/>
                <w:sz w:val="24"/>
                <w:szCs w:val="24"/>
                <w:lang w:val="zh-CN"/>
              </w:rPr>
              <w:t>日内与采购单位签订供货合同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宋体" w:hAnsi="宋体" w:eastAsia="宋体" w:cs="宋体"/>
                <w:sz w:val="24"/>
                <w:szCs w:val="24"/>
              </w:rPr>
            </w:pPr>
            <w:r>
              <w:rPr>
                <w:rFonts w:hint="eastAsia" w:ascii="宋体" w:hAnsi="宋体" w:eastAsia="宋体" w:cs="宋体"/>
                <w:sz w:val="24"/>
                <w:szCs w:val="24"/>
              </w:rPr>
              <w:t>采购合同全数返回采购代理机构签证，盖章。</w:t>
            </w:r>
          </w:p>
          <w:p>
            <w:pPr>
              <w:rPr>
                <w:rFonts w:hint="eastAsia" w:ascii="宋体" w:hAnsi="宋体" w:eastAsia="宋体" w:cs="宋体"/>
                <w:sz w:val="24"/>
                <w:szCs w:val="24"/>
              </w:rPr>
            </w:pPr>
            <w:r>
              <w:rPr>
                <w:rFonts w:hint="eastAsia" w:ascii="宋体" w:hAnsi="宋体" w:eastAsia="宋体" w:cs="宋体"/>
                <w:sz w:val="24"/>
                <w:szCs w:val="24"/>
              </w:rPr>
              <w:t>采购代理机构留存叁份原件备案。</w:t>
            </w:r>
          </w:p>
          <w:p>
            <w:pPr>
              <w:rPr>
                <w:rFonts w:hint="eastAsia" w:ascii="宋体" w:hAnsi="宋体" w:eastAsia="宋体" w:cs="宋体"/>
                <w:sz w:val="24"/>
                <w:szCs w:val="24"/>
              </w:rPr>
            </w:pPr>
            <w:r>
              <w:rPr>
                <w:rFonts w:hint="eastAsia" w:ascii="宋体" w:hAnsi="宋体" w:eastAsia="宋体" w:cs="宋体"/>
                <w:sz w:val="24"/>
                <w:szCs w:val="24"/>
              </w:rPr>
              <w:t>合同返回地址：</w:t>
            </w:r>
            <w:r>
              <w:rPr>
                <w:rFonts w:hint="eastAsia" w:ascii="宋体" w:hAnsi="宋体" w:eastAsia="宋体" w:cs="宋体"/>
                <w:kern w:val="0"/>
                <w:sz w:val="24"/>
                <w:szCs w:val="24"/>
              </w:rPr>
              <w:t>青海省西宁市城西区新宁路36号青海省投资大厦10楼东侧</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本次磋商有效期为磋商之日起60个</w:t>
            </w:r>
            <w:r>
              <w:rPr>
                <w:rFonts w:hint="eastAsia" w:ascii="宋体" w:hAnsi="宋体" w:cs="宋体"/>
                <w:kern w:val="0"/>
                <w:sz w:val="24"/>
                <w:szCs w:val="24"/>
                <w:lang w:val="en-US" w:eastAsia="zh-CN"/>
              </w:rPr>
              <w:t>工作</w:t>
            </w:r>
            <w:r>
              <w:rPr>
                <w:rFonts w:hint="eastAsia" w:ascii="宋体" w:hAnsi="宋体" w:eastAsia="宋体" w:cs="宋体"/>
                <w:kern w:val="0"/>
                <w:sz w:val="24"/>
                <w:szCs w:val="24"/>
                <w:lang w:val="zh-CN"/>
              </w:rPr>
              <w:t>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hint="eastAsia" w:ascii="宋体" w:hAnsi="宋体" w:eastAsia="宋体" w:cs="宋体"/>
                <w:bCs/>
                <w:kern w:val="0"/>
                <w:sz w:val="24"/>
                <w:szCs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其他要求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hint="eastAsia" w:ascii="宋体" w:hAnsi="宋体" w:eastAsia="宋体" w:cs="宋体"/>
                <w:sz w:val="24"/>
                <w:szCs w:val="24"/>
              </w:rPr>
            </w:pPr>
            <w:r>
              <w:rPr>
                <w:rFonts w:hint="eastAsia" w:ascii="宋体" w:hAnsi="宋体" w:eastAsia="宋体" w:cs="宋体"/>
                <w:sz w:val="24"/>
                <w:szCs w:val="24"/>
              </w:rPr>
              <w:t>1、本公告在《青海政府采购网》、《青海项目信息网》、《青海省电子招投标公共服务平台》、《中国招标与采购网》同时发布（公告期限：自青海政府采购网发布之日起5个工作日；公告内容以青海政府采购网发布的为准）。</w:t>
            </w:r>
          </w:p>
          <w:p>
            <w:pPr>
              <w:spacing w:line="360" w:lineRule="auto"/>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lang w:eastAsia="zh-CN"/>
              </w:rPr>
              <w:t>2、本项目共分为二个</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，二个</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分别</w:t>
            </w:r>
            <w:r>
              <w:rPr>
                <w:rFonts w:hint="eastAsia" w:ascii="宋体" w:hAnsi="宋体" w:eastAsia="宋体" w:cs="宋体"/>
                <w:color w:val="000000" w:themeColor="text1"/>
                <w:kern w:val="0"/>
                <w:sz w:val="24"/>
                <w:szCs w:val="24"/>
                <w:lang w:val="en-US" w:eastAsia="zh-CN"/>
              </w:rPr>
              <w:t>为</w:t>
            </w:r>
            <w:r>
              <w:rPr>
                <w:rFonts w:hint="eastAsia" w:ascii="宋体" w:hAnsi="宋体" w:eastAsia="宋体" w:cs="宋体"/>
                <w:color w:val="000000" w:themeColor="text1"/>
                <w:kern w:val="0"/>
                <w:sz w:val="24"/>
                <w:szCs w:val="24"/>
                <w:lang w:eastAsia="zh-CN"/>
              </w:rPr>
              <w:t>两个磋商文件，</w:t>
            </w:r>
            <w:r>
              <w:rPr>
                <w:rFonts w:hint="eastAsia" w:ascii="宋体" w:hAnsi="宋体" w:cs="宋体"/>
                <w:color w:val="000000" w:themeColor="text1"/>
                <w:kern w:val="0"/>
                <w:sz w:val="24"/>
                <w:szCs w:val="24"/>
                <w:lang w:eastAsia="zh-CN"/>
              </w:rPr>
              <w:t>磋商</w:t>
            </w:r>
            <w:r>
              <w:rPr>
                <w:rFonts w:hint="eastAsia" w:ascii="宋体" w:hAnsi="宋体" w:eastAsia="宋体" w:cs="宋体"/>
                <w:color w:val="000000" w:themeColor="text1"/>
                <w:kern w:val="0"/>
                <w:sz w:val="24"/>
                <w:szCs w:val="24"/>
                <w:lang w:eastAsia="zh-CN"/>
              </w:rPr>
              <w:t>人须针对</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号购买磋商文件并针对该</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进行投标，投标时须单独提交磋商响应文件（即每个</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均须按照该</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磋商文件单独编制磋商响应文件）。</w:t>
            </w:r>
          </w:p>
          <w:p>
            <w:pPr>
              <w:spacing w:line="360" w:lineRule="auto"/>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lang w:eastAsia="zh-CN"/>
              </w:rPr>
              <w:t>3、本项目报名时须填写清楚所报</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号，投标时</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号须与报名时</w:t>
            </w:r>
            <w:r>
              <w:rPr>
                <w:rFonts w:hint="eastAsia" w:ascii="宋体" w:hAnsi="宋体" w:eastAsia="宋体" w:cs="宋体"/>
                <w:color w:val="000000" w:themeColor="text1"/>
                <w:kern w:val="0"/>
                <w:sz w:val="24"/>
                <w:szCs w:val="24"/>
                <w:lang w:val="en-US" w:eastAsia="zh-CN"/>
              </w:rPr>
              <w:t>标段</w:t>
            </w:r>
            <w:r>
              <w:rPr>
                <w:rFonts w:hint="eastAsia" w:ascii="宋体" w:hAnsi="宋体" w:eastAsia="宋体" w:cs="宋体"/>
                <w:color w:val="000000" w:themeColor="text1"/>
                <w:kern w:val="0"/>
                <w:sz w:val="24"/>
                <w:szCs w:val="24"/>
                <w:lang w:eastAsia="zh-CN"/>
              </w:rPr>
              <w:t>号一致，否则其</w:t>
            </w:r>
            <w:r>
              <w:rPr>
                <w:rFonts w:hint="eastAsia" w:ascii="宋体" w:hAnsi="宋体" w:cs="宋体"/>
                <w:color w:val="000000" w:themeColor="text1"/>
                <w:kern w:val="0"/>
                <w:sz w:val="24"/>
                <w:szCs w:val="24"/>
                <w:lang w:val="en-US" w:eastAsia="zh-CN"/>
              </w:rPr>
              <w:t>磋商响应</w:t>
            </w:r>
            <w:r>
              <w:rPr>
                <w:rFonts w:hint="eastAsia" w:ascii="宋体" w:hAnsi="宋体" w:eastAsia="宋体" w:cs="宋体"/>
                <w:color w:val="000000" w:themeColor="text1"/>
                <w:kern w:val="0"/>
                <w:sz w:val="24"/>
                <w:szCs w:val="24"/>
                <w:lang w:eastAsia="zh-CN"/>
              </w:rPr>
              <w:t>文件将不予接收。</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本项目</w:t>
            </w:r>
            <w:r>
              <w:rPr>
                <w:rFonts w:hint="eastAsia" w:ascii="宋体" w:hAnsi="宋体" w:eastAsia="宋体" w:cs="宋体"/>
                <w:sz w:val="24"/>
                <w:szCs w:val="24"/>
                <w:lang w:val="en-US" w:eastAsia="zh-CN"/>
              </w:rPr>
              <w:t>磋商</w:t>
            </w:r>
            <w:r>
              <w:rPr>
                <w:rFonts w:hint="eastAsia" w:ascii="宋体" w:hAnsi="宋体" w:eastAsia="宋体" w:cs="宋体"/>
                <w:sz w:val="24"/>
                <w:szCs w:val="24"/>
                <w:lang w:val="zh-CN"/>
              </w:rPr>
              <w:t>人可选其一或多个</w:t>
            </w:r>
            <w:r>
              <w:rPr>
                <w:rFonts w:hint="eastAsia" w:ascii="宋体" w:hAnsi="宋体" w:eastAsia="宋体" w:cs="宋体"/>
                <w:sz w:val="24"/>
                <w:szCs w:val="24"/>
                <w:lang w:val="en-US" w:eastAsia="zh-CN"/>
              </w:rPr>
              <w:t>标段</w:t>
            </w:r>
            <w:r>
              <w:rPr>
                <w:rFonts w:hint="eastAsia" w:ascii="宋体" w:hAnsi="宋体" w:eastAsia="宋体" w:cs="宋体"/>
                <w:sz w:val="24"/>
                <w:szCs w:val="24"/>
                <w:lang w:val="zh-CN"/>
              </w:rPr>
              <w:t>进行投标，若中标，只能中一个</w:t>
            </w:r>
            <w:r>
              <w:rPr>
                <w:rFonts w:hint="eastAsia" w:ascii="宋体" w:hAnsi="宋体" w:eastAsia="宋体" w:cs="宋体"/>
                <w:sz w:val="24"/>
                <w:szCs w:val="24"/>
                <w:lang w:val="en-US" w:eastAsia="zh-CN"/>
              </w:rPr>
              <w:t>标段</w:t>
            </w:r>
            <w:r>
              <w:rPr>
                <w:rFonts w:hint="eastAsia" w:ascii="宋体" w:hAnsi="宋体" w:eastAsia="宋体" w:cs="宋体"/>
                <w:sz w:val="24"/>
                <w:szCs w:val="24"/>
                <w:lang w:val="zh-CN"/>
              </w:rPr>
              <w:t>，采用大</w:t>
            </w:r>
            <w:r>
              <w:rPr>
                <w:rFonts w:hint="eastAsia" w:ascii="宋体" w:hAnsi="宋体" w:eastAsia="宋体" w:cs="宋体"/>
                <w:sz w:val="24"/>
                <w:szCs w:val="24"/>
                <w:lang w:val="en-US" w:eastAsia="zh-CN"/>
              </w:rPr>
              <w:t>标段</w:t>
            </w:r>
            <w:r>
              <w:rPr>
                <w:rFonts w:hint="eastAsia" w:ascii="宋体" w:hAnsi="宋体" w:eastAsia="宋体" w:cs="宋体"/>
                <w:sz w:val="24"/>
                <w:szCs w:val="24"/>
                <w:lang w:val="zh-CN"/>
              </w:rPr>
              <w:t>优先原则。</w:t>
            </w:r>
          </w:p>
          <w:p>
            <w:pPr>
              <w:spacing w:line="360" w:lineRule="auto"/>
              <w:rPr>
                <w:rFonts w:hint="eastAsia" w:ascii="宋体" w:hAnsi="宋体" w:eastAsia="宋体" w:cs="宋体"/>
                <w:bCs/>
                <w:kern w:val="0"/>
                <w:sz w:val="24"/>
                <w:szCs w:val="24"/>
                <w:lang w:val="zh-CN"/>
              </w:rPr>
            </w:pPr>
            <w:r>
              <w:rPr>
                <w:rFonts w:hint="eastAsia" w:ascii="宋体" w:hAnsi="宋体" w:eastAsia="宋体" w:cs="宋体"/>
                <w:sz w:val="24"/>
                <w:szCs w:val="24"/>
              </w:rPr>
              <w:t>5、磋商人参与磋商须签署《交易主体疫情防控承诺》与磋商响应文件一并单独提交。</w:t>
            </w:r>
          </w:p>
        </w:tc>
      </w:tr>
    </w:tbl>
    <w:p>
      <w:pPr>
        <w:pStyle w:val="22"/>
        <w:spacing w:before="0" w:after="0" w:line="360" w:lineRule="auto"/>
        <w:rPr>
          <w:rFonts w:hint="eastAsia" w:ascii="宋体" w:hAnsi="宋体" w:eastAsia="宋体" w:cs="宋体"/>
          <w:sz w:val="24"/>
          <w:szCs w:val="24"/>
          <w:lang w:val="zh-CN"/>
        </w:rPr>
      </w:pPr>
      <w:r>
        <w:rPr>
          <w:rFonts w:hint="eastAsia" w:ascii="宋体" w:hAnsi="宋体" w:eastAsia="宋体" w:cs="宋体"/>
          <w:b w:val="0"/>
          <w:sz w:val="24"/>
          <w:szCs w:val="24"/>
        </w:rPr>
        <w:br w:type="page"/>
      </w:r>
      <w:bookmarkStart w:id="7" w:name="_Toc17039"/>
      <w:bookmarkStart w:id="8" w:name="_Toc444715734"/>
      <w:r>
        <w:rPr>
          <w:rFonts w:hint="eastAsia" w:ascii="宋体" w:hAnsi="宋体" w:eastAsia="宋体" w:cs="宋体"/>
          <w:sz w:val="36"/>
          <w:szCs w:val="36"/>
        </w:rPr>
        <w:t>第三部分磋商供应商须知</w:t>
      </w:r>
      <w:bookmarkEnd w:id="7"/>
      <w:bookmarkEnd w:id="8"/>
    </w:p>
    <w:p>
      <w:pPr>
        <w:pStyle w:val="6"/>
        <w:rPr>
          <w:rFonts w:hint="eastAsia" w:ascii="宋体" w:hAnsi="宋体" w:eastAsia="宋体" w:cs="宋体"/>
          <w:b/>
          <w:sz w:val="24"/>
          <w:szCs w:val="24"/>
        </w:rPr>
      </w:pPr>
      <w:bookmarkStart w:id="9" w:name="_Toc17723"/>
      <w:r>
        <w:rPr>
          <w:rFonts w:hint="eastAsia" w:ascii="宋体" w:hAnsi="宋体" w:eastAsia="宋体" w:cs="宋体"/>
          <w:b/>
          <w:sz w:val="24"/>
          <w:szCs w:val="24"/>
        </w:rPr>
        <w:t>说明</w:t>
      </w:r>
      <w:bookmarkEnd w:id="9"/>
    </w:p>
    <w:p>
      <w:pPr>
        <w:pStyle w:val="7"/>
        <w:numPr>
          <w:ilvl w:val="0"/>
          <w:numId w:val="3"/>
        </w:numPr>
        <w:spacing w:before="0" w:after="0" w:line="360" w:lineRule="auto"/>
        <w:rPr>
          <w:rFonts w:hint="eastAsia" w:ascii="宋体" w:hAnsi="宋体" w:eastAsia="宋体" w:cs="宋体"/>
          <w:b w:val="0"/>
          <w:sz w:val="24"/>
          <w:szCs w:val="24"/>
        </w:rPr>
      </w:pPr>
      <w:bookmarkStart w:id="10" w:name="_Toc459377860"/>
      <w:bookmarkStart w:id="11" w:name="_Toc488691479"/>
      <w:bookmarkStart w:id="12" w:name="_Toc495570969"/>
      <w:bookmarkStart w:id="13" w:name="_Toc13794"/>
      <w:bookmarkStart w:id="14" w:name="_Toc446427794"/>
      <w:r>
        <w:rPr>
          <w:rFonts w:hint="eastAsia" w:ascii="宋体" w:hAnsi="宋体" w:eastAsia="宋体" w:cs="宋体"/>
          <w:b w:val="0"/>
          <w:sz w:val="24"/>
          <w:szCs w:val="24"/>
        </w:rPr>
        <w:t>磋商内容及要求</w:t>
      </w:r>
      <w:bookmarkEnd w:id="10"/>
      <w:bookmarkEnd w:id="11"/>
      <w:bookmarkEnd w:id="12"/>
      <w:bookmarkEnd w:id="13"/>
      <w:bookmarkEnd w:id="14"/>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本次采购依据采购单位的采购计划，仅适用于本竞争性磋商文件（以下简称“磋商文件”）中所叙述的项目。</w:t>
      </w:r>
    </w:p>
    <w:p>
      <w:pPr>
        <w:pStyle w:val="7"/>
        <w:numPr>
          <w:ilvl w:val="0"/>
          <w:numId w:val="3"/>
        </w:numPr>
        <w:spacing w:before="0" w:after="0" w:line="360" w:lineRule="auto"/>
        <w:rPr>
          <w:rFonts w:hint="eastAsia" w:ascii="宋体" w:hAnsi="宋体" w:eastAsia="宋体" w:cs="宋体"/>
          <w:b w:val="0"/>
          <w:sz w:val="24"/>
          <w:szCs w:val="24"/>
        </w:rPr>
      </w:pPr>
      <w:bookmarkStart w:id="15" w:name="_Toc488673614"/>
      <w:bookmarkStart w:id="16" w:name="_Toc12059"/>
      <w:r>
        <w:rPr>
          <w:rFonts w:hint="eastAsia" w:ascii="宋体" w:hAnsi="宋体" w:eastAsia="宋体" w:cs="宋体"/>
          <w:b w:val="0"/>
          <w:sz w:val="24"/>
          <w:szCs w:val="24"/>
        </w:rPr>
        <w:t>采购方式、合格的磋商供应商</w:t>
      </w:r>
      <w:bookmarkEnd w:id="15"/>
      <w:bookmarkEnd w:id="16"/>
    </w:p>
    <w:p>
      <w:pPr>
        <w:pStyle w:val="17"/>
        <w:numPr>
          <w:ilvl w:val="1"/>
          <w:numId w:val="4"/>
        </w:numPr>
        <w:spacing w:line="360" w:lineRule="auto"/>
        <w:rPr>
          <w:rFonts w:hint="eastAsia" w:ascii="宋体" w:hAnsi="宋体" w:eastAsia="宋体" w:cs="宋体"/>
          <w:sz w:val="24"/>
          <w:szCs w:val="24"/>
        </w:rPr>
      </w:pPr>
      <w:r>
        <w:rPr>
          <w:rFonts w:hint="eastAsia" w:ascii="宋体" w:hAnsi="宋体" w:eastAsia="宋体" w:cs="宋体"/>
          <w:sz w:val="24"/>
          <w:szCs w:val="24"/>
        </w:rPr>
        <w:t>本次磋商采取竞争性磋商方式；</w:t>
      </w:r>
    </w:p>
    <w:p>
      <w:pPr>
        <w:pStyle w:val="17"/>
        <w:numPr>
          <w:ilvl w:val="1"/>
          <w:numId w:val="4"/>
        </w:numPr>
        <w:spacing w:line="360" w:lineRule="auto"/>
        <w:rPr>
          <w:rFonts w:hint="eastAsia" w:ascii="宋体" w:hAnsi="宋体" w:eastAsia="宋体" w:cs="宋体"/>
          <w:sz w:val="24"/>
          <w:szCs w:val="24"/>
        </w:rPr>
      </w:pPr>
      <w:r>
        <w:rPr>
          <w:rFonts w:hint="eastAsia" w:ascii="宋体" w:hAnsi="宋体" w:eastAsia="宋体" w:cs="宋体"/>
          <w:sz w:val="24"/>
          <w:szCs w:val="24"/>
        </w:rPr>
        <w:t>合格的磋商供应商：</w:t>
      </w:r>
    </w:p>
    <w:p>
      <w:pPr>
        <w:pStyle w:val="44"/>
        <w:numPr>
          <w:ilvl w:val="0"/>
          <w:numId w:val="5"/>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参加政府采购活动的供应商应当具备政府采购法第二十二条第一款规定的条件，提供下列材料：</w:t>
      </w:r>
    </w:p>
    <w:p>
      <w:pPr>
        <w:numPr>
          <w:ilvl w:val="0"/>
          <w:numId w:val="6"/>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磋商人的营业执照等证明文件，自然人的身份证明。</w:t>
      </w:r>
    </w:p>
    <w:p>
      <w:pPr>
        <w:numPr>
          <w:ilvl w:val="0"/>
          <w:numId w:val="6"/>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财务状况报告，依法缴纳税收和社会保障资金的相关材料。</w:t>
      </w:r>
    </w:p>
    <w:p>
      <w:pPr>
        <w:numPr>
          <w:ilvl w:val="0"/>
          <w:numId w:val="6"/>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具备履行合同所必需的设备和专业技术能力的证明材料。</w:t>
      </w:r>
    </w:p>
    <w:p>
      <w:pPr>
        <w:numPr>
          <w:ilvl w:val="0"/>
          <w:numId w:val="6"/>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参加政府采购活动前3年内在经营活动中没有重大违法记录的书面声明。</w:t>
      </w:r>
    </w:p>
    <w:p>
      <w:pPr>
        <w:numPr>
          <w:ilvl w:val="0"/>
          <w:numId w:val="6"/>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具备法律、行政法规规定的其他条件的证明材料。</w:t>
      </w:r>
    </w:p>
    <w:p>
      <w:pPr>
        <w:numPr>
          <w:ilvl w:val="0"/>
          <w:numId w:val="5"/>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单位负责人为同一人或者存在直接控股、管理关系的不同供应商，不得参加同一合同项下的政府采购活动。否则，皆取消磋商资格；</w:t>
      </w:r>
    </w:p>
    <w:p>
      <w:pPr>
        <w:numPr>
          <w:ilvl w:val="0"/>
          <w:numId w:val="5"/>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符合、承认并承诺履行本磋商文件各项规定，所提供的货物和服务须在我国境内合法生产销售的；</w:t>
      </w:r>
    </w:p>
    <w:p>
      <w:pPr>
        <w:numPr>
          <w:ilvl w:val="0"/>
          <w:numId w:val="5"/>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经信用中</w:t>
      </w:r>
      <w:r>
        <w:rPr>
          <w:rFonts w:hint="eastAsia" w:ascii="宋体" w:hAnsi="宋体" w:eastAsia="宋体" w:cs="宋体"/>
          <w:kern w:val="0"/>
          <w:sz w:val="24"/>
          <w:szCs w:val="24"/>
        </w:rPr>
        <w:t>国（www.creditchina.gov.cn）、中国政府采购网（www.ccgp.gov.cn）等渠道查询后，列入失信被执行人、</w:t>
      </w:r>
      <w:r>
        <w:rPr>
          <w:rFonts w:hint="eastAsia" w:ascii="宋体" w:hAnsi="宋体" w:eastAsia="宋体" w:cs="宋体"/>
          <w:kern w:val="0"/>
          <w:sz w:val="24"/>
          <w:szCs w:val="24"/>
          <w:lang w:val="en-US" w:eastAsia="zh-CN"/>
        </w:rPr>
        <w:t>税收违法黑名单</w:t>
      </w:r>
      <w:r>
        <w:rPr>
          <w:rFonts w:hint="eastAsia" w:ascii="宋体" w:hAnsi="宋体" w:eastAsia="宋体" w:cs="宋体"/>
          <w:kern w:val="0"/>
          <w:sz w:val="24"/>
          <w:szCs w:val="24"/>
        </w:rPr>
        <w:t>、政府采购严重违法失信行为记录名单的，取消投标资格(提供“信用中国”网站的查询截图)；</w:t>
      </w:r>
    </w:p>
    <w:p>
      <w:pPr>
        <w:numPr>
          <w:ilvl w:val="0"/>
          <w:numId w:val="5"/>
        </w:num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本项目不接受磋商人以联合体</w:t>
      </w:r>
      <w:bookmarkStart w:id="141" w:name="_GoBack"/>
      <w:bookmarkEnd w:id="141"/>
      <w:r>
        <w:rPr>
          <w:rFonts w:hint="eastAsia" w:ascii="宋体" w:hAnsi="宋体" w:eastAsia="宋体" w:cs="宋体"/>
          <w:kern w:val="0"/>
          <w:sz w:val="24"/>
          <w:szCs w:val="24"/>
          <w:lang w:val="zh-CN"/>
        </w:rPr>
        <w:t>方式进行投标</w:t>
      </w:r>
      <w:r>
        <w:rPr>
          <w:rFonts w:hint="eastAsia" w:ascii="宋体" w:hAnsi="宋体" w:eastAsia="宋体" w:cs="宋体"/>
          <w:color w:val="000000" w:themeColor="text1"/>
          <w:kern w:val="0"/>
          <w:sz w:val="24"/>
          <w:szCs w:val="24"/>
          <w:lang w:val="zh-CN"/>
        </w:rPr>
        <w:t>。</w:t>
      </w:r>
    </w:p>
    <w:p>
      <w:pPr>
        <w:numPr>
          <w:ilvl w:val="0"/>
          <w:numId w:val="5"/>
        </w:num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eastAsia="zh-CN"/>
        </w:rPr>
        <w:t>本项目中小企业预留份额100%，全部面向中小企业采购。</w:t>
      </w:r>
    </w:p>
    <w:p>
      <w:pPr>
        <w:pStyle w:val="7"/>
        <w:numPr>
          <w:ilvl w:val="0"/>
          <w:numId w:val="3"/>
        </w:numPr>
        <w:spacing w:before="0" w:after="0" w:line="360" w:lineRule="auto"/>
        <w:rPr>
          <w:rFonts w:hint="eastAsia" w:ascii="宋体" w:hAnsi="宋体" w:eastAsia="宋体" w:cs="宋体"/>
          <w:b w:val="0"/>
          <w:sz w:val="24"/>
          <w:szCs w:val="24"/>
        </w:rPr>
      </w:pPr>
      <w:bookmarkStart w:id="17" w:name="_Toc488673615"/>
      <w:bookmarkStart w:id="18" w:name="_Toc600"/>
      <w:r>
        <w:rPr>
          <w:rFonts w:hint="eastAsia" w:ascii="宋体" w:hAnsi="宋体" w:eastAsia="宋体" w:cs="宋体"/>
          <w:b w:val="0"/>
          <w:sz w:val="24"/>
          <w:szCs w:val="24"/>
        </w:rPr>
        <w:t>磋商费用</w:t>
      </w:r>
      <w:bookmarkEnd w:id="17"/>
      <w:bookmarkEnd w:id="18"/>
    </w:p>
    <w:p>
      <w:pPr>
        <w:pStyle w:val="17"/>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磋商供应商应自愿承担与参加本次磋商有关的费用。采购代理机构对磋商供应商发生的费用不承担任何责任。</w:t>
      </w:r>
    </w:p>
    <w:p>
      <w:pPr>
        <w:pStyle w:val="6"/>
        <w:rPr>
          <w:rFonts w:hint="eastAsia" w:ascii="宋体" w:hAnsi="宋体" w:eastAsia="宋体" w:cs="宋体"/>
          <w:b/>
          <w:sz w:val="24"/>
          <w:szCs w:val="24"/>
        </w:rPr>
      </w:pPr>
      <w:bookmarkStart w:id="19" w:name="_Toc10904"/>
      <w:r>
        <w:rPr>
          <w:rFonts w:hint="eastAsia" w:ascii="宋体" w:hAnsi="宋体" w:eastAsia="宋体" w:cs="宋体"/>
          <w:b/>
          <w:sz w:val="24"/>
          <w:szCs w:val="24"/>
        </w:rPr>
        <w:t>磋商文件说明</w:t>
      </w:r>
      <w:bookmarkEnd w:id="19"/>
    </w:p>
    <w:p>
      <w:pPr>
        <w:pStyle w:val="7"/>
        <w:numPr>
          <w:ilvl w:val="0"/>
          <w:numId w:val="3"/>
        </w:numPr>
        <w:spacing w:before="0" w:after="0" w:line="360" w:lineRule="auto"/>
        <w:rPr>
          <w:rFonts w:hint="eastAsia" w:ascii="宋体" w:hAnsi="宋体" w:eastAsia="宋体" w:cs="宋体"/>
          <w:b w:val="0"/>
          <w:sz w:val="24"/>
          <w:szCs w:val="24"/>
        </w:rPr>
      </w:pPr>
      <w:bookmarkStart w:id="20" w:name="_Toc488673617"/>
      <w:bookmarkStart w:id="21" w:name="_Toc28638"/>
      <w:r>
        <w:rPr>
          <w:rFonts w:hint="eastAsia" w:ascii="宋体" w:hAnsi="宋体" w:eastAsia="宋体" w:cs="宋体"/>
          <w:b w:val="0"/>
          <w:sz w:val="24"/>
          <w:szCs w:val="24"/>
        </w:rPr>
        <w:t>磋商文件的构成</w:t>
      </w:r>
      <w:bookmarkEnd w:id="20"/>
      <w:bookmarkEnd w:id="21"/>
    </w:p>
    <w:p>
      <w:pPr>
        <w:pStyle w:val="17"/>
        <w:numPr>
          <w:ilvl w:val="1"/>
          <w:numId w:val="7"/>
        </w:numPr>
        <w:spacing w:line="360" w:lineRule="auto"/>
        <w:rPr>
          <w:rFonts w:hint="eastAsia" w:ascii="宋体" w:hAnsi="宋体" w:eastAsia="宋体" w:cs="宋体"/>
          <w:sz w:val="24"/>
          <w:szCs w:val="24"/>
        </w:rPr>
      </w:pPr>
      <w:r>
        <w:rPr>
          <w:rFonts w:hint="eastAsia" w:ascii="宋体" w:hAnsi="宋体" w:eastAsia="宋体" w:cs="宋体"/>
          <w:sz w:val="24"/>
          <w:szCs w:val="24"/>
        </w:rPr>
        <w:t>磋商文件包括：</w:t>
      </w:r>
    </w:p>
    <w:p>
      <w:pPr>
        <w:pStyle w:val="17"/>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磋商邀请；</w:t>
      </w:r>
    </w:p>
    <w:p>
      <w:pPr>
        <w:pStyle w:val="17"/>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磋商供应商须知前附表；</w:t>
      </w:r>
    </w:p>
    <w:p>
      <w:pPr>
        <w:pStyle w:val="17"/>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磋商供应商须知；</w:t>
      </w:r>
    </w:p>
    <w:p>
      <w:pPr>
        <w:pStyle w:val="17"/>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采购合同文本样式；</w:t>
      </w:r>
    </w:p>
    <w:p>
      <w:pPr>
        <w:pStyle w:val="17"/>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磋商响应文件格式；</w:t>
      </w:r>
    </w:p>
    <w:p>
      <w:pPr>
        <w:pStyle w:val="17"/>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采购项目要求及技术参数；</w:t>
      </w:r>
    </w:p>
    <w:p>
      <w:pPr>
        <w:pStyle w:val="17"/>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采购过程中发生的澄清、变更和补充文件；</w:t>
      </w:r>
    </w:p>
    <w:p>
      <w:pPr>
        <w:pStyle w:val="17"/>
        <w:numPr>
          <w:ilvl w:val="1"/>
          <w:numId w:val="7"/>
        </w:numPr>
        <w:spacing w:line="360" w:lineRule="auto"/>
        <w:rPr>
          <w:rFonts w:hint="eastAsia" w:ascii="宋体" w:hAnsi="宋体" w:eastAsia="宋体" w:cs="宋体"/>
          <w:sz w:val="24"/>
          <w:szCs w:val="24"/>
        </w:rPr>
      </w:pPr>
      <w:r>
        <w:rPr>
          <w:rFonts w:hint="eastAsia" w:ascii="宋体" w:hAnsi="宋体" w:eastAsia="宋体" w:cs="宋体"/>
          <w:sz w:val="24"/>
          <w:szCs w:val="24"/>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pPr>
        <w:pStyle w:val="7"/>
        <w:numPr>
          <w:ilvl w:val="0"/>
          <w:numId w:val="3"/>
        </w:numPr>
        <w:spacing w:before="0" w:after="0" w:line="360" w:lineRule="auto"/>
        <w:rPr>
          <w:rFonts w:hint="eastAsia" w:ascii="宋体" w:hAnsi="宋体" w:eastAsia="宋体" w:cs="宋体"/>
          <w:b w:val="0"/>
          <w:sz w:val="24"/>
          <w:szCs w:val="24"/>
        </w:rPr>
      </w:pPr>
      <w:bookmarkStart w:id="22" w:name="_Toc14886"/>
      <w:bookmarkStart w:id="23" w:name="_Toc488673618"/>
      <w:r>
        <w:rPr>
          <w:rFonts w:hint="eastAsia" w:ascii="宋体" w:hAnsi="宋体" w:eastAsia="宋体" w:cs="宋体"/>
          <w:b w:val="0"/>
          <w:sz w:val="24"/>
          <w:szCs w:val="24"/>
        </w:rPr>
        <w:t>磋商文件、磋商活动和中标结果的质疑</w:t>
      </w:r>
      <w:bookmarkEnd w:id="22"/>
      <w:bookmarkEnd w:id="23"/>
    </w:p>
    <w:p>
      <w:pPr>
        <w:pStyle w:val="17"/>
        <w:numPr>
          <w:ilvl w:val="1"/>
          <w:numId w:val="9"/>
        </w:numPr>
        <w:spacing w:line="360" w:lineRule="auto"/>
        <w:rPr>
          <w:rFonts w:hint="eastAsia" w:ascii="宋体" w:hAnsi="宋体" w:eastAsia="宋体" w:cs="宋体"/>
          <w:sz w:val="24"/>
          <w:szCs w:val="24"/>
        </w:rPr>
      </w:pPr>
      <w:r>
        <w:rPr>
          <w:rFonts w:hint="eastAsia" w:ascii="宋体" w:hAnsi="宋体" w:eastAsia="宋体" w:cs="宋体"/>
          <w:sz w:val="24"/>
          <w:szCs w:val="24"/>
        </w:rPr>
        <w:t>参加磋商的磋商供应商认为磋商文件、磋商活动和成交、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pPr>
        <w:pStyle w:val="17"/>
        <w:numPr>
          <w:ilvl w:val="1"/>
          <w:numId w:val="9"/>
        </w:numPr>
        <w:spacing w:line="360" w:lineRule="auto"/>
        <w:rPr>
          <w:rFonts w:hint="eastAsia" w:ascii="宋体" w:hAnsi="宋体" w:eastAsia="宋体" w:cs="宋体"/>
          <w:sz w:val="24"/>
          <w:szCs w:val="24"/>
        </w:rPr>
      </w:pPr>
      <w:r>
        <w:rPr>
          <w:rFonts w:hint="eastAsia" w:ascii="宋体" w:hAnsi="宋体" w:eastAsia="宋体" w:cs="宋体"/>
          <w:sz w:val="24"/>
          <w:szCs w:val="2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pPr>
        <w:pStyle w:val="17"/>
        <w:numPr>
          <w:ilvl w:val="1"/>
          <w:numId w:val="9"/>
        </w:numPr>
        <w:spacing w:line="360" w:lineRule="auto"/>
        <w:rPr>
          <w:rFonts w:hint="eastAsia" w:ascii="宋体" w:hAnsi="宋体" w:eastAsia="宋体" w:cs="宋体"/>
          <w:sz w:val="24"/>
          <w:szCs w:val="24"/>
        </w:rPr>
      </w:pPr>
      <w:r>
        <w:rPr>
          <w:rFonts w:hint="eastAsia" w:ascii="宋体" w:hAnsi="宋体" w:eastAsia="宋体" w:cs="宋体"/>
          <w:sz w:val="24"/>
          <w:szCs w:val="24"/>
        </w:rPr>
        <w:t>质疑时效期间的计算</w:t>
      </w:r>
    </w:p>
    <w:p>
      <w:pPr>
        <w:pStyle w:val="17"/>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对可以质疑的磋商文件提出质疑的，为收到磋商文件之日或磋商文件公告期限届满之日；</w:t>
      </w:r>
    </w:p>
    <w:p>
      <w:pPr>
        <w:pStyle w:val="17"/>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对磋商过程提出质疑的，为磋商程序各环节结束之日；</w:t>
      </w:r>
    </w:p>
    <w:p>
      <w:pPr>
        <w:pStyle w:val="17"/>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对成交结果提出质疑的，为成交公告期限届满之日。</w:t>
      </w:r>
    </w:p>
    <w:p>
      <w:pPr>
        <w:pStyle w:val="7"/>
        <w:numPr>
          <w:ilvl w:val="0"/>
          <w:numId w:val="3"/>
        </w:numPr>
        <w:spacing w:before="0" w:after="0" w:line="360" w:lineRule="auto"/>
        <w:rPr>
          <w:rFonts w:hint="eastAsia" w:ascii="宋体" w:hAnsi="宋体" w:eastAsia="宋体" w:cs="宋体"/>
          <w:b w:val="0"/>
          <w:sz w:val="24"/>
          <w:szCs w:val="24"/>
        </w:rPr>
      </w:pPr>
      <w:bookmarkStart w:id="24" w:name="_Toc20593"/>
      <w:bookmarkStart w:id="25" w:name="_Toc488673619"/>
      <w:r>
        <w:rPr>
          <w:rFonts w:hint="eastAsia" w:ascii="宋体" w:hAnsi="宋体" w:eastAsia="宋体" w:cs="宋体"/>
          <w:b w:val="0"/>
          <w:sz w:val="24"/>
          <w:szCs w:val="24"/>
        </w:rPr>
        <w:t>磋商文件的修改</w:t>
      </w:r>
      <w:bookmarkEnd w:id="24"/>
      <w:bookmarkEnd w:id="25"/>
    </w:p>
    <w:p>
      <w:pPr>
        <w:pStyle w:val="17"/>
        <w:numPr>
          <w:ilvl w:val="1"/>
          <w:numId w:val="11"/>
        </w:numPr>
        <w:spacing w:line="360" w:lineRule="auto"/>
        <w:rPr>
          <w:rFonts w:hint="eastAsia" w:ascii="宋体" w:hAnsi="宋体" w:eastAsia="宋体" w:cs="宋体"/>
          <w:sz w:val="24"/>
          <w:szCs w:val="24"/>
        </w:rPr>
      </w:pPr>
      <w:r>
        <w:rPr>
          <w:rFonts w:hint="eastAsia" w:ascii="宋体" w:hAnsi="宋体" w:eastAsia="宋体" w:cs="宋体"/>
          <w:sz w:val="24"/>
          <w:szCs w:val="24"/>
        </w:rPr>
        <w:t>在磋商截止期前，采购单位或采购代理机构可对磋商文件进行必要的修改或者澄清；</w:t>
      </w:r>
    </w:p>
    <w:p>
      <w:pPr>
        <w:pStyle w:val="17"/>
        <w:numPr>
          <w:ilvl w:val="1"/>
          <w:numId w:val="11"/>
        </w:numPr>
        <w:spacing w:line="360" w:lineRule="auto"/>
        <w:rPr>
          <w:rFonts w:hint="eastAsia" w:ascii="宋体" w:hAnsi="宋体" w:eastAsia="宋体" w:cs="宋体"/>
          <w:sz w:val="24"/>
          <w:szCs w:val="24"/>
        </w:rPr>
      </w:pPr>
      <w:r>
        <w:rPr>
          <w:rFonts w:hint="eastAsia" w:ascii="宋体" w:hAnsi="宋体" w:eastAsia="宋体" w:cs="宋体"/>
          <w:sz w:val="24"/>
          <w:szCs w:val="24"/>
        </w:rPr>
        <w:t>采购代理机构对已发出的磋商文件进行必要的澄清或者修改的，澄清或者修改的内容可能影响磋商响应文件编制的，在磋商文件要求提交磋商响应文件截止时间5日前，在青海政府采购网</w:t>
      </w:r>
      <w:r>
        <w:rPr>
          <w:rFonts w:hint="eastAsia" w:ascii="宋体" w:hAnsi="宋体" w:eastAsia="宋体" w:cs="宋体"/>
          <w:sz w:val="24"/>
          <w:szCs w:val="24"/>
          <w:lang w:eastAsia="zh-CN"/>
        </w:rPr>
        <w:t>、</w:t>
      </w:r>
      <w:r>
        <w:rPr>
          <w:rFonts w:hint="eastAsia" w:ascii="宋体" w:hAnsi="宋体" w:eastAsia="宋体" w:cs="宋体"/>
          <w:bCs/>
          <w:color w:val="000000" w:themeColor="text1"/>
          <w:sz w:val="24"/>
          <w:szCs w:val="24"/>
          <w:lang w:val="zh-CN"/>
        </w:rPr>
        <w:t>青海省电子招投标公共服务平台、</w:t>
      </w:r>
      <w:r>
        <w:rPr>
          <w:rFonts w:hint="eastAsia" w:ascii="宋体" w:hAnsi="宋体" w:eastAsia="宋体" w:cs="宋体"/>
          <w:sz w:val="24"/>
          <w:szCs w:val="24"/>
        </w:rPr>
        <w:t>青海项目信息网、中国招标与采购网等媒体上发布公告。不足5日的，顺延提交磋商响应文件的截止时间。该澄清或者修改的内容为磋商文件的组成部分；</w:t>
      </w:r>
    </w:p>
    <w:p>
      <w:pPr>
        <w:pStyle w:val="17"/>
        <w:numPr>
          <w:ilvl w:val="1"/>
          <w:numId w:val="11"/>
        </w:numPr>
        <w:spacing w:line="360" w:lineRule="auto"/>
        <w:rPr>
          <w:rFonts w:hint="eastAsia" w:ascii="宋体" w:hAnsi="宋体" w:eastAsia="宋体" w:cs="宋体"/>
          <w:sz w:val="24"/>
          <w:szCs w:val="24"/>
        </w:rPr>
      </w:pPr>
      <w:r>
        <w:rPr>
          <w:rFonts w:hint="eastAsia" w:ascii="宋体" w:hAnsi="宋体" w:eastAsia="宋体" w:cs="宋体"/>
          <w:sz w:val="24"/>
          <w:szCs w:val="24"/>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pPr>
        <w:pStyle w:val="6"/>
        <w:rPr>
          <w:rFonts w:hint="eastAsia" w:ascii="宋体" w:hAnsi="宋体" w:eastAsia="宋体" w:cs="宋体"/>
          <w:b/>
          <w:sz w:val="24"/>
          <w:szCs w:val="24"/>
        </w:rPr>
      </w:pPr>
      <w:bookmarkStart w:id="26" w:name="_Toc9180"/>
      <w:r>
        <w:rPr>
          <w:rFonts w:hint="eastAsia" w:ascii="宋体" w:hAnsi="宋体" w:eastAsia="宋体" w:cs="宋体"/>
          <w:b/>
          <w:sz w:val="24"/>
          <w:szCs w:val="24"/>
        </w:rPr>
        <w:t>磋商响应文件的编写</w:t>
      </w:r>
      <w:bookmarkEnd w:id="26"/>
    </w:p>
    <w:p>
      <w:pPr>
        <w:pStyle w:val="7"/>
        <w:numPr>
          <w:ilvl w:val="0"/>
          <w:numId w:val="3"/>
        </w:numPr>
        <w:spacing w:before="0" w:after="0" w:line="360" w:lineRule="auto"/>
        <w:rPr>
          <w:rFonts w:hint="eastAsia" w:ascii="宋体" w:hAnsi="宋体" w:eastAsia="宋体" w:cs="宋体"/>
          <w:b w:val="0"/>
          <w:sz w:val="24"/>
          <w:szCs w:val="24"/>
        </w:rPr>
      </w:pPr>
      <w:bookmarkStart w:id="27" w:name="_Toc17834"/>
      <w:bookmarkStart w:id="28" w:name="_Toc488673621"/>
      <w:r>
        <w:rPr>
          <w:rFonts w:hint="eastAsia" w:ascii="宋体" w:hAnsi="宋体" w:eastAsia="宋体" w:cs="宋体"/>
          <w:b w:val="0"/>
          <w:sz w:val="24"/>
          <w:szCs w:val="24"/>
        </w:rPr>
        <w:t>磋商响应文件的语言及度量衡单位</w:t>
      </w:r>
      <w:bookmarkEnd w:id="27"/>
      <w:bookmarkEnd w:id="28"/>
    </w:p>
    <w:p>
      <w:pPr>
        <w:pStyle w:val="17"/>
        <w:numPr>
          <w:ilvl w:val="1"/>
          <w:numId w:val="12"/>
        </w:numPr>
        <w:spacing w:line="360" w:lineRule="auto"/>
        <w:rPr>
          <w:rFonts w:hint="eastAsia" w:ascii="宋体" w:hAnsi="宋体" w:eastAsia="宋体" w:cs="宋体"/>
          <w:sz w:val="24"/>
          <w:szCs w:val="24"/>
        </w:rPr>
      </w:pPr>
      <w:r>
        <w:rPr>
          <w:rFonts w:hint="eastAsia" w:ascii="宋体" w:hAnsi="宋体" w:eastAsia="宋体" w:cs="宋体"/>
          <w:sz w:val="24"/>
          <w:szCs w:val="24"/>
        </w:rPr>
        <w:t>磋商供应商提交的磋商响应文件以及磋商供应商与采购代理机构就此磋商发生的所有来往函电均应使用简体中文；</w:t>
      </w:r>
    </w:p>
    <w:p>
      <w:pPr>
        <w:pStyle w:val="17"/>
        <w:numPr>
          <w:ilvl w:val="1"/>
          <w:numId w:val="12"/>
        </w:numPr>
        <w:spacing w:line="360" w:lineRule="auto"/>
        <w:rPr>
          <w:rFonts w:hint="eastAsia" w:ascii="宋体" w:hAnsi="宋体" w:eastAsia="宋体" w:cs="宋体"/>
          <w:sz w:val="24"/>
          <w:szCs w:val="24"/>
        </w:rPr>
      </w:pPr>
      <w:r>
        <w:rPr>
          <w:rFonts w:hint="eastAsia" w:ascii="宋体" w:hAnsi="宋体" w:eastAsia="宋体" w:cs="宋体"/>
          <w:sz w:val="24"/>
          <w:szCs w:val="24"/>
        </w:rPr>
        <w:t>除磋商文件中另有规定外，磋商文件所使用的度量衡单位，均须采用国家法定计量单位；</w:t>
      </w:r>
    </w:p>
    <w:p>
      <w:pPr>
        <w:pStyle w:val="17"/>
        <w:numPr>
          <w:ilvl w:val="1"/>
          <w:numId w:val="12"/>
        </w:numPr>
        <w:spacing w:line="360" w:lineRule="auto"/>
        <w:rPr>
          <w:rFonts w:hint="eastAsia" w:ascii="宋体" w:hAnsi="宋体" w:eastAsia="宋体" w:cs="宋体"/>
          <w:sz w:val="24"/>
          <w:szCs w:val="24"/>
        </w:rPr>
      </w:pPr>
      <w:r>
        <w:rPr>
          <w:rFonts w:hint="eastAsia" w:ascii="宋体" w:hAnsi="宋体" w:eastAsia="宋体" w:cs="宋体"/>
          <w:sz w:val="24"/>
          <w:szCs w:val="24"/>
        </w:rPr>
        <w:t>附有外文资料的须翻译成中文，并加盖磋商供应商公章，如果翻译的中文资料与外文资料出现差异与矛盾时，以中文为准，其准确性由磋商供应商负责。</w:t>
      </w:r>
    </w:p>
    <w:p>
      <w:pPr>
        <w:pStyle w:val="7"/>
        <w:numPr>
          <w:ilvl w:val="0"/>
          <w:numId w:val="3"/>
        </w:numPr>
        <w:spacing w:before="0" w:after="0" w:line="360" w:lineRule="auto"/>
        <w:rPr>
          <w:rFonts w:hint="eastAsia" w:ascii="宋体" w:hAnsi="宋体" w:eastAsia="宋体" w:cs="宋体"/>
          <w:b w:val="0"/>
          <w:sz w:val="24"/>
          <w:szCs w:val="24"/>
        </w:rPr>
      </w:pPr>
      <w:bookmarkStart w:id="29" w:name="_Toc12097"/>
      <w:bookmarkStart w:id="30" w:name="_Toc488673622"/>
      <w:r>
        <w:rPr>
          <w:rFonts w:hint="eastAsia" w:ascii="宋体" w:hAnsi="宋体" w:eastAsia="宋体" w:cs="宋体"/>
          <w:b w:val="0"/>
          <w:sz w:val="24"/>
          <w:szCs w:val="24"/>
        </w:rPr>
        <w:t>磋商报价及币种</w:t>
      </w:r>
      <w:bookmarkEnd w:id="29"/>
      <w:bookmarkEnd w:id="30"/>
    </w:p>
    <w:p>
      <w:pPr>
        <w:pStyle w:val="17"/>
        <w:numPr>
          <w:ilvl w:val="1"/>
          <w:numId w:val="13"/>
        </w:numPr>
        <w:spacing w:line="360" w:lineRule="auto"/>
        <w:rPr>
          <w:rFonts w:hint="eastAsia" w:ascii="宋体" w:hAnsi="宋体" w:eastAsia="宋体" w:cs="宋体"/>
          <w:sz w:val="24"/>
          <w:szCs w:val="24"/>
        </w:rPr>
      </w:pPr>
      <w:r>
        <w:rPr>
          <w:rFonts w:hint="eastAsia" w:ascii="宋体" w:hAnsi="宋体" w:eastAsia="宋体" w:cs="宋体"/>
          <w:sz w:val="24"/>
          <w:szCs w:val="24"/>
        </w:rPr>
        <w:t>磋商报价为磋商总价。磋商报价必须包括：</w:t>
      </w:r>
      <w:bookmarkStart w:id="31" w:name="_Hlk497466989"/>
      <w:r>
        <w:rPr>
          <w:rFonts w:hint="eastAsia" w:ascii="宋体" w:hAnsi="宋体" w:eastAsia="宋体" w:cs="宋体"/>
          <w:sz w:val="24"/>
          <w:szCs w:val="24"/>
        </w:rPr>
        <w:t>产品费、验收费、手续费、包装费、运输费、保险费、培训费、售前、售中、售后服务费、招标代理费、税金及不可预见费等全部费用。（说明：具体内容应根据项目特点实事求是的填写）</w:t>
      </w:r>
      <w:bookmarkEnd w:id="31"/>
      <w:r>
        <w:rPr>
          <w:rFonts w:hint="eastAsia" w:ascii="宋体" w:hAnsi="宋体" w:eastAsia="宋体" w:cs="宋体"/>
          <w:sz w:val="24"/>
          <w:szCs w:val="24"/>
        </w:rPr>
        <w:t>。</w:t>
      </w:r>
    </w:p>
    <w:p>
      <w:pPr>
        <w:pStyle w:val="17"/>
        <w:numPr>
          <w:ilvl w:val="1"/>
          <w:numId w:val="13"/>
        </w:numPr>
        <w:spacing w:line="360" w:lineRule="auto"/>
        <w:rPr>
          <w:rFonts w:hint="eastAsia" w:ascii="宋体" w:hAnsi="宋体" w:eastAsia="宋体" w:cs="宋体"/>
          <w:sz w:val="24"/>
          <w:szCs w:val="24"/>
        </w:rPr>
      </w:pPr>
      <w:r>
        <w:rPr>
          <w:rFonts w:hint="eastAsia" w:ascii="宋体" w:hAnsi="宋体" w:eastAsia="宋体" w:cs="宋体"/>
          <w:sz w:val="24"/>
          <w:szCs w:val="24"/>
        </w:rPr>
        <w:t>磋商报价应注明有效期，有效期应与磋商有效期一致；</w:t>
      </w:r>
    </w:p>
    <w:p>
      <w:pPr>
        <w:pStyle w:val="17"/>
        <w:numPr>
          <w:ilvl w:val="1"/>
          <w:numId w:val="13"/>
        </w:numPr>
        <w:spacing w:line="360" w:lineRule="auto"/>
        <w:rPr>
          <w:rFonts w:hint="eastAsia" w:ascii="宋体" w:hAnsi="宋体" w:eastAsia="宋体" w:cs="宋体"/>
          <w:sz w:val="24"/>
          <w:szCs w:val="24"/>
        </w:rPr>
      </w:pPr>
      <w:r>
        <w:rPr>
          <w:rFonts w:hint="eastAsia" w:ascii="宋体" w:hAnsi="宋体" w:eastAsia="宋体" w:cs="宋体"/>
          <w:sz w:val="24"/>
          <w:szCs w:val="24"/>
        </w:rPr>
        <w:t>磋商供应商应根据磋商文件规定的格式完整填写所有内容，并保证所提供的全部资料真实可靠，自愿承担相应责任；</w:t>
      </w:r>
    </w:p>
    <w:p>
      <w:pPr>
        <w:pStyle w:val="17"/>
        <w:numPr>
          <w:ilvl w:val="1"/>
          <w:numId w:val="13"/>
        </w:numPr>
        <w:spacing w:line="360" w:lineRule="auto"/>
        <w:rPr>
          <w:rFonts w:hint="eastAsia" w:ascii="宋体" w:hAnsi="宋体" w:eastAsia="宋体" w:cs="宋体"/>
          <w:sz w:val="24"/>
          <w:szCs w:val="24"/>
        </w:rPr>
      </w:pPr>
      <w:r>
        <w:rPr>
          <w:rFonts w:hint="eastAsia" w:ascii="宋体" w:hAnsi="宋体" w:eastAsia="宋体" w:cs="宋体"/>
          <w:sz w:val="24"/>
          <w:szCs w:val="24"/>
        </w:rPr>
        <w:t>磋商报价为闭口价，即成交后在合同有效期内价格不变；</w:t>
      </w:r>
    </w:p>
    <w:p>
      <w:pPr>
        <w:pStyle w:val="17"/>
        <w:numPr>
          <w:ilvl w:val="1"/>
          <w:numId w:val="13"/>
        </w:numPr>
        <w:spacing w:line="360" w:lineRule="auto"/>
        <w:rPr>
          <w:rFonts w:hint="eastAsia" w:ascii="宋体" w:hAnsi="宋体" w:eastAsia="宋体" w:cs="宋体"/>
          <w:sz w:val="24"/>
          <w:szCs w:val="24"/>
        </w:rPr>
      </w:pPr>
      <w:r>
        <w:rPr>
          <w:rFonts w:hint="eastAsia" w:ascii="宋体" w:hAnsi="宋体" w:eastAsia="宋体" w:cs="宋体"/>
          <w:sz w:val="24"/>
          <w:szCs w:val="24"/>
        </w:rPr>
        <w:t>磋商币种为人民币。</w:t>
      </w:r>
    </w:p>
    <w:p>
      <w:pPr>
        <w:pStyle w:val="7"/>
        <w:numPr>
          <w:ilvl w:val="0"/>
          <w:numId w:val="3"/>
        </w:numPr>
        <w:spacing w:before="0" w:after="0" w:line="360" w:lineRule="auto"/>
        <w:rPr>
          <w:rFonts w:hint="eastAsia" w:ascii="宋体" w:hAnsi="宋体" w:eastAsia="宋体" w:cs="宋体"/>
          <w:b w:val="0"/>
          <w:sz w:val="24"/>
          <w:szCs w:val="24"/>
        </w:rPr>
      </w:pPr>
      <w:bookmarkStart w:id="32" w:name="_Toc23525"/>
      <w:bookmarkStart w:id="33" w:name="_Toc488673623"/>
      <w:r>
        <w:rPr>
          <w:rFonts w:hint="eastAsia" w:ascii="宋体" w:hAnsi="宋体" w:eastAsia="宋体" w:cs="宋体"/>
          <w:b w:val="0"/>
          <w:sz w:val="24"/>
          <w:szCs w:val="24"/>
        </w:rPr>
        <w:t>磋商保证金</w:t>
      </w:r>
      <w:bookmarkEnd w:id="32"/>
      <w:bookmarkEnd w:id="33"/>
    </w:p>
    <w:p>
      <w:pPr>
        <w:pStyle w:val="17"/>
        <w:spacing w:line="360" w:lineRule="auto"/>
        <w:ind w:left="501"/>
        <w:rPr>
          <w:rFonts w:hint="eastAsia" w:ascii="宋体" w:hAnsi="宋体" w:eastAsia="宋体" w:cs="宋体"/>
          <w:sz w:val="24"/>
          <w:szCs w:val="24"/>
        </w:rPr>
      </w:pPr>
      <w:r>
        <w:rPr>
          <w:rFonts w:hint="eastAsia" w:ascii="宋体" w:hAnsi="宋体" w:eastAsia="宋体" w:cs="宋体"/>
          <w:sz w:val="24"/>
          <w:szCs w:val="24"/>
        </w:rPr>
        <w:t>本项目不收取磋商保证金</w:t>
      </w:r>
    </w:p>
    <w:p>
      <w:pPr>
        <w:pStyle w:val="7"/>
        <w:numPr>
          <w:ilvl w:val="0"/>
          <w:numId w:val="3"/>
        </w:numPr>
        <w:spacing w:before="0" w:after="0" w:line="360" w:lineRule="auto"/>
        <w:rPr>
          <w:rFonts w:hint="eastAsia" w:ascii="宋体" w:hAnsi="宋体" w:eastAsia="宋体" w:cs="宋体"/>
          <w:b w:val="0"/>
          <w:sz w:val="24"/>
          <w:szCs w:val="24"/>
        </w:rPr>
      </w:pPr>
      <w:bookmarkStart w:id="34" w:name="_Toc22131"/>
      <w:bookmarkStart w:id="35" w:name="_Toc488673624"/>
      <w:r>
        <w:rPr>
          <w:rFonts w:hint="eastAsia" w:ascii="宋体" w:hAnsi="宋体" w:eastAsia="宋体" w:cs="宋体"/>
          <w:b w:val="0"/>
          <w:sz w:val="24"/>
          <w:szCs w:val="24"/>
        </w:rPr>
        <w:t>磋商有效期</w:t>
      </w:r>
      <w:bookmarkEnd w:id="34"/>
      <w:bookmarkEnd w:id="35"/>
    </w:p>
    <w:p>
      <w:pPr>
        <w:pStyle w:val="17"/>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本次磋商有效期为自磋商之日起60个</w:t>
      </w:r>
      <w:r>
        <w:rPr>
          <w:rFonts w:hint="eastAsia" w:hAnsi="宋体" w:cs="宋体"/>
          <w:sz w:val="24"/>
          <w:szCs w:val="24"/>
          <w:lang w:val="en-US" w:eastAsia="zh-CN"/>
        </w:rPr>
        <w:t>工作</w:t>
      </w:r>
      <w:r>
        <w:rPr>
          <w:rFonts w:hint="eastAsia" w:ascii="宋体" w:hAnsi="宋体" w:eastAsia="宋体" w:cs="宋体"/>
          <w:sz w:val="24"/>
          <w:szCs w:val="24"/>
        </w:rPr>
        <w:t>日。</w:t>
      </w:r>
    </w:p>
    <w:p>
      <w:pPr>
        <w:pStyle w:val="7"/>
        <w:numPr>
          <w:ilvl w:val="0"/>
          <w:numId w:val="3"/>
        </w:numPr>
        <w:spacing w:before="0" w:after="0" w:line="360" w:lineRule="auto"/>
        <w:rPr>
          <w:rFonts w:hint="eastAsia" w:ascii="宋体" w:hAnsi="宋体" w:eastAsia="宋体" w:cs="宋体"/>
          <w:b w:val="0"/>
          <w:sz w:val="24"/>
          <w:szCs w:val="24"/>
        </w:rPr>
      </w:pPr>
      <w:bookmarkStart w:id="36" w:name="_Toc28492"/>
      <w:bookmarkStart w:id="37" w:name="_Toc488673625"/>
      <w:r>
        <w:rPr>
          <w:rFonts w:hint="eastAsia" w:ascii="宋体" w:hAnsi="宋体" w:eastAsia="宋体" w:cs="宋体"/>
          <w:b w:val="0"/>
          <w:sz w:val="24"/>
          <w:szCs w:val="24"/>
        </w:rPr>
        <w:t>磋商响应文件的构成</w:t>
      </w:r>
      <w:bookmarkEnd w:id="36"/>
      <w:bookmarkEnd w:id="37"/>
    </w:p>
    <w:p>
      <w:pPr>
        <w:pStyle w:val="17"/>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磋商供应商应提交相关证明材料，作为其参加磋商和成交后有能力履行合同的证明。编写的磋商响应文件须包括以下内容（格式见磋商文件“第五部分 磋商响应文件格式”）：</w:t>
      </w:r>
    </w:p>
    <w:p>
      <w:pPr>
        <w:pStyle w:val="17"/>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磋商函；</w:t>
      </w:r>
    </w:p>
    <w:p>
      <w:pPr>
        <w:pStyle w:val="17"/>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法定代表人证明书；</w:t>
      </w:r>
    </w:p>
    <w:p>
      <w:pPr>
        <w:pStyle w:val="17"/>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法定代表人授权书；</w:t>
      </w:r>
    </w:p>
    <w:p>
      <w:pPr>
        <w:pStyle w:val="17"/>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磋商供应商承诺书；</w:t>
      </w:r>
    </w:p>
    <w:p>
      <w:pPr>
        <w:pStyle w:val="17"/>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供应商诚信承诺书；</w:t>
      </w:r>
    </w:p>
    <w:p>
      <w:pPr>
        <w:pStyle w:val="17"/>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资格证明材料；</w:t>
      </w:r>
    </w:p>
    <w:p>
      <w:pPr>
        <w:pStyle w:val="17"/>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财务状况、缴纳税收和社会保障资金证明；</w:t>
      </w:r>
    </w:p>
    <w:p>
      <w:pPr>
        <w:pStyle w:val="17"/>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具备履行合同所必须的设备和专业技术能力证明；</w:t>
      </w:r>
    </w:p>
    <w:p>
      <w:pPr>
        <w:pStyle w:val="17"/>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无重大违法记录声明；</w:t>
      </w:r>
    </w:p>
    <w:p>
      <w:pPr>
        <w:pStyle w:val="17"/>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评分对照表；</w:t>
      </w:r>
    </w:p>
    <w:p>
      <w:pPr>
        <w:pStyle w:val="17"/>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竞争性磋商首次报价表；</w:t>
      </w:r>
    </w:p>
    <w:p>
      <w:pPr>
        <w:pStyle w:val="17"/>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分项报价表；</w:t>
      </w:r>
    </w:p>
    <w:p>
      <w:pPr>
        <w:pStyle w:val="17"/>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技术规格响应表；</w:t>
      </w:r>
    </w:p>
    <w:p>
      <w:pPr>
        <w:pStyle w:val="17"/>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磋商产品相关资料；</w:t>
      </w:r>
    </w:p>
    <w:p>
      <w:pPr>
        <w:pStyle w:val="17"/>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磋商供应商的类似业绩证明材料；</w:t>
      </w:r>
    </w:p>
    <w:p>
      <w:pPr>
        <w:pStyle w:val="17"/>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lang w:val="zh-CN"/>
        </w:rPr>
        <w:t>享受政府采购政策优惠的证明资料</w:t>
      </w:r>
      <w:r>
        <w:rPr>
          <w:rFonts w:hint="eastAsia" w:ascii="宋体" w:hAnsi="宋体" w:eastAsia="宋体" w:cs="宋体"/>
          <w:sz w:val="24"/>
          <w:szCs w:val="24"/>
        </w:rPr>
        <w:t>；</w:t>
      </w:r>
    </w:p>
    <w:p>
      <w:pPr>
        <w:pStyle w:val="17"/>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磋商供应商认为在其他方面有必要说明的事项。</w:t>
      </w:r>
    </w:p>
    <w:p>
      <w:pPr>
        <w:pStyle w:val="17"/>
        <w:spacing w:line="360" w:lineRule="auto"/>
        <w:ind w:left="845"/>
        <w:rPr>
          <w:rFonts w:hint="eastAsia" w:ascii="宋体" w:hAnsi="宋体" w:eastAsia="宋体" w:cs="宋体"/>
          <w:sz w:val="24"/>
          <w:szCs w:val="24"/>
        </w:rPr>
      </w:pPr>
      <w:r>
        <w:rPr>
          <w:rFonts w:hint="eastAsia" w:ascii="宋体" w:hAnsi="宋体" w:eastAsia="宋体" w:cs="宋体"/>
          <w:sz w:val="24"/>
          <w:szCs w:val="24"/>
        </w:rPr>
        <w:t>注：磋商人须按上述内容、顺序和格式编制磋商响应文件，并按要求编制目录、页码，并保证所提供的全部资料真实可信，自愿承担相应责任。</w:t>
      </w:r>
    </w:p>
    <w:p>
      <w:pPr>
        <w:pStyle w:val="7"/>
        <w:numPr>
          <w:ilvl w:val="0"/>
          <w:numId w:val="3"/>
        </w:numPr>
        <w:spacing w:before="0" w:after="0" w:line="360" w:lineRule="auto"/>
        <w:rPr>
          <w:rFonts w:hint="eastAsia" w:ascii="宋体" w:hAnsi="宋体" w:eastAsia="宋体" w:cs="宋体"/>
          <w:b w:val="0"/>
          <w:sz w:val="24"/>
          <w:szCs w:val="24"/>
        </w:rPr>
      </w:pPr>
      <w:bookmarkStart w:id="38" w:name="_Toc488673626"/>
      <w:bookmarkStart w:id="39" w:name="_Toc11623"/>
      <w:r>
        <w:rPr>
          <w:rFonts w:hint="eastAsia" w:ascii="宋体" w:hAnsi="宋体" w:eastAsia="宋体" w:cs="宋体"/>
          <w:b w:val="0"/>
          <w:sz w:val="24"/>
          <w:szCs w:val="24"/>
        </w:rPr>
        <w:t>磋商响应文件的编制要求</w:t>
      </w:r>
      <w:bookmarkEnd w:id="38"/>
      <w:bookmarkEnd w:id="39"/>
    </w:p>
    <w:p>
      <w:pPr>
        <w:pStyle w:val="17"/>
        <w:numPr>
          <w:ilvl w:val="1"/>
          <w:numId w:val="15"/>
        </w:numPr>
        <w:spacing w:line="360" w:lineRule="auto"/>
        <w:ind w:left="960"/>
        <w:rPr>
          <w:rFonts w:hint="eastAsia" w:ascii="宋体" w:hAnsi="宋体" w:eastAsia="宋体" w:cs="宋体"/>
          <w:sz w:val="24"/>
          <w:szCs w:val="24"/>
        </w:rPr>
      </w:pPr>
      <w:r>
        <w:rPr>
          <w:rFonts w:hint="eastAsia" w:ascii="宋体" w:hAnsi="宋体" w:eastAsia="宋体" w:cs="宋体"/>
          <w:sz w:val="24"/>
          <w:szCs w:val="24"/>
          <w:lang w:val="zh-CN"/>
        </w:rPr>
        <w:t>磋商供应商应按照磋商文件所提供的磋商响应文件格式，分别填写磋商文件第五部分的内容，应分别注明所提供产品的名称、技术配置及参数、数量和价格等内容；磋商响应文件要求签字、盖章的地方必须由磋商人的法定代表人或委托代理人按要求签字、盖章。</w:t>
      </w:r>
    </w:p>
    <w:p>
      <w:pPr>
        <w:pStyle w:val="17"/>
        <w:numPr>
          <w:ilvl w:val="1"/>
          <w:numId w:val="15"/>
        </w:numPr>
        <w:spacing w:line="360" w:lineRule="auto"/>
        <w:ind w:left="960"/>
        <w:rPr>
          <w:rFonts w:hint="eastAsia" w:ascii="宋体" w:hAnsi="宋体" w:eastAsia="宋体" w:cs="宋体"/>
          <w:sz w:val="24"/>
          <w:szCs w:val="24"/>
        </w:rPr>
      </w:pPr>
      <w:r>
        <w:rPr>
          <w:rFonts w:hint="eastAsia" w:ascii="宋体" w:hAnsi="宋体" w:eastAsia="宋体" w:cs="宋体"/>
          <w:sz w:val="24"/>
          <w:szCs w:val="24"/>
        </w:rPr>
        <w:t>磋商供应商应按磋商文件要求准备磋商响应文件（1份正本、2份副本和相应的电子文档1份，磋商首次报价1份）。每份磋商响应文件都必须清楚地标明“正本”或“副本”等字样。若发生正本和副本不符，以正本磋商响应文件为准。</w:t>
      </w:r>
      <w:r>
        <w:rPr>
          <w:rFonts w:hint="eastAsia" w:ascii="宋体" w:hAnsi="宋体" w:eastAsia="宋体" w:cs="宋体"/>
          <w:sz w:val="24"/>
          <w:szCs w:val="24"/>
          <w:lang w:val="zh-CN"/>
        </w:rPr>
        <w:t>磋商响应文件统一使用A4幅面的纸张印制，必须胶装成册并编码，不得采用活页夹等可随时拆换的方式装订，其他方式装订的磋商响应文件一概不予接受。</w:t>
      </w:r>
    </w:p>
    <w:p>
      <w:pPr>
        <w:pStyle w:val="17"/>
        <w:numPr>
          <w:ilvl w:val="1"/>
          <w:numId w:val="15"/>
        </w:numPr>
        <w:spacing w:line="360" w:lineRule="auto"/>
        <w:ind w:left="960"/>
        <w:rPr>
          <w:rFonts w:hint="eastAsia" w:ascii="宋体" w:hAnsi="宋体" w:eastAsia="宋体" w:cs="宋体"/>
          <w:sz w:val="24"/>
          <w:szCs w:val="24"/>
        </w:rPr>
      </w:pPr>
      <w:r>
        <w:rPr>
          <w:rFonts w:hint="eastAsia" w:ascii="宋体" w:hAnsi="宋体" w:eastAsia="宋体" w:cs="宋体"/>
          <w:sz w:val="24"/>
          <w:szCs w:val="24"/>
          <w:lang w:val="zh-CN"/>
        </w:rPr>
        <w:t>磋商响应文件的正本和副本均需打印或用不褪色、不变质的墨水书写并由投标供应商的委托代理人逐页加盖公章。磋商响应文件副本可采用正本的复印件，若不满足以上条件，按无效投标处理。</w:t>
      </w:r>
    </w:p>
    <w:p>
      <w:pPr>
        <w:pStyle w:val="17"/>
        <w:numPr>
          <w:ilvl w:val="1"/>
          <w:numId w:val="15"/>
        </w:numPr>
        <w:spacing w:line="360" w:lineRule="auto"/>
        <w:ind w:left="993"/>
        <w:rPr>
          <w:rFonts w:hint="eastAsia" w:ascii="宋体" w:hAnsi="宋体" w:eastAsia="宋体" w:cs="宋体"/>
          <w:sz w:val="24"/>
          <w:szCs w:val="24"/>
        </w:rPr>
      </w:pPr>
      <w:r>
        <w:rPr>
          <w:rFonts w:hint="eastAsia" w:ascii="宋体" w:hAnsi="宋体" w:eastAsia="宋体" w:cs="宋体"/>
          <w:sz w:val="24"/>
          <w:szCs w:val="24"/>
          <w:lang w:val="zh-CN"/>
        </w:rPr>
        <w:t>电子文档采用可读的U盘编制，须写明采购项目名称、供应商名称及磋商日期，电子文档为纸质版磋商响应文件正本的扫描件，需采用不可修改文档格式（如：PDF格式），电子文档与纸质版磋商响应文件正本内容必须完全一致，包括盖章和签字，并与书面磋商响应文件一并提交，否则，视为无效磋商。</w:t>
      </w:r>
    </w:p>
    <w:p>
      <w:pPr>
        <w:pStyle w:val="17"/>
        <w:numPr>
          <w:ilvl w:val="1"/>
          <w:numId w:val="15"/>
        </w:numPr>
        <w:spacing w:line="360" w:lineRule="auto"/>
        <w:ind w:left="960"/>
        <w:rPr>
          <w:rFonts w:hint="eastAsia" w:ascii="宋体" w:hAnsi="宋体" w:eastAsia="宋体" w:cs="宋体"/>
          <w:sz w:val="24"/>
          <w:szCs w:val="24"/>
          <w:lang w:val="zh-CN"/>
        </w:rPr>
      </w:pPr>
      <w:r>
        <w:rPr>
          <w:rFonts w:hint="eastAsia" w:ascii="宋体" w:hAnsi="宋体" w:eastAsia="宋体" w:cs="宋体"/>
          <w:sz w:val="24"/>
          <w:szCs w:val="24"/>
          <w:lang w:val="zh-CN"/>
        </w:rPr>
        <w:t>磋商响应文件中不得行间插字、涂改或增删，如有修改错漏处，须由磋商供应商法人或其委托代理人签字或盖个人印鉴。</w:t>
      </w:r>
    </w:p>
    <w:p>
      <w:pPr>
        <w:pStyle w:val="6"/>
        <w:rPr>
          <w:rFonts w:hint="eastAsia" w:ascii="宋体" w:hAnsi="宋体" w:eastAsia="宋体" w:cs="宋体"/>
          <w:b/>
          <w:sz w:val="24"/>
          <w:szCs w:val="24"/>
        </w:rPr>
      </w:pPr>
      <w:bookmarkStart w:id="40" w:name="_Toc12943"/>
      <w:r>
        <w:rPr>
          <w:rFonts w:hint="eastAsia" w:ascii="宋体" w:hAnsi="宋体" w:eastAsia="宋体" w:cs="宋体"/>
          <w:b/>
          <w:sz w:val="24"/>
          <w:szCs w:val="24"/>
        </w:rPr>
        <w:t>磋商响应文件的递交</w:t>
      </w:r>
      <w:bookmarkEnd w:id="40"/>
    </w:p>
    <w:p>
      <w:pPr>
        <w:pStyle w:val="7"/>
        <w:numPr>
          <w:ilvl w:val="0"/>
          <w:numId w:val="3"/>
        </w:numPr>
        <w:spacing w:before="0" w:after="0" w:line="360" w:lineRule="auto"/>
        <w:rPr>
          <w:rFonts w:hint="eastAsia" w:ascii="宋体" w:hAnsi="宋体" w:eastAsia="宋体" w:cs="宋体"/>
          <w:b w:val="0"/>
          <w:sz w:val="24"/>
          <w:szCs w:val="24"/>
        </w:rPr>
      </w:pPr>
      <w:bookmarkStart w:id="41" w:name="_Toc6237"/>
      <w:bookmarkStart w:id="42" w:name="_Toc488673628"/>
      <w:r>
        <w:rPr>
          <w:rFonts w:hint="eastAsia" w:ascii="宋体" w:hAnsi="宋体" w:eastAsia="宋体" w:cs="宋体"/>
          <w:b w:val="0"/>
          <w:sz w:val="24"/>
          <w:szCs w:val="24"/>
        </w:rPr>
        <w:t>磋商响应文件的密封和标记</w:t>
      </w:r>
      <w:bookmarkEnd w:id="41"/>
      <w:bookmarkEnd w:id="42"/>
    </w:p>
    <w:p>
      <w:pPr>
        <w:pStyle w:val="17"/>
        <w:numPr>
          <w:ilvl w:val="1"/>
          <w:numId w:val="16"/>
        </w:numPr>
        <w:spacing w:line="360" w:lineRule="auto"/>
        <w:rPr>
          <w:rFonts w:hint="eastAsia" w:ascii="宋体" w:hAnsi="宋体" w:eastAsia="宋体" w:cs="宋体"/>
          <w:sz w:val="24"/>
          <w:szCs w:val="24"/>
        </w:rPr>
      </w:pPr>
      <w:r>
        <w:rPr>
          <w:rFonts w:hint="eastAsia" w:ascii="宋体" w:hAnsi="宋体" w:eastAsia="宋体" w:cs="宋体"/>
          <w:sz w:val="24"/>
          <w:szCs w:val="24"/>
        </w:rPr>
        <w:t>磋商响应文件正本、所有副本和磋商响应文件要求单独提交的电子文档，应分别封装于不同的密封袋内，密封袋上应分别标上“正本”、“副本”、“磋商首次报价”、“电子文档”字样，并注明磋商供应商名称、采购项目编号、采购项目名称及分包号（如有分包）；</w:t>
      </w:r>
    </w:p>
    <w:p>
      <w:pPr>
        <w:pStyle w:val="17"/>
        <w:numPr>
          <w:ilvl w:val="1"/>
          <w:numId w:val="16"/>
        </w:numPr>
        <w:spacing w:line="360" w:lineRule="auto"/>
        <w:rPr>
          <w:rFonts w:hint="eastAsia" w:ascii="宋体" w:hAnsi="宋体" w:eastAsia="宋体" w:cs="宋体"/>
          <w:sz w:val="24"/>
          <w:szCs w:val="24"/>
        </w:rPr>
      </w:pPr>
      <w:r>
        <w:rPr>
          <w:rFonts w:hint="eastAsia" w:ascii="宋体" w:hAnsi="宋体" w:eastAsia="宋体" w:cs="宋体"/>
          <w:sz w:val="24"/>
          <w:szCs w:val="24"/>
        </w:rPr>
        <w:t>密封后的磋商响应文件均应：</w:t>
      </w:r>
    </w:p>
    <w:p>
      <w:pPr>
        <w:pStyle w:val="17"/>
        <w:numPr>
          <w:ilvl w:val="0"/>
          <w:numId w:val="17"/>
        </w:numPr>
        <w:spacing w:line="360" w:lineRule="auto"/>
        <w:rPr>
          <w:rFonts w:hint="eastAsia" w:ascii="宋体" w:hAnsi="宋体" w:eastAsia="宋体" w:cs="宋体"/>
          <w:color w:val="000000" w:themeColor="text1"/>
          <w:sz w:val="24"/>
          <w:szCs w:val="24"/>
        </w:rPr>
      </w:pPr>
      <w:r>
        <w:rPr>
          <w:rFonts w:hint="eastAsia" w:ascii="宋体" w:hAnsi="宋体" w:eastAsia="宋体" w:cs="宋体"/>
          <w:sz w:val="24"/>
          <w:szCs w:val="24"/>
        </w:rPr>
        <w:t>按“磋商供应商须知前附表”注明的时间</w:t>
      </w:r>
      <w:r>
        <w:rPr>
          <w:rFonts w:hint="eastAsia" w:ascii="宋体" w:hAnsi="宋体" w:eastAsia="宋体" w:cs="宋体"/>
          <w:color w:val="000000" w:themeColor="text1"/>
          <w:sz w:val="24"/>
          <w:szCs w:val="24"/>
        </w:rPr>
        <w:t>、地址送达；</w:t>
      </w:r>
    </w:p>
    <w:p>
      <w:pPr>
        <w:pStyle w:val="17"/>
        <w:numPr>
          <w:ilvl w:val="0"/>
          <w:numId w:val="17"/>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磋商响应文件密封袋用“于2022年0</w:t>
      </w:r>
      <w:r>
        <w:rPr>
          <w:rFonts w:hint="eastAsia" w:hAnsi="宋体" w:cs="宋体"/>
          <w:color w:val="000000" w:themeColor="text1"/>
          <w:sz w:val="24"/>
          <w:szCs w:val="24"/>
          <w:lang w:val="en-US" w:eastAsia="zh-CN"/>
        </w:rPr>
        <w:t>8</w:t>
      </w:r>
      <w:r>
        <w:rPr>
          <w:rFonts w:hint="eastAsia" w:ascii="宋体" w:hAnsi="宋体" w:eastAsia="宋体" w:cs="宋体"/>
          <w:color w:val="000000" w:themeColor="text1"/>
          <w:sz w:val="24"/>
          <w:szCs w:val="24"/>
        </w:rPr>
        <w:t>月0</w:t>
      </w:r>
      <w:r>
        <w:rPr>
          <w:rFonts w:hint="eastAsia" w:hAnsi="宋体" w:cs="宋体"/>
          <w:color w:val="000000" w:themeColor="text1"/>
          <w:sz w:val="24"/>
          <w:szCs w:val="24"/>
          <w:lang w:val="en-US" w:eastAsia="zh-CN"/>
        </w:rPr>
        <w:t>4</w:t>
      </w:r>
      <w:r>
        <w:rPr>
          <w:rFonts w:hint="eastAsia" w:ascii="宋体" w:hAnsi="宋体" w:eastAsia="宋体" w:cs="宋体"/>
          <w:color w:val="000000" w:themeColor="text1"/>
          <w:sz w:val="24"/>
          <w:szCs w:val="24"/>
        </w:rPr>
        <w:t>日上午</w:t>
      </w:r>
      <w:r>
        <w:rPr>
          <w:rFonts w:hint="eastAsia" w:hAnsi="宋体" w:cs="宋体"/>
          <w:color w:val="000000" w:themeColor="text1"/>
          <w:sz w:val="24"/>
          <w:szCs w:val="24"/>
          <w:lang w:val="en-US" w:eastAsia="zh-CN"/>
        </w:rPr>
        <w:t>10</w:t>
      </w:r>
      <w:r>
        <w:rPr>
          <w:rFonts w:hint="eastAsia" w:ascii="宋体" w:hAnsi="宋体" w:eastAsia="宋体" w:cs="宋体"/>
          <w:color w:val="000000" w:themeColor="text1"/>
          <w:sz w:val="24"/>
          <w:szCs w:val="24"/>
        </w:rPr>
        <w:t>:30（北京时间）之前不准启封”的标签密封。</w:t>
      </w:r>
    </w:p>
    <w:p>
      <w:pPr>
        <w:pStyle w:val="17"/>
        <w:numPr>
          <w:ilvl w:val="1"/>
          <w:numId w:val="16"/>
        </w:numPr>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rPr>
        <w:t>如果磋商供应商未按第13.1-13.4条要求将磋商响应文件密封或在密封袋上加写标记，采购代理机构对误投或过早启封概不负责。由此造成提前启封的</w:t>
      </w:r>
      <w:r>
        <w:rPr>
          <w:rFonts w:hint="eastAsia" w:ascii="宋体" w:hAnsi="宋体" w:eastAsia="宋体" w:cs="宋体"/>
          <w:sz w:val="24"/>
          <w:szCs w:val="24"/>
        </w:rPr>
        <w:t>磋商响应文件，采购代理机构予以拒绝，并退回磋商供应商；</w:t>
      </w:r>
    </w:p>
    <w:p>
      <w:pPr>
        <w:pStyle w:val="17"/>
        <w:numPr>
          <w:ilvl w:val="1"/>
          <w:numId w:val="16"/>
        </w:numPr>
        <w:spacing w:line="360" w:lineRule="auto"/>
        <w:rPr>
          <w:rFonts w:hint="eastAsia" w:ascii="宋体" w:hAnsi="宋体" w:eastAsia="宋体" w:cs="宋体"/>
          <w:sz w:val="24"/>
          <w:szCs w:val="24"/>
        </w:rPr>
      </w:pPr>
      <w:r>
        <w:rPr>
          <w:rFonts w:hint="eastAsia" w:ascii="宋体" w:hAnsi="宋体" w:eastAsia="宋体" w:cs="宋体"/>
          <w:sz w:val="24"/>
          <w:szCs w:val="24"/>
        </w:rPr>
        <w:t>磋商供应商以电报、电话、传真形式磋商的，采购代理机构概不接受。</w:t>
      </w:r>
    </w:p>
    <w:p>
      <w:pPr>
        <w:pStyle w:val="7"/>
        <w:numPr>
          <w:ilvl w:val="0"/>
          <w:numId w:val="3"/>
        </w:numPr>
        <w:spacing w:before="0" w:after="0" w:line="360" w:lineRule="auto"/>
        <w:rPr>
          <w:rFonts w:hint="eastAsia" w:ascii="宋体" w:hAnsi="宋体" w:eastAsia="宋体" w:cs="宋体"/>
          <w:b w:val="0"/>
          <w:sz w:val="24"/>
          <w:szCs w:val="24"/>
        </w:rPr>
      </w:pPr>
      <w:bookmarkStart w:id="43" w:name="_Toc11283"/>
      <w:bookmarkStart w:id="44" w:name="_Toc488673629"/>
      <w:r>
        <w:rPr>
          <w:rFonts w:hint="eastAsia" w:ascii="宋体" w:hAnsi="宋体" w:eastAsia="宋体" w:cs="宋体"/>
          <w:b w:val="0"/>
          <w:sz w:val="24"/>
          <w:szCs w:val="24"/>
        </w:rPr>
        <w:t>递交磋商响应文件的地点、截止时间</w:t>
      </w:r>
      <w:bookmarkEnd w:id="43"/>
      <w:bookmarkEnd w:id="44"/>
    </w:p>
    <w:p>
      <w:pPr>
        <w:pStyle w:val="17"/>
        <w:numPr>
          <w:ilvl w:val="1"/>
          <w:numId w:val="18"/>
        </w:numPr>
        <w:spacing w:line="360" w:lineRule="auto"/>
        <w:rPr>
          <w:rFonts w:hint="eastAsia" w:ascii="宋体" w:hAnsi="宋体" w:eastAsia="宋体" w:cs="宋体"/>
          <w:sz w:val="24"/>
          <w:szCs w:val="24"/>
        </w:rPr>
      </w:pPr>
      <w:r>
        <w:rPr>
          <w:rFonts w:hint="eastAsia" w:ascii="宋体" w:hAnsi="宋体" w:eastAsia="宋体" w:cs="宋体"/>
          <w:sz w:val="24"/>
          <w:szCs w:val="24"/>
        </w:rPr>
        <w:t>所有磋商响应文件都必须按磋商文件规定的磋商截止时间之前送达磋商地点；</w:t>
      </w:r>
    </w:p>
    <w:p>
      <w:pPr>
        <w:pStyle w:val="17"/>
        <w:numPr>
          <w:ilvl w:val="1"/>
          <w:numId w:val="18"/>
        </w:numPr>
        <w:spacing w:line="360" w:lineRule="auto"/>
        <w:rPr>
          <w:rFonts w:hint="eastAsia" w:ascii="宋体" w:hAnsi="宋体" w:eastAsia="宋体" w:cs="宋体"/>
          <w:sz w:val="24"/>
          <w:szCs w:val="24"/>
        </w:rPr>
      </w:pPr>
      <w:r>
        <w:rPr>
          <w:rFonts w:hint="eastAsia" w:ascii="宋体" w:hAnsi="宋体" w:eastAsia="宋体" w:cs="宋体"/>
          <w:sz w:val="24"/>
          <w:szCs w:val="24"/>
        </w:rPr>
        <w:t>采购代理机构将拒绝接收在磋商截止时间之后送达的磋商响应文件；</w:t>
      </w:r>
    </w:p>
    <w:p>
      <w:pPr>
        <w:pStyle w:val="7"/>
        <w:numPr>
          <w:ilvl w:val="0"/>
          <w:numId w:val="3"/>
        </w:numPr>
        <w:spacing w:before="0" w:after="0" w:line="360" w:lineRule="auto"/>
        <w:rPr>
          <w:rFonts w:hint="eastAsia" w:ascii="宋体" w:hAnsi="宋体" w:eastAsia="宋体" w:cs="宋体"/>
          <w:b w:val="0"/>
          <w:sz w:val="24"/>
          <w:szCs w:val="24"/>
        </w:rPr>
      </w:pPr>
      <w:bookmarkStart w:id="45" w:name="_Toc29370"/>
      <w:bookmarkStart w:id="46" w:name="_Toc488673630"/>
      <w:r>
        <w:rPr>
          <w:rFonts w:hint="eastAsia" w:ascii="宋体" w:hAnsi="宋体" w:eastAsia="宋体" w:cs="宋体"/>
          <w:b w:val="0"/>
          <w:sz w:val="24"/>
          <w:szCs w:val="24"/>
        </w:rPr>
        <w:t>磋商响应文件的撤回和修改</w:t>
      </w:r>
      <w:bookmarkEnd w:id="45"/>
      <w:bookmarkEnd w:id="46"/>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15.1、允许磋商供应商在磋商截止期前撤回其磋商响应文件（须以书面形式通知采购代理机构），磋商截止期后不得撤回其磋商响应文件。</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15.2、无论成交与否，磋商人递交的一切磋商材料均不予退还。</w:t>
      </w:r>
    </w:p>
    <w:p>
      <w:pPr>
        <w:pStyle w:val="6"/>
        <w:rPr>
          <w:rFonts w:hint="eastAsia" w:ascii="宋体" w:hAnsi="宋体" w:eastAsia="宋体" w:cs="宋体"/>
          <w:b/>
          <w:sz w:val="24"/>
          <w:szCs w:val="24"/>
        </w:rPr>
      </w:pPr>
      <w:bookmarkStart w:id="47" w:name="_Toc26076"/>
      <w:r>
        <w:rPr>
          <w:rFonts w:hint="eastAsia" w:ascii="宋体" w:hAnsi="宋体" w:eastAsia="宋体" w:cs="宋体"/>
          <w:b/>
          <w:sz w:val="24"/>
          <w:szCs w:val="24"/>
        </w:rPr>
        <w:t>磋商过程</w:t>
      </w:r>
      <w:bookmarkEnd w:id="47"/>
    </w:p>
    <w:p>
      <w:pPr>
        <w:pStyle w:val="84"/>
        <w:numPr>
          <w:ilvl w:val="0"/>
          <w:numId w:val="19"/>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采购代理机构按本磋商文件中确定的时间和地点组织本项目的磋商活动。供应商应由其委托代理人参加。</w:t>
      </w:r>
    </w:p>
    <w:p>
      <w:pPr>
        <w:pStyle w:val="84"/>
        <w:numPr>
          <w:ilvl w:val="0"/>
          <w:numId w:val="19"/>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磋商时，对不同文字文本响应文件的解释发生异议的，以中文文本为准。</w:t>
      </w:r>
    </w:p>
    <w:p>
      <w:pPr>
        <w:pStyle w:val="84"/>
        <w:numPr>
          <w:ilvl w:val="0"/>
          <w:numId w:val="19"/>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磋商工作由采购代理机构组织，采购单位、采购监管、纪检监察等有关方面代表可根据采购项目的具体情况列席。</w:t>
      </w:r>
    </w:p>
    <w:p>
      <w:pPr>
        <w:pStyle w:val="84"/>
        <w:numPr>
          <w:ilvl w:val="0"/>
          <w:numId w:val="19"/>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磋商过程有专人记录，并存档备查。</w:t>
      </w:r>
    </w:p>
    <w:p>
      <w:pPr>
        <w:pStyle w:val="6"/>
        <w:rPr>
          <w:rFonts w:hint="eastAsia" w:ascii="宋体" w:hAnsi="宋体" w:eastAsia="宋体" w:cs="宋体"/>
          <w:b/>
          <w:sz w:val="24"/>
          <w:szCs w:val="24"/>
        </w:rPr>
      </w:pPr>
      <w:bookmarkStart w:id="48" w:name="_Toc4579"/>
      <w:r>
        <w:rPr>
          <w:rFonts w:hint="eastAsia" w:ascii="宋体" w:hAnsi="宋体" w:eastAsia="宋体" w:cs="宋体"/>
          <w:b/>
          <w:sz w:val="24"/>
          <w:szCs w:val="24"/>
        </w:rPr>
        <w:t>资格审查</w:t>
      </w:r>
      <w:bookmarkEnd w:id="48"/>
    </w:p>
    <w:p>
      <w:pPr>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 、合格投标人不足3家的，不得评标。</w:t>
      </w:r>
    </w:p>
    <w:p>
      <w:pPr>
        <w:autoSpaceDE w:val="0"/>
        <w:autoSpaceDN w:val="0"/>
        <w:spacing w:line="360" w:lineRule="auto"/>
        <w:ind w:firstLine="480" w:firstLineChars="200"/>
        <w:rPr>
          <w:rFonts w:hint="eastAsia" w:ascii="宋体" w:hAnsi="宋体" w:eastAsia="宋体" w:cs="宋体"/>
          <w:sz w:val="24"/>
          <w:szCs w:val="24"/>
        </w:rPr>
      </w:pPr>
      <w:bookmarkStart w:id="49" w:name="_Toc497503249"/>
      <w:bookmarkStart w:id="50" w:name="_Toc497503449"/>
      <w:bookmarkStart w:id="51" w:name="_Toc497503315"/>
      <w:bookmarkStart w:id="52" w:name="_Toc30809"/>
      <w:bookmarkStart w:id="53" w:name="_Toc497503516"/>
      <w:r>
        <w:rPr>
          <w:rFonts w:hint="eastAsia" w:ascii="宋体" w:hAnsi="宋体" w:eastAsia="宋体" w:cs="宋体"/>
          <w:kern w:val="0"/>
          <w:sz w:val="24"/>
          <w:szCs w:val="24"/>
        </w:rPr>
        <w:t>2 、资格审查时，投标人存在下列情况之一的，按无效投标处理：</w:t>
      </w:r>
      <w:bookmarkEnd w:id="49"/>
      <w:bookmarkEnd w:id="50"/>
      <w:bookmarkEnd w:id="51"/>
      <w:bookmarkEnd w:id="52"/>
      <w:bookmarkEnd w:id="53"/>
    </w:p>
    <w:p>
      <w:pPr>
        <w:numPr>
          <w:ilvl w:val="0"/>
          <w:numId w:val="20"/>
        </w:numPr>
        <w:tabs>
          <w:tab w:val="left" w:pos="960"/>
        </w:tabs>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shd w:val="clear" w:color="auto" w:fill="FFFFFF"/>
        </w:rPr>
        <w:t>不具备</w:t>
      </w:r>
      <w:r>
        <w:rPr>
          <w:rFonts w:hint="eastAsia" w:ascii="宋体" w:hAnsi="宋体" w:eastAsia="宋体" w:cs="宋体"/>
          <w:kern w:val="0"/>
          <w:sz w:val="24"/>
          <w:szCs w:val="24"/>
          <w:lang w:val="zh-CN"/>
        </w:rPr>
        <w:t>第2.2款“合格的投标人”</w:t>
      </w:r>
      <w:r>
        <w:rPr>
          <w:rFonts w:hint="eastAsia" w:ascii="宋体" w:hAnsi="宋体" w:eastAsia="宋体" w:cs="宋体"/>
          <w:sz w:val="24"/>
          <w:szCs w:val="24"/>
          <w:shd w:val="clear" w:color="auto" w:fill="FFFFFF"/>
        </w:rPr>
        <w:t>规定的资格要求的；</w:t>
      </w:r>
    </w:p>
    <w:p>
      <w:pPr>
        <w:numPr>
          <w:ilvl w:val="0"/>
          <w:numId w:val="20"/>
        </w:numPr>
        <w:tabs>
          <w:tab w:val="left" w:pos="960"/>
        </w:tabs>
        <w:autoSpaceDE w:val="0"/>
        <w:autoSpaceDN w:val="0"/>
        <w:spacing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kern w:val="0"/>
          <w:sz w:val="24"/>
          <w:szCs w:val="24"/>
        </w:rPr>
        <w:t>资格性审查文件未按磋商文件规定和要求签字、盖章的；</w:t>
      </w:r>
    </w:p>
    <w:p>
      <w:pPr>
        <w:numPr>
          <w:ilvl w:val="0"/>
          <w:numId w:val="20"/>
        </w:numPr>
        <w:tabs>
          <w:tab w:val="left" w:pos="960"/>
        </w:tabs>
        <w:autoSpaceDE w:val="0"/>
        <w:autoSpaceDN w:val="0"/>
        <w:spacing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报价超过</w:t>
      </w:r>
      <w:r>
        <w:rPr>
          <w:rFonts w:hint="eastAsia" w:ascii="宋体" w:hAnsi="宋体" w:eastAsia="宋体" w:cs="宋体"/>
          <w:kern w:val="0"/>
          <w:sz w:val="24"/>
          <w:szCs w:val="24"/>
        </w:rPr>
        <w:t>磋商</w:t>
      </w:r>
      <w:r>
        <w:rPr>
          <w:rFonts w:hint="eastAsia" w:ascii="宋体" w:hAnsi="宋体" w:eastAsia="宋体" w:cs="宋体"/>
          <w:sz w:val="24"/>
          <w:szCs w:val="24"/>
          <w:shd w:val="clear" w:color="auto" w:fill="FFFFFF"/>
        </w:rPr>
        <w:t>文件中规定的预算金额或者最高限价的；</w:t>
      </w:r>
    </w:p>
    <w:p>
      <w:pPr>
        <w:numPr>
          <w:ilvl w:val="0"/>
          <w:numId w:val="20"/>
        </w:numPr>
        <w:tabs>
          <w:tab w:val="left" w:pos="960"/>
        </w:tabs>
        <w:autoSpaceDE w:val="0"/>
        <w:autoSpaceDN w:val="0"/>
        <w:spacing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kern w:val="0"/>
          <w:sz w:val="24"/>
          <w:szCs w:val="24"/>
          <w:lang w:val="zh-CN"/>
        </w:rPr>
        <w:t>投标有效期不能满足</w:t>
      </w:r>
      <w:r>
        <w:rPr>
          <w:rFonts w:hint="eastAsia" w:ascii="宋体" w:hAnsi="宋体" w:eastAsia="宋体" w:cs="宋体"/>
          <w:kern w:val="0"/>
          <w:sz w:val="24"/>
          <w:szCs w:val="24"/>
        </w:rPr>
        <w:t>磋商</w:t>
      </w:r>
      <w:r>
        <w:rPr>
          <w:rFonts w:hint="eastAsia" w:ascii="宋体" w:hAnsi="宋体" w:eastAsia="宋体" w:cs="宋体"/>
          <w:kern w:val="0"/>
          <w:sz w:val="24"/>
          <w:szCs w:val="24"/>
          <w:lang w:val="zh-CN"/>
        </w:rPr>
        <w:t>文件要求的；</w:t>
      </w:r>
    </w:p>
    <w:p>
      <w:pPr>
        <w:numPr>
          <w:ilvl w:val="0"/>
          <w:numId w:val="20"/>
        </w:numPr>
        <w:tabs>
          <w:tab w:val="left" w:pos="960"/>
        </w:tabs>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未按照磋商文件要求提供电子文档</w:t>
      </w:r>
      <w:r>
        <w:rPr>
          <w:rFonts w:hint="eastAsia" w:ascii="宋体" w:hAnsi="宋体" w:eastAsia="宋体" w:cs="宋体"/>
          <w:kern w:val="0"/>
          <w:sz w:val="24"/>
          <w:szCs w:val="24"/>
          <w:lang w:val="zh-CN"/>
        </w:rPr>
        <w:t>的。</w:t>
      </w:r>
    </w:p>
    <w:p>
      <w:pPr>
        <w:pStyle w:val="6"/>
        <w:rPr>
          <w:rFonts w:hint="eastAsia" w:ascii="宋体" w:hAnsi="宋体" w:eastAsia="宋体" w:cs="宋体"/>
          <w:b/>
          <w:sz w:val="24"/>
          <w:szCs w:val="24"/>
        </w:rPr>
      </w:pPr>
      <w:bookmarkStart w:id="54" w:name="_Toc11645"/>
      <w:r>
        <w:rPr>
          <w:rFonts w:hint="eastAsia" w:ascii="宋体" w:hAnsi="宋体" w:eastAsia="宋体" w:cs="宋体"/>
          <w:b/>
          <w:sz w:val="24"/>
          <w:szCs w:val="24"/>
        </w:rPr>
        <w:t>评审程序及方法</w:t>
      </w:r>
      <w:bookmarkEnd w:id="54"/>
    </w:p>
    <w:p>
      <w:pPr>
        <w:pStyle w:val="7"/>
        <w:numPr>
          <w:ilvl w:val="0"/>
          <w:numId w:val="3"/>
        </w:numPr>
        <w:spacing w:before="0" w:after="0" w:line="360" w:lineRule="auto"/>
        <w:rPr>
          <w:rFonts w:hint="eastAsia" w:ascii="宋体" w:hAnsi="宋体" w:eastAsia="宋体" w:cs="宋体"/>
          <w:b w:val="0"/>
          <w:sz w:val="24"/>
          <w:szCs w:val="24"/>
        </w:rPr>
      </w:pPr>
      <w:bookmarkStart w:id="55" w:name="_Toc11219"/>
      <w:bookmarkStart w:id="56" w:name="_Toc488673633"/>
      <w:r>
        <w:rPr>
          <w:rFonts w:hint="eastAsia" w:ascii="宋体" w:hAnsi="宋体" w:eastAsia="宋体" w:cs="宋体"/>
          <w:b w:val="0"/>
          <w:sz w:val="24"/>
          <w:szCs w:val="24"/>
        </w:rPr>
        <w:t>评标委员会</w:t>
      </w:r>
      <w:bookmarkEnd w:id="55"/>
      <w:bookmarkEnd w:id="56"/>
    </w:p>
    <w:p>
      <w:pPr>
        <w:pStyle w:val="17"/>
        <w:numPr>
          <w:ilvl w:val="1"/>
          <w:numId w:val="21"/>
        </w:numPr>
        <w:spacing w:line="360" w:lineRule="auto"/>
        <w:rPr>
          <w:rFonts w:hint="eastAsia" w:ascii="宋体" w:hAnsi="宋体" w:eastAsia="宋体" w:cs="宋体"/>
          <w:sz w:val="24"/>
          <w:szCs w:val="24"/>
        </w:rPr>
      </w:pPr>
      <w:r>
        <w:rPr>
          <w:rFonts w:hint="eastAsia" w:ascii="宋体" w:hAnsi="宋体" w:eastAsia="宋体" w:cs="宋体"/>
          <w:sz w:val="24"/>
          <w:szCs w:val="24"/>
        </w:rPr>
        <w:t>采购代理机构将根据采购项目的特点依法组建磋商小组，其成员由具有一定专业水平的技术、经济等方面的专家和采购单位代表等三人以上单数组成。其中技术、经济等方面的专家不少于成员总数的三分之二。</w:t>
      </w:r>
    </w:p>
    <w:p>
      <w:pPr>
        <w:autoSpaceDE w:val="0"/>
        <w:autoSpaceDN w:val="0"/>
        <w:spacing w:line="360" w:lineRule="auto"/>
        <w:ind w:left="481" w:leftChars="229"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采购项目符合下列情形之一的，评标委员会成员人数应当为7人以上单数：</w:t>
      </w:r>
    </w:p>
    <w:p>
      <w:pPr>
        <w:autoSpaceDE w:val="0"/>
        <w:autoSpaceDN w:val="0"/>
        <w:spacing w:line="360" w:lineRule="auto"/>
        <w:ind w:left="481" w:leftChars="229"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评审专家对本单位的采购项目只能作为采购人代表参与评标。采购代理机构工作人员不得参加由本机构代理的政府采购项目的评标。</w:t>
      </w:r>
    </w:p>
    <w:p>
      <w:pPr>
        <w:pStyle w:val="17"/>
        <w:spacing w:line="360" w:lineRule="auto"/>
        <w:ind w:left="481" w:leftChars="229" w:firstLine="720" w:firstLineChars="300"/>
        <w:rPr>
          <w:rFonts w:hint="eastAsia" w:ascii="宋体" w:hAnsi="宋体" w:eastAsia="宋体" w:cs="宋体"/>
          <w:sz w:val="24"/>
          <w:szCs w:val="24"/>
        </w:rPr>
      </w:pPr>
      <w:r>
        <w:rPr>
          <w:rFonts w:hint="eastAsia" w:ascii="宋体" w:hAnsi="宋体" w:eastAsia="宋体" w:cs="宋体"/>
          <w:sz w:val="24"/>
          <w:szCs w:val="24"/>
        </w:rPr>
        <w:t>评标委员会成员名单在评标结果公告前应当保密。</w:t>
      </w:r>
    </w:p>
    <w:p>
      <w:pPr>
        <w:pStyle w:val="17"/>
        <w:numPr>
          <w:ilvl w:val="1"/>
          <w:numId w:val="21"/>
        </w:numPr>
        <w:spacing w:line="360" w:lineRule="auto"/>
        <w:rPr>
          <w:rFonts w:hint="eastAsia" w:ascii="宋体" w:hAnsi="宋体" w:eastAsia="宋体" w:cs="宋体"/>
          <w:sz w:val="24"/>
          <w:szCs w:val="24"/>
        </w:rPr>
      </w:pPr>
      <w:r>
        <w:rPr>
          <w:rFonts w:hint="eastAsia" w:ascii="宋体" w:hAnsi="宋体" w:eastAsia="宋体" w:cs="宋体"/>
          <w:sz w:val="24"/>
          <w:szCs w:val="24"/>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pStyle w:val="17"/>
        <w:numPr>
          <w:ilvl w:val="1"/>
          <w:numId w:val="21"/>
        </w:numPr>
        <w:spacing w:line="360" w:lineRule="auto"/>
        <w:rPr>
          <w:rFonts w:hint="eastAsia" w:ascii="宋体" w:hAnsi="宋体" w:eastAsia="宋体" w:cs="宋体"/>
          <w:sz w:val="24"/>
          <w:szCs w:val="24"/>
        </w:rPr>
      </w:pPr>
      <w:r>
        <w:rPr>
          <w:rFonts w:hint="eastAsia" w:ascii="宋体" w:hAnsi="宋体" w:eastAsia="宋体" w:cs="宋体"/>
          <w:sz w:val="24"/>
          <w:szCs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pPr>
        <w:pStyle w:val="17"/>
        <w:spacing w:line="360" w:lineRule="auto"/>
        <w:ind w:left="622" w:leftChars="296" w:firstLine="480" w:firstLineChars="200"/>
        <w:rPr>
          <w:rFonts w:hint="eastAsia" w:ascii="宋体" w:hAnsi="宋体" w:eastAsia="宋体" w:cs="宋体"/>
          <w:sz w:val="24"/>
          <w:szCs w:val="24"/>
        </w:rPr>
      </w:pPr>
      <w:r>
        <w:rPr>
          <w:rFonts w:hint="eastAsia" w:ascii="宋体" w:hAnsi="宋体" w:eastAsia="宋体" w:cs="宋体"/>
          <w:sz w:val="24"/>
          <w:szCs w:val="24"/>
          <w:lang w:val="zh-CN"/>
        </w:rPr>
        <w:t>采购人或采购代理机构</w:t>
      </w:r>
      <w:r>
        <w:rPr>
          <w:rFonts w:hint="eastAsia" w:ascii="宋体" w:hAnsi="宋体" w:eastAsia="宋体" w:cs="宋体"/>
          <w:sz w:val="24"/>
          <w:szCs w:val="24"/>
        </w:rPr>
        <w:t>应当将变更、重新组建评标委员会的情况予以记录，并随磋商文件一并存档。</w:t>
      </w:r>
    </w:p>
    <w:p>
      <w:pPr>
        <w:pStyle w:val="17"/>
        <w:numPr>
          <w:ilvl w:val="1"/>
          <w:numId w:val="21"/>
        </w:numPr>
        <w:spacing w:line="360" w:lineRule="auto"/>
        <w:rPr>
          <w:rFonts w:hint="eastAsia" w:ascii="宋体" w:hAnsi="宋体" w:eastAsia="宋体" w:cs="宋体"/>
          <w:sz w:val="24"/>
          <w:szCs w:val="24"/>
        </w:rPr>
      </w:pPr>
      <w:r>
        <w:rPr>
          <w:rFonts w:hint="eastAsia" w:ascii="宋体" w:hAnsi="宋体" w:eastAsia="宋体" w:cs="宋体"/>
          <w:sz w:val="24"/>
          <w:szCs w:val="24"/>
        </w:rPr>
        <w:t>采购人、采购代理机构应当采取必要措施，保证评标在严格保密的情况下进行。除采购人代表、评标现场组织人员外，采购人的其他工作人员以及与评标工作无关的人员不得进入评标现场。</w:t>
      </w:r>
    </w:p>
    <w:p>
      <w:pPr>
        <w:pStyle w:val="17"/>
        <w:spacing w:line="360" w:lineRule="auto"/>
        <w:ind w:left="621"/>
        <w:rPr>
          <w:rFonts w:hint="eastAsia" w:ascii="宋体" w:hAnsi="宋体" w:eastAsia="宋体" w:cs="宋体"/>
          <w:sz w:val="24"/>
          <w:szCs w:val="24"/>
        </w:rPr>
      </w:pPr>
      <w:r>
        <w:rPr>
          <w:rFonts w:hint="eastAsia" w:ascii="宋体" w:hAnsi="宋体" w:eastAsia="宋体" w:cs="宋体"/>
          <w:sz w:val="24"/>
          <w:szCs w:val="24"/>
        </w:rPr>
        <w:t>有关人员对评标情况以及在评标过程中获悉的国家秘密、商业秘密负有保密责任。</w:t>
      </w:r>
    </w:p>
    <w:p>
      <w:pPr>
        <w:pStyle w:val="17"/>
        <w:numPr>
          <w:ilvl w:val="1"/>
          <w:numId w:val="21"/>
        </w:numPr>
        <w:spacing w:line="360" w:lineRule="auto"/>
        <w:rPr>
          <w:rFonts w:hint="eastAsia" w:ascii="宋体" w:hAnsi="宋体" w:eastAsia="宋体" w:cs="宋体"/>
          <w:sz w:val="24"/>
          <w:szCs w:val="24"/>
        </w:rPr>
      </w:pPr>
      <w:r>
        <w:rPr>
          <w:rFonts w:hint="eastAsia" w:ascii="宋体" w:hAnsi="宋体" w:eastAsia="宋体" w:cs="宋体"/>
          <w:sz w:val="24"/>
          <w:szCs w:val="24"/>
        </w:rPr>
        <w:t>磋商由采购代理机构负责组织，具体磋商事务由依法组建的磋商小组负责，并独立履行下列职责：</w:t>
      </w:r>
    </w:p>
    <w:p>
      <w:pPr>
        <w:numPr>
          <w:ilvl w:val="0"/>
          <w:numId w:val="22"/>
        </w:num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核对评审专家身份和采购人代表授权函，对评审专家在政府采购活动中的职责履行情况予以记录，并及时将有关违法违规行为向财政部门报告；</w:t>
      </w:r>
    </w:p>
    <w:p>
      <w:pPr>
        <w:numPr>
          <w:ilvl w:val="0"/>
          <w:numId w:val="22"/>
        </w:num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宣布评标纪律；</w:t>
      </w:r>
    </w:p>
    <w:p>
      <w:pPr>
        <w:numPr>
          <w:ilvl w:val="0"/>
          <w:numId w:val="22"/>
        </w:num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公布磋商人名单，告知评审专家应当回避的情形；</w:t>
      </w:r>
    </w:p>
    <w:p>
      <w:pPr>
        <w:numPr>
          <w:ilvl w:val="0"/>
          <w:numId w:val="22"/>
        </w:num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组织评标委员会推选评标组长，采购人代表不得担任组长；</w:t>
      </w:r>
    </w:p>
    <w:p>
      <w:pPr>
        <w:numPr>
          <w:ilvl w:val="0"/>
          <w:numId w:val="22"/>
        </w:num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在评标期间采取必要的通讯管理措施，保证评标活动不受外界干扰；</w:t>
      </w:r>
    </w:p>
    <w:p>
      <w:pPr>
        <w:numPr>
          <w:ilvl w:val="0"/>
          <w:numId w:val="22"/>
        </w:num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根据评标委员会的要求介绍政府采购相关政策法规、磋商文件；</w:t>
      </w:r>
    </w:p>
    <w:p>
      <w:pPr>
        <w:numPr>
          <w:ilvl w:val="0"/>
          <w:numId w:val="22"/>
        </w:num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维护评标秩序，监督评标委员会依照磋商文件规定的评标程序、方法和标准进行独立评审，及时制止和纠正采购人代表、评审专家的倾向性言论或者违法违规行为；</w:t>
      </w:r>
    </w:p>
    <w:p>
      <w:pPr>
        <w:numPr>
          <w:ilvl w:val="0"/>
          <w:numId w:val="22"/>
        </w:num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核对评标结果，有19.3规定情形的，要求评标委员会复核或者书面说明理由，评标委员会拒绝的，应予记录并向本级财政部门报告；</w:t>
      </w:r>
    </w:p>
    <w:p>
      <w:pPr>
        <w:numPr>
          <w:ilvl w:val="0"/>
          <w:numId w:val="22"/>
        </w:num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评审工作完成后，按照规定由采购人向评审专家支付劳务报酬和异地评审差旅费，不得向评审专家以外的其他人员支付评审劳务报酬；</w:t>
      </w:r>
    </w:p>
    <w:p>
      <w:pPr>
        <w:numPr>
          <w:ilvl w:val="0"/>
          <w:numId w:val="22"/>
        </w:num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处理与评标有关的其他事项。</w:t>
      </w:r>
    </w:p>
    <w:p>
      <w:pPr>
        <w:pStyle w:val="17"/>
        <w:spacing w:line="360" w:lineRule="auto"/>
        <w:ind w:left="480"/>
        <w:rPr>
          <w:rFonts w:hint="eastAsia" w:ascii="宋体" w:hAnsi="宋体" w:eastAsia="宋体" w:cs="宋体"/>
          <w:sz w:val="24"/>
          <w:szCs w:val="24"/>
        </w:rPr>
      </w:pPr>
      <w:r>
        <w:rPr>
          <w:rFonts w:hint="eastAsia" w:ascii="宋体" w:hAnsi="宋体" w:eastAsia="宋体" w:cs="宋体"/>
          <w:sz w:val="24"/>
          <w:szCs w:val="24"/>
          <w:lang w:val="zh-CN"/>
        </w:rPr>
        <w:t>采购人可以在评标前说明项目背景和采购需求，说明内容不得含有歧视性、倾向性意见，不得超出磋商文件所述范围。说明应当提交书面材料，并随磋商文件一并存档。</w:t>
      </w:r>
    </w:p>
    <w:p>
      <w:pPr>
        <w:pStyle w:val="17"/>
        <w:numPr>
          <w:ilvl w:val="1"/>
          <w:numId w:val="21"/>
        </w:numPr>
        <w:spacing w:line="360" w:lineRule="auto"/>
        <w:rPr>
          <w:rFonts w:hint="eastAsia" w:ascii="宋体" w:hAnsi="宋体" w:eastAsia="宋体" w:cs="宋体"/>
          <w:sz w:val="24"/>
          <w:szCs w:val="24"/>
        </w:rPr>
      </w:pPr>
      <w:r>
        <w:rPr>
          <w:rFonts w:hint="eastAsia" w:ascii="宋体" w:hAnsi="宋体" w:eastAsia="宋体" w:cs="宋体"/>
          <w:sz w:val="24"/>
          <w:szCs w:val="24"/>
        </w:rPr>
        <w:t>磋商小组应遵守并履行下列义务：</w:t>
      </w:r>
    </w:p>
    <w:p>
      <w:pPr>
        <w:numPr>
          <w:ilvl w:val="0"/>
          <w:numId w:val="23"/>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审查、评价磋商响应文件是否符合磋商文件的商务、技术等实质性要求；</w:t>
      </w:r>
    </w:p>
    <w:p>
      <w:pPr>
        <w:numPr>
          <w:ilvl w:val="0"/>
          <w:numId w:val="23"/>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要求磋商人对磋商响应文件有关事项作出澄清或者说明；</w:t>
      </w:r>
    </w:p>
    <w:p>
      <w:pPr>
        <w:numPr>
          <w:ilvl w:val="0"/>
          <w:numId w:val="23"/>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对磋商响应文件进行比较和评价；</w:t>
      </w:r>
    </w:p>
    <w:p>
      <w:pPr>
        <w:numPr>
          <w:ilvl w:val="0"/>
          <w:numId w:val="23"/>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确定中标候选人名单，以及根据采购人委托直接确定中标人；</w:t>
      </w:r>
    </w:p>
    <w:p>
      <w:pPr>
        <w:numPr>
          <w:ilvl w:val="0"/>
          <w:numId w:val="23"/>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向采购人、采购代理机构或者有关部门报告评标中发现的违法行为。</w:t>
      </w:r>
    </w:p>
    <w:p>
      <w:pPr>
        <w:pStyle w:val="17"/>
        <w:numPr>
          <w:ilvl w:val="1"/>
          <w:numId w:val="21"/>
        </w:numPr>
        <w:spacing w:line="360" w:lineRule="auto"/>
        <w:rPr>
          <w:rFonts w:hint="eastAsia" w:ascii="宋体" w:hAnsi="宋体" w:eastAsia="宋体" w:cs="宋体"/>
          <w:sz w:val="24"/>
          <w:szCs w:val="24"/>
        </w:rPr>
      </w:pPr>
      <w:r>
        <w:rPr>
          <w:rFonts w:hint="eastAsia" w:ascii="宋体" w:hAnsi="宋体" w:eastAsia="宋体" w:cs="宋体"/>
          <w:sz w:val="24"/>
          <w:szCs w:val="24"/>
        </w:rPr>
        <w:t>评审工作在有关部门的监督下依法开展，任何单位和个人不得非法干预、影响评审工作和评审结果。</w:t>
      </w:r>
    </w:p>
    <w:p>
      <w:pPr>
        <w:pStyle w:val="7"/>
        <w:numPr>
          <w:ilvl w:val="0"/>
          <w:numId w:val="3"/>
        </w:numPr>
        <w:spacing w:before="0" w:after="0" w:line="360" w:lineRule="auto"/>
        <w:rPr>
          <w:rFonts w:hint="eastAsia" w:ascii="宋体" w:hAnsi="宋体" w:eastAsia="宋体" w:cs="宋体"/>
          <w:b w:val="0"/>
          <w:sz w:val="24"/>
          <w:szCs w:val="24"/>
        </w:rPr>
      </w:pPr>
      <w:bookmarkStart w:id="57" w:name="_Toc27858"/>
      <w:bookmarkStart w:id="58" w:name="_Toc488673634"/>
      <w:r>
        <w:rPr>
          <w:rFonts w:hint="eastAsia" w:ascii="宋体" w:hAnsi="宋体" w:eastAsia="宋体" w:cs="宋体"/>
          <w:b w:val="0"/>
          <w:sz w:val="24"/>
          <w:szCs w:val="24"/>
        </w:rPr>
        <w:t>磋商程序</w:t>
      </w:r>
      <w:bookmarkEnd w:id="57"/>
      <w:bookmarkEnd w:id="58"/>
    </w:p>
    <w:p>
      <w:pPr>
        <w:pStyle w:val="17"/>
        <w:numPr>
          <w:ilvl w:val="1"/>
          <w:numId w:val="24"/>
        </w:numPr>
        <w:spacing w:line="360" w:lineRule="auto"/>
        <w:rPr>
          <w:rFonts w:hint="eastAsia" w:ascii="宋体" w:hAnsi="宋体" w:eastAsia="宋体" w:cs="宋体"/>
          <w:color w:val="000000" w:themeColor="text1"/>
          <w:sz w:val="24"/>
          <w:szCs w:val="24"/>
        </w:rPr>
      </w:pPr>
      <w:r>
        <w:rPr>
          <w:rFonts w:hint="eastAsia" w:ascii="宋体" w:hAnsi="宋体" w:eastAsia="宋体" w:cs="宋体"/>
          <w:sz w:val="24"/>
          <w:szCs w:val="24"/>
          <w:lang w:val="zh-CN"/>
        </w:rPr>
        <w:t>评标委员会应当对符合资格的磋商人的磋商响应</w:t>
      </w:r>
      <w:r>
        <w:rPr>
          <w:rFonts w:hint="eastAsia" w:ascii="宋体" w:hAnsi="宋体" w:eastAsia="宋体" w:cs="宋体"/>
          <w:color w:val="000000" w:themeColor="text1"/>
          <w:sz w:val="24"/>
          <w:szCs w:val="24"/>
          <w:lang w:val="zh-CN"/>
        </w:rPr>
        <w:t>文件进行符合性审查，以确定其是否满足磋商文件的实质性要求。</w:t>
      </w:r>
    </w:p>
    <w:p>
      <w:pPr>
        <w:pStyle w:val="17"/>
        <w:numPr>
          <w:ilvl w:val="0"/>
          <w:numId w:val="25"/>
        </w:numPr>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rPr>
        <w:t>本次综合评分的主要因素是：投标报价、技术水平、履约能力、售后服务。评审过程中，在同等条件下，优先采购具有环境标志、节能、自主创新的产品。（注：环境标志产品是指由财政部、国家环境保护总局颁布的环境标志产品政府采购清</w:t>
      </w:r>
      <w:r>
        <w:rPr>
          <w:rFonts w:hint="eastAsia" w:ascii="宋体" w:hAnsi="宋体" w:eastAsia="宋体" w:cs="宋体"/>
          <w:sz w:val="24"/>
          <w:szCs w:val="24"/>
        </w:rPr>
        <w:t>单”中的有效期内的产品；节能产品是指由财政部、国家发展改革委颁布的“节能产品政府采购清单”中的有效期内的产品。）</w:t>
      </w:r>
    </w:p>
    <w:p>
      <w:pPr>
        <w:pStyle w:val="17"/>
        <w:spacing w:line="360" w:lineRule="auto"/>
        <w:ind w:left="840" w:leftChars="400" w:firstLine="480" w:firstLineChars="200"/>
        <w:rPr>
          <w:rFonts w:hAnsi="宋体" w:cs="宋体"/>
          <w:sz w:val="24"/>
          <w:szCs w:val="24"/>
          <w:lang w:val="zh-CN"/>
        </w:rPr>
      </w:pPr>
      <w:r>
        <w:rPr>
          <w:rFonts w:hint="eastAsia" w:hAnsi="宋体" w:cs="宋体"/>
          <w:sz w:val="24"/>
          <w:szCs w:val="24"/>
          <w:lang w:val="zh-CN"/>
        </w:rPr>
        <w:t>供应商为小型、微型企业，且提供本企业生产的货物或者提供其他小型、微型企业生产的货物，价格按相关规定给予</w:t>
      </w:r>
      <w:r>
        <w:rPr>
          <w:rFonts w:hAnsi="宋体" w:cs="宋体"/>
          <w:sz w:val="24"/>
          <w:szCs w:val="24"/>
          <w:lang w:val="zh-CN"/>
        </w:rPr>
        <w:t>10</w:t>
      </w:r>
      <w:r>
        <w:rPr>
          <w:rFonts w:hint="eastAsia" w:hAnsi="宋体" w:cs="宋体"/>
          <w:sz w:val="24"/>
          <w:szCs w:val="24"/>
          <w:lang w:val="zh-CN"/>
        </w:rPr>
        <w:t>%-</w:t>
      </w:r>
      <w:r>
        <w:rPr>
          <w:rFonts w:hAnsi="宋体" w:cs="宋体"/>
          <w:sz w:val="24"/>
          <w:szCs w:val="24"/>
          <w:lang w:val="zh-CN"/>
        </w:rPr>
        <w:t>2</w:t>
      </w:r>
      <w:r>
        <w:rPr>
          <w:rFonts w:hint="eastAsia" w:hAnsi="宋体" w:cs="宋体"/>
          <w:sz w:val="24"/>
          <w:szCs w:val="24"/>
          <w:lang w:val="zh-CN"/>
        </w:rPr>
        <w:t>0%的价格折扣，用扣除后的价格参与评审。本项所称货物不包括使用大型企业注册商标的货物；</w:t>
      </w:r>
    </w:p>
    <w:p>
      <w:pPr>
        <w:pStyle w:val="17"/>
        <w:spacing w:line="360" w:lineRule="auto"/>
        <w:ind w:left="840" w:leftChars="400" w:firstLine="480" w:firstLineChars="200"/>
        <w:rPr>
          <w:rFonts w:hAnsi="宋体" w:cs="宋体"/>
          <w:sz w:val="24"/>
          <w:szCs w:val="24"/>
          <w:lang w:val="zh-CN"/>
        </w:rPr>
      </w:pPr>
      <w:r>
        <w:rPr>
          <w:rFonts w:hint="eastAsia" w:hAnsi="宋体" w:cs="宋体"/>
          <w:sz w:val="24"/>
          <w:szCs w:val="24"/>
          <w:lang w:val="zh-CN"/>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w:t>
      </w:r>
    </w:p>
    <w:p>
      <w:pPr>
        <w:pStyle w:val="17"/>
        <w:spacing w:line="360" w:lineRule="auto"/>
        <w:ind w:left="840" w:leftChars="400" w:firstLine="480" w:firstLineChars="200"/>
        <w:rPr>
          <w:rFonts w:hAnsi="宋体" w:cs="宋体"/>
          <w:sz w:val="24"/>
          <w:szCs w:val="24"/>
          <w:lang w:val="zh-CN"/>
        </w:rPr>
      </w:pPr>
      <w:r>
        <w:rPr>
          <w:rFonts w:hint="eastAsia" w:hAnsi="宋体" w:cs="宋体"/>
          <w:sz w:val="24"/>
          <w:szCs w:val="24"/>
          <w:lang w:val="zh-CN"/>
        </w:rPr>
        <w:t>监狱企业、残疾人福利性单位视同小型、微型企业，享受评审中价格扣除等促进中小企业发展的政府采购政策。</w:t>
      </w:r>
    </w:p>
    <w:p>
      <w:pPr>
        <w:pStyle w:val="17"/>
        <w:spacing w:line="360" w:lineRule="auto"/>
        <w:ind w:left="840" w:leftChars="400" w:firstLine="480" w:firstLineChars="200"/>
        <w:rPr>
          <w:rFonts w:hAnsi="宋体" w:cs="宋体"/>
          <w:sz w:val="24"/>
          <w:szCs w:val="24"/>
          <w:lang w:val="zh-CN"/>
        </w:rPr>
      </w:pPr>
      <w:r>
        <w:rPr>
          <w:rFonts w:hint="eastAsia" w:hAnsi="宋体" w:cs="宋体"/>
          <w:sz w:val="24"/>
          <w:szCs w:val="24"/>
          <w:lang w:val="zh-CN"/>
        </w:rPr>
        <w:t>供应商同时符合小型、微型企业及监狱企业、残疾人福利性单位要求的，评审时只有一种类型享受价格评审优惠政策；</w:t>
      </w:r>
    </w:p>
    <w:p>
      <w:pPr>
        <w:pStyle w:val="17"/>
        <w:spacing w:line="360" w:lineRule="auto"/>
        <w:ind w:left="840" w:leftChars="400" w:firstLine="480" w:firstLineChars="200"/>
        <w:rPr>
          <w:rFonts w:hAnsi="宋体" w:cs="Arial"/>
          <w:sz w:val="24"/>
          <w:szCs w:val="24"/>
        </w:rPr>
      </w:pPr>
      <w:r>
        <w:rPr>
          <w:rFonts w:hint="eastAsia" w:hAnsi="宋体" w:cs="宋体"/>
          <w:sz w:val="24"/>
          <w:szCs w:val="24"/>
          <w:lang w:val="zh-CN"/>
        </w:rPr>
        <w:t>投标文件符合本章前款规定的，供应商应提供相关证明资料，且所提供资料必须真实可信。如有虚假，将依法承担相应责任。</w:t>
      </w:r>
    </w:p>
    <w:p>
      <w:pPr>
        <w:pStyle w:val="17"/>
        <w:numPr>
          <w:ilvl w:val="0"/>
          <w:numId w:val="25"/>
        </w:numPr>
        <w:spacing w:line="360" w:lineRule="auto"/>
        <w:rPr>
          <w:rFonts w:hint="eastAsia" w:ascii="宋体" w:hAnsi="宋体" w:eastAsia="宋体" w:cs="宋体"/>
          <w:sz w:val="24"/>
          <w:szCs w:val="24"/>
        </w:rPr>
      </w:pPr>
      <w:r>
        <w:rPr>
          <w:rFonts w:hint="eastAsia" w:ascii="宋体" w:hAnsi="宋体" w:eastAsia="宋体" w:cs="宋体"/>
          <w:sz w:val="24"/>
          <w:szCs w:val="24"/>
        </w:rPr>
        <w:t>除磋商价格因素外，评标委员会应依据磋商文件规定的评审方法和评审标准对其他因素进行客观评审；</w:t>
      </w:r>
    </w:p>
    <w:p>
      <w:pPr>
        <w:pStyle w:val="17"/>
        <w:numPr>
          <w:ilvl w:val="1"/>
          <w:numId w:val="24"/>
        </w:numPr>
        <w:spacing w:line="360" w:lineRule="auto"/>
        <w:rPr>
          <w:rFonts w:hint="eastAsia" w:ascii="宋体" w:hAnsi="宋体" w:eastAsia="宋体" w:cs="宋体"/>
          <w:sz w:val="24"/>
          <w:szCs w:val="24"/>
        </w:rPr>
      </w:pPr>
      <w:r>
        <w:rPr>
          <w:rFonts w:hint="eastAsia" w:ascii="宋体" w:hAnsi="宋体" w:eastAsia="宋体" w:cs="宋体"/>
          <w:sz w:val="24"/>
          <w:szCs w:val="24"/>
          <w:lang w:val="zh-CN"/>
        </w:rPr>
        <w:t>磋商响应文件中含义不明确、同类问题表述不一致或者有明显文字和计算错误的内容，评标委员会应当以书面形式要求磋商人作出必要的澄清、说明或者补正。</w:t>
      </w:r>
    </w:p>
    <w:p>
      <w:pPr>
        <w:pStyle w:val="17"/>
        <w:spacing w:line="360" w:lineRule="auto"/>
        <w:ind w:left="621"/>
        <w:rPr>
          <w:rFonts w:hint="eastAsia" w:ascii="宋体" w:hAnsi="宋体" w:eastAsia="宋体" w:cs="宋体"/>
          <w:sz w:val="24"/>
          <w:szCs w:val="24"/>
        </w:rPr>
      </w:pPr>
      <w:r>
        <w:rPr>
          <w:rFonts w:hint="eastAsia" w:ascii="宋体" w:hAnsi="宋体" w:eastAsia="宋体" w:cs="宋体"/>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pPr>
        <w:pStyle w:val="17"/>
        <w:numPr>
          <w:ilvl w:val="0"/>
          <w:numId w:val="26"/>
        </w:numPr>
        <w:spacing w:line="360" w:lineRule="auto"/>
        <w:rPr>
          <w:rFonts w:hint="eastAsia" w:ascii="宋体" w:hAnsi="宋体" w:eastAsia="宋体" w:cs="宋体"/>
          <w:sz w:val="24"/>
          <w:szCs w:val="24"/>
        </w:rPr>
      </w:pPr>
      <w:r>
        <w:rPr>
          <w:rFonts w:hint="eastAsia" w:ascii="宋体" w:hAnsi="宋体" w:eastAsia="宋体" w:cs="宋体"/>
          <w:sz w:val="24"/>
          <w:szCs w:val="24"/>
        </w:rPr>
        <w:t>磋商人存在下列情况之一的，按无效磋商处理：</w:t>
      </w:r>
    </w:p>
    <w:p>
      <w:pPr>
        <w:pStyle w:val="17"/>
        <w:numPr>
          <w:ilvl w:val="0"/>
          <w:numId w:val="27"/>
        </w:numPr>
        <w:spacing w:line="360" w:lineRule="auto"/>
        <w:rPr>
          <w:rFonts w:hint="eastAsia" w:ascii="宋体" w:hAnsi="宋体" w:eastAsia="宋体" w:cs="宋体"/>
          <w:sz w:val="24"/>
          <w:szCs w:val="24"/>
        </w:rPr>
      </w:pPr>
      <w:r>
        <w:rPr>
          <w:rFonts w:hint="eastAsia" w:ascii="宋体" w:hAnsi="宋体" w:eastAsia="宋体" w:cs="宋体"/>
          <w:sz w:val="24"/>
          <w:szCs w:val="24"/>
          <w:lang w:val="zh-CN"/>
        </w:rPr>
        <w:t>符合性审查文件未按</w:t>
      </w:r>
      <w:r>
        <w:rPr>
          <w:rFonts w:hint="eastAsia" w:ascii="宋体" w:hAnsi="宋体" w:eastAsia="宋体" w:cs="宋体"/>
          <w:sz w:val="24"/>
          <w:szCs w:val="24"/>
        </w:rPr>
        <w:t>磋商</w:t>
      </w:r>
      <w:r>
        <w:rPr>
          <w:rFonts w:hint="eastAsia" w:ascii="宋体" w:hAnsi="宋体" w:eastAsia="宋体" w:cs="宋体"/>
          <w:sz w:val="24"/>
          <w:szCs w:val="24"/>
          <w:lang w:val="zh-CN"/>
        </w:rPr>
        <w:t>文件要求签署、盖章的；</w:t>
      </w:r>
    </w:p>
    <w:p>
      <w:pPr>
        <w:pStyle w:val="17"/>
        <w:numPr>
          <w:ilvl w:val="0"/>
          <w:numId w:val="27"/>
        </w:numPr>
        <w:spacing w:line="360" w:lineRule="auto"/>
        <w:rPr>
          <w:rFonts w:hint="eastAsia" w:ascii="宋体" w:hAnsi="宋体" w:eastAsia="宋体" w:cs="宋体"/>
          <w:sz w:val="24"/>
          <w:szCs w:val="24"/>
        </w:rPr>
      </w:pPr>
      <w:r>
        <w:rPr>
          <w:rFonts w:hint="eastAsia" w:ascii="宋体" w:hAnsi="宋体" w:eastAsia="宋体" w:cs="宋体"/>
          <w:sz w:val="24"/>
          <w:szCs w:val="24"/>
        </w:rPr>
        <w:t>报价超过磋商文件中规定的预算金额或者最高限价的；</w:t>
      </w:r>
    </w:p>
    <w:p>
      <w:pPr>
        <w:pStyle w:val="17"/>
        <w:numPr>
          <w:ilvl w:val="0"/>
          <w:numId w:val="27"/>
        </w:numPr>
        <w:spacing w:line="360" w:lineRule="auto"/>
        <w:rPr>
          <w:rFonts w:hint="eastAsia" w:ascii="宋体" w:hAnsi="宋体" w:eastAsia="宋体" w:cs="宋体"/>
          <w:sz w:val="24"/>
          <w:szCs w:val="24"/>
        </w:rPr>
      </w:pPr>
      <w:r>
        <w:rPr>
          <w:rFonts w:hint="eastAsia" w:ascii="宋体" w:hAnsi="宋体" w:eastAsia="宋体" w:cs="宋体"/>
          <w:sz w:val="24"/>
          <w:szCs w:val="24"/>
        </w:rPr>
        <w:t>产品</w:t>
      </w:r>
      <w:r>
        <w:rPr>
          <w:rFonts w:hint="eastAsia" w:hAnsi="宋体" w:cs="宋体"/>
          <w:sz w:val="24"/>
          <w:szCs w:val="24"/>
          <w:lang w:eastAsia="zh-CN"/>
        </w:rPr>
        <w:t>交货及安装期</w:t>
      </w:r>
      <w:r>
        <w:rPr>
          <w:rFonts w:hint="eastAsia" w:ascii="宋体" w:hAnsi="宋体" w:eastAsia="宋体" w:cs="宋体"/>
          <w:sz w:val="24"/>
          <w:szCs w:val="24"/>
        </w:rPr>
        <w:t>、磋商有效期不能满足磋商文件要求的；</w:t>
      </w:r>
    </w:p>
    <w:p>
      <w:pPr>
        <w:pStyle w:val="17"/>
        <w:numPr>
          <w:ilvl w:val="0"/>
          <w:numId w:val="27"/>
        </w:numPr>
        <w:spacing w:line="360" w:lineRule="auto"/>
        <w:rPr>
          <w:rFonts w:hint="eastAsia" w:ascii="宋体" w:hAnsi="宋体" w:eastAsia="宋体" w:cs="宋体"/>
          <w:sz w:val="24"/>
          <w:szCs w:val="24"/>
        </w:rPr>
      </w:pPr>
      <w:r>
        <w:rPr>
          <w:rFonts w:hint="eastAsia" w:ascii="宋体" w:hAnsi="宋体" w:eastAsia="宋体" w:cs="宋体"/>
          <w:sz w:val="24"/>
          <w:szCs w:val="24"/>
        </w:rPr>
        <w:t>未按第11</w:t>
      </w:r>
      <w:r>
        <w:rPr>
          <w:rFonts w:hint="eastAsia" w:ascii="宋体" w:hAnsi="宋体" w:eastAsia="宋体" w:cs="宋体"/>
          <w:sz w:val="24"/>
          <w:szCs w:val="24"/>
          <w:lang w:val="zh-CN"/>
        </w:rPr>
        <w:t>（1）-（1</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款中要求提供相关资料的；</w:t>
      </w:r>
    </w:p>
    <w:p>
      <w:pPr>
        <w:pStyle w:val="17"/>
        <w:numPr>
          <w:ilvl w:val="0"/>
          <w:numId w:val="27"/>
        </w:numPr>
        <w:spacing w:line="360" w:lineRule="auto"/>
        <w:rPr>
          <w:rFonts w:hint="eastAsia" w:ascii="宋体" w:hAnsi="宋体" w:eastAsia="宋体" w:cs="宋体"/>
          <w:sz w:val="24"/>
          <w:szCs w:val="24"/>
        </w:rPr>
      </w:pPr>
      <w:r>
        <w:rPr>
          <w:rFonts w:hint="eastAsia" w:ascii="宋体" w:hAnsi="宋体" w:eastAsia="宋体" w:cs="宋体"/>
          <w:sz w:val="24"/>
          <w:szCs w:val="24"/>
        </w:rPr>
        <w:t>磋商响应文件中含有采购单位不能接受的条件的；</w:t>
      </w:r>
    </w:p>
    <w:p>
      <w:pPr>
        <w:pStyle w:val="17"/>
        <w:numPr>
          <w:ilvl w:val="0"/>
          <w:numId w:val="27"/>
        </w:numPr>
        <w:spacing w:line="360" w:lineRule="auto"/>
        <w:rPr>
          <w:rFonts w:hint="eastAsia" w:ascii="宋体" w:hAnsi="宋体" w:eastAsia="宋体" w:cs="宋体"/>
          <w:sz w:val="24"/>
          <w:szCs w:val="24"/>
        </w:rPr>
      </w:pPr>
      <w:r>
        <w:rPr>
          <w:rFonts w:hint="eastAsia" w:ascii="宋体" w:hAnsi="宋体" w:eastAsia="宋体" w:cs="宋体"/>
          <w:sz w:val="24"/>
          <w:szCs w:val="24"/>
        </w:rPr>
        <w:t>未提供电子文档或电子文档与纸质磋商响应文件正本不一致的；</w:t>
      </w:r>
    </w:p>
    <w:p>
      <w:pPr>
        <w:pStyle w:val="17"/>
        <w:numPr>
          <w:ilvl w:val="0"/>
          <w:numId w:val="27"/>
        </w:numPr>
        <w:spacing w:line="360" w:lineRule="auto"/>
        <w:rPr>
          <w:rFonts w:hint="eastAsia" w:ascii="宋体" w:hAnsi="宋体" w:eastAsia="宋体" w:cs="宋体"/>
          <w:sz w:val="24"/>
          <w:szCs w:val="24"/>
        </w:rPr>
      </w:pPr>
      <w:r>
        <w:rPr>
          <w:rFonts w:hint="eastAsia" w:ascii="宋体" w:hAnsi="宋体" w:eastAsia="宋体" w:cs="宋体"/>
          <w:sz w:val="24"/>
          <w:szCs w:val="24"/>
          <w:lang w:val="zh-CN"/>
        </w:rPr>
        <w:t>存在串通投标行为；</w:t>
      </w:r>
    </w:p>
    <w:p>
      <w:pPr>
        <w:pStyle w:val="17"/>
        <w:numPr>
          <w:ilvl w:val="0"/>
          <w:numId w:val="27"/>
        </w:numPr>
        <w:spacing w:line="360" w:lineRule="auto"/>
        <w:rPr>
          <w:rFonts w:hint="eastAsia" w:ascii="宋体" w:hAnsi="宋体" w:eastAsia="宋体" w:cs="宋体"/>
          <w:sz w:val="24"/>
          <w:szCs w:val="24"/>
        </w:rPr>
      </w:pPr>
      <w:r>
        <w:rPr>
          <w:rFonts w:hint="eastAsia" w:ascii="宋体" w:hAnsi="宋体" w:eastAsia="宋体" w:cs="宋体"/>
          <w:sz w:val="24"/>
          <w:szCs w:val="24"/>
        </w:rPr>
        <w:t>法律、法规和磋商文件规定的其他无效情形。</w:t>
      </w:r>
    </w:p>
    <w:p>
      <w:pPr>
        <w:pStyle w:val="17"/>
        <w:numPr>
          <w:ilvl w:val="0"/>
          <w:numId w:val="26"/>
        </w:numPr>
        <w:spacing w:line="360" w:lineRule="auto"/>
        <w:rPr>
          <w:rFonts w:hint="eastAsia" w:ascii="宋体" w:hAnsi="宋体" w:eastAsia="宋体" w:cs="宋体"/>
          <w:sz w:val="24"/>
          <w:szCs w:val="24"/>
        </w:rPr>
      </w:pPr>
      <w:r>
        <w:rPr>
          <w:rFonts w:hint="eastAsia" w:ascii="宋体" w:hAnsi="宋体" w:eastAsia="宋体" w:cs="宋体"/>
          <w:sz w:val="24"/>
          <w:szCs w:val="24"/>
        </w:rPr>
        <w:t>磋商响应文件报价出现前后不一致的，按照下列规定修正：</w:t>
      </w:r>
    </w:p>
    <w:p>
      <w:pPr>
        <w:pStyle w:val="17"/>
        <w:numPr>
          <w:ilvl w:val="0"/>
          <w:numId w:val="28"/>
        </w:numPr>
        <w:spacing w:line="360" w:lineRule="auto"/>
        <w:rPr>
          <w:rFonts w:hint="eastAsia" w:ascii="宋体" w:hAnsi="宋体" w:eastAsia="宋体" w:cs="宋体"/>
          <w:sz w:val="24"/>
          <w:szCs w:val="24"/>
        </w:rPr>
      </w:pPr>
      <w:r>
        <w:rPr>
          <w:rFonts w:hint="eastAsia" w:ascii="宋体" w:hAnsi="宋体" w:eastAsia="宋体" w:cs="宋体"/>
          <w:sz w:val="24"/>
          <w:szCs w:val="24"/>
        </w:rPr>
        <w:t>大写金额和小写金额不一致的，以大写金额为准；</w:t>
      </w:r>
    </w:p>
    <w:p>
      <w:pPr>
        <w:pStyle w:val="17"/>
        <w:numPr>
          <w:ilvl w:val="0"/>
          <w:numId w:val="28"/>
        </w:numPr>
        <w:spacing w:line="360" w:lineRule="auto"/>
        <w:rPr>
          <w:rFonts w:hint="eastAsia" w:ascii="宋体" w:hAnsi="宋体" w:eastAsia="宋体" w:cs="宋体"/>
          <w:sz w:val="24"/>
          <w:szCs w:val="24"/>
        </w:rPr>
      </w:pPr>
      <w:r>
        <w:rPr>
          <w:rFonts w:hint="eastAsia" w:ascii="宋体" w:hAnsi="宋体" w:eastAsia="宋体" w:cs="宋体"/>
          <w:sz w:val="24"/>
          <w:szCs w:val="24"/>
        </w:rPr>
        <w:t>总价金额与按单价汇总金额不一致的，以单价金额计算结果为准。</w:t>
      </w:r>
    </w:p>
    <w:p>
      <w:pPr>
        <w:pStyle w:val="17"/>
        <w:spacing w:line="360" w:lineRule="auto"/>
        <w:ind w:left="1129"/>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同时出现两种以上不一致的，按照前款规定的顺序修正。修正后的报价按17.2第二款的规定经磋商人确认后产生约束力，磋商人不确认的，其投标无效。</w:t>
      </w:r>
    </w:p>
    <w:p>
      <w:pPr>
        <w:pStyle w:val="17"/>
        <w:numPr>
          <w:ilvl w:val="1"/>
          <w:numId w:val="24"/>
        </w:numPr>
        <w:spacing w:line="360" w:lineRule="auto"/>
        <w:rPr>
          <w:rFonts w:hint="eastAsia" w:ascii="宋体" w:hAnsi="宋体" w:eastAsia="宋体" w:cs="宋体"/>
          <w:sz w:val="24"/>
          <w:szCs w:val="24"/>
        </w:rPr>
      </w:pPr>
      <w:r>
        <w:rPr>
          <w:rFonts w:hint="eastAsia" w:ascii="宋体" w:hAnsi="宋体" w:eastAsia="宋体" w:cs="宋体"/>
          <w:sz w:val="24"/>
          <w:szCs w:val="24"/>
          <w:lang w:val="zh-CN"/>
        </w:rPr>
        <w:t>在评审过程中，</w:t>
      </w:r>
      <w:r>
        <w:rPr>
          <w:rFonts w:hint="eastAsia" w:ascii="宋体" w:hAnsi="宋体" w:eastAsia="宋体" w:cs="宋体"/>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pStyle w:val="17"/>
        <w:numPr>
          <w:ilvl w:val="1"/>
          <w:numId w:val="24"/>
        </w:numPr>
        <w:spacing w:line="360" w:lineRule="auto"/>
        <w:rPr>
          <w:rFonts w:hint="eastAsia" w:ascii="宋体" w:hAnsi="宋体" w:eastAsia="宋体" w:cs="宋体"/>
          <w:sz w:val="24"/>
          <w:szCs w:val="24"/>
        </w:rPr>
      </w:pPr>
      <w:r>
        <w:rPr>
          <w:rFonts w:hint="eastAsia" w:ascii="宋体" w:hAnsi="宋体" w:eastAsia="宋体" w:cs="宋体"/>
          <w:sz w:val="24"/>
          <w:szCs w:val="24"/>
          <w:shd w:val="clear" w:color="auto" w:fill="FFFFFF"/>
        </w:rPr>
        <w:t>评标委员会应当按照磋商文件中规定的评标方法和标准，对符合性审查合格的磋商响应文件进行商务和技术评估，综合比较与评价。</w:t>
      </w:r>
    </w:p>
    <w:p>
      <w:pPr>
        <w:pStyle w:val="17"/>
        <w:numPr>
          <w:ilvl w:val="1"/>
          <w:numId w:val="24"/>
        </w:numPr>
        <w:spacing w:line="360" w:lineRule="auto"/>
        <w:rPr>
          <w:rFonts w:hint="eastAsia" w:ascii="宋体" w:hAnsi="宋体" w:eastAsia="宋体" w:cs="宋体"/>
          <w:sz w:val="24"/>
          <w:szCs w:val="24"/>
        </w:rPr>
      </w:pPr>
      <w:r>
        <w:rPr>
          <w:rFonts w:hint="eastAsia" w:ascii="宋体" w:hAnsi="宋体" w:eastAsia="宋体" w:cs="宋体"/>
          <w:sz w:val="24"/>
          <w:szCs w:val="24"/>
          <w:shd w:val="clear" w:color="auto" w:fill="FFFFFF"/>
        </w:rPr>
        <w:t>评标委员会认为磋商人的报价明显低于其他通过符合性审查磋商人的报价，有可能影响产品质量或者不能诚信履约的，应当要求其在评标现场合理的时间内提供书面说明，必要时提交相关证明材料；磋商人不能证明其报价合理性的，评标委员会应当将其作为无效投标处理。</w:t>
      </w:r>
    </w:p>
    <w:p>
      <w:pPr>
        <w:pStyle w:val="17"/>
        <w:numPr>
          <w:ilvl w:val="1"/>
          <w:numId w:val="24"/>
        </w:numPr>
        <w:spacing w:line="360" w:lineRule="auto"/>
        <w:rPr>
          <w:rFonts w:hint="eastAsia" w:ascii="宋体" w:hAnsi="宋体" w:eastAsia="宋体" w:cs="宋体"/>
          <w:sz w:val="24"/>
          <w:szCs w:val="24"/>
        </w:rPr>
      </w:pPr>
      <w:r>
        <w:rPr>
          <w:rFonts w:hint="eastAsia" w:ascii="宋体" w:hAnsi="宋体" w:eastAsia="宋体" w:cs="宋体"/>
          <w:sz w:val="24"/>
          <w:szCs w:val="24"/>
          <w:shd w:val="clear" w:color="auto" w:fill="FFFFFF"/>
        </w:rPr>
        <w:t>综合评分法的采购项目，提供相同品牌产品且通过资格审查、符合性审查的不同磋商人参加同一合同项下投标的，按一家磋商人计算，评审后得分最高的同品牌磋商人获得中标人推荐资格；评审得分相同的，由采购人或者采购人委托评标委员会按照磋商文件规定的方式确定一个磋商人获得中标人推荐资格，磋商文件未规定的采取随机抽取方式确定，其他同品牌磋商人不作为中标候选人。</w:t>
      </w:r>
    </w:p>
    <w:p>
      <w:pPr>
        <w:pStyle w:val="17"/>
        <w:spacing w:line="360" w:lineRule="auto"/>
        <w:ind w:left="621"/>
        <w:rPr>
          <w:rFonts w:hint="eastAsia" w:ascii="宋体" w:hAnsi="宋体" w:eastAsia="宋体" w:cs="宋体"/>
          <w:sz w:val="24"/>
          <w:szCs w:val="24"/>
        </w:rPr>
      </w:pPr>
      <w:r>
        <w:rPr>
          <w:rFonts w:hint="eastAsia" w:ascii="宋体" w:hAnsi="宋体" w:eastAsia="宋体" w:cs="宋体"/>
          <w:sz w:val="24"/>
          <w:szCs w:val="24"/>
          <w:shd w:val="clear" w:color="auto" w:fill="FFFFFF"/>
        </w:rPr>
        <w:t>非单一产品采购项目，采购人应当根据采购项目技术构成、产品价格比重等合理确定核心产品，并在磋商文件中载明。多家磋商人提供的核心产品品牌相同的，按前款规定处理。</w:t>
      </w:r>
    </w:p>
    <w:p>
      <w:pPr>
        <w:pStyle w:val="7"/>
        <w:numPr>
          <w:ilvl w:val="0"/>
          <w:numId w:val="3"/>
        </w:numPr>
        <w:spacing w:before="0" w:after="0" w:line="360" w:lineRule="auto"/>
        <w:rPr>
          <w:rFonts w:hint="eastAsia" w:ascii="宋体" w:hAnsi="宋体" w:eastAsia="宋体" w:cs="宋体"/>
          <w:b w:val="0"/>
          <w:sz w:val="24"/>
          <w:szCs w:val="24"/>
        </w:rPr>
      </w:pPr>
      <w:bookmarkStart w:id="59" w:name="_Toc488673635"/>
      <w:bookmarkStart w:id="60" w:name="_Toc10114"/>
      <w:r>
        <w:rPr>
          <w:rFonts w:hint="eastAsia" w:ascii="宋体" w:hAnsi="宋体" w:eastAsia="宋体" w:cs="宋体"/>
          <w:b w:val="0"/>
          <w:sz w:val="24"/>
          <w:szCs w:val="24"/>
        </w:rPr>
        <w:t>评审办法</w:t>
      </w:r>
      <w:bookmarkEnd w:id="59"/>
      <w:bookmarkEnd w:id="60"/>
    </w:p>
    <w:p>
      <w:pPr>
        <w:pStyle w:val="17"/>
        <w:numPr>
          <w:ilvl w:val="1"/>
          <w:numId w:val="29"/>
        </w:numPr>
        <w:spacing w:line="360" w:lineRule="auto"/>
        <w:jc w:val="left"/>
        <w:rPr>
          <w:rFonts w:hint="eastAsia" w:ascii="宋体" w:hAnsi="宋体" w:eastAsia="宋体" w:cs="宋体"/>
          <w:sz w:val="24"/>
          <w:szCs w:val="24"/>
        </w:rPr>
      </w:pPr>
      <w:r>
        <w:rPr>
          <w:rFonts w:hint="eastAsia" w:ascii="宋体" w:hAnsi="宋体" w:eastAsia="宋体" w:cs="宋体"/>
          <w:sz w:val="24"/>
          <w:szCs w:val="24"/>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pPr>
        <w:pStyle w:val="17"/>
        <w:numPr>
          <w:ilvl w:val="1"/>
          <w:numId w:val="29"/>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zh-CN"/>
        </w:rPr>
        <w:t>本次评审方法采用综合评分法</w:t>
      </w:r>
      <w:r>
        <w:rPr>
          <w:rFonts w:hint="eastAsia" w:ascii="宋体" w:hAnsi="宋体" w:eastAsia="宋体" w:cs="宋体"/>
          <w:sz w:val="24"/>
          <w:szCs w:val="24"/>
        </w:rPr>
        <w:t>。</w:t>
      </w:r>
    </w:p>
    <w:p>
      <w:pPr>
        <w:pStyle w:val="17"/>
        <w:numPr>
          <w:ilvl w:val="1"/>
          <w:numId w:val="29"/>
        </w:numPr>
        <w:spacing w:line="360" w:lineRule="auto"/>
        <w:jc w:val="left"/>
        <w:rPr>
          <w:rFonts w:hint="eastAsia" w:ascii="宋体" w:hAnsi="宋体" w:eastAsia="宋体" w:cs="宋体"/>
          <w:sz w:val="24"/>
          <w:szCs w:val="24"/>
        </w:rPr>
      </w:pPr>
      <w:r>
        <w:rPr>
          <w:rFonts w:hint="eastAsia" w:ascii="宋体" w:hAnsi="宋体" w:eastAsia="宋体" w:cs="宋体"/>
          <w:sz w:val="24"/>
          <w:szCs w:val="24"/>
        </w:rPr>
        <w:t>评审标准和分值分配：</w:t>
      </w:r>
    </w:p>
    <w:p>
      <w:pPr>
        <w:pStyle w:val="17"/>
        <w:spacing w:line="360" w:lineRule="auto"/>
        <w:jc w:val="left"/>
        <w:rPr>
          <w:rFonts w:hint="eastAsia" w:ascii="宋体" w:hAnsi="宋体" w:eastAsia="宋体" w:cs="宋体"/>
          <w:b/>
          <w:sz w:val="24"/>
          <w:szCs w:val="24"/>
        </w:rPr>
      </w:pPr>
      <w:bookmarkStart w:id="61" w:name="_Hlk497723873"/>
      <w:r>
        <w:rPr>
          <w:rFonts w:hint="eastAsia" w:ascii="宋体" w:hAnsi="宋体" w:eastAsia="宋体" w:cs="宋体"/>
          <w:b/>
          <w:sz w:val="24"/>
          <w:szCs w:val="24"/>
        </w:rPr>
        <w:t xml:space="preserve">具体项目及评分细则： </w:t>
      </w:r>
    </w:p>
    <w:tbl>
      <w:tblPr>
        <w:tblStyle w:val="31"/>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668"/>
        <w:gridCol w:w="770"/>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802" w:type="dxa"/>
            <w:gridSpan w:val="2"/>
            <w:shd w:val="clear" w:color="000000" w:fill="FFFFFF"/>
            <w:vAlign w:val="center"/>
          </w:tcPr>
          <w:p>
            <w:pPr>
              <w:autoSpaceDE w:val="0"/>
              <w:autoSpaceDN w:val="0"/>
              <w:snapToGri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评审因素</w:t>
            </w:r>
          </w:p>
        </w:tc>
        <w:tc>
          <w:tcPr>
            <w:tcW w:w="770" w:type="dxa"/>
            <w:shd w:val="clear" w:color="000000" w:fill="FFFFFF"/>
            <w:vAlign w:val="center"/>
          </w:tcPr>
          <w:p>
            <w:pPr>
              <w:autoSpaceDE w:val="0"/>
              <w:autoSpaceDN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评审分数</w:t>
            </w:r>
          </w:p>
        </w:tc>
        <w:tc>
          <w:tcPr>
            <w:tcW w:w="6269" w:type="dxa"/>
            <w:shd w:val="clear" w:color="000000" w:fill="FFFFFF"/>
            <w:vAlign w:val="center"/>
          </w:tcPr>
          <w:p>
            <w:pPr>
              <w:autoSpaceDE w:val="0"/>
              <w:autoSpaceDN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rPr>
            </w:pPr>
            <w:r>
              <w:rPr>
                <w:rFonts w:hint="eastAsia" w:ascii="宋体" w:hAnsi="宋体" w:eastAsia="宋体" w:cs="宋体"/>
                <w:sz w:val="24"/>
                <w:szCs w:val="24"/>
              </w:rPr>
              <w:t>投标报价</w:t>
            </w:r>
          </w:p>
          <w:p>
            <w:pPr>
              <w:autoSpaceDE w:val="0"/>
              <w:autoSpaceDN w:val="0"/>
              <w:snapToGrid w:val="0"/>
              <w:spacing w:line="336" w:lineRule="auto"/>
              <w:jc w:val="center"/>
              <w:rPr>
                <w:rFonts w:hint="eastAsia" w:ascii="宋体" w:hAnsi="宋体" w:eastAsia="宋体" w:cs="宋体"/>
                <w:sz w:val="24"/>
                <w:szCs w:val="24"/>
              </w:rPr>
            </w:pPr>
            <w:r>
              <w:rPr>
                <w:rFonts w:hint="eastAsia" w:ascii="宋体" w:hAnsi="宋体" w:eastAsia="宋体" w:cs="宋体"/>
                <w:sz w:val="24"/>
                <w:szCs w:val="24"/>
              </w:rPr>
              <w:t>30分</w:t>
            </w:r>
          </w:p>
        </w:tc>
        <w:tc>
          <w:tcPr>
            <w:tcW w:w="1668" w:type="dxa"/>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报价分</w:t>
            </w:r>
          </w:p>
        </w:tc>
        <w:tc>
          <w:tcPr>
            <w:tcW w:w="770" w:type="dxa"/>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6269" w:type="dxa"/>
            <w:shd w:val="clear" w:color="000000" w:fill="FFFFFF"/>
            <w:vAlign w:val="center"/>
          </w:tcPr>
          <w:p>
            <w:pPr>
              <w:autoSpaceDE w:val="0"/>
              <w:autoSpaceDN w:val="0"/>
              <w:snapToGrid w:val="0"/>
              <w:spacing w:line="336" w:lineRule="auto"/>
              <w:jc w:val="left"/>
              <w:rPr>
                <w:rFonts w:hint="eastAsia" w:ascii="宋体" w:hAnsi="宋体" w:eastAsia="宋体" w:cs="宋体"/>
                <w:sz w:val="24"/>
                <w:szCs w:val="24"/>
              </w:rPr>
            </w:pPr>
            <w:r>
              <w:rPr>
                <w:rFonts w:hint="eastAsia" w:ascii="宋体" w:hAnsi="宋体" w:eastAsia="宋体" w:cs="宋体"/>
                <w:sz w:val="24"/>
                <w:szCs w:val="24"/>
              </w:rPr>
              <w:t>在所有的有效投标报价中，以最低投标报价为基准价，其价格分为满分。其他投标人的报价分统一按下列公式计算：投标报价得分=(评标基准价／投标报价)×价格权值（30%）×100（四舍五入后保留小数点后两位）。</w:t>
            </w:r>
          </w:p>
          <w:p>
            <w:pPr>
              <w:autoSpaceDE w:val="0"/>
              <w:autoSpaceDN w:val="0"/>
              <w:snapToGrid w:val="0"/>
              <w:spacing w:line="33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注：1、根据《政府采购促进中小企业发展暂行办法》的相关规定，对小型和微型企业制造（生产）产品的价格给予</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%的扣除，用扣除后的价格参与评审。</w:t>
            </w:r>
          </w:p>
          <w:p>
            <w:pPr>
              <w:pStyle w:val="2"/>
              <w:spacing w:line="360" w:lineRule="auto"/>
              <w:rPr>
                <w:rFonts w:hint="eastAsia" w:ascii="宋体" w:hAnsi="宋体" w:eastAsia="宋体" w:cs="宋体"/>
                <w:sz w:val="24"/>
                <w:szCs w:val="24"/>
              </w:rPr>
            </w:pPr>
            <w:r>
              <w:rPr>
                <w:rFonts w:hint="eastAsia" w:ascii="宋体" w:hAnsi="宋体" w:eastAsia="宋体" w:cs="宋体"/>
                <w:kern w:val="2"/>
                <w:sz w:val="24"/>
                <w:szCs w:val="24"/>
              </w:rPr>
              <w:t>2、监狱企业、残疾人福利性单位属于小型、微型企业的，不重复享受政策。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vMerge w:val="restart"/>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技术水平</w:t>
            </w:r>
          </w:p>
          <w:p>
            <w:pPr>
              <w:autoSpaceDE w:val="0"/>
              <w:autoSpaceDN w:val="0"/>
              <w:snapToGrid w:val="0"/>
              <w:spacing w:line="336" w:lineRule="auto"/>
              <w:jc w:val="center"/>
              <w:rPr>
                <w:rFonts w:hint="eastAsia" w:ascii="宋体" w:hAnsi="宋体" w:eastAsia="宋体" w:cs="宋体"/>
                <w:sz w:val="24"/>
                <w:szCs w:val="24"/>
                <w:lang w:val="zh-CN"/>
              </w:rPr>
            </w:pPr>
            <w:r>
              <w:rPr>
                <w:rFonts w:hint="eastAsia" w:ascii="宋体" w:hAnsi="宋体" w:eastAsia="宋体" w:cs="宋体"/>
                <w:sz w:val="24"/>
                <w:szCs w:val="24"/>
              </w:rPr>
              <w:t>53</w:t>
            </w:r>
            <w:r>
              <w:rPr>
                <w:rFonts w:hint="eastAsia" w:ascii="宋体" w:hAnsi="宋体" w:eastAsia="宋体" w:cs="宋体"/>
                <w:sz w:val="24"/>
                <w:szCs w:val="24"/>
                <w:lang w:val="zh-CN"/>
              </w:rPr>
              <w:t>分</w:t>
            </w:r>
          </w:p>
        </w:tc>
        <w:tc>
          <w:tcPr>
            <w:tcW w:w="1668" w:type="dxa"/>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770" w:type="dxa"/>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rPr>
            </w:pPr>
            <w:r>
              <w:rPr>
                <w:rFonts w:hint="eastAsia" w:ascii="宋体" w:hAnsi="宋体" w:eastAsia="宋体" w:cs="宋体"/>
                <w:sz w:val="24"/>
                <w:szCs w:val="24"/>
              </w:rPr>
              <w:t>32</w:t>
            </w:r>
          </w:p>
        </w:tc>
        <w:tc>
          <w:tcPr>
            <w:tcW w:w="6269" w:type="dxa"/>
            <w:shd w:val="clear" w:color="000000" w:fill="FFFFFF"/>
            <w:vAlign w:val="center"/>
          </w:tcPr>
          <w:p>
            <w:pPr>
              <w:autoSpaceDE w:val="0"/>
              <w:autoSpaceDN w:val="0"/>
              <w:snapToGrid w:val="0"/>
              <w:spacing w:line="336" w:lineRule="auto"/>
              <w:jc w:val="left"/>
              <w:rPr>
                <w:rFonts w:hint="eastAsia" w:ascii="宋体" w:hAnsi="宋体" w:eastAsia="宋体" w:cs="宋体"/>
                <w:sz w:val="24"/>
                <w:szCs w:val="24"/>
              </w:rPr>
            </w:pPr>
            <w:r>
              <w:rPr>
                <w:rFonts w:hint="eastAsia" w:ascii="宋体" w:hAnsi="宋体" w:eastAsia="宋体" w:cs="宋体"/>
                <w:sz w:val="24"/>
                <w:szCs w:val="24"/>
              </w:rPr>
              <w:t>投标产品技术参数和配置完全满足或高于磋商文件要求的，得32分；每有一项负偏离扣</w:t>
            </w:r>
            <w:r>
              <w:rPr>
                <w:rFonts w:hint="eastAsia" w:ascii="宋体" w:hAnsi="宋体" w:cs="宋体"/>
                <w:sz w:val="24"/>
                <w:szCs w:val="24"/>
                <w:lang w:val="en-US" w:eastAsia="zh-CN"/>
              </w:rPr>
              <w:t>4</w:t>
            </w:r>
            <w:r>
              <w:rPr>
                <w:rFonts w:hint="eastAsia" w:ascii="宋体" w:hAnsi="宋体" w:eastAsia="宋体" w:cs="宋体"/>
                <w:sz w:val="24"/>
                <w:szCs w:val="24"/>
              </w:rPr>
              <w:t>分，直至扣完为止。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134" w:type="dxa"/>
            <w:vMerge w:val="continue"/>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lang w:val="zh-CN"/>
              </w:rPr>
            </w:pPr>
          </w:p>
        </w:tc>
        <w:tc>
          <w:tcPr>
            <w:tcW w:w="1668" w:type="dxa"/>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rPr>
            </w:pPr>
            <w:r>
              <w:rPr>
                <w:rFonts w:hint="eastAsia" w:ascii="宋体" w:hAnsi="宋体" w:eastAsia="宋体" w:cs="宋体"/>
                <w:sz w:val="24"/>
                <w:szCs w:val="24"/>
              </w:rPr>
              <w:t>环保和节能</w:t>
            </w:r>
          </w:p>
        </w:tc>
        <w:tc>
          <w:tcPr>
            <w:tcW w:w="770" w:type="dxa"/>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6269" w:type="dxa"/>
            <w:shd w:val="clear" w:color="000000" w:fill="FFFFFF"/>
            <w:vAlign w:val="center"/>
          </w:tcPr>
          <w:p>
            <w:pPr>
              <w:autoSpaceDE w:val="0"/>
              <w:autoSpaceDN w:val="0"/>
              <w:snapToGrid w:val="0"/>
              <w:spacing w:line="336" w:lineRule="auto"/>
              <w:jc w:val="left"/>
              <w:rPr>
                <w:rFonts w:hint="eastAsia" w:ascii="宋体" w:hAnsi="宋体" w:eastAsia="宋体" w:cs="宋体"/>
                <w:sz w:val="24"/>
                <w:szCs w:val="24"/>
              </w:rPr>
            </w:pPr>
            <w:r>
              <w:rPr>
                <w:rFonts w:hint="eastAsia" w:ascii="宋体" w:hAnsi="宋体" w:eastAsia="宋体" w:cs="宋体"/>
                <w:sz w:val="24"/>
                <w:szCs w:val="24"/>
              </w:rPr>
              <w:t>所投产品为节能产品，每提供1份得0.5分，满分1分；</w:t>
            </w:r>
          </w:p>
          <w:p>
            <w:pPr>
              <w:autoSpaceDE w:val="0"/>
              <w:autoSpaceDN w:val="0"/>
              <w:snapToGrid w:val="0"/>
              <w:spacing w:line="336" w:lineRule="auto"/>
              <w:jc w:val="left"/>
              <w:rPr>
                <w:rFonts w:hint="eastAsia" w:ascii="宋体" w:hAnsi="宋体" w:eastAsia="宋体" w:cs="宋体"/>
                <w:sz w:val="24"/>
                <w:szCs w:val="24"/>
              </w:rPr>
            </w:pPr>
            <w:r>
              <w:rPr>
                <w:rFonts w:hint="eastAsia" w:ascii="宋体" w:hAnsi="宋体" w:eastAsia="宋体" w:cs="宋体"/>
                <w:sz w:val="24"/>
                <w:szCs w:val="24"/>
              </w:rPr>
              <w:t>所投产品为环保产品，每提供1份得0.5分，满分1分；未提供不得分。该项得分的认定以《国家节能产品认证证书》、《中国环境标志产品认证证书》为准。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3" w:hRule="atLeast"/>
          <w:jc w:val="center"/>
        </w:trPr>
        <w:tc>
          <w:tcPr>
            <w:tcW w:w="1134" w:type="dxa"/>
            <w:vMerge w:val="continue"/>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lang w:val="zh-CN"/>
              </w:rPr>
            </w:pPr>
          </w:p>
        </w:tc>
        <w:tc>
          <w:tcPr>
            <w:tcW w:w="1668" w:type="dxa"/>
            <w:shd w:val="clear" w:color="000000" w:fill="FFFFFF"/>
            <w:vAlign w:val="center"/>
          </w:tcPr>
          <w:p>
            <w:pPr>
              <w:spacing w:line="336" w:lineRule="auto"/>
              <w:jc w:val="center"/>
              <w:rPr>
                <w:rFonts w:hint="eastAsia" w:ascii="宋体" w:hAnsi="宋体" w:eastAsia="宋体" w:cs="宋体"/>
                <w:sz w:val="24"/>
                <w:szCs w:val="24"/>
              </w:rPr>
            </w:pPr>
            <w:r>
              <w:rPr>
                <w:rFonts w:hint="eastAsia" w:ascii="宋体" w:hAnsi="宋体" w:eastAsia="宋体" w:cs="宋体"/>
                <w:sz w:val="24"/>
                <w:szCs w:val="24"/>
              </w:rPr>
              <w:t>项目管理及实施方案</w:t>
            </w:r>
          </w:p>
        </w:tc>
        <w:tc>
          <w:tcPr>
            <w:tcW w:w="770" w:type="dxa"/>
            <w:shd w:val="clear" w:color="000000" w:fill="FFFFFF"/>
            <w:vAlign w:val="center"/>
          </w:tcPr>
          <w:p>
            <w:pPr>
              <w:spacing w:line="336"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6269" w:type="dxa"/>
            <w:shd w:val="clear" w:color="000000" w:fill="FFFFFF"/>
            <w:vAlign w:val="center"/>
          </w:tcPr>
          <w:p>
            <w:pPr>
              <w:spacing w:line="336" w:lineRule="auto"/>
              <w:rPr>
                <w:rFonts w:hint="eastAsia" w:ascii="宋体" w:hAnsi="宋体" w:eastAsia="宋体" w:cs="宋体"/>
                <w:sz w:val="24"/>
                <w:szCs w:val="24"/>
              </w:rPr>
            </w:pPr>
            <w:r>
              <w:rPr>
                <w:rFonts w:hint="eastAsia" w:ascii="宋体" w:hAnsi="宋体" w:eastAsia="宋体" w:cs="宋体"/>
                <w:sz w:val="24"/>
                <w:szCs w:val="24"/>
              </w:rPr>
              <w:t>1、设置了项目管理机构，并且有科学、具体的项目管理措施，能够结合项目特点制定实施方案的得7分；设置了项目管理机构，项目管理措施、实施方案可行的得4分；设置了项目管理机构，但仅提供了简单的项目管理措施、实施方案的得2分；未提供或其他情况的不得分。</w:t>
            </w:r>
          </w:p>
          <w:p>
            <w:pPr>
              <w:spacing w:line="336"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交货及安装期</w:t>
            </w:r>
            <w:r>
              <w:rPr>
                <w:rFonts w:hint="eastAsia" w:ascii="宋体" w:hAnsi="宋体" w:eastAsia="宋体" w:cs="宋体"/>
                <w:sz w:val="24"/>
                <w:szCs w:val="24"/>
              </w:rPr>
              <w:t>进度计划及保证措施：</w:t>
            </w:r>
            <w:r>
              <w:rPr>
                <w:rFonts w:hint="eastAsia" w:ascii="宋体" w:hAnsi="宋体" w:cs="宋体"/>
                <w:sz w:val="24"/>
                <w:szCs w:val="24"/>
                <w:lang w:eastAsia="zh-CN"/>
              </w:rPr>
              <w:t>交货及安装期</w:t>
            </w:r>
            <w:r>
              <w:rPr>
                <w:rFonts w:hint="eastAsia" w:ascii="宋体" w:hAnsi="宋体" w:eastAsia="宋体" w:cs="宋体"/>
                <w:sz w:val="24"/>
                <w:szCs w:val="24"/>
              </w:rPr>
              <w:t>进度计划及保证措施编制全面、合理得6分；</w:t>
            </w:r>
            <w:r>
              <w:rPr>
                <w:rFonts w:hint="eastAsia" w:ascii="宋体" w:hAnsi="宋体" w:cs="宋体"/>
                <w:sz w:val="24"/>
                <w:szCs w:val="24"/>
                <w:lang w:eastAsia="zh-CN"/>
              </w:rPr>
              <w:t>交货及安装期</w:t>
            </w:r>
            <w:r>
              <w:rPr>
                <w:rFonts w:hint="eastAsia" w:ascii="宋体" w:hAnsi="宋体" w:eastAsia="宋体" w:cs="宋体"/>
                <w:sz w:val="24"/>
                <w:szCs w:val="24"/>
              </w:rPr>
              <w:t>进度计划及保证措施计划编制可行得3分；仅简单提供描述的得1分；未提供的不得分。</w:t>
            </w:r>
          </w:p>
          <w:p>
            <w:pPr>
              <w:spacing w:line="360" w:lineRule="auto"/>
              <w:rPr>
                <w:rFonts w:hint="eastAsia" w:ascii="宋体" w:hAnsi="宋体" w:eastAsia="宋体" w:cs="宋体"/>
                <w:sz w:val="24"/>
                <w:szCs w:val="24"/>
              </w:rPr>
            </w:pPr>
            <w:r>
              <w:rPr>
                <w:rFonts w:hint="eastAsia" w:ascii="宋体" w:hAnsi="宋体" w:eastAsia="宋体" w:cs="宋体"/>
                <w:sz w:val="24"/>
                <w:szCs w:val="24"/>
              </w:rPr>
              <w:t>3、质量控制及保证措施：质量控制及保证措施明确、周密、合理得6分；质量控制及保证措施可行得3分；仅简单提供描述的得1分；措施不提供不得分。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134" w:type="dxa"/>
            <w:vMerge w:val="restart"/>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履约能力</w:t>
            </w:r>
          </w:p>
          <w:p>
            <w:pPr>
              <w:autoSpaceDE w:val="0"/>
              <w:autoSpaceDN w:val="0"/>
              <w:snapToGrid w:val="0"/>
              <w:spacing w:line="336" w:lineRule="auto"/>
              <w:jc w:val="center"/>
              <w:rPr>
                <w:rFonts w:hint="eastAsia" w:ascii="宋体" w:hAnsi="宋体" w:eastAsia="宋体" w:cs="宋体"/>
                <w:sz w:val="24"/>
                <w:szCs w:val="24"/>
              </w:rPr>
            </w:pPr>
            <w:r>
              <w:rPr>
                <w:rFonts w:hint="eastAsia" w:ascii="宋体" w:hAnsi="宋体" w:eastAsia="宋体" w:cs="宋体"/>
                <w:sz w:val="24"/>
                <w:szCs w:val="24"/>
              </w:rPr>
              <w:t>12分</w:t>
            </w:r>
          </w:p>
        </w:tc>
        <w:tc>
          <w:tcPr>
            <w:tcW w:w="1668" w:type="dxa"/>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rPr>
            </w:pPr>
            <w:r>
              <w:rPr>
                <w:rFonts w:hint="eastAsia" w:ascii="宋体" w:hAnsi="宋体" w:eastAsia="宋体" w:cs="宋体"/>
                <w:sz w:val="24"/>
                <w:szCs w:val="24"/>
              </w:rPr>
              <w:t>类似业绩情况</w:t>
            </w:r>
          </w:p>
        </w:tc>
        <w:tc>
          <w:tcPr>
            <w:tcW w:w="770" w:type="dxa"/>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6269" w:type="dxa"/>
            <w:shd w:val="clear" w:color="000000" w:fill="FFFFFF"/>
            <w:vAlign w:val="center"/>
          </w:tcPr>
          <w:p>
            <w:pPr>
              <w:autoSpaceDE w:val="0"/>
              <w:autoSpaceDN w:val="0"/>
              <w:snapToGrid w:val="0"/>
              <w:spacing w:line="336" w:lineRule="auto"/>
              <w:jc w:val="left"/>
              <w:rPr>
                <w:rFonts w:hint="eastAsia" w:ascii="宋体" w:hAnsi="宋体" w:eastAsia="宋体" w:cs="宋体"/>
                <w:sz w:val="24"/>
                <w:szCs w:val="24"/>
              </w:rPr>
            </w:pPr>
            <w:r>
              <w:rPr>
                <w:rFonts w:hint="eastAsia" w:ascii="宋体" w:hAnsi="宋体" w:eastAsia="宋体" w:cs="宋体"/>
                <w:sz w:val="24"/>
                <w:szCs w:val="24"/>
              </w:rPr>
              <w:t>提供2019年以来的投标人类似业绩证明材料，需提供中标通知书或合同（包含合同首页、标的及金额所在页、交货合同签字盖章页的扫描（或复印）件）</w:t>
            </w:r>
            <w:r>
              <w:rPr>
                <w:rFonts w:hint="eastAsia" w:ascii="宋体" w:hAnsi="宋体" w:eastAsia="宋体" w:cs="宋体"/>
                <w:bCs/>
                <w:sz w:val="24"/>
                <w:szCs w:val="24"/>
              </w:rPr>
              <w:t>。</w:t>
            </w:r>
            <w:r>
              <w:rPr>
                <w:rFonts w:hint="eastAsia" w:ascii="宋体" w:hAnsi="宋体" w:eastAsia="宋体" w:cs="宋体"/>
                <w:sz w:val="24"/>
                <w:szCs w:val="24"/>
              </w:rPr>
              <w:t>每提供一项得</w:t>
            </w:r>
            <w:r>
              <w:rPr>
                <w:rFonts w:hint="eastAsia" w:ascii="宋体" w:hAnsi="宋体" w:cs="宋体"/>
                <w:sz w:val="24"/>
                <w:szCs w:val="24"/>
                <w:lang w:val="en-US" w:eastAsia="zh-CN"/>
              </w:rPr>
              <w:t>3</w:t>
            </w:r>
            <w:r>
              <w:rPr>
                <w:rFonts w:hint="eastAsia" w:ascii="宋体" w:hAnsi="宋体" w:eastAsia="宋体" w:cs="宋体"/>
                <w:sz w:val="24"/>
                <w:szCs w:val="24"/>
              </w:rPr>
              <w:t>分，满分</w:t>
            </w:r>
            <w:r>
              <w:rPr>
                <w:rFonts w:hint="eastAsia" w:ascii="宋体" w:hAnsi="宋体" w:cs="宋体"/>
                <w:sz w:val="24"/>
                <w:szCs w:val="24"/>
                <w:lang w:val="en-US" w:eastAsia="zh-CN"/>
              </w:rPr>
              <w:t>9</w:t>
            </w:r>
            <w:r>
              <w:rPr>
                <w:rFonts w:hint="eastAsia" w:ascii="宋体" w:hAnsi="宋体" w:eastAsia="宋体" w:cs="宋体"/>
                <w:sz w:val="24"/>
                <w:szCs w:val="24"/>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34" w:type="dxa"/>
            <w:vMerge w:val="continue"/>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lang w:val="zh-CN"/>
              </w:rPr>
            </w:pPr>
          </w:p>
        </w:tc>
        <w:tc>
          <w:tcPr>
            <w:tcW w:w="1668" w:type="dxa"/>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rPr>
            </w:pPr>
            <w:r>
              <w:rPr>
                <w:rFonts w:hint="eastAsia" w:ascii="宋体" w:hAnsi="宋体" w:eastAsia="宋体" w:cs="宋体"/>
                <w:sz w:val="24"/>
                <w:szCs w:val="24"/>
              </w:rPr>
              <w:t>对磋商响应文件规范性要求</w:t>
            </w:r>
          </w:p>
        </w:tc>
        <w:tc>
          <w:tcPr>
            <w:tcW w:w="770" w:type="dxa"/>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6269" w:type="dxa"/>
            <w:shd w:val="clear" w:color="000000" w:fill="FFFFFF"/>
            <w:vAlign w:val="center"/>
          </w:tcPr>
          <w:p>
            <w:pPr>
              <w:autoSpaceDE w:val="0"/>
              <w:autoSpaceDN w:val="0"/>
              <w:snapToGrid w:val="0"/>
              <w:spacing w:line="336" w:lineRule="auto"/>
              <w:jc w:val="left"/>
              <w:rPr>
                <w:rFonts w:hint="eastAsia" w:ascii="宋体" w:hAnsi="宋体" w:eastAsia="宋体" w:cs="宋体"/>
                <w:sz w:val="24"/>
                <w:szCs w:val="24"/>
              </w:rPr>
            </w:pPr>
            <w:r>
              <w:rPr>
                <w:rFonts w:hint="eastAsia" w:ascii="宋体" w:hAnsi="宋体" w:eastAsia="宋体" w:cs="宋体"/>
                <w:sz w:val="24"/>
                <w:szCs w:val="24"/>
              </w:rPr>
              <w:t>完全响应磋商文件格式要求编排者得</w:t>
            </w:r>
            <w:r>
              <w:rPr>
                <w:rFonts w:hint="eastAsia" w:ascii="宋体" w:hAnsi="宋体" w:cs="宋体"/>
                <w:sz w:val="24"/>
                <w:szCs w:val="24"/>
                <w:lang w:val="en-US" w:eastAsia="zh-CN"/>
              </w:rPr>
              <w:t>3</w:t>
            </w:r>
            <w:r>
              <w:rPr>
                <w:rFonts w:hint="eastAsia" w:ascii="宋体" w:hAnsi="宋体" w:eastAsia="宋体" w:cs="宋体"/>
                <w:sz w:val="24"/>
                <w:szCs w:val="24"/>
              </w:rPr>
              <w:t>分；反之不得分。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34" w:type="dxa"/>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rPr>
            </w:pPr>
            <w:r>
              <w:rPr>
                <w:rFonts w:hint="eastAsia" w:ascii="宋体" w:hAnsi="宋体" w:eastAsia="宋体" w:cs="宋体"/>
                <w:sz w:val="24"/>
                <w:szCs w:val="24"/>
              </w:rPr>
              <w:t>售后服务</w:t>
            </w:r>
          </w:p>
          <w:p>
            <w:pPr>
              <w:autoSpaceDE w:val="0"/>
              <w:autoSpaceDN w:val="0"/>
              <w:snapToGrid w:val="0"/>
              <w:spacing w:line="336"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5分</w:t>
            </w:r>
          </w:p>
        </w:tc>
        <w:tc>
          <w:tcPr>
            <w:tcW w:w="1668" w:type="dxa"/>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售后服务</w:t>
            </w:r>
          </w:p>
        </w:tc>
        <w:tc>
          <w:tcPr>
            <w:tcW w:w="770" w:type="dxa"/>
            <w:shd w:val="clear" w:color="000000" w:fill="FFFFFF"/>
            <w:vAlign w:val="center"/>
          </w:tcPr>
          <w:p>
            <w:pPr>
              <w:autoSpaceDE w:val="0"/>
              <w:autoSpaceDN w:val="0"/>
              <w:snapToGrid w:val="0"/>
              <w:spacing w:line="336"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6269" w:type="dxa"/>
            <w:shd w:val="clear" w:color="000000" w:fill="FFFFFF"/>
            <w:vAlign w:val="center"/>
          </w:tcPr>
          <w:p>
            <w:pPr>
              <w:pStyle w:val="27"/>
              <w:spacing w:before="0" w:beforeAutospacing="0" w:after="0" w:afterAutospacing="0" w:line="336" w:lineRule="auto"/>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针对该项目有详尽的组织实施、验收、售后、培训等方面的服务能力、措施及相关承诺，全面、详细、合理的，得5分；服务能力、措施及相关承诺可行的，得3分；仅提供了简单的服务能力、措施及相关承诺的，得1分；未提供的不得分。</w:t>
            </w:r>
          </w:p>
        </w:tc>
      </w:tr>
      <w:bookmarkEnd w:id="61"/>
    </w:tbl>
    <w:p>
      <w:pPr>
        <w:pStyle w:val="6"/>
        <w:rPr>
          <w:rFonts w:hint="eastAsia" w:ascii="宋体" w:hAnsi="宋体" w:eastAsia="宋体" w:cs="宋体"/>
          <w:b/>
          <w:sz w:val="24"/>
          <w:szCs w:val="24"/>
        </w:rPr>
      </w:pPr>
      <w:bookmarkStart w:id="62" w:name="_Toc10583"/>
      <w:r>
        <w:rPr>
          <w:rFonts w:hint="eastAsia" w:ascii="宋体" w:hAnsi="宋体" w:eastAsia="宋体" w:cs="宋体"/>
          <w:b/>
          <w:sz w:val="24"/>
          <w:szCs w:val="24"/>
        </w:rPr>
        <w:t>定标</w:t>
      </w:r>
      <w:bookmarkEnd w:id="62"/>
    </w:p>
    <w:p>
      <w:pPr>
        <w:pStyle w:val="7"/>
        <w:numPr>
          <w:ilvl w:val="0"/>
          <w:numId w:val="3"/>
        </w:numPr>
        <w:spacing w:before="0" w:after="0" w:line="360" w:lineRule="auto"/>
        <w:rPr>
          <w:rFonts w:hint="eastAsia" w:ascii="宋体" w:hAnsi="宋体" w:eastAsia="宋体" w:cs="宋体"/>
          <w:b w:val="0"/>
          <w:sz w:val="24"/>
          <w:szCs w:val="24"/>
        </w:rPr>
      </w:pPr>
      <w:bookmarkStart w:id="63" w:name="_Toc19798"/>
      <w:bookmarkStart w:id="64" w:name="_Toc488673637"/>
      <w:r>
        <w:rPr>
          <w:rFonts w:hint="eastAsia" w:ascii="宋体" w:hAnsi="宋体" w:eastAsia="宋体" w:cs="宋体"/>
          <w:b w:val="0"/>
          <w:sz w:val="24"/>
          <w:szCs w:val="24"/>
        </w:rPr>
        <w:t>推荐并确定成交磋商供应商</w:t>
      </w:r>
      <w:bookmarkEnd w:id="63"/>
      <w:bookmarkEnd w:id="64"/>
    </w:p>
    <w:p>
      <w:pPr>
        <w:pStyle w:val="17"/>
        <w:numPr>
          <w:ilvl w:val="1"/>
          <w:numId w:val="30"/>
        </w:numPr>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采用综合评分法的，</w:t>
      </w:r>
      <w:r>
        <w:rPr>
          <w:rFonts w:hint="eastAsia" w:ascii="宋体" w:hAnsi="宋体" w:eastAsia="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pPr>
        <w:pStyle w:val="17"/>
        <w:numPr>
          <w:ilvl w:val="1"/>
          <w:numId w:val="3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成交磋商供应商因不可抗力或自身原因不能履行合同时，采购单位可以按照评审报告推荐的预中标候选磋商供应商名单排序，确定下一候选磋商供应商为中标磋商供应商，也可重新开展政府采购活动。</w:t>
      </w:r>
    </w:p>
    <w:p>
      <w:pPr>
        <w:pStyle w:val="17"/>
        <w:numPr>
          <w:ilvl w:val="1"/>
          <w:numId w:val="30"/>
        </w:numPr>
        <w:spacing w:line="360" w:lineRule="auto"/>
        <w:jc w:val="left"/>
        <w:rPr>
          <w:rFonts w:hint="eastAsia" w:ascii="宋体" w:hAnsi="宋体" w:eastAsia="宋体" w:cs="宋体"/>
          <w:sz w:val="24"/>
          <w:szCs w:val="24"/>
        </w:rPr>
      </w:pPr>
      <w:r>
        <w:rPr>
          <w:rFonts w:hint="eastAsia" w:ascii="宋体" w:hAnsi="宋体" w:eastAsia="宋体" w:cs="宋体"/>
          <w:sz w:val="24"/>
          <w:szCs w:val="24"/>
          <w:shd w:val="clear" w:color="auto" w:fill="FFFFFF"/>
        </w:rPr>
        <w:t>评标结果汇总完成后，除下列情形外，任何人不得修改评标结果：</w:t>
      </w:r>
    </w:p>
    <w:p>
      <w:pPr>
        <w:pStyle w:val="17"/>
        <w:numPr>
          <w:ilvl w:val="0"/>
          <w:numId w:val="31"/>
        </w:numPr>
        <w:spacing w:line="360" w:lineRule="auto"/>
        <w:jc w:val="left"/>
        <w:rPr>
          <w:rFonts w:hint="eastAsia" w:ascii="宋体" w:hAnsi="宋体" w:eastAsia="宋体" w:cs="宋体"/>
          <w:sz w:val="24"/>
          <w:szCs w:val="24"/>
        </w:rPr>
      </w:pPr>
      <w:r>
        <w:rPr>
          <w:rFonts w:hint="eastAsia" w:ascii="宋体" w:hAnsi="宋体" w:eastAsia="宋体" w:cs="宋体"/>
          <w:sz w:val="24"/>
          <w:szCs w:val="24"/>
          <w:shd w:val="clear" w:color="auto" w:fill="FFFFFF"/>
        </w:rPr>
        <w:t>分值汇总计算错误的；</w:t>
      </w:r>
    </w:p>
    <w:p>
      <w:pPr>
        <w:pStyle w:val="17"/>
        <w:numPr>
          <w:ilvl w:val="0"/>
          <w:numId w:val="31"/>
        </w:numPr>
        <w:spacing w:line="360" w:lineRule="auto"/>
        <w:jc w:val="left"/>
        <w:rPr>
          <w:rFonts w:hint="eastAsia" w:ascii="宋体" w:hAnsi="宋体" w:eastAsia="宋体" w:cs="宋体"/>
          <w:sz w:val="24"/>
          <w:szCs w:val="24"/>
        </w:rPr>
      </w:pPr>
      <w:r>
        <w:rPr>
          <w:rFonts w:hint="eastAsia" w:ascii="宋体" w:hAnsi="宋体" w:eastAsia="宋体" w:cs="宋体"/>
          <w:sz w:val="24"/>
          <w:szCs w:val="24"/>
          <w:shd w:val="clear" w:color="auto" w:fill="FFFFFF"/>
        </w:rPr>
        <w:t>分项评分超出评分标准范围的；</w:t>
      </w:r>
    </w:p>
    <w:p>
      <w:pPr>
        <w:pStyle w:val="17"/>
        <w:numPr>
          <w:ilvl w:val="0"/>
          <w:numId w:val="31"/>
        </w:numPr>
        <w:spacing w:line="360" w:lineRule="auto"/>
        <w:jc w:val="left"/>
        <w:rPr>
          <w:rFonts w:hint="eastAsia" w:ascii="宋体" w:hAnsi="宋体" w:eastAsia="宋体" w:cs="宋体"/>
          <w:sz w:val="24"/>
          <w:szCs w:val="24"/>
        </w:rPr>
      </w:pPr>
      <w:r>
        <w:rPr>
          <w:rFonts w:hint="eastAsia" w:ascii="宋体" w:hAnsi="宋体" w:eastAsia="宋体" w:cs="宋体"/>
          <w:sz w:val="24"/>
          <w:szCs w:val="24"/>
          <w:shd w:val="clear" w:color="auto" w:fill="FFFFFF"/>
        </w:rPr>
        <w:t>评标委员会成员对客观评审因素评分不一致的；</w:t>
      </w:r>
    </w:p>
    <w:p>
      <w:pPr>
        <w:pStyle w:val="17"/>
        <w:numPr>
          <w:ilvl w:val="0"/>
          <w:numId w:val="31"/>
        </w:numPr>
        <w:spacing w:line="360" w:lineRule="auto"/>
        <w:jc w:val="left"/>
        <w:rPr>
          <w:rFonts w:hint="eastAsia" w:ascii="宋体" w:hAnsi="宋体" w:eastAsia="宋体" w:cs="宋体"/>
          <w:sz w:val="24"/>
          <w:szCs w:val="24"/>
        </w:rPr>
      </w:pPr>
      <w:r>
        <w:rPr>
          <w:rFonts w:hint="eastAsia" w:ascii="宋体" w:hAnsi="宋体" w:eastAsia="宋体" w:cs="宋体"/>
          <w:sz w:val="24"/>
          <w:szCs w:val="24"/>
          <w:shd w:val="clear" w:color="auto" w:fill="FFFFFF"/>
        </w:rPr>
        <w:t>经评标委员会认定评分畸高、畸低的。</w:t>
      </w:r>
    </w:p>
    <w:p>
      <w:pPr>
        <w:autoSpaceDE w:val="0"/>
        <w:autoSpaceDN w:val="0"/>
        <w:spacing w:line="360" w:lineRule="auto"/>
        <w:ind w:left="1042" w:leftChars="496"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7"/>
        <w:spacing w:line="360" w:lineRule="auto"/>
        <w:ind w:left="1042" w:leftChars="496" w:firstLine="480" w:firstLineChars="200"/>
        <w:jc w:val="left"/>
        <w:rPr>
          <w:rFonts w:hint="eastAsia" w:ascii="宋体" w:hAnsi="宋体" w:eastAsia="宋体" w:cs="宋体"/>
          <w:sz w:val="24"/>
          <w:szCs w:val="24"/>
        </w:rPr>
      </w:pPr>
      <w:r>
        <w:rPr>
          <w:rFonts w:hint="eastAsia" w:ascii="宋体" w:hAnsi="宋体" w:eastAsia="宋体" w:cs="宋体"/>
          <w:sz w:val="24"/>
          <w:szCs w:val="24"/>
          <w:shd w:val="clear" w:color="auto" w:fill="FFFFFF"/>
        </w:rPr>
        <w:t>磋商人对以上情形提出质疑的，采购人或者采购代理机构可以组织原评标委员会进行重新评审，重新评审改变评标结果的，应当书面报告本级财政部门。</w:t>
      </w:r>
    </w:p>
    <w:p>
      <w:pPr>
        <w:pStyle w:val="7"/>
        <w:numPr>
          <w:ilvl w:val="0"/>
          <w:numId w:val="3"/>
        </w:numPr>
        <w:spacing w:before="0" w:after="0" w:line="360" w:lineRule="auto"/>
        <w:rPr>
          <w:rFonts w:hint="eastAsia" w:ascii="宋体" w:hAnsi="宋体" w:eastAsia="宋体" w:cs="宋体"/>
          <w:b w:val="0"/>
          <w:sz w:val="24"/>
          <w:szCs w:val="24"/>
        </w:rPr>
      </w:pPr>
      <w:bookmarkStart w:id="65" w:name="_Toc488673638"/>
      <w:bookmarkStart w:id="66" w:name="_Toc26449"/>
      <w:r>
        <w:rPr>
          <w:rFonts w:hint="eastAsia" w:ascii="宋体" w:hAnsi="宋体" w:eastAsia="宋体" w:cs="宋体"/>
          <w:b w:val="0"/>
          <w:sz w:val="24"/>
          <w:szCs w:val="24"/>
        </w:rPr>
        <w:t>中标通知</w:t>
      </w:r>
      <w:bookmarkEnd w:id="65"/>
      <w:bookmarkEnd w:id="66"/>
    </w:p>
    <w:p>
      <w:pPr>
        <w:pStyle w:val="17"/>
        <w:numPr>
          <w:ilvl w:val="1"/>
          <w:numId w:val="32"/>
        </w:num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磋商文件规定的方式确定中标人；磋商文件未规定的，采取随机抽取的方式确定。</w:t>
      </w:r>
    </w:p>
    <w:p>
      <w:pPr>
        <w:pStyle w:val="17"/>
        <w:numPr>
          <w:ilvl w:val="1"/>
          <w:numId w:val="32"/>
        </w:num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采购人在收到评标报告5个工作日内未按评标报告推荐的中标候选人顺序确定中标人，又不能说明合法理由的，视同按评标报告推荐的顺序确定排名第一的中标候选人为中标人。</w:t>
      </w:r>
    </w:p>
    <w:p>
      <w:pPr>
        <w:pStyle w:val="17"/>
        <w:numPr>
          <w:ilvl w:val="1"/>
          <w:numId w:val="32"/>
        </w:num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采购代理机构自中标磋商供应商确定之日起2个工作日内发出《中标通知书》，并</w:t>
      </w:r>
      <w:r>
        <w:rPr>
          <w:rFonts w:hint="eastAsia" w:hAnsi="宋体" w:cs="宋体"/>
          <w:sz w:val="24"/>
          <w:szCs w:val="24"/>
          <w:lang w:val="en-US" w:eastAsia="zh-CN"/>
        </w:rPr>
        <w:t>青海政府采购网、</w:t>
      </w:r>
      <w:r>
        <w:rPr>
          <w:rFonts w:hint="eastAsia" w:ascii="宋体" w:hAnsi="宋体" w:eastAsia="宋体" w:cs="宋体"/>
          <w:bCs/>
          <w:color w:val="000000" w:themeColor="text1"/>
          <w:sz w:val="24"/>
          <w:szCs w:val="24"/>
          <w:lang w:val="zh-CN"/>
        </w:rPr>
        <w:t>青海省电子招投标公共服务平台、</w:t>
      </w:r>
      <w:r>
        <w:rPr>
          <w:rFonts w:hint="eastAsia" w:ascii="宋体" w:hAnsi="宋体" w:eastAsia="宋体" w:cs="宋体"/>
          <w:sz w:val="24"/>
          <w:szCs w:val="24"/>
        </w:rPr>
        <w:t>在青海项目信息网、中国招标与采购网等媒体上公告中标结果。</w:t>
      </w:r>
    </w:p>
    <w:p>
      <w:pPr>
        <w:pStyle w:val="17"/>
        <w:numPr>
          <w:ilvl w:val="1"/>
          <w:numId w:val="32"/>
        </w:num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pStyle w:val="17"/>
        <w:numPr>
          <w:ilvl w:val="1"/>
          <w:numId w:val="32"/>
        </w:num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中标公告期限为1个工作日。</w:t>
      </w:r>
    </w:p>
    <w:p>
      <w:pPr>
        <w:pStyle w:val="17"/>
        <w:numPr>
          <w:ilvl w:val="1"/>
          <w:numId w:val="32"/>
        </w:num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在公告中标结果的同时，</w:t>
      </w:r>
      <w:r>
        <w:rPr>
          <w:rFonts w:hint="eastAsia" w:ascii="宋体" w:hAnsi="宋体" w:eastAsia="宋体" w:cs="宋体"/>
          <w:sz w:val="24"/>
          <w:szCs w:val="24"/>
          <w:shd w:val="clear" w:color="auto" w:fill="FFFFFF"/>
        </w:rPr>
        <w:t>采购人或者采购代理机构</w:t>
      </w:r>
      <w:r>
        <w:rPr>
          <w:rFonts w:hint="eastAsia" w:ascii="宋体" w:hAnsi="宋体" w:eastAsia="宋体" w:cs="宋体"/>
          <w:sz w:val="24"/>
          <w:szCs w:val="24"/>
        </w:rPr>
        <w:t>应当向中标人发出中标通知书；采用综合评分法评审的，还应当告知未中标人本人的评审得分与排序。</w:t>
      </w:r>
    </w:p>
    <w:p>
      <w:pPr>
        <w:pStyle w:val="17"/>
        <w:numPr>
          <w:ilvl w:val="1"/>
          <w:numId w:val="32"/>
        </w:num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中标通知书发出后，采购人不得违法改变中标结果，中标人无正当理由不得放弃中标。</w:t>
      </w:r>
    </w:p>
    <w:p>
      <w:pPr>
        <w:pStyle w:val="17"/>
        <w:numPr>
          <w:ilvl w:val="1"/>
          <w:numId w:val="32"/>
        </w:num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《成交通知书》对采购单位和成交磋商供应商具有同等效力，《成交通知书》发出后，采购单位改变成交结果的，或者成交磋商供应商无正当理由放弃成交项目的，依法承担法律责任。</w:t>
      </w:r>
    </w:p>
    <w:p>
      <w:pPr>
        <w:pStyle w:val="6"/>
        <w:rPr>
          <w:rFonts w:hint="eastAsia" w:ascii="宋体" w:hAnsi="宋体" w:eastAsia="宋体" w:cs="宋体"/>
          <w:b/>
          <w:sz w:val="24"/>
          <w:szCs w:val="24"/>
        </w:rPr>
      </w:pPr>
      <w:bookmarkStart w:id="67" w:name="_Toc16428"/>
      <w:r>
        <w:rPr>
          <w:rFonts w:hint="eastAsia" w:ascii="宋体" w:hAnsi="宋体" w:eastAsia="宋体" w:cs="宋体"/>
          <w:b/>
          <w:sz w:val="24"/>
          <w:szCs w:val="24"/>
        </w:rPr>
        <w:t>授予合同</w:t>
      </w:r>
      <w:bookmarkEnd w:id="67"/>
    </w:p>
    <w:p>
      <w:pPr>
        <w:pStyle w:val="7"/>
        <w:numPr>
          <w:ilvl w:val="0"/>
          <w:numId w:val="3"/>
        </w:numPr>
        <w:spacing w:before="0" w:after="0" w:line="360" w:lineRule="auto"/>
        <w:rPr>
          <w:rFonts w:hint="eastAsia" w:ascii="宋体" w:hAnsi="宋体" w:eastAsia="宋体" w:cs="宋体"/>
          <w:b w:val="0"/>
          <w:sz w:val="24"/>
          <w:szCs w:val="24"/>
        </w:rPr>
      </w:pPr>
      <w:bookmarkStart w:id="68" w:name="_Toc488673640"/>
      <w:bookmarkStart w:id="69" w:name="_Toc22310"/>
      <w:r>
        <w:rPr>
          <w:rFonts w:hint="eastAsia" w:ascii="宋体" w:hAnsi="宋体" w:eastAsia="宋体" w:cs="宋体"/>
          <w:b w:val="0"/>
          <w:sz w:val="24"/>
          <w:szCs w:val="24"/>
        </w:rPr>
        <w:t>签订合同</w:t>
      </w:r>
      <w:bookmarkEnd w:id="68"/>
      <w:bookmarkEnd w:id="69"/>
    </w:p>
    <w:p>
      <w:pPr>
        <w:pStyle w:val="17"/>
        <w:numPr>
          <w:ilvl w:val="1"/>
          <w:numId w:val="33"/>
        </w:numPr>
        <w:spacing w:line="360" w:lineRule="auto"/>
        <w:jc w:val="left"/>
        <w:rPr>
          <w:rFonts w:hint="eastAsia" w:ascii="宋体" w:hAnsi="宋体" w:eastAsia="宋体" w:cs="宋体"/>
          <w:sz w:val="24"/>
          <w:szCs w:val="24"/>
        </w:rPr>
      </w:pPr>
      <w:r>
        <w:rPr>
          <w:rFonts w:hint="eastAsia" w:ascii="宋体" w:hAnsi="宋体" w:eastAsia="宋体" w:cs="宋体"/>
          <w:sz w:val="24"/>
          <w:szCs w:val="24"/>
        </w:rPr>
        <w:t>采购单位与成交磋商供应商双方应当自《成交通知书》发出之日起30日内，签订采购合同，送采购代理机构审核并备案；</w:t>
      </w:r>
    </w:p>
    <w:p>
      <w:pPr>
        <w:pStyle w:val="17"/>
        <w:numPr>
          <w:ilvl w:val="1"/>
          <w:numId w:val="33"/>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成交磋商供应商在法定期限内无正当理由拒签合同的，按违约处理。同时，采购代理机构和采购单位可依评标排序重新确定成交磋商供应商，并协调双方签订采购合同，或重新组织采购活动；</w:t>
      </w:r>
    </w:p>
    <w:p>
      <w:pPr>
        <w:pStyle w:val="17"/>
        <w:numPr>
          <w:ilvl w:val="1"/>
          <w:numId w:val="33"/>
        </w:numPr>
        <w:spacing w:line="360" w:lineRule="auto"/>
        <w:jc w:val="left"/>
        <w:rPr>
          <w:rFonts w:hint="eastAsia" w:ascii="宋体" w:hAnsi="宋体" w:eastAsia="宋体" w:cs="宋体"/>
          <w:sz w:val="24"/>
          <w:szCs w:val="24"/>
        </w:rPr>
      </w:pPr>
      <w:r>
        <w:rPr>
          <w:rFonts w:hint="eastAsia" w:ascii="宋体" w:hAnsi="宋体" w:eastAsia="宋体" w:cs="宋体"/>
          <w:sz w:val="24"/>
          <w:szCs w:val="24"/>
        </w:rPr>
        <w:t>采购单位不得向成交供应商提出任何不合理的要求作为订立合同的条件，采购单位和成交供应商不得私下订立背离合同实质性内容的协议；</w:t>
      </w:r>
    </w:p>
    <w:p>
      <w:pPr>
        <w:pStyle w:val="17"/>
        <w:numPr>
          <w:ilvl w:val="1"/>
          <w:numId w:val="33"/>
        </w:numPr>
        <w:spacing w:line="360" w:lineRule="auto"/>
        <w:jc w:val="left"/>
        <w:rPr>
          <w:rFonts w:hint="eastAsia" w:ascii="宋体" w:hAnsi="宋体" w:eastAsia="宋体" w:cs="宋体"/>
          <w:sz w:val="24"/>
          <w:szCs w:val="24"/>
        </w:rPr>
      </w:pPr>
      <w:r>
        <w:rPr>
          <w:rFonts w:hint="eastAsia" w:ascii="宋体" w:hAnsi="宋体" w:eastAsia="宋体" w:cs="宋体"/>
          <w:sz w:val="24"/>
          <w:szCs w:val="24"/>
        </w:rPr>
        <w:t>磋商文件、成交磋商供应商的磋商响应文件、《成交通知书》及其澄清、说明文件、承诺等，均为签订采购合同的依据，作为采购合同的组成部分；</w:t>
      </w:r>
    </w:p>
    <w:p>
      <w:pPr>
        <w:pStyle w:val="17"/>
        <w:numPr>
          <w:ilvl w:val="1"/>
          <w:numId w:val="33"/>
        </w:numPr>
        <w:spacing w:line="360" w:lineRule="auto"/>
        <w:jc w:val="left"/>
        <w:rPr>
          <w:rFonts w:hint="eastAsia" w:ascii="宋体" w:hAnsi="宋体" w:eastAsia="宋体" w:cs="宋体"/>
          <w:sz w:val="24"/>
          <w:szCs w:val="24"/>
        </w:rPr>
      </w:pPr>
      <w:r>
        <w:rPr>
          <w:rFonts w:hint="eastAsia" w:ascii="宋体" w:hAnsi="宋体" w:eastAsia="宋体" w:cs="宋体"/>
          <w:sz w:val="24"/>
          <w:szCs w:val="24"/>
        </w:rPr>
        <w:t>采购人与成交人应当根据合同的约定依法履行合同义务。政府采购合同的履行、违约责任和解决争议的方法等适用《中华人民共和国民法典》。</w:t>
      </w:r>
    </w:p>
    <w:p>
      <w:pPr>
        <w:pStyle w:val="17"/>
        <w:numPr>
          <w:ilvl w:val="1"/>
          <w:numId w:val="33"/>
        </w:numPr>
        <w:spacing w:line="360" w:lineRule="auto"/>
        <w:jc w:val="left"/>
        <w:rPr>
          <w:rFonts w:hint="eastAsia" w:ascii="宋体" w:hAnsi="宋体" w:eastAsia="宋体" w:cs="宋体"/>
          <w:sz w:val="24"/>
          <w:szCs w:val="24"/>
        </w:rPr>
      </w:pPr>
      <w:r>
        <w:rPr>
          <w:rFonts w:hint="eastAsia" w:ascii="宋体" w:hAnsi="宋体" w:eastAsia="宋体" w:cs="宋体"/>
          <w:sz w:val="24"/>
          <w:szCs w:val="24"/>
        </w:rPr>
        <w:t>采购人应当及时对采购项目进行验收。采购人可以邀请参加本项目的其他磋商人或者第三方机构参与验收。参与验收的磋商人或者第三方机构的意见作为验收书的参考资料一并存档。</w:t>
      </w:r>
    </w:p>
    <w:p>
      <w:pPr>
        <w:pStyle w:val="17"/>
        <w:numPr>
          <w:ilvl w:val="1"/>
          <w:numId w:val="33"/>
        </w:numPr>
        <w:spacing w:line="360" w:lineRule="auto"/>
        <w:jc w:val="left"/>
        <w:rPr>
          <w:rFonts w:hint="eastAsia" w:ascii="宋体" w:hAnsi="宋体" w:eastAsia="宋体" w:cs="宋体"/>
          <w:sz w:val="24"/>
          <w:szCs w:val="24"/>
        </w:rPr>
      </w:pPr>
      <w:r>
        <w:rPr>
          <w:rFonts w:hint="eastAsia" w:ascii="宋体" w:hAnsi="宋体" w:eastAsia="宋体" w:cs="宋体"/>
          <w:sz w:val="24"/>
          <w:szCs w:val="24"/>
        </w:rPr>
        <w:t>采购人应当加强对成交人的履约管理，并按照采购合同约定，及时向成交人支付采购资金。对于成交人违反采购合同约定的行为，采购人应当及时处理，依法追究其违约责任。</w:t>
      </w:r>
    </w:p>
    <w:p>
      <w:pPr>
        <w:pStyle w:val="17"/>
        <w:numPr>
          <w:ilvl w:val="1"/>
          <w:numId w:val="33"/>
        </w:numPr>
        <w:spacing w:line="360" w:lineRule="auto"/>
        <w:jc w:val="left"/>
        <w:rPr>
          <w:rFonts w:hint="eastAsia" w:ascii="宋体" w:hAnsi="宋体" w:eastAsia="宋体" w:cs="宋体"/>
          <w:sz w:val="24"/>
          <w:szCs w:val="24"/>
        </w:rPr>
      </w:pPr>
      <w:r>
        <w:rPr>
          <w:rFonts w:hint="eastAsia" w:ascii="宋体" w:hAnsi="宋体" w:eastAsia="宋体" w:cs="宋体"/>
          <w:sz w:val="24"/>
          <w:szCs w:val="24"/>
        </w:rPr>
        <w:t>采购人、采购代理机构应当建立真实完整的招标采购档案，妥善保存每项采购活动的磋商文件。</w:t>
      </w:r>
    </w:p>
    <w:p>
      <w:pPr>
        <w:pStyle w:val="6"/>
        <w:rPr>
          <w:rFonts w:hint="eastAsia" w:ascii="宋体" w:hAnsi="宋体" w:eastAsia="宋体" w:cs="宋体"/>
          <w:b/>
          <w:sz w:val="24"/>
          <w:szCs w:val="24"/>
        </w:rPr>
      </w:pPr>
      <w:bookmarkStart w:id="70" w:name="_Toc11209"/>
      <w:r>
        <w:rPr>
          <w:rFonts w:hint="eastAsia" w:ascii="宋体" w:hAnsi="宋体" w:eastAsia="宋体" w:cs="宋体"/>
          <w:b/>
          <w:sz w:val="24"/>
          <w:szCs w:val="24"/>
        </w:rPr>
        <w:t>废标条款</w:t>
      </w:r>
      <w:bookmarkEnd w:id="70"/>
    </w:p>
    <w:p>
      <w:pPr>
        <w:pStyle w:val="7"/>
        <w:numPr>
          <w:ilvl w:val="0"/>
          <w:numId w:val="3"/>
        </w:numPr>
        <w:spacing w:before="0" w:after="0" w:line="360" w:lineRule="auto"/>
        <w:rPr>
          <w:rFonts w:hint="eastAsia" w:ascii="宋体" w:hAnsi="宋体" w:eastAsia="宋体" w:cs="宋体"/>
          <w:b w:val="0"/>
          <w:sz w:val="24"/>
          <w:szCs w:val="24"/>
        </w:rPr>
      </w:pPr>
      <w:bookmarkStart w:id="71" w:name="_Toc9881"/>
      <w:bookmarkStart w:id="72" w:name="_Toc488673642"/>
      <w:r>
        <w:rPr>
          <w:rFonts w:hint="eastAsia" w:ascii="宋体" w:hAnsi="宋体" w:eastAsia="宋体" w:cs="宋体"/>
          <w:b w:val="0"/>
          <w:sz w:val="24"/>
          <w:szCs w:val="24"/>
        </w:rPr>
        <w:t>废标情形</w:t>
      </w:r>
      <w:bookmarkEnd w:id="71"/>
      <w:bookmarkEnd w:id="72"/>
    </w:p>
    <w:p>
      <w:pPr>
        <w:pStyle w:val="17"/>
        <w:numPr>
          <w:ilvl w:val="1"/>
          <w:numId w:val="34"/>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在磋商采购中，出现下列情形之一的，应予废标：</w:t>
      </w:r>
    </w:p>
    <w:p>
      <w:pPr>
        <w:pStyle w:val="17"/>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符合磋商条件的磋商供应商或者对磋商文件作出实质性响应的磋商供应商不足三家的；</w:t>
      </w:r>
    </w:p>
    <w:p>
      <w:pPr>
        <w:pStyle w:val="17"/>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出现影响采购活动正常推进的违法、违规行为的；</w:t>
      </w:r>
    </w:p>
    <w:p>
      <w:pPr>
        <w:pStyle w:val="17"/>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磋商供应商的报价均超出采购预算额度，采购单位不能支付的；</w:t>
      </w:r>
    </w:p>
    <w:p>
      <w:pPr>
        <w:pStyle w:val="17"/>
        <w:numPr>
          <w:ilvl w:val="0"/>
          <w:numId w:val="35"/>
        </w:numPr>
        <w:spacing w:line="360" w:lineRule="auto"/>
        <w:rPr>
          <w:rFonts w:hint="eastAsia" w:ascii="宋体" w:hAnsi="宋体" w:eastAsia="宋体" w:cs="宋体"/>
          <w:sz w:val="24"/>
          <w:szCs w:val="24"/>
        </w:rPr>
      </w:pPr>
      <w:r>
        <w:rPr>
          <w:rFonts w:hint="eastAsia" w:ascii="宋体" w:hAnsi="宋体" w:eastAsia="宋体" w:cs="宋体"/>
          <w:sz w:val="24"/>
          <w:szCs w:val="24"/>
        </w:rPr>
        <w:t>因重大变故，采购任务取消的。</w:t>
      </w:r>
    </w:p>
    <w:p>
      <w:pPr>
        <w:pStyle w:val="17"/>
        <w:numPr>
          <w:ilvl w:val="1"/>
          <w:numId w:val="34"/>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废标后，由采购代理机构发布废标公告。</w:t>
      </w:r>
    </w:p>
    <w:p>
      <w:pPr>
        <w:pStyle w:val="6"/>
        <w:rPr>
          <w:rFonts w:hint="eastAsia" w:ascii="宋体" w:hAnsi="宋体" w:eastAsia="宋体" w:cs="宋体"/>
          <w:b/>
          <w:sz w:val="24"/>
          <w:szCs w:val="24"/>
        </w:rPr>
      </w:pPr>
      <w:bookmarkStart w:id="73" w:name="_Toc15280"/>
      <w:r>
        <w:rPr>
          <w:rFonts w:hint="eastAsia" w:ascii="宋体" w:hAnsi="宋体" w:eastAsia="宋体" w:cs="宋体"/>
          <w:b/>
          <w:sz w:val="24"/>
          <w:szCs w:val="24"/>
        </w:rPr>
        <w:t>其他</w:t>
      </w:r>
      <w:bookmarkEnd w:id="73"/>
    </w:p>
    <w:p>
      <w:pPr>
        <w:pStyle w:val="7"/>
        <w:numPr>
          <w:ilvl w:val="0"/>
          <w:numId w:val="3"/>
        </w:numPr>
        <w:spacing w:before="0" w:after="0" w:line="360" w:lineRule="auto"/>
        <w:rPr>
          <w:rFonts w:hint="eastAsia" w:ascii="宋体" w:hAnsi="宋体" w:eastAsia="宋体" w:cs="宋体"/>
          <w:b w:val="0"/>
          <w:sz w:val="24"/>
          <w:szCs w:val="24"/>
        </w:rPr>
      </w:pPr>
      <w:bookmarkStart w:id="74" w:name="_Toc23750"/>
      <w:bookmarkStart w:id="75" w:name="_Toc488673644"/>
      <w:r>
        <w:rPr>
          <w:rFonts w:hint="eastAsia" w:ascii="宋体" w:hAnsi="宋体" w:eastAsia="宋体" w:cs="宋体"/>
          <w:b w:val="0"/>
          <w:sz w:val="24"/>
          <w:szCs w:val="24"/>
        </w:rPr>
        <w:t>串标情形</w:t>
      </w:r>
      <w:bookmarkEnd w:id="74"/>
      <w:bookmarkEnd w:id="75"/>
    </w:p>
    <w:p>
      <w:pPr>
        <w:pStyle w:val="17"/>
        <w:numPr>
          <w:ilvl w:val="0"/>
          <w:numId w:val="36"/>
        </w:numPr>
        <w:spacing w:line="360" w:lineRule="auto"/>
        <w:jc w:val="left"/>
        <w:rPr>
          <w:rFonts w:hint="eastAsia" w:ascii="宋体" w:hAnsi="宋体" w:eastAsia="宋体" w:cs="宋体"/>
          <w:sz w:val="24"/>
          <w:szCs w:val="24"/>
        </w:rPr>
      </w:pPr>
      <w:r>
        <w:rPr>
          <w:rFonts w:hint="eastAsia" w:ascii="宋体" w:hAnsi="宋体" w:eastAsia="宋体" w:cs="宋体"/>
          <w:sz w:val="24"/>
          <w:szCs w:val="24"/>
        </w:rPr>
        <w:t>磋商人应当遵循公平竞争的原则，不得恶意串通，不得妨碍其他磋商人的竞争行为，不得损害采购人或者其他磋商人的合法权益。</w:t>
      </w:r>
    </w:p>
    <w:p>
      <w:pPr>
        <w:pStyle w:val="17"/>
        <w:spacing w:line="360" w:lineRule="auto"/>
        <w:ind w:firstLine="960" w:firstLineChars="400"/>
        <w:jc w:val="left"/>
        <w:rPr>
          <w:rFonts w:hint="eastAsia" w:ascii="宋体" w:hAnsi="宋体" w:eastAsia="宋体" w:cs="宋体"/>
          <w:sz w:val="24"/>
          <w:szCs w:val="24"/>
        </w:rPr>
      </w:pPr>
      <w:r>
        <w:rPr>
          <w:rFonts w:hint="eastAsia" w:ascii="宋体" w:hAnsi="宋体" w:eastAsia="宋体" w:cs="宋体"/>
          <w:sz w:val="24"/>
          <w:szCs w:val="24"/>
        </w:rPr>
        <w:t>在评标过程中发现磋商人有上述情形的，评标委员会应当认定其投标无效，并书面报告本级财政部门。</w:t>
      </w:r>
    </w:p>
    <w:p>
      <w:pPr>
        <w:pStyle w:val="17"/>
        <w:numPr>
          <w:ilvl w:val="0"/>
          <w:numId w:val="36"/>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有下列情形之一的，视为磋商人串通投标，其投标无效：</w:t>
      </w:r>
    </w:p>
    <w:p>
      <w:pPr>
        <w:pStyle w:val="17"/>
        <w:numPr>
          <w:ilvl w:val="0"/>
          <w:numId w:val="37"/>
        </w:numPr>
        <w:spacing w:line="360" w:lineRule="auto"/>
        <w:jc w:val="left"/>
        <w:rPr>
          <w:rFonts w:hint="eastAsia" w:ascii="宋体" w:hAnsi="宋体" w:eastAsia="宋体" w:cs="宋体"/>
          <w:sz w:val="24"/>
          <w:szCs w:val="24"/>
        </w:rPr>
      </w:pPr>
      <w:r>
        <w:rPr>
          <w:rFonts w:hint="eastAsia" w:ascii="宋体" w:hAnsi="宋体" w:eastAsia="宋体" w:cs="宋体"/>
          <w:sz w:val="24"/>
          <w:szCs w:val="24"/>
        </w:rPr>
        <w:t>不同磋商人的磋商响应文件由同一单位或者个人编制；</w:t>
      </w:r>
    </w:p>
    <w:p>
      <w:pPr>
        <w:pStyle w:val="17"/>
        <w:numPr>
          <w:ilvl w:val="0"/>
          <w:numId w:val="37"/>
        </w:numPr>
        <w:spacing w:line="360" w:lineRule="auto"/>
        <w:jc w:val="left"/>
        <w:rPr>
          <w:rFonts w:hint="eastAsia" w:ascii="宋体" w:hAnsi="宋体" w:eastAsia="宋体" w:cs="宋体"/>
          <w:sz w:val="24"/>
          <w:szCs w:val="24"/>
        </w:rPr>
      </w:pPr>
      <w:r>
        <w:rPr>
          <w:rFonts w:hint="eastAsia" w:ascii="宋体" w:hAnsi="宋体" w:eastAsia="宋体" w:cs="宋体"/>
          <w:sz w:val="24"/>
          <w:szCs w:val="24"/>
        </w:rPr>
        <w:t>不同磋商人委托同一单位或者个人办理投标事宜；</w:t>
      </w:r>
    </w:p>
    <w:p>
      <w:pPr>
        <w:pStyle w:val="17"/>
        <w:numPr>
          <w:ilvl w:val="0"/>
          <w:numId w:val="37"/>
        </w:numPr>
        <w:spacing w:line="360" w:lineRule="auto"/>
        <w:jc w:val="left"/>
        <w:rPr>
          <w:rFonts w:hint="eastAsia" w:ascii="宋体" w:hAnsi="宋体" w:eastAsia="宋体" w:cs="宋体"/>
          <w:sz w:val="24"/>
          <w:szCs w:val="24"/>
        </w:rPr>
      </w:pPr>
      <w:r>
        <w:rPr>
          <w:rFonts w:hint="eastAsia" w:ascii="宋体" w:hAnsi="宋体" w:eastAsia="宋体" w:cs="宋体"/>
          <w:sz w:val="24"/>
          <w:szCs w:val="24"/>
        </w:rPr>
        <w:t>不同磋商人的磋商响应文件载明的项目管理成员或者联系人员为同一人；</w:t>
      </w:r>
    </w:p>
    <w:p>
      <w:pPr>
        <w:pStyle w:val="17"/>
        <w:numPr>
          <w:ilvl w:val="0"/>
          <w:numId w:val="37"/>
        </w:numPr>
        <w:spacing w:line="360" w:lineRule="auto"/>
        <w:jc w:val="left"/>
        <w:rPr>
          <w:rFonts w:hint="eastAsia" w:ascii="宋体" w:hAnsi="宋体" w:eastAsia="宋体" w:cs="宋体"/>
          <w:sz w:val="24"/>
          <w:szCs w:val="24"/>
        </w:rPr>
      </w:pPr>
      <w:r>
        <w:rPr>
          <w:rFonts w:hint="eastAsia" w:ascii="宋体" w:hAnsi="宋体" w:eastAsia="宋体" w:cs="宋体"/>
          <w:sz w:val="24"/>
          <w:szCs w:val="24"/>
        </w:rPr>
        <w:t>不同磋商人的磋商响应文件异常一致或者投标报价呈规律性差异；</w:t>
      </w:r>
    </w:p>
    <w:p>
      <w:pPr>
        <w:pStyle w:val="17"/>
        <w:numPr>
          <w:ilvl w:val="0"/>
          <w:numId w:val="37"/>
        </w:numPr>
        <w:spacing w:line="360" w:lineRule="auto"/>
        <w:jc w:val="left"/>
        <w:rPr>
          <w:rFonts w:hint="eastAsia" w:ascii="宋体" w:hAnsi="宋体" w:eastAsia="宋体" w:cs="宋体"/>
          <w:sz w:val="24"/>
          <w:szCs w:val="24"/>
        </w:rPr>
      </w:pPr>
      <w:r>
        <w:rPr>
          <w:rFonts w:hint="eastAsia" w:ascii="宋体" w:hAnsi="宋体" w:eastAsia="宋体" w:cs="宋体"/>
          <w:sz w:val="24"/>
          <w:szCs w:val="24"/>
        </w:rPr>
        <w:t>不同磋商人的磋商响应文件相互混装；</w:t>
      </w:r>
    </w:p>
    <w:p>
      <w:pPr>
        <w:pStyle w:val="17"/>
        <w:numPr>
          <w:ilvl w:val="0"/>
          <w:numId w:val="36"/>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其他未尽事宜，按照《中华人民共和国政府采购法》、《中华人民共和国民法典》、《中华人民共和国政府采购法实施条例》、《政府采购竞争性磋商采购方式管理暂行办法》等法律法规的有关条款执行。</w:t>
      </w:r>
    </w:p>
    <w:p>
      <w:pPr>
        <w:pStyle w:val="22"/>
        <w:spacing w:before="0" w:after="0" w:line="360" w:lineRule="auto"/>
        <w:rPr>
          <w:rFonts w:hint="eastAsia" w:ascii="宋体" w:hAnsi="宋体" w:eastAsia="宋体" w:cs="宋体"/>
          <w:sz w:val="24"/>
          <w:szCs w:val="24"/>
        </w:rPr>
      </w:pPr>
      <w:r>
        <w:rPr>
          <w:rFonts w:hint="eastAsia" w:ascii="宋体" w:hAnsi="宋体" w:eastAsia="宋体" w:cs="宋体"/>
          <w:sz w:val="24"/>
          <w:szCs w:val="24"/>
        </w:rPr>
        <w:br w:type="page"/>
      </w:r>
      <w:bookmarkStart w:id="76" w:name="_Toc17830"/>
      <w:r>
        <w:rPr>
          <w:rFonts w:hint="eastAsia" w:ascii="宋体" w:hAnsi="宋体" w:eastAsia="宋体" w:cs="宋体"/>
          <w:sz w:val="36"/>
          <w:szCs w:val="36"/>
        </w:rPr>
        <w:t>第四部分 采购合同文本样式</w:t>
      </w:r>
      <w:bookmarkEnd w:id="76"/>
    </w:p>
    <w:p>
      <w:pPr>
        <w:pStyle w:val="17"/>
        <w:spacing w:line="360" w:lineRule="auto"/>
        <w:ind w:firstLine="482" w:firstLineChars="200"/>
        <w:jc w:val="left"/>
        <w:rPr>
          <w:rFonts w:hint="eastAsia" w:ascii="宋体" w:hAnsi="宋体" w:eastAsia="宋体" w:cs="宋体"/>
          <w:b/>
          <w:sz w:val="24"/>
          <w:szCs w:val="24"/>
        </w:rPr>
      </w:pPr>
    </w:p>
    <w:p>
      <w:pPr>
        <w:spacing w:line="360" w:lineRule="auto"/>
        <w:jc w:val="center"/>
        <w:rPr>
          <w:rFonts w:hint="eastAsia" w:ascii="宋体" w:hAnsi="宋体" w:eastAsia="宋体" w:cs="宋体"/>
          <w:b/>
          <w:spacing w:val="120"/>
          <w:sz w:val="24"/>
          <w:szCs w:val="24"/>
        </w:rPr>
      </w:pPr>
    </w:p>
    <w:p>
      <w:pPr>
        <w:spacing w:line="360" w:lineRule="auto"/>
        <w:jc w:val="center"/>
        <w:rPr>
          <w:rFonts w:hint="eastAsia" w:ascii="宋体" w:hAnsi="宋体" w:eastAsia="宋体" w:cs="宋体"/>
          <w:b/>
          <w:spacing w:val="120"/>
          <w:sz w:val="24"/>
          <w:szCs w:val="24"/>
        </w:rPr>
      </w:pPr>
    </w:p>
    <w:p>
      <w:pPr>
        <w:spacing w:line="360" w:lineRule="auto"/>
        <w:jc w:val="center"/>
        <w:rPr>
          <w:rFonts w:hint="eastAsia" w:ascii="宋体" w:hAnsi="宋体" w:eastAsia="宋体" w:cs="宋体"/>
          <w:b/>
          <w:spacing w:val="120"/>
          <w:sz w:val="24"/>
          <w:szCs w:val="24"/>
        </w:rPr>
      </w:pPr>
    </w:p>
    <w:p>
      <w:pPr>
        <w:spacing w:line="360" w:lineRule="auto"/>
        <w:jc w:val="center"/>
        <w:rPr>
          <w:rFonts w:hint="eastAsia" w:ascii="宋体" w:hAnsi="宋体" w:eastAsia="宋体" w:cs="宋体"/>
          <w:b/>
          <w:bCs/>
          <w:sz w:val="40"/>
          <w:szCs w:val="40"/>
          <w:lang w:val="zh-CN"/>
        </w:rPr>
      </w:pPr>
      <w:r>
        <w:rPr>
          <w:rFonts w:hint="eastAsia" w:ascii="宋体" w:hAnsi="宋体" w:eastAsia="宋体" w:cs="宋体"/>
          <w:b/>
          <w:bCs/>
          <w:sz w:val="40"/>
          <w:szCs w:val="40"/>
          <w:lang w:val="zh-CN"/>
        </w:rPr>
        <w:t>采购合同书</w:t>
      </w:r>
    </w:p>
    <w:p>
      <w:pPr>
        <w:spacing w:line="360" w:lineRule="auto"/>
        <w:rPr>
          <w:rFonts w:hint="eastAsia" w:ascii="宋体" w:hAnsi="宋体" w:eastAsia="宋体" w:cs="宋体"/>
          <w:b/>
          <w:sz w:val="28"/>
          <w:szCs w:val="28"/>
        </w:rPr>
      </w:pPr>
    </w:p>
    <w:p>
      <w:pPr>
        <w:spacing w:line="360" w:lineRule="auto"/>
        <w:rPr>
          <w:rFonts w:hint="eastAsia" w:ascii="宋体" w:hAnsi="宋体" w:eastAsia="宋体" w:cs="宋体"/>
          <w:b/>
          <w:sz w:val="28"/>
          <w:szCs w:val="28"/>
        </w:rPr>
      </w:pPr>
    </w:p>
    <w:p>
      <w:pPr>
        <w:spacing w:line="360" w:lineRule="auto"/>
        <w:rPr>
          <w:rFonts w:hint="eastAsia" w:ascii="宋体" w:hAnsi="宋体" w:eastAsia="宋体" w:cs="宋体"/>
          <w:b/>
          <w:sz w:val="28"/>
          <w:szCs w:val="28"/>
        </w:rPr>
      </w:pPr>
    </w:p>
    <w:p>
      <w:pPr>
        <w:spacing w:line="360" w:lineRule="auto"/>
        <w:ind w:left="2858" w:leftChars="357" w:hanging="2108" w:hangingChars="750"/>
        <w:rPr>
          <w:rFonts w:hint="eastAsia" w:ascii="宋体" w:hAnsi="宋体" w:eastAsia="宋体" w:cs="宋体"/>
          <w:b/>
          <w:sz w:val="28"/>
          <w:szCs w:val="28"/>
          <w:u w:val="single"/>
          <w:lang w:eastAsia="zh-CN"/>
        </w:rPr>
      </w:pPr>
      <w:r>
        <w:rPr>
          <w:rFonts w:hint="eastAsia" w:ascii="宋体" w:hAnsi="宋体" w:eastAsia="宋体" w:cs="宋体"/>
          <w:b/>
          <w:sz w:val="28"/>
          <w:szCs w:val="28"/>
        </w:rPr>
        <w:t>采购项目名称：</w:t>
      </w:r>
      <w:r>
        <w:rPr>
          <w:rFonts w:hint="eastAsia" w:ascii="宋体" w:hAnsi="宋体" w:eastAsia="宋体" w:cs="宋体"/>
          <w:b/>
          <w:sz w:val="28"/>
          <w:szCs w:val="28"/>
          <w:u w:val="single"/>
          <w:lang w:eastAsia="zh-CN"/>
        </w:rPr>
        <w:t>大通兴农基层供销社标杆社建设项目-罐装线设备采购</w:t>
      </w:r>
    </w:p>
    <w:p>
      <w:pPr>
        <w:spacing w:line="360" w:lineRule="auto"/>
        <w:ind w:left="2846" w:leftChars="1288" w:hanging="141" w:hangingChars="50"/>
        <w:rPr>
          <w:rFonts w:hint="eastAsia" w:ascii="宋体" w:hAnsi="宋体" w:eastAsia="宋体" w:cs="宋体"/>
          <w:b/>
          <w:sz w:val="28"/>
          <w:szCs w:val="28"/>
          <w:u w:val="single"/>
        </w:rPr>
      </w:pPr>
      <w:r>
        <w:rPr>
          <w:rFonts w:hint="eastAsia" w:ascii="宋体" w:hAnsi="宋体" w:eastAsia="宋体" w:cs="宋体"/>
          <w:b/>
          <w:sz w:val="28"/>
          <w:szCs w:val="28"/>
          <w:u w:val="single"/>
          <w:lang w:eastAsia="zh-CN"/>
        </w:rPr>
        <w:t>及安装（标段二）</w:t>
      </w:r>
    </w:p>
    <w:p>
      <w:pPr>
        <w:spacing w:line="360" w:lineRule="auto"/>
        <w:ind w:left="2858" w:leftChars="357" w:hanging="2108" w:hangingChars="750"/>
        <w:rPr>
          <w:rFonts w:hint="eastAsia" w:ascii="宋体" w:hAnsi="宋体" w:eastAsia="宋体" w:cs="宋体"/>
          <w:b/>
          <w:sz w:val="28"/>
          <w:szCs w:val="28"/>
          <w:u w:val="single"/>
        </w:rPr>
      </w:pPr>
      <w:r>
        <w:rPr>
          <w:rFonts w:hint="eastAsia" w:ascii="宋体" w:hAnsi="宋体" w:eastAsia="宋体" w:cs="宋体"/>
          <w:b/>
          <w:sz w:val="28"/>
          <w:szCs w:val="28"/>
        </w:rPr>
        <w:t>采购项目编号：</w:t>
      </w:r>
      <w:r>
        <w:rPr>
          <w:rFonts w:hint="eastAsia" w:ascii="宋体" w:hAnsi="宋体" w:eastAsia="宋体" w:cs="宋体"/>
          <w:b/>
          <w:sz w:val="28"/>
          <w:szCs w:val="28"/>
          <w:u w:val="single"/>
          <w:lang w:eastAsia="zh-CN"/>
        </w:rPr>
        <w:t>青海国焱竞磋（货物）2022-161号</w:t>
      </w:r>
      <w:r>
        <w:rPr>
          <w:rFonts w:hint="eastAsia" w:ascii="宋体" w:hAnsi="宋体" w:eastAsia="宋体" w:cs="宋体"/>
          <w:b/>
          <w:sz w:val="28"/>
          <w:szCs w:val="28"/>
          <w:u w:val="single"/>
        </w:rPr>
        <w:t xml:space="preserve">      </w:t>
      </w:r>
    </w:p>
    <w:p>
      <w:pPr>
        <w:spacing w:line="360" w:lineRule="auto"/>
        <w:ind w:firstLine="843" w:firstLineChars="300"/>
        <w:rPr>
          <w:rFonts w:hint="eastAsia" w:ascii="宋体" w:hAnsi="宋体" w:eastAsia="宋体" w:cs="宋体"/>
          <w:b/>
          <w:sz w:val="28"/>
          <w:szCs w:val="28"/>
          <w:u w:val="single"/>
        </w:rPr>
      </w:pPr>
      <w:r>
        <w:rPr>
          <w:rFonts w:hint="eastAsia" w:ascii="宋体" w:hAnsi="宋体" w:eastAsia="宋体" w:cs="宋体"/>
          <w:b/>
          <w:sz w:val="28"/>
          <w:szCs w:val="28"/>
        </w:rPr>
        <w:t>采购合同编号：</w:t>
      </w:r>
      <w:r>
        <w:rPr>
          <w:rFonts w:hint="eastAsia" w:ascii="宋体" w:hAnsi="宋体" w:eastAsia="宋体" w:cs="宋体"/>
          <w:b/>
          <w:sz w:val="28"/>
          <w:szCs w:val="28"/>
          <w:u w:val="single"/>
        </w:rPr>
        <w:t>QHGY-2022-</w:t>
      </w:r>
      <w:r>
        <w:rPr>
          <w:rFonts w:hint="eastAsia" w:ascii="宋体" w:hAnsi="宋体" w:cs="宋体"/>
          <w:b/>
          <w:sz w:val="28"/>
          <w:szCs w:val="28"/>
          <w:u w:val="single"/>
          <w:lang w:val="en-US" w:eastAsia="zh-CN"/>
        </w:rPr>
        <w:t>161</w:t>
      </w:r>
      <w:r>
        <w:rPr>
          <w:rFonts w:hint="eastAsia" w:ascii="宋体" w:hAnsi="宋体" w:eastAsia="宋体" w:cs="宋体"/>
          <w:b/>
          <w:sz w:val="28"/>
          <w:szCs w:val="28"/>
          <w:u w:val="single"/>
        </w:rPr>
        <w:t xml:space="preserve">                       </w:t>
      </w:r>
    </w:p>
    <w:p>
      <w:pPr>
        <w:pStyle w:val="2"/>
        <w:spacing w:line="360" w:lineRule="auto"/>
        <w:ind w:firstLine="843" w:firstLineChars="300"/>
        <w:rPr>
          <w:rFonts w:hint="default" w:eastAsia="宋体"/>
          <w:lang w:val="en-US" w:eastAsia="zh-CN"/>
        </w:rPr>
      </w:pPr>
      <w:r>
        <w:rPr>
          <w:rFonts w:hint="eastAsia" w:ascii="宋体" w:hAnsi="宋体" w:cs="宋体"/>
          <w:b/>
          <w:sz w:val="28"/>
          <w:szCs w:val="28"/>
          <w:u w:val="none"/>
          <w:lang w:val="en-US" w:eastAsia="zh-CN"/>
        </w:rPr>
        <w:t>标段号：</w:t>
      </w:r>
      <w:r>
        <w:rPr>
          <w:rFonts w:hint="eastAsia" w:ascii="宋体" w:hAnsi="宋体" w:cs="宋体"/>
          <w:b/>
          <w:sz w:val="28"/>
          <w:szCs w:val="28"/>
          <w:u w:val="single"/>
          <w:lang w:val="en-US" w:eastAsia="zh-CN"/>
        </w:rPr>
        <w:t xml:space="preserve">                                           </w:t>
      </w:r>
    </w:p>
    <w:p>
      <w:pPr>
        <w:spacing w:line="360" w:lineRule="auto"/>
        <w:ind w:firstLine="843" w:firstLineChars="300"/>
        <w:rPr>
          <w:rFonts w:hint="eastAsia" w:ascii="宋体" w:hAnsi="宋体" w:eastAsia="宋体" w:cs="宋体"/>
          <w:b/>
          <w:sz w:val="28"/>
          <w:szCs w:val="28"/>
          <w:u w:val="single"/>
        </w:rPr>
      </w:pPr>
      <w:r>
        <w:rPr>
          <w:rFonts w:hint="eastAsia" w:ascii="宋体" w:hAnsi="宋体" w:eastAsia="宋体" w:cs="宋体"/>
          <w:b/>
          <w:sz w:val="28"/>
          <w:szCs w:val="28"/>
        </w:rPr>
        <w:t>合同金额（人民币）：</w:t>
      </w:r>
      <w:r>
        <w:rPr>
          <w:rFonts w:hint="eastAsia" w:ascii="宋体" w:hAnsi="宋体" w:eastAsia="宋体" w:cs="宋体"/>
          <w:b/>
          <w:sz w:val="28"/>
          <w:szCs w:val="28"/>
          <w:u w:val="single"/>
        </w:rPr>
        <w:t xml:space="preserve">                               </w:t>
      </w:r>
    </w:p>
    <w:p>
      <w:pPr>
        <w:spacing w:line="360" w:lineRule="auto"/>
        <w:ind w:firstLine="843" w:firstLineChars="300"/>
        <w:rPr>
          <w:rFonts w:hint="eastAsia" w:ascii="宋体" w:hAnsi="宋体" w:eastAsia="宋体" w:cs="宋体"/>
          <w:b/>
          <w:sz w:val="28"/>
          <w:szCs w:val="28"/>
          <w:u w:val="single"/>
        </w:rPr>
      </w:pPr>
      <w:r>
        <w:rPr>
          <w:rFonts w:hint="eastAsia" w:ascii="宋体" w:hAnsi="宋体" w:eastAsia="宋体" w:cs="宋体"/>
          <w:b/>
          <w:sz w:val="28"/>
          <w:szCs w:val="28"/>
        </w:rPr>
        <w:t>采购单位（甲方）：</w:t>
      </w:r>
      <w:r>
        <w:rPr>
          <w:rFonts w:hint="eastAsia" w:ascii="宋体" w:hAnsi="宋体" w:eastAsia="宋体" w:cs="宋体"/>
          <w:b/>
          <w:sz w:val="28"/>
          <w:szCs w:val="28"/>
          <w:u w:val="single"/>
        </w:rPr>
        <w:t xml:space="preserve">                         （盖章）</w:t>
      </w:r>
    </w:p>
    <w:p>
      <w:pPr>
        <w:spacing w:line="360" w:lineRule="auto"/>
        <w:ind w:firstLine="843" w:firstLineChars="300"/>
        <w:rPr>
          <w:rFonts w:hint="eastAsia" w:ascii="宋体" w:hAnsi="宋体" w:eastAsia="宋体" w:cs="宋体"/>
          <w:b/>
          <w:sz w:val="28"/>
          <w:szCs w:val="28"/>
          <w:u w:val="single"/>
        </w:rPr>
      </w:pPr>
      <w:r>
        <w:rPr>
          <w:rFonts w:hint="eastAsia" w:ascii="宋体" w:hAnsi="宋体" w:eastAsia="宋体" w:cs="宋体"/>
          <w:b/>
          <w:sz w:val="28"/>
          <w:szCs w:val="28"/>
        </w:rPr>
        <w:t>成交磋商供应商（乙方）：</w:t>
      </w:r>
      <w:r>
        <w:rPr>
          <w:rFonts w:hint="eastAsia" w:ascii="宋体" w:hAnsi="宋体" w:eastAsia="宋体" w:cs="宋体"/>
          <w:b/>
          <w:sz w:val="28"/>
          <w:szCs w:val="28"/>
          <w:u w:val="single"/>
        </w:rPr>
        <w:t xml:space="preserve">                   （盖章）</w:t>
      </w:r>
    </w:p>
    <w:p>
      <w:pPr>
        <w:spacing w:line="360" w:lineRule="auto"/>
        <w:rPr>
          <w:rFonts w:hint="eastAsia" w:ascii="宋体" w:hAnsi="宋体" w:eastAsia="宋体" w:cs="宋体"/>
          <w:b/>
          <w:sz w:val="24"/>
          <w:szCs w:val="24"/>
        </w:rPr>
      </w:pPr>
      <w:r>
        <w:rPr>
          <w:rFonts w:hint="eastAsia" w:ascii="宋体" w:hAnsi="宋体" w:eastAsia="宋体" w:cs="宋体"/>
          <w:sz w:val="24"/>
          <w:szCs w:val="24"/>
          <w:u w:val="single"/>
        </w:rPr>
        <w:br w:type="page"/>
      </w:r>
      <w:r>
        <w:rPr>
          <w:rFonts w:hint="eastAsia" w:ascii="宋体" w:hAnsi="宋体" w:eastAsia="宋体" w:cs="宋体"/>
          <w:b/>
          <w:sz w:val="24"/>
          <w:szCs w:val="24"/>
        </w:rPr>
        <w:t>采购单位（以下简称甲方）：</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成交供应商（以下简称乙方）：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甲、乙双方根据    年  月  日</w:t>
      </w:r>
      <w:r>
        <w:rPr>
          <w:rFonts w:hint="eastAsia" w:ascii="宋体" w:hAnsi="宋体" w:eastAsia="宋体" w:cs="宋体"/>
          <w:sz w:val="24"/>
          <w:szCs w:val="24"/>
          <w:lang w:eastAsia="zh-CN"/>
        </w:rPr>
        <w:t>大通兴农基层供销社标杆社建设项目-罐装线设备采购及安装（标段二）</w:t>
      </w:r>
      <w:r>
        <w:rPr>
          <w:rFonts w:hint="eastAsia" w:ascii="宋体" w:hAnsi="宋体" w:eastAsia="宋体" w:cs="宋体"/>
          <w:sz w:val="24"/>
          <w:szCs w:val="24"/>
        </w:rPr>
        <w:t>（</w:t>
      </w:r>
      <w:r>
        <w:rPr>
          <w:rFonts w:hint="eastAsia" w:ascii="宋体" w:hAnsi="宋体" w:eastAsia="宋体" w:cs="宋体"/>
          <w:sz w:val="24"/>
          <w:szCs w:val="24"/>
          <w:lang w:eastAsia="zh-CN"/>
        </w:rPr>
        <w:t>青海国焱竞磋（货物）2022-161号</w:t>
      </w:r>
      <w:r>
        <w:rPr>
          <w:rFonts w:hint="eastAsia" w:ascii="宋体" w:hAnsi="宋体" w:eastAsia="宋体" w:cs="宋体"/>
          <w:sz w:val="24"/>
          <w:szCs w:val="24"/>
        </w:rPr>
        <w:t>）的磋商文件要求和采购代理机构出具的《成交通知书》，并经双方协商一致，签订本合同协议书。</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一、签订本政府采购合同的依据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本政府采购合同所附下列文件是构成本政府采购合同不可分割的部分：</w:t>
      </w:r>
    </w:p>
    <w:p>
      <w:pPr>
        <w:spacing w:line="360" w:lineRule="auto"/>
        <w:rPr>
          <w:rFonts w:hint="eastAsia" w:ascii="宋体" w:hAnsi="宋体" w:eastAsia="宋体" w:cs="宋体"/>
          <w:sz w:val="24"/>
          <w:szCs w:val="24"/>
        </w:rPr>
      </w:pPr>
      <w:r>
        <w:rPr>
          <w:rFonts w:hint="eastAsia" w:ascii="宋体" w:hAnsi="宋体" w:eastAsia="宋体" w:cs="宋体"/>
          <w:sz w:val="24"/>
          <w:szCs w:val="24"/>
        </w:rPr>
        <w:t>1．磋商文件；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2．磋商文件的更正、变更公告；</w:t>
      </w:r>
    </w:p>
    <w:p>
      <w:pPr>
        <w:spacing w:line="360" w:lineRule="auto"/>
        <w:rPr>
          <w:rFonts w:hint="eastAsia" w:ascii="宋体" w:hAnsi="宋体" w:eastAsia="宋体" w:cs="宋体"/>
          <w:sz w:val="24"/>
          <w:szCs w:val="24"/>
        </w:rPr>
      </w:pPr>
      <w:r>
        <w:rPr>
          <w:rFonts w:hint="eastAsia" w:ascii="宋体" w:hAnsi="宋体" w:eastAsia="宋体" w:cs="宋体"/>
          <w:sz w:val="24"/>
          <w:szCs w:val="24"/>
        </w:rPr>
        <w:t>3．成交磋商供应商提交的磋商响应文件；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4．磋商文件中规定的政府采购合同通用条款；</w:t>
      </w:r>
    </w:p>
    <w:p>
      <w:pPr>
        <w:spacing w:line="360" w:lineRule="auto"/>
        <w:rPr>
          <w:rFonts w:hint="eastAsia" w:ascii="宋体" w:hAnsi="宋体" w:eastAsia="宋体" w:cs="宋体"/>
          <w:sz w:val="24"/>
          <w:szCs w:val="24"/>
        </w:rPr>
      </w:pPr>
      <w:r>
        <w:rPr>
          <w:rFonts w:hint="eastAsia" w:ascii="宋体" w:hAnsi="宋体" w:eastAsia="宋体" w:cs="宋体"/>
          <w:sz w:val="24"/>
          <w:szCs w:val="24"/>
        </w:rPr>
        <w:t>5．成交通知书。</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二、合同标的及金额                                          </w:t>
      </w:r>
      <w:r>
        <w:rPr>
          <w:rFonts w:hint="eastAsia" w:ascii="宋体" w:hAnsi="宋体" w:eastAsia="宋体" w:cs="宋体"/>
          <w:sz w:val="24"/>
          <w:szCs w:val="24"/>
        </w:rPr>
        <w:t>单位：    元</w:t>
      </w:r>
    </w:p>
    <w:tbl>
      <w:tblPr>
        <w:tblStyle w:val="31"/>
        <w:tblW w:w="9644" w:type="dxa"/>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13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型号规格</w:t>
            </w: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w:t>
            </w:r>
          </w:p>
        </w:tc>
        <w:tc>
          <w:tcPr>
            <w:tcW w:w="1417"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w:t>
            </w:r>
          </w:p>
        </w:tc>
        <w:tc>
          <w:tcPr>
            <w:tcW w:w="212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60" w:type="dxa"/>
            <w:tcBorders>
              <w:top w:val="nil"/>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p>
        </w:tc>
        <w:tc>
          <w:tcPr>
            <w:tcW w:w="1308" w:type="dxa"/>
            <w:tcBorders>
              <w:top w:val="nil"/>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p>
        </w:tc>
        <w:tc>
          <w:tcPr>
            <w:tcW w:w="708" w:type="dxa"/>
            <w:tcBorders>
              <w:top w:val="nil"/>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p>
        </w:tc>
        <w:tc>
          <w:tcPr>
            <w:tcW w:w="1560" w:type="dxa"/>
            <w:tcBorders>
              <w:top w:val="nil"/>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p>
        </w:tc>
        <w:tc>
          <w:tcPr>
            <w:tcW w:w="1417" w:type="dxa"/>
            <w:tcBorders>
              <w:top w:val="nil"/>
              <w:left w:val="nil"/>
              <w:bottom w:val="single" w:color="auto" w:sz="4" w:space="0"/>
              <w:right w:val="nil"/>
            </w:tcBorders>
            <w:shd w:val="clear" w:color="auto" w:fill="FFFFFF"/>
            <w:vAlign w:val="center"/>
          </w:tcPr>
          <w:p>
            <w:pPr>
              <w:spacing w:line="360" w:lineRule="auto"/>
              <w:jc w:val="center"/>
              <w:rPr>
                <w:rFonts w:hint="eastAsia" w:ascii="宋体" w:hAnsi="宋体" w:eastAsia="宋体" w:cs="宋体"/>
                <w:sz w:val="24"/>
                <w:szCs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60" w:type="dxa"/>
            <w:tcBorders>
              <w:top w:val="nil"/>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p>
        </w:tc>
        <w:tc>
          <w:tcPr>
            <w:tcW w:w="1308" w:type="dxa"/>
            <w:tcBorders>
              <w:top w:val="nil"/>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p>
        </w:tc>
        <w:tc>
          <w:tcPr>
            <w:tcW w:w="1560" w:type="dxa"/>
            <w:tcBorders>
              <w:top w:val="nil"/>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p>
        </w:tc>
        <w:tc>
          <w:tcPr>
            <w:tcW w:w="1417" w:type="dxa"/>
            <w:tcBorders>
              <w:top w:val="nil"/>
              <w:left w:val="nil"/>
              <w:bottom w:val="single" w:color="auto" w:sz="4" w:space="0"/>
              <w:right w:val="nil"/>
            </w:tcBorders>
            <w:shd w:val="clear" w:color="auto" w:fill="FFFFFF"/>
            <w:vAlign w:val="center"/>
          </w:tcPr>
          <w:p>
            <w:pPr>
              <w:spacing w:line="360" w:lineRule="auto"/>
              <w:jc w:val="center"/>
              <w:rPr>
                <w:rFonts w:hint="eastAsia" w:ascii="宋体" w:hAnsi="宋体" w:eastAsia="宋体" w:cs="宋体"/>
                <w:sz w:val="24"/>
                <w:szCs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2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p>
        </w:tc>
        <w:tc>
          <w:tcPr>
            <w:tcW w:w="13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p>
        </w:tc>
        <w:tc>
          <w:tcPr>
            <w:tcW w:w="15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p>
        </w:tc>
        <w:tc>
          <w:tcPr>
            <w:tcW w:w="1417" w:type="dxa"/>
            <w:tcBorders>
              <w:top w:val="single" w:color="auto" w:sz="4" w:space="0"/>
              <w:left w:val="nil"/>
              <w:bottom w:val="single" w:color="auto" w:sz="4" w:space="0"/>
              <w:right w:val="nil"/>
            </w:tcBorders>
            <w:shd w:val="clear" w:color="auto" w:fill="FFFFFF"/>
            <w:vAlign w:val="center"/>
          </w:tcPr>
          <w:p>
            <w:pPr>
              <w:spacing w:line="360" w:lineRule="auto"/>
              <w:jc w:val="center"/>
              <w:rPr>
                <w:rFonts w:hint="eastAsia" w:ascii="宋体" w:hAnsi="宋体" w:eastAsia="宋体" w:cs="宋体"/>
                <w:sz w:val="24"/>
                <w:szCs w:val="24"/>
              </w:rPr>
            </w:pP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rPr>
            </w:pP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根据上述政府采购合同文件要求，本政府采购合同的总金额为人民币（大写）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sz w:val="24"/>
          <w:szCs w:val="24"/>
        </w:rPr>
        <w:t>本合同以人民币进行结算，合同总价</w:t>
      </w:r>
      <w:r>
        <w:rPr>
          <w:rFonts w:hint="eastAsia" w:ascii="宋体" w:hAnsi="宋体" w:eastAsia="宋体" w:cs="宋体"/>
          <w:color w:val="000000" w:themeColor="text1"/>
          <w:sz w:val="24"/>
          <w:szCs w:val="24"/>
        </w:rPr>
        <w:t>包括：产品费、验收费、手续费、包装费、运输费、保险费、培训费、售前、售中、售后服务费、招标代理费、税金及不可预见费等全部费用。（说明：具体内容应根据项目特点实事求是的填写）。</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三、交付时间、地点和要求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cs="宋体"/>
          <w:color w:val="000000" w:themeColor="text1"/>
          <w:sz w:val="24"/>
          <w:szCs w:val="24"/>
          <w:lang w:eastAsia="zh-CN"/>
        </w:rPr>
        <w:t>交货及安装期</w:t>
      </w:r>
      <w:r>
        <w:rPr>
          <w:rFonts w:hint="eastAsia" w:ascii="宋体" w:hAnsi="宋体" w:eastAsia="宋体" w:cs="宋体"/>
          <w:color w:val="000000" w:themeColor="text1"/>
          <w:sz w:val="24"/>
          <w:szCs w:val="24"/>
        </w:rPr>
        <w:t>：自合同签订之日起</w:t>
      </w:r>
      <w:r>
        <w:rPr>
          <w:rFonts w:hint="eastAsia" w:ascii="宋体" w:hAnsi="宋体" w:cs="宋体"/>
          <w:color w:val="000000" w:themeColor="text1"/>
          <w:sz w:val="24"/>
          <w:szCs w:val="24"/>
          <w:lang w:val="en-US" w:eastAsia="zh-CN"/>
        </w:rPr>
        <w:t>9</w:t>
      </w:r>
      <w:r>
        <w:rPr>
          <w:rFonts w:hint="eastAsia" w:ascii="宋体" w:hAnsi="宋体" w:eastAsia="宋体" w:cs="宋体"/>
          <w:color w:val="000000" w:themeColor="text1"/>
          <w:sz w:val="24"/>
          <w:szCs w:val="24"/>
        </w:rPr>
        <w:t>0日历日；</w:t>
      </w:r>
    </w:p>
    <w:p>
      <w:pPr>
        <w:spacing w:line="360" w:lineRule="auto"/>
        <w:ind w:firstLine="240" w:firstLineChars="1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交货及安装地点：</w:t>
      </w:r>
      <w:bookmarkStart w:id="77" w:name="_Hlk497746416"/>
      <w:r>
        <w:rPr>
          <w:rFonts w:hint="eastAsia" w:ascii="宋体" w:hAnsi="宋体" w:eastAsia="宋体" w:cs="宋体"/>
          <w:color w:val="000000" w:themeColor="text1"/>
          <w:kern w:val="0"/>
          <w:sz w:val="24"/>
          <w:szCs w:val="24"/>
        </w:rPr>
        <w:t>采购人指定地点</w:t>
      </w:r>
      <w:r>
        <w:rPr>
          <w:rFonts w:hint="eastAsia" w:ascii="宋体" w:hAnsi="宋体" w:eastAsia="宋体" w:cs="宋体"/>
          <w:color w:val="000000" w:themeColor="text1"/>
          <w:sz w:val="24"/>
          <w:szCs w:val="24"/>
        </w:rPr>
        <w:t>；</w:t>
      </w:r>
    </w:p>
    <w:p>
      <w:pPr>
        <w:spacing w:line="360" w:lineRule="auto"/>
        <w:ind w:firstLine="240" w:firstLineChars="1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质保期：</w:t>
      </w:r>
      <w:r>
        <w:rPr>
          <w:rFonts w:hint="eastAsia" w:ascii="宋体" w:hAnsi="宋体" w:cs="宋体"/>
          <w:color w:val="000000" w:themeColor="text1"/>
          <w:sz w:val="24"/>
          <w:szCs w:val="24"/>
          <w:lang w:val="en-US" w:eastAsia="zh-CN"/>
        </w:rPr>
        <w:t>2</w:t>
      </w:r>
      <w:r>
        <w:rPr>
          <w:rFonts w:hint="eastAsia" w:ascii="宋体" w:hAnsi="宋体" w:eastAsia="宋体" w:cs="宋体"/>
          <w:color w:val="000000" w:themeColor="text1"/>
          <w:sz w:val="24"/>
          <w:szCs w:val="24"/>
        </w:rPr>
        <w:t>年；</w:t>
      </w:r>
    </w:p>
    <w:bookmarkEnd w:id="77"/>
    <w:p>
      <w:pPr>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rPr>
        <w:t>2.乙方提供不符合磋商响应文件和本合</w:t>
      </w:r>
      <w:r>
        <w:rPr>
          <w:rFonts w:hint="eastAsia" w:ascii="宋体" w:hAnsi="宋体" w:eastAsia="宋体" w:cs="宋体"/>
          <w:sz w:val="24"/>
          <w:szCs w:val="24"/>
        </w:rPr>
        <w:t>同规定的产品，甲方有权拒绝接受；</w:t>
      </w:r>
    </w:p>
    <w:p>
      <w:pPr>
        <w:spacing w:line="360" w:lineRule="auto"/>
        <w:rPr>
          <w:rFonts w:hint="eastAsia" w:ascii="宋体" w:hAnsi="宋体" w:eastAsia="宋体" w:cs="宋体"/>
          <w:sz w:val="24"/>
          <w:szCs w:val="24"/>
        </w:rPr>
      </w:pPr>
      <w:r>
        <w:rPr>
          <w:rFonts w:hint="eastAsia" w:ascii="宋体" w:hAnsi="宋体" w:eastAsia="宋体" w:cs="宋体"/>
          <w:sz w:val="24"/>
          <w:szCs w:val="24"/>
        </w:rPr>
        <w:t>3.乙方应将提供产品的装箱清单、用户手册、原厂保修卡、随机资料、工具和备品、备件等（如有）交付给甲方，如有缺失应及时补齐，否则视为逾期交货；</w:t>
      </w:r>
    </w:p>
    <w:p>
      <w:pPr>
        <w:spacing w:line="360" w:lineRule="auto"/>
        <w:rPr>
          <w:rFonts w:hint="eastAsia" w:ascii="宋体" w:hAnsi="宋体" w:eastAsia="宋体" w:cs="宋体"/>
          <w:sz w:val="24"/>
          <w:szCs w:val="24"/>
        </w:rPr>
      </w:pPr>
      <w:r>
        <w:rPr>
          <w:rFonts w:hint="eastAsia" w:ascii="宋体" w:hAnsi="宋体" w:eastAsia="宋体" w:cs="宋体"/>
          <w:sz w:val="24"/>
          <w:szCs w:val="24"/>
        </w:rPr>
        <w:t>4.甲方应当在到货（安装、调试完）后10个工作日内进行验收，逾期不验收的，乙方可视为验收合格。验收合格后，由甲乙双方签署产品验收单并加盖采购单位公章，甲乙双方各执一份；</w:t>
      </w:r>
    </w:p>
    <w:p>
      <w:pPr>
        <w:spacing w:line="360" w:lineRule="auto"/>
        <w:rPr>
          <w:rFonts w:hint="eastAsia" w:ascii="宋体" w:hAnsi="宋体" w:eastAsia="宋体" w:cs="宋体"/>
          <w:sz w:val="24"/>
          <w:szCs w:val="24"/>
        </w:rPr>
      </w:pPr>
      <w:r>
        <w:rPr>
          <w:rFonts w:hint="eastAsia" w:ascii="宋体" w:hAnsi="宋体" w:eastAsia="宋体" w:cs="宋体"/>
          <w:sz w:val="24"/>
          <w:szCs w:val="24"/>
        </w:rPr>
        <w:t>5.甲方应提供该项目验收报告交同级财政监管部门，由财政部门按规定程序抽验后办理资金拨付；</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sz w:val="24"/>
          <w:szCs w:val="24"/>
        </w:rPr>
        <w:t>6.甲方在验收过程中发现乙方有</w:t>
      </w:r>
      <w:r>
        <w:rPr>
          <w:rFonts w:hint="eastAsia" w:ascii="宋体" w:hAnsi="宋体" w:eastAsia="宋体" w:cs="宋体"/>
          <w:color w:val="000000" w:themeColor="text1"/>
          <w:sz w:val="24"/>
          <w:szCs w:val="24"/>
        </w:rPr>
        <w:t>违约问题，可按磋商响应文件的规定要求乙方及时予以解决；</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7.乙方向甲方提供产品相关完税销售发票。</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四、付款方式</w:t>
      </w:r>
    </w:p>
    <w:p>
      <w:pPr>
        <w:spacing w:line="360" w:lineRule="auto"/>
        <w:rPr>
          <w:rFonts w:hint="eastAsia" w:ascii="宋体" w:hAnsi="宋体" w:eastAsia="宋体" w:cs="宋体"/>
          <w:color w:val="FF0000"/>
          <w:sz w:val="24"/>
          <w:szCs w:val="24"/>
        </w:rPr>
      </w:pPr>
      <w:r>
        <w:rPr>
          <w:rFonts w:hint="eastAsia" w:ascii="宋体" w:hAnsi="宋体" w:eastAsia="宋体" w:cs="宋体"/>
          <w:color w:val="auto"/>
          <w:sz w:val="24"/>
          <w:szCs w:val="24"/>
        </w:rPr>
        <w:t>1.本</w:t>
      </w:r>
      <w:r>
        <w:rPr>
          <w:rFonts w:hint="eastAsia" w:ascii="宋体" w:hAnsi="宋体" w:cs="宋体"/>
          <w:color w:val="auto"/>
          <w:sz w:val="24"/>
          <w:szCs w:val="24"/>
          <w:lang w:val="en-US" w:eastAsia="zh-CN"/>
        </w:rPr>
        <w:t>项目</w:t>
      </w:r>
      <w:r>
        <w:rPr>
          <w:rFonts w:hint="eastAsia" w:ascii="宋体" w:hAnsi="宋体" w:eastAsia="宋体" w:cs="宋体"/>
          <w:color w:val="auto"/>
          <w:sz w:val="24"/>
          <w:szCs w:val="24"/>
        </w:rPr>
        <w:t>签订合同后，支付合同总价款的30%，即人民币（大写）</w:t>
      </w:r>
      <w:r>
        <w:rPr>
          <w:rFonts w:hint="eastAsia" w:ascii="宋体" w:hAnsi="宋体" w:cs="宋体"/>
          <w:color w:val="auto"/>
          <w:sz w:val="24"/>
          <w:szCs w:val="24"/>
          <w:lang w:eastAsia="zh-CN"/>
        </w:rPr>
        <w:t>：</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；乙方交付所有产品并安装调试验收合格后，由甲方报同级财政监管部门，申请资金拨付,按合同金额向乙方支付合同总价款的</w:t>
      </w:r>
      <w:r>
        <w:rPr>
          <w:rFonts w:hint="eastAsia" w:ascii="宋体" w:hAnsi="宋体" w:cs="宋体"/>
          <w:color w:val="auto"/>
          <w:sz w:val="24"/>
          <w:szCs w:val="24"/>
          <w:lang w:val="en-US" w:eastAsia="zh-CN"/>
        </w:rPr>
        <w:t>70</w:t>
      </w:r>
      <w:r>
        <w:rPr>
          <w:rFonts w:hint="eastAsia" w:ascii="宋体" w:hAnsi="宋体" w:eastAsia="宋体" w:cs="宋体"/>
          <w:color w:val="auto"/>
          <w:sz w:val="24"/>
          <w:szCs w:val="24"/>
        </w:rPr>
        <w:t>%，即人民币（大写）：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元；合同签订前乙方向甲方缴纳合同金额的</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%为履约保证金计（大写）</w:t>
      </w:r>
      <w:r>
        <w:rPr>
          <w:rFonts w:hint="eastAsia" w:ascii="宋体" w:hAnsi="宋体" w:cs="宋体"/>
          <w:color w:val="auto"/>
          <w:sz w:val="24"/>
          <w:szCs w:val="24"/>
          <w:lang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元转为质量保证金。质量保证金待约定的免费质保期满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（年）且工程无质量问题后，由乙方提出书面申请，甲方以转账方式予以退还。</w:t>
      </w:r>
      <w:r>
        <w:rPr>
          <w:rFonts w:hint="eastAsia" w:ascii="宋体" w:hAnsi="宋体" w:eastAsia="宋体" w:cs="宋体"/>
          <w:color w:val="FF0000"/>
          <w:sz w:val="24"/>
          <w:szCs w:val="24"/>
        </w:rPr>
        <w:t xml:space="preserve"> </w:t>
      </w:r>
    </w:p>
    <w:p>
      <w:pPr>
        <w:autoSpaceDE w:val="0"/>
        <w:autoSpaceDN w:val="0"/>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五、合同的变更、终止与转让</w:t>
      </w:r>
    </w:p>
    <w:p>
      <w:pPr>
        <w:spacing w:line="360" w:lineRule="auto"/>
        <w:rPr>
          <w:rFonts w:hint="eastAsia" w:ascii="宋体" w:hAnsi="宋体" w:eastAsia="宋体" w:cs="宋体"/>
          <w:sz w:val="24"/>
          <w:szCs w:val="24"/>
        </w:rPr>
      </w:pPr>
      <w:r>
        <w:rPr>
          <w:rFonts w:hint="eastAsia" w:ascii="宋体" w:hAnsi="宋体" w:eastAsia="宋体" w:cs="宋体"/>
          <w:sz w:val="24"/>
          <w:szCs w:val="24"/>
        </w:rPr>
        <w:t>1．除《中华人民共和国政府采购法》第50条规定的情形外，本合同一经签订，甲乙双方不得擅自变更、中止或终止；</w:t>
      </w:r>
    </w:p>
    <w:p>
      <w:pPr>
        <w:spacing w:line="360" w:lineRule="auto"/>
        <w:rPr>
          <w:rFonts w:hint="eastAsia" w:ascii="宋体" w:hAnsi="宋体" w:eastAsia="宋体" w:cs="宋体"/>
          <w:sz w:val="24"/>
          <w:szCs w:val="24"/>
        </w:rPr>
      </w:pPr>
      <w:r>
        <w:rPr>
          <w:rFonts w:hint="eastAsia" w:ascii="宋体" w:hAnsi="宋体" w:eastAsia="宋体" w:cs="宋体"/>
          <w:sz w:val="24"/>
          <w:szCs w:val="24"/>
        </w:rPr>
        <w:t>2．乙方不得擅自转让其应履行的合同义务。</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六、违约责任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360" w:lineRule="auto"/>
        <w:rPr>
          <w:rFonts w:hint="eastAsia" w:ascii="宋体" w:hAnsi="宋体" w:eastAsia="宋体" w:cs="宋体"/>
          <w:sz w:val="24"/>
          <w:szCs w:val="24"/>
        </w:rPr>
      </w:pPr>
      <w:r>
        <w:rPr>
          <w:rFonts w:hint="eastAsia" w:ascii="宋体" w:hAnsi="宋体" w:eastAsia="宋体" w:cs="宋体"/>
          <w:sz w:val="24"/>
          <w:szCs w:val="24"/>
        </w:rPr>
        <w:t>2．乙方提供的货物如侵犯了第三方权益而引发纠纷或诉讼的，均由乙方负责交涉并承担全部责任；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3．因包装、运输引起的货物损坏，按质量不合格处罚；</w:t>
      </w:r>
    </w:p>
    <w:p>
      <w:pPr>
        <w:spacing w:line="360" w:lineRule="auto"/>
        <w:rPr>
          <w:rFonts w:hint="eastAsia" w:ascii="宋体" w:hAnsi="宋体" w:eastAsia="宋体" w:cs="宋体"/>
          <w:sz w:val="24"/>
          <w:szCs w:val="24"/>
        </w:rPr>
      </w:pPr>
      <w:r>
        <w:rPr>
          <w:rFonts w:hint="eastAsia" w:ascii="宋体" w:hAnsi="宋体" w:eastAsia="宋体" w:cs="宋体"/>
          <w:sz w:val="24"/>
          <w:szCs w:val="24"/>
        </w:rPr>
        <w:t>4．甲方无故延期接受货物和乙方逾期交货的，每天应向对方偿付未交货物的货款3‰的违约金，但违约金累计不得超过违约货款的5%，超过10天对方有权解除合同，违约方承担因此给对方造成的经济损失；</w:t>
      </w:r>
    </w:p>
    <w:p>
      <w:pPr>
        <w:spacing w:line="360" w:lineRule="auto"/>
        <w:rPr>
          <w:rFonts w:hint="eastAsia" w:ascii="宋体" w:hAnsi="宋体" w:eastAsia="宋体" w:cs="宋体"/>
          <w:sz w:val="24"/>
          <w:szCs w:val="24"/>
        </w:rPr>
      </w:pPr>
      <w:r>
        <w:rPr>
          <w:rFonts w:hint="eastAsia" w:ascii="宋体" w:hAnsi="宋体" w:eastAsia="宋体" w:cs="宋体"/>
          <w:sz w:val="24"/>
          <w:szCs w:val="24"/>
        </w:rPr>
        <w:t>5．乙方未按本合同和磋商文件中规定的服务承诺提供售后服务的，乙方应按本合同合计金额的5%向甲方支付违约金；</w:t>
      </w:r>
    </w:p>
    <w:p>
      <w:pPr>
        <w:spacing w:line="360" w:lineRule="auto"/>
        <w:rPr>
          <w:rFonts w:hint="eastAsia" w:ascii="宋体" w:hAnsi="宋体" w:eastAsia="宋体" w:cs="宋体"/>
          <w:sz w:val="24"/>
          <w:szCs w:val="24"/>
        </w:rPr>
      </w:pPr>
      <w:r>
        <w:rPr>
          <w:rFonts w:hint="eastAsia" w:ascii="宋体" w:hAnsi="宋体" w:eastAsia="宋体" w:cs="宋体"/>
          <w:sz w:val="24"/>
          <w:szCs w:val="24"/>
        </w:rPr>
        <w:t>6．乙方提供的货物在质量保证期内，因设计、工艺或材料的缺陷和其它质量原因造成的问题，由乙方负责，费用从履约保证金中扣除，不足另补；</w:t>
      </w:r>
    </w:p>
    <w:p>
      <w:pPr>
        <w:spacing w:line="360" w:lineRule="auto"/>
        <w:rPr>
          <w:rFonts w:hint="eastAsia" w:ascii="宋体" w:hAnsi="宋体" w:eastAsia="宋体" w:cs="宋体"/>
          <w:sz w:val="24"/>
          <w:szCs w:val="24"/>
        </w:rPr>
      </w:pPr>
      <w:r>
        <w:rPr>
          <w:rFonts w:hint="eastAsia" w:ascii="宋体" w:hAnsi="宋体" w:eastAsia="宋体" w:cs="宋体"/>
          <w:sz w:val="24"/>
          <w:szCs w:val="24"/>
        </w:rPr>
        <w:t>7．其它违约行为按违约货款额5%收取违约金并赔偿经济损失。</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七、不可抗力</w:t>
      </w:r>
    </w:p>
    <w:p>
      <w:pPr>
        <w:spacing w:line="360" w:lineRule="auto"/>
        <w:rPr>
          <w:rFonts w:hint="eastAsia" w:ascii="宋体" w:hAnsi="宋体" w:eastAsia="宋体" w:cs="宋体"/>
          <w:sz w:val="24"/>
          <w:szCs w:val="24"/>
        </w:rPr>
      </w:pPr>
      <w:r>
        <w:rPr>
          <w:rFonts w:hint="eastAsia" w:ascii="宋体" w:hAnsi="宋体" w:eastAsia="宋体" w:cs="宋体"/>
          <w:sz w:val="24"/>
          <w:szCs w:val="24"/>
        </w:rPr>
        <w:t>1．不可抗力使合同的某些内容有变更必要的，双方应通过协商在</w:t>
      </w:r>
      <w:r>
        <w:rPr>
          <w:rFonts w:hint="eastAsia" w:ascii="宋体" w:hAnsi="宋体" w:eastAsia="宋体" w:cs="宋体"/>
          <w:sz w:val="24"/>
          <w:szCs w:val="24"/>
          <w:u w:val="single"/>
        </w:rPr>
        <w:t>3</w:t>
      </w:r>
      <w:r>
        <w:rPr>
          <w:rFonts w:hint="eastAsia" w:ascii="宋体" w:hAnsi="宋体" w:eastAsia="宋体" w:cs="宋体"/>
          <w:sz w:val="24"/>
          <w:szCs w:val="24"/>
        </w:rPr>
        <w:t>天内达成进一步履行合同的协议，因不可抗力致使合同不能履行的，合同终止；</w:t>
      </w:r>
    </w:p>
    <w:p>
      <w:pPr>
        <w:spacing w:line="360" w:lineRule="auto"/>
        <w:rPr>
          <w:rFonts w:hint="eastAsia" w:ascii="宋体" w:hAnsi="宋体" w:eastAsia="宋体" w:cs="宋体"/>
          <w:sz w:val="24"/>
          <w:szCs w:val="24"/>
        </w:rPr>
      </w:pPr>
      <w:r>
        <w:rPr>
          <w:rFonts w:hint="eastAsia" w:ascii="宋体" w:hAnsi="宋体" w:eastAsia="宋体" w:cs="宋体"/>
          <w:sz w:val="24"/>
          <w:szCs w:val="24"/>
        </w:rPr>
        <w:t>2．除法律、法规规定的不可抗力情形外，双方约定出现</w:t>
      </w:r>
      <w:r>
        <w:rPr>
          <w:rFonts w:hint="eastAsia" w:ascii="宋体" w:hAnsi="宋体" w:eastAsia="宋体" w:cs="宋体"/>
          <w:sz w:val="24"/>
          <w:szCs w:val="24"/>
          <w:u w:val="single"/>
        </w:rPr>
        <w:t xml:space="preserve"> 自然灾害 </w:t>
      </w:r>
      <w:r>
        <w:rPr>
          <w:rFonts w:hint="eastAsia" w:ascii="宋体" w:hAnsi="宋体" w:eastAsia="宋体" w:cs="宋体"/>
          <w:sz w:val="24"/>
          <w:szCs w:val="24"/>
        </w:rPr>
        <w:t>情况亦视为不可抗力。</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八、知识产权：</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九、其他约定：</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十、合同争议解决</w:t>
      </w:r>
    </w:p>
    <w:p>
      <w:pPr>
        <w:spacing w:line="360" w:lineRule="auto"/>
        <w:rPr>
          <w:rFonts w:hint="eastAsia" w:ascii="宋体" w:hAnsi="宋体" w:eastAsia="宋体" w:cs="宋体"/>
          <w:sz w:val="24"/>
          <w:szCs w:val="24"/>
        </w:rPr>
      </w:pPr>
      <w:r>
        <w:rPr>
          <w:rFonts w:hint="eastAsia" w:ascii="宋体" w:hAnsi="宋体" w:eastAsia="宋体" w:cs="宋体"/>
          <w:sz w:val="24"/>
          <w:szCs w:val="24"/>
        </w:rPr>
        <w:t>1．因产品质量问题发生争议的，应邀请国家认可的质量检测机构进行鉴定。产品符合标准的，鉴定费由甲方承担；产品不符合标准的，鉴定费由乙方承担；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2．因履行本合同引起的或与本合同有关的争议，甲乙双方应首先通过友好协商解决，如果协商不能解决，可向甲方所在地仲裁委员会申请仲裁或向甲方所在地人民法院提起诉讼；</w:t>
      </w:r>
    </w:p>
    <w:p>
      <w:pPr>
        <w:spacing w:line="360" w:lineRule="auto"/>
        <w:rPr>
          <w:rFonts w:hint="eastAsia" w:ascii="宋体" w:hAnsi="宋体" w:eastAsia="宋体" w:cs="宋体"/>
          <w:sz w:val="24"/>
          <w:szCs w:val="24"/>
        </w:rPr>
      </w:pPr>
      <w:r>
        <w:rPr>
          <w:rFonts w:hint="eastAsia" w:ascii="宋体" w:hAnsi="宋体" w:eastAsia="宋体" w:cs="宋体"/>
          <w:sz w:val="24"/>
          <w:szCs w:val="24"/>
        </w:rPr>
        <w:t>3．诉讼期间，本合同继续履行。</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十一、合同生效及其它：</w:t>
      </w:r>
    </w:p>
    <w:p>
      <w:pPr>
        <w:spacing w:line="360" w:lineRule="auto"/>
        <w:rPr>
          <w:rFonts w:hint="eastAsia" w:ascii="宋体" w:hAnsi="宋体" w:eastAsia="宋体" w:cs="宋体"/>
          <w:sz w:val="24"/>
          <w:szCs w:val="24"/>
        </w:rPr>
      </w:pPr>
      <w:r>
        <w:rPr>
          <w:rFonts w:hint="eastAsia" w:ascii="宋体" w:hAnsi="宋体" w:eastAsia="宋体" w:cs="宋体"/>
          <w:sz w:val="24"/>
          <w:szCs w:val="24"/>
        </w:rPr>
        <w:t>1．本合同一式八份，经双方签字，并加盖公章即为生效；</w:t>
      </w:r>
    </w:p>
    <w:p>
      <w:pPr>
        <w:spacing w:line="360" w:lineRule="auto"/>
        <w:rPr>
          <w:rFonts w:hint="eastAsia" w:ascii="宋体" w:hAnsi="宋体" w:eastAsia="宋体" w:cs="宋体"/>
          <w:sz w:val="24"/>
          <w:szCs w:val="24"/>
        </w:rPr>
      </w:pPr>
      <w:r>
        <w:rPr>
          <w:rFonts w:hint="eastAsia" w:ascii="宋体" w:hAnsi="宋体" w:eastAsia="宋体" w:cs="宋体"/>
          <w:sz w:val="24"/>
          <w:szCs w:val="24"/>
        </w:rPr>
        <w:t>2．本合同未尽事宜，按经济合同法有关规定处理；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3．本合同的组成包含《合同通用条款》，可自行在青海政府采购网下载《合同通用条款》</w:t>
      </w:r>
    </w:p>
    <w:p>
      <w:pPr>
        <w:pStyle w:val="2"/>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法人或委托人（签字）：              法人或委托人（签字）：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联系电话：                          开户银行：</w:t>
      </w:r>
    </w:p>
    <w:p>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账号：</w:t>
      </w:r>
    </w:p>
    <w:p>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联系电话：</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签约时间：    年  月  日</w:t>
      </w:r>
    </w:p>
    <w:p>
      <w:pPr>
        <w:spacing w:line="360" w:lineRule="auto"/>
        <w:jc w:val="right"/>
        <w:rPr>
          <w:rFonts w:hint="eastAsia" w:ascii="宋体" w:hAnsi="宋体" w:eastAsia="宋体" w:cs="宋体"/>
          <w:kern w:val="0"/>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采购代理机构：青海国焱工程项目管理有限公司</w:t>
      </w:r>
    </w:p>
    <w:p>
      <w:pPr>
        <w:spacing w:line="360" w:lineRule="auto"/>
        <w:rPr>
          <w:rFonts w:hint="eastAsia" w:ascii="宋体" w:hAnsi="宋体" w:eastAsia="宋体" w:cs="宋体"/>
          <w:sz w:val="24"/>
          <w:szCs w:val="24"/>
        </w:rPr>
      </w:pPr>
      <w:r>
        <w:rPr>
          <w:rFonts w:hint="eastAsia" w:ascii="宋体" w:hAnsi="宋体" w:eastAsia="宋体" w:cs="宋体"/>
          <w:sz w:val="24"/>
          <w:szCs w:val="24"/>
        </w:rPr>
        <w:t>负责人或经办人：</w:t>
      </w:r>
    </w:p>
    <w:p>
      <w:pPr>
        <w:spacing w:line="360" w:lineRule="auto"/>
        <w:rPr>
          <w:rFonts w:hint="eastAsia" w:ascii="宋体" w:hAnsi="宋体" w:eastAsia="宋体" w:cs="宋体"/>
          <w:sz w:val="24"/>
          <w:szCs w:val="24"/>
        </w:rPr>
      </w:pPr>
      <w:r>
        <w:rPr>
          <w:rFonts w:hint="eastAsia" w:ascii="宋体" w:hAnsi="宋体" w:eastAsia="宋体" w:cs="宋体"/>
          <w:sz w:val="24"/>
          <w:szCs w:val="24"/>
        </w:rPr>
        <w:t>合同备案日期：  年   月   日</w:t>
      </w:r>
    </w:p>
    <w:p>
      <w:pPr>
        <w:spacing w:line="360" w:lineRule="auto"/>
        <w:jc w:val="center"/>
        <w:rPr>
          <w:rFonts w:hint="eastAsia" w:ascii="宋体" w:hAnsi="宋体" w:eastAsia="宋体" w:cs="宋体"/>
          <w:b/>
          <w:bCs/>
          <w:kern w:val="0"/>
          <w:sz w:val="24"/>
          <w:szCs w:val="24"/>
          <w:lang w:val="zh-CN"/>
        </w:rPr>
      </w:pPr>
      <w:r>
        <w:rPr>
          <w:rFonts w:hint="eastAsia" w:ascii="宋体" w:hAnsi="宋体" w:eastAsia="宋体" w:cs="宋体"/>
          <w:sz w:val="24"/>
          <w:szCs w:val="24"/>
        </w:rPr>
        <w:br w:type="page"/>
      </w:r>
      <w:r>
        <w:rPr>
          <w:rFonts w:hint="eastAsia" w:ascii="宋体" w:hAnsi="宋体" w:eastAsia="宋体" w:cs="宋体"/>
          <w:b/>
          <w:sz w:val="24"/>
          <w:szCs w:val="24"/>
        </w:rPr>
        <w:t>合同通用条款</w:t>
      </w:r>
    </w:p>
    <w:p>
      <w:pPr>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zh-CN"/>
        </w:rPr>
        <w:t>根据《中华人民共和国</w:t>
      </w:r>
      <w:r>
        <w:rPr>
          <w:rFonts w:hint="eastAsia" w:ascii="宋体" w:hAnsi="宋体" w:eastAsia="宋体" w:cs="宋体"/>
          <w:kern w:val="0"/>
          <w:sz w:val="24"/>
          <w:szCs w:val="24"/>
        </w:rPr>
        <w:t>民法典</w:t>
      </w:r>
      <w:r>
        <w:rPr>
          <w:rFonts w:hint="eastAsia" w:ascii="宋体" w:hAnsi="宋体" w:eastAsia="宋体" w:cs="宋体"/>
          <w:kern w:val="0"/>
          <w:sz w:val="24"/>
          <w:szCs w:val="24"/>
          <w:lang w:val="zh-CN"/>
        </w:rPr>
        <w:t>》、《中华人民共和国政府采购法》的规定，合同双方经协商达成一致，自愿订立本合同，遵循公平原则明确双方的权利、义务，确保双方诚实守信地履行合同。</w:t>
      </w:r>
    </w:p>
    <w:p>
      <w:pPr>
        <w:numPr>
          <w:ilvl w:val="0"/>
          <w:numId w:val="38"/>
        </w:num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val="zh-CN"/>
        </w:rPr>
        <w:t>定义</w:t>
      </w:r>
    </w:p>
    <w:p>
      <w:pPr>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zh-CN"/>
        </w:rPr>
        <w:t>本合同中的下列术语应解释为：</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“合同”指甲乙双方签署的、载明的甲乙双方权利义务的协议，包括所有的附件、附录和上述文件所提到的构成合同的所有文件。</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“合同金额”指根据合同规定，乙方在正确地完全履行合同义务后甲方应付给乙方的价款。</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“合同条款”指本合同条款。</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“货物”指乙方根据合同约定须向甲方提供的一切产品、设备、机械、仪表、备件等，包括辅助工具、使用手册等相关资料。</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“服务”指根据本合同规定乙方承担与供货有关的辅助服务，如运输、保险及安装、调试、提供技术援助、培训和合同中规定乙方应承担的其它义务。</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“甲方”指购买货物和服务的单位。</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“乙方”指提供本合同条款下货物和服务的公司或其他实体。</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“现场”指合同规定货物将要运至和安装的地点。</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“验收”指合同双方依据强制性的国家技术质量规范和合同约定，确认合同条款下的货物符合合同规定的活动。</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原厂商：产品制造商或其在中国境内设立的办事或技术服务机构。除另有说明外，本合同文件所述的制造商、产品制造商、制造厂家、产品制造厂家均为原厂商。</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原产地：指产品的生产地，或提供服务的来源地。</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“工作日”指国家法定工作日，“天”指日历天数。</w:t>
      </w:r>
    </w:p>
    <w:p>
      <w:pPr>
        <w:numPr>
          <w:ilvl w:val="0"/>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lang w:val="zh-CN"/>
        </w:rPr>
        <w:t>技术规格要求</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本合同条款下提交货物的技术规格要求应等于或优于招磋商文件技术规格要求。若技术规格要求中无相应规定，则应符合相应的国家有关部门最新颁布的相应正式标准。</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乙方应向甲方提供货物及服务有关的标准的中文文本。</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除非技术规范中另有规定，计量单位均采用中华人民共和国法定计量单位。</w:t>
      </w:r>
    </w:p>
    <w:p>
      <w:pPr>
        <w:numPr>
          <w:ilvl w:val="0"/>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lang w:val="zh-CN"/>
        </w:rPr>
        <w:t>合同范围</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乙方应负责培训甲方的技术人员。</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lang w:val="zh-CN"/>
        </w:rPr>
        <w:t>合同文件和资料</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乙方在提供仪器设备时应同时提供中文版相关的技术资料，如目录索引、图纸、操作手册、使用指南、维修指南、服务手册等。</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lang w:val="zh-CN"/>
        </w:rPr>
        <w:t>知识产权</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乙方应保证甲方在使用该货物或其任何一部分时不受第三方提出的侵犯专利权、著作权、商标权和工业设计权等的起诉。</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任何第三方提出侵权指控，乙方须与第三方交涉并承担由此产生的一切责任、费用和经济赔偿。</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在本合同生效时已经存在并为各方合法拥有或使用的所有技术、资料和信息的知识产权，仍应属于其各自的原权利人所有或享有，另有约定的除外。</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lang w:val="zh-CN"/>
        </w:rPr>
        <w:t>保密</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保密信息指任何一方因履行本合同所知悉的任何以口头、书面、图表或电子形式存在的对方信息，具体包括：</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任何涉及对方过去、现在或将来的商业计划、规章制度、操作规程、处理手段、财务信息；</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任何对方的技术措施、技术方案、软件应用及开发，硬件设备的品种、质量、数量、品牌等；</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任何对方的技术秘密或专有知识、文件、报告、数据、客户软件、流程图、数据库、发明、知识、贸易秘密。</w:t>
      </w:r>
    </w:p>
    <w:p>
      <w:pPr>
        <w:numPr>
          <w:ilvl w:val="1"/>
          <w:numId w:val="38"/>
        </w:num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乙方应根据甲方的要求签署相应的保密协议，保密协议与本条款存在不一致的，以保密协议为准。</w:t>
      </w:r>
    </w:p>
    <w:p>
      <w:pPr>
        <w:numPr>
          <w:ilvl w:val="0"/>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lang w:val="zh-CN"/>
        </w:rPr>
        <w:t>质量保证</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货物质量保证</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乙方必须保证货物是全新、未使用过的，并完全符合强制性的国家技术质量规范和合同规定的质量、规格、性能和技术规范等的要求。</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合同条款下货物的免费质保期自货物通过最终验收起算，合同另行规定除外。</w:t>
      </w:r>
    </w:p>
    <w:p>
      <w:pPr>
        <w:numPr>
          <w:ilvl w:val="1"/>
          <w:numId w:val="38"/>
        </w:num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辅助服务质量保证</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38"/>
        </w:numPr>
        <w:autoSpaceDE w:val="0"/>
        <w:autoSpaceDN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包装要求</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除合同另有约定外</w:t>
      </w:r>
      <w:r>
        <w:rPr>
          <w:rFonts w:hint="eastAsia" w:ascii="宋体" w:hAnsi="宋体" w:eastAsia="宋体" w:cs="宋体"/>
          <w:kern w:val="0"/>
          <w:sz w:val="24"/>
          <w:szCs w:val="24"/>
        </w:rPr>
        <w:t>,</w:t>
      </w:r>
      <w:r>
        <w:rPr>
          <w:rFonts w:hint="eastAsia" w:ascii="宋体" w:hAnsi="宋体" w:eastAsia="宋体" w:cs="宋体"/>
          <w:kern w:val="0"/>
          <w:sz w:val="24"/>
          <w:szCs w:val="24"/>
          <w:lang w:val="zh-CN"/>
        </w:rPr>
        <w:t>乙方提供的全部货物</w:t>
      </w:r>
      <w:r>
        <w:rPr>
          <w:rFonts w:hint="eastAsia" w:ascii="宋体" w:hAnsi="宋体" w:eastAsia="宋体" w:cs="宋体"/>
          <w:kern w:val="0"/>
          <w:sz w:val="24"/>
          <w:szCs w:val="24"/>
        </w:rPr>
        <w:t>,</w:t>
      </w:r>
      <w:r>
        <w:rPr>
          <w:rFonts w:hint="eastAsia" w:ascii="宋体" w:hAnsi="宋体" w:eastAsia="宋体" w:cs="宋体"/>
          <w:kern w:val="0"/>
          <w:sz w:val="24"/>
          <w:szCs w:val="24"/>
          <w:lang w:val="zh-CN"/>
        </w:rPr>
        <w:t>均应采用本行业通用的方式进行包装，且该包装应符合国家有关包装的法律、法规的规定。</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left="480"/>
        <w:rPr>
          <w:rFonts w:hint="eastAsia" w:ascii="宋体" w:hAnsi="宋体" w:eastAsia="宋体" w:cs="宋体"/>
          <w:kern w:val="0"/>
          <w:sz w:val="24"/>
          <w:szCs w:val="24"/>
        </w:rPr>
      </w:pPr>
      <w:r>
        <w:rPr>
          <w:rFonts w:hint="eastAsia" w:ascii="宋体" w:hAnsi="宋体" w:eastAsia="宋体" w:cs="宋体"/>
          <w:kern w:val="0"/>
          <w:sz w:val="24"/>
          <w:szCs w:val="24"/>
          <w:lang w:val="zh-CN"/>
        </w:rPr>
        <w:t>乙方应提供货物运至合同规定的最终目的地所需要的包装，以防止货物在转运中损坏或变质。</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乙方所提供的货物包装均为出厂时原包装。</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乙方所提供货物必须附有质量合格证，装箱清单，主机、附件、各种零部件和消耗品，有清楚的与装箱单相对应的名称和编号。</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货物运输中的运输费用和保险费用均由乙方承担。运输过程中的一切损失、损坏均由乙方负责。</w:t>
      </w:r>
    </w:p>
    <w:p>
      <w:pPr>
        <w:numPr>
          <w:ilvl w:val="0"/>
          <w:numId w:val="38"/>
        </w:numPr>
        <w:autoSpaceDE w:val="0"/>
        <w:autoSpaceDN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价格</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本合同价格为固定价格，包括了乙方履行合同全过程产生的所有成本和费用以及乙方应承担的一切税费。</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检验费用</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乙方必须负担本条款下属于乙方负责的检验、测试、调试、试运行和验收的所有费用，并负责乙方派往买方组织的检验、测试和验收人员的所有费用。</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甲方按合同计划参加在乙方工厂所在地检验、测试和验收的费用全部由乙方负责并已包含在合同总价中。</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甲方检验人员已到卖方所在地，测试无法依照合同进行，而引起甲方人员延长逗留时间，所有由此产生的包括甲方人员在内的直接费用及成本由乙方承担。</w:t>
      </w:r>
    </w:p>
    <w:p>
      <w:pPr>
        <w:numPr>
          <w:ilvl w:val="0"/>
          <w:numId w:val="38"/>
        </w:num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val="zh-CN"/>
        </w:rPr>
        <w:t>交货方式及交货时间</w:t>
      </w:r>
    </w:p>
    <w:p>
      <w:pPr>
        <w:autoSpaceDE w:val="0"/>
        <w:autoSpaceDN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交货方式：现场交货，乙方负责办理运输和保险，将货物运抵现场。</w:t>
      </w:r>
    </w:p>
    <w:p>
      <w:pPr>
        <w:autoSpaceDE w:val="0"/>
        <w:autoSpaceDN w:val="0"/>
        <w:spacing w:line="360" w:lineRule="auto"/>
        <w:ind w:firstLine="480" w:firstLineChars="200"/>
        <w:rPr>
          <w:rFonts w:hint="eastAsia" w:ascii="宋体" w:hAnsi="宋体" w:eastAsia="宋体" w:cs="宋体"/>
          <w:kern w:val="0"/>
          <w:sz w:val="24"/>
          <w:szCs w:val="24"/>
          <w:lang w:val="zh-CN"/>
        </w:rPr>
      </w:pPr>
      <w:r>
        <w:rPr>
          <w:rFonts w:hint="eastAsia" w:ascii="宋体" w:hAnsi="宋体" w:cs="宋体"/>
          <w:kern w:val="0"/>
          <w:sz w:val="24"/>
          <w:szCs w:val="24"/>
          <w:lang w:val="zh-CN"/>
        </w:rPr>
        <w:t>交货及安装期</w:t>
      </w:r>
      <w:r>
        <w:rPr>
          <w:rFonts w:hint="eastAsia" w:ascii="宋体" w:hAnsi="宋体" w:eastAsia="宋体" w:cs="宋体"/>
          <w:kern w:val="0"/>
          <w:sz w:val="24"/>
          <w:szCs w:val="24"/>
          <w:lang w:val="zh-CN"/>
        </w:rPr>
        <w:t>应根据产品的特点实事求是填写，进口产品90个工作日内，国产产品60个工作日内。特殊产品</w:t>
      </w:r>
      <w:r>
        <w:rPr>
          <w:rFonts w:hint="eastAsia" w:ascii="宋体" w:hAnsi="宋体" w:cs="宋体"/>
          <w:kern w:val="0"/>
          <w:sz w:val="24"/>
          <w:szCs w:val="24"/>
          <w:lang w:val="zh-CN"/>
        </w:rPr>
        <w:t>交货及安装期</w:t>
      </w:r>
      <w:r>
        <w:rPr>
          <w:rFonts w:hint="eastAsia" w:ascii="宋体" w:hAnsi="宋体" w:eastAsia="宋体" w:cs="宋体"/>
          <w:kern w:val="0"/>
          <w:sz w:val="24"/>
          <w:szCs w:val="24"/>
          <w:lang w:val="zh-CN"/>
        </w:rPr>
        <w:t>需说明。</w:t>
      </w:r>
    </w:p>
    <w:p>
      <w:pPr>
        <w:autoSpaceDE w:val="0"/>
        <w:autoSpaceDN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交货时间：所有货物运抵现场并经双方开箱验收合格之日。</w:t>
      </w:r>
    </w:p>
    <w:p>
      <w:pPr>
        <w:numPr>
          <w:ilvl w:val="0"/>
          <w:numId w:val="38"/>
        </w:numPr>
        <w:autoSpaceDE w:val="0"/>
        <w:autoSpaceDN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检验和验收</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开箱验收</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货物运抵现场后，双方应及时开箱验收，并制作验收记录，以确认与本合同约定的数量、型号等是否一致。</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检验验收</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在具体实施合同规定的检验验收之前，乙方需提前提交相应的测试计划（包括测试程序、测试内容和检验标准、试验时间安排等）供甲方确认。</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除需甲方确认的试验验收外，乙方还应对所有检验验收测试的结果、步骤、原始数据等作妥善记录。如甲方要求，乙方应提供这些记录给买方。</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检验测试出现全部或部分未达到本合同所约定的技术指标，甲方有权选择下列任一处理方式：</w:t>
      </w:r>
    </w:p>
    <w:p>
      <w:pPr>
        <w:numPr>
          <w:ilvl w:val="0"/>
          <w:numId w:val="39"/>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重新测试直至合格为止；</w:t>
      </w:r>
    </w:p>
    <w:p>
      <w:pPr>
        <w:numPr>
          <w:ilvl w:val="0"/>
          <w:numId w:val="39"/>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要求乙方对货物进行免费更换，然后重新测试直至合格为止；</w:t>
      </w:r>
    </w:p>
    <w:p>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无论选择何种方式，甲方因此而发生的因卖方原因引起的所有费用均由乙方负担。</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使用过程检验</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如果合同双方对乙方提供的上述试验结果报告的解释有分歧，双方须于出现分歧后</w:t>
      </w:r>
      <w:r>
        <w:rPr>
          <w:rFonts w:hint="eastAsia" w:ascii="宋体" w:hAnsi="宋体" w:eastAsia="宋体" w:cs="宋体"/>
          <w:kern w:val="0"/>
          <w:sz w:val="24"/>
          <w:szCs w:val="24"/>
        </w:rPr>
        <w:t>10</w:t>
      </w:r>
      <w:r>
        <w:rPr>
          <w:rFonts w:hint="eastAsia" w:ascii="宋体" w:hAnsi="宋体" w:eastAsia="宋体" w:cs="宋体"/>
          <w:kern w:val="0"/>
          <w:sz w:val="24"/>
          <w:szCs w:val="24"/>
          <w:lang w:val="zh-CN"/>
        </w:rPr>
        <w:t>天内给对方声明，以陈述己方的观点。声明须附有关证据。分歧应通过协商解决。</w:t>
      </w:r>
    </w:p>
    <w:p>
      <w:pPr>
        <w:numPr>
          <w:ilvl w:val="0"/>
          <w:numId w:val="38"/>
        </w:num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val="zh-CN"/>
        </w:rPr>
        <w:t>付款条件</w:t>
      </w:r>
    </w:p>
    <w:p>
      <w:pPr>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zh-CN"/>
        </w:rPr>
        <w:t>本合同条款下的付款方法和条件在“青海省政府采购合同书”中具体规定。</w:t>
      </w:r>
    </w:p>
    <w:p>
      <w:pPr>
        <w:numPr>
          <w:ilvl w:val="0"/>
          <w:numId w:val="38"/>
        </w:numPr>
        <w:autoSpaceDE w:val="0"/>
        <w:autoSpaceDN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履约保证金</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乙方应在合同签订前，按要求提交履约保证金。</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履约保证金用于补偿甲方因乙方不能履行其合同义务而蒙受的损失。</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履约保证金应使用本合同货币，按下述方式之一提交（磋商文件中另有约定的除外）：</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甲方可接受的在中华人民共和国注册和营业的银行出具的履约保函；</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支票或汇票。</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乙方未能按合同规定履行其义务，甲方有权从履约保证金中取得补偿。货物验收合格后，甲方将履约保证金退还乙方或转为质量保证金。</w:t>
      </w:r>
    </w:p>
    <w:p>
      <w:pPr>
        <w:numPr>
          <w:ilvl w:val="0"/>
          <w:numId w:val="38"/>
        </w:numPr>
        <w:autoSpaceDE w:val="0"/>
        <w:autoSpaceDN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索赔</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在履约保证期和检验期内，乙方对甲方提出的索赔负有责任，乙方应按照甲方同意的下列一种或多种方式解决索赔事宜：</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根据货物低劣程度、损坏程度以及甲方所遭受损失的数额，经甲乙双方商定降低货物的价格，或由有资质的中介机构评估，以降低后的价格或评估价格为准。</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38"/>
        </w:num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乙方收到甲方发出的索赔通知之日起</w:t>
      </w:r>
      <w:r>
        <w:rPr>
          <w:rFonts w:hint="eastAsia" w:ascii="宋体" w:hAnsi="宋体" w:eastAsia="宋体" w:cs="宋体"/>
          <w:kern w:val="0"/>
          <w:sz w:val="24"/>
          <w:szCs w:val="24"/>
        </w:rPr>
        <w:t>5</w:t>
      </w:r>
      <w:r>
        <w:rPr>
          <w:rFonts w:hint="eastAsia" w:ascii="宋体" w:hAnsi="宋体" w:eastAsia="宋体" w:cs="宋体"/>
          <w:kern w:val="0"/>
          <w:sz w:val="24"/>
          <w:szCs w:val="24"/>
          <w:lang w:val="zh-CN"/>
        </w:rPr>
        <w:t>个工作日内未作答复的，甲方可从合同款或履约保证金中扣回索赔金额，如金额不足以补偿索赔金额，乙方应补足差额部分。</w:t>
      </w:r>
    </w:p>
    <w:p>
      <w:pPr>
        <w:numPr>
          <w:ilvl w:val="0"/>
          <w:numId w:val="38"/>
        </w:numPr>
        <w:autoSpaceDE w:val="0"/>
        <w:autoSpaceDN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迟延交货</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乙方应按照合同约定的时间交货和提供服务。</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除不可抗力因素外，乙方迟延交货，甲方有权提出违约损失赔偿或解除合同。</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38"/>
        </w:num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val="zh-CN"/>
        </w:rPr>
        <w:t>违约赔偿</w:t>
      </w:r>
    </w:p>
    <w:p>
      <w:pPr>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zh-CN"/>
        </w:rPr>
        <w:t>除不可抗力因素外，乙方没有按照合同规定的时间交货和提供服务，甲方可要求乙方支付违约金。违约金每日按合同总价款的千分之五计收。</w:t>
      </w:r>
    </w:p>
    <w:p>
      <w:pPr>
        <w:numPr>
          <w:ilvl w:val="0"/>
          <w:numId w:val="38"/>
        </w:numPr>
        <w:autoSpaceDE w:val="0"/>
        <w:autoSpaceDN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不可抗力</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双方中任何一方遭遇法律规定的不可抗力，致使合同履行受阻时，履行合同的期限应予延长，延长的期限应相当于不可抗力所影响的时间。</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受事故影响的一方应在不可抗力的事故发生后以书面形式通知另一方。</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不可抗力使合同的某些内容有变更必要的，双方应通过协商达成进一步履行合同的协议，因不可抗力致使合同不能履行的，合同终止。</w:t>
      </w:r>
    </w:p>
    <w:p>
      <w:pPr>
        <w:numPr>
          <w:ilvl w:val="0"/>
          <w:numId w:val="38"/>
        </w:num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val="zh-CN"/>
        </w:rPr>
        <w:t>税费</w:t>
      </w:r>
    </w:p>
    <w:p>
      <w:pPr>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zh-CN"/>
        </w:rPr>
        <w:t>与本合同有关的一切税费均由乙方承担。</w:t>
      </w:r>
    </w:p>
    <w:p>
      <w:pPr>
        <w:numPr>
          <w:ilvl w:val="0"/>
          <w:numId w:val="38"/>
        </w:numPr>
        <w:autoSpaceDE w:val="0"/>
        <w:autoSpaceDN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合同争议的解决</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甲方和乙方由于本合同的履行而发生任何争议时，双方可先通过协商解决。</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任何一方不愿通过协商或通过协商仍不能解决争议，则双方中任何一方均应向甲方所在地人民法院起诉。</w:t>
      </w:r>
    </w:p>
    <w:p>
      <w:pPr>
        <w:numPr>
          <w:ilvl w:val="0"/>
          <w:numId w:val="38"/>
        </w:numPr>
        <w:autoSpaceDE w:val="0"/>
        <w:autoSpaceDN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违约解除合同</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出现下列情形之一的，视为乙方违约。甲方可向乙方发出书面通知，部分或全部终止合同，同时保留向乙方索赔的权利。</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乙方未能在合同规定的限期或甲方同意延长的限期内，提供全部或部分货物的；</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乙方未能履行合同规定的其它主要义务的；</w:t>
      </w:r>
    </w:p>
    <w:p>
      <w:pPr>
        <w:numPr>
          <w:ilvl w:val="2"/>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乙方在本合同履行过程中有欺诈行为的。</w:t>
      </w:r>
    </w:p>
    <w:p>
      <w:pPr>
        <w:numPr>
          <w:ilvl w:val="1"/>
          <w:numId w:val="38"/>
        </w:num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38"/>
        </w:num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val="zh-CN"/>
        </w:rPr>
        <w:t>破产终止合同</w:t>
      </w:r>
    </w:p>
    <w:p>
      <w:pPr>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38"/>
        </w:numPr>
        <w:autoSpaceDE w:val="0"/>
        <w:autoSpaceDN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转让和分包</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政府采购合同不能转让。</w:t>
      </w:r>
    </w:p>
    <w:p>
      <w:pPr>
        <w:numPr>
          <w:ilvl w:val="1"/>
          <w:numId w:val="38"/>
        </w:num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38"/>
        </w:num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val="zh-CN"/>
        </w:rPr>
        <w:t>合同修改</w:t>
      </w:r>
    </w:p>
    <w:p>
      <w:pPr>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38"/>
        </w:num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val="zh-CN"/>
        </w:rPr>
        <w:t>通知</w:t>
      </w:r>
    </w:p>
    <w:p>
      <w:pPr>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zh-CN"/>
        </w:rPr>
        <w:t>本合同任何一方给另一方的通知，都应以书面形式发送，而另一方也应以书面形式确认并发送到对方明确的地址。</w:t>
      </w:r>
    </w:p>
    <w:p>
      <w:pPr>
        <w:numPr>
          <w:ilvl w:val="0"/>
          <w:numId w:val="38"/>
        </w:num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val="zh-CN"/>
        </w:rPr>
        <w:t>计量单位</w:t>
      </w:r>
    </w:p>
    <w:p>
      <w:pPr>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zh-CN"/>
        </w:rPr>
        <w:t>除技术规范中另有规定外</w:t>
      </w:r>
      <w:r>
        <w:rPr>
          <w:rFonts w:hint="eastAsia" w:ascii="宋体" w:hAnsi="宋体" w:eastAsia="宋体" w:cs="宋体"/>
          <w:kern w:val="0"/>
          <w:sz w:val="24"/>
          <w:szCs w:val="24"/>
        </w:rPr>
        <w:t>,</w:t>
      </w:r>
      <w:r>
        <w:rPr>
          <w:rFonts w:hint="eastAsia" w:ascii="宋体" w:hAnsi="宋体" w:eastAsia="宋体" w:cs="宋体"/>
          <w:kern w:val="0"/>
          <w:sz w:val="24"/>
          <w:szCs w:val="24"/>
          <w:lang w:val="zh-CN"/>
        </w:rPr>
        <w:t>计量单位均使用国家法定计量单位。</w:t>
      </w:r>
    </w:p>
    <w:p>
      <w:pPr>
        <w:numPr>
          <w:ilvl w:val="0"/>
          <w:numId w:val="38"/>
        </w:num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val="zh-CN"/>
        </w:rPr>
        <w:t>适用法律</w:t>
      </w:r>
    </w:p>
    <w:p>
      <w:pPr>
        <w:autoSpaceDE w:val="0"/>
        <w:autoSpaceDN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本合同按照中华人民共和国的相关法律进行解释。</w:t>
      </w:r>
    </w:p>
    <w:p>
      <w:pPr>
        <w:pStyle w:val="22"/>
        <w:spacing w:before="0" w:after="0" w:line="360" w:lineRule="auto"/>
        <w:rPr>
          <w:rFonts w:hint="eastAsia" w:ascii="宋体" w:hAnsi="宋体" w:eastAsia="宋体" w:cs="宋体"/>
          <w:sz w:val="24"/>
          <w:szCs w:val="24"/>
        </w:rPr>
      </w:pPr>
      <w:r>
        <w:rPr>
          <w:rFonts w:hint="eastAsia" w:ascii="宋体" w:hAnsi="宋体" w:eastAsia="宋体" w:cs="宋体"/>
          <w:kern w:val="0"/>
          <w:sz w:val="24"/>
          <w:szCs w:val="24"/>
          <w:lang w:val="zh-CN"/>
        </w:rPr>
        <w:br w:type="page"/>
      </w:r>
      <w:bookmarkStart w:id="78" w:name="_Toc7949"/>
      <w:r>
        <w:rPr>
          <w:rFonts w:hint="eastAsia" w:ascii="宋体" w:hAnsi="宋体" w:eastAsia="宋体" w:cs="宋体"/>
          <w:sz w:val="36"/>
          <w:szCs w:val="36"/>
        </w:rPr>
        <w:t>第五部分</w:t>
      </w:r>
      <w:r>
        <w:rPr>
          <w:rFonts w:hint="eastAsia" w:ascii="宋体" w:hAnsi="宋体" w:cs="宋体"/>
          <w:sz w:val="36"/>
          <w:szCs w:val="36"/>
          <w:lang w:val="en-US" w:eastAsia="zh-CN"/>
        </w:rPr>
        <w:t xml:space="preserve">  </w:t>
      </w:r>
      <w:r>
        <w:rPr>
          <w:rFonts w:hint="eastAsia" w:ascii="宋体" w:hAnsi="宋体" w:eastAsia="宋体" w:cs="宋体"/>
          <w:sz w:val="36"/>
          <w:szCs w:val="36"/>
        </w:rPr>
        <w:t>磋商响应文件格式</w:t>
      </w:r>
      <w:bookmarkEnd w:id="78"/>
    </w:p>
    <w:p>
      <w:pPr>
        <w:spacing w:line="360" w:lineRule="auto"/>
        <w:rPr>
          <w:rFonts w:hint="eastAsia" w:ascii="宋体" w:hAnsi="宋体" w:eastAsia="宋体" w:cs="宋体"/>
          <w:sz w:val="24"/>
          <w:szCs w:val="24"/>
        </w:rPr>
      </w:pPr>
    </w:p>
    <w:p>
      <w:pPr>
        <w:widowControl/>
        <w:spacing w:line="360" w:lineRule="auto"/>
        <w:ind w:firstLine="540" w:firstLineChars="22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磋商供应商应严格按照本格式要求编制磋商响应文件，胶装成册并编制相应页码，否则其磋商响应文件将不予接受。</w:t>
      </w:r>
    </w:p>
    <w:p>
      <w:pPr>
        <w:rPr>
          <w:rFonts w:hint="eastAsia" w:ascii="宋体" w:hAnsi="宋体" w:eastAsia="宋体" w:cs="宋体"/>
          <w:b/>
          <w:sz w:val="24"/>
          <w:szCs w:val="24"/>
          <w:lang w:val="zh-CN"/>
        </w:rPr>
      </w:pPr>
      <w:r>
        <w:rPr>
          <w:rFonts w:hint="eastAsia" w:ascii="宋体" w:hAnsi="宋体" w:eastAsia="宋体" w:cs="宋体"/>
          <w:kern w:val="0"/>
          <w:sz w:val="24"/>
          <w:szCs w:val="24"/>
          <w:lang w:val="zh-CN"/>
        </w:rPr>
        <w:br w:type="page"/>
      </w:r>
    </w:p>
    <w:p>
      <w:pPr>
        <w:pStyle w:val="6"/>
        <w:numPr>
          <w:ilvl w:val="0"/>
          <w:numId w:val="0"/>
        </w:numPr>
        <w:ind w:left="709" w:hanging="709"/>
        <w:rPr>
          <w:rFonts w:hint="eastAsia" w:ascii="宋体" w:hAnsi="宋体" w:eastAsia="宋体" w:cs="宋体"/>
          <w:sz w:val="28"/>
          <w:szCs w:val="28"/>
          <w:lang w:val="zh-CN"/>
        </w:rPr>
      </w:pPr>
      <w:bookmarkStart w:id="79" w:name="_Toc11638"/>
      <w:r>
        <w:rPr>
          <w:rFonts w:hint="eastAsia" w:ascii="宋体" w:hAnsi="宋体" w:eastAsia="宋体" w:cs="宋体"/>
          <w:b/>
          <w:sz w:val="28"/>
          <w:szCs w:val="28"/>
          <w:lang w:val="zh-CN"/>
        </w:rPr>
        <w:t>磋商响应文件封面</w:t>
      </w:r>
      <w:bookmarkEnd w:id="79"/>
    </w:p>
    <w:p>
      <w:pPr>
        <w:spacing w:line="360" w:lineRule="auto"/>
        <w:jc w:val="right"/>
        <w:rPr>
          <w:rFonts w:hint="eastAsia" w:ascii="宋体" w:hAnsi="宋体" w:eastAsia="宋体" w:cs="宋体"/>
          <w:sz w:val="28"/>
          <w:szCs w:val="28"/>
        </w:rPr>
      </w:pPr>
      <w:r>
        <w:rPr>
          <w:rFonts w:hint="eastAsia" w:ascii="宋体" w:hAnsi="宋体" w:eastAsia="宋体" w:cs="宋体"/>
          <w:b/>
          <w:bCs/>
          <w:kern w:val="0"/>
          <w:sz w:val="28"/>
          <w:szCs w:val="28"/>
        </w:rPr>
        <w:t>正本/副本</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jc w:val="center"/>
        <w:rPr>
          <w:rFonts w:hint="eastAsia" w:ascii="宋体" w:hAnsi="宋体" w:eastAsia="宋体" w:cs="宋体"/>
          <w:b/>
          <w:sz w:val="40"/>
          <w:szCs w:val="40"/>
        </w:rPr>
      </w:pPr>
      <w:r>
        <w:rPr>
          <w:rFonts w:hint="eastAsia" w:ascii="宋体" w:hAnsi="宋体" w:eastAsia="宋体" w:cs="宋体"/>
          <w:b/>
          <w:sz w:val="40"/>
          <w:szCs w:val="40"/>
        </w:rPr>
        <w:t>采购项目</w:t>
      </w: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40"/>
          <w:szCs w:val="40"/>
        </w:rPr>
      </w:pPr>
      <w:r>
        <w:rPr>
          <w:rFonts w:hint="eastAsia" w:ascii="宋体" w:hAnsi="宋体" w:eastAsia="宋体" w:cs="宋体"/>
          <w:b/>
          <w:sz w:val="40"/>
          <w:szCs w:val="40"/>
        </w:rPr>
        <w:t>磋商响应文件</w:t>
      </w:r>
    </w:p>
    <w:p>
      <w:pPr>
        <w:adjustRightInd w:val="0"/>
        <w:spacing w:line="360" w:lineRule="auto"/>
        <w:textAlignment w:val="baseline"/>
        <w:rPr>
          <w:rFonts w:hint="eastAsia" w:ascii="宋体" w:hAnsi="宋体" w:eastAsia="宋体" w:cs="宋体"/>
          <w:b/>
          <w:bCs/>
          <w:sz w:val="28"/>
          <w:szCs w:val="28"/>
        </w:rPr>
      </w:pPr>
    </w:p>
    <w:p>
      <w:pPr>
        <w:adjustRightInd w:val="0"/>
        <w:spacing w:line="360" w:lineRule="auto"/>
        <w:textAlignment w:val="baseline"/>
        <w:rPr>
          <w:rFonts w:hint="eastAsia" w:ascii="宋体" w:hAnsi="宋体" w:eastAsia="宋体" w:cs="宋体"/>
          <w:b/>
          <w:bCs/>
          <w:sz w:val="28"/>
          <w:szCs w:val="28"/>
        </w:rPr>
      </w:pPr>
    </w:p>
    <w:p>
      <w:pPr>
        <w:adjustRightInd w:val="0"/>
        <w:spacing w:line="360" w:lineRule="auto"/>
        <w:ind w:firstLine="562" w:firstLineChars="200"/>
        <w:textAlignment w:val="baseline"/>
        <w:rPr>
          <w:rFonts w:hint="eastAsia" w:ascii="宋体" w:hAnsi="宋体" w:eastAsia="宋体" w:cs="宋体"/>
          <w:b/>
          <w:bCs/>
          <w:sz w:val="28"/>
          <w:szCs w:val="28"/>
          <w:u w:val="single"/>
        </w:rPr>
      </w:pPr>
      <w:r>
        <w:rPr>
          <w:rFonts w:hint="eastAsia" w:ascii="宋体" w:hAnsi="宋体" w:eastAsia="宋体" w:cs="宋体"/>
          <w:b/>
          <w:bCs/>
          <w:sz w:val="28"/>
          <w:szCs w:val="28"/>
        </w:rPr>
        <w:t>采购项目编号</w:t>
      </w:r>
      <w:r>
        <w:rPr>
          <w:rFonts w:hint="eastAsia" w:ascii="宋体" w:hAnsi="宋体" w:eastAsia="宋体" w:cs="宋体"/>
          <w:sz w:val="28"/>
          <w:szCs w:val="28"/>
        </w:rPr>
        <w:t>：</w:t>
      </w:r>
      <w:r>
        <w:rPr>
          <w:rFonts w:hint="eastAsia" w:ascii="宋体" w:hAnsi="宋体" w:eastAsia="宋体" w:cs="宋体"/>
          <w:sz w:val="28"/>
          <w:szCs w:val="28"/>
          <w:u w:val="single"/>
        </w:rPr>
        <w:t xml:space="preserve">                                 </w:t>
      </w:r>
    </w:p>
    <w:p>
      <w:pPr>
        <w:adjustRightInd w:val="0"/>
        <w:spacing w:line="360" w:lineRule="auto"/>
        <w:ind w:firstLine="562" w:firstLineChars="200"/>
        <w:textAlignment w:val="baseline"/>
        <w:rPr>
          <w:rFonts w:hint="eastAsia" w:ascii="宋体" w:hAnsi="宋体" w:eastAsia="宋体" w:cs="宋体"/>
          <w:b/>
          <w:bCs/>
          <w:sz w:val="28"/>
          <w:szCs w:val="28"/>
          <w:u w:val="single"/>
        </w:rPr>
      </w:pPr>
      <w:r>
        <w:rPr>
          <w:rFonts w:hint="eastAsia" w:ascii="宋体" w:hAnsi="宋体" w:eastAsia="宋体" w:cs="宋体"/>
          <w:b/>
          <w:bCs/>
          <w:sz w:val="28"/>
          <w:szCs w:val="28"/>
        </w:rPr>
        <w:t>采购项目名称：</w:t>
      </w:r>
      <w:r>
        <w:rPr>
          <w:rFonts w:hint="eastAsia" w:ascii="宋体" w:hAnsi="宋体" w:eastAsia="宋体" w:cs="宋体"/>
          <w:b/>
          <w:bCs/>
          <w:sz w:val="28"/>
          <w:szCs w:val="28"/>
          <w:u w:val="single"/>
        </w:rPr>
        <w:t xml:space="preserve">                                 </w:t>
      </w:r>
    </w:p>
    <w:p>
      <w:pPr>
        <w:pStyle w:val="2"/>
        <w:spacing w:line="360" w:lineRule="auto"/>
        <w:ind w:firstLine="562" w:firstLineChars="200"/>
        <w:rPr>
          <w:rFonts w:hint="default" w:eastAsia="宋体"/>
          <w:lang w:val="en-US" w:eastAsia="zh-CN"/>
        </w:rPr>
      </w:pPr>
      <w:r>
        <w:rPr>
          <w:rFonts w:hint="eastAsia" w:ascii="宋体" w:hAnsi="宋体" w:cs="宋体"/>
          <w:b/>
          <w:bCs/>
          <w:sz w:val="28"/>
          <w:szCs w:val="28"/>
          <w:u w:val="none"/>
          <w:lang w:val="en-US" w:eastAsia="zh-CN"/>
        </w:rPr>
        <w:t xml:space="preserve">标段号： </w:t>
      </w:r>
      <w:r>
        <w:rPr>
          <w:rFonts w:hint="eastAsia" w:ascii="宋体" w:hAnsi="宋体" w:cs="宋体"/>
          <w:b/>
          <w:bCs/>
          <w:sz w:val="28"/>
          <w:szCs w:val="28"/>
          <w:u w:val="single"/>
          <w:lang w:val="en-US" w:eastAsia="zh-CN"/>
        </w:rPr>
        <w:t xml:space="preserve">                                       </w:t>
      </w:r>
    </w:p>
    <w:p>
      <w:pPr>
        <w:adjustRightInd w:val="0"/>
        <w:spacing w:line="360" w:lineRule="auto"/>
        <w:ind w:firstLine="562" w:firstLineChars="200"/>
        <w:textAlignment w:val="baseline"/>
        <w:rPr>
          <w:rFonts w:hint="eastAsia" w:ascii="宋体" w:hAnsi="宋体" w:eastAsia="宋体" w:cs="宋体"/>
          <w:b/>
          <w:bCs/>
          <w:sz w:val="28"/>
          <w:szCs w:val="28"/>
          <w:u w:val="single"/>
        </w:rPr>
      </w:pPr>
      <w:r>
        <w:rPr>
          <w:rFonts w:hint="eastAsia" w:ascii="宋体" w:hAnsi="宋体" w:eastAsia="宋体" w:cs="宋体"/>
          <w:b/>
          <w:bCs/>
          <w:sz w:val="28"/>
          <w:szCs w:val="28"/>
        </w:rPr>
        <w:t>磋商供应商</w:t>
      </w:r>
      <w:r>
        <w:rPr>
          <w:rFonts w:hint="eastAsia" w:ascii="宋体" w:hAnsi="宋体" w:eastAsia="宋体" w:cs="宋体"/>
          <w:b/>
          <w:sz w:val="28"/>
          <w:szCs w:val="28"/>
        </w:rPr>
        <w:t>：</w:t>
      </w:r>
      <w:r>
        <w:rPr>
          <w:rFonts w:hint="eastAsia" w:ascii="宋体" w:hAnsi="宋体" w:eastAsia="宋体" w:cs="宋体"/>
          <w:b/>
          <w:sz w:val="28"/>
          <w:szCs w:val="28"/>
          <w:u w:val="single"/>
        </w:rPr>
        <w:t xml:space="preserve">                           （公章）</w:t>
      </w:r>
    </w:p>
    <w:p>
      <w:pPr>
        <w:adjustRightInd w:val="0"/>
        <w:spacing w:line="360" w:lineRule="auto"/>
        <w:ind w:firstLine="562" w:firstLineChars="200"/>
        <w:textAlignment w:val="baseline"/>
        <w:rPr>
          <w:rFonts w:hint="eastAsia" w:ascii="宋体" w:hAnsi="宋体" w:eastAsia="宋体" w:cs="宋体"/>
          <w:b/>
          <w:sz w:val="28"/>
          <w:szCs w:val="28"/>
          <w:u w:val="single"/>
        </w:rPr>
      </w:pPr>
      <w:r>
        <w:rPr>
          <w:rFonts w:hint="eastAsia" w:ascii="宋体" w:hAnsi="宋体" w:eastAsia="宋体" w:cs="宋体"/>
          <w:b/>
          <w:sz w:val="28"/>
          <w:szCs w:val="28"/>
        </w:rPr>
        <w:t>法定代表人：</w:t>
      </w:r>
      <w:r>
        <w:rPr>
          <w:rFonts w:hint="eastAsia" w:ascii="宋体" w:hAnsi="宋体" w:eastAsia="宋体" w:cs="宋体"/>
          <w:b/>
          <w:sz w:val="28"/>
          <w:szCs w:val="28"/>
          <w:u w:val="single"/>
        </w:rPr>
        <w:t xml:space="preserve">               （签字并加盖法人章）</w:t>
      </w:r>
    </w:p>
    <w:p>
      <w:pPr>
        <w:adjustRightInd w:val="0"/>
        <w:spacing w:line="360" w:lineRule="auto"/>
        <w:ind w:firstLine="562" w:firstLineChars="200"/>
        <w:textAlignment w:val="baseline"/>
        <w:rPr>
          <w:rFonts w:hint="eastAsia" w:ascii="宋体" w:hAnsi="宋体" w:eastAsia="宋体" w:cs="宋体"/>
          <w:b/>
          <w:sz w:val="28"/>
          <w:szCs w:val="28"/>
          <w:u w:val="single"/>
        </w:rPr>
      </w:pPr>
    </w:p>
    <w:p>
      <w:pPr>
        <w:spacing w:line="360" w:lineRule="auto"/>
        <w:ind w:firstLine="3500" w:firstLineChars="1250"/>
        <w:rPr>
          <w:rFonts w:hint="eastAsia" w:ascii="宋体" w:hAnsi="宋体" w:eastAsia="宋体" w:cs="宋体"/>
          <w:sz w:val="28"/>
          <w:szCs w:val="28"/>
        </w:rPr>
      </w:pPr>
      <w:r>
        <w:rPr>
          <w:rFonts w:hint="eastAsia" w:ascii="宋体" w:hAnsi="宋体" w:eastAsia="宋体" w:cs="宋体"/>
          <w:sz w:val="28"/>
          <w:szCs w:val="28"/>
        </w:rPr>
        <w:t>年   月  日</w:t>
      </w:r>
      <w:bookmarkStart w:id="80" w:name="_Toc444715735"/>
    </w:p>
    <w:p>
      <w:pPr>
        <w:pStyle w:val="6"/>
        <w:numPr>
          <w:ilvl w:val="0"/>
          <w:numId w:val="0"/>
        </w:numPr>
        <w:ind w:left="709" w:hanging="709"/>
        <w:rPr>
          <w:rFonts w:hint="eastAsia" w:ascii="宋体" w:hAnsi="宋体" w:eastAsia="宋体" w:cs="宋体"/>
          <w:b/>
          <w:sz w:val="24"/>
          <w:szCs w:val="24"/>
          <w:lang w:val="zh-CN"/>
        </w:rPr>
      </w:pPr>
      <w:r>
        <w:rPr>
          <w:rFonts w:hint="eastAsia" w:ascii="宋体" w:hAnsi="宋体" w:eastAsia="宋体" w:cs="宋体"/>
          <w:sz w:val="24"/>
          <w:szCs w:val="24"/>
        </w:rPr>
        <w:br w:type="page"/>
      </w:r>
      <w:bookmarkStart w:id="81" w:name="_Toc28241"/>
      <w:r>
        <w:rPr>
          <w:rFonts w:hint="eastAsia" w:ascii="宋体" w:hAnsi="宋体" w:eastAsia="宋体" w:cs="宋体"/>
          <w:b/>
          <w:sz w:val="24"/>
          <w:szCs w:val="24"/>
          <w:lang w:val="zh-CN"/>
        </w:rPr>
        <w:t>磋商响应文件目录</w:t>
      </w:r>
      <w:bookmarkEnd w:id="80"/>
      <w:bookmarkEnd w:id="81"/>
    </w:p>
    <w:p>
      <w:pPr>
        <w:autoSpaceDE w:val="0"/>
        <w:autoSpaceDN w:val="0"/>
        <w:spacing w:line="360" w:lineRule="auto"/>
        <w:ind w:firstLine="240" w:firstLineChars="10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磋商</w:t>
      </w:r>
      <w:r>
        <w:rPr>
          <w:rFonts w:hint="eastAsia" w:ascii="宋体" w:hAnsi="宋体" w:eastAsia="宋体" w:cs="宋体"/>
          <w:kern w:val="0"/>
          <w:sz w:val="24"/>
          <w:szCs w:val="24"/>
          <w:lang w:val="zh-CN"/>
        </w:rPr>
        <w:t>函……………………………………………………………所在页码</w:t>
      </w:r>
    </w:p>
    <w:p>
      <w:pPr>
        <w:autoSpaceDE w:val="0"/>
        <w:autoSpaceDN w:val="0"/>
        <w:spacing w:line="360" w:lineRule="auto"/>
        <w:ind w:firstLine="240" w:firstLineChars="10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（2）法定代表人证明书………………………………………………所在页码</w:t>
      </w:r>
    </w:p>
    <w:p>
      <w:pPr>
        <w:autoSpaceDE w:val="0"/>
        <w:autoSpaceDN w:val="0"/>
        <w:spacing w:line="360" w:lineRule="auto"/>
        <w:ind w:firstLine="240" w:firstLineChars="10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r>
        <w:rPr>
          <w:rFonts w:hint="eastAsia" w:ascii="宋体" w:hAnsi="宋体" w:eastAsia="宋体" w:cs="宋体"/>
          <w:kern w:val="0"/>
          <w:sz w:val="24"/>
          <w:szCs w:val="24"/>
        </w:rPr>
        <w:t>3</w:t>
      </w:r>
      <w:r>
        <w:rPr>
          <w:rFonts w:hint="eastAsia" w:ascii="宋体" w:hAnsi="宋体" w:eastAsia="宋体" w:cs="宋体"/>
          <w:kern w:val="0"/>
          <w:sz w:val="24"/>
          <w:szCs w:val="24"/>
          <w:lang w:val="zh-CN"/>
        </w:rPr>
        <w:t>）法定代表人授权书………………………………………………所在页码</w:t>
      </w:r>
    </w:p>
    <w:p>
      <w:pPr>
        <w:autoSpaceDE w:val="0"/>
        <w:autoSpaceDN w:val="0"/>
        <w:spacing w:line="360" w:lineRule="auto"/>
        <w:ind w:firstLine="240" w:firstLineChars="10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r>
        <w:rPr>
          <w:rFonts w:hint="eastAsia" w:ascii="宋体" w:hAnsi="宋体" w:eastAsia="宋体" w:cs="宋体"/>
          <w:kern w:val="0"/>
          <w:sz w:val="24"/>
          <w:szCs w:val="24"/>
        </w:rPr>
        <w:t>4</w:t>
      </w:r>
      <w:r>
        <w:rPr>
          <w:rFonts w:hint="eastAsia" w:ascii="宋体" w:hAnsi="宋体" w:eastAsia="宋体" w:cs="宋体"/>
          <w:kern w:val="0"/>
          <w:sz w:val="24"/>
          <w:szCs w:val="24"/>
          <w:lang w:val="zh-CN"/>
        </w:rPr>
        <w:t>）磋商供应商承诺书………………………………………………所在页码</w:t>
      </w:r>
    </w:p>
    <w:p>
      <w:pPr>
        <w:autoSpaceDE w:val="0"/>
        <w:autoSpaceDN w:val="0"/>
        <w:spacing w:line="360" w:lineRule="auto"/>
        <w:ind w:firstLine="240" w:firstLineChars="10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r>
        <w:rPr>
          <w:rFonts w:hint="eastAsia" w:ascii="宋体" w:hAnsi="宋体" w:eastAsia="宋体" w:cs="宋体"/>
          <w:kern w:val="0"/>
          <w:sz w:val="24"/>
          <w:szCs w:val="24"/>
        </w:rPr>
        <w:t>5</w:t>
      </w:r>
      <w:r>
        <w:rPr>
          <w:rFonts w:hint="eastAsia" w:ascii="宋体" w:hAnsi="宋体" w:eastAsia="宋体" w:cs="宋体"/>
          <w:kern w:val="0"/>
          <w:sz w:val="24"/>
          <w:szCs w:val="24"/>
          <w:lang w:val="zh-CN"/>
        </w:rPr>
        <w:t>）供应商诚信承诺书………………………………………………所在页码</w:t>
      </w:r>
    </w:p>
    <w:p>
      <w:pPr>
        <w:autoSpaceDE w:val="0"/>
        <w:autoSpaceDN w:val="0"/>
        <w:spacing w:line="360" w:lineRule="auto"/>
        <w:ind w:firstLine="240" w:firstLineChars="10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（6）资格证明材料……………………………………………………所在页码</w:t>
      </w:r>
    </w:p>
    <w:p>
      <w:pPr>
        <w:autoSpaceDE w:val="0"/>
        <w:autoSpaceDN w:val="0"/>
        <w:spacing w:line="360" w:lineRule="auto"/>
        <w:ind w:firstLine="240" w:firstLineChars="10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r>
        <w:rPr>
          <w:rFonts w:hint="eastAsia" w:ascii="宋体" w:hAnsi="宋体" w:eastAsia="宋体" w:cs="宋体"/>
          <w:kern w:val="0"/>
          <w:sz w:val="24"/>
          <w:szCs w:val="24"/>
        </w:rPr>
        <w:t>7</w:t>
      </w:r>
      <w:r>
        <w:rPr>
          <w:rFonts w:hint="eastAsia" w:ascii="宋体" w:hAnsi="宋体" w:eastAsia="宋体" w:cs="宋体"/>
          <w:kern w:val="0"/>
          <w:sz w:val="24"/>
          <w:szCs w:val="24"/>
          <w:lang w:val="zh-CN"/>
        </w:rPr>
        <w:t>）财务状况、缴纳税收和社会保障资金证明……………………所在页码</w:t>
      </w:r>
    </w:p>
    <w:p>
      <w:pPr>
        <w:autoSpaceDE w:val="0"/>
        <w:autoSpaceDN w:val="0"/>
        <w:spacing w:line="360" w:lineRule="auto"/>
        <w:ind w:firstLine="240" w:firstLineChars="10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r>
        <w:rPr>
          <w:rFonts w:hint="eastAsia" w:ascii="宋体" w:hAnsi="宋体" w:eastAsia="宋体" w:cs="宋体"/>
          <w:kern w:val="0"/>
          <w:sz w:val="24"/>
          <w:szCs w:val="24"/>
        </w:rPr>
        <w:t>8</w:t>
      </w:r>
      <w:r>
        <w:rPr>
          <w:rFonts w:hint="eastAsia" w:ascii="宋体" w:hAnsi="宋体" w:eastAsia="宋体" w:cs="宋体"/>
          <w:kern w:val="0"/>
          <w:sz w:val="24"/>
          <w:szCs w:val="24"/>
          <w:lang w:val="zh-CN"/>
        </w:rPr>
        <w:t>）具备履行合同所必须的设备和专业技术能力证明……………所在页码</w:t>
      </w:r>
    </w:p>
    <w:p>
      <w:pPr>
        <w:autoSpaceDE w:val="0"/>
        <w:autoSpaceDN w:val="0"/>
        <w:spacing w:line="360" w:lineRule="auto"/>
        <w:ind w:firstLine="240" w:firstLineChars="10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r>
        <w:rPr>
          <w:rFonts w:hint="eastAsia" w:ascii="宋体" w:hAnsi="宋体" w:eastAsia="宋体" w:cs="宋体"/>
          <w:kern w:val="0"/>
          <w:sz w:val="24"/>
          <w:szCs w:val="24"/>
        </w:rPr>
        <w:t>9</w:t>
      </w:r>
      <w:r>
        <w:rPr>
          <w:rFonts w:hint="eastAsia" w:ascii="宋体" w:hAnsi="宋体" w:eastAsia="宋体" w:cs="宋体"/>
          <w:kern w:val="0"/>
          <w:sz w:val="24"/>
          <w:szCs w:val="24"/>
          <w:lang w:val="zh-CN"/>
        </w:rPr>
        <w:t>）无重大违法记录声明……………………………………………所在页码</w:t>
      </w:r>
    </w:p>
    <w:p>
      <w:pPr>
        <w:autoSpaceDE w:val="0"/>
        <w:autoSpaceDN w:val="0"/>
        <w:spacing w:line="360" w:lineRule="auto"/>
        <w:ind w:firstLine="240" w:firstLineChars="10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（10）评分对照表………………………………………………………所在页码</w:t>
      </w:r>
    </w:p>
    <w:p>
      <w:pPr>
        <w:autoSpaceDE w:val="0"/>
        <w:autoSpaceDN w:val="0"/>
        <w:spacing w:line="360" w:lineRule="auto"/>
        <w:ind w:firstLine="240" w:firstLineChars="10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（11）竞争性磋商首次报价表…………………………………………所在页码</w:t>
      </w:r>
    </w:p>
    <w:p>
      <w:pPr>
        <w:autoSpaceDE w:val="0"/>
        <w:autoSpaceDN w:val="0"/>
        <w:spacing w:line="360" w:lineRule="auto"/>
        <w:ind w:firstLine="240" w:firstLineChars="10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（12）分项报价表………………………………………………………所在页码</w:t>
      </w:r>
    </w:p>
    <w:p>
      <w:pPr>
        <w:autoSpaceDE w:val="0"/>
        <w:autoSpaceDN w:val="0"/>
        <w:spacing w:line="360" w:lineRule="auto"/>
        <w:ind w:firstLine="240" w:firstLineChars="10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（13）技术规格响应表…………………………………………………所在页码</w:t>
      </w:r>
    </w:p>
    <w:p>
      <w:pPr>
        <w:autoSpaceDE w:val="0"/>
        <w:autoSpaceDN w:val="0"/>
        <w:spacing w:line="360" w:lineRule="auto"/>
        <w:ind w:firstLine="240" w:firstLineChars="10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（14）磋商产品相关资料………………………………………………所在页码</w:t>
      </w:r>
    </w:p>
    <w:p>
      <w:pPr>
        <w:autoSpaceDE w:val="0"/>
        <w:autoSpaceDN w:val="0"/>
        <w:spacing w:line="360" w:lineRule="auto"/>
        <w:ind w:firstLine="240" w:firstLineChars="10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（15）磋商供应商的类似业绩证明材料………………………………所在页码</w:t>
      </w:r>
    </w:p>
    <w:p>
      <w:pPr>
        <w:autoSpaceDE w:val="0"/>
        <w:autoSpaceDN w:val="0"/>
        <w:spacing w:line="360" w:lineRule="auto"/>
        <w:ind w:firstLine="240" w:firstLineChars="10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（16）享受政府采购政策优惠的证明资料……………………………所在页码</w:t>
      </w:r>
    </w:p>
    <w:p>
      <w:pPr>
        <w:autoSpaceDE w:val="0"/>
        <w:autoSpaceDN w:val="0"/>
        <w:spacing w:line="360" w:lineRule="auto"/>
        <w:ind w:firstLine="240" w:firstLineChars="10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（17）磋商供应商认为在其他方面有必要说明的事项………………所在页码</w:t>
      </w:r>
    </w:p>
    <w:p>
      <w:pPr>
        <w:pStyle w:val="6"/>
        <w:numPr>
          <w:ilvl w:val="0"/>
          <w:numId w:val="0"/>
        </w:numPr>
        <w:ind w:left="709" w:hanging="709"/>
        <w:rPr>
          <w:rFonts w:hint="eastAsia" w:ascii="宋体" w:hAnsi="宋体" w:eastAsia="宋体" w:cs="宋体"/>
          <w:sz w:val="24"/>
          <w:szCs w:val="24"/>
        </w:rPr>
      </w:pPr>
      <w:r>
        <w:rPr>
          <w:rFonts w:hint="eastAsia" w:ascii="宋体" w:hAnsi="宋体" w:eastAsia="宋体" w:cs="宋体"/>
          <w:b/>
          <w:bCs/>
          <w:sz w:val="24"/>
          <w:szCs w:val="24"/>
        </w:rPr>
        <w:br w:type="page"/>
      </w:r>
      <w:bookmarkStart w:id="82" w:name="_Toc29614"/>
      <w:r>
        <w:rPr>
          <w:rFonts w:hint="eastAsia" w:ascii="宋体" w:hAnsi="宋体" w:eastAsia="宋体" w:cs="宋体"/>
          <w:b/>
          <w:sz w:val="24"/>
          <w:szCs w:val="24"/>
          <w:lang w:val="zh-CN"/>
        </w:rPr>
        <w:t>格式1、磋商函</w:t>
      </w:r>
      <w:bookmarkEnd w:id="82"/>
    </w:p>
    <w:p>
      <w:pPr>
        <w:adjustRightInd w:val="0"/>
        <w:spacing w:line="36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磋 商 函</w:t>
      </w:r>
    </w:p>
    <w:p>
      <w:pPr>
        <w:adjustRightInd w:val="0"/>
        <w:spacing w:line="360" w:lineRule="auto"/>
        <w:ind w:left="482" w:hanging="482" w:hangingChars="200"/>
        <w:textAlignment w:val="baseline"/>
        <w:rPr>
          <w:rFonts w:hint="eastAsia" w:ascii="宋体" w:hAnsi="宋体" w:eastAsia="宋体" w:cs="宋体"/>
          <w:b/>
          <w:sz w:val="24"/>
          <w:szCs w:val="24"/>
        </w:rPr>
      </w:pPr>
      <w:r>
        <w:rPr>
          <w:rFonts w:hint="eastAsia" w:ascii="宋体" w:hAnsi="宋体" w:eastAsia="宋体" w:cs="宋体"/>
          <w:b/>
          <w:sz w:val="24"/>
          <w:szCs w:val="24"/>
        </w:rPr>
        <w:t>致：</w:t>
      </w:r>
      <w:r>
        <w:rPr>
          <w:rFonts w:hint="eastAsia" w:ascii="宋体" w:hAnsi="宋体" w:eastAsia="宋体" w:cs="宋体"/>
          <w:b/>
          <w:sz w:val="24"/>
          <w:szCs w:val="24"/>
          <w:u w:val="single"/>
        </w:rPr>
        <w:t>青海国焱工程项目管理有限公司：</w:t>
      </w:r>
    </w:p>
    <w:p>
      <w:pPr>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sz w:val="24"/>
          <w:szCs w:val="24"/>
          <w:u w:val="single"/>
          <w:lang w:eastAsia="zh-CN"/>
        </w:rPr>
        <w:t>大通兴农基层供销社标杆社建设项目-罐装线设备采购及安装（标段二）</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青海国焱竞磋（货物）2022-161号</w:t>
      </w:r>
      <w:r>
        <w:rPr>
          <w:rFonts w:hint="eastAsia" w:ascii="宋体" w:hAnsi="宋体" w:eastAsia="宋体" w:cs="宋体"/>
          <w:sz w:val="24"/>
          <w:szCs w:val="24"/>
          <w:u w:val="single"/>
        </w:rPr>
        <w:t>）磋</w:t>
      </w:r>
      <w:r>
        <w:rPr>
          <w:rFonts w:hint="eastAsia" w:ascii="宋体" w:hAnsi="宋体" w:eastAsia="宋体" w:cs="宋体"/>
          <w:sz w:val="24"/>
          <w:szCs w:val="24"/>
        </w:rPr>
        <w:t>商文件，经研究，法定代表人（姓名、职务）正式授权（委托代理人姓名、职务）代表磋商供应商（磋商供应商名称、地址）提交磋商响应文件。</w:t>
      </w:r>
    </w:p>
    <w:p>
      <w:pPr>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据此函，签字代表宣布同意如下：</w:t>
      </w:r>
    </w:p>
    <w:p>
      <w:pPr>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pPr>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2.磋商有效期自开标之日起</w:t>
      </w:r>
      <w:r>
        <w:rPr>
          <w:rFonts w:hint="eastAsia" w:ascii="宋体" w:hAnsi="宋体" w:eastAsia="宋体" w:cs="宋体"/>
          <w:sz w:val="24"/>
          <w:szCs w:val="24"/>
          <w:u w:val="single"/>
        </w:rPr>
        <w:t xml:space="preserve">         </w:t>
      </w:r>
      <w:r>
        <w:rPr>
          <w:rFonts w:hint="eastAsia" w:ascii="宋体" w:hAnsi="宋体" w:eastAsia="宋体" w:cs="宋体"/>
          <w:sz w:val="24"/>
          <w:szCs w:val="24"/>
        </w:rPr>
        <w:t>内有效。</w:t>
      </w:r>
    </w:p>
    <w:p>
      <w:pPr>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pPr>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4.与本磋商有关的一切正式往来通讯请寄：</w:t>
      </w:r>
    </w:p>
    <w:p>
      <w:pPr>
        <w:adjustRightInd w:val="0"/>
        <w:spacing w:line="360" w:lineRule="auto"/>
        <w:ind w:firstLine="480" w:firstLineChars="200"/>
        <w:textAlignment w:val="baseline"/>
        <w:rPr>
          <w:rFonts w:hint="eastAsia" w:ascii="宋体" w:hAnsi="宋体" w:eastAsia="宋体" w:cs="宋体"/>
          <w:sz w:val="24"/>
          <w:szCs w:val="24"/>
        </w:rPr>
      </w:pPr>
    </w:p>
    <w:p>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地址：                               邮编：</w:t>
      </w:r>
    </w:p>
    <w:p>
      <w:pPr>
        <w:adjustRightInd w:val="0"/>
        <w:spacing w:line="360" w:lineRule="auto"/>
        <w:textAlignment w:val="baseline"/>
        <w:rPr>
          <w:rFonts w:hint="eastAsia" w:ascii="宋体" w:hAnsi="宋体" w:eastAsia="宋体" w:cs="宋体"/>
          <w:sz w:val="24"/>
          <w:szCs w:val="24"/>
        </w:rPr>
      </w:pPr>
    </w:p>
    <w:p>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电话：                               传真：</w:t>
      </w:r>
    </w:p>
    <w:p>
      <w:pPr>
        <w:adjustRightInd w:val="0"/>
        <w:spacing w:line="360" w:lineRule="auto"/>
        <w:textAlignment w:val="baseline"/>
        <w:rPr>
          <w:rFonts w:hint="eastAsia" w:ascii="宋体" w:hAnsi="宋体" w:eastAsia="宋体" w:cs="宋体"/>
          <w:sz w:val="24"/>
          <w:szCs w:val="24"/>
        </w:rPr>
      </w:pPr>
    </w:p>
    <w:p>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法定代表人姓名：                     职务：</w:t>
      </w:r>
      <w:bookmarkStart w:id="83" w:name="_Toc444715736"/>
    </w:p>
    <w:p>
      <w:pPr>
        <w:tabs>
          <w:tab w:val="left" w:pos="168"/>
        </w:tabs>
        <w:adjustRightInd w:val="0"/>
        <w:spacing w:line="360" w:lineRule="auto"/>
        <w:ind w:right="480"/>
        <w:jc w:val="right"/>
        <w:textAlignment w:val="baseline"/>
        <w:rPr>
          <w:rFonts w:hint="eastAsia" w:ascii="宋体" w:hAnsi="宋体" w:eastAsia="宋体" w:cs="宋体"/>
          <w:bCs/>
          <w:sz w:val="24"/>
          <w:szCs w:val="24"/>
        </w:rPr>
      </w:pPr>
    </w:p>
    <w:p>
      <w:pPr>
        <w:tabs>
          <w:tab w:val="left" w:pos="168"/>
        </w:tabs>
        <w:adjustRightInd w:val="0"/>
        <w:spacing w:line="360" w:lineRule="auto"/>
        <w:jc w:val="right"/>
        <w:textAlignment w:val="baseline"/>
        <w:rPr>
          <w:rFonts w:hint="eastAsia" w:ascii="宋体" w:hAnsi="宋体" w:eastAsia="宋体" w:cs="宋体"/>
          <w:bCs/>
          <w:sz w:val="24"/>
          <w:szCs w:val="24"/>
        </w:rPr>
      </w:pPr>
    </w:p>
    <w:p>
      <w:pPr>
        <w:tabs>
          <w:tab w:val="left" w:pos="168"/>
        </w:tabs>
        <w:adjustRightInd w:val="0"/>
        <w:spacing w:line="360" w:lineRule="auto"/>
        <w:jc w:val="right"/>
        <w:textAlignment w:val="baseline"/>
        <w:rPr>
          <w:rFonts w:hint="eastAsia" w:ascii="宋体" w:hAnsi="宋体" w:eastAsia="宋体" w:cs="宋体"/>
          <w:bCs/>
          <w:sz w:val="24"/>
          <w:szCs w:val="24"/>
        </w:rPr>
      </w:pPr>
    </w:p>
    <w:p>
      <w:pPr>
        <w:tabs>
          <w:tab w:val="left" w:pos="168"/>
        </w:tabs>
        <w:adjustRightInd w:val="0"/>
        <w:spacing w:line="360" w:lineRule="auto"/>
        <w:jc w:val="right"/>
        <w:textAlignment w:val="baseline"/>
        <w:rPr>
          <w:rFonts w:hint="eastAsia" w:ascii="宋体" w:hAnsi="宋体" w:eastAsia="宋体" w:cs="宋体"/>
          <w:bCs/>
          <w:sz w:val="24"/>
          <w:szCs w:val="24"/>
        </w:rPr>
      </w:pP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磋商供应商：             （公章）</w:t>
      </w: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法定代表人或委托代理人：       （签字）</w:t>
      </w: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日期：    年   月   日</w:t>
      </w:r>
    </w:p>
    <w:bookmarkEnd w:id="83"/>
    <w:p>
      <w:pPr>
        <w:pStyle w:val="6"/>
        <w:numPr>
          <w:ilvl w:val="0"/>
          <w:numId w:val="0"/>
        </w:numPr>
        <w:rPr>
          <w:rFonts w:hint="eastAsia" w:ascii="宋体" w:hAnsi="宋体" w:eastAsia="宋体" w:cs="宋体"/>
          <w:bCs/>
          <w:sz w:val="24"/>
          <w:szCs w:val="24"/>
        </w:rPr>
      </w:pPr>
      <w:bookmarkStart w:id="84" w:name="_Toc25583"/>
      <w:bookmarkStart w:id="85" w:name="_Toc444715737"/>
    </w:p>
    <w:p>
      <w:pPr>
        <w:rPr>
          <w:rFonts w:hint="eastAsia" w:ascii="宋体" w:hAnsi="宋体" w:eastAsia="宋体" w:cs="宋体"/>
          <w:sz w:val="24"/>
          <w:szCs w:val="24"/>
        </w:rPr>
      </w:pPr>
    </w:p>
    <w:bookmarkEnd w:id="84"/>
    <w:bookmarkEnd w:id="85"/>
    <w:p>
      <w:pPr>
        <w:pStyle w:val="6"/>
        <w:numPr>
          <w:ilvl w:val="0"/>
          <w:numId w:val="0"/>
        </w:numPr>
        <w:rPr>
          <w:rFonts w:hint="eastAsia" w:ascii="宋体" w:hAnsi="宋体" w:eastAsia="宋体" w:cs="宋体"/>
          <w:bCs/>
          <w:sz w:val="24"/>
          <w:szCs w:val="24"/>
        </w:rPr>
      </w:pPr>
    </w:p>
    <w:p>
      <w:pPr>
        <w:rPr>
          <w:rFonts w:hint="eastAsia" w:ascii="宋体" w:hAnsi="宋体" w:eastAsia="宋体" w:cs="宋体"/>
          <w:b/>
          <w:sz w:val="24"/>
          <w:szCs w:val="24"/>
          <w:lang w:val="zh-CN"/>
        </w:rPr>
      </w:pPr>
      <w:r>
        <w:rPr>
          <w:rFonts w:hint="eastAsia" w:ascii="宋体" w:hAnsi="宋体" w:eastAsia="宋体" w:cs="宋体"/>
          <w:b/>
          <w:sz w:val="24"/>
          <w:szCs w:val="24"/>
          <w:lang w:val="zh-CN"/>
        </w:rPr>
        <w:br w:type="page"/>
      </w:r>
    </w:p>
    <w:p>
      <w:pPr>
        <w:pStyle w:val="6"/>
        <w:numPr>
          <w:ilvl w:val="0"/>
          <w:numId w:val="0"/>
        </w:numPr>
        <w:ind w:left="709" w:hanging="709"/>
        <w:rPr>
          <w:rFonts w:hint="eastAsia" w:ascii="宋体" w:hAnsi="宋体" w:eastAsia="宋体" w:cs="宋体"/>
          <w:sz w:val="24"/>
          <w:szCs w:val="24"/>
          <w:lang w:val="zh-CN"/>
        </w:rPr>
      </w:pPr>
      <w:bookmarkStart w:id="86" w:name="_Toc10039"/>
      <w:r>
        <w:rPr>
          <w:rFonts w:hint="eastAsia" w:ascii="宋体" w:hAnsi="宋体" w:eastAsia="宋体" w:cs="宋体"/>
          <w:b/>
          <w:sz w:val="24"/>
          <w:szCs w:val="24"/>
          <w:lang w:val="zh-CN"/>
        </w:rPr>
        <w:t>格式2、法定代表人证明书</w:t>
      </w:r>
      <w:bookmarkEnd w:id="86"/>
    </w:p>
    <w:p>
      <w:pPr>
        <w:spacing w:line="360" w:lineRule="auto"/>
        <w:rPr>
          <w:rFonts w:hint="eastAsia" w:ascii="宋体" w:hAnsi="宋体" w:eastAsia="宋体" w:cs="宋体"/>
          <w:sz w:val="24"/>
          <w:szCs w:val="24"/>
          <w:lang w:val="zh-CN"/>
        </w:rPr>
      </w:pPr>
    </w:p>
    <w:p>
      <w:pPr>
        <w:autoSpaceDE w:val="0"/>
        <w:autoSpaceDN w:val="0"/>
        <w:adjustRightInd w:val="0"/>
        <w:spacing w:line="360" w:lineRule="auto"/>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法定代表人证明书</w:t>
      </w:r>
    </w:p>
    <w:p>
      <w:pPr>
        <w:autoSpaceDE w:val="0"/>
        <w:autoSpaceDN w:val="0"/>
        <w:adjustRightInd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致：青海国焱工程项目管理有限公司</w:t>
      </w: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 xml:space="preserve">（法定代表人姓名）  </w:t>
      </w:r>
      <w:r>
        <w:rPr>
          <w:rFonts w:hint="eastAsia" w:ascii="宋体" w:hAnsi="宋体" w:eastAsia="宋体" w:cs="宋体"/>
          <w:kern w:val="0"/>
          <w:sz w:val="24"/>
          <w:szCs w:val="24"/>
          <w:lang w:val="zh-CN"/>
        </w:rPr>
        <w:t>现任我单位职务，为法定代表人，特此证明。</w:t>
      </w: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法定代表人基本情况：</w:t>
      </w: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性别：     年龄：    民族：</w:t>
      </w: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地址：</w:t>
      </w: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身份证号码：</w:t>
      </w: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附：法定代表人第二代身份证双面扫描（或复印）件</w:t>
      </w: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rPr>
          <w:rFonts w:hint="eastAsia" w:ascii="宋体" w:hAnsi="宋体" w:eastAsia="宋体" w:cs="宋体"/>
          <w:kern w:val="0"/>
          <w:sz w:val="24"/>
          <w:szCs w:val="24"/>
          <w:lang w:val="zh-CN"/>
        </w:rPr>
      </w:pPr>
    </w:p>
    <w:p>
      <w:pPr>
        <w:tabs>
          <w:tab w:val="left" w:pos="168"/>
        </w:tabs>
        <w:adjustRightInd w:val="0"/>
        <w:spacing w:line="360" w:lineRule="auto"/>
        <w:textAlignment w:val="baseline"/>
        <w:rPr>
          <w:rFonts w:hint="eastAsia" w:ascii="宋体" w:hAnsi="宋体" w:eastAsia="宋体" w:cs="宋体"/>
          <w:bCs/>
          <w:sz w:val="24"/>
          <w:szCs w:val="24"/>
        </w:rPr>
      </w:pPr>
      <w:bookmarkStart w:id="87" w:name="_Toc16858"/>
      <w:bookmarkStart w:id="88" w:name="_Toc444715738"/>
    </w:p>
    <w:p>
      <w:pPr>
        <w:tabs>
          <w:tab w:val="left" w:pos="168"/>
        </w:tabs>
        <w:wordWrap w:val="0"/>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磋商供应商：             （公章）</w:t>
      </w:r>
    </w:p>
    <w:p>
      <w:pPr>
        <w:tabs>
          <w:tab w:val="left" w:pos="168"/>
        </w:tabs>
        <w:wordWrap w:val="0"/>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法定代表人：                   （签字）</w:t>
      </w:r>
    </w:p>
    <w:p>
      <w:pPr>
        <w:tabs>
          <w:tab w:val="left" w:pos="168"/>
        </w:tabs>
        <w:adjustRightInd w:val="0"/>
        <w:spacing w:line="360" w:lineRule="auto"/>
        <w:ind w:right="480" w:firstLine="5040" w:firstLineChars="2100"/>
        <w:textAlignment w:val="baseline"/>
        <w:rPr>
          <w:rFonts w:hint="eastAsia" w:ascii="宋体" w:hAnsi="宋体" w:eastAsia="宋体" w:cs="宋体"/>
          <w:bCs/>
          <w:sz w:val="24"/>
          <w:szCs w:val="24"/>
        </w:rPr>
      </w:pPr>
      <w:r>
        <w:rPr>
          <w:rFonts w:hint="eastAsia" w:ascii="宋体" w:hAnsi="宋体" w:eastAsia="宋体" w:cs="宋体"/>
          <w:bCs/>
          <w:sz w:val="24"/>
          <w:szCs w:val="24"/>
        </w:rPr>
        <w:t>日期：            年   月   日</w:t>
      </w:r>
    </w:p>
    <w:p>
      <w:pPr>
        <w:pStyle w:val="6"/>
        <w:numPr>
          <w:ilvl w:val="0"/>
          <w:numId w:val="0"/>
        </w:numPr>
        <w:ind w:left="709" w:hanging="709"/>
        <w:rPr>
          <w:rFonts w:hint="eastAsia" w:ascii="宋体" w:hAnsi="宋体" w:eastAsia="宋体" w:cs="宋体"/>
          <w:sz w:val="24"/>
          <w:szCs w:val="24"/>
        </w:rPr>
      </w:pPr>
      <w:r>
        <w:rPr>
          <w:rFonts w:hint="eastAsia" w:ascii="宋体" w:hAnsi="宋体" w:eastAsia="宋体" w:cs="宋体"/>
          <w:bCs/>
          <w:sz w:val="24"/>
          <w:szCs w:val="24"/>
        </w:rPr>
        <w:br w:type="page"/>
      </w:r>
      <w:bookmarkStart w:id="89" w:name="_Toc12143"/>
      <w:r>
        <w:rPr>
          <w:rFonts w:hint="eastAsia" w:ascii="宋体" w:hAnsi="宋体" w:eastAsia="宋体" w:cs="宋体"/>
          <w:b/>
          <w:sz w:val="24"/>
          <w:szCs w:val="24"/>
          <w:lang w:val="zh-CN"/>
        </w:rPr>
        <w:t>格式3、法定代表人授权书</w:t>
      </w:r>
      <w:bookmarkEnd w:id="87"/>
      <w:bookmarkEnd w:id="88"/>
      <w:bookmarkEnd w:id="89"/>
    </w:p>
    <w:p>
      <w:pPr>
        <w:autoSpaceDE w:val="0"/>
        <w:autoSpaceDN w:val="0"/>
        <w:adjustRightInd w:val="0"/>
        <w:spacing w:line="360" w:lineRule="auto"/>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法定代表人授权书</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致：青海国焱工程项目管理有限公司</w:t>
      </w:r>
    </w:p>
    <w:p>
      <w:pPr>
        <w:spacing w:line="360" w:lineRule="auto"/>
        <w:rPr>
          <w:rFonts w:hint="eastAsia" w:ascii="宋体" w:hAnsi="宋体" w:eastAsia="宋体" w:cs="宋体"/>
          <w:sz w:val="24"/>
          <w:szCs w:val="24"/>
          <w:u w:val="single"/>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（磋商供应商名称）</w:t>
      </w:r>
      <w:r>
        <w:rPr>
          <w:rFonts w:hint="eastAsia" w:ascii="宋体" w:hAnsi="宋体" w:eastAsia="宋体" w:cs="宋体"/>
          <w:sz w:val="24"/>
          <w:szCs w:val="24"/>
        </w:rPr>
        <w:t>系中华人民共和国合法企业，法定地址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（法定代表人姓名）</w:t>
      </w:r>
      <w:r>
        <w:rPr>
          <w:rFonts w:hint="eastAsia" w:ascii="宋体" w:hAnsi="宋体" w:eastAsia="宋体" w:cs="宋体"/>
          <w:sz w:val="24"/>
          <w:szCs w:val="24"/>
        </w:rPr>
        <w:t>特授权</w:t>
      </w:r>
      <w:r>
        <w:rPr>
          <w:rFonts w:hint="eastAsia" w:ascii="宋体" w:hAnsi="宋体" w:eastAsia="宋体" w:cs="宋体"/>
          <w:sz w:val="24"/>
          <w:szCs w:val="24"/>
          <w:u w:val="single"/>
        </w:rPr>
        <w:t>（被授权人姓名）</w:t>
      </w:r>
      <w:r>
        <w:rPr>
          <w:rFonts w:hint="eastAsia" w:ascii="宋体" w:hAnsi="宋体" w:eastAsia="宋体" w:cs="宋体"/>
          <w:sz w:val="24"/>
          <w:szCs w:val="24"/>
        </w:rPr>
        <w:t>代表我单位全权办理项目的磋商、答疑等具体工作，并签署全部有关的文件、协议及合同。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我单位对被授权人的签名负全部责任。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被授权人联系电话：</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被授权人（委托代理人）签名：          授权人（法定代表人）签名：</w:t>
      </w:r>
    </w:p>
    <w:p>
      <w:pPr>
        <w:spacing w:line="360" w:lineRule="auto"/>
        <w:rPr>
          <w:rFonts w:hint="eastAsia" w:ascii="宋体" w:hAnsi="宋体" w:eastAsia="宋体" w:cs="宋体"/>
          <w:sz w:val="24"/>
          <w:szCs w:val="24"/>
        </w:rPr>
      </w:pPr>
      <w:r>
        <w:rPr>
          <w:rFonts w:hint="eastAsia" w:ascii="宋体" w:hAnsi="宋体" w:eastAsia="宋体" w:cs="宋体"/>
          <w:sz w:val="24"/>
          <w:szCs w:val="24"/>
        </w:rPr>
        <w:t>职务：                                 职务：</w:t>
      </w:r>
    </w:p>
    <w:p>
      <w:pPr>
        <w:pStyle w:val="2"/>
        <w:rPr>
          <w:rFonts w:hint="eastAsia" w:ascii="宋体" w:hAnsi="宋体" w:eastAsia="宋体" w:cs="宋体"/>
          <w:sz w:val="24"/>
          <w:szCs w:val="24"/>
        </w:rPr>
      </w:pPr>
    </w:p>
    <w:p>
      <w:pPr>
        <w:spacing w:line="360" w:lineRule="auto"/>
        <w:rPr>
          <w:rFonts w:hint="eastAsia" w:ascii="宋体" w:hAnsi="宋体" w:eastAsia="宋体" w:cs="宋体"/>
          <w:color w:val="FF0000"/>
          <w:sz w:val="24"/>
          <w:szCs w:val="24"/>
        </w:rPr>
      </w:pPr>
      <w:r>
        <w:rPr>
          <w:rFonts w:hint="eastAsia" w:ascii="宋体" w:hAnsi="宋体" w:eastAsia="宋体" w:cs="宋体"/>
          <w:sz w:val="24"/>
          <w:szCs w:val="24"/>
        </w:rPr>
        <w:t>附：被授权人身份证正、反面扫描（或复印）件</w:t>
      </w:r>
    </w:p>
    <w:p>
      <w:pPr>
        <w:tabs>
          <w:tab w:val="left" w:pos="168"/>
        </w:tabs>
        <w:adjustRightInd w:val="0"/>
        <w:spacing w:line="360" w:lineRule="auto"/>
        <w:textAlignment w:val="baseline"/>
        <w:rPr>
          <w:rFonts w:hint="eastAsia" w:ascii="宋体" w:hAnsi="宋体" w:eastAsia="宋体" w:cs="宋体"/>
          <w:bCs/>
          <w:sz w:val="24"/>
          <w:szCs w:val="24"/>
        </w:rPr>
      </w:pPr>
    </w:p>
    <w:p>
      <w:pPr>
        <w:tabs>
          <w:tab w:val="left" w:pos="168"/>
        </w:tabs>
        <w:adjustRightInd w:val="0"/>
        <w:spacing w:line="360" w:lineRule="auto"/>
        <w:textAlignment w:val="baseline"/>
        <w:rPr>
          <w:rFonts w:hint="eastAsia" w:ascii="宋体" w:hAnsi="宋体" w:eastAsia="宋体" w:cs="宋体"/>
          <w:bCs/>
          <w:sz w:val="24"/>
          <w:szCs w:val="24"/>
        </w:rPr>
      </w:pPr>
    </w:p>
    <w:p>
      <w:pPr>
        <w:tabs>
          <w:tab w:val="left" w:pos="168"/>
        </w:tabs>
        <w:adjustRightInd w:val="0"/>
        <w:spacing w:line="360" w:lineRule="auto"/>
        <w:textAlignment w:val="baseline"/>
        <w:rPr>
          <w:rFonts w:hint="eastAsia" w:ascii="宋体" w:hAnsi="宋体" w:eastAsia="宋体" w:cs="宋体"/>
          <w:bCs/>
          <w:sz w:val="24"/>
          <w:szCs w:val="24"/>
        </w:rPr>
      </w:pPr>
    </w:p>
    <w:p>
      <w:pPr>
        <w:tabs>
          <w:tab w:val="left" w:pos="168"/>
        </w:tabs>
        <w:adjustRightInd w:val="0"/>
        <w:spacing w:line="360" w:lineRule="auto"/>
        <w:textAlignment w:val="baseline"/>
        <w:rPr>
          <w:rFonts w:hint="eastAsia" w:ascii="宋体" w:hAnsi="宋体" w:eastAsia="宋体" w:cs="宋体"/>
          <w:bCs/>
          <w:sz w:val="24"/>
          <w:szCs w:val="24"/>
        </w:rPr>
      </w:pPr>
    </w:p>
    <w:p>
      <w:pPr>
        <w:tabs>
          <w:tab w:val="left" w:pos="168"/>
        </w:tabs>
        <w:adjustRightInd w:val="0"/>
        <w:spacing w:line="360" w:lineRule="auto"/>
        <w:textAlignment w:val="baseline"/>
        <w:rPr>
          <w:rFonts w:hint="eastAsia" w:ascii="宋体" w:hAnsi="宋体" w:eastAsia="宋体" w:cs="宋体"/>
          <w:bCs/>
          <w:sz w:val="24"/>
          <w:szCs w:val="24"/>
        </w:rPr>
      </w:pPr>
    </w:p>
    <w:p>
      <w:pPr>
        <w:tabs>
          <w:tab w:val="left" w:pos="168"/>
        </w:tabs>
        <w:adjustRightInd w:val="0"/>
        <w:spacing w:line="360" w:lineRule="auto"/>
        <w:textAlignment w:val="baseline"/>
        <w:rPr>
          <w:rFonts w:hint="eastAsia" w:ascii="宋体" w:hAnsi="宋体" w:eastAsia="宋体" w:cs="宋体"/>
          <w:bCs/>
          <w:sz w:val="24"/>
          <w:szCs w:val="24"/>
        </w:rPr>
      </w:pPr>
    </w:p>
    <w:p>
      <w:pPr>
        <w:tabs>
          <w:tab w:val="left" w:pos="168"/>
        </w:tabs>
        <w:adjustRightInd w:val="0"/>
        <w:spacing w:line="360" w:lineRule="auto"/>
        <w:textAlignment w:val="baseline"/>
        <w:rPr>
          <w:rFonts w:hint="eastAsia" w:ascii="宋体" w:hAnsi="宋体" w:eastAsia="宋体" w:cs="宋体"/>
          <w:bCs/>
          <w:sz w:val="24"/>
          <w:szCs w:val="24"/>
        </w:rPr>
      </w:pPr>
    </w:p>
    <w:p>
      <w:pPr>
        <w:tabs>
          <w:tab w:val="left" w:pos="168"/>
        </w:tabs>
        <w:wordWrap w:val="0"/>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磋商供应商：             （公章）</w:t>
      </w:r>
    </w:p>
    <w:p>
      <w:pPr>
        <w:tabs>
          <w:tab w:val="left" w:pos="168"/>
        </w:tabs>
        <w:wordWrap w:val="0"/>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法定代表人：                   （签字）</w:t>
      </w:r>
    </w:p>
    <w:p>
      <w:pPr>
        <w:tabs>
          <w:tab w:val="left" w:pos="168"/>
        </w:tabs>
        <w:adjustRightInd w:val="0"/>
        <w:spacing w:line="360" w:lineRule="auto"/>
        <w:ind w:right="480" w:firstLine="5760" w:firstLineChars="2400"/>
        <w:textAlignment w:val="baseline"/>
        <w:rPr>
          <w:rFonts w:hint="eastAsia" w:ascii="宋体" w:hAnsi="宋体" w:eastAsia="宋体" w:cs="宋体"/>
          <w:bCs/>
          <w:sz w:val="24"/>
          <w:szCs w:val="24"/>
        </w:rPr>
      </w:pPr>
      <w:r>
        <w:rPr>
          <w:rFonts w:hint="eastAsia" w:ascii="宋体" w:hAnsi="宋体" w:eastAsia="宋体" w:cs="宋体"/>
          <w:bCs/>
          <w:sz w:val="24"/>
          <w:szCs w:val="24"/>
        </w:rPr>
        <w:t>日期：            年   月   日</w:t>
      </w:r>
    </w:p>
    <w:p>
      <w:pPr>
        <w:pStyle w:val="6"/>
        <w:numPr>
          <w:ilvl w:val="0"/>
          <w:numId w:val="0"/>
        </w:numPr>
        <w:ind w:left="709" w:hanging="709"/>
        <w:rPr>
          <w:rFonts w:hint="eastAsia" w:ascii="宋体" w:hAnsi="宋体" w:eastAsia="宋体" w:cs="宋体"/>
          <w:sz w:val="24"/>
          <w:szCs w:val="24"/>
          <w:lang w:val="zh-CN"/>
        </w:rPr>
      </w:pPr>
      <w:r>
        <w:rPr>
          <w:rFonts w:hint="eastAsia" w:ascii="宋体" w:hAnsi="宋体" w:eastAsia="宋体" w:cs="宋体"/>
          <w:bCs/>
          <w:sz w:val="24"/>
          <w:szCs w:val="24"/>
        </w:rPr>
        <w:br w:type="page"/>
      </w:r>
      <w:bookmarkStart w:id="90" w:name="_Toc9539"/>
      <w:r>
        <w:rPr>
          <w:rFonts w:hint="eastAsia" w:ascii="宋体" w:hAnsi="宋体" w:eastAsia="宋体" w:cs="宋体"/>
          <w:b/>
          <w:sz w:val="24"/>
          <w:szCs w:val="24"/>
          <w:lang w:val="zh-CN"/>
        </w:rPr>
        <w:t>格式4、磋商供应商承诺书</w:t>
      </w:r>
      <w:bookmarkEnd w:id="90"/>
    </w:p>
    <w:p>
      <w:pPr>
        <w:autoSpaceDE w:val="0"/>
        <w:autoSpaceDN w:val="0"/>
        <w:adjustRightInd w:val="0"/>
        <w:spacing w:line="360" w:lineRule="auto"/>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磋商供应商承诺书</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致：青海国焱工程项目管理有限公司</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关于贵方   年  月  日</w:t>
      </w:r>
      <w:r>
        <w:rPr>
          <w:rFonts w:hint="eastAsia" w:ascii="宋体" w:hAnsi="宋体" w:eastAsia="宋体" w:cs="宋体"/>
          <w:sz w:val="24"/>
          <w:szCs w:val="24"/>
          <w:u w:val="single"/>
        </w:rPr>
        <w:t>(项目名称)</w:t>
      </w:r>
      <w:r>
        <w:rPr>
          <w:rFonts w:hint="eastAsia" w:ascii="宋体" w:hAnsi="宋体" w:eastAsia="宋体" w:cs="宋体"/>
          <w:sz w:val="24"/>
          <w:szCs w:val="24"/>
        </w:rPr>
        <w:t>采购项目，本签字人愿意参加磋商，提供采购一览表中要求的所有产品，并证实提交的所有资料是准确的和真实的。同时，我代表</w:t>
      </w:r>
      <w:r>
        <w:rPr>
          <w:rFonts w:hint="eastAsia" w:ascii="宋体" w:hAnsi="宋体" w:eastAsia="宋体" w:cs="宋体"/>
          <w:sz w:val="24"/>
          <w:szCs w:val="24"/>
          <w:u w:val="single"/>
        </w:rPr>
        <w:t>（磋商供应商名称）</w:t>
      </w:r>
      <w:r>
        <w:rPr>
          <w:rFonts w:hint="eastAsia" w:ascii="宋体" w:hAnsi="宋体" w:eastAsia="宋体" w:cs="宋体"/>
          <w:sz w:val="24"/>
          <w:szCs w:val="24"/>
        </w:rPr>
        <w:t>，在此作如下承诺：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1、完全理解和接受磋商文件的一切规定和要求；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若中标，我方将按照磋商文件的具体规定与采购单位签订合同，并且严格履行合同义务，按时交货，提供优质的产品和服务。如果在合同执行过程中，发现质量出现问题，我方一定尽快更换或保修，并承担相应的经济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3、在整个磋商过程中我方若有违规行为，贵方可按磋商文件之规定给予惩罚，我方完全接受。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4、若中标，本承诺将成为合同不可分割的一部分，与合同具有同等的法律效力。</w:t>
      </w:r>
    </w:p>
    <w:p>
      <w:pPr>
        <w:tabs>
          <w:tab w:val="left" w:pos="168"/>
        </w:tabs>
        <w:adjustRightInd w:val="0"/>
        <w:spacing w:line="360" w:lineRule="auto"/>
        <w:ind w:firstLine="480" w:firstLineChars="200"/>
        <w:textAlignment w:val="baseline"/>
        <w:rPr>
          <w:rFonts w:hint="eastAsia" w:ascii="宋体" w:hAnsi="宋体" w:eastAsia="宋体" w:cs="宋体"/>
          <w:bCs/>
          <w:sz w:val="24"/>
          <w:szCs w:val="24"/>
        </w:rPr>
      </w:pPr>
    </w:p>
    <w:p>
      <w:pPr>
        <w:tabs>
          <w:tab w:val="left" w:pos="168"/>
        </w:tabs>
        <w:adjustRightInd w:val="0"/>
        <w:spacing w:line="360" w:lineRule="auto"/>
        <w:ind w:firstLine="480" w:firstLineChars="200"/>
        <w:textAlignment w:val="baseline"/>
        <w:rPr>
          <w:rFonts w:hint="eastAsia" w:ascii="宋体" w:hAnsi="宋体" w:eastAsia="宋体" w:cs="宋体"/>
          <w:bCs/>
          <w:sz w:val="24"/>
          <w:szCs w:val="24"/>
        </w:rPr>
      </w:pPr>
    </w:p>
    <w:p>
      <w:pPr>
        <w:tabs>
          <w:tab w:val="left" w:pos="168"/>
        </w:tabs>
        <w:adjustRightInd w:val="0"/>
        <w:spacing w:line="360" w:lineRule="auto"/>
        <w:ind w:firstLine="480" w:firstLineChars="200"/>
        <w:textAlignment w:val="baseline"/>
        <w:rPr>
          <w:rFonts w:hint="eastAsia" w:ascii="宋体" w:hAnsi="宋体" w:eastAsia="宋体" w:cs="宋体"/>
          <w:bCs/>
          <w:sz w:val="24"/>
          <w:szCs w:val="24"/>
        </w:rPr>
      </w:pPr>
    </w:p>
    <w:p>
      <w:pPr>
        <w:tabs>
          <w:tab w:val="left" w:pos="168"/>
        </w:tabs>
        <w:adjustRightInd w:val="0"/>
        <w:spacing w:line="360" w:lineRule="auto"/>
        <w:ind w:firstLine="480" w:firstLineChars="200"/>
        <w:textAlignment w:val="baseline"/>
        <w:rPr>
          <w:rFonts w:hint="eastAsia" w:ascii="宋体" w:hAnsi="宋体" w:eastAsia="宋体" w:cs="宋体"/>
          <w:bCs/>
          <w:sz w:val="24"/>
          <w:szCs w:val="24"/>
        </w:rPr>
      </w:pPr>
    </w:p>
    <w:p>
      <w:pPr>
        <w:tabs>
          <w:tab w:val="left" w:pos="168"/>
        </w:tabs>
        <w:adjustRightInd w:val="0"/>
        <w:spacing w:line="360" w:lineRule="auto"/>
        <w:ind w:firstLine="480" w:firstLineChars="200"/>
        <w:textAlignment w:val="baseline"/>
        <w:rPr>
          <w:rFonts w:hint="eastAsia" w:ascii="宋体" w:hAnsi="宋体" w:eastAsia="宋体" w:cs="宋体"/>
          <w:bCs/>
          <w:sz w:val="24"/>
          <w:szCs w:val="24"/>
        </w:rPr>
      </w:pPr>
    </w:p>
    <w:p>
      <w:pPr>
        <w:tabs>
          <w:tab w:val="left" w:pos="168"/>
        </w:tabs>
        <w:adjustRightInd w:val="0"/>
        <w:spacing w:line="360" w:lineRule="auto"/>
        <w:ind w:firstLine="480" w:firstLineChars="200"/>
        <w:textAlignment w:val="baseline"/>
        <w:rPr>
          <w:rFonts w:hint="eastAsia" w:ascii="宋体" w:hAnsi="宋体" w:eastAsia="宋体" w:cs="宋体"/>
          <w:bCs/>
          <w:sz w:val="24"/>
          <w:szCs w:val="24"/>
        </w:rPr>
      </w:pPr>
    </w:p>
    <w:p>
      <w:pPr>
        <w:tabs>
          <w:tab w:val="left" w:pos="168"/>
        </w:tabs>
        <w:adjustRightInd w:val="0"/>
        <w:spacing w:line="360" w:lineRule="auto"/>
        <w:ind w:firstLine="480" w:firstLineChars="200"/>
        <w:textAlignment w:val="baseline"/>
        <w:rPr>
          <w:rFonts w:hint="eastAsia" w:ascii="宋体" w:hAnsi="宋体" w:eastAsia="宋体" w:cs="宋体"/>
          <w:bCs/>
          <w:sz w:val="24"/>
          <w:szCs w:val="24"/>
        </w:rPr>
      </w:pPr>
    </w:p>
    <w:p>
      <w:pPr>
        <w:tabs>
          <w:tab w:val="left" w:pos="168"/>
        </w:tabs>
        <w:adjustRightInd w:val="0"/>
        <w:spacing w:line="360" w:lineRule="auto"/>
        <w:ind w:firstLine="480" w:firstLineChars="200"/>
        <w:textAlignment w:val="baseline"/>
        <w:rPr>
          <w:rFonts w:hint="eastAsia" w:ascii="宋体" w:hAnsi="宋体" w:eastAsia="宋体" w:cs="宋体"/>
          <w:bCs/>
          <w:sz w:val="24"/>
          <w:szCs w:val="24"/>
        </w:rPr>
      </w:pPr>
    </w:p>
    <w:p>
      <w:pPr>
        <w:tabs>
          <w:tab w:val="left" w:pos="168"/>
        </w:tabs>
        <w:adjustRightInd w:val="0"/>
        <w:spacing w:line="360" w:lineRule="auto"/>
        <w:ind w:firstLine="480" w:firstLineChars="200"/>
        <w:textAlignment w:val="baseline"/>
        <w:rPr>
          <w:rFonts w:hint="eastAsia" w:ascii="宋体" w:hAnsi="宋体" w:eastAsia="宋体" w:cs="宋体"/>
          <w:bCs/>
          <w:sz w:val="24"/>
          <w:szCs w:val="24"/>
        </w:rPr>
      </w:pPr>
    </w:p>
    <w:p>
      <w:pPr>
        <w:tabs>
          <w:tab w:val="left" w:pos="168"/>
        </w:tabs>
        <w:adjustRightInd w:val="0"/>
        <w:spacing w:line="360" w:lineRule="auto"/>
        <w:ind w:firstLine="480" w:firstLineChars="200"/>
        <w:textAlignment w:val="baseline"/>
        <w:rPr>
          <w:rFonts w:hint="eastAsia" w:ascii="宋体" w:hAnsi="宋体" w:eastAsia="宋体" w:cs="宋体"/>
          <w:bCs/>
          <w:sz w:val="24"/>
          <w:szCs w:val="24"/>
        </w:rPr>
      </w:pP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磋商供应商：             （公章）</w:t>
      </w: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法定代表人或委托代理人：       （签字）</w:t>
      </w: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日期：    年   月   日</w:t>
      </w:r>
    </w:p>
    <w:p>
      <w:pPr>
        <w:pStyle w:val="6"/>
        <w:numPr>
          <w:ilvl w:val="0"/>
          <w:numId w:val="0"/>
        </w:numPr>
        <w:ind w:left="709" w:hanging="709"/>
        <w:rPr>
          <w:rFonts w:hint="eastAsia" w:ascii="宋体" w:hAnsi="宋体" w:eastAsia="宋体" w:cs="宋体"/>
          <w:sz w:val="24"/>
          <w:szCs w:val="24"/>
          <w:lang w:val="zh-CN"/>
        </w:rPr>
      </w:pPr>
      <w:r>
        <w:rPr>
          <w:rFonts w:hint="eastAsia" w:ascii="宋体" w:hAnsi="宋体" w:eastAsia="宋体" w:cs="宋体"/>
          <w:bCs/>
          <w:sz w:val="24"/>
          <w:szCs w:val="24"/>
        </w:rPr>
        <w:br w:type="page"/>
      </w:r>
      <w:bookmarkStart w:id="91" w:name="_Toc29569"/>
      <w:r>
        <w:rPr>
          <w:rFonts w:hint="eastAsia" w:ascii="宋体" w:hAnsi="宋体" w:eastAsia="宋体" w:cs="宋体"/>
          <w:b/>
          <w:sz w:val="24"/>
          <w:szCs w:val="24"/>
          <w:lang w:val="zh-CN"/>
        </w:rPr>
        <w:t>格式5、供应商诚信承诺书</w:t>
      </w:r>
      <w:bookmarkEnd w:id="91"/>
    </w:p>
    <w:p>
      <w:pPr>
        <w:autoSpaceDE w:val="0"/>
        <w:autoSpaceDN w:val="0"/>
        <w:adjustRightInd w:val="0"/>
        <w:spacing w:line="360" w:lineRule="auto"/>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供应商诚信承诺书</w:t>
      </w: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致：青海国焱工程项目管理有限公司</w:t>
      </w: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为了诚实、客观、有序地参与青海省政府采购活动，愿就以下内容做出承诺：</w:t>
      </w:r>
    </w:p>
    <w:p>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四、依法参加政府采购活动，不围标、串标，维护市场秩序，不提供“三无”产品、以次充好。</w:t>
      </w:r>
    </w:p>
    <w:p>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六、认真履行中标人应承担的责任和义务，全面执行采购合同规定的各项内容，保质保量地按时提供采购物品。</w:t>
      </w:r>
    </w:p>
    <w:p>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本承诺是采购项目磋商响应文件的组成部分。</w:t>
      </w: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rPr>
          <w:rFonts w:hint="eastAsia" w:ascii="宋体" w:hAnsi="宋体" w:eastAsia="宋体" w:cs="宋体"/>
          <w:kern w:val="0"/>
          <w:sz w:val="24"/>
          <w:szCs w:val="24"/>
          <w:lang w:val="zh-CN"/>
        </w:rPr>
      </w:pPr>
    </w:p>
    <w:p>
      <w:pPr>
        <w:tabs>
          <w:tab w:val="left" w:pos="168"/>
        </w:tabs>
        <w:adjustRightInd w:val="0"/>
        <w:spacing w:line="360" w:lineRule="auto"/>
        <w:textAlignment w:val="baseline"/>
        <w:rPr>
          <w:rFonts w:hint="eastAsia" w:ascii="宋体" w:hAnsi="宋体" w:eastAsia="宋体" w:cs="宋体"/>
          <w:bCs/>
          <w:sz w:val="24"/>
          <w:szCs w:val="24"/>
        </w:rPr>
      </w:pPr>
      <w:bookmarkStart w:id="92" w:name="_Toc17097"/>
      <w:bookmarkStart w:id="93" w:name="_Toc444715739"/>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磋商供应商：             （公章）</w:t>
      </w: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法定代表人或委托代理人：       （签字）</w:t>
      </w: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日期：    年   月   日</w:t>
      </w:r>
    </w:p>
    <w:p>
      <w:pPr>
        <w:pStyle w:val="6"/>
        <w:numPr>
          <w:ilvl w:val="0"/>
          <w:numId w:val="0"/>
        </w:numPr>
        <w:ind w:left="709" w:hanging="709"/>
        <w:rPr>
          <w:rFonts w:hint="eastAsia" w:ascii="宋体" w:hAnsi="宋体" w:eastAsia="宋体" w:cs="宋体"/>
          <w:sz w:val="24"/>
          <w:szCs w:val="24"/>
          <w:lang w:val="zh-CN"/>
        </w:rPr>
      </w:pPr>
      <w:r>
        <w:rPr>
          <w:rFonts w:hint="eastAsia" w:ascii="宋体" w:hAnsi="宋体" w:eastAsia="宋体" w:cs="宋体"/>
          <w:bCs/>
          <w:sz w:val="24"/>
          <w:szCs w:val="24"/>
        </w:rPr>
        <w:br w:type="page"/>
      </w:r>
      <w:bookmarkStart w:id="94" w:name="_Toc10251"/>
      <w:r>
        <w:rPr>
          <w:rFonts w:hint="eastAsia" w:ascii="宋体" w:hAnsi="宋体" w:eastAsia="宋体" w:cs="宋体"/>
          <w:b/>
          <w:sz w:val="24"/>
          <w:szCs w:val="24"/>
          <w:lang w:val="zh-CN"/>
        </w:rPr>
        <w:t>格式6、资格证明材料</w:t>
      </w:r>
      <w:bookmarkEnd w:id="92"/>
      <w:bookmarkEnd w:id="93"/>
      <w:bookmarkEnd w:id="94"/>
    </w:p>
    <w:p>
      <w:pPr>
        <w:spacing w:line="360" w:lineRule="auto"/>
        <w:rPr>
          <w:rFonts w:hint="eastAsia" w:ascii="宋体" w:hAnsi="宋体" w:eastAsia="宋体" w:cs="宋体"/>
          <w:sz w:val="24"/>
          <w:szCs w:val="24"/>
          <w:lang w:val="zh-CN"/>
        </w:rPr>
      </w:pPr>
    </w:p>
    <w:p>
      <w:pPr>
        <w:autoSpaceDE w:val="0"/>
        <w:autoSpaceDN w:val="0"/>
        <w:adjustRightInd w:val="0"/>
        <w:spacing w:line="360" w:lineRule="auto"/>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资格证明材料</w:t>
      </w:r>
    </w:p>
    <w:p>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资格证明材料包括：</w:t>
      </w:r>
    </w:p>
    <w:p>
      <w:pPr>
        <w:spacing w:line="360" w:lineRule="auto"/>
        <w:rPr>
          <w:rFonts w:hint="eastAsia" w:ascii="宋体" w:hAnsi="宋体" w:eastAsia="宋体" w:cs="宋体"/>
          <w:sz w:val="24"/>
          <w:szCs w:val="24"/>
        </w:rPr>
      </w:pPr>
      <w:r>
        <w:rPr>
          <w:rFonts w:hint="eastAsia" w:ascii="宋体" w:hAnsi="宋体" w:eastAsia="宋体" w:cs="宋体"/>
          <w:sz w:val="24"/>
          <w:szCs w:val="24"/>
        </w:rPr>
        <w:t>（1）单位法人营业执照、税务登记证、组织机构代码证；</w:t>
      </w:r>
    </w:p>
    <w:p>
      <w:pPr>
        <w:spacing w:line="360" w:lineRule="auto"/>
        <w:rPr>
          <w:rFonts w:hint="eastAsia" w:ascii="宋体" w:hAnsi="宋体" w:eastAsia="宋体" w:cs="宋体"/>
          <w:sz w:val="24"/>
          <w:szCs w:val="24"/>
        </w:rPr>
      </w:pPr>
      <w:r>
        <w:rPr>
          <w:rFonts w:hint="eastAsia" w:ascii="宋体" w:hAnsi="宋体" w:eastAsia="宋体" w:cs="宋体"/>
          <w:sz w:val="24"/>
          <w:szCs w:val="24"/>
        </w:rPr>
        <w:t>（2）磋商文件规定的有关资格证书、许可证书、认证等；</w:t>
      </w:r>
    </w:p>
    <w:p>
      <w:pPr>
        <w:spacing w:line="360" w:lineRule="auto"/>
        <w:rPr>
          <w:rFonts w:hint="eastAsia" w:ascii="宋体" w:hAnsi="宋体" w:eastAsia="宋体" w:cs="宋体"/>
          <w:sz w:val="24"/>
          <w:szCs w:val="24"/>
        </w:rPr>
      </w:pPr>
      <w:r>
        <w:rPr>
          <w:rFonts w:hint="eastAsia" w:ascii="宋体" w:hAnsi="宋体" w:eastAsia="宋体" w:cs="宋体"/>
          <w:sz w:val="24"/>
          <w:szCs w:val="24"/>
        </w:rPr>
        <w:t>（3）磋商供应商简介及获得相关证书证明文件；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（4）磋商供应商认为有必要提供的其他资格证明文件。</w:t>
      </w:r>
    </w:p>
    <w:p>
      <w:pPr>
        <w:pStyle w:val="6"/>
        <w:numPr>
          <w:ilvl w:val="0"/>
          <w:numId w:val="0"/>
        </w:numPr>
        <w:ind w:left="709" w:hanging="709"/>
        <w:rPr>
          <w:rFonts w:hint="eastAsia" w:ascii="宋体" w:hAnsi="宋体" w:eastAsia="宋体" w:cs="宋体"/>
          <w:sz w:val="24"/>
          <w:szCs w:val="24"/>
          <w:lang w:val="zh-CN"/>
        </w:rPr>
      </w:pPr>
      <w:r>
        <w:rPr>
          <w:rFonts w:hint="eastAsia" w:ascii="宋体" w:hAnsi="宋体" w:eastAsia="宋体" w:cs="宋体"/>
          <w:kern w:val="0"/>
          <w:sz w:val="24"/>
          <w:szCs w:val="24"/>
          <w:lang w:val="zh-CN"/>
        </w:rPr>
        <w:br w:type="page"/>
      </w:r>
      <w:bookmarkStart w:id="95" w:name="_Toc24908"/>
      <w:bookmarkStart w:id="96" w:name="_Toc444715740"/>
      <w:bookmarkStart w:id="97" w:name="_Toc20673"/>
      <w:r>
        <w:rPr>
          <w:rFonts w:hint="eastAsia" w:ascii="宋体" w:hAnsi="宋体" w:eastAsia="宋体" w:cs="宋体"/>
          <w:b/>
          <w:sz w:val="24"/>
          <w:szCs w:val="24"/>
          <w:lang w:val="zh-CN"/>
        </w:rPr>
        <w:t>格式7、财务状况、缴纳税收和社会保障资金证明</w:t>
      </w:r>
      <w:bookmarkEnd w:id="95"/>
    </w:p>
    <w:p>
      <w:pPr>
        <w:spacing w:line="360" w:lineRule="auto"/>
        <w:rPr>
          <w:rFonts w:hint="eastAsia" w:ascii="宋体" w:hAnsi="宋体" w:eastAsia="宋体" w:cs="宋体"/>
          <w:sz w:val="24"/>
          <w:szCs w:val="24"/>
          <w:lang w:val="zh-CN"/>
        </w:rPr>
      </w:pPr>
    </w:p>
    <w:p>
      <w:pPr>
        <w:autoSpaceDE w:val="0"/>
        <w:autoSpaceDN w:val="0"/>
        <w:adjustRightInd w:val="0"/>
        <w:spacing w:line="360" w:lineRule="auto"/>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财务状况、缴纳税收和社会保障资金证明</w:t>
      </w:r>
    </w:p>
    <w:p>
      <w:pPr>
        <w:autoSpaceDE w:val="0"/>
        <w:autoSpaceDN w:val="0"/>
        <w:spacing w:line="360" w:lineRule="auto"/>
        <w:rPr>
          <w:rFonts w:hint="eastAsia" w:ascii="宋体" w:hAnsi="宋体" w:eastAsia="宋体" w:cs="宋体"/>
          <w:sz w:val="24"/>
          <w:szCs w:val="24"/>
          <w:lang w:val="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按照磋商文件第2.2款（1）中规定提供以下相关材料。</w:t>
      </w:r>
    </w:p>
    <w:p>
      <w:pPr>
        <w:pStyle w:val="41"/>
        <w:numPr>
          <w:ilvl w:val="1"/>
          <w:numId w:val="17"/>
        </w:numPr>
        <w:spacing w:line="360" w:lineRule="auto"/>
        <w:ind w:firstLineChars="0"/>
        <w:rPr>
          <w:rFonts w:hint="eastAsia" w:ascii="宋体" w:hAnsi="宋体" w:eastAsia="宋体" w:cs="宋体"/>
          <w:sz w:val="24"/>
          <w:szCs w:val="24"/>
        </w:rPr>
      </w:pPr>
      <w:r>
        <w:rPr>
          <w:rFonts w:hint="eastAsia" w:ascii="宋体" w:hAnsi="宋体" w:cs="宋体"/>
          <w:kern w:val="0"/>
          <w:sz w:val="24"/>
          <w:szCs w:val="24"/>
          <w:lang w:val="en-US" w:eastAsia="zh-CN"/>
        </w:rPr>
        <w:t>磋商</w:t>
      </w:r>
      <w:r>
        <w:rPr>
          <w:rFonts w:hint="eastAsia" w:ascii="宋体" w:hAnsi="宋体" w:eastAsia="宋体" w:cs="宋体"/>
          <w:kern w:val="0"/>
          <w:sz w:val="24"/>
          <w:szCs w:val="24"/>
          <w:lang w:val="zh-CN"/>
        </w:rPr>
        <w:t>人基本开户银行近三个月内出具的资信证明或经第三方机构出具的</w:t>
      </w:r>
      <w:r>
        <w:rPr>
          <w:rFonts w:hint="eastAsia" w:ascii="宋体" w:hAnsi="宋体" w:cs="宋体"/>
          <w:kern w:val="0"/>
          <w:sz w:val="24"/>
          <w:szCs w:val="24"/>
          <w:lang w:val="en-US" w:eastAsia="zh-CN"/>
        </w:rPr>
        <w:t>2020年度或</w:t>
      </w:r>
      <w:r>
        <w:rPr>
          <w:rFonts w:hint="eastAsia" w:ascii="宋体" w:hAnsi="宋体" w:eastAsia="宋体" w:cs="宋体"/>
          <w:kern w:val="0"/>
          <w:sz w:val="24"/>
          <w:szCs w:val="24"/>
          <w:lang w:val="zh-CN"/>
        </w:rPr>
        <w:t>2021年度财务状况审计报告（扫描或复印件应全面、完整、清晰），包括资产负债表、现金流量表、利润表和财务（会计）报表附注</w:t>
      </w:r>
      <w:r>
        <w:rPr>
          <w:rFonts w:hint="eastAsia" w:ascii="宋体" w:hAnsi="宋体" w:eastAsia="宋体" w:cs="宋体"/>
          <w:kern w:val="0"/>
          <w:sz w:val="24"/>
          <w:szCs w:val="24"/>
        </w:rPr>
        <w:t>,</w:t>
      </w:r>
      <w:r>
        <w:rPr>
          <w:rFonts w:hint="eastAsia" w:ascii="宋体" w:hAnsi="宋体" w:eastAsia="宋体" w:cs="宋体"/>
          <w:kern w:val="0"/>
          <w:sz w:val="24"/>
          <w:szCs w:val="24"/>
          <w:lang w:val="zh-CN"/>
        </w:rPr>
        <w:t>并提供第三方机构的营业执照、执业证书。</w:t>
      </w:r>
    </w:p>
    <w:p>
      <w:pPr>
        <w:pStyle w:val="41"/>
        <w:numPr>
          <w:ilvl w:val="1"/>
          <w:numId w:val="17"/>
        </w:numPr>
        <w:spacing w:line="360" w:lineRule="auto"/>
        <w:ind w:left="851" w:hanging="360" w:firstLineChars="0"/>
        <w:rPr>
          <w:rFonts w:hint="eastAsia" w:ascii="宋体" w:hAnsi="宋体" w:eastAsia="宋体" w:cs="宋体"/>
          <w:sz w:val="24"/>
          <w:szCs w:val="24"/>
        </w:rPr>
      </w:pPr>
      <w:r>
        <w:rPr>
          <w:rFonts w:hint="eastAsia" w:ascii="宋体" w:hAnsi="宋体" w:eastAsia="宋体" w:cs="宋体"/>
          <w:kern w:val="0"/>
          <w:sz w:val="24"/>
          <w:szCs w:val="24"/>
          <w:lang w:val="zh-CN"/>
        </w:rPr>
        <w:t>近半年内</w:t>
      </w:r>
      <w:r>
        <w:rPr>
          <w:rFonts w:hint="eastAsia" w:ascii="宋体" w:hAnsi="宋体" w:eastAsia="宋体" w:cs="宋体"/>
          <w:color w:val="000000" w:themeColor="text1"/>
          <w:kern w:val="0"/>
          <w:sz w:val="24"/>
          <w:szCs w:val="24"/>
          <w:lang w:val="zh-CN"/>
        </w:rPr>
        <w:t>任意一个月</w:t>
      </w:r>
      <w:r>
        <w:rPr>
          <w:rFonts w:hint="eastAsia" w:ascii="宋体" w:hAnsi="宋体" w:eastAsia="宋体" w:cs="宋体"/>
          <w:kern w:val="0"/>
          <w:sz w:val="24"/>
          <w:szCs w:val="24"/>
          <w:lang w:val="zh-CN"/>
        </w:rPr>
        <w:t>的依法缴纳税收和社会保障资金记录的证明材料；依法免税或不需要缴纳社会保障资金的投标人须提供相应文件证明其依法免税或不需要缴纳社会保障资金。</w:t>
      </w:r>
    </w:p>
    <w:p>
      <w:pPr>
        <w:pStyle w:val="41"/>
        <w:numPr>
          <w:ilvl w:val="1"/>
          <w:numId w:val="17"/>
        </w:numPr>
        <w:spacing w:line="360" w:lineRule="auto"/>
        <w:ind w:left="851" w:hanging="360" w:firstLineChars="0"/>
        <w:rPr>
          <w:rFonts w:hint="eastAsia" w:ascii="宋体" w:hAnsi="宋体" w:eastAsia="宋体" w:cs="宋体"/>
          <w:sz w:val="24"/>
          <w:szCs w:val="24"/>
        </w:rPr>
      </w:pPr>
      <w:r>
        <w:rPr>
          <w:rFonts w:hint="eastAsia" w:ascii="宋体" w:hAnsi="宋体" w:eastAsia="宋体" w:cs="宋体"/>
          <w:sz w:val="24"/>
          <w:szCs w:val="24"/>
        </w:rPr>
        <w:t>扫描（或复印）件应全面、完整、清晰并加盖磋商供应商公章。</w:t>
      </w:r>
    </w:p>
    <w:p>
      <w:pPr>
        <w:pStyle w:val="6"/>
        <w:numPr>
          <w:ilvl w:val="0"/>
          <w:numId w:val="0"/>
        </w:numPr>
        <w:ind w:left="709" w:hanging="709"/>
        <w:rPr>
          <w:rFonts w:hint="eastAsia" w:ascii="宋体" w:hAnsi="宋体" w:eastAsia="宋体" w:cs="宋体"/>
          <w:sz w:val="24"/>
          <w:szCs w:val="24"/>
          <w:lang w:val="zh-CN"/>
        </w:rPr>
      </w:pPr>
      <w:r>
        <w:rPr>
          <w:rFonts w:hint="eastAsia" w:ascii="宋体" w:hAnsi="宋体" w:eastAsia="宋体" w:cs="宋体"/>
          <w:b/>
          <w:sz w:val="24"/>
          <w:szCs w:val="24"/>
          <w:lang w:val="zh-CN"/>
        </w:rPr>
        <w:br w:type="page"/>
      </w:r>
      <w:bookmarkStart w:id="98" w:name="_Toc21211"/>
      <w:r>
        <w:rPr>
          <w:rFonts w:hint="eastAsia" w:ascii="宋体" w:hAnsi="宋体" w:eastAsia="宋体" w:cs="宋体"/>
          <w:b/>
          <w:sz w:val="24"/>
          <w:szCs w:val="24"/>
          <w:lang w:val="zh-CN"/>
        </w:rPr>
        <w:t>格式8、具备履行合同所必须的设备和专业技术能力证明</w:t>
      </w:r>
      <w:bookmarkEnd w:id="98"/>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具备履行合同所必须的设备和专业技术能力证明</w:t>
      </w: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为保证本项目合同的顺利履行，投标人必须具备履行合同的设备和专业技术能力，须提供履行合同的设备和专业技术能力的承诺函（格式自拟），须提供相关人员的职称证书或用工合同等证明材料。</w:t>
      </w:r>
    </w:p>
    <w:p>
      <w:pPr>
        <w:pStyle w:val="6"/>
        <w:numPr>
          <w:ilvl w:val="0"/>
          <w:numId w:val="0"/>
        </w:numPr>
        <w:ind w:left="709" w:hanging="70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br w:type="page"/>
      </w:r>
      <w:bookmarkStart w:id="99" w:name="_Toc108"/>
      <w:r>
        <w:rPr>
          <w:rFonts w:hint="eastAsia" w:ascii="宋体" w:hAnsi="宋体" w:eastAsia="宋体" w:cs="宋体"/>
          <w:b/>
          <w:sz w:val="24"/>
          <w:szCs w:val="24"/>
          <w:lang w:val="zh-CN"/>
        </w:rPr>
        <w:t>格式</w:t>
      </w:r>
      <w:bookmarkEnd w:id="96"/>
      <w:bookmarkEnd w:id="97"/>
      <w:r>
        <w:rPr>
          <w:rFonts w:hint="eastAsia" w:ascii="宋体" w:hAnsi="宋体" w:eastAsia="宋体" w:cs="宋体"/>
          <w:b/>
          <w:sz w:val="24"/>
          <w:szCs w:val="24"/>
          <w:lang w:val="zh-CN"/>
        </w:rPr>
        <w:t>9、</w:t>
      </w:r>
      <w:bookmarkStart w:id="100" w:name="_Toc428180589"/>
      <w:bookmarkStart w:id="101" w:name="_Toc21450"/>
      <w:bookmarkStart w:id="102" w:name="_Toc444715741"/>
      <w:r>
        <w:rPr>
          <w:rFonts w:hint="eastAsia" w:ascii="宋体" w:hAnsi="宋体" w:eastAsia="宋体" w:cs="宋体"/>
          <w:b/>
          <w:sz w:val="24"/>
          <w:szCs w:val="24"/>
          <w:lang w:val="zh-CN"/>
        </w:rPr>
        <w:t>无重大违法记录声明</w:t>
      </w:r>
      <w:bookmarkEnd w:id="99"/>
      <w:bookmarkEnd w:id="100"/>
      <w:bookmarkEnd w:id="101"/>
      <w:bookmarkEnd w:id="102"/>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无重大违法记录声明</w:t>
      </w:r>
    </w:p>
    <w:p>
      <w:pPr>
        <w:autoSpaceDE w:val="0"/>
        <w:autoSpaceDN w:val="0"/>
        <w:adjustRightInd w:val="0"/>
        <w:spacing w:line="360" w:lineRule="auto"/>
        <w:rPr>
          <w:rFonts w:hint="eastAsia" w:ascii="宋体" w:hAnsi="宋体" w:eastAsia="宋体" w:cs="宋体"/>
          <w:kern w:val="0"/>
          <w:sz w:val="24"/>
          <w:szCs w:val="24"/>
          <w:lang w:val="zh-CN"/>
        </w:rPr>
      </w:pPr>
    </w:p>
    <w:p>
      <w:pPr>
        <w:spacing w:line="360" w:lineRule="auto"/>
        <w:ind w:firstLine="426" w:firstLineChars="177"/>
        <w:rPr>
          <w:rFonts w:hint="eastAsia" w:ascii="宋体" w:hAnsi="宋体" w:eastAsia="宋体" w:cs="宋体"/>
          <w:sz w:val="24"/>
          <w:szCs w:val="24"/>
        </w:rPr>
      </w:pPr>
      <w:r>
        <w:rPr>
          <w:rFonts w:hint="eastAsia" w:ascii="宋体" w:hAnsi="宋体" w:eastAsia="宋体" w:cs="宋体"/>
          <w:b/>
          <w:bCs/>
          <w:kern w:val="0"/>
          <w:sz w:val="24"/>
          <w:szCs w:val="24"/>
          <w:lang w:val="zh-CN"/>
        </w:rPr>
        <w:t>致：青海国焱工程项目管理有限公司</w:t>
      </w:r>
    </w:p>
    <w:p>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（磋商供应商名称）郑重声明，我方参加本项目竞磋活动前三年内无重大违法活动记录，符合《中华人民共和国政府采购法》规定的供应商资格条件。我方对此声明负全部法律责任。</w:t>
      </w:r>
    </w:p>
    <w:p>
      <w:pPr>
        <w:spacing w:line="360" w:lineRule="auto"/>
        <w:ind w:firstLine="424" w:firstLineChars="177"/>
        <w:rPr>
          <w:rFonts w:hint="eastAsia" w:ascii="宋体" w:hAnsi="宋体" w:eastAsia="宋体" w:cs="宋体"/>
          <w:sz w:val="24"/>
          <w:szCs w:val="24"/>
        </w:rPr>
      </w:pPr>
    </w:p>
    <w:p>
      <w:pPr>
        <w:spacing w:line="360" w:lineRule="auto"/>
        <w:ind w:firstLine="424" w:firstLineChars="177"/>
        <w:rPr>
          <w:rFonts w:hint="eastAsia" w:ascii="宋体" w:hAnsi="宋体" w:eastAsia="宋体" w:cs="宋体"/>
          <w:sz w:val="24"/>
          <w:szCs w:val="24"/>
        </w:rPr>
      </w:pPr>
    </w:p>
    <w:p>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特此声明。</w:t>
      </w:r>
    </w:p>
    <w:p>
      <w:pPr>
        <w:spacing w:line="360" w:lineRule="auto"/>
        <w:ind w:firstLine="424" w:firstLineChars="177"/>
        <w:rPr>
          <w:rFonts w:hint="eastAsia" w:ascii="宋体" w:hAnsi="宋体" w:eastAsia="宋体" w:cs="宋体"/>
          <w:sz w:val="24"/>
          <w:szCs w:val="24"/>
        </w:rPr>
      </w:pPr>
    </w:p>
    <w:p>
      <w:pPr>
        <w:spacing w:line="360" w:lineRule="auto"/>
        <w:ind w:firstLine="424" w:firstLineChars="177"/>
        <w:rPr>
          <w:rFonts w:hint="eastAsia" w:ascii="宋体" w:hAnsi="宋体" w:eastAsia="宋体" w:cs="宋体"/>
          <w:sz w:val="24"/>
          <w:szCs w:val="24"/>
        </w:rPr>
      </w:pPr>
    </w:p>
    <w:p>
      <w:pPr>
        <w:spacing w:line="360" w:lineRule="auto"/>
        <w:ind w:firstLine="424" w:firstLineChars="177"/>
        <w:rPr>
          <w:rFonts w:hint="eastAsia" w:ascii="宋体" w:hAnsi="宋体" w:eastAsia="宋体" w:cs="宋体"/>
          <w:sz w:val="24"/>
          <w:szCs w:val="24"/>
        </w:rPr>
      </w:pPr>
    </w:p>
    <w:p>
      <w:pPr>
        <w:spacing w:line="360" w:lineRule="auto"/>
        <w:ind w:firstLine="424" w:firstLineChars="177"/>
        <w:rPr>
          <w:rFonts w:hint="eastAsia" w:ascii="宋体" w:hAnsi="宋体" w:eastAsia="宋体" w:cs="宋体"/>
          <w:sz w:val="24"/>
          <w:szCs w:val="24"/>
        </w:rPr>
      </w:pPr>
    </w:p>
    <w:p>
      <w:pPr>
        <w:spacing w:line="360" w:lineRule="auto"/>
        <w:ind w:firstLine="424" w:firstLineChars="177"/>
        <w:rPr>
          <w:rFonts w:hint="eastAsia" w:ascii="宋体" w:hAnsi="宋体" w:eastAsia="宋体" w:cs="宋体"/>
          <w:sz w:val="24"/>
          <w:szCs w:val="24"/>
        </w:rPr>
      </w:pPr>
    </w:p>
    <w:p>
      <w:pPr>
        <w:spacing w:line="360" w:lineRule="auto"/>
        <w:ind w:firstLine="424" w:firstLineChars="177"/>
        <w:rPr>
          <w:rFonts w:hint="eastAsia" w:ascii="宋体" w:hAnsi="宋体" w:eastAsia="宋体" w:cs="宋体"/>
          <w:sz w:val="24"/>
          <w:szCs w:val="24"/>
        </w:rPr>
      </w:pPr>
    </w:p>
    <w:p>
      <w:pPr>
        <w:spacing w:line="360" w:lineRule="auto"/>
        <w:ind w:firstLine="424" w:firstLineChars="177"/>
        <w:rPr>
          <w:rFonts w:hint="eastAsia" w:ascii="宋体" w:hAnsi="宋体" w:eastAsia="宋体" w:cs="宋体"/>
          <w:sz w:val="24"/>
          <w:szCs w:val="24"/>
        </w:rPr>
      </w:pPr>
    </w:p>
    <w:p>
      <w:pPr>
        <w:spacing w:line="360" w:lineRule="auto"/>
        <w:ind w:firstLine="424" w:firstLineChars="177"/>
        <w:rPr>
          <w:rFonts w:hint="eastAsia" w:ascii="宋体" w:hAnsi="宋体" w:eastAsia="宋体" w:cs="宋体"/>
          <w:sz w:val="24"/>
          <w:szCs w:val="24"/>
        </w:rPr>
      </w:pPr>
    </w:p>
    <w:p>
      <w:pPr>
        <w:spacing w:line="360" w:lineRule="auto"/>
        <w:ind w:firstLine="424" w:firstLineChars="177"/>
        <w:rPr>
          <w:rFonts w:hint="eastAsia" w:ascii="宋体" w:hAnsi="宋体" w:eastAsia="宋体" w:cs="宋体"/>
          <w:sz w:val="24"/>
          <w:szCs w:val="24"/>
        </w:rPr>
      </w:pPr>
    </w:p>
    <w:p>
      <w:pPr>
        <w:spacing w:line="360" w:lineRule="auto"/>
        <w:ind w:firstLine="424" w:firstLineChars="177"/>
        <w:rPr>
          <w:rFonts w:hint="eastAsia" w:ascii="宋体" w:hAnsi="宋体" w:eastAsia="宋体" w:cs="宋体"/>
          <w:sz w:val="24"/>
          <w:szCs w:val="24"/>
        </w:rPr>
      </w:pPr>
    </w:p>
    <w:p>
      <w:pPr>
        <w:spacing w:line="360" w:lineRule="auto"/>
        <w:ind w:firstLine="424" w:firstLineChars="177"/>
        <w:rPr>
          <w:rFonts w:hint="eastAsia" w:ascii="宋体" w:hAnsi="宋体" w:eastAsia="宋体" w:cs="宋体"/>
          <w:sz w:val="24"/>
          <w:szCs w:val="24"/>
        </w:rPr>
      </w:pPr>
    </w:p>
    <w:p>
      <w:pPr>
        <w:spacing w:line="360" w:lineRule="auto"/>
        <w:ind w:firstLine="424" w:firstLineChars="177"/>
        <w:rPr>
          <w:rFonts w:hint="eastAsia" w:ascii="宋体" w:hAnsi="宋体" w:eastAsia="宋体" w:cs="宋体"/>
          <w:sz w:val="24"/>
          <w:szCs w:val="24"/>
        </w:rPr>
      </w:pPr>
    </w:p>
    <w:p>
      <w:pPr>
        <w:spacing w:line="360" w:lineRule="auto"/>
        <w:ind w:firstLine="424" w:firstLineChars="177"/>
        <w:rPr>
          <w:rFonts w:hint="eastAsia" w:ascii="宋体" w:hAnsi="宋体" w:eastAsia="宋体" w:cs="宋体"/>
          <w:sz w:val="24"/>
          <w:szCs w:val="24"/>
        </w:rPr>
      </w:pPr>
    </w:p>
    <w:p>
      <w:pPr>
        <w:tabs>
          <w:tab w:val="left" w:pos="168"/>
        </w:tabs>
        <w:wordWrap w:val="0"/>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投标供应商：             （公章）</w:t>
      </w:r>
    </w:p>
    <w:p>
      <w:pPr>
        <w:tabs>
          <w:tab w:val="left" w:pos="168"/>
        </w:tabs>
        <w:wordWrap w:val="0"/>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委托代理人：                    （签字）</w:t>
      </w:r>
    </w:p>
    <w:p>
      <w:pPr>
        <w:spacing w:line="360" w:lineRule="auto"/>
        <w:ind w:firstLine="424" w:firstLineChars="177"/>
        <w:rPr>
          <w:rFonts w:hint="eastAsia" w:ascii="宋体" w:hAnsi="宋体" w:eastAsia="宋体" w:cs="宋体"/>
          <w:sz w:val="24"/>
          <w:szCs w:val="24"/>
        </w:rPr>
      </w:pPr>
      <w:r>
        <w:rPr>
          <w:rFonts w:hint="eastAsia" w:ascii="宋体" w:hAnsi="宋体" w:eastAsia="宋体" w:cs="宋体"/>
          <w:bCs/>
          <w:sz w:val="24"/>
          <w:szCs w:val="24"/>
        </w:rPr>
        <w:t xml:space="preserve">                                      日期：                  年   月   日</w:t>
      </w:r>
    </w:p>
    <w:p>
      <w:pPr>
        <w:rPr>
          <w:rFonts w:hint="eastAsia" w:ascii="宋体" w:hAnsi="宋体" w:eastAsia="宋体" w:cs="宋体"/>
          <w:b/>
          <w:sz w:val="24"/>
          <w:szCs w:val="24"/>
          <w:lang w:val="zh-CN"/>
        </w:rPr>
      </w:pPr>
    </w:p>
    <w:p>
      <w:pPr>
        <w:pStyle w:val="6"/>
        <w:numPr>
          <w:ilvl w:val="0"/>
          <w:numId w:val="0"/>
        </w:numPr>
        <w:ind w:left="709" w:hanging="709"/>
        <w:rPr>
          <w:rFonts w:hint="eastAsia" w:ascii="宋体" w:hAnsi="宋体" w:eastAsia="宋体" w:cs="宋体"/>
          <w:b/>
          <w:sz w:val="24"/>
          <w:szCs w:val="24"/>
          <w:lang w:val="zh-CN"/>
        </w:rPr>
      </w:pPr>
      <w:r>
        <w:rPr>
          <w:rFonts w:hint="eastAsia" w:ascii="宋体" w:hAnsi="宋体" w:eastAsia="宋体" w:cs="宋体"/>
          <w:bCs/>
          <w:sz w:val="24"/>
          <w:szCs w:val="24"/>
        </w:rPr>
        <w:br w:type="page"/>
      </w:r>
      <w:bookmarkStart w:id="103" w:name="_Toc8816"/>
      <w:r>
        <w:rPr>
          <w:rFonts w:hint="eastAsia" w:ascii="宋体" w:hAnsi="宋体" w:eastAsia="宋体" w:cs="宋体"/>
          <w:b/>
          <w:sz w:val="24"/>
          <w:szCs w:val="24"/>
          <w:lang w:val="zh-CN"/>
        </w:rPr>
        <w:t>格式10、评分对照表</w:t>
      </w:r>
      <w:bookmarkEnd w:id="103"/>
    </w:p>
    <w:p>
      <w:pPr>
        <w:spacing w:line="360" w:lineRule="auto"/>
        <w:rPr>
          <w:rFonts w:hint="eastAsia" w:ascii="宋体" w:hAnsi="宋体" w:eastAsia="宋体" w:cs="宋体"/>
          <w:bCs/>
          <w:sz w:val="24"/>
          <w:szCs w:val="24"/>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评分对照表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6"/>
        <w:gridCol w:w="2849"/>
        <w:gridCol w:w="2567"/>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5" w:type="pct"/>
            <w:vAlign w:val="center"/>
          </w:tcPr>
          <w:p>
            <w:pPr>
              <w:pStyle w:val="5"/>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59" w:type="pct"/>
            <w:vAlign w:val="center"/>
          </w:tcPr>
          <w:p>
            <w:pPr>
              <w:pStyle w:val="5"/>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磋商文件评分标准</w:t>
            </w:r>
          </w:p>
        </w:tc>
        <w:tc>
          <w:tcPr>
            <w:tcW w:w="1315" w:type="pct"/>
            <w:vAlign w:val="center"/>
          </w:tcPr>
          <w:p>
            <w:pPr>
              <w:pStyle w:val="5"/>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磋商响应部分</w:t>
            </w:r>
          </w:p>
        </w:tc>
        <w:tc>
          <w:tcPr>
            <w:tcW w:w="1721" w:type="pct"/>
            <w:vAlign w:val="center"/>
          </w:tcPr>
          <w:p>
            <w:pPr>
              <w:pStyle w:val="5"/>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磋商响应文件中对应页码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5" w:type="pct"/>
            <w:vAlign w:val="center"/>
          </w:tcPr>
          <w:p>
            <w:pPr>
              <w:pStyle w:val="5"/>
              <w:spacing w:line="360" w:lineRule="auto"/>
              <w:jc w:val="center"/>
              <w:rPr>
                <w:rFonts w:hint="eastAsia" w:ascii="宋体" w:hAnsi="宋体" w:eastAsia="宋体" w:cs="宋体"/>
                <w:sz w:val="24"/>
                <w:szCs w:val="24"/>
              </w:rPr>
            </w:pPr>
          </w:p>
        </w:tc>
        <w:tc>
          <w:tcPr>
            <w:tcW w:w="1459" w:type="pct"/>
            <w:vAlign w:val="center"/>
          </w:tcPr>
          <w:p>
            <w:pPr>
              <w:pStyle w:val="5"/>
              <w:spacing w:line="360" w:lineRule="auto"/>
              <w:jc w:val="center"/>
              <w:rPr>
                <w:rFonts w:hint="eastAsia" w:ascii="宋体" w:hAnsi="宋体" w:eastAsia="宋体" w:cs="宋体"/>
                <w:sz w:val="24"/>
                <w:szCs w:val="24"/>
              </w:rPr>
            </w:pPr>
          </w:p>
        </w:tc>
        <w:tc>
          <w:tcPr>
            <w:tcW w:w="1315" w:type="pct"/>
            <w:vAlign w:val="center"/>
          </w:tcPr>
          <w:p>
            <w:pPr>
              <w:pStyle w:val="5"/>
              <w:spacing w:line="360" w:lineRule="auto"/>
              <w:jc w:val="center"/>
              <w:rPr>
                <w:rFonts w:hint="eastAsia" w:ascii="宋体" w:hAnsi="宋体" w:eastAsia="宋体" w:cs="宋体"/>
                <w:sz w:val="24"/>
                <w:szCs w:val="24"/>
              </w:rPr>
            </w:pPr>
          </w:p>
        </w:tc>
        <w:tc>
          <w:tcPr>
            <w:tcW w:w="1721" w:type="pct"/>
            <w:vAlign w:val="center"/>
          </w:tcPr>
          <w:p>
            <w:pPr>
              <w:pStyle w:val="5"/>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5" w:type="pct"/>
            <w:vAlign w:val="center"/>
          </w:tcPr>
          <w:p>
            <w:pPr>
              <w:pStyle w:val="5"/>
              <w:spacing w:line="360" w:lineRule="auto"/>
              <w:jc w:val="center"/>
              <w:rPr>
                <w:rFonts w:hint="eastAsia" w:ascii="宋体" w:hAnsi="宋体" w:eastAsia="宋体" w:cs="宋体"/>
                <w:sz w:val="24"/>
                <w:szCs w:val="24"/>
              </w:rPr>
            </w:pPr>
          </w:p>
        </w:tc>
        <w:tc>
          <w:tcPr>
            <w:tcW w:w="1459" w:type="pct"/>
            <w:vAlign w:val="center"/>
          </w:tcPr>
          <w:p>
            <w:pPr>
              <w:pStyle w:val="5"/>
              <w:spacing w:line="360" w:lineRule="auto"/>
              <w:jc w:val="center"/>
              <w:rPr>
                <w:rFonts w:hint="eastAsia" w:ascii="宋体" w:hAnsi="宋体" w:eastAsia="宋体" w:cs="宋体"/>
                <w:sz w:val="24"/>
                <w:szCs w:val="24"/>
              </w:rPr>
            </w:pPr>
          </w:p>
        </w:tc>
        <w:tc>
          <w:tcPr>
            <w:tcW w:w="1315" w:type="pct"/>
            <w:vAlign w:val="center"/>
          </w:tcPr>
          <w:p>
            <w:pPr>
              <w:pStyle w:val="5"/>
              <w:spacing w:line="360" w:lineRule="auto"/>
              <w:jc w:val="center"/>
              <w:rPr>
                <w:rFonts w:hint="eastAsia" w:ascii="宋体" w:hAnsi="宋体" w:eastAsia="宋体" w:cs="宋体"/>
                <w:sz w:val="24"/>
                <w:szCs w:val="24"/>
              </w:rPr>
            </w:pPr>
          </w:p>
        </w:tc>
        <w:tc>
          <w:tcPr>
            <w:tcW w:w="1721" w:type="pct"/>
            <w:vAlign w:val="center"/>
          </w:tcPr>
          <w:p>
            <w:pPr>
              <w:pStyle w:val="5"/>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5" w:type="pct"/>
            <w:vAlign w:val="center"/>
          </w:tcPr>
          <w:p>
            <w:pPr>
              <w:pStyle w:val="5"/>
              <w:spacing w:line="360" w:lineRule="auto"/>
              <w:jc w:val="center"/>
              <w:rPr>
                <w:rFonts w:hint="eastAsia" w:ascii="宋体" w:hAnsi="宋体" w:eastAsia="宋体" w:cs="宋体"/>
                <w:sz w:val="24"/>
                <w:szCs w:val="24"/>
              </w:rPr>
            </w:pPr>
          </w:p>
        </w:tc>
        <w:tc>
          <w:tcPr>
            <w:tcW w:w="1459" w:type="pct"/>
            <w:vAlign w:val="center"/>
          </w:tcPr>
          <w:p>
            <w:pPr>
              <w:pStyle w:val="5"/>
              <w:spacing w:line="360" w:lineRule="auto"/>
              <w:jc w:val="center"/>
              <w:rPr>
                <w:rFonts w:hint="eastAsia" w:ascii="宋体" w:hAnsi="宋体" w:eastAsia="宋体" w:cs="宋体"/>
                <w:sz w:val="24"/>
                <w:szCs w:val="24"/>
              </w:rPr>
            </w:pPr>
          </w:p>
        </w:tc>
        <w:tc>
          <w:tcPr>
            <w:tcW w:w="1315" w:type="pct"/>
            <w:vAlign w:val="center"/>
          </w:tcPr>
          <w:p>
            <w:pPr>
              <w:pStyle w:val="5"/>
              <w:spacing w:line="360" w:lineRule="auto"/>
              <w:jc w:val="center"/>
              <w:rPr>
                <w:rFonts w:hint="eastAsia" w:ascii="宋体" w:hAnsi="宋体" w:eastAsia="宋体" w:cs="宋体"/>
                <w:sz w:val="24"/>
                <w:szCs w:val="24"/>
              </w:rPr>
            </w:pPr>
          </w:p>
        </w:tc>
        <w:tc>
          <w:tcPr>
            <w:tcW w:w="1721" w:type="pct"/>
            <w:vAlign w:val="center"/>
          </w:tcPr>
          <w:p>
            <w:pPr>
              <w:pStyle w:val="5"/>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5" w:type="pct"/>
            <w:vAlign w:val="center"/>
          </w:tcPr>
          <w:p>
            <w:pPr>
              <w:pStyle w:val="5"/>
              <w:spacing w:line="360" w:lineRule="auto"/>
              <w:jc w:val="center"/>
              <w:rPr>
                <w:rFonts w:hint="eastAsia" w:ascii="宋体" w:hAnsi="宋体" w:eastAsia="宋体" w:cs="宋体"/>
                <w:sz w:val="24"/>
                <w:szCs w:val="24"/>
              </w:rPr>
            </w:pPr>
          </w:p>
        </w:tc>
        <w:tc>
          <w:tcPr>
            <w:tcW w:w="1459" w:type="pct"/>
            <w:vAlign w:val="center"/>
          </w:tcPr>
          <w:p>
            <w:pPr>
              <w:pStyle w:val="5"/>
              <w:spacing w:line="360" w:lineRule="auto"/>
              <w:jc w:val="center"/>
              <w:rPr>
                <w:rFonts w:hint="eastAsia" w:ascii="宋体" w:hAnsi="宋体" w:eastAsia="宋体" w:cs="宋体"/>
                <w:sz w:val="24"/>
                <w:szCs w:val="24"/>
              </w:rPr>
            </w:pPr>
          </w:p>
        </w:tc>
        <w:tc>
          <w:tcPr>
            <w:tcW w:w="1315" w:type="pct"/>
            <w:vAlign w:val="center"/>
          </w:tcPr>
          <w:p>
            <w:pPr>
              <w:pStyle w:val="5"/>
              <w:spacing w:line="360" w:lineRule="auto"/>
              <w:jc w:val="center"/>
              <w:rPr>
                <w:rFonts w:hint="eastAsia" w:ascii="宋体" w:hAnsi="宋体" w:eastAsia="宋体" w:cs="宋体"/>
                <w:sz w:val="24"/>
                <w:szCs w:val="24"/>
              </w:rPr>
            </w:pPr>
          </w:p>
        </w:tc>
        <w:tc>
          <w:tcPr>
            <w:tcW w:w="1721" w:type="pct"/>
            <w:vAlign w:val="center"/>
          </w:tcPr>
          <w:p>
            <w:pPr>
              <w:pStyle w:val="5"/>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5" w:type="pct"/>
            <w:vAlign w:val="center"/>
          </w:tcPr>
          <w:p>
            <w:pPr>
              <w:pStyle w:val="5"/>
              <w:spacing w:line="360" w:lineRule="auto"/>
              <w:jc w:val="center"/>
              <w:rPr>
                <w:rFonts w:hint="eastAsia" w:ascii="宋体" w:hAnsi="宋体" w:eastAsia="宋体" w:cs="宋体"/>
                <w:sz w:val="24"/>
                <w:szCs w:val="24"/>
              </w:rPr>
            </w:pPr>
          </w:p>
        </w:tc>
        <w:tc>
          <w:tcPr>
            <w:tcW w:w="1459" w:type="pct"/>
            <w:vAlign w:val="center"/>
          </w:tcPr>
          <w:p>
            <w:pPr>
              <w:pStyle w:val="5"/>
              <w:spacing w:line="360" w:lineRule="auto"/>
              <w:jc w:val="center"/>
              <w:rPr>
                <w:rFonts w:hint="eastAsia" w:ascii="宋体" w:hAnsi="宋体" w:eastAsia="宋体" w:cs="宋体"/>
                <w:sz w:val="24"/>
                <w:szCs w:val="24"/>
              </w:rPr>
            </w:pPr>
          </w:p>
        </w:tc>
        <w:tc>
          <w:tcPr>
            <w:tcW w:w="1315" w:type="pct"/>
            <w:vAlign w:val="center"/>
          </w:tcPr>
          <w:p>
            <w:pPr>
              <w:pStyle w:val="5"/>
              <w:spacing w:line="360" w:lineRule="auto"/>
              <w:jc w:val="center"/>
              <w:rPr>
                <w:rFonts w:hint="eastAsia" w:ascii="宋体" w:hAnsi="宋体" w:eastAsia="宋体" w:cs="宋体"/>
                <w:sz w:val="24"/>
                <w:szCs w:val="24"/>
              </w:rPr>
            </w:pPr>
          </w:p>
        </w:tc>
        <w:tc>
          <w:tcPr>
            <w:tcW w:w="1721" w:type="pct"/>
            <w:vAlign w:val="center"/>
          </w:tcPr>
          <w:p>
            <w:pPr>
              <w:pStyle w:val="5"/>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5" w:type="pct"/>
            <w:vAlign w:val="center"/>
          </w:tcPr>
          <w:p>
            <w:pPr>
              <w:pStyle w:val="5"/>
              <w:spacing w:line="360" w:lineRule="auto"/>
              <w:jc w:val="center"/>
              <w:rPr>
                <w:rFonts w:hint="eastAsia" w:ascii="宋体" w:hAnsi="宋体" w:eastAsia="宋体" w:cs="宋体"/>
                <w:sz w:val="24"/>
                <w:szCs w:val="24"/>
              </w:rPr>
            </w:pPr>
          </w:p>
        </w:tc>
        <w:tc>
          <w:tcPr>
            <w:tcW w:w="1459" w:type="pct"/>
            <w:vAlign w:val="center"/>
          </w:tcPr>
          <w:p>
            <w:pPr>
              <w:pStyle w:val="5"/>
              <w:spacing w:line="360" w:lineRule="auto"/>
              <w:jc w:val="center"/>
              <w:rPr>
                <w:rFonts w:hint="eastAsia" w:ascii="宋体" w:hAnsi="宋体" w:eastAsia="宋体" w:cs="宋体"/>
                <w:sz w:val="24"/>
                <w:szCs w:val="24"/>
              </w:rPr>
            </w:pPr>
          </w:p>
        </w:tc>
        <w:tc>
          <w:tcPr>
            <w:tcW w:w="1315" w:type="pct"/>
            <w:vAlign w:val="center"/>
          </w:tcPr>
          <w:p>
            <w:pPr>
              <w:pStyle w:val="5"/>
              <w:spacing w:line="360" w:lineRule="auto"/>
              <w:jc w:val="center"/>
              <w:rPr>
                <w:rFonts w:hint="eastAsia" w:ascii="宋体" w:hAnsi="宋体" w:eastAsia="宋体" w:cs="宋体"/>
                <w:sz w:val="24"/>
                <w:szCs w:val="24"/>
              </w:rPr>
            </w:pPr>
          </w:p>
        </w:tc>
        <w:tc>
          <w:tcPr>
            <w:tcW w:w="1721" w:type="pct"/>
            <w:vAlign w:val="center"/>
          </w:tcPr>
          <w:p>
            <w:pPr>
              <w:pStyle w:val="5"/>
              <w:spacing w:line="360" w:lineRule="auto"/>
              <w:jc w:val="center"/>
              <w:rPr>
                <w:rFonts w:hint="eastAsia" w:ascii="宋体" w:hAnsi="宋体" w:eastAsia="宋体" w:cs="宋体"/>
                <w:sz w:val="24"/>
                <w:szCs w:val="24"/>
              </w:rPr>
            </w:pPr>
          </w:p>
        </w:tc>
      </w:tr>
    </w:tbl>
    <w:p>
      <w:pPr>
        <w:spacing w:line="360" w:lineRule="auto"/>
        <w:jc w:val="center"/>
        <w:rPr>
          <w:rFonts w:hint="eastAsia" w:ascii="宋体" w:hAnsi="宋体" w:eastAsia="宋体" w:cs="宋体"/>
          <w:bCs/>
          <w:sz w:val="24"/>
          <w:szCs w:val="24"/>
        </w:rPr>
      </w:pPr>
    </w:p>
    <w:p>
      <w:pPr>
        <w:pStyle w:val="6"/>
        <w:numPr>
          <w:ilvl w:val="0"/>
          <w:numId w:val="0"/>
        </w:numPr>
        <w:ind w:left="709" w:hanging="709"/>
        <w:rPr>
          <w:rFonts w:hint="eastAsia" w:ascii="宋体" w:hAnsi="宋体" w:eastAsia="宋体" w:cs="宋体"/>
          <w:sz w:val="24"/>
          <w:szCs w:val="24"/>
          <w:lang w:val="zh-CN"/>
        </w:rPr>
      </w:pPr>
      <w:r>
        <w:rPr>
          <w:rFonts w:hint="eastAsia" w:ascii="宋体" w:hAnsi="宋体" w:eastAsia="宋体" w:cs="宋体"/>
          <w:bCs/>
          <w:sz w:val="24"/>
          <w:szCs w:val="24"/>
        </w:rPr>
        <w:br w:type="page"/>
      </w:r>
      <w:bookmarkStart w:id="104" w:name="_Toc26606"/>
      <w:r>
        <w:rPr>
          <w:rFonts w:hint="eastAsia" w:ascii="宋体" w:hAnsi="宋体" w:eastAsia="宋体" w:cs="宋体"/>
          <w:b/>
          <w:sz w:val="24"/>
          <w:szCs w:val="24"/>
          <w:lang w:val="zh-CN"/>
        </w:rPr>
        <w:t>格式11、</w:t>
      </w:r>
      <w:bookmarkStart w:id="105" w:name="_Toc487036155"/>
      <w:r>
        <w:rPr>
          <w:rFonts w:hint="eastAsia" w:ascii="宋体" w:hAnsi="宋体" w:eastAsia="宋体" w:cs="宋体"/>
          <w:b/>
          <w:sz w:val="24"/>
          <w:szCs w:val="24"/>
        </w:rPr>
        <w:t>竞争性磋商首次报价表</w:t>
      </w:r>
      <w:bookmarkEnd w:id="104"/>
      <w:bookmarkEnd w:id="105"/>
    </w:p>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竞争性磋商首次报价表</w:t>
      </w:r>
    </w:p>
    <w:p>
      <w:pPr>
        <w:autoSpaceDE w:val="0"/>
        <w:autoSpaceDN w:val="0"/>
        <w:adjustRightInd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采购项目名称:  </w:t>
      </w:r>
    </w:p>
    <w:p>
      <w:pPr>
        <w:autoSpaceDE w:val="0"/>
        <w:autoSpaceDN w:val="0"/>
        <w:adjustRightInd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采购项目编号：</w:t>
      </w:r>
    </w:p>
    <w:p>
      <w:pPr>
        <w:pStyle w:val="2"/>
        <w:spacing w:line="360" w:lineRule="auto"/>
        <w:rPr>
          <w:rFonts w:hint="eastAsia" w:eastAsia="宋体"/>
          <w:lang w:val="en-US" w:eastAsia="zh-CN"/>
        </w:rPr>
      </w:pPr>
      <w:r>
        <w:rPr>
          <w:rFonts w:hint="eastAsia" w:ascii="宋体" w:hAnsi="宋体" w:cs="宋体"/>
          <w:b/>
          <w:bCs/>
          <w:kern w:val="0"/>
          <w:sz w:val="24"/>
          <w:szCs w:val="24"/>
          <w:lang w:val="en-US" w:eastAsia="zh-CN"/>
        </w:rPr>
        <w:t>标段号：</w:t>
      </w:r>
    </w:p>
    <w:p>
      <w:pPr>
        <w:autoSpaceDE w:val="0"/>
        <w:autoSpaceDN w:val="0"/>
        <w:spacing w:line="360" w:lineRule="auto"/>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磋商供应商名称：</w:t>
      </w:r>
    </w:p>
    <w:p>
      <w:pPr>
        <w:autoSpaceDE w:val="0"/>
        <w:autoSpaceDN w:val="0"/>
        <w:spacing w:line="360" w:lineRule="auto"/>
        <w:jc w:val="righ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单位：人民币（元）</w:t>
      </w:r>
    </w:p>
    <w:tbl>
      <w:tblPr>
        <w:tblStyle w:val="31"/>
        <w:tblW w:w="5000" w:type="pct"/>
        <w:jc w:val="center"/>
        <w:tblLayout w:type="autofit"/>
        <w:tblCellMar>
          <w:top w:w="0" w:type="dxa"/>
          <w:left w:w="108" w:type="dxa"/>
          <w:bottom w:w="0" w:type="dxa"/>
          <w:right w:w="108" w:type="dxa"/>
        </w:tblCellMar>
      </w:tblPr>
      <w:tblGrid>
        <w:gridCol w:w="2915"/>
        <w:gridCol w:w="3305"/>
        <w:gridCol w:w="2434"/>
        <w:gridCol w:w="1314"/>
      </w:tblGrid>
      <w:tr>
        <w:tblPrEx>
          <w:tblCellMar>
            <w:top w:w="0" w:type="dxa"/>
            <w:left w:w="108" w:type="dxa"/>
            <w:bottom w:w="0" w:type="dxa"/>
            <w:right w:w="108" w:type="dxa"/>
          </w:tblCellMar>
        </w:tblPrEx>
        <w:trPr>
          <w:trHeight w:val="699" w:hRule="atLeast"/>
          <w:jc w:val="center"/>
        </w:trPr>
        <w:tc>
          <w:tcPr>
            <w:tcW w:w="1462"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项目名称</w:t>
            </w:r>
          </w:p>
        </w:tc>
        <w:tc>
          <w:tcPr>
            <w:tcW w:w="1658"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磋商首次报价</w:t>
            </w:r>
          </w:p>
        </w:tc>
        <w:tc>
          <w:tcPr>
            <w:tcW w:w="1221" w:type="pct"/>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jc w:val="center"/>
              <w:rPr>
                <w:rFonts w:hint="eastAsia" w:ascii="宋体" w:hAnsi="宋体" w:eastAsia="宋体" w:cs="宋体"/>
                <w:bCs/>
                <w:sz w:val="24"/>
                <w:szCs w:val="24"/>
                <w:lang w:val="zh-CN"/>
              </w:rPr>
            </w:pPr>
            <w:r>
              <w:rPr>
                <w:rFonts w:hint="eastAsia" w:ascii="宋体" w:hAnsi="宋体" w:cs="宋体"/>
                <w:bCs/>
                <w:sz w:val="24"/>
                <w:szCs w:val="24"/>
                <w:lang w:val="zh-CN"/>
              </w:rPr>
              <w:t>交货及安装期</w:t>
            </w:r>
          </w:p>
        </w:tc>
        <w:tc>
          <w:tcPr>
            <w:tcW w:w="659"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备注</w:t>
            </w:r>
          </w:p>
        </w:tc>
      </w:tr>
      <w:tr>
        <w:tblPrEx>
          <w:tblCellMar>
            <w:top w:w="0" w:type="dxa"/>
            <w:left w:w="108" w:type="dxa"/>
            <w:bottom w:w="0" w:type="dxa"/>
            <w:right w:w="108" w:type="dxa"/>
          </w:tblCellMar>
        </w:tblPrEx>
        <w:trPr>
          <w:trHeight w:val="993" w:hRule="atLeast"/>
          <w:jc w:val="center"/>
        </w:trPr>
        <w:tc>
          <w:tcPr>
            <w:tcW w:w="1462" w:type="pct"/>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rPr>
                <w:rFonts w:hint="eastAsia" w:ascii="宋体" w:hAnsi="宋体" w:eastAsia="宋体" w:cs="宋体"/>
                <w:bCs/>
                <w:sz w:val="24"/>
                <w:szCs w:val="24"/>
                <w:lang w:val="zh-CN"/>
              </w:rPr>
            </w:pPr>
          </w:p>
        </w:tc>
        <w:tc>
          <w:tcPr>
            <w:tcW w:w="1658"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大写：</w:t>
            </w:r>
          </w:p>
        </w:tc>
        <w:tc>
          <w:tcPr>
            <w:tcW w:w="1221" w:type="pct"/>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rPr>
                <w:rFonts w:hint="eastAsia" w:ascii="宋体" w:hAnsi="宋体" w:eastAsia="宋体" w:cs="宋体"/>
                <w:bCs/>
                <w:sz w:val="24"/>
                <w:szCs w:val="24"/>
                <w:lang w:val="zh-CN"/>
              </w:rPr>
            </w:pPr>
          </w:p>
        </w:tc>
        <w:tc>
          <w:tcPr>
            <w:tcW w:w="659" w:type="pct"/>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hint="eastAsia" w:ascii="宋体" w:hAnsi="宋体" w:eastAsia="宋体" w:cs="宋体"/>
                <w:bCs/>
                <w:sz w:val="24"/>
                <w:szCs w:val="24"/>
                <w:lang w:val="zh-CN"/>
              </w:rPr>
            </w:pPr>
          </w:p>
        </w:tc>
      </w:tr>
      <w:tr>
        <w:tblPrEx>
          <w:tblCellMar>
            <w:top w:w="0" w:type="dxa"/>
            <w:left w:w="108" w:type="dxa"/>
            <w:bottom w:w="0" w:type="dxa"/>
            <w:right w:w="108" w:type="dxa"/>
          </w:tblCellMar>
        </w:tblPrEx>
        <w:trPr>
          <w:trHeight w:val="845" w:hRule="atLeast"/>
          <w:jc w:val="center"/>
        </w:trPr>
        <w:tc>
          <w:tcPr>
            <w:tcW w:w="1462" w:type="pct"/>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hint="eastAsia" w:ascii="宋体" w:hAnsi="宋体" w:eastAsia="宋体" w:cs="宋体"/>
                <w:b/>
                <w:bCs/>
                <w:sz w:val="24"/>
                <w:szCs w:val="24"/>
                <w:lang w:val="zh-CN"/>
              </w:rPr>
            </w:pPr>
          </w:p>
        </w:tc>
        <w:tc>
          <w:tcPr>
            <w:tcW w:w="1658"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hint="eastAsia" w:ascii="宋体" w:hAnsi="宋体" w:eastAsia="宋体" w:cs="宋体"/>
                <w:b/>
                <w:bCs/>
                <w:sz w:val="24"/>
                <w:szCs w:val="24"/>
                <w:lang w:val="zh-CN"/>
              </w:rPr>
            </w:pPr>
            <w:r>
              <w:rPr>
                <w:rFonts w:hint="eastAsia" w:ascii="宋体" w:hAnsi="宋体" w:eastAsia="宋体" w:cs="宋体"/>
                <w:bCs/>
                <w:sz w:val="24"/>
                <w:szCs w:val="24"/>
                <w:lang w:val="zh-CN"/>
              </w:rPr>
              <w:t>小写：</w:t>
            </w:r>
          </w:p>
        </w:tc>
        <w:tc>
          <w:tcPr>
            <w:tcW w:w="1221" w:type="pct"/>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rPr>
                <w:rFonts w:hint="eastAsia" w:ascii="宋体" w:hAnsi="宋体" w:eastAsia="宋体" w:cs="宋体"/>
                <w:b/>
                <w:bCs/>
                <w:sz w:val="24"/>
                <w:szCs w:val="24"/>
                <w:lang w:val="zh-CN"/>
              </w:rPr>
            </w:pPr>
          </w:p>
        </w:tc>
        <w:tc>
          <w:tcPr>
            <w:tcW w:w="659" w:type="pct"/>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hint="eastAsia" w:ascii="宋体" w:hAnsi="宋体" w:eastAsia="宋体" w:cs="宋体"/>
                <w:b/>
                <w:bCs/>
                <w:sz w:val="24"/>
                <w:szCs w:val="24"/>
                <w:lang w:val="zh-CN"/>
              </w:rPr>
            </w:pPr>
          </w:p>
        </w:tc>
      </w:tr>
    </w:tbl>
    <w:p>
      <w:pPr>
        <w:autoSpaceDE w:val="0"/>
        <w:autoSpaceDN w:val="0"/>
        <w:spacing w:line="360" w:lineRule="auto"/>
        <w:rPr>
          <w:rFonts w:hint="eastAsia" w:ascii="宋体" w:hAnsi="宋体" w:eastAsia="宋体" w:cs="宋体"/>
          <w:b/>
          <w:sz w:val="24"/>
          <w:szCs w:val="24"/>
          <w:lang w:val="zh-CN"/>
        </w:rPr>
      </w:pPr>
      <w:r>
        <w:rPr>
          <w:rFonts w:hint="eastAsia" w:ascii="宋体" w:hAnsi="宋体" w:eastAsia="宋体" w:cs="宋体"/>
          <w:b/>
          <w:bCs/>
          <w:sz w:val="24"/>
          <w:szCs w:val="24"/>
          <w:lang w:val="zh-CN"/>
        </w:rPr>
        <w:t>注：</w:t>
      </w:r>
      <w:r>
        <w:rPr>
          <w:rFonts w:hint="eastAsia" w:ascii="宋体" w:hAnsi="宋体" w:eastAsia="宋体" w:cs="宋体"/>
          <w:b/>
          <w:sz w:val="24"/>
          <w:szCs w:val="24"/>
          <w:lang w:val="zh-CN"/>
        </w:rPr>
        <w:t>1、填写此表时不得改变表格形式（可按所投包增加行）。</w:t>
      </w:r>
    </w:p>
    <w:p>
      <w:pPr>
        <w:spacing w:line="360" w:lineRule="auto"/>
        <w:ind w:firstLine="465" w:firstLineChars="193"/>
        <w:rPr>
          <w:rFonts w:hint="eastAsia" w:ascii="宋体" w:hAnsi="宋体" w:eastAsia="宋体" w:cs="宋体"/>
          <w:b/>
          <w:sz w:val="24"/>
          <w:szCs w:val="24"/>
          <w:lang w:val="zh-CN"/>
        </w:rPr>
      </w:pPr>
      <w:r>
        <w:rPr>
          <w:rFonts w:hint="eastAsia" w:ascii="宋体" w:hAnsi="宋体" w:eastAsia="宋体" w:cs="宋体"/>
          <w:b/>
          <w:sz w:val="24"/>
          <w:szCs w:val="24"/>
          <w:lang w:val="zh-CN"/>
        </w:rPr>
        <w:t>2、“磋商报价”为磋商总价。磋商报价必须包括：产品费、验收费、手续费、包装费、运输费、保险费、培训费、售前、售中、售后服务费、招标代理费、税金及不可预见费等全部费用。</w:t>
      </w:r>
    </w:p>
    <w:p>
      <w:pPr>
        <w:spacing w:line="360" w:lineRule="auto"/>
        <w:ind w:firstLine="465" w:firstLineChars="193"/>
        <w:rPr>
          <w:rFonts w:hint="eastAsia"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cs="宋体"/>
          <w:b/>
          <w:sz w:val="24"/>
          <w:szCs w:val="24"/>
          <w:lang w:val="zh-CN"/>
        </w:rPr>
        <w:t>交货及安装期</w:t>
      </w:r>
      <w:r>
        <w:rPr>
          <w:rFonts w:hint="eastAsia" w:ascii="宋体" w:hAnsi="宋体" w:eastAsia="宋体" w:cs="宋体"/>
          <w:b/>
          <w:sz w:val="24"/>
          <w:szCs w:val="24"/>
          <w:lang w:val="zh-CN"/>
        </w:rPr>
        <w:t>”是指产品能够交付使用的具体时间。</w:t>
      </w:r>
    </w:p>
    <w:p>
      <w:pPr>
        <w:spacing w:line="360" w:lineRule="auto"/>
        <w:ind w:firstLine="465" w:firstLineChars="193"/>
        <w:rPr>
          <w:rFonts w:hint="eastAsia" w:ascii="宋体" w:hAnsi="宋体" w:eastAsia="宋体" w:cs="宋体"/>
          <w:b/>
          <w:sz w:val="24"/>
          <w:szCs w:val="24"/>
          <w:lang w:val="zh-CN"/>
        </w:rPr>
      </w:pPr>
      <w:r>
        <w:rPr>
          <w:rFonts w:hint="eastAsia" w:ascii="宋体" w:hAnsi="宋体" w:eastAsia="宋体" w:cs="宋体"/>
          <w:b/>
          <w:sz w:val="24"/>
          <w:szCs w:val="24"/>
          <w:lang w:val="zh-CN"/>
        </w:rPr>
        <w:t>4、除在标书中编制此表以外，磋商供应商应单独密封一份“竞争性磋商首次报价表”，并标明“磋商首次报价表”字样。“磋商首次报价表”和磋商响应文件正本中的“竞争性磋商首次报价表”应完全一致。</w:t>
      </w:r>
    </w:p>
    <w:p>
      <w:pPr>
        <w:spacing w:line="360" w:lineRule="auto"/>
        <w:ind w:firstLine="465" w:firstLineChars="193"/>
        <w:rPr>
          <w:rFonts w:hint="eastAsia" w:ascii="宋体" w:hAnsi="宋体" w:eastAsia="宋体" w:cs="宋体"/>
          <w:b/>
          <w:sz w:val="24"/>
          <w:szCs w:val="24"/>
          <w:lang w:val="zh-CN"/>
        </w:rPr>
      </w:pPr>
      <w:r>
        <w:rPr>
          <w:rFonts w:hint="eastAsia" w:ascii="宋体" w:hAnsi="宋体" w:eastAsia="宋体" w:cs="宋体"/>
          <w:b/>
          <w:sz w:val="24"/>
          <w:szCs w:val="24"/>
          <w:lang w:val="zh-CN"/>
        </w:rPr>
        <w:t>5、磋商报价不能有两个或两个以上的报价方案。</w:t>
      </w:r>
    </w:p>
    <w:p>
      <w:pPr>
        <w:spacing w:line="360" w:lineRule="auto"/>
        <w:ind w:firstLine="465" w:firstLineChars="193"/>
        <w:rPr>
          <w:rFonts w:hint="eastAsia" w:ascii="宋体" w:hAnsi="宋体" w:eastAsia="宋体" w:cs="宋体"/>
          <w:b/>
          <w:sz w:val="24"/>
          <w:szCs w:val="24"/>
          <w:lang w:val="zh-CN"/>
        </w:rPr>
      </w:pPr>
    </w:p>
    <w:p>
      <w:pPr>
        <w:spacing w:line="360" w:lineRule="auto"/>
        <w:ind w:firstLine="465" w:firstLineChars="193"/>
        <w:rPr>
          <w:rFonts w:hint="eastAsia" w:ascii="宋体" w:hAnsi="宋体" w:eastAsia="宋体" w:cs="宋体"/>
          <w:b/>
          <w:sz w:val="24"/>
          <w:szCs w:val="24"/>
          <w:lang w:val="zh-CN"/>
        </w:rPr>
      </w:pPr>
    </w:p>
    <w:p>
      <w:pPr>
        <w:spacing w:line="360" w:lineRule="auto"/>
        <w:ind w:firstLine="465" w:firstLineChars="193"/>
        <w:rPr>
          <w:rFonts w:hint="eastAsia" w:ascii="宋体" w:hAnsi="宋体" w:eastAsia="宋体" w:cs="宋体"/>
          <w:b/>
          <w:sz w:val="24"/>
          <w:szCs w:val="24"/>
          <w:lang w:val="zh-CN"/>
        </w:rPr>
      </w:pPr>
    </w:p>
    <w:p>
      <w:pPr>
        <w:spacing w:line="360" w:lineRule="auto"/>
        <w:ind w:firstLine="465" w:firstLineChars="193"/>
        <w:rPr>
          <w:rFonts w:hint="eastAsia" w:ascii="宋体" w:hAnsi="宋体" w:eastAsia="宋体" w:cs="宋体"/>
          <w:b/>
          <w:bCs/>
          <w:kern w:val="0"/>
          <w:sz w:val="24"/>
          <w:szCs w:val="24"/>
          <w:lang w:val="zh-CN"/>
        </w:rPr>
      </w:pP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磋商供应商：             （公章）</w:t>
      </w: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法定代表人或委托代理人：                （签字）</w:t>
      </w: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日期：    年   月   日</w:t>
      </w:r>
    </w:p>
    <w:p>
      <w:pPr>
        <w:pStyle w:val="6"/>
        <w:numPr>
          <w:ilvl w:val="0"/>
          <w:numId w:val="0"/>
        </w:numPr>
        <w:ind w:left="709" w:hanging="709"/>
        <w:rPr>
          <w:rFonts w:hint="eastAsia" w:ascii="宋体" w:hAnsi="宋体" w:eastAsia="宋体" w:cs="宋体"/>
          <w:sz w:val="24"/>
          <w:szCs w:val="24"/>
          <w:lang w:val="zh-CN"/>
        </w:rPr>
      </w:pPr>
      <w:r>
        <w:rPr>
          <w:rFonts w:hint="eastAsia" w:ascii="宋体" w:hAnsi="宋体" w:eastAsia="宋体" w:cs="宋体"/>
          <w:bCs/>
          <w:sz w:val="24"/>
          <w:szCs w:val="24"/>
        </w:rPr>
        <w:br w:type="page"/>
      </w:r>
      <w:bookmarkStart w:id="106" w:name="_Toc20932"/>
      <w:r>
        <w:rPr>
          <w:rFonts w:hint="eastAsia" w:ascii="宋体" w:hAnsi="宋体" w:eastAsia="宋体" w:cs="宋体"/>
          <w:b/>
          <w:sz w:val="24"/>
          <w:szCs w:val="24"/>
          <w:lang w:val="zh-CN"/>
        </w:rPr>
        <w:t>格式12、分项报价表</w:t>
      </w:r>
      <w:bookmarkEnd w:id="106"/>
    </w:p>
    <w:p>
      <w:pPr>
        <w:autoSpaceDE w:val="0"/>
        <w:autoSpaceDN w:val="0"/>
        <w:adjustRightInd w:val="0"/>
        <w:spacing w:line="360" w:lineRule="auto"/>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分项报价表</w:t>
      </w:r>
    </w:p>
    <w:p>
      <w:pPr>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采购项目名称:  </w:t>
      </w:r>
    </w:p>
    <w:p>
      <w:pPr>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采购项目编号：</w:t>
      </w:r>
    </w:p>
    <w:p>
      <w:pPr>
        <w:spacing w:line="360" w:lineRule="auto"/>
        <w:jc w:val="right"/>
        <w:rPr>
          <w:rFonts w:hint="eastAsia" w:ascii="宋体" w:hAnsi="宋体" w:eastAsia="宋体" w:cs="宋体"/>
          <w:sz w:val="24"/>
          <w:szCs w:val="24"/>
          <w:lang w:val="zh-CN"/>
        </w:rPr>
      </w:pPr>
      <w:r>
        <w:rPr>
          <w:rFonts w:hint="eastAsia" w:ascii="宋体" w:hAnsi="宋体" w:eastAsia="宋体" w:cs="宋体"/>
          <w:bCs/>
          <w:kern w:val="0"/>
          <w:sz w:val="24"/>
          <w:szCs w:val="24"/>
          <w:lang w:val="zh-CN"/>
        </w:rPr>
        <w:t>单位：人民币（元）</w:t>
      </w:r>
    </w:p>
    <w:tbl>
      <w:tblPr>
        <w:tblStyle w:val="31"/>
        <w:tblW w:w="0" w:type="auto"/>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规格</w:t>
            </w:r>
          </w:p>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宋体" w:hAnsi="宋体" w:eastAsia="宋体" w:cs="宋体"/>
                <w:sz w:val="24"/>
                <w:szCs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pPr>
              <w:rPr>
                <w:rFonts w:hint="eastAsia" w:ascii="宋体" w:hAnsi="宋体" w:eastAsia="宋体" w:cs="宋体"/>
                <w:sz w:val="24"/>
                <w:szCs w:val="24"/>
                <w:lang w:val="zh-CN"/>
              </w:rPr>
            </w:pPr>
            <w:r>
              <w:rPr>
                <w:rFonts w:hint="eastAsia" w:ascii="宋体" w:hAnsi="宋体" w:eastAsia="宋体" w:cs="宋体"/>
                <w:sz w:val="24"/>
                <w:szCs w:val="24"/>
                <w:lang w:val="zh-CN"/>
              </w:rPr>
              <w:t>优惠承诺及其他：</w:t>
            </w:r>
          </w:p>
          <w:p>
            <w:pP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pPr>
              <w:rPr>
                <w:rFonts w:hint="eastAsia" w:ascii="宋体" w:hAnsi="宋体" w:eastAsia="宋体" w:cs="宋体"/>
                <w:sz w:val="24"/>
                <w:szCs w:val="24"/>
                <w:lang w:val="zh-CN"/>
              </w:rPr>
            </w:pPr>
            <w:r>
              <w:rPr>
                <w:rFonts w:hint="eastAsia" w:ascii="宋体" w:hAnsi="宋体" w:eastAsia="宋体" w:cs="宋体"/>
                <w:sz w:val="24"/>
                <w:szCs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pPr>
              <w:rPr>
                <w:rFonts w:hint="eastAsia" w:ascii="宋体" w:hAnsi="宋体" w:eastAsia="宋体" w:cs="宋体"/>
                <w:sz w:val="24"/>
                <w:szCs w:val="24"/>
                <w:lang w:val="zh-CN"/>
              </w:rPr>
            </w:pPr>
            <w:r>
              <w:rPr>
                <w:rFonts w:hint="eastAsia" w:ascii="宋体" w:hAnsi="宋体" w:eastAsia="宋体" w:cs="宋体"/>
                <w:sz w:val="24"/>
                <w:szCs w:val="24"/>
                <w:lang w:val="zh-CN"/>
              </w:rPr>
              <w:t>小写：</w:t>
            </w:r>
          </w:p>
          <w:p>
            <w:pPr>
              <w:rPr>
                <w:rFonts w:hint="eastAsia" w:ascii="宋体" w:hAnsi="宋体" w:eastAsia="宋体" w:cs="宋体"/>
                <w:sz w:val="24"/>
                <w:szCs w:val="24"/>
                <w:lang w:val="zh-CN"/>
              </w:rPr>
            </w:pPr>
          </w:p>
          <w:p>
            <w:pPr>
              <w:rPr>
                <w:rFonts w:hint="eastAsia" w:ascii="宋体" w:hAnsi="宋体" w:eastAsia="宋体" w:cs="宋体"/>
                <w:sz w:val="24"/>
                <w:szCs w:val="24"/>
                <w:lang w:val="zh-CN"/>
              </w:rPr>
            </w:pPr>
            <w:r>
              <w:rPr>
                <w:rFonts w:hint="eastAsia" w:ascii="宋体" w:hAnsi="宋体" w:eastAsia="宋体" w:cs="宋体"/>
                <w:sz w:val="24"/>
                <w:szCs w:val="24"/>
                <w:lang w:val="zh-CN"/>
              </w:rPr>
              <w:t>大写：</w:t>
            </w:r>
          </w:p>
        </w:tc>
      </w:tr>
    </w:tbl>
    <w:p>
      <w:pPr>
        <w:autoSpaceDE w:val="0"/>
        <w:autoSpaceDN w:val="0"/>
        <w:spacing w:line="360" w:lineRule="auto"/>
        <w:rPr>
          <w:rFonts w:hint="eastAsia" w:ascii="宋体" w:hAnsi="宋体" w:eastAsia="宋体" w:cs="宋体"/>
          <w:b/>
          <w:bCs/>
          <w:sz w:val="24"/>
          <w:szCs w:val="24"/>
          <w:lang w:val="zh-CN"/>
        </w:rPr>
      </w:pPr>
      <w:r>
        <w:rPr>
          <w:rFonts w:hint="eastAsia" w:ascii="宋体" w:hAnsi="宋体" w:eastAsia="宋体" w:cs="宋体"/>
          <w:b/>
          <w:bCs/>
          <w:sz w:val="24"/>
          <w:szCs w:val="24"/>
          <w:lang w:val="zh-CN"/>
        </w:rPr>
        <w:t>注：1、本表应依照采购一览表中的产品序号按顺序逐项填写，不得遗漏。</w:t>
      </w:r>
    </w:p>
    <w:p>
      <w:pPr>
        <w:autoSpaceDE w:val="0"/>
        <w:autoSpaceDN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2、“分项报价表”须为打印版，手写无效。</w:t>
      </w:r>
    </w:p>
    <w:p>
      <w:pPr>
        <w:spacing w:line="360" w:lineRule="auto"/>
        <w:rPr>
          <w:rFonts w:hint="eastAsia" w:ascii="宋体" w:hAnsi="宋体" w:eastAsia="宋体" w:cs="宋体"/>
          <w:sz w:val="24"/>
          <w:szCs w:val="24"/>
          <w:lang w:val="zh-CN"/>
        </w:rPr>
      </w:pPr>
    </w:p>
    <w:p>
      <w:pPr>
        <w:spacing w:line="360" w:lineRule="auto"/>
        <w:rPr>
          <w:rFonts w:hint="eastAsia" w:ascii="宋体" w:hAnsi="宋体" w:eastAsia="宋体" w:cs="宋体"/>
          <w:sz w:val="24"/>
          <w:szCs w:val="24"/>
          <w:lang w:val="zh-CN"/>
        </w:rPr>
      </w:pPr>
    </w:p>
    <w:p>
      <w:pPr>
        <w:spacing w:line="360" w:lineRule="auto"/>
        <w:rPr>
          <w:rFonts w:hint="eastAsia" w:ascii="宋体" w:hAnsi="宋体" w:eastAsia="宋体" w:cs="宋体"/>
          <w:sz w:val="24"/>
          <w:szCs w:val="24"/>
          <w:lang w:val="zh-CN"/>
        </w:rPr>
      </w:pPr>
    </w:p>
    <w:p>
      <w:pPr>
        <w:spacing w:line="360" w:lineRule="auto"/>
        <w:rPr>
          <w:rFonts w:hint="eastAsia" w:ascii="宋体" w:hAnsi="宋体" w:eastAsia="宋体" w:cs="宋体"/>
          <w:sz w:val="24"/>
          <w:szCs w:val="24"/>
          <w:lang w:val="zh-CN"/>
        </w:rPr>
      </w:pP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投标供应商：             （公章）</w:t>
      </w: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法定代表人或委托代理人：       （签字）</w:t>
      </w: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日期：    年   月   日</w:t>
      </w:r>
    </w:p>
    <w:p>
      <w:pPr>
        <w:pStyle w:val="6"/>
        <w:numPr>
          <w:ilvl w:val="0"/>
          <w:numId w:val="0"/>
        </w:numPr>
        <w:ind w:left="709" w:hanging="709"/>
        <w:rPr>
          <w:rFonts w:hint="eastAsia" w:ascii="宋体" w:hAnsi="宋体" w:eastAsia="宋体" w:cs="宋体"/>
          <w:sz w:val="24"/>
          <w:szCs w:val="24"/>
        </w:rPr>
      </w:pPr>
      <w:r>
        <w:rPr>
          <w:rFonts w:hint="eastAsia" w:ascii="宋体" w:hAnsi="宋体" w:eastAsia="宋体" w:cs="宋体"/>
          <w:bCs/>
          <w:sz w:val="24"/>
          <w:szCs w:val="24"/>
        </w:rPr>
        <w:br w:type="page"/>
      </w:r>
      <w:bookmarkStart w:id="107" w:name="_Toc28290"/>
      <w:r>
        <w:rPr>
          <w:rFonts w:hint="eastAsia" w:ascii="宋体" w:hAnsi="宋体" w:eastAsia="宋体" w:cs="宋体"/>
          <w:b/>
          <w:sz w:val="24"/>
          <w:szCs w:val="24"/>
          <w:lang w:val="zh-CN"/>
        </w:rPr>
        <w:t>格式13、技术规格响应表</w:t>
      </w:r>
      <w:bookmarkEnd w:id="107"/>
    </w:p>
    <w:p>
      <w:pPr>
        <w:autoSpaceDE w:val="0"/>
        <w:autoSpaceDN w:val="0"/>
        <w:adjustRightInd w:val="0"/>
        <w:spacing w:line="360" w:lineRule="auto"/>
        <w:jc w:val="center"/>
        <w:rPr>
          <w:rFonts w:hint="eastAsia" w:ascii="宋体" w:hAnsi="宋体" w:eastAsia="宋体" w:cs="宋体"/>
          <w:b/>
          <w:bCs/>
          <w:kern w:val="0"/>
          <w:sz w:val="24"/>
          <w:szCs w:val="24"/>
          <w:lang w:val="zh-CN"/>
        </w:rPr>
      </w:pPr>
      <w:bookmarkStart w:id="108" w:name="_Toc20510"/>
      <w:bookmarkStart w:id="109" w:name="_Toc444715742"/>
      <w:bookmarkStart w:id="110" w:name="_Toc25742"/>
      <w:r>
        <w:rPr>
          <w:rFonts w:hint="eastAsia" w:ascii="宋体" w:hAnsi="宋体" w:eastAsia="宋体" w:cs="宋体"/>
          <w:b/>
          <w:bCs/>
          <w:kern w:val="0"/>
          <w:sz w:val="24"/>
          <w:szCs w:val="24"/>
          <w:lang w:val="zh-CN"/>
        </w:rPr>
        <w:t>技术规格响应表</w:t>
      </w:r>
    </w:p>
    <w:p>
      <w:pPr>
        <w:autoSpaceDE w:val="0"/>
        <w:autoSpaceDN w:val="0"/>
        <w:adjustRightInd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采购项目名称:  </w:t>
      </w:r>
    </w:p>
    <w:p>
      <w:pPr>
        <w:autoSpaceDE w:val="0"/>
        <w:autoSpaceDN w:val="0"/>
        <w:adjustRightInd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采购项目编号：</w:t>
      </w:r>
    </w:p>
    <w:tbl>
      <w:tblPr>
        <w:tblStyle w:val="31"/>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701"/>
        <w:gridCol w:w="850"/>
        <w:gridCol w:w="709"/>
        <w:gridCol w:w="1843"/>
        <w:gridCol w:w="1984"/>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采购需求技术参数、指标</w:t>
            </w:r>
          </w:p>
        </w:tc>
        <w:tc>
          <w:tcPr>
            <w:tcW w:w="5387" w:type="dxa"/>
            <w:gridSpan w:val="4"/>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投标产品技术参数、指标</w:t>
            </w:r>
          </w:p>
        </w:tc>
        <w:tc>
          <w:tcPr>
            <w:tcW w:w="709"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vAlign w:val="center"/>
          </w:tcPr>
          <w:p>
            <w:pPr>
              <w:spacing w:line="360" w:lineRule="auto"/>
              <w:jc w:val="center"/>
              <w:rPr>
                <w:rFonts w:hint="eastAsia" w:ascii="宋体" w:hAnsi="宋体" w:eastAsia="宋体" w:cs="宋体"/>
                <w:sz w:val="24"/>
                <w:szCs w:val="24"/>
              </w:rPr>
            </w:pP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170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技术参数及配置</w:t>
            </w:r>
          </w:p>
        </w:tc>
        <w:tc>
          <w:tcPr>
            <w:tcW w:w="85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70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184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规格型号、产地</w:t>
            </w:r>
          </w:p>
        </w:tc>
        <w:tc>
          <w:tcPr>
            <w:tcW w:w="198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技术参数及配置</w:t>
            </w: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709" w:type="dxa"/>
            <w:vMerge w:val="continue"/>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51" w:type="dxa"/>
            <w:vAlign w:val="center"/>
          </w:tcPr>
          <w:p>
            <w:pPr>
              <w:tabs>
                <w:tab w:val="left" w:pos="332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51" w:type="dxa"/>
            <w:vAlign w:val="center"/>
          </w:tcPr>
          <w:p>
            <w:pPr>
              <w:tabs>
                <w:tab w:val="left" w:pos="3327"/>
              </w:tabs>
              <w:spacing w:line="360" w:lineRule="auto"/>
              <w:rPr>
                <w:rFonts w:hint="eastAsia" w:ascii="宋体" w:hAnsi="宋体" w:eastAsia="宋体" w:cs="宋体"/>
                <w:sz w:val="24"/>
                <w:szCs w:val="24"/>
              </w:rPr>
            </w:pPr>
          </w:p>
        </w:tc>
        <w:tc>
          <w:tcPr>
            <w:tcW w:w="1701" w:type="dxa"/>
            <w:vAlign w:val="center"/>
          </w:tcPr>
          <w:p>
            <w:pPr>
              <w:tabs>
                <w:tab w:val="left" w:pos="3327"/>
              </w:tabs>
              <w:spacing w:line="360" w:lineRule="auto"/>
              <w:rPr>
                <w:rFonts w:hint="eastAsia" w:ascii="宋体" w:hAnsi="宋体" w:eastAsia="宋体" w:cs="宋体"/>
                <w:sz w:val="24"/>
                <w:szCs w:val="24"/>
              </w:rPr>
            </w:pPr>
          </w:p>
        </w:tc>
        <w:tc>
          <w:tcPr>
            <w:tcW w:w="850" w:type="dxa"/>
            <w:vAlign w:val="center"/>
          </w:tcPr>
          <w:p>
            <w:pPr>
              <w:tabs>
                <w:tab w:val="left" w:pos="3327"/>
              </w:tabs>
              <w:spacing w:line="360" w:lineRule="auto"/>
              <w:rPr>
                <w:rFonts w:hint="eastAsia" w:ascii="宋体" w:hAnsi="宋体" w:eastAsia="宋体" w:cs="宋体"/>
                <w:sz w:val="24"/>
                <w:szCs w:val="24"/>
              </w:rPr>
            </w:pPr>
          </w:p>
        </w:tc>
        <w:tc>
          <w:tcPr>
            <w:tcW w:w="709" w:type="dxa"/>
            <w:vAlign w:val="center"/>
          </w:tcPr>
          <w:p>
            <w:pPr>
              <w:tabs>
                <w:tab w:val="left" w:pos="3327"/>
              </w:tabs>
              <w:spacing w:line="360" w:lineRule="auto"/>
              <w:rPr>
                <w:rFonts w:hint="eastAsia" w:ascii="宋体" w:hAnsi="宋体" w:eastAsia="宋体" w:cs="宋体"/>
                <w:sz w:val="24"/>
                <w:szCs w:val="24"/>
              </w:rPr>
            </w:pPr>
          </w:p>
        </w:tc>
        <w:tc>
          <w:tcPr>
            <w:tcW w:w="1843" w:type="dxa"/>
            <w:vAlign w:val="center"/>
          </w:tcPr>
          <w:p>
            <w:pPr>
              <w:tabs>
                <w:tab w:val="left" w:pos="3327"/>
              </w:tabs>
              <w:spacing w:line="360" w:lineRule="auto"/>
              <w:rPr>
                <w:rFonts w:hint="eastAsia" w:ascii="宋体" w:hAnsi="宋体" w:eastAsia="宋体" w:cs="宋体"/>
                <w:sz w:val="24"/>
                <w:szCs w:val="24"/>
              </w:rPr>
            </w:pPr>
          </w:p>
        </w:tc>
        <w:tc>
          <w:tcPr>
            <w:tcW w:w="1984" w:type="dxa"/>
            <w:vAlign w:val="center"/>
          </w:tcPr>
          <w:p>
            <w:pPr>
              <w:tabs>
                <w:tab w:val="left" w:pos="3327"/>
              </w:tabs>
              <w:spacing w:line="360" w:lineRule="auto"/>
              <w:rPr>
                <w:rFonts w:hint="eastAsia" w:ascii="宋体" w:hAnsi="宋体" w:eastAsia="宋体" w:cs="宋体"/>
                <w:sz w:val="24"/>
                <w:szCs w:val="24"/>
              </w:rPr>
            </w:pPr>
          </w:p>
        </w:tc>
        <w:tc>
          <w:tcPr>
            <w:tcW w:w="851" w:type="dxa"/>
            <w:vAlign w:val="center"/>
          </w:tcPr>
          <w:p>
            <w:pPr>
              <w:tabs>
                <w:tab w:val="left" w:pos="3327"/>
              </w:tabs>
              <w:spacing w:line="360" w:lineRule="auto"/>
              <w:rPr>
                <w:rFonts w:hint="eastAsia" w:ascii="宋体" w:hAnsi="宋体" w:eastAsia="宋体" w:cs="宋体"/>
                <w:sz w:val="24"/>
                <w:szCs w:val="24"/>
              </w:rPr>
            </w:pPr>
          </w:p>
        </w:tc>
        <w:tc>
          <w:tcPr>
            <w:tcW w:w="709"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vAlign w:val="center"/>
          </w:tcPr>
          <w:p>
            <w:pPr>
              <w:tabs>
                <w:tab w:val="left" w:pos="332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851" w:type="dxa"/>
            <w:vAlign w:val="center"/>
          </w:tcPr>
          <w:p>
            <w:pPr>
              <w:tabs>
                <w:tab w:val="left" w:pos="3327"/>
              </w:tabs>
              <w:spacing w:line="360" w:lineRule="auto"/>
              <w:rPr>
                <w:rFonts w:hint="eastAsia" w:ascii="宋体" w:hAnsi="宋体" w:eastAsia="宋体" w:cs="宋体"/>
                <w:sz w:val="24"/>
                <w:szCs w:val="24"/>
              </w:rPr>
            </w:pPr>
          </w:p>
        </w:tc>
        <w:tc>
          <w:tcPr>
            <w:tcW w:w="1701" w:type="dxa"/>
            <w:vAlign w:val="center"/>
          </w:tcPr>
          <w:p>
            <w:pPr>
              <w:tabs>
                <w:tab w:val="left" w:pos="3327"/>
              </w:tabs>
              <w:spacing w:line="360" w:lineRule="auto"/>
              <w:rPr>
                <w:rFonts w:hint="eastAsia" w:ascii="宋体" w:hAnsi="宋体" w:eastAsia="宋体" w:cs="宋体"/>
                <w:sz w:val="24"/>
                <w:szCs w:val="24"/>
              </w:rPr>
            </w:pPr>
          </w:p>
        </w:tc>
        <w:tc>
          <w:tcPr>
            <w:tcW w:w="850" w:type="dxa"/>
            <w:vAlign w:val="center"/>
          </w:tcPr>
          <w:p>
            <w:pPr>
              <w:tabs>
                <w:tab w:val="left" w:pos="3327"/>
              </w:tabs>
              <w:spacing w:line="360" w:lineRule="auto"/>
              <w:rPr>
                <w:rFonts w:hint="eastAsia" w:ascii="宋体" w:hAnsi="宋体" w:eastAsia="宋体" w:cs="宋体"/>
                <w:sz w:val="24"/>
                <w:szCs w:val="24"/>
              </w:rPr>
            </w:pPr>
          </w:p>
        </w:tc>
        <w:tc>
          <w:tcPr>
            <w:tcW w:w="709" w:type="dxa"/>
            <w:vAlign w:val="center"/>
          </w:tcPr>
          <w:p>
            <w:pPr>
              <w:tabs>
                <w:tab w:val="left" w:pos="3327"/>
              </w:tabs>
              <w:spacing w:line="360" w:lineRule="auto"/>
              <w:rPr>
                <w:rFonts w:hint="eastAsia" w:ascii="宋体" w:hAnsi="宋体" w:eastAsia="宋体" w:cs="宋体"/>
                <w:sz w:val="24"/>
                <w:szCs w:val="24"/>
              </w:rPr>
            </w:pPr>
          </w:p>
        </w:tc>
        <w:tc>
          <w:tcPr>
            <w:tcW w:w="1843" w:type="dxa"/>
            <w:vAlign w:val="center"/>
          </w:tcPr>
          <w:p>
            <w:pPr>
              <w:tabs>
                <w:tab w:val="left" w:pos="3327"/>
              </w:tabs>
              <w:spacing w:line="360" w:lineRule="auto"/>
              <w:rPr>
                <w:rFonts w:hint="eastAsia" w:ascii="宋体" w:hAnsi="宋体" w:eastAsia="宋体" w:cs="宋体"/>
                <w:sz w:val="24"/>
                <w:szCs w:val="24"/>
              </w:rPr>
            </w:pPr>
          </w:p>
        </w:tc>
        <w:tc>
          <w:tcPr>
            <w:tcW w:w="1984" w:type="dxa"/>
            <w:vAlign w:val="center"/>
          </w:tcPr>
          <w:p>
            <w:pPr>
              <w:tabs>
                <w:tab w:val="left" w:pos="3327"/>
              </w:tabs>
              <w:spacing w:line="360" w:lineRule="auto"/>
              <w:rPr>
                <w:rFonts w:hint="eastAsia" w:ascii="宋体" w:hAnsi="宋体" w:eastAsia="宋体" w:cs="宋体"/>
                <w:sz w:val="24"/>
                <w:szCs w:val="24"/>
              </w:rPr>
            </w:pPr>
          </w:p>
        </w:tc>
        <w:tc>
          <w:tcPr>
            <w:tcW w:w="851" w:type="dxa"/>
            <w:vAlign w:val="center"/>
          </w:tcPr>
          <w:p>
            <w:pPr>
              <w:tabs>
                <w:tab w:val="left" w:pos="3327"/>
              </w:tabs>
              <w:spacing w:line="360" w:lineRule="auto"/>
              <w:rPr>
                <w:rFonts w:hint="eastAsia" w:ascii="宋体" w:hAnsi="宋体" w:eastAsia="宋体" w:cs="宋体"/>
                <w:sz w:val="24"/>
                <w:szCs w:val="24"/>
              </w:rPr>
            </w:pPr>
          </w:p>
        </w:tc>
        <w:tc>
          <w:tcPr>
            <w:tcW w:w="709"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vAlign w:val="center"/>
          </w:tcPr>
          <w:p>
            <w:pPr>
              <w:tabs>
                <w:tab w:val="left" w:pos="332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851" w:type="dxa"/>
            <w:vAlign w:val="center"/>
          </w:tcPr>
          <w:p>
            <w:pPr>
              <w:tabs>
                <w:tab w:val="left" w:pos="3327"/>
              </w:tabs>
              <w:spacing w:line="360" w:lineRule="auto"/>
              <w:rPr>
                <w:rFonts w:hint="eastAsia" w:ascii="宋体" w:hAnsi="宋体" w:eastAsia="宋体" w:cs="宋体"/>
                <w:sz w:val="24"/>
                <w:szCs w:val="24"/>
              </w:rPr>
            </w:pPr>
          </w:p>
        </w:tc>
        <w:tc>
          <w:tcPr>
            <w:tcW w:w="1701" w:type="dxa"/>
            <w:vAlign w:val="center"/>
          </w:tcPr>
          <w:p>
            <w:pPr>
              <w:tabs>
                <w:tab w:val="left" w:pos="3327"/>
              </w:tabs>
              <w:spacing w:line="360" w:lineRule="auto"/>
              <w:rPr>
                <w:rFonts w:hint="eastAsia" w:ascii="宋体" w:hAnsi="宋体" w:eastAsia="宋体" w:cs="宋体"/>
                <w:sz w:val="24"/>
                <w:szCs w:val="24"/>
              </w:rPr>
            </w:pPr>
          </w:p>
        </w:tc>
        <w:tc>
          <w:tcPr>
            <w:tcW w:w="850" w:type="dxa"/>
            <w:vAlign w:val="center"/>
          </w:tcPr>
          <w:p>
            <w:pPr>
              <w:tabs>
                <w:tab w:val="left" w:pos="3327"/>
              </w:tabs>
              <w:spacing w:line="360" w:lineRule="auto"/>
              <w:rPr>
                <w:rFonts w:hint="eastAsia" w:ascii="宋体" w:hAnsi="宋体" w:eastAsia="宋体" w:cs="宋体"/>
                <w:sz w:val="24"/>
                <w:szCs w:val="24"/>
              </w:rPr>
            </w:pPr>
          </w:p>
        </w:tc>
        <w:tc>
          <w:tcPr>
            <w:tcW w:w="709" w:type="dxa"/>
            <w:vAlign w:val="center"/>
          </w:tcPr>
          <w:p>
            <w:pPr>
              <w:tabs>
                <w:tab w:val="left" w:pos="3327"/>
              </w:tabs>
              <w:spacing w:line="360" w:lineRule="auto"/>
              <w:rPr>
                <w:rFonts w:hint="eastAsia" w:ascii="宋体" w:hAnsi="宋体" w:eastAsia="宋体" w:cs="宋体"/>
                <w:sz w:val="24"/>
                <w:szCs w:val="24"/>
              </w:rPr>
            </w:pPr>
          </w:p>
        </w:tc>
        <w:tc>
          <w:tcPr>
            <w:tcW w:w="1843" w:type="dxa"/>
            <w:vAlign w:val="center"/>
          </w:tcPr>
          <w:p>
            <w:pPr>
              <w:tabs>
                <w:tab w:val="left" w:pos="3327"/>
              </w:tabs>
              <w:spacing w:line="360" w:lineRule="auto"/>
              <w:rPr>
                <w:rFonts w:hint="eastAsia" w:ascii="宋体" w:hAnsi="宋体" w:eastAsia="宋体" w:cs="宋体"/>
                <w:sz w:val="24"/>
                <w:szCs w:val="24"/>
              </w:rPr>
            </w:pPr>
          </w:p>
        </w:tc>
        <w:tc>
          <w:tcPr>
            <w:tcW w:w="1984" w:type="dxa"/>
            <w:vAlign w:val="center"/>
          </w:tcPr>
          <w:p>
            <w:pPr>
              <w:tabs>
                <w:tab w:val="left" w:pos="3327"/>
              </w:tabs>
              <w:spacing w:line="360" w:lineRule="auto"/>
              <w:rPr>
                <w:rFonts w:hint="eastAsia" w:ascii="宋体" w:hAnsi="宋体" w:eastAsia="宋体" w:cs="宋体"/>
                <w:sz w:val="24"/>
                <w:szCs w:val="24"/>
              </w:rPr>
            </w:pPr>
          </w:p>
        </w:tc>
        <w:tc>
          <w:tcPr>
            <w:tcW w:w="851" w:type="dxa"/>
            <w:vAlign w:val="center"/>
          </w:tcPr>
          <w:p>
            <w:pPr>
              <w:tabs>
                <w:tab w:val="left" w:pos="3327"/>
              </w:tabs>
              <w:spacing w:line="360" w:lineRule="auto"/>
              <w:rPr>
                <w:rFonts w:hint="eastAsia" w:ascii="宋体" w:hAnsi="宋体" w:eastAsia="宋体" w:cs="宋体"/>
                <w:sz w:val="24"/>
                <w:szCs w:val="24"/>
              </w:rPr>
            </w:pPr>
          </w:p>
        </w:tc>
        <w:tc>
          <w:tcPr>
            <w:tcW w:w="709"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vAlign w:val="center"/>
          </w:tcPr>
          <w:p>
            <w:pPr>
              <w:tabs>
                <w:tab w:val="left" w:pos="332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851" w:type="dxa"/>
            <w:vAlign w:val="center"/>
          </w:tcPr>
          <w:p>
            <w:pPr>
              <w:tabs>
                <w:tab w:val="left" w:pos="3327"/>
              </w:tabs>
              <w:spacing w:line="360" w:lineRule="auto"/>
              <w:rPr>
                <w:rFonts w:hint="eastAsia" w:ascii="宋体" w:hAnsi="宋体" w:eastAsia="宋体" w:cs="宋体"/>
                <w:sz w:val="24"/>
                <w:szCs w:val="24"/>
              </w:rPr>
            </w:pPr>
          </w:p>
        </w:tc>
        <w:tc>
          <w:tcPr>
            <w:tcW w:w="1701" w:type="dxa"/>
            <w:vAlign w:val="center"/>
          </w:tcPr>
          <w:p>
            <w:pPr>
              <w:tabs>
                <w:tab w:val="left" w:pos="3327"/>
              </w:tabs>
              <w:spacing w:line="360" w:lineRule="auto"/>
              <w:rPr>
                <w:rFonts w:hint="eastAsia" w:ascii="宋体" w:hAnsi="宋体" w:eastAsia="宋体" w:cs="宋体"/>
                <w:sz w:val="24"/>
                <w:szCs w:val="24"/>
              </w:rPr>
            </w:pPr>
          </w:p>
        </w:tc>
        <w:tc>
          <w:tcPr>
            <w:tcW w:w="850" w:type="dxa"/>
            <w:vAlign w:val="center"/>
          </w:tcPr>
          <w:p>
            <w:pPr>
              <w:tabs>
                <w:tab w:val="left" w:pos="3327"/>
              </w:tabs>
              <w:spacing w:line="360" w:lineRule="auto"/>
              <w:rPr>
                <w:rFonts w:hint="eastAsia" w:ascii="宋体" w:hAnsi="宋体" w:eastAsia="宋体" w:cs="宋体"/>
                <w:sz w:val="24"/>
                <w:szCs w:val="24"/>
              </w:rPr>
            </w:pPr>
          </w:p>
        </w:tc>
        <w:tc>
          <w:tcPr>
            <w:tcW w:w="709" w:type="dxa"/>
            <w:vAlign w:val="center"/>
          </w:tcPr>
          <w:p>
            <w:pPr>
              <w:tabs>
                <w:tab w:val="left" w:pos="3327"/>
              </w:tabs>
              <w:spacing w:line="360" w:lineRule="auto"/>
              <w:rPr>
                <w:rFonts w:hint="eastAsia" w:ascii="宋体" w:hAnsi="宋体" w:eastAsia="宋体" w:cs="宋体"/>
                <w:sz w:val="24"/>
                <w:szCs w:val="24"/>
              </w:rPr>
            </w:pPr>
          </w:p>
        </w:tc>
        <w:tc>
          <w:tcPr>
            <w:tcW w:w="1843" w:type="dxa"/>
            <w:vAlign w:val="center"/>
          </w:tcPr>
          <w:p>
            <w:pPr>
              <w:tabs>
                <w:tab w:val="left" w:pos="3327"/>
              </w:tabs>
              <w:spacing w:line="360" w:lineRule="auto"/>
              <w:rPr>
                <w:rFonts w:hint="eastAsia" w:ascii="宋体" w:hAnsi="宋体" w:eastAsia="宋体" w:cs="宋体"/>
                <w:sz w:val="24"/>
                <w:szCs w:val="24"/>
              </w:rPr>
            </w:pPr>
          </w:p>
        </w:tc>
        <w:tc>
          <w:tcPr>
            <w:tcW w:w="1984" w:type="dxa"/>
            <w:vAlign w:val="center"/>
          </w:tcPr>
          <w:p>
            <w:pPr>
              <w:tabs>
                <w:tab w:val="left" w:pos="3327"/>
              </w:tabs>
              <w:spacing w:line="360" w:lineRule="auto"/>
              <w:rPr>
                <w:rFonts w:hint="eastAsia" w:ascii="宋体" w:hAnsi="宋体" w:eastAsia="宋体" w:cs="宋体"/>
                <w:sz w:val="24"/>
                <w:szCs w:val="24"/>
              </w:rPr>
            </w:pPr>
          </w:p>
        </w:tc>
        <w:tc>
          <w:tcPr>
            <w:tcW w:w="851" w:type="dxa"/>
            <w:vAlign w:val="center"/>
          </w:tcPr>
          <w:p>
            <w:pPr>
              <w:tabs>
                <w:tab w:val="left" w:pos="3327"/>
              </w:tabs>
              <w:spacing w:line="360" w:lineRule="auto"/>
              <w:rPr>
                <w:rFonts w:hint="eastAsia" w:ascii="宋体" w:hAnsi="宋体" w:eastAsia="宋体" w:cs="宋体"/>
                <w:sz w:val="24"/>
                <w:szCs w:val="24"/>
              </w:rPr>
            </w:pPr>
          </w:p>
        </w:tc>
        <w:tc>
          <w:tcPr>
            <w:tcW w:w="709"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vAlign w:val="center"/>
          </w:tcPr>
          <w:p>
            <w:pPr>
              <w:tabs>
                <w:tab w:val="left" w:pos="332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851" w:type="dxa"/>
            <w:vAlign w:val="center"/>
          </w:tcPr>
          <w:p>
            <w:pPr>
              <w:tabs>
                <w:tab w:val="left" w:pos="3327"/>
              </w:tabs>
              <w:spacing w:line="360" w:lineRule="auto"/>
              <w:rPr>
                <w:rFonts w:hint="eastAsia" w:ascii="宋体" w:hAnsi="宋体" w:eastAsia="宋体" w:cs="宋体"/>
                <w:sz w:val="24"/>
                <w:szCs w:val="24"/>
              </w:rPr>
            </w:pPr>
          </w:p>
        </w:tc>
        <w:tc>
          <w:tcPr>
            <w:tcW w:w="1701" w:type="dxa"/>
            <w:vAlign w:val="center"/>
          </w:tcPr>
          <w:p>
            <w:pPr>
              <w:tabs>
                <w:tab w:val="left" w:pos="3327"/>
              </w:tabs>
              <w:spacing w:line="360" w:lineRule="auto"/>
              <w:rPr>
                <w:rFonts w:hint="eastAsia" w:ascii="宋体" w:hAnsi="宋体" w:eastAsia="宋体" w:cs="宋体"/>
                <w:sz w:val="24"/>
                <w:szCs w:val="24"/>
              </w:rPr>
            </w:pPr>
          </w:p>
        </w:tc>
        <w:tc>
          <w:tcPr>
            <w:tcW w:w="850" w:type="dxa"/>
            <w:vAlign w:val="center"/>
          </w:tcPr>
          <w:p>
            <w:pPr>
              <w:tabs>
                <w:tab w:val="left" w:pos="3327"/>
              </w:tabs>
              <w:spacing w:line="360" w:lineRule="auto"/>
              <w:rPr>
                <w:rFonts w:hint="eastAsia" w:ascii="宋体" w:hAnsi="宋体" w:eastAsia="宋体" w:cs="宋体"/>
                <w:sz w:val="24"/>
                <w:szCs w:val="24"/>
              </w:rPr>
            </w:pPr>
          </w:p>
        </w:tc>
        <w:tc>
          <w:tcPr>
            <w:tcW w:w="709" w:type="dxa"/>
            <w:vAlign w:val="center"/>
          </w:tcPr>
          <w:p>
            <w:pPr>
              <w:tabs>
                <w:tab w:val="left" w:pos="3327"/>
              </w:tabs>
              <w:spacing w:line="360" w:lineRule="auto"/>
              <w:rPr>
                <w:rFonts w:hint="eastAsia" w:ascii="宋体" w:hAnsi="宋体" w:eastAsia="宋体" w:cs="宋体"/>
                <w:sz w:val="24"/>
                <w:szCs w:val="24"/>
              </w:rPr>
            </w:pPr>
          </w:p>
        </w:tc>
        <w:tc>
          <w:tcPr>
            <w:tcW w:w="1843" w:type="dxa"/>
            <w:vAlign w:val="center"/>
          </w:tcPr>
          <w:p>
            <w:pPr>
              <w:tabs>
                <w:tab w:val="left" w:pos="3327"/>
              </w:tabs>
              <w:spacing w:line="360" w:lineRule="auto"/>
              <w:rPr>
                <w:rFonts w:hint="eastAsia" w:ascii="宋体" w:hAnsi="宋体" w:eastAsia="宋体" w:cs="宋体"/>
                <w:sz w:val="24"/>
                <w:szCs w:val="24"/>
              </w:rPr>
            </w:pPr>
          </w:p>
        </w:tc>
        <w:tc>
          <w:tcPr>
            <w:tcW w:w="1984" w:type="dxa"/>
            <w:vAlign w:val="center"/>
          </w:tcPr>
          <w:p>
            <w:pPr>
              <w:tabs>
                <w:tab w:val="left" w:pos="3327"/>
              </w:tabs>
              <w:spacing w:line="360" w:lineRule="auto"/>
              <w:rPr>
                <w:rFonts w:hint="eastAsia" w:ascii="宋体" w:hAnsi="宋体" w:eastAsia="宋体" w:cs="宋体"/>
                <w:sz w:val="24"/>
                <w:szCs w:val="24"/>
              </w:rPr>
            </w:pPr>
          </w:p>
        </w:tc>
        <w:tc>
          <w:tcPr>
            <w:tcW w:w="851" w:type="dxa"/>
            <w:vAlign w:val="center"/>
          </w:tcPr>
          <w:p>
            <w:pPr>
              <w:tabs>
                <w:tab w:val="left" w:pos="3327"/>
              </w:tabs>
              <w:spacing w:line="360" w:lineRule="auto"/>
              <w:rPr>
                <w:rFonts w:hint="eastAsia" w:ascii="宋体" w:hAnsi="宋体" w:eastAsia="宋体" w:cs="宋体"/>
                <w:sz w:val="24"/>
                <w:szCs w:val="24"/>
              </w:rPr>
            </w:pPr>
          </w:p>
        </w:tc>
        <w:tc>
          <w:tcPr>
            <w:tcW w:w="709" w:type="dxa"/>
            <w:vAlign w:val="center"/>
          </w:tcPr>
          <w:p>
            <w:pPr>
              <w:spacing w:line="360" w:lineRule="auto"/>
              <w:jc w:val="center"/>
              <w:rPr>
                <w:rFonts w:hint="eastAsia" w:ascii="宋体" w:hAnsi="宋体" w:eastAsia="宋体" w:cs="宋体"/>
                <w:sz w:val="24"/>
                <w:szCs w:val="24"/>
              </w:rPr>
            </w:pPr>
          </w:p>
        </w:tc>
      </w:tr>
    </w:tbl>
    <w:p>
      <w:pPr>
        <w:autoSpaceDE w:val="0"/>
        <w:autoSpaceDN w:val="0"/>
        <w:spacing w:line="360" w:lineRule="auto"/>
        <w:rPr>
          <w:rFonts w:hint="eastAsia" w:ascii="宋体" w:hAnsi="宋体" w:eastAsia="宋体" w:cs="宋体"/>
          <w:b/>
          <w:bCs/>
          <w:sz w:val="24"/>
          <w:szCs w:val="24"/>
          <w:lang w:val="zh-CN"/>
        </w:rPr>
      </w:pPr>
      <w:r>
        <w:rPr>
          <w:rFonts w:hint="eastAsia" w:ascii="宋体" w:hAnsi="宋体" w:eastAsia="宋体" w:cs="宋体"/>
          <w:b/>
          <w:bCs/>
          <w:sz w:val="24"/>
          <w:szCs w:val="24"/>
          <w:lang w:val="zh-CN"/>
        </w:rPr>
        <w:t>注：1、本表应按照每包采购一览表中产品序号的指标逐项填写，不得遗漏。</w:t>
      </w:r>
    </w:p>
    <w:p>
      <w:pPr>
        <w:autoSpaceDE w:val="0"/>
        <w:autoSpaceDN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2、“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pPr>
        <w:autoSpaceDE w:val="0"/>
        <w:autoSpaceDN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3、投标供应商响应采购需求应具体、明确，应以招标项目参数要求为基本投标要求，对超出或不满足招标项目参数要求的指标需列出“+、-”偏差，并做出详细说明；如果只注明“+”、“-”或未填写，将视为该项指标不响应。</w:t>
      </w:r>
    </w:p>
    <w:p>
      <w:pPr>
        <w:autoSpaceDE w:val="0"/>
        <w:autoSpaceDN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4、投标供应商应按投标产品实际情况填写，不得照抄、复制招标文件技术参数要求。</w:t>
      </w:r>
    </w:p>
    <w:p>
      <w:pPr>
        <w:autoSpaceDE w:val="0"/>
        <w:autoSpaceDN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5、投标供应商响应采购需求应具体、明确，含糊不清、不确切或伪造、编造证明材料的，按照实质性不响应处理。对伪造、编造证明材料的，将报送采购监管部门查处。</w:t>
      </w:r>
    </w:p>
    <w:p>
      <w:pPr>
        <w:tabs>
          <w:tab w:val="left" w:pos="168"/>
        </w:tabs>
        <w:adjustRightInd w:val="0"/>
        <w:spacing w:line="360" w:lineRule="auto"/>
        <w:textAlignment w:val="baseline"/>
        <w:rPr>
          <w:rFonts w:hint="eastAsia" w:ascii="宋体" w:hAnsi="宋体" w:eastAsia="宋体" w:cs="宋体"/>
          <w:bCs/>
          <w:sz w:val="24"/>
          <w:szCs w:val="24"/>
        </w:rPr>
      </w:pPr>
    </w:p>
    <w:p>
      <w:pPr>
        <w:tabs>
          <w:tab w:val="left" w:pos="168"/>
        </w:tabs>
        <w:adjustRightInd w:val="0"/>
        <w:spacing w:line="360" w:lineRule="auto"/>
        <w:textAlignment w:val="baseline"/>
        <w:rPr>
          <w:rFonts w:hint="eastAsia" w:ascii="宋体" w:hAnsi="宋体" w:eastAsia="宋体" w:cs="宋体"/>
          <w:bCs/>
          <w:sz w:val="24"/>
          <w:szCs w:val="24"/>
        </w:rPr>
      </w:pP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投标供应商：             （公章）</w:t>
      </w: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法定代表人或委托代理人：       （签字）</w:t>
      </w: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日期：    年   月   日</w:t>
      </w:r>
    </w:p>
    <w:p>
      <w:pPr>
        <w:pStyle w:val="6"/>
        <w:numPr>
          <w:ilvl w:val="0"/>
          <w:numId w:val="0"/>
        </w:numPr>
        <w:ind w:left="709" w:hanging="709"/>
        <w:rPr>
          <w:rFonts w:hint="eastAsia" w:ascii="宋体" w:hAnsi="宋体" w:eastAsia="宋体" w:cs="宋体"/>
          <w:bCs/>
          <w:sz w:val="24"/>
          <w:szCs w:val="24"/>
        </w:rPr>
      </w:pPr>
      <w:r>
        <w:rPr>
          <w:rFonts w:hint="eastAsia" w:ascii="宋体" w:hAnsi="宋体" w:eastAsia="宋体" w:cs="宋体"/>
          <w:bCs/>
          <w:sz w:val="24"/>
          <w:szCs w:val="24"/>
        </w:rPr>
        <w:br w:type="page"/>
      </w:r>
      <w:bookmarkStart w:id="111" w:name="_Toc11772"/>
      <w:r>
        <w:rPr>
          <w:rFonts w:hint="eastAsia" w:ascii="宋体" w:hAnsi="宋体" w:eastAsia="宋体" w:cs="宋体"/>
          <w:b/>
          <w:sz w:val="24"/>
          <w:szCs w:val="24"/>
          <w:lang w:val="zh-CN"/>
        </w:rPr>
        <w:t>格式14、磋商产品相关资料</w:t>
      </w:r>
      <w:bookmarkEnd w:id="111"/>
    </w:p>
    <w:p>
      <w:pPr>
        <w:spacing w:line="360" w:lineRule="auto"/>
        <w:rPr>
          <w:rFonts w:hint="eastAsia" w:ascii="宋体" w:hAnsi="宋体" w:eastAsia="宋体" w:cs="宋体"/>
          <w:b/>
          <w:bCs/>
          <w:kern w:val="28"/>
          <w:sz w:val="24"/>
          <w:szCs w:val="24"/>
          <w:lang w:val="zh-CN"/>
        </w:rPr>
      </w:pPr>
    </w:p>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
          <w:bCs/>
          <w:kern w:val="0"/>
          <w:sz w:val="24"/>
          <w:szCs w:val="24"/>
          <w:lang w:val="zh-CN"/>
        </w:rPr>
        <w:t>磋商产品相关资料</w:t>
      </w:r>
    </w:p>
    <w:p>
      <w:pPr>
        <w:spacing w:line="360" w:lineRule="auto"/>
        <w:ind w:firstLine="424" w:firstLineChars="177"/>
        <w:rPr>
          <w:rFonts w:hint="eastAsia" w:ascii="宋体" w:hAnsi="宋体" w:eastAsia="宋体" w:cs="宋体"/>
          <w:b/>
          <w:sz w:val="24"/>
          <w:szCs w:val="24"/>
          <w:lang w:val="zh-CN"/>
        </w:rPr>
      </w:pPr>
      <w:r>
        <w:rPr>
          <w:rFonts w:hint="eastAsia" w:ascii="宋体" w:hAnsi="宋体" w:eastAsia="宋体" w:cs="宋体"/>
          <w:sz w:val="24"/>
          <w:szCs w:val="24"/>
        </w:rPr>
        <w:t>根据采购项目内容，磋商时提供国家认可的质监机构出具的磋商产品的产品材料的检验报告或证明技术参数响应的相关资料（或厂家公开发布的资料参数）或相关认证等资料。</w:t>
      </w:r>
      <w:bookmarkEnd w:id="108"/>
      <w:bookmarkEnd w:id="109"/>
      <w:bookmarkEnd w:id="110"/>
    </w:p>
    <w:p>
      <w:pPr>
        <w:pStyle w:val="6"/>
        <w:numPr>
          <w:ilvl w:val="0"/>
          <w:numId w:val="0"/>
        </w:numPr>
        <w:ind w:left="709" w:hanging="709"/>
        <w:rPr>
          <w:rFonts w:hint="eastAsia" w:ascii="宋体" w:hAnsi="宋体" w:eastAsia="宋体" w:cs="宋体"/>
          <w:sz w:val="24"/>
          <w:szCs w:val="24"/>
        </w:rPr>
      </w:pPr>
      <w:r>
        <w:rPr>
          <w:rFonts w:hint="eastAsia" w:ascii="宋体" w:hAnsi="宋体" w:eastAsia="宋体" w:cs="宋体"/>
          <w:bCs/>
          <w:sz w:val="24"/>
          <w:szCs w:val="24"/>
        </w:rPr>
        <w:br w:type="page"/>
      </w:r>
      <w:bookmarkStart w:id="112" w:name="_Toc286"/>
      <w:r>
        <w:rPr>
          <w:rFonts w:hint="eastAsia" w:ascii="宋体" w:hAnsi="宋体" w:eastAsia="宋体" w:cs="宋体"/>
          <w:b/>
          <w:sz w:val="24"/>
          <w:szCs w:val="24"/>
          <w:lang w:val="zh-CN"/>
        </w:rPr>
        <w:t>格式15、磋商供应商的类似业绩证明材料</w:t>
      </w:r>
      <w:bookmarkEnd w:id="112"/>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磋商供应商的类似业绩证明材料</w:t>
      </w: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ind w:firstLine="840" w:firstLineChars="35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根据评分表要求提供相应的业绩证明材料。</w:t>
      </w:r>
    </w:p>
    <w:p>
      <w:pPr>
        <w:pStyle w:val="6"/>
        <w:numPr>
          <w:ilvl w:val="0"/>
          <w:numId w:val="0"/>
        </w:numPr>
        <w:ind w:left="709" w:hanging="709"/>
        <w:rPr>
          <w:rFonts w:hint="eastAsia" w:ascii="宋体" w:hAnsi="宋体" w:eastAsia="宋体" w:cs="宋体"/>
          <w:b/>
          <w:sz w:val="24"/>
          <w:szCs w:val="24"/>
          <w:lang w:val="zh-CN"/>
        </w:rPr>
      </w:pPr>
      <w:r>
        <w:rPr>
          <w:rFonts w:hint="eastAsia" w:ascii="宋体" w:hAnsi="宋体" w:eastAsia="宋体" w:cs="宋体"/>
          <w:bCs/>
          <w:sz w:val="24"/>
          <w:szCs w:val="24"/>
        </w:rPr>
        <w:br w:type="page"/>
      </w:r>
      <w:bookmarkStart w:id="113" w:name="_Toc6900"/>
      <w:r>
        <w:rPr>
          <w:rFonts w:hint="eastAsia" w:ascii="宋体" w:hAnsi="宋体" w:eastAsia="宋体" w:cs="宋体"/>
          <w:b/>
          <w:sz w:val="24"/>
          <w:szCs w:val="24"/>
          <w:lang w:val="zh-CN"/>
        </w:rPr>
        <w:t>格式16、享受政府采购政策优惠的证明资料</w:t>
      </w:r>
      <w:bookmarkEnd w:id="113"/>
    </w:p>
    <w:p>
      <w:pPr>
        <w:rPr>
          <w:rFonts w:hint="eastAsia" w:ascii="宋体" w:hAnsi="宋体" w:eastAsia="宋体" w:cs="宋体"/>
          <w:sz w:val="24"/>
          <w:szCs w:val="24"/>
          <w:lang w:val="zh-CN"/>
        </w:rPr>
      </w:pPr>
    </w:p>
    <w:p>
      <w:pPr>
        <w:autoSpaceDE w:val="0"/>
        <w:autoSpaceDN w:val="0"/>
        <w:spacing w:line="360" w:lineRule="auto"/>
        <w:jc w:val="center"/>
        <w:rPr>
          <w:rFonts w:hint="eastAsia" w:ascii="宋体" w:hAnsi="宋体" w:eastAsia="宋体" w:cs="宋体"/>
          <w:b/>
          <w:bCs/>
          <w:kern w:val="0"/>
          <w:sz w:val="24"/>
          <w:szCs w:val="24"/>
        </w:rPr>
      </w:pPr>
    </w:p>
    <w:p>
      <w:pPr>
        <w:autoSpaceDE w:val="0"/>
        <w:autoSpaceDN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节能产品、环境标志产品证明材料</w:t>
      </w:r>
    </w:p>
    <w:p>
      <w:pPr>
        <w:autoSpaceDE w:val="0"/>
        <w:autoSpaceDN w:val="0"/>
        <w:spacing w:line="360" w:lineRule="auto"/>
        <w:jc w:val="center"/>
        <w:rPr>
          <w:rFonts w:hint="eastAsia" w:ascii="宋体" w:hAnsi="宋体" w:eastAsia="宋体" w:cs="宋体"/>
          <w:b/>
          <w:bCs/>
          <w:kern w:val="0"/>
          <w:sz w:val="24"/>
          <w:szCs w:val="24"/>
        </w:rPr>
      </w:pP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产品属于品目清单范围的，实施政府优先采购和强制采购。供应商应提供国家确定的认证机构出具的、处于有效期之内的节能产品、环境标志产品认证证书，并加盖供应商单位公章。</w:t>
      </w:r>
    </w:p>
    <w:p>
      <w:pPr>
        <w:rPr>
          <w:rFonts w:hint="eastAsia" w:ascii="宋体" w:hAnsi="宋体" w:eastAsia="宋体" w:cs="宋体"/>
          <w:kern w:val="0"/>
          <w:sz w:val="24"/>
          <w:szCs w:val="24"/>
        </w:rPr>
      </w:pPr>
      <w:r>
        <w:rPr>
          <w:rFonts w:hint="eastAsia" w:ascii="宋体" w:hAnsi="宋体" w:eastAsia="宋体" w:cs="宋体"/>
          <w:kern w:val="0"/>
          <w:sz w:val="24"/>
          <w:szCs w:val="24"/>
        </w:rPr>
        <w:br w:type="page"/>
      </w:r>
    </w:p>
    <w:p>
      <w:pPr>
        <w:autoSpaceDE w:val="0"/>
        <w:autoSpaceDN w:val="0"/>
        <w:spacing w:line="360" w:lineRule="auto"/>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rPr>
        <w:t>中小</w:t>
      </w:r>
      <w:r>
        <w:rPr>
          <w:rFonts w:hint="eastAsia" w:ascii="宋体" w:hAnsi="宋体" w:eastAsia="宋体" w:cs="宋体"/>
          <w:b/>
          <w:bCs/>
          <w:kern w:val="0"/>
          <w:sz w:val="24"/>
          <w:szCs w:val="24"/>
          <w:lang w:val="zh-CN"/>
        </w:rPr>
        <w:t>企业声明函</w:t>
      </w:r>
    </w:p>
    <w:p>
      <w:pPr>
        <w:autoSpaceDE w:val="0"/>
        <w:autoSpaceDN w:val="0"/>
        <w:spacing w:line="360" w:lineRule="auto"/>
        <w:rPr>
          <w:rFonts w:hint="eastAsia" w:ascii="宋体" w:hAnsi="宋体" w:eastAsia="宋体" w:cs="宋体"/>
          <w:kern w:val="0"/>
          <w:sz w:val="24"/>
          <w:szCs w:val="24"/>
          <w:lang w:val="zh-CN"/>
        </w:rPr>
      </w:pP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本公司（联合体）郑重声明，根据《政府采购促进中小企业发展管理办法》（财库﹝2020﹞46 号）的规定，本公司（联合体）参加</w:t>
      </w:r>
      <w:r>
        <w:rPr>
          <w:rFonts w:hint="eastAsia" w:ascii="宋体" w:hAnsi="宋体" w:eastAsia="宋体" w:cs="宋体"/>
          <w:kern w:val="0"/>
          <w:sz w:val="24"/>
          <w:szCs w:val="24"/>
          <w:u w:val="single"/>
        </w:rPr>
        <w:t>（单位名称）</w:t>
      </w:r>
      <w:r>
        <w:rPr>
          <w:rFonts w:hint="eastAsia" w:ascii="宋体" w:hAnsi="宋体" w:eastAsia="宋体" w:cs="宋体"/>
          <w:kern w:val="0"/>
          <w:sz w:val="24"/>
          <w:szCs w:val="24"/>
        </w:rPr>
        <w:t>的</w:t>
      </w:r>
      <w:r>
        <w:rPr>
          <w:rFonts w:hint="eastAsia" w:ascii="宋体" w:hAnsi="宋体" w:eastAsia="宋体" w:cs="宋体"/>
          <w:kern w:val="0"/>
          <w:sz w:val="24"/>
          <w:szCs w:val="24"/>
          <w:u w:val="single"/>
        </w:rPr>
        <w:t>（项目名称）</w:t>
      </w:r>
      <w:r>
        <w:rPr>
          <w:rFonts w:hint="eastAsia" w:ascii="宋体" w:hAnsi="宋体" w:eastAsia="宋体" w:cs="宋体"/>
          <w:kern w:val="0"/>
          <w:sz w:val="24"/>
          <w:szCs w:val="24"/>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1. </w:t>
      </w:r>
      <w:r>
        <w:rPr>
          <w:rFonts w:hint="eastAsia" w:ascii="宋体" w:hAnsi="宋体" w:eastAsia="宋体" w:cs="宋体"/>
          <w:kern w:val="0"/>
          <w:sz w:val="24"/>
          <w:szCs w:val="24"/>
          <w:u w:val="single"/>
        </w:rPr>
        <w:t xml:space="preserve">（标的名称）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行业；制造商为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2. </w:t>
      </w:r>
      <w:r>
        <w:rPr>
          <w:rFonts w:hint="eastAsia" w:ascii="宋体" w:hAnsi="宋体" w:eastAsia="宋体" w:cs="宋体"/>
          <w:kern w:val="0"/>
          <w:sz w:val="24"/>
          <w:szCs w:val="24"/>
          <w:u w:val="single"/>
        </w:rPr>
        <w:t xml:space="preserve">（标的名称）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行业；制造商为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以上企业，不属于大企业的分支机构，不存在控股股东为大企业的情形，也不存在与大企业的负责人为同一人的情形。</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本企业对上述声明内容的真实性负责。如有虚假，将依法承担相应责任。</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 xml:space="preserve">    注：若无此项内容，可不提供此函。</w:t>
      </w:r>
    </w:p>
    <w:p>
      <w:pPr>
        <w:autoSpaceDE w:val="0"/>
        <w:autoSpaceDN w:val="0"/>
        <w:adjustRightInd w:val="0"/>
        <w:spacing w:line="360" w:lineRule="auto"/>
        <w:jc w:val="right"/>
        <w:rPr>
          <w:rFonts w:hint="eastAsia" w:ascii="宋体" w:hAnsi="宋体" w:eastAsia="宋体" w:cs="宋体"/>
          <w:kern w:val="0"/>
          <w:sz w:val="24"/>
          <w:szCs w:val="24"/>
        </w:rPr>
      </w:pPr>
    </w:p>
    <w:p>
      <w:pPr>
        <w:autoSpaceDE w:val="0"/>
        <w:autoSpaceDN w:val="0"/>
        <w:adjustRightInd w:val="0"/>
        <w:spacing w:line="360" w:lineRule="auto"/>
        <w:jc w:val="right"/>
        <w:rPr>
          <w:rFonts w:hint="eastAsia" w:ascii="宋体" w:hAnsi="宋体" w:eastAsia="宋体" w:cs="宋体"/>
          <w:kern w:val="0"/>
          <w:sz w:val="24"/>
          <w:szCs w:val="24"/>
        </w:rPr>
      </w:pPr>
    </w:p>
    <w:p>
      <w:pPr>
        <w:autoSpaceDE w:val="0"/>
        <w:autoSpaceDN w:val="0"/>
        <w:adjustRightInd w:val="0"/>
        <w:spacing w:line="360" w:lineRule="auto"/>
        <w:jc w:val="right"/>
        <w:rPr>
          <w:rFonts w:hint="eastAsia" w:ascii="宋体" w:hAnsi="宋体" w:eastAsia="宋体" w:cs="宋体"/>
          <w:kern w:val="0"/>
          <w:sz w:val="24"/>
          <w:szCs w:val="24"/>
        </w:rPr>
      </w:pPr>
    </w:p>
    <w:p>
      <w:pPr>
        <w:autoSpaceDE w:val="0"/>
        <w:autoSpaceDN w:val="0"/>
        <w:adjustRightInd w:val="0"/>
        <w:spacing w:line="360" w:lineRule="auto"/>
        <w:rPr>
          <w:rFonts w:hint="eastAsia" w:ascii="宋体" w:hAnsi="宋体" w:eastAsia="宋体" w:cs="宋体"/>
          <w:kern w:val="0"/>
          <w:sz w:val="24"/>
          <w:szCs w:val="24"/>
        </w:rPr>
      </w:pPr>
    </w:p>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企业名称（盖章）：   </w:t>
      </w:r>
    </w:p>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日期：</w:t>
      </w:r>
    </w:p>
    <w:p>
      <w:pPr>
        <w:autoSpaceDE w:val="0"/>
        <w:autoSpaceDN w:val="0"/>
        <w:adjustRightInd w:val="0"/>
        <w:spacing w:line="360" w:lineRule="auto"/>
        <w:jc w:val="right"/>
        <w:rPr>
          <w:rFonts w:hint="eastAsia" w:ascii="宋体" w:hAnsi="宋体" w:eastAsia="宋体" w:cs="宋体"/>
          <w:kern w:val="0"/>
          <w:sz w:val="24"/>
          <w:szCs w:val="24"/>
        </w:rPr>
      </w:pP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从业人员、营业收入、资产总额填报上一年度数据，无上一年度数据的新成立企业可不填报。</w:t>
      </w:r>
    </w:p>
    <w:p>
      <w:pPr>
        <w:spacing w:line="480" w:lineRule="auto"/>
        <w:jc w:val="right"/>
        <w:rPr>
          <w:rFonts w:hint="eastAsia" w:ascii="宋体" w:hAnsi="宋体" w:eastAsia="宋体" w:cs="宋体"/>
          <w:b/>
          <w:bCs/>
          <w:kern w:val="0"/>
          <w:sz w:val="24"/>
          <w:szCs w:val="24"/>
        </w:rPr>
      </w:pPr>
    </w:p>
    <w:p>
      <w:pPr>
        <w:adjustRightInd w:val="0"/>
        <w:snapToGrid w:val="0"/>
        <w:spacing w:line="440" w:lineRule="exact"/>
        <w:ind w:left="6114" w:hanging="6987" w:hangingChars="2900"/>
        <w:jc w:val="center"/>
        <w:rPr>
          <w:rFonts w:hint="eastAsia" w:ascii="宋体" w:hAnsi="宋体" w:eastAsia="宋体" w:cs="宋体"/>
          <w:b/>
          <w:bCs/>
          <w:kern w:val="0"/>
          <w:sz w:val="24"/>
          <w:szCs w:val="24"/>
          <w:lang w:val="zh-CN"/>
        </w:rPr>
      </w:pPr>
    </w:p>
    <w:p>
      <w:pPr>
        <w:autoSpaceDE w:val="0"/>
        <w:autoSpaceDN w:val="0"/>
        <w:spacing w:line="360" w:lineRule="auto"/>
        <w:jc w:val="center"/>
        <w:rPr>
          <w:rFonts w:hint="eastAsia" w:ascii="宋体" w:hAnsi="宋体" w:eastAsia="宋体" w:cs="宋体"/>
          <w:b/>
          <w:bCs/>
          <w:kern w:val="0"/>
          <w:sz w:val="24"/>
          <w:szCs w:val="24"/>
        </w:rPr>
      </w:pPr>
      <w:r>
        <w:rPr>
          <w:rFonts w:hint="eastAsia" w:ascii="宋体" w:hAnsi="宋体" w:eastAsia="宋体" w:cs="宋体"/>
          <w:sz w:val="24"/>
          <w:szCs w:val="24"/>
        </w:rPr>
        <w:br w:type="page"/>
      </w:r>
      <w:bookmarkStart w:id="114" w:name="_Toc9477"/>
      <w:bookmarkStart w:id="115" w:name="_Toc30801"/>
      <w:r>
        <w:rPr>
          <w:rFonts w:hint="eastAsia" w:ascii="宋体" w:hAnsi="宋体" w:eastAsia="宋体" w:cs="宋体"/>
          <w:b/>
          <w:bCs/>
          <w:kern w:val="0"/>
          <w:sz w:val="24"/>
          <w:szCs w:val="24"/>
        </w:rPr>
        <w:t>监狱企业证明资料</w:t>
      </w:r>
      <w:bookmarkEnd w:id="114"/>
      <w:bookmarkEnd w:id="115"/>
    </w:p>
    <w:p>
      <w:pPr>
        <w:autoSpaceDE w:val="0"/>
        <w:autoSpaceDN w:val="0"/>
        <w:spacing w:line="360" w:lineRule="auto"/>
        <w:jc w:val="center"/>
        <w:rPr>
          <w:rFonts w:hint="eastAsia" w:ascii="宋体" w:hAnsi="宋体" w:eastAsia="宋体" w:cs="宋体"/>
          <w:sz w:val="24"/>
          <w:szCs w:val="24"/>
        </w:rPr>
      </w:pPr>
    </w:p>
    <w:p>
      <w:pPr>
        <w:adjustRightInd w:val="0"/>
        <w:snapToGrid w:val="0"/>
        <w:spacing w:line="560" w:lineRule="exact"/>
        <w:jc w:val="center"/>
        <w:rPr>
          <w:rFonts w:hint="eastAsia" w:ascii="宋体" w:hAnsi="宋体" w:eastAsia="宋体" w:cs="宋体"/>
          <w:sz w:val="24"/>
          <w:szCs w:val="24"/>
        </w:rPr>
      </w:pPr>
      <w:bookmarkStart w:id="116" w:name="_Toc28022_WPSOffice_Level3"/>
      <w:bookmarkStart w:id="117" w:name="_Toc25903_WPSOffice_Level3"/>
      <w:r>
        <w:rPr>
          <w:rFonts w:hint="eastAsia" w:ascii="宋体" w:hAnsi="宋体" w:eastAsia="宋体" w:cs="宋体"/>
          <w:b/>
          <w:spacing w:val="6"/>
          <w:sz w:val="24"/>
          <w:szCs w:val="24"/>
        </w:rPr>
        <w:t>(不属于监狱企业的无需提供)</w:t>
      </w:r>
      <w:bookmarkEnd w:id="116"/>
      <w:bookmarkEnd w:id="117"/>
    </w:p>
    <w:p>
      <w:pPr>
        <w:adjustRightInd w:val="0"/>
        <w:snapToGrid w:val="0"/>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备注：按《财政部司法部关于政府采购支持监狱企业发展有关问题的通知》(财库〔2014〕68号)文件规定提供证明文件（复印件）。</w:t>
      </w:r>
    </w:p>
    <w:p>
      <w:pPr>
        <w:spacing w:before="120" w:beforeLines="50" w:line="560" w:lineRule="exact"/>
        <w:ind w:firstLine="480" w:firstLineChars="200"/>
        <w:jc w:val="right"/>
        <w:rPr>
          <w:rFonts w:hint="eastAsia" w:ascii="宋体" w:hAnsi="宋体" w:eastAsia="宋体" w:cs="宋体"/>
          <w:kern w:val="0"/>
          <w:sz w:val="24"/>
          <w:szCs w:val="24"/>
        </w:rPr>
      </w:pPr>
      <w:r>
        <w:rPr>
          <w:rFonts w:hint="eastAsia" w:ascii="宋体" w:hAnsi="宋体" w:eastAsia="宋体" w:cs="宋体"/>
          <w:kern w:val="0"/>
          <w:sz w:val="24"/>
          <w:szCs w:val="24"/>
        </w:rPr>
        <w:t xml:space="preserve">                 </w:t>
      </w:r>
      <w:bookmarkStart w:id="118" w:name="_Toc22071_WPSOffice_Level3"/>
    </w:p>
    <w:p>
      <w:pPr>
        <w:spacing w:before="120" w:beforeLines="50" w:line="560" w:lineRule="exact"/>
        <w:ind w:firstLine="480" w:firstLineChars="200"/>
        <w:jc w:val="right"/>
        <w:rPr>
          <w:rFonts w:hint="eastAsia" w:ascii="宋体" w:hAnsi="宋体" w:eastAsia="宋体" w:cs="宋体"/>
          <w:kern w:val="0"/>
          <w:sz w:val="24"/>
          <w:szCs w:val="24"/>
        </w:rPr>
      </w:pPr>
    </w:p>
    <w:p>
      <w:pPr>
        <w:spacing w:before="120" w:beforeLines="50" w:line="560" w:lineRule="exact"/>
        <w:ind w:firstLine="480" w:firstLineChars="200"/>
        <w:jc w:val="right"/>
        <w:rPr>
          <w:rFonts w:hint="eastAsia" w:ascii="宋体" w:hAnsi="宋体" w:eastAsia="宋体" w:cs="宋体"/>
          <w:kern w:val="0"/>
          <w:sz w:val="24"/>
          <w:szCs w:val="24"/>
        </w:rPr>
      </w:pPr>
    </w:p>
    <w:p>
      <w:pPr>
        <w:spacing w:before="120" w:beforeLines="50" w:line="560" w:lineRule="exact"/>
        <w:ind w:firstLine="480" w:firstLineChars="200"/>
        <w:jc w:val="right"/>
        <w:rPr>
          <w:rFonts w:hint="eastAsia" w:ascii="宋体" w:hAnsi="宋体" w:eastAsia="宋体" w:cs="宋体"/>
          <w:kern w:val="0"/>
          <w:sz w:val="24"/>
          <w:szCs w:val="24"/>
        </w:rPr>
      </w:pPr>
    </w:p>
    <w:p>
      <w:pPr>
        <w:spacing w:before="120" w:beforeLines="50" w:line="560" w:lineRule="exact"/>
        <w:ind w:firstLine="480" w:firstLineChars="200"/>
        <w:jc w:val="right"/>
        <w:rPr>
          <w:rFonts w:hint="eastAsia" w:ascii="宋体" w:hAnsi="宋体" w:eastAsia="宋体" w:cs="宋体"/>
          <w:kern w:val="0"/>
          <w:sz w:val="24"/>
          <w:szCs w:val="24"/>
        </w:rPr>
      </w:pPr>
    </w:p>
    <w:p>
      <w:pPr>
        <w:spacing w:before="120" w:beforeLines="50" w:line="560" w:lineRule="exact"/>
        <w:ind w:firstLine="480" w:firstLineChars="200"/>
        <w:jc w:val="right"/>
        <w:rPr>
          <w:rFonts w:hint="eastAsia" w:ascii="宋体" w:hAnsi="宋体" w:eastAsia="宋体" w:cs="宋体"/>
          <w:kern w:val="0"/>
          <w:sz w:val="24"/>
          <w:szCs w:val="24"/>
        </w:rPr>
      </w:pPr>
    </w:p>
    <w:p>
      <w:pPr>
        <w:spacing w:before="120" w:beforeLines="50" w:line="560" w:lineRule="exact"/>
        <w:ind w:firstLine="480" w:firstLineChars="200"/>
        <w:jc w:val="right"/>
        <w:rPr>
          <w:rFonts w:hint="eastAsia" w:ascii="宋体" w:hAnsi="宋体" w:eastAsia="宋体" w:cs="宋体"/>
          <w:kern w:val="0"/>
          <w:sz w:val="24"/>
          <w:szCs w:val="24"/>
        </w:rPr>
      </w:pPr>
    </w:p>
    <w:p>
      <w:pPr>
        <w:spacing w:before="120" w:beforeLines="50" w:line="560" w:lineRule="exact"/>
        <w:ind w:firstLine="480" w:firstLineChars="200"/>
        <w:jc w:val="right"/>
        <w:rPr>
          <w:rFonts w:hint="eastAsia" w:ascii="宋体" w:hAnsi="宋体" w:eastAsia="宋体" w:cs="宋体"/>
          <w:kern w:val="0"/>
          <w:sz w:val="24"/>
          <w:szCs w:val="24"/>
        </w:rPr>
      </w:pPr>
    </w:p>
    <w:p>
      <w:pPr>
        <w:spacing w:before="120" w:beforeLines="50" w:line="560" w:lineRule="exact"/>
        <w:ind w:firstLine="480" w:firstLineChars="200"/>
        <w:jc w:val="right"/>
        <w:rPr>
          <w:rFonts w:hint="eastAsia" w:ascii="宋体" w:hAnsi="宋体" w:eastAsia="宋体" w:cs="宋体"/>
          <w:kern w:val="0"/>
          <w:sz w:val="24"/>
          <w:szCs w:val="24"/>
        </w:rPr>
      </w:pPr>
    </w:p>
    <w:p>
      <w:pPr>
        <w:spacing w:before="120" w:beforeLines="50" w:line="560" w:lineRule="exact"/>
        <w:ind w:firstLine="480" w:firstLineChars="200"/>
        <w:jc w:val="right"/>
        <w:rPr>
          <w:rFonts w:hint="eastAsia" w:ascii="宋体" w:hAnsi="宋体" w:eastAsia="宋体" w:cs="宋体"/>
          <w:kern w:val="0"/>
          <w:sz w:val="24"/>
          <w:szCs w:val="24"/>
        </w:rPr>
      </w:pPr>
    </w:p>
    <w:p>
      <w:pPr>
        <w:spacing w:before="120" w:beforeLines="50" w:line="560" w:lineRule="exact"/>
        <w:ind w:firstLine="480" w:firstLineChars="200"/>
        <w:jc w:val="right"/>
        <w:rPr>
          <w:rFonts w:hint="eastAsia" w:ascii="宋体" w:hAnsi="宋体" w:eastAsia="宋体" w:cs="宋体"/>
          <w:kern w:val="0"/>
          <w:sz w:val="24"/>
          <w:szCs w:val="24"/>
        </w:rPr>
      </w:pPr>
    </w:p>
    <w:p>
      <w:pPr>
        <w:spacing w:before="120" w:beforeLines="50" w:line="560" w:lineRule="exact"/>
        <w:ind w:firstLine="480" w:firstLineChars="200"/>
        <w:jc w:val="right"/>
        <w:rPr>
          <w:rFonts w:hint="eastAsia" w:ascii="宋体" w:hAnsi="宋体" w:eastAsia="宋体" w:cs="宋体"/>
          <w:kern w:val="0"/>
          <w:sz w:val="24"/>
          <w:szCs w:val="24"/>
        </w:rPr>
      </w:pPr>
    </w:p>
    <w:p>
      <w:pPr>
        <w:spacing w:before="120" w:beforeLines="50" w:line="560" w:lineRule="exact"/>
        <w:ind w:firstLine="480" w:firstLineChars="200"/>
        <w:jc w:val="right"/>
        <w:rPr>
          <w:rFonts w:hint="eastAsia" w:ascii="宋体" w:hAnsi="宋体" w:eastAsia="宋体" w:cs="宋体"/>
          <w:kern w:val="0"/>
          <w:sz w:val="24"/>
          <w:szCs w:val="24"/>
        </w:rPr>
      </w:pPr>
      <w:r>
        <w:rPr>
          <w:rFonts w:hint="eastAsia" w:ascii="宋体" w:hAnsi="宋体" w:eastAsia="宋体" w:cs="宋体"/>
          <w:kern w:val="0"/>
          <w:sz w:val="24"/>
          <w:szCs w:val="24"/>
        </w:rPr>
        <w:t>单位名称：       （公章）</w:t>
      </w:r>
      <w:bookmarkEnd w:id="118"/>
    </w:p>
    <w:p>
      <w:pPr>
        <w:spacing w:before="120" w:beforeLines="50" w:line="560" w:lineRule="exact"/>
        <w:ind w:firstLine="480" w:firstLineChars="200"/>
        <w:jc w:val="right"/>
        <w:rPr>
          <w:rFonts w:hint="eastAsia" w:ascii="宋体" w:hAnsi="宋体" w:eastAsia="宋体" w:cs="宋体"/>
          <w:kern w:val="0"/>
          <w:sz w:val="24"/>
          <w:szCs w:val="24"/>
        </w:rPr>
      </w:pPr>
      <w:r>
        <w:rPr>
          <w:rFonts w:hint="eastAsia" w:ascii="宋体" w:hAnsi="宋体" w:eastAsia="宋体" w:cs="宋体"/>
          <w:kern w:val="0"/>
          <w:sz w:val="24"/>
          <w:szCs w:val="24"/>
        </w:rPr>
        <w:t xml:space="preserve">        </w:t>
      </w:r>
      <w:bookmarkStart w:id="119" w:name="_Toc11539_WPSOffice_Level3"/>
      <w:r>
        <w:rPr>
          <w:rFonts w:hint="eastAsia" w:ascii="宋体" w:hAnsi="宋体" w:eastAsia="宋体" w:cs="宋体"/>
          <w:kern w:val="0"/>
          <w:sz w:val="24"/>
          <w:szCs w:val="24"/>
        </w:rPr>
        <w:t>法定代表人或委托代理人：       （签字或盖章）</w:t>
      </w:r>
      <w:bookmarkEnd w:id="119"/>
    </w:p>
    <w:p>
      <w:pPr>
        <w:spacing w:before="120" w:beforeLines="50" w:line="560" w:lineRule="exact"/>
        <w:ind w:firstLine="480" w:firstLineChars="200"/>
        <w:jc w:val="center"/>
        <w:rPr>
          <w:rFonts w:hint="eastAsia" w:ascii="宋体" w:hAnsi="宋体" w:eastAsia="宋体" w:cs="宋体"/>
          <w:kern w:val="0"/>
          <w:sz w:val="24"/>
          <w:szCs w:val="24"/>
        </w:rPr>
      </w:pPr>
      <w:r>
        <w:rPr>
          <w:rFonts w:hint="eastAsia" w:ascii="宋体" w:hAnsi="宋体" w:eastAsia="宋体" w:cs="宋体"/>
          <w:bCs/>
          <w:color w:val="000000"/>
          <w:sz w:val="24"/>
          <w:szCs w:val="24"/>
        </w:rPr>
        <w:t xml:space="preserve">                                    </w:t>
      </w:r>
      <w:bookmarkStart w:id="120" w:name="_Toc3285_WPSOffice_Level3"/>
      <w:r>
        <w:rPr>
          <w:rFonts w:hint="eastAsia" w:ascii="宋体" w:hAnsi="宋体" w:eastAsia="宋体" w:cs="宋体"/>
          <w:kern w:val="0"/>
          <w:sz w:val="24"/>
          <w:szCs w:val="24"/>
        </w:rPr>
        <w:t>年   月  日</w:t>
      </w:r>
      <w:bookmarkEnd w:id="120"/>
    </w:p>
    <w:p>
      <w:pPr>
        <w:autoSpaceDE w:val="0"/>
        <w:autoSpaceDN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zh-CN"/>
        </w:rPr>
        <w:br w:type="page"/>
      </w:r>
      <w:r>
        <w:rPr>
          <w:rFonts w:hint="eastAsia" w:ascii="宋体" w:hAnsi="宋体" w:eastAsia="宋体" w:cs="宋体"/>
          <w:b/>
          <w:bCs/>
          <w:kern w:val="0"/>
          <w:sz w:val="24"/>
          <w:szCs w:val="24"/>
        </w:rPr>
        <w:t>残疾人福利性单位声明函</w:t>
      </w:r>
    </w:p>
    <w:p>
      <w:pPr>
        <w:spacing w:after="120" w:afterLines="50"/>
        <w:rPr>
          <w:rFonts w:hint="eastAsia" w:ascii="宋体" w:hAnsi="宋体" w:eastAsia="宋体" w:cs="宋体"/>
          <w:bCs/>
          <w:sz w:val="24"/>
          <w:szCs w:val="24"/>
        </w:rPr>
      </w:pPr>
    </w:p>
    <w:p>
      <w:pPr>
        <w:adjustRightInd w:val="0"/>
        <w:snapToGrid w:val="0"/>
        <w:spacing w:line="440" w:lineRule="exact"/>
        <w:ind w:left="6987" w:hanging="6987" w:hangingChars="290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致：青海国焱工程项目管理有限公司</w:t>
      </w:r>
    </w:p>
    <w:p>
      <w:pPr>
        <w:spacing w:line="360" w:lineRule="auto"/>
        <w:ind w:firstLine="480"/>
        <w:rPr>
          <w:rFonts w:hint="eastAsia" w:ascii="宋体" w:hAnsi="宋体" w:eastAsia="宋体" w:cs="宋体"/>
          <w:sz w:val="24"/>
          <w:szCs w:val="24"/>
        </w:rPr>
      </w:pPr>
    </w:p>
    <w:p>
      <w:pPr>
        <w:adjustRightInd w:val="0"/>
        <w:snapToGrid w:val="0"/>
        <w:spacing w:line="440" w:lineRule="exact"/>
        <w:ind w:left="-4" w:leftChars="-2"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40" w:lineRule="exact"/>
        <w:ind w:left="-4" w:leftChars="-2"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adjustRightInd w:val="0"/>
        <w:snapToGrid w:val="0"/>
        <w:spacing w:line="440" w:lineRule="exact"/>
        <w:ind w:left="-4" w:leftChars="-2" w:firstLine="480" w:firstLineChars="200"/>
        <w:rPr>
          <w:rFonts w:hint="eastAsia" w:ascii="宋体" w:hAnsi="宋体" w:eastAsia="宋体" w:cs="宋体"/>
          <w:sz w:val="24"/>
          <w:szCs w:val="24"/>
        </w:rPr>
      </w:pPr>
    </w:p>
    <w:p>
      <w:pPr>
        <w:adjustRightInd w:val="0"/>
        <w:snapToGrid w:val="0"/>
        <w:spacing w:line="440" w:lineRule="exact"/>
        <w:ind w:left="-4" w:leftChars="-2" w:firstLine="480" w:firstLineChars="200"/>
        <w:rPr>
          <w:rFonts w:hint="eastAsia" w:ascii="宋体" w:hAnsi="宋体" w:eastAsia="宋体" w:cs="宋体"/>
          <w:sz w:val="24"/>
          <w:szCs w:val="24"/>
        </w:rPr>
      </w:pPr>
      <w:r>
        <w:rPr>
          <w:rFonts w:hint="eastAsia" w:ascii="宋体" w:hAnsi="宋体" w:eastAsia="宋体" w:cs="宋体"/>
          <w:sz w:val="24"/>
          <w:szCs w:val="24"/>
        </w:rPr>
        <w:t>注：若无此项内容，可不提供此函。</w:t>
      </w: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autoSpaceDE w:val="0"/>
        <w:autoSpaceDN w:val="0"/>
        <w:spacing w:line="360" w:lineRule="auto"/>
        <w:jc w:val="right"/>
        <w:rPr>
          <w:rFonts w:hint="eastAsia" w:ascii="宋体" w:hAnsi="宋体" w:eastAsia="宋体" w:cs="宋体"/>
          <w:bCs/>
          <w:sz w:val="24"/>
          <w:szCs w:val="24"/>
        </w:rPr>
      </w:pPr>
      <w:r>
        <w:rPr>
          <w:rFonts w:hint="eastAsia" w:ascii="宋体" w:hAnsi="宋体" w:eastAsia="宋体" w:cs="宋体"/>
          <w:b/>
          <w:sz w:val="24"/>
          <w:szCs w:val="24"/>
        </w:rPr>
        <w:t xml:space="preserve">                                </w:t>
      </w:r>
      <w:r>
        <w:rPr>
          <w:rFonts w:hint="eastAsia" w:ascii="宋体" w:hAnsi="宋体" w:eastAsia="宋体" w:cs="宋体"/>
          <w:bCs/>
          <w:sz w:val="24"/>
          <w:szCs w:val="24"/>
        </w:rPr>
        <w:t>企业名称：       （公章）</w:t>
      </w:r>
    </w:p>
    <w:p>
      <w:pPr>
        <w:autoSpaceDE w:val="0"/>
        <w:autoSpaceDN w:val="0"/>
        <w:spacing w:line="360" w:lineRule="auto"/>
        <w:jc w:val="right"/>
        <w:rPr>
          <w:rFonts w:hint="eastAsia" w:ascii="宋体" w:hAnsi="宋体" w:eastAsia="宋体" w:cs="宋体"/>
          <w:bCs/>
          <w:sz w:val="24"/>
          <w:szCs w:val="24"/>
        </w:rPr>
      </w:pPr>
      <w:r>
        <w:rPr>
          <w:rFonts w:hint="eastAsia" w:ascii="宋体" w:hAnsi="宋体" w:eastAsia="宋体" w:cs="宋体"/>
          <w:bCs/>
          <w:sz w:val="24"/>
          <w:szCs w:val="24"/>
        </w:rPr>
        <w:t xml:space="preserve">       企业法定代表人：       （签字或盖章）</w:t>
      </w:r>
    </w:p>
    <w:p>
      <w:pPr>
        <w:ind w:firstLine="480"/>
        <w:rPr>
          <w:rFonts w:hint="eastAsia" w:ascii="宋体" w:hAnsi="宋体" w:eastAsia="宋体" w:cs="宋体"/>
          <w:sz w:val="24"/>
          <w:szCs w:val="24"/>
        </w:rPr>
      </w:pPr>
      <w:r>
        <w:rPr>
          <w:rFonts w:hint="eastAsia" w:ascii="宋体" w:hAnsi="宋体" w:eastAsia="宋体" w:cs="宋体"/>
          <w:bCs/>
          <w:sz w:val="24"/>
          <w:szCs w:val="24"/>
        </w:rPr>
        <w:t xml:space="preserve">                                                              年   月   日</w:t>
      </w:r>
    </w:p>
    <w:p>
      <w:pPr>
        <w:ind w:firstLine="480"/>
        <w:rPr>
          <w:rFonts w:hint="eastAsia" w:ascii="宋体" w:hAnsi="宋体" w:eastAsia="宋体" w:cs="宋体"/>
          <w:sz w:val="24"/>
          <w:szCs w:val="24"/>
        </w:rPr>
      </w:pPr>
    </w:p>
    <w:p>
      <w:pPr>
        <w:pStyle w:val="6"/>
        <w:numPr>
          <w:ilvl w:val="0"/>
          <w:numId w:val="0"/>
        </w:numPr>
        <w:rPr>
          <w:rFonts w:hint="eastAsia" w:ascii="宋体" w:hAnsi="宋体" w:eastAsia="宋体" w:cs="宋体"/>
          <w:sz w:val="24"/>
          <w:szCs w:val="24"/>
          <w:lang w:val="zh-CN"/>
        </w:rPr>
      </w:pPr>
      <w:r>
        <w:rPr>
          <w:rFonts w:hint="eastAsia" w:ascii="宋体" w:hAnsi="宋体" w:eastAsia="宋体" w:cs="宋体"/>
          <w:sz w:val="24"/>
          <w:szCs w:val="24"/>
          <w:lang w:val="zh-CN"/>
        </w:rPr>
        <w:br w:type="page"/>
      </w:r>
    </w:p>
    <w:p>
      <w:pPr>
        <w:pStyle w:val="6"/>
        <w:numPr>
          <w:ilvl w:val="0"/>
          <w:numId w:val="0"/>
        </w:numPr>
        <w:ind w:left="709" w:hanging="709"/>
        <w:rPr>
          <w:rFonts w:hint="eastAsia" w:ascii="宋体" w:hAnsi="宋体" w:eastAsia="宋体" w:cs="宋体"/>
          <w:sz w:val="24"/>
          <w:szCs w:val="24"/>
        </w:rPr>
      </w:pPr>
      <w:bookmarkStart w:id="121" w:name="_Toc31287"/>
      <w:bookmarkStart w:id="122" w:name="_Toc31726"/>
      <w:r>
        <w:rPr>
          <w:rFonts w:hint="eastAsia" w:ascii="宋体" w:hAnsi="宋体" w:eastAsia="宋体" w:cs="宋体"/>
          <w:b/>
          <w:sz w:val="24"/>
          <w:szCs w:val="24"/>
          <w:lang w:val="zh-CN"/>
        </w:rPr>
        <w:t>格式17、磋商供应商认为在其他方面有必要说明的事项</w:t>
      </w:r>
      <w:bookmarkEnd w:id="121"/>
      <w:bookmarkEnd w:id="122"/>
    </w:p>
    <w:p>
      <w:pPr>
        <w:autoSpaceDE w:val="0"/>
        <w:autoSpaceDN w:val="0"/>
        <w:adjustRightInd w:val="0"/>
        <w:spacing w:line="360" w:lineRule="auto"/>
        <w:rPr>
          <w:rFonts w:hint="eastAsia" w:ascii="宋体" w:hAnsi="宋体" w:eastAsia="宋体" w:cs="宋体"/>
          <w:kern w:val="0"/>
          <w:sz w:val="24"/>
          <w:szCs w:val="24"/>
        </w:rPr>
      </w:pPr>
    </w:p>
    <w:p>
      <w:pPr>
        <w:pStyle w:val="17"/>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磋商供应商认为在其他方面有必要说明的事项</w:t>
      </w:r>
    </w:p>
    <w:p>
      <w:pPr>
        <w:autoSpaceDE w:val="0"/>
        <w:autoSpaceDN w:val="0"/>
        <w:adjustRightInd w:val="0"/>
        <w:spacing w:line="360" w:lineRule="auto"/>
        <w:rPr>
          <w:rFonts w:hint="eastAsia" w:ascii="宋体" w:hAnsi="宋体" w:eastAsia="宋体" w:cs="宋体"/>
          <w:kern w:val="0"/>
          <w:sz w:val="24"/>
          <w:szCs w:val="24"/>
          <w:lang w:val="zh-CN"/>
        </w:rPr>
      </w:pPr>
    </w:p>
    <w:p>
      <w:pPr>
        <w:autoSpaceDE w:val="0"/>
        <w:autoSpaceDN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磋商供应商在参加本项目磋商中根据磋商文件的要求认为需要说明的事项。如没有说明事项，此项可忽略。（格式可自定）</w:t>
      </w:r>
    </w:p>
    <w:p>
      <w:pPr>
        <w:pStyle w:val="6"/>
        <w:numPr>
          <w:ilvl w:val="0"/>
          <w:numId w:val="0"/>
        </w:numPr>
        <w:ind w:left="709" w:hanging="709"/>
        <w:rPr>
          <w:rFonts w:hint="eastAsia" w:ascii="宋体" w:hAnsi="宋体" w:eastAsia="宋体" w:cs="宋体"/>
          <w:b/>
          <w:sz w:val="24"/>
          <w:szCs w:val="24"/>
          <w:lang w:val="zh-CN"/>
        </w:rPr>
      </w:pPr>
      <w:r>
        <w:rPr>
          <w:rFonts w:hint="eastAsia" w:ascii="宋体" w:hAnsi="宋体" w:eastAsia="宋体" w:cs="宋体"/>
          <w:bCs/>
          <w:sz w:val="24"/>
          <w:szCs w:val="24"/>
        </w:rPr>
        <w:br w:type="page"/>
      </w:r>
      <w:bookmarkStart w:id="123" w:name="_Toc21759"/>
      <w:r>
        <w:rPr>
          <w:rFonts w:hint="eastAsia" w:ascii="宋体" w:hAnsi="宋体" w:eastAsia="宋体" w:cs="宋体"/>
          <w:b/>
          <w:sz w:val="24"/>
          <w:szCs w:val="24"/>
          <w:lang w:val="zh-CN"/>
        </w:rPr>
        <w:t>格式18、磋商最终报价表（单独提交）</w:t>
      </w:r>
      <w:bookmarkEnd w:id="123"/>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磋商最终报价表</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磋商供应商名称： </w:t>
      </w:r>
    </w:p>
    <w:p>
      <w:pPr>
        <w:spacing w:line="360" w:lineRule="auto"/>
        <w:rPr>
          <w:rFonts w:hint="eastAsia" w:ascii="宋体" w:hAnsi="宋体" w:eastAsia="宋体" w:cs="宋体"/>
          <w:b/>
          <w:sz w:val="24"/>
          <w:szCs w:val="24"/>
        </w:rPr>
      </w:pPr>
      <w:r>
        <w:rPr>
          <w:rFonts w:hint="eastAsia" w:ascii="宋体" w:hAnsi="宋体" w:cs="宋体"/>
          <w:b/>
          <w:sz w:val="24"/>
          <w:szCs w:val="24"/>
          <w:lang w:val="en-US" w:eastAsia="zh-CN"/>
        </w:rPr>
        <w:t>标段号：</w:t>
      </w:r>
      <w:r>
        <w:rPr>
          <w:rFonts w:hint="eastAsia" w:ascii="宋体" w:hAnsi="宋体" w:eastAsia="宋体" w:cs="宋体"/>
          <w:b/>
          <w:sz w:val="24"/>
          <w:szCs w:val="24"/>
        </w:rPr>
        <w:t xml:space="preserve"> </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eastAsia="宋体" w:cs="宋体"/>
          <w:b/>
          <w:sz w:val="24"/>
          <w:szCs w:val="24"/>
        </w:rPr>
        <w:t xml:space="preserve">             单位：元</w:t>
      </w:r>
    </w:p>
    <w:tbl>
      <w:tblPr>
        <w:tblStyle w:val="31"/>
        <w:tblW w:w="5000" w:type="pct"/>
        <w:jc w:val="center"/>
        <w:tblLayout w:type="autofit"/>
        <w:tblCellMar>
          <w:top w:w="0" w:type="dxa"/>
          <w:left w:w="108" w:type="dxa"/>
          <w:bottom w:w="0" w:type="dxa"/>
          <w:right w:w="108" w:type="dxa"/>
        </w:tblCellMar>
      </w:tblPr>
      <w:tblGrid>
        <w:gridCol w:w="3178"/>
        <w:gridCol w:w="3301"/>
        <w:gridCol w:w="2259"/>
        <w:gridCol w:w="1230"/>
      </w:tblGrid>
      <w:tr>
        <w:tblPrEx>
          <w:tblCellMar>
            <w:top w:w="0" w:type="dxa"/>
            <w:left w:w="108" w:type="dxa"/>
            <w:bottom w:w="0" w:type="dxa"/>
            <w:right w:w="108" w:type="dxa"/>
          </w:tblCellMar>
        </w:tblPrEx>
        <w:trPr>
          <w:trHeight w:val="699" w:hRule="atLeast"/>
          <w:jc w:val="center"/>
        </w:trPr>
        <w:tc>
          <w:tcPr>
            <w:tcW w:w="1594"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项目名称</w:t>
            </w:r>
          </w:p>
        </w:tc>
        <w:tc>
          <w:tcPr>
            <w:tcW w:w="1656"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投标报价</w:t>
            </w:r>
          </w:p>
        </w:tc>
        <w:tc>
          <w:tcPr>
            <w:tcW w:w="1133" w:type="pct"/>
            <w:tcBorders>
              <w:top w:val="single" w:color="000000" w:sz="6" w:space="0"/>
              <w:left w:val="single" w:color="000000" w:sz="6" w:space="0"/>
              <w:bottom w:val="single" w:color="000000" w:sz="6" w:space="0"/>
              <w:right w:val="single" w:color="auto" w:sz="4" w:space="0"/>
            </w:tcBorders>
            <w:shd w:val="clear" w:color="000000" w:fill="FFFFFF"/>
            <w:vAlign w:val="center"/>
          </w:tcPr>
          <w:p>
            <w:pPr>
              <w:spacing w:line="360" w:lineRule="auto"/>
              <w:jc w:val="center"/>
              <w:rPr>
                <w:rFonts w:hint="eastAsia" w:ascii="宋体" w:hAnsi="宋体" w:eastAsia="宋体" w:cs="宋体"/>
                <w:bCs/>
                <w:sz w:val="24"/>
                <w:szCs w:val="24"/>
                <w:lang w:eastAsia="zh-CN"/>
              </w:rPr>
            </w:pPr>
            <w:r>
              <w:rPr>
                <w:rFonts w:hint="eastAsia" w:ascii="宋体" w:hAnsi="宋体" w:cs="宋体"/>
                <w:bCs/>
                <w:sz w:val="24"/>
                <w:szCs w:val="24"/>
                <w:lang w:eastAsia="zh-CN"/>
              </w:rPr>
              <w:t>交货及安装期</w:t>
            </w:r>
          </w:p>
        </w:tc>
        <w:tc>
          <w:tcPr>
            <w:tcW w:w="617"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备注</w:t>
            </w:r>
          </w:p>
        </w:tc>
      </w:tr>
      <w:tr>
        <w:tblPrEx>
          <w:tblCellMar>
            <w:top w:w="0" w:type="dxa"/>
            <w:left w:w="108" w:type="dxa"/>
            <w:bottom w:w="0" w:type="dxa"/>
            <w:right w:w="108" w:type="dxa"/>
          </w:tblCellMar>
        </w:tblPrEx>
        <w:trPr>
          <w:trHeight w:val="749" w:hRule="atLeast"/>
          <w:jc w:val="center"/>
        </w:trPr>
        <w:tc>
          <w:tcPr>
            <w:tcW w:w="1594" w:type="pct"/>
            <w:vMerge w:val="restart"/>
            <w:tcBorders>
              <w:top w:val="single" w:color="000000" w:sz="6" w:space="0"/>
              <w:left w:val="single" w:color="000000" w:sz="6" w:space="0"/>
              <w:right w:val="single" w:color="000000" w:sz="6" w:space="0"/>
            </w:tcBorders>
            <w:shd w:val="clear" w:color="000000" w:fill="FFFFFF"/>
            <w:vAlign w:val="center"/>
          </w:tcPr>
          <w:p>
            <w:pPr>
              <w:spacing w:line="360" w:lineRule="auto"/>
              <w:jc w:val="center"/>
              <w:rPr>
                <w:rFonts w:hint="eastAsia" w:ascii="宋体" w:hAnsi="宋体" w:eastAsia="宋体" w:cs="宋体"/>
                <w:bCs/>
                <w:sz w:val="24"/>
                <w:szCs w:val="24"/>
              </w:rPr>
            </w:pPr>
          </w:p>
        </w:tc>
        <w:tc>
          <w:tcPr>
            <w:tcW w:w="1656"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大写：</w:t>
            </w:r>
          </w:p>
        </w:tc>
        <w:tc>
          <w:tcPr>
            <w:tcW w:w="1133" w:type="pct"/>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pPr>
              <w:spacing w:line="360" w:lineRule="auto"/>
              <w:jc w:val="center"/>
              <w:rPr>
                <w:rFonts w:hint="eastAsia" w:ascii="宋体" w:hAnsi="宋体" w:eastAsia="宋体" w:cs="宋体"/>
                <w:bCs/>
                <w:sz w:val="24"/>
                <w:szCs w:val="24"/>
              </w:rPr>
            </w:pPr>
          </w:p>
        </w:tc>
        <w:tc>
          <w:tcPr>
            <w:tcW w:w="617" w:type="pct"/>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hint="eastAsia" w:ascii="宋体" w:hAnsi="宋体" w:eastAsia="宋体" w:cs="宋体"/>
                <w:bCs/>
                <w:sz w:val="24"/>
                <w:szCs w:val="24"/>
              </w:rPr>
            </w:pPr>
          </w:p>
        </w:tc>
      </w:tr>
      <w:tr>
        <w:tblPrEx>
          <w:tblCellMar>
            <w:top w:w="0" w:type="dxa"/>
            <w:left w:w="108" w:type="dxa"/>
            <w:bottom w:w="0" w:type="dxa"/>
            <w:right w:w="108" w:type="dxa"/>
          </w:tblCellMar>
        </w:tblPrEx>
        <w:trPr>
          <w:trHeight w:val="1026" w:hRule="atLeast"/>
          <w:jc w:val="center"/>
        </w:trPr>
        <w:tc>
          <w:tcPr>
            <w:tcW w:w="1594" w:type="pct"/>
            <w:vMerge w:val="continue"/>
            <w:tcBorders>
              <w:left w:val="single" w:color="000000" w:sz="6" w:space="0"/>
              <w:bottom w:val="single" w:color="000000" w:sz="6" w:space="0"/>
              <w:right w:val="single" w:color="000000" w:sz="6" w:space="0"/>
            </w:tcBorders>
            <w:shd w:val="clear" w:color="000000" w:fill="FFFFFF"/>
            <w:vAlign w:val="center"/>
          </w:tcPr>
          <w:p>
            <w:pPr>
              <w:spacing w:line="360" w:lineRule="auto"/>
              <w:rPr>
                <w:rFonts w:hint="eastAsia" w:ascii="宋体" w:hAnsi="宋体" w:eastAsia="宋体" w:cs="宋体"/>
                <w:b/>
                <w:sz w:val="24"/>
                <w:szCs w:val="24"/>
              </w:rPr>
            </w:pPr>
          </w:p>
        </w:tc>
        <w:tc>
          <w:tcPr>
            <w:tcW w:w="1656"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hint="eastAsia" w:ascii="宋体" w:hAnsi="宋体" w:eastAsia="宋体" w:cs="宋体"/>
                <w:b/>
                <w:sz w:val="24"/>
                <w:szCs w:val="24"/>
              </w:rPr>
            </w:pPr>
            <w:r>
              <w:rPr>
                <w:rFonts w:hint="eastAsia" w:ascii="宋体" w:hAnsi="宋体" w:eastAsia="宋体" w:cs="宋体"/>
                <w:bCs/>
                <w:sz w:val="24"/>
                <w:szCs w:val="24"/>
              </w:rPr>
              <w:t>小写：</w:t>
            </w:r>
          </w:p>
        </w:tc>
        <w:tc>
          <w:tcPr>
            <w:tcW w:w="1133" w:type="pct"/>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pPr>
              <w:spacing w:line="360" w:lineRule="auto"/>
              <w:rPr>
                <w:rFonts w:hint="eastAsia" w:ascii="宋体" w:hAnsi="宋体" w:eastAsia="宋体" w:cs="宋体"/>
                <w:b/>
                <w:sz w:val="24"/>
                <w:szCs w:val="24"/>
              </w:rPr>
            </w:pPr>
          </w:p>
        </w:tc>
        <w:tc>
          <w:tcPr>
            <w:tcW w:w="617" w:type="pct"/>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hint="eastAsia" w:ascii="宋体" w:hAnsi="宋体" w:eastAsia="宋体" w:cs="宋体"/>
                <w:b/>
                <w:sz w:val="24"/>
                <w:szCs w:val="24"/>
              </w:rPr>
            </w:pPr>
          </w:p>
        </w:tc>
      </w:tr>
    </w:tbl>
    <w:p>
      <w:pPr>
        <w:spacing w:line="360" w:lineRule="auto"/>
        <w:rPr>
          <w:rFonts w:hint="eastAsia" w:ascii="宋体" w:hAnsi="宋体" w:eastAsia="宋体" w:cs="宋体"/>
          <w:b/>
          <w:sz w:val="24"/>
          <w:szCs w:val="24"/>
        </w:rPr>
      </w:pP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注：此表不需装订在磋商响应文件中，磋商供应商事先须盖章、签字。在磋商期间，由磋商小组确定合格的磋商供应商现场填写。</w:t>
      </w:r>
    </w:p>
    <w:p>
      <w:pPr>
        <w:tabs>
          <w:tab w:val="left" w:pos="168"/>
        </w:tabs>
        <w:adjustRightInd w:val="0"/>
        <w:spacing w:line="360" w:lineRule="auto"/>
        <w:textAlignment w:val="baseline"/>
        <w:rPr>
          <w:rFonts w:hint="eastAsia" w:ascii="宋体" w:hAnsi="宋体" w:eastAsia="宋体" w:cs="宋体"/>
          <w:b/>
          <w:bCs/>
          <w:sz w:val="24"/>
          <w:szCs w:val="24"/>
        </w:rPr>
      </w:pPr>
    </w:p>
    <w:p>
      <w:pPr>
        <w:tabs>
          <w:tab w:val="left" w:pos="168"/>
        </w:tabs>
        <w:adjustRightInd w:val="0"/>
        <w:spacing w:line="360" w:lineRule="auto"/>
        <w:textAlignment w:val="baseline"/>
        <w:rPr>
          <w:rFonts w:hint="eastAsia" w:ascii="宋体" w:hAnsi="宋体" w:eastAsia="宋体" w:cs="宋体"/>
          <w:b/>
          <w:bCs/>
          <w:sz w:val="24"/>
          <w:szCs w:val="24"/>
        </w:rPr>
      </w:pPr>
    </w:p>
    <w:p>
      <w:pPr>
        <w:tabs>
          <w:tab w:val="left" w:pos="168"/>
        </w:tabs>
        <w:adjustRightInd w:val="0"/>
        <w:spacing w:line="360" w:lineRule="auto"/>
        <w:textAlignment w:val="baseline"/>
        <w:rPr>
          <w:rFonts w:hint="eastAsia" w:ascii="宋体" w:hAnsi="宋体" w:eastAsia="宋体" w:cs="宋体"/>
          <w:b/>
          <w:bCs/>
          <w:sz w:val="24"/>
          <w:szCs w:val="24"/>
        </w:rPr>
      </w:pPr>
    </w:p>
    <w:p>
      <w:pPr>
        <w:tabs>
          <w:tab w:val="left" w:pos="168"/>
        </w:tabs>
        <w:adjustRightInd w:val="0"/>
        <w:spacing w:line="360" w:lineRule="auto"/>
        <w:textAlignment w:val="baseline"/>
        <w:rPr>
          <w:rFonts w:hint="eastAsia" w:ascii="宋体" w:hAnsi="宋体" w:eastAsia="宋体" w:cs="宋体"/>
          <w:b/>
          <w:bCs/>
          <w:sz w:val="24"/>
          <w:szCs w:val="24"/>
        </w:rPr>
      </w:pPr>
    </w:p>
    <w:p>
      <w:pPr>
        <w:tabs>
          <w:tab w:val="left" w:pos="168"/>
        </w:tabs>
        <w:adjustRightInd w:val="0"/>
        <w:spacing w:line="360" w:lineRule="auto"/>
        <w:textAlignment w:val="baseline"/>
        <w:rPr>
          <w:rFonts w:hint="eastAsia" w:ascii="宋体" w:hAnsi="宋体" w:eastAsia="宋体" w:cs="宋体"/>
          <w:bCs/>
          <w:sz w:val="24"/>
          <w:szCs w:val="24"/>
        </w:rPr>
      </w:pP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磋商供应商：             （公章）</w:t>
      </w: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法定代表人或委托代理人：                （签字）</w:t>
      </w:r>
    </w:p>
    <w:p>
      <w:pPr>
        <w:tabs>
          <w:tab w:val="left" w:pos="168"/>
        </w:tabs>
        <w:adjustRightInd w:val="0"/>
        <w:spacing w:line="360" w:lineRule="auto"/>
        <w:jc w:val="right"/>
        <w:textAlignment w:val="baseline"/>
        <w:rPr>
          <w:rFonts w:hint="eastAsia" w:ascii="宋体" w:hAnsi="宋体" w:eastAsia="宋体" w:cs="宋体"/>
          <w:bCs/>
          <w:sz w:val="24"/>
          <w:szCs w:val="24"/>
        </w:rPr>
      </w:pPr>
      <w:r>
        <w:rPr>
          <w:rFonts w:hint="eastAsia" w:ascii="宋体" w:hAnsi="宋体" w:eastAsia="宋体" w:cs="宋体"/>
          <w:bCs/>
          <w:sz w:val="24"/>
          <w:szCs w:val="24"/>
        </w:rPr>
        <w:t>日期：    年   月   日</w:t>
      </w:r>
    </w:p>
    <w:p>
      <w:pPr>
        <w:spacing w:line="360" w:lineRule="auto"/>
        <w:jc w:val="center"/>
        <w:rPr>
          <w:rFonts w:hint="eastAsia" w:ascii="宋体" w:hAnsi="宋体" w:eastAsia="宋体" w:cs="宋体"/>
          <w:bCs/>
          <w:sz w:val="24"/>
          <w:szCs w:val="24"/>
        </w:rPr>
      </w:pPr>
    </w:p>
    <w:p>
      <w:pPr>
        <w:pStyle w:val="22"/>
        <w:spacing w:before="0" w:after="0" w:line="360" w:lineRule="auto"/>
        <w:rPr>
          <w:rFonts w:hint="eastAsia" w:ascii="宋体" w:hAnsi="宋体" w:eastAsia="宋体" w:cs="宋体"/>
          <w:sz w:val="24"/>
          <w:szCs w:val="24"/>
        </w:rPr>
      </w:pPr>
      <w:r>
        <w:rPr>
          <w:rFonts w:hint="eastAsia" w:ascii="宋体" w:hAnsi="宋体" w:eastAsia="宋体" w:cs="宋体"/>
          <w:b w:val="0"/>
          <w:sz w:val="24"/>
          <w:szCs w:val="24"/>
        </w:rPr>
        <w:br w:type="page"/>
      </w:r>
      <w:bookmarkStart w:id="124" w:name="_Toc29404"/>
      <w:bookmarkStart w:id="125" w:name="_Toc32639"/>
      <w:bookmarkStart w:id="126" w:name="_Toc444715745"/>
      <w:r>
        <w:rPr>
          <w:rFonts w:hint="eastAsia" w:ascii="宋体" w:hAnsi="宋体" w:eastAsia="宋体" w:cs="宋体"/>
          <w:sz w:val="32"/>
          <w:szCs w:val="32"/>
        </w:rPr>
        <w:t>第六部分 采购项目要求及技术参数</w:t>
      </w:r>
      <w:bookmarkEnd w:id="124"/>
      <w:bookmarkEnd w:id="125"/>
      <w:bookmarkEnd w:id="126"/>
    </w:p>
    <w:p>
      <w:pPr>
        <w:pStyle w:val="6"/>
        <w:keepNext/>
        <w:keepLines/>
        <w:numPr>
          <w:ilvl w:val="0"/>
          <w:numId w:val="0"/>
        </w:numPr>
        <w:tabs>
          <w:tab w:val="clear" w:pos="425"/>
        </w:tabs>
        <w:snapToGrid/>
        <w:ind w:left="567" w:hanging="567"/>
        <w:rPr>
          <w:rFonts w:hint="eastAsia" w:ascii="宋体" w:hAnsi="宋体" w:eastAsia="宋体" w:cs="宋体"/>
          <w:b/>
          <w:bCs/>
          <w:kern w:val="0"/>
          <w:sz w:val="24"/>
          <w:szCs w:val="24"/>
        </w:rPr>
      </w:pPr>
      <w:bookmarkStart w:id="127" w:name="_Toc8661"/>
      <w:bookmarkStart w:id="128" w:name="_Toc428180595"/>
      <w:r>
        <w:rPr>
          <w:rFonts w:hint="eastAsia" w:ascii="宋体" w:hAnsi="宋体" w:eastAsia="宋体" w:cs="宋体"/>
          <w:b/>
          <w:bCs/>
          <w:kern w:val="0"/>
          <w:sz w:val="24"/>
          <w:szCs w:val="24"/>
        </w:rPr>
        <w:t>一、磋商要求</w:t>
      </w:r>
      <w:bookmarkEnd w:id="127"/>
      <w:bookmarkEnd w:id="128"/>
    </w:p>
    <w:p>
      <w:pPr>
        <w:widowControl/>
        <w:adjustRightInd w:val="0"/>
        <w:snapToGrid w:val="0"/>
        <w:spacing w:line="360" w:lineRule="auto"/>
        <w:ind w:left="425" w:hanging="425"/>
        <w:jc w:val="left"/>
        <w:rPr>
          <w:rFonts w:hint="eastAsia" w:ascii="宋体" w:hAnsi="宋体" w:eastAsia="宋体" w:cs="宋体"/>
          <w:kern w:val="0"/>
          <w:sz w:val="24"/>
          <w:szCs w:val="24"/>
        </w:rPr>
      </w:pPr>
      <w:bookmarkStart w:id="129" w:name="_Toc428180596"/>
      <w:r>
        <w:rPr>
          <w:rFonts w:hint="eastAsia" w:ascii="宋体" w:hAnsi="宋体" w:eastAsia="宋体" w:cs="宋体"/>
          <w:kern w:val="0"/>
          <w:sz w:val="24"/>
          <w:szCs w:val="24"/>
        </w:rPr>
        <w:t>1.磋商说明</w:t>
      </w:r>
      <w:bookmarkEnd w:id="129"/>
    </w:p>
    <w:p>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1.1.磋商供应商可以按照磋商文件的规定磋商，但必须对所投包号中的所有内容作为一个整体进行磋商，不能拆分或少报。否则，磋商无效。</w:t>
      </w:r>
    </w:p>
    <w:p>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1.2.磋商报价应</w:t>
      </w:r>
      <w:r>
        <w:rPr>
          <w:rFonts w:hint="eastAsia" w:ascii="宋体" w:hAnsi="宋体" w:eastAsia="宋体" w:cs="宋体"/>
          <w:color w:val="000000" w:themeColor="text1"/>
          <w:kern w:val="0"/>
          <w:sz w:val="24"/>
          <w:szCs w:val="24"/>
          <w:lang w:val="zh-CN"/>
        </w:rPr>
        <w:t>包括产品费、验收费、手续费、包装费、运输费、保险费、培训费、售前、售中、售后服务费、招标代理费、税金及不可预见费等全部费用</w:t>
      </w:r>
      <w:r>
        <w:rPr>
          <w:rFonts w:hint="eastAsia" w:ascii="宋体" w:hAnsi="宋体" w:eastAsia="宋体" w:cs="宋体"/>
          <w:sz w:val="24"/>
          <w:szCs w:val="24"/>
        </w:rPr>
        <w:t>（说明：具体内容应根据项目特点实事求是的填写）</w:t>
      </w:r>
      <w:r>
        <w:rPr>
          <w:rFonts w:hint="eastAsia" w:ascii="宋体" w:hAnsi="宋体" w:eastAsia="宋体" w:cs="宋体"/>
          <w:kern w:val="0"/>
          <w:sz w:val="24"/>
          <w:szCs w:val="24"/>
          <w:lang w:val="zh-CN"/>
        </w:rPr>
        <w:t>。若磋商报价不能完全包括上述内容，该磋商将被认为非实质性响应。</w:t>
      </w:r>
    </w:p>
    <w:p>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1.3.磋商供应商必须如实填写“技术规格响应表”，在“磋商产品技术参数、指标”栏中列出所投产品的具体规格型号和具体技术参数、指标；以招标人需求为最低指标要求，磋商供应商对超出或不满足最低指标要求的指标需列出“＋、-偏差。如果与磋商响应文件中提供的产品检测报告等证明材料中的实质性响应情况不一致或直接复制磋商文件“采购需求技术参数、指标”内容的，按无效磋商处理。</w:t>
      </w:r>
    </w:p>
    <w:p>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1.4.交货时间、地点：按采购单位指定的时间、地点交货并安装交付使用。</w:t>
      </w:r>
    </w:p>
    <w:p>
      <w:pPr>
        <w:widowControl/>
        <w:adjustRightInd w:val="0"/>
        <w:snapToGrid w:val="0"/>
        <w:spacing w:line="360" w:lineRule="auto"/>
        <w:ind w:left="425" w:hanging="425"/>
        <w:jc w:val="left"/>
        <w:rPr>
          <w:rFonts w:hint="eastAsia" w:ascii="宋体" w:hAnsi="宋体" w:eastAsia="宋体" w:cs="宋体"/>
          <w:kern w:val="0"/>
          <w:sz w:val="24"/>
          <w:szCs w:val="24"/>
        </w:rPr>
      </w:pPr>
      <w:bookmarkStart w:id="130" w:name="_Toc428180597"/>
      <w:r>
        <w:rPr>
          <w:rFonts w:hint="eastAsia" w:ascii="宋体" w:hAnsi="宋体" w:eastAsia="宋体" w:cs="宋体"/>
          <w:kern w:val="0"/>
          <w:sz w:val="24"/>
          <w:szCs w:val="24"/>
        </w:rPr>
        <w:t>2.报价说明</w:t>
      </w:r>
      <w:bookmarkEnd w:id="130"/>
    </w:p>
    <w:p>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本次磋商文件中规定的采购预算额度为磋商最高限价，磋商供应商的磋商报价不得超出此额度。否则，磋商无效。</w:t>
      </w:r>
    </w:p>
    <w:p>
      <w:pPr>
        <w:widowControl/>
        <w:adjustRightInd w:val="0"/>
        <w:snapToGrid w:val="0"/>
        <w:spacing w:line="360" w:lineRule="auto"/>
        <w:ind w:left="425" w:hanging="425"/>
        <w:jc w:val="left"/>
        <w:rPr>
          <w:rFonts w:hint="eastAsia" w:ascii="宋体" w:hAnsi="宋体" w:eastAsia="宋体" w:cs="宋体"/>
          <w:kern w:val="0"/>
          <w:sz w:val="24"/>
          <w:szCs w:val="24"/>
        </w:rPr>
      </w:pPr>
      <w:bookmarkStart w:id="131" w:name="_Toc428180598"/>
      <w:r>
        <w:rPr>
          <w:rFonts w:hint="eastAsia" w:ascii="宋体" w:hAnsi="宋体" w:eastAsia="宋体" w:cs="宋体"/>
          <w:kern w:val="0"/>
          <w:sz w:val="24"/>
          <w:szCs w:val="24"/>
        </w:rPr>
        <w:t>3.重要指标</w:t>
      </w:r>
      <w:bookmarkEnd w:id="131"/>
    </w:p>
    <w:p>
      <w:pPr>
        <w:spacing w:line="360" w:lineRule="auto"/>
        <w:ind w:firstLine="480" w:firstLineChars="200"/>
        <w:jc w:val="left"/>
        <w:rPr>
          <w:rFonts w:hint="eastAsia" w:ascii="宋体" w:hAnsi="宋体" w:eastAsia="宋体" w:cs="宋体"/>
          <w:color w:val="000000" w:themeColor="text1"/>
          <w:sz w:val="24"/>
          <w:szCs w:val="24"/>
        </w:rPr>
      </w:pPr>
      <w:r>
        <w:rPr>
          <w:rFonts w:hint="eastAsia" w:ascii="宋体" w:hAnsi="宋体" w:eastAsia="宋体" w:cs="宋体"/>
          <w:sz w:val="24"/>
          <w:szCs w:val="24"/>
        </w:rPr>
        <w:t>3.1.技术参数中除注明签订合同时提</w:t>
      </w:r>
      <w:r>
        <w:rPr>
          <w:rFonts w:hint="eastAsia" w:ascii="宋体" w:hAnsi="宋体" w:eastAsia="宋体" w:cs="宋体"/>
          <w:color w:val="000000" w:themeColor="text1"/>
          <w:sz w:val="24"/>
          <w:szCs w:val="24"/>
        </w:rPr>
        <w:t>供的相关授权、服务承诺等资料以外，其余相关资料在磋商时必须附在磋商响应文件中。</w:t>
      </w:r>
    </w:p>
    <w:p>
      <w:pPr>
        <w:widowControl/>
        <w:adjustRightInd w:val="0"/>
        <w:snapToGrid w:val="0"/>
        <w:spacing w:line="360" w:lineRule="auto"/>
        <w:ind w:left="425" w:hanging="425"/>
        <w:jc w:val="left"/>
        <w:rPr>
          <w:rFonts w:hint="eastAsia" w:ascii="宋体" w:hAnsi="宋体" w:eastAsia="宋体" w:cs="宋体"/>
          <w:color w:val="000000" w:themeColor="text1"/>
          <w:kern w:val="0"/>
          <w:sz w:val="24"/>
          <w:szCs w:val="24"/>
        </w:rPr>
      </w:pPr>
      <w:bookmarkStart w:id="132" w:name="_Toc428180599"/>
      <w:r>
        <w:rPr>
          <w:rFonts w:hint="eastAsia" w:ascii="宋体" w:hAnsi="宋体" w:eastAsia="宋体" w:cs="宋体"/>
          <w:color w:val="000000" w:themeColor="text1"/>
          <w:kern w:val="0"/>
          <w:sz w:val="24"/>
          <w:szCs w:val="24"/>
        </w:rPr>
        <w:t>4.商务要求</w:t>
      </w:r>
      <w:bookmarkEnd w:id="132"/>
    </w:p>
    <w:p>
      <w:pPr>
        <w:spacing w:line="360" w:lineRule="auto"/>
        <w:ind w:firstLine="240" w:firstLineChars="100"/>
        <w:rPr>
          <w:rFonts w:hint="eastAsia" w:ascii="宋体" w:hAnsi="宋体" w:eastAsia="宋体" w:cs="宋体"/>
          <w:color w:val="000000" w:themeColor="text1"/>
          <w:sz w:val="24"/>
          <w:szCs w:val="24"/>
        </w:rPr>
      </w:pPr>
      <w:bookmarkStart w:id="133" w:name="_Toc488673674"/>
      <w:r>
        <w:rPr>
          <w:rFonts w:hint="eastAsia" w:ascii="宋体" w:hAnsi="宋体" w:eastAsia="宋体" w:cs="宋体"/>
          <w:color w:val="000000" w:themeColor="text1"/>
          <w:kern w:val="0"/>
          <w:sz w:val="24"/>
          <w:szCs w:val="24"/>
          <w:lang w:val="zh-CN"/>
        </w:rPr>
        <w:t>4.1.</w:t>
      </w:r>
      <w:r>
        <w:rPr>
          <w:rFonts w:hint="eastAsia" w:ascii="宋体" w:hAnsi="宋体" w:cs="宋体"/>
          <w:color w:val="000000" w:themeColor="text1"/>
          <w:kern w:val="0"/>
          <w:sz w:val="24"/>
          <w:szCs w:val="24"/>
          <w:lang w:val="zh-CN"/>
        </w:rPr>
        <w:t>交货及安装期</w:t>
      </w:r>
      <w:r>
        <w:rPr>
          <w:rFonts w:hint="eastAsia" w:ascii="宋体" w:hAnsi="宋体" w:eastAsia="宋体" w:cs="宋体"/>
          <w:color w:val="000000" w:themeColor="text1"/>
          <w:kern w:val="0"/>
          <w:sz w:val="24"/>
          <w:szCs w:val="24"/>
          <w:lang w:val="zh-CN"/>
        </w:rPr>
        <w:t>：</w:t>
      </w:r>
      <w:bookmarkEnd w:id="133"/>
      <w:r>
        <w:rPr>
          <w:rFonts w:hint="eastAsia" w:ascii="宋体" w:hAnsi="宋体" w:eastAsia="宋体" w:cs="宋体"/>
          <w:color w:val="000000" w:themeColor="text1"/>
          <w:sz w:val="24"/>
          <w:szCs w:val="24"/>
        </w:rPr>
        <w:t>自合同签订之日起</w:t>
      </w:r>
      <w:r>
        <w:rPr>
          <w:rFonts w:hint="eastAsia" w:ascii="宋体" w:hAnsi="宋体" w:cs="宋体"/>
          <w:color w:val="000000" w:themeColor="text1"/>
          <w:sz w:val="24"/>
          <w:szCs w:val="24"/>
          <w:lang w:val="en-US" w:eastAsia="zh-CN"/>
        </w:rPr>
        <w:t>9</w:t>
      </w:r>
      <w:r>
        <w:rPr>
          <w:rFonts w:hint="eastAsia" w:ascii="宋体" w:hAnsi="宋体" w:eastAsia="宋体" w:cs="宋体"/>
          <w:color w:val="000000" w:themeColor="text1"/>
          <w:sz w:val="24"/>
          <w:szCs w:val="24"/>
        </w:rPr>
        <w:t>0日历日</w:t>
      </w:r>
      <w:r>
        <w:rPr>
          <w:rFonts w:hint="eastAsia" w:ascii="宋体" w:hAnsi="宋体" w:eastAsia="宋体" w:cs="宋体"/>
          <w:color w:val="000000" w:themeColor="text1"/>
          <w:kern w:val="0"/>
          <w:sz w:val="24"/>
          <w:szCs w:val="24"/>
          <w:lang w:val="zh-CN"/>
        </w:rPr>
        <w:t>；</w:t>
      </w:r>
    </w:p>
    <w:p>
      <w:pPr>
        <w:autoSpaceDE w:val="0"/>
        <w:autoSpaceDN w:val="0"/>
        <w:adjustRightInd w:val="0"/>
        <w:spacing w:line="360" w:lineRule="auto"/>
        <w:ind w:firstLine="240" w:firstLineChars="100"/>
        <w:rPr>
          <w:rFonts w:hint="eastAsia" w:ascii="宋体" w:hAnsi="宋体" w:eastAsia="宋体" w:cs="宋体"/>
          <w:color w:val="000000" w:themeColor="text1"/>
          <w:sz w:val="24"/>
          <w:szCs w:val="24"/>
          <w:u w:val="single"/>
        </w:rPr>
      </w:pPr>
      <w:bookmarkStart w:id="134" w:name="_Toc488673675"/>
      <w:r>
        <w:rPr>
          <w:rFonts w:hint="eastAsia" w:ascii="宋体" w:hAnsi="宋体" w:eastAsia="宋体" w:cs="宋体"/>
          <w:color w:val="000000" w:themeColor="text1"/>
          <w:kern w:val="0"/>
          <w:sz w:val="24"/>
          <w:szCs w:val="24"/>
          <w:lang w:val="zh-CN"/>
        </w:rPr>
        <w:t>4.2.交货及安装地点：</w:t>
      </w:r>
      <w:bookmarkEnd w:id="134"/>
      <w:r>
        <w:rPr>
          <w:rFonts w:hint="eastAsia" w:ascii="宋体" w:hAnsi="宋体" w:eastAsia="宋体" w:cs="宋体"/>
          <w:color w:val="000000" w:themeColor="text1"/>
          <w:kern w:val="0"/>
          <w:sz w:val="24"/>
          <w:szCs w:val="24"/>
        </w:rPr>
        <w:t>采购人指定地点</w:t>
      </w:r>
      <w:r>
        <w:rPr>
          <w:rFonts w:hint="eastAsia" w:ascii="宋体" w:hAnsi="宋体" w:eastAsia="宋体" w:cs="宋体"/>
          <w:color w:val="000000" w:themeColor="text1"/>
          <w:sz w:val="24"/>
          <w:szCs w:val="24"/>
        </w:rPr>
        <w:t>；</w:t>
      </w:r>
    </w:p>
    <w:p>
      <w:pPr>
        <w:autoSpaceDE w:val="0"/>
        <w:autoSpaceDN w:val="0"/>
        <w:adjustRightInd w:val="0"/>
        <w:spacing w:line="360" w:lineRule="auto"/>
        <w:ind w:firstLine="240" w:firstLineChars="1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4.3.质保期：</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zh-CN"/>
        </w:rPr>
        <w:t>年；</w:t>
      </w:r>
    </w:p>
    <w:p>
      <w:pPr>
        <w:autoSpaceDE w:val="0"/>
        <w:autoSpaceDN w:val="0"/>
        <w:adjustRightInd w:val="0"/>
        <w:spacing w:line="360" w:lineRule="auto"/>
        <w:ind w:firstLine="240" w:firstLineChars="100"/>
        <w:rPr>
          <w:rFonts w:hint="eastAsia" w:ascii="宋体" w:hAnsi="宋体" w:eastAsia="宋体" w:cs="宋体"/>
          <w:sz w:val="24"/>
          <w:szCs w:val="24"/>
        </w:rPr>
      </w:pPr>
      <w:bookmarkStart w:id="135" w:name="_Toc488673676"/>
      <w:r>
        <w:rPr>
          <w:rFonts w:hint="eastAsia" w:ascii="宋体" w:hAnsi="宋体" w:eastAsia="宋体" w:cs="宋体"/>
          <w:kern w:val="0"/>
          <w:sz w:val="24"/>
          <w:szCs w:val="24"/>
          <w:lang w:val="zh-CN"/>
        </w:rPr>
        <w:t>4.4.付款方式：</w:t>
      </w:r>
      <w:bookmarkEnd w:id="135"/>
      <w:bookmarkStart w:id="136" w:name="_Toc459377899"/>
      <w:bookmarkStart w:id="137" w:name="_Hlk486599483"/>
      <w:bookmarkStart w:id="138" w:name="_Toc480468113"/>
      <w:r>
        <w:rPr>
          <w:rFonts w:hint="eastAsia" w:ascii="宋体" w:hAnsi="宋体" w:eastAsia="宋体" w:cs="宋体"/>
          <w:kern w:val="0"/>
          <w:sz w:val="24"/>
          <w:szCs w:val="24"/>
        </w:rPr>
        <w:t>详见“第四部分 采购项目合同书范本”中“四、付款方式”的规定。</w:t>
      </w:r>
    </w:p>
    <w:p>
      <w:pPr>
        <w:autoSpaceDE w:val="0"/>
        <w:autoSpaceDN w:val="0"/>
        <w:adjustRightInd w:val="0"/>
        <w:spacing w:line="360" w:lineRule="auto"/>
        <w:rPr>
          <w:rFonts w:hint="eastAsia" w:ascii="宋体" w:hAnsi="宋体" w:eastAsia="宋体" w:cs="宋体"/>
          <w:b/>
          <w:bCs/>
          <w:kern w:val="0"/>
          <w:sz w:val="24"/>
          <w:szCs w:val="24"/>
        </w:rPr>
      </w:pPr>
    </w:p>
    <w:p>
      <w:pPr>
        <w:autoSpaceDE w:val="0"/>
        <w:autoSpaceDN w:val="0"/>
        <w:adjustRightInd w:val="0"/>
        <w:spacing w:line="360" w:lineRule="auto"/>
        <w:rPr>
          <w:rFonts w:hint="eastAsia" w:ascii="宋体" w:hAnsi="宋体" w:eastAsia="宋体" w:cs="宋体"/>
          <w:b/>
          <w:bCs/>
          <w:kern w:val="0"/>
          <w:sz w:val="24"/>
          <w:szCs w:val="24"/>
        </w:rPr>
      </w:pPr>
    </w:p>
    <w:p>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br w:type="page"/>
      </w:r>
    </w:p>
    <w:bookmarkEnd w:id="136"/>
    <w:bookmarkEnd w:id="137"/>
    <w:bookmarkEnd w:id="138"/>
    <w:p>
      <w:pPr>
        <w:pStyle w:val="6"/>
        <w:numPr>
          <w:ilvl w:val="0"/>
          <w:numId w:val="0"/>
        </w:numPr>
        <w:spacing w:line="240" w:lineRule="auto"/>
        <w:rPr>
          <w:rFonts w:hint="eastAsia" w:ascii="宋体" w:hAnsi="宋体" w:eastAsia="宋体" w:cs="宋体"/>
          <w:sz w:val="24"/>
          <w:szCs w:val="24"/>
        </w:rPr>
      </w:pPr>
      <w:bookmarkStart w:id="139" w:name="_Toc19591"/>
      <w:bookmarkStart w:id="140" w:name="_Hlk497464497"/>
      <w:r>
        <w:rPr>
          <w:rFonts w:hint="eastAsia" w:ascii="宋体" w:hAnsi="宋体" w:eastAsia="宋体" w:cs="宋体"/>
          <w:sz w:val="24"/>
          <w:szCs w:val="24"/>
        </w:rPr>
        <w:t>二、采购项目参数及要求</w:t>
      </w:r>
      <w:bookmarkEnd w:id="139"/>
    </w:p>
    <w:tbl>
      <w:tblPr>
        <w:tblStyle w:val="3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2636"/>
        <w:gridCol w:w="779"/>
        <w:gridCol w:w="5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采购一览表</w:t>
            </w:r>
          </w:p>
        </w:tc>
      </w:tr>
      <w:bookmarkEnd w:id="14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8头高精度小包装灌装机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after="220" w:afterAutospacing="0"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灌装范围：1.8-5L</w:t>
            </w:r>
          </w:p>
          <w:p>
            <w:pPr>
              <w:keepNext w:val="0"/>
              <w:keepLines w:val="0"/>
              <w:widowControl/>
              <w:numPr>
                <w:ilvl w:val="0"/>
                <w:numId w:val="40"/>
              </w:numPr>
              <w:suppressLineNumbers w:val="0"/>
              <w:spacing w:after="220" w:afterAutospacing="0"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产能：1200-1400/小时（5L计)                       3.灌装原理：一头一泵式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精度：≤±3g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温度控制系统，单独PLC自动校正温度对油脂密度的影响，确保精度；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自带高位油罐，液位开关控制油面稳定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关机后自动开启油嘴接油槽装置，防滴油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灌装机内部油脂管道均采用304不锈钢材质，无塑化剂；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强电、弱点、气动电磁阀采用独立电箱，互不影响</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内部有空气存储罐，防止气压降对灌装精度产生影响</w:t>
            </w: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检测灯检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1.L=630mm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固定式安装，方便快捷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高通透环保型塑料幕板，高亮度LED灯，提高检测效率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离心式理盖机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1.带2套瓶盖滑道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带夹瓶装置防止倒瓶，带预压盖功能，防止瓶盖脱离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带反盖自动剔除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PLC控制，分选盖子速度变频可调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缺盖自动启动，满盖自动停止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速度：3000瓶/小时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履带式压盖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1.适用：Pet1.8-5L桶双层防盗盖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小字符激光刻码机（30w)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1.二氧化碳刻码机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功率：30w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激光器：CRD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支架:一体成型，移动脚轮+固定座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全自动不干胶单面贴标机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1.pet1.8L带把手定位贴，4L/5L单面贴三面贴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贴标精度：±2mm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贴标速度20-40pcs/min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旋转式触摸显示屏，铝合金机身框架，结实牢固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伺服电机和PLC控制，触摸屏操作，确保设备运行稳定。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全自动开箱机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立式开箱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产能：8-12箱/分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开箱：立式吸盘开箱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功能：满箱停机，缺箱缺胶带自动报警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全自动跌落式装箱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1.排列方式：2×2排列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2.产能：8-10箱/分钟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3.触摸屏操作，plc控制，设备更稳定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全自动封箱机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带玻璃防护罩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产能：10-20箱/分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功能：自动折盖封顶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纸箱输送线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斜坡动力滚筒2米+斜坡皮带机2米+无动力滚筒1.5米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小包装直线链板输送机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1.链板宽：114.3mm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护栏：大C护栏，材质：航空+高分子耐磨材料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护栏夹：不锈钢护栏夹，非塑料材质温差大容易老化。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小包装减速装置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功率0.75kw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转弯输送带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90度转弯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不锈钢桥架及电缆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运费、安装、调试费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运费、安装、调试费1项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供油泵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KCB200,4KW 齿轮泵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1.1m³/8kg/min空压机，带储气罐0.6m³/0.8mpa</w:t>
            </w:r>
          </w:p>
        </w:tc>
      </w:tr>
    </w:tbl>
    <w:p>
      <w:pPr>
        <w:pStyle w:val="2"/>
        <w:rPr>
          <w:rFonts w:hint="eastAsia" w:ascii="宋体" w:hAnsi="宋体" w:eastAsia="宋体" w:cs="宋体"/>
          <w:sz w:val="24"/>
          <w:szCs w:val="24"/>
        </w:rPr>
      </w:pPr>
    </w:p>
    <w:sectPr>
      <w:headerReference r:id="rId3" w:type="default"/>
      <w:footerReference r:id="rId4" w:type="default"/>
      <w:pgSz w:w="11906" w:h="16838"/>
      <w:pgMar w:top="1440" w:right="1077" w:bottom="1440" w:left="1077" w:header="851" w:footer="992" w:gutter="0"/>
      <w:pgBorders w:display="notFirstPage" w:offsetFrom="page">
        <w:top w:val="single" w:color="4472C4" w:sz="12" w:space="24"/>
        <w:left w:val="single" w:color="4472C4" w:sz="12" w:space="24"/>
        <w:bottom w:val="single" w:color="4472C4" w:sz="12" w:space="24"/>
        <w:right w:val="single" w:color="4472C4" w:sz="12" w:space="24"/>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b/>
        <w:sz w:val="21"/>
      </w:rP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63</w:t>
    </w:r>
    <w:r>
      <w:rPr>
        <w:rFonts w:ascii="宋体" w:hAnsi="宋体"/>
        <w:b/>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98" w:firstLineChars="49"/>
      <w:jc w:val="both"/>
      <w:rPr>
        <w:rFonts w:ascii="楷体" w:hAnsi="楷体" w:eastAsia="楷体"/>
        <w:b/>
        <w:sz w:val="20"/>
        <w:szCs w:val="21"/>
      </w:rPr>
    </w:pPr>
    <w:r>
      <w:rPr>
        <w:rFonts w:hint="eastAsia" w:ascii="楷体" w:hAnsi="楷体" w:eastAsia="楷体"/>
        <w:b/>
        <w:sz w:val="20"/>
        <w:szCs w:val="21"/>
        <w:lang w:eastAsia="zh-CN"/>
      </w:rPr>
      <w:t>大通兴农基层供销社标杆社建设项目-罐装线设备采购及安装（标段二）</w:t>
    </w:r>
    <w:r>
      <w:rPr>
        <w:rFonts w:hint="eastAsia" w:ascii="楷体" w:hAnsi="楷体" w:eastAsia="楷体"/>
        <w:b/>
        <w:sz w:val="20"/>
        <w:szCs w:val="21"/>
      </w:rPr>
      <w:t xml:space="preserve">         </w:t>
    </w:r>
    <w:r>
      <w:rPr>
        <w:rFonts w:hint="eastAsia" w:ascii="楷体" w:hAnsi="楷体" w:eastAsia="楷体"/>
        <w:b/>
        <w:sz w:val="20"/>
        <w:szCs w:val="21"/>
        <w:lang w:val="en-US" w:eastAsia="zh-CN"/>
      </w:rPr>
      <w:t xml:space="preserve">              </w:t>
    </w:r>
    <w:r>
      <w:rPr>
        <w:rFonts w:hint="eastAsia" w:ascii="楷体" w:hAnsi="楷体" w:eastAsia="楷体"/>
        <w:b/>
        <w:sz w:val="20"/>
        <w:szCs w:val="21"/>
      </w:rPr>
      <w:t xml:space="preserve">  磋商文件</w:t>
    </w:r>
  </w:p>
  <w:p>
    <w:pPr>
      <w:widowControl/>
      <w:adjustRightInd w:val="0"/>
      <w:snapToGrid w:val="0"/>
      <w:spacing w:line="360" w:lineRule="auto"/>
      <w:textAlignment w:val="baseline"/>
      <w:rPr>
        <w:rFonts w:ascii="楷体" w:hAnsi="楷体" w:eastAsia="楷体"/>
        <w:b/>
        <w:sz w:val="16"/>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09372158"/>
    <w:multiLevelType w:val="multilevel"/>
    <w:tmpl w:val="09372158"/>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4">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1E920307"/>
    <w:multiLevelType w:val="multilevel"/>
    <w:tmpl w:val="1E920307"/>
    <w:lvl w:ilvl="0" w:tentative="0">
      <w:start w:val="21"/>
      <w:numFmt w:val="decimal"/>
      <w:lvlText w:val="%1"/>
      <w:lvlJc w:val="left"/>
      <w:pPr>
        <w:ind w:left="480" w:hanging="480"/>
      </w:pPr>
      <w:rPr>
        <w:rFonts w:hint="default"/>
        <w:b w:val="0"/>
        <w:sz w:val="24"/>
      </w:rPr>
    </w:lvl>
    <w:lvl w:ilvl="1" w:tentative="0">
      <w:start w:val="1"/>
      <w:numFmt w:val="decimal"/>
      <w:lvlText w:val="20.%2."/>
      <w:lvlJc w:val="left"/>
      <w:pPr>
        <w:ind w:left="861" w:hanging="720"/>
      </w:pPr>
      <w:rPr>
        <w:rFonts w:hint="eastAsia"/>
        <w:b w:val="0"/>
        <w:sz w:val="24"/>
      </w:rPr>
    </w:lvl>
    <w:lvl w:ilvl="2" w:tentative="0">
      <w:start w:val="1"/>
      <w:numFmt w:val="decimal"/>
      <w:lvlText w:val="%1.%2.%3"/>
      <w:lvlJc w:val="left"/>
      <w:pPr>
        <w:ind w:left="2040" w:hanging="1080"/>
      </w:pPr>
      <w:rPr>
        <w:rFonts w:hint="default"/>
        <w:b w:val="0"/>
        <w:sz w:val="24"/>
      </w:rPr>
    </w:lvl>
    <w:lvl w:ilvl="3" w:tentative="0">
      <w:start w:val="1"/>
      <w:numFmt w:val="decimal"/>
      <w:lvlText w:val="%1.%2.%3.%4"/>
      <w:lvlJc w:val="left"/>
      <w:pPr>
        <w:ind w:left="2880" w:hanging="1440"/>
      </w:pPr>
      <w:rPr>
        <w:rFonts w:hint="default"/>
        <w:b w:val="0"/>
        <w:sz w:val="24"/>
      </w:rPr>
    </w:lvl>
    <w:lvl w:ilvl="4" w:tentative="0">
      <w:start w:val="1"/>
      <w:numFmt w:val="decimal"/>
      <w:lvlText w:val="%1.%2.%3.%4.%5"/>
      <w:lvlJc w:val="left"/>
      <w:pPr>
        <w:ind w:left="3720" w:hanging="1800"/>
      </w:pPr>
      <w:rPr>
        <w:rFonts w:hint="default"/>
        <w:b w:val="0"/>
        <w:sz w:val="24"/>
      </w:rPr>
    </w:lvl>
    <w:lvl w:ilvl="5" w:tentative="0">
      <w:start w:val="1"/>
      <w:numFmt w:val="decimal"/>
      <w:lvlText w:val="%1.%2.%3.%4.%5.%6"/>
      <w:lvlJc w:val="left"/>
      <w:pPr>
        <w:ind w:left="4200" w:hanging="1800"/>
      </w:pPr>
      <w:rPr>
        <w:rFonts w:hint="default"/>
        <w:b w:val="0"/>
        <w:sz w:val="24"/>
      </w:rPr>
    </w:lvl>
    <w:lvl w:ilvl="6" w:tentative="0">
      <w:start w:val="1"/>
      <w:numFmt w:val="decimal"/>
      <w:lvlText w:val="%1.%2.%3.%4.%5.%6.%7"/>
      <w:lvlJc w:val="left"/>
      <w:pPr>
        <w:ind w:left="5040" w:hanging="2160"/>
      </w:pPr>
      <w:rPr>
        <w:rFonts w:hint="default"/>
        <w:b w:val="0"/>
        <w:sz w:val="24"/>
      </w:rPr>
    </w:lvl>
    <w:lvl w:ilvl="7" w:tentative="0">
      <w:start w:val="1"/>
      <w:numFmt w:val="decimal"/>
      <w:lvlText w:val="%1.%2.%3.%4.%5.%6.%7.%8"/>
      <w:lvlJc w:val="left"/>
      <w:pPr>
        <w:ind w:left="5880" w:hanging="2520"/>
      </w:pPr>
      <w:rPr>
        <w:rFonts w:hint="default"/>
        <w:b w:val="0"/>
        <w:sz w:val="24"/>
      </w:rPr>
    </w:lvl>
    <w:lvl w:ilvl="8" w:tentative="0">
      <w:start w:val="1"/>
      <w:numFmt w:val="decimal"/>
      <w:lvlText w:val="%1.%2.%3.%4.%5.%6.%7.%8.%9"/>
      <w:lvlJc w:val="left"/>
      <w:pPr>
        <w:ind w:left="6720" w:hanging="2880"/>
      </w:pPr>
      <w:rPr>
        <w:rFonts w:hint="default"/>
        <w:b w:val="0"/>
        <w:sz w:val="24"/>
      </w:rPr>
    </w:lvl>
  </w:abstractNum>
  <w:abstractNum w:abstractNumId="9">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2A583DFB"/>
    <w:multiLevelType w:val="multilevel"/>
    <w:tmpl w:val="2A583DFB"/>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1">
    <w:nsid w:val="30EB525F"/>
    <w:multiLevelType w:val="multilevel"/>
    <w:tmpl w:val="30EB525F"/>
    <w:lvl w:ilvl="0" w:tentative="0">
      <w:start w:val="13"/>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3298278A"/>
    <w:multiLevelType w:val="multilevel"/>
    <w:tmpl w:val="3298278A"/>
    <w:lvl w:ilvl="0" w:tentative="0">
      <w:start w:val="1"/>
      <w:numFmt w:val="decimal"/>
      <w:lvlText w:val="%1"/>
      <w:lvlJc w:val="left"/>
      <w:pPr>
        <w:ind w:left="420" w:hanging="420"/>
      </w:pPr>
      <w:rPr>
        <w:rFonts w:hint="eastAsia"/>
      </w:rPr>
    </w:lvl>
    <w:lvl w:ilvl="1" w:tentative="0">
      <w:start w:val="4"/>
      <w:numFmt w:val="decimal"/>
      <w:isLgl/>
      <w:lvlText w:val="%1.%2."/>
      <w:lvlJc w:val="left"/>
      <w:pPr>
        <w:ind w:left="1200" w:hanging="720"/>
      </w:pPr>
      <w:rPr>
        <w:rFonts w:hint="default" w:hAnsi="Calibri" w:cs="宋体"/>
      </w:rPr>
    </w:lvl>
    <w:lvl w:ilvl="2" w:tentative="0">
      <w:start w:val="1"/>
      <w:numFmt w:val="decimal"/>
      <w:isLgl/>
      <w:lvlText w:val="%1.%2.%3."/>
      <w:lvlJc w:val="left"/>
      <w:pPr>
        <w:ind w:left="1680" w:hanging="720"/>
      </w:pPr>
      <w:rPr>
        <w:rFonts w:hint="default" w:hAnsi="Calibri" w:cs="宋体"/>
      </w:rPr>
    </w:lvl>
    <w:lvl w:ilvl="3" w:tentative="0">
      <w:start w:val="1"/>
      <w:numFmt w:val="decimal"/>
      <w:isLgl/>
      <w:lvlText w:val="%1.%2.%3.%4."/>
      <w:lvlJc w:val="left"/>
      <w:pPr>
        <w:ind w:left="2520" w:hanging="1080"/>
      </w:pPr>
      <w:rPr>
        <w:rFonts w:hint="default" w:hAnsi="Calibri" w:cs="宋体"/>
      </w:rPr>
    </w:lvl>
    <w:lvl w:ilvl="4" w:tentative="0">
      <w:start w:val="1"/>
      <w:numFmt w:val="decimal"/>
      <w:isLgl/>
      <w:lvlText w:val="%1.%2.%3.%4.%5."/>
      <w:lvlJc w:val="left"/>
      <w:pPr>
        <w:ind w:left="3360" w:hanging="1440"/>
      </w:pPr>
      <w:rPr>
        <w:rFonts w:hint="default" w:hAnsi="Calibri" w:cs="宋体"/>
      </w:rPr>
    </w:lvl>
    <w:lvl w:ilvl="5" w:tentative="0">
      <w:start w:val="1"/>
      <w:numFmt w:val="decimal"/>
      <w:isLgl/>
      <w:lvlText w:val="%1.%2.%3.%4.%5.%6."/>
      <w:lvlJc w:val="left"/>
      <w:pPr>
        <w:ind w:left="3840" w:hanging="1440"/>
      </w:pPr>
      <w:rPr>
        <w:rFonts w:hint="default" w:hAnsi="Calibri" w:cs="宋体"/>
      </w:rPr>
    </w:lvl>
    <w:lvl w:ilvl="6" w:tentative="0">
      <w:start w:val="1"/>
      <w:numFmt w:val="decimal"/>
      <w:isLgl/>
      <w:lvlText w:val="%1.%2.%3.%4.%5.%6.%7."/>
      <w:lvlJc w:val="left"/>
      <w:pPr>
        <w:ind w:left="4680" w:hanging="1800"/>
      </w:pPr>
      <w:rPr>
        <w:rFonts w:hint="default" w:hAnsi="Calibri" w:cs="宋体"/>
      </w:rPr>
    </w:lvl>
    <w:lvl w:ilvl="7" w:tentative="0">
      <w:start w:val="1"/>
      <w:numFmt w:val="decimal"/>
      <w:isLgl/>
      <w:lvlText w:val="%1.%2.%3.%4.%5.%6.%7.%8."/>
      <w:lvlJc w:val="left"/>
      <w:pPr>
        <w:ind w:left="5520" w:hanging="2160"/>
      </w:pPr>
      <w:rPr>
        <w:rFonts w:hint="default" w:hAnsi="Calibri" w:cs="宋体"/>
      </w:rPr>
    </w:lvl>
    <w:lvl w:ilvl="8" w:tentative="0">
      <w:start w:val="1"/>
      <w:numFmt w:val="decimal"/>
      <w:isLgl/>
      <w:lvlText w:val="%1.%2.%3.%4.%5.%6.%7.%8.%9."/>
      <w:lvlJc w:val="left"/>
      <w:pPr>
        <w:ind w:left="6000" w:hanging="2160"/>
      </w:pPr>
      <w:rPr>
        <w:rFonts w:hint="default" w:hAnsi="Calibri" w:cs="宋体"/>
      </w:rPr>
    </w:lvl>
  </w:abstractNum>
  <w:abstractNum w:abstractNumId="13">
    <w:nsid w:val="40512C37"/>
    <w:multiLevelType w:val="multilevel"/>
    <w:tmpl w:val="40512C3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40CF13D4"/>
    <w:multiLevelType w:val="multilevel"/>
    <w:tmpl w:val="40CF13D4"/>
    <w:lvl w:ilvl="0" w:tentative="0">
      <w:start w:val="1"/>
      <w:numFmt w:val="decimal"/>
      <w:pStyle w:val="3"/>
      <w:lvlText w:val="%1."/>
      <w:lvlJc w:val="left"/>
      <w:pPr>
        <w:tabs>
          <w:tab w:val="left" w:pos="425"/>
        </w:tabs>
        <w:ind w:left="425" w:hanging="425"/>
      </w:pPr>
      <w:rPr>
        <w:rFonts w:hint="eastAsia"/>
      </w:rPr>
    </w:lvl>
    <w:lvl w:ilvl="1" w:tentative="0">
      <w:start w:val="1"/>
      <w:numFmt w:val="decimal"/>
      <w:pStyle w:val="4"/>
      <w:lvlText w:val="%1.%2."/>
      <w:lvlJc w:val="left"/>
      <w:pPr>
        <w:tabs>
          <w:tab w:val="left" w:pos="720"/>
        </w:tabs>
        <w:ind w:left="567" w:hanging="567"/>
      </w:pPr>
      <w:rPr>
        <w:rFonts w:hint="eastAsia"/>
      </w:rPr>
    </w:lvl>
    <w:lvl w:ilvl="2" w:tentative="0">
      <w:start w:val="1"/>
      <w:numFmt w:val="chineseCountingThousand"/>
      <w:pStyle w:val="6"/>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6">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7">
    <w:nsid w:val="4DD9E4A5"/>
    <w:multiLevelType w:val="singleLevel"/>
    <w:tmpl w:val="4DD9E4A5"/>
    <w:lvl w:ilvl="0" w:tentative="0">
      <w:start w:val="1"/>
      <w:numFmt w:val="decimal"/>
      <w:lvlText w:val="%1."/>
      <w:lvlJc w:val="left"/>
      <w:pPr>
        <w:tabs>
          <w:tab w:val="left" w:pos="312"/>
        </w:tabs>
      </w:pPr>
    </w:lvl>
  </w:abstractNum>
  <w:abstractNum w:abstractNumId="18">
    <w:nsid w:val="4E1B30F7"/>
    <w:multiLevelType w:val="multilevel"/>
    <w:tmpl w:val="4E1B30F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9">
    <w:nsid w:val="4EFA17D5"/>
    <w:multiLevelType w:val="multilevel"/>
    <w:tmpl w:val="4EFA17D5"/>
    <w:lvl w:ilvl="0" w:tentative="0">
      <w:start w:val="19"/>
      <w:numFmt w:val="decimal"/>
      <w:lvlText w:val="%1"/>
      <w:lvlJc w:val="left"/>
      <w:pPr>
        <w:ind w:left="480" w:hanging="480"/>
      </w:pPr>
      <w:rPr>
        <w:rFonts w:hint="default"/>
      </w:rPr>
    </w:lvl>
    <w:lvl w:ilvl="1" w:tentative="0">
      <w:start w:val="1"/>
      <w:numFmt w:val="decimal"/>
      <w:lvlText w:val="18.%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1">
    <w:nsid w:val="56222FB0"/>
    <w:multiLevelType w:val="multilevel"/>
    <w:tmpl w:val="56222FB0"/>
    <w:lvl w:ilvl="0" w:tentative="0">
      <w:start w:val="14"/>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2">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4">
    <w:nsid w:val="57693060"/>
    <w:multiLevelType w:val="multilevel"/>
    <w:tmpl w:val="5769306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57912FC9"/>
    <w:multiLevelType w:val="multilevel"/>
    <w:tmpl w:val="57912FC9"/>
    <w:lvl w:ilvl="0" w:tentative="0">
      <w:start w:val="23"/>
      <w:numFmt w:val="decimal"/>
      <w:lvlText w:val="%1"/>
      <w:lvlJc w:val="left"/>
      <w:pPr>
        <w:ind w:left="465" w:hanging="465"/>
      </w:pPr>
      <w:rPr>
        <w:rFonts w:hint="default" w:ascii="Arial" w:hAnsi="Arial" w:cs="Arial"/>
      </w:rPr>
    </w:lvl>
    <w:lvl w:ilvl="1" w:tentative="0">
      <w:start w:val="1"/>
      <w:numFmt w:val="decimal"/>
      <w:lvlText w:val="22.%2."/>
      <w:lvlJc w:val="left"/>
      <w:pPr>
        <w:ind w:left="606" w:hanging="465"/>
      </w:pPr>
      <w:rPr>
        <w:rFonts w:hint="eastAsia"/>
      </w:rPr>
    </w:lvl>
    <w:lvl w:ilvl="2" w:tentative="0">
      <w:start w:val="1"/>
      <w:numFmt w:val="decimal"/>
      <w:lvlText w:val="%1.%2.%3"/>
      <w:lvlJc w:val="left"/>
      <w:pPr>
        <w:ind w:left="1680" w:hanging="720"/>
      </w:pPr>
      <w:rPr>
        <w:rFonts w:hint="default" w:ascii="Arial" w:hAnsi="Arial" w:cs="Arial"/>
      </w:rPr>
    </w:lvl>
    <w:lvl w:ilvl="3" w:tentative="0">
      <w:start w:val="1"/>
      <w:numFmt w:val="decimal"/>
      <w:lvlText w:val="%1.%2.%3.%4"/>
      <w:lvlJc w:val="left"/>
      <w:pPr>
        <w:ind w:left="2520" w:hanging="1080"/>
      </w:pPr>
      <w:rPr>
        <w:rFonts w:hint="default" w:ascii="Arial" w:hAnsi="Arial" w:cs="Arial"/>
      </w:rPr>
    </w:lvl>
    <w:lvl w:ilvl="4" w:tentative="0">
      <w:start w:val="1"/>
      <w:numFmt w:val="decimal"/>
      <w:lvlText w:val="%1.%2.%3.%4.%5"/>
      <w:lvlJc w:val="left"/>
      <w:pPr>
        <w:ind w:left="3000" w:hanging="1080"/>
      </w:pPr>
      <w:rPr>
        <w:rFonts w:hint="default" w:ascii="Arial" w:hAnsi="Arial" w:cs="Arial"/>
      </w:rPr>
    </w:lvl>
    <w:lvl w:ilvl="5" w:tentative="0">
      <w:start w:val="1"/>
      <w:numFmt w:val="decimal"/>
      <w:lvlText w:val="%1.%2.%3.%4.%5.%6"/>
      <w:lvlJc w:val="left"/>
      <w:pPr>
        <w:ind w:left="3840" w:hanging="1440"/>
      </w:pPr>
      <w:rPr>
        <w:rFonts w:hint="default" w:ascii="Arial" w:hAnsi="Arial" w:cs="Arial"/>
      </w:rPr>
    </w:lvl>
    <w:lvl w:ilvl="6" w:tentative="0">
      <w:start w:val="1"/>
      <w:numFmt w:val="decimal"/>
      <w:lvlText w:val="%1.%2.%3.%4.%5.%6.%7"/>
      <w:lvlJc w:val="left"/>
      <w:pPr>
        <w:ind w:left="4680" w:hanging="1800"/>
      </w:pPr>
      <w:rPr>
        <w:rFonts w:hint="default" w:ascii="Arial" w:hAnsi="Arial" w:cs="Arial"/>
      </w:rPr>
    </w:lvl>
    <w:lvl w:ilvl="7" w:tentative="0">
      <w:start w:val="1"/>
      <w:numFmt w:val="decimal"/>
      <w:lvlText w:val="%1.%2.%3.%4.%5.%6.%7.%8"/>
      <w:lvlJc w:val="left"/>
      <w:pPr>
        <w:ind w:left="5160" w:hanging="1800"/>
      </w:pPr>
      <w:rPr>
        <w:rFonts w:hint="default" w:ascii="Arial" w:hAnsi="Arial" w:cs="Arial"/>
      </w:rPr>
    </w:lvl>
    <w:lvl w:ilvl="8" w:tentative="0">
      <w:start w:val="1"/>
      <w:numFmt w:val="decimal"/>
      <w:lvlText w:val="%1.%2.%3.%4.%5.%6.%7.%8.%9"/>
      <w:lvlJc w:val="left"/>
      <w:pPr>
        <w:ind w:left="6000" w:hanging="2160"/>
      </w:pPr>
      <w:rPr>
        <w:rFonts w:hint="default" w:ascii="Arial" w:hAnsi="Arial" w:cs="Arial"/>
      </w:rPr>
    </w:lvl>
  </w:abstractNum>
  <w:abstractNum w:abstractNumId="26">
    <w:nsid w:val="59FC3E95"/>
    <w:multiLevelType w:val="singleLevel"/>
    <w:tmpl w:val="59FC3E95"/>
    <w:lvl w:ilvl="0" w:tentative="0">
      <w:start w:val="1"/>
      <w:numFmt w:val="decimal"/>
      <w:lvlText w:val="(%1)"/>
      <w:lvlJc w:val="left"/>
      <w:pPr>
        <w:tabs>
          <w:tab w:val="left" w:pos="312"/>
        </w:tabs>
      </w:pPr>
    </w:lvl>
  </w:abstractNum>
  <w:abstractNum w:abstractNumId="27">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8">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9">
    <w:nsid w:val="6B626D06"/>
    <w:multiLevelType w:val="multilevel"/>
    <w:tmpl w:val="6B626D06"/>
    <w:lvl w:ilvl="0" w:tentative="0">
      <w:start w:val="17"/>
      <w:numFmt w:val="decimal"/>
      <w:lvlText w:val="%1"/>
      <w:lvlJc w:val="left"/>
      <w:pPr>
        <w:ind w:left="480" w:hanging="480"/>
      </w:pPr>
      <w:rPr>
        <w:rFonts w:hint="default"/>
      </w:rPr>
    </w:lvl>
    <w:lvl w:ilvl="1" w:tentative="0">
      <w:start w:val="1"/>
      <w:numFmt w:val="decimal"/>
      <w:lvlText w:val="16.%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0">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1">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2">
    <w:nsid w:val="6FBA724A"/>
    <w:multiLevelType w:val="multilevel"/>
    <w:tmpl w:val="6FBA724A"/>
    <w:lvl w:ilvl="0" w:tentative="0">
      <w:start w:val="22"/>
      <w:numFmt w:val="decimal"/>
      <w:lvlText w:val="%1"/>
      <w:lvlJc w:val="left"/>
      <w:pPr>
        <w:ind w:left="480" w:hanging="480"/>
      </w:pPr>
      <w:rPr>
        <w:rFonts w:hint="default"/>
      </w:rPr>
    </w:lvl>
    <w:lvl w:ilvl="1" w:tentative="0">
      <w:start w:val="1"/>
      <w:numFmt w:val="decimal"/>
      <w:lvlText w:val="21.%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3">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4">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5">
    <w:nsid w:val="7A113608"/>
    <w:multiLevelType w:val="multilevel"/>
    <w:tmpl w:val="7A1136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7AA846C6"/>
    <w:multiLevelType w:val="multilevel"/>
    <w:tmpl w:val="7AA846C6"/>
    <w:lvl w:ilvl="0" w:tentative="0">
      <w:start w:val="12"/>
      <w:numFmt w:val="decimal"/>
      <w:lvlText w:val="%1"/>
      <w:lvlJc w:val="left"/>
      <w:pPr>
        <w:ind w:left="480" w:hanging="480"/>
      </w:pPr>
      <w:rPr>
        <w:rFonts w:hint="default"/>
      </w:rPr>
    </w:lvl>
    <w:lvl w:ilvl="1" w:tentative="0">
      <w:start w:val="1"/>
      <w:numFmt w:val="decimal"/>
      <w:lvlText w:val="%1.%2"/>
      <w:lvlJc w:val="left"/>
      <w:pPr>
        <w:ind w:left="1190" w:hanging="480"/>
      </w:pPr>
      <w:rPr>
        <w:rFonts w:hint="default"/>
        <w:color w:val="auto"/>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7">
    <w:nsid w:val="7B216D2B"/>
    <w:multiLevelType w:val="multilevel"/>
    <w:tmpl w:val="7B216D2B"/>
    <w:lvl w:ilvl="0" w:tentative="0">
      <w:start w:val="20"/>
      <w:numFmt w:val="decimal"/>
      <w:lvlText w:val="%1"/>
      <w:lvlJc w:val="left"/>
      <w:pPr>
        <w:ind w:left="480" w:hanging="480"/>
      </w:pPr>
      <w:rPr>
        <w:rFonts w:hint="default"/>
      </w:rPr>
    </w:lvl>
    <w:lvl w:ilvl="1" w:tentative="0">
      <w:start w:val="1"/>
      <w:numFmt w:val="decimal"/>
      <w:lvlText w:val="19.%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8">
    <w:nsid w:val="7B9E3C32"/>
    <w:multiLevelType w:val="multilevel"/>
    <w:tmpl w:val="7B9E3C32"/>
    <w:lvl w:ilvl="0" w:tentative="0">
      <w:start w:val="18"/>
      <w:numFmt w:val="decimal"/>
      <w:lvlText w:val="%1"/>
      <w:lvlJc w:val="left"/>
      <w:pPr>
        <w:ind w:left="480" w:hanging="480"/>
      </w:pPr>
      <w:rPr>
        <w:rFonts w:hint="default"/>
      </w:rPr>
    </w:lvl>
    <w:lvl w:ilvl="1" w:tentative="0">
      <w:start w:val="1"/>
      <w:numFmt w:val="decimal"/>
      <w:lvlText w:val="17.%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9">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4"/>
  </w:num>
  <w:num w:numId="2">
    <w:abstractNumId w:val="20"/>
  </w:num>
  <w:num w:numId="3">
    <w:abstractNumId w:val="1"/>
  </w:num>
  <w:num w:numId="4">
    <w:abstractNumId w:val="6"/>
  </w:num>
  <w:num w:numId="5">
    <w:abstractNumId w:val="13"/>
  </w:num>
  <w:num w:numId="6">
    <w:abstractNumId w:val="10"/>
  </w:num>
  <w:num w:numId="7">
    <w:abstractNumId w:val="34"/>
  </w:num>
  <w:num w:numId="8">
    <w:abstractNumId w:val="5"/>
  </w:num>
  <w:num w:numId="9">
    <w:abstractNumId w:val="31"/>
  </w:num>
  <w:num w:numId="10">
    <w:abstractNumId w:val="7"/>
  </w:num>
  <w:num w:numId="11">
    <w:abstractNumId w:val="28"/>
  </w:num>
  <w:num w:numId="12">
    <w:abstractNumId w:val="33"/>
  </w:num>
  <w:num w:numId="13">
    <w:abstractNumId w:val="30"/>
  </w:num>
  <w:num w:numId="14">
    <w:abstractNumId w:val="9"/>
  </w:num>
  <w:num w:numId="15">
    <w:abstractNumId w:val="36"/>
  </w:num>
  <w:num w:numId="16">
    <w:abstractNumId w:val="11"/>
  </w:num>
  <w:num w:numId="17">
    <w:abstractNumId w:val="39"/>
  </w:num>
  <w:num w:numId="18">
    <w:abstractNumId w:val="21"/>
  </w:num>
  <w:num w:numId="19">
    <w:abstractNumId w:val="12"/>
  </w:num>
  <w:num w:numId="20">
    <w:abstractNumId w:val="26"/>
  </w:num>
  <w:num w:numId="21">
    <w:abstractNumId w:val="29"/>
  </w:num>
  <w:num w:numId="22">
    <w:abstractNumId w:val="35"/>
  </w:num>
  <w:num w:numId="23">
    <w:abstractNumId w:val="24"/>
  </w:num>
  <w:num w:numId="24">
    <w:abstractNumId w:val="38"/>
  </w:num>
  <w:num w:numId="25">
    <w:abstractNumId w:val="18"/>
  </w:num>
  <w:num w:numId="26">
    <w:abstractNumId w:val="27"/>
  </w:num>
  <w:num w:numId="27">
    <w:abstractNumId w:val="4"/>
  </w:num>
  <w:num w:numId="28">
    <w:abstractNumId w:val="15"/>
  </w:num>
  <w:num w:numId="29">
    <w:abstractNumId w:val="19"/>
  </w:num>
  <w:num w:numId="30">
    <w:abstractNumId w:val="37"/>
  </w:num>
  <w:num w:numId="31">
    <w:abstractNumId w:val="0"/>
  </w:num>
  <w:num w:numId="32">
    <w:abstractNumId w:val="8"/>
  </w:num>
  <w:num w:numId="33">
    <w:abstractNumId w:val="32"/>
  </w:num>
  <w:num w:numId="34">
    <w:abstractNumId w:val="25"/>
  </w:num>
  <w:num w:numId="35">
    <w:abstractNumId w:val="23"/>
  </w:num>
  <w:num w:numId="36">
    <w:abstractNumId w:val="3"/>
  </w:num>
  <w:num w:numId="37">
    <w:abstractNumId w:val="16"/>
  </w:num>
  <w:num w:numId="38">
    <w:abstractNumId w:val="2"/>
  </w:num>
  <w:num w:numId="39">
    <w:abstractNumId w:val="22"/>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NiNjc5NWFiOGZjNWI1NTRkM2U4Njg3MDc1MmIyYTQifQ=="/>
  </w:docVars>
  <w:rsids>
    <w:rsidRoot w:val="00B64A69"/>
    <w:rsid w:val="0000158B"/>
    <w:rsid w:val="00002BF7"/>
    <w:rsid w:val="000038F3"/>
    <w:rsid w:val="0000523C"/>
    <w:rsid w:val="00005A48"/>
    <w:rsid w:val="000067C2"/>
    <w:rsid w:val="00006833"/>
    <w:rsid w:val="00010612"/>
    <w:rsid w:val="0001239E"/>
    <w:rsid w:val="00013668"/>
    <w:rsid w:val="00014941"/>
    <w:rsid w:val="000150EB"/>
    <w:rsid w:val="00015785"/>
    <w:rsid w:val="0001710E"/>
    <w:rsid w:val="0001758F"/>
    <w:rsid w:val="0002211A"/>
    <w:rsid w:val="00023E42"/>
    <w:rsid w:val="0002411A"/>
    <w:rsid w:val="0002541C"/>
    <w:rsid w:val="000270B5"/>
    <w:rsid w:val="0003102F"/>
    <w:rsid w:val="00034678"/>
    <w:rsid w:val="00034AC1"/>
    <w:rsid w:val="00036572"/>
    <w:rsid w:val="00044157"/>
    <w:rsid w:val="000446E2"/>
    <w:rsid w:val="000457A3"/>
    <w:rsid w:val="00046F57"/>
    <w:rsid w:val="00047649"/>
    <w:rsid w:val="00047F62"/>
    <w:rsid w:val="00051006"/>
    <w:rsid w:val="00051784"/>
    <w:rsid w:val="00053076"/>
    <w:rsid w:val="000532B7"/>
    <w:rsid w:val="00053663"/>
    <w:rsid w:val="00053D3B"/>
    <w:rsid w:val="000544FF"/>
    <w:rsid w:val="0005473E"/>
    <w:rsid w:val="000558CC"/>
    <w:rsid w:val="000571B9"/>
    <w:rsid w:val="00057DDD"/>
    <w:rsid w:val="00060656"/>
    <w:rsid w:val="00060DBE"/>
    <w:rsid w:val="000621E9"/>
    <w:rsid w:val="00062D88"/>
    <w:rsid w:val="00064C22"/>
    <w:rsid w:val="00070389"/>
    <w:rsid w:val="00071AFA"/>
    <w:rsid w:val="00071E6B"/>
    <w:rsid w:val="0007472D"/>
    <w:rsid w:val="00075EB8"/>
    <w:rsid w:val="0007617E"/>
    <w:rsid w:val="000806B7"/>
    <w:rsid w:val="00081A20"/>
    <w:rsid w:val="00081E42"/>
    <w:rsid w:val="00083F67"/>
    <w:rsid w:val="000846AA"/>
    <w:rsid w:val="0008494D"/>
    <w:rsid w:val="000872D0"/>
    <w:rsid w:val="00090332"/>
    <w:rsid w:val="00091565"/>
    <w:rsid w:val="00091938"/>
    <w:rsid w:val="00094715"/>
    <w:rsid w:val="00094DA3"/>
    <w:rsid w:val="00095580"/>
    <w:rsid w:val="00095A45"/>
    <w:rsid w:val="00095B69"/>
    <w:rsid w:val="00095F54"/>
    <w:rsid w:val="00097FE6"/>
    <w:rsid w:val="000A3E69"/>
    <w:rsid w:val="000A4266"/>
    <w:rsid w:val="000A4A29"/>
    <w:rsid w:val="000A4A51"/>
    <w:rsid w:val="000A5B2E"/>
    <w:rsid w:val="000A5D96"/>
    <w:rsid w:val="000A5E33"/>
    <w:rsid w:val="000A670C"/>
    <w:rsid w:val="000A76E4"/>
    <w:rsid w:val="000A79BC"/>
    <w:rsid w:val="000A7AA9"/>
    <w:rsid w:val="000A7E78"/>
    <w:rsid w:val="000B04C5"/>
    <w:rsid w:val="000B0C19"/>
    <w:rsid w:val="000B1F19"/>
    <w:rsid w:val="000B46FC"/>
    <w:rsid w:val="000B6420"/>
    <w:rsid w:val="000B6C24"/>
    <w:rsid w:val="000C18FF"/>
    <w:rsid w:val="000C2843"/>
    <w:rsid w:val="000C3CC9"/>
    <w:rsid w:val="000C4278"/>
    <w:rsid w:val="000C43F0"/>
    <w:rsid w:val="000C57AF"/>
    <w:rsid w:val="000C60A4"/>
    <w:rsid w:val="000C6505"/>
    <w:rsid w:val="000C6B3B"/>
    <w:rsid w:val="000C6C7D"/>
    <w:rsid w:val="000D0C30"/>
    <w:rsid w:val="000D1FC0"/>
    <w:rsid w:val="000D3929"/>
    <w:rsid w:val="000D64A4"/>
    <w:rsid w:val="000D7068"/>
    <w:rsid w:val="000D7CD3"/>
    <w:rsid w:val="000E0567"/>
    <w:rsid w:val="000E09CB"/>
    <w:rsid w:val="000E0E00"/>
    <w:rsid w:val="000E346D"/>
    <w:rsid w:val="000E791D"/>
    <w:rsid w:val="000F00E5"/>
    <w:rsid w:val="000F03C2"/>
    <w:rsid w:val="000F095F"/>
    <w:rsid w:val="000F5C6D"/>
    <w:rsid w:val="000F6A0D"/>
    <w:rsid w:val="000F779E"/>
    <w:rsid w:val="000F77A6"/>
    <w:rsid w:val="00100215"/>
    <w:rsid w:val="001003FB"/>
    <w:rsid w:val="00101C28"/>
    <w:rsid w:val="001033A1"/>
    <w:rsid w:val="00103A39"/>
    <w:rsid w:val="001042F0"/>
    <w:rsid w:val="00104CCA"/>
    <w:rsid w:val="001100C2"/>
    <w:rsid w:val="00110842"/>
    <w:rsid w:val="00110AF9"/>
    <w:rsid w:val="0011125A"/>
    <w:rsid w:val="0011163B"/>
    <w:rsid w:val="00114AA8"/>
    <w:rsid w:val="00114C0A"/>
    <w:rsid w:val="00114D98"/>
    <w:rsid w:val="00116268"/>
    <w:rsid w:val="001164D8"/>
    <w:rsid w:val="00117E99"/>
    <w:rsid w:val="001209A9"/>
    <w:rsid w:val="00120EB7"/>
    <w:rsid w:val="00121135"/>
    <w:rsid w:val="00123F0F"/>
    <w:rsid w:val="00124055"/>
    <w:rsid w:val="001254F6"/>
    <w:rsid w:val="00125A2E"/>
    <w:rsid w:val="0012666C"/>
    <w:rsid w:val="001309C1"/>
    <w:rsid w:val="00130E28"/>
    <w:rsid w:val="00132691"/>
    <w:rsid w:val="00133612"/>
    <w:rsid w:val="001337D1"/>
    <w:rsid w:val="00134A4A"/>
    <w:rsid w:val="00135CE1"/>
    <w:rsid w:val="0013606C"/>
    <w:rsid w:val="00141C08"/>
    <w:rsid w:val="00141D84"/>
    <w:rsid w:val="0014215C"/>
    <w:rsid w:val="0014227A"/>
    <w:rsid w:val="0014346E"/>
    <w:rsid w:val="00143668"/>
    <w:rsid w:val="00144745"/>
    <w:rsid w:val="00144849"/>
    <w:rsid w:val="0014605B"/>
    <w:rsid w:val="00146BA2"/>
    <w:rsid w:val="00146D35"/>
    <w:rsid w:val="00146FA2"/>
    <w:rsid w:val="00147176"/>
    <w:rsid w:val="001475A5"/>
    <w:rsid w:val="00150B55"/>
    <w:rsid w:val="00153051"/>
    <w:rsid w:val="001538F6"/>
    <w:rsid w:val="00153B72"/>
    <w:rsid w:val="001574D2"/>
    <w:rsid w:val="00161442"/>
    <w:rsid w:val="00163370"/>
    <w:rsid w:val="00164B21"/>
    <w:rsid w:val="00165018"/>
    <w:rsid w:val="001655A7"/>
    <w:rsid w:val="001659BA"/>
    <w:rsid w:val="0016715B"/>
    <w:rsid w:val="001673A5"/>
    <w:rsid w:val="00170482"/>
    <w:rsid w:val="0017094A"/>
    <w:rsid w:val="00172D02"/>
    <w:rsid w:val="00174D3A"/>
    <w:rsid w:val="00174F7A"/>
    <w:rsid w:val="00176770"/>
    <w:rsid w:val="001801DD"/>
    <w:rsid w:val="00180A83"/>
    <w:rsid w:val="00181301"/>
    <w:rsid w:val="001829C0"/>
    <w:rsid w:val="00184ADA"/>
    <w:rsid w:val="00185FA7"/>
    <w:rsid w:val="00187489"/>
    <w:rsid w:val="0018786E"/>
    <w:rsid w:val="00191300"/>
    <w:rsid w:val="00191B3C"/>
    <w:rsid w:val="001930C4"/>
    <w:rsid w:val="00194DC7"/>
    <w:rsid w:val="001968AD"/>
    <w:rsid w:val="00197375"/>
    <w:rsid w:val="001A0EAC"/>
    <w:rsid w:val="001A1F4C"/>
    <w:rsid w:val="001A2093"/>
    <w:rsid w:val="001A27B9"/>
    <w:rsid w:val="001A339F"/>
    <w:rsid w:val="001A504E"/>
    <w:rsid w:val="001A589B"/>
    <w:rsid w:val="001A5D19"/>
    <w:rsid w:val="001A6164"/>
    <w:rsid w:val="001A6395"/>
    <w:rsid w:val="001B084B"/>
    <w:rsid w:val="001B258F"/>
    <w:rsid w:val="001B290C"/>
    <w:rsid w:val="001B3A0B"/>
    <w:rsid w:val="001B5289"/>
    <w:rsid w:val="001B5A29"/>
    <w:rsid w:val="001B6AEF"/>
    <w:rsid w:val="001C100B"/>
    <w:rsid w:val="001C1E19"/>
    <w:rsid w:val="001C3362"/>
    <w:rsid w:val="001C4112"/>
    <w:rsid w:val="001C5860"/>
    <w:rsid w:val="001C71A8"/>
    <w:rsid w:val="001C7E11"/>
    <w:rsid w:val="001D0224"/>
    <w:rsid w:val="001D0BB0"/>
    <w:rsid w:val="001D2B64"/>
    <w:rsid w:val="001D704B"/>
    <w:rsid w:val="001E08C0"/>
    <w:rsid w:val="001E1452"/>
    <w:rsid w:val="001E1C73"/>
    <w:rsid w:val="001E4AC9"/>
    <w:rsid w:val="001E61C0"/>
    <w:rsid w:val="001E62CF"/>
    <w:rsid w:val="001E78D7"/>
    <w:rsid w:val="001F15AA"/>
    <w:rsid w:val="001F165B"/>
    <w:rsid w:val="001F37EE"/>
    <w:rsid w:val="001F497C"/>
    <w:rsid w:val="001F4BF8"/>
    <w:rsid w:val="001F6CA1"/>
    <w:rsid w:val="002002AB"/>
    <w:rsid w:val="00202142"/>
    <w:rsid w:val="002027BC"/>
    <w:rsid w:val="002031C1"/>
    <w:rsid w:val="002032A7"/>
    <w:rsid w:val="00205497"/>
    <w:rsid w:val="002062BB"/>
    <w:rsid w:val="00206488"/>
    <w:rsid w:val="002069D8"/>
    <w:rsid w:val="00210596"/>
    <w:rsid w:val="00210EEA"/>
    <w:rsid w:val="00211082"/>
    <w:rsid w:val="0021138A"/>
    <w:rsid w:val="002118EC"/>
    <w:rsid w:val="00212E60"/>
    <w:rsid w:val="002136BF"/>
    <w:rsid w:val="00213F9D"/>
    <w:rsid w:val="00214BA8"/>
    <w:rsid w:val="002212B2"/>
    <w:rsid w:val="00221B90"/>
    <w:rsid w:val="00222CBB"/>
    <w:rsid w:val="00224136"/>
    <w:rsid w:val="0022430C"/>
    <w:rsid w:val="002249FE"/>
    <w:rsid w:val="002250D0"/>
    <w:rsid w:val="002307FD"/>
    <w:rsid w:val="0023147E"/>
    <w:rsid w:val="0023168C"/>
    <w:rsid w:val="0023487E"/>
    <w:rsid w:val="00234B46"/>
    <w:rsid w:val="00234FAA"/>
    <w:rsid w:val="0023585A"/>
    <w:rsid w:val="00235CAF"/>
    <w:rsid w:val="00237519"/>
    <w:rsid w:val="00237D6B"/>
    <w:rsid w:val="00240485"/>
    <w:rsid w:val="002411CA"/>
    <w:rsid w:val="00242D84"/>
    <w:rsid w:val="002471F8"/>
    <w:rsid w:val="002475F8"/>
    <w:rsid w:val="00247938"/>
    <w:rsid w:val="00250300"/>
    <w:rsid w:val="0025043A"/>
    <w:rsid w:val="00250E43"/>
    <w:rsid w:val="002513FF"/>
    <w:rsid w:val="0025211E"/>
    <w:rsid w:val="002550B8"/>
    <w:rsid w:val="002554DC"/>
    <w:rsid w:val="00256182"/>
    <w:rsid w:val="002565A6"/>
    <w:rsid w:val="00256BE3"/>
    <w:rsid w:val="00260023"/>
    <w:rsid w:val="0026098D"/>
    <w:rsid w:val="002612E7"/>
    <w:rsid w:val="00262A92"/>
    <w:rsid w:val="00263995"/>
    <w:rsid w:val="00263C2D"/>
    <w:rsid w:val="00263CBE"/>
    <w:rsid w:val="00263CC7"/>
    <w:rsid w:val="00264625"/>
    <w:rsid w:val="00264E70"/>
    <w:rsid w:val="00265C78"/>
    <w:rsid w:val="00266513"/>
    <w:rsid w:val="00270623"/>
    <w:rsid w:val="00271723"/>
    <w:rsid w:val="0027217E"/>
    <w:rsid w:val="00273870"/>
    <w:rsid w:val="00273EF6"/>
    <w:rsid w:val="0027411F"/>
    <w:rsid w:val="00280EEC"/>
    <w:rsid w:val="002812BE"/>
    <w:rsid w:val="00281F11"/>
    <w:rsid w:val="0028262A"/>
    <w:rsid w:val="002839E2"/>
    <w:rsid w:val="00284776"/>
    <w:rsid w:val="002854C0"/>
    <w:rsid w:val="00285653"/>
    <w:rsid w:val="00285921"/>
    <w:rsid w:val="00286271"/>
    <w:rsid w:val="002863DA"/>
    <w:rsid w:val="002867B9"/>
    <w:rsid w:val="00286A2C"/>
    <w:rsid w:val="00287023"/>
    <w:rsid w:val="002874ED"/>
    <w:rsid w:val="00292A1E"/>
    <w:rsid w:val="0029318E"/>
    <w:rsid w:val="00293AFC"/>
    <w:rsid w:val="002948C0"/>
    <w:rsid w:val="00294A2B"/>
    <w:rsid w:val="002A252B"/>
    <w:rsid w:val="002B0774"/>
    <w:rsid w:val="002B0B5B"/>
    <w:rsid w:val="002B2490"/>
    <w:rsid w:val="002B3906"/>
    <w:rsid w:val="002B3A99"/>
    <w:rsid w:val="002B3C13"/>
    <w:rsid w:val="002B3D73"/>
    <w:rsid w:val="002B3D9A"/>
    <w:rsid w:val="002B40F9"/>
    <w:rsid w:val="002B6CF5"/>
    <w:rsid w:val="002B7080"/>
    <w:rsid w:val="002C0A84"/>
    <w:rsid w:val="002C0E7F"/>
    <w:rsid w:val="002C112F"/>
    <w:rsid w:val="002C1E9B"/>
    <w:rsid w:val="002C225A"/>
    <w:rsid w:val="002C59C7"/>
    <w:rsid w:val="002C5A13"/>
    <w:rsid w:val="002C6A48"/>
    <w:rsid w:val="002C6AFF"/>
    <w:rsid w:val="002C7F49"/>
    <w:rsid w:val="002D5143"/>
    <w:rsid w:val="002D56ED"/>
    <w:rsid w:val="002D7C5E"/>
    <w:rsid w:val="002E0050"/>
    <w:rsid w:val="002E120E"/>
    <w:rsid w:val="002E18F2"/>
    <w:rsid w:val="002E1AA1"/>
    <w:rsid w:val="002E27F1"/>
    <w:rsid w:val="002E2E37"/>
    <w:rsid w:val="002E3341"/>
    <w:rsid w:val="002E5C15"/>
    <w:rsid w:val="002E64E9"/>
    <w:rsid w:val="002E6972"/>
    <w:rsid w:val="002E72E9"/>
    <w:rsid w:val="002F1F0A"/>
    <w:rsid w:val="002F1FCD"/>
    <w:rsid w:val="002F2219"/>
    <w:rsid w:val="002F29A0"/>
    <w:rsid w:val="002F2BA1"/>
    <w:rsid w:val="002F3D64"/>
    <w:rsid w:val="002F45B9"/>
    <w:rsid w:val="002F4602"/>
    <w:rsid w:val="002F4AE4"/>
    <w:rsid w:val="002F611D"/>
    <w:rsid w:val="002F750C"/>
    <w:rsid w:val="002F7D44"/>
    <w:rsid w:val="0030098C"/>
    <w:rsid w:val="00301408"/>
    <w:rsid w:val="00301577"/>
    <w:rsid w:val="003015BD"/>
    <w:rsid w:val="003028D3"/>
    <w:rsid w:val="00302F31"/>
    <w:rsid w:val="003035D3"/>
    <w:rsid w:val="003035EC"/>
    <w:rsid w:val="00304A36"/>
    <w:rsid w:val="00304E7C"/>
    <w:rsid w:val="00305706"/>
    <w:rsid w:val="003103AB"/>
    <w:rsid w:val="003106A7"/>
    <w:rsid w:val="00310A22"/>
    <w:rsid w:val="00310E13"/>
    <w:rsid w:val="0031377B"/>
    <w:rsid w:val="00314AA7"/>
    <w:rsid w:val="00315066"/>
    <w:rsid w:val="003158A9"/>
    <w:rsid w:val="003163D0"/>
    <w:rsid w:val="0031651E"/>
    <w:rsid w:val="00317521"/>
    <w:rsid w:val="00317608"/>
    <w:rsid w:val="00321269"/>
    <w:rsid w:val="00321E99"/>
    <w:rsid w:val="00322771"/>
    <w:rsid w:val="003233E5"/>
    <w:rsid w:val="00324326"/>
    <w:rsid w:val="00325D87"/>
    <w:rsid w:val="003277B5"/>
    <w:rsid w:val="003304B9"/>
    <w:rsid w:val="0033150D"/>
    <w:rsid w:val="00331ABE"/>
    <w:rsid w:val="00332945"/>
    <w:rsid w:val="00341D0D"/>
    <w:rsid w:val="003440F7"/>
    <w:rsid w:val="00344401"/>
    <w:rsid w:val="0034606E"/>
    <w:rsid w:val="003473DD"/>
    <w:rsid w:val="00347405"/>
    <w:rsid w:val="0034743D"/>
    <w:rsid w:val="00347C5C"/>
    <w:rsid w:val="0035056F"/>
    <w:rsid w:val="003522EB"/>
    <w:rsid w:val="0035352D"/>
    <w:rsid w:val="00353663"/>
    <w:rsid w:val="00354055"/>
    <w:rsid w:val="003560BD"/>
    <w:rsid w:val="00356255"/>
    <w:rsid w:val="003579BC"/>
    <w:rsid w:val="00357C79"/>
    <w:rsid w:val="00361505"/>
    <w:rsid w:val="00362A2D"/>
    <w:rsid w:val="00363694"/>
    <w:rsid w:val="00370C11"/>
    <w:rsid w:val="003711E9"/>
    <w:rsid w:val="00371D37"/>
    <w:rsid w:val="00373EBB"/>
    <w:rsid w:val="00374189"/>
    <w:rsid w:val="00374627"/>
    <w:rsid w:val="00375A67"/>
    <w:rsid w:val="00382732"/>
    <w:rsid w:val="00383D07"/>
    <w:rsid w:val="00386E74"/>
    <w:rsid w:val="003871E6"/>
    <w:rsid w:val="00390084"/>
    <w:rsid w:val="00390712"/>
    <w:rsid w:val="00396783"/>
    <w:rsid w:val="003967C0"/>
    <w:rsid w:val="00396A62"/>
    <w:rsid w:val="0039788F"/>
    <w:rsid w:val="003A0AF6"/>
    <w:rsid w:val="003A0C81"/>
    <w:rsid w:val="003A0E91"/>
    <w:rsid w:val="003A11A4"/>
    <w:rsid w:val="003A1C5A"/>
    <w:rsid w:val="003A2B4C"/>
    <w:rsid w:val="003A2CEB"/>
    <w:rsid w:val="003A39C0"/>
    <w:rsid w:val="003A3CBB"/>
    <w:rsid w:val="003A4B5B"/>
    <w:rsid w:val="003A54E9"/>
    <w:rsid w:val="003A70AE"/>
    <w:rsid w:val="003A7E68"/>
    <w:rsid w:val="003B09D0"/>
    <w:rsid w:val="003B2FB6"/>
    <w:rsid w:val="003B45D2"/>
    <w:rsid w:val="003B71DA"/>
    <w:rsid w:val="003C0201"/>
    <w:rsid w:val="003C104E"/>
    <w:rsid w:val="003C46A6"/>
    <w:rsid w:val="003C4D8F"/>
    <w:rsid w:val="003C616B"/>
    <w:rsid w:val="003C644F"/>
    <w:rsid w:val="003C7657"/>
    <w:rsid w:val="003C7A96"/>
    <w:rsid w:val="003D0248"/>
    <w:rsid w:val="003D0529"/>
    <w:rsid w:val="003D1776"/>
    <w:rsid w:val="003D1CBD"/>
    <w:rsid w:val="003D322B"/>
    <w:rsid w:val="003D4271"/>
    <w:rsid w:val="003D46EA"/>
    <w:rsid w:val="003D5817"/>
    <w:rsid w:val="003D58AA"/>
    <w:rsid w:val="003D6B4E"/>
    <w:rsid w:val="003D7DDD"/>
    <w:rsid w:val="003E0048"/>
    <w:rsid w:val="003E0378"/>
    <w:rsid w:val="003E0428"/>
    <w:rsid w:val="003E0459"/>
    <w:rsid w:val="003E0B86"/>
    <w:rsid w:val="003E0BFB"/>
    <w:rsid w:val="003E1052"/>
    <w:rsid w:val="003E4F99"/>
    <w:rsid w:val="003E536F"/>
    <w:rsid w:val="003E625F"/>
    <w:rsid w:val="003E68AA"/>
    <w:rsid w:val="003E7FCD"/>
    <w:rsid w:val="003F07A6"/>
    <w:rsid w:val="003F1EDC"/>
    <w:rsid w:val="003F2210"/>
    <w:rsid w:val="003F6A0F"/>
    <w:rsid w:val="003F6B9A"/>
    <w:rsid w:val="003F70BB"/>
    <w:rsid w:val="003F7545"/>
    <w:rsid w:val="003F78B4"/>
    <w:rsid w:val="003F794B"/>
    <w:rsid w:val="00400FFB"/>
    <w:rsid w:val="00402BE9"/>
    <w:rsid w:val="004049D9"/>
    <w:rsid w:val="004060D8"/>
    <w:rsid w:val="00411025"/>
    <w:rsid w:val="00414E40"/>
    <w:rsid w:val="00415A34"/>
    <w:rsid w:val="004165A2"/>
    <w:rsid w:val="004172E0"/>
    <w:rsid w:val="00417367"/>
    <w:rsid w:val="0041793E"/>
    <w:rsid w:val="00417C36"/>
    <w:rsid w:val="004204FB"/>
    <w:rsid w:val="00420E67"/>
    <w:rsid w:val="004216E2"/>
    <w:rsid w:val="0042191C"/>
    <w:rsid w:val="004239FA"/>
    <w:rsid w:val="004245B7"/>
    <w:rsid w:val="00425183"/>
    <w:rsid w:val="00426906"/>
    <w:rsid w:val="004273F5"/>
    <w:rsid w:val="0043002E"/>
    <w:rsid w:val="00430923"/>
    <w:rsid w:val="00430C41"/>
    <w:rsid w:val="004318C5"/>
    <w:rsid w:val="00433A07"/>
    <w:rsid w:val="00436011"/>
    <w:rsid w:val="004360EC"/>
    <w:rsid w:val="004429E4"/>
    <w:rsid w:val="004435F8"/>
    <w:rsid w:val="00443800"/>
    <w:rsid w:val="00443869"/>
    <w:rsid w:val="004443A4"/>
    <w:rsid w:val="00445D46"/>
    <w:rsid w:val="00446641"/>
    <w:rsid w:val="00447F80"/>
    <w:rsid w:val="00450E42"/>
    <w:rsid w:val="00451525"/>
    <w:rsid w:val="0045175D"/>
    <w:rsid w:val="00451913"/>
    <w:rsid w:val="00451ED2"/>
    <w:rsid w:val="0045206A"/>
    <w:rsid w:val="004527BD"/>
    <w:rsid w:val="00452B6F"/>
    <w:rsid w:val="00452FAD"/>
    <w:rsid w:val="00454BA4"/>
    <w:rsid w:val="004569F1"/>
    <w:rsid w:val="00457500"/>
    <w:rsid w:val="00457735"/>
    <w:rsid w:val="00461142"/>
    <w:rsid w:val="00461184"/>
    <w:rsid w:val="00461E9F"/>
    <w:rsid w:val="0046364C"/>
    <w:rsid w:val="00463BB6"/>
    <w:rsid w:val="00464C20"/>
    <w:rsid w:val="00466044"/>
    <w:rsid w:val="004704BB"/>
    <w:rsid w:val="00471ACC"/>
    <w:rsid w:val="00471D7A"/>
    <w:rsid w:val="00473DDA"/>
    <w:rsid w:val="0047477B"/>
    <w:rsid w:val="00475DE5"/>
    <w:rsid w:val="00475E8E"/>
    <w:rsid w:val="00475FE2"/>
    <w:rsid w:val="00476424"/>
    <w:rsid w:val="004766AB"/>
    <w:rsid w:val="004773FB"/>
    <w:rsid w:val="004777F0"/>
    <w:rsid w:val="004802FC"/>
    <w:rsid w:val="00480C84"/>
    <w:rsid w:val="00481C49"/>
    <w:rsid w:val="00482614"/>
    <w:rsid w:val="00482CF8"/>
    <w:rsid w:val="00482F1A"/>
    <w:rsid w:val="004844D1"/>
    <w:rsid w:val="00486B75"/>
    <w:rsid w:val="00490F61"/>
    <w:rsid w:val="004926DD"/>
    <w:rsid w:val="004938FF"/>
    <w:rsid w:val="00494755"/>
    <w:rsid w:val="004955F0"/>
    <w:rsid w:val="0049591A"/>
    <w:rsid w:val="0049768E"/>
    <w:rsid w:val="004A18A1"/>
    <w:rsid w:val="004A1B0D"/>
    <w:rsid w:val="004A2070"/>
    <w:rsid w:val="004A2FAE"/>
    <w:rsid w:val="004A3ED2"/>
    <w:rsid w:val="004A3FA6"/>
    <w:rsid w:val="004A4982"/>
    <w:rsid w:val="004A6806"/>
    <w:rsid w:val="004A732D"/>
    <w:rsid w:val="004A7887"/>
    <w:rsid w:val="004A7B50"/>
    <w:rsid w:val="004A7C28"/>
    <w:rsid w:val="004B244C"/>
    <w:rsid w:val="004B2D23"/>
    <w:rsid w:val="004B489F"/>
    <w:rsid w:val="004B5A65"/>
    <w:rsid w:val="004B6399"/>
    <w:rsid w:val="004B7462"/>
    <w:rsid w:val="004C0CD5"/>
    <w:rsid w:val="004C1069"/>
    <w:rsid w:val="004C4FB4"/>
    <w:rsid w:val="004C6759"/>
    <w:rsid w:val="004C7018"/>
    <w:rsid w:val="004D249E"/>
    <w:rsid w:val="004D282F"/>
    <w:rsid w:val="004D2858"/>
    <w:rsid w:val="004D3CFB"/>
    <w:rsid w:val="004E0FA5"/>
    <w:rsid w:val="004E1822"/>
    <w:rsid w:val="004E26CF"/>
    <w:rsid w:val="004E324C"/>
    <w:rsid w:val="004E3E7D"/>
    <w:rsid w:val="004E4BA3"/>
    <w:rsid w:val="004E6FBE"/>
    <w:rsid w:val="004F0575"/>
    <w:rsid w:val="004F193D"/>
    <w:rsid w:val="004F2EB9"/>
    <w:rsid w:val="004F305B"/>
    <w:rsid w:val="004F3B9C"/>
    <w:rsid w:val="004F4D1B"/>
    <w:rsid w:val="004F6475"/>
    <w:rsid w:val="004F7309"/>
    <w:rsid w:val="004F7C4F"/>
    <w:rsid w:val="004F7C5A"/>
    <w:rsid w:val="00500775"/>
    <w:rsid w:val="00500AC0"/>
    <w:rsid w:val="00504944"/>
    <w:rsid w:val="005053C9"/>
    <w:rsid w:val="00505B0A"/>
    <w:rsid w:val="00505F31"/>
    <w:rsid w:val="00506FCA"/>
    <w:rsid w:val="0051061C"/>
    <w:rsid w:val="00510EB0"/>
    <w:rsid w:val="00511E57"/>
    <w:rsid w:val="00511FD7"/>
    <w:rsid w:val="00513285"/>
    <w:rsid w:val="0051425A"/>
    <w:rsid w:val="005146F9"/>
    <w:rsid w:val="005151EB"/>
    <w:rsid w:val="0051535D"/>
    <w:rsid w:val="00515EE5"/>
    <w:rsid w:val="00515EF3"/>
    <w:rsid w:val="005166FC"/>
    <w:rsid w:val="00521E96"/>
    <w:rsid w:val="005234AC"/>
    <w:rsid w:val="005278AC"/>
    <w:rsid w:val="00527F7E"/>
    <w:rsid w:val="00530887"/>
    <w:rsid w:val="005315A3"/>
    <w:rsid w:val="00531A76"/>
    <w:rsid w:val="0053263F"/>
    <w:rsid w:val="005354DE"/>
    <w:rsid w:val="00535DA6"/>
    <w:rsid w:val="00536BD8"/>
    <w:rsid w:val="00540D8C"/>
    <w:rsid w:val="00541B49"/>
    <w:rsid w:val="00541D7E"/>
    <w:rsid w:val="00542DED"/>
    <w:rsid w:val="00545FD8"/>
    <w:rsid w:val="00546516"/>
    <w:rsid w:val="005468E9"/>
    <w:rsid w:val="00546EDF"/>
    <w:rsid w:val="005476BB"/>
    <w:rsid w:val="0055015E"/>
    <w:rsid w:val="00552132"/>
    <w:rsid w:val="00552880"/>
    <w:rsid w:val="0055309F"/>
    <w:rsid w:val="005530FE"/>
    <w:rsid w:val="00553AC2"/>
    <w:rsid w:val="00553E6B"/>
    <w:rsid w:val="005553DD"/>
    <w:rsid w:val="00556754"/>
    <w:rsid w:val="00561DC2"/>
    <w:rsid w:val="00562FD5"/>
    <w:rsid w:val="00563186"/>
    <w:rsid w:val="0056552C"/>
    <w:rsid w:val="00574777"/>
    <w:rsid w:val="00574CC1"/>
    <w:rsid w:val="00576FFD"/>
    <w:rsid w:val="005810C9"/>
    <w:rsid w:val="00583185"/>
    <w:rsid w:val="0058630A"/>
    <w:rsid w:val="005864CE"/>
    <w:rsid w:val="00586E2B"/>
    <w:rsid w:val="00587496"/>
    <w:rsid w:val="00591CA1"/>
    <w:rsid w:val="005925F4"/>
    <w:rsid w:val="00592F25"/>
    <w:rsid w:val="0059310B"/>
    <w:rsid w:val="005936E2"/>
    <w:rsid w:val="00595809"/>
    <w:rsid w:val="005A075B"/>
    <w:rsid w:val="005A0DD0"/>
    <w:rsid w:val="005A0E7D"/>
    <w:rsid w:val="005A196F"/>
    <w:rsid w:val="005A2653"/>
    <w:rsid w:val="005A3726"/>
    <w:rsid w:val="005A3934"/>
    <w:rsid w:val="005A4403"/>
    <w:rsid w:val="005A45E3"/>
    <w:rsid w:val="005A47D2"/>
    <w:rsid w:val="005A4B0F"/>
    <w:rsid w:val="005A7358"/>
    <w:rsid w:val="005B01B0"/>
    <w:rsid w:val="005B11B1"/>
    <w:rsid w:val="005B2A68"/>
    <w:rsid w:val="005B2E24"/>
    <w:rsid w:val="005B2E8A"/>
    <w:rsid w:val="005B71FE"/>
    <w:rsid w:val="005C0030"/>
    <w:rsid w:val="005C1590"/>
    <w:rsid w:val="005C16B4"/>
    <w:rsid w:val="005C3128"/>
    <w:rsid w:val="005C3AFA"/>
    <w:rsid w:val="005C519E"/>
    <w:rsid w:val="005C77E3"/>
    <w:rsid w:val="005D0243"/>
    <w:rsid w:val="005D1809"/>
    <w:rsid w:val="005D2508"/>
    <w:rsid w:val="005D62D3"/>
    <w:rsid w:val="005D6984"/>
    <w:rsid w:val="005D7465"/>
    <w:rsid w:val="005D7FE4"/>
    <w:rsid w:val="005E10F4"/>
    <w:rsid w:val="005E528B"/>
    <w:rsid w:val="005E713D"/>
    <w:rsid w:val="005E7818"/>
    <w:rsid w:val="005F1FE4"/>
    <w:rsid w:val="005F449B"/>
    <w:rsid w:val="005F4695"/>
    <w:rsid w:val="005F47F0"/>
    <w:rsid w:val="005F489F"/>
    <w:rsid w:val="005F51C8"/>
    <w:rsid w:val="005F54A6"/>
    <w:rsid w:val="005F5C48"/>
    <w:rsid w:val="005F6F5E"/>
    <w:rsid w:val="005F7412"/>
    <w:rsid w:val="005F76F1"/>
    <w:rsid w:val="00600293"/>
    <w:rsid w:val="0060118C"/>
    <w:rsid w:val="00601782"/>
    <w:rsid w:val="00601B0F"/>
    <w:rsid w:val="00605754"/>
    <w:rsid w:val="00607D42"/>
    <w:rsid w:val="00607D57"/>
    <w:rsid w:val="006110FE"/>
    <w:rsid w:val="0061529C"/>
    <w:rsid w:val="00615373"/>
    <w:rsid w:val="00617319"/>
    <w:rsid w:val="0061747E"/>
    <w:rsid w:val="00617889"/>
    <w:rsid w:val="00617B01"/>
    <w:rsid w:val="00617C82"/>
    <w:rsid w:val="00617E12"/>
    <w:rsid w:val="006212DE"/>
    <w:rsid w:val="006222CF"/>
    <w:rsid w:val="00623CEE"/>
    <w:rsid w:val="00623FB7"/>
    <w:rsid w:val="0062460E"/>
    <w:rsid w:val="00624A5B"/>
    <w:rsid w:val="00625C34"/>
    <w:rsid w:val="00627D6F"/>
    <w:rsid w:val="00627E81"/>
    <w:rsid w:val="00627ECF"/>
    <w:rsid w:val="00630504"/>
    <w:rsid w:val="00633C11"/>
    <w:rsid w:val="006341AF"/>
    <w:rsid w:val="006348D7"/>
    <w:rsid w:val="006377ED"/>
    <w:rsid w:val="00640890"/>
    <w:rsid w:val="00640AEB"/>
    <w:rsid w:val="00640CB5"/>
    <w:rsid w:val="00641042"/>
    <w:rsid w:val="006412F8"/>
    <w:rsid w:val="00641368"/>
    <w:rsid w:val="0064250F"/>
    <w:rsid w:val="00643FA8"/>
    <w:rsid w:val="00645286"/>
    <w:rsid w:val="00645415"/>
    <w:rsid w:val="006478BE"/>
    <w:rsid w:val="00647A31"/>
    <w:rsid w:val="006509E1"/>
    <w:rsid w:val="006510B1"/>
    <w:rsid w:val="0065116F"/>
    <w:rsid w:val="0065148E"/>
    <w:rsid w:val="00651597"/>
    <w:rsid w:val="00651C89"/>
    <w:rsid w:val="0065351A"/>
    <w:rsid w:val="0065364D"/>
    <w:rsid w:val="00654177"/>
    <w:rsid w:val="00654E30"/>
    <w:rsid w:val="006552D2"/>
    <w:rsid w:val="006553E6"/>
    <w:rsid w:val="00656667"/>
    <w:rsid w:val="006613FE"/>
    <w:rsid w:val="006629DD"/>
    <w:rsid w:val="00662A00"/>
    <w:rsid w:val="0066469C"/>
    <w:rsid w:val="00665CD3"/>
    <w:rsid w:val="0066628F"/>
    <w:rsid w:val="00666BB8"/>
    <w:rsid w:val="00667584"/>
    <w:rsid w:val="00670377"/>
    <w:rsid w:val="0067228E"/>
    <w:rsid w:val="0067237B"/>
    <w:rsid w:val="006730A4"/>
    <w:rsid w:val="006730CA"/>
    <w:rsid w:val="006734DC"/>
    <w:rsid w:val="0067634C"/>
    <w:rsid w:val="00677B8E"/>
    <w:rsid w:val="00680F53"/>
    <w:rsid w:val="006823C9"/>
    <w:rsid w:val="00682AAA"/>
    <w:rsid w:val="00683DB1"/>
    <w:rsid w:val="00684781"/>
    <w:rsid w:val="0068487D"/>
    <w:rsid w:val="006856F1"/>
    <w:rsid w:val="00685DC3"/>
    <w:rsid w:val="00686B68"/>
    <w:rsid w:val="00690057"/>
    <w:rsid w:val="006911C8"/>
    <w:rsid w:val="006915A7"/>
    <w:rsid w:val="00691E36"/>
    <w:rsid w:val="006923A3"/>
    <w:rsid w:val="00692C09"/>
    <w:rsid w:val="0069396F"/>
    <w:rsid w:val="006939DB"/>
    <w:rsid w:val="00693AFF"/>
    <w:rsid w:val="00694FA6"/>
    <w:rsid w:val="00695987"/>
    <w:rsid w:val="0069635D"/>
    <w:rsid w:val="006968BC"/>
    <w:rsid w:val="006977B3"/>
    <w:rsid w:val="006A13F2"/>
    <w:rsid w:val="006A4AEA"/>
    <w:rsid w:val="006A757E"/>
    <w:rsid w:val="006A76E7"/>
    <w:rsid w:val="006A7D4C"/>
    <w:rsid w:val="006B1E3B"/>
    <w:rsid w:val="006B2800"/>
    <w:rsid w:val="006B39B9"/>
    <w:rsid w:val="006B489C"/>
    <w:rsid w:val="006B55F1"/>
    <w:rsid w:val="006B5AB3"/>
    <w:rsid w:val="006B7A72"/>
    <w:rsid w:val="006C00C2"/>
    <w:rsid w:val="006C0BFD"/>
    <w:rsid w:val="006C17EB"/>
    <w:rsid w:val="006C722E"/>
    <w:rsid w:val="006C76D2"/>
    <w:rsid w:val="006C7D4B"/>
    <w:rsid w:val="006D0042"/>
    <w:rsid w:val="006D0531"/>
    <w:rsid w:val="006D08B1"/>
    <w:rsid w:val="006D0A9F"/>
    <w:rsid w:val="006D23BD"/>
    <w:rsid w:val="006D2F46"/>
    <w:rsid w:val="006D4CBB"/>
    <w:rsid w:val="006D6A3A"/>
    <w:rsid w:val="006D6A9B"/>
    <w:rsid w:val="006D6B77"/>
    <w:rsid w:val="006D7495"/>
    <w:rsid w:val="006D7AF3"/>
    <w:rsid w:val="006E17F0"/>
    <w:rsid w:val="006E2449"/>
    <w:rsid w:val="006E3235"/>
    <w:rsid w:val="006E3F95"/>
    <w:rsid w:val="006E3FCE"/>
    <w:rsid w:val="006E46B1"/>
    <w:rsid w:val="006E4D3F"/>
    <w:rsid w:val="006E62FC"/>
    <w:rsid w:val="006E747E"/>
    <w:rsid w:val="006E78EB"/>
    <w:rsid w:val="006E7AD5"/>
    <w:rsid w:val="006F1138"/>
    <w:rsid w:val="006F1885"/>
    <w:rsid w:val="006F2461"/>
    <w:rsid w:val="006F285E"/>
    <w:rsid w:val="006F2CDB"/>
    <w:rsid w:val="006F488A"/>
    <w:rsid w:val="006F51CD"/>
    <w:rsid w:val="006F53C1"/>
    <w:rsid w:val="006F6C19"/>
    <w:rsid w:val="006F6EE3"/>
    <w:rsid w:val="006F73D2"/>
    <w:rsid w:val="006F77F6"/>
    <w:rsid w:val="00702BE3"/>
    <w:rsid w:val="00704D43"/>
    <w:rsid w:val="00704F3F"/>
    <w:rsid w:val="00706038"/>
    <w:rsid w:val="007060D2"/>
    <w:rsid w:val="00706D7A"/>
    <w:rsid w:val="007073CA"/>
    <w:rsid w:val="007079E3"/>
    <w:rsid w:val="007147AC"/>
    <w:rsid w:val="007161D7"/>
    <w:rsid w:val="00721ED0"/>
    <w:rsid w:val="00722462"/>
    <w:rsid w:val="0072511C"/>
    <w:rsid w:val="00725686"/>
    <w:rsid w:val="00725CB3"/>
    <w:rsid w:val="007344C1"/>
    <w:rsid w:val="007355A5"/>
    <w:rsid w:val="00736326"/>
    <w:rsid w:val="007364E9"/>
    <w:rsid w:val="00737626"/>
    <w:rsid w:val="007376A4"/>
    <w:rsid w:val="0074048C"/>
    <w:rsid w:val="0074198E"/>
    <w:rsid w:val="00741F64"/>
    <w:rsid w:val="00743A70"/>
    <w:rsid w:val="007444D7"/>
    <w:rsid w:val="0074710A"/>
    <w:rsid w:val="00747B55"/>
    <w:rsid w:val="00747D95"/>
    <w:rsid w:val="007503A1"/>
    <w:rsid w:val="007511E0"/>
    <w:rsid w:val="00751ED5"/>
    <w:rsid w:val="0075218F"/>
    <w:rsid w:val="0075230D"/>
    <w:rsid w:val="0075345E"/>
    <w:rsid w:val="0075612C"/>
    <w:rsid w:val="0075640C"/>
    <w:rsid w:val="00757391"/>
    <w:rsid w:val="00757473"/>
    <w:rsid w:val="007574F7"/>
    <w:rsid w:val="00757975"/>
    <w:rsid w:val="007625B4"/>
    <w:rsid w:val="00763072"/>
    <w:rsid w:val="007636B2"/>
    <w:rsid w:val="00766562"/>
    <w:rsid w:val="00770111"/>
    <w:rsid w:val="007716E5"/>
    <w:rsid w:val="00772E2F"/>
    <w:rsid w:val="00775960"/>
    <w:rsid w:val="00775E29"/>
    <w:rsid w:val="0077662D"/>
    <w:rsid w:val="00777610"/>
    <w:rsid w:val="00777E33"/>
    <w:rsid w:val="00781110"/>
    <w:rsid w:val="00784E87"/>
    <w:rsid w:val="007857CA"/>
    <w:rsid w:val="00786E76"/>
    <w:rsid w:val="00787A33"/>
    <w:rsid w:val="00790229"/>
    <w:rsid w:val="00790933"/>
    <w:rsid w:val="007915B0"/>
    <w:rsid w:val="00791987"/>
    <w:rsid w:val="00793135"/>
    <w:rsid w:val="007965CC"/>
    <w:rsid w:val="00796C6D"/>
    <w:rsid w:val="0079732D"/>
    <w:rsid w:val="00797DEF"/>
    <w:rsid w:val="007A04A0"/>
    <w:rsid w:val="007A0C65"/>
    <w:rsid w:val="007A1502"/>
    <w:rsid w:val="007A1690"/>
    <w:rsid w:val="007A1AE0"/>
    <w:rsid w:val="007A4F27"/>
    <w:rsid w:val="007A6A33"/>
    <w:rsid w:val="007B0EBE"/>
    <w:rsid w:val="007B1E2E"/>
    <w:rsid w:val="007B33D6"/>
    <w:rsid w:val="007B4282"/>
    <w:rsid w:val="007B6126"/>
    <w:rsid w:val="007B663F"/>
    <w:rsid w:val="007B6896"/>
    <w:rsid w:val="007B6E26"/>
    <w:rsid w:val="007B71CF"/>
    <w:rsid w:val="007B7DFC"/>
    <w:rsid w:val="007C04BF"/>
    <w:rsid w:val="007C08A8"/>
    <w:rsid w:val="007C1D0A"/>
    <w:rsid w:val="007C2716"/>
    <w:rsid w:val="007C2854"/>
    <w:rsid w:val="007C541F"/>
    <w:rsid w:val="007C5D11"/>
    <w:rsid w:val="007C5EEB"/>
    <w:rsid w:val="007C6874"/>
    <w:rsid w:val="007C74C3"/>
    <w:rsid w:val="007D440C"/>
    <w:rsid w:val="007D452A"/>
    <w:rsid w:val="007D4AC6"/>
    <w:rsid w:val="007E14CA"/>
    <w:rsid w:val="007E1910"/>
    <w:rsid w:val="007E1990"/>
    <w:rsid w:val="007E378F"/>
    <w:rsid w:val="007E3A0B"/>
    <w:rsid w:val="007E3CEB"/>
    <w:rsid w:val="007E6A9F"/>
    <w:rsid w:val="007E6FBA"/>
    <w:rsid w:val="007E75C5"/>
    <w:rsid w:val="007E7CCC"/>
    <w:rsid w:val="007F1082"/>
    <w:rsid w:val="007F200D"/>
    <w:rsid w:val="007F39A1"/>
    <w:rsid w:val="007F5058"/>
    <w:rsid w:val="007F77E1"/>
    <w:rsid w:val="007F79F5"/>
    <w:rsid w:val="007F7A13"/>
    <w:rsid w:val="00802677"/>
    <w:rsid w:val="00802AB0"/>
    <w:rsid w:val="00806850"/>
    <w:rsid w:val="00810A62"/>
    <w:rsid w:val="0081150E"/>
    <w:rsid w:val="00813AD2"/>
    <w:rsid w:val="00814816"/>
    <w:rsid w:val="00814F4D"/>
    <w:rsid w:val="00815118"/>
    <w:rsid w:val="008152A0"/>
    <w:rsid w:val="0081697B"/>
    <w:rsid w:val="00817241"/>
    <w:rsid w:val="008251D4"/>
    <w:rsid w:val="00825455"/>
    <w:rsid w:val="008255A3"/>
    <w:rsid w:val="00826813"/>
    <w:rsid w:val="00833D11"/>
    <w:rsid w:val="00834753"/>
    <w:rsid w:val="00836013"/>
    <w:rsid w:val="00842137"/>
    <w:rsid w:val="0084233F"/>
    <w:rsid w:val="0084267A"/>
    <w:rsid w:val="008441EC"/>
    <w:rsid w:val="0084557F"/>
    <w:rsid w:val="0084590C"/>
    <w:rsid w:val="0084772E"/>
    <w:rsid w:val="00855832"/>
    <w:rsid w:val="00856A9B"/>
    <w:rsid w:val="008576E5"/>
    <w:rsid w:val="00861847"/>
    <w:rsid w:val="00861D6D"/>
    <w:rsid w:val="0086215A"/>
    <w:rsid w:val="00863D0C"/>
    <w:rsid w:val="0087022A"/>
    <w:rsid w:val="0087096E"/>
    <w:rsid w:val="0087111C"/>
    <w:rsid w:val="00871CDC"/>
    <w:rsid w:val="00872472"/>
    <w:rsid w:val="00873069"/>
    <w:rsid w:val="00873425"/>
    <w:rsid w:val="00874E7D"/>
    <w:rsid w:val="00875A35"/>
    <w:rsid w:val="00876E14"/>
    <w:rsid w:val="00877BF5"/>
    <w:rsid w:val="00880017"/>
    <w:rsid w:val="00881BED"/>
    <w:rsid w:val="00882BF7"/>
    <w:rsid w:val="00882D04"/>
    <w:rsid w:val="00883B07"/>
    <w:rsid w:val="00884917"/>
    <w:rsid w:val="0088681B"/>
    <w:rsid w:val="00887206"/>
    <w:rsid w:val="00887706"/>
    <w:rsid w:val="0089181E"/>
    <w:rsid w:val="008958F5"/>
    <w:rsid w:val="008960DA"/>
    <w:rsid w:val="008A02DB"/>
    <w:rsid w:val="008A2660"/>
    <w:rsid w:val="008A35BE"/>
    <w:rsid w:val="008A3E2F"/>
    <w:rsid w:val="008A46F7"/>
    <w:rsid w:val="008A560A"/>
    <w:rsid w:val="008A6B8E"/>
    <w:rsid w:val="008A7E5E"/>
    <w:rsid w:val="008B06FC"/>
    <w:rsid w:val="008B3C23"/>
    <w:rsid w:val="008B4924"/>
    <w:rsid w:val="008B54D7"/>
    <w:rsid w:val="008B5E77"/>
    <w:rsid w:val="008B5E94"/>
    <w:rsid w:val="008C3631"/>
    <w:rsid w:val="008C4B00"/>
    <w:rsid w:val="008C62A6"/>
    <w:rsid w:val="008C748A"/>
    <w:rsid w:val="008D0DE3"/>
    <w:rsid w:val="008D1E9D"/>
    <w:rsid w:val="008D267D"/>
    <w:rsid w:val="008D2A93"/>
    <w:rsid w:val="008D3380"/>
    <w:rsid w:val="008D4496"/>
    <w:rsid w:val="008D5B46"/>
    <w:rsid w:val="008D5F9D"/>
    <w:rsid w:val="008D72FE"/>
    <w:rsid w:val="008D7A9C"/>
    <w:rsid w:val="008E004E"/>
    <w:rsid w:val="008E2C9D"/>
    <w:rsid w:val="008E4609"/>
    <w:rsid w:val="008E5310"/>
    <w:rsid w:val="008E5FAD"/>
    <w:rsid w:val="008E673D"/>
    <w:rsid w:val="008F051E"/>
    <w:rsid w:val="008F0C89"/>
    <w:rsid w:val="008F1533"/>
    <w:rsid w:val="008F3DCD"/>
    <w:rsid w:val="008F488F"/>
    <w:rsid w:val="008F51A5"/>
    <w:rsid w:val="008F6925"/>
    <w:rsid w:val="008F72EF"/>
    <w:rsid w:val="00900D9A"/>
    <w:rsid w:val="0090236C"/>
    <w:rsid w:val="009026AD"/>
    <w:rsid w:val="00902BC3"/>
    <w:rsid w:val="0090541D"/>
    <w:rsid w:val="009054B8"/>
    <w:rsid w:val="009101C1"/>
    <w:rsid w:val="00910519"/>
    <w:rsid w:val="00910B88"/>
    <w:rsid w:val="00911107"/>
    <w:rsid w:val="0091331B"/>
    <w:rsid w:val="00913443"/>
    <w:rsid w:val="00913919"/>
    <w:rsid w:val="00914219"/>
    <w:rsid w:val="009149DA"/>
    <w:rsid w:val="00915FF3"/>
    <w:rsid w:val="00917D96"/>
    <w:rsid w:val="00920A97"/>
    <w:rsid w:val="00921BBA"/>
    <w:rsid w:val="00923BFF"/>
    <w:rsid w:val="009261BF"/>
    <w:rsid w:val="009268CF"/>
    <w:rsid w:val="009301E4"/>
    <w:rsid w:val="00930A61"/>
    <w:rsid w:val="00930D70"/>
    <w:rsid w:val="00933CCD"/>
    <w:rsid w:val="00934E60"/>
    <w:rsid w:val="0093621F"/>
    <w:rsid w:val="00937DD0"/>
    <w:rsid w:val="00940C26"/>
    <w:rsid w:val="0094161D"/>
    <w:rsid w:val="00942C2C"/>
    <w:rsid w:val="00943550"/>
    <w:rsid w:val="00943987"/>
    <w:rsid w:val="00944CBE"/>
    <w:rsid w:val="00950149"/>
    <w:rsid w:val="00951B84"/>
    <w:rsid w:val="009533CC"/>
    <w:rsid w:val="00956908"/>
    <w:rsid w:val="0095717A"/>
    <w:rsid w:val="00960E06"/>
    <w:rsid w:val="0096110A"/>
    <w:rsid w:val="009630AB"/>
    <w:rsid w:val="00964532"/>
    <w:rsid w:val="00966D4C"/>
    <w:rsid w:val="009674BE"/>
    <w:rsid w:val="00967AEE"/>
    <w:rsid w:val="00970037"/>
    <w:rsid w:val="00973A76"/>
    <w:rsid w:val="00973E4B"/>
    <w:rsid w:val="00976557"/>
    <w:rsid w:val="0097741C"/>
    <w:rsid w:val="00977562"/>
    <w:rsid w:val="0097795F"/>
    <w:rsid w:val="009828B4"/>
    <w:rsid w:val="00982CB8"/>
    <w:rsid w:val="00982F4D"/>
    <w:rsid w:val="00984753"/>
    <w:rsid w:val="00985A6C"/>
    <w:rsid w:val="00985D7A"/>
    <w:rsid w:val="00985FB9"/>
    <w:rsid w:val="009873DE"/>
    <w:rsid w:val="009915BB"/>
    <w:rsid w:val="00993AF9"/>
    <w:rsid w:val="0099408D"/>
    <w:rsid w:val="0099454B"/>
    <w:rsid w:val="009973C1"/>
    <w:rsid w:val="009975EF"/>
    <w:rsid w:val="00997DE3"/>
    <w:rsid w:val="009B0593"/>
    <w:rsid w:val="009B2952"/>
    <w:rsid w:val="009B2F53"/>
    <w:rsid w:val="009B5C2D"/>
    <w:rsid w:val="009B6178"/>
    <w:rsid w:val="009B6658"/>
    <w:rsid w:val="009B6D0A"/>
    <w:rsid w:val="009B756E"/>
    <w:rsid w:val="009C03D7"/>
    <w:rsid w:val="009C25BA"/>
    <w:rsid w:val="009C3D89"/>
    <w:rsid w:val="009C3E03"/>
    <w:rsid w:val="009C40F6"/>
    <w:rsid w:val="009C48AA"/>
    <w:rsid w:val="009C4A8C"/>
    <w:rsid w:val="009C4AFD"/>
    <w:rsid w:val="009D239F"/>
    <w:rsid w:val="009D297C"/>
    <w:rsid w:val="009D2CDA"/>
    <w:rsid w:val="009D6249"/>
    <w:rsid w:val="009D6CAB"/>
    <w:rsid w:val="009D7018"/>
    <w:rsid w:val="009D7643"/>
    <w:rsid w:val="009E1E03"/>
    <w:rsid w:val="009E3F8B"/>
    <w:rsid w:val="009E6666"/>
    <w:rsid w:val="009E6A43"/>
    <w:rsid w:val="009E6B13"/>
    <w:rsid w:val="009E6C38"/>
    <w:rsid w:val="009E6DA2"/>
    <w:rsid w:val="009E7ABE"/>
    <w:rsid w:val="009F0213"/>
    <w:rsid w:val="009F043E"/>
    <w:rsid w:val="009F0DD2"/>
    <w:rsid w:val="009F14AA"/>
    <w:rsid w:val="009F29D6"/>
    <w:rsid w:val="009F3210"/>
    <w:rsid w:val="009F4D27"/>
    <w:rsid w:val="009F61B2"/>
    <w:rsid w:val="009F683A"/>
    <w:rsid w:val="00A00AE9"/>
    <w:rsid w:val="00A015D8"/>
    <w:rsid w:val="00A01827"/>
    <w:rsid w:val="00A03B7A"/>
    <w:rsid w:val="00A047DC"/>
    <w:rsid w:val="00A05350"/>
    <w:rsid w:val="00A124DF"/>
    <w:rsid w:val="00A128E0"/>
    <w:rsid w:val="00A12AD7"/>
    <w:rsid w:val="00A133D8"/>
    <w:rsid w:val="00A13BC5"/>
    <w:rsid w:val="00A14BF4"/>
    <w:rsid w:val="00A14D97"/>
    <w:rsid w:val="00A1577D"/>
    <w:rsid w:val="00A16C28"/>
    <w:rsid w:val="00A171B4"/>
    <w:rsid w:val="00A1777E"/>
    <w:rsid w:val="00A17C8F"/>
    <w:rsid w:val="00A20362"/>
    <w:rsid w:val="00A21327"/>
    <w:rsid w:val="00A21E8B"/>
    <w:rsid w:val="00A223C2"/>
    <w:rsid w:val="00A247F1"/>
    <w:rsid w:val="00A24D9C"/>
    <w:rsid w:val="00A26A7D"/>
    <w:rsid w:val="00A27724"/>
    <w:rsid w:val="00A27EEB"/>
    <w:rsid w:val="00A31C5A"/>
    <w:rsid w:val="00A33287"/>
    <w:rsid w:val="00A34447"/>
    <w:rsid w:val="00A348F7"/>
    <w:rsid w:val="00A3544C"/>
    <w:rsid w:val="00A35563"/>
    <w:rsid w:val="00A37371"/>
    <w:rsid w:val="00A40343"/>
    <w:rsid w:val="00A40760"/>
    <w:rsid w:val="00A415F3"/>
    <w:rsid w:val="00A416E7"/>
    <w:rsid w:val="00A4197A"/>
    <w:rsid w:val="00A423F8"/>
    <w:rsid w:val="00A430E1"/>
    <w:rsid w:val="00A435B7"/>
    <w:rsid w:val="00A44FCA"/>
    <w:rsid w:val="00A45325"/>
    <w:rsid w:val="00A4547C"/>
    <w:rsid w:val="00A459EE"/>
    <w:rsid w:val="00A47D22"/>
    <w:rsid w:val="00A52BA2"/>
    <w:rsid w:val="00A54024"/>
    <w:rsid w:val="00A5428B"/>
    <w:rsid w:val="00A5540B"/>
    <w:rsid w:val="00A56683"/>
    <w:rsid w:val="00A60436"/>
    <w:rsid w:val="00A60C9B"/>
    <w:rsid w:val="00A619FF"/>
    <w:rsid w:val="00A621C5"/>
    <w:rsid w:val="00A63CB1"/>
    <w:rsid w:val="00A647A7"/>
    <w:rsid w:val="00A64B39"/>
    <w:rsid w:val="00A65348"/>
    <w:rsid w:val="00A6568B"/>
    <w:rsid w:val="00A662CA"/>
    <w:rsid w:val="00A700C1"/>
    <w:rsid w:val="00A71155"/>
    <w:rsid w:val="00A71750"/>
    <w:rsid w:val="00A73684"/>
    <w:rsid w:val="00A74A7F"/>
    <w:rsid w:val="00A7585C"/>
    <w:rsid w:val="00A76CB4"/>
    <w:rsid w:val="00A773C2"/>
    <w:rsid w:val="00A81823"/>
    <w:rsid w:val="00A8257C"/>
    <w:rsid w:val="00A8710E"/>
    <w:rsid w:val="00A87FBA"/>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1ABB"/>
    <w:rsid w:val="00AA1C23"/>
    <w:rsid w:val="00AA406A"/>
    <w:rsid w:val="00AA4361"/>
    <w:rsid w:val="00AA4700"/>
    <w:rsid w:val="00AA4C43"/>
    <w:rsid w:val="00AA51AB"/>
    <w:rsid w:val="00AA672B"/>
    <w:rsid w:val="00AA7D43"/>
    <w:rsid w:val="00AB08DC"/>
    <w:rsid w:val="00AB2871"/>
    <w:rsid w:val="00AB2A08"/>
    <w:rsid w:val="00AB2A35"/>
    <w:rsid w:val="00AB2BD5"/>
    <w:rsid w:val="00AB3145"/>
    <w:rsid w:val="00AB317D"/>
    <w:rsid w:val="00AB4A16"/>
    <w:rsid w:val="00AB51B3"/>
    <w:rsid w:val="00AB5DBA"/>
    <w:rsid w:val="00AB6A3E"/>
    <w:rsid w:val="00AB6D16"/>
    <w:rsid w:val="00AB720B"/>
    <w:rsid w:val="00AC1008"/>
    <w:rsid w:val="00AC1C92"/>
    <w:rsid w:val="00AC3302"/>
    <w:rsid w:val="00AC4FA3"/>
    <w:rsid w:val="00AC5EC4"/>
    <w:rsid w:val="00AC6E70"/>
    <w:rsid w:val="00AD20C4"/>
    <w:rsid w:val="00AD3FC7"/>
    <w:rsid w:val="00AD47C8"/>
    <w:rsid w:val="00AD6081"/>
    <w:rsid w:val="00AD72EB"/>
    <w:rsid w:val="00AE02A9"/>
    <w:rsid w:val="00AE0954"/>
    <w:rsid w:val="00AE130E"/>
    <w:rsid w:val="00AE161C"/>
    <w:rsid w:val="00AE51B0"/>
    <w:rsid w:val="00AE67E5"/>
    <w:rsid w:val="00AF133F"/>
    <w:rsid w:val="00AF22E0"/>
    <w:rsid w:val="00AF2438"/>
    <w:rsid w:val="00B02254"/>
    <w:rsid w:val="00B025CA"/>
    <w:rsid w:val="00B04E1D"/>
    <w:rsid w:val="00B0638F"/>
    <w:rsid w:val="00B07F2F"/>
    <w:rsid w:val="00B122C0"/>
    <w:rsid w:val="00B13683"/>
    <w:rsid w:val="00B13C2B"/>
    <w:rsid w:val="00B13CBF"/>
    <w:rsid w:val="00B2088A"/>
    <w:rsid w:val="00B2366B"/>
    <w:rsid w:val="00B2428A"/>
    <w:rsid w:val="00B26045"/>
    <w:rsid w:val="00B2652E"/>
    <w:rsid w:val="00B274E3"/>
    <w:rsid w:val="00B34B22"/>
    <w:rsid w:val="00B3682F"/>
    <w:rsid w:val="00B372D8"/>
    <w:rsid w:val="00B408B8"/>
    <w:rsid w:val="00B438A2"/>
    <w:rsid w:val="00B448C4"/>
    <w:rsid w:val="00B450CE"/>
    <w:rsid w:val="00B457E7"/>
    <w:rsid w:val="00B469A4"/>
    <w:rsid w:val="00B52C07"/>
    <w:rsid w:val="00B53B19"/>
    <w:rsid w:val="00B53FB6"/>
    <w:rsid w:val="00B54AA4"/>
    <w:rsid w:val="00B56EAB"/>
    <w:rsid w:val="00B575A6"/>
    <w:rsid w:val="00B615F5"/>
    <w:rsid w:val="00B61C97"/>
    <w:rsid w:val="00B61E76"/>
    <w:rsid w:val="00B64624"/>
    <w:rsid w:val="00B64A69"/>
    <w:rsid w:val="00B64ACF"/>
    <w:rsid w:val="00B66BB6"/>
    <w:rsid w:val="00B703C9"/>
    <w:rsid w:val="00B7155D"/>
    <w:rsid w:val="00B71C5F"/>
    <w:rsid w:val="00B740AE"/>
    <w:rsid w:val="00B8077E"/>
    <w:rsid w:val="00B80E7E"/>
    <w:rsid w:val="00B81EC6"/>
    <w:rsid w:val="00B83CEA"/>
    <w:rsid w:val="00B855A5"/>
    <w:rsid w:val="00B8715D"/>
    <w:rsid w:val="00B905E1"/>
    <w:rsid w:val="00B92AAF"/>
    <w:rsid w:val="00B92CE2"/>
    <w:rsid w:val="00B944C1"/>
    <w:rsid w:val="00B953CD"/>
    <w:rsid w:val="00B95544"/>
    <w:rsid w:val="00B96E1A"/>
    <w:rsid w:val="00B97CDB"/>
    <w:rsid w:val="00B97D84"/>
    <w:rsid w:val="00BA02C4"/>
    <w:rsid w:val="00BA06DE"/>
    <w:rsid w:val="00BA1308"/>
    <w:rsid w:val="00BA2610"/>
    <w:rsid w:val="00BA2C35"/>
    <w:rsid w:val="00BA4E56"/>
    <w:rsid w:val="00BA5209"/>
    <w:rsid w:val="00BA7388"/>
    <w:rsid w:val="00BB1195"/>
    <w:rsid w:val="00BB29A0"/>
    <w:rsid w:val="00BB3361"/>
    <w:rsid w:val="00BB4F06"/>
    <w:rsid w:val="00BB50A9"/>
    <w:rsid w:val="00BB564A"/>
    <w:rsid w:val="00BB5C8B"/>
    <w:rsid w:val="00BB5F5C"/>
    <w:rsid w:val="00BB6646"/>
    <w:rsid w:val="00BB7E4E"/>
    <w:rsid w:val="00BB7F5E"/>
    <w:rsid w:val="00BC21FF"/>
    <w:rsid w:val="00BC38C0"/>
    <w:rsid w:val="00BC429B"/>
    <w:rsid w:val="00BC5685"/>
    <w:rsid w:val="00BC750F"/>
    <w:rsid w:val="00BD107F"/>
    <w:rsid w:val="00BD2868"/>
    <w:rsid w:val="00BD3C3F"/>
    <w:rsid w:val="00BD4955"/>
    <w:rsid w:val="00BD5270"/>
    <w:rsid w:val="00BD56EE"/>
    <w:rsid w:val="00BE00AE"/>
    <w:rsid w:val="00BE0C25"/>
    <w:rsid w:val="00BE0E79"/>
    <w:rsid w:val="00BE1010"/>
    <w:rsid w:val="00BF2453"/>
    <w:rsid w:val="00BF252F"/>
    <w:rsid w:val="00BF29BD"/>
    <w:rsid w:val="00BF3A9B"/>
    <w:rsid w:val="00BF41B3"/>
    <w:rsid w:val="00BF6684"/>
    <w:rsid w:val="00BF6714"/>
    <w:rsid w:val="00BF739E"/>
    <w:rsid w:val="00BF76F9"/>
    <w:rsid w:val="00BF7DC4"/>
    <w:rsid w:val="00BF7E77"/>
    <w:rsid w:val="00C00EB6"/>
    <w:rsid w:val="00C02CDD"/>
    <w:rsid w:val="00C035D4"/>
    <w:rsid w:val="00C04555"/>
    <w:rsid w:val="00C05D98"/>
    <w:rsid w:val="00C0668E"/>
    <w:rsid w:val="00C076D8"/>
    <w:rsid w:val="00C10F72"/>
    <w:rsid w:val="00C1140D"/>
    <w:rsid w:val="00C11C36"/>
    <w:rsid w:val="00C1234B"/>
    <w:rsid w:val="00C13FD0"/>
    <w:rsid w:val="00C1647E"/>
    <w:rsid w:val="00C16FED"/>
    <w:rsid w:val="00C17C0C"/>
    <w:rsid w:val="00C203B8"/>
    <w:rsid w:val="00C2056C"/>
    <w:rsid w:val="00C22117"/>
    <w:rsid w:val="00C24764"/>
    <w:rsid w:val="00C26AB1"/>
    <w:rsid w:val="00C26D03"/>
    <w:rsid w:val="00C26EC5"/>
    <w:rsid w:val="00C30ADD"/>
    <w:rsid w:val="00C32130"/>
    <w:rsid w:val="00C3338E"/>
    <w:rsid w:val="00C36138"/>
    <w:rsid w:val="00C36185"/>
    <w:rsid w:val="00C426E1"/>
    <w:rsid w:val="00C42A87"/>
    <w:rsid w:val="00C44494"/>
    <w:rsid w:val="00C44B37"/>
    <w:rsid w:val="00C45893"/>
    <w:rsid w:val="00C46213"/>
    <w:rsid w:val="00C507E6"/>
    <w:rsid w:val="00C52C62"/>
    <w:rsid w:val="00C53499"/>
    <w:rsid w:val="00C57BB8"/>
    <w:rsid w:val="00C60B36"/>
    <w:rsid w:val="00C63BB4"/>
    <w:rsid w:val="00C6442A"/>
    <w:rsid w:val="00C64D9E"/>
    <w:rsid w:val="00C659CE"/>
    <w:rsid w:val="00C66EFD"/>
    <w:rsid w:val="00C675A6"/>
    <w:rsid w:val="00C71456"/>
    <w:rsid w:val="00C71599"/>
    <w:rsid w:val="00C71DCD"/>
    <w:rsid w:val="00C720A9"/>
    <w:rsid w:val="00C75470"/>
    <w:rsid w:val="00C75C88"/>
    <w:rsid w:val="00C76992"/>
    <w:rsid w:val="00C7769A"/>
    <w:rsid w:val="00C8015D"/>
    <w:rsid w:val="00C80213"/>
    <w:rsid w:val="00C80B98"/>
    <w:rsid w:val="00C810B6"/>
    <w:rsid w:val="00C81676"/>
    <w:rsid w:val="00C840B7"/>
    <w:rsid w:val="00C84C9A"/>
    <w:rsid w:val="00C854C8"/>
    <w:rsid w:val="00C864FA"/>
    <w:rsid w:val="00C8720D"/>
    <w:rsid w:val="00C87AA4"/>
    <w:rsid w:val="00C91AF0"/>
    <w:rsid w:val="00C9234F"/>
    <w:rsid w:val="00C92394"/>
    <w:rsid w:val="00C92C12"/>
    <w:rsid w:val="00C93443"/>
    <w:rsid w:val="00C94B4B"/>
    <w:rsid w:val="00C94E8C"/>
    <w:rsid w:val="00CA09BD"/>
    <w:rsid w:val="00CA2988"/>
    <w:rsid w:val="00CA4273"/>
    <w:rsid w:val="00CA5E08"/>
    <w:rsid w:val="00CA62BC"/>
    <w:rsid w:val="00CA79B5"/>
    <w:rsid w:val="00CB0662"/>
    <w:rsid w:val="00CB075E"/>
    <w:rsid w:val="00CB082D"/>
    <w:rsid w:val="00CB2357"/>
    <w:rsid w:val="00CB434F"/>
    <w:rsid w:val="00CB49BC"/>
    <w:rsid w:val="00CB4A65"/>
    <w:rsid w:val="00CB747B"/>
    <w:rsid w:val="00CC00A9"/>
    <w:rsid w:val="00CC23F6"/>
    <w:rsid w:val="00CC24CC"/>
    <w:rsid w:val="00CC29F2"/>
    <w:rsid w:val="00CC2CE4"/>
    <w:rsid w:val="00CC307B"/>
    <w:rsid w:val="00CC3F73"/>
    <w:rsid w:val="00CC5B22"/>
    <w:rsid w:val="00CC5B72"/>
    <w:rsid w:val="00CC6C0B"/>
    <w:rsid w:val="00CD0766"/>
    <w:rsid w:val="00CD2294"/>
    <w:rsid w:val="00CD29C0"/>
    <w:rsid w:val="00CD3105"/>
    <w:rsid w:val="00CD428D"/>
    <w:rsid w:val="00CD4F9B"/>
    <w:rsid w:val="00CD62DE"/>
    <w:rsid w:val="00CE03FD"/>
    <w:rsid w:val="00CE274E"/>
    <w:rsid w:val="00CE3D37"/>
    <w:rsid w:val="00CE410A"/>
    <w:rsid w:val="00CE5BC0"/>
    <w:rsid w:val="00CE6BBB"/>
    <w:rsid w:val="00CE6CD6"/>
    <w:rsid w:val="00CF181E"/>
    <w:rsid w:val="00CF2690"/>
    <w:rsid w:val="00D00C1C"/>
    <w:rsid w:val="00D019FE"/>
    <w:rsid w:val="00D01A2B"/>
    <w:rsid w:val="00D038BD"/>
    <w:rsid w:val="00D04FAA"/>
    <w:rsid w:val="00D052C7"/>
    <w:rsid w:val="00D05B59"/>
    <w:rsid w:val="00D05DDF"/>
    <w:rsid w:val="00D120C5"/>
    <w:rsid w:val="00D12AD0"/>
    <w:rsid w:val="00D16576"/>
    <w:rsid w:val="00D21155"/>
    <w:rsid w:val="00D2144C"/>
    <w:rsid w:val="00D2152B"/>
    <w:rsid w:val="00D21EE5"/>
    <w:rsid w:val="00D22568"/>
    <w:rsid w:val="00D24E43"/>
    <w:rsid w:val="00D24EFD"/>
    <w:rsid w:val="00D25E80"/>
    <w:rsid w:val="00D264DF"/>
    <w:rsid w:val="00D30074"/>
    <w:rsid w:val="00D30151"/>
    <w:rsid w:val="00D34E96"/>
    <w:rsid w:val="00D352F6"/>
    <w:rsid w:val="00D35BB3"/>
    <w:rsid w:val="00D4019B"/>
    <w:rsid w:val="00D41775"/>
    <w:rsid w:val="00D428FC"/>
    <w:rsid w:val="00D4302E"/>
    <w:rsid w:val="00D45FE7"/>
    <w:rsid w:val="00D46659"/>
    <w:rsid w:val="00D469F5"/>
    <w:rsid w:val="00D47322"/>
    <w:rsid w:val="00D50E50"/>
    <w:rsid w:val="00D5335D"/>
    <w:rsid w:val="00D55437"/>
    <w:rsid w:val="00D56943"/>
    <w:rsid w:val="00D640C3"/>
    <w:rsid w:val="00D6426D"/>
    <w:rsid w:val="00D648D1"/>
    <w:rsid w:val="00D66787"/>
    <w:rsid w:val="00D67014"/>
    <w:rsid w:val="00D707CE"/>
    <w:rsid w:val="00D716AA"/>
    <w:rsid w:val="00D71830"/>
    <w:rsid w:val="00D728B0"/>
    <w:rsid w:val="00D72D4B"/>
    <w:rsid w:val="00D766E2"/>
    <w:rsid w:val="00D80175"/>
    <w:rsid w:val="00D82045"/>
    <w:rsid w:val="00D829D7"/>
    <w:rsid w:val="00D8324F"/>
    <w:rsid w:val="00D8437A"/>
    <w:rsid w:val="00D87241"/>
    <w:rsid w:val="00D87345"/>
    <w:rsid w:val="00D907AE"/>
    <w:rsid w:val="00D91CF5"/>
    <w:rsid w:val="00D952AA"/>
    <w:rsid w:val="00D976CD"/>
    <w:rsid w:val="00D97C77"/>
    <w:rsid w:val="00DA17E9"/>
    <w:rsid w:val="00DA1FF7"/>
    <w:rsid w:val="00DA304E"/>
    <w:rsid w:val="00DA58B3"/>
    <w:rsid w:val="00DA65FD"/>
    <w:rsid w:val="00DA6944"/>
    <w:rsid w:val="00DA726B"/>
    <w:rsid w:val="00DA75AA"/>
    <w:rsid w:val="00DA76E2"/>
    <w:rsid w:val="00DB1B9F"/>
    <w:rsid w:val="00DB2057"/>
    <w:rsid w:val="00DB640C"/>
    <w:rsid w:val="00DB6C1F"/>
    <w:rsid w:val="00DC13ED"/>
    <w:rsid w:val="00DC1D8A"/>
    <w:rsid w:val="00DC2156"/>
    <w:rsid w:val="00DC2A7A"/>
    <w:rsid w:val="00DC3E2B"/>
    <w:rsid w:val="00DC472A"/>
    <w:rsid w:val="00DC4E00"/>
    <w:rsid w:val="00DC7A94"/>
    <w:rsid w:val="00DD0A67"/>
    <w:rsid w:val="00DD2FF1"/>
    <w:rsid w:val="00DD37B9"/>
    <w:rsid w:val="00DD3F6D"/>
    <w:rsid w:val="00DD40DE"/>
    <w:rsid w:val="00DD5BF5"/>
    <w:rsid w:val="00DD676D"/>
    <w:rsid w:val="00DD7DCF"/>
    <w:rsid w:val="00DE026E"/>
    <w:rsid w:val="00DE1C04"/>
    <w:rsid w:val="00DE2173"/>
    <w:rsid w:val="00DE3FB4"/>
    <w:rsid w:val="00DE5934"/>
    <w:rsid w:val="00DE5B86"/>
    <w:rsid w:val="00DE5DD3"/>
    <w:rsid w:val="00DF3B1E"/>
    <w:rsid w:val="00DF56B6"/>
    <w:rsid w:val="00DF57FE"/>
    <w:rsid w:val="00DF5E2F"/>
    <w:rsid w:val="00DF62BB"/>
    <w:rsid w:val="00DF6742"/>
    <w:rsid w:val="00DF7194"/>
    <w:rsid w:val="00E001EA"/>
    <w:rsid w:val="00E02E1D"/>
    <w:rsid w:val="00E03C78"/>
    <w:rsid w:val="00E066B7"/>
    <w:rsid w:val="00E06791"/>
    <w:rsid w:val="00E06C61"/>
    <w:rsid w:val="00E10C55"/>
    <w:rsid w:val="00E137C3"/>
    <w:rsid w:val="00E13C8E"/>
    <w:rsid w:val="00E1650E"/>
    <w:rsid w:val="00E16611"/>
    <w:rsid w:val="00E16DB2"/>
    <w:rsid w:val="00E201E5"/>
    <w:rsid w:val="00E205D8"/>
    <w:rsid w:val="00E22299"/>
    <w:rsid w:val="00E22AB6"/>
    <w:rsid w:val="00E272B7"/>
    <w:rsid w:val="00E32DDB"/>
    <w:rsid w:val="00E32F66"/>
    <w:rsid w:val="00E34731"/>
    <w:rsid w:val="00E3515E"/>
    <w:rsid w:val="00E351A9"/>
    <w:rsid w:val="00E4106A"/>
    <w:rsid w:val="00E41B77"/>
    <w:rsid w:val="00E428A4"/>
    <w:rsid w:val="00E42E05"/>
    <w:rsid w:val="00E42E3F"/>
    <w:rsid w:val="00E43626"/>
    <w:rsid w:val="00E43BDB"/>
    <w:rsid w:val="00E44EDD"/>
    <w:rsid w:val="00E45439"/>
    <w:rsid w:val="00E47254"/>
    <w:rsid w:val="00E50214"/>
    <w:rsid w:val="00E50999"/>
    <w:rsid w:val="00E51289"/>
    <w:rsid w:val="00E51566"/>
    <w:rsid w:val="00E51E31"/>
    <w:rsid w:val="00E523AA"/>
    <w:rsid w:val="00E523D3"/>
    <w:rsid w:val="00E5353D"/>
    <w:rsid w:val="00E54143"/>
    <w:rsid w:val="00E616BC"/>
    <w:rsid w:val="00E629B0"/>
    <w:rsid w:val="00E629C2"/>
    <w:rsid w:val="00E6339F"/>
    <w:rsid w:val="00E63B15"/>
    <w:rsid w:val="00E6407B"/>
    <w:rsid w:val="00E64F05"/>
    <w:rsid w:val="00E6724A"/>
    <w:rsid w:val="00E676AC"/>
    <w:rsid w:val="00E71966"/>
    <w:rsid w:val="00E71CB4"/>
    <w:rsid w:val="00E739D3"/>
    <w:rsid w:val="00E7503E"/>
    <w:rsid w:val="00E75194"/>
    <w:rsid w:val="00E76345"/>
    <w:rsid w:val="00E76D84"/>
    <w:rsid w:val="00E7754C"/>
    <w:rsid w:val="00E807B0"/>
    <w:rsid w:val="00E80A49"/>
    <w:rsid w:val="00E850EA"/>
    <w:rsid w:val="00E85F02"/>
    <w:rsid w:val="00E863E4"/>
    <w:rsid w:val="00E86EE4"/>
    <w:rsid w:val="00E903F3"/>
    <w:rsid w:val="00E90919"/>
    <w:rsid w:val="00E91FDC"/>
    <w:rsid w:val="00E94002"/>
    <w:rsid w:val="00E9488F"/>
    <w:rsid w:val="00E94CFB"/>
    <w:rsid w:val="00E94E2B"/>
    <w:rsid w:val="00E9526F"/>
    <w:rsid w:val="00E96018"/>
    <w:rsid w:val="00E970C5"/>
    <w:rsid w:val="00E97934"/>
    <w:rsid w:val="00EA01A2"/>
    <w:rsid w:val="00EA073B"/>
    <w:rsid w:val="00EA08BE"/>
    <w:rsid w:val="00EA4FD4"/>
    <w:rsid w:val="00EB05A8"/>
    <w:rsid w:val="00EB155B"/>
    <w:rsid w:val="00EB32DF"/>
    <w:rsid w:val="00EB3B69"/>
    <w:rsid w:val="00EB453C"/>
    <w:rsid w:val="00EB743F"/>
    <w:rsid w:val="00EC33AB"/>
    <w:rsid w:val="00EC3658"/>
    <w:rsid w:val="00EC3783"/>
    <w:rsid w:val="00EC3F72"/>
    <w:rsid w:val="00EC4AE2"/>
    <w:rsid w:val="00EC5FA5"/>
    <w:rsid w:val="00EC6601"/>
    <w:rsid w:val="00ED00C2"/>
    <w:rsid w:val="00ED11C5"/>
    <w:rsid w:val="00ED13D2"/>
    <w:rsid w:val="00ED2034"/>
    <w:rsid w:val="00ED2B6B"/>
    <w:rsid w:val="00ED69EA"/>
    <w:rsid w:val="00ED6D93"/>
    <w:rsid w:val="00EE0FA3"/>
    <w:rsid w:val="00EE12FB"/>
    <w:rsid w:val="00EE147C"/>
    <w:rsid w:val="00EE1CC1"/>
    <w:rsid w:val="00EE2C42"/>
    <w:rsid w:val="00EE3D8E"/>
    <w:rsid w:val="00EE4DAC"/>
    <w:rsid w:val="00EE5AE5"/>
    <w:rsid w:val="00EE65FC"/>
    <w:rsid w:val="00EE69CB"/>
    <w:rsid w:val="00EF0785"/>
    <w:rsid w:val="00EF352F"/>
    <w:rsid w:val="00EF671B"/>
    <w:rsid w:val="00EF7276"/>
    <w:rsid w:val="00F01A98"/>
    <w:rsid w:val="00F0360C"/>
    <w:rsid w:val="00F03990"/>
    <w:rsid w:val="00F03ED9"/>
    <w:rsid w:val="00F040F9"/>
    <w:rsid w:val="00F06065"/>
    <w:rsid w:val="00F06FDA"/>
    <w:rsid w:val="00F10E2E"/>
    <w:rsid w:val="00F1248A"/>
    <w:rsid w:val="00F14DDC"/>
    <w:rsid w:val="00F1551E"/>
    <w:rsid w:val="00F1566D"/>
    <w:rsid w:val="00F17B79"/>
    <w:rsid w:val="00F21F49"/>
    <w:rsid w:val="00F24250"/>
    <w:rsid w:val="00F2585F"/>
    <w:rsid w:val="00F2591F"/>
    <w:rsid w:val="00F2646C"/>
    <w:rsid w:val="00F307EE"/>
    <w:rsid w:val="00F32226"/>
    <w:rsid w:val="00F3537D"/>
    <w:rsid w:val="00F35D0E"/>
    <w:rsid w:val="00F40076"/>
    <w:rsid w:val="00F40354"/>
    <w:rsid w:val="00F40436"/>
    <w:rsid w:val="00F40AE3"/>
    <w:rsid w:val="00F41A6C"/>
    <w:rsid w:val="00F42859"/>
    <w:rsid w:val="00F44A0B"/>
    <w:rsid w:val="00F45240"/>
    <w:rsid w:val="00F50B4C"/>
    <w:rsid w:val="00F52B42"/>
    <w:rsid w:val="00F545E6"/>
    <w:rsid w:val="00F54911"/>
    <w:rsid w:val="00F5607B"/>
    <w:rsid w:val="00F565AD"/>
    <w:rsid w:val="00F57D2C"/>
    <w:rsid w:val="00F63C45"/>
    <w:rsid w:val="00F64E03"/>
    <w:rsid w:val="00F6717C"/>
    <w:rsid w:val="00F67930"/>
    <w:rsid w:val="00F70467"/>
    <w:rsid w:val="00F70B79"/>
    <w:rsid w:val="00F71700"/>
    <w:rsid w:val="00F7303F"/>
    <w:rsid w:val="00F736B7"/>
    <w:rsid w:val="00F82611"/>
    <w:rsid w:val="00F83881"/>
    <w:rsid w:val="00F86599"/>
    <w:rsid w:val="00F8784A"/>
    <w:rsid w:val="00F904DE"/>
    <w:rsid w:val="00F909FE"/>
    <w:rsid w:val="00F90CA3"/>
    <w:rsid w:val="00F92111"/>
    <w:rsid w:val="00F93087"/>
    <w:rsid w:val="00F93535"/>
    <w:rsid w:val="00F957CB"/>
    <w:rsid w:val="00F96196"/>
    <w:rsid w:val="00F96460"/>
    <w:rsid w:val="00F96834"/>
    <w:rsid w:val="00FA18A8"/>
    <w:rsid w:val="00FA2C7D"/>
    <w:rsid w:val="00FA3153"/>
    <w:rsid w:val="00FA3B03"/>
    <w:rsid w:val="00FA4582"/>
    <w:rsid w:val="00FA48B6"/>
    <w:rsid w:val="00FA5A06"/>
    <w:rsid w:val="00FB1454"/>
    <w:rsid w:val="00FB1504"/>
    <w:rsid w:val="00FB260D"/>
    <w:rsid w:val="00FB3A04"/>
    <w:rsid w:val="00FB3BEB"/>
    <w:rsid w:val="00FB5322"/>
    <w:rsid w:val="00FC1155"/>
    <w:rsid w:val="00FC13A8"/>
    <w:rsid w:val="00FC296D"/>
    <w:rsid w:val="00FC31C0"/>
    <w:rsid w:val="00FC3B2E"/>
    <w:rsid w:val="00FC53FC"/>
    <w:rsid w:val="00FD0A4E"/>
    <w:rsid w:val="00FD1E2C"/>
    <w:rsid w:val="00FD45C7"/>
    <w:rsid w:val="00FD5632"/>
    <w:rsid w:val="00FD6E57"/>
    <w:rsid w:val="00FD74CC"/>
    <w:rsid w:val="00FD7833"/>
    <w:rsid w:val="00FE10FB"/>
    <w:rsid w:val="00FE18DB"/>
    <w:rsid w:val="00FE1D0D"/>
    <w:rsid w:val="00FE37A8"/>
    <w:rsid w:val="00FE5BFA"/>
    <w:rsid w:val="00FE749B"/>
    <w:rsid w:val="00FF1088"/>
    <w:rsid w:val="00FF3BC6"/>
    <w:rsid w:val="00FF529F"/>
    <w:rsid w:val="00FF7082"/>
    <w:rsid w:val="018841A1"/>
    <w:rsid w:val="027375C1"/>
    <w:rsid w:val="041D6970"/>
    <w:rsid w:val="0681351A"/>
    <w:rsid w:val="068512E1"/>
    <w:rsid w:val="07CF2917"/>
    <w:rsid w:val="07D0270F"/>
    <w:rsid w:val="08A85DC5"/>
    <w:rsid w:val="0AA42F62"/>
    <w:rsid w:val="0BFE0938"/>
    <w:rsid w:val="0C59767E"/>
    <w:rsid w:val="0C9B5510"/>
    <w:rsid w:val="0E174D9A"/>
    <w:rsid w:val="0ECA247B"/>
    <w:rsid w:val="11D47DD0"/>
    <w:rsid w:val="11DD1A7E"/>
    <w:rsid w:val="13152603"/>
    <w:rsid w:val="14893727"/>
    <w:rsid w:val="15991959"/>
    <w:rsid w:val="15A874A5"/>
    <w:rsid w:val="17D50EFF"/>
    <w:rsid w:val="19AF3CC9"/>
    <w:rsid w:val="1AE51725"/>
    <w:rsid w:val="1C202823"/>
    <w:rsid w:val="1C4E7374"/>
    <w:rsid w:val="1CAF251E"/>
    <w:rsid w:val="202A40A9"/>
    <w:rsid w:val="2056742A"/>
    <w:rsid w:val="20877650"/>
    <w:rsid w:val="20967E69"/>
    <w:rsid w:val="20AB7B1B"/>
    <w:rsid w:val="217B0E33"/>
    <w:rsid w:val="21B37FC2"/>
    <w:rsid w:val="2216201F"/>
    <w:rsid w:val="222A2998"/>
    <w:rsid w:val="23426E78"/>
    <w:rsid w:val="236F7C33"/>
    <w:rsid w:val="23C00B3F"/>
    <w:rsid w:val="24EC47B7"/>
    <w:rsid w:val="251C6282"/>
    <w:rsid w:val="25A91F14"/>
    <w:rsid w:val="26962499"/>
    <w:rsid w:val="26E37ECD"/>
    <w:rsid w:val="2BA470D3"/>
    <w:rsid w:val="2C087541"/>
    <w:rsid w:val="2C726454"/>
    <w:rsid w:val="2D6F4647"/>
    <w:rsid w:val="2DAE2509"/>
    <w:rsid w:val="2DB00E59"/>
    <w:rsid w:val="2E422963"/>
    <w:rsid w:val="2F412617"/>
    <w:rsid w:val="30A93AA0"/>
    <w:rsid w:val="30D45603"/>
    <w:rsid w:val="31794EC7"/>
    <w:rsid w:val="31811153"/>
    <w:rsid w:val="34BF705E"/>
    <w:rsid w:val="34FE7B33"/>
    <w:rsid w:val="362058DB"/>
    <w:rsid w:val="362E26F6"/>
    <w:rsid w:val="363E4EDB"/>
    <w:rsid w:val="363F4929"/>
    <w:rsid w:val="366B7984"/>
    <w:rsid w:val="36940077"/>
    <w:rsid w:val="37256C9B"/>
    <w:rsid w:val="38D93560"/>
    <w:rsid w:val="3BE5312A"/>
    <w:rsid w:val="3C02558E"/>
    <w:rsid w:val="3CFB68A7"/>
    <w:rsid w:val="3E732AA6"/>
    <w:rsid w:val="3FF6102B"/>
    <w:rsid w:val="3FFF0C57"/>
    <w:rsid w:val="411A1865"/>
    <w:rsid w:val="411C21C4"/>
    <w:rsid w:val="42497D7B"/>
    <w:rsid w:val="433533A1"/>
    <w:rsid w:val="43CF1A2F"/>
    <w:rsid w:val="44285C42"/>
    <w:rsid w:val="44501672"/>
    <w:rsid w:val="44871D15"/>
    <w:rsid w:val="44894F93"/>
    <w:rsid w:val="454A01C6"/>
    <w:rsid w:val="45CF29C6"/>
    <w:rsid w:val="46086454"/>
    <w:rsid w:val="47601658"/>
    <w:rsid w:val="483E6938"/>
    <w:rsid w:val="49BF2124"/>
    <w:rsid w:val="4A271B1C"/>
    <w:rsid w:val="4B101F6A"/>
    <w:rsid w:val="4BA0175D"/>
    <w:rsid w:val="4C3630C6"/>
    <w:rsid w:val="4CC237AF"/>
    <w:rsid w:val="4DE439B2"/>
    <w:rsid w:val="4F9F3BD4"/>
    <w:rsid w:val="4FDE4134"/>
    <w:rsid w:val="50940F47"/>
    <w:rsid w:val="51204589"/>
    <w:rsid w:val="53C945FB"/>
    <w:rsid w:val="54333971"/>
    <w:rsid w:val="546F261E"/>
    <w:rsid w:val="560A5808"/>
    <w:rsid w:val="57083B3D"/>
    <w:rsid w:val="5801674F"/>
    <w:rsid w:val="584E7351"/>
    <w:rsid w:val="59804F68"/>
    <w:rsid w:val="5A386DC6"/>
    <w:rsid w:val="5A3B477C"/>
    <w:rsid w:val="5C4D3844"/>
    <w:rsid w:val="5D9567AA"/>
    <w:rsid w:val="5E153B9B"/>
    <w:rsid w:val="5F96131D"/>
    <w:rsid w:val="5F9D272C"/>
    <w:rsid w:val="61626850"/>
    <w:rsid w:val="618A6458"/>
    <w:rsid w:val="62643002"/>
    <w:rsid w:val="629B7F14"/>
    <w:rsid w:val="62DF1755"/>
    <w:rsid w:val="63F90C0A"/>
    <w:rsid w:val="65741907"/>
    <w:rsid w:val="6615324D"/>
    <w:rsid w:val="661F6005"/>
    <w:rsid w:val="665151C5"/>
    <w:rsid w:val="67AD4D59"/>
    <w:rsid w:val="67C41181"/>
    <w:rsid w:val="67C629FF"/>
    <w:rsid w:val="67C70996"/>
    <w:rsid w:val="67F15358"/>
    <w:rsid w:val="683F0A86"/>
    <w:rsid w:val="68FC3809"/>
    <w:rsid w:val="697B72BB"/>
    <w:rsid w:val="6BFD5490"/>
    <w:rsid w:val="6C7D2918"/>
    <w:rsid w:val="6C867064"/>
    <w:rsid w:val="6D94212F"/>
    <w:rsid w:val="6E873A42"/>
    <w:rsid w:val="6FFE5F86"/>
    <w:rsid w:val="71536AB4"/>
    <w:rsid w:val="728C6382"/>
    <w:rsid w:val="7349576A"/>
    <w:rsid w:val="73614861"/>
    <w:rsid w:val="736B0A3C"/>
    <w:rsid w:val="755C79F3"/>
    <w:rsid w:val="759C7277"/>
    <w:rsid w:val="75B34B73"/>
    <w:rsid w:val="763E2DA0"/>
    <w:rsid w:val="764861AD"/>
    <w:rsid w:val="771F0ED3"/>
    <w:rsid w:val="7901478B"/>
    <w:rsid w:val="799A7EFC"/>
    <w:rsid w:val="7B073F40"/>
    <w:rsid w:val="7B3651B7"/>
    <w:rsid w:val="7BED6287"/>
    <w:rsid w:val="7CF51082"/>
    <w:rsid w:val="7E1D7F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4">
    <w:name w:val="heading 2"/>
    <w:basedOn w:val="1"/>
    <w:next w:val="5"/>
    <w:link w:val="61"/>
    <w:qFormat/>
    <w:uiPriority w:val="0"/>
    <w:pPr>
      <w:numPr>
        <w:ilvl w:val="1"/>
        <w:numId w:val="1"/>
      </w:numPr>
      <w:tabs>
        <w:tab w:val="left" w:pos="425"/>
      </w:tabs>
      <w:snapToGrid w:val="0"/>
      <w:spacing w:line="360" w:lineRule="auto"/>
      <w:outlineLvl w:val="1"/>
    </w:pPr>
    <w:rPr>
      <w:rFonts w:ascii="宋体"/>
      <w:sz w:val="28"/>
      <w:szCs w:val="20"/>
    </w:rPr>
  </w:style>
  <w:style w:type="paragraph" w:styleId="6">
    <w:name w:val="heading 3"/>
    <w:basedOn w:val="4"/>
    <w:next w:val="1"/>
    <w:link w:val="69"/>
    <w:qFormat/>
    <w:uiPriority w:val="0"/>
    <w:pPr>
      <w:numPr>
        <w:ilvl w:val="2"/>
      </w:numPr>
      <w:outlineLvl w:val="2"/>
    </w:pPr>
  </w:style>
  <w:style w:type="paragraph" w:styleId="7">
    <w:name w:val="heading 4"/>
    <w:basedOn w:val="1"/>
    <w:next w:val="1"/>
    <w:link w:val="64"/>
    <w:qFormat/>
    <w:uiPriority w:val="0"/>
    <w:pPr>
      <w:keepNext/>
      <w:keepLines/>
      <w:spacing w:before="280" w:after="290" w:line="376" w:lineRule="auto"/>
      <w:outlineLvl w:val="3"/>
    </w:pPr>
    <w:rPr>
      <w:rFonts w:ascii="Calibri Light" w:hAnsi="Calibri Light"/>
      <w:b/>
      <w:bCs/>
      <w:kern w:val="0"/>
      <w:sz w:val="28"/>
      <w:szCs w:val="28"/>
    </w:rPr>
  </w:style>
  <w:style w:type="paragraph" w:styleId="8">
    <w:name w:val="heading 5"/>
    <w:basedOn w:val="1"/>
    <w:next w:val="1"/>
    <w:link w:val="67"/>
    <w:qFormat/>
    <w:uiPriority w:val="0"/>
    <w:pPr>
      <w:keepNext/>
      <w:keepLines/>
      <w:spacing w:before="280" w:after="290" w:line="376" w:lineRule="auto"/>
      <w:outlineLvl w:val="4"/>
    </w:pPr>
    <w:rPr>
      <w:b/>
      <w:bCs/>
      <w:kern w:val="0"/>
      <w:sz w:val="28"/>
      <w:szCs w:val="28"/>
    </w:rPr>
  </w:style>
  <w:style w:type="paragraph" w:styleId="9">
    <w:name w:val="heading 6"/>
    <w:basedOn w:val="1"/>
    <w:next w:val="1"/>
    <w:link w:val="60"/>
    <w:qFormat/>
    <w:uiPriority w:val="0"/>
    <w:pPr>
      <w:keepNext/>
      <w:keepLines/>
      <w:spacing w:before="240" w:after="64" w:line="320" w:lineRule="auto"/>
      <w:outlineLvl w:val="5"/>
    </w:pPr>
    <w:rPr>
      <w:rFonts w:ascii="Calibri Light" w:hAnsi="Calibri Light"/>
      <w:b/>
      <w:bCs/>
      <w:kern w:val="0"/>
      <w:sz w:val="24"/>
    </w:rPr>
  </w:style>
  <w:style w:type="paragraph" w:styleId="10">
    <w:name w:val="heading 7"/>
    <w:basedOn w:val="1"/>
    <w:next w:val="1"/>
    <w:link w:val="77"/>
    <w:qFormat/>
    <w:uiPriority w:val="9"/>
    <w:pPr>
      <w:keepNext/>
      <w:keepLines/>
      <w:spacing w:before="240" w:after="64" w:line="320" w:lineRule="auto"/>
      <w:outlineLvl w:val="6"/>
    </w:pPr>
    <w:rPr>
      <w:b/>
      <w:bCs/>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7"/>
    <w:qFormat/>
    <w:uiPriority w:val="99"/>
    <w:pPr>
      <w:tabs>
        <w:tab w:val="center" w:pos="4153"/>
        <w:tab w:val="right" w:pos="8306"/>
      </w:tabs>
      <w:snapToGrid w:val="0"/>
      <w:jc w:val="left"/>
    </w:pPr>
    <w:rPr>
      <w:kern w:val="0"/>
      <w:sz w:val="18"/>
      <w:szCs w:val="20"/>
    </w:rPr>
  </w:style>
  <w:style w:type="paragraph" w:styleId="5">
    <w:name w:val="Normal Indent"/>
    <w:basedOn w:val="1"/>
    <w:qFormat/>
    <w:uiPriority w:val="0"/>
    <w:pPr>
      <w:ind w:firstLine="420" w:firstLineChars="200"/>
    </w:pPr>
  </w:style>
  <w:style w:type="paragraph" w:styleId="11">
    <w:name w:val="Document Map"/>
    <w:basedOn w:val="1"/>
    <w:link w:val="62"/>
    <w:unhideWhenUsed/>
    <w:qFormat/>
    <w:uiPriority w:val="99"/>
    <w:rPr>
      <w:rFonts w:ascii="Microsoft YaHei UI" w:eastAsia="Microsoft YaHei UI"/>
      <w:kern w:val="0"/>
      <w:sz w:val="18"/>
      <w:szCs w:val="18"/>
    </w:rPr>
  </w:style>
  <w:style w:type="paragraph" w:styleId="12">
    <w:name w:val="annotation text"/>
    <w:basedOn w:val="1"/>
    <w:link w:val="78"/>
    <w:qFormat/>
    <w:uiPriority w:val="0"/>
    <w:pPr>
      <w:jc w:val="left"/>
    </w:pPr>
    <w:rPr>
      <w:kern w:val="0"/>
      <w:sz w:val="20"/>
    </w:rPr>
  </w:style>
  <w:style w:type="paragraph" w:styleId="13">
    <w:name w:val="Body Text"/>
    <w:basedOn w:val="1"/>
    <w:link w:val="71"/>
    <w:qFormat/>
    <w:uiPriority w:val="0"/>
    <w:pPr>
      <w:spacing w:after="120"/>
    </w:pPr>
    <w:rPr>
      <w:kern w:val="0"/>
      <w:sz w:val="20"/>
    </w:rPr>
  </w:style>
  <w:style w:type="paragraph" w:styleId="14">
    <w:name w:val="Body Text Indent"/>
    <w:basedOn w:val="1"/>
    <w:link w:val="80"/>
    <w:qFormat/>
    <w:uiPriority w:val="0"/>
    <w:pPr>
      <w:tabs>
        <w:tab w:val="left" w:pos="2160"/>
      </w:tabs>
      <w:ind w:left="2159" w:leftChars="1028" w:firstLine="1"/>
    </w:pPr>
    <w:rPr>
      <w:rFonts w:ascii="宋体" w:hAnsi="宋体"/>
      <w:kern w:val="0"/>
      <w:sz w:val="20"/>
      <w:szCs w:val="21"/>
    </w:rPr>
  </w:style>
  <w:style w:type="paragraph" w:styleId="15">
    <w:name w:val="index 4"/>
    <w:basedOn w:val="1"/>
    <w:next w:val="1"/>
    <w:semiHidden/>
    <w:unhideWhenUsed/>
    <w:qFormat/>
    <w:uiPriority w:val="99"/>
    <w:pPr>
      <w:ind w:left="600" w:leftChars="600"/>
    </w:pPr>
  </w:style>
  <w:style w:type="paragraph" w:styleId="16">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7">
    <w:name w:val="Plain Text"/>
    <w:basedOn w:val="1"/>
    <w:link w:val="73"/>
    <w:qFormat/>
    <w:uiPriority w:val="0"/>
    <w:rPr>
      <w:rFonts w:ascii="宋体" w:hAnsi="Courier New"/>
      <w:kern w:val="0"/>
      <w:sz w:val="20"/>
      <w:szCs w:val="20"/>
    </w:rPr>
  </w:style>
  <w:style w:type="paragraph" w:styleId="18">
    <w:name w:val="Date"/>
    <w:basedOn w:val="1"/>
    <w:next w:val="1"/>
    <w:link w:val="81"/>
    <w:qFormat/>
    <w:uiPriority w:val="0"/>
    <w:pPr>
      <w:ind w:left="100" w:leftChars="2500"/>
    </w:pPr>
    <w:rPr>
      <w:kern w:val="0"/>
      <w:sz w:val="20"/>
    </w:rPr>
  </w:style>
  <w:style w:type="paragraph" w:styleId="19">
    <w:name w:val="Balloon Text"/>
    <w:basedOn w:val="1"/>
    <w:link w:val="58"/>
    <w:qFormat/>
    <w:uiPriority w:val="99"/>
    <w:rPr>
      <w:kern w:val="0"/>
      <w:sz w:val="18"/>
      <w:szCs w:val="18"/>
    </w:rPr>
  </w:style>
  <w:style w:type="paragraph" w:styleId="20">
    <w:name w:val="header"/>
    <w:basedOn w:val="1"/>
    <w:link w:val="76"/>
    <w:qFormat/>
    <w:uiPriority w:val="99"/>
    <w:pPr>
      <w:pBdr>
        <w:bottom w:val="single" w:color="auto" w:sz="6" w:space="1"/>
      </w:pBdr>
      <w:tabs>
        <w:tab w:val="center" w:pos="4153"/>
        <w:tab w:val="right" w:pos="8306"/>
      </w:tabs>
      <w:snapToGrid w:val="0"/>
      <w:jc w:val="center"/>
    </w:pPr>
    <w:rPr>
      <w:kern w:val="0"/>
      <w:sz w:val="18"/>
      <w:szCs w:val="20"/>
    </w:rPr>
  </w:style>
  <w:style w:type="paragraph" w:styleId="21">
    <w:name w:val="toc 1"/>
    <w:basedOn w:val="1"/>
    <w:next w:val="1"/>
    <w:qFormat/>
    <w:uiPriority w:val="39"/>
    <w:pPr>
      <w:tabs>
        <w:tab w:val="right" w:leader="dot" w:pos="8296"/>
      </w:tabs>
      <w:jc w:val="left"/>
    </w:pPr>
  </w:style>
  <w:style w:type="paragraph" w:styleId="22">
    <w:name w:val="Subtitle"/>
    <w:basedOn w:val="1"/>
    <w:next w:val="1"/>
    <w:link w:val="63"/>
    <w:qFormat/>
    <w:uiPriority w:val="0"/>
    <w:pPr>
      <w:spacing w:before="240" w:after="60" w:line="312" w:lineRule="auto"/>
      <w:jc w:val="center"/>
      <w:outlineLvl w:val="1"/>
    </w:pPr>
    <w:rPr>
      <w:rFonts w:ascii="Calibri Light" w:hAnsi="Calibri Light"/>
      <w:b/>
      <w:bCs/>
      <w:kern w:val="28"/>
      <w:sz w:val="32"/>
      <w:szCs w:val="32"/>
    </w:rPr>
  </w:style>
  <w:style w:type="paragraph" w:styleId="23">
    <w:name w:val="Body Text Indent 3"/>
    <w:basedOn w:val="1"/>
    <w:link w:val="59"/>
    <w:qFormat/>
    <w:uiPriority w:val="0"/>
    <w:pPr>
      <w:spacing w:after="120"/>
      <w:ind w:left="420" w:leftChars="200"/>
    </w:pPr>
    <w:rPr>
      <w:kern w:val="0"/>
      <w:sz w:val="16"/>
      <w:szCs w:val="16"/>
    </w:rPr>
  </w:style>
  <w:style w:type="paragraph" w:styleId="24">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25">
    <w:name w:val="toc 9"/>
    <w:basedOn w:val="1"/>
    <w:next w:val="1"/>
    <w:qFormat/>
    <w:uiPriority w:val="0"/>
    <w:pPr>
      <w:ind w:left="3360" w:leftChars="1600"/>
    </w:pPr>
  </w:style>
  <w:style w:type="paragraph" w:styleId="26">
    <w:name w:val="HTML Preformatted"/>
    <w:basedOn w:val="1"/>
    <w:link w:val="1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link w:val="79"/>
    <w:qFormat/>
    <w:uiPriority w:val="0"/>
    <w:pPr>
      <w:spacing w:before="240" w:after="60"/>
      <w:jc w:val="center"/>
      <w:outlineLvl w:val="0"/>
    </w:pPr>
    <w:rPr>
      <w:rFonts w:ascii="Cambria" w:hAnsi="Cambria"/>
      <w:b/>
      <w:bCs/>
      <w:kern w:val="0"/>
      <w:sz w:val="36"/>
      <w:szCs w:val="32"/>
    </w:rPr>
  </w:style>
  <w:style w:type="paragraph" w:styleId="29">
    <w:name w:val="annotation subject"/>
    <w:basedOn w:val="12"/>
    <w:next w:val="12"/>
    <w:link w:val="55"/>
    <w:qFormat/>
    <w:uiPriority w:val="99"/>
    <w:rPr>
      <w:b/>
      <w:bCs/>
    </w:rPr>
  </w:style>
  <w:style w:type="paragraph" w:styleId="30">
    <w:name w:val="Body Text First Indent"/>
    <w:basedOn w:val="13"/>
    <w:link w:val="70"/>
    <w:qFormat/>
    <w:uiPriority w:val="0"/>
    <w:pPr>
      <w:ind w:firstLine="420" w:firstLineChars="100"/>
    </w:p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style>
  <w:style w:type="character" w:styleId="35">
    <w:name w:val="FollowedHyperlink"/>
    <w:qFormat/>
    <w:uiPriority w:val="99"/>
    <w:rPr>
      <w:color w:val="0000FF"/>
      <w:u w:val="single"/>
    </w:rPr>
  </w:style>
  <w:style w:type="character" w:styleId="36">
    <w:name w:val="Emphasis"/>
    <w:qFormat/>
    <w:uiPriority w:val="0"/>
    <w:rPr>
      <w:i/>
      <w:iCs/>
    </w:rPr>
  </w:style>
  <w:style w:type="character" w:styleId="37">
    <w:name w:val="Hyperlink"/>
    <w:qFormat/>
    <w:uiPriority w:val="99"/>
    <w:rPr>
      <w:color w:val="000099"/>
      <w:u w:val="none"/>
    </w:rPr>
  </w:style>
  <w:style w:type="character" w:styleId="38">
    <w:name w:val="annotation reference"/>
    <w:qFormat/>
    <w:uiPriority w:val="0"/>
    <w:rPr>
      <w:sz w:val="21"/>
      <w:szCs w:val="21"/>
    </w:rPr>
  </w:style>
  <w:style w:type="paragraph" w:customStyle="1" w:styleId="39">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41">
    <w:name w:val="3"/>
    <w:basedOn w:val="1"/>
    <w:qFormat/>
    <w:uiPriority w:val="34"/>
    <w:pPr>
      <w:ind w:firstLine="420" w:firstLineChars="200"/>
    </w:pPr>
  </w:style>
  <w:style w:type="paragraph" w:customStyle="1" w:styleId="42">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3">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2"/>
    <w:link w:val="75"/>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46">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47">
    <w:name w:val="_Style 3"/>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Char1"/>
    <w:basedOn w:val="11"/>
    <w:qFormat/>
    <w:uiPriority w:val="0"/>
    <w:pPr>
      <w:shd w:val="clear" w:color="auto" w:fill="000080"/>
    </w:pPr>
    <w:rPr>
      <w:rFonts w:ascii="Times New Roman" w:eastAsia="宋体"/>
      <w:sz w:val="21"/>
      <w:szCs w:val="20"/>
      <w:shd w:val="clear" w:color="auto" w:fill="000080"/>
    </w:rPr>
  </w:style>
  <w:style w:type="paragraph" w:customStyle="1" w:styleId="49">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50">
    <w:name w:val="列出段落111"/>
    <w:basedOn w:val="1"/>
    <w:qFormat/>
    <w:uiPriority w:val="0"/>
    <w:pPr>
      <w:ind w:firstLine="420" w:firstLineChars="200"/>
    </w:pPr>
    <w:rPr>
      <w:rFonts w:ascii="Calibri" w:hAnsi="Calibri"/>
      <w:sz w:val="28"/>
    </w:rPr>
  </w:style>
  <w:style w:type="paragraph" w:customStyle="1" w:styleId="51">
    <w:name w:val="样式1"/>
    <w:basedOn w:val="1"/>
    <w:qFormat/>
    <w:uiPriority w:val="0"/>
    <w:rPr>
      <w:rFonts w:eastAsia="仿宋_GB2312"/>
      <w:kern w:val="0"/>
      <w:sz w:val="32"/>
      <w:szCs w:val="20"/>
    </w:rPr>
  </w:style>
  <w:style w:type="paragraph" w:customStyle="1" w:styleId="52">
    <w:name w:val="1"/>
    <w:basedOn w:val="3"/>
    <w:next w:val="1"/>
    <w:qFormat/>
    <w:uiPriority w:val="39"/>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53">
    <w:name w:val="列出段落11"/>
    <w:basedOn w:val="1"/>
    <w:qFormat/>
    <w:uiPriority w:val="0"/>
    <w:pPr>
      <w:ind w:firstLine="420" w:firstLineChars="200"/>
    </w:pPr>
  </w:style>
  <w:style w:type="paragraph" w:customStyle="1" w:styleId="54">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55">
    <w:name w:val="批注主题 Char1"/>
    <w:link w:val="29"/>
    <w:qFormat/>
    <w:uiPriority w:val="99"/>
    <w:rPr>
      <w:rFonts w:ascii="Times New Roman" w:hAnsi="Times New Roman" w:eastAsia="宋体" w:cs="Times New Roman"/>
      <w:b/>
      <w:bCs/>
      <w:szCs w:val="24"/>
    </w:rPr>
  </w:style>
  <w:style w:type="character" w:customStyle="1" w:styleId="56">
    <w:name w:val="标题 1 Char"/>
    <w:link w:val="3"/>
    <w:qFormat/>
    <w:uiPriority w:val="0"/>
    <w:rPr>
      <w:rFonts w:ascii="宋体" w:eastAsia="黑体"/>
      <w:kern w:val="28"/>
      <w:sz w:val="28"/>
    </w:rPr>
  </w:style>
  <w:style w:type="character" w:customStyle="1" w:styleId="57">
    <w:name w:val="页脚 Char"/>
    <w:link w:val="2"/>
    <w:qFormat/>
    <w:uiPriority w:val="99"/>
    <w:rPr>
      <w:rFonts w:ascii="Times New Roman" w:hAnsi="Times New Roman" w:eastAsia="宋体" w:cs="Times New Roman"/>
      <w:sz w:val="18"/>
      <w:szCs w:val="20"/>
    </w:rPr>
  </w:style>
  <w:style w:type="character" w:customStyle="1" w:styleId="58">
    <w:name w:val="批注框文本 Char"/>
    <w:link w:val="19"/>
    <w:qFormat/>
    <w:uiPriority w:val="99"/>
    <w:rPr>
      <w:rFonts w:ascii="Times New Roman" w:hAnsi="Times New Roman" w:eastAsia="宋体" w:cs="Times New Roman"/>
      <w:sz w:val="18"/>
      <w:szCs w:val="18"/>
    </w:rPr>
  </w:style>
  <w:style w:type="character" w:customStyle="1" w:styleId="59">
    <w:name w:val="正文文本缩进 3 Char"/>
    <w:link w:val="23"/>
    <w:qFormat/>
    <w:uiPriority w:val="0"/>
    <w:rPr>
      <w:rFonts w:ascii="Times New Roman" w:hAnsi="Times New Roman" w:eastAsia="宋体" w:cs="Times New Roman"/>
      <w:sz w:val="16"/>
      <w:szCs w:val="16"/>
    </w:rPr>
  </w:style>
  <w:style w:type="character" w:customStyle="1" w:styleId="60">
    <w:name w:val="标题 6 Char"/>
    <w:link w:val="9"/>
    <w:qFormat/>
    <w:uiPriority w:val="0"/>
    <w:rPr>
      <w:rFonts w:ascii="Calibri Light" w:hAnsi="Calibri Light" w:eastAsia="宋体" w:cs="Times New Roman"/>
      <w:b/>
      <w:bCs/>
      <w:sz w:val="24"/>
      <w:szCs w:val="24"/>
    </w:rPr>
  </w:style>
  <w:style w:type="character" w:customStyle="1" w:styleId="61">
    <w:name w:val="标题 2 Char"/>
    <w:link w:val="4"/>
    <w:qFormat/>
    <w:uiPriority w:val="0"/>
    <w:rPr>
      <w:rFonts w:ascii="宋体"/>
      <w:kern w:val="2"/>
      <w:sz w:val="28"/>
    </w:rPr>
  </w:style>
  <w:style w:type="character" w:customStyle="1" w:styleId="62">
    <w:name w:val="文档结构图 Char"/>
    <w:link w:val="11"/>
    <w:semiHidden/>
    <w:qFormat/>
    <w:uiPriority w:val="99"/>
    <w:rPr>
      <w:rFonts w:ascii="Microsoft YaHei UI" w:hAnsi="Times New Roman" w:eastAsia="Microsoft YaHei UI" w:cs="Times New Roman"/>
      <w:sz w:val="18"/>
      <w:szCs w:val="18"/>
    </w:rPr>
  </w:style>
  <w:style w:type="character" w:customStyle="1" w:styleId="63">
    <w:name w:val="副标题 Char"/>
    <w:link w:val="22"/>
    <w:qFormat/>
    <w:uiPriority w:val="0"/>
    <w:rPr>
      <w:rFonts w:ascii="Calibri Light" w:hAnsi="Calibri Light" w:eastAsia="宋体" w:cs="Times New Roman"/>
      <w:b/>
      <w:bCs/>
      <w:kern w:val="28"/>
      <w:sz w:val="32"/>
      <w:szCs w:val="32"/>
    </w:rPr>
  </w:style>
  <w:style w:type="character" w:customStyle="1" w:styleId="64">
    <w:name w:val="标题 4 Char"/>
    <w:link w:val="7"/>
    <w:qFormat/>
    <w:uiPriority w:val="0"/>
    <w:rPr>
      <w:rFonts w:ascii="Calibri Light" w:hAnsi="Calibri Light" w:eastAsia="宋体" w:cs="Times New Roman"/>
      <w:b/>
      <w:bCs/>
      <w:sz w:val="28"/>
      <w:szCs w:val="28"/>
    </w:rPr>
  </w:style>
  <w:style w:type="character" w:customStyle="1" w:styleId="65">
    <w:name w:val="标题 Char1"/>
    <w:qFormat/>
    <w:uiPriority w:val="0"/>
    <w:rPr>
      <w:rFonts w:ascii="Calibri Light" w:hAnsi="Calibri Light" w:eastAsia="宋体" w:cs="Times New Roman"/>
      <w:b/>
      <w:bCs/>
      <w:sz w:val="32"/>
      <w:szCs w:val="32"/>
    </w:rPr>
  </w:style>
  <w:style w:type="character" w:customStyle="1" w:styleId="66">
    <w:name w:val="批注文字 Char"/>
    <w:qFormat/>
    <w:uiPriority w:val="0"/>
    <w:rPr>
      <w:rFonts w:ascii="Times New Roman" w:hAnsi="Times New Roman" w:eastAsia="宋体" w:cs="Times New Roman"/>
      <w:szCs w:val="24"/>
    </w:rPr>
  </w:style>
  <w:style w:type="character" w:customStyle="1" w:styleId="67">
    <w:name w:val="标题 5 Char"/>
    <w:link w:val="8"/>
    <w:qFormat/>
    <w:uiPriority w:val="0"/>
    <w:rPr>
      <w:rFonts w:ascii="Times New Roman" w:hAnsi="Times New Roman" w:eastAsia="宋体" w:cs="Times New Roman"/>
      <w:b/>
      <w:bCs/>
      <w:sz w:val="28"/>
      <w:szCs w:val="28"/>
    </w:rPr>
  </w:style>
  <w:style w:type="character" w:customStyle="1" w:styleId="68">
    <w:name w:val="Table Text Char Char Char"/>
    <w:qFormat/>
    <w:uiPriority w:val="0"/>
    <w:rPr>
      <w:rFonts w:ascii="Arial" w:hAnsi="Arial" w:eastAsia="宋体" w:cs="Arial"/>
      <w:sz w:val="18"/>
      <w:szCs w:val="18"/>
      <w:lang w:val="en-US" w:eastAsia="zh-CN" w:bidi="ar-SA"/>
    </w:rPr>
  </w:style>
  <w:style w:type="character" w:customStyle="1" w:styleId="69">
    <w:name w:val="标题 3 Char"/>
    <w:link w:val="6"/>
    <w:qFormat/>
    <w:uiPriority w:val="0"/>
    <w:rPr>
      <w:rFonts w:ascii="宋体"/>
      <w:kern w:val="2"/>
      <w:sz w:val="28"/>
    </w:rPr>
  </w:style>
  <w:style w:type="character" w:customStyle="1" w:styleId="70">
    <w:name w:val="正文首行缩进 Char"/>
    <w:link w:val="30"/>
    <w:qFormat/>
    <w:uiPriority w:val="0"/>
    <w:rPr>
      <w:rFonts w:ascii="Times New Roman" w:hAnsi="Times New Roman" w:eastAsia="宋体" w:cs="Times New Roman"/>
      <w:szCs w:val="24"/>
    </w:rPr>
  </w:style>
  <w:style w:type="character" w:customStyle="1" w:styleId="71">
    <w:name w:val="正文文本 Char"/>
    <w:link w:val="13"/>
    <w:qFormat/>
    <w:uiPriority w:val="0"/>
    <w:rPr>
      <w:rFonts w:ascii="Times New Roman" w:hAnsi="Times New Roman" w:eastAsia="宋体" w:cs="Times New Roman"/>
      <w:szCs w:val="24"/>
    </w:rPr>
  </w:style>
  <w:style w:type="character" w:customStyle="1" w:styleId="72">
    <w:name w:val="纯文本 Char"/>
    <w:qFormat/>
    <w:uiPriority w:val="0"/>
    <w:rPr>
      <w:rFonts w:ascii="宋体" w:hAnsi="Courier New" w:eastAsia="宋体" w:cs="Courier New"/>
      <w:szCs w:val="21"/>
    </w:rPr>
  </w:style>
  <w:style w:type="character" w:customStyle="1" w:styleId="73">
    <w:name w:val="纯文本 Char2"/>
    <w:link w:val="17"/>
    <w:qFormat/>
    <w:uiPriority w:val="0"/>
    <w:rPr>
      <w:rFonts w:ascii="宋体" w:hAnsi="Courier New" w:eastAsia="宋体" w:cs="Times New Roman"/>
      <w:szCs w:val="20"/>
    </w:rPr>
  </w:style>
  <w:style w:type="character" w:customStyle="1" w:styleId="74">
    <w:name w:val="Table Text Char"/>
    <w:qFormat/>
    <w:uiPriority w:val="0"/>
    <w:rPr>
      <w:rFonts w:ascii="Arial" w:hAnsi="Arial" w:eastAsia="宋体"/>
      <w:sz w:val="18"/>
      <w:lang w:val="en-US" w:eastAsia="zh-CN" w:bidi="ar-SA"/>
    </w:rPr>
  </w:style>
  <w:style w:type="character" w:customStyle="1" w:styleId="75">
    <w:name w:val="无间隔 Char"/>
    <w:link w:val="44"/>
    <w:qFormat/>
    <w:uiPriority w:val="1"/>
    <w:rPr>
      <w:rFonts w:ascii="Times New Roman" w:hAnsi="Times New Roman"/>
      <w:kern w:val="2"/>
      <w:sz w:val="21"/>
      <w:szCs w:val="24"/>
      <w:lang w:val="en-US" w:eastAsia="zh-CN" w:bidi="ar-SA"/>
    </w:rPr>
  </w:style>
  <w:style w:type="character" w:customStyle="1" w:styleId="76">
    <w:name w:val="页眉 Char1"/>
    <w:link w:val="20"/>
    <w:qFormat/>
    <w:uiPriority w:val="99"/>
    <w:rPr>
      <w:rFonts w:ascii="Times New Roman" w:hAnsi="Times New Roman" w:eastAsia="宋体" w:cs="Times New Roman"/>
      <w:sz w:val="18"/>
      <w:szCs w:val="20"/>
    </w:rPr>
  </w:style>
  <w:style w:type="character" w:customStyle="1" w:styleId="77">
    <w:name w:val="标题 7 Char"/>
    <w:link w:val="10"/>
    <w:semiHidden/>
    <w:qFormat/>
    <w:uiPriority w:val="9"/>
    <w:rPr>
      <w:rFonts w:ascii="Times New Roman" w:hAnsi="Times New Roman"/>
      <w:b/>
      <w:bCs/>
      <w:kern w:val="2"/>
      <w:sz w:val="24"/>
      <w:szCs w:val="24"/>
    </w:rPr>
  </w:style>
  <w:style w:type="character" w:customStyle="1" w:styleId="78">
    <w:name w:val="批注文字 Char1"/>
    <w:link w:val="12"/>
    <w:qFormat/>
    <w:uiPriority w:val="0"/>
    <w:rPr>
      <w:rFonts w:ascii="Times New Roman" w:hAnsi="Times New Roman" w:eastAsia="宋体" w:cs="Times New Roman"/>
      <w:szCs w:val="24"/>
    </w:rPr>
  </w:style>
  <w:style w:type="character" w:customStyle="1" w:styleId="79">
    <w:name w:val="标题 Char"/>
    <w:link w:val="28"/>
    <w:qFormat/>
    <w:uiPriority w:val="0"/>
    <w:rPr>
      <w:rFonts w:ascii="Cambria" w:hAnsi="Cambria"/>
      <w:b/>
      <w:bCs/>
      <w:sz w:val="36"/>
      <w:szCs w:val="32"/>
    </w:rPr>
  </w:style>
  <w:style w:type="character" w:customStyle="1" w:styleId="80">
    <w:name w:val="正文文本缩进 Char"/>
    <w:link w:val="14"/>
    <w:qFormat/>
    <w:uiPriority w:val="0"/>
    <w:rPr>
      <w:rFonts w:ascii="宋体" w:hAnsi="宋体" w:eastAsia="宋体" w:cs="Times New Roman"/>
      <w:szCs w:val="21"/>
    </w:rPr>
  </w:style>
  <w:style w:type="character" w:customStyle="1" w:styleId="81">
    <w:name w:val="日期 Char"/>
    <w:link w:val="18"/>
    <w:qFormat/>
    <w:uiPriority w:val="0"/>
    <w:rPr>
      <w:rFonts w:ascii="Times New Roman" w:hAnsi="Times New Roman" w:eastAsia="宋体" w:cs="Times New Roman"/>
      <w:szCs w:val="24"/>
    </w:rPr>
  </w:style>
  <w:style w:type="character" w:customStyle="1" w:styleId="82">
    <w:name w:val="批注主题 Char"/>
    <w:semiHidden/>
    <w:qFormat/>
    <w:uiPriority w:val="99"/>
    <w:rPr>
      <w:rFonts w:ascii="Times New Roman" w:hAnsi="Times New Roman" w:eastAsia="宋体" w:cs="Times New Roman"/>
      <w:b/>
      <w:bCs/>
      <w:szCs w:val="24"/>
    </w:rPr>
  </w:style>
  <w:style w:type="paragraph" w:customStyle="1" w:styleId="83">
    <w:name w:val="p16"/>
    <w:basedOn w:val="1"/>
    <w:qFormat/>
    <w:uiPriority w:val="0"/>
    <w:pPr>
      <w:widowControl/>
    </w:pPr>
    <w:rPr>
      <w:rFonts w:ascii="宋体" w:hAnsi="宋体" w:cs="宋体"/>
      <w:kern w:val="0"/>
      <w:szCs w:val="21"/>
    </w:rPr>
  </w:style>
  <w:style w:type="paragraph" w:styleId="84">
    <w:name w:val="List Paragraph"/>
    <w:basedOn w:val="1"/>
    <w:unhideWhenUsed/>
    <w:qFormat/>
    <w:uiPriority w:val="34"/>
    <w:pPr>
      <w:ind w:firstLine="420" w:firstLineChars="200"/>
    </w:pPr>
  </w:style>
  <w:style w:type="paragraph" w:customStyle="1" w:styleId="85">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86">
    <w:name w:val="列出段落1"/>
    <w:basedOn w:val="1"/>
    <w:qFormat/>
    <w:uiPriority w:val="99"/>
    <w:pPr>
      <w:ind w:firstLine="420" w:firstLineChars="200"/>
    </w:pPr>
    <w:rPr>
      <w:rFonts w:ascii="Calibri" w:hAnsi="Calibri" w:cs="黑体"/>
      <w:szCs w:val="22"/>
    </w:rPr>
  </w:style>
  <w:style w:type="paragraph" w:styleId="87">
    <w:name w:val="No Spacing"/>
    <w:link w:val="10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8">
    <w:name w:val="段 Char Char"/>
    <w:link w:val="89"/>
    <w:qFormat/>
    <w:uiPriority w:val="0"/>
    <w:rPr>
      <w:rFonts w:ascii="宋体"/>
      <w:sz w:val="21"/>
      <w:lang w:val="en-US" w:eastAsia="zh-CN" w:bidi="ar-SA"/>
    </w:rPr>
  </w:style>
  <w:style w:type="paragraph" w:customStyle="1" w:styleId="89">
    <w:name w:val="段"/>
    <w:link w:val="88"/>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90">
    <w:name w:val="三级条标题 Char Char"/>
    <w:link w:val="91"/>
    <w:qFormat/>
    <w:uiPriority w:val="0"/>
    <w:rPr>
      <w:rFonts w:ascii="黑体" w:eastAsia="黑体"/>
      <w:sz w:val="21"/>
    </w:rPr>
  </w:style>
  <w:style w:type="paragraph" w:customStyle="1" w:styleId="91">
    <w:name w:val="三级条标题"/>
    <w:basedOn w:val="92"/>
    <w:next w:val="89"/>
    <w:link w:val="90"/>
    <w:qFormat/>
    <w:uiPriority w:val="0"/>
    <w:pPr>
      <w:tabs>
        <w:tab w:val="left" w:pos="720"/>
        <w:tab w:val="left" w:pos="992"/>
      </w:tabs>
      <w:ind w:left="992" w:hanging="992"/>
      <w:outlineLvl w:val="4"/>
    </w:pPr>
  </w:style>
  <w:style w:type="paragraph" w:customStyle="1" w:styleId="92">
    <w:name w:val="二级条标题"/>
    <w:basedOn w:val="93"/>
    <w:next w:val="89"/>
    <w:link w:val="95"/>
    <w:qFormat/>
    <w:uiPriority w:val="0"/>
    <w:pPr>
      <w:tabs>
        <w:tab w:val="left" w:pos="720"/>
      </w:tabs>
      <w:outlineLvl w:val="3"/>
    </w:pPr>
  </w:style>
  <w:style w:type="paragraph" w:customStyle="1" w:styleId="93">
    <w:name w:val="一级条标题"/>
    <w:basedOn w:val="94"/>
    <w:next w:val="89"/>
    <w:link w:val="97"/>
    <w:qFormat/>
    <w:uiPriority w:val="0"/>
    <w:pPr>
      <w:tabs>
        <w:tab w:val="left" w:pos="720"/>
      </w:tabs>
      <w:spacing w:beforeLines="0" w:afterLines="0"/>
      <w:outlineLvl w:val="2"/>
    </w:pPr>
  </w:style>
  <w:style w:type="paragraph" w:customStyle="1" w:styleId="94">
    <w:name w:val="章标题"/>
    <w:next w:val="89"/>
    <w:link w:val="96"/>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character" w:customStyle="1" w:styleId="95">
    <w:name w:val="二级条标题 Char Char"/>
    <w:link w:val="92"/>
    <w:qFormat/>
    <w:uiPriority w:val="0"/>
    <w:rPr>
      <w:rFonts w:ascii="黑体" w:eastAsia="黑体"/>
      <w:sz w:val="21"/>
    </w:rPr>
  </w:style>
  <w:style w:type="character" w:customStyle="1" w:styleId="96">
    <w:name w:val="章标题 Char Char"/>
    <w:link w:val="94"/>
    <w:qFormat/>
    <w:uiPriority w:val="0"/>
    <w:rPr>
      <w:rFonts w:ascii="黑体" w:eastAsia="黑体"/>
      <w:sz w:val="21"/>
      <w:lang w:val="en-US" w:eastAsia="zh-CN" w:bidi="ar-SA"/>
    </w:rPr>
  </w:style>
  <w:style w:type="character" w:customStyle="1" w:styleId="97">
    <w:name w:val="一级条标题 Char Char"/>
    <w:link w:val="93"/>
    <w:qFormat/>
    <w:uiPriority w:val="0"/>
    <w:rPr>
      <w:rFonts w:ascii="黑体" w:eastAsia="黑体"/>
      <w:sz w:val="21"/>
    </w:rPr>
  </w:style>
  <w:style w:type="paragraph" w:customStyle="1" w:styleId="98">
    <w:name w:val="正文图标题"/>
    <w:next w:val="89"/>
    <w:qFormat/>
    <w:uiPriority w:val="0"/>
    <w:pPr>
      <w:ind w:left="360" w:hanging="360"/>
      <w:jc w:val="center"/>
    </w:pPr>
    <w:rPr>
      <w:rFonts w:ascii="黑体" w:hAnsi="Times New Roman" w:eastAsia="黑体" w:cs="Times New Roman"/>
      <w:sz w:val="21"/>
      <w:lang w:val="en-US" w:eastAsia="zh-CN" w:bidi="ar-SA"/>
    </w:rPr>
  </w:style>
  <w:style w:type="paragraph" w:customStyle="1" w:styleId="99">
    <w:name w:val="正文表标题"/>
    <w:next w:val="89"/>
    <w:qFormat/>
    <w:uiPriority w:val="0"/>
    <w:pPr>
      <w:ind w:left="360" w:hanging="360"/>
      <w:jc w:val="center"/>
    </w:pPr>
    <w:rPr>
      <w:rFonts w:ascii="黑体" w:hAnsi="Times New Roman" w:eastAsia="黑体" w:cs="Times New Roman"/>
      <w:sz w:val="21"/>
      <w:lang w:val="en-US" w:eastAsia="zh-CN" w:bidi="ar-SA"/>
    </w:rPr>
  </w:style>
  <w:style w:type="paragraph" w:customStyle="1" w:styleId="100">
    <w:name w:val="目次、标准名称标题"/>
    <w:basedOn w:val="1"/>
    <w:next w:val="89"/>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01">
    <w:name w:val="纯文本 Char1"/>
    <w:qFormat/>
    <w:uiPriority w:val="0"/>
    <w:rPr>
      <w:rFonts w:ascii="宋体" w:hAnsi="Courier New" w:eastAsia="宋体" w:cs="Courier New"/>
      <w:sz w:val="21"/>
      <w:szCs w:val="21"/>
    </w:rPr>
  </w:style>
  <w:style w:type="character" w:customStyle="1" w:styleId="102">
    <w:name w:val="无间隔 Char1"/>
    <w:link w:val="87"/>
    <w:qFormat/>
    <w:uiPriority w:val="1"/>
    <w:rPr>
      <w:rFonts w:ascii="Times New Roman" w:hAnsi="Times New Roman"/>
      <w:kern w:val="2"/>
      <w:sz w:val="21"/>
      <w:szCs w:val="24"/>
      <w:lang w:bidi="ar-SA"/>
    </w:rPr>
  </w:style>
  <w:style w:type="character" w:customStyle="1" w:styleId="103">
    <w:name w:val="HTML 预设格式 Char"/>
    <w:link w:val="26"/>
    <w:qFormat/>
    <w:uiPriority w:val="99"/>
    <w:rPr>
      <w:rFonts w:ascii="宋体" w:hAnsi="宋体" w:cs="宋体"/>
      <w:sz w:val="24"/>
      <w:szCs w:val="24"/>
    </w:rPr>
  </w:style>
  <w:style w:type="character" w:customStyle="1" w:styleId="104">
    <w:name w:val="页眉 Char"/>
    <w:qFormat/>
    <w:uiPriority w:val="99"/>
    <w:rPr>
      <w:lang w:eastAsia="zh-CN"/>
    </w:rPr>
  </w:style>
  <w:style w:type="character" w:customStyle="1" w:styleId="105">
    <w:name w:val="textcontents"/>
    <w:qFormat/>
    <w:uiPriority w:val="0"/>
    <w:rPr>
      <w:rFonts w:cs="Times New Roman"/>
    </w:rPr>
  </w:style>
  <w:style w:type="character" w:customStyle="1" w:styleId="106">
    <w:name w:val="标题4 Char Char"/>
    <w:link w:val="107"/>
    <w:qFormat/>
    <w:uiPriority w:val="0"/>
    <w:rPr>
      <w:rFonts w:ascii="Arial" w:hAnsi="Arial"/>
      <w:b/>
      <w:bCs/>
      <w:sz w:val="24"/>
      <w:szCs w:val="32"/>
    </w:rPr>
  </w:style>
  <w:style w:type="paragraph" w:customStyle="1" w:styleId="107">
    <w:name w:val="标题4"/>
    <w:basedOn w:val="4"/>
    <w:next w:val="15"/>
    <w:link w:val="106"/>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08">
    <w:name w:val="tabg"/>
    <w:qFormat/>
    <w:uiPriority w:val="0"/>
    <w:rPr>
      <w:rFonts w:ascii="微软雅黑" w:hAnsi="微软雅黑" w:eastAsia="微软雅黑" w:cs="微软雅黑"/>
      <w:color w:val="FFFFFF"/>
      <w:sz w:val="27"/>
      <w:szCs w:val="27"/>
    </w:rPr>
  </w:style>
  <w:style w:type="paragraph" w:customStyle="1" w:styleId="109">
    <w:name w:val="xl15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character" w:customStyle="1" w:styleId="110">
    <w:name w:val="无间隔 字符"/>
    <w:qFormat/>
    <w:uiPriority w:val="1"/>
    <w:rPr>
      <w:rFonts w:ascii="Times New Roman" w:hAnsi="Times New Roman" w:eastAsia="宋体"/>
      <w:kern w:val="2"/>
      <w:sz w:val="21"/>
      <w:szCs w:val="24"/>
    </w:rPr>
  </w:style>
  <w:style w:type="character" w:customStyle="1" w:styleId="111">
    <w:name w:val="bookmark-item"/>
    <w:basedOn w:val="3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B9F21-6A75-48E4-98CF-E12FCA336AC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62</Pages>
  <Words>29824</Words>
  <Characters>30753</Characters>
  <Lines>275</Lines>
  <Paragraphs>77</Paragraphs>
  <TotalTime>1</TotalTime>
  <ScaleCrop>false</ScaleCrop>
  <LinksUpToDate>false</LinksUpToDate>
  <CharactersWithSpaces>32521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2021-07-15T01:13:00Z</dcterms:created>
  <dc:creator>李青</dc:creator>
  <cp:lastModifiedBy>Lenovo</cp:lastModifiedBy>
  <cp:lastPrinted>2020-10-23T02:14:00Z</cp:lastPrinted>
  <dcterms:modified xsi:type="dcterms:W3CDTF">2022-07-25T10:38:23Z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C8C4002CE9EE4F7194F6498DF6B02C2F</vt:lpwstr>
  </property>
</Properties>
</file>