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sz w:val="24"/>
          <w:szCs w:val="24"/>
          <w:lang w:val="zh-CN"/>
        </w:rPr>
      </w:pPr>
    </w:p>
    <w:p>
      <w:pPr>
        <w:autoSpaceDE w:val="0"/>
        <w:autoSpaceDN w:val="0"/>
        <w:adjustRightInd w:val="0"/>
        <w:spacing w:line="720" w:lineRule="auto"/>
        <w:ind w:firstLine="0" w:firstLineChars="0"/>
        <w:rPr>
          <w:rFonts w:hint="eastAsia" w:ascii="宋体" w:hAnsi="宋体" w:eastAsia="宋体" w:cs="宋体"/>
          <w:b/>
          <w:sz w:val="24"/>
          <w:szCs w:val="24"/>
          <w:lang w:val="zh-CN"/>
        </w:rPr>
      </w:pPr>
    </w:p>
    <w:p>
      <w:pPr>
        <w:autoSpaceDE w:val="0"/>
        <w:autoSpaceDN w:val="0"/>
        <w:adjustRightInd w:val="0"/>
        <w:spacing w:line="720" w:lineRule="auto"/>
        <w:ind w:firstLine="0" w:firstLineChars="0"/>
        <w:jc w:val="center"/>
        <w:rPr>
          <w:rFonts w:hint="eastAsia" w:ascii="宋体" w:hAnsi="宋体" w:eastAsia="宋体" w:cs="宋体"/>
          <w:b/>
          <w:sz w:val="84"/>
          <w:szCs w:val="84"/>
        </w:rPr>
      </w:pPr>
      <w:r>
        <w:rPr>
          <w:rFonts w:hint="eastAsia" w:ascii="宋体" w:hAnsi="宋体" w:eastAsia="宋体" w:cs="宋体"/>
          <w:b/>
          <w:sz w:val="84"/>
          <w:szCs w:val="84"/>
          <w:lang w:val="zh-CN"/>
        </w:rPr>
        <w:t>磋商文件</w:t>
      </w:r>
    </w:p>
    <w:p>
      <w:pPr>
        <w:adjustRightInd w:val="0"/>
        <w:spacing w:line="720" w:lineRule="auto"/>
        <w:ind w:firstLine="0" w:firstLineChars="0"/>
        <w:textAlignment w:val="baseline"/>
        <w:rPr>
          <w:rFonts w:hint="eastAsia" w:ascii="宋体" w:hAnsi="宋体" w:eastAsia="宋体" w:cs="宋体"/>
          <w:b/>
          <w:sz w:val="24"/>
          <w:szCs w:val="24"/>
        </w:rPr>
      </w:pPr>
    </w:p>
    <w:p>
      <w:pPr>
        <w:adjustRightInd w:val="0"/>
        <w:spacing w:line="720" w:lineRule="auto"/>
        <w:ind w:firstLine="0" w:firstLineChars="0"/>
        <w:textAlignment w:val="baseline"/>
        <w:rPr>
          <w:rFonts w:hint="eastAsia" w:ascii="宋体" w:hAnsi="宋体" w:eastAsia="宋体" w:cs="宋体"/>
          <w:b/>
          <w:sz w:val="24"/>
          <w:szCs w:val="24"/>
        </w:rPr>
      </w:pPr>
    </w:p>
    <w:p>
      <w:pPr>
        <w:adjustRightInd w:val="0"/>
        <w:spacing w:line="720" w:lineRule="auto"/>
        <w:ind w:firstLine="0" w:firstLineChars="0"/>
        <w:jc w:val="both"/>
        <w:textAlignment w:val="baseline"/>
        <w:rPr>
          <w:rFonts w:hint="eastAsia" w:ascii="宋体" w:hAnsi="宋体" w:eastAsia="宋体" w:cs="宋体"/>
          <w:b/>
          <w:sz w:val="36"/>
          <w:szCs w:val="36"/>
          <w:lang w:val="en-US" w:eastAsia="zh-CN"/>
        </w:rPr>
      </w:pPr>
      <w:r>
        <w:rPr>
          <w:rFonts w:hint="eastAsia" w:ascii="宋体" w:hAnsi="宋体" w:eastAsia="宋体" w:cs="宋体"/>
          <w:b/>
          <w:sz w:val="36"/>
          <w:szCs w:val="36"/>
        </w:rPr>
        <w:t>采购项目编号：</w:t>
      </w:r>
      <w:r>
        <w:rPr>
          <w:rFonts w:hint="eastAsia" w:ascii="宋体" w:hAnsi="宋体" w:eastAsia="宋体" w:cs="宋体"/>
          <w:b/>
          <w:sz w:val="36"/>
          <w:szCs w:val="36"/>
          <w:lang w:eastAsia="zh-CN"/>
        </w:rPr>
        <w:t>宏业建设竞磋（货物）2020-024</w:t>
      </w:r>
    </w:p>
    <w:p>
      <w:pPr>
        <w:adjustRightInd w:val="0"/>
        <w:spacing w:line="720" w:lineRule="auto"/>
        <w:ind w:left="2530" w:leftChars="0" w:hanging="2530" w:hangingChars="700"/>
        <w:jc w:val="both"/>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采购项目名称：</w:t>
      </w:r>
      <w:r>
        <w:rPr>
          <w:rFonts w:hint="eastAsia" w:ascii="宋体" w:hAnsi="宋体" w:eastAsia="宋体" w:cs="宋体"/>
          <w:b/>
          <w:sz w:val="36"/>
          <w:szCs w:val="36"/>
          <w:lang w:eastAsia="zh-CN"/>
        </w:rPr>
        <w:t>射击场馆提升改造及器材购置项目</w:t>
      </w:r>
    </w:p>
    <w:p>
      <w:pPr>
        <w:adjustRightInd w:val="0"/>
        <w:spacing w:line="720" w:lineRule="auto"/>
        <w:ind w:left="0" w:leftChars="0" w:firstLine="0" w:firstLineChars="0"/>
        <w:textAlignment w:val="baseline"/>
        <w:rPr>
          <w:rFonts w:hint="eastAsia" w:ascii="宋体" w:hAnsi="宋体" w:eastAsia="宋体" w:cs="宋体"/>
          <w:b/>
          <w:sz w:val="36"/>
          <w:szCs w:val="36"/>
          <w:lang w:val="en-US" w:eastAsia="zh-CN"/>
        </w:rPr>
      </w:pPr>
      <w:r>
        <w:rPr>
          <w:rFonts w:hint="eastAsia" w:ascii="宋体" w:hAnsi="宋体" w:eastAsia="宋体" w:cs="宋体"/>
          <w:b/>
          <w:sz w:val="36"/>
          <w:szCs w:val="36"/>
        </w:rPr>
        <w:t xml:space="preserve">采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 xml:space="preserve">购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人：</w:t>
      </w:r>
      <w:r>
        <w:rPr>
          <w:rFonts w:hint="eastAsia" w:ascii="宋体" w:hAnsi="宋体" w:eastAsia="宋体" w:cs="宋体"/>
          <w:b/>
          <w:sz w:val="36"/>
          <w:szCs w:val="36"/>
          <w:lang w:eastAsia="zh-CN"/>
        </w:rPr>
        <w:t>西宁市体工队</w:t>
      </w:r>
    </w:p>
    <w:p>
      <w:pPr>
        <w:spacing w:line="720" w:lineRule="auto"/>
        <w:ind w:left="2512" w:hanging="2512" w:hangingChars="695"/>
        <w:rPr>
          <w:rFonts w:hint="eastAsia" w:ascii="宋体" w:hAnsi="宋体" w:eastAsia="宋体" w:cs="宋体"/>
          <w:b/>
          <w:sz w:val="36"/>
          <w:szCs w:val="36"/>
        </w:rPr>
      </w:pPr>
      <w:r>
        <w:rPr>
          <w:rFonts w:hint="eastAsia" w:ascii="宋体" w:hAnsi="宋体" w:eastAsia="宋体" w:cs="宋体"/>
          <w:b/>
          <w:sz w:val="36"/>
          <w:szCs w:val="36"/>
        </w:rPr>
        <w:t>采购代理机构：河南宏业建设管理股份有限公司</w:t>
      </w:r>
    </w:p>
    <w:p>
      <w:pPr>
        <w:spacing w:line="720" w:lineRule="auto"/>
        <w:ind w:firstLine="0" w:firstLineChars="0"/>
        <w:rPr>
          <w:rFonts w:hint="eastAsia" w:ascii="宋体" w:hAnsi="宋体" w:eastAsia="宋体" w:cs="宋体"/>
          <w:b/>
          <w:bCs/>
          <w:sz w:val="24"/>
          <w:szCs w:val="24"/>
        </w:rPr>
      </w:pPr>
    </w:p>
    <w:p>
      <w:pPr>
        <w:spacing w:line="720" w:lineRule="auto"/>
        <w:ind w:firstLine="2906" w:firstLineChars="804"/>
        <w:rPr>
          <w:rFonts w:hint="eastAsia" w:ascii="宋体" w:hAnsi="宋体" w:eastAsia="宋体" w:cs="宋体"/>
          <w:b/>
          <w:bCs/>
          <w:sz w:val="36"/>
          <w:szCs w:val="36"/>
        </w:rPr>
      </w:pPr>
      <w:r>
        <w:rPr>
          <w:rFonts w:hint="eastAsia" w:ascii="宋体" w:hAnsi="宋体" w:eastAsia="宋体" w:cs="宋体"/>
          <w:b/>
          <w:bCs/>
          <w:sz w:val="36"/>
          <w:szCs w:val="36"/>
        </w:rPr>
        <w:t>20</w:t>
      </w:r>
      <w:r>
        <w:rPr>
          <w:rFonts w:hint="eastAsia" w:ascii="宋体" w:hAnsi="宋体" w:eastAsia="宋体" w:cs="宋体"/>
          <w:b/>
          <w:bCs/>
          <w:sz w:val="36"/>
          <w:szCs w:val="36"/>
          <w:lang w:val="en-US" w:eastAsia="zh-CN"/>
        </w:rPr>
        <w:t>20</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11</w:t>
      </w:r>
      <w:r>
        <w:rPr>
          <w:rFonts w:hint="eastAsia" w:ascii="宋体" w:hAnsi="宋体" w:eastAsia="宋体" w:cs="宋体"/>
          <w:b/>
          <w:bCs/>
          <w:sz w:val="36"/>
          <w:szCs w:val="36"/>
        </w:rPr>
        <w:t>月</w:t>
      </w:r>
    </w:p>
    <w:p>
      <w:pPr>
        <w:ind w:firstLine="723"/>
        <w:jc w:val="center"/>
        <w:rPr>
          <w:rFonts w:hint="eastAsia" w:ascii="宋体" w:hAnsi="宋体" w:eastAsia="宋体" w:cs="宋体"/>
          <w:b/>
          <w:bCs/>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sz w:val="4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sz w:val="40"/>
          <w:szCs w:val="30"/>
        </w:rPr>
      </w:pPr>
      <w:r>
        <w:rPr>
          <w:rFonts w:hint="eastAsia" w:ascii="宋体" w:hAnsi="宋体" w:eastAsia="宋体" w:cs="宋体"/>
          <w:b/>
          <w:sz w:val="40"/>
          <w:szCs w:val="30"/>
        </w:rPr>
        <w:t>目  录</w:t>
      </w:r>
    </w:p>
    <w:p>
      <w:pPr>
        <w:adjustRightInd w:val="0"/>
        <w:spacing w:line="720" w:lineRule="auto"/>
        <w:ind w:firstLine="0" w:firstLineChars="0"/>
        <w:jc w:val="center"/>
        <w:textAlignment w:val="baseline"/>
        <w:rPr>
          <w:rFonts w:hint="eastAsia" w:ascii="宋体" w:hAnsi="宋体" w:eastAsia="宋体" w:cs="宋体"/>
          <w:bCs/>
          <w:sz w:val="24"/>
          <w:szCs w:val="24"/>
        </w:rPr>
      </w:pPr>
    </w:p>
    <w:p>
      <w:pPr>
        <w:pStyle w:val="17"/>
        <w:tabs>
          <w:tab w:val="right" w:leader="dot" w:pos="8300"/>
        </w:tabs>
        <w:spacing w:before="0" w:after="0" w:line="720" w:lineRule="auto"/>
        <w:ind w:firstLine="0" w:firstLineChars="0"/>
        <w:rPr>
          <w:rFonts w:hint="eastAsia" w:ascii="宋体" w:hAnsi="宋体" w:eastAsia="宋体" w:cs="宋体"/>
          <w:sz w:val="24"/>
          <w:szCs w:val="24"/>
        </w:rPr>
      </w:pPr>
      <w:r>
        <w:rPr>
          <w:rFonts w:hint="eastAsia" w:ascii="宋体" w:hAnsi="宋体" w:eastAsia="宋体" w:cs="宋体"/>
          <w:b w:val="0"/>
          <w:sz w:val="24"/>
          <w:szCs w:val="24"/>
          <w:lang w:val="zh-CN"/>
        </w:rPr>
        <w:fldChar w:fldCharType="begin"/>
      </w:r>
      <w:r>
        <w:rPr>
          <w:rStyle w:val="27"/>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"_Toc27517" </w:instrText>
      </w:r>
      <w:r>
        <w:rPr>
          <w:rFonts w:hint="eastAsia" w:ascii="宋体" w:hAnsi="宋体" w:eastAsia="宋体" w:cs="宋体"/>
        </w:rPr>
        <w:fldChar w:fldCharType="separate"/>
      </w:r>
      <w:r>
        <w:rPr>
          <w:rFonts w:hint="eastAsia" w:ascii="宋体" w:hAnsi="宋体" w:eastAsia="宋体" w:cs="宋体"/>
          <w:sz w:val="24"/>
          <w:szCs w:val="24"/>
          <w:lang w:val="zh-CN"/>
        </w:rPr>
        <w:t>第一部分  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_Toc27517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"_Toc19487" </w:instrText>
      </w:r>
      <w:r>
        <w:rPr>
          <w:rFonts w:hint="eastAsia" w:ascii="宋体" w:hAnsi="宋体" w:eastAsia="宋体" w:cs="宋体"/>
        </w:rPr>
        <w:fldChar w:fldCharType="separate"/>
      </w:r>
      <w:r>
        <w:rPr>
          <w:rFonts w:hint="eastAsia" w:ascii="宋体" w:hAnsi="宋体" w:eastAsia="宋体" w:cs="宋体"/>
          <w:sz w:val="24"/>
          <w:szCs w:val="24"/>
          <w:lang w:val="zh-CN"/>
        </w:rPr>
        <w:t>第二部分  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_Toc19487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"_Toc9515" </w:instrText>
      </w:r>
      <w:r>
        <w:rPr>
          <w:rFonts w:hint="eastAsia" w:ascii="宋体" w:hAnsi="宋体" w:eastAsia="宋体" w:cs="宋体"/>
        </w:rP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_Toc9515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"_Toc30421" </w:instrText>
      </w:r>
      <w:r>
        <w:rPr>
          <w:rFonts w:hint="eastAsia" w:ascii="宋体" w:hAnsi="宋体" w:eastAsia="宋体" w:cs="宋体"/>
        </w:rP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"_Toc12139" </w:instrText>
      </w:r>
      <w:r>
        <w:rPr>
          <w:rFonts w:hint="eastAsia" w:ascii="宋体" w:hAnsi="宋体" w:eastAsia="宋体" w:cs="宋体"/>
        </w:rP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i/>
          <w:iCs/>
        </w:rPr>
      </w:pPr>
      <w:r>
        <w:rPr>
          <w:rFonts w:hint="eastAsia" w:ascii="宋体" w:hAnsi="宋体" w:eastAsia="宋体" w:cs="宋体"/>
        </w:rPr>
        <w:fldChar w:fldCharType="begin"/>
      </w:r>
      <w:r>
        <w:rPr>
          <w:rFonts w:hint="eastAsia" w:ascii="宋体" w:hAnsi="宋体" w:eastAsia="宋体" w:cs="宋体"/>
        </w:rPr>
        <w:instrText xml:space="preserve"> HYPERLINK \l "_Toc26743" </w:instrText>
      </w:r>
      <w:r>
        <w:rPr>
          <w:rFonts w:hint="eastAsia" w:ascii="宋体" w:hAnsi="宋体" w:eastAsia="宋体" w:cs="宋体"/>
        </w:rP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720" w:lineRule="auto"/>
        <w:ind w:firstLine="420"/>
        <w:jc w:val="center"/>
        <w:rPr>
          <w:rFonts w:hint="eastAsia" w:ascii="宋体" w:hAnsi="宋体" w:eastAsia="宋体" w:cs="宋体"/>
          <w:bCs/>
          <w:szCs w:val="24"/>
          <w:lang w:val="zh-CN"/>
        </w:rPr>
      </w:pPr>
      <w:r>
        <w:rPr>
          <w:rFonts w:hint="eastAsia" w:ascii="宋体" w:hAnsi="宋体" w:eastAsia="宋体" w:cs="宋体"/>
          <w:bCs/>
          <w:szCs w:val="24"/>
          <w:lang w:val="zh-CN"/>
        </w:rPr>
        <w:fldChar w:fldCharType="end"/>
      </w:r>
    </w:p>
    <w:p>
      <w:pPr>
        <w:ind w:firstLine="420"/>
        <w:jc w:val="center"/>
        <w:rPr>
          <w:rFonts w:hint="eastAsia" w:ascii="宋体" w:hAnsi="宋体" w:eastAsia="宋体" w:cs="宋体"/>
          <w:bCs/>
          <w:szCs w:val="24"/>
          <w:lang w:val="zh-CN"/>
        </w:rPr>
      </w:pPr>
      <w:r>
        <w:rPr>
          <w:rFonts w:hint="eastAsia" w:ascii="宋体" w:hAnsi="宋体" w:eastAsia="宋体" w:cs="宋体"/>
          <w:bCs/>
          <w:szCs w:val="24"/>
          <w:lang w:val="zh-CN"/>
        </w:rPr>
        <w:br w:type="page"/>
      </w:r>
    </w:p>
    <w:p>
      <w:pPr>
        <w:pStyle w:val="19"/>
        <w:numPr>
          <w:ilvl w:val="0"/>
          <w:numId w:val="1"/>
        </w:numPr>
        <w:spacing w:before="0" w:after="0" w:line="360" w:lineRule="auto"/>
        <w:ind w:firstLine="0" w:firstLineChars="0"/>
        <w:rPr>
          <w:rFonts w:hint="eastAsia" w:ascii="宋体" w:hAnsi="宋体" w:eastAsia="宋体" w:cs="宋体"/>
          <w:szCs w:val="36"/>
          <w:lang w:val="zh-CN"/>
        </w:rPr>
      </w:pPr>
      <w:r>
        <w:rPr>
          <w:rFonts w:hint="eastAsia" w:ascii="宋体" w:hAnsi="宋体" w:eastAsia="宋体" w:cs="宋体"/>
          <w:szCs w:val="36"/>
          <w:lang w:val="zh-CN"/>
        </w:rPr>
        <w:t>竞争性磋商公告</w:t>
      </w:r>
    </w:p>
    <w:p>
      <w:pPr>
        <w:pStyle w:val="2"/>
        <w:rPr>
          <w:rFonts w:hint="eastAsia"/>
          <w:lang w:val="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740" w:type="dxa"/>
            <w:noWrap w:val="0"/>
            <w:vAlign w:val="top"/>
          </w:tcPr>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项目概况</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u w:val="single"/>
                <w:lang w:val="zh-CN"/>
              </w:rPr>
              <w:t>射击场馆提升改造及器材购置项目</w:t>
            </w:r>
            <w:r>
              <w:rPr>
                <w:rFonts w:hint="eastAsia" w:ascii="宋体" w:hAnsi="宋体" w:eastAsia="宋体" w:cs="宋体"/>
                <w:sz w:val="24"/>
                <w:szCs w:val="24"/>
                <w:lang w:val="zh-CN"/>
              </w:rPr>
              <w:t>的潜在供应商应在</w:t>
            </w:r>
            <w:r>
              <w:rPr>
                <w:rFonts w:hint="eastAsia" w:ascii="宋体" w:hAnsi="Courier New"/>
                <w:sz w:val="24"/>
                <w:u w:val="single"/>
                <w:lang w:eastAsia="zh-CN"/>
              </w:rPr>
              <w:t>河南宏业建设管理股份有限公司（西宁市城中区西大街王府井B馆10楼）</w:t>
            </w:r>
            <w:r>
              <w:rPr>
                <w:rFonts w:hint="eastAsia" w:ascii="宋体" w:hAnsi="宋体" w:eastAsia="宋体" w:cs="宋体"/>
                <w:sz w:val="24"/>
                <w:szCs w:val="24"/>
                <w:lang w:val="zh-CN"/>
              </w:rPr>
              <w:t>获取采购文件，并于</w:t>
            </w:r>
            <w:r>
              <w:rPr>
                <w:rFonts w:hint="eastAsia" w:ascii="宋体" w:hAnsi="宋体" w:eastAsia="宋体" w:cs="宋体"/>
                <w:sz w:val="24"/>
                <w:szCs w:val="24"/>
                <w:u w:val="single"/>
                <w:lang w:val="zh-CN"/>
              </w:rPr>
              <w:t>2020年12月04日09点30分</w:t>
            </w:r>
            <w:r>
              <w:rPr>
                <w:rFonts w:hint="eastAsia" w:ascii="宋体" w:hAnsi="宋体" w:eastAsia="宋体" w:cs="宋体"/>
                <w:sz w:val="24"/>
                <w:szCs w:val="24"/>
                <w:lang w:val="zh-CN"/>
              </w:rPr>
              <w:t>（北京时间）前提交响应文件 。</w:t>
            </w:r>
          </w:p>
        </w:tc>
      </w:tr>
    </w:tbl>
    <w:p>
      <w:pPr>
        <w:spacing w:line="360" w:lineRule="auto"/>
        <w:ind w:firstLine="0" w:firstLineChars="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一、项目基本情况</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zh-CN"/>
        </w:rPr>
        <w:t>项目编号：宏业建设竞磋（货物）2020-024</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项目名称：射击场馆提升改造及器材购置项目 </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采购方式：竞争性磋商</w:t>
      </w:r>
    </w:p>
    <w:p>
      <w:pPr>
        <w:spacing w:line="360" w:lineRule="auto"/>
        <w:ind w:firstLine="480" w:firstLineChars="200"/>
        <w:jc w:val="left"/>
        <w:rPr>
          <w:rFonts w:hint="default" w:ascii="宋体" w:hAnsi="宋体" w:eastAsia="宋体" w:cs="宋体"/>
          <w:sz w:val="24"/>
          <w:szCs w:val="24"/>
          <w:lang w:val="en-US"/>
        </w:rPr>
      </w:pPr>
      <w:r>
        <w:rPr>
          <w:rFonts w:hint="eastAsia" w:ascii="宋体" w:hAnsi="宋体" w:eastAsia="宋体" w:cs="宋体"/>
          <w:sz w:val="24"/>
          <w:szCs w:val="24"/>
          <w:lang w:val="zh-CN"/>
        </w:rPr>
        <w:t>预算金额（元）：</w:t>
      </w:r>
      <w:r>
        <w:rPr>
          <w:rFonts w:hint="eastAsia" w:ascii="宋体" w:hAnsi="宋体" w:eastAsia="宋体" w:cs="宋体"/>
          <w:sz w:val="24"/>
          <w:szCs w:val="24"/>
          <w:lang w:val="en-US" w:eastAsia="zh-CN"/>
        </w:rPr>
        <w:t>840000.00</w:t>
      </w:r>
    </w:p>
    <w:p>
      <w:pPr>
        <w:spacing w:line="360" w:lineRule="auto"/>
        <w:ind w:firstLine="480" w:firstLineChars="200"/>
        <w:jc w:val="left"/>
        <w:rPr>
          <w:rFonts w:hint="default" w:ascii="宋体" w:hAnsi="宋体" w:eastAsia="宋体" w:cs="宋体"/>
          <w:sz w:val="24"/>
          <w:szCs w:val="24"/>
          <w:lang w:val="en-US"/>
        </w:rPr>
      </w:pPr>
      <w:r>
        <w:rPr>
          <w:rFonts w:hint="eastAsia" w:ascii="宋体" w:hAnsi="宋体" w:eastAsia="宋体" w:cs="宋体"/>
          <w:sz w:val="24"/>
          <w:szCs w:val="24"/>
          <w:lang w:val="zh-CN"/>
        </w:rPr>
        <w:t>最高限价（元）：</w:t>
      </w:r>
      <w:r>
        <w:rPr>
          <w:rFonts w:hint="eastAsia" w:ascii="宋体" w:hAnsi="宋体" w:eastAsia="宋体" w:cs="宋体"/>
          <w:sz w:val="24"/>
          <w:szCs w:val="24"/>
          <w:lang w:val="en-US" w:eastAsia="zh-CN"/>
        </w:rPr>
        <w:t>840000.00</w:t>
      </w:r>
      <w:bookmarkStart w:id="175" w:name="_GoBack"/>
      <w:bookmarkEnd w:id="175"/>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采购需求：</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标项名称：射击场馆提升改造及器材购置项目(包一）   </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数量： 1 </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zh-CN"/>
        </w:rPr>
        <w:t>预算金额（元）：</w:t>
      </w:r>
      <w:r>
        <w:rPr>
          <w:rFonts w:hint="eastAsia" w:ascii="宋体" w:hAnsi="宋体" w:eastAsia="宋体" w:cs="宋体"/>
          <w:sz w:val="24"/>
          <w:szCs w:val="24"/>
          <w:lang w:val="en-US" w:eastAsia="zh-CN"/>
        </w:rPr>
        <w:t>840000.00</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单位：元 </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简要规格描述：详见《磋商文件》 </w:t>
      </w:r>
    </w:p>
    <w:p>
      <w:pPr>
        <w:spacing w:line="360" w:lineRule="auto"/>
        <w:ind w:firstLine="480" w:firstLineChars="200"/>
        <w:jc w:val="left"/>
        <w:rPr>
          <w:rFonts w:hint="eastAsia"/>
          <w:lang w:val="zh-CN"/>
        </w:rPr>
      </w:pPr>
      <w:r>
        <w:rPr>
          <w:rFonts w:hint="eastAsia" w:ascii="宋体" w:hAnsi="宋体" w:eastAsia="宋体" w:cs="宋体"/>
          <w:sz w:val="24"/>
          <w:szCs w:val="24"/>
          <w:lang w:val="zh-CN"/>
        </w:rPr>
        <w:t>备注： </w:t>
      </w:r>
    </w:p>
    <w:p>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zh-CN"/>
        </w:rPr>
        <w:t>合同履行期限：</w:t>
      </w:r>
      <w:r>
        <w:rPr>
          <w:rFonts w:hint="eastAsia" w:ascii="宋体" w:hAnsi="宋体" w:eastAsia="宋体" w:cs="宋体"/>
          <w:sz w:val="24"/>
          <w:szCs w:val="24"/>
          <w:lang w:val="en-US" w:eastAsia="zh-CN"/>
        </w:rPr>
        <w:t>按合同约定执行</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本项目（否）接受联合体。</w:t>
      </w:r>
    </w:p>
    <w:p>
      <w:pPr>
        <w:spacing w:line="360" w:lineRule="auto"/>
        <w:ind w:firstLine="0" w:firstLineChars="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二、申请人的资格要求：</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1.满足《中华人民共和国政府采购法》第二十二条规定；</w:t>
      </w:r>
    </w:p>
    <w:p>
      <w:pPr>
        <w:spacing w:line="360" w:lineRule="auto"/>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2.落实政府采购政策需满足的资格要求：具体详见《磋商文件》</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本项目的特定资格要求：1、符合《政府采购法》第22条规定的条件要求，并提供下列材料：（1）投标人的营业执照等证明文件，自然人的身份证明。（2）财务状况报告，依法缴纳税收和社会保障资金的相关材料。（3）具备履行合同所必需的设备和专业技术能力的证明材料。（4）参加政府采购活动前3年内在经营活动中没有重大违法记录的书面声明。（5）具备法律、行政法规规定的其他条件的证明材料。2、 单位负责人为同一人或者存在直接控股、管理关系的不同投标人，不得参加同一合同项下的政府采购活动。否则，皆取消磋商资格；3、为本采购项目提供整体设计、规范编制或者项目管理、监理、检测等服务的投标人，不得再参加该采购项目的其他采购活动；4、经信用中国（www.creditchina.gov.cn）、中国政府采购网（www.ccgp.gov.cn）渠道查询后，被列入不良行为记录的，取消磋商资格。（提供“信用中国”网站无任何不良记录的查询截图，时间为投标截止时间前</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0天内）5、供应商营业执照内须包含相关经营范围，并在人员、设备、资金等方面具有相应的供货能力。</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磋商文件规定的其他资质条件。</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zh-CN"/>
        </w:rPr>
        <w:t>本项目不接受联合体投标。</w:t>
      </w:r>
    </w:p>
    <w:p>
      <w:pPr>
        <w:spacing w:line="360" w:lineRule="auto"/>
        <w:ind w:firstLine="0" w:firstLineChars="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三、获取采购文件</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时间：2020年11月</w:t>
      </w:r>
      <w:r>
        <w:rPr>
          <w:rFonts w:hint="eastAsia" w:ascii="宋体" w:hAnsi="宋体" w:eastAsia="宋体" w:cs="宋体"/>
          <w:sz w:val="24"/>
          <w:szCs w:val="24"/>
          <w:lang w:val="en-US" w:eastAsia="zh-CN"/>
        </w:rPr>
        <w:t>23</w:t>
      </w:r>
      <w:r>
        <w:rPr>
          <w:rFonts w:hint="eastAsia" w:ascii="宋体" w:hAnsi="宋体" w:eastAsia="宋体" w:cs="宋体"/>
          <w:sz w:val="24"/>
          <w:szCs w:val="24"/>
          <w:lang w:val="zh-CN"/>
        </w:rPr>
        <w:t>日至2020年11月2</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日（磋商文件的发售期限自开始之日起不得少于5个工作日），每天上午9:00至11:30，下午13:30至17:30（北京时间，法定节假日除外）</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地点：</w:t>
      </w:r>
      <w:r>
        <w:rPr>
          <w:rFonts w:hint="eastAsia" w:ascii="宋体" w:hAnsi="Courier New"/>
          <w:sz w:val="24"/>
          <w:lang w:eastAsia="zh-CN"/>
        </w:rPr>
        <w:t>河南宏业建设管理股份有限公司（西宁市城中区西大街王府井B馆10楼）</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方式：线下获取</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售价（元）：500</w:t>
      </w:r>
    </w:p>
    <w:p>
      <w:pPr>
        <w:spacing w:line="360" w:lineRule="auto"/>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rPr>
        <w:t>获取磋商文件时应提供材料</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供应商代表须持法定代表人授权委托书（原件）或介绍信、新版营业执照复印件、被授权人身份证复印件及法人身份证复印件。以上资料除原件外均需加盖公章。</w:t>
      </w:r>
    </w:p>
    <w:p>
      <w:pPr>
        <w:spacing w:line="360" w:lineRule="auto"/>
        <w:ind w:firstLine="0" w:firstLineChars="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四、响应文件提交</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截止时间：2020年12月04日09点30分（北京时间）</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地点：</w:t>
      </w:r>
      <w:r>
        <w:rPr>
          <w:rFonts w:hint="eastAsia" w:ascii="宋体" w:hAnsi="Courier New"/>
          <w:sz w:val="24"/>
          <w:lang w:eastAsia="zh-CN"/>
        </w:rPr>
        <w:t>河南宏业建设管理股份有限公司（西宁市城中区西大街王府井B馆10楼）</w:t>
      </w:r>
    </w:p>
    <w:p>
      <w:pPr>
        <w:spacing w:line="360" w:lineRule="auto"/>
        <w:ind w:firstLine="0" w:firstLineChars="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五、响应文件开启</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时间：2020年12月04日09点30分（北京时间）</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地点：</w:t>
      </w:r>
      <w:r>
        <w:rPr>
          <w:rFonts w:hint="eastAsia" w:ascii="宋体" w:hAnsi="Courier New"/>
          <w:sz w:val="24"/>
          <w:lang w:eastAsia="zh-CN"/>
        </w:rPr>
        <w:t>河南宏业建设管理股份有限公司（西宁市城中区西大街王府井B馆10楼）</w:t>
      </w:r>
    </w:p>
    <w:p>
      <w:pPr>
        <w:spacing w:line="360" w:lineRule="auto"/>
        <w:ind w:firstLine="0" w:firstLineChars="0"/>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六、公告期限</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自本公告发布之日起5个工作日。</w:t>
      </w:r>
    </w:p>
    <w:p>
      <w:pPr>
        <w:spacing w:line="360" w:lineRule="auto"/>
        <w:ind w:firstLine="0" w:firstLineChars="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七、其他补充事宜</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rPr>
        <w:t>本公告同时在《青海政府采购网》、《青海省电子招标投标公共服务平台》、《中国采购与招标网》上发布</w:t>
      </w:r>
      <w:r>
        <w:rPr>
          <w:rFonts w:hint="eastAsia" w:ascii="宋体" w:hAnsi="宋体" w:eastAsia="宋体" w:cs="宋体"/>
          <w:sz w:val="24"/>
          <w:lang w:eastAsia="zh-CN"/>
        </w:rPr>
        <w:t>。</w:t>
      </w:r>
      <w:r>
        <w:rPr>
          <w:rFonts w:hint="eastAsia" w:ascii="宋体" w:hAnsi="宋体" w:eastAsia="宋体" w:cs="宋体"/>
          <w:sz w:val="24"/>
        </w:rPr>
        <w:t>（公告期限：自青海政府采购网发布之日起5个工作日；公告内容以青海政府采购网发布的为准）</w:t>
      </w:r>
      <w:r>
        <w:rPr>
          <w:rFonts w:hint="eastAsia" w:ascii="宋体" w:hAnsi="宋体" w:eastAsia="宋体" w:cs="宋体"/>
          <w:sz w:val="24"/>
          <w:szCs w:val="24"/>
          <w:lang w:val="zh-CN"/>
        </w:rPr>
        <w:t> </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b/>
          <w:bCs/>
          <w:sz w:val="24"/>
          <w:szCs w:val="24"/>
          <w:lang w:val="zh-CN"/>
        </w:rPr>
        <w:t>八、凡对本次采购提出询问，请按以下方式联系：</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1.采购人信息</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名  称：</w:t>
      </w:r>
      <w:r>
        <w:rPr>
          <w:rFonts w:hint="eastAsia" w:ascii="宋体" w:hAnsi="宋体" w:eastAsia="宋体" w:cs="宋体"/>
          <w:sz w:val="24"/>
          <w:szCs w:val="24"/>
          <w:lang w:val="zh-CN" w:eastAsia="zh-CN"/>
        </w:rPr>
        <w:t>西宁市体工队</w:t>
      </w:r>
      <w:r>
        <w:rPr>
          <w:rFonts w:hint="eastAsia" w:ascii="宋体" w:hAnsi="宋体" w:eastAsia="宋体" w:cs="宋体"/>
          <w:sz w:val="24"/>
          <w:szCs w:val="24"/>
          <w:lang w:val="zh-CN"/>
        </w:rPr>
        <w:t>　　</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地  址：</w:t>
      </w:r>
      <w:r>
        <w:rPr>
          <w:rFonts w:hint="eastAsia" w:ascii="宋体" w:hAnsi="宋体" w:eastAsia="宋体" w:cs="宋体"/>
          <w:sz w:val="24"/>
          <w:szCs w:val="24"/>
          <w:lang w:val="zh-CN" w:eastAsia="zh-CN"/>
        </w:rPr>
        <w:t>西宁市城中区新青巷</w:t>
      </w:r>
      <w:r>
        <w:rPr>
          <w:rFonts w:hint="eastAsia" w:ascii="宋体" w:hAnsi="宋体" w:eastAsia="宋体" w:cs="宋体"/>
          <w:sz w:val="24"/>
          <w:szCs w:val="24"/>
          <w:lang w:val="zh-CN"/>
        </w:rPr>
        <w:t>　　　　　　</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联系方式：</w:t>
      </w:r>
      <w:r>
        <w:rPr>
          <w:rFonts w:hint="eastAsia" w:ascii="宋体" w:hAnsi="宋体" w:eastAsia="宋体" w:cs="宋体"/>
          <w:sz w:val="24"/>
          <w:szCs w:val="24"/>
          <w:lang w:val="zh-CN" w:eastAsia="zh-CN"/>
        </w:rPr>
        <w:t>0971-8587208</w:t>
      </w:r>
      <w:r>
        <w:rPr>
          <w:rFonts w:hint="eastAsia" w:ascii="宋体" w:hAnsi="宋体" w:eastAsia="宋体" w:cs="宋体"/>
          <w:sz w:val="24"/>
          <w:szCs w:val="24"/>
          <w:lang w:val="zh-CN"/>
        </w:rPr>
        <w:t>　</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项目联系人：张先生 　　　　　　　 　　　</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2.采购代理机构信息</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名    称：河南宏业建设管理股份有限公司</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地      址：</w:t>
      </w:r>
      <w:r>
        <w:rPr>
          <w:rFonts w:hint="eastAsia" w:ascii="宋体" w:hAnsi="宋体" w:eastAsia="宋体" w:cs="宋体"/>
          <w:sz w:val="24"/>
          <w:szCs w:val="24"/>
          <w:lang w:val="zh-CN" w:eastAsia="zh-CN"/>
        </w:rPr>
        <w:t xml:space="preserve">西宁市城中区西大街36号王府井B馆10楼 </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zh-CN"/>
        </w:rPr>
        <w:t>联系方式：0971-</w:t>
      </w:r>
      <w:r>
        <w:rPr>
          <w:rFonts w:hint="eastAsia" w:ascii="宋体" w:hAnsi="宋体" w:eastAsia="宋体" w:cs="宋体"/>
          <w:sz w:val="24"/>
          <w:szCs w:val="24"/>
          <w:lang w:val="en-US" w:eastAsia="zh-CN"/>
        </w:rPr>
        <w:t>8165999</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项目联系人：马先生、梁女士</w:t>
      </w:r>
    </w:p>
    <w:p>
      <w:pPr>
        <w:autoSpaceDE w:val="0"/>
        <w:autoSpaceDN w:val="0"/>
        <w:adjustRightInd w:val="0"/>
        <w:spacing w:line="280" w:lineRule="exact"/>
        <w:jc w:val="right"/>
        <w:rPr>
          <w:rFonts w:hint="eastAsia" w:ascii="宋体" w:hAnsi="宋体" w:eastAsia="宋体" w:cs="宋体"/>
          <w:color w:val="000000"/>
          <w:kern w:val="0"/>
          <w:sz w:val="24"/>
          <w:szCs w:val="24"/>
          <w:lang w:val="en-US" w:eastAsia="zh-CN"/>
        </w:rPr>
      </w:pPr>
    </w:p>
    <w:p>
      <w:pPr>
        <w:autoSpaceDE w:val="0"/>
        <w:autoSpaceDN w:val="0"/>
        <w:adjustRightInd w:val="0"/>
        <w:spacing w:line="280" w:lineRule="exact"/>
        <w:jc w:val="right"/>
        <w:rPr>
          <w:rFonts w:hint="eastAsia" w:ascii="宋体" w:hAnsi="宋体" w:eastAsia="宋体" w:cs="宋体"/>
          <w:color w:val="000000"/>
          <w:kern w:val="0"/>
          <w:sz w:val="24"/>
          <w:szCs w:val="24"/>
          <w:lang w:val="en-US" w:eastAsia="zh-CN"/>
        </w:rPr>
      </w:pP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河南宏业建设管理股份有限公司</w:t>
      </w:r>
    </w:p>
    <w:p>
      <w:pPr>
        <w:spacing w:line="360" w:lineRule="auto"/>
        <w:ind w:firstLine="480" w:firstLineChars="200"/>
        <w:jc w:val="left"/>
        <w:rPr>
          <w:rFonts w:hint="eastAsia" w:ascii="宋体" w:hAnsi="宋体" w:eastAsia="宋体" w:cs="宋体"/>
          <w:color w:val="000000"/>
          <w:kern w:val="0"/>
          <w:sz w:val="24"/>
          <w:szCs w:val="24"/>
          <w:lang w:val="zh-CN"/>
        </w:rPr>
      </w:pPr>
      <w:r>
        <w:rPr>
          <w:rFonts w:hint="eastAsia" w:ascii="宋体" w:hAnsi="宋体" w:eastAsia="宋体" w:cs="宋体"/>
          <w:sz w:val="24"/>
          <w:szCs w:val="24"/>
          <w:lang w:val="en-US" w:eastAsia="zh-CN"/>
        </w:rPr>
        <w:t xml:space="preserve">                                           2020年11月20日</w:t>
      </w:r>
      <w:r>
        <w:rPr>
          <w:rFonts w:hint="eastAsia" w:ascii="宋体" w:hAnsi="宋体" w:eastAsia="宋体" w:cs="宋体"/>
          <w:color w:val="000000"/>
          <w:kern w:val="0"/>
          <w:sz w:val="24"/>
          <w:szCs w:val="24"/>
          <w:lang w:val="zh-CN"/>
        </w:rPr>
        <w:br w:type="page"/>
      </w:r>
    </w:p>
    <w:p>
      <w:pPr>
        <w:pStyle w:val="19"/>
        <w:spacing w:before="0" w:after="0" w:line="360" w:lineRule="auto"/>
        <w:ind w:firstLine="0" w:firstLineChars="0"/>
        <w:jc w:val="center"/>
        <w:rPr>
          <w:rFonts w:hint="eastAsia" w:ascii="宋体" w:hAnsi="宋体" w:eastAsia="宋体" w:cs="宋体"/>
          <w:lang w:val="zh-CN"/>
        </w:rPr>
      </w:pPr>
      <w:bookmarkStart w:id="0" w:name="_Toc3201"/>
      <w:bookmarkStart w:id="1" w:name="_Toc19487"/>
      <w:r>
        <w:rPr>
          <w:rFonts w:hint="eastAsia" w:ascii="宋体" w:hAnsi="宋体" w:eastAsia="宋体" w:cs="宋体"/>
          <w:lang w:val="zh-CN"/>
        </w:rPr>
        <w:t>第二部分 供应商须知前附表</w:t>
      </w:r>
      <w:bookmarkEnd w:id="0"/>
      <w:bookmarkEnd w:id="1"/>
    </w:p>
    <w:tbl>
      <w:tblPr>
        <w:tblStyle w:val="21"/>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sz w:val="24"/>
                <w:lang w:val="zh-CN"/>
              </w:rPr>
            </w:pPr>
            <w:r>
              <w:rPr>
                <w:rFonts w:hint="eastAsia" w:ascii="宋体" w:hAnsi="宋体" w:eastAsia="宋体" w:cs="宋体"/>
                <w:b/>
                <w:bCs/>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en-US" w:eastAsia="zh-CN"/>
              </w:rPr>
            </w:pPr>
            <w:r>
              <w:rPr>
                <w:rFonts w:hint="eastAsia" w:ascii="宋体" w:hAnsi="宋体" w:eastAsia="宋体" w:cs="宋体"/>
                <w:sz w:val="24"/>
                <w:szCs w:val="24"/>
                <w:lang w:val="zh-CN"/>
              </w:rPr>
              <w:t>宏业建设竞磋（货物）2020-024</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射击场馆提升改造及器材购置项目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西宁市体工队</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河南宏业建设管理股份有限公司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1186387.86</w:t>
            </w:r>
            <w:r>
              <w:rPr>
                <w:rFonts w:hint="eastAsia" w:ascii="宋体" w:hAnsi="宋体" w:eastAsia="宋体" w:cs="宋体"/>
                <w:sz w:val="24"/>
                <w:szCs w:val="24"/>
              </w:rPr>
              <w:t>元</w:t>
            </w:r>
            <w:r>
              <w:rPr>
                <w:rFonts w:hint="eastAsia" w:ascii="宋体" w:hAnsi="宋体" w:eastAsia="宋体" w:cs="宋体"/>
                <w:sz w:val="24"/>
                <w:szCs w:val="24"/>
                <w:lang w:eastAsia="zh-CN"/>
              </w:rPr>
              <w:t>；其中：</w:t>
            </w:r>
          </w:p>
          <w:p>
            <w:pPr>
              <w:spacing w:line="360" w:lineRule="auto"/>
              <w:ind w:firstLine="0" w:firstLineChars="0"/>
              <w:jc w:val="left"/>
              <w:rPr>
                <w:rFonts w:hint="default" w:ascii="宋体" w:hAnsi="宋体" w:eastAsia="宋体" w:cs="宋体"/>
                <w:sz w:val="24"/>
                <w:lang w:val="en-US" w:eastAsia="zh-CN"/>
              </w:rPr>
            </w:pPr>
            <w:r>
              <w:rPr>
                <w:rFonts w:hint="eastAsia" w:ascii="宋体" w:hAnsi="宋体" w:eastAsia="宋体" w:cs="宋体"/>
                <w:sz w:val="24"/>
                <w:szCs w:val="24"/>
                <w:lang w:eastAsia="zh-CN"/>
              </w:rPr>
              <w:t>包一：</w:t>
            </w:r>
            <w:r>
              <w:rPr>
                <w:rFonts w:hint="eastAsia" w:ascii="宋体" w:hAnsi="宋体" w:eastAsia="宋体" w:cs="宋体"/>
                <w:sz w:val="24"/>
                <w:szCs w:val="24"/>
                <w:lang w:val="en-US" w:eastAsia="zh-CN"/>
              </w:rPr>
              <w:t>840000.00元；包二：346387.86元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lang w:val="zh-CN" w:eastAsia="zh-CN"/>
              </w:rPr>
            </w:pPr>
            <w:r>
              <w:rPr>
                <w:rFonts w:hint="eastAsia" w:ascii="宋体" w:hAnsi="宋体" w:eastAsia="宋体" w:cs="宋体"/>
                <w:sz w:val="24"/>
                <w:szCs w:val="24"/>
                <w:lang w:val="en-US" w:eastAsia="zh-CN"/>
              </w:rPr>
              <w:t>1个</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szCs w:val="24"/>
                <w:lang w:eastAsia="zh-CN"/>
              </w:rPr>
              <w:t>具体</w:t>
            </w:r>
            <w:r>
              <w:rPr>
                <w:rFonts w:hint="eastAsia" w:ascii="宋体" w:hAnsi="宋体" w:eastAsia="宋体" w:cs="宋体"/>
                <w:sz w:val="24"/>
                <w:lang w:val="zh-CN"/>
              </w:rPr>
              <w:t>详见《磋商文件》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供应商资质要求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sz w:val="24"/>
                <w:szCs w:val="24"/>
                <w:lang w:val="zh-CN"/>
              </w:rPr>
            </w:pPr>
            <w:r>
              <w:rPr>
                <w:rFonts w:hint="eastAsia"/>
                <w:sz w:val="24"/>
                <w:szCs w:val="24"/>
                <w:lang w:val="zh-CN"/>
              </w:rPr>
              <w:t>1、符合《中华人民共和国政府采购法》第22条的条件</w:t>
            </w:r>
          </w:p>
          <w:p>
            <w:pPr>
              <w:spacing w:line="360" w:lineRule="auto"/>
              <w:ind w:firstLine="0" w:firstLineChars="0"/>
              <w:jc w:val="left"/>
              <w:rPr>
                <w:rFonts w:hint="eastAsia"/>
                <w:sz w:val="24"/>
                <w:szCs w:val="24"/>
                <w:lang w:val="zh-CN"/>
              </w:rPr>
            </w:pPr>
            <w:r>
              <w:rPr>
                <w:rFonts w:hint="eastAsia"/>
                <w:sz w:val="24"/>
                <w:szCs w:val="24"/>
                <w:lang w:val="zh-CN"/>
              </w:rPr>
              <w:t>（1）供应商的营业执照等证明文件，自然人的身份证明</w:t>
            </w:r>
          </w:p>
          <w:p>
            <w:pPr>
              <w:spacing w:line="360" w:lineRule="auto"/>
              <w:ind w:firstLine="0" w:firstLineChars="0"/>
              <w:jc w:val="left"/>
              <w:rPr>
                <w:rFonts w:hint="eastAsia"/>
                <w:sz w:val="24"/>
                <w:szCs w:val="24"/>
                <w:lang w:val="zh-CN"/>
              </w:rPr>
            </w:pPr>
            <w:r>
              <w:rPr>
                <w:rFonts w:hint="eastAsia"/>
                <w:sz w:val="24"/>
                <w:szCs w:val="24"/>
                <w:lang w:val="zh-CN"/>
              </w:rPr>
              <w:t>（2）财务状况报告和依法缴纳税收和社会保障资金的相关材料</w:t>
            </w:r>
          </w:p>
          <w:p>
            <w:pPr>
              <w:spacing w:line="360" w:lineRule="auto"/>
              <w:ind w:firstLine="0" w:firstLineChars="0"/>
              <w:jc w:val="left"/>
              <w:rPr>
                <w:rFonts w:hint="eastAsia"/>
                <w:sz w:val="24"/>
                <w:szCs w:val="24"/>
                <w:lang w:val="zh-CN"/>
              </w:rPr>
            </w:pPr>
            <w:r>
              <w:rPr>
                <w:rFonts w:hint="eastAsia"/>
                <w:sz w:val="24"/>
                <w:szCs w:val="24"/>
                <w:lang w:val="zh-CN"/>
              </w:rPr>
              <w:t>（3）具备履行合同所必须的货物和专业技术能力的证明材料</w:t>
            </w:r>
          </w:p>
          <w:p>
            <w:pPr>
              <w:spacing w:line="360" w:lineRule="auto"/>
              <w:ind w:firstLine="0" w:firstLineChars="0"/>
              <w:jc w:val="left"/>
              <w:rPr>
                <w:rFonts w:hint="eastAsia"/>
                <w:sz w:val="24"/>
                <w:szCs w:val="24"/>
                <w:lang w:val="zh-CN"/>
              </w:rPr>
            </w:pPr>
            <w:r>
              <w:rPr>
                <w:rFonts w:hint="eastAsia"/>
                <w:sz w:val="24"/>
                <w:szCs w:val="24"/>
                <w:lang w:val="zh-CN"/>
              </w:rPr>
              <w:t>（4）参加政府采购活动前3年内在经营活动中没有重大违法记录的书面声明</w:t>
            </w:r>
          </w:p>
          <w:p>
            <w:pPr>
              <w:spacing w:line="360" w:lineRule="auto"/>
              <w:ind w:firstLine="0" w:firstLineChars="0"/>
              <w:jc w:val="left"/>
              <w:rPr>
                <w:rFonts w:hint="eastAsia"/>
                <w:sz w:val="24"/>
                <w:szCs w:val="24"/>
                <w:lang w:val="zh-CN"/>
              </w:rPr>
            </w:pPr>
            <w:r>
              <w:rPr>
                <w:rFonts w:hint="eastAsia"/>
                <w:sz w:val="24"/>
                <w:szCs w:val="24"/>
                <w:lang w:val="zh-CN"/>
              </w:rPr>
              <w:t>（5）具备法律、行政法规规定的其他条件的证明材料</w:t>
            </w:r>
          </w:p>
          <w:p>
            <w:pPr>
              <w:spacing w:line="360" w:lineRule="auto"/>
              <w:ind w:firstLine="0" w:firstLineChars="0"/>
              <w:jc w:val="left"/>
              <w:rPr>
                <w:rFonts w:hint="eastAsia"/>
                <w:sz w:val="24"/>
                <w:szCs w:val="24"/>
                <w:lang w:val="zh-CN"/>
              </w:rPr>
            </w:pPr>
            <w:r>
              <w:rPr>
                <w:rFonts w:hint="eastAsia"/>
                <w:sz w:val="24"/>
                <w:szCs w:val="24"/>
                <w:lang w:val="zh-CN"/>
              </w:rPr>
              <w:t>2、单位负责人为同一人或者存在直接控股、管理关系的不同供应商，不得参加同一合同项下的政府采购活动。否则，皆取消投标资格</w:t>
            </w:r>
          </w:p>
          <w:p>
            <w:pPr>
              <w:spacing w:line="360" w:lineRule="auto"/>
              <w:ind w:firstLine="0" w:firstLineChars="0"/>
              <w:jc w:val="left"/>
              <w:rPr>
                <w:rFonts w:hint="eastAsia"/>
                <w:sz w:val="24"/>
                <w:szCs w:val="24"/>
                <w:lang w:val="zh-CN"/>
              </w:rPr>
            </w:pPr>
            <w:r>
              <w:rPr>
                <w:rFonts w:hint="eastAsia"/>
                <w:sz w:val="24"/>
                <w:szCs w:val="24"/>
                <w:lang w:val="zh-CN"/>
              </w:rPr>
              <w:t>3、为本采购项目提供整体设计、规范编制或者项目管理、监理、检测等服务的供应商，不得再参加该采购项目的其他采购活动</w:t>
            </w:r>
          </w:p>
          <w:p>
            <w:pPr>
              <w:spacing w:line="360" w:lineRule="auto"/>
              <w:ind w:firstLine="0" w:firstLineChars="0"/>
              <w:jc w:val="left"/>
              <w:rPr>
                <w:rFonts w:hint="eastAsia"/>
                <w:sz w:val="24"/>
                <w:szCs w:val="24"/>
                <w:lang w:val="zh-CN"/>
              </w:rPr>
            </w:pPr>
            <w:r>
              <w:rPr>
                <w:rFonts w:hint="eastAsia"/>
                <w:sz w:val="24"/>
                <w:szCs w:val="24"/>
                <w:lang w:val="zh-CN"/>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sz w:val="24"/>
                <w:szCs w:val="24"/>
                <w:lang w:val="en-US" w:eastAsia="zh-CN"/>
              </w:rPr>
              <w:t>1</w:t>
            </w:r>
            <w:r>
              <w:rPr>
                <w:rFonts w:hint="eastAsia"/>
                <w:sz w:val="24"/>
                <w:szCs w:val="24"/>
                <w:lang w:val="zh-CN"/>
              </w:rPr>
              <w:t>0天内）</w:t>
            </w:r>
          </w:p>
          <w:p>
            <w:pPr>
              <w:spacing w:line="360" w:lineRule="auto"/>
              <w:ind w:firstLine="0" w:firstLineChars="0"/>
              <w:jc w:val="left"/>
              <w:rPr>
                <w:rFonts w:hint="eastAsia"/>
                <w:sz w:val="24"/>
                <w:szCs w:val="24"/>
                <w:lang w:val="zh-CN"/>
              </w:rPr>
            </w:pPr>
            <w:r>
              <w:rPr>
                <w:rFonts w:hint="eastAsia"/>
                <w:sz w:val="24"/>
                <w:szCs w:val="24"/>
                <w:lang w:val="zh-CN"/>
              </w:rPr>
              <w:t>5、供应商营业执照内须包含相关经营范围，并在人员、设备、资金等方面具有相应的供货能力</w:t>
            </w:r>
          </w:p>
          <w:p>
            <w:pPr>
              <w:spacing w:line="360" w:lineRule="auto"/>
              <w:ind w:firstLine="0" w:firstLineChars="0"/>
              <w:jc w:val="left"/>
              <w:rPr>
                <w:rFonts w:hint="eastAsia"/>
                <w:sz w:val="24"/>
                <w:szCs w:val="24"/>
                <w:lang w:val="zh-CN"/>
              </w:rPr>
            </w:pPr>
            <w:r>
              <w:rPr>
                <w:rFonts w:hint="eastAsia"/>
                <w:sz w:val="24"/>
                <w:szCs w:val="24"/>
                <w:lang w:val="en-US" w:eastAsia="zh-CN"/>
              </w:rPr>
              <w:t>6、磋商</w:t>
            </w:r>
            <w:r>
              <w:rPr>
                <w:rFonts w:hint="eastAsia"/>
                <w:sz w:val="24"/>
                <w:szCs w:val="24"/>
                <w:lang w:val="zh-CN"/>
              </w:rPr>
              <w:t>文件规定的其他资质条件</w:t>
            </w:r>
          </w:p>
          <w:p>
            <w:pPr>
              <w:spacing w:line="360" w:lineRule="auto"/>
              <w:ind w:firstLine="0" w:firstLineChars="0"/>
              <w:jc w:val="left"/>
              <w:rPr>
                <w:rFonts w:hint="eastAsia"/>
                <w:sz w:val="24"/>
                <w:szCs w:val="24"/>
              </w:rPr>
            </w:pPr>
            <w:r>
              <w:rPr>
                <w:rFonts w:hint="eastAsia"/>
                <w:sz w:val="24"/>
                <w:szCs w:val="24"/>
                <w:lang w:val="en-US" w:eastAsia="zh-CN"/>
              </w:rPr>
              <w:t>7、</w:t>
            </w:r>
            <w:r>
              <w:rPr>
                <w:rFonts w:hint="eastAsia"/>
                <w:sz w:val="24"/>
                <w:szCs w:val="24"/>
                <w:lang w:val="zh-CN"/>
              </w:rPr>
              <w:t>本项目不接受联合体投标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eastAsia="宋体"/>
                <w:lang w:val="en-US" w:eastAsia="zh-CN"/>
              </w:rPr>
            </w:pPr>
            <w:r>
              <w:rPr>
                <w:rFonts w:hint="eastAsia" w:ascii="宋体" w:hAnsi="宋体" w:eastAsia="宋体" w:cs="宋体"/>
                <w:sz w:val="24"/>
                <w:lang w:val="zh-CN"/>
              </w:rPr>
              <w:t>磋商保证金：</w:t>
            </w:r>
            <w:r>
              <w:rPr>
                <w:rFonts w:hint="eastAsia" w:ascii="宋体" w:hAnsi="宋体" w:eastAsia="宋体" w:cs="宋体"/>
                <w:sz w:val="24"/>
                <w:lang w:val="en-US" w:eastAsia="zh-CN"/>
              </w:rPr>
              <w:t>16000</w:t>
            </w:r>
            <w:r>
              <w:rPr>
                <w:rFonts w:hint="eastAsia" w:ascii="宋体" w:hAnsi="宋体" w:eastAsia="宋体" w:cs="宋体"/>
                <w:sz w:val="24"/>
                <w:lang w:val="zh-CN"/>
              </w:rPr>
              <w:t>.00元（大写：壹万陆仟元整）</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收款单位：河南宏业建设管理股份有限公司青海分公司</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开 户 行：招商银行西宁湟光支行</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银行账号：</w:t>
            </w:r>
            <w:r>
              <w:rPr>
                <w:rFonts w:hint="eastAsia" w:ascii="宋体" w:hAnsi="宋体" w:eastAsia="宋体" w:cs="宋体"/>
                <w:sz w:val="24"/>
                <w:lang w:val="en-US" w:eastAsia="zh-CN"/>
              </w:rPr>
              <w:t>9729  0047  8310  118</w:t>
            </w:r>
            <w:r>
              <w:rPr>
                <w:rFonts w:hint="eastAsia" w:ascii="宋体" w:hAnsi="宋体" w:eastAsia="宋体" w:cs="宋体"/>
                <w:b/>
                <w:bCs/>
                <w:color w:val="000000"/>
                <w:sz w:val="24"/>
                <w:lang w:val="zh-CN"/>
              </w:rPr>
              <w:t xml:space="preserve"> </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缴费时间：投标截止期前一工作日，以银行到账时间为准。</w:t>
            </w:r>
          </w:p>
        </w:tc>
      </w:tr>
      <w:tr>
        <w:tblPrEx>
          <w:tblCellMar>
            <w:top w:w="0" w:type="dxa"/>
            <w:left w:w="57" w:type="dxa"/>
            <w:bottom w:w="0" w:type="dxa"/>
            <w:right w:w="57" w:type="dxa"/>
          </w:tblCellMar>
        </w:tblPrEx>
        <w:trPr>
          <w:trHeight w:val="174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sz w:val="24"/>
              </w:rPr>
              <w:t>(需提供开户许可证)</w:t>
            </w:r>
            <w:r>
              <w:rPr>
                <w:rFonts w:hint="eastAsia" w:ascii="宋体" w:hAnsi="宋体" w:eastAsia="宋体" w:cs="宋体"/>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hint="eastAsia" w:ascii="宋体" w:hAnsi="宋体" w:eastAsia="宋体" w:cs="宋体"/>
                <w:sz w:val="24"/>
                <w:lang w:val="zh-CN"/>
              </w:rPr>
            </w:pPr>
            <w:r>
              <w:rPr>
                <w:rFonts w:hint="eastAsia" w:ascii="宋体" w:hAnsi="宋体" w:eastAsia="宋体" w:cs="宋体"/>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szCs w:val="24"/>
                <w:lang w:val="zh-CN"/>
              </w:rPr>
              <w:t>2020年12月04日上午09：30（北京时间）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szCs w:val="24"/>
                <w:lang w:val="zh-CN"/>
              </w:rPr>
              <w:t>2020年12月04日上午09：30（北京时间）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lang w:val="zh-CN"/>
              </w:rPr>
            </w:pPr>
            <w:r>
              <w:rPr>
                <w:rFonts w:hint="eastAsia" w:ascii="宋体" w:hAnsi="Courier New"/>
                <w:sz w:val="24"/>
                <w:lang w:eastAsia="zh-CN"/>
              </w:rPr>
              <w:t>河南宏业建设管理股份有限公司（西宁市城中区西大街王府井B馆10楼）</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根据《关于进一步放开建设项目专项业务服务价格的通知》（发改价格【2015】299号）规定，实行市场调价。</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收取对象：成交供应商</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收费金额：按招标代理协议执行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采购代理机构留存三份原件备案。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rPr>
            </w:pPr>
            <w:r>
              <w:rPr>
                <w:rFonts w:hint="eastAsia" w:ascii="宋体" w:hAnsi="宋体" w:eastAsia="宋体" w:cs="宋体"/>
                <w:sz w:val="24"/>
              </w:rPr>
              <w:t>无</w:t>
            </w:r>
          </w:p>
        </w:tc>
      </w:tr>
    </w:tbl>
    <w:p>
      <w:pPr>
        <w:keepNext/>
        <w:keepLines/>
        <w:pageBreakBefore/>
        <w:widowControl/>
        <w:snapToGrid w:val="0"/>
        <w:spacing w:line="360" w:lineRule="auto"/>
        <w:ind w:firstLine="0" w:firstLineChars="0"/>
        <w:jc w:val="center"/>
        <w:outlineLvl w:val="0"/>
        <w:rPr>
          <w:rFonts w:hint="eastAsia" w:ascii="宋体" w:hAnsi="宋体" w:eastAsia="宋体" w:cs="宋体"/>
          <w:b/>
          <w:kern w:val="28"/>
          <w:sz w:val="36"/>
          <w:szCs w:val="20"/>
        </w:rPr>
      </w:pPr>
      <w:bookmarkStart w:id="2" w:name="_Toc9515"/>
      <w:bookmarkStart w:id="3" w:name="_Toc325725997"/>
      <w:r>
        <w:rPr>
          <w:rFonts w:hint="eastAsia" w:ascii="宋体" w:hAnsi="宋体" w:eastAsia="宋体" w:cs="宋体"/>
          <w:b/>
          <w:kern w:val="28"/>
          <w:sz w:val="36"/>
          <w:szCs w:val="20"/>
        </w:rPr>
        <w:t>第三部分  供应商须知</w:t>
      </w:r>
      <w:bookmarkEnd w:id="2"/>
    </w:p>
    <w:p>
      <w:pPr>
        <w:widowControl/>
        <w:spacing w:line="360" w:lineRule="auto"/>
        <w:ind w:firstLine="0" w:firstLineChars="0"/>
        <w:jc w:val="center"/>
        <w:outlineLvl w:val="1"/>
        <w:rPr>
          <w:rFonts w:hint="eastAsia" w:ascii="宋体" w:hAnsi="宋体" w:eastAsia="宋体" w:cs="宋体"/>
          <w:b/>
          <w:bCs/>
          <w:sz w:val="24"/>
          <w:szCs w:val="24"/>
        </w:rPr>
      </w:pPr>
      <w:bookmarkStart w:id="4" w:name="_Toc376936728"/>
      <w:bookmarkStart w:id="5" w:name="_Toc14943"/>
      <w:bookmarkStart w:id="6" w:name="_Toc24622"/>
      <w:r>
        <w:rPr>
          <w:rFonts w:hint="eastAsia" w:ascii="宋体" w:hAnsi="宋体" w:eastAsia="宋体" w:cs="宋体"/>
          <w:b/>
          <w:bCs/>
          <w:sz w:val="24"/>
          <w:szCs w:val="24"/>
        </w:rPr>
        <w:t>一、说  明</w:t>
      </w:r>
      <w:bookmarkEnd w:id="3"/>
      <w:bookmarkEnd w:id="4"/>
      <w:bookmarkEnd w:id="5"/>
      <w:bookmarkEnd w:id="6"/>
    </w:p>
    <w:p>
      <w:pPr>
        <w:widowControl/>
        <w:spacing w:line="360" w:lineRule="auto"/>
        <w:ind w:firstLine="0" w:firstLineChars="0"/>
        <w:jc w:val="left"/>
        <w:outlineLvl w:val="2"/>
        <w:rPr>
          <w:rFonts w:hint="eastAsia" w:ascii="宋体" w:hAnsi="宋体" w:eastAsia="宋体" w:cs="宋体"/>
          <w:b/>
          <w:bCs/>
          <w:sz w:val="24"/>
          <w:szCs w:val="24"/>
        </w:rPr>
      </w:pPr>
      <w:bookmarkStart w:id="7" w:name="_Toc325725998"/>
      <w:bookmarkStart w:id="8" w:name="_Toc9770"/>
      <w:bookmarkStart w:id="9" w:name="_Toc376936729"/>
      <w:bookmarkStart w:id="10" w:name="_Toc26944"/>
      <w:r>
        <w:rPr>
          <w:rFonts w:hint="eastAsia" w:ascii="宋体" w:hAnsi="宋体" w:eastAsia="宋体" w:cs="宋体"/>
          <w:b/>
          <w:bCs/>
          <w:sz w:val="24"/>
          <w:szCs w:val="24"/>
        </w:rPr>
        <w:t>1.适用范围</w:t>
      </w:r>
      <w:bookmarkEnd w:id="7"/>
      <w:bookmarkEnd w:id="8"/>
      <w:bookmarkEnd w:id="9"/>
      <w:bookmarkEnd w:id="10"/>
    </w:p>
    <w:p>
      <w:pPr>
        <w:tabs>
          <w:tab w:val="left" w:pos="840"/>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本次采购依据</w:t>
      </w:r>
      <w:r>
        <w:rPr>
          <w:rFonts w:hint="eastAsia" w:ascii="宋体" w:hAnsi="宋体" w:eastAsia="宋体" w:cs="宋体"/>
          <w:color w:val="auto"/>
          <w:sz w:val="24"/>
          <w:szCs w:val="24"/>
          <w:lang w:eastAsia="zh-CN"/>
        </w:rPr>
        <w:t>西宁市</w:t>
      </w:r>
      <w:r>
        <w:rPr>
          <w:rFonts w:hint="eastAsia" w:ascii="宋体" w:hAnsi="宋体" w:eastAsia="宋体" w:cs="宋体"/>
          <w:color w:val="auto"/>
          <w:sz w:val="24"/>
          <w:szCs w:val="24"/>
        </w:rPr>
        <w:t>财政局</w:t>
      </w:r>
      <w:r>
        <w:rPr>
          <w:rFonts w:hint="eastAsia" w:ascii="宋体" w:hAnsi="宋体" w:eastAsia="宋体" w:cs="宋体"/>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sz w:val="24"/>
          <w:szCs w:val="24"/>
        </w:rPr>
      </w:pPr>
      <w:bookmarkStart w:id="11" w:name="_Toc325725999"/>
      <w:bookmarkStart w:id="12" w:name="_Toc376936730"/>
      <w:bookmarkStart w:id="13" w:name="_Toc21998"/>
      <w:bookmarkStart w:id="14" w:name="_Toc31556"/>
      <w:r>
        <w:rPr>
          <w:rFonts w:hint="eastAsia" w:ascii="宋体" w:hAnsi="宋体" w:eastAsia="宋体" w:cs="宋体"/>
          <w:b/>
          <w:bCs/>
          <w:sz w:val="24"/>
          <w:szCs w:val="24"/>
        </w:rPr>
        <w:t>2.采购方式、合格的</w:t>
      </w:r>
      <w:bookmarkEnd w:id="11"/>
      <w:bookmarkEnd w:id="12"/>
      <w:bookmarkEnd w:id="13"/>
      <w:r>
        <w:rPr>
          <w:rFonts w:hint="eastAsia" w:ascii="宋体" w:hAnsi="宋体" w:eastAsia="宋体" w:cs="宋体"/>
          <w:b/>
          <w:bCs/>
          <w:sz w:val="24"/>
          <w:szCs w:val="24"/>
        </w:rPr>
        <w:t>供应商</w:t>
      </w:r>
      <w:bookmarkEnd w:id="14"/>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2.1本次采购采取竞争性磋商方式。</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2.2合格的供应商：</w:t>
      </w:r>
    </w:p>
    <w:p>
      <w:pPr>
        <w:spacing w:line="360" w:lineRule="auto"/>
        <w:ind w:firstLine="0" w:firstLineChars="0"/>
        <w:jc w:val="left"/>
        <w:rPr>
          <w:rFonts w:hint="eastAsia" w:ascii="宋体" w:hAnsi="宋体" w:eastAsia="宋体" w:cs="宋体"/>
          <w:sz w:val="24"/>
          <w:szCs w:val="24"/>
          <w:lang w:val="zh-CN"/>
        </w:rPr>
      </w:pPr>
      <w:bookmarkStart w:id="15" w:name="_Toc376936731"/>
      <w:bookmarkStart w:id="16" w:name="_Toc8820"/>
      <w:bookmarkStart w:id="17" w:name="_Toc325726000"/>
      <w:bookmarkStart w:id="18" w:name="_Toc8805"/>
      <w:r>
        <w:rPr>
          <w:rFonts w:hint="eastAsia" w:ascii="宋体" w:hAnsi="宋体" w:eastAsia="宋体" w:cs="宋体"/>
          <w:sz w:val="24"/>
          <w:szCs w:val="24"/>
          <w:lang w:val="zh-CN"/>
        </w:rPr>
        <w:t>1、符合《中华人民共和国政府采购法》第22条的条件</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（1）供应商的营业执照等证明文件，自然人的身份证明</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（2）财务状况报告和依法缴纳税收和社会保障资金的相关材料</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（3）具备履行合同所必须的货物和专业技术能力的证明材料</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（4）参加政府采购活动前3年内在经营活动中没有重大违法记录的书面声明</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（5）具备法律、行政法规规定的其他条件的证明材料</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2、单位负责人为同一人或者存在直接控股、管理关系的不同供应商，不得参加同一合同项下的政府采购活动。否则，皆取消投标资格</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3、为本采购项目提供整体设计、规范编制或者项目管理、监理、检测等服务的供应商，不得再参加该采购项目的其他采购活动</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4、经信用中国（www.creditchina.gov.cn）、中国政府采购网（www.ccgp.gov.cn）、</w:t>
      </w:r>
      <w:r>
        <w:rPr>
          <w:rFonts w:hint="eastAsia" w:ascii="宋体" w:hAnsi="宋体" w:eastAsia="宋体" w:cs="宋体"/>
          <w:color w:val="000000" w:themeColor="text1"/>
          <w:kern w:val="0"/>
          <w:sz w:val="24"/>
          <w:szCs w:val="24"/>
          <w:lang w:val="en-US" w:eastAsia="zh-CN" w:bidi="ar"/>
          <w14:textFill>
            <w14:solidFill>
              <w14:schemeClr w14:val="tx1"/>
            </w14:solidFill>
          </w14:textFill>
        </w:rPr>
        <w:t>中华人民共和国最高人民法院官网(http://www.court.gov.cn/)</w:t>
      </w:r>
      <w:r>
        <w:rPr>
          <w:rFonts w:hint="eastAsia" w:ascii="宋体" w:hAnsi="宋体" w:eastAsia="宋体" w:cs="宋体"/>
          <w:sz w:val="24"/>
          <w:szCs w:val="24"/>
          <w:lang w:val="zh-CN"/>
        </w:rPr>
        <w:t>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0天内）</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5、供应商营业执照内须包含相关经营范围，并在人员、设备、资金等方面具有相应的供货能力</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6、磋商</w:t>
      </w:r>
      <w:r>
        <w:rPr>
          <w:rFonts w:hint="eastAsia" w:ascii="宋体" w:hAnsi="宋体" w:eastAsia="宋体" w:cs="宋体"/>
          <w:sz w:val="24"/>
          <w:szCs w:val="24"/>
          <w:lang w:val="zh-CN"/>
        </w:rPr>
        <w:t>文件规定的其他资质条件</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本项目不接受联合体投标</w:t>
      </w:r>
    </w:p>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3.磋商费用</w:t>
      </w:r>
      <w:bookmarkEnd w:id="15"/>
      <w:bookmarkEnd w:id="16"/>
      <w:bookmarkEnd w:id="17"/>
      <w:bookmarkEnd w:id="18"/>
    </w:p>
    <w:p>
      <w:pPr>
        <w:tabs>
          <w:tab w:val="left" w:pos="840"/>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19" w:name="_Toc325726001"/>
      <w:bookmarkStart w:id="20" w:name="_Toc376936732"/>
      <w:bookmarkStart w:id="21" w:name="_Toc18155"/>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tabs>
          <w:tab w:val="left" w:pos="840"/>
        </w:tabs>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二、磋商文件说明</w:t>
      </w:r>
      <w:bookmarkEnd w:id="19"/>
      <w:bookmarkEnd w:id="20"/>
      <w:bookmarkEnd w:id="21"/>
    </w:p>
    <w:p>
      <w:pPr>
        <w:widowControl/>
        <w:spacing w:line="360" w:lineRule="auto"/>
        <w:ind w:firstLine="0" w:firstLineChars="0"/>
        <w:jc w:val="left"/>
        <w:outlineLvl w:val="2"/>
        <w:rPr>
          <w:rFonts w:hint="eastAsia" w:ascii="宋体" w:hAnsi="宋体" w:eastAsia="宋体" w:cs="宋体"/>
          <w:b/>
          <w:bCs/>
          <w:sz w:val="24"/>
          <w:szCs w:val="24"/>
        </w:rPr>
      </w:pPr>
      <w:bookmarkStart w:id="22" w:name="_Toc376936733"/>
      <w:bookmarkStart w:id="23" w:name="_Toc10649"/>
      <w:bookmarkStart w:id="24" w:name="_Toc14153"/>
      <w:bookmarkStart w:id="25" w:name="_Toc325726002"/>
      <w:r>
        <w:rPr>
          <w:rFonts w:hint="eastAsia" w:ascii="宋体" w:hAnsi="宋体" w:eastAsia="宋体" w:cs="宋体"/>
          <w:b/>
          <w:bCs/>
          <w:sz w:val="24"/>
          <w:szCs w:val="24"/>
        </w:rPr>
        <w:t>4.磋商文件的构成</w:t>
      </w:r>
      <w:bookmarkEnd w:id="22"/>
      <w:bookmarkEnd w:id="23"/>
      <w:bookmarkEnd w:id="24"/>
      <w:bookmarkEnd w:id="25"/>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4.1磋商文件包括：</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（1）投标邀请</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（3）供应商须知</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（4）采购项目合同书</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（5）响应文件格式（相关附件）</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（6）采购项目要求及技术参数</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（7）磋商过程中发生的澄清、变更和补充文件</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sz w:val="24"/>
          <w:szCs w:val="24"/>
        </w:rPr>
      </w:pPr>
      <w:bookmarkStart w:id="26" w:name="_Toc325726003"/>
      <w:bookmarkStart w:id="27" w:name="_Toc376936734"/>
      <w:bookmarkStart w:id="28" w:name="_Toc3451"/>
      <w:bookmarkStart w:id="29" w:name="_Toc6482"/>
      <w:r>
        <w:rPr>
          <w:rFonts w:hint="eastAsia" w:ascii="宋体" w:hAnsi="宋体" w:eastAsia="宋体" w:cs="宋体"/>
          <w:b/>
          <w:bCs/>
          <w:sz w:val="24"/>
          <w:szCs w:val="24"/>
        </w:rPr>
        <w:t>5.磋商文件的</w:t>
      </w:r>
      <w:bookmarkEnd w:id="26"/>
      <w:bookmarkEnd w:id="27"/>
      <w:r>
        <w:rPr>
          <w:rFonts w:hint="eastAsia" w:ascii="宋体" w:hAnsi="宋体" w:eastAsia="宋体" w:cs="宋体"/>
          <w:b/>
          <w:bCs/>
          <w:sz w:val="24"/>
          <w:szCs w:val="24"/>
        </w:rPr>
        <w:t>质疑</w:t>
      </w:r>
      <w:bookmarkEnd w:id="28"/>
      <w:bookmarkEnd w:id="29"/>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供应商对磋商文件有异议的，应在提交首次响应文件截止时间至少1日前以书面形式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sz w:val="24"/>
          <w:szCs w:val="24"/>
        </w:rPr>
      </w:pPr>
      <w:bookmarkStart w:id="30" w:name="_Toc376936735"/>
      <w:bookmarkStart w:id="31" w:name="_Toc26515"/>
      <w:bookmarkStart w:id="32" w:name="_Toc325726004"/>
      <w:bookmarkStart w:id="33" w:name="_Toc13050"/>
      <w:r>
        <w:rPr>
          <w:rFonts w:hint="eastAsia" w:ascii="宋体" w:hAnsi="宋体" w:eastAsia="宋体" w:cs="宋体"/>
          <w:b/>
          <w:bCs/>
          <w:sz w:val="24"/>
          <w:szCs w:val="24"/>
        </w:rPr>
        <w:t>6.磋商文件的澄清、修改</w:t>
      </w:r>
      <w:bookmarkEnd w:id="30"/>
      <w:bookmarkEnd w:id="31"/>
      <w:bookmarkEnd w:id="32"/>
      <w:bookmarkEnd w:id="33"/>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4" w:name="_Toc325726005"/>
      <w:bookmarkStart w:id="35" w:name="_Toc376936736"/>
      <w:bookmarkStart w:id="36" w:name="_Toc23340"/>
    </w:p>
    <w:p>
      <w:pPr>
        <w:widowControl/>
        <w:spacing w:line="24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三、响应文件的编制</w:t>
      </w:r>
      <w:bookmarkEnd w:id="34"/>
      <w:bookmarkEnd w:id="35"/>
      <w:bookmarkEnd w:id="36"/>
    </w:p>
    <w:p>
      <w:pPr>
        <w:widowControl/>
        <w:spacing w:line="360" w:lineRule="auto"/>
        <w:ind w:firstLine="0" w:firstLineChars="0"/>
        <w:jc w:val="left"/>
        <w:outlineLvl w:val="2"/>
        <w:rPr>
          <w:rFonts w:hint="eastAsia" w:ascii="宋体" w:hAnsi="宋体" w:eastAsia="宋体" w:cs="宋体"/>
          <w:b/>
          <w:bCs/>
          <w:sz w:val="24"/>
          <w:szCs w:val="24"/>
        </w:rPr>
      </w:pPr>
      <w:bookmarkStart w:id="37" w:name="_Toc325726006"/>
      <w:bookmarkStart w:id="38" w:name="_Toc9674"/>
      <w:bookmarkStart w:id="39" w:name="_Toc376936737"/>
      <w:bookmarkStart w:id="40" w:name="_Toc13057"/>
      <w:r>
        <w:rPr>
          <w:rFonts w:hint="eastAsia" w:ascii="宋体" w:hAnsi="宋体" w:eastAsia="宋体" w:cs="宋体"/>
          <w:b/>
          <w:bCs/>
          <w:sz w:val="24"/>
          <w:szCs w:val="24"/>
        </w:rPr>
        <w:t>7.响应文件的语言及度量衡单位</w:t>
      </w:r>
      <w:bookmarkEnd w:id="37"/>
      <w:bookmarkEnd w:id="38"/>
      <w:bookmarkEnd w:id="39"/>
      <w:bookmarkEnd w:id="40"/>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sz w:val="24"/>
          <w:szCs w:val="24"/>
        </w:rPr>
      </w:pPr>
      <w:bookmarkStart w:id="41" w:name="_Toc376936743"/>
      <w:bookmarkStart w:id="42" w:name="_Toc17093"/>
      <w:bookmarkStart w:id="43" w:name="_Toc21569"/>
      <w:bookmarkStart w:id="44" w:name="_Toc325726012"/>
      <w:r>
        <w:rPr>
          <w:rFonts w:hint="eastAsia" w:ascii="宋体" w:hAnsi="宋体" w:eastAsia="宋体" w:cs="宋体"/>
          <w:b/>
          <w:bCs/>
          <w:sz w:val="24"/>
          <w:szCs w:val="24"/>
        </w:rPr>
        <w:t>8.磋商保证金</w:t>
      </w:r>
      <w:bookmarkEnd w:id="41"/>
      <w:bookmarkEnd w:id="42"/>
      <w:bookmarkEnd w:id="43"/>
      <w:bookmarkEnd w:id="44"/>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磋商保证金由供应商以转款方式直接缴入“河南宏业建设管理股份有限公司”</w:t>
      </w:r>
      <w:r>
        <w:rPr>
          <w:rFonts w:hint="eastAsia" w:ascii="宋体" w:hAnsi="宋体" w:eastAsia="宋体" w:cs="宋体"/>
          <w:sz w:val="24"/>
          <w:szCs w:val="24"/>
        </w:rPr>
        <w:t>保证金专用</w:t>
      </w:r>
      <w:r>
        <w:rPr>
          <w:rFonts w:hint="eastAsia" w:ascii="宋体" w:hAnsi="宋体" w:eastAsia="宋体" w:cs="宋体"/>
          <w:sz w:val="24"/>
          <w:szCs w:val="24"/>
          <w:lang w:val="zh-CN"/>
        </w:rPr>
        <w:t>帐户。</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zh-CN"/>
        </w:rPr>
        <w:t>.3 供应商投标签到时，需出示“</w:t>
      </w:r>
      <w:r>
        <w:rPr>
          <w:rFonts w:hint="eastAsia" w:ascii="宋体" w:hAnsi="宋体" w:eastAsia="宋体" w:cs="宋体"/>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sz w:val="24"/>
          <w:szCs w:val="24"/>
          <w:lang w:val="zh-CN"/>
        </w:rPr>
        <w:t>视其为不响应磋商要求而</w:t>
      </w:r>
      <w:r>
        <w:rPr>
          <w:rFonts w:hint="eastAsia" w:ascii="宋体" w:hAnsi="宋体" w:eastAsia="宋体" w:cs="宋体"/>
          <w:sz w:val="24"/>
          <w:szCs w:val="24"/>
        </w:rPr>
        <w:t>拒收响应文件。</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8.4 有下列情形之一的，磋商保证金不予退还：</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sz w:val="24"/>
          <w:szCs w:val="24"/>
        </w:rPr>
      </w:pPr>
      <w:bookmarkStart w:id="45" w:name="_Toc32704"/>
      <w:bookmarkStart w:id="46" w:name="_Toc376936744"/>
      <w:bookmarkStart w:id="47" w:name="_Toc22044"/>
      <w:bookmarkStart w:id="48" w:name="_Toc325726013"/>
      <w:r>
        <w:rPr>
          <w:rFonts w:hint="eastAsia" w:ascii="宋体" w:hAnsi="宋体" w:eastAsia="宋体" w:cs="宋体"/>
          <w:b/>
          <w:bCs/>
          <w:sz w:val="24"/>
          <w:szCs w:val="24"/>
        </w:rPr>
        <w:t>9.磋商有效期</w:t>
      </w:r>
      <w:bookmarkEnd w:id="45"/>
      <w:bookmarkEnd w:id="46"/>
      <w:bookmarkEnd w:id="47"/>
      <w:bookmarkEnd w:id="48"/>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磋商有效期为自磋商开始之日起60个日历日</w:t>
      </w:r>
    </w:p>
    <w:p>
      <w:pPr>
        <w:widowControl/>
        <w:spacing w:line="360" w:lineRule="auto"/>
        <w:ind w:firstLine="0" w:firstLineChars="0"/>
        <w:jc w:val="left"/>
        <w:outlineLvl w:val="2"/>
        <w:rPr>
          <w:rFonts w:hint="eastAsia" w:ascii="宋体" w:hAnsi="宋体" w:eastAsia="宋体" w:cs="宋体"/>
          <w:b/>
          <w:bCs/>
          <w:sz w:val="24"/>
          <w:szCs w:val="24"/>
        </w:rPr>
      </w:pPr>
      <w:bookmarkStart w:id="49" w:name="_Toc16445"/>
      <w:bookmarkStart w:id="50" w:name="_Toc325726008"/>
      <w:bookmarkStart w:id="51" w:name="_Toc376936739"/>
      <w:bookmarkStart w:id="52" w:name="_Toc31915"/>
      <w:r>
        <w:rPr>
          <w:rFonts w:hint="eastAsia" w:ascii="宋体" w:hAnsi="宋体" w:eastAsia="宋体" w:cs="宋体"/>
          <w:b/>
          <w:bCs/>
          <w:sz w:val="24"/>
          <w:szCs w:val="24"/>
        </w:rPr>
        <w:t>10.响应文件构成</w:t>
      </w:r>
      <w:bookmarkEnd w:id="49"/>
      <w:bookmarkEnd w:id="50"/>
      <w:bookmarkEnd w:id="51"/>
      <w:bookmarkEnd w:id="52"/>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（1）响应文件封面</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（2）磋商函</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（4）法定代表人证明书</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（5）法定代表人授权书</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（6）供应商承诺函</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（7）供应商诚信承诺书</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（8）资格证明材料</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（9）财务状况</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（10）具备履行合同所必须的设备和专业技术能力证明</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（11）无重大违法记录声明</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（12）磋商保证金</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（13）供应商认为在其他方面有必要说明的事项</w:t>
      </w:r>
    </w:p>
    <w:p>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）供应商最后报价表</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sz w:val="24"/>
          <w:szCs w:val="24"/>
        </w:rPr>
      </w:pPr>
      <w:bookmarkStart w:id="53" w:name="_Toc16453"/>
      <w:bookmarkStart w:id="54" w:name="_Toc11377"/>
      <w:bookmarkStart w:id="55" w:name="_Toc412617729"/>
      <w:bookmarkStart w:id="56" w:name="_Toc373392580"/>
      <w:r>
        <w:rPr>
          <w:rFonts w:hint="eastAsia" w:ascii="宋体" w:hAnsi="宋体" w:eastAsia="宋体" w:cs="宋体"/>
          <w:b/>
          <w:bCs/>
          <w:sz w:val="24"/>
          <w:szCs w:val="24"/>
        </w:rPr>
        <w:t>11.响应文件编印和签署</w:t>
      </w:r>
      <w:bookmarkEnd w:id="53"/>
      <w:bookmarkEnd w:id="54"/>
      <w:bookmarkEnd w:id="55"/>
      <w:bookmarkEnd w:id="56"/>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11.1 供应商须提交一式三份响应文件（一份正本、二份副本）</w:t>
      </w:r>
      <w:r>
        <w:rPr>
          <w:rFonts w:hint="eastAsia" w:ascii="宋体" w:hAnsi="宋体" w:eastAsia="宋体" w:cs="宋体"/>
          <w:bCs/>
          <w:sz w:val="24"/>
          <w:szCs w:val="24"/>
        </w:rPr>
        <w:t>，</w:t>
      </w:r>
      <w:r>
        <w:rPr>
          <w:rFonts w:hint="eastAsia" w:ascii="宋体" w:hAnsi="宋体" w:eastAsia="宋体" w:cs="宋体"/>
          <w:sz w:val="24"/>
          <w:szCs w:val="24"/>
        </w:rPr>
        <w:t>每份响应文件须清楚地标明“正本”或“副本”字样。若发生正本和副本不符，以正本为准。</w:t>
      </w:r>
      <w:r>
        <w:rPr>
          <w:rFonts w:hint="eastAsia" w:ascii="宋体" w:hAnsi="宋体" w:eastAsia="宋体" w:cs="宋体"/>
          <w:bCs/>
          <w:sz w:val="24"/>
          <w:szCs w:val="24"/>
        </w:rPr>
        <w:t>与响应文件正本一致的电子版文件一份，</w:t>
      </w:r>
      <w:r>
        <w:rPr>
          <w:rFonts w:hint="eastAsia" w:ascii="宋体" w:hAnsi="宋体" w:eastAsia="宋体" w:cs="宋体"/>
          <w:sz w:val="24"/>
          <w:szCs w:val="24"/>
        </w:rPr>
        <w:t>响应文件统一使用A4幅面的纸张印制，左侧胶装，其他方式装订的响应文件一概不予接受。</w:t>
      </w:r>
    </w:p>
    <w:p>
      <w:pPr>
        <w:pStyle w:val="13"/>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11.2响应文件的正、副本均需打印，并由供应商的法定代表人或委托代理人按要求签字、盖章。</w:t>
      </w:r>
      <w:r>
        <w:rPr>
          <w:rFonts w:hint="eastAsia" w:hAnsi="宋体" w:eastAsia="宋体" w:cs="宋体"/>
          <w:sz w:val="24"/>
          <w:szCs w:val="24"/>
          <w:lang w:eastAsia="zh-CN"/>
        </w:rPr>
        <w:t>响应文件书脊（背脊）处注明项目名称及单位名称。</w:t>
      </w:r>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11.3响应文件中不得行间插字、涂改或增删，如有修改错漏处，须由供应商法定代表人或其委托代理人签字和盖章。</w:t>
      </w:r>
      <w:bookmarkStart w:id="57" w:name="_Toc15102"/>
      <w:bookmarkStart w:id="58" w:name="_Toc412617730"/>
      <w:bookmarkStart w:id="59" w:name="_Toc376936748"/>
      <w:bookmarkStart w:id="60" w:name="_Toc371090029"/>
    </w:p>
    <w:p>
      <w:pPr>
        <w:pStyle w:val="13"/>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四、响应文件的递交</w:t>
      </w:r>
      <w:bookmarkEnd w:id="57"/>
      <w:bookmarkEnd w:id="58"/>
    </w:p>
    <w:p>
      <w:pPr>
        <w:widowControl/>
        <w:spacing w:line="360" w:lineRule="auto"/>
        <w:ind w:firstLine="0" w:firstLineChars="0"/>
        <w:jc w:val="left"/>
        <w:outlineLvl w:val="2"/>
        <w:rPr>
          <w:rFonts w:hint="eastAsia" w:ascii="宋体" w:hAnsi="宋体" w:eastAsia="宋体" w:cs="宋体"/>
          <w:b/>
          <w:bCs/>
          <w:sz w:val="24"/>
          <w:szCs w:val="24"/>
        </w:rPr>
      </w:pPr>
      <w:bookmarkStart w:id="61" w:name="_Toc23823"/>
      <w:bookmarkStart w:id="62" w:name="_Toc325726016"/>
      <w:bookmarkStart w:id="63" w:name="_Toc373392582"/>
      <w:bookmarkStart w:id="64" w:name="_Toc1176"/>
      <w:bookmarkStart w:id="65" w:name="_Toc412617731"/>
      <w:r>
        <w:rPr>
          <w:rFonts w:hint="eastAsia" w:ascii="宋体" w:hAnsi="宋体" w:eastAsia="宋体" w:cs="宋体"/>
          <w:b/>
          <w:bCs/>
          <w:sz w:val="24"/>
          <w:szCs w:val="24"/>
        </w:rPr>
        <w:t>12.响应文件的密封和标记</w:t>
      </w:r>
      <w:bookmarkEnd w:id="61"/>
      <w:bookmarkEnd w:id="62"/>
      <w:bookmarkEnd w:id="63"/>
      <w:bookmarkEnd w:id="64"/>
      <w:bookmarkEnd w:id="65"/>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12.1供应商应将响应文件正、副本分别封装在统一印制或自行定制的“投标专用袋”中，并按要求标明采购项目编号、采购项目名称、供应商的名称等。</w:t>
      </w:r>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12.2密封后的响应文件均应：</w:t>
      </w:r>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（1）按“供应商须知前附表”中注明的时间、地址送达；</w:t>
      </w:r>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（2）投标专用袋用“于</w:t>
      </w:r>
      <w:r>
        <w:rPr>
          <w:rFonts w:hint="eastAsia" w:hAnsi="宋体" w:eastAsia="宋体" w:cs="宋体"/>
          <w:sz w:val="24"/>
          <w:szCs w:val="24"/>
          <w:lang w:val="zh-CN"/>
        </w:rPr>
        <w:t>2020年12月04日上午09：30</w:t>
      </w:r>
      <w:r>
        <w:rPr>
          <w:rFonts w:hint="eastAsia" w:ascii="宋体" w:hAnsi="宋体" w:eastAsia="宋体" w:cs="宋体"/>
          <w:sz w:val="24"/>
          <w:szCs w:val="24"/>
        </w:rPr>
        <w:t>之前不准启封”标签密封。</w:t>
      </w:r>
    </w:p>
    <w:p>
      <w:pPr>
        <w:pStyle w:val="13"/>
        <w:spacing w:line="360" w:lineRule="auto"/>
        <w:ind w:firstLine="0" w:firstLineChars="0"/>
        <w:rPr>
          <w:rFonts w:hint="eastAsia" w:ascii="宋体" w:hAnsi="宋体" w:eastAsia="宋体" w:cs="宋体"/>
          <w:sz w:val="24"/>
          <w:szCs w:val="24"/>
          <w:shd w:val="pct10" w:color="auto" w:fill="FFFFFF"/>
        </w:rPr>
      </w:pPr>
      <w:r>
        <w:rPr>
          <w:rFonts w:hint="eastAsia" w:ascii="宋体" w:hAnsi="宋体" w:eastAsia="宋体" w:cs="宋体"/>
          <w:sz w:val="24"/>
          <w:szCs w:val="24"/>
        </w:rPr>
        <w:t>12.3如果供应商未按第12．1－12．2条要求将响应文件密封或在密封袋上加写标记的，采购代理机构将不予受理。</w:t>
      </w:r>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12.4供应商以电报、电话、传真形式投标的，采购代理机构概不接受。</w:t>
      </w:r>
    </w:p>
    <w:bookmarkEnd w:id="59"/>
    <w:bookmarkEnd w:id="60"/>
    <w:p>
      <w:pPr>
        <w:widowControl/>
        <w:spacing w:line="360" w:lineRule="auto"/>
        <w:ind w:firstLine="0" w:firstLineChars="0"/>
        <w:jc w:val="left"/>
        <w:outlineLvl w:val="2"/>
        <w:rPr>
          <w:rFonts w:hint="eastAsia" w:ascii="宋体" w:hAnsi="宋体" w:eastAsia="宋体" w:cs="宋体"/>
          <w:b/>
          <w:bCs/>
          <w:sz w:val="24"/>
          <w:szCs w:val="24"/>
        </w:rPr>
      </w:pPr>
      <w:bookmarkStart w:id="66" w:name="_Toc4009"/>
      <w:bookmarkStart w:id="67" w:name="_Toc373392583"/>
      <w:bookmarkStart w:id="68" w:name="_Toc30756"/>
      <w:bookmarkStart w:id="69" w:name="_Toc325726017"/>
      <w:bookmarkStart w:id="70" w:name="_Toc412617732"/>
      <w:bookmarkStart w:id="71" w:name="_Toc376936749"/>
      <w:bookmarkStart w:id="72" w:name="_Toc371090030"/>
      <w:r>
        <w:rPr>
          <w:rFonts w:hint="eastAsia" w:ascii="宋体" w:hAnsi="宋体" w:eastAsia="宋体" w:cs="宋体"/>
          <w:b/>
          <w:bCs/>
          <w:sz w:val="24"/>
          <w:szCs w:val="24"/>
        </w:rPr>
        <w:t>13.</w:t>
      </w:r>
      <w:bookmarkEnd w:id="66"/>
      <w:bookmarkEnd w:id="67"/>
      <w:bookmarkEnd w:id="68"/>
      <w:bookmarkEnd w:id="69"/>
      <w:bookmarkEnd w:id="70"/>
      <w:r>
        <w:rPr>
          <w:rFonts w:hint="eastAsia" w:ascii="宋体" w:hAnsi="宋体" w:eastAsia="宋体" w:cs="宋体"/>
          <w:b/>
          <w:bCs/>
          <w:sz w:val="24"/>
          <w:szCs w:val="24"/>
        </w:rPr>
        <w:t>提交响应文件截止时间、地点</w:t>
      </w:r>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13.1响应文件提交的截止时间及地点详见“供应商须知前附表”。</w:t>
      </w:r>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13.2采购代理机构将拒绝接受在提交响应文件截止时间之后送达的响应文件。</w:t>
      </w:r>
      <w:bookmarkEnd w:id="71"/>
      <w:bookmarkEnd w:id="72"/>
      <w:bookmarkStart w:id="73" w:name="_Toc376936750"/>
      <w:bookmarkStart w:id="74" w:name="_Toc325726019"/>
      <w:bookmarkStart w:id="75" w:name="_Toc9147"/>
    </w:p>
    <w:p>
      <w:pPr>
        <w:widowControl/>
        <w:spacing w:line="360" w:lineRule="auto"/>
        <w:ind w:firstLine="0" w:firstLineChars="0"/>
        <w:jc w:val="center"/>
        <w:outlineLvl w:val="1"/>
        <w:rPr>
          <w:rFonts w:hint="eastAsia" w:ascii="宋体" w:hAnsi="宋体" w:eastAsia="宋体" w:cs="宋体"/>
          <w:b/>
          <w:bCs/>
          <w:sz w:val="24"/>
          <w:szCs w:val="24"/>
        </w:rPr>
      </w:pPr>
      <w:bookmarkStart w:id="76" w:name="_Toc5644"/>
      <w:r>
        <w:rPr>
          <w:rFonts w:hint="eastAsia" w:ascii="宋体" w:hAnsi="宋体" w:eastAsia="宋体" w:cs="宋体"/>
          <w:b/>
          <w:bCs/>
          <w:sz w:val="24"/>
          <w:szCs w:val="24"/>
        </w:rPr>
        <w:t>五、</w:t>
      </w:r>
      <w:bookmarkEnd w:id="73"/>
      <w:bookmarkEnd w:id="74"/>
      <w:r>
        <w:rPr>
          <w:rFonts w:hint="eastAsia" w:ascii="宋体" w:hAnsi="宋体" w:eastAsia="宋体" w:cs="宋体"/>
          <w:b/>
          <w:bCs/>
          <w:sz w:val="24"/>
          <w:szCs w:val="24"/>
        </w:rPr>
        <w:t>磋商过程</w:t>
      </w:r>
      <w:bookmarkEnd w:id="75"/>
      <w:bookmarkEnd w:id="76"/>
    </w:p>
    <w:p>
      <w:pPr>
        <w:widowControl/>
        <w:spacing w:line="360" w:lineRule="auto"/>
        <w:ind w:firstLine="0" w:firstLineChars="0"/>
        <w:jc w:val="left"/>
        <w:outlineLvl w:val="2"/>
        <w:rPr>
          <w:rFonts w:hint="eastAsia" w:ascii="宋体" w:hAnsi="宋体" w:eastAsia="宋体" w:cs="宋体"/>
          <w:b/>
          <w:bCs/>
          <w:sz w:val="24"/>
          <w:szCs w:val="24"/>
        </w:rPr>
      </w:pPr>
      <w:bookmarkStart w:id="77" w:name="_Toc376936751"/>
      <w:bookmarkStart w:id="78" w:name="_Toc325726020"/>
      <w:bookmarkStart w:id="79" w:name="_Toc26723"/>
      <w:bookmarkStart w:id="80" w:name="_Toc15630"/>
      <w:r>
        <w:rPr>
          <w:rFonts w:hint="eastAsia" w:ascii="宋体" w:hAnsi="宋体" w:eastAsia="宋体" w:cs="宋体"/>
          <w:b/>
          <w:bCs/>
          <w:sz w:val="24"/>
          <w:szCs w:val="24"/>
        </w:rPr>
        <w:t>14.</w:t>
      </w:r>
      <w:bookmarkEnd w:id="77"/>
      <w:bookmarkEnd w:id="78"/>
      <w:r>
        <w:rPr>
          <w:rFonts w:hint="eastAsia" w:ascii="宋体" w:hAnsi="宋体" w:eastAsia="宋体" w:cs="宋体"/>
          <w:b/>
          <w:bCs/>
          <w:sz w:val="24"/>
          <w:szCs w:val="24"/>
        </w:rPr>
        <w:t>磋商过程</w:t>
      </w:r>
      <w:bookmarkEnd w:id="79"/>
      <w:bookmarkEnd w:id="80"/>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sz w:val="24"/>
          <w:szCs w:val="24"/>
        </w:rPr>
      </w:pPr>
      <w:bookmarkStart w:id="81" w:name="_Toc19030"/>
      <w:bookmarkStart w:id="82" w:name="_Toc18107"/>
      <w:bookmarkStart w:id="83" w:name="_Toc376936752"/>
      <w:bookmarkStart w:id="84" w:name="_Toc325726021"/>
      <w:r>
        <w:rPr>
          <w:rFonts w:hint="eastAsia" w:ascii="宋体" w:hAnsi="宋体" w:eastAsia="宋体" w:cs="宋体"/>
          <w:b/>
          <w:bCs/>
          <w:sz w:val="24"/>
          <w:szCs w:val="24"/>
        </w:rPr>
        <w:t>六、磋商程序及方法</w:t>
      </w:r>
      <w:bookmarkEnd w:id="81"/>
      <w:bookmarkEnd w:id="82"/>
      <w:bookmarkEnd w:id="83"/>
      <w:bookmarkEnd w:id="84"/>
    </w:p>
    <w:p>
      <w:pPr>
        <w:widowControl/>
        <w:spacing w:line="360" w:lineRule="auto"/>
        <w:ind w:firstLine="0" w:firstLineChars="0"/>
        <w:jc w:val="left"/>
        <w:outlineLvl w:val="2"/>
        <w:rPr>
          <w:rFonts w:hint="eastAsia" w:ascii="宋体" w:hAnsi="宋体" w:eastAsia="宋体" w:cs="宋体"/>
          <w:b/>
          <w:bCs/>
          <w:sz w:val="24"/>
          <w:szCs w:val="24"/>
        </w:rPr>
      </w:pPr>
      <w:bookmarkStart w:id="85" w:name="_Toc26121"/>
      <w:bookmarkStart w:id="86" w:name="_Toc16935"/>
      <w:bookmarkStart w:id="87" w:name="_Toc376936753"/>
      <w:bookmarkStart w:id="88" w:name="_Toc325726022"/>
      <w:r>
        <w:rPr>
          <w:rFonts w:hint="eastAsia" w:ascii="宋体" w:hAnsi="宋体" w:eastAsia="宋体" w:cs="宋体"/>
          <w:b/>
          <w:bCs/>
          <w:sz w:val="24"/>
          <w:szCs w:val="24"/>
        </w:rPr>
        <w:t>15.磋商小组</w:t>
      </w:r>
      <w:bookmarkEnd w:id="85"/>
      <w:bookmarkEnd w:id="86"/>
      <w:bookmarkEnd w:id="87"/>
      <w:bookmarkEnd w:id="88"/>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（1）审查响应文件是否符合磋商文件要求，并作出评价；</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（2）要求供应商对响应文件有关事项作出解释或澄清；</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（3）推荐预成交候选供应商；</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15.3磋商小组应遵守并履行下列义务：</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（1）遵纪守法，客观、公正、廉洁地履行职责；</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（4）参与磋商报告的起草；</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（5）解答供应商及有关方面的质疑；</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（6）配合纪检部门进行投诉处理工作。</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sz w:val="24"/>
          <w:szCs w:val="24"/>
        </w:rPr>
      </w:pPr>
      <w:bookmarkStart w:id="89" w:name="_Toc14694"/>
      <w:bookmarkStart w:id="90" w:name="_Toc27086"/>
      <w:bookmarkStart w:id="91" w:name="_Toc376936754"/>
      <w:bookmarkStart w:id="92" w:name="_Toc325726023"/>
      <w:r>
        <w:rPr>
          <w:rFonts w:hint="eastAsia" w:ascii="宋体" w:hAnsi="宋体" w:eastAsia="宋体" w:cs="宋体"/>
          <w:b/>
          <w:bCs/>
          <w:sz w:val="24"/>
          <w:szCs w:val="24"/>
        </w:rPr>
        <w:t>16.磋商程序</w:t>
      </w:r>
      <w:bookmarkEnd w:id="89"/>
      <w:bookmarkEnd w:id="90"/>
      <w:bookmarkEnd w:id="91"/>
      <w:bookmarkEnd w:id="92"/>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rPr>
        <w:t>2</w:t>
      </w:r>
      <w:r>
        <w:rPr>
          <w:rFonts w:hint="eastAsia" w:ascii="宋体" w:hAnsi="宋体" w:eastAsia="宋体" w:cs="宋体"/>
          <w:sz w:val="24"/>
          <w:szCs w:val="24"/>
          <w:lang w:val="zh-CN"/>
        </w:rPr>
        <w:t>）要求提供相关资料的；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lang w:val="zh-CN"/>
        </w:rPr>
        <w:t>投标报价超过采购预算额度的；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（7）交货时间、磋商有效期、法定代表人授权期限不能满足磋商文件要求的；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（9）响应文件中附有采购人不能接受的条件的；</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（10）磋商小组认为应按无效响应处理的其他情况；</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（11）法律、法规规定的其他情形。</w:t>
      </w:r>
    </w:p>
    <w:p>
      <w:pPr>
        <w:tabs>
          <w:tab w:val="left" w:pos="8787"/>
        </w:tabs>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sz w:val="24"/>
          <w:szCs w:val="24"/>
        </w:rPr>
      </w:pPr>
      <w:bookmarkStart w:id="93" w:name="_Toc20611"/>
      <w:bookmarkStart w:id="94" w:name="_Toc13668"/>
      <w:bookmarkStart w:id="95" w:name="_Toc376936755"/>
      <w:bookmarkStart w:id="96" w:name="_Toc325726024"/>
      <w:r>
        <w:rPr>
          <w:rFonts w:hint="eastAsia" w:ascii="宋体" w:hAnsi="宋体" w:eastAsia="宋体" w:cs="宋体"/>
          <w:b/>
          <w:bCs/>
          <w:sz w:val="24"/>
          <w:szCs w:val="24"/>
        </w:rPr>
        <w:t>17.评审办法</w:t>
      </w:r>
      <w:bookmarkEnd w:id="93"/>
      <w:bookmarkEnd w:id="94"/>
      <w:bookmarkEnd w:id="95"/>
      <w:bookmarkEnd w:id="96"/>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sz w:val="24"/>
          <w:szCs w:val="24"/>
        </w:rPr>
      </w:pPr>
    </w:p>
    <w:p>
      <w:pPr>
        <w:spacing w:line="360" w:lineRule="auto"/>
        <w:ind w:firstLine="0" w:firstLineChars="0"/>
        <w:jc w:val="left"/>
        <w:rPr>
          <w:rFonts w:hint="eastAsia" w:ascii="宋体" w:hAnsi="宋体" w:eastAsia="宋体" w:cs="宋体"/>
          <w:sz w:val="24"/>
          <w:szCs w:val="24"/>
        </w:rPr>
      </w:pP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rPr>
        <w:t>17.2评审标准和分值分配：</w:t>
      </w:r>
    </w:p>
    <w:p>
      <w:pPr>
        <w:autoSpaceDE w:val="0"/>
        <w:autoSpaceDN w:val="0"/>
        <w:adjustRightInd w:val="0"/>
        <w:ind w:firstLine="240" w:firstLineChars="100"/>
        <w:jc w:val="left"/>
        <w:rPr>
          <w:rFonts w:hint="eastAsia" w:ascii="宋体" w:hAnsi="宋体" w:eastAsia="宋体" w:cs="宋体"/>
          <w:sz w:val="24"/>
          <w:lang w:val="zh-CN"/>
        </w:rPr>
      </w:pPr>
      <w:r>
        <w:rPr>
          <w:rFonts w:hint="eastAsia" w:ascii="宋体" w:hAnsi="宋体" w:eastAsia="宋体" w:cs="宋体"/>
          <w:sz w:val="24"/>
          <w:lang w:val="zh-CN"/>
        </w:rPr>
        <w:t>具体项目及评分细则：</w:t>
      </w:r>
    </w:p>
    <w:tbl>
      <w:tblPr>
        <w:tblStyle w:val="21"/>
        <w:tblW w:w="9140" w:type="dxa"/>
        <w:jc w:val="center"/>
        <w:tblLayout w:type="fixed"/>
        <w:tblCellMar>
          <w:top w:w="0" w:type="dxa"/>
          <w:left w:w="108" w:type="dxa"/>
          <w:bottom w:w="0" w:type="dxa"/>
          <w:right w:w="108" w:type="dxa"/>
        </w:tblCellMar>
      </w:tblPr>
      <w:tblGrid>
        <w:gridCol w:w="503"/>
        <w:gridCol w:w="1536"/>
        <w:gridCol w:w="7101"/>
      </w:tblGrid>
      <w:tr>
        <w:tblPrEx>
          <w:tblCellMar>
            <w:top w:w="0" w:type="dxa"/>
            <w:left w:w="108" w:type="dxa"/>
            <w:bottom w:w="0" w:type="dxa"/>
            <w:right w:w="108" w:type="dxa"/>
          </w:tblCellMar>
        </w:tblPrEx>
        <w:trPr>
          <w:trHeight w:val="705" w:hRule="atLeast"/>
          <w:jc w:val="center"/>
        </w:trPr>
        <w:tc>
          <w:tcPr>
            <w:tcW w:w="503"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00" w:lineRule="exact"/>
              <w:ind w:firstLine="420"/>
              <w:jc w:val="center"/>
              <w:rPr>
                <w:rFonts w:hint="eastAsia" w:ascii="宋体" w:hAnsi="宋体" w:eastAsia="宋体" w:cs="宋体"/>
                <w:color w:val="000000"/>
                <w:lang w:val="zh-CN"/>
              </w:rPr>
            </w:pPr>
            <w:r>
              <w:rPr>
                <w:rFonts w:hint="eastAsia" w:ascii="宋体" w:hAnsi="宋体" w:eastAsia="宋体" w:cs="宋体"/>
                <w:color w:val="000000"/>
                <w:lang w:val="zh-CN"/>
              </w:rPr>
              <w:t>序号</w:t>
            </w:r>
          </w:p>
        </w:tc>
        <w:tc>
          <w:tcPr>
            <w:tcW w:w="1536"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left="0" w:leftChars="0" w:firstLine="0" w:firstLineChars="0"/>
              <w:rPr>
                <w:rFonts w:hint="eastAsia" w:ascii="宋体" w:hAnsi="宋体" w:eastAsia="宋体" w:cs="宋体"/>
                <w:color w:val="000000"/>
              </w:rPr>
            </w:pPr>
            <w:r>
              <w:rPr>
                <w:rFonts w:hint="eastAsia" w:ascii="宋体" w:hAnsi="宋体" w:eastAsia="宋体" w:cs="宋体"/>
                <w:color w:val="000000"/>
                <w:lang w:val="zh-CN"/>
              </w:rPr>
              <w:t>评审</w:t>
            </w:r>
            <w:r>
              <w:rPr>
                <w:rFonts w:hint="eastAsia" w:ascii="宋体" w:hAnsi="宋体" w:eastAsia="宋体" w:cs="宋体"/>
                <w:color w:val="000000"/>
              </w:rPr>
              <w:t>因素</w:t>
            </w:r>
          </w:p>
        </w:tc>
        <w:tc>
          <w:tcPr>
            <w:tcW w:w="7101"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firstLine="420"/>
              <w:jc w:val="center"/>
              <w:rPr>
                <w:rFonts w:hint="eastAsia" w:ascii="宋体" w:hAnsi="宋体" w:eastAsia="宋体" w:cs="宋体"/>
                <w:color w:val="000000"/>
                <w:lang w:val="zh-CN"/>
              </w:rPr>
            </w:pPr>
            <w:r>
              <w:rPr>
                <w:rFonts w:hint="eastAsia" w:ascii="宋体" w:hAnsi="宋体" w:eastAsia="宋体" w:cs="宋体"/>
                <w:color w:val="000000"/>
              </w:rPr>
              <w:t>评审标准</w:t>
            </w:r>
          </w:p>
        </w:tc>
      </w:tr>
      <w:tr>
        <w:tblPrEx>
          <w:tblCellMar>
            <w:top w:w="0" w:type="dxa"/>
            <w:left w:w="108" w:type="dxa"/>
            <w:bottom w:w="0" w:type="dxa"/>
            <w:right w:w="108" w:type="dxa"/>
          </w:tblCellMar>
        </w:tblPrEx>
        <w:trPr>
          <w:trHeight w:val="4523" w:hRule="atLeast"/>
          <w:jc w:val="center"/>
        </w:trPr>
        <w:tc>
          <w:tcPr>
            <w:tcW w:w="503"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firstLine="420"/>
              <w:jc w:val="center"/>
              <w:rPr>
                <w:rFonts w:hint="eastAsia" w:ascii="宋体" w:hAnsi="宋体" w:eastAsia="宋体" w:cs="宋体"/>
                <w:color w:val="000000"/>
              </w:rPr>
            </w:pPr>
            <w:r>
              <w:rPr>
                <w:rFonts w:hint="eastAsia" w:ascii="宋体" w:hAnsi="宋体" w:eastAsia="宋体" w:cs="宋体"/>
                <w:color w:val="000000"/>
              </w:rPr>
              <w:t>1</w:t>
            </w:r>
          </w:p>
        </w:tc>
        <w:tc>
          <w:tcPr>
            <w:tcW w:w="1536"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left="0" w:leftChars="0" w:firstLine="0" w:firstLineChars="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投标报价</w:t>
            </w:r>
          </w:p>
          <w:p>
            <w:pPr>
              <w:pStyle w:val="18"/>
              <w:widowControl/>
              <w:spacing w:before="0" w:beforeAutospacing="0" w:after="0" w:afterAutospacing="0" w:line="360" w:lineRule="auto"/>
              <w:ind w:left="0" w:leftChars="0" w:firstLine="0" w:firstLineChars="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w:t>
            </w:r>
            <w:r>
              <w:rPr>
                <w:rFonts w:hint="eastAsia" w:ascii="宋体" w:hAnsi="宋体" w:eastAsia="宋体" w:cs="宋体"/>
                <w:color w:val="000000"/>
              </w:rPr>
              <w:t>30分</w:t>
            </w:r>
            <w:r>
              <w:rPr>
                <w:rFonts w:hint="eastAsia" w:ascii="宋体" w:hAnsi="宋体" w:eastAsia="宋体" w:cs="宋体"/>
                <w:color w:val="000000"/>
                <w:shd w:val="clear" w:color="auto" w:fill="FFFFFF"/>
              </w:rPr>
              <w:t>)</w:t>
            </w:r>
          </w:p>
        </w:tc>
        <w:tc>
          <w:tcPr>
            <w:tcW w:w="7101"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firstLine="420"/>
              <w:jc w:val="both"/>
              <w:rPr>
                <w:rFonts w:hint="eastAsia" w:ascii="宋体" w:hAnsi="宋体" w:eastAsia="宋体" w:cs="宋体"/>
                <w:color w:val="000000"/>
                <w:szCs w:val="22"/>
                <w:lang w:val="zh-CN"/>
              </w:rPr>
            </w:pPr>
            <w:r>
              <w:rPr>
                <w:rFonts w:hint="eastAsia" w:ascii="宋体" w:hAnsi="宋体" w:eastAsia="宋体" w:cs="宋体"/>
                <w:color w:val="000000"/>
                <w:szCs w:val="22"/>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pStyle w:val="18"/>
              <w:widowControl/>
              <w:spacing w:before="0" w:beforeAutospacing="0" w:after="0" w:afterAutospacing="0" w:line="360" w:lineRule="auto"/>
              <w:ind w:firstLine="420"/>
              <w:jc w:val="both"/>
              <w:rPr>
                <w:rFonts w:hint="eastAsia" w:ascii="宋体" w:hAnsi="宋体" w:eastAsia="宋体" w:cs="宋体"/>
                <w:color w:val="000000"/>
                <w:szCs w:val="22"/>
                <w:lang w:val="zh-CN"/>
              </w:rPr>
            </w:pPr>
            <w:r>
              <w:rPr>
                <w:rFonts w:hint="eastAsia" w:ascii="宋体" w:hAnsi="宋体" w:eastAsia="宋体" w:cs="宋体"/>
                <w:color w:val="000000"/>
                <w:szCs w:val="22"/>
                <w:lang w:val="zh-CN"/>
              </w:rPr>
              <w:t>注：1.根据《政府采购促进中小企业发展暂行办法》的相关规定，对小型和微型企业制造（生产）产品的价格给予6%的扣除，用扣除后的价格参与评审。</w:t>
            </w:r>
          </w:p>
          <w:p>
            <w:pPr>
              <w:pStyle w:val="18"/>
              <w:widowControl/>
              <w:spacing w:before="0" w:beforeAutospacing="0" w:after="0" w:afterAutospacing="0" w:line="360" w:lineRule="auto"/>
              <w:ind w:firstLine="420"/>
              <w:jc w:val="both"/>
              <w:rPr>
                <w:rFonts w:hint="eastAsia" w:ascii="宋体" w:hAnsi="宋体" w:eastAsia="宋体" w:cs="宋体"/>
                <w:color w:val="000000"/>
                <w:szCs w:val="22"/>
                <w:lang w:val="zh-CN"/>
              </w:rPr>
            </w:pPr>
            <w:r>
              <w:rPr>
                <w:rFonts w:hint="eastAsia" w:ascii="宋体" w:hAnsi="宋体" w:eastAsia="宋体" w:cs="宋体"/>
                <w:color w:val="000000"/>
                <w:szCs w:val="22"/>
                <w:lang w:val="zh-CN"/>
              </w:rPr>
              <w:t>2.残疾人福利性单位属于小型、微型企业的，不重复享受政策。</w:t>
            </w:r>
          </w:p>
          <w:p>
            <w:pPr>
              <w:pStyle w:val="18"/>
              <w:widowControl/>
              <w:spacing w:before="0" w:beforeAutospacing="0" w:after="0" w:afterAutospacing="0" w:line="360" w:lineRule="auto"/>
              <w:ind w:firstLine="420"/>
              <w:jc w:val="both"/>
              <w:rPr>
                <w:rFonts w:hint="eastAsia" w:ascii="宋体" w:hAnsi="宋体" w:eastAsia="宋体" w:cs="宋体"/>
                <w:color w:val="000000"/>
                <w:shd w:val="clear" w:color="auto" w:fill="FFFFFF"/>
              </w:rPr>
            </w:pPr>
            <w:r>
              <w:rPr>
                <w:rFonts w:hint="eastAsia" w:ascii="宋体" w:hAnsi="宋体" w:eastAsia="宋体" w:cs="宋体"/>
                <w:color w:val="000000"/>
                <w:szCs w:val="22"/>
                <w:lang w:val="zh-CN"/>
              </w:rPr>
              <w:t>3.根据《关于促进残疾人就业政府采购政策的通知》（财库（2017）141号），残疾人福利性单位视同小型、微型企业。</w:t>
            </w:r>
          </w:p>
        </w:tc>
      </w:tr>
      <w:tr>
        <w:tblPrEx>
          <w:tblCellMar>
            <w:top w:w="0" w:type="dxa"/>
            <w:left w:w="108" w:type="dxa"/>
            <w:bottom w:w="0" w:type="dxa"/>
            <w:right w:w="108" w:type="dxa"/>
          </w:tblCellMar>
        </w:tblPrEx>
        <w:trPr>
          <w:trHeight w:val="991" w:hRule="atLeast"/>
          <w:jc w:val="center"/>
        </w:trPr>
        <w:tc>
          <w:tcPr>
            <w:tcW w:w="503"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firstLine="420"/>
              <w:jc w:val="center"/>
              <w:rPr>
                <w:rFonts w:hint="eastAsia" w:ascii="宋体" w:hAnsi="宋体" w:eastAsia="宋体" w:cs="宋体"/>
                <w:color w:val="000000"/>
              </w:rPr>
            </w:pPr>
            <w:r>
              <w:rPr>
                <w:rFonts w:hint="eastAsia" w:ascii="宋体" w:hAnsi="宋体" w:eastAsia="宋体" w:cs="宋体"/>
                <w:color w:val="000000"/>
              </w:rPr>
              <w:t>2</w:t>
            </w:r>
          </w:p>
        </w:tc>
        <w:tc>
          <w:tcPr>
            <w:tcW w:w="1536"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numPr>
                <w:ilvl w:val="0"/>
                <w:numId w:val="0"/>
              </w:numPr>
              <w:spacing w:before="0" w:beforeAutospacing="0" w:after="0" w:afterAutospacing="0" w:line="360" w:lineRule="auto"/>
              <w:jc w:val="both"/>
              <w:rPr>
                <w:rFonts w:hint="eastAsia" w:ascii="宋体" w:hAnsi="宋体" w:eastAsia="宋体" w:cs="宋体"/>
                <w:color w:val="000000"/>
                <w:szCs w:val="22"/>
                <w:lang w:val="zh-CN"/>
              </w:rPr>
            </w:pPr>
            <w:r>
              <w:rPr>
                <w:rFonts w:hint="eastAsia" w:ascii="宋体" w:hAnsi="宋体" w:eastAsia="宋体" w:cs="宋体"/>
                <w:color w:val="000000"/>
                <w:szCs w:val="22"/>
                <w:lang w:val="zh-CN"/>
              </w:rPr>
              <w:t>技术水平（</w:t>
            </w:r>
            <w:r>
              <w:rPr>
                <w:rFonts w:hint="eastAsia" w:eastAsia="宋体" w:cs="宋体"/>
                <w:color w:val="000000"/>
                <w:szCs w:val="22"/>
                <w:lang w:val="en-US" w:eastAsia="zh-CN"/>
              </w:rPr>
              <w:t>54</w:t>
            </w:r>
            <w:r>
              <w:rPr>
                <w:rFonts w:hint="eastAsia" w:ascii="宋体" w:hAnsi="宋体" w:eastAsia="宋体" w:cs="宋体"/>
                <w:color w:val="000000"/>
                <w:szCs w:val="22"/>
                <w:lang w:val="zh-CN"/>
              </w:rPr>
              <w:t>分）</w:t>
            </w:r>
          </w:p>
        </w:tc>
        <w:tc>
          <w:tcPr>
            <w:tcW w:w="7101"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left="0" w:leftChars="0" w:firstLine="0" w:firstLineChars="0"/>
              <w:jc w:val="both"/>
              <w:rPr>
                <w:rFonts w:hint="default" w:ascii="宋体" w:hAnsi="宋体" w:eastAsia="宋体" w:cs="宋体"/>
                <w:color w:val="000000"/>
                <w:szCs w:val="22"/>
                <w:lang w:val="en-US" w:eastAsia="zh-CN"/>
              </w:rPr>
            </w:pPr>
            <w:r>
              <w:rPr>
                <w:rFonts w:hint="eastAsia" w:ascii="宋体" w:hAnsi="宋体" w:eastAsia="宋体" w:cs="宋体"/>
                <w:color w:val="000000"/>
                <w:szCs w:val="22"/>
                <w:lang w:val="zh-CN"/>
              </w:rPr>
              <w:t>（1）</w:t>
            </w:r>
            <w:r>
              <w:rPr>
                <w:rFonts w:hint="eastAsia" w:ascii="宋体" w:hAnsi="宋体" w:eastAsia="宋体" w:cs="宋体"/>
                <w:color w:val="000000"/>
                <w:szCs w:val="22"/>
              </w:rPr>
              <w:t>技术参数：投标产品技术参数和配置完全满足或高于招标文件要求的，得</w:t>
            </w:r>
            <w:r>
              <w:rPr>
                <w:rFonts w:hint="eastAsia" w:eastAsia="宋体" w:cs="宋体"/>
                <w:color w:val="000000"/>
                <w:szCs w:val="22"/>
                <w:lang w:val="en-US" w:eastAsia="zh-CN"/>
              </w:rPr>
              <w:t>36</w:t>
            </w:r>
            <w:r>
              <w:rPr>
                <w:rFonts w:hint="eastAsia" w:ascii="宋体" w:hAnsi="宋体" w:eastAsia="宋体" w:cs="宋体"/>
                <w:color w:val="000000"/>
                <w:szCs w:val="22"/>
              </w:rPr>
              <w:t>分；每有一项负偏离一项扣</w:t>
            </w:r>
            <w:r>
              <w:rPr>
                <w:rFonts w:hint="eastAsia" w:eastAsia="宋体" w:cs="宋体"/>
                <w:color w:val="000000"/>
                <w:szCs w:val="22"/>
                <w:lang w:val="en-US" w:eastAsia="zh-CN"/>
              </w:rPr>
              <w:t>2</w:t>
            </w:r>
            <w:r>
              <w:rPr>
                <w:rFonts w:hint="eastAsia" w:ascii="宋体" w:hAnsi="宋体" w:eastAsia="宋体" w:cs="宋体"/>
                <w:color w:val="000000"/>
                <w:szCs w:val="22"/>
              </w:rPr>
              <w:t>分，直至扣完该项得分为止。</w:t>
            </w:r>
          </w:p>
          <w:p>
            <w:pPr>
              <w:pStyle w:val="18"/>
              <w:widowControl/>
              <w:spacing w:before="0" w:beforeAutospacing="0" w:after="0" w:afterAutospacing="0" w:line="360" w:lineRule="auto"/>
              <w:ind w:left="0" w:leftChars="0" w:firstLine="0" w:firstLineChars="0"/>
              <w:jc w:val="both"/>
              <w:rPr>
                <w:rFonts w:hint="eastAsia" w:ascii="宋体" w:hAnsi="宋体" w:eastAsia="宋体" w:cs="宋体"/>
                <w:color w:val="000000"/>
                <w:lang w:val="zh-CN"/>
              </w:rPr>
            </w:pPr>
            <w:r>
              <w:rPr>
                <w:rFonts w:hint="eastAsia" w:ascii="宋体" w:hAnsi="宋体" w:eastAsia="宋体" w:cs="宋体"/>
                <w:color w:val="000000"/>
                <w:lang w:val="zh-CN"/>
              </w:rPr>
              <w:t>（</w:t>
            </w:r>
            <w:r>
              <w:rPr>
                <w:rFonts w:hint="eastAsia" w:ascii="宋体" w:hAnsi="宋体" w:eastAsia="宋体" w:cs="宋体"/>
                <w:color w:val="000000"/>
              </w:rPr>
              <w:t>2</w:t>
            </w:r>
            <w:r>
              <w:rPr>
                <w:rFonts w:hint="eastAsia" w:ascii="宋体" w:hAnsi="宋体" w:eastAsia="宋体" w:cs="宋体"/>
                <w:color w:val="000000"/>
                <w:lang w:val="zh-CN"/>
              </w:rPr>
              <w:t>）节能和环保：</w:t>
            </w:r>
            <w:r>
              <w:rPr>
                <w:rFonts w:hint="eastAsia" w:ascii="宋体" w:hAnsi="宋体" w:eastAsia="宋体" w:cs="宋体"/>
                <w:color w:val="000000"/>
              </w:rPr>
              <w:t>所投产品为节能产品，每提供1份得</w:t>
            </w:r>
            <w:r>
              <w:rPr>
                <w:rFonts w:hint="eastAsia" w:eastAsia="宋体" w:cs="宋体"/>
                <w:color w:val="000000"/>
                <w:lang w:val="en-US" w:eastAsia="zh-CN"/>
              </w:rPr>
              <w:t>1</w:t>
            </w:r>
            <w:r>
              <w:rPr>
                <w:rFonts w:hint="eastAsia" w:ascii="宋体" w:hAnsi="宋体" w:eastAsia="宋体" w:cs="宋体"/>
                <w:color w:val="000000"/>
              </w:rPr>
              <w:t>分</w:t>
            </w:r>
            <w:r>
              <w:rPr>
                <w:rFonts w:hint="eastAsia" w:ascii="宋体" w:hAnsi="宋体" w:eastAsia="宋体" w:cs="宋体"/>
                <w:color w:val="000000"/>
                <w:lang w:val="zh-CN"/>
              </w:rPr>
              <w:t>；</w:t>
            </w:r>
            <w:r>
              <w:rPr>
                <w:rFonts w:hint="eastAsia" w:ascii="宋体" w:hAnsi="宋体" w:eastAsia="宋体" w:cs="宋体"/>
                <w:color w:val="000000"/>
              </w:rPr>
              <w:t>所投产品为环保产品，每提供1份得</w:t>
            </w:r>
            <w:r>
              <w:rPr>
                <w:rFonts w:hint="eastAsia" w:eastAsia="宋体" w:cs="宋体"/>
                <w:color w:val="000000"/>
                <w:lang w:val="en-US" w:eastAsia="zh-CN"/>
              </w:rPr>
              <w:t>1</w:t>
            </w:r>
            <w:r>
              <w:rPr>
                <w:rFonts w:hint="eastAsia" w:ascii="宋体" w:hAnsi="宋体" w:eastAsia="宋体" w:cs="宋体"/>
                <w:color w:val="000000"/>
              </w:rPr>
              <w:t>分</w:t>
            </w:r>
            <w:r>
              <w:rPr>
                <w:rFonts w:hint="eastAsia" w:ascii="宋体" w:hAnsi="宋体" w:eastAsia="宋体" w:cs="宋体"/>
                <w:color w:val="000000"/>
                <w:lang w:val="zh-CN"/>
              </w:rPr>
              <w:t>；最多</w:t>
            </w:r>
            <w:r>
              <w:rPr>
                <w:rFonts w:hint="eastAsia" w:eastAsia="宋体" w:cs="宋体"/>
                <w:color w:val="000000"/>
                <w:lang w:val="zh-CN"/>
              </w:rPr>
              <w:t>得</w:t>
            </w:r>
            <w:r>
              <w:rPr>
                <w:rFonts w:hint="eastAsia" w:eastAsia="宋体" w:cs="宋体"/>
                <w:color w:val="000000"/>
                <w:lang w:val="en-US" w:eastAsia="zh-CN"/>
              </w:rPr>
              <w:t>2</w:t>
            </w:r>
            <w:r>
              <w:rPr>
                <w:rFonts w:hint="eastAsia" w:ascii="宋体" w:hAnsi="宋体" w:eastAsia="宋体" w:cs="宋体"/>
                <w:color w:val="000000"/>
                <w:lang w:val="zh-CN"/>
              </w:rPr>
              <w:t>分，未提供不得分。该项得分的认定以《国家节能产品认证证书》、《中国环境标志产品认证证书》和政府部门公布的《节能产品政府采购清单》、《环境标志产品政府采购清单》网页截屏为准</w:t>
            </w:r>
          </w:p>
          <w:p>
            <w:pPr>
              <w:pStyle w:val="18"/>
              <w:widowControl/>
              <w:spacing w:before="0" w:beforeAutospacing="0" w:after="0" w:afterAutospacing="0" w:line="360" w:lineRule="auto"/>
              <w:ind w:left="0" w:leftChars="0" w:firstLine="0" w:firstLineChars="0"/>
              <w:jc w:val="both"/>
              <w:rPr>
                <w:rFonts w:hint="eastAsia" w:ascii="宋体" w:hAnsi="宋体" w:eastAsia="宋体" w:cs="宋体"/>
                <w:color w:val="000000"/>
                <w:lang w:val="zh-CN" w:eastAsia="zh-CN"/>
              </w:rPr>
            </w:pPr>
            <w:r>
              <w:rPr>
                <w:rFonts w:hint="eastAsia" w:ascii="宋体" w:hAnsi="宋体" w:eastAsia="宋体" w:cs="宋体"/>
                <w:color w:val="000000"/>
                <w:lang w:val="zh-CN" w:eastAsia="zh-CN"/>
              </w:rPr>
              <w:t>（</w:t>
            </w:r>
            <w:r>
              <w:rPr>
                <w:rFonts w:hint="eastAsia" w:eastAsia="宋体" w:cs="宋体"/>
                <w:color w:val="000000"/>
                <w:lang w:val="en-US" w:eastAsia="zh-CN"/>
              </w:rPr>
              <w:t>3</w:t>
            </w:r>
            <w:r>
              <w:rPr>
                <w:rFonts w:hint="eastAsia" w:ascii="宋体" w:hAnsi="宋体" w:eastAsia="宋体" w:cs="宋体"/>
                <w:color w:val="000000"/>
                <w:lang w:val="zh-CN" w:eastAsia="zh-CN"/>
              </w:rPr>
              <w:t>）项目管理及实施方案:设置了项目管理机构，并且有科学、具体的项目管理措施，能够结合项目特点制定实施方案，</w:t>
            </w:r>
            <w:r>
              <w:rPr>
                <w:rFonts w:hint="eastAsia" w:eastAsia="宋体" w:cs="宋体"/>
                <w:color w:val="000000"/>
                <w:lang w:val="zh-CN" w:eastAsia="zh-CN"/>
              </w:rPr>
              <w:t>优秀</w:t>
            </w:r>
            <w:r>
              <w:rPr>
                <w:rFonts w:hint="eastAsia" w:ascii="宋体" w:hAnsi="宋体" w:eastAsia="宋体" w:cs="宋体"/>
                <w:color w:val="000000"/>
                <w:lang w:val="zh-CN" w:eastAsia="zh-CN"/>
              </w:rPr>
              <w:t>得</w:t>
            </w:r>
            <w:r>
              <w:rPr>
                <w:rFonts w:hint="eastAsia" w:eastAsia="宋体" w:cs="宋体"/>
                <w:color w:val="000000"/>
                <w:lang w:val="en-US" w:eastAsia="zh-CN"/>
              </w:rPr>
              <w:t>7</w:t>
            </w:r>
            <w:r>
              <w:rPr>
                <w:rFonts w:hint="eastAsia" w:ascii="宋体" w:hAnsi="宋体" w:eastAsia="宋体" w:cs="宋体"/>
                <w:color w:val="000000"/>
                <w:lang w:val="zh-CN" w:eastAsia="zh-CN"/>
              </w:rPr>
              <w:t>分</w:t>
            </w:r>
            <w:r>
              <w:rPr>
                <w:rFonts w:hint="eastAsia" w:eastAsia="宋体" w:cs="宋体"/>
                <w:color w:val="000000"/>
                <w:lang w:val="zh-CN" w:eastAsia="zh-CN"/>
              </w:rPr>
              <w:t>，良好</w:t>
            </w:r>
            <w:r>
              <w:rPr>
                <w:rFonts w:hint="eastAsia" w:ascii="宋体" w:hAnsi="宋体" w:eastAsia="宋体" w:cs="宋体"/>
                <w:color w:val="000000"/>
                <w:lang w:val="zh-CN" w:eastAsia="zh-CN"/>
              </w:rPr>
              <w:t>得</w:t>
            </w:r>
            <w:r>
              <w:rPr>
                <w:rFonts w:hint="eastAsia" w:eastAsia="宋体" w:cs="宋体"/>
                <w:color w:val="000000"/>
                <w:lang w:val="en-US" w:eastAsia="zh-CN"/>
              </w:rPr>
              <w:t>5</w:t>
            </w:r>
            <w:r>
              <w:rPr>
                <w:rFonts w:hint="eastAsia" w:ascii="宋体" w:hAnsi="宋体" w:eastAsia="宋体" w:cs="宋体"/>
                <w:color w:val="000000"/>
                <w:lang w:val="zh-CN" w:eastAsia="zh-CN"/>
              </w:rPr>
              <w:t>分</w:t>
            </w:r>
            <w:r>
              <w:rPr>
                <w:rFonts w:hint="eastAsia" w:eastAsia="宋体" w:cs="宋体"/>
                <w:color w:val="000000"/>
                <w:lang w:val="zh-CN" w:eastAsia="zh-CN"/>
              </w:rPr>
              <w:t>，</w:t>
            </w:r>
            <w:r>
              <w:rPr>
                <w:rFonts w:hint="eastAsia" w:ascii="宋体" w:hAnsi="宋体" w:eastAsia="宋体" w:cs="宋体"/>
                <w:color w:val="000000"/>
                <w:lang w:val="zh-CN" w:eastAsia="zh-CN"/>
              </w:rPr>
              <w:t>一般得</w:t>
            </w:r>
            <w:r>
              <w:rPr>
                <w:rFonts w:hint="eastAsia" w:eastAsia="宋体" w:cs="宋体"/>
                <w:color w:val="000000"/>
                <w:lang w:val="en-US" w:eastAsia="zh-CN"/>
              </w:rPr>
              <w:t>3</w:t>
            </w:r>
            <w:r>
              <w:rPr>
                <w:rFonts w:hint="eastAsia" w:ascii="宋体" w:hAnsi="宋体" w:eastAsia="宋体" w:cs="宋体"/>
                <w:color w:val="000000"/>
                <w:lang w:val="zh-CN" w:eastAsia="zh-CN"/>
              </w:rPr>
              <w:t>分</w:t>
            </w:r>
            <w:r>
              <w:rPr>
                <w:rFonts w:hint="eastAsia" w:eastAsia="宋体" w:cs="宋体"/>
                <w:color w:val="000000"/>
                <w:lang w:val="zh-CN" w:eastAsia="zh-CN"/>
              </w:rPr>
              <w:t>，</w:t>
            </w:r>
            <w:r>
              <w:rPr>
                <w:rFonts w:hint="eastAsia" w:ascii="宋体" w:hAnsi="宋体" w:eastAsia="宋体" w:cs="宋体"/>
                <w:color w:val="000000"/>
                <w:lang w:val="zh-CN" w:eastAsia="zh-CN"/>
              </w:rPr>
              <w:t>差</w:t>
            </w:r>
            <w:r>
              <w:rPr>
                <w:rFonts w:hint="eastAsia" w:eastAsia="宋体" w:cs="宋体"/>
                <w:color w:val="000000"/>
                <w:lang w:val="zh-CN" w:eastAsia="zh-CN"/>
              </w:rPr>
              <w:t>的得</w:t>
            </w:r>
            <w:r>
              <w:rPr>
                <w:rFonts w:hint="eastAsia" w:eastAsia="宋体" w:cs="宋体"/>
                <w:color w:val="000000"/>
                <w:lang w:val="en-US" w:eastAsia="zh-CN"/>
              </w:rPr>
              <w:t>1分，</w:t>
            </w:r>
            <w:r>
              <w:rPr>
                <w:rFonts w:hint="eastAsia" w:ascii="宋体" w:hAnsi="宋体" w:eastAsia="宋体" w:cs="宋体"/>
                <w:color w:val="000000"/>
                <w:lang w:val="zh-CN" w:eastAsia="zh-CN"/>
              </w:rPr>
              <w:t>未提供的不得分。</w:t>
            </w:r>
          </w:p>
          <w:p>
            <w:pPr>
              <w:pStyle w:val="18"/>
              <w:widowControl/>
              <w:spacing w:before="0" w:beforeAutospacing="0" w:after="0" w:afterAutospacing="0" w:line="360" w:lineRule="auto"/>
              <w:ind w:left="0" w:leftChars="0" w:firstLine="0" w:firstLineChars="0"/>
              <w:jc w:val="both"/>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w:t>
            </w:r>
            <w:r>
              <w:rPr>
                <w:rFonts w:hint="eastAsia" w:eastAsia="宋体" w:cs="宋体"/>
                <w:color w:val="000000"/>
                <w:szCs w:val="22"/>
                <w:lang w:val="en-US" w:eastAsia="zh-CN"/>
              </w:rPr>
              <w:t>4</w:t>
            </w:r>
            <w:r>
              <w:rPr>
                <w:rFonts w:hint="eastAsia" w:ascii="宋体" w:hAnsi="宋体" w:eastAsia="宋体" w:cs="宋体"/>
                <w:color w:val="000000"/>
                <w:szCs w:val="22"/>
                <w:lang w:val="en-US" w:eastAsia="zh-CN"/>
              </w:rPr>
              <w:t>)质量保证：根据各投标人的质量保证措施和承诺等进行比较、评议，优秀得</w:t>
            </w:r>
            <w:r>
              <w:rPr>
                <w:rFonts w:hint="eastAsia" w:eastAsia="宋体" w:cs="宋体"/>
                <w:color w:val="000000"/>
                <w:szCs w:val="22"/>
                <w:lang w:val="en-US" w:eastAsia="zh-CN"/>
              </w:rPr>
              <w:t>6</w:t>
            </w:r>
            <w:r>
              <w:rPr>
                <w:rFonts w:hint="eastAsia" w:ascii="宋体" w:hAnsi="宋体" w:eastAsia="宋体" w:cs="宋体"/>
                <w:color w:val="000000"/>
                <w:szCs w:val="22"/>
                <w:lang w:val="en-US" w:eastAsia="zh-CN"/>
              </w:rPr>
              <w:t>分</w:t>
            </w:r>
            <w:r>
              <w:rPr>
                <w:rFonts w:hint="eastAsia" w:eastAsia="宋体" w:cs="宋体"/>
                <w:color w:val="000000"/>
                <w:szCs w:val="22"/>
                <w:lang w:val="en-US" w:eastAsia="zh-CN"/>
              </w:rPr>
              <w:t>，</w:t>
            </w:r>
            <w:r>
              <w:rPr>
                <w:rFonts w:hint="eastAsia" w:ascii="宋体" w:hAnsi="宋体" w:eastAsia="宋体" w:cs="宋体"/>
                <w:color w:val="000000"/>
                <w:szCs w:val="22"/>
                <w:lang w:val="en-US" w:eastAsia="zh-CN"/>
              </w:rPr>
              <w:t>良好得</w:t>
            </w:r>
            <w:r>
              <w:rPr>
                <w:rFonts w:hint="eastAsia" w:eastAsia="宋体" w:cs="宋体"/>
                <w:color w:val="000000"/>
                <w:szCs w:val="22"/>
                <w:lang w:val="en-US" w:eastAsia="zh-CN"/>
              </w:rPr>
              <w:t>4</w:t>
            </w:r>
            <w:r>
              <w:rPr>
                <w:rFonts w:hint="eastAsia" w:ascii="宋体" w:hAnsi="宋体" w:eastAsia="宋体" w:cs="宋体"/>
                <w:color w:val="000000"/>
                <w:szCs w:val="22"/>
                <w:lang w:val="en-US" w:eastAsia="zh-CN"/>
              </w:rPr>
              <w:t>分</w:t>
            </w:r>
            <w:r>
              <w:rPr>
                <w:rFonts w:hint="eastAsia" w:eastAsia="宋体" w:cs="宋体"/>
                <w:color w:val="000000"/>
                <w:szCs w:val="22"/>
                <w:lang w:val="en-US" w:eastAsia="zh-CN"/>
              </w:rPr>
              <w:t>，</w:t>
            </w:r>
            <w:r>
              <w:rPr>
                <w:rFonts w:hint="eastAsia" w:ascii="宋体" w:hAnsi="宋体" w:eastAsia="宋体" w:cs="宋体"/>
                <w:color w:val="000000"/>
                <w:lang w:val="zh-CN" w:eastAsia="zh-CN"/>
              </w:rPr>
              <w:t>一般得</w:t>
            </w:r>
            <w:r>
              <w:rPr>
                <w:rFonts w:hint="eastAsia" w:eastAsia="宋体" w:cs="宋体"/>
                <w:color w:val="000000"/>
                <w:lang w:val="en-US" w:eastAsia="zh-CN"/>
              </w:rPr>
              <w:t>2</w:t>
            </w:r>
            <w:r>
              <w:rPr>
                <w:rFonts w:hint="eastAsia" w:ascii="宋体" w:hAnsi="宋体" w:eastAsia="宋体" w:cs="宋体"/>
                <w:color w:val="000000"/>
                <w:lang w:val="zh-CN" w:eastAsia="zh-CN"/>
              </w:rPr>
              <w:t>分</w:t>
            </w:r>
            <w:r>
              <w:rPr>
                <w:rFonts w:hint="eastAsia" w:eastAsia="宋体" w:cs="宋体"/>
                <w:color w:val="000000"/>
                <w:lang w:val="zh-CN" w:eastAsia="zh-CN"/>
              </w:rPr>
              <w:t>，</w:t>
            </w:r>
            <w:r>
              <w:rPr>
                <w:rFonts w:hint="eastAsia" w:ascii="宋体" w:hAnsi="宋体" w:eastAsia="宋体" w:cs="宋体"/>
                <w:color w:val="000000"/>
                <w:szCs w:val="22"/>
                <w:lang w:val="en-US" w:eastAsia="zh-CN"/>
              </w:rPr>
              <w:t>差的得1分，不提供不得分。</w:t>
            </w:r>
          </w:p>
          <w:p>
            <w:pPr>
              <w:pStyle w:val="18"/>
              <w:widowControl/>
              <w:spacing w:before="0" w:beforeAutospacing="0" w:after="0" w:afterAutospacing="0" w:line="360" w:lineRule="auto"/>
              <w:ind w:left="0" w:leftChars="0" w:firstLine="0" w:firstLineChars="0"/>
              <w:jc w:val="both"/>
              <w:rPr>
                <w:rFonts w:hint="eastAsia" w:ascii="宋体" w:hAnsi="宋体" w:eastAsia="宋体" w:cs="宋体"/>
                <w:color w:val="000000"/>
                <w:szCs w:val="22"/>
                <w:lang w:val="zh-CN" w:eastAsia="zh-CN"/>
              </w:rPr>
            </w:pPr>
            <w:r>
              <w:rPr>
                <w:rFonts w:hint="eastAsia" w:eastAsia="宋体" w:cs="宋体"/>
                <w:color w:val="000000"/>
                <w:szCs w:val="22"/>
                <w:lang w:val="en-US" w:eastAsia="zh-CN"/>
              </w:rPr>
              <w:t>（5）</w:t>
            </w:r>
            <w:r>
              <w:rPr>
                <w:rFonts w:hint="eastAsia" w:ascii="宋体" w:hAnsi="宋体" w:eastAsia="宋体" w:cs="宋体"/>
                <w:color w:val="000000"/>
                <w:szCs w:val="22"/>
                <w:lang w:val="en-US" w:eastAsia="zh-CN"/>
              </w:rPr>
              <w:t>证书管理：获得国家级高新企业认证的得</w:t>
            </w:r>
            <w:r>
              <w:rPr>
                <w:rFonts w:hint="eastAsia" w:eastAsia="宋体" w:cs="宋体"/>
                <w:color w:val="000000"/>
                <w:szCs w:val="22"/>
                <w:lang w:val="en-US" w:eastAsia="zh-CN"/>
              </w:rPr>
              <w:t>1.5</w:t>
            </w:r>
            <w:r>
              <w:rPr>
                <w:rFonts w:hint="eastAsia" w:ascii="宋体" w:hAnsi="宋体" w:eastAsia="宋体" w:cs="宋体"/>
                <w:color w:val="000000"/>
                <w:szCs w:val="22"/>
                <w:lang w:val="en-US" w:eastAsia="zh-CN"/>
              </w:rPr>
              <w:t>分；国家体育产业示范单位的得</w:t>
            </w:r>
            <w:r>
              <w:rPr>
                <w:rFonts w:hint="eastAsia" w:eastAsia="宋体" w:cs="宋体"/>
                <w:color w:val="000000"/>
                <w:szCs w:val="22"/>
                <w:lang w:val="en-US" w:eastAsia="zh-CN"/>
              </w:rPr>
              <w:t>1.5</w:t>
            </w:r>
            <w:r>
              <w:rPr>
                <w:rFonts w:hint="eastAsia" w:ascii="宋体" w:hAnsi="宋体" w:eastAsia="宋体" w:cs="宋体"/>
                <w:color w:val="000000"/>
                <w:szCs w:val="22"/>
                <w:lang w:val="en-US" w:eastAsia="zh-CN"/>
              </w:rPr>
              <w:t>分</w:t>
            </w:r>
            <w:r>
              <w:rPr>
                <w:rFonts w:hint="eastAsia" w:ascii="宋体" w:hAnsi="宋体" w:eastAsia="宋体" w:cs="宋体"/>
                <w:color w:val="000000"/>
                <w:szCs w:val="22"/>
                <w:lang w:val="en-US" w:eastAsia="zh-CN"/>
              </w:rPr>
              <w:br w:type="textWrapping"/>
            </w:r>
          </w:p>
        </w:tc>
      </w:tr>
      <w:tr>
        <w:tblPrEx>
          <w:tblCellMar>
            <w:top w:w="0" w:type="dxa"/>
            <w:left w:w="108" w:type="dxa"/>
            <w:bottom w:w="0" w:type="dxa"/>
            <w:right w:w="108" w:type="dxa"/>
          </w:tblCellMar>
        </w:tblPrEx>
        <w:trPr>
          <w:trHeight w:val="1838" w:hRule="atLeast"/>
          <w:jc w:val="center"/>
        </w:trPr>
        <w:tc>
          <w:tcPr>
            <w:tcW w:w="503"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firstLine="420"/>
              <w:jc w:val="center"/>
              <w:rPr>
                <w:rFonts w:hint="eastAsia" w:ascii="宋体" w:hAnsi="宋体" w:eastAsia="宋体" w:cs="宋体"/>
                <w:color w:val="000000"/>
              </w:rPr>
            </w:pPr>
            <w:r>
              <w:rPr>
                <w:rFonts w:hint="eastAsia" w:ascii="宋体" w:hAnsi="宋体" w:eastAsia="宋体" w:cs="宋体"/>
                <w:color w:val="000000"/>
              </w:rPr>
              <w:t>3</w:t>
            </w:r>
          </w:p>
        </w:tc>
        <w:tc>
          <w:tcPr>
            <w:tcW w:w="1536"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left="0" w:leftChars="0" w:firstLine="0" w:firstLineChars="0"/>
              <w:rPr>
                <w:rFonts w:hint="eastAsia" w:ascii="宋体" w:hAnsi="宋体" w:eastAsia="宋体" w:cs="宋体"/>
                <w:color w:val="000000"/>
                <w:lang w:val="zh-CN"/>
              </w:rPr>
            </w:pPr>
            <w:r>
              <w:rPr>
                <w:rFonts w:hint="eastAsia" w:ascii="宋体" w:hAnsi="宋体" w:eastAsia="宋体" w:cs="宋体"/>
                <w:color w:val="000000"/>
                <w:lang w:val="zh-CN"/>
              </w:rPr>
              <w:t>履约能力</w:t>
            </w:r>
          </w:p>
          <w:p>
            <w:pPr>
              <w:pStyle w:val="18"/>
              <w:widowControl/>
              <w:spacing w:before="0" w:beforeAutospacing="0" w:after="0" w:afterAutospacing="0" w:line="360" w:lineRule="auto"/>
              <w:ind w:left="0" w:leftChars="0" w:firstLine="0" w:firstLineChars="0"/>
              <w:rPr>
                <w:rFonts w:hint="eastAsia" w:ascii="宋体" w:hAnsi="宋体" w:eastAsia="宋体" w:cs="宋体"/>
                <w:color w:val="000000"/>
                <w:lang w:val="zh-CN"/>
              </w:rPr>
            </w:pPr>
            <w:r>
              <w:rPr>
                <w:rFonts w:hint="eastAsia" w:ascii="宋体" w:hAnsi="宋体" w:eastAsia="宋体" w:cs="宋体"/>
                <w:color w:val="000000"/>
                <w:shd w:val="clear" w:color="auto" w:fill="FFFFFF"/>
              </w:rPr>
              <w:t>(</w:t>
            </w:r>
            <w:r>
              <w:rPr>
                <w:rFonts w:hint="eastAsia" w:eastAsia="宋体" w:cs="宋体"/>
                <w:color w:val="000000"/>
                <w:lang w:val="en-US" w:eastAsia="zh-CN"/>
              </w:rPr>
              <w:t>8</w:t>
            </w:r>
            <w:r>
              <w:rPr>
                <w:rFonts w:hint="eastAsia" w:ascii="宋体" w:hAnsi="宋体" w:eastAsia="宋体" w:cs="宋体"/>
                <w:color w:val="000000"/>
              </w:rPr>
              <w:t>分</w:t>
            </w:r>
            <w:r>
              <w:rPr>
                <w:rFonts w:hint="eastAsia" w:ascii="宋体" w:hAnsi="宋体" w:eastAsia="宋体" w:cs="宋体"/>
                <w:color w:val="000000"/>
                <w:shd w:val="clear" w:color="auto" w:fill="FFFFFF"/>
              </w:rPr>
              <w:t>)</w:t>
            </w:r>
          </w:p>
        </w:tc>
        <w:tc>
          <w:tcPr>
            <w:tcW w:w="7101"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numPr>
                <w:ilvl w:val="0"/>
                <w:numId w:val="0"/>
              </w:numPr>
              <w:spacing w:before="0" w:beforeAutospacing="0" w:after="0" w:afterAutospacing="0" w:line="360" w:lineRule="auto"/>
              <w:ind w:right="0" w:rightChars="0"/>
              <w:jc w:val="both"/>
              <w:rPr>
                <w:rFonts w:hint="eastAsia" w:ascii="宋体" w:hAnsi="宋体" w:eastAsia="宋体" w:cs="宋体"/>
                <w:color w:val="000000"/>
              </w:rPr>
            </w:pPr>
            <w:r>
              <w:rPr>
                <w:rFonts w:hint="eastAsia" w:ascii="宋体" w:hAnsi="宋体" w:eastAsia="宋体" w:cs="宋体"/>
                <w:color w:val="000000"/>
              </w:rPr>
              <w:t>类似业绩情况：提供投标截止日前3年（201</w:t>
            </w:r>
            <w:r>
              <w:rPr>
                <w:rFonts w:hint="eastAsia" w:eastAsia="宋体" w:cs="宋体"/>
                <w:color w:val="000000"/>
                <w:lang w:val="en-US" w:eastAsia="zh-CN"/>
              </w:rPr>
              <w:t>7</w:t>
            </w:r>
            <w:r>
              <w:rPr>
                <w:rFonts w:hint="eastAsia" w:ascii="宋体" w:hAnsi="宋体" w:eastAsia="宋体" w:cs="宋体"/>
                <w:color w:val="000000"/>
              </w:rPr>
              <w:t>年</w:t>
            </w:r>
            <w:r>
              <w:rPr>
                <w:rFonts w:hint="eastAsia" w:ascii="宋体" w:hAnsi="宋体" w:eastAsia="宋体" w:cs="宋体"/>
                <w:color w:val="000000"/>
                <w:lang w:eastAsia="zh-CN"/>
              </w:rPr>
              <w:t>至今</w:t>
            </w:r>
            <w:r>
              <w:rPr>
                <w:rFonts w:hint="eastAsia" w:ascii="宋体" w:hAnsi="宋体" w:eastAsia="宋体" w:cs="宋体"/>
                <w:color w:val="000000"/>
              </w:rPr>
              <w:t>）的投标人类似业绩证明材料每提供1项得</w:t>
            </w:r>
            <w:r>
              <w:rPr>
                <w:rFonts w:hint="eastAsia" w:eastAsia="宋体" w:cs="宋体"/>
                <w:color w:val="000000"/>
                <w:lang w:val="en-US" w:eastAsia="zh-CN"/>
              </w:rPr>
              <w:t>2</w:t>
            </w:r>
            <w:r>
              <w:rPr>
                <w:rFonts w:hint="eastAsia" w:ascii="宋体" w:hAnsi="宋体" w:eastAsia="宋体" w:cs="宋体"/>
                <w:color w:val="000000"/>
              </w:rPr>
              <w:t>分,满分</w:t>
            </w:r>
            <w:r>
              <w:rPr>
                <w:rFonts w:hint="eastAsia" w:eastAsia="宋体" w:cs="宋体"/>
                <w:color w:val="000000"/>
                <w:lang w:val="en-US" w:eastAsia="zh-CN"/>
              </w:rPr>
              <w:t>8</w:t>
            </w:r>
            <w:r>
              <w:rPr>
                <w:rFonts w:hint="eastAsia" w:ascii="宋体" w:hAnsi="宋体" w:eastAsia="宋体" w:cs="宋体"/>
                <w:color w:val="000000"/>
              </w:rPr>
              <w:t>分（以中标、成交通知书或合同协议证明为准），未提供或其他情况不得分。</w:t>
            </w:r>
          </w:p>
        </w:tc>
      </w:tr>
      <w:tr>
        <w:tblPrEx>
          <w:tblCellMar>
            <w:top w:w="0" w:type="dxa"/>
            <w:left w:w="108" w:type="dxa"/>
            <w:bottom w:w="0" w:type="dxa"/>
            <w:right w:w="108" w:type="dxa"/>
          </w:tblCellMar>
        </w:tblPrEx>
        <w:trPr>
          <w:trHeight w:val="2796" w:hRule="atLeast"/>
          <w:jc w:val="center"/>
        </w:trPr>
        <w:tc>
          <w:tcPr>
            <w:tcW w:w="503"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firstLine="420"/>
              <w:jc w:val="center"/>
              <w:rPr>
                <w:rFonts w:hint="eastAsia" w:ascii="宋体" w:hAnsi="宋体" w:eastAsia="宋体" w:cs="宋体"/>
                <w:color w:val="000000"/>
              </w:rPr>
            </w:pPr>
            <w:r>
              <w:rPr>
                <w:rFonts w:hint="eastAsia" w:ascii="宋体" w:hAnsi="宋体" w:eastAsia="宋体" w:cs="宋体"/>
                <w:color w:val="000000"/>
              </w:rPr>
              <w:t>4</w:t>
            </w:r>
          </w:p>
        </w:tc>
        <w:tc>
          <w:tcPr>
            <w:tcW w:w="1536"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left="0" w:leftChars="0" w:firstLine="0" w:firstLineChars="0"/>
              <w:jc w:val="both"/>
              <w:rPr>
                <w:rFonts w:hint="eastAsia" w:ascii="宋体" w:hAnsi="宋体" w:eastAsia="宋体" w:cs="宋体"/>
                <w:color w:val="000000"/>
                <w:szCs w:val="22"/>
                <w:lang w:val="zh-CN"/>
              </w:rPr>
            </w:pPr>
            <w:r>
              <w:rPr>
                <w:rFonts w:hint="eastAsia" w:ascii="宋体" w:hAnsi="宋体" w:eastAsia="宋体" w:cs="宋体"/>
                <w:color w:val="000000"/>
                <w:szCs w:val="22"/>
                <w:lang w:val="zh-CN"/>
              </w:rPr>
              <w:t>售后服务</w:t>
            </w:r>
          </w:p>
          <w:p>
            <w:pPr>
              <w:pStyle w:val="18"/>
              <w:widowControl/>
              <w:spacing w:before="0" w:beforeAutospacing="0" w:after="0" w:afterAutospacing="0" w:line="360" w:lineRule="auto"/>
              <w:ind w:left="0" w:leftChars="0" w:firstLine="0" w:firstLineChars="0"/>
              <w:jc w:val="both"/>
              <w:rPr>
                <w:rFonts w:hint="eastAsia" w:ascii="宋体" w:hAnsi="宋体" w:eastAsia="宋体" w:cs="宋体"/>
                <w:color w:val="000000"/>
                <w:szCs w:val="22"/>
              </w:rPr>
            </w:pPr>
            <w:r>
              <w:rPr>
                <w:rFonts w:hint="eastAsia" w:ascii="宋体" w:hAnsi="宋体" w:eastAsia="宋体" w:cs="宋体"/>
                <w:color w:val="000000"/>
                <w:szCs w:val="22"/>
                <w:lang w:val="zh-CN"/>
              </w:rPr>
              <w:t>（</w:t>
            </w:r>
            <w:r>
              <w:rPr>
                <w:rFonts w:hint="eastAsia" w:eastAsia="宋体" w:cs="宋体"/>
                <w:color w:val="000000"/>
                <w:szCs w:val="22"/>
                <w:lang w:val="en-US" w:eastAsia="zh-CN"/>
              </w:rPr>
              <w:t>8</w:t>
            </w:r>
            <w:r>
              <w:rPr>
                <w:rFonts w:hint="eastAsia" w:ascii="宋体" w:hAnsi="宋体" w:eastAsia="宋体" w:cs="宋体"/>
                <w:color w:val="000000"/>
                <w:szCs w:val="22"/>
                <w:lang w:val="zh-CN"/>
              </w:rPr>
              <w:t>分）</w:t>
            </w:r>
          </w:p>
        </w:tc>
        <w:tc>
          <w:tcPr>
            <w:tcW w:w="7101"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left="0" w:leftChars="0" w:firstLine="0" w:firstLineChars="0"/>
              <w:jc w:val="both"/>
              <w:rPr>
                <w:rFonts w:hint="eastAsia" w:ascii="宋体" w:hAnsi="宋体" w:eastAsia="宋体" w:cs="宋体"/>
                <w:color w:val="000000"/>
                <w:szCs w:val="22"/>
                <w:lang w:val="en-US" w:eastAsia="zh-CN"/>
              </w:rPr>
            </w:pPr>
            <w:r>
              <w:rPr>
                <w:rFonts w:hint="eastAsia" w:eastAsia="宋体" w:cs="宋体"/>
                <w:color w:val="000000"/>
                <w:szCs w:val="22"/>
                <w:lang w:val="en-US" w:eastAsia="zh-CN"/>
              </w:rPr>
              <w:t>（1）</w:t>
            </w:r>
            <w:r>
              <w:rPr>
                <w:rFonts w:hint="eastAsia" w:ascii="宋体" w:hAnsi="宋体" w:eastAsia="宋体" w:cs="宋体"/>
                <w:color w:val="000000"/>
                <w:szCs w:val="22"/>
                <w:lang w:val="en-US" w:eastAsia="zh-CN"/>
              </w:rPr>
              <w:t>售后服务计划、措施:针对该项目须有详尽的组织配送、验收、售后等方面的服务计划、能力、措施。</w:t>
            </w:r>
            <w:r>
              <w:rPr>
                <w:rFonts w:hint="eastAsia" w:eastAsia="宋体" w:cs="宋体"/>
                <w:color w:val="000000"/>
                <w:szCs w:val="22"/>
                <w:lang w:val="en-US" w:eastAsia="zh-CN"/>
              </w:rPr>
              <w:t>优秀</w:t>
            </w:r>
            <w:r>
              <w:rPr>
                <w:rFonts w:hint="eastAsia" w:ascii="宋体" w:hAnsi="宋体" w:eastAsia="宋体" w:cs="宋体"/>
                <w:color w:val="000000"/>
                <w:szCs w:val="22"/>
                <w:lang w:val="en-US" w:eastAsia="zh-CN"/>
              </w:rPr>
              <w:t>得 5 分</w:t>
            </w:r>
            <w:r>
              <w:rPr>
                <w:rFonts w:hint="eastAsia" w:eastAsia="宋体" w:cs="宋体"/>
                <w:color w:val="000000"/>
                <w:szCs w:val="22"/>
                <w:lang w:val="en-US" w:eastAsia="zh-CN"/>
              </w:rPr>
              <w:t>，良好</w:t>
            </w:r>
            <w:r>
              <w:rPr>
                <w:rFonts w:hint="eastAsia" w:ascii="宋体" w:hAnsi="宋体" w:eastAsia="宋体" w:cs="宋体"/>
                <w:color w:val="000000"/>
                <w:szCs w:val="22"/>
                <w:lang w:val="en-US" w:eastAsia="zh-CN"/>
              </w:rPr>
              <w:t>得3分</w:t>
            </w:r>
            <w:r>
              <w:rPr>
                <w:rFonts w:hint="eastAsia" w:eastAsia="宋体" w:cs="宋体"/>
                <w:color w:val="000000"/>
                <w:szCs w:val="22"/>
                <w:lang w:val="en-US" w:eastAsia="zh-CN"/>
              </w:rPr>
              <w:t>，</w:t>
            </w:r>
            <w:r>
              <w:rPr>
                <w:rFonts w:hint="eastAsia" w:ascii="宋体" w:hAnsi="宋体" w:eastAsia="宋体" w:cs="宋体"/>
                <w:color w:val="000000"/>
                <w:szCs w:val="22"/>
                <w:lang w:val="en-US" w:eastAsia="zh-CN"/>
              </w:rPr>
              <w:t>一般得</w:t>
            </w:r>
            <w:r>
              <w:rPr>
                <w:rFonts w:hint="eastAsia" w:eastAsia="宋体" w:cs="宋体"/>
                <w:color w:val="000000"/>
                <w:szCs w:val="22"/>
                <w:lang w:val="en-US" w:eastAsia="zh-CN"/>
              </w:rPr>
              <w:t>2</w:t>
            </w:r>
            <w:r>
              <w:rPr>
                <w:rFonts w:hint="eastAsia" w:ascii="宋体" w:hAnsi="宋体" w:eastAsia="宋体" w:cs="宋体"/>
                <w:color w:val="000000"/>
                <w:szCs w:val="22"/>
                <w:lang w:val="en-US" w:eastAsia="zh-CN"/>
              </w:rPr>
              <w:t>分</w:t>
            </w:r>
            <w:r>
              <w:rPr>
                <w:rFonts w:hint="eastAsia" w:eastAsia="宋体" w:cs="宋体"/>
                <w:color w:val="000000"/>
                <w:szCs w:val="22"/>
                <w:lang w:val="en-US" w:eastAsia="zh-CN"/>
              </w:rPr>
              <w:t>，差的得1分，</w:t>
            </w:r>
            <w:r>
              <w:rPr>
                <w:rFonts w:hint="eastAsia" w:ascii="宋体" w:hAnsi="宋体" w:eastAsia="宋体" w:cs="宋体"/>
                <w:color w:val="000000"/>
                <w:szCs w:val="22"/>
                <w:lang w:val="en-US" w:eastAsia="zh-CN"/>
              </w:rPr>
              <w:t>未提供或其他情况不得分</w:t>
            </w:r>
            <w:r>
              <w:rPr>
                <w:rFonts w:hint="eastAsia" w:eastAsia="宋体" w:cs="宋体"/>
                <w:color w:val="000000"/>
                <w:szCs w:val="22"/>
                <w:lang w:val="en-US" w:eastAsia="zh-CN"/>
              </w:rPr>
              <w:t>。</w:t>
            </w:r>
          </w:p>
          <w:p>
            <w:pPr>
              <w:pStyle w:val="18"/>
              <w:widowControl/>
              <w:spacing w:before="0" w:beforeAutospacing="0" w:after="0" w:afterAutospacing="0" w:line="360" w:lineRule="auto"/>
              <w:ind w:left="0" w:leftChars="0" w:firstLine="0" w:firstLineChars="0"/>
              <w:jc w:val="both"/>
              <w:rPr>
                <w:rFonts w:hint="eastAsia" w:ascii="宋体" w:hAnsi="宋体" w:eastAsia="宋体" w:cs="宋体"/>
                <w:color w:val="000000"/>
                <w:szCs w:val="22"/>
                <w:lang w:val="en-US" w:eastAsia="zh-CN"/>
              </w:rPr>
            </w:pPr>
            <w:r>
              <w:rPr>
                <w:rFonts w:hint="eastAsia" w:eastAsia="宋体" w:cs="宋体"/>
                <w:color w:val="000000"/>
                <w:szCs w:val="22"/>
                <w:lang w:val="en-US" w:eastAsia="zh-CN"/>
              </w:rPr>
              <w:t>（2）</w:t>
            </w:r>
            <w:r>
              <w:rPr>
                <w:rFonts w:hint="eastAsia" w:ascii="宋体" w:hAnsi="宋体" w:eastAsia="宋体" w:cs="宋体"/>
                <w:color w:val="000000"/>
                <w:szCs w:val="22"/>
                <w:lang w:val="en-US" w:eastAsia="zh-CN"/>
              </w:rPr>
              <w:t>本地化服务能力:在青海省有服务机构的，具有在本地区经营</w:t>
            </w:r>
            <w:r>
              <w:rPr>
                <w:rFonts w:hint="eastAsia" w:eastAsia="宋体" w:cs="宋体"/>
                <w:color w:val="000000"/>
                <w:szCs w:val="22"/>
                <w:lang w:val="en-US" w:eastAsia="zh-CN"/>
              </w:rPr>
              <w:t>本项目相关</w:t>
            </w:r>
            <w:r>
              <w:rPr>
                <w:rFonts w:hint="eastAsia" w:ascii="宋体" w:hAnsi="宋体" w:eastAsia="宋体" w:cs="宋体"/>
                <w:color w:val="000000"/>
                <w:szCs w:val="22"/>
                <w:lang w:val="en-US" w:eastAsia="zh-CN"/>
              </w:rPr>
              <w:t>的经验</w:t>
            </w:r>
            <w:r>
              <w:rPr>
                <w:rFonts w:hint="eastAsia" w:eastAsia="宋体" w:cs="宋体"/>
                <w:color w:val="000000"/>
                <w:szCs w:val="22"/>
                <w:lang w:val="en-US" w:eastAsia="zh-CN"/>
              </w:rPr>
              <w:t>，</w:t>
            </w:r>
            <w:r>
              <w:rPr>
                <w:rFonts w:hint="eastAsia" w:ascii="宋体" w:hAnsi="宋体" w:eastAsia="宋体" w:cs="宋体"/>
                <w:color w:val="000000"/>
                <w:szCs w:val="22"/>
                <w:lang w:val="en-US" w:eastAsia="zh-CN"/>
              </w:rPr>
              <w:t>得</w:t>
            </w:r>
            <w:r>
              <w:rPr>
                <w:rFonts w:hint="eastAsia" w:eastAsia="宋体" w:cs="宋体"/>
                <w:color w:val="000000"/>
                <w:szCs w:val="22"/>
                <w:lang w:val="en-US" w:eastAsia="zh-CN"/>
              </w:rPr>
              <w:t>3</w:t>
            </w:r>
            <w:r>
              <w:rPr>
                <w:rFonts w:hint="eastAsia" w:ascii="宋体" w:hAnsi="宋体" w:eastAsia="宋体" w:cs="宋体"/>
                <w:color w:val="000000"/>
                <w:szCs w:val="22"/>
                <w:lang w:val="en-US" w:eastAsia="zh-CN"/>
              </w:rPr>
              <w:t>分；有合作性服务机构的，得</w:t>
            </w:r>
            <w:r>
              <w:rPr>
                <w:rFonts w:hint="eastAsia" w:eastAsia="宋体" w:cs="宋体"/>
                <w:color w:val="000000"/>
                <w:szCs w:val="22"/>
                <w:lang w:val="en-US" w:eastAsia="zh-CN"/>
              </w:rPr>
              <w:t>1</w:t>
            </w:r>
            <w:r>
              <w:rPr>
                <w:rFonts w:hint="eastAsia" w:ascii="宋体" w:hAnsi="宋体" w:eastAsia="宋体" w:cs="宋体"/>
                <w:color w:val="000000"/>
                <w:szCs w:val="22"/>
                <w:lang w:val="en-US" w:eastAsia="zh-CN"/>
              </w:rPr>
              <w:t>分（需提供合作性服务机构的委托协议书、营业执照及售后服务承诺函）；没有的不得分。</w:t>
            </w:r>
          </w:p>
        </w:tc>
      </w:tr>
    </w:tbl>
    <w:p>
      <w:pPr>
        <w:wordWrap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br w:type="page"/>
      </w:r>
    </w:p>
    <w:p>
      <w:pPr>
        <w:keepNext/>
        <w:pageBreakBefore/>
        <w:widowControl/>
        <w:spacing w:line="360" w:lineRule="auto"/>
        <w:ind w:firstLine="0" w:firstLineChars="0"/>
        <w:jc w:val="center"/>
        <w:outlineLvl w:val="1"/>
        <w:rPr>
          <w:rFonts w:hint="eastAsia" w:ascii="宋体" w:hAnsi="宋体" w:eastAsia="宋体" w:cs="宋体"/>
          <w:b/>
          <w:bCs/>
          <w:sz w:val="24"/>
          <w:szCs w:val="24"/>
        </w:rPr>
      </w:pPr>
      <w:bookmarkStart w:id="97" w:name="_Toc325726025"/>
      <w:bookmarkStart w:id="98" w:name="_Toc376936756"/>
      <w:bookmarkStart w:id="99" w:name="_Toc2506"/>
      <w:bookmarkStart w:id="100" w:name="_Toc6689"/>
      <w:r>
        <w:rPr>
          <w:rFonts w:hint="eastAsia" w:ascii="宋体" w:hAnsi="宋体" w:eastAsia="宋体" w:cs="宋体"/>
          <w:b/>
          <w:bCs/>
          <w:sz w:val="24"/>
          <w:szCs w:val="24"/>
        </w:rPr>
        <w:t>七、</w:t>
      </w:r>
      <w:bookmarkEnd w:id="97"/>
      <w:bookmarkEnd w:id="98"/>
      <w:r>
        <w:rPr>
          <w:rFonts w:hint="eastAsia" w:ascii="宋体" w:hAnsi="宋体" w:eastAsia="宋体" w:cs="宋体"/>
          <w:b/>
          <w:bCs/>
          <w:sz w:val="24"/>
          <w:szCs w:val="24"/>
        </w:rPr>
        <w:t>确定成交供应商</w:t>
      </w:r>
      <w:bookmarkEnd w:id="99"/>
      <w:bookmarkEnd w:id="100"/>
    </w:p>
    <w:p>
      <w:pPr>
        <w:widowControl/>
        <w:spacing w:line="360" w:lineRule="auto"/>
        <w:ind w:firstLine="0" w:firstLineChars="0"/>
        <w:jc w:val="left"/>
        <w:outlineLvl w:val="2"/>
        <w:rPr>
          <w:rFonts w:hint="eastAsia" w:ascii="宋体" w:hAnsi="宋体" w:eastAsia="宋体" w:cs="宋体"/>
          <w:b/>
          <w:bCs/>
          <w:sz w:val="24"/>
          <w:szCs w:val="24"/>
        </w:rPr>
      </w:pPr>
      <w:bookmarkStart w:id="101" w:name="_Toc325726026"/>
      <w:bookmarkStart w:id="102" w:name="_Toc376936757"/>
      <w:bookmarkStart w:id="103" w:name="_Toc28889"/>
      <w:bookmarkStart w:id="104" w:name="_Toc17038"/>
      <w:r>
        <w:rPr>
          <w:rFonts w:hint="eastAsia" w:ascii="宋体" w:hAnsi="宋体" w:eastAsia="宋体" w:cs="宋体"/>
          <w:b/>
          <w:bCs/>
          <w:sz w:val="24"/>
          <w:szCs w:val="24"/>
        </w:rPr>
        <w:t>18.推荐并确定成交</w:t>
      </w:r>
      <w:bookmarkEnd w:id="101"/>
      <w:bookmarkEnd w:id="102"/>
      <w:r>
        <w:rPr>
          <w:rFonts w:hint="eastAsia" w:ascii="宋体" w:hAnsi="宋体" w:eastAsia="宋体" w:cs="宋体"/>
          <w:b/>
          <w:bCs/>
          <w:sz w:val="24"/>
          <w:szCs w:val="24"/>
        </w:rPr>
        <w:t>供应商</w:t>
      </w:r>
      <w:bookmarkEnd w:id="103"/>
      <w:bookmarkEnd w:id="104"/>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sz w:val="24"/>
          <w:szCs w:val="24"/>
        </w:rPr>
      </w:pPr>
      <w:bookmarkStart w:id="105" w:name="_Toc2963"/>
      <w:bookmarkStart w:id="106" w:name="_Toc325726028"/>
      <w:bookmarkStart w:id="107" w:name="_Toc376936759"/>
      <w:bookmarkStart w:id="108" w:name="_Toc2346"/>
      <w:bookmarkStart w:id="109" w:name="_Toc325726027"/>
      <w:r>
        <w:rPr>
          <w:rFonts w:hint="eastAsia" w:ascii="宋体" w:hAnsi="宋体" w:eastAsia="宋体" w:cs="宋体"/>
          <w:b/>
          <w:bCs/>
          <w:sz w:val="24"/>
          <w:szCs w:val="24"/>
        </w:rPr>
        <w:t>19.成交通知</w:t>
      </w:r>
      <w:bookmarkEnd w:id="105"/>
      <w:bookmarkEnd w:id="106"/>
      <w:bookmarkEnd w:id="107"/>
      <w:bookmarkEnd w:id="108"/>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sz w:val="24"/>
          <w:szCs w:val="24"/>
        </w:rPr>
      </w:pPr>
      <w:bookmarkStart w:id="110" w:name="_Toc18063"/>
      <w:bookmarkStart w:id="111" w:name="_Toc5556"/>
      <w:bookmarkStart w:id="112" w:name="_Toc376936758"/>
      <w:r>
        <w:rPr>
          <w:rFonts w:hint="eastAsia" w:ascii="宋体" w:hAnsi="宋体" w:eastAsia="宋体" w:cs="宋体"/>
          <w:b/>
          <w:bCs/>
          <w:sz w:val="24"/>
          <w:szCs w:val="24"/>
        </w:rPr>
        <w:t>八、授予合同</w:t>
      </w:r>
      <w:bookmarkEnd w:id="109"/>
      <w:bookmarkEnd w:id="110"/>
      <w:bookmarkEnd w:id="111"/>
      <w:bookmarkEnd w:id="112"/>
    </w:p>
    <w:p>
      <w:pPr>
        <w:widowControl/>
        <w:spacing w:line="360" w:lineRule="auto"/>
        <w:ind w:firstLine="0" w:firstLineChars="0"/>
        <w:jc w:val="left"/>
        <w:outlineLvl w:val="2"/>
        <w:rPr>
          <w:rFonts w:hint="eastAsia" w:ascii="宋体" w:hAnsi="宋体" w:eastAsia="宋体" w:cs="宋体"/>
          <w:b/>
          <w:bCs/>
          <w:sz w:val="24"/>
          <w:szCs w:val="24"/>
        </w:rPr>
      </w:pPr>
      <w:bookmarkStart w:id="113" w:name="_Toc376936760"/>
      <w:bookmarkStart w:id="114" w:name="_Toc325726029"/>
      <w:bookmarkStart w:id="115" w:name="_Toc28394"/>
      <w:bookmarkStart w:id="116" w:name="_Toc921"/>
      <w:r>
        <w:rPr>
          <w:rFonts w:hint="eastAsia" w:ascii="宋体" w:hAnsi="宋体" w:eastAsia="宋体" w:cs="宋体"/>
          <w:b/>
          <w:bCs/>
          <w:sz w:val="24"/>
          <w:szCs w:val="24"/>
        </w:rPr>
        <w:t>20.签订合同</w:t>
      </w:r>
      <w:bookmarkEnd w:id="113"/>
      <w:bookmarkEnd w:id="114"/>
      <w:bookmarkEnd w:id="115"/>
      <w:bookmarkEnd w:id="116"/>
    </w:p>
    <w:p>
      <w:pPr>
        <w:spacing w:line="360" w:lineRule="auto"/>
        <w:ind w:firstLine="0" w:firstLineChars="0"/>
        <w:jc w:val="left"/>
        <w:rPr>
          <w:rFonts w:hint="eastAsia" w:ascii="宋体" w:hAnsi="宋体" w:eastAsia="宋体" w:cs="宋体"/>
          <w:sz w:val="24"/>
          <w:szCs w:val="24"/>
        </w:rPr>
      </w:pPr>
      <w:bookmarkStart w:id="117" w:name="_Toc325726030"/>
      <w:bookmarkStart w:id="118" w:name="_Toc376936761"/>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sz w:val="24"/>
          <w:szCs w:val="24"/>
        </w:rPr>
      </w:pPr>
      <w:bookmarkStart w:id="119" w:name="_Toc22442"/>
      <w:bookmarkStart w:id="120" w:name="_Toc896"/>
      <w:r>
        <w:rPr>
          <w:rFonts w:hint="eastAsia" w:ascii="宋体" w:hAnsi="宋体" w:eastAsia="宋体" w:cs="宋体"/>
          <w:b/>
          <w:bCs/>
          <w:sz w:val="24"/>
          <w:szCs w:val="24"/>
        </w:rPr>
        <w:t>九、</w:t>
      </w:r>
      <w:bookmarkEnd w:id="117"/>
      <w:bookmarkEnd w:id="118"/>
      <w:r>
        <w:rPr>
          <w:rFonts w:hint="eastAsia" w:ascii="宋体" w:hAnsi="宋体" w:eastAsia="宋体" w:cs="宋体"/>
          <w:b/>
          <w:bCs/>
          <w:sz w:val="24"/>
          <w:szCs w:val="24"/>
        </w:rPr>
        <w:t>磋商活动终止</w:t>
      </w:r>
      <w:bookmarkEnd w:id="119"/>
      <w:bookmarkEnd w:id="120"/>
    </w:p>
    <w:p>
      <w:pPr>
        <w:widowControl/>
        <w:spacing w:line="360" w:lineRule="auto"/>
        <w:ind w:firstLine="0" w:firstLineChars="0"/>
        <w:jc w:val="left"/>
        <w:outlineLvl w:val="2"/>
        <w:rPr>
          <w:rFonts w:hint="eastAsia" w:ascii="宋体" w:hAnsi="宋体" w:eastAsia="宋体" w:cs="宋体"/>
          <w:b/>
          <w:bCs/>
          <w:sz w:val="24"/>
          <w:szCs w:val="24"/>
        </w:rPr>
      </w:pPr>
      <w:bookmarkStart w:id="121" w:name="_Toc7098"/>
      <w:bookmarkStart w:id="122" w:name="_Toc11684"/>
      <w:bookmarkStart w:id="123" w:name="_Toc325726031"/>
      <w:bookmarkStart w:id="124" w:name="_Toc376936762"/>
      <w:r>
        <w:rPr>
          <w:rFonts w:hint="eastAsia" w:ascii="宋体" w:hAnsi="宋体" w:eastAsia="宋体" w:cs="宋体"/>
          <w:b/>
          <w:bCs/>
          <w:sz w:val="24"/>
          <w:szCs w:val="24"/>
        </w:rPr>
        <w:t>21.终止情形</w:t>
      </w:r>
      <w:bookmarkEnd w:id="121"/>
      <w:bookmarkEnd w:id="122"/>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21.1</w:t>
      </w:r>
      <w:bookmarkEnd w:id="123"/>
      <w:bookmarkEnd w:id="124"/>
      <w:r>
        <w:rPr>
          <w:rFonts w:hint="eastAsia" w:ascii="宋体" w:hAnsi="宋体" w:eastAsia="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25" w:name="_Toc325726032"/>
    </w:p>
    <w:p>
      <w:pPr>
        <w:widowControl/>
        <w:spacing w:line="360" w:lineRule="auto"/>
        <w:ind w:firstLine="0" w:firstLineChars="0"/>
        <w:jc w:val="center"/>
        <w:outlineLvl w:val="1"/>
        <w:rPr>
          <w:rFonts w:hint="eastAsia" w:ascii="宋体" w:hAnsi="宋体" w:eastAsia="宋体" w:cs="宋体"/>
          <w:b/>
          <w:bCs/>
          <w:sz w:val="24"/>
          <w:szCs w:val="24"/>
        </w:rPr>
      </w:pPr>
      <w:bookmarkStart w:id="126" w:name="_Toc6646"/>
      <w:bookmarkStart w:id="127" w:name="_Toc376936763"/>
      <w:bookmarkStart w:id="128" w:name="_Toc27950"/>
      <w:r>
        <w:rPr>
          <w:rFonts w:hint="eastAsia" w:ascii="宋体" w:hAnsi="宋体" w:eastAsia="宋体" w:cs="宋体"/>
          <w:b/>
          <w:bCs/>
          <w:sz w:val="24"/>
          <w:szCs w:val="24"/>
        </w:rPr>
        <w:t>十、处罚</w:t>
      </w:r>
      <w:bookmarkEnd w:id="125"/>
      <w:bookmarkEnd w:id="126"/>
      <w:bookmarkEnd w:id="127"/>
      <w:bookmarkEnd w:id="128"/>
    </w:p>
    <w:p>
      <w:pPr>
        <w:widowControl/>
        <w:spacing w:line="360" w:lineRule="auto"/>
        <w:ind w:firstLine="0" w:firstLineChars="0"/>
        <w:jc w:val="left"/>
        <w:outlineLvl w:val="2"/>
        <w:rPr>
          <w:rFonts w:hint="eastAsia" w:ascii="宋体" w:hAnsi="宋体" w:eastAsia="宋体" w:cs="宋体"/>
          <w:b/>
          <w:bCs/>
          <w:sz w:val="24"/>
          <w:szCs w:val="24"/>
        </w:rPr>
      </w:pPr>
      <w:bookmarkStart w:id="129" w:name="_Toc17567"/>
      <w:bookmarkStart w:id="130" w:name="_Toc28018"/>
      <w:bookmarkStart w:id="131" w:name="_Toc376936764"/>
      <w:bookmarkStart w:id="132" w:name="_Toc325726033"/>
      <w:r>
        <w:rPr>
          <w:rFonts w:hint="eastAsia" w:ascii="宋体" w:hAnsi="宋体" w:eastAsia="宋体" w:cs="宋体"/>
          <w:b/>
          <w:bCs/>
          <w:sz w:val="24"/>
          <w:szCs w:val="24"/>
        </w:rPr>
        <w:t>22.处罚情形</w:t>
      </w:r>
      <w:bookmarkEnd w:id="129"/>
      <w:bookmarkEnd w:id="130"/>
      <w:bookmarkEnd w:id="131"/>
      <w:bookmarkEnd w:id="132"/>
    </w:p>
    <w:p>
      <w:pPr>
        <w:autoSpaceDE w:val="0"/>
        <w:autoSpaceDN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sz w:val="24"/>
          <w:szCs w:val="24"/>
        </w:rPr>
      </w:pPr>
      <w:bookmarkStart w:id="133" w:name="_Toc16406"/>
      <w:bookmarkStart w:id="134" w:name="_Toc376936765"/>
      <w:bookmarkStart w:id="135" w:name="_Toc325726034"/>
      <w:bookmarkStart w:id="136" w:name="_Toc19538"/>
      <w:r>
        <w:rPr>
          <w:rFonts w:hint="eastAsia" w:ascii="宋体" w:hAnsi="宋体" w:eastAsia="宋体" w:cs="宋体"/>
          <w:b/>
          <w:bCs/>
          <w:sz w:val="24"/>
          <w:szCs w:val="24"/>
        </w:rPr>
        <w:t>十一、其他</w:t>
      </w:r>
      <w:bookmarkEnd w:id="133"/>
      <w:bookmarkEnd w:id="134"/>
      <w:bookmarkEnd w:id="135"/>
      <w:bookmarkEnd w:id="136"/>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sz w:val="24"/>
          <w:szCs w:val="24"/>
        </w:rPr>
      </w:pPr>
      <w:bookmarkStart w:id="137" w:name="_Toc30421"/>
      <w:r>
        <w:rPr>
          <w:rFonts w:hint="eastAsia" w:ascii="宋体" w:hAnsi="宋体" w:eastAsia="宋体" w:cs="宋体"/>
          <w:b/>
          <w:kern w:val="28"/>
          <w:sz w:val="36"/>
          <w:szCs w:val="20"/>
        </w:rPr>
        <w:t>第四部分  采购项目合同书</w:t>
      </w:r>
      <w:bookmarkEnd w:id="137"/>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autoSpaceDE w:val="0"/>
        <w:autoSpaceDN w:val="0"/>
        <w:spacing w:line="360" w:lineRule="auto"/>
        <w:ind w:firstLine="0" w:firstLineChars="0"/>
        <w:jc w:val="center"/>
        <w:rPr>
          <w:rFonts w:hint="eastAsia" w:ascii="宋体" w:hAnsi="宋体" w:eastAsia="宋体" w:cs="宋体"/>
          <w:b/>
          <w:bCs/>
          <w:sz w:val="48"/>
          <w:szCs w:val="48"/>
        </w:rPr>
      </w:pPr>
      <w:r>
        <w:rPr>
          <w:rFonts w:hint="eastAsia" w:ascii="宋体" w:hAnsi="宋体" w:eastAsia="宋体" w:cs="宋体"/>
          <w:b/>
          <w:bCs/>
          <w:sz w:val="48"/>
          <w:szCs w:val="48"/>
          <w:lang w:val="zh-CN"/>
        </w:rPr>
        <w:t>青海省政府采购项目合同书</w:t>
      </w: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autoSpaceDE w:val="0"/>
        <w:autoSpaceDN w:val="0"/>
        <w:spacing w:line="360" w:lineRule="auto"/>
        <w:ind w:firstLine="0" w:firstLineChars="0"/>
        <w:rPr>
          <w:rFonts w:hint="eastAsia" w:ascii="宋体" w:hAnsi="宋体" w:eastAsia="宋体" w:cs="宋体"/>
          <w:b/>
          <w:bCs/>
          <w:sz w:val="30"/>
          <w:szCs w:val="30"/>
          <w:lang w:val="en-US" w:eastAsia="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宏业建设竞磋（货物）2020-024</w:t>
      </w:r>
    </w:p>
    <w:p>
      <w:pPr>
        <w:autoSpaceDE w:val="0"/>
        <w:autoSpaceDN w:val="0"/>
        <w:spacing w:line="360" w:lineRule="auto"/>
        <w:ind w:left="2108" w:leftChars="0" w:hanging="2108" w:hangingChars="700"/>
        <w:rPr>
          <w:rFonts w:hint="eastAsia" w:ascii="宋体" w:hAnsi="宋体" w:eastAsia="宋体" w:cs="宋体"/>
          <w:b/>
          <w:bCs/>
          <w:sz w:val="30"/>
          <w:szCs w:val="30"/>
          <w:lang w:val="zh-CN"/>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lang w:val="zh-CN"/>
        </w:rPr>
        <w:t>射击场馆提升改造及器材购置项目</w:t>
      </w:r>
    </w:p>
    <w:p>
      <w:pPr>
        <w:autoSpaceDE w:val="0"/>
        <w:autoSpaceDN w:val="0"/>
        <w:spacing w:line="360" w:lineRule="auto"/>
        <w:ind w:firstLine="0" w:firstLineChars="0"/>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u w:val="single"/>
          <w:lang w:val="en-US" w:eastAsia="zh-CN"/>
        </w:rPr>
        <w:t>HYJS</w:t>
      </w:r>
      <w:r>
        <w:rPr>
          <w:rFonts w:hint="eastAsia" w:ascii="宋体" w:hAnsi="宋体" w:eastAsia="宋体" w:cs="宋体"/>
          <w:b/>
          <w:bCs/>
          <w:sz w:val="30"/>
          <w:szCs w:val="30"/>
          <w:u w:val="single"/>
          <w:lang w:val="zh-CN"/>
        </w:rPr>
        <w:t>-20</w:t>
      </w:r>
      <w:r>
        <w:rPr>
          <w:rFonts w:hint="eastAsia" w:ascii="宋体" w:hAnsi="宋体" w:eastAsia="宋体" w:cs="宋体"/>
          <w:b/>
          <w:bCs/>
          <w:sz w:val="30"/>
          <w:szCs w:val="30"/>
          <w:u w:val="single"/>
          <w:lang w:val="en-US" w:eastAsia="zh-CN"/>
        </w:rPr>
        <w:t>20</w:t>
      </w:r>
      <w:r>
        <w:rPr>
          <w:rFonts w:hint="eastAsia" w:ascii="宋体" w:hAnsi="宋体" w:eastAsia="宋体" w:cs="宋体"/>
          <w:b/>
          <w:bCs/>
          <w:sz w:val="30"/>
          <w:szCs w:val="30"/>
          <w:u w:val="single"/>
          <w:lang w:val="zh-CN"/>
        </w:rPr>
        <w:t>-</w:t>
      </w:r>
      <w:r>
        <w:rPr>
          <w:rFonts w:hint="eastAsia" w:ascii="宋体" w:hAnsi="宋体" w:eastAsia="宋体" w:cs="宋体"/>
          <w:b/>
          <w:bCs/>
          <w:sz w:val="30"/>
          <w:szCs w:val="30"/>
          <w:u w:val="single"/>
        </w:rPr>
        <w:t>0</w:t>
      </w:r>
      <w:r>
        <w:rPr>
          <w:rFonts w:hint="eastAsia" w:ascii="宋体" w:hAnsi="宋体" w:eastAsia="宋体" w:cs="宋体"/>
          <w:b/>
          <w:bCs/>
          <w:sz w:val="30"/>
          <w:szCs w:val="30"/>
          <w:u w:val="single"/>
          <w:lang w:val="en-US" w:eastAsia="zh-CN"/>
        </w:rPr>
        <w:t>24</w:t>
      </w:r>
    </w:p>
    <w:p>
      <w:pPr>
        <w:autoSpaceDE w:val="0"/>
        <w:autoSpaceDN w:val="0"/>
        <w:spacing w:line="36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lang w:val="zh-CN"/>
        </w:rPr>
        <w:t>合同金额（人民币）：</w:t>
      </w:r>
    </w:p>
    <w:p>
      <w:pPr>
        <w:autoSpaceDE w:val="0"/>
        <w:autoSpaceDN w:val="0"/>
        <w:spacing w:line="36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lang w:val="zh-CN"/>
        </w:rPr>
        <w:t>采购人（甲方）：</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lang w:val="zh-CN"/>
        </w:rPr>
        <w:t>采购日期：</w:t>
      </w: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autoSpaceDE w:val="0"/>
        <w:autoSpaceDN w:val="0"/>
        <w:spacing w:line="360" w:lineRule="auto"/>
        <w:ind w:firstLine="0" w:firstLineChars="0"/>
        <w:jc w:val="left"/>
        <w:rPr>
          <w:rFonts w:hint="eastAsia"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采购人（以下简称甲方）：</w:t>
      </w:r>
    </w:p>
    <w:p>
      <w:pPr>
        <w:autoSpaceDE w:val="0"/>
        <w:autoSpaceDN w:val="0"/>
        <w:spacing w:line="360" w:lineRule="auto"/>
        <w:ind w:firstLine="0" w:firstLineChars="0"/>
        <w:rPr>
          <w:rFonts w:hint="eastAsia" w:ascii="宋体" w:hAnsi="宋体" w:eastAsia="宋体" w:cs="宋体"/>
          <w:sz w:val="28"/>
          <w:szCs w:val="28"/>
        </w:rPr>
      </w:pPr>
      <w:r>
        <w:rPr>
          <w:rFonts w:hint="eastAsia" w:ascii="宋体" w:hAnsi="宋体" w:eastAsia="宋体" w:cs="宋体"/>
          <w:b/>
          <w:bCs/>
          <w:sz w:val="28"/>
          <w:szCs w:val="28"/>
          <w:lang w:val="zh-CN"/>
        </w:rPr>
        <w:t>供应商（以下简称乙方）：</w:t>
      </w:r>
    </w:p>
    <w:p>
      <w:pPr>
        <w:pStyle w:val="11"/>
        <w:spacing w:after="0" w:line="360" w:lineRule="auto"/>
        <w:ind w:left="0" w:leftChars="0" w:firstLine="480"/>
        <w:rPr>
          <w:rFonts w:hint="eastAsia" w:ascii="宋体" w:hAnsi="宋体" w:eastAsia="宋体" w:cs="宋体"/>
          <w:sz w:val="24"/>
          <w:szCs w:val="24"/>
          <w:lang w:val="zh-CN"/>
        </w:rPr>
      </w:pPr>
      <w:r>
        <w:rPr>
          <w:rFonts w:hint="eastAsia" w:ascii="宋体" w:hAnsi="宋体" w:eastAsia="宋体" w:cs="宋体"/>
          <w:sz w:val="24"/>
          <w:szCs w:val="24"/>
          <w:lang w:val="zh-CN"/>
        </w:rPr>
        <w:t>甲、乙双方根据年月日</w:t>
      </w:r>
      <w:r>
        <w:rPr>
          <w:rFonts w:hint="eastAsia" w:ascii="宋体" w:hAnsi="宋体" w:eastAsia="宋体" w:cs="宋体"/>
          <w:sz w:val="24"/>
          <w:szCs w:val="24"/>
          <w:u w:val="single"/>
          <w:lang w:val="zh-CN"/>
        </w:rPr>
        <w:t>射击场馆提升改造及器材购置项目</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宏业建设竞磋（货物）2020-024</w:t>
      </w:r>
      <w:r>
        <w:rPr>
          <w:rFonts w:hint="eastAsia" w:ascii="宋体" w:hAnsi="宋体" w:eastAsia="宋体" w:cs="宋体"/>
          <w:sz w:val="24"/>
          <w:szCs w:val="24"/>
          <w:lang w:val="zh-CN"/>
        </w:rPr>
        <w:t>）的磋商文件要求和</w:t>
      </w:r>
      <w:r>
        <w:rPr>
          <w:rFonts w:hint="eastAsia" w:ascii="宋体" w:hAnsi="宋体" w:eastAsia="宋体" w:cs="宋体"/>
          <w:sz w:val="24"/>
          <w:lang w:val="zh-CN"/>
        </w:rPr>
        <w:t>河南宏业建设管理股份有限公司</w:t>
      </w:r>
      <w:r>
        <w:rPr>
          <w:rFonts w:hint="eastAsia" w:ascii="宋体" w:hAnsi="宋体" w:eastAsia="宋体" w:cs="宋体"/>
          <w:sz w:val="24"/>
          <w:szCs w:val="24"/>
          <w:lang w:val="zh-CN"/>
        </w:rPr>
        <w:t>出具的《成交通知书》，并经双方协商一致，签订本合同协议书。</w:t>
      </w: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1.磋商文件；</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2.磋商文件的更正、变更公告；</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3.中标人提交的响应文件；</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5.成交通知书；</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6.履约保证金凭证</w:t>
      </w:r>
      <w:r>
        <w:rPr>
          <w:rFonts w:hint="eastAsia" w:ascii="宋体" w:hAnsi="宋体" w:eastAsia="宋体" w:cs="宋体"/>
          <w:sz w:val="24"/>
          <w:szCs w:val="24"/>
          <w:lang w:val="zh-CN"/>
        </w:rPr>
        <w:t>。</w:t>
      </w: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二、合同标的及金额                                       单位：元</w:t>
      </w:r>
    </w:p>
    <w:tbl>
      <w:tblPr>
        <w:tblStyle w:val="21"/>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r>
    </w:tbl>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根据上述政府采购合同文件要求，本政府采购合同的总金额为人民币</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 xml:space="preserve"> （大写）元。</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本合同以人民币进行结算，合同总价包括：</w:t>
      </w:r>
      <w:r>
        <w:rPr>
          <w:rFonts w:hint="eastAsia" w:ascii="宋体" w:hAnsi="宋体" w:eastAsia="宋体" w:cs="宋体"/>
          <w:sz w:val="24"/>
          <w:lang w:val="zh-CN"/>
        </w:rPr>
        <w:t>产品费、验收费、手续费、包装费、运输费、保险费、</w:t>
      </w:r>
      <w:r>
        <w:rPr>
          <w:rFonts w:hint="eastAsia" w:ascii="宋体" w:hAnsi="宋体" w:eastAsia="宋体" w:cs="宋体"/>
          <w:sz w:val="24"/>
        </w:rPr>
        <w:t>检验费、</w:t>
      </w:r>
      <w:r>
        <w:rPr>
          <w:rFonts w:hint="eastAsia" w:ascii="宋体" w:hAnsi="宋体" w:eastAsia="宋体" w:cs="宋体"/>
          <w:sz w:val="24"/>
          <w:lang w:val="zh-CN"/>
        </w:rPr>
        <w:t>售前、售中、售后服务费、中标服务费及不可预见费等全部费用。</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三、交货时间、地点和要求</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交货时间：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rPr>
        <w:t>；交货地点：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rPr>
        <w:t>。</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乙方提供不符合磋商文件、响应文件和本合同规定的产品，甲方有权拒绝接受。</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甲方应当在到货（安装、调试完）后</w:t>
      </w:r>
      <w:r>
        <w:rPr>
          <w:rFonts w:hint="eastAsia" w:ascii="宋体" w:hAnsi="宋体" w:eastAsia="宋体" w:cs="宋体"/>
          <w:sz w:val="24"/>
          <w:szCs w:val="24"/>
          <w:u w:val="single"/>
        </w:rPr>
        <w:t>7</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乙方向甲方提供产品相关完税销售发票。</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四、付款方式</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lang w:val="zh-CN"/>
        </w:rPr>
        <w:t>签订合同时，乙方应当以支票、汇票、本票等非现金形式缴纳中标金额</w:t>
      </w:r>
      <w:r>
        <w:rPr>
          <w:rFonts w:hint="eastAsia" w:ascii="宋体" w:hAnsi="宋体" w:eastAsia="宋体" w:cs="宋体"/>
          <w:sz w:val="24"/>
          <w:u w:val="single"/>
        </w:rPr>
        <w:t>5</w:t>
      </w:r>
      <w:r>
        <w:rPr>
          <w:rFonts w:hint="eastAsia" w:ascii="宋体" w:hAnsi="宋体" w:eastAsia="宋体" w:cs="宋体"/>
          <w:sz w:val="24"/>
          <w:lang w:val="zh-CN"/>
        </w:rPr>
        <w:t>%的履约保证金到甲方指定的账户。</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乙方所交付的产品由甲方验收，验收合格后由甲方报同级财政监管部门，申请资金拨付</w:t>
      </w:r>
      <w:r>
        <w:rPr>
          <w:rFonts w:hint="eastAsia" w:ascii="宋体" w:hAnsi="宋体" w:eastAsia="宋体" w:cs="宋体"/>
          <w:sz w:val="24"/>
          <w:szCs w:val="24"/>
        </w:rPr>
        <w:t>,</w:t>
      </w:r>
      <w:r>
        <w:rPr>
          <w:rFonts w:hint="eastAsia" w:ascii="宋体" w:hAnsi="宋体" w:eastAsia="宋体" w:cs="宋体"/>
          <w:sz w:val="24"/>
          <w:szCs w:val="24"/>
          <w:lang w:val="zh-CN"/>
        </w:rPr>
        <w:t>按合同金额向乙方支付合同总价款的</w:t>
      </w:r>
      <w:r>
        <w:rPr>
          <w:rFonts w:hint="eastAsia" w:ascii="宋体" w:hAnsi="宋体" w:eastAsia="宋体" w:cs="宋体"/>
          <w:sz w:val="24"/>
          <w:szCs w:val="24"/>
          <w:u w:val="single"/>
        </w:rPr>
        <w:t>100</w:t>
      </w:r>
      <w:r>
        <w:rPr>
          <w:rFonts w:hint="eastAsia" w:ascii="宋体" w:hAnsi="宋体" w:eastAsia="宋体" w:cs="宋体"/>
          <w:sz w:val="24"/>
          <w:szCs w:val="24"/>
        </w:rPr>
        <w:t>%</w:t>
      </w:r>
      <w:r>
        <w:rPr>
          <w:rFonts w:hint="eastAsia" w:ascii="宋体" w:hAnsi="宋体" w:eastAsia="宋体" w:cs="宋体"/>
          <w:sz w:val="24"/>
          <w:szCs w:val="24"/>
          <w:lang w:val="zh-CN"/>
        </w:rPr>
        <w:t>，即人民币（大写）：</w:t>
      </w:r>
      <w:r>
        <w:rPr>
          <w:rFonts w:hint="eastAsia" w:ascii="宋体" w:hAnsi="宋体" w:eastAsia="宋体" w:cs="宋体"/>
          <w:sz w:val="24"/>
          <w:szCs w:val="24"/>
        </w:rPr>
        <w:t>元</w:t>
      </w:r>
      <w:r>
        <w:rPr>
          <w:rFonts w:hint="eastAsia" w:ascii="宋体" w:hAnsi="宋体" w:eastAsia="宋体" w:cs="宋体"/>
          <w:sz w:val="24"/>
          <w:szCs w:val="24"/>
          <w:lang w:val="zh-CN"/>
        </w:rPr>
        <w:t>。</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乙方向甲方提交的履约保证金计（大写）转为质量保证金。质量保证金待约定的免费质保期满且产品无质量问题后，由乙方提出书面申请，甲方以转账方式予以退还。</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五、合同的变更、终止与转让</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六、违约责任</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u w:val="single"/>
        </w:rPr>
        <w:t>20</w:t>
      </w:r>
      <w:r>
        <w:rPr>
          <w:rFonts w:hint="eastAsia" w:ascii="宋体" w:hAnsi="宋体" w:eastAsia="宋体" w:cs="宋体"/>
          <w:sz w:val="24"/>
          <w:szCs w:val="24"/>
          <w:lang w:val="zh-CN"/>
        </w:rPr>
        <w:t>天对方有权解除合同，违约方承担因此给对方造成的经济损失。</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乙方未按本合同和响应文件中规定的服务承诺提供售后服务的，乙方应按本合同合计金额的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七、不可抗力</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u w:val="single"/>
        </w:rPr>
        <w:t>15</w:t>
      </w:r>
      <w:r>
        <w:rPr>
          <w:rFonts w:hint="eastAsia" w:ascii="宋体" w:hAnsi="宋体" w:eastAsia="宋体" w:cs="宋体"/>
          <w:sz w:val="24"/>
          <w:szCs w:val="24"/>
          <w:lang w:val="zh-CN"/>
        </w:rPr>
        <w:t>天内达成进一步履行合同的协议，因不可抗力致使合同不能履行的，合同终止。</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除法律、法规规定的不可抗力情形外，双方约定出现</w:t>
      </w:r>
      <w:r>
        <w:rPr>
          <w:rFonts w:hint="eastAsia" w:ascii="宋体" w:hAnsi="宋体" w:eastAsia="宋体" w:cs="宋体"/>
          <w:sz w:val="24"/>
          <w:u w:val="single"/>
          <w:lang w:val="zh-CN"/>
        </w:rPr>
        <w:t>非人为</w:t>
      </w:r>
      <w:r>
        <w:rPr>
          <w:rFonts w:hint="eastAsia" w:ascii="宋体" w:hAnsi="宋体" w:eastAsia="宋体" w:cs="宋体"/>
          <w:sz w:val="24"/>
          <w:szCs w:val="24"/>
          <w:lang w:val="zh-CN"/>
        </w:rPr>
        <w:t>情况亦视为不可抗力。</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八、知识产权：详见合同通用条款</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九、其他约定：无</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十、合同争议解决</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w:t>
      </w:r>
      <w:r>
        <w:rPr>
          <w:rFonts w:hint="eastAsia" w:ascii="宋体" w:hAnsi="宋体" w:eastAsia="宋体" w:cs="宋体"/>
          <w:sz w:val="24"/>
          <w:szCs w:val="24"/>
          <w:u w:val="single"/>
          <w:lang w:val="zh-CN"/>
        </w:rPr>
        <w:t>甲方</w:t>
      </w:r>
      <w:r>
        <w:rPr>
          <w:rFonts w:hint="eastAsia" w:ascii="宋体" w:hAnsi="宋体" w:eastAsia="宋体" w:cs="宋体"/>
          <w:sz w:val="24"/>
          <w:szCs w:val="24"/>
          <w:lang w:val="zh-CN"/>
        </w:rPr>
        <w:t>所在地仲裁委员会申请仲裁或向甲方所在地人民法院提起诉讼。</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u w:val="single"/>
        </w:rPr>
        <w:t>8</w:t>
      </w:r>
      <w:r>
        <w:rPr>
          <w:rFonts w:hint="eastAsia" w:ascii="宋体" w:hAnsi="宋体" w:eastAsia="宋体" w:cs="宋体"/>
          <w:sz w:val="24"/>
          <w:szCs w:val="24"/>
          <w:lang w:val="zh-CN"/>
        </w:rPr>
        <w:t>份，经双方签字，并加盖公章即为生效。</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本合同未尽事宜，按经济合同法有关规定处理。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br w:type="page"/>
      </w:r>
      <w:r>
        <w:rPr>
          <w:rFonts w:hint="eastAsia" w:ascii="宋体" w:hAnsi="宋体" w:eastAsia="宋体" w:cs="宋体"/>
          <w:sz w:val="24"/>
          <w:szCs w:val="24"/>
          <w:lang w:val="zh-CN"/>
        </w:rPr>
        <w:t>甲方（盖章）：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乙方（盖章）：</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pPr>
        <w:autoSpaceDE w:val="0"/>
        <w:autoSpaceDN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zh-CN"/>
        </w:rPr>
        <w:t>开户银行：</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账号：</w:t>
      </w:r>
    </w:p>
    <w:p>
      <w:pPr>
        <w:autoSpaceDE w:val="0"/>
        <w:autoSpaceDN w:val="0"/>
        <w:spacing w:line="360" w:lineRule="auto"/>
        <w:ind w:firstLine="4560" w:firstLineChars="1900"/>
        <w:rPr>
          <w:rFonts w:hint="eastAsia" w:ascii="宋体" w:hAnsi="宋体" w:eastAsia="宋体" w:cs="宋体"/>
          <w:sz w:val="24"/>
          <w:szCs w:val="24"/>
        </w:rPr>
      </w:pPr>
      <w:r>
        <w:rPr>
          <w:rFonts w:hint="eastAsia" w:ascii="宋体" w:hAnsi="宋体" w:eastAsia="宋体" w:cs="宋体"/>
          <w:sz w:val="24"/>
          <w:szCs w:val="24"/>
          <w:lang w:val="zh-CN"/>
        </w:rPr>
        <w:t>联系电话：</w:t>
      </w:r>
    </w:p>
    <w:p>
      <w:pPr>
        <w:autoSpaceDE w:val="0"/>
        <w:autoSpaceDN w:val="0"/>
        <w:spacing w:line="360" w:lineRule="auto"/>
        <w:ind w:firstLine="0" w:firstLineChars="0"/>
        <w:rPr>
          <w:rFonts w:hint="eastAsia" w:ascii="宋体" w:hAnsi="宋体" w:eastAsia="宋体" w:cs="宋体"/>
          <w:sz w:val="24"/>
          <w:szCs w:val="24"/>
          <w:lang w:val="zh-CN"/>
        </w:rPr>
      </w:pPr>
    </w:p>
    <w:p>
      <w:pPr>
        <w:autoSpaceDE w:val="0"/>
        <w:autoSpaceDN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zh-CN"/>
        </w:rPr>
        <w:t>签约时间：年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w:t>
      </w:r>
    </w:p>
    <w:p>
      <w:pPr>
        <w:autoSpaceDE w:val="0"/>
        <w:autoSpaceDN w:val="0"/>
        <w:spacing w:line="360" w:lineRule="auto"/>
        <w:ind w:firstLine="0" w:firstLineChars="0"/>
        <w:rPr>
          <w:rFonts w:hint="eastAsia" w:ascii="宋体" w:hAnsi="宋体" w:eastAsia="宋体" w:cs="宋体"/>
          <w:sz w:val="24"/>
          <w:szCs w:val="24"/>
          <w:lang w:val="zh-CN"/>
        </w:rPr>
      </w:pP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采购代理机构：</w:t>
      </w:r>
      <w:r>
        <w:rPr>
          <w:rFonts w:hint="eastAsia" w:ascii="宋体" w:hAnsi="宋体" w:eastAsia="宋体" w:cs="宋体"/>
          <w:sz w:val="24"/>
          <w:lang w:val="zh-CN"/>
        </w:rPr>
        <w:t>河南宏业建设管理股份有限公司</w:t>
      </w: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负责人或经办人：</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合同备案时间：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w:t>
      </w:r>
    </w:p>
    <w:p>
      <w:pPr>
        <w:wordWrap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lang w:val="zh-CN"/>
        </w:rPr>
        <w:t>合同通用条款</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本合同中的下列术语应解释为：</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11.检验和验收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本合同条款下的付款方法和条件在“青海省政府采购合同书”中具体规定。</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br w:type="page"/>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br w:type="page"/>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pPr>
        <w:wordWrap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pPr>
        <w:wordWrap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kern w:val="28"/>
          <w:sz w:val="36"/>
          <w:szCs w:val="20"/>
        </w:rPr>
      </w:pPr>
      <w:bookmarkStart w:id="138" w:name="_Toc12139"/>
      <w:r>
        <w:rPr>
          <w:rFonts w:hint="eastAsia" w:ascii="宋体" w:hAnsi="宋体" w:eastAsia="宋体" w:cs="宋体"/>
          <w:b/>
          <w:kern w:val="28"/>
          <w:sz w:val="36"/>
          <w:szCs w:val="20"/>
        </w:rPr>
        <w:t>第五部分  响应文件格式</w:t>
      </w:r>
      <w:bookmarkEnd w:id="138"/>
    </w:p>
    <w:p>
      <w:pPr>
        <w:widowControl/>
        <w:snapToGrid w:val="0"/>
        <w:spacing w:line="360" w:lineRule="auto"/>
        <w:ind w:firstLine="880" w:firstLineChars="200"/>
        <w:outlineLvl w:val="1"/>
        <w:rPr>
          <w:rFonts w:hint="eastAsia" w:ascii="宋体" w:hAnsi="宋体" w:eastAsia="宋体" w:cs="宋体"/>
          <w:b/>
          <w:sz w:val="28"/>
          <w:szCs w:val="28"/>
        </w:rPr>
      </w:pPr>
      <w:bookmarkStart w:id="139" w:name="_Toc16431"/>
      <w:bookmarkStart w:id="140" w:name="_Toc9848"/>
      <w:r>
        <w:rPr>
          <w:rFonts w:hint="eastAsia" w:ascii="宋体" w:hAnsi="宋体" w:eastAsia="宋体" w:cs="宋体"/>
          <w:sz w:val="44"/>
        </w:rPr>
        <mc:AlternateContent>
          <mc:Choice Requires="wps">
            <w:drawing>
              <wp:anchor distT="0" distB="0" distL="114300" distR="114300" simplePos="0" relativeHeight="251658240" behindDoc="0" locked="0" layoutInCell="1" allowOverlap="1">
                <wp:simplePos x="0" y="0"/>
                <wp:positionH relativeFrom="column">
                  <wp:posOffset>-474980</wp:posOffset>
                </wp:positionH>
                <wp:positionV relativeFrom="paragraph">
                  <wp:posOffset>172720</wp:posOffset>
                </wp:positionV>
                <wp:extent cx="495300" cy="6976110"/>
                <wp:effectExtent l="7620" t="7620" r="11430" b="26670"/>
                <wp:wrapNone/>
                <wp:docPr id="1" name="文本框 1"/>
                <wp:cNvGraphicFramePr/>
                <a:graphic xmlns:a="http://schemas.openxmlformats.org/drawingml/2006/main">
                  <a:graphicData uri="http://schemas.microsoft.com/office/word/2010/wordprocessingShape">
                    <wps:wsp>
                      <wps:cNvSpPr txBox="1"/>
                      <wps:spPr>
                        <a:xfrm>
                          <a:off x="0" y="0"/>
                          <a:ext cx="495300" cy="697611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left="0" w:leftChars="0" w:firstLine="0" w:firstLineChars="0"/>
                              <w:rPr>
                                <w:sz w:val="28"/>
                                <w:szCs w:val="28"/>
                              </w:rPr>
                            </w:pPr>
                            <w:r>
                              <w:rPr>
                                <w:sz w:val="28"/>
                                <w:szCs w:val="28"/>
                              </w:rPr>
                              <w:t>正本或副</w:t>
                            </w:r>
                            <w:r>
                              <w:rPr>
                                <w:rFonts w:hint="eastAsia"/>
                                <w:sz w:val="28"/>
                                <w:szCs w:val="28"/>
                                <w:lang w:eastAsia="zh-CN"/>
                              </w:rPr>
                              <w:t>（</w:t>
                            </w:r>
                            <w:r>
                              <w:rPr>
                                <w:sz w:val="28"/>
                                <w:szCs w:val="28"/>
                              </w:rPr>
                              <w:t xml:space="preserve">本项目名称            投标单位名称 </w:t>
                            </w:r>
                            <w:r>
                              <w:rPr>
                                <w:rFonts w:hint="eastAsia"/>
                                <w:sz w:val="28"/>
                                <w:szCs w:val="28"/>
                                <w:lang w:eastAsia="zh-CN"/>
                              </w:rPr>
                              <w:t>）</w:t>
                            </w:r>
                            <w:r>
                              <w:rPr>
                                <w:sz w:val="28"/>
                                <w:szCs w:val="28"/>
                              </w:rPr>
                              <w:t xml:space="preserve">                </w:t>
                            </w:r>
                          </w:p>
                        </w:txbxContent>
                      </wps:txbx>
                      <wps:bodyPr vert="eaVert" upright="1"/>
                    </wps:wsp>
                  </a:graphicData>
                </a:graphic>
              </wp:anchor>
            </w:drawing>
          </mc:Choice>
          <mc:Fallback>
            <w:pict>
              <v:shape id="_x0000_s1026" o:spid="_x0000_s1026" o:spt="202" type="#_x0000_t202" style="position:absolute;left:0pt;margin-left:-37.4pt;margin-top:13.6pt;height:549.3pt;width:39pt;z-index:251658240;mso-width-relative:page;mso-height-relative:page;" fillcolor="#FFFFFF" filled="t" stroked="t" coordsize="21600,21600" o:gfxdata="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G81yQ2AAAAAkBAAAP&#10;AAAAAAAAAAEAIAAAACIAAABkcnMvZG93bnJldi54bWxQSwECFAAUAAAACACHTuJAnpnyqFECAADM&#10;BAAADgAAAAAAAAABACAAAAAnAQAAZHJzL2Uyb0RvYy54bWxQSwUGAAAAAAYABgBZAQAA6gUAAAAA&#10;">
                <v:fill type="gradient" on="t" color2="#FFFFFF" angle="90" focus="100%" focussize="0,0">
                  <o:fill type="gradientUnscaled" v:ext="backwardCompatible"/>
                </v:fill>
                <v:stroke weight="1.25pt" color="#739CC3" joinstyle="miter"/>
                <v:imagedata o:title=""/>
                <o:lock v:ext="edit" aspectratio="f"/>
                <v:textbox style="layout-flow:vertical-ideographic;">
                  <w:txbxContent>
                    <w:p>
                      <w:pPr>
                        <w:ind w:left="0" w:leftChars="0" w:firstLine="0" w:firstLineChars="0"/>
                        <w:rPr>
                          <w:sz w:val="28"/>
                          <w:szCs w:val="28"/>
                        </w:rPr>
                      </w:pPr>
                      <w:r>
                        <w:rPr>
                          <w:sz w:val="28"/>
                          <w:szCs w:val="28"/>
                        </w:rPr>
                        <w:t>正本或副</w:t>
                      </w:r>
                      <w:r>
                        <w:rPr>
                          <w:rFonts w:hint="eastAsia"/>
                          <w:sz w:val="28"/>
                          <w:szCs w:val="28"/>
                          <w:lang w:eastAsia="zh-CN"/>
                        </w:rPr>
                        <w:t>（</w:t>
                      </w:r>
                      <w:r>
                        <w:rPr>
                          <w:sz w:val="28"/>
                          <w:szCs w:val="28"/>
                        </w:rPr>
                        <w:t xml:space="preserve">本项目名称            投标单位名称 </w:t>
                      </w:r>
                      <w:r>
                        <w:rPr>
                          <w:rFonts w:hint="eastAsia"/>
                          <w:sz w:val="28"/>
                          <w:szCs w:val="28"/>
                          <w:lang w:eastAsia="zh-CN"/>
                        </w:rPr>
                        <w:t>）</w:t>
                      </w:r>
                      <w:r>
                        <w:rPr>
                          <w:sz w:val="28"/>
                          <w:szCs w:val="28"/>
                        </w:rPr>
                        <w:t xml:space="preserve">                </w:t>
                      </w:r>
                    </w:p>
                  </w:txbxContent>
                </v:textbox>
              </v:shape>
            </w:pict>
          </mc:Fallback>
        </mc:AlternateContent>
      </w:r>
      <w:r>
        <w:rPr>
          <w:rFonts w:hint="eastAsia" w:ascii="宋体" w:hAnsi="宋体" w:eastAsia="宋体" w:cs="宋体"/>
          <w:b/>
          <w:sz w:val="28"/>
          <w:szCs w:val="28"/>
        </w:rPr>
        <w:t>附件1：响应文件封面</w:t>
      </w:r>
      <w:bookmarkEnd w:id="139"/>
      <w:bookmarkEnd w:id="140"/>
    </w:p>
    <w:p>
      <w:pPr>
        <w:spacing w:line="360" w:lineRule="auto"/>
        <w:ind w:firstLine="0" w:firstLineChars="0"/>
        <w:rPr>
          <w:rFonts w:hint="eastAsia" w:ascii="宋体" w:hAnsi="宋体" w:eastAsia="宋体" w:cs="宋体"/>
          <w:b/>
          <w:sz w:val="36"/>
          <w:szCs w:val="36"/>
        </w:rPr>
      </w:pPr>
    </w:p>
    <w:p>
      <w:pPr>
        <w:spacing w:line="360" w:lineRule="auto"/>
        <w:ind w:firstLine="0" w:firstLineChars="0"/>
        <w:rPr>
          <w:rFonts w:hint="eastAsia" w:ascii="宋体" w:hAnsi="宋体" w:eastAsia="宋体" w:cs="宋体"/>
          <w:b/>
          <w:sz w:val="36"/>
          <w:szCs w:val="36"/>
        </w:rPr>
      </w:pPr>
    </w:p>
    <w:p>
      <w:pPr>
        <w:spacing w:line="360" w:lineRule="auto"/>
        <w:ind w:firstLine="0" w:firstLineChars="0"/>
        <w:rPr>
          <w:rFonts w:hint="eastAsia" w:ascii="宋体" w:hAnsi="宋体" w:eastAsia="宋体" w:cs="宋体"/>
          <w:b/>
          <w:sz w:val="36"/>
          <w:szCs w:val="36"/>
        </w:rPr>
      </w:pPr>
    </w:p>
    <w:p>
      <w:pPr>
        <w:spacing w:line="360" w:lineRule="auto"/>
        <w:ind w:firstLine="2364" w:firstLineChars="327"/>
        <w:rPr>
          <w:rFonts w:hint="eastAsia" w:ascii="宋体" w:hAnsi="宋体" w:eastAsia="宋体" w:cs="宋体"/>
          <w:b/>
          <w:sz w:val="72"/>
          <w:szCs w:val="72"/>
        </w:rPr>
      </w:pPr>
      <w:r>
        <w:rPr>
          <w:rFonts w:hint="eastAsia" w:ascii="宋体" w:hAnsi="宋体" w:eastAsia="宋体" w:cs="宋体"/>
          <w:b/>
          <w:sz w:val="72"/>
          <w:szCs w:val="72"/>
        </w:rPr>
        <w:t>响应文件</w:t>
      </w:r>
    </w:p>
    <w:p>
      <w:pPr>
        <w:adjustRightInd w:val="0"/>
        <w:spacing w:line="360" w:lineRule="auto"/>
        <w:ind w:firstLine="0" w:firstLineChars="0"/>
        <w:textAlignment w:val="baseline"/>
        <w:rPr>
          <w:rFonts w:hint="eastAsia" w:ascii="宋体" w:hAnsi="宋体" w:eastAsia="宋体" w:cs="宋体"/>
          <w:b/>
          <w:bCs/>
          <w:sz w:val="36"/>
          <w:szCs w:val="36"/>
        </w:rPr>
      </w:pPr>
    </w:p>
    <w:p>
      <w:pPr>
        <w:adjustRightInd w:val="0"/>
        <w:spacing w:line="360" w:lineRule="auto"/>
        <w:ind w:firstLine="361" w:firstLineChars="100"/>
        <w:textAlignment w:val="baseline"/>
        <w:rPr>
          <w:rFonts w:hint="eastAsia" w:ascii="宋体" w:hAnsi="宋体" w:eastAsia="宋体" w:cs="宋体"/>
          <w:b/>
          <w:sz w:val="36"/>
          <w:szCs w:val="36"/>
        </w:rPr>
      </w:pPr>
      <w:r>
        <w:rPr>
          <w:rFonts w:hint="eastAsia" w:ascii="宋体" w:hAnsi="宋体" w:eastAsia="宋体" w:cs="宋体"/>
          <w:b/>
          <w:bCs/>
          <w:sz w:val="36"/>
          <w:szCs w:val="36"/>
        </w:rPr>
        <w:t>采购项目编号</w:t>
      </w:r>
      <w:r>
        <w:rPr>
          <w:rFonts w:hint="eastAsia" w:ascii="宋体" w:hAnsi="宋体" w:eastAsia="宋体" w:cs="宋体"/>
          <w:b/>
          <w:sz w:val="36"/>
          <w:szCs w:val="36"/>
        </w:rPr>
        <w:t>：</w:t>
      </w:r>
    </w:p>
    <w:p>
      <w:pPr>
        <w:adjustRightInd w:val="0"/>
        <w:spacing w:line="360" w:lineRule="auto"/>
        <w:ind w:left="2533" w:leftChars="174" w:right="420" w:rightChars="200" w:hanging="2168" w:hangingChars="600"/>
        <w:textAlignment w:val="baseline"/>
        <w:rPr>
          <w:rFonts w:hint="eastAsia" w:ascii="宋体" w:hAnsi="宋体" w:eastAsia="宋体" w:cs="宋体"/>
          <w:b/>
          <w:bCs/>
          <w:sz w:val="36"/>
          <w:szCs w:val="36"/>
        </w:rPr>
      </w:pPr>
      <w:r>
        <w:rPr>
          <w:rFonts w:hint="eastAsia" w:ascii="宋体" w:hAnsi="宋体" w:eastAsia="宋体" w:cs="宋体"/>
          <w:b/>
          <w:bCs/>
          <w:sz w:val="36"/>
          <w:szCs w:val="36"/>
        </w:rPr>
        <w:t xml:space="preserve">采购项目名称： </w:t>
      </w:r>
    </w:p>
    <w:p>
      <w:pPr>
        <w:adjustRightInd w:val="0"/>
        <w:spacing w:line="360" w:lineRule="auto"/>
        <w:ind w:firstLine="361" w:firstLineChars="100"/>
        <w:textAlignment w:val="baseline"/>
        <w:rPr>
          <w:rFonts w:hint="eastAsia"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pPr>
        <w:adjustRightInd w:val="0"/>
        <w:spacing w:line="360" w:lineRule="auto"/>
        <w:ind w:firstLine="0" w:firstLineChars="0"/>
        <w:textAlignment w:val="baseline"/>
        <w:rPr>
          <w:rFonts w:hint="eastAsia" w:ascii="宋体" w:hAnsi="宋体" w:eastAsia="宋体" w:cs="宋体"/>
          <w:b/>
          <w:sz w:val="36"/>
          <w:szCs w:val="36"/>
        </w:rPr>
      </w:pPr>
    </w:p>
    <w:p>
      <w:pPr>
        <w:adjustRightInd w:val="0"/>
        <w:spacing w:line="360" w:lineRule="auto"/>
        <w:ind w:firstLine="0" w:firstLineChars="0"/>
        <w:textAlignment w:val="baseline"/>
        <w:rPr>
          <w:rFonts w:hint="eastAsia" w:ascii="宋体" w:hAnsi="宋体" w:eastAsia="宋体" w:cs="宋体"/>
          <w:b/>
          <w:sz w:val="36"/>
          <w:szCs w:val="36"/>
        </w:rPr>
      </w:pPr>
    </w:p>
    <w:p>
      <w:pPr>
        <w:spacing w:line="360" w:lineRule="auto"/>
        <w:ind w:firstLine="643"/>
        <w:jc w:val="center"/>
        <w:rPr>
          <w:rFonts w:hint="eastAsia" w:ascii="宋体" w:hAnsi="宋体" w:eastAsia="宋体" w:cs="宋体"/>
          <w:b/>
          <w:sz w:val="32"/>
        </w:rPr>
      </w:pPr>
      <w:r>
        <w:rPr>
          <w:rFonts w:hint="eastAsia" w:ascii="宋体" w:hAnsi="宋体" w:eastAsia="宋体" w:cs="宋体"/>
          <w:b/>
          <w:sz w:val="32"/>
        </w:rPr>
        <w:t>供应商：（公章）</w:t>
      </w:r>
    </w:p>
    <w:p>
      <w:pPr>
        <w:spacing w:line="360" w:lineRule="auto"/>
        <w:ind w:firstLine="643"/>
        <w:jc w:val="center"/>
        <w:rPr>
          <w:rFonts w:hint="eastAsia" w:ascii="宋体" w:hAnsi="宋体" w:eastAsia="宋体" w:cs="宋体"/>
          <w:b/>
          <w:sz w:val="32"/>
        </w:rPr>
      </w:pPr>
      <w:r>
        <w:rPr>
          <w:rFonts w:hint="eastAsia" w:ascii="宋体" w:hAnsi="宋体" w:eastAsia="宋体" w:cs="宋体"/>
          <w:b/>
          <w:sz w:val="32"/>
        </w:rPr>
        <w:t>法定代表人或委托代理人：（签字或盖章）</w:t>
      </w:r>
    </w:p>
    <w:p>
      <w:pPr>
        <w:wordWrap w:val="0"/>
        <w:spacing w:line="360" w:lineRule="auto"/>
        <w:ind w:firstLine="0" w:firstLineChars="0"/>
        <w:jc w:val="center"/>
        <w:rPr>
          <w:rFonts w:hint="eastAsia" w:ascii="宋体" w:hAnsi="宋体" w:eastAsia="宋体" w:cs="宋体"/>
          <w:b/>
          <w:sz w:val="32"/>
        </w:rPr>
      </w:pPr>
      <w:r>
        <w:rPr>
          <w:rFonts w:hint="eastAsia" w:ascii="宋体" w:hAnsi="宋体" w:eastAsia="宋体" w:cs="宋体"/>
          <w:b/>
          <w:sz w:val="32"/>
        </w:rPr>
        <w:t>年   月  日</w:t>
      </w:r>
    </w:p>
    <w:p>
      <w:pPr>
        <w:wordWrap w:val="0"/>
        <w:spacing w:line="360" w:lineRule="auto"/>
        <w:ind w:firstLine="0" w:firstLineChars="0"/>
        <w:jc w:val="center"/>
        <w:rPr>
          <w:rFonts w:hint="eastAsia" w:ascii="宋体" w:hAnsi="宋体" w:eastAsia="宋体" w:cs="宋体"/>
          <w:b/>
          <w:sz w:val="32"/>
        </w:rPr>
      </w:pPr>
      <w:r>
        <w:rPr>
          <w:rFonts w:hint="eastAsia" w:ascii="宋体" w:hAnsi="宋体" w:eastAsia="宋体" w:cs="宋体"/>
          <w:b/>
          <w:sz w:val="32"/>
        </w:rPr>
        <w:br w:type="page"/>
      </w:r>
    </w:p>
    <w:p>
      <w:pPr>
        <w:keepNext/>
        <w:pageBreakBefore/>
        <w:widowControl/>
        <w:spacing w:line="360" w:lineRule="auto"/>
        <w:ind w:firstLine="0" w:firstLineChars="0"/>
        <w:jc w:val="left"/>
        <w:outlineLvl w:val="1"/>
        <w:rPr>
          <w:rFonts w:hint="eastAsia" w:ascii="宋体" w:hAnsi="宋体" w:eastAsia="宋体" w:cs="宋体"/>
          <w:b/>
          <w:sz w:val="24"/>
          <w:szCs w:val="24"/>
        </w:rPr>
      </w:pPr>
      <w:bookmarkStart w:id="141" w:name="_Toc30269"/>
      <w:bookmarkStart w:id="142" w:name="_Toc17238"/>
      <w:r>
        <w:rPr>
          <w:rFonts w:hint="eastAsia" w:ascii="宋体" w:hAnsi="宋体" w:eastAsia="宋体" w:cs="宋体"/>
          <w:b/>
          <w:sz w:val="24"/>
          <w:szCs w:val="24"/>
        </w:rPr>
        <w:t>附件2</w:t>
      </w:r>
      <w:bookmarkStart w:id="143" w:name="_Toc325726037"/>
      <w:bookmarkStart w:id="144" w:name="_Toc376936768"/>
      <w:r>
        <w:rPr>
          <w:rFonts w:hint="eastAsia" w:ascii="宋体" w:hAnsi="宋体" w:eastAsia="宋体" w:cs="宋体"/>
          <w:b/>
          <w:sz w:val="24"/>
          <w:szCs w:val="24"/>
        </w:rPr>
        <w:t>：磋商函</w:t>
      </w:r>
      <w:bookmarkEnd w:id="141"/>
      <w:bookmarkEnd w:id="142"/>
      <w:bookmarkEnd w:id="143"/>
      <w:bookmarkEnd w:id="144"/>
    </w:p>
    <w:p>
      <w:pPr>
        <w:spacing w:line="360" w:lineRule="auto"/>
        <w:ind w:firstLine="0" w:firstLineChars="0"/>
        <w:rPr>
          <w:rFonts w:hint="eastAsia" w:ascii="宋体" w:hAnsi="宋体" w:eastAsia="宋体" w:cs="宋体"/>
          <w:b/>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磋商函</w:t>
      </w:r>
    </w:p>
    <w:p>
      <w:pPr>
        <w:spacing w:line="360" w:lineRule="auto"/>
        <w:ind w:firstLine="0" w:firstLineChars="0"/>
        <w:textAlignment w:val="baseline"/>
        <w:rPr>
          <w:rFonts w:hint="eastAsia" w:ascii="宋体" w:hAnsi="宋体" w:eastAsia="宋体" w:cs="宋体"/>
          <w:b/>
          <w:sz w:val="24"/>
          <w:szCs w:val="24"/>
        </w:rPr>
      </w:pPr>
      <w:r>
        <w:rPr>
          <w:rFonts w:hint="eastAsia" w:ascii="宋体" w:hAnsi="宋体" w:eastAsia="宋体" w:cs="宋体"/>
          <w:b/>
          <w:sz w:val="24"/>
          <w:szCs w:val="24"/>
        </w:rPr>
        <w:t xml:space="preserve">致： </w:t>
      </w:r>
      <w:r>
        <w:rPr>
          <w:rFonts w:hint="eastAsia" w:ascii="宋体" w:hAnsi="宋体" w:eastAsia="宋体" w:cs="宋体"/>
          <w:sz w:val="24"/>
          <w:u w:val="single"/>
          <w:lang w:val="zh-CN"/>
        </w:rPr>
        <w:t>采购代理机构</w:t>
      </w:r>
    </w:p>
    <w:p>
      <w:pPr>
        <w:spacing w:line="360" w:lineRule="auto"/>
        <w:ind w:firstLine="0" w:firstLineChars="0"/>
        <w:textAlignment w:val="baseline"/>
        <w:rPr>
          <w:rFonts w:hint="eastAsia" w:ascii="宋体" w:hAnsi="宋体" w:eastAsia="宋体" w:cs="宋体"/>
          <w:sz w:val="24"/>
          <w:szCs w:val="24"/>
        </w:rPr>
      </w:pPr>
    </w:p>
    <w:p>
      <w:pPr>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sz w:val="24"/>
          <w:u w:val="single"/>
          <w:lang w:val="zh-CN"/>
        </w:rPr>
        <w:t>采购项目名称（采购项目编号）</w:t>
      </w:r>
      <w:r>
        <w:rPr>
          <w:rFonts w:hint="eastAsia" w:ascii="宋体" w:hAnsi="宋体" w:eastAsia="宋体" w:cs="宋体"/>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据此函，签字代表宣布同意如下：</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2、磋商有效期自开标之日起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4、与本磋商有关的一切正式往来通讯请寄：</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地址：_______________        邮编：____________</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电话：_______________        传真：____________</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法定代表人姓名： ___________ 职务：____________</w:t>
      </w:r>
    </w:p>
    <w:p>
      <w:pPr>
        <w:spacing w:line="360" w:lineRule="auto"/>
        <w:ind w:firstLine="0" w:firstLineChars="0"/>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jc w:val="left"/>
        <w:outlineLvl w:val="1"/>
        <w:rPr>
          <w:rFonts w:hint="eastAsia" w:ascii="宋体" w:hAnsi="宋体" w:eastAsia="宋体" w:cs="宋体"/>
          <w:b/>
          <w:sz w:val="24"/>
          <w:szCs w:val="24"/>
        </w:rPr>
      </w:pPr>
      <w:bookmarkStart w:id="145" w:name="_Toc26950"/>
      <w:bookmarkStart w:id="146" w:name="_Toc31069"/>
      <w:r>
        <w:rPr>
          <w:rFonts w:hint="eastAsia" w:ascii="宋体" w:hAnsi="宋体" w:eastAsia="宋体" w:cs="宋体"/>
          <w:b/>
          <w:sz w:val="24"/>
          <w:szCs w:val="24"/>
        </w:rPr>
        <w:t>附件3：投标报价一览表</w:t>
      </w:r>
      <w:bookmarkEnd w:id="145"/>
      <w:bookmarkEnd w:id="146"/>
    </w:p>
    <w:p>
      <w:pPr>
        <w:spacing w:line="360" w:lineRule="auto"/>
        <w:ind w:firstLine="0" w:firstLineChars="0"/>
        <w:textAlignment w:val="baseline"/>
        <w:rPr>
          <w:rFonts w:hint="eastAsia" w:ascii="宋体" w:hAnsi="宋体" w:eastAsia="宋体" w:cs="宋体"/>
          <w:sz w:val="24"/>
          <w:szCs w:val="24"/>
        </w:rPr>
      </w:pPr>
    </w:p>
    <w:p>
      <w:pPr>
        <w:autoSpaceDE w:val="0"/>
        <w:autoSpaceDN w:val="0"/>
        <w:spacing w:line="360" w:lineRule="auto"/>
        <w:ind w:firstLine="0" w:firstLineChars="0"/>
        <w:jc w:val="center"/>
        <w:rPr>
          <w:rFonts w:hint="eastAsia"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pPr>
        <w:autoSpaceDE w:val="0"/>
        <w:autoSpaceDN w:val="0"/>
        <w:spacing w:line="360" w:lineRule="auto"/>
        <w:ind w:firstLine="0" w:firstLineChars="0"/>
        <w:rPr>
          <w:rFonts w:hint="eastAsia"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pPr>
              <w:pStyle w:val="9"/>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pPr>
              <w:pStyle w:val="9"/>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pPr>
              <w:pStyle w:val="9"/>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大写：                  </w:t>
            </w:r>
          </w:p>
          <w:p>
            <w:pPr>
              <w:pStyle w:val="9"/>
              <w:spacing w:line="360" w:lineRule="auto"/>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交货时间</w:t>
            </w:r>
          </w:p>
        </w:tc>
        <w:tc>
          <w:tcPr>
            <w:tcW w:w="5749" w:type="dxa"/>
            <w:vAlign w:val="center"/>
          </w:tcPr>
          <w:p>
            <w:pPr>
              <w:pStyle w:val="9"/>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免费质保期</w:t>
            </w:r>
          </w:p>
        </w:tc>
        <w:tc>
          <w:tcPr>
            <w:tcW w:w="5749" w:type="dxa"/>
            <w:vAlign w:val="center"/>
          </w:tcPr>
          <w:p>
            <w:pPr>
              <w:pStyle w:val="9"/>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9"/>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优惠承诺及其他：</w:t>
            </w:r>
          </w:p>
          <w:p>
            <w:pPr>
              <w:pStyle w:val="9"/>
              <w:spacing w:line="360" w:lineRule="auto"/>
              <w:ind w:firstLine="0" w:firstLineChars="0"/>
              <w:rPr>
                <w:rFonts w:hint="eastAsia" w:ascii="宋体" w:hAnsi="宋体" w:eastAsia="宋体" w:cs="宋体"/>
                <w:sz w:val="24"/>
                <w:szCs w:val="24"/>
                <w:lang w:val="zh-CN"/>
              </w:rPr>
            </w:pPr>
          </w:p>
          <w:p>
            <w:pPr>
              <w:pStyle w:val="9"/>
              <w:spacing w:line="360" w:lineRule="auto"/>
              <w:ind w:firstLine="0" w:firstLineChars="0"/>
              <w:rPr>
                <w:rFonts w:hint="eastAsia" w:ascii="宋体" w:hAnsi="宋体" w:eastAsia="宋体" w:cs="宋体"/>
                <w:sz w:val="24"/>
                <w:szCs w:val="24"/>
                <w:lang w:val="zh-CN"/>
              </w:rPr>
            </w:pPr>
          </w:p>
        </w:tc>
      </w:tr>
    </w:tbl>
    <w:p>
      <w:pPr>
        <w:spacing w:line="360" w:lineRule="auto"/>
        <w:ind w:firstLine="0" w:firstLineChars="0"/>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0" w:firstLineChars="0"/>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分项报价表</w:t>
      </w:r>
    </w:p>
    <w:p>
      <w:pPr>
        <w:autoSpaceDE w:val="0"/>
        <w:autoSpaceDN w:val="0"/>
        <w:spacing w:line="360" w:lineRule="auto"/>
        <w:ind w:firstLine="0" w:firstLineChars="0"/>
        <w:rPr>
          <w:rFonts w:hint="eastAsia" w:ascii="宋体" w:hAnsi="宋体" w:eastAsia="宋体" w:cs="宋体"/>
          <w:b/>
          <w:bCs/>
          <w:sz w:val="24"/>
          <w:szCs w:val="24"/>
          <w:lang w:val="zh-CN"/>
        </w:rPr>
      </w:pP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b/>
          <w:bCs/>
          <w:sz w:val="24"/>
          <w:szCs w:val="24"/>
          <w:lang w:val="zh-CN"/>
        </w:rPr>
        <w:t>供应商名称：</w:t>
      </w:r>
    </w:p>
    <w:tbl>
      <w:tblPr>
        <w:tblStyle w:val="21"/>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大写：</w:t>
            </w: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小写：</w:t>
            </w:r>
          </w:p>
        </w:tc>
      </w:tr>
    </w:tbl>
    <w:p>
      <w:pPr>
        <w:spacing w:line="360" w:lineRule="auto"/>
        <w:ind w:firstLine="0" w:firstLineChars="0"/>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rPr>
          <w:rFonts w:hint="eastAsia" w:ascii="宋体" w:hAnsi="宋体" w:eastAsia="宋体" w:cs="宋体"/>
          <w:b/>
          <w:color w:val="000000"/>
          <w:sz w:val="28"/>
          <w:szCs w:val="28"/>
        </w:rPr>
      </w:pPr>
      <w:r>
        <w:rPr>
          <w:rFonts w:hint="eastAsia" w:ascii="宋体" w:hAnsi="宋体" w:eastAsia="宋体" w:cs="宋体"/>
          <w:b/>
          <w:sz w:val="24"/>
          <w:szCs w:val="24"/>
        </w:rPr>
        <w:br w:type="page"/>
      </w:r>
      <w:r>
        <w:rPr>
          <w:rFonts w:hint="eastAsia" w:ascii="宋体" w:hAnsi="宋体" w:eastAsia="宋体" w:cs="宋体"/>
          <w:b/>
          <w:color w:val="000000"/>
          <w:sz w:val="28"/>
          <w:szCs w:val="28"/>
        </w:rPr>
        <w:t>技术规格响应表</w:t>
      </w:r>
    </w:p>
    <w:p>
      <w:pPr>
        <w:spacing w:line="360" w:lineRule="auto"/>
        <w:ind w:firstLine="0" w:firstLineChars="0"/>
        <w:rPr>
          <w:rFonts w:hint="eastAsia" w:ascii="宋体" w:hAnsi="宋体" w:eastAsia="宋体" w:cs="宋体"/>
          <w:b/>
          <w:color w:val="000000"/>
          <w:sz w:val="24"/>
          <w:szCs w:val="24"/>
        </w:rPr>
      </w:pPr>
    </w:p>
    <w:p>
      <w:pPr>
        <w:autoSpaceDE w:val="0"/>
        <w:autoSpaceDN w:val="0"/>
        <w:spacing w:line="360" w:lineRule="auto"/>
        <w:ind w:firstLine="482"/>
        <w:jc w:val="center"/>
        <w:rPr>
          <w:rFonts w:hint="eastAsia" w:ascii="宋体" w:hAnsi="宋体" w:eastAsia="宋体" w:cs="宋体"/>
          <w:b/>
          <w:bCs/>
          <w:color w:val="000000"/>
          <w:sz w:val="24"/>
          <w:szCs w:val="24"/>
          <w:lang w:val="zh-CN"/>
        </w:rPr>
      </w:pPr>
    </w:p>
    <w:p>
      <w:pPr>
        <w:autoSpaceDE w:val="0"/>
        <w:autoSpaceDN w:val="0"/>
        <w:spacing w:line="360" w:lineRule="auto"/>
        <w:ind w:firstLine="482"/>
        <w:jc w:val="center"/>
        <w:rPr>
          <w:rFonts w:hint="eastAsia" w:ascii="宋体" w:hAnsi="宋体" w:eastAsia="宋体" w:cs="宋体"/>
          <w:b/>
          <w:bCs/>
          <w:color w:val="000000"/>
          <w:sz w:val="24"/>
          <w:szCs w:val="24"/>
          <w:lang w:val="zh-CN"/>
        </w:rPr>
      </w:pPr>
    </w:p>
    <w:p>
      <w:pPr>
        <w:autoSpaceDE w:val="0"/>
        <w:autoSpaceDN w:val="0"/>
        <w:spacing w:line="360" w:lineRule="auto"/>
        <w:ind w:firstLine="482"/>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技术规格响应表</w:t>
      </w:r>
    </w:p>
    <w:p>
      <w:pPr>
        <w:autoSpaceDE w:val="0"/>
        <w:autoSpaceDN w:val="0"/>
        <w:spacing w:line="360" w:lineRule="auto"/>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供应商名称</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zh-CN"/>
        </w:rPr>
        <w:t>包号：</w:t>
      </w:r>
    </w:p>
    <w:tbl>
      <w:tblPr>
        <w:tblStyle w:val="21"/>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r>
    </w:tbl>
    <w:p>
      <w:pPr>
        <w:autoSpaceDE w:val="0"/>
        <w:autoSpaceDN w:val="0"/>
        <w:spacing w:line="360" w:lineRule="auto"/>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注：1.本表应按照每包“项目概况及技术参数”中产品序号的指标逐项填写，不得遗漏。</w:t>
      </w:r>
    </w:p>
    <w:p>
      <w:pPr>
        <w:numPr>
          <w:ilvl w:val="0"/>
          <w:numId w:val="3"/>
        </w:numPr>
        <w:autoSpaceDE w:val="0"/>
        <w:autoSpaceDN w:val="0"/>
        <w:spacing w:line="360" w:lineRule="auto"/>
        <w:ind w:firstLine="48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产品技术参数、指标”必须与投标文件中提供的产品检测报告、彩页等证明材料的实质性响应情况相一致。若在评标环节发现该项与响应文件中提供的产品检测报告、彩页（或厂家公开发布的资料参数）等证明材料的实质性响应情况不一致或直接复制招标文件“采购需求技术参数、指标”内容的，按无效投标处理。</w:t>
      </w:r>
    </w:p>
    <w:p>
      <w:pPr>
        <w:numPr>
          <w:ilvl w:val="0"/>
          <w:numId w:val="3"/>
        </w:numPr>
        <w:autoSpaceDE w:val="0"/>
        <w:autoSpaceDN w:val="0"/>
        <w:spacing w:line="360" w:lineRule="auto"/>
        <w:ind w:firstLine="48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填写此表时以招标项目参数要求为基本投标要求，满足招标项目参数要求的指标需列出“</w:t>
      </w:r>
      <w:r>
        <w:rPr>
          <w:rFonts w:hint="eastAsia" w:ascii="宋体" w:hAnsi="宋体" w:eastAsia="宋体" w:cs="宋体"/>
          <w:color w:val="000000"/>
          <w:sz w:val="24"/>
          <w:szCs w:val="24"/>
        </w:rPr>
        <w:t>0</w:t>
      </w:r>
      <w:r>
        <w:rPr>
          <w:rFonts w:hint="eastAsia" w:ascii="宋体" w:hAnsi="宋体" w:eastAsia="宋体" w:cs="宋体"/>
          <w:color w:val="000000"/>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hint="eastAsia" w:ascii="宋体" w:hAnsi="宋体" w:eastAsia="宋体" w:cs="宋体"/>
          <w:color w:val="000000"/>
          <w:sz w:val="24"/>
          <w:szCs w:val="24"/>
          <w:lang w:val="zh-CN"/>
        </w:rPr>
      </w:pPr>
    </w:p>
    <w:p>
      <w:pPr>
        <w:autoSpaceDE w:val="0"/>
        <w:autoSpaceDN w:val="0"/>
        <w:spacing w:line="360" w:lineRule="auto"/>
        <w:ind w:firstLine="480"/>
        <w:rPr>
          <w:rFonts w:hint="eastAsia" w:ascii="宋体" w:hAnsi="宋体" w:eastAsia="宋体" w:cs="宋体"/>
          <w:color w:val="000000"/>
          <w:sz w:val="24"/>
          <w:szCs w:val="24"/>
          <w:lang w:val="zh-CN"/>
        </w:rPr>
      </w:pPr>
    </w:p>
    <w:p>
      <w:pPr>
        <w:autoSpaceDE w:val="0"/>
        <w:autoSpaceDN w:val="0"/>
        <w:spacing w:line="360" w:lineRule="auto"/>
        <w:ind w:firstLine="482"/>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 xml:space="preserve">供应商：           </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zh-CN"/>
        </w:rPr>
        <w:t xml:space="preserve">  （公章）</w:t>
      </w:r>
    </w:p>
    <w:p>
      <w:pPr>
        <w:autoSpaceDE w:val="0"/>
        <w:autoSpaceDN w:val="0"/>
        <w:spacing w:line="360" w:lineRule="auto"/>
        <w:ind w:firstLine="482"/>
        <w:jc w:val="center"/>
        <w:rPr>
          <w:rFonts w:hint="eastAsia" w:ascii="宋体" w:hAnsi="宋体" w:eastAsia="宋体" w:cs="宋体"/>
          <w:b/>
          <w:sz w:val="24"/>
          <w:szCs w:val="24"/>
        </w:rPr>
      </w:pPr>
      <w:r>
        <w:rPr>
          <w:rFonts w:hint="eastAsia" w:ascii="宋体" w:hAnsi="宋体" w:eastAsia="宋体" w:cs="宋体"/>
          <w:b/>
          <w:bCs/>
          <w:color w:val="000000"/>
          <w:sz w:val="24"/>
          <w:szCs w:val="24"/>
          <w:lang w:val="zh-CN"/>
        </w:rPr>
        <w:t>法定代表人或委托代理人：        （签字）</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47" w:name="_Toc13693"/>
      <w:bookmarkStart w:id="148" w:name="_Toc14675"/>
      <w:r>
        <w:rPr>
          <w:rFonts w:hint="eastAsia" w:ascii="宋体" w:hAnsi="宋体" w:eastAsia="宋体" w:cs="宋体"/>
          <w:b/>
          <w:sz w:val="24"/>
          <w:szCs w:val="24"/>
        </w:rPr>
        <w:t>附件</w:t>
      </w:r>
      <w:bookmarkStart w:id="149" w:name="_Toc376936774"/>
      <w:bookmarkStart w:id="150" w:name="_Toc325726043"/>
      <w:r>
        <w:rPr>
          <w:rFonts w:hint="eastAsia" w:ascii="宋体" w:hAnsi="宋体" w:eastAsia="宋体" w:cs="宋体"/>
          <w:b/>
          <w:sz w:val="24"/>
          <w:szCs w:val="24"/>
        </w:rPr>
        <w:t>4：法定代表人证明书</w:t>
      </w:r>
      <w:bookmarkEnd w:id="147"/>
      <w:bookmarkEnd w:id="148"/>
      <w:bookmarkEnd w:id="149"/>
      <w:bookmarkEnd w:id="150"/>
    </w:p>
    <w:p>
      <w:pPr>
        <w:spacing w:line="360" w:lineRule="auto"/>
        <w:ind w:firstLine="0" w:firstLineChars="0"/>
        <w:jc w:val="center"/>
        <w:rPr>
          <w:rFonts w:hint="eastAsia" w:ascii="宋体" w:hAnsi="宋体" w:eastAsia="宋体" w:cs="宋体"/>
          <w:b/>
          <w:bCs/>
          <w:sz w:val="24"/>
          <w:szCs w:val="24"/>
        </w:rPr>
      </w:pPr>
    </w:p>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法定代表人证明书</w:t>
      </w:r>
    </w:p>
    <w:p>
      <w:pPr>
        <w:spacing w:line="360" w:lineRule="auto"/>
        <w:ind w:firstLine="0" w:firstLineChars="0"/>
        <w:rPr>
          <w:rFonts w:hint="eastAsia" w:ascii="宋体" w:hAnsi="宋体" w:eastAsia="宋体" w:cs="宋体"/>
          <w:b/>
          <w:bCs/>
          <w:sz w:val="24"/>
          <w:szCs w:val="24"/>
        </w:rPr>
      </w:pPr>
    </w:p>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sz w:val="24"/>
          <w:u w:val="single"/>
          <w:lang w:val="zh-CN"/>
        </w:rPr>
        <w:t>采购代理机构</w:t>
      </w:r>
    </w:p>
    <w:p>
      <w:pPr>
        <w:autoSpaceDE w:val="0"/>
        <w:autoSpaceDN w:val="0"/>
        <w:spacing w:line="360" w:lineRule="auto"/>
        <w:ind w:firstLine="0" w:firstLineChars="0"/>
        <w:jc w:val="left"/>
        <w:rPr>
          <w:rFonts w:hint="eastAsia" w:ascii="宋体" w:hAnsi="宋体" w:eastAsia="宋体" w:cs="宋体"/>
          <w:sz w:val="24"/>
          <w:szCs w:val="24"/>
        </w:rPr>
      </w:pP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现任我单位职务，为法定代表人，特此证明。</w:t>
      </w:r>
    </w:p>
    <w:p>
      <w:pPr>
        <w:autoSpaceDE w:val="0"/>
        <w:autoSpaceDN w:val="0"/>
        <w:spacing w:line="360" w:lineRule="auto"/>
        <w:ind w:firstLine="0" w:firstLineChars="0"/>
        <w:jc w:val="left"/>
        <w:rPr>
          <w:rFonts w:hint="eastAsia" w:ascii="宋体" w:hAnsi="宋体" w:eastAsia="宋体" w:cs="宋体"/>
          <w:sz w:val="24"/>
          <w:szCs w:val="24"/>
        </w:rPr>
      </w:pP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法定代表人基本情况：</w:t>
      </w: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性别：年龄：民族：</w:t>
      </w: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地址：</w:t>
      </w:r>
    </w:p>
    <w:p>
      <w:pPr>
        <w:autoSpaceDE w:val="0"/>
        <w:autoSpaceDN w:val="0"/>
        <w:spacing w:line="360" w:lineRule="auto"/>
        <w:ind w:firstLine="0" w:firstLineChars="0"/>
        <w:jc w:val="left"/>
        <w:rPr>
          <w:rFonts w:hint="eastAsia" w:ascii="宋体" w:hAnsi="宋体" w:eastAsia="宋体" w:cs="宋体"/>
          <w:sz w:val="24"/>
          <w:szCs w:val="24"/>
          <w:u w:val="single"/>
        </w:rPr>
      </w:pPr>
      <w:r>
        <w:rPr>
          <w:rFonts w:hint="eastAsia" w:ascii="宋体" w:hAnsi="宋体" w:eastAsia="宋体" w:cs="宋体"/>
          <w:sz w:val="24"/>
          <w:szCs w:val="24"/>
        </w:rPr>
        <w:t>身份证号码：</w:t>
      </w:r>
    </w:p>
    <w:p>
      <w:pPr>
        <w:pStyle w:val="2"/>
        <w:spacing w:before="67" w:line="362" w:lineRule="auto"/>
        <w:ind w:left="0" w:leftChars="0" w:right="688" w:firstLine="0" w:firstLineChars="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r>
        <w:rPr>
          <w:rFonts w:hint="eastAsia" w:ascii="宋体" w:hAnsi="宋体" w:eastAsia="宋体" w:cs="宋体"/>
          <w:color w:val="000000" w:themeColor="text1"/>
          <w:lang w:eastAsia="zh-CN"/>
          <w14:textFill>
            <w14:solidFill>
              <w14:schemeClr w14:val="tx1"/>
            </w14:solidFill>
          </w14:textFill>
        </w:rPr>
        <w:t>法定代表人第二代身份证双面扫描（或复印）件，身份证双面扫描（或复印）件上须由法定代表人签字并加盖法定代表人章</w:t>
      </w:r>
    </w:p>
    <w:p>
      <w:pPr>
        <w:autoSpaceDE w:val="0"/>
        <w:autoSpaceDN w:val="0"/>
        <w:spacing w:line="360" w:lineRule="auto"/>
        <w:ind w:firstLine="0" w:firstLineChars="0"/>
        <w:jc w:val="left"/>
        <w:rPr>
          <w:rFonts w:hint="eastAsia" w:ascii="宋体" w:hAnsi="宋体" w:eastAsia="宋体" w:cs="宋体"/>
          <w:sz w:val="24"/>
          <w:szCs w:val="24"/>
        </w:rPr>
      </w:pPr>
    </w:p>
    <w:p>
      <w:pPr>
        <w:autoSpaceDE w:val="0"/>
        <w:autoSpaceDN w:val="0"/>
        <w:spacing w:line="360" w:lineRule="auto"/>
        <w:ind w:firstLine="0" w:firstLineChars="0"/>
        <w:jc w:val="left"/>
        <w:rPr>
          <w:rFonts w:hint="eastAsia" w:ascii="宋体" w:hAnsi="宋体" w:eastAsia="宋体" w:cs="宋体"/>
          <w:sz w:val="24"/>
          <w:szCs w:val="24"/>
        </w:rPr>
      </w:pPr>
    </w:p>
    <w:p>
      <w:pPr>
        <w:autoSpaceDE w:val="0"/>
        <w:autoSpaceDN w:val="0"/>
        <w:spacing w:line="360" w:lineRule="auto"/>
        <w:ind w:firstLine="0" w:firstLineChars="0"/>
        <w:jc w:val="left"/>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51" w:name="_Toc201287639"/>
      <w:bookmarkStart w:id="152" w:name="_Toc324756736"/>
      <w:bookmarkStart w:id="153" w:name="_Toc29201"/>
      <w:bookmarkStart w:id="154" w:name="_Toc31614"/>
      <w:r>
        <w:rPr>
          <w:rFonts w:hint="eastAsia" w:ascii="宋体" w:hAnsi="宋体" w:eastAsia="宋体" w:cs="宋体"/>
          <w:b/>
          <w:sz w:val="24"/>
          <w:szCs w:val="24"/>
        </w:rPr>
        <w:t>附件</w:t>
      </w:r>
      <w:bookmarkEnd w:id="151"/>
      <w:bookmarkEnd w:id="152"/>
      <w:r>
        <w:rPr>
          <w:rFonts w:hint="eastAsia" w:ascii="宋体" w:hAnsi="宋体" w:eastAsia="宋体" w:cs="宋体"/>
          <w:b/>
          <w:sz w:val="24"/>
          <w:szCs w:val="24"/>
        </w:rPr>
        <w:t>5：法定代表人授权书</w:t>
      </w:r>
      <w:bookmarkEnd w:id="153"/>
      <w:bookmarkEnd w:id="154"/>
    </w:p>
    <w:p>
      <w:pPr>
        <w:spacing w:line="360" w:lineRule="auto"/>
        <w:ind w:firstLine="0" w:firstLineChars="0"/>
        <w:rPr>
          <w:rFonts w:hint="eastAsia" w:ascii="宋体" w:hAnsi="宋体" w:eastAsia="宋体" w:cs="宋体"/>
          <w:b/>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法定代表人授权书</w:t>
      </w:r>
    </w:p>
    <w:p>
      <w:pPr>
        <w:spacing w:line="360" w:lineRule="auto"/>
        <w:ind w:firstLine="0" w:firstLineChars="0"/>
        <w:rPr>
          <w:rFonts w:hint="eastAsia" w:ascii="宋体" w:hAnsi="宋体" w:eastAsia="宋体" w:cs="宋体"/>
          <w:b/>
          <w:bCs/>
          <w:sz w:val="24"/>
          <w:szCs w:val="24"/>
        </w:rPr>
      </w:pPr>
    </w:p>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sz w:val="24"/>
          <w:u w:val="single"/>
          <w:lang w:val="zh-CN"/>
        </w:rPr>
        <w:t>采购代理机构</w:t>
      </w:r>
    </w:p>
    <w:p>
      <w:pPr>
        <w:spacing w:line="360" w:lineRule="auto"/>
        <w:ind w:firstLine="0" w:firstLineChars="0"/>
        <w:rPr>
          <w:rFonts w:hint="eastAsia" w:ascii="宋体" w:hAnsi="宋体" w:eastAsia="宋体" w:cs="宋体"/>
          <w:sz w:val="24"/>
          <w:szCs w:val="24"/>
          <w:u w:val="single"/>
        </w:rPr>
      </w:pP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代表我单位全权办理针对项目的磋商、答疑等具体工作，并签署全部有关的文件、资料。</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我单位对被授权人的签名负全部责任。</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授权期限：自 年月日起至 年月日止。</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（注：授权期限必须满足磋商有效期的要求）</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被授权人联系电话：</w:t>
      </w: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u w:val="single"/>
        </w:rPr>
      </w:pPr>
      <w:r>
        <w:rPr>
          <w:rFonts w:hint="eastAsia" w:ascii="宋体" w:hAnsi="宋体" w:eastAsia="宋体" w:cs="宋体"/>
          <w:sz w:val="24"/>
          <w:szCs w:val="24"/>
        </w:rPr>
        <w:t>被授权人（委托代理人）签字：   授权人（法定代表人）签字：</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职务：                   职务：</w:t>
      </w:r>
    </w:p>
    <w:p>
      <w:pPr>
        <w:pStyle w:val="2"/>
        <w:spacing w:before="66" w:line="362" w:lineRule="auto"/>
        <w:ind w:left="0" w:leftChars="0" w:right="688" w:firstLine="0" w:firstLineChars="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r>
        <w:rPr>
          <w:rFonts w:hint="eastAsia" w:ascii="宋体" w:hAnsi="宋体" w:eastAsia="宋体" w:cs="宋体"/>
          <w:color w:val="000000" w:themeColor="text1"/>
          <w:lang w:eastAsia="zh-CN"/>
          <w14:textFill>
            <w14:solidFill>
              <w14:schemeClr w14:val="tx1"/>
            </w14:solidFill>
          </w14:textFill>
        </w:rPr>
        <w:t>被授权人第二代身份证双面扫描（或复印）件，身份证双面扫描（或复印）件上须由被授权人签字</w:t>
      </w: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55" w:name="_Toc25884"/>
      <w:bookmarkStart w:id="156" w:name="_Toc30284"/>
      <w:r>
        <w:rPr>
          <w:rFonts w:hint="eastAsia" w:ascii="宋体" w:hAnsi="宋体" w:eastAsia="宋体" w:cs="宋体"/>
          <w:b/>
          <w:sz w:val="24"/>
          <w:szCs w:val="24"/>
        </w:rPr>
        <w:t>附件6：供应商承诺函</w:t>
      </w:r>
      <w:bookmarkEnd w:id="155"/>
      <w:bookmarkEnd w:id="156"/>
    </w:p>
    <w:p>
      <w:pPr>
        <w:spacing w:line="360" w:lineRule="auto"/>
        <w:ind w:firstLine="0" w:firstLineChars="0"/>
        <w:jc w:val="center"/>
        <w:rPr>
          <w:rFonts w:hint="eastAsia" w:ascii="宋体" w:hAnsi="宋体" w:eastAsia="宋体" w:cs="宋体"/>
          <w:b/>
          <w:bCs/>
          <w:sz w:val="24"/>
          <w:szCs w:val="24"/>
        </w:rPr>
      </w:pPr>
    </w:p>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供应商承诺函</w:t>
      </w:r>
    </w:p>
    <w:p>
      <w:pPr>
        <w:spacing w:line="360" w:lineRule="auto"/>
        <w:ind w:firstLine="0" w:firstLineChars="0"/>
        <w:rPr>
          <w:rFonts w:hint="eastAsia" w:ascii="宋体" w:hAnsi="宋体" w:eastAsia="宋体" w:cs="宋体"/>
          <w:b/>
          <w:bCs/>
          <w:sz w:val="24"/>
          <w:szCs w:val="24"/>
        </w:rPr>
      </w:pPr>
    </w:p>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sz w:val="24"/>
          <w:u w:val="single"/>
          <w:lang w:val="zh-CN"/>
        </w:rPr>
        <w:t>采购代理机构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关于贵方20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（采购项目名称）</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spacing w:line="360" w:lineRule="auto"/>
        <w:ind w:firstLine="0" w:firstLineChars="0"/>
        <w:jc w:val="both"/>
        <w:rPr>
          <w:rFonts w:hint="eastAsia" w:ascii="宋体" w:hAnsi="宋体" w:eastAsia="宋体" w:cs="宋体"/>
          <w:b/>
          <w:sz w:val="24"/>
          <w:szCs w:val="24"/>
        </w:rPr>
      </w:pPr>
      <w:bookmarkStart w:id="157" w:name="_Toc11349"/>
      <w:bookmarkStart w:id="158" w:name="_Toc11173"/>
      <w:r>
        <w:rPr>
          <w:rFonts w:hint="eastAsia" w:ascii="宋体" w:hAnsi="宋体" w:eastAsia="宋体" w:cs="宋体"/>
          <w:b/>
          <w:sz w:val="24"/>
          <w:szCs w:val="24"/>
        </w:rPr>
        <w:t>附件</w:t>
      </w:r>
      <w:bookmarkStart w:id="159" w:name="_Toc365019584"/>
      <w:bookmarkStart w:id="160" w:name="_Toc351475542"/>
      <w:bookmarkStart w:id="161" w:name="_Toc376936779"/>
      <w:r>
        <w:rPr>
          <w:rFonts w:hint="eastAsia" w:ascii="宋体" w:hAnsi="宋体" w:eastAsia="宋体" w:cs="宋体"/>
          <w:b/>
          <w:sz w:val="24"/>
          <w:szCs w:val="24"/>
        </w:rPr>
        <w:t>7：</w:t>
      </w:r>
      <w:bookmarkEnd w:id="157"/>
      <w:bookmarkEnd w:id="158"/>
      <w:bookmarkEnd w:id="159"/>
      <w:bookmarkEnd w:id="160"/>
      <w:bookmarkEnd w:id="161"/>
      <w:r>
        <w:rPr>
          <w:rFonts w:hint="eastAsia" w:ascii="宋体" w:hAnsi="宋体" w:eastAsia="宋体" w:cs="宋体"/>
          <w:b/>
          <w:sz w:val="24"/>
          <w:szCs w:val="24"/>
        </w:rPr>
        <w:t>供应商诚信承诺书</w:t>
      </w:r>
    </w:p>
    <w:p>
      <w:pPr>
        <w:spacing w:line="360" w:lineRule="auto"/>
        <w:ind w:firstLine="0" w:firstLineChars="0"/>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供应商诚信承诺书</w:t>
      </w:r>
    </w:p>
    <w:p>
      <w:pPr>
        <w:spacing w:line="360" w:lineRule="auto"/>
        <w:ind w:firstLine="0" w:firstLineChars="0"/>
        <w:rPr>
          <w:rFonts w:hint="eastAsia" w:ascii="宋体" w:hAnsi="宋体" w:eastAsia="宋体" w:cs="宋体"/>
          <w:b/>
          <w:sz w:val="24"/>
          <w:szCs w:val="24"/>
        </w:rPr>
      </w:pPr>
    </w:p>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sz w:val="24"/>
          <w:u w:val="single"/>
          <w:lang w:val="zh-CN"/>
        </w:rPr>
        <w:t>采购代理机构</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二、参加</w:t>
      </w:r>
      <w:r>
        <w:rPr>
          <w:rFonts w:hint="eastAsia" w:ascii="宋体" w:hAnsi="宋体" w:eastAsia="宋体" w:cs="宋体"/>
          <w:sz w:val="24"/>
          <w:szCs w:val="24"/>
          <w:u w:val="single"/>
        </w:rPr>
        <w:t>（采购代理机构）</w:t>
      </w:r>
      <w:r>
        <w:rPr>
          <w:rFonts w:hint="eastAsia" w:ascii="宋体" w:hAnsi="宋体" w:eastAsia="宋体" w:cs="宋体"/>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本承诺是采购项目响应文件的组成部分。</w:t>
      </w:r>
    </w:p>
    <w:p>
      <w:pPr>
        <w:spacing w:line="360" w:lineRule="auto"/>
        <w:ind w:firstLine="0" w:firstLineChars="0"/>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both"/>
        <w:rPr>
          <w:rFonts w:hint="eastAsia" w:ascii="宋体" w:hAnsi="宋体" w:eastAsia="宋体" w:cs="宋体"/>
          <w:b/>
          <w:sz w:val="24"/>
          <w:szCs w:val="24"/>
        </w:rPr>
      </w:pPr>
      <w:r>
        <w:rPr>
          <w:rFonts w:hint="eastAsia" w:ascii="宋体" w:hAnsi="宋体" w:eastAsia="宋体" w:cs="宋体"/>
          <w:b/>
          <w:sz w:val="24"/>
          <w:szCs w:val="24"/>
        </w:rPr>
        <w:br w:type="page"/>
      </w:r>
      <w:bookmarkStart w:id="162" w:name="_Toc25993"/>
      <w:bookmarkStart w:id="163" w:name="_Toc7486"/>
      <w:r>
        <w:rPr>
          <w:rFonts w:hint="eastAsia" w:ascii="宋体" w:hAnsi="宋体" w:eastAsia="宋体" w:cs="宋体"/>
          <w:b/>
          <w:sz w:val="24"/>
          <w:szCs w:val="24"/>
        </w:rPr>
        <w:t>附件8：资格证明材料</w:t>
      </w:r>
      <w:bookmarkEnd w:id="162"/>
      <w:bookmarkEnd w:id="163"/>
    </w:p>
    <w:p>
      <w:pPr>
        <w:spacing w:line="360" w:lineRule="auto"/>
        <w:ind w:firstLine="0" w:firstLineChars="0"/>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资格证明材料</w:t>
      </w:r>
    </w:p>
    <w:p>
      <w:pPr>
        <w:autoSpaceDE w:val="0"/>
        <w:autoSpaceDN w:val="0"/>
        <w:spacing w:line="360" w:lineRule="auto"/>
        <w:ind w:firstLine="0" w:firstLineChars="0"/>
        <w:rPr>
          <w:rFonts w:hint="eastAsia" w:ascii="宋体" w:hAnsi="宋体" w:eastAsia="宋体" w:cs="宋体"/>
          <w:sz w:val="24"/>
          <w:szCs w:val="24"/>
          <w:lang w:val="zh-CN"/>
        </w:rPr>
      </w:pP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资格证明材料包括：</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lang w:val="zh-CN"/>
        </w:rPr>
        <w:t>供应商的</w:t>
      </w:r>
      <w:r>
        <w:rPr>
          <w:rFonts w:hint="eastAsia" w:ascii="宋体" w:hAnsi="宋体" w:eastAsia="宋体" w:cs="宋体"/>
          <w:sz w:val="24"/>
          <w:szCs w:val="24"/>
        </w:rPr>
        <w:t>营业执照、税务登记证、组织机构代码证；</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（2）磋商文件规定的有关资格证书、许可证书、认证等；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（3）投标企业简介及获得相关证书证明文件；</w:t>
      </w:r>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（4）供应商认为有必要提供的其他资格证明文件。</w:t>
      </w:r>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64" w:name="_Toc19128"/>
      <w:bookmarkStart w:id="165" w:name="_Toc32130"/>
      <w:r>
        <w:rPr>
          <w:rFonts w:hint="eastAsia" w:ascii="宋体" w:hAnsi="宋体" w:eastAsia="宋体" w:cs="宋体"/>
          <w:b/>
          <w:sz w:val="24"/>
          <w:szCs w:val="24"/>
        </w:rPr>
        <w:t>附件9：财务状况证明</w:t>
      </w:r>
      <w:bookmarkEnd w:id="164"/>
      <w:bookmarkEnd w:id="165"/>
    </w:p>
    <w:p>
      <w:pPr>
        <w:autoSpaceDE w:val="0"/>
        <w:autoSpaceDN w:val="0"/>
        <w:spacing w:line="360" w:lineRule="auto"/>
        <w:ind w:firstLine="0" w:firstLineChars="0"/>
        <w:jc w:val="center"/>
        <w:rPr>
          <w:rFonts w:hint="eastAsia" w:ascii="宋体" w:hAnsi="宋体" w:eastAsia="宋体" w:cs="宋体"/>
          <w:b/>
          <w:sz w:val="24"/>
          <w:szCs w:val="24"/>
        </w:rPr>
      </w:pPr>
    </w:p>
    <w:p>
      <w:pPr>
        <w:autoSpaceDE w:val="0"/>
        <w:autoSpaceDN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财务状况证明</w:t>
      </w:r>
    </w:p>
    <w:p>
      <w:pPr>
        <w:autoSpaceDE w:val="0"/>
        <w:autoSpaceDN w:val="0"/>
        <w:spacing w:line="360" w:lineRule="auto"/>
        <w:ind w:firstLine="0" w:firstLineChars="0"/>
        <w:jc w:val="center"/>
        <w:rPr>
          <w:rFonts w:hint="eastAsia" w:ascii="宋体" w:hAnsi="宋体" w:eastAsia="宋体" w:cs="宋体"/>
          <w:b/>
          <w:sz w:val="24"/>
          <w:szCs w:val="24"/>
        </w:rPr>
      </w:pPr>
    </w:p>
    <w:p>
      <w:pPr>
        <w:autoSpaceDE w:val="0"/>
        <w:autoSpaceDN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pPr>
        <w:autoSpaceDE w:val="0"/>
        <w:autoSpaceDN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1、投标人基本开户银行近三个月内出具的资信证明或经第三方机构出具的201</w:t>
      </w:r>
      <w:r>
        <w:rPr>
          <w:rFonts w:hint="eastAsia" w:ascii="宋体" w:hAnsi="宋体" w:eastAsia="宋体" w:cs="宋体"/>
          <w:sz w:val="24"/>
          <w:szCs w:val="24"/>
          <w:lang w:val="en-US" w:eastAsia="zh-CN"/>
        </w:rPr>
        <w:t>9</w:t>
      </w:r>
      <w:r>
        <w:rPr>
          <w:rFonts w:hint="eastAsia" w:ascii="宋体" w:hAnsi="宋体" w:eastAsia="宋体" w:cs="宋体"/>
          <w:sz w:val="24"/>
          <w:szCs w:val="24"/>
        </w:rPr>
        <w:t>年度财务状况审计报告（扫描或复印件应全面、完整、清晰），包括资产负债表、现金流量表、利润表和财务（会计）报表附注,并提供第三方机构的营业执照、执业证书。</w:t>
      </w:r>
    </w:p>
    <w:p>
      <w:pPr>
        <w:autoSpaceDE w:val="0"/>
        <w:autoSpaceDN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2、依法缴纳</w:t>
      </w:r>
      <w:r>
        <w:rPr>
          <w:rFonts w:hint="eastAsia" w:ascii="宋体" w:hAnsi="宋体" w:eastAsia="宋体" w:cs="宋体"/>
          <w:sz w:val="24"/>
          <w:szCs w:val="24"/>
          <w:lang w:eastAsia="zh-CN"/>
        </w:rPr>
        <w:t>近三个月的</w:t>
      </w:r>
      <w:r>
        <w:rPr>
          <w:rFonts w:hint="eastAsia" w:ascii="宋体" w:hAnsi="宋体" w:eastAsia="宋体" w:cs="宋体"/>
          <w:sz w:val="24"/>
          <w:szCs w:val="24"/>
        </w:rPr>
        <w:t>税收和社会保障资金记录的证明材料；依法免税或不需要缴纳社会保障资金的投标人须提供相应文件证明其依法免税或不需要缴纳社会保障资金。</w:t>
      </w:r>
    </w:p>
    <w:p>
      <w:pPr>
        <w:wordWrap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66" w:name="_Toc27149"/>
      <w:bookmarkStart w:id="167" w:name="_Toc23114"/>
      <w:r>
        <w:rPr>
          <w:rFonts w:hint="eastAsia" w:ascii="宋体" w:hAnsi="宋体" w:eastAsia="宋体" w:cs="宋体"/>
          <w:b/>
          <w:sz w:val="24"/>
          <w:szCs w:val="24"/>
        </w:rPr>
        <w:t>附件10：具备履行合同所必须的设备和专业技术能力证明</w:t>
      </w:r>
    </w:p>
    <w:p>
      <w:pPr>
        <w:autoSpaceDE w:val="0"/>
        <w:autoSpaceDN w:val="0"/>
        <w:spacing w:line="360" w:lineRule="auto"/>
        <w:ind w:firstLine="480"/>
        <w:rPr>
          <w:rFonts w:hint="eastAsia" w:ascii="宋体" w:hAnsi="宋体" w:eastAsia="宋体" w:cs="宋体"/>
          <w:sz w:val="24"/>
          <w:szCs w:val="24"/>
          <w:lang w:val="zh-CN"/>
        </w:rPr>
      </w:pPr>
    </w:p>
    <w:p>
      <w:pPr>
        <w:autoSpaceDE w:val="0"/>
        <w:autoSpaceDN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pPr>
        <w:autoSpaceDE w:val="0"/>
        <w:autoSpaceDN w:val="0"/>
        <w:spacing w:line="360" w:lineRule="auto"/>
        <w:ind w:firstLine="482"/>
        <w:rPr>
          <w:rFonts w:hint="eastAsia" w:ascii="宋体" w:hAnsi="宋体" w:eastAsia="宋体" w:cs="宋体"/>
          <w:b/>
          <w:sz w:val="24"/>
          <w:szCs w:val="24"/>
          <w:lang w:val="zh-CN"/>
        </w:rPr>
      </w:pPr>
    </w:p>
    <w:p>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供应商应按不低于招标项目要求，针对该项目的实施，投标人必须具备履行合同的设备和技术的能力且提供</w:t>
      </w:r>
      <w:r>
        <w:rPr>
          <w:rFonts w:hint="eastAsia" w:ascii="宋体" w:hAnsi="宋体" w:eastAsia="宋体" w:cs="宋体"/>
          <w:color w:val="000000" w:themeColor="text1"/>
          <w:kern w:val="0"/>
          <w:sz w:val="24"/>
          <w:szCs w:val="24"/>
          <w:lang w:val="zh-CN"/>
          <w14:textFill>
            <w14:solidFill>
              <w14:schemeClr w14:val="tx1"/>
            </w14:solidFill>
          </w14:textFill>
        </w:rPr>
        <w:t>承诺函（格式自拟）；须提供相关设备的购置发票及相关人员的职称证书和用工合同等证明材料。</w:t>
      </w:r>
    </w:p>
    <w:p>
      <w:pPr>
        <w:autoSpaceDE w:val="0"/>
        <w:autoSpaceDN w:val="0"/>
        <w:spacing w:line="360" w:lineRule="auto"/>
        <w:ind w:firstLine="480"/>
        <w:rPr>
          <w:rFonts w:hint="eastAsia" w:ascii="宋体" w:hAnsi="宋体" w:eastAsia="宋体" w:cs="宋体"/>
          <w:sz w:val="24"/>
          <w:szCs w:val="24"/>
          <w:lang w:val="zh-CN"/>
        </w:rPr>
      </w:pPr>
    </w:p>
    <w:p>
      <w:pPr>
        <w:autoSpaceDE w:val="0"/>
        <w:autoSpaceDN w:val="0"/>
        <w:spacing w:line="360" w:lineRule="auto"/>
        <w:ind w:firstLine="480"/>
        <w:rPr>
          <w:rFonts w:hint="eastAsia" w:ascii="宋体" w:hAnsi="宋体" w:eastAsia="宋体" w:cs="宋体"/>
          <w:b/>
          <w:sz w:val="24"/>
          <w:szCs w:val="24"/>
        </w:rPr>
      </w:pPr>
      <w:r>
        <w:rPr>
          <w:rFonts w:hint="eastAsia" w:ascii="宋体" w:hAnsi="宋体" w:eastAsia="宋体" w:cs="宋体"/>
          <w:sz w:val="24"/>
          <w:szCs w:val="24"/>
          <w:lang w:val="zh-CN"/>
        </w:rPr>
        <w:t>提供项目管理及实施方案、投标产品交货地点、交货时间、交货方式、交货进度以及售后服务等方面的承诺。</w:t>
      </w:r>
    </w:p>
    <w:p>
      <w:pPr>
        <w:ind w:firstLine="0" w:firstLineChars="0"/>
        <w:rPr>
          <w:rFonts w:hint="eastAsia" w:ascii="宋体" w:hAnsi="宋体" w:eastAsia="宋体" w:cs="宋体"/>
          <w:b/>
          <w:sz w:val="24"/>
          <w:szCs w:val="24"/>
        </w:rPr>
      </w:pPr>
    </w:p>
    <w:p>
      <w:pPr>
        <w:keepNext/>
        <w:pageBreakBefore/>
        <w:widowControl/>
        <w:spacing w:line="360" w:lineRule="auto"/>
        <w:ind w:firstLine="0" w:firstLineChars="0"/>
        <w:outlineLvl w:val="1"/>
        <w:rPr>
          <w:rFonts w:hint="eastAsia" w:ascii="宋体" w:hAnsi="宋体" w:eastAsia="宋体" w:cs="宋体"/>
          <w:b/>
          <w:sz w:val="24"/>
          <w:szCs w:val="24"/>
        </w:rPr>
      </w:pPr>
      <w:r>
        <w:rPr>
          <w:rFonts w:hint="eastAsia" w:ascii="宋体" w:hAnsi="宋体" w:eastAsia="宋体" w:cs="宋体"/>
          <w:b/>
          <w:sz w:val="24"/>
          <w:szCs w:val="24"/>
        </w:rPr>
        <w:t>附件1</w:t>
      </w:r>
      <w:bookmarkStart w:id="168" w:name="_Toc376936781"/>
      <w:bookmarkStart w:id="169" w:name="_Toc325726049"/>
      <w:r>
        <w:rPr>
          <w:rFonts w:hint="eastAsia" w:ascii="宋体" w:hAnsi="宋体" w:eastAsia="宋体" w:cs="宋体"/>
          <w:b/>
          <w:sz w:val="24"/>
          <w:szCs w:val="24"/>
        </w:rPr>
        <w:t>1：</w:t>
      </w:r>
      <w:bookmarkEnd w:id="168"/>
      <w:bookmarkEnd w:id="169"/>
      <w:r>
        <w:rPr>
          <w:rFonts w:hint="eastAsia" w:ascii="宋体" w:hAnsi="宋体" w:eastAsia="宋体" w:cs="宋体"/>
          <w:b/>
          <w:sz w:val="24"/>
          <w:szCs w:val="24"/>
        </w:rPr>
        <w:t>无重大违法记录声明</w:t>
      </w:r>
      <w:bookmarkEnd w:id="166"/>
      <w:bookmarkEnd w:id="167"/>
    </w:p>
    <w:p>
      <w:pPr>
        <w:spacing w:line="360" w:lineRule="auto"/>
        <w:ind w:firstLine="0" w:firstLineChars="0"/>
        <w:rPr>
          <w:rFonts w:hint="eastAsia" w:ascii="宋体" w:hAnsi="宋体" w:eastAsia="宋体" w:cs="宋体"/>
          <w:b/>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无重大违法记录声明</w:t>
      </w:r>
    </w:p>
    <w:p>
      <w:pPr>
        <w:spacing w:line="360" w:lineRule="auto"/>
        <w:ind w:firstLine="482"/>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sz w:val="24"/>
          <w:u w:val="single"/>
          <w:lang w:val="zh-CN"/>
        </w:rPr>
        <w:t>采购代理机构</w:t>
      </w:r>
    </w:p>
    <w:p>
      <w:pPr>
        <w:spacing w:line="360" w:lineRule="auto"/>
        <w:ind w:firstLine="482"/>
        <w:rPr>
          <w:rFonts w:hint="eastAsia" w:ascii="宋体" w:hAnsi="宋体" w:eastAsia="宋体" w:cs="宋体"/>
          <w:b/>
          <w:bCs/>
          <w:sz w:val="24"/>
        </w:rPr>
      </w:pPr>
    </w:p>
    <w:p>
      <w:pPr>
        <w:spacing w:line="360" w:lineRule="auto"/>
        <w:ind w:firstLine="480"/>
        <w:rPr>
          <w:rFonts w:hint="eastAsia" w:ascii="宋体" w:hAnsi="宋体" w:eastAsia="宋体" w:cs="宋体"/>
          <w:sz w:val="24"/>
        </w:rPr>
      </w:pPr>
      <w:r>
        <w:rPr>
          <w:rFonts w:hint="eastAsia" w:ascii="宋体" w:hAnsi="宋体" w:eastAsia="宋体" w:cs="宋体"/>
          <w:sz w:val="24"/>
        </w:rPr>
        <w:t>我单位近三年内在经营活动中没有重大违法记，特此声明。</w:t>
      </w:r>
    </w:p>
    <w:p>
      <w:pPr>
        <w:spacing w:line="360" w:lineRule="auto"/>
        <w:ind w:firstLine="480"/>
        <w:rPr>
          <w:rFonts w:hint="eastAsia" w:ascii="宋体" w:hAnsi="宋体" w:eastAsia="宋体" w:cs="宋体"/>
          <w:sz w:val="24"/>
        </w:rPr>
      </w:pPr>
      <w:r>
        <w:rPr>
          <w:rFonts w:hint="eastAsia" w:ascii="宋体" w:hAnsi="宋体" w:eastAsia="宋体" w:cs="宋体"/>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rPr>
          <w:rFonts w:hint="eastAsia"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70" w:name="_Toc24531"/>
      <w:bookmarkStart w:id="171" w:name="_Toc22957"/>
      <w:r>
        <w:rPr>
          <w:rFonts w:hint="eastAsia" w:ascii="宋体" w:hAnsi="宋体" w:eastAsia="宋体" w:cs="宋体"/>
          <w:b/>
          <w:sz w:val="24"/>
          <w:szCs w:val="24"/>
        </w:rPr>
        <w:t>附件12：磋商保证金</w:t>
      </w:r>
      <w:bookmarkEnd w:id="170"/>
      <w:bookmarkEnd w:id="171"/>
    </w:p>
    <w:p>
      <w:pPr>
        <w:spacing w:line="360" w:lineRule="auto"/>
        <w:ind w:firstLine="0" w:firstLineChars="0"/>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磋商保证金</w:t>
      </w:r>
    </w:p>
    <w:p>
      <w:pPr>
        <w:spacing w:line="360" w:lineRule="auto"/>
        <w:ind w:firstLine="0" w:firstLineChars="0"/>
        <w:rPr>
          <w:rFonts w:hint="eastAsia" w:ascii="宋体" w:hAnsi="宋体" w:eastAsia="宋体" w:cs="宋体"/>
          <w:b/>
          <w:sz w:val="24"/>
          <w:szCs w:val="24"/>
        </w:rPr>
      </w:pPr>
    </w:p>
    <w:p>
      <w:pPr>
        <w:wordWrap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将银行开具的针对本项目投标的磋商保证金交款证明及开户许可证扫描（或复印）件粘贴后加盖公章。</w:t>
      </w:r>
    </w:p>
    <w:p>
      <w:pPr>
        <w:wordWrap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lang w:eastAsia="zh-CN"/>
        </w:rPr>
      </w:pPr>
      <w:bookmarkStart w:id="172" w:name="_Toc1224"/>
      <w:r>
        <w:rPr>
          <w:rFonts w:hint="eastAsia" w:ascii="宋体" w:hAnsi="宋体" w:eastAsia="宋体" w:cs="宋体"/>
          <w:b/>
          <w:sz w:val="24"/>
          <w:szCs w:val="24"/>
        </w:rPr>
        <w:t>附件1</w:t>
      </w:r>
      <w:r>
        <w:rPr>
          <w:rFonts w:hint="eastAsia" w:ascii="宋体" w:hAnsi="宋体" w:eastAsia="宋体" w:cs="宋体"/>
          <w:b/>
          <w:sz w:val="24"/>
          <w:szCs w:val="24"/>
          <w:lang w:val="en-US" w:eastAsia="zh-CN"/>
        </w:rPr>
        <w:t>3</w:t>
      </w:r>
      <w:r>
        <w:rPr>
          <w:rFonts w:hint="eastAsia" w:ascii="宋体" w:hAnsi="宋体" w:eastAsia="宋体" w:cs="宋体"/>
          <w:b/>
          <w:sz w:val="24"/>
          <w:szCs w:val="24"/>
        </w:rPr>
        <w:t>：</w:t>
      </w:r>
      <w:r>
        <w:rPr>
          <w:rFonts w:hint="eastAsia" w:ascii="宋体" w:hAnsi="宋体" w:eastAsia="宋体" w:cs="宋体"/>
          <w:b/>
          <w:sz w:val="24"/>
          <w:szCs w:val="24"/>
          <w:lang w:eastAsia="zh-CN"/>
        </w:rPr>
        <w:t>供应商认为在其他方面有必要说明的事项</w:t>
      </w:r>
    </w:p>
    <w:p>
      <w:pPr>
        <w:spacing w:line="360" w:lineRule="auto"/>
        <w:ind w:firstLine="0" w:firstLineChars="0"/>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供应商认为在其他方面有必要说明的事项</w:t>
      </w:r>
    </w:p>
    <w:p>
      <w:pPr>
        <w:spacing w:line="360" w:lineRule="auto"/>
        <w:ind w:firstLine="0" w:firstLineChars="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格式自定</w:t>
      </w:r>
    </w:p>
    <w:p>
      <w:pPr>
        <w:spacing w:line="360" w:lineRule="auto"/>
        <w:ind w:firstLine="0" w:firstLineChars="0"/>
        <w:rPr>
          <w:rFonts w:hint="eastAsia" w:ascii="宋体" w:hAnsi="宋体" w:eastAsia="宋体" w:cs="宋体"/>
          <w:b/>
          <w:sz w:val="24"/>
          <w:szCs w:val="24"/>
        </w:rPr>
      </w:pPr>
    </w:p>
    <w:p>
      <w:pPr>
        <w:keepNext/>
        <w:pageBreakBefore/>
        <w:widowControl/>
        <w:spacing w:line="360" w:lineRule="auto"/>
        <w:ind w:firstLine="0" w:firstLineChars="0"/>
        <w:outlineLvl w:val="1"/>
        <w:rPr>
          <w:rFonts w:hint="eastAsia" w:ascii="宋体" w:hAnsi="宋体" w:eastAsia="宋体" w:cs="宋体"/>
          <w:b/>
          <w:bCs/>
          <w:sz w:val="24"/>
          <w:szCs w:val="24"/>
        </w:rPr>
      </w:pPr>
      <w:r>
        <w:rPr>
          <w:rFonts w:hint="eastAsia" w:ascii="宋体" w:hAnsi="宋体" w:eastAsia="宋体" w:cs="宋体"/>
          <w:b/>
          <w:sz w:val="24"/>
          <w:szCs w:val="24"/>
        </w:rPr>
        <w:t>附件1</w:t>
      </w:r>
      <w:r>
        <w:rPr>
          <w:rFonts w:hint="eastAsia" w:ascii="宋体" w:hAnsi="宋体" w:eastAsia="宋体" w:cs="宋体"/>
          <w:b/>
          <w:sz w:val="24"/>
          <w:szCs w:val="24"/>
          <w:lang w:val="en-US" w:eastAsia="zh-CN"/>
        </w:rPr>
        <w:t>4</w:t>
      </w:r>
      <w:r>
        <w:rPr>
          <w:rFonts w:hint="eastAsia" w:ascii="宋体" w:hAnsi="宋体" w:eastAsia="宋体" w:cs="宋体"/>
          <w:b/>
          <w:sz w:val="24"/>
          <w:szCs w:val="24"/>
        </w:rPr>
        <w:t>：供应商最后报价表</w:t>
      </w:r>
      <w:bookmarkEnd w:id="172"/>
    </w:p>
    <w:p>
      <w:pPr>
        <w:spacing w:line="360" w:lineRule="auto"/>
        <w:ind w:firstLine="0" w:firstLineChars="0"/>
        <w:rPr>
          <w:rFonts w:hint="eastAsia" w:ascii="宋体" w:hAnsi="宋体" w:eastAsia="宋体" w:cs="宋体"/>
          <w:b/>
          <w:sz w:val="24"/>
          <w:szCs w:val="24"/>
        </w:rPr>
      </w:pPr>
    </w:p>
    <w:p>
      <w:pPr>
        <w:spacing w:line="360" w:lineRule="auto"/>
        <w:ind w:firstLine="0" w:firstLineChars="0"/>
        <w:jc w:val="center"/>
        <w:rPr>
          <w:rFonts w:hint="eastAsia" w:ascii="宋体" w:hAnsi="宋体" w:eastAsia="宋体" w:cs="宋体"/>
          <w:b/>
          <w:sz w:val="24"/>
          <w:szCs w:val="24"/>
        </w:rPr>
      </w:pPr>
      <w:bookmarkStart w:id="173" w:name="_Toc408326292"/>
      <w:r>
        <w:rPr>
          <w:rFonts w:hint="eastAsia" w:ascii="宋体" w:hAnsi="宋体" w:eastAsia="宋体" w:cs="宋体"/>
          <w:b/>
          <w:sz w:val="24"/>
          <w:szCs w:val="24"/>
        </w:rPr>
        <w:t>供应商最后报价表</w:t>
      </w:r>
      <w:bookmarkEnd w:id="173"/>
    </w:p>
    <w:p>
      <w:pPr>
        <w:spacing w:line="360" w:lineRule="auto"/>
        <w:ind w:firstLine="0" w:firstLineChars="0"/>
        <w:rPr>
          <w:rFonts w:hint="eastAsia" w:ascii="宋体" w:hAnsi="宋体" w:eastAsia="宋体" w:cs="宋体"/>
          <w:b/>
          <w:sz w:val="24"/>
          <w:szCs w:val="24"/>
        </w:rPr>
      </w:pPr>
    </w:p>
    <w:p>
      <w:pPr>
        <w:spacing w:line="360" w:lineRule="auto"/>
        <w:ind w:firstLine="0" w:firstLineChars="0"/>
        <w:rPr>
          <w:rFonts w:hint="eastAsia" w:ascii="宋体" w:hAnsi="宋体" w:eastAsia="宋体" w:cs="宋体"/>
          <w:sz w:val="24"/>
          <w:szCs w:val="24"/>
        </w:rPr>
      </w:pPr>
      <w:r>
        <w:rPr>
          <w:rFonts w:hint="eastAsia" w:ascii="宋体" w:hAnsi="宋体" w:eastAsia="宋体" w:cs="宋体"/>
          <w:b/>
          <w:sz w:val="24"/>
          <w:szCs w:val="24"/>
        </w:rPr>
        <w:t>项目名称：</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sz w:val="24"/>
                <w:szCs w:val="24"/>
              </w:rPr>
            </w:pPr>
          </w:p>
        </w:tc>
        <w:tc>
          <w:tcPr>
            <w:tcW w:w="2233" w:type="dxa"/>
          </w:tcPr>
          <w:p>
            <w:pPr>
              <w:spacing w:line="360" w:lineRule="auto"/>
              <w:ind w:firstLine="0" w:firstLineChars="0"/>
              <w:rPr>
                <w:rFonts w:hint="eastAsia" w:ascii="宋体" w:hAnsi="宋体" w:eastAsia="宋体" w:cs="宋体"/>
                <w:sz w:val="24"/>
                <w:szCs w:val="24"/>
              </w:rPr>
            </w:pPr>
          </w:p>
        </w:tc>
        <w:tc>
          <w:tcPr>
            <w:tcW w:w="2420" w:type="dxa"/>
          </w:tcPr>
          <w:p>
            <w:pPr>
              <w:spacing w:line="360" w:lineRule="auto"/>
              <w:ind w:firstLine="0" w:firstLineChars="0"/>
              <w:rPr>
                <w:rFonts w:hint="eastAsia" w:ascii="宋体" w:hAnsi="宋体" w:eastAsia="宋体" w:cs="宋体"/>
                <w:sz w:val="24"/>
                <w:szCs w:val="24"/>
              </w:rPr>
            </w:pPr>
          </w:p>
        </w:tc>
        <w:tc>
          <w:tcPr>
            <w:tcW w:w="2581" w:type="dxa"/>
          </w:tcPr>
          <w:p>
            <w:pPr>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最终确定的质量保证及服务承诺（优惠条件）</w:t>
            </w: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tc>
      </w:tr>
    </w:tbl>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sz w:val="24"/>
          <w:szCs w:val="24"/>
        </w:rPr>
      </w:pPr>
    </w:p>
    <w:p>
      <w:pPr>
        <w:tabs>
          <w:tab w:val="left" w:pos="168"/>
        </w:tabs>
        <w:spacing w:line="360" w:lineRule="auto"/>
        <w:ind w:firstLine="0" w:firstLineChars="0"/>
        <w:textAlignment w:val="baseline"/>
        <w:rPr>
          <w:rFonts w:hint="eastAsia" w:ascii="宋体" w:hAnsi="宋体" w:eastAsia="宋体" w:cs="宋体"/>
          <w:b/>
          <w:bCs/>
          <w:sz w:val="24"/>
          <w:szCs w:val="24"/>
        </w:rPr>
      </w:pPr>
    </w:p>
    <w:p>
      <w:pPr>
        <w:tabs>
          <w:tab w:val="left" w:pos="168"/>
        </w:tabs>
        <w:spacing w:line="360" w:lineRule="auto"/>
        <w:ind w:firstLine="0" w:firstLineChars="0"/>
        <w:textAlignment w:val="baseline"/>
        <w:rPr>
          <w:rFonts w:hint="eastAsia" w:ascii="宋体" w:hAnsi="宋体" w:eastAsia="宋体" w:cs="宋体"/>
          <w:b/>
          <w:bCs/>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sectPr>
          <w:footerReference r:id="rId9"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sz w:val="24"/>
          <w:szCs w:val="24"/>
        </w:rPr>
        <w:t>年   月  日</w:t>
      </w:r>
    </w:p>
    <w:p>
      <w:pPr>
        <w:keepNext/>
        <w:keepLines/>
        <w:widowControl/>
        <w:numPr>
          <w:ilvl w:val="0"/>
          <w:numId w:val="4"/>
        </w:numPr>
        <w:snapToGrid w:val="0"/>
        <w:spacing w:line="360" w:lineRule="auto"/>
        <w:ind w:firstLine="0" w:firstLineChars="0"/>
        <w:jc w:val="center"/>
        <w:outlineLvl w:val="0"/>
        <w:rPr>
          <w:rFonts w:hint="eastAsia" w:ascii="宋体" w:hAnsi="宋体" w:eastAsia="宋体" w:cs="宋体"/>
          <w:b/>
          <w:kern w:val="28"/>
          <w:sz w:val="36"/>
          <w:szCs w:val="20"/>
        </w:rPr>
      </w:pPr>
      <w:bookmarkStart w:id="174" w:name="_Toc26743"/>
      <w:r>
        <w:rPr>
          <w:rFonts w:hint="eastAsia" w:ascii="宋体" w:hAnsi="宋体" w:eastAsia="宋体" w:cs="宋体"/>
          <w:b/>
          <w:kern w:val="28"/>
          <w:sz w:val="36"/>
          <w:szCs w:val="20"/>
        </w:rPr>
        <w:t xml:space="preserve"> 采购项目要求及技术参数</w:t>
      </w:r>
    </w:p>
    <w:p>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1.交货时间：</w:t>
      </w:r>
      <w:r>
        <w:rPr>
          <w:rFonts w:hint="eastAsia" w:ascii="宋体" w:hAnsi="宋体" w:eastAsia="宋体" w:cs="宋体"/>
          <w:sz w:val="24"/>
          <w:szCs w:val="24"/>
          <w:lang w:val="en-US" w:eastAsia="zh-CN"/>
        </w:rPr>
        <w:t>按合同约定执行</w:t>
      </w:r>
    </w:p>
    <w:p>
      <w:pPr>
        <w:spacing w:line="360" w:lineRule="auto"/>
        <w:ind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2.交货地点：</w:t>
      </w:r>
      <w:r>
        <w:rPr>
          <w:rFonts w:hint="eastAsia" w:ascii="宋体" w:hAnsi="宋体" w:eastAsia="宋体" w:cs="宋体"/>
          <w:sz w:val="24"/>
          <w:szCs w:val="24"/>
          <w:lang w:eastAsia="zh-CN"/>
        </w:rPr>
        <w:t>甲方指定地点</w:t>
      </w:r>
    </w:p>
    <w:p>
      <w:pPr>
        <w:numPr>
          <w:ilvl w:val="0"/>
          <w:numId w:val="0"/>
        </w:num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.付款方式：以甲乙双方签订的合同为准。</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产品技术参数：（附后）</w:t>
      </w:r>
    </w:p>
    <w:p>
      <w:pPr>
        <w:jc w:val="center"/>
        <w:rPr>
          <w:rFonts w:ascii="宋体" w:hAnsi="宋体"/>
          <w:sz w:val="36"/>
        </w:rPr>
      </w:pPr>
      <w:r>
        <w:rPr>
          <w:rFonts w:ascii="宋体" w:hAnsi="宋体"/>
          <w:sz w:val="36"/>
        </w:rPr>
        <w:t>电子靶参数</w:t>
      </w:r>
    </w:p>
    <w:p>
      <w:pPr>
        <w:jc w:val="center"/>
        <w:rPr>
          <w:rFonts w:ascii="宋体" w:hAnsi="宋体"/>
          <w:sz w:val="36"/>
        </w:rPr>
      </w:pPr>
    </w:p>
    <w:tbl>
      <w:tblPr>
        <w:tblStyle w:val="21"/>
        <w:tblW w:w="0" w:type="auto"/>
        <w:tblInd w:w="24" w:type="dxa"/>
        <w:tblLayout w:type="autofit"/>
        <w:tblCellMar>
          <w:top w:w="0" w:type="dxa"/>
          <w:left w:w="108" w:type="dxa"/>
          <w:bottom w:w="0" w:type="dxa"/>
          <w:right w:w="108" w:type="dxa"/>
        </w:tblCellMar>
      </w:tblPr>
      <w:tblGrid>
        <w:gridCol w:w="725"/>
        <w:gridCol w:w="1547"/>
        <w:gridCol w:w="4237"/>
        <w:gridCol w:w="819"/>
        <w:gridCol w:w="608"/>
        <w:gridCol w:w="656"/>
      </w:tblGrid>
      <w:tr>
        <w:tblPrEx>
          <w:tblCellMar>
            <w:top w:w="0" w:type="dxa"/>
            <w:left w:w="108" w:type="dxa"/>
            <w:bottom w:w="0" w:type="dxa"/>
            <w:right w:w="108" w:type="dxa"/>
          </w:tblCellMar>
        </w:tblPrEx>
        <w:trPr>
          <w:trHeight w:val="440" w:hRule="atLeast"/>
        </w:trPr>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序号</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pPr>
              <w:widowControl/>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设备名称</w:t>
            </w:r>
          </w:p>
        </w:tc>
        <w:tc>
          <w:tcPr>
            <w:tcW w:w="4237" w:type="dxa"/>
            <w:tcBorders>
              <w:top w:val="single" w:color="auto" w:sz="4" w:space="0"/>
              <w:left w:val="nil"/>
              <w:bottom w:val="single" w:color="auto" w:sz="4" w:space="0"/>
              <w:right w:val="single" w:color="auto" w:sz="4" w:space="0"/>
            </w:tcBorders>
            <w:shd w:val="clear" w:color="000000" w:fill="FFFFFF"/>
            <w:noWrap w:val="0"/>
            <w:vAlign w:val="center"/>
          </w:tcPr>
          <w:p>
            <w:pPr>
              <w:widowControl/>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主要技术参数</w:t>
            </w:r>
          </w:p>
        </w:tc>
        <w:tc>
          <w:tcPr>
            <w:tcW w:w="819" w:type="dxa"/>
            <w:tcBorders>
              <w:top w:val="single" w:color="auto" w:sz="4" w:space="0"/>
              <w:left w:val="nil"/>
              <w:bottom w:val="single" w:color="auto" w:sz="4" w:space="0"/>
              <w:right w:val="single" w:color="auto" w:sz="4" w:space="0"/>
            </w:tcBorders>
            <w:shd w:val="clear" w:color="000000" w:fill="FFFFFF"/>
            <w:noWrap w:val="0"/>
            <w:vAlign w:val="center"/>
          </w:tcPr>
          <w:p>
            <w:pPr>
              <w:widowControl/>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规格</w:t>
            </w:r>
          </w:p>
        </w:tc>
        <w:tc>
          <w:tcPr>
            <w:tcW w:w="608" w:type="dxa"/>
            <w:tcBorders>
              <w:top w:val="single" w:color="auto" w:sz="4" w:space="0"/>
              <w:left w:val="nil"/>
              <w:bottom w:val="single" w:color="auto" w:sz="4" w:space="0"/>
              <w:right w:val="single" w:color="auto" w:sz="4" w:space="0"/>
            </w:tcBorders>
            <w:shd w:val="clear" w:color="000000" w:fill="FFFFFF"/>
            <w:noWrap w:val="0"/>
            <w:vAlign w:val="center"/>
          </w:tcPr>
          <w:p>
            <w:pPr>
              <w:widowControl/>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单位</w:t>
            </w:r>
          </w:p>
        </w:tc>
        <w:tc>
          <w:tcPr>
            <w:tcW w:w="656" w:type="dxa"/>
            <w:tcBorders>
              <w:top w:val="single" w:color="auto" w:sz="4" w:space="0"/>
              <w:left w:val="nil"/>
              <w:bottom w:val="single" w:color="auto" w:sz="4" w:space="0"/>
              <w:right w:val="single" w:color="auto" w:sz="4" w:space="0"/>
            </w:tcBorders>
            <w:shd w:val="clear" w:color="000000" w:fill="FFFFFF"/>
            <w:noWrap w:val="0"/>
            <w:vAlign w:val="center"/>
          </w:tcPr>
          <w:p>
            <w:pPr>
              <w:widowControl/>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数量</w:t>
            </w:r>
          </w:p>
        </w:tc>
      </w:tr>
      <w:tr>
        <w:tblPrEx>
          <w:tblCellMar>
            <w:top w:w="0" w:type="dxa"/>
            <w:left w:w="108" w:type="dxa"/>
            <w:bottom w:w="0" w:type="dxa"/>
            <w:right w:w="108" w:type="dxa"/>
          </w:tblCellMar>
        </w:tblPrEx>
        <w:trPr>
          <w:trHeight w:val="5428" w:hRule="atLeast"/>
        </w:trPr>
        <w:tc>
          <w:tcPr>
            <w:tcW w:w="725" w:type="dxa"/>
            <w:tcBorders>
              <w:top w:val="nil"/>
              <w:left w:val="single" w:color="auto" w:sz="4" w:space="0"/>
              <w:bottom w:val="single" w:color="auto" w:sz="4" w:space="0"/>
              <w:right w:val="single" w:color="auto" w:sz="4" w:space="0"/>
            </w:tcBorders>
            <w:shd w:val="clear" w:color="000000" w:fill="FFFFFF"/>
            <w:noWrap w:val="0"/>
            <w:vAlign w:val="center"/>
          </w:tcPr>
          <w:p>
            <w:pPr>
              <w:widowControl/>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1</w:t>
            </w:r>
          </w:p>
        </w:tc>
        <w:tc>
          <w:tcPr>
            <w:tcW w:w="1547" w:type="dxa"/>
            <w:tcBorders>
              <w:top w:val="nil"/>
              <w:left w:val="nil"/>
              <w:bottom w:val="single" w:color="auto" w:sz="4" w:space="0"/>
              <w:right w:val="single" w:color="auto" w:sz="4" w:space="0"/>
            </w:tcBorders>
            <w:shd w:val="clear" w:color="000000" w:fill="FFFFFF"/>
            <w:noWrap w:val="0"/>
            <w:vAlign w:val="center"/>
          </w:tcPr>
          <w:p>
            <w:pPr>
              <w:widowControl/>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电子靶自动报靶系统</w:t>
            </w:r>
          </w:p>
        </w:tc>
        <w:tc>
          <w:tcPr>
            <w:tcW w:w="4237"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气步枪气手枪自动报靶系统主要技术指标：</w:t>
            </w:r>
            <w:r>
              <w:rPr>
                <w:rFonts w:hint="eastAsia" w:ascii="宋体" w:hAnsi="宋体" w:cs="宋体"/>
                <w:color w:val="000000"/>
                <w:kern w:val="0"/>
                <w:sz w:val="24"/>
              </w:rPr>
              <w:br w:type="textWrapping"/>
            </w:r>
            <w:r>
              <w:rPr>
                <w:rFonts w:hint="eastAsia" w:ascii="宋体" w:hAnsi="宋体" w:cs="宋体"/>
                <w:color w:val="000000"/>
                <w:kern w:val="0"/>
                <w:sz w:val="24"/>
              </w:rPr>
              <w:t>竞赛/训练控制切换视窗触屏交互；</w:t>
            </w:r>
            <w:r>
              <w:rPr>
                <w:rFonts w:hint="eastAsia" w:ascii="宋体" w:hAnsi="宋体" w:cs="宋体"/>
                <w:color w:val="000000"/>
                <w:kern w:val="0"/>
                <w:sz w:val="24"/>
              </w:rPr>
              <w:br w:type="textWrapping"/>
            </w:r>
            <w:r>
              <w:rPr>
                <w:rFonts w:hint="eastAsia" w:ascii="宋体" w:hAnsi="宋体" w:cs="宋体"/>
                <w:color w:val="000000"/>
                <w:kern w:val="0"/>
                <w:sz w:val="24"/>
              </w:rPr>
              <w:t>当前弹着显示/投影支持独立和集中显示；</w:t>
            </w:r>
            <w:r>
              <w:rPr>
                <w:rFonts w:hint="eastAsia" w:ascii="宋体" w:hAnsi="宋体" w:cs="宋体"/>
                <w:color w:val="000000"/>
                <w:kern w:val="0"/>
                <w:sz w:val="24"/>
              </w:rPr>
              <w:br w:type="textWrapping"/>
            </w:r>
            <w:r>
              <w:rPr>
                <w:rFonts w:hint="eastAsia" w:ascii="宋体" w:hAnsi="宋体" w:cs="宋体"/>
                <w:color w:val="000000"/>
                <w:kern w:val="0"/>
                <w:sz w:val="24"/>
              </w:rPr>
              <w:t>当前射击弹着点反馈时速＞0.1″；</w:t>
            </w:r>
            <w:r>
              <w:rPr>
                <w:rFonts w:hint="eastAsia" w:ascii="宋体" w:hAnsi="宋体" w:cs="宋体"/>
                <w:color w:val="000000"/>
                <w:kern w:val="0"/>
                <w:sz w:val="24"/>
              </w:rPr>
              <w:br w:type="textWrapping"/>
            </w:r>
            <w:r>
              <w:rPr>
                <w:rFonts w:hint="eastAsia" w:ascii="宋体" w:hAnsi="宋体" w:cs="宋体"/>
                <w:color w:val="000000"/>
                <w:kern w:val="0"/>
                <w:sz w:val="24"/>
              </w:rPr>
              <w:t>支持射手竞赛/训练成绩统计分析；</w:t>
            </w:r>
            <w:r>
              <w:rPr>
                <w:rFonts w:hint="eastAsia" w:ascii="宋体" w:hAnsi="宋体" w:cs="宋体"/>
                <w:color w:val="000000"/>
                <w:kern w:val="0"/>
                <w:sz w:val="24"/>
              </w:rPr>
              <w:br w:type="textWrapping"/>
            </w:r>
            <w:r>
              <w:rPr>
                <w:rFonts w:hint="eastAsia" w:ascii="宋体" w:hAnsi="宋体" w:cs="宋体"/>
                <w:color w:val="000000"/>
                <w:kern w:val="0"/>
                <w:sz w:val="24"/>
              </w:rPr>
              <w:t>支持射击成绩输出/打印/编辑/云存储；</w:t>
            </w:r>
            <w:r>
              <w:rPr>
                <w:rFonts w:hint="eastAsia" w:ascii="宋体" w:hAnsi="宋体" w:cs="宋体"/>
                <w:color w:val="000000"/>
                <w:kern w:val="0"/>
                <w:sz w:val="24"/>
              </w:rPr>
              <w:br w:type="textWrapping"/>
            </w:r>
            <w:r>
              <w:rPr>
                <w:rFonts w:hint="eastAsia" w:ascii="宋体" w:hAnsi="宋体" w:cs="宋体"/>
                <w:color w:val="000000"/>
                <w:kern w:val="0"/>
                <w:sz w:val="24"/>
              </w:rPr>
              <w:t>支持在线联网竞赛/训练</w:t>
            </w:r>
            <w:r>
              <w:rPr>
                <w:rFonts w:hint="eastAsia" w:ascii="宋体" w:hAnsi="宋体" w:cs="宋体"/>
                <w:color w:val="000000"/>
                <w:kern w:val="0"/>
                <w:sz w:val="24"/>
              </w:rPr>
              <w:br w:type="textWrapping"/>
            </w:r>
            <w:r>
              <w:rPr>
                <w:rFonts w:hint="eastAsia" w:ascii="宋体" w:hAnsi="宋体" w:cs="宋体"/>
                <w:color w:val="000000"/>
                <w:kern w:val="0"/>
                <w:sz w:val="24"/>
              </w:rPr>
              <w:t>适配同品牌/同类别射击设备端口/数据连接</w:t>
            </w:r>
            <w:r>
              <w:rPr>
                <w:rFonts w:hint="eastAsia" w:ascii="宋体" w:hAnsi="宋体" w:cs="宋体"/>
                <w:color w:val="000000"/>
                <w:kern w:val="0"/>
                <w:sz w:val="24"/>
              </w:rPr>
              <w:br w:type="textWrapping"/>
            </w:r>
            <w:r>
              <w:rPr>
                <w:rFonts w:hint="eastAsia" w:ascii="宋体" w:hAnsi="宋体" w:cs="宋体"/>
                <w:color w:val="000000"/>
                <w:kern w:val="0"/>
                <w:sz w:val="24"/>
              </w:rPr>
              <w:t>符合国际国内比赛要求</w:t>
            </w:r>
          </w:p>
        </w:tc>
        <w:tc>
          <w:tcPr>
            <w:tcW w:w="81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p>
        </w:tc>
        <w:tc>
          <w:tcPr>
            <w:tcW w:w="608" w:type="dxa"/>
            <w:tcBorders>
              <w:top w:val="nil"/>
              <w:left w:val="nil"/>
              <w:bottom w:val="single" w:color="auto" w:sz="4" w:space="0"/>
              <w:right w:val="single" w:color="auto" w:sz="4" w:space="0"/>
            </w:tcBorders>
            <w:shd w:val="clear" w:color="000000" w:fill="FFFFFF"/>
            <w:noWrap w:val="0"/>
            <w:vAlign w:val="center"/>
          </w:tcPr>
          <w:p>
            <w:pPr>
              <w:widowControl/>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套</w:t>
            </w:r>
          </w:p>
        </w:tc>
        <w:tc>
          <w:tcPr>
            <w:tcW w:w="656" w:type="dxa"/>
            <w:tcBorders>
              <w:top w:val="nil"/>
              <w:left w:val="nil"/>
              <w:bottom w:val="single" w:color="auto" w:sz="4" w:space="0"/>
              <w:right w:val="single" w:color="auto" w:sz="4" w:space="0"/>
            </w:tcBorders>
            <w:shd w:val="clear" w:color="000000" w:fill="FFFFFF"/>
            <w:noWrap w:val="0"/>
            <w:vAlign w:val="center"/>
          </w:tcPr>
          <w:p>
            <w:pPr>
              <w:widowControl/>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24" w:hRule="atLeast"/>
        </w:trPr>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2</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hint="eastAsia" w:ascii="宋体" w:hAnsi="宋体"/>
                <w:color w:val="000000"/>
                <w:sz w:val="24"/>
              </w:rPr>
              <w:t>气步枪气手枪声学目标靶</w:t>
            </w:r>
          </w:p>
        </w:tc>
        <w:tc>
          <w:tcPr>
            <w:tcW w:w="4237"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ascii="宋体" w:hAnsi="宋体" w:cs="宋体"/>
                <w:color w:val="000000"/>
                <w:kern w:val="0"/>
                <w:sz w:val="24"/>
              </w:rPr>
            </w:pPr>
            <w:r>
              <w:rPr>
                <w:rFonts w:hint="eastAsia" w:ascii="宋体" w:hAnsi="宋体"/>
                <w:color w:val="000000"/>
                <w:sz w:val="24"/>
              </w:rPr>
              <w:t>气步枪气手枪声学目标靶：</w:t>
            </w:r>
            <w:r>
              <w:rPr>
                <w:rFonts w:hint="eastAsia" w:ascii="宋体" w:hAnsi="宋体"/>
                <w:color w:val="000000"/>
                <w:sz w:val="24"/>
              </w:rPr>
              <w:br w:type="textWrapping"/>
            </w:r>
            <w:r>
              <w:rPr>
                <w:rFonts w:hint="eastAsia" w:ascii="宋体" w:hAnsi="宋体"/>
                <w:color w:val="000000"/>
                <w:sz w:val="24"/>
              </w:rPr>
              <w:t>适配电源：DC24V /3A</w:t>
            </w:r>
            <w:r>
              <w:rPr>
                <w:rFonts w:hint="eastAsia" w:ascii="宋体" w:hAnsi="宋体"/>
                <w:color w:val="000000"/>
                <w:sz w:val="24"/>
              </w:rPr>
              <w:br w:type="textWrapping"/>
            </w:r>
            <w:r>
              <w:rPr>
                <w:rFonts w:hint="eastAsia" w:ascii="宋体" w:hAnsi="宋体"/>
                <w:color w:val="000000"/>
                <w:sz w:val="24"/>
              </w:rPr>
              <w:t>检测区域：170X170MM</w:t>
            </w:r>
            <w:r>
              <w:rPr>
                <w:rFonts w:hint="eastAsia" w:ascii="宋体" w:hAnsi="宋体"/>
                <w:color w:val="000000"/>
                <w:sz w:val="24"/>
              </w:rPr>
              <w:br w:type="textWrapping"/>
            </w:r>
            <w:r>
              <w:rPr>
                <w:rFonts w:hint="eastAsia" w:ascii="宋体" w:hAnsi="宋体"/>
                <w:color w:val="000000"/>
                <w:sz w:val="24"/>
              </w:rPr>
              <w:t>检测方式：超声波检测</w:t>
            </w:r>
            <w:r>
              <w:rPr>
                <w:rFonts w:hint="eastAsia" w:ascii="宋体" w:hAnsi="宋体"/>
                <w:color w:val="000000"/>
                <w:sz w:val="24"/>
              </w:rPr>
              <w:br w:type="textWrapping"/>
            </w:r>
            <w:r>
              <w:rPr>
                <w:rFonts w:hint="eastAsia" w:ascii="宋体" w:hAnsi="宋体"/>
                <w:color w:val="000000"/>
                <w:sz w:val="24"/>
              </w:rPr>
              <w:t>检测精度：0.05H</w:t>
            </w:r>
            <w:r>
              <w:rPr>
                <w:rFonts w:hint="eastAsia" w:ascii="宋体" w:hAnsi="宋体"/>
                <w:color w:val="000000"/>
                <w:sz w:val="24"/>
              </w:rPr>
              <w:br w:type="textWrapping"/>
            </w:r>
            <w:r>
              <w:rPr>
                <w:rFonts w:hint="eastAsia" w:ascii="宋体" w:hAnsi="宋体"/>
                <w:color w:val="000000"/>
                <w:sz w:val="24"/>
              </w:rPr>
              <w:t>灯光照度：2500LX</w:t>
            </w:r>
            <w:r>
              <w:rPr>
                <w:rFonts w:hint="eastAsia" w:ascii="宋体" w:hAnsi="宋体"/>
                <w:color w:val="000000"/>
                <w:sz w:val="24"/>
              </w:rPr>
              <w:br w:type="textWrapping"/>
            </w:r>
            <w:r>
              <w:rPr>
                <w:rFonts w:hint="eastAsia" w:ascii="宋体" w:hAnsi="宋体"/>
                <w:color w:val="000000"/>
                <w:sz w:val="24"/>
              </w:rPr>
              <w:t>工作温度：-30-80℃</w:t>
            </w:r>
            <w:r>
              <w:rPr>
                <w:rFonts w:hint="eastAsia" w:ascii="宋体" w:hAnsi="宋体"/>
                <w:color w:val="000000"/>
                <w:sz w:val="24"/>
              </w:rPr>
              <w:br w:type="textWrapping"/>
            </w:r>
            <w:r>
              <w:rPr>
                <w:rFonts w:hint="eastAsia" w:ascii="宋体" w:hAnsi="宋体"/>
                <w:color w:val="000000"/>
                <w:sz w:val="24"/>
              </w:rPr>
              <w:t>适配耗材：原厂气枪靶纸，适配竞赛取证</w:t>
            </w:r>
            <w:r>
              <w:rPr>
                <w:rFonts w:hint="eastAsia" w:ascii="宋体" w:hAnsi="宋体"/>
                <w:color w:val="000000"/>
                <w:sz w:val="24"/>
              </w:rPr>
              <w:br w:type="textWrapping"/>
            </w:r>
            <w:r>
              <w:rPr>
                <w:rFonts w:hint="eastAsia" w:ascii="宋体" w:hAnsi="宋体"/>
                <w:color w:val="000000"/>
                <w:sz w:val="24"/>
              </w:rPr>
              <w:t>产品适配：同品牌/同类别射击设备端口/数据连接，支持联网线上比赛；</w:t>
            </w:r>
            <w:r>
              <w:rPr>
                <w:rFonts w:hint="eastAsia" w:ascii="宋体" w:hAnsi="宋体"/>
                <w:color w:val="000000"/>
                <w:sz w:val="24"/>
              </w:rPr>
              <w:br w:type="textWrapping"/>
            </w:r>
            <w:r>
              <w:rPr>
                <w:rFonts w:hint="eastAsia" w:ascii="宋体" w:hAnsi="宋体"/>
                <w:color w:val="000000"/>
                <w:sz w:val="24"/>
              </w:rPr>
              <w:t>设备材质：FR-4，45#钢，铝合金，高锰钢</w:t>
            </w:r>
            <w:r>
              <w:rPr>
                <w:rFonts w:hint="eastAsia" w:ascii="宋体" w:hAnsi="宋体"/>
                <w:color w:val="000000"/>
                <w:sz w:val="24"/>
              </w:rPr>
              <w:br w:type="textWrapping"/>
            </w:r>
            <w:r>
              <w:rPr>
                <w:rFonts w:hint="eastAsia" w:ascii="宋体" w:hAnsi="宋体"/>
                <w:color w:val="000000"/>
                <w:sz w:val="24"/>
              </w:rPr>
              <w:t>处理工艺：喷塑，烤漆，电镀等。</w:t>
            </w:r>
          </w:p>
        </w:tc>
        <w:tc>
          <w:tcPr>
            <w:tcW w:w="819"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cs="宋体"/>
                <w:color w:val="000000"/>
                <w:kern w:val="0"/>
                <w:sz w:val="24"/>
              </w:rPr>
            </w:pPr>
          </w:p>
        </w:tc>
        <w:tc>
          <w:tcPr>
            <w:tcW w:w="608"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套</w:t>
            </w:r>
          </w:p>
        </w:tc>
        <w:tc>
          <w:tcPr>
            <w:tcW w:w="656"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293" w:hRule="atLeast"/>
        </w:trPr>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ascii="宋体" w:hAnsi="宋体" w:cs="宋体"/>
                <w:color w:val="000000"/>
                <w:kern w:val="0"/>
                <w:sz w:val="24"/>
              </w:rPr>
              <w:t>3</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hint="eastAsia" w:ascii="宋体" w:hAnsi="宋体"/>
                <w:color w:val="000000"/>
                <w:sz w:val="24"/>
              </w:rPr>
              <w:t>CU控制模块</w:t>
            </w:r>
          </w:p>
        </w:tc>
        <w:tc>
          <w:tcPr>
            <w:tcW w:w="4237"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ascii="宋体" w:hAnsi="宋体" w:cs="宋体"/>
                <w:color w:val="000000"/>
                <w:kern w:val="0"/>
                <w:sz w:val="24"/>
              </w:rPr>
            </w:pPr>
            <w:r>
              <w:rPr>
                <w:rFonts w:hint="eastAsia" w:ascii="宋体" w:hAnsi="宋体"/>
                <w:color w:val="000000"/>
                <w:sz w:val="24"/>
              </w:rPr>
              <w:t>工业触屏Intel低功耗处理器 , 2GB/MSATA32，支持双屏显示,4个USB2.0、4个RS232串口、声卡,OS支持Windows ，linux等系统</w:t>
            </w:r>
          </w:p>
        </w:tc>
        <w:tc>
          <w:tcPr>
            <w:tcW w:w="819"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cs="宋体"/>
                <w:color w:val="000000"/>
                <w:kern w:val="0"/>
                <w:sz w:val="24"/>
              </w:rPr>
            </w:pPr>
          </w:p>
        </w:tc>
        <w:tc>
          <w:tcPr>
            <w:tcW w:w="608"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套</w:t>
            </w:r>
          </w:p>
        </w:tc>
        <w:tc>
          <w:tcPr>
            <w:tcW w:w="656"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ascii="宋体" w:hAnsi="宋体" w:cs="宋体"/>
                <w:color w:val="000000"/>
                <w:kern w:val="0"/>
                <w:sz w:val="24"/>
              </w:rPr>
              <w:t>5</w:t>
            </w:r>
          </w:p>
        </w:tc>
      </w:tr>
      <w:tr>
        <w:tblPrEx>
          <w:tblCellMar>
            <w:top w:w="0" w:type="dxa"/>
            <w:left w:w="108" w:type="dxa"/>
            <w:bottom w:w="0" w:type="dxa"/>
            <w:right w:w="108" w:type="dxa"/>
          </w:tblCellMar>
        </w:tblPrEx>
        <w:trPr>
          <w:trHeight w:val="261" w:hRule="atLeast"/>
        </w:trPr>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ascii="宋体" w:hAnsi="宋体" w:cs="宋体"/>
                <w:color w:val="000000"/>
                <w:kern w:val="0"/>
                <w:sz w:val="24"/>
              </w:rPr>
              <w:t>4</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hint="eastAsia" w:ascii="宋体" w:hAnsi="宋体"/>
                <w:color w:val="000000"/>
                <w:sz w:val="24"/>
              </w:rPr>
              <w:t>PR打印模块</w:t>
            </w:r>
          </w:p>
        </w:tc>
        <w:tc>
          <w:tcPr>
            <w:tcW w:w="4237"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ascii="宋体" w:hAnsi="宋体" w:cs="宋体"/>
                <w:color w:val="000000"/>
                <w:kern w:val="0"/>
                <w:sz w:val="24"/>
              </w:rPr>
            </w:pPr>
            <w:r>
              <w:rPr>
                <w:rFonts w:hint="eastAsia" w:ascii="宋体" w:hAnsi="宋体"/>
                <w:color w:val="000000"/>
                <w:sz w:val="24"/>
              </w:rPr>
              <w:t>热敏打印机,直接行式热敏,点密度:576点/行或512点/行,90毫米/秒,接口类型:并口/串口/USB/网口,打印纸:79.5±0.5毫米×</w:t>
            </w:r>
            <w:r>
              <w:rPr>
                <w:rStyle w:val="35"/>
                <w:rFonts w:ascii="宋体" w:hAnsi="宋体"/>
              </w:rPr>
              <w:t>φ</w:t>
            </w:r>
            <w:r>
              <w:rPr>
                <w:rStyle w:val="33"/>
                <w:rFonts w:hint="default"/>
              </w:rPr>
              <w:t>83毫米。支持弹着着分布打印。</w:t>
            </w:r>
          </w:p>
        </w:tc>
        <w:tc>
          <w:tcPr>
            <w:tcW w:w="819"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cs="宋体"/>
                <w:color w:val="000000"/>
                <w:kern w:val="0"/>
                <w:sz w:val="24"/>
              </w:rPr>
            </w:pPr>
          </w:p>
        </w:tc>
        <w:tc>
          <w:tcPr>
            <w:tcW w:w="608"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个</w:t>
            </w:r>
          </w:p>
        </w:tc>
        <w:tc>
          <w:tcPr>
            <w:tcW w:w="656"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ascii="宋体" w:hAnsi="宋体" w:cs="宋体"/>
                <w:color w:val="000000"/>
                <w:kern w:val="0"/>
                <w:sz w:val="24"/>
              </w:rPr>
              <w:t>5</w:t>
            </w:r>
          </w:p>
        </w:tc>
      </w:tr>
      <w:tr>
        <w:tblPrEx>
          <w:tblCellMar>
            <w:top w:w="0" w:type="dxa"/>
            <w:left w:w="108" w:type="dxa"/>
            <w:bottom w:w="0" w:type="dxa"/>
            <w:right w:w="108" w:type="dxa"/>
          </w:tblCellMar>
        </w:tblPrEx>
        <w:trPr>
          <w:trHeight w:val="285" w:hRule="atLeast"/>
        </w:trPr>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ascii="宋体" w:hAnsi="宋体" w:cs="宋体"/>
                <w:color w:val="000000"/>
                <w:kern w:val="0"/>
                <w:sz w:val="24"/>
              </w:rPr>
              <w:t>5</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hint="eastAsia" w:ascii="宋体" w:hAnsi="宋体"/>
                <w:color w:val="000000"/>
                <w:sz w:val="24"/>
              </w:rPr>
              <w:t>PW电源模块</w:t>
            </w:r>
          </w:p>
        </w:tc>
        <w:tc>
          <w:tcPr>
            <w:tcW w:w="4237"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ascii="宋体" w:hAnsi="宋体" w:cs="宋体"/>
                <w:color w:val="000000"/>
                <w:kern w:val="0"/>
                <w:sz w:val="24"/>
              </w:rPr>
            </w:pPr>
            <w:r>
              <w:rPr>
                <w:rFonts w:hint="eastAsia" w:ascii="宋体" w:hAnsi="宋体"/>
                <w:color w:val="000000"/>
                <w:sz w:val="24"/>
              </w:rPr>
              <w:t>4NIC-X72G线性电源:输入参数电压及范围;单相AC220V±10,频率(Hz)50（47-63）,输出参数电压(V):DC+24V,电流(A)3A,负载性质:阻性,具有过热、过流、短路保护</w:t>
            </w:r>
          </w:p>
        </w:tc>
        <w:tc>
          <w:tcPr>
            <w:tcW w:w="819"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cs="宋体"/>
                <w:color w:val="000000"/>
                <w:kern w:val="0"/>
                <w:sz w:val="24"/>
              </w:rPr>
            </w:pPr>
          </w:p>
        </w:tc>
        <w:tc>
          <w:tcPr>
            <w:tcW w:w="608"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个</w:t>
            </w:r>
          </w:p>
        </w:tc>
        <w:tc>
          <w:tcPr>
            <w:tcW w:w="656"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ascii="宋体" w:hAnsi="宋体" w:cs="宋体"/>
                <w:color w:val="000000"/>
                <w:kern w:val="0"/>
                <w:sz w:val="24"/>
              </w:rPr>
              <w:t>5</w:t>
            </w:r>
          </w:p>
        </w:tc>
      </w:tr>
      <w:tr>
        <w:tblPrEx>
          <w:tblCellMar>
            <w:top w:w="0" w:type="dxa"/>
            <w:left w:w="108" w:type="dxa"/>
            <w:bottom w:w="0" w:type="dxa"/>
            <w:right w:w="108" w:type="dxa"/>
          </w:tblCellMar>
        </w:tblPrEx>
        <w:trPr>
          <w:trHeight w:val="854" w:hRule="atLeast"/>
        </w:trPr>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ascii="宋体" w:hAnsi="宋体" w:cs="宋体"/>
                <w:color w:val="000000"/>
                <w:kern w:val="0"/>
                <w:sz w:val="24"/>
              </w:rPr>
              <w:t>6</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hint="eastAsia" w:ascii="宋体" w:hAnsi="宋体"/>
                <w:color w:val="000000"/>
                <w:sz w:val="24"/>
              </w:rPr>
              <w:t>XKQ线控器模块</w:t>
            </w:r>
          </w:p>
        </w:tc>
        <w:tc>
          <w:tcPr>
            <w:tcW w:w="4237"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ascii="宋体" w:hAnsi="宋体" w:cs="宋体"/>
                <w:color w:val="000000"/>
                <w:kern w:val="0"/>
                <w:sz w:val="24"/>
              </w:rPr>
            </w:pPr>
            <w:r>
              <w:rPr>
                <w:rFonts w:hint="eastAsia" w:ascii="宋体" w:hAnsi="宋体"/>
                <w:color w:val="000000"/>
                <w:sz w:val="24"/>
              </w:rPr>
              <w:t>ZOOM/REFRESH/MATCH换计分、放大画面、刷新成绩，红、绿、黄按，8芯双绞屏蔽AWM2464 E187208 STXLGS VW-1 24AWG 80℃ 300V</w:t>
            </w:r>
          </w:p>
        </w:tc>
        <w:tc>
          <w:tcPr>
            <w:tcW w:w="819"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cs="宋体"/>
                <w:color w:val="000000"/>
                <w:kern w:val="0"/>
                <w:sz w:val="24"/>
              </w:rPr>
            </w:pPr>
          </w:p>
        </w:tc>
        <w:tc>
          <w:tcPr>
            <w:tcW w:w="608"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个</w:t>
            </w:r>
          </w:p>
        </w:tc>
        <w:tc>
          <w:tcPr>
            <w:tcW w:w="656"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ascii="宋体" w:hAnsi="宋体" w:cs="宋体"/>
                <w:color w:val="000000"/>
                <w:kern w:val="0"/>
                <w:sz w:val="24"/>
              </w:rPr>
              <w:t>5</w:t>
            </w:r>
          </w:p>
        </w:tc>
      </w:tr>
      <w:tr>
        <w:tblPrEx>
          <w:tblCellMar>
            <w:top w:w="0" w:type="dxa"/>
            <w:left w:w="108" w:type="dxa"/>
            <w:bottom w:w="0" w:type="dxa"/>
            <w:right w:w="108" w:type="dxa"/>
          </w:tblCellMar>
        </w:tblPrEx>
        <w:trPr>
          <w:trHeight w:val="301" w:hRule="atLeast"/>
        </w:trPr>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ascii="宋体" w:hAnsi="宋体" w:cs="宋体"/>
                <w:color w:val="000000"/>
                <w:kern w:val="0"/>
                <w:sz w:val="24"/>
              </w:rPr>
              <w:t>7</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hint="eastAsia" w:ascii="宋体" w:hAnsi="宋体"/>
                <w:color w:val="000000"/>
                <w:sz w:val="24"/>
              </w:rPr>
              <w:t>LCD12吋运动员显示器</w:t>
            </w:r>
          </w:p>
        </w:tc>
        <w:tc>
          <w:tcPr>
            <w:tcW w:w="423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left"/>
              <w:rPr>
                <w:rFonts w:ascii="宋体" w:hAnsi="宋体"/>
                <w:color w:val="000000"/>
                <w:sz w:val="24"/>
              </w:rPr>
            </w:pPr>
            <w:r>
              <w:rPr>
                <w:rFonts w:hint="eastAsia" w:ascii="宋体" w:hAnsi="宋体"/>
                <w:color w:val="000000"/>
                <w:sz w:val="24"/>
              </w:rPr>
              <w:t>XGA TFT LCD(分辨率1024 ×768)。亮度400CD/M2，DC12V 4A,工业级塑料外壳</w:t>
            </w:r>
          </w:p>
        </w:tc>
        <w:tc>
          <w:tcPr>
            <w:tcW w:w="819"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cs="宋体"/>
                <w:color w:val="000000"/>
                <w:kern w:val="0"/>
                <w:sz w:val="24"/>
              </w:rPr>
            </w:pPr>
          </w:p>
        </w:tc>
        <w:tc>
          <w:tcPr>
            <w:tcW w:w="608"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个</w:t>
            </w:r>
          </w:p>
        </w:tc>
        <w:tc>
          <w:tcPr>
            <w:tcW w:w="656"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ascii="宋体" w:hAnsi="宋体" w:cs="宋体"/>
                <w:color w:val="000000"/>
                <w:kern w:val="0"/>
                <w:sz w:val="24"/>
              </w:rPr>
              <w:t>5</w:t>
            </w:r>
          </w:p>
        </w:tc>
      </w:tr>
      <w:tr>
        <w:tblPrEx>
          <w:tblCellMar>
            <w:top w:w="0" w:type="dxa"/>
            <w:left w:w="108" w:type="dxa"/>
            <w:bottom w:w="0" w:type="dxa"/>
            <w:right w:w="108" w:type="dxa"/>
          </w:tblCellMar>
        </w:tblPrEx>
        <w:trPr>
          <w:trHeight w:val="340" w:hRule="atLeast"/>
        </w:trPr>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ascii="宋体" w:hAnsi="宋体" w:cs="宋体"/>
                <w:color w:val="000000"/>
                <w:kern w:val="0"/>
                <w:sz w:val="24"/>
              </w:rPr>
              <w:t>8</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hint="eastAsia" w:ascii="宋体" w:hAnsi="宋体"/>
                <w:color w:val="000000"/>
                <w:sz w:val="24"/>
              </w:rPr>
              <w:t>LCD32吋观众显示器</w:t>
            </w:r>
          </w:p>
        </w:tc>
        <w:tc>
          <w:tcPr>
            <w:tcW w:w="4237"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ascii="宋体" w:hAnsi="宋体"/>
                <w:color w:val="000000"/>
                <w:sz w:val="24"/>
              </w:rPr>
            </w:pPr>
            <w:r>
              <w:rPr>
                <w:rFonts w:hint="eastAsia" w:ascii="宋体" w:hAnsi="宋体"/>
                <w:color w:val="000000"/>
                <w:sz w:val="24"/>
              </w:rPr>
              <w:t>专用 显示器，可调节分辨率，带 WGA /HDMI 接口，支持与电子靶显示系统专用接口配合使用。</w:t>
            </w:r>
          </w:p>
        </w:tc>
        <w:tc>
          <w:tcPr>
            <w:tcW w:w="819"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cs="宋体"/>
                <w:color w:val="000000"/>
                <w:kern w:val="0"/>
                <w:sz w:val="24"/>
              </w:rPr>
            </w:pPr>
          </w:p>
        </w:tc>
        <w:tc>
          <w:tcPr>
            <w:tcW w:w="608"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个</w:t>
            </w:r>
          </w:p>
        </w:tc>
        <w:tc>
          <w:tcPr>
            <w:tcW w:w="656"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ascii="宋体" w:hAnsi="宋体" w:cs="宋体"/>
                <w:color w:val="000000"/>
                <w:kern w:val="0"/>
                <w:sz w:val="24"/>
              </w:rPr>
              <w:t>5</w:t>
            </w:r>
          </w:p>
        </w:tc>
      </w:tr>
      <w:tr>
        <w:tblPrEx>
          <w:tblCellMar>
            <w:top w:w="0" w:type="dxa"/>
            <w:left w:w="108" w:type="dxa"/>
            <w:bottom w:w="0" w:type="dxa"/>
            <w:right w:w="108" w:type="dxa"/>
          </w:tblCellMar>
        </w:tblPrEx>
        <w:trPr>
          <w:trHeight w:val="285" w:hRule="atLeast"/>
        </w:trPr>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ascii="宋体" w:hAnsi="宋体" w:cs="宋体"/>
                <w:color w:val="000000"/>
                <w:kern w:val="0"/>
                <w:sz w:val="24"/>
              </w:rPr>
              <w:t>9</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hint="eastAsia" w:ascii="宋体" w:hAnsi="宋体"/>
                <w:color w:val="000000"/>
                <w:sz w:val="24"/>
              </w:rPr>
              <w:t>设备安装调试</w:t>
            </w:r>
          </w:p>
        </w:tc>
        <w:tc>
          <w:tcPr>
            <w:tcW w:w="423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left"/>
              <w:rPr>
                <w:rFonts w:ascii="宋体" w:hAnsi="宋体"/>
                <w:color w:val="000000"/>
                <w:sz w:val="24"/>
              </w:rPr>
            </w:pPr>
            <w:r>
              <w:rPr>
                <w:rFonts w:hint="eastAsia" w:ascii="宋体" w:hAnsi="宋体"/>
                <w:color w:val="000000"/>
                <w:sz w:val="24"/>
              </w:rPr>
              <w:t>设备安装、调试、测试、培训</w:t>
            </w:r>
          </w:p>
        </w:tc>
        <w:tc>
          <w:tcPr>
            <w:tcW w:w="819"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cs="宋体"/>
                <w:color w:val="000000"/>
                <w:kern w:val="0"/>
                <w:sz w:val="24"/>
              </w:rPr>
            </w:pPr>
          </w:p>
        </w:tc>
        <w:tc>
          <w:tcPr>
            <w:tcW w:w="608"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批</w:t>
            </w:r>
          </w:p>
        </w:tc>
        <w:tc>
          <w:tcPr>
            <w:tcW w:w="656"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trHeight w:val="285" w:hRule="atLeast"/>
        </w:trPr>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ascii="宋体" w:hAnsi="宋体"/>
                <w:color w:val="000000"/>
                <w:sz w:val="24"/>
              </w:rPr>
              <w:t>10</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hint="eastAsia" w:ascii="宋体" w:hAnsi="宋体"/>
                <w:color w:val="000000"/>
                <w:sz w:val="24"/>
              </w:rPr>
              <w:t>气步枪气手枪10米靶衬</w:t>
            </w:r>
          </w:p>
        </w:tc>
        <w:tc>
          <w:tcPr>
            <w:tcW w:w="423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left"/>
              <w:rPr>
                <w:rFonts w:ascii="宋体" w:hAnsi="宋体"/>
                <w:color w:val="000000"/>
                <w:sz w:val="24"/>
              </w:rPr>
            </w:pPr>
            <w:r>
              <w:rPr>
                <w:rFonts w:hint="eastAsia" w:ascii="宋体" w:hAnsi="宋体"/>
                <w:color w:val="000000"/>
                <w:sz w:val="24"/>
              </w:rPr>
              <w:t>材质（橡胶）</w:t>
            </w:r>
          </w:p>
        </w:tc>
        <w:tc>
          <w:tcPr>
            <w:tcW w:w="819"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color w:val="000000"/>
                <w:sz w:val="24"/>
              </w:rPr>
            </w:pPr>
          </w:p>
        </w:tc>
        <w:tc>
          <w:tcPr>
            <w:tcW w:w="608"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hint="eastAsia" w:ascii="宋体" w:hAnsi="宋体"/>
                <w:color w:val="000000"/>
                <w:sz w:val="24"/>
              </w:rPr>
              <w:t>张</w:t>
            </w:r>
          </w:p>
        </w:tc>
        <w:tc>
          <w:tcPr>
            <w:tcW w:w="656"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ascii="宋体" w:hAnsi="宋体"/>
                <w:color w:val="000000"/>
                <w:sz w:val="24"/>
              </w:rPr>
              <w:t>10</w:t>
            </w:r>
          </w:p>
        </w:tc>
      </w:tr>
      <w:tr>
        <w:tblPrEx>
          <w:tblCellMar>
            <w:top w:w="0" w:type="dxa"/>
            <w:left w:w="108" w:type="dxa"/>
            <w:bottom w:w="0" w:type="dxa"/>
            <w:right w:w="108" w:type="dxa"/>
          </w:tblCellMar>
        </w:tblPrEx>
        <w:trPr>
          <w:trHeight w:val="340" w:hRule="atLeast"/>
        </w:trPr>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ascii="宋体" w:hAnsi="宋体"/>
                <w:color w:val="000000"/>
                <w:sz w:val="24"/>
              </w:rPr>
              <w:t>11</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hint="eastAsia" w:ascii="宋体" w:hAnsi="宋体"/>
                <w:color w:val="000000"/>
                <w:sz w:val="24"/>
              </w:rPr>
              <w:t>气手枪10米靶面板</w:t>
            </w:r>
          </w:p>
        </w:tc>
        <w:tc>
          <w:tcPr>
            <w:tcW w:w="423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left"/>
              <w:rPr>
                <w:rFonts w:ascii="宋体" w:hAnsi="宋体"/>
                <w:color w:val="000000"/>
                <w:sz w:val="24"/>
              </w:rPr>
            </w:pPr>
            <w:r>
              <w:rPr>
                <w:rFonts w:hint="eastAsia" w:ascii="宋体" w:hAnsi="宋体"/>
                <w:color w:val="000000"/>
                <w:sz w:val="24"/>
              </w:rPr>
              <w:t>瞄准区直径59.5毫米、纸质175mmX200mm</w:t>
            </w:r>
          </w:p>
        </w:tc>
        <w:tc>
          <w:tcPr>
            <w:tcW w:w="819"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color w:val="000000"/>
                <w:sz w:val="24"/>
              </w:rPr>
            </w:pPr>
          </w:p>
        </w:tc>
        <w:tc>
          <w:tcPr>
            <w:tcW w:w="608"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hint="eastAsia" w:ascii="宋体" w:hAnsi="宋体"/>
                <w:color w:val="000000"/>
                <w:sz w:val="24"/>
              </w:rPr>
              <w:t>张</w:t>
            </w:r>
          </w:p>
        </w:tc>
        <w:tc>
          <w:tcPr>
            <w:tcW w:w="656"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ascii="宋体" w:hAnsi="宋体"/>
                <w:color w:val="000000"/>
                <w:sz w:val="24"/>
              </w:rPr>
              <w:t>25</w:t>
            </w:r>
          </w:p>
        </w:tc>
      </w:tr>
      <w:tr>
        <w:tblPrEx>
          <w:tblCellMar>
            <w:top w:w="0" w:type="dxa"/>
            <w:left w:w="108" w:type="dxa"/>
            <w:bottom w:w="0" w:type="dxa"/>
            <w:right w:w="108" w:type="dxa"/>
          </w:tblCellMar>
        </w:tblPrEx>
        <w:trPr>
          <w:trHeight w:val="285" w:hRule="atLeast"/>
        </w:trPr>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ascii="宋体" w:hAnsi="宋体"/>
                <w:color w:val="000000"/>
                <w:sz w:val="24"/>
              </w:rPr>
              <w:t>12</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hint="eastAsia" w:ascii="宋体" w:hAnsi="宋体"/>
                <w:color w:val="000000"/>
                <w:sz w:val="24"/>
              </w:rPr>
              <w:t>气步枪10米靶面板</w:t>
            </w:r>
          </w:p>
        </w:tc>
        <w:tc>
          <w:tcPr>
            <w:tcW w:w="423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left"/>
              <w:rPr>
                <w:rFonts w:ascii="宋体" w:hAnsi="宋体"/>
                <w:color w:val="000000"/>
                <w:sz w:val="24"/>
              </w:rPr>
            </w:pPr>
            <w:r>
              <w:rPr>
                <w:rFonts w:hint="eastAsia" w:ascii="宋体" w:hAnsi="宋体"/>
                <w:color w:val="000000"/>
                <w:sz w:val="24"/>
              </w:rPr>
              <w:t>瞄准区直径30.5毫米、纸</w:t>
            </w:r>
            <w:r>
              <w:rPr>
                <w:rFonts w:hint="eastAsia" w:ascii="宋体" w:hAnsi="宋体"/>
                <w:color w:val="000000"/>
                <w:sz w:val="24"/>
                <w:lang w:eastAsia="zh-CN"/>
              </w:rPr>
              <w:t>质</w:t>
            </w:r>
            <w:r>
              <w:rPr>
                <w:rFonts w:hint="eastAsia" w:ascii="宋体" w:hAnsi="宋体"/>
                <w:color w:val="000000"/>
                <w:sz w:val="24"/>
              </w:rPr>
              <w:t>175mmX200mm</w:t>
            </w:r>
          </w:p>
        </w:tc>
        <w:tc>
          <w:tcPr>
            <w:tcW w:w="819"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color w:val="000000"/>
                <w:sz w:val="24"/>
              </w:rPr>
            </w:pPr>
          </w:p>
        </w:tc>
        <w:tc>
          <w:tcPr>
            <w:tcW w:w="608"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hint="eastAsia" w:ascii="宋体" w:hAnsi="宋体"/>
                <w:color w:val="000000"/>
                <w:sz w:val="24"/>
              </w:rPr>
              <w:t>张</w:t>
            </w:r>
          </w:p>
        </w:tc>
        <w:tc>
          <w:tcPr>
            <w:tcW w:w="656"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ascii="宋体" w:hAnsi="宋体"/>
                <w:color w:val="000000"/>
                <w:sz w:val="24"/>
              </w:rPr>
              <w:t>25</w:t>
            </w:r>
          </w:p>
        </w:tc>
      </w:tr>
      <w:tr>
        <w:tblPrEx>
          <w:tblCellMar>
            <w:top w:w="0" w:type="dxa"/>
            <w:left w:w="108" w:type="dxa"/>
            <w:bottom w:w="0" w:type="dxa"/>
            <w:right w:w="108" w:type="dxa"/>
          </w:tblCellMar>
        </w:tblPrEx>
        <w:trPr>
          <w:trHeight w:val="285" w:hRule="atLeast"/>
        </w:trPr>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ascii="宋体" w:hAnsi="宋体"/>
                <w:color w:val="000000"/>
                <w:sz w:val="24"/>
              </w:rPr>
              <w:t>13</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hint="eastAsia" w:ascii="宋体" w:hAnsi="宋体"/>
                <w:color w:val="000000"/>
                <w:sz w:val="24"/>
              </w:rPr>
              <w:t>10米靶后面板</w:t>
            </w:r>
          </w:p>
        </w:tc>
        <w:tc>
          <w:tcPr>
            <w:tcW w:w="423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left"/>
              <w:rPr>
                <w:rFonts w:ascii="宋体" w:hAnsi="宋体"/>
                <w:color w:val="000000"/>
                <w:sz w:val="24"/>
              </w:rPr>
            </w:pPr>
            <w:r>
              <w:rPr>
                <w:rFonts w:hint="eastAsia" w:ascii="宋体" w:hAnsi="宋体"/>
                <w:color w:val="000000"/>
                <w:sz w:val="24"/>
              </w:rPr>
              <w:t>材质（特种比赛专用靶纸）23cm×17cm</w:t>
            </w:r>
          </w:p>
        </w:tc>
        <w:tc>
          <w:tcPr>
            <w:tcW w:w="819"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color w:val="000000"/>
                <w:sz w:val="24"/>
              </w:rPr>
            </w:pPr>
          </w:p>
        </w:tc>
        <w:tc>
          <w:tcPr>
            <w:tcW w:w="608"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hint="eastAsia" w:ascii="宋体" w:hAnsi="宋体"/>
                <w:color w:val="000000"/>
                <w:sz w:val="24"/>
              </w:rPr>
              <w:t>张</w:t>
            </w:r>
          </w:p>
        </w:tc>
        <w:tc>
          <w:tcPr>
            <w:tcW w:w="656"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ascii="宋体" w:hAnsi="宋体"/>
                <w:color w:val="000000"/>
                <w:sz w:val="24"/>
              </w:rPr>
              <w:t>50</w:t>
            </w:r>
          </w:p>
        </w:tc>
      </w:tr>
      <w:tr>
        <w:tblPrEx>
          <w:tblCellMar>
            <w:top w:w="0" w:type="dxa"/>
            <w:left w:w="108" w:type="dxa"/>
            <w:bottom w:w="0" w:type="dxa"/>
            <w:right w:w="108" w:type="dxa"/>
          </w:tblCellMar>
        </w:tblPrEx>
        <w:trPr>
          <w:trHeight w:val="285" w:hRule="atLeast"/>
        </w:trPr>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ascii="宋体" w:hAnsi="宋体"/>
                <w:color w:val="000000"/>
                <w:sz w:val="24"/>
              </w:rPr>
              <w:t>14</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hint="eastAsia" w:ascii="宋体" w:hAnsi="宋体"/>
                <w:color w:val="000000"/>
                <w:sz w:val="24"/>
              </w:rPr>
              <w:t>气步枪气手枪10米靶带</w:t>
            </w:r>
          </w:p>
        </w:tc>
        <w:tc>
          <w:tcPr>
            <w:tcW w:w="4237"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left"/>
              <w:rPr>
                <w:rFonts w:ascii="宋体" w:hAnsi="宋体"/>
                <w:color w:val="000000"/>
                <w:sz w:val="24"/>
              </w:rPr>
            </w:pPr>
            <w:r>
              <w:rPr>
                <w:rFonts w:hint="eastAsia" w:ascii="宋体" w:hAnsi="宋体"/>
                <w:color w:val="000000"/>
                <w:sz w:val="24"/>
              </w:rPr>
              <w:t>10米靶±35M（高定量纯木浆纸）</w:t>
            </w:r>
          </w:p>
        </w:tc>
        <w:tc>
          <w:tcPr>
            <w:tcW w:w="819"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color w:val="000000"/>
                <w:sz w:val="24"/>
              </w:rPr>
            </w:pPr>
          </w:p>
        </w:tc>
        <w:tc>
          <w:tcPr>
            <w:tcW w:w="608"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hint="eastAsia" w:ascii="宋体" w:hAnsi="宋体"/>
                <w:color w:val="000000"/>
                <w:sz w:val="24"/>
              </w:rPr>
              <w:t>卷</w:t>
            </w:r>
          </w:p>
        </w:tc>
        <w:tc>
          <w:tcPr>
            <w:tcW w:w="656" w:type="dxa"/>
            <w:tcBorders>
              <w:top w:val="single" w:color="auto" w:sz="4" w:space="0"/>
              <w:left w:val="nil"/>
              <w:bottom w:val="single" w:color="auto" w:sz="4" w:space="0"/>
              <w:right w:val="single" w:color="auto" w:sz="4" w:space="0"/>
            </w:tcBorders>
            <w:shd w:val="clear" w:color="000000" w:fill="FFFFFF"/>
            <w:noWrap w:val="0"/>
            <w:vAlign w:val="center"/>
          </w:tcPr>
          <w:p>
            <w:pPr>
              <w:ind w:left="0" w:leftChars="0" w:firstLine="0" w:firstLineChars="0"/>
              <w:jc w:val="center"/>
              <w:rPr>
                <w:rFonts w:ascii="宋体" w:hAnsi="宋体"/>
                <w:color w:val="000000"/>
                <w:sz w:val="24"/>
              </w:rPr>
            </w:pPr>
            <w:r>
              <w:rPr>
                <w:rFonts w:ascii="宋体" w:hAnsi="宋体"/>
                <w:color w:val="000000"/>
                <w:sz w:val="24"/>
              </w:rPr>
              <w:t>50</w:t>
            </w:r>
          </w:p>
        </w:tc>
      </w:tr>
    </w:tbl>
    <w:p>
      <w:pPr>
        <w:rPr>
          <w:rFonts w:ascii="宋体" w:hAnsi="宋体"/>
          <w:sz w:val="24"/>
        </w:rPr>
      </w:pPr>
    </w:p>
    <w:p>
      <w:pPr>
        <w:rPr>
          <w:rFonts w:ascii="宋体" w:hAnsi="宋体"/>
          <w:sz w:val="24"/>
        </w:rPr>
      </w:pPr>
    </w:p>
    <w:p>
      <w:pPr>
        <w:jc w:val="center"/>
        <w:rPr>
          <w:rFonts w:ascii="宋体" w:hAnsi="宋体"/>
          <w:b/>
          <w:sz w:val="28"/>
        </w:rPr>
      </w:pPr>
      <w:r>
        <w:rPr>
          <w:rFonts w:hint="eastAsia" w:ascii="宋体" w:hAnsi="宋体"/>
          <w:b/>
          <w:sz w:val="28"/>
        </w:rPr>
        <w:t>专业激光模拟射击训练系统（手枪）技术参数</w:t>
      </w:r>
    </w:p>
    <w:p>
      <w:pPr>
        <w:jc w:val="left"/>
        <w:rPr>
          <w:rFonts w:ascii="宋体" w:hAnsi="宋体"/>
          <w:b/>
          <w:sz w:val="24"/>
        </w:rPr>
      </w:pPr>
    </w:p>
    <w:tbl>
      <w:tblPr>
        <w:tblStyle w:val="21"/>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559"/>
        <w:gridCol w:w="524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noWrap w:val="0"/>
            <w:vAlign w:val="center"/>
          </w:tcPr>
          <w:p>
            <w:pPr>
              <w:tabs>
                <w:tab w:val="left" w:pos="4771"/>
              </w:tabs>
              <w:ind w:left="0" w:leftChars="0" w:firstLine="0" w:firstLineChars="0"/>
              <w:jc w:val="center"/>
              <w:rPr>
                <w:rFonts w:ascii="宋体" w:hAnsi="宋体"/>
                <w:kern w:val="0"/>
                <w:sz w:val="22"/>
              </w:rPr>
            </w:pPr>
            <w:r>
              <w:rPr>
                <w:rFonts w:ascii="宋体" w:hAnsi="宋体"/>
                <w:kern w:val="0"/>
                <w:sz w:val="22"/>
              </w:rPr>
              <w:t>序号</w:t>
            </w:r>
          </w:p>
        </w:tc>
        <w:tc>
          <w:tcPr>
            <w:tcW w:w="1559"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2"/>
              </w:rPr>
              <w:t>设备名称</w:t>
            </w:r>
          </w:p>
        </w:tc>
        <w:tc>
          <w:tcPr>
            <w:tcW w:w="5245" w:type="dxa"/>
            <w:noWrap w:val="0"/>
            <w:vAlign w:val="top"/>
          </w:tcPr>
          <w:p>
            <w:pPr>
              <w:tabs>
                <w:tab w:val="left" w:pos="4771"/>
              </w:tabs>
              <w:ind w:left="0" w:leftChars="0" w:firstLine="0" w:firstLineChars="0"/>
              <w:jc w:val="center"/>
              <w:rPr>
                <w:rFonts w:ascii="宋体" w:hAnsi="宋体"/>
                <w:kern w:val="0"/>
                <w:sz w:val="22"/>
              </w:rPr>
            </w:pPr>
            <w:r>
              <w:rPr>
                <w:rFonts w:ascii="宋体" w:hAnsi="宋体"/>
                <w:kern w:val="0"/>
                <w:sz w:val="22"/>
              </w:rPr>
              <w:t>技术参数</w:t>
            </w:r>
          </w:p>
        </w:tc>
        <w:tc>
          <w:tcPr>
            <w:tcW w:w="933" w:type="dxa"/>
            <w:noWrap w:val="0"/>
            <w:vAlign w:val="center"/>
          </w:tcPr>
          <w:p>
            <w:pPr>
              <w:tabs>
                <w:tab w:val="left" w:pos="4771"/>
              </w:tabs>
              <w:ind w:left="0" w:leftChars="0" w:firstLine="0" w:firstLineChars="0"/>
              <w:jc w:val="center"/>
              <w:rPr>
                <w:rFonts w:ascii="宋体" w:hAnsi="宋体"/>
                <w:kern w:val="0"/>
                <w:sz w:val="24"/>
              </w:rPr>
            </w:pPr>
            <w:r>
              <w:rPr>
                <w:rFonts w:hint="eastAsia" w:ascii="宋体" w:hAnsi="宋体"/>
                <w:kern w:val="0"/>
                <w:sz w:val="24"/>
              </w:rPr>
              <w:t>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2"/>
              </w:rPr>
              <w:t>1</w:t>
            </w:r>
          </w:p>
        </w:tc>
        <w:tc>
          <w:tcPr>
            <w:tcW w:w="1559"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2"/>
              </w:rPr>
              <w:t>专业激光模拟射击训练系统发射器</w:t>
            </w:r>
          </w:p>
          <w:p>
            <w:pPr>
              <w:tabs>
                <w:tab w:val="left" w:pos="4771"/>
              </w:tabs>
              <w:jc w:val="center"/>
              <w:rPr>
                <w:rFonts w:ascii="宋体" w:hAnsi="宋体"/>
                <w:kern w:val="0"/>
                <w:sz w:val="22"/>
              </w:rPr>
            </w:pPr>
            <w:r>
              <w:rPr>
                <w:rFonts w:hint="eastAsia" w:ascii="宋体" w:hAnsi="宋体"/>
                <w:kern w:val="0"/>
                <w:sz w:val="22"/>
              </w:rPr>
              <w:t>（手枪）</w:t>
            </w:r>
          </w:p>
        </w:tc>
        <w:tc>
          <w:tcPr>
            <w:tcW w:w="5245" w:type="dxa"/>
            <w:noWrap w:val="0"/>
            <w:vAlign w:val="top"/>
          </w:tcPr>
          <w:p>
            <w:pPr>
              <w:numPr>
                <w:ilvl w:val="0"/>
                <w:numId w:val="0"/>
              </w:numPr>
              <w:tabs>
                <w:tab w:val="left" w:pos="4771"/>
              </w:tabs>
              <w:jc w:val="left"/>
              <w:rPr>
                <w:rFonts w:hint="eastAsia" w:ascii="宋体" w:hAnsi="宋体"/>
                <w:bCs/>
                <w:kern w:val="0"/>
                <w:sz w:val="22"/>
              </w:rPr>
            </w:pPr>
            <w:r>
              <w:rPr>
                <w:rFonts w:hint="eastAsia" w:ascii="宋体" w:hAnsi="宋体"/>
                <w:bCs/>
                <w:kern w:val="0"/>
                <w:sz w:val="22"/>
                <w:lang w:val="en-US" w:eastAsia="zh-CN"/>
              </w:rPr>
              <w:t>1.</w:t>
            </w:r>
            <w:r>
              <w:rPr>
                <w:rFonts w:hint="eastAsia" w:ascii="宋体" w:hAnsi="宋体"/>
                <w:bCs/>
                <w:kern w:val="0"/>
                <w:sz w:val="22"/>
              </w:rPr>
              <w:t>总重量：790克-930克。随机附带配重块。可以额外增加20克--400克重量。</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2.</w:t>
            </w:r>
            <w:r>
              <w:rPr>
                <w:rFonts w:hint="eastAsia" w:ascii="宋体" w:hAnsi="宋体"/>
                <w:bCs/>
                <w:kern w:val="0"/>
                <w:sz w:val="22"/>
              </w:rPr>
              <w:t>重力感应。符合射击运动动作标准。</w:t>
            </w:r>
          </w:p>
          <w:p>
            <w:pPr>
              <w:numPr>
                <w:ilvl w:val="0"/>
                <w:numId w:val="0"/>
              </w:numPr>
              <w:tabs>
                <w:tab w:val="left" w:pos="4771"/>
              </w:tabs>
              <w:jc w:val="left"/>
              <w:rPr>
                <w:rFonts w:hint="eastAsia" w:ascii="宋体" w:hAnsi="宋体"/>
                <w:bCs/>
                <w:kern w:val="0"/>
                <w:sz w:val="22"/>
              </w:rPr>
            </w:pPr>
            <w:r>
              <w:rPr>
                <w:rFonts w:hint="eastAsia" w:ascii="宋体" w:hAnsi="宋体"/>
                <w:bCs/>
                <w:kern w:val="0"/>
                <w:sz w:val="22"/>
                <w:lang w:val="en-US" w:eastAsia="zh-CN"/>
              </w:rPr>
              <w:t>3.</w:t>
            </w:r>
            <w:r>
              <w:rPr>
                <w:rFonts w:hint="eastAsia" w:ascii="宋体" w:hAnsi="宋体"/>
                <w:bCs/>
                <w:kern w:val="0"/>
                <w:sz w:val="22"/>
              </w:rPr>
              <w:t>总长度：375毫米-380毫米。总高度：150毫米。宽：48毫米-50毫米。</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4.</w:t>
            </w:r>
            <w:r>
              <w:rPr>
                <w:rFonts w:hint="eastAsia" w:ascii="宋体" w:hAnsi="宋体"/>
                <w:bCs/>
                <w:kern w:val="0"/>
                <w:sz w:val="22"/>
              </w:rPr>
              <w:t>一道火重量：30~450克。二道火重量：50~1500克。</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5.</w:t>
            </w:r>
            <w:r>
              <w:rPr>
                <w:rFonts w:hint="eastAsia" w:ascii="宋体" w:hAnsi="宋体"/>
                <w:bCs/>
                <w:kern w:val="0"/>
                <w:sz w:val="22"/>
              </w:rPr>
              <w:t>空行程：0~2毫米。一道火行程：0~4毫米。二道火行程：0~3毫米。</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6.</w:t>
            </w:r>
            <w:r>
              <w:rPr>
                <w:rFonts w:hint="eastAsia" w:ascii="宋体" w:hAnsi="宋体"/>
                <w:bCs/>
                <w:kern w:val="0"/>
                <w:sz w:val="22"/>
              </w:rPr>
              <w:t>激光发射：脉冲发射。脉冲宽度0-</w:t>
            </w:r>
            <w:r>
              <w:rPr>
                <w:rFonts w:ascii="宋体" w:hAnsi="宋体"/>
                <w:bCs/>
                <w:kern w:val="0"/>
                <w:sz w:val="22"/>
              </w:rPr>
              <w:t>20</w:t>
            </w:r>
            <w:r>
              <w:rPr>
                <w:rFonts w:hint="eastAsia" w:ascii="宋体" w:hAnsi="宋体"/>
                <w:bCs/>
                <w:kern w:val="0"/>
                <w:sz w:val="22"/>
              </w:rPr>
              <w:t>ms。</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7.</w:t>
            </w:r>
            <w:r>
              <w:rPr>
                <w:rFonts w:hint="eastAsia" w:ascii="宋体" w:hAnsi="宋体"/>
                <w:bCs/>
                <w:kern w:val="0"/>
                <w:sz w:val="22"/>
              </w:rPr>
              <w:t>扳机后座力：扳机带后坐力。后坐力动作时间和扳机击发同步。延时小于</w:t>
            </w:r>
            <w:r>
              <w:rPr>
                <w:rFonts w:ascii="宋体" w:hAnsi="宋体"/>
                <w:bCs/>
                <w:kern w:val="0"/>
                <w:sz w:val="22"/>
              </w:rPr>
              <w:t>1</w:t>
            </w:r>
            <w:r>
              <w:rPr>
                <w:rFonts w:hint="eastAsia" w:ascii="宋体" w:hAnsi="宋体"/>
                <w:bCs/>
                <w:kern w:val="0"/>
                <w:sz w:val="22"/>
              </w:rPr>
              <w:t>0ms。</w:t>
            </w:r>
          </w:p>
          <w:p>
            <w:pPr>
              <w:numPr>
                <w:ilvl w:val="0"/>
                <w:numId w:val="0"/>
              </w:numPr>
              <w:tabs>
                <w:tab w:val="left" w:pos="4771"/>
              </w:tabs>
              <w:jc w:val="left"/>
              <w:rPr>
                <w:rFonts w:hint="eastAsia" w:ascii="宋体" w:hAnsi="宋体"/>
                <w:bCs/>
                <w:kern w:val="0"/>
                <w:sz w:val="22"/>
              </w:rPr>
            </w:pPr>
            <w:r>
              <w:rPr>
                <w:rFonts w:hint="eastAsia" w:ascii="宋体" w:hAnsi="宋体"/>
                <w:bCs/>
                <w:kern w:val="0"/>
                <w:sz w:val="22"/>
                <w:lang w:val="en-US" w:eastAsia="zh-CN"/>
              </w:rPr>
              <w:t>8.</w:t>
            </w:r>
            <w:r>
              <w:rPr>
                <w:rFonts w:hint="eastAsia" w:ascii="宋体" w:hAnsi="宋体"/>
                <w:bCs/>
                <w:kern w:val="0"/>
                <w:sz w:val="22"/>
              </w:rPr>
              <w:t>喇叭：发射器具有播放射击音频功能。音频播放和扳机击发同步。</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9.</w:t>
            </w:r>
            <w:r>
              <w:rPr>
                <w:rFonts w:hint="eastAsia" w:ascii="宋体" w:hAnsi="宋体"/>
                <w:bCs/>
                <w:kern w:val="0"/>
                <w:sz w:val="22"/>
              </w:rPr>
              <w:t>准星座的宽度：4.5mm。</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10.</w:t>
            </w:r>
            <w:r>
              <w:rPr>
                <w:rFonts w:hint="eastAsia" w:ascii="宋体" w:hAnsi="宋体"/>
                <w:bCs/>
                <w:kern w:val="0"/>
                <w:sz w:val="22"/>
              </w:rPr>
              <w:t>标尺缺口宽度调整范围：1~5.5mm 。</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11.</w:t>
            </w:r>
            <w:r>
              <w:rPr>
                <w:rFonts w:hint="eastAsia" w:ascii="宋体" w:hAnsi="宋体"/>
                <w:bCs/>
                <w:kern w:val="0"/>
                <w:sz w:val="22"/>
              </w:rPr>
              <w:t>标尺左右调整范围：124-128响。</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12.</w:t>
            </w:r>
            <w:r>
              <w:rPr>
                <w:rFonts w:hint="eastAsia" w:ascii="宋体" w:hAnsi="宋体"/>
                <w:bCs/>
                <w:kern w:val="0"/>
                <w:sz w:val="22"/>
              </w:rPr>
              <w:t>标尺高低调整范围：104-128响。</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13.</w:t>
            </w:r>
            <w:r>
              <w:rPr>
                <w:rFonts w:hint="eastAsia" w:ascii="宋体" w:hAnsi="宋体"/>
                <w:bCs/>
                <w:kern w:val="0"/>
                <w:sz w:val="22"/>
              </w:rPr>
              <w:t>瞄准基线：准星座和标尺座可以沿顶部横梁前后移动。瞄准基线的调整范围为260-383mm 。</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14.</w:t>
            </w:r>
            <w:r>
              <w:rPr>
                <w:rFonts w:hint="eastAsia" w:ascii="宋体" w:hAnsi="宋体"/>
                <w:bCs/>
                <w:kern w:val="0"/>
                <w:sz w:val="22"/>
              </w:rPr>
              <w:t>木套种类：符合射击规则要求即可。</w:t>
            </w:r>
          </w:p>
        </w:tc>
        <w:tc>
          <w:tcPr>
            <w:tcW w:w="933" w:type="dxa"/>
            <w:noWrap w:val="0"/>
            <w:vAlign w:val="center"/>
          </w:tcPr>
          <w:p>
            <w:pPr>
              <w:tabs>
                <w:tab w:val="left" w:pos="4771"/>
              </w:tabs>
              <w:ind w:left="0" w:leftChars="0" w:firstLine="0" w:firstLineChars="0"/>
              <w:jc w:val="center"/>
              <w:rPr>
                <w:rFonts w:ascii="宋体" w:hAnsi="宋体"/>
                <w:kern w:val="0"/>
                <w:sz w:val="24"/>
              </w:rPr>
            </w:pPr>
            <w:r>
              <w:rPr>
                <w:rFonts w:hint="eastAsia" w:ascii="宋体" w:hAnsi="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noWrap w:val="0"/>
            <w:vAlign w:val="center"/>
          </w:tcPr>
          <w:p>
            <w:pPr>
              <w:tabs>
                <w:tab w:val="left" w:pos="4771"/>
              </w:tabs>
              <w:ind w:left="0" w:leftChars="0" w:firstLine="0" w:firstLineChars="0"/>
              <w:jc w:val="center"/>
              <w:rPr>
                <w:rFonts w:ascii="宋体" w:hAnsi="宋体"/>
                <w:kern w:val="0"/>
                <w:sz w:val="22"/>
              </w:rPr>
            </w:pPr>
            <w:r>
              <w:rPr>
                <w:rFonts w:ascii="宋体" w:hAnsi="宋体"/>
                <w:kern w:val="0"/>
                <w:sz w:val="22"/>
              </w:rPr>
              <w:t>2</w:t>
            </w:r>
          </w:p>
        </w:tc>
        <w:tc>
          <w:tcPr>
            <w:tcW w:w="1559"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2"/>
              </w:rPr>
              <w:t>专业激光模拟射击训练系统</w:t>
            </w:r>
            <w:r>
              <w:rPr>
                <w:rFonts w:ascii="宋体" w:hAnsi="宋体"/>
                <w:kern w:val="0"/>
                <w:sz w:val="22"/>
              </w:rPr>
              <w:t>感应靶</w:t>
            </w:r>
            <w:r>
              <w:rPr>
                <w:rFonts w:hint="eastAsia" w:ascii="宋体" w:hAnsi="宋体"/>
                <w:kern w:val="0"/>
                <w:sz w:val="22"/>
              </w:rPr>
              <w:t>（手枪）</w:t>
            </w:r>
          </w:p>
        </w:tc>
        <w:tc>
          <w:tcPr>
            <w:tcW w:w="5245" w:type="dxa"/>
            <w:noWrap w:val="0"/>
            <w:vAlign w:val="top"/>
          </w:tcPr>
          <w:p>
            <w:pPr>
              <w:pStyle w:val="46"/>
              <w:numPr>
                <w:ilvl w:val="0"/>
                <w:numId w:val="0"/>
              </w:numPr>
              <w:tabs>
                <w:tab w:val="left" w:pos="4771"/>
              </w:tabs>
              <w:ind w:leftChars="0"/>
              <w:rPr>
                <w:rFonts w:hint="eastAsia"/>
                <w:sz w:val="22"/>
              </w:rPr>
            </w:pPr>
            <w:r>
              <w:rPr>
                <w:rFonts w:hint="eastAsia"/>
                <w:sz w:val="22"/>
                <w:lang w:val="en-US" w:eastAsia="zh-CN"/>
              </w:rPr>
              <w:t>1.</w:t>
            </w:r>
            <w:r>
              <w:rPr>
                <w:rFonts w:hint="eastAsia"/>
                <w:sz w:val="22"/>
              </w:rPr>
              <w:t>感应靶尺寸：</w:t>
            </w:r>
            <w:r>
              <w:rPr>
                <w:sz w:val="22"/>
              </w:rPr>
              <w:t>长</w:t>
            </w:r>
            <w:r>
              <w:rPr>
                <w:rFonts w:hint="eastAsia"/>
                <w:sz w:val="22"/>
              </w:rPr>
              <w:t>×</w:t>
            </w:r>
            <w:r>
              <w:rPr>
                <w:sz w:val="22"/>
              </w:rPr>
              <w:t>宽</w:t>
            </w:r>
            <w:r>
              <w:rPr>
                <w:rFonts w:hint="eastAsia"/>
                <w:sz w:val="22"/>
              </w:rPr>
              <w:t>×</w:t>
            </w:r>
            <w:r>
              <w:rPr>
                <w:sz w:val="22"/>
              </w:rPr>
              <w:t>高</w:t>
            </w:r>
            <w:r>
              <w:rPr>
                <w:rFonts w:hint="eastAsia"/>
                <w:sz w:val="22"/>
              </w:rPr>
              <w:t>：约200-230mm×220-233mm×170-253mm。</w:t>
            </w:r>
          </w:p>
          <w:p>
            <w:pPr>
              <w:pStyle w:val="46"/>
              <w:numPr>
                <w:ilvl w:val="0"/>
                <w:numId w:val="0"/>
              </w:numPr>
              <w:tabs>
                <w:tab w:val="left" w:pos="4771"/>
              </w:tabs>
              <w:ind w:leftChars="0"/>
              <w:rPr>
                <w:sz w:val="22"/>
              </w:rPr>
            </w:pPr>
            <w:r>
              <w:rPr>
                <w:rFonts w:hint="eastAsia"/>
                <w:sz w:val="22"/>
                <w:lang w:val="en-US" w:eastAsia="zh-CN"/>
              </w:rPr>
              <w:t>2.</w:t>
            </w:r>
            <w:r>
              <w:rPr>
                <w:rFonts w:hint="eastAsia"/>
                <w:sz w:val="22"/>
              </w:rPr>
              <w:t>感应靶靶面：靶面</w:t>
            </w:r>
            <w:r>
              <w:rPr>
                <w:sz w:val="22"/>
              </w:rPr>
              <w:t>检测尺寸</w:t>
            </w:r>
            <w:r>
              <w:rPr>
                <w:rFonts w:hint="eastAsia"/>
                <w:sz w:val="22"/>
              </w:rPr>
              <w:t>170mm×170mm。</w:t>
            </w:r>
          </w:p>
          <w:p>
            <w:pPr>
              <w:pStyle w:val="46"/>
              <w:numPr>
                <w:ilvl w:val="0"/>
                <w:numId w:val="0"/>
              </w:numPr>
              <w:tabs>
                <w:tab w:val="left" w:pos="4771"/>
              </w:tabs>
              <w:ind w:leftChars="0"/>
              <w:rPr>
                <w:sz w:val="22"/>
              </w:rPr>
            </w:pPr>
            <w:r>
              <w:rPr>
                <w:rFonts w:hint="eastAsia"/>
                <w:sz w:val="22"/>
                <w:lang w:val="en-US" w:eastAsia="zh-CN"/>
              </w:rPr>
              <w:t>3.</w:t>
            </w:r>
            <w:r>
              <w:rPr>
                <w:rFonts w:hint="eastAsia"/>
                <w:sz w:val="22"/>
              </w:rPr>
              <w:t>靶面外观：外观颜色与奥运会电子靶一致。符合ISSF标准。</w:t>
            </w:r>
          </w:p>
          <w:p>
            <w:pPr>
              <w:pStyle w:val="46"/>
              <w:numPr>
                <w:ilvl w:val="0"/>
                <w:numId w:val="0"/>
              </w:numPr>
              <w:tabs>
                <w:tab w:val="left" w:pos="4771"/>
              </w:tabs>
              <w:ind w:leftChars="0"/>
              <w:rPr>
                <w:sz w:val="22"/>
              </w:rPr>
            </w:pPr>
            <w:r>
              <w:rPr>
                <w:rFonts w:hint="eastAsia"/>
                <w:sz w:val="22"/>
                <w:lang w:val="en-US" w:eastAsia="zh-CN"/>
              </w:rPr>
              <w:t>4.</w:t>
            </w:r>
            <w:r>
              <w:rPr>
                <w:rFonts w:hint="eastAsia"/>
                <w:sz w:val="22"/>
              </w:rPr>
              <w:t>有效工作范围：有效感应距离1m~15m。10m处为推荐距离。</w:t>
            </w:r>
          </w:p>
          <w:p>
            <w:pPr>
              <w:pStyle w:val="46"/>
              <w:numPr>
                <w:ilvl w:val="0"/>
                <w:numId w:val="0"/>
              </w:numPr>
              <w:tabs>
                <w:tab w:val="left" w:pos="4771"/>
              </w:tabs>
              <w:ind w:leftChars="0"/>
              <w:rPr>
                <w:sz w:val="22"/>
              </w:rPr>
            </w:pPr>
            <w:r>
              <w:rPr>
                <w:rFonts w:hint="eastAsia"/>
                <w:sz w:val="22"/>
                <w:lang w:val="en-US" w:eastAsia="zh-CN"/>
              </w:rPr>
              <w:t>5.</w:t>
            </w:r>
            <w:r>
              <w:rPr>
                <w:rFonts w:hint="eastAsia"/>
                <w:sz w:val="22"/>
              </w:rPr>
              <w:t>报靶精度：</w:t>
            </w:r>
            <w:r>
              <w:rPr>
                <w:sz w:val="22"/>
              </w:rPr>
              <w:t>报靶精度为</w:t>
            </w:r>
            <w:r>
              <w:rPr>
                <w:rFonts w:hint="eastAsia"/>
                <w:sz w:val="22"/>
              </w:rPr>
              <w:t>0.05环。符合ISSF，CSA标准。</w:t>
            </w:r>
          </w:p>
          <w:p>
            <w:pPr>
              <w:pStyle w:val="46"/>
              <w:numPr>
                <w:ilvl w:val="0"/>
                <w:numId w:val="0"/>
              </w:numPr>
              <w:tabs>
                <w:tab w:val="left" w:pos="4771"/>
              </w:tabs>
              <w:ind w:leftChars="0"/>
              <w:rPr>
                <w:sz w:val="22"/>
              </w:rPr>
            </w:pPr>
            <w:r>
              <w:rPr>
                <w:rFonts w:hint="eastAsia"/>
                <w:sz w:val="22"/>
                <w:lang w:val="en-US" w:eastAsia="zh-CN"/>
              </w:rPr>
              <w:t>6.</w:t>
            </w:r>
            <w:r>
              <w:rPr>
                <w:rFonts w:hint="eastAsia"/>
                <w:sz w:val="22"/>
              </w:rPr>
              <w:t>工作环境：0至21000勒克斯之间。符合ISSF标准。</w:t>
            </w:r>
          </w:p>
          <w:p>
            <w:pPr>
              <w:pStyle w:val="46"/>
              <w:numPr>
                <w:ilvl w:val="0"/>
                <w:numId w:val="0"/>
              </w:numPr>
              <w:tabs>
                <w:tab w:val="left" w:pos="4771"/>
              </w:tabs>
              <w:ind w:leftChars="0"/>
              <w:rPr>
                <w:sz w:val="22"/>
              </w:rPr>
            </w:pPr>
            <w:r>
              <w:rPr>
                <w:rFonts w:hint="eastAsia"/>
                <w:sz w:val="22"/>
                <w:lang w:val="en-US" w:eastAsia="zh-CN"/>
              </w:rPr>
              <w:t>7.</w:t>
            </w:r>
            <w:r>
              <w:rPr>
                <w:rFonts w:hint="eastAsia"/>
                <w:sz w:val="22"/>
              </w:rPr>
              <w:t>工作温度：-10℃~55℃。</w:t>
            </w:r>
          </w:p>
          <w:p>
            <w:pPr>
              <w:pStyle w:val="46"/>
              <w:numPr>
                <w:ilvl w:val="0"/>
                <w:numId w:val="0"/>
              </w:numPr>
              <w:tabs>
                <w:tab w:val="left" w:pos="4771"/>
              </w:tabs>
              <w:ind w:leftChars="0"/>
              <w:rPr>
                <w:sz w:val="22"/>
              </w:rPr>
            </w:pPr>
            <w:r>
              <w:rPr>
                <w:rFonts w:hint="eastAsia"/>
                <w:sz w:val="22"/>
                <w:lang w:val="en-US" w:eastAsia="zh-CN"/>
              </w:rPr>
              <w:t>8.</w:t>
            </w:r>
            <w:r>
              <w:rPr>
                <w:rFonts w:hint="eastAsia"/>
                <w:sz w:val="22"/>
              </w:rPr>
              <w:t>工作湿度：10%RH~90%RH。</w:t>
            </w:r>
          </w:p>
          <w:p>
            <w:pPr>
              <w:pStyle w:val="46"/>
              <w:numPr>
                <w:ilvl w:val="0"/>
                <w:numId w:val="0"/>
              </w:numPr>
              <w:tabs>
                <w:tab w:val="left" w:pos="4771"/>
              </w:tabs>
              <w:ind w:leftChars="0"/>
              <w:rPr>
                <w:sz w:val="22"/>
              </w:rPr>
            </w:pPr>
            <w:r>
              <w:rPr>
                <w:rFonts w:hint="eastAsia"/>
                <w:sz w:val="22"/>
                <w:lang w:val="en-US" w:eastAsia="zh-CN"/>
              </w:rPr>
              <w:t>9.</w:t>
            </w:r>
            <w:r>
              <w:rPr>
                <w:rFonts w:hint="eastAsia"/>
                <w:sz w:val="22"/>
              </w:rPr>
              <w:t>日常训练：精心设计。感应靶可挂、可立、亦可平放至水平表面使用。满足多场景训练需求。</w:t>
            </w:r>
          </w:p>
        </w:tc>
        <w:tc>
          <w:tcPr>
            <w:tcW w:w="933" w:type="dxa"/>
            <w:noWrap w:val="0"/>
            <w:vAlign w:val="center"/>
          </w:tcPr>
          <w:p>
            <w:pPr>
              <w:tabs>
                <w:tab w:val="left" w:pos="4771"/>
              </w:tabs>
              <w:ind w:left="0" w:leftChars="0" w:firstLine="0" w:firstLineChars="0"/>
              <w:jc w:val="center"/>
              <w:rPr>
                <w:rFonts w:ascii="宋体" w:hAnsi="宋体"/>
                <w:kern w:val="0"/>
                <w:sz w:val="24"/>
              </w:rPr>
            </w:pPr>
            <w:r>
              <w:rPr>
                <w:rFonts w:hint="eastAsia" w:ascii="宋体" w:hAnsi="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noWrap w:val="0"/>
            <w:vAlign w:val="center"/>
          </w:tcPr>
          <w:p>
            <w:pPr>
              <w:tabs>
                <w:tab w:val="left" w:pos="4771"/>
              </w:tabs>
              <w:ind w:left="0" w:leftChars="0" w:firstLine="0" w:firstLineChars="0"/>
              <w:jc w:val="center"/>
              <w:rPr>
                <w:rFonts w:ascii="宋体" w:hAnsi="宋体"/>
                <w:kern w:val="0"/>
                <w:sz w:val="22"/>
              </w:rPr>
            </w:pPr>
            <w:r>
              <w:rPr>
                <w:rFonts w:ascii="宋体" w:hAnsi="宋体"/>
                <w:kern w:val="0"/>
                <w:sz w:val="22"/>
              </w:rPr>
              <w:t>3</w:t>
            </w:r>
          </w:p>
        </w:tc>
        <w:tc>
          <w:tcPr>
            <w:tcW w:w="1559"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0"/>
              </w:rPr>
              <w:t>专业激光射击模拟训练系统C</w:t>
            </w:r>
            <w:r>
              <w:rPr>
                <w:rFonts w:ascii="宋体" w:hAnsi="宋体"/>
                <w:kern w:val="0"/>
                <w:sz w:val="20"/>
              </w:rPr>
              <w:t>U</w:t>
            </w:r>
            <w:r>
              <w:rPr>
                <w:rFonts w:hint="eastAsia" w:ascii="宋体" w:hAnsi="宋体"/>
                <w:kern w:val="0"/>
                <w:sz w:val="20"/>
              </w:rPr>
              <w:t>控制（手枪</w:t>
            </w:r>
            <w:r>
              <w:rPr>
                <w:rFonts w:hint="eastAsia" w:ascii="宋体" w:hAnsi="宋体"/>
                <w:kern w:val="0"/>
                <w:sz w:val="24"/>
              </w:rPr>
              <w:t>）</w:t>
            </w:r>
          </w:p>
        </w:tc>
        <w:tc>
          <w:tcPr>
            <w:tcW w:w="5245" w:type="dxa"/>
            <w:noWrap w:val="0"/>
            <w:vAlign w:val="top"/>
          </w:tcPr>
          <w:p>
            <w:pPr>
              <w:pStyle w:val="46"/>
              <w:numPr>
                <w:ilvl w:val="0"/>
                <w:numId w:val="0"/>
              </w:numPr>
              <w:tabs>
                <w:tab w:val="left" w:pos="4771"/>
              </w:tabs>
              <w:ind w:leftChars="0"/>
              <w:rPr>
                <w:sz w:val="22"/>
              </w:rPr>
            </w:pPr>
            <w:r>
              <w:rPr>
                <w:rFonts w:hint="eastAsia"/>
                <w:sz w:val="22"/>
                <w:lang w:val="en-US" w:eastAsia="zh-CN"/>
              </w:rPr>
              <w:t>1.</w:t>
            </w:r>
            <w:r>
              <w:rPr>
                <w:rFonts w:hint="eastAsia"/>
                <w:sz w:val="22"/>
              </w:rPr>
              <w:t>拥有国家软件系统完全著作权。</w:t>
            </w:r>
          </w:p>
          <w:p>
            <w:pPr>
              <w:pStyle w:val="46"/>
              <w:numPr>
                <w:ilvl w:val="0"/>
                <w:numId w:val="0"/>
              </w:numPr>
              <w:tabs>
                <w:tab w:val="left" w:pos="4771"/>
              </w:tabs>
              <w:ind w:leftChars="0"/>
              <w:rPr>
                <w:sz w:val="22"/>
              </w:rPr>
            </w:pPr>
            <w:r>
              <w:rPr>
                <w:rFonts w:hint="eastAsia"/>
                <w:sz w:val="22"/>
                <w:lang w:val="en-US" w:eastAsia="zh-CN"/>
              </w:rPr>
              <w:t>2.</w:t>
            </w:r>
            <w:r>
              <w:rPr>
                <w:rFonts w:hint="eastAsia"/>
                <w:sz w:val="22"/>
              </w:rPr>
              <w:t>页面显示完全符合中国射击协会要求。</w:t>
            </w:r>
          </w:p>
          <w:p>
            <w:pPr>
              <w:pStyle w:val="46"/>
              <w:tabs>
                <w:tab w:val="left" w:pos="4771"/>
              </w:tabs>
              <w:ind w:firstLine="0" w:firstLineChars="0"/>
              <w:rPr>
                <w:sz w:val="22"/>
              </w:rPr>
            </w:pPr>
          </w:p>
        </w:tc>
        <w:tc>
          <w:tcPr>
            <w:tcW w:w="933" w:type="dxa"/>
            <w:noWrap w:val="0"/>
            <w:vAlign w:val="center"/>
          </w:tcPr>
          <w:p>
            <w:pPr>
              <w:tabs>
                <w:tab w:val="left" w:pos="4771"/>
              </w:tabs>
              <w:ind w:left="0" w:leftChars="0" w:firstLine="0" w:firstLineChars="0"/>
              <w:jc w:val="center"/>
              <w:rPr>
                <w:rFonts w:ascii="宋体" w:hAnsi="宋体"/>
                <w:kern w:val="0"/>
                <w:sz w:val="24"/>
              </w:rPr>
            </w:pPr>
            <w:r>
              <w:rPr>
                <w:rFonts w:hint="eastAsia" w:ascii="宋体" w:hAnsi="宋体"/>
                <w:kern w:val="0"/>
                <w:sz w:val="24"/>
              </w:rPr>
              <w:t>8</w:t>
            </w:r>
          </w:p>
        </w:tc>
      </w:tr>
    </w:tbl>
    <w:p>
      <w:pPr>
        <w:rPr>
          <w:rFonts w:ascii="宋体" w:hAnsi="宋体"/>
          <w:b/>
          <w:sz w:val="24"/>
        </w:rPr>
      </w:pPr>
    </w:p>
    <w:p>
      <w:pPr>
        <w:jc w:val="center"/>
        <w:rPr>
          <w:rFonts w:ascii="宋体" w:hAnsi="宋体"/>
          <w:b/>
          <w:sz w:val="28"/>
        </w:rPr>
      </w:pPr>
      <w:r>
        <w:rPr>
          <w:rFonts w:hint="eastAsia" w:ascii="宋体" w:hAnsi="宋体"/>
          <w:b/>
          <w:sz w:val="28"/>
        </w:rPr>
        <w:t>专业激光模拟射击训练系统（步枪）技术参数</w:t>
      </w:r>
    </w:p>
    <w:p>
      <w:pPr>
        <w:rPr>
          <w:rFonts w:ascii="宋体" w:hAnsi="宋体"/>
          <w:sz w:val="24"/>
        </w:rPr>
      </w:pPr>
    </w:p>
    <w:tbl>
      <w:tblPr>
        <w:tblStyle w:val="21"/>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59"/>
        <w:gridCol w:w="5103"/>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4771"/>
              </w:tabs>
              <w:ind w:left="0" w:leftChars="0" w:firstLine="0" w:firstLineChars="0"/>
              <w:jc w:val="center"/>
              <w:rPr>
                <w:rFonts w:ascii="宋体" w:hAnsi="宋体"/>
                <w:kern w:val="0"/>
                <w:sz w:val="22"/>
              </w:rPr>
            </w:pPr>
            <w:r>
              <w:rPr>
                <w:rFonts w:ascii="宋体" w:hAnsi="宋体"/>
                <w:kern w:val="0"/>
                <w:sz w:val="22"/>
              </w:rPr>
              <w:t>序号</w:t>
            </w:r>
          </w:p>
        </w:tc>
        <w:tc>
          <w:tcPr>
            <w:tcW w:w="1559"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2"/>
              </w:rPr>
              <w:t>设备名称</w:t>
            </w:r>
          </w:p>
        </w:tc>
        <w:tc>
          <w:tcPr>
            <w:tcW w:w="5103" w:type="dxa"/>
            <w:noWrap w:val="0"/>
            <w:vAlign w:val="top"/>
          </w:tcPr>
          <w:p>
            <w:pPr>
              <w:tabs>
                <w:tab w:val="left" w:pos="4771"/>
              </w:tabs>
              <w:ind w:left="0" w:leftChars="0" w:firstLine="0" w:firstLineChars="0"/>
              <w:jc w:val="center"/>
              <w:rPr>
                <w:rFonts w:ascii="宋体" w:hAnsi="宋体"/>
                <w:kern w:val="0"/>
                <w:sz w:val="22"/>
              </w:rPr>
            </w:pPr>
            <w:r>
              <w:rPr>
                <w:rFonts w:ascii="宋体" w:hAnsi="宋体"/>
                <w:kern w:val="0"/>
                <w:sz w:val="22"/>
              </w:rPr>
              <w:t>技术参数</w:t>
            </w:r>
          </w:p>
        </w:tc>
        <w:tc>
          <w:tcPr>
            <w:tcW w:w="893"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2"/>
              </w:rPr>
              <w:t>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2"/>
              </w:rPr>
              <w:t>1</w:t>
            </w:r>
          </w:p>
        </w:tc>
        <w:tc>
          <w:tcPr>
            <w:tcW w:w="1559"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2"/>
              </w:rPr>
              <w:t>专业激光模拟射击训练系统发射器</w:t>
            </w:r>
            <w:r>
              <w:rPr>
                <w:rFonts w:ascii="宋体" w:hAnsi="宋体"/>
                <w:kern w:val="0"/>
                <w:sz w:val="22"/>
              </w:rPr>
              <w:t>发射器</w:t>
            </w:r>
          </w:p>
        </w:tc>
        <w:tc>
          <w:tcPr>
            <w:tcW w:w="5103" w:type="dxa"/>
            <w:noWrap w:val="0"/>
            <w:vAlign w:val="top"/>
          </w:tcPr>
          <w:p>
            <w:pPr>
              <w:numPr>
                <w:ilvl w:val="0"/>
                <w:numId w:val="0"/>
              </w:numPr>
              <w:tabs>
                <w:tab w:val="left" w:pos="4771"/>
              </w:tabs>
              <w:rPr>
                <w:rFonts w:ascii="宋体" w:hAnsi="宋体"/>
                <w:kern w:val="0"/>
                <w:sz w:val="22"/>
              </w:rPr>
            </w:pPr>
            <w:r>
              <w:rPr>
                <w:rFonts w:hint="eastAsia" w:ascii="宋体" w:hAnsi="宋体"/>
                <w:bCs/>
                <w:kern w:val="0"/>
                <w:sz w:val="22"/>
                <w:lang w:val="en-US" w:eastAsia="zh-CN"/>
              </w:rPr>
              <w:t>1.</w:t>
            </w:r>
            <w:r>
              <w:rPr>
                <w:rFonts w:hint="eastAsia" w:ascii="宋体" w:hAnsi="宋体"/>
                <w:bCs/>
                <w:kern w:val="0"/>
                <w:sz w:val="22"/>
              </w:rPr>
              <w:t>总重量：3.79-4.3千克。可以额外增加45克—450克重量。</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2.</w:t>
            </w:r>
            <w:r>
              <w:rPr>
                <w:rFonts w:hint="eastAsia" w:ascii="宋体" w:hAnsi="宋体"/>
                <w:bCs/>
                <w:kern w:val="0"/>
                <w:sz w:val="22"/>
              </w:rPr>
              <w:t>总长度：1087-1100毫米。总高度：250-264毫米。宽：58-60毫米。</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3.</w:t>
            </w:r>
            <w:r>
              <w:rPr>
                <w:rFonts w:hint="eastAsia" w:ascii="宋体" w:hAnsi="宋体"/>
                <w:bCs/>
                <w:kern w:val="0"/>
                <w:sz w:val="22"/>
              </w:rPr>
              <w:t>一道火重量：100~350克。二道火重量：300~500克。</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4.</w:t>
            </w:r>
            <w:r>
              <w:rPr>
                <w:rFonts w:hint="eastAsia" w:ascii="宋体" w:hAnsi="宋体"/>
                <w:bCs/>
                <w:kern w:val="0"/>
                <w:sz w:val="22"/>
              </w:rPr>
              <w:t>一道火行程：0~4毫米。二道火行程：0~2毫米。</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5.</w:t>
            </w:r>
            <w:r>
              <w:rPr>
                <w:rFonts w:hint="eastAsia" w:ascii="宋体" w:hAnsi="宋体"/>
                <w:bCs/>
                <w:kern w:val="0"/>
                <w:sz w:val="22"/>
              </w:rPr>
              <w:t>激光发射：脉冲发射。脉冲宽度0-20ms。</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6.</w:t>
            </w:r>
            <w:r>
              <w:rPr>
                <w:rFonts w:hint="eastAsia" w:ascii="宋体" w:hAnsi="宋体"/>
                <w:bCs/>
                <w:kern w:val="0"/>
                <w:sz w:val="22"/>
              </w:rPr>
              <w:t>扳机后座力：扳机带后坐力。后坐力动作时间和扳机击发同步。延时小于</w:t>
            </w:r>
            <w:r>
              <w:rPr>
                <w:rFonts w:ascii="宋体" w:hAnsi="宋体"/>
                <w:bCs/>
                <w:kern w:val="0"/>
                <w:sz w:val="22"/>
              </w:rPr>
              <w:t>1</w:t>
            </w:r>
            <w:r>
              <w:rPr>
                <w:rFonts w:hint="eastAsia" w:ascii="宋体" w:hAnsi="宋体"/>
                <w:bCs/>
                <w:kern w:val="0"/>
                <w:sz w:val="22"/>
              </w:rPr>
              <w:t>0ms。</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7.</w:t>
            </w:r>
            <w:r>
              <w:rPr>
                <w:rFonts w:hint="eastAsia" w:ascii="宋体" w:hAnsi="宋体"/>
                <w:bCs/>
                <w:kern w:val="0"/>
                <w:sz w:val="22"/>
              </w:rPr>
              <w:t>喇叭：发射器具有播放射击音频功能。</w:t>
            </w:r>
            <w:r>
              <w:rPr>
                <w:rFonts w:hint="eastAsia" w:ascii="宋体" w:hAnsi="宋体"/>
                <w:kern w:val="0"/>
                <w:sz w:val="22"/>
              </w:rPr>
              <w:t>模拟上膛声音。</w:t>
            </w:r>
            <w:r>
              <w:rPr>
                <w:rFonts w:ascii="宋体" w:hAnsi="宋体"/>
                <w:kern w:val="0"/>
                <w:sz w:val="22"/>
              </w:rPr>
              <w:t>击发时有模拟真实气枪</w:t>
            </w:r>
            <w:r>
              <w:rPr>
                <w:rFonts w:hint="eastAsia" w:ascii="宋体" w:hAnsi="宋体"/>
                <w:kern w:val="0"/>
                <w:sz w:val="22"/>
              </w:rPr>
              <w:t>的</w:t>
            </w:r>
            <w:r>
              <w:rPr>
                <w:rFonts w:ascii="宋体" w:hAnsi="宋体"/>
                <w:kern w:val="0"/>
                <w:sz w:val="22"/>
              </w:rPr>
              <w:t>声音</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8.</w:t>
            </w:r>
            <w:r>
              <w:rPr>
                <w:rFonts w:hint="eastAsia" w:ascii="宋体" w:hAnsi="宋体"/>
                <w:bCs/>
                <w:kern w:val="0"/>
                <w:sz w:val="22"/>
              </w:rPr>
              <w:t>标尺左右调整范围：126-192响。</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9.</w:t>
            </w:r>
            <w:r>
              <w:rPr>
                <w:rFonts w:hint="eastAsia" w:ascii="宋体" w:hAnsi="宋体"/>
                <w:bCs/>
                <w:kern w:val="0"/>
                <w:sz w:val="22"/>
              </w:rPr>
              <w:t>标尺高低调整范围：192-283响。</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10.</w:t>
            </w:r>
            <w:r>
              <w:rPr>
                <w:rFonts w:hint="eastAsia" w:ascii="宋体" w:hAnsi="宋体"/>
                <w:bCs/>
                <w:kern w:val="0"/>
                <w:sz w:val="22"/>
              </w:rPr>
              <w:t>瞄准基线：准星座和标尺座可以沿顶部横梁前后移动。瞄准基线的调整范围为700~850mm</w:t>
            </w:r>
          </w:p>
          <w:p>
            <w:pPr>
              <w:numPr>
                <w:ilvl w:val="0"/>
                <w:numId w:val="0"/>
              </w:numPr>
              <w:tabs>
                <w:tab w:val="left" w:pos="4771"/>
              </w:tabs>
              <w:jc w:val="left"/>
              <w:rPr>
                <w:rFonts w:ascii="宋体" w:hAnsi="宋体"/>
                <w:kern w:val="0"/>
                <w:sz w:val="22"/>
              </w:rPr>
            </w:pPr>
            <w:r>
              <w:rPr>
                <w:rFonts w:hint="eastAsia" w:ascii="宋体" w:hAnsi="宋体"/>
                <w:bCs/>
                <w:kern w:val="0"/>
                <w:sz w:val="22"/>
                <w:lang w:val="en-US" w:eastAsia="zh-CN"/>
              </w:rPr>
              <w:t>11.</w:t>
            </w:r>
            <w:r>
              <w:rPr>
                <w:rFonts w:hint="eastAsia" w:ascii="宋体" w:hAnsi="宋体"/>
                <w:bCs/>
                <w:kern w:val="0"/>
                <w:sz w:val="22"/>
              </w:rPr>
              <w:t>木套种类：符合射击规则要求即可。</w:t>
            </w:r>
          </w:p>
        </w:tc>
        <w:tc>
          <w:tcPr>
            <w:tcW w:w="893" w:type="dxa"/>
            <w:noWrap w:val="0"/>
            <w:vAlign w:val="center"/>
          </w:tcPr>
          <w:p>
            <w:pPr>
              <w:tabs>
                <w:tab w:val="right" w:pos="-123"/>
              </w:tabs>
              <w:ind w:left="0" w:leftChars="0" w:firstLine="0" w:firstLineChars="0"/>
              <w:jc w:val="center"/>
              <w:rPr>
                <w:rFonts w:ascii="宋体" w:hAnsi="宋体"/>
                <w:kern w:val="0"/>
                <w:sz w:val="22"/>
              </w:rPr>
            </w:pPr>
            <w:r>
              <w:rPr>
                <w:rFonts w:hint="eastAsia" w:ascii="宋体" w:hAnsi="宋体"/>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2"/>
              </w:rPr>
              <w:t>2</w:t>
            </w:r>
          </w:p>
        </w:tc>
        <w:tc>
          <w:tcPr>
            <w:tcW w:w="1559"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2"/>
              </w:rPr>
              <w:t>专业激光模拟射击训练系统感应靶</w:t>
            </w:r>
          </w:p>
          <w:p>
            <w:pPr>
              <w:tabs>
                <w:tab w:val="left" w:pos="4771"/>
              </w:tabs>
              <w:ind w:left="0" w:leftChars="0" w:firstLine="0" w:firstLineChars="0"/>
              <w:jc w:val="center"/>
              <w:rPr>
                <w:rFonts w:ascii="宋体" w:hAnsi="宋体"/>
                <w:kern w:val="0"/>
                <w:sz w:val="22"/>
              </w:rPr>
            </w:pPr>
            <w:r>
              <w:rPr>
                <w:rFonts w:hint="eastAsia" w:ascii="宋体" w:hAnsi="宋体"/>
                <w:kern w:val="0"/>
                <w:sz w:val="22"/>
              </w:rPr>
              <w:t>（步枪）</w:t>
            </w:r>
          </w:p>
        </w:tc>
        <w:tc>
          <w:tcPr>
            <w:tcW w:w="5103" w:type="dxa"/>
            <w:noWrap w:val="0"/>
            <w:vAlign w:val="top"/>
          </w:tcPr>
          <w:p>
            <w:pPr>
              <w:pStyle w:val="46"/>
              <w:numPr>
                <w:ilvl w:val="0"/>
                <w:numId w:val="0"/>
              </w:numPr>
              <w:tabs>
                <w:tab w:val="left" w:pos="4771"/>
              </w:tabs>
              <w:ind w:leftChars="0"/>
              <w:rPr>
                <w:sz w:val="22"/>
              </w:rPr>
            </w:pPr>
            <w:r>
              <w:rPr>
                <w:rFonts w:hint="eastAsia"/>
                <w:sz w:val="22"/>
                <w:lang w:val="en-US" w:eastAsia="zh-CN"/>
              </w:rPr>
              <w:t>1.</w:t>
            </w:r>
            <w:r>
              <w:rPr>
                <w:rFonts w:hint="eastAsia"/>
                <w:sz w:val="22"/>
              </w:rPr>
              <w:t>感应靶尺寸：</w:t>
            </w:r>
            <w:r>
              <w:rPr>
                <w:sz w:val="22"/>
              </w:rPr>
              <w:t>长</w:t>
            </w:r>
            <w:r>
              <w:rPr>
                <w:rFonts w:hint="eastAsia"/>
                <w:sz w:val="22"/>
              </w:rPr>
              <w:t>×</w:t>
            </w:r>
            <w:r>
              <w:rPr>
                <w:sz w:val="22"/>
              </w:rPr>
              <w:t>宽</w:t>
            </w:r>
            <w:r>
              <w:rPr>
                <w:rFonts w:hint="eastAsia"/>
                <w:sz w:val="22"/>
              </w:rPr>
              <w:t>×</w:t>
            </w:r>
            <w:r>
              <w:rPr>
                <w:sz w:val="22"/>
              </w:rPr>
              <w:t>高</w:t>
            </w:r>
            <w:r>
              <w:rPr>
                <w:rFonts w:hint="eastAsia"/>
                <w:sz w:val="22"/>
              </w:rPr>
              <w:t>：约200-230mm×220-233mm×90-253mm。</w:t>
            </w:r>
          </w:p>
          <w:p>
            <w:pPr>
              <w:pStyle w:val="46"/>
              <w:numPr>
                <w:ilvl w:val="0"/>
                <w:numId w:val="0"/>
              </w:numPr>
              <w:tabs>
                <w:tab w:val="left" w:pos="4771"/>
              </w:tabs>
              <w:ind w:leftChars="0"/>
              <w:rPr>
                <w:sz w:val="22"/>
              </w:rPr>
            </w:pPr>
            <w:r>
              <w:rPr>
                <w:rFonts w:hint="eastAsia"/>
                <w:sz w:val="22"/>
                <w:lang w:val="en-US" w:eastAsia="zh-CN"/>
              </w:rPr>
              <w:t>2.</w:t>
            </w:r>
            <w:r>
              <w:rPr>
                <w:rFonts w:hint="eastAsia"/>
                <w:sz w:val="22"/>
              </w:rPr>
              <w:t>感应靶靶面：靶面</w:t>
            </w:r>
            <w:r>
              <w:rPr>
                <w:sz w:val="22"/>
              </w:rPr>
              <w:t>检测尺寸</w:t>
            </w:r>
            <w:r>
              <w:rPr>
                <w:rFonts w:hint="eastAsia"/>
                <w:sz w:val="22"/>
              </w:rPr>
              <w:t>170mm×170mm。</w:t>
            </w:r>
          </w:p>
          <w:p>
            <w:pPr>
              <w:pStyle w:val="46"/>
              <w:numPr>
                <w:ilvl w:val="0"/>
                <w:numId w:val="0"/>
              </w:numPr>
              <w:tabs>
                <w:tab w:val="left" w:pos="4771"/>
              </w:tabs>
              <w:ind w:leftChars="0"/>
              <w:rPr>
                <w:sz w:val="22"/>
              </w:rPr>
            </w:pPr>
            <w:r>
              <w:rPr>
                <w:rFonts w:hint="eastAsia"/>
                <w:sz w:val="22"/>
                <w:lang w:val="en-US" w:eastAsia="zh-CN"/>
              </w:rPr>
              <w:t>3.</w:t>
            </w:r>
            <w:r>
              <w:rPr>
                <w:rFonts w:hint="eastAsia"/>
                <w:sz w:val="22"/>
              </w:rPr>
              <w:t>靶面外观：外观颜色与奥运会电子靶一致。符合ISSF标准。</w:t>
            </w:r>
          </w:p>
          <w:p>
            <w:pPr>
              <w:pStyle w:val="46"/>
              <w:numPr>
                <w:ilvl w:val="0"/>
                <w:numId w:val="0"/>
              </w:numPr>
              <w:tabs>
                <w:tab w:val="left" w:pos="4771"/>
              </w:tabs>
              <w:ind w:leftChars="0"/>
              <w:rPr>
                <w:sz w:val="22"/>
              </w:rPr>
            </w:pPr>
            <w:r>
              <w:rPr>
                <w:rFonts w:hint="eastAsia"/>
                <w:sz w:val="22"/>
                <w:lang w:val="en-US" w:eastAsia="zh-CN"/>
              </w:rPr>
              <w:t>4.</w:t>
            </w:r>
            <w:r>
              <w:rPr>
                <w:rFonts w:hint="eastAsia"/>
                <w:sz w:val="22"/>
              </w:rPr>
              <w:t>有效工作范围：有效感应距离1m~15m。10m处为推荐距离。</w:t>
            </w:r>
          </w:p>
          <w:p>
            <w:pPr>
              <w:pStyle w:val="46"/>
              <w:numPr>
                <w:ilvl w:val="0"/>
                <w:numId w:val="0"/>
              </w:numPr>
              <w:tabs>
                <w:tab w:val="left" w:pos="4771"/>
              </w:tabs>
              <w:ind w:leftChars="0"/>
              <w:rPr>
                <w:sz w:val="22"/>
              </w:rPr>
            </w:pPr>
            <w:r>
              <w:rPr>
                <w:rFonts w:hint="eastAsia"/>
                <w:sz w:val="22"/>
                <w:lang w:val="en-US" w:eastAsia="zh-CN"/>
              </w:rPr>
              <w:t>5.</w:t>
            </w:r>
            <w:r>
              <w:rPr>
                <w:rFonts w:hint="eastAsia"/>
                <w:sz w:val="22"/>
              </w:rPr>
              <w:t>报靶精度：</w:t>
            </w:r>
            <w:r>
              <w:rPr>
                <w:sz w:val="22"/>
              </w:rPr>
              <w:t>报靶精度为</w:t>
            </w:r>
            <w:r>
              <w:rPr>
                <w:rFonts w:hint="eastAsia"/>
                <w:sz w:val="22"/>
              </w:rPr>
              <w:t>0.05环。符合ISSF，CSA标准。</w:t>
            </w:r>
          </w:p>
          <w:p>
            <w:pPr>
              <w:pStyle w:val="46"/>
              <w:numPr>
                <w:ilvl w:val="0"/>
                <w:numId w:val="0"/>
              </w:numPr>
              <w:tabs>
                <w:tab w:val="left" w:pos="4771"/>
              </w:tabs>
              <w:ind w:leftChars="0"/>
              <w:rPr>
                <w:sz w:val="22"/>
              </w:rPr>
            </w:pPr>
            <w:r>
              <w:rPr>
                <w:rFonts w:hint="eastAsia"/>
                <w:sz w:val="22"/>
                <w:lang w:val="en-US" w:eastAsia="zh-CN"/>
              </w:rPr>
              <w:t>6.</w:t>
            </w:r>
            <w:r>
              <w:rPr>
                <w:rFonts w:hint="eastAsia"/>
                <w:sz w:val="22"/>
              </w:rPr>
              <w:t>工作环境：0至21000勒克斯之间。符合ISSF标准。</w:t>
            </w:r>
          </w:p>
          <w:p>
            <w:pPr>
              <w:pStyle w:val="46"/>
              <w:numPr>
                <w:ilvl w:val="0"/>
                <w:numId w:val="0"/>
              </w:numPr>
              <w:tabs>
                <w:tab w:val="left" w:pos="4771"/>
              </w:tabs>
              <w:ind w:leftChars="0"/>
              <w:rPr>
                <w:sz w:val="22"/>
              </w:rPr>
            </w:pPr>
            <w:r>
              <w:rPr>
                <w:rFonts w:hint="eastAsia"/>
                <w:sz w:val="22"/>
                <w:lang w:val="en-US" w:eastAsia="zh-CN"/>
              </w:rPr>
              <w:t>7.</w:t>
            </w:r>
            <w:r>
              <w:rPr>
                <w:rFonts w:hint="eastAsia"/>
                <w:sz w:val="22"/>
              </w:rPr>
              <w:t>工作温度：-10℃~55℃。</w:t>
            </w:r>
          </w:p>
          <w:p>
            <w:pPr>
              <w:pStyle w:val="46"/>
              <w:numPr>
                <w:ilvl w:val="0"/>
                <w:numId w:val="0"/>
              </w:numPr>
              <w:tabs>
                <w:tab w:val="left" w:pos="4771"/>
              </w:tabs>
              <w:ind w:leftChars="0"/>
              <w:rPr>
                <w:sz w:val="22"/>
              </w:rPr>
            </w:pPr>
            <w:r>
              <w:rPr>
                <w:rFonts w:hint="eastAsia"/>
                <w:sz w:val="22"/>
                <w:lang w:val="en-US" w:eastAsia="zh-CN"/>
              </w:rPr>
              <w:t>8.</w:t>
            </w:r>
            <w:r>
              <w:rPr>
                <w:rFonts w:hint="eastAsia"/>
                <w:sz w:val="22"/>
              </w:rPr>
              <w:t>工作湿度：10%RH~90%RH。</w:t>
            </w:r>
          </w:p>
          <w:p>
            <w:pPr>
              <w:pStyle w:val="46"/>
              <w:numPr>
                <w:ilvl w:val="0"/>
                <w:numId w:val="0"/>
              </w:numPr>
              <w:tabs>
                <w:tab w:val="left" w:pos="4771"/>
              </w:tabs>
              <w:ind w:leftChars="0"/>
              <w:rPr>
                <w:sz w:val="22"/>
              </w:rPr>
            </w:pPr>
            <w:r>
              <w:rPr>
                <w:rFonts w:hint="eastAsia"/>
                <w:sz w:val="22"/>
                <w:lang w:val="en-US" w:eastAsia="zh-CN"/>
              </w:rPr>
              <w:t>9.</w:t>
            </w:r>
            <w:r>
              <w:rPr>
                <w:rFonts w:hint="eastAsia"/>
                <w:sz w:val="22"/>
              </w:rPr>
              <w:t>日常训练：</w:t>
            </w:r>
            <w:r>
              <w:rPr>
                <w:sz w:val="22"/>
              </w:rPr>
              <w:t>精心设计</w:t>
            </w:r>
            <w:r>
              <w:rPr>
                <w:rFonts w:hint="eastAsia"/>
                <w:sz w:val="22"/>
              </w:rPr>
              <w:t>。感应靶</w:t>
            </w:r>
            <w:r>
              <w:rPr>
                <w:sz w:val="22"/>
              </w:rPr>
              <w:t>可挂</w:t>
            </w:r>
            <w:r>
              <w:rPr>
                <w:rFonts w:hint="eastAsia"/>
                <w:sz w:val="22"/>
              </w:rPr>
              <w:t>、</w:t>
            </w:r>
            <w:r>
              <w:rPr>
                <w:sz w:val="22"/>
              </w:rPr>
              <w:t>可立</w:t>
            </w:r>
            <w:r>
              <w:rPr>
                <w:rFonts w:hint="eastAsia"/>
                <w:sz w:val="22"/>
              </w:rPr>
              <w:t>、亦</w:t>
            </w:r>
            <w:r>
              <w:rPr>
                <w:sz w:val="22"/>
              </w:rPr>
              <w:t>可平放至水平表面使用</w:t>
            </w:r>
            <w:r>
              <w:rPr>
                <w:rFonts w:hint="eastAsia"/>
                <w:sz w:val="22"/>
              </w:rPr>
              <w:t>。满足多场景训练需求。</w:t>
            </w:r>
          </w:p>
        </w:tc>
        <w:tc>
          <w:tcPr>
            <w:tcW w:w="893"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4771"/>
              </w:tabs>
              <w:ind w:left="0" w:leftChars="0" w:firstLine="0" w:firstLineChars="0"/>
              <w:jc w:val="center"/>
              <w:rPr>
                <w:rFonts w:ascii="宋体" w:hAnsi="宋体"/>
                <w:kern w:val="0"/>
                <w:sz w:val="22"/>
              </w:rPr>
            </w:pPr>
            <w:r>
              <w:rPr>
                <w:rFonts w:ascii="宋体" w:hAnsi="宋体"/>
                <w:kern w:val="0"/>
                <w:sz w:val="22"/>
              </w:rPr>
              <w:t>3</w:t>
            </w:r>
          </w:p>
        </w:tc>
        <w:tc>
          <w:tcPr>
            <w:tcW w:w="1559"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2"/>
              </w:rPr>
              <w:t>专业激光射击模拟训练系统C</w:t>
            </w:r>
            <w:r>
              <w:rPr>
                <w:rFonts w:ascii="宋体" w:hAnsi="宋体"/>
                <w:kern w:val="0"/>
                <w:sz w:val="22"/>
              </w:rPr>
              <w:t>U</w:t>
            </w:r>
            <w:r>
              <w:rPr>
                <w:rFonts w:hint="eastAsia" w:ascii="宋体" w:hAnsi="宋体"/>
                <w:kern w:val="0"/>
                <w:sz w:val="22"/>
              </w:rPr>
              <w:t>控制（步枪）</w:t>
            </w:r>
          </w:p>
        </w:tc>
        <w:tc>
          <w:tcPr>
            <w:tcW w:w="5103" w:type="dxa"/>
            <w:noWrap w:val="0"/>
            <w:vAlign w:val="top"/>
          </w:tcPr>
          <w:p>
            <w:pPr>
              <w:pStyle w:val="46"/>
              <w:tabs>
                <w:tab w:val="left" w:pos="4771"/>
              </w:tabs>
              <w:ind w:firstLine="0" w:firstLineChars="0"/>
              <w:rPr>
                <w:sz w:val="22"/>
              </w:rPr>
            </w:pPr>
            <w:r>
              <w:rPr>
                <w:rFonts w:hint="eastAsia"/>
                <w:sz w:val="22"/>
              </w:rPr>
              <w:t>1. 拥有国家软件系统完全著作权。</w:t>
            </w:r>
          </w:p>
          <w:p>
            <w:pPr>
              <w:pStyle w:val="46"/>
              <w:tabs>
                <w:tab w:val="left" w:pos="4771"/>
              </w:tabs>
              <w:ind w:firstLine="0" w:firstLineChars="0"/>
              <w:rPr>
                <w:sz w:val="22"/>
              </w:rPr>
            </w:pPr>
            <w:r>
              <w:rPr>
                <w:rFonts w:hint="eastAsia"/>
                <w:sz w:val="22"/>
              </w:rPr>
              <w:t>2.页面显示完全符合中国射击协会要求。</w:t>
            </w:r>
          </w:p>
          <w:p>
            <w:pPr>
              <w:pStyle w:val="46"/>
              <w:tabs>
                <w:tab w:val="left" w:pos="4771"/>
              </w:tabs>
              <w:ind w:firstLine="0" w:firstLineChars="0"/>
              <w:rPr>
                <w:sz w:val="22"/>
              </w:rPr>
            </w:pPr>
          </w:p>
        </w:tc>
        <w:tc>
          <w:tcPr>
            <w:tcW w:w="893"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2"/>
              </w:rPr>
              <w:t>4</w:t>
            </w:r>
          </w:p>
        </w:tc>
        <w:tc>
          <w:tcPr>
            <w:tcW w:w="1559"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2"/>
              </w:rPr>
              <w:t>10米射击桌</w:t>
            </w:r>
          </w:p>
        </w:tc>
        <w:tc>
          <w:tcPr>
            <w:tcW w:w="5103" w:type="dxa"/>
            <w:noWrap w:val="0"/>
            <w:vAlign w:val="top"/>
          </w:tcPr>
          <w:p>
            <w:pPr>
              <w:rPr>
                <w:rFonts w:ascii="宋体" w:hAnsi="宋体"/>
                <w:kern w:val="0"/>
                <w:sz w:val="24"/>
              </w:rPr>
            </w:pPr>
            <w:r>
              <w:rPr>
                <w:rFonts w:hint="eastAsia" w:ascii="宋体" w:hAnsi="宋体" w:cs="宋体"/>
                <w:color w:val="000000"/>
                <w:kern w:val="0"/>
                <w:sz w:val="24"/>
              </w:rPr>
              <w:t>85CM*120CM*50CM（木制）定制</w:t>
            </w:r>
          </w:p>
        </w:tc>
        <w:tc>
          <w:tcPr>
            <w:tcW w:w="893" w:type="dxa"/>
            <w:noWrap w:val="0"/>
            <w:vAlign w:val="center"/>
          </w:tcPr>
          <w:p>
            <w:pPr>
              <w:tabs>
                <w:tab w:val="left" w:pos="4771"/>
              </w:tabs>
              <w:ind w:left="0" w:leftChars="0" w:firstLine="0" w:firstLineChars="0"/>
              <w:jc w:val="center"/>
              <w:rPr>
                <w:rFonts w:ascii="宋体" w:hAnsi="宋体"/>
                <w:kern w:val="0"/>
                <w:sz w:val="22"/>
              </w:rPr>
            </w:pPr>
            <w:r>
              <w:rPr>
                <w:rFonts w:hint="eastAsia" w:ascii="宋体" w:hAnsi="宋体"/>
                <w:kern w:val="0"/>
                <w:sz w:val="22"/>
              </w:rPr>
              <w:t>20</w:t>
            </w:r>
          </w:p>
        </w:tc>
      </w:tr>
    </w:tbl>
    <w:p>
      <w:pPr>
        <w:rPr>
          <w:rFonts w:ascii="宋体" w:hAnsi="宋体" w:cs="宋体"/>
          <w:color w:val="000000"/>
          <w:kern w:val="0"/>
          <w:sz w:val="24"/>
        </w:rPr>
      </w:pPr>
    </w:p>
    <w:p>
      <w:pPr>
        <w:jc w:val="center"/>
        <w:rPr>
          <w:rFonts w:ascii="宋体" w:hAnsi="宋体" w:cs="宋体"/>
          <w:b/>
          <w:color w:val="000000"/>
          <w:kern w:val="0"/>
          <w:sz w:val="24"/>
        </w:rPr>
      </w:pPr>
      <w:r>
        <w:rPr>
          <w:rFonts w:hint="eastAsia" w:ascii="宋体" w:hAnsi="宋体" w:cs="宋体"/>
          <w:b/>
          <w:color w:val="000000"/>
          <w:kern w:val="0"/>
          <w:sz w:val="24"/>
        </w:rPr>
        <w:t>枪弹存储管理模块参数</w:t>
      </w:r>
    </w:p>
    <w:p>
      <w:pPr>
        <w:rPr>
          <w:rFonts w:ascii="宋体" w:hAnsi="宋体" w:cs="宋体"/>
          <w:color w:val="000000"/>
          <w:kern w:val="0"/>
          <w:sz w:val="24"/>
        </w:rPr>
      </w:pPr>
    </w:p>
    <w:tbl>
      <w:tblPr>
        <w:tblStyle w:val="2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68"/>
        <w:gridCol w:w="425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tabs>
                <w:tab w:val="left" w:pos="4771"/>
              </w:tabs>
              <w:ind w:left="0" w:leftChars="0" w:firstLine="0" w:firstLineChars="0"/>
              <w:jc w:val="center"/>
              <w:rPr>
                <w:rFonts w:hint="eastAsia" w:ascii="宋体" w:hAnsi="宋体"/>
                <w:kern w:val="0"/>
                <w:sz w:val="22"/>
              </w:rPr>
            </w:pPr>
            <w:r>
              <w:rPr>
                <w:rFonts w:hint="eastAsia" w:ascii="宋体" w:hAnsi="宋体"/>
                <w:kern w:val="0"/>
                <w:sz w:val="22"/>
              </w:rPr>
              <w:t>序号</w:t>
            </w:r>
          </w:p>
        </w:tc>
        <w:tc>
          <w:tcPr>
            <w:tcW w:w="2268" w:type="dxa"/>
            <w:noWrap w:val="0"/>
            <w:vAlign w:val="center"/>
          </w:tcPr>
          <w:p>
            <w:pPr>
              <w:tabs>
                <w:tab w:val="left" w:pos="4771"/>
              </w:tabs>
              <w:ind w:left="0" w:leftChars="0" w:firstLine="0" w:firstLineChars="0"/>
              <w:jc w:val="center"/>
              <w:rPr>
                <w:rFonts w:hint="eastAsia" w:ascii="宋体" w:hAnsi="宋体"/>
                <w:kern w:val="0"/>
                <w:sz w:val="22"/>
              </w:rPr>
            </w:pPr>
            <w:r>
              <w:rPr>
                <w:rFonts w:hint="eastAsia" w:ascii="宋体" w:hAnsi="宋体"/>
                <w:kern w:val="0"/>
                <w:sz w:val="22"/>
              </w:rPr>
              <w:t>设备名称</w:t>
            </w:r>
          </w:p>
        </w:tc>
        <w:tc>
          <w:tcPr>
            <w:tcW w:w="4252" w:type="dxa"/>
            <w:noWrap w:val="0"/>
            <w:vAlign w:val="top"/>
          </w:tcPr>
          <w:p>
            <w:pPr>
              <w:tabs>
                <w:tab w:val="left" w:pos="4771"/>
              </w:tabs>
              <w:ind w:left="0" w:leftChars="0" w:firstLine="0" w:firstLineChars="0"/>
              <w:jc w:val="center"/>
              <w:rPr>
                <w:rFonts w:hint="eastAsia" w:ascii="宋体" w:hAnsi="宋体"/>
                <w:kern w:val="0"/>
                <w:sz w:val="22"/>
              </w:rPr>
            </w:pPr>
            <w:r>
              <w:rPr>
                <w:rFonts w:hint="eastAsia" w:ascii="宋体" w:hAnsi="宋体"/>
                <w:kern w:val="0"/>
                <w:sz w:val="22"/>
              </w:rPr>
              <w:t>技术参数</w:t>
            </w:r>
          </w:p>
        </w:tc>
        <w:tc>
          <w:tcPr>
            <w:tcW w:w="1043" w:type="dxa"/>
            <w:noWrap w:val="0"/>
            <w:vAlign w:val="center"/>
          </w:tcPr>
          <w:p>
            <w:pPr>
              <w:tabs>
                <w:tab w:val="left" w:pos="4771"/>
              </w:tabs>
              <w:ind w:left="0" w:leftChars="0" w:firstLine="0" w:firstLineChars="0"/>
              <w:jc w:val="center"/>
              <w:rPr>
                <w:rFonts w:hint="eastAsia" w:ascii="宋体" w:hAnsi="宋体"/>
                <w:kern w:val="0"/>
                <w:sz w:val="22"/>
              </w:rPr>
            </w:pPr>
            <w:r>
              <w:rPr>
                <w:rFonts w:hint="eastAsia" w:ascii="宋体" w:hAnsi="宋体"/>
                <w:kern w:val="0"/>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1</w:t>
            </w:r>
          </w:p>
        </w:tc>
        <w:tc>
          <w:tcPr>
            <w:tcW w:w="2268" w:type="dxa"/>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智能自助式步手枪柜</w:t>
            </w:r>
          </w:p>
        </w:tc>
        <w:tc>
          <w:tcPr>
            <w:tcW w:w="4252" w:type="dxa"/>
            <w:noWrap w:val="0"/>
            <w:vAlign w:val="top"/>
          </w:tcPr>
          <w:p>
            <w:pPr>
              <w:ind w:left="0" w:leftChars="0" w:firstLine="0" w:firstLineChars="0"/>
              <w:rPr>
                <w:rFonts w:ascii="宋体" w:hAnsi="宋体"/>
                <w:kern w:val="0"/>
                <w:sz w:val="24"/>
              </w:rPr>
            </w:pPr>
            <w:r>
              <w:rPr>
                <w:rFonts w:hint="eastAsia" w:ascii="宋体" w:hAnsi="宋体"/>
                <w:kern w:val="0"/>
                <w:sz w:val="24"/>
              </w:rPr>
              <w:t>柜外形尺寸为2000(H)×1000(L)×500(W)或按实际场地定制，厚度≥2mm冷轧板；使用烤漆工艺；独立箱体可定做，柜体采用全折边设计，专用布线隐藏在枪柜内，与外部连线采用模块式设计；带电子锁及备用钥匙开门功能。是专为射击运动量身定制的，适合存放长枪和手枪。</w:t>
            </w:r>
          </w:p>
          <w:p>
            <w:pPr>
              <w:rPr>
                <w:rFonts w:ascii="宋体" w:hAnsi="宋体" w:cs="宋体"/>
                <w:color w:val="000000"/>
                <w:kern w:val="0"/>
                <w:sz w:val="24"/>
              </w:rPr>
            </w:pPr>
          </w:p>
        </w:tc>
        <w:tc>
          <w:tcPr>
            <w:tcW w:w="1043" w:type="dxa"/>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2</w:t>
            </w:r>
          </w:p>
        </w:tc>
        <w:tc>
          <w:tcPr>
            <w:tcW w:w="2268" w:type="dxa"/>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智能自助式弹柜</w:t>
            </w:r>
          </w:p>
          <w:p>
            <w:pPr>
              <w:jc w:val="center"/>
              <w:rPr>
                <w:rFonts w:ascii="宋体" w:hAnsi="宋体" w:cs="宋体"/>
                <w:color w:val="000000"/>
                <w:kern w:val="0"/>
                <w:sz w:val="24"/>
              </w:rPr>
            </w:pPr>
          </w:p>
        </w:tc>
        <w:tc>
          <w:tcPr>
            <w:tcW w:w="4252" w:type="dxa"/>
            <w:noWrap w:val="0"/>
            <w:vAlign w:val="top"/>
          </w:tcPr>
          <w:p>
            <w:pPr>
              <w:ind w:left="0" w:leftChars="0" w:firstLine="0" w:firstLineChars="0"/>
              <w:rPr>
                <w:rFonts w:ascii="宋体" w:hAnsi="宋体"/>
                <w:kern w:val="0"/>
                <w:sz w:val="24"/>
              </w:rPr>
            </w:pPr>
            <w:r>
              <w:rPr>
                <w:rFonts w:hint="eastAsia" w:ascii="宋体" w:hAnsi="宋体" w:cs="宋体"/>
                <w:color w:val="000000"/>
                <w:kern w:val="0"/>
                <w:sz w:val="24"/>
              </w:rPr>
              <w:t xml:space="preserve"> 柜外形尺寸为2000(H)×1000(L)×500(W)，厚度≥2mm冷轧板；使用烤漆工艺；独立箱体可定做，，柜体采用全折边设计，专用布线隐藏在枪柜内，与外部连线采用模块式设计；带电子锁及备用钥匙开门功能。是专为射击运动量身定制的，适合存放子弹。</w:t>
            </w:r>
          </w:p>
          <w:p>
            <w:pPr>
              <w:rPr>
                <w:rFonts w:ascii="宋体" w:hAnsi="宋体" w:cs="宋体"/>
                <w:color w:val="000000"/>
                <w:kern w:val="0"/>
                <w:sz w:val="24"/>
              </w:rPr>
            </w:pPr>
          </w:p>
        </w:tc>
        <w:tc>
          <w:tcPr>
            <w:tcW w:w="1043" w:type="dxa"/>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3</w:t>
            </w:r>
          </w:p>
        </w:tc>
        <w:tc>
          <w:tcPr>
            <w:tcW w:w="2268" w:type="dxa"/>
            <w:noWrap w:val="0"/>
            <w:vAlign w:val="center"/>
          </w:tcPr>
          <w:p>
            <w:pPr>
              <w:ind w:left="0" w:leftChars="0" w:firstLine="0" w:firstLineChars="0"/>
              <w:jc w:val="center"/>
              <w:rPr>
                <w:rFonts w:ascii="宋体" w:hAnsi="宋体" w:cs="宋体"/>
                <w:color w:val="000000"/>
                <w:kern w:val="0"/>
                <w:sz w:val="24"/>
              </w:rPr>
            </w:pPr>
            <w:r>
              <w:rPr>
                <w:rFonts w:hint="eastAsia" w:cs="宋体"/>
                <w:color w:val="000000"/>
                <w:kern w:val="0"/>
                <w:sz w:val="24"/>
                <w:szCs w:val="22"/>
              </w:rPr>
              <w:t>枪弹库施工</w:t>
            </w:r>
          </w:p>
        </w:tc>
        <w:tc>
          <w:tcPr>
            <w:tcW w:w="4252" w:type="dxa"/>
            <w:noWrap w:val="0"/>
            <w:vAlign w:val="top"/>
          </w:tcPr>
          <w:p>
            <w:pPr>
              <w:ind w:left="0" w:leftChars="0" w:firstLine="0" w:firstLineChars="0"/>
              <w:rPr>
                <w:rFonts w:ascii="宋体" w:hAnsi="宋体" w:cs="宋体"/>
                <w:color w:val="000000"/>
                <w:kern w:val="0"/>
                <w:sz w:val="24"/>
              </w:rPr>
            </w:pPr>
            <w:r>
              <w:rPr>
                <w:rFonts w:hint="eastAsia" w:ascii="宋体" w:hAnsi="宋体" w:cs="宋体"/>
                <w:color w:val="000000"/>
                <w:kern w:val="0"/>
                <w:sz w:val="24"/>
              </w:rPr>
              <w:t>根据现场安全条件、施工范围、作业需要、由供应商施工。</w:t>
            </w:r>
          </w:p>
        </w:tc>
        <w:tc>
          <w:tcPr>
            <w:tcW w:w="1043" w:type="dxa"/>
            <w:noWrap w:val="0"/>
            <w:vAlign w:val="center"/>
          </w:tcPr>
          <w:p>
            <w:pPr>
              <w:rPr>
                <w:rFonts w:ascii="宋体" w:hAnsi="宋体" w:cs="宋体"/>
                <w:color w:val="000000"/>
                <w:kern w:val="0"/>
                <w:sz w:val="24"/>
              </w:rPr>
            </w:pPr>
          </w:p>
        </w:tc>
      </w:tr>
    </w:tbl>
    <w:p>
      <w:pPr>
        <w:numPr>
          <w:ilvl w:val="0"/>
          <w:numId w:val="0"/>
        </w:numPr>
        <w:spacing w:line="360" w:lineRule="auto"/>
        <w:rPr>
          <w:rFonts w:hint="eastAsia" w:ascii="宋体" w:hAnsi="宋体" w:eastAsia="宋体" w:cs="宋体"/>
          <w:sz w:val="24"/>
          <w:szCs w:val="24"/>
        </w:rPr>
      </w:pPr>
    </w:p>
    <w:p>
      <w:pPr>
        <w:numPr>
          <w:ilvl w:val="0"/>
          <w:numId w:val="0"/>
        </w:numPr>
        <w:spacing w:line="360" w:lineRule="auto"/>
        <w:rPr>
          <w:rFonts w:hint="eastAsia" w:ascii="宋体" w:hAnsi="宋体" w:eastAsia="宋体" w:cs="宋体"/>
          <w:sz w:val="24"/>
          <w:szCs w:val="24"/>
        </w:rPr>
      </w:pPr>
    </w:p>
    <w:bookmarkEnd w:id="174"/>
    <w:p>
      <w:pPr>
        <w:numPr>
          <w:ilvl w:val="0"/>
          <w:numId w:val="0"/>
        </w:numPr>
        <w:spacing w:line="360" w:lineRule="auto"/>
        <w:rPr>
          <w:rFonts w:hint="eastAsia" w:ascii="宋体" w:hAnsi="宋体" w:eastAsia="宋体" w:cs="宋体"/>
          <w:sz w:val="24"/>
          <w:szCs w:val="24"/>
        </w:rPr>
      </w:pP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44805" cy="2540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4805" cy="254000"/>
                      </a:xfrm>
                      <a:prstGeom prst="rect">
                        <a:avLst/>
                      </a:prstGeom>
                      <a:noFill/>
                      <a:ln w="6350">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pt;width:27.15pt;mso-position-horizontal:center;mso-position-horizontal-relative:margin;mso-wrap-style:none;z-index:251658240;mso-width-relative:page;mso-height-relative:page;" filled="f" stroked="f" coordsize="21600,21600" o:gfxdata="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cabEjRAAAAAwEAAA8AAAAAAAAAAQAgAAAAIgAAAGRycy9kb3ducmV2LnhtbFBLAQIUABQA&#10;AAAIAIdO4kA9GyCYMAIAAFMEAAAOAAAAAAAAAAEAIAAAACABAABkcnMvZTJvRG9jLnhtbFBLBQYA&#10;AAAABgAGAFkBAADC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0" w:firstLineChars="0"/>
      <w:jc w:val="both"/>
      <w:rPr>
        <w:rFonts w:ascii="宋体" w:hAnsi="宋体" w:eastAsia="宋体" w:cs="宋体"/>
        <w:b/>
        <w:bCs/>
        <w:sz w:val="15"/>
        <w:szCs w:val="15"/>
        <w:u w:val="single"/>
      </w:rPr>
    </w:pPr>
    <w:r>
      <w:rPr>
        <w:rFonts w:hint="eastAsia" w:ascii="宋体" w:hAnsi="宋体" w:eastAsia="宋体" w:cs="宋体"/>
        <w:b/>
        <w:bCs/>
        <w:sz w:val="15"/>
        <w:szCs w:val="15"/>
        <w:u w:val="single"/>
        <w:lang w:eastAsia="zh-CN"/>
      </w:rPr>
      <w:t>射击场馆提升改造及器材购置项目</w:t>
    </w:r>
    <w:r>
      <w:rPr>
        <w:rFonts w:hint="eastAsia" w:ascii="宋体" w:hAnsi="宋体" w:eastAsia="宋体" w:cs="宋体"/>
        <w:b/>
        <w:bCs/>
        <w:sz w:val="15"/>
        <w:szCs w:val="15"/>
        <w:u w:val="single"/>
      </w:rPr>
      <w:t xml:space="preserve">   </w:t>
    </w:r>
    <w:r>
      <w:rPr>
        <w:rFonts w:hint="eastAsia" w:ascii="宋体" w:hAnsi="宋体" w:eastAsia="宋体" w:cs="宋体"/>
        <w:b/>
        <w:bCs/>
        <w:sz w:val="15"/>
        <w:szCs w:val="15"/>
        <w:u w:val="single"/>
        <w:lang w:val="en-US" w:eastAsia="zh-CN"/>
      </w:rPr>
      <w:t xml:space="preserve">     </w:t>
    </w:r>
    <w:r>
      <w:rPr>
        <w:rFonts w:hint="eastAsia" w:ascii="宋体" w:hAnsi="宋体" w:eastAsia="宋体" w:cs="宋体"/>
        <w:b/>
        <w:bCs/>
        <w:sz w:val="15"/>
        <w:szCs w:val="15"/>
        <w:u w:val="single"/>
      </w:rPr>
      <w:t xml:space="preserve">           </w:t>
    </w:r>
    <w:r>
      <w:rPr>
        <w:rFonts w:hint="eastAsia" w:ascii="宋体" w:hAnsi="宋体" w:eastAsia="宋体" w:cs="宋体"/>
        <w:b/>
        <w:bCs/>
        <w:sz w:val="15"/>
        <w:szCs w:val="15"/>
        <w:u w:val="single"/>
        <w:lang w:val="en-US" w:eastAsia="zh-CN"/>
      </w:rPr>
      <w:t xml:space="preserve">                                                     </w:t>
    </w:r>
    <w:r>
      <w:rPr>
        <w:rFonts w:hint="eastAsia" w:ascii="宋体" w:hAnsi="宋体" w:eastAsia="宋体" w:cs="宋体"/>
        <w:b/>
        <w:bCs/>
        <w:sz w:val="15"/>
        <w:szCs w:val="15"/>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04199"/>
    <w:multiLevelType w:val="singleLevel"/>
    <w:tmpl w:val="4B604199"/>
    <w:lvl w:ilvl="0" w:tentative="0">
      <w:start w:val="6"/>
      <w:numFmt w:val="chineseCounting"/>
      <w:suff w:val="space"/>
      <w:lvlText w:val="第%1部分"/>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E068532"/>
    <w:multiLevelType w:val="singleLevel"/>
    <w:tmpl w:val="5E068532"/>
    <w:lvl w:ilvl="0" w:tentative="0">
      <w:start w:val="1"/>
      <w:numFmt w:val="chineseCounting"/>
      <w:suff w:val="space"/>
      <w:lvlText w:val="第%1部分"/>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3A01D0"/>
    <w:rsid w:val="000330D6"/>
    <w:rsid w:val="00041115"/>
    <w:rsid w:val="00075B9A"/>
    <w:rsid w:val="0008378E"/>
    <w:rsid w:val="00090569"/>
    <w:rsid w:val="000D0CF2"/>
    <w:rsid w:val="000F1ACD"/>
    <w:rsid w:val="000F7A75"/>
    <w:rsid w:val="00116C12"/>
    <w:rsid w:val="0011729F"/>
    <w:rsid w:val="0016230F"/>
    <w:rsid w:val="001A716C"/>
    <w:rsid w:val="001B62D0"/>
    <w:rsid w:val="001D0B13"/>
    <w:rsid w:val="002447B1"/>
    <w:rsid w:val="00286034"/>
    <w:rsid w:val="00287403"/>
    <w:rsid w:val="002C3BEB"/>
    <w:rsid w:val="002C5D0F"/>
    <w:rsid w:val="002F630D"/>
    <w:rsid w:val="00315CF5"/>
    <w:rsid w:val="00380D3B"/>
    <w:rsid w:val="003B067B"/>
    <w:rsid w:val="004A3E2A"/>
    <w:rsid w:val="004D02F5"/>
    <w:rsid w:val="005211E0"/>
    <w:rsid w:val="00573C76"/>
    <w:rsid w:val="005A00C1"/>
    <w:rsid w:val="006158C1"/>
    <w:rsid w:val="006A437F"/>
    <w:rsid w:val="006B0F4A"/>
    <w:rsid w:val="006F643B"/>
    <w:rsid w:val="00712A4B"/>
    <w:rsid w:val="007304F9"/>
    <w:rsid w:val="007B2D36"/>
    <w:rsid w:val="007B437F"/>
    <w:rsid w:val="007B72CB"/>
    <w:rsid w:val="007C6871"/>
    <w:rsid w:val="007D0117"/>
    <w:rsid w:val="007D0943"/>
    <w:rsid w:val="007E5021"/>
    <w:rsid w:val="007E5B58"/>
    <w:rsid w:val="007F6837"/>
    <w:rsid w:val="00870461"/>
    <w:rsid w:val="008854F7"/>
    <w:rsid w:val="00891F9A"/>
    <w:rsid w:val="00897161"/>
    <w:rsid w:val="008B6C4C"/>
    <w:rsid w:val="008F6A68"/>
    <w:rsid w:val="00913EB0"/>
    <w:rsid w:val="00922B80"/>
    <w:rsid w:val="00924FFD"/>
    <w:rsid w:val="00955B37"/>
    <w:rsid w:val="00974AFA"/>
    <w:rsid w:val="009A104D"/>
    <w:rsid w:val="009B5D81"/>
    <w:rsid w:val="009D2414"/>
    <w:rsid w:val="009D68D7"/>
    <w:rsid w:val="009E4E30"/>
    <w:rsid w:val="00A22D1A"/>
    <w:rsid w:val="00A507C8"/>
    <w:rsid w:val="00A518E0"/>
    <w:rsid w:val="00A71928"/>
    <w:rsid w:val="00AD092E"/>
    <w:rsid w:val="00AD1FA0"/>
    <w:rsid w:val="00AE1918"/>
    <w:rsid w:val="00AE5A2B"/>
    <w:rsid w:val="00B16948"/>
    <w:rsid w:val="00B37EB9"/>
    <w:rsid w:val="00B410F7"/>
    <w:rsid w:val="00B629A4"/>
    <w:rsid w:val="00B844B2"/>
    <w:rsid w:val="00BB263C"/>
    <w:rsid w:val="00BC450F"/>
    <w:rsid w:val="00C02247"/>
    <w:rsid w:val="00C27972"/>
    <w:rsid w:val="00C84928"/>
    <w:rsid w:val="00C849C0"/>
    <w:rsid w:val="00D03B35"/>
    <w:rsid w:val="00D06903"/>
    <w:rsid w:val="00D21EFE"/>
    <w:rsid w:val="00D27ED5"/>
    <w:rsid w:val="00D63853"/>
    <w:rsid w:val="00D84693"/>
    <w:rsid w:val="00DD3381"/>
    <w:rsid w:val="00E22C49"/>
    <w:rsid w:val="00E24720"/>
    <w:rsid w:val="00E447A7"/>
    <w:rsid w:val="00EB0515"/>
    <w:rsid w:val="00EB0DB5"/>
    <w:rsid w:val="00EC129E"/>
    <w:rsid w:val="00ED11C2"/>
    <w:rsid w:val="00F2327F"/>
    <w:rsid w:val="00F3746C"/>
    <w:rsid w:val="00F82EB8"/>
    <w:rsid w:val="00FB2BFE"/>
    <w:rsid w:val="00FD1CBD"/>
    <w:rsid w:val="011E6E2C"/>
    <w:rsid w:val="01863BB5"/>
    <w:rsid w:val="01940B70"/>
    <w:rsid w:val="02BC263B"/>
    <w:rsid w:val="032A69FC"/>
    <w:rsid w:val="0347679C"/>
    <w:rsid w:val="03850C13"/>
    <w:rsid w:val="041D2837"/>
    <w:rsid w:val="04946203"/>
    <w:rsid w:val="05370CD5"/>
    <w:rsid w:val="05D86090"/>
    <w:rsid w:val="074F4172"/>
    <w:rsid w:val="08B41D9A"/>
    <w:rsid w:val="0A691C3F"/>
    <w:rsid w:val="0AB50A1F"/>
    <w:rsid w:val="0AF357C2"/>
    <w:rsid w:val="0B033A47"/>
    <w:rsid w:val="0C744DA7"/>
    <w:rsid w:val="0D56632D"/>
    <w:rsid w:val="0DCB49FB"/>
    <w:rsid w:val="0DCE5669"/>
    <w:rsid w:val="0DF5071B"/>
    <w:rsid w:val="0E6F0309"/>
    <w:rsid w:val="0E7B6813"/>
    <w:rsid w:val="0E9F4DF7"/>
    <w:rsid w:val="0F2B7F1E"/>
    <w:rsid w:val="0FC227CF"/>
    <w:rsid w:val="0FCD4D03"/>
    <w:rsid w:val="10386814"/>
    <w:rsid w:val="10A71125"/>
    <w:rsid w:val="1127288E"/>
    <w:rsid w:val="1129001A"/>
    <w:rsid w:val="123E0181"/>
    <w:rsid w:val="12673043"/>
    <w:rsid w:val="12D6219D"/>
    <w:rsid w:val="130F0854"/>
    <w:rsid w:val="13241D90"/>
    <w:rsid w:val="142C108F"/>
    <w:rsid w:val="144B73B0"/>
    <w:rsid w:val="144E779D"/>
    <w:rsid w:val="14B508D5"/>
    <w:rsid w:val="14CA622D"/>
    <w:rsid w:val="16207A85"/>
    <w:rsid w:val="16DA2E92"/>
    <w:rsid w:val="17F732B1"/>
    <w:rsid w:val="183A064D"/>
    <w:rsid w:val="1948597C"/>
    <w:rsid w:val="19BA015F"/>
    <w:rsid w:val="1A1A6AF3"/>
    <w:rsid w:val="1A8F07CF"/>
    <w:rsid w:val="1BAF484F"/>
    <w:rsid w:val="1CCB586E"/>
    <w:rsid w:val="1D1978B6"/>
    <w:rsid w:val="1D86481F"/>
    <w:rsid w:val="1DE64446"/>
    <w:rsid w:val="1E113690"/>
    <w:rsid w:val="1E5816EC"/>
    <w:rsid w:val="1E974FB1"/>
    <w:rsid w:val="1F074BAD"/>
    <w:rsid w:val="1F8244C5"/>
    <w:rsid w:val="1FC44471"/>
    <w:rsid w:val="1FD12232"/>
    <w:rsid w:val="200212E2"/>
    <w:rsid w:val="20914C3C"/>
    <w:rsid w:val="20C27096"/>
    <w:rsid w:val="20F70553"/>
    <w:rsid w:val="21056ED6"/>
    <w:rsid w:val="219E74FE"/>
    <w:rsid w:val="21E9685F"/>
    <w:rsid w:val="226067E7"/>
    <w:rsid w:val="23CE3F38"/>
    <w:rsid w:val="24D31C46"/>
    <w:rsid w:val="25224BE5"/>
    <w:rsid w:val="253133D7"/>
    <w:rsid w:val="25EE2A75"/>
    <w:rsid w:val="26A16E16"/>
    <w:rsid w:val="270F023A"/>
    <w:rsid w:val="27FF372E"/>
    <w:rsid w:val="28A4534B"/>
    <w:rsid w:val="28CD7151"/>
    <w:rsid w:val="291D2347"/>
    <w:rsid w:val="29824880"/>
    <w:rsid w:val="29B14F93"/>
    <w:rsid w:val="29FD4568"/>
    <w:rsid w:val="2A5E32AB"/>
    <w:rsid w:val="2AF46C0E"/>
    <w:rsid w:val="2C0D3E59"/>
    <w:rsid w:val="2C7736D6"/>
    <w:rsid w:val="2C8C5577"/>
    <w:rsid w:val="2DCE7C72"/>
    <w:rsid w:val="2DDC343E"/>
    <w:rsid w:val="2E25035E"/>
    <w:rsid w:val="2F52455A"/>
    <w:rsid w:val="30C419B0"/>
    <w:rsid w:val="33B83934"/>
    <w:rsid w:val="33E76902"/>
    <w:rsid w:val="34656ECC"/>
    <w:rsid w:val="34B93D79"/>
    <w:rsid w:val="34EE6D49"/>
    <w:rsid w:val="35980BD9"/>
    <w:rsid w:val="36412C12"/>
    <w:rsid w:val="377105FB"/>
    <w:rsid w:val="379A591A"/>
    <w:rsid w:val="379E48A9"/>
    <w:rsid w:val="37C239D4"/>
    <w:rsid w:val="382055C6"/>
    <w:rsid w:val="38CF1702"/>
    <w:rsid w:val="3912426D"/>
    <w:rsid w:val="398F7BA5"/>
    <w:rsid w:val="3A710FB1"/>
    <w:rsid w:val="3A7B6527"/>
    <w:rsid w:val="3AB42FBD"/>
    <w:rsid w:val="3ADF3B74"/>
    <w:rsid w:val="3CFE4FE7"/>
    <w:rsid w:val="3DE86C84"/>
    <w:rsid w:val="3E0A3D43"/>
    <w:rsid w:val="3EA1224E"/>
    <w:rsid w:val="3F082449"/>
    <w:rsid w:val="3F326AC0"/>
    <w:rsid w:val="3F464660"/>
    <w:rsid w:val="3F4871AE"/>
    <w:rsid w:val="3F9B6B83"/>
    <w:rsid w:val="403640B1"/>
    <w:rsid w:val="408D38FB"/>
    <w:rsid w:val="40EC6DDC"/>
    <w:rsid w:val="4274490A"/>
    <w:rsid w:val="42DB3194"/>
    <w:rsid w:val="42E950C0"/>
    <w:rsid w:val="42F14241"/>
    <w:rsid w:val="442A65AD"/>
    <w:rsid w:val="442E3A88"/>
    <w:rsid w:val="443F17B1"/>
    <w:rsid w:val="44B27F70"/>
    <w:rsid w:val="45984FD7"/>
    <w:rsid w:val="461922DC"/>
    <w:rsid w:val="462C6948"/>
    <w:rsid w:val="4706034D"/>
    <w:rsid w:val="473C1275"/>
    <w:rsid w:val="475600C3"/>
    <w:rsid w:val="477C51CD"/>
    <w:rsid w:val="47CE6553"/>
    <w:rsid w:val="47D11BBC"/>
    <w:rsid w:val="484A76B7"/>
    <w:rsid w:val="48B84B70"/>
    <w:rsid w:val="48D05D7D"/>
    <w:rsid w:val="48F1403F"/>
    <w:rsid w:val="494670BD"/>
    <w:rsid w:val="4A832C17"/>
    <w:rsid w:val="4B4A18CD"/>
    <w:rsid w:val="4B553996"/>
    <w:rsid w:val="4BB14F46"/>
    <w:rsid w:val="4BD763B3"/>
    <w:rsid w:val="4BDD017D"/>
    <w:rsid w:val="4CE4634B"/>
    <w:rsid w:val="4D1C42F6"/>
    <w:rsid w:val="4D2F3ED8"/>
    <w:rsid w:val="4D3A3BD9"/>
    <w:rsid w:val="4D79243E"/>
    <w:rsid w:val="4E6977C0"/>
    <w:rsid w:val="4E83739C"/>
    <w:rsid w:val="4F154760"/>
    <w:rsid w:val="4F3545E4"/>
    <w:rsid w:val="4FE135D9"/>
    <w:rsid w:val="4FE535DF"/>
    <w:rsid w:val="50224ED9"/>
    <w:rsid w:val="5024289C"/>
    <w:rsid w:val="50377224"/>
    <w:rsid w:val="50401BE4"/>
    <w:rsid w:val="5045327D"/>
    <w:rsid w:val="50870F93"/>
    <w:rsid w:val="51824063"/>
    <w:rsid w:val="519C36CE"/>
    <w:rsid w:val="52442E64"/>
    <w:rsid w:val="52E431B4"/>
    <w:rsid w:val="537403E6"/>
    <w:rsid w:val="556716EB"/>
    <w:rsid w:val="55A40DA6"/>
    <w:rsid w:val="55B4406B"/>
    <w:rsid w:val="55BB76A2"/>
    <w:rsid w:val="55C430E7"/>
    <w:rsid w:val="55F4508C"/>
    <w:rsid w:val="565457F8"/>
    <w:rsid w:val="56DF0613"/>
    <w:rsid w:val="56E77EE3"/>
    <w:rsid w:val="573D6E30"/>
    <w:rsid w:val="57C03F71"/>
    <w:rsid w:val="58436AEB"/>
    <w:rsid w:val="58D801C4"/>
    <w:rsid w:val="591B394B"/>
    <w:rsid w:val="5967076A"/>
    <w:rsid w:val="5980105A"/>
    <w:rsid w:val="5A8C7845"/>
    <w:rsid w:val="5D17675D"/>
    <w:rsid w:val="5EDA1E6C"/>
    <w:rsid w:val="5F853A62"/>
    <w:rsid w:val="601951C0"/>
    <w:rsid w:val="61636212"/>
    <w:rsid w:val="61F91231"/>
    <w:rsid w:val="62DA5EDE"/>
    <w:rsid w:val="6331717F"/>
    <w:rsid w:val="63EF72F1"/>
    <w:rsid w:val="64B26F24"/>
    <w:rsid w:val="64DB09E4"/>
    <w:rsid w:val="64E43447"/>
    <w:rsid w:val="65064A62"/>
    <w:rsid w:val="65212235"/>
    <w:rsid w:val="65AF5013"/>
    <w:rsid w:val="66067608"/>
    <w:rsid w:val="672C41DB"/>
    <w:rsid w:val="67F701C6"/>
    <w:rsid w:val="6811279F"/>
    <w:rsid w:val="68505143"/>
    <w:rsid w:val="68EC57A5"/>
    <w:rsid w:val="694726AE"/>
    <w:rsid w:val="695218D5"/>
    <w:rsid w:val="696D4097"/>
    <w:rsid w:val="6A0F58FE"/>
    <w:rsid w:val="6A4B791D"/>
    <w:rsid w:val="6B295089"/>
    <w:rsid w:val="6BA173FB"/>
    <w:rsid w:val="6C6C0F3A"/>
    <w:rsid w:val="6C8A350B"/>
    <w:rsid w:val="6D486066"/>
    <w:rsid w:val="6DD81E53"/>
    <w:rsid w:val="6F3A01D0"/>
    <w:rsid w:val="6F627C18"/>
    <w:rsid w:val="711B136D"/>
    <w:rsid w:val="714B21B2"/>
    <w:rsid w:val="71CD4358"/>
    <w:rsid w:val="720A5DC9"/>
    <w:rsid w:val="7220416F"/>
    <w:rsid w:val="72A07F28"/>
    <w:rsid w:val="72AC5551"/>
    <w:rsid w:val="72B93CC7"/>
    <w:rsid w:val="72F97CB5"/>
    <w:rsid w:val="733345B0"/>
    <w:rsid w:val="74E168DE"/>
    <w:rsid w:val="75154017"/>
    <w:rsid w:val="75B720DE"/>
    <w:rsid w:val="75CB13FA"/>
    <w:rsid w:val="768358AE"/>
    <w:rsid w:val="770610E0"/>
    <w:rsid w:val="78A66114"/>
    <w:rsid w:val="78C0244D"/>
    <w:rsid w:val="79250A32"/>
    <w:rsid w:val="793A7148"/>
    <w:rsid w:val="7A57199D"/>
    <w:rsid w:val="7A57685C"/>
    <w:rsid w:val="7ACC5CEF"/>
    <w:rsid w:val="7AFA5EB2"/>
    <w:rsid w:val="7B290C9E"/>
    <w:rsid w:val="7C494E9D"/>
    <w:rsid w:val="7CEF38D2"/>
    <w:rsid w:val="7D890306"/>
    <w:rsid w:val="7DA161F5"/>
    <w:rsid w:val="7E9F58CF"/>
    <w:rsid w:val="7EC15CA3"/>
    <w:rsid w:val="7F4E0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6">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lang w:val="zh-CN" w:eastAsia="zh-CN"/>
    </w:rPr>
  </w:style>
  <w:style w:type="paragraph" w:styleId="7">
    <w:name w:val="heading 2"/>
    <w:basedOn w:val="1"/>
    <w:next w:val="1"/>
    <w:qFormat/>
    <w:uiPriority w:val="0"/>
    <w:pPr>
      <w:snapToGrid w:val="0"/>
      <w:spacing w:before="720" w:beforeLines="0" w:beforeAutospacing="0" w:after="720" w:afterLines="0" w:afterAutospacing="0" w:line="360" w:lineRule="auto"/>
      <w:jc w:val="center"/>
      <w:outlineLvl w:val="1"/>
    </w:pPr>
    <w:rPr>
      <w:rFonts w:ascii="宋体" w:hAnsi="宋体"/>
      <w:b/>
      <w:sz w:val="30"/>
    </w:rPr>
  </w:style>
  <w:style w:type="paragraph" w:styleId="8">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Normal Indent"/>
    <w:basedOn w:val="1"/>
    <w:qFormat/>
    <w:uiPriority w:val="0"/>
    <w:pPr>
      <w:ind w:firstLine="420"/>
    </w:pPr>
    <w:rPr>
      <w:szCs w:val="20"/>
    </w:rPr>
  </w:style>
  <w:style w:type="paragraph" w:styleId="10">
    <w:name w:val="annotation text"/>
    <w:basedOn w:val="1"/>
    <w:link w:val="37"/>
    <w:qFormat/>
    <w:uiPriority w:val="0"/>
    <w:pPr>
      <w:jc w:val="left"/>
    </w:p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qFormat/>
    <w:uiPriority w:val="0"/>
    <w:rPr>
      <w:rFonts w:ascii="宋体" w:hAnsi="Courier New"/>
      <w:szCs w:val="20"/>
    </w:rPr>
  </w:style>
  <w:style w:type="paragraph" w:styleId="14">
    <w:name w:val="Balloon Text"/>
    <w:basedOn w:val="1"/>
    <w:link w:val="31"/>
    <w:qFormat/>
    <w:uiPriority w:val="0"/>
    <w:pPr>
      <w:spacing w:line="240" w:lineRule="auto"/>
    </w:pPr>
    <w:rPr>
      <w:sz w:val="18"/>
      <w:szCs w:val="18"/>
    </w:rPr>
  </w:style>
  <w:style w:type="paragraph" w:styleId="15">
    <w:name w:val="footer"/>
    <w:basedOn w:val="1"/>
    <w:link w:val="41"/>
    <w:qFormat/>
    <w:uiPriority w:val="99"/>
    <w:pPr>
      <w:tabs>
        <w:tab w:val="center" w:pos="4153"/>
        <w:tab w:val="right" w:pos="8306"/>
      </w:tabs>
      <w:snapToGrid w:val="0"/>
      <w:jc w:val="left"/>
    </w:pPr>
    <w:rPr>
      <w:sz w:val="18"/>
      <w:szCs w:val="20"/>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rFonts w:ascii="Calibri" w:hAnsi="Calibri"/>
      <w:b/>
      <w:bCs/>
      <w:caps/>
      <w:sz w:val="20"/>
      <w:szCs w:val="20"/>
    </w:rPr>
  </w:style>
  <w:style w:type="paragraph" w:styleId="18">
    <w:name w:val="Normal (Web)"/>
    <w:basedOn w:val="1"/>
    <w:qFormat/>
    <w:uiPriority w:val="0"/>
    <w:pPr>
      <w:widowControl/>
      <w:spacing w:before="100" w:beforeAutospacing="1" w:after="119"/>
      <w:jc w:val="left"/>
    </w:pPr>
    <w:rPr>
      <w:rFonts w:ascii="宋体" w:hAnsi="宋体" w:cs="宋体"/>
      <w:sz w:val="24"/>
    </w:rPr>
  </w:style>
  <w:style w:type="paragraph" w:styleId="19">
    <w:name w:val="Title"/>
    <w:basedOn w:val="1"/>
    <w:next w:val="1"/>
    <w:link w:val="39"/>
    <w:qFormat/>
    <w:uiPriority w:val="0"/>
    <w:pPr>
      <w:spacing w:before="240" w:after="60"/>
      <w:jc w:val="center"/>
      <w:outlineLvl w:val="0"/>
    </w:pPr>
    <w:rPr>
      <w:rFonts w:ascii="Cambria" w:hAnsi="Cambria"/>
      <w:b/>
      <w:bCs/>
      <w:sz w:val="36"/>
      <w:szCs w:val="32"/>
    </w:rPr>
  </w:style>
  <w:style w:type="paragraph" w:styleId="20">
    <w:name w:val="annotation subject"/>
    <w:basedOn w:val="10"/>
    <w:next w:val="10"/>
    <w:link w:val="38"/>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Emphasis"/>
    <w:basedOn w:val="23"/>
    <w:qFormat/>
    <w:uiPriority w:val="0"/>
    <w:rPr>
      <w:i/>
    </w:rPr>
  </w:style>
  <w:style w:type="character" w:styleId="27">
    <w:name w:val="Hyperlink"/>
    <w:qFormat/>
    <w:uiPriority w:val="99"/>
    <w:rPr>
      <w:color w:val="000099"/>
      <w:u w:val="none"/>
    </w:rPr>
  </w:style>
  <w:style w:type="character" w:styleId="28">
    <w:name w:val="annotation reference"/>
    <w:basedOn w:val="23"/>
    <w:qFormat/>
    <w:uiPriority w:val="0"/>
    <w:rPr>
      <w:sz w:val="21"/>
      <w:szCs w:val="21"/>
    </w:rPr>
  </w:style>
  <w:style w:type="character" w:styleId="29">
    <w:name w:val="HTML Sample"/>
    <w:basedOn w:val="23"/>
    <w:semiHidden/>
    <w:unhideWhenUsed/>
    <w:qFormat/>
    <w:uiPriority w:val="0"/>
    <w:rPr>
      <w:rFonts w:ascii="Courier New" w:hAnsi="Courier New"/>
    </w:rPr>
  </w:style>
  <w:style w:type="paragraph" w:customStyle="1" w:styleId="30">
    <w:name w:val="列出段落1"/>
    <w:basedOn w:val="1"/>
    <w:qFormat/>
    <w:uiPriority w:val="34"/>
    <w:pPr>
      <w:ind w:firstLine="420"/>
    </w:pPr>
    <w:rPr>
      <w:rFonts w:ascii="Calibri" w:hAnsi="Calibri"/>
    </w:rPr>
  </w:style>
  <w:style w:type="character" w:customStyle="1" w:styleId="31">
    <w:name w:val="批注框文本 字符"/>
    <w:basedOn w:val="23"/>
    <w:link w:val="14"/>
    <w:qFormat/>
    <w:uiPriority w:val="0"/>
    <w:rPr>
      <w:sz w:val="18"/>
      <w:szCs w:val="18"/>
    </w:rPr>
  </w:style>
  <w:style w:type="character" w:customStyle="1" w:styleId="32">
    <w:name w:val="font41"/>
    <w:basedOn w:val="23"/>
    <w:qFormat/>
    <w:uiPriority w:val="0"/>
    <w:rPr>
      <w:rFonts w:hint="default" w:ascii="Tahoma" w:hAnsi="Tahoma" w:eastAsia="Tahoma" w:cs="Tahoma"/>
      <w:color w:val="000000"/>
      <w:sz w:val="18"/>
      <w:szCs w:val="18"/>
      <w:u w:val="none"/>
    </w:rPr>
  </w:style>
  <w:style w:type="character" w:customStyle="1" w:styleId="33">
    <w:name w:val="font11"/>
    <w:basedOn w:val="23"/>
    <w:qFormat/>
    <w:uiPriority w:val="0"/>
    <w:rPr>
      <w:rFonts w:hint="eastAsia" w:ascii="宋体" w:hAnsi="宋体" w:eastAsia="宋体" w:cs="宋体"/>
      <w:color w:val="000000"/>
      <w:sz w:val="24"/>
      <w:szCs w:val="24"/>
      <w:u w:val="none"/>
      <w:vertAlign w:val="subscript"/>
    </w:rPr>
  </w:style>
  <w:style w:type="character" w:customStyle="1" w:styleId="34">
    <w:name w:val="int_huang_12_b1"/>
    <w:qFormat/>
    <w:uiPriority w:val="0"/>
    <w:rPr>
      <w:rFonts w:hint="default" w:ascii="Verdana" w:hAnsi="Verdana"/>
      <w:b/>
      <w:bCs/>
      <w:color w:val="EECC77"/>
      <w:sz w:val="18"/>
      <w:szCs w:val="18"/>
    </w:rPr>
  </w:style>
  <w:style w:type="character" w:customStyle="1" w:styleId="35">
    <w:name w:val="font01"/>
    <w:basedOn w:val="23"/>
    <w:qFormat/>
    <w:uiPriority w:val="0"/>
    <w:rPr>
      <w:rFonts w:hint="eastAsia" w:ascii="宋体" w:hAnsi="宋体" w:eastAsia="宋体" w:cs="宋体"/>
      <w:color w:val="000000"/>
      <w:sz w:val="20"/>
      <w:szCs w:val="20"/>
      <w:u w:val="none"/>
    </w:rPr>
  </w:style>
  <w:style w:type="character" w:customStyle="1" w:styleId="36">
    <w:name w:val="font21"/>
    <w:basedOn w:val="23"/>
    <w:qFormat/>
    <w:uiPriority w:val="0"/>
    <w:rPr>
      <w:rFonts w:hint="eastAsia" w:ascii="宋体" w:hAnsi="宋体" w:eastAsia="宋体" w:cs="宋体"/>
      <w:color w:val="000000"/>
      <w:sz w:val="20"/>
      <w:szCs w:val="20"/>
      <w:u w:val="none"/>
    </w:rPr>
  </w:style>
  <w:style w:type="character" w:customStyle="1" w:styleId="37">
    <w:name w:val="批注文字 字符"/>
    <w:basedOn w:val="23"/>
    <w:link w:val="10"/>
    <w:qFormat/>
    <w:uiPriority w:val="0"/>
    <w:rPr>
      <w:rFonts w:asciiTheme="minorHAnsi" w:hAnsiTheme="minorHAnsi" w:eastAsiaTheme="minorEastAsia" w:cstheme="minorBidi"/>
      <w:sz w:val="21"/>
      <w:szCs w:val="22"/>
    </w:rPr>
  </w:style>
  <w:style w:type="character" w:customStyle="1" w:styleId="38">
    <w:name w:val="批注主题 字符"/>
    <w:basedOn w:val="37"/>
    <w:link w:val="20"/>
    <w:qFormat/>
    <w:uiPriority w:val="0"/>
    <w:rPr>
      <w:rFonts w:asciiTheme="minorHAnsi" w:hAnsiTheme="minorHAnsi" w:eastAsiaTheme="minorEastAsia" w:cstheme="minorBidi"/>
      <w:b/>
      <w:bCs/>
      <w:sz w:val="21"/>
      <w:szCs w:val="22"/>
    </w:rPr>
  </w:style>
  <w:style w:type="character" w:customStyle="1" w:styleId="39">
    <w:name w:val="标题 字符"/>
    <w:link w:val="19"/>
    <w:qFormat/>
    <w:uiPriority w:val="0"/>
    <w:rPr>
      <w:rFonts w:ascii="Cambria" w:hAnsi="Cambria" w:eastAsiaTheme="minorEastAsia" w:cstheme="minorBidi"/>
      <w:b/>
      <w:bCs/>
      <w:sz w:val="36"/>
      <w:szCs w:val="32"/>
    </w:rPr>
  </w:style>
  <w:style w:type="character" w:customStyle="1" w:styleId="40">
    <w:name w:val="mh-map_new-info"/>
    <w:basedOn w:val="23"/>
    <w:qFormat/>
    <w:uiPriority w:val="0"/>
  </w:style>
  <w:style w:type="character" w:customStyle="1" w:styleId="41">
    <w:name w:val="页脚 字符"/>
    <w:basedOn w:val="23"/>
    <w:link w:val="15"/>
    <w:qFormat/>
    <w:locked/>
    <w:uiPriority w:val="99"/>
    <w:rPr>
      <w:rFonts w:asciiTheme="minorHAnsi" w:hAnsiTheme="minorHAnsi" w:eastAsiaTheme="minorEastAsia" w:cstheme="minorBidi"/>
      <w:sz w:val="18"/>
    </w:rPr>
  </w:style>
  <w:style w:type="character" w:customStyle="1" w:styleId="42">
    <w:name w:val="页眉 字符"/>
    <w:basedOn w:val="23"/>
    <w:link w:val="16"/>
    <w:qFormat/>
    <w:locked/>
    <w:uiPriority w:val="99"/>
    <w:rPr>
      <w:rFonts w:asciiTheme="minorHAnsi" w:hAnsiTheme="minorHAnsi" w:eastAsiaTheme="minorEastAsia" w:cstheme="minorBidi"/>
      <w:sz w:val="18"/>
      <w:szCs w:val="18"/>
    </w:rPr>
  </w:style>
  <w:style w:type="paragraph" w:customStyle="1" w:styleId="43">
    <w:name w:val="表内文字  居左"/>
    <w:basedOn w:val="1"/>
    <w:qFormat/>
    <w:uiPriority w:val="0"/>
    <w:pPr>
      <w:jc w:val="left"/>
    </w:pPr>
    <w:rPr>
      <w:snapToGrid w:val="0"/>
      <w:szCs w:val="24"/>
    </w:rPr>
  </w:style>
  <w:style w:type="character" w:customStyle="1" w:styleId="44">
    <w:name w:val="font31"/>
    <w:basedOn w:val="23"/>
    <w:qFormat/>
    <w:uiPriority w:val="0"/>
    <w:rPr>
      <w:rFonts w:hint="eastAsia" w:ascii="宋体" w:hAnsi="宋体" w:eastAsia="宋体" w:cs="宋体"/>
      <w:color w:val="000000"/>
      <w:sz w:val="24"/>
      <w:szCs w:val="24"/>
      <w:u w:val="none"/>
    </w:rPr>
  </w:style>
  <w:style w:type="character" w:customStyle="1" w:styleId="45">
    <w:name w:val="font61"/>
    <w:basedOn w:val="23"/>
    <w:qFormat/>
    <w:uiPriority w:val="0"/>
    <w:rPr>
      <w:rFonts w:hint="eastAsia" w:ascii="宋体" w:hAnsi="宋体" w:eastAsia="宋体" w:cs="宋体"/>
      <w:color w:val="000000"/>
      <w:sz w:val="28"/>
      <w:szCs w:val="28"/>
      <w:u w:val="none"/>
    </w:rPr>
  </w:style>
  <w:style w:type="paragraph" w:styleId="46">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3480</Words>
  <Characters>19841</Characters>
  <Lines>165</Lines>
  <Paragraphs>46</Paragraphs>
  <TotalTime>17</TotalTime>
  <ScaleCrop>false</ScaleCrop>
  <LinksUpToDate>false</LinksUpToDate>
  <CharactersWithSpaces>23275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2017-12-08T06:36:00Z</dcterms:created>
  <dc:creator>Administrator</dc:creator>
  <cp:lastModifiedBy>Administrator</cp:lastModifiedBy>
  <cp:lastPrinted>2020-08-26T06:20:00Z</cp:lastPrinted>
  <dcterms:modified xsi:type="dcterms:W3CDTF">2020-11-20T08:32:14Z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