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jc w:val="both"/>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宏业建设竞磋（货物）2020-020</w:t>
      </w:r>
    </w:p>
    <w:p>
      <w:pPr>
        <w:adjustRightInd w:val="0"/>
        <w:spacing w:line="720" w:lineRule="auto"/>
        <w:ind w:left="2530" w:leftChars="0" w:hanging="2530" w:hangingChars="700"/>
        <w:jc w:val="both"/>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2020年防汛抢险除险物资采购</w:t>
      </w:r>
    </w:p>
    <w:p>
      <w:pPr>
        <w:adjustRightInd w:val="0"/>
        <w:spacing w:line="720" w:lineRule="auto"/>
        <w:ind w:left="0" w:leftChars="0" w:firstLine="0" w:firstLineChars="0"/>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采  购  人：</w:t>
      </w:r>
      <w:r>
        <w:rPr>
          <w:rFonts w:hint="eastAsia" w:ascii="宋体" w:hAnsi="宋体" w:eastAsia="宋体" w:cs="宋体"/>
          <w:b/>
          <w:sz w:val="36"/>
          <w:szCs w:val="36"/>
          <w:lang w:eastAsia="zh-CN"/>
        </w:rPr>
        <w:t>西宁市人民政府防汛抗旱服务中心</w:t>
      </w:r>
    </w:p>
    <w:p>
      <w:pPr>
        <w:spacing w:line="720" w:lineRule="auto"/>
        <w:ind w:left="2512" w:hanging="2512" w:hangingChars="695"/>
        <w:rPr>
          <w:rFonts w:hint="eastAsia" w:ascii="宋体" w:hAnsi="宋体" w:eastAsia="宋体" w:cs="宋体"/>
          <w:b/>
          <w:sz w:val="36"/>
          <w:szCs w:val="36"/>
        </w:rPr>
      </w:pPr>
      <w:r>
        <w:rPr>
          <w:rFonts w:hint="eastAsia" w:ascii="宋体" w:hAnsi="宋体" w:eastAsia="宋体" w:cs="宋体"/>
          <w:b/>
          <w:sz w:val="36"/>
          <w:szCs w:val="36"/>
        </w:rPr>
        <w:t>采购代理机构：河南宏业建设管理股份有限公司</w:t>
      </w:r>
    </w:p>
    <w:p>
      <w:pPr>
        <w:spacing w:line="720" w:lineRule="auto"/>
        <w:ind w:firstLine="0" w:firstLineChars="0"/>
        <w:rPr>
          <w:rFonts w:hint="eastAsia" w:ascii="宋体" w:hAnsi="宋体" w:eastAsia="宋体" w:cs="宋体"/>
          <w:b/>
          <w:bCs/>
          <w:sz w:val="24"/>
          <w:szCs w:val="24"/>
        </w:rPr>
      </w:pPr>
    </w:p>
    <w:p>
      <w:pPr>
        <w:spacing w:line="720" w:lineRule="auto"/>
        <w:ind w:firstLine="2906" w:firstLineChars="804"/>
        <w:rPr>
          <w:rFonts w:hint="eastAsia" w:ascii="宋体" w:hAnsi="宋体" w:eastAsia="宋体" w:cs="宋体"/>
          <w:b/>
          <w:bCs/>
          <w:sz w:val="36"/>
          <w:szCs w:val="36"/>
        </w:rP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p>
    <w:p>
      <w:pPr>
        <w:ind w:firstLine="723"/>
        <w:jc w:val="center"/>
        <w:rPr>
          <w:rFonts w:hint="eastAsia" w:ascii="宋体" w:hAnsi="宋体" w:eastAsia="宋体" w:cs="宋体"/>
          <w:b/>
          <w:bCs/>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hint="eastAsia" w:ascii="宋体" w:hAnsi="宋体" w:eastAsia="宋体" w:cs="宋体"/>
          <w:bCs/>
          <w:sz w:val="24"/>
          <w:szCs w:val="24"/>
        </w:rPr>
      </w:pPr>
    </w:p>
    <w:p>
      <w:pPr>
        <w:pStyle w:val="16"/>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"_Toc27517" </w:instrText>
      </w:r>
      <w:r>
        <w:rPr>
          <w:rFonts w:hint="eastAsia" w:ascii="宋体" w:hAnsi="宋体" w:eastAsia="宋体" w:cs="宋体"/>
        </w:rP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"_Toc19487" </w:instrText>
      </w:r>
      <w:r>
        <w:rPr>
          <w:rFonts w:hint="eastAsia" w:ascii="宋体" w:hAnsi="宋体" w:eastAsia="宋体" w:cs="宋体"/>
        </w:rP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"_Toc9515" </w:instrText>
      </w:r>
      <w:r>
        <w:rPr>
          <w:rFonts w:hint="eastAsia" w:ascii="宋体" w:hAnsi="宋体" w:eastAsia="宋体" w:cs="宋体"/>
        </w:rP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"_Toc30421" </w:instrText>
      </w:r>
      <w:r>
        <w:rPr>
          <w:rFonts w:hint="eastAsia" w:ascii="宋体" w:hAnsi="宋体" w:eastAsia="宋体" w:cs="宋体"/>
        </w:rP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"_Toc12139" </w:instrText>
      </w:r>
      <w:r>
        <w:rPr>
          <w:rFonts w:hint="eastAsia" w:ascii="宋体" w:hAnsi="宋体" w:eastAsia="宋体" w:cs="宋体"/>
        </w:rP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rPr>
      </w:pPr>
      <w:r>
        <w:rPr>
          <w:rFonts w:hint="eastAsia" w:ascii="宋体" w:hAnsi="宋体" w:eastAsia="宋体" w:cs="宋体"/>
        </w:rPr>
        <w:fldChar w:fldCharType="begin"/>
      </w:r>
      <w:r>
        <w:rPr>
          <w:rFonts w:hint="eastAsia" w:ascii="宋体" w:hAnsi="宋体" w:eastAsia="宋体" w:cs="宋体"/>
        </w:rPr>
        <w:instrText xml:space="preserve"> HYPERLINK \l "_Toc26743" </w:instrText>
      </w:r>
      <w:r>
        <w:rPr>
          <w:rFonts w:hint="eastAsia" w:ascii="宋体" w:hAnsi="宋体" w:eastAsia="宋体" w:cs="宋体"/>
        </w:rP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hint="eastAsia"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hint="eastAsia" w:ascii="宋体" w:hAnsi="宋体" w:eastAsia="宋体" w:cs="宋体"/>
          <w:bCs/>
          <w:szCs w:val="24"/>
          <w:lang w:val="zh-CN"/>
        </w:rPr>
      </w:pPr>
      <w:r>
        <w:rPr>
          <w:rFonts w:hint="eastAsia" w:ascii="宋体" w:hAnsi="宋体" w:eastAsia="宋体" w:cs="宋体"/>
          <w:bCs/>
          <w:szCs w:val="24"/>
          <w:lang w:val="zh-CN"/>
        </w:rPr>
        <w:br w:type="page"/>
      </w:r>
    </w:p>
    <w:p>
      <w:pPr>
        <w:pStyle w:val="18"/>
        <w:spacing w:before="0" w:after="0" w:line="360" w:lineRule="auto"/>
        <w:ind w:firstLine="0" w:firstLineChars="0"/>
        <w:rPr>
          <w:rFonts w:hint="eastAsia" w:ascii="宋体" w:hAnsi="宋体" w:eastAsia="宋体" w:cs="宋体"/>
          <w:szCs w:val="36"/>
          <w:lang w:val="zh-CN"/>
        </w:rPr>
      </w:pPr>
      <w:bookmarkStart w:id="0" w:name="_Toc27517"/>
      <w:bookmarkStart w:id="1" w:name="_Toc10494"/>
      <w:r>
        <w:rPr>
          <w:rFonts w:hint="eastAsia" w:ascii="宋体" w:hAnsi="宋体" w:eastAsia="宋体" w:cs="宋体"/>
          <w:szCs w:val="36"/>
          <w:lang w:val="zh-CN"/>
        </w:rPr>
        <w:t>第一部分</w:t>
      </w:r>
      <w:bookmarkEnd w:id="0"/>
      <w:bookmarkEnd w:id="1"/>
      <w:r>
        <w:rPr>
          <w:rFonts w:hint="eastAsia" w:ascii="宋体" w:hAnsi="宋体" w:eastAsia="宋体" w:cs="宋体"/>
          <w:szCs w:val="36"/>
          <w:lang w:val="zh-CN"/>
        </w:rPr>
        <w:t xml:space="preserve"> 竞争性磋商公告</w:t>
      </w:r>
    </w:p>
    <w:p>
      <w:pPr>
        <w:pStyle w:val="18"/>
        <w:spacing w:before="0" w:after="0" w:line="360" w:lineRule="auto"/>
        <w:ind w:firstLine="480"/>
        <w:jc w:val="both"/>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河南宏业建设管理股份有限公司受西宁市人民政府防汛抗旱服务中心委托，拟对“2020年防汛抢险除险物资采购”进行国内竞争性磋商采购，现予以公告，欢迎符合条件的供应商前来参加投标。</w:t>
      </w:r>
    </w:p>
    <w:tbl>
      <w:tblPr>
        <w:tblStyle w:val="2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宏业建设竞磋（货物）2020-020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2020年防汛抢险除险物资采购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zh-CN"/>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50.10</w:t>
            </w:r>
            <w:r>
              <w:rPr>
                <w:rFonts w:hint="eastAsia" w:ascii="宋体" w:hAnsi="宋体" w:eastAsia="宋体" w:cs="宋体"/>
                <w:sz w:val="24"/>
                <w:szCs w:val="24"/>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具体</w:t>
            </w:r>
            <w:r>
              <w:rPr>
                <w:rFonts w:hint="eastAsia" w:ascii="宋体" w:hAnsi="宋体" w:eastAsia="宋体" w:cs="宋体"/>
                <w:sz w:val="24"/>
                <w:lang w:val="zh-CN"/>
              </w:rPr>
              <w:t>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（1）供应商的营业执照等证明文件，自然人的身份证明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（2）财务状况报告和依法缴纳税收和社会保障资金的相关材料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（3）具备履行合同所必须的货物和专业技术能力的证明材料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4、经信用中国</w:t>
            </w:r>
            <w:r>
              <w:rPr>
                <w:rFonts w:hint="eastAsia" w:ascii="宋体" w:hAnsi="宋体" w:eastAsia="宋体" w:cs="宋体"/>
                <w:color w:val="000000" w:themeColor="text1"/>
                <w:sz w:val="24"/>
                <w:szCs w:val="24"/>
                <w:lang w:val="zh-CN"/>
                <w14:textFill>
                  <w14:solidFill>
                    <w14:schemeClr w14:val="tx1"/>
                  </w14:solidFill>
                </w14:textFill>
              </w:rPr>
              <w:t>（www.creditchina.gov.cn）、中国政府采购网（www.ccgp.gov.cn）等渠道</w:t>
            </w:r>
            <w:r>
              <w:rPr>
                <w:rFonts w:hint="eastAsia" w:ascii="宋体" w:hAnsi="宋体" w:eastAsia="宋体" w:cs="宋体"/>
                <w:sz w:val="24"/>
                <w:szCs w:val="24"/>
                <w:lang w:val="zh-CN"/>
              </w:rPr>
              <w:t>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天内）</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招标文件规定的其他资质条件</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8"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19</w:t>
            </w:r>
            <w:r>
              <w:rPr>
                <w:rFonts w:hint="eastAsia" w:ascii="宋体" w:hAnsi="宋体" w:eastAsia="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日至</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日，每天</w:t>
            </w:r>
            <w:r>
              <w:rPr>
                <w:rFonts w:hint="eastAsia" w:ascii="宋体" w:hAnsi="宋体" w:eastAsia="宋体" w:cs="宋体"/>
                <w:sz w:val="24"/>
                <w:szCs w:val="24"/>
              </w:rPr>
              <w:t>上午9:</w:t>
            </w:r>
            <w:r>
              <w:rPr>
                <w:rFonts w:hint="eastAsia" w:ascii="宋体" w:hAnsi="宋体" w:eastAsia="宋体" w:cs="宋体"/>
                <w:sz w:val="24"/>
                <w:szCs w:val="24"/>
                <w:lang w:val="en-US" w:eastAsia="zh-CN"/>
              </w:rPr>
              <w:t>0</w:t>
            </w:r>
            <w:r>
              <w:rPr>
                <w:rFonts w:hint="eastAsia" w:ascii="宋体" w:hAnsi="宋体" w:eastAsia="宋体" w:cs="宋体"/>
                <w:sz w:val="24"/>
                <w:szCs w:val="24"/>
              </w:rPr>
              <w:t>0-12:00</w:t>
            </w:r>
            <w:r>
              <w:rPr>
                <w:rFonts w:hint="eastAsia" w:ascii="宋体" w:hAnsi="宋体" w:eastAsia="宋体" w:cs="宋体"/>
                <w:sz w:val="24"/>
                <w:szCs w:val="24"/>
                <w:lang w:val="zh-CN"/>
              </w:rPr>
              <w:t>,</w:t>
            </w:r>
            <w:r>
              <w:rPr>
                <w:rFonts w:hint="eastAsia" w:ascii="宋体" w:hAnsi="宋体" w:eastAsia="宋体" w:cs="宋体"/>
                <w:sz w:val="24"/>
                <w:szCs w:val="24"/>
              </w:rPr>
              <w:t>下午14:30-17:30</w:t>
            </w:r>
            <w:r>
              <w:rPr>
                <w:rFonts w:hint="eastAsia" w:ascii="宋体" w:hAnsi="宋体" w:eastAsia="宋体" w:cs="宋体"/>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500</w:t>
            </w:r>
            <w:r>
              <w:rPr>
                <w:rFonts w:hint="eastAsia" w:ascii="宋体" w:hAnsi="宋体" w:eastAsia="宋体" w:cs="宋体"/>
                <w:sz w:val="24"/>
                <w:szCs w:val="24"/>
                <w:lang w:val="zh-CN"/>
              </w:rPr>
              <w:t>元/</w:t>
            </w:r>
            <w:r>
              <w:rPr>
                <w:rFonts w:hint="eastAsia" w:ascii="宋体" w:hAnsi="宋体" w:eastAsia="宋体" w:cs="宋体"/>
                <w:sz w:val="24"/>
                <w:szCs w:val="24"/>
              </w:rPr>
              <w:t>份</w:t>
            </w:r>
            <w:r>
              <w:rPr>
                <w:rFonts w:hint="eastAsia" w:ascii="宋体" w:hAnsi="宋体" w:eastAsia="宋体" w:cs="宋体"/>
                <w:sz w:val="24"/>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Courier New"/>
                <w:sz w:val="24"/>
                <w:lang w:eastAsia="zh-CN"/>
              </w:rPr>
              <w:t>河南宏业建设管理股份有限公司（西宁市城中区西大街王府井B馆10楼）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6"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供应商代表须持法定代表人授权委托书（原件）、新版营业执照复印件、被授权人身份证复印件及法人身份证复印件。以上资料除原件外均需加盖公章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2020年10月30日上午09：30（北京时间）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2020年10月30日上午09：30（北京时间）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Courier New"/>
                <w:sz w:val="24"/>
                <w:lang w:eastAsia="zh-CN"/>
              </w:rPr>
              <w:t>河南宏业建设管理股份有限公司（西宁市城中区西大街王府井B馆10楼）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zh-CN"/>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rPr>
              <w:t>采购单位：</w:t>
            </w:r>
            <w:r>
              <w:rPr>
                <w:rFonts w:hint="eastAsia" w:ascii="宋体" w:hAnsi="宋体" w:eastAsia="宋体" w:cs="宋体"/>
                <w:sz w:val="24"/>
                <w:szCs w:val="24"/>
                <w:lang w:val="zh-CN" w:eastAsia="zh-CN"/>
              </w:rPr>
              <w:t>西宁市人民政府防汛抗旱服务中心</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联系人：孔</w:t>
            </w:r>
            <w:r>
              <w:rPr>
                <w:rFonts w:hint="eastAsia" w:ascii="宋体" w:hAnsi="宋体" w:eastAsia="宋体" w:cs="宋体"/>
                <w:sz w:val="24"/>
                <w:szCs w:val="24"/>
                <w:lang w:val="zh-CN" w:eastAsia="zh-CN"/>
              </w:rPr>
              <w:t>先生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0971-6132114</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联系地址：西宁市城西区五四大街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采购代理机构：河南宏业建设管理股份有限公司</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联系人：马先生、梁女士</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联系电话：0971-8165999</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联系地址：</w:t>
            </w:r>
            <w:r>
              <w:rPr>
                <w:rFonts w:hint="eastAsia" w:ascii="宋体" w:hAnsi="宋体" w:eastAsia="宋体" w:cs="宋体"/>
                <w:sz w:val="24"/>
                <w:szCs w:val="24"/>
                <w:lang w:val="zh-CN" w:eastAsia="zh-CN"/>
              </w:rPr>
              <w:t xml:space="preserve">西宁市城中区西大街36号王府井B馆10楼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40"/>
              <w:ind w:left="0" w:leftChars="0" w:firstLine="0" w:firstLineChars="0"/>
              <w:jc w:val="both"/>
              <w:rPr>
                <w:rFonts w:hint="eastAsia" w:ascii="宋体" w:hAnsi="宋体" w:eastAsia="宋体" w:cs="宋体"/>
                <w:sz w:val="24"/>
                <w:szCs w:val="24"/>
                <w:lang w:val="zh-CN" w:eastAsia="zh-CN"/>
              </w:rPr>
            </w:pPr>
            <w:r>
              <w:rPr>
                <w:rFonts w:hint="eastAsia" w:ascii="宋体" w:hAnsi="宋体" w:eastAsia="宋体" w:cs="宋体"/>
                <w:bCs/>
                <w:sz w:val="24"/>
                <w:lang w:eastAsia="zh-CN"/>
              </w:rPr>
              <w:t>招商银行西宁湟光支行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ind w:left="2400" w:leftChars="0" w:hanging="2400" w:hangingChars="1000"/>
              <w:jc w:val="both"/>
              <w:rPr>
                <w:rFonts w:hint="eastAsia" w:ascii="宋体" w:hAnsi="宋体" w:eastAsia="宋体" w:cs="宋体"/>
                <w:sz w:val="24"/>
                <w:szCs w:val="24"/>
                <w:lang w:val="zh-CN"/>
              </w:rPr>
            </w:pPr>
            <w:r>
              <w:rPr>
                <w:rFonts w:hint="eastAsia" w:ascii="宋体" w:hAnsi="宋体" w:eastAsia="宋体" w:cs="宋体"/>
                <w:sz w:val="24"/>
              </w:rPr>
              <w:t>河南宏业建设管理股份有限公司青海分公司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1"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bCs/>
                <w:sz w:val="24"/>
                <w:lang w:val="en-US" w:eastAsia="zh-CN"/>
              </w:rPr>
              <w:t>9729 0047 8310 118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6"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本公告同时在《青海政府采购网》、《青海省电子招标投标公共服务平台》、《中国采购与招标网》上发布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 xml:space="preserve">单位名称：西宁市财政局                          </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rPr>
              <w:t>联系电话：</w:t>
            </w:r>
            <w:r>
              <w:rPr>
                <w:rFonts w:hint="eastAsia" w:ascii="宋体" w:hAnsi="宋体" w:cs="宋体"/>
                <w:sz w:val="24"/>
                <w:lang w:val="zh-CN"/>
              </w:rPr>
              <w:t>0971-6</w:t>
            </w:r>
            <w:r>
              <w:rPr>
                <w:rFonts w:hint="eastAsia" w:ascii="宋体" w:hAnsi="宋体" w:cs="宋体"/>
                <w:sz w:val="24"/>
              </w:rPr>
              <w:t>304026</w:t>
            </w:r>
          </w:p>
        </w:tc>
      </w:tr>
    </w:tbl>
    <w:p>
      <w:pPr>
        <w:autoSpaceDE w:val="0"/>
        <w:autoSpaceDN w:val="0"/>
        <w:adjustRightInd w:val="0"/>
        <w:spacing w:line="280" w:lineRule="exact"/>
        <w:jc w:val="righ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val="zh-CN"/>
        </w:rPr>
        <w:t>河南宏业建设管理股份有限公司</w:t>
      </w:r>
    </w:p>
    <w:p>
      <w:pPr>
        <w:autoSpaceDE w:val="0"/>
        <w:autoSpaceDN w:val="0"/>
        <w:adjustRightInd w:val="0"/>
        <w:spacing w:line="280" w:lineRule="exact"/>
        <w:jc w:val="righ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2020年10月19日</w:t>
      </w:r>
      <w:r>
        <w:rPr>
          <w:rFonts w:hint="eastAsia" w:ascii="宋体" w:hAnsi="宋体" w:eastAsia="宋体" w:cs="宋体"/>
          <w:color w:val="000000"/>
          <w:kern w:val="0"/>
          <w:sz w:val="24"/>
          <w:szCs w:val="24"/>
          <w:lang w:val="zh-CN"/>
        </w:rPr>
        <w:br w:type="page"/>
      </w:r>
    </w:p>
    <w:p>
      <w:pPr>
        <w:pStyle w:val="18"/>
        <w:spacing w:before="0" w:after="0" w:line="360" w:lineRule="auto"/>
        <w:ind w:firstLine="0" w:firstLineChars="0"/>
        <w:jc w:val="center"/>
        <w:rPr>
          <w:rFonts w:hint="eastAsia" w:ascii="宋体" w:hAnsi="宋体" w:eastAsia="宋体" w:cs="宋体"/>
          <w:lang w:val="zh-CN"/>
        </w:rPr>
      </w:pPr>
      <w:bookmarkStart w:id="2" w:name="_Toc3201"/>
      <w:bookmarkStart w:id="3" w:name="_Toc19487"/>
      <w:r>
        <w:rPr>
          <w:rFonts w:hint="eastAsia" w:ascii="宋体" w:hAnsi="宋体" w:eastAsia="宋体" w:cs="宋体"/>
          <w:lang w:val="zh-CN"/>
        </w:rPr>
        <w:t>第二部分 供应商须知前附表</w:t>
      </w:r>
      <w:bookmarkEnd w:id="2"/>
      <w:bookmarkEnd w:id="3"/>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en-US" w:eastAsia="zh-CN"/>
              </w:rPr>
            </w:pPr>
            <w:r>
              <w:rPr>
                <w:rFonts w:hint="eastAsia" w:ascii="宋体" w:hAnsi="宋体" w:eastAsia="宋体" w:cs="宋体"/>
                <w:sz w:val="24"/>
                <w:szCs w:val="24"/>
                <w:lang w:val="zh-CN"/>
              </w:rPr>
              <w:t>宏业建设竞磋（货物）2020-020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2020年防汛抢险除险物资采购</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西宁市人民政府防汛抗旱服务中心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河南宏业建设管理股份有限公司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en-US" w:eastAsia="zh-CN"/>
              </w:rPr>
              <w:t>50.10</w:t>
            </w:r>
            <w:r>
              <w:rPr>
                <w:rFonts w:hint="eastAsia" w:ascii="宋体" w:hAnsi="宋体" w:eastAsia="宋体" w:cs="宋体"/>
                <w:sz w:val="24"/>
                <w:szCs w:val="24"/>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eastAsia="zh-CN"/>
              </w:rPr>
            </w:pPr>
            <w:r>
              <w:rPr>
                <w:rFonts w:hint="eastAsia" w:ascii="宋体" w:hAnsi="宋体" w:eastAsia="宋体" w:cs="宋体"/>
                <w:sz w:val="24"/>
                <w:szCs w:val="24"/>
                <w:lang w:val="en-US" w:eastAsia="zh-CN"/>
              </w:rPr>
              <w:t>1个</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eastAsia="zh-CN"/>
              </w:rPr>
              <w:t>具体</w:t>
            </w:r>
            <w:r>
              <w:rPr>
                <w:rFonts w:hint="eastAsia" w:ascii="宋体" w:hAnsi="宋体" w:eastAsia="宋体" w:cs="宋体"/>
                <w:sz w:val="24"/>
                <w:lang w:val="zh-CN"/>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供应商资质要求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（1）供应商的营业执照等证明文件，自然人的身份证明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（2）财务状况报告和依法缴纳税收和社会保障资金的相关材料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（3）具备履行合同所必须的货物和专业技术能力的证明材料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招标文件规定的其他资质条件；</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本项目不接受联合体投标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磋商保证金：</w:t>
            </w:r>
            <w:r>
              <w:rPr>
                <w:rFonts w:hint="eastAsia" w:ascii="宋体" w:hAnsi="宋体" w:eastAsia="宋体" w:cs="宋体"/>
                <w:sz w:val="24"/>
                <w:lang w:val="en-US" w:eastAsia="zh-CN"/>
              </w:rPr>
              <w:t>10000</w:t>
            </w:r>
            <w:r>
              <w:rPr>
                <w:rFonts w:hint="eastAsia" w:ascii="宋体" w:hAnsi="宋体" w:eastAsia="宋体" w:cs="宋体"/>
                <w:sz w:val="24"/>
                <w:lang w:val="zh-CN"/>
              </w:rPr>
              <w:t>.00元（大写：壹万元整）</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收款单位：河南宏业建设管理股份有限公司青海分公司</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开 户 行：招商银行西宁湟光支行</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银行账号：</w:t>
            </w:r>
            <w:r>
              <w:rPr>
                <w:rFonts w:hint="eastAsia" w:ascii="宋体" w:hAnsi="宋体" w:eastAsia="宋体" w:cs="宋体"/>
                <w:sz w:val="24"/>
                <w:lang w:val="en-US" w:eastAsia="zh-CN"/>
              </w:rPr>
              <w:t>9729  0047  8310  118</w:t>
            </w:r>
            <w:r>
              <w:rPr>
                <w:rFonts w:hint="eastAsia" w:ascii="宋体" w:hAnsi="宋体" w:eastAsia="宋体" w:cs="宋体"/>
                <w:b/>
                <w:bCs/>
                <w:color w:val="000000"/>
                <w:sz w:val="24"/>
                <w:lang w:val="zh-CN"/>
              </w:rPr>
              <w:t xml:space="preserve"> </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缴费时间：投标截止期前一工作日，以银行到账时间为准。</w:t>
            </w:r>
          </w:p>
        </w:tc>
      </w:tr>
      <w:tr>
        <w:tblPrEx>
          <w:tblCellMar>
            <w:top w:w="0" w:type="dxa"/>
            <w:left w:w="57" w:type="dxa"/>
            <w:bottom w:w="0" w:type="dxa"/>
            <w:right w:w="57" w:type="dxa"/>
          </w:tblCellMar>
        </w:tblPrEx>
        <w:trPr>
          <w:trHeight w:val="174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2020年10月30日上午09：30（北京时间）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2020年10月30日上午09：30（北京时间）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Courier New"/>
                <w:sz w:val="24"/>
                <w:lang w:eastAsia="zh-CN"/>
              </w:rPr>
              <w:t>河南宏业建设管理股份有限公司（西宁市城中区西大街王府井B馆10楼）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根据《关于进一步放开建设项目专项业务服务价格的通知》（发改价格【2015】299号）规定，实行市场调价。</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收取对象：成交供应商</w:t>
            </w:r>
          </w:p>
          <w:p>
            <w:pPr>
              <w:autoSpaceDE w:val="0"/>
              <w:autoSpaceDN w:val="0"/>
              <w:spacing w:line="360" w:lineRule="auto"/>
              <w:ind w:firstLine="0" w:firstLineChars="0"/>
              <w:jc w:val="left"/>
              <w:rPr>
                <w:rFonts w:hint="eastAsia" w:ascii="宋体" w:hAnsi="宋体" w:eastAsia="宋体" w:cs="宋体"/>
                <w:b/>
                <w:sz w:val="24"/>
                <w:lang w:val="zh-CN"/>
              </w:rPr>
            </w:pPr>
            <w:r>
              <w:rPr>
                <w:rFonts w:hint="eastAsia" w:ascii="宋体" w:hAnsi="宋体" w:eastAsia="宋体" w:cs="宋体"/>
                <w:sz w:val="24"/>
                <w:lang w:val="zh-CN"/>
              </w:rPr>
              <w:t>收费金额：</w:t>
            </w:r>
            <w:r>
              <w:rPr>
                <w:rFonts w:hint="eastAsia" w:ascii="宋体" w:hAnsi="宋体" w:eastAsia="宋体" w:cs="宋体"/>
                <w:sz w:val="24"/>
                <w:lang w:val="en-US" w:eastAsia="zh-CN"/>
              </w:rPr>
              <w:t>10000元（大写：壹万元整）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无</w:t>
            </w:r>
          </w:p>
        </w:tc>
      </w:tr>
    </w:tbl>
    <w:p>
      <w:pPr>
        <w:keepNext/>
        <w:keepLines/>
        <w:pageBreakBefore/>
        <w:widowControl/>
        <w:snapToGrid w:val="0"/>
        <w:spacing w:line="360" w:lineRule="auto"/>
        <w:ind w:firstLine="0" w:firstLineChars="0"/>
        <w:jc w:val="center"/>
        <w:outlineLvl w:val="0"/>
        <w:rPr>
          <w:rFonts w:hint="eastAsia" w:ascii="宋体" w:hAnsi="宋体" w:eastAsia="宋体" w:cs="宋体"/>
          <w:b/>
          <w:kern w:val="28"/>
          <w:sz w:val="36"/>
          <w:szCs w:val="20"/>
        </w:rPr>
      </w:pPr>
      <w:bookmarkStart w:id="4" w:name="_Toc9515"/>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sz w:val="24"/>
          <w:szCs w:val="24"/>
        </w:rPr>
      </w:pPr>
      <w:bookmarkStart w:id="6" w:name="_Toc376936728"/>
      <w:bookmarkStart w:id="7" w:name="_Toc14943"/>
      <w:bookmarkStart w:id="8" w:name="_Toc24622"/>
      <w:r>
        <w:rPr>
          <w:rFonts w:hint="eastAsia" w:ascii="宋体" w:hAnsi="宋体" w:eastAsia="宋体" w:cs="宋体"/>
          <w:b/>
          <w:bCs/>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sz w:val="24"/>
          <w:szCs w:val="24"/>
        </w:rPr>
      </w:pPr>
      <w:bookmarkStart w:id="9" w:name="_Toc325725998"/>
      <w:bookmarkStart w:id="10" w:name="_Toc9770"/>
      <w:bookmarkStart w:id="11" w:name="_Toc376936729"/>
      <w:bookmarkStart w:id="12" w:name="_Toc26944"/>
      <w:r>
        <w:rPr>
          <w:rFonts w:hint="eastAsia" w:ascii="宋体" w:hAnsi="宋体" w:eastAsia="宋体" w:cs="宋体"/>
          <w:b/>
          <w:bCs/>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color w:val="auto"/>
          <w:sz w:val="24"/>
          <w:szCs w:val="24"/>
        </w:rPr>
        <w:t>西宁市财政局</w:t>
      </w:r>
      <w:r>
        <w:rPr>
          <w:rFonts w:hint="eastAsia" w:ascii="宋体" w:hAnsi="宋体" w:eastAsia="宋体" w:cs="宋体"/>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sz w:val="24"/>
          <w:szCs w:val="24"/>
        </w:rPr>
      </w:pPr>
      <w:bookmarkStart w:id="13" w:name="_Toc325725999"/>
      <w:bookmarkStart w:id="14" w:name="_Toc376936730"/>
      <w:bookmarkStart w:id="15" w:name="_Toc21998"/>
      <w:bookmarkStart w:id="16" w:name="_Toc31556"/>
      <w:r>
        <w:rPr>
          <w:rFonts w:hint="eastAsia" w:ascii="宋体" w:hAnsi="宋体" w:eastAsia="宋体" w:cs="宋体"/>
          <w:b/>
          <w:bCs/>
          <w:sz w:val="24"/>
          <w:szCs w:val="24"/>
        </w:rPr>
        <w:t>2.采购方式、合格的</w:t>
      </w:r>
      <w:bookmarkEnd w:id="13"/>
      <w:bookmarkEnd w:id="14"/>
      <w:bookmarkEnd w:id="15"/>
      <w:r>
        <w:rPr>
          <w:rFonts w:hint="eastAsia" w:ascii="宋体" w:hAnsi="宋体" w:eastAsia="宋体" w:cs="宋体"/>
          <w:b/>
          <w:bCs/>
          <w:sz w:val="24"/>
          <w:szCs w:val="24"/>
        </w:rPr>
        <w:t>供应商</w:t>
      </w:r>
      <w:bookmarkEnd w:id="16"/>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2.1本次采购采取竞争性磋商方式。</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2.2合格的供应商：</w:t>
      </w:r>
    </w:p>
    <w:p>
      <w:pPr>
        <w:spacing w:line="360" w:lineRule="auto"/>
        <w:ind w:firstLine="0" w:firstLineChars="0"/>
        <w:jc w:val="left"/>
        <w:rPr>
          <w:rFonts w:hint="eastAsia" w:ascii="宋体" w:hAnsi="宋体" w:eastAsia="宋体" w:cs="宋体"/>
          <w:sz w:val="24"/>
          <w:szCs w:val="24"/>
          <w:lang w:val="zh-CN"/>
        </w:rPr>
      </w:pPr>
      <w:bookmarkStart w:id="17" w:name="_Toc376936731"/>
      <w:bookmarkStart w:id="18" w:name="_Toc8805"/>
      <w:bookmarkStart w:id="19" w:name="_Toc325726000"/>
      <w:bookmarkStart w:id="20" w:name="_Toc8820"/>
      <w:r>
        <w:rPr>
          <w:rFonts w:hint="eastAsia" w:ascii="宋体" w:hAnsi="宋体" w:eastAsia="宋体" w:cs="宋体"/>
          <w:sz w:val="24"/>
          <w:szCs w:val="24"/>
          <w:lang w:val="zh-CN"/>
        </w:rPr>
        <w:t>1、符合《中华人民共和国政府采购法》第22条的条件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（1）供应商的营业执照等证明文件，自然人的身份证明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（2）财务状况报告和依法缴纳税收和社会保障资金的相关材料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（3）具备履行合同所必须的货物和专业技术能力的证明材料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招标文件规定的其他资质条件；</w:t>
      </w:r>
    </w:p>
    <w:p>
      <w:pPr>
        <w:spacing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本项目不接受联合体投标</w:t>
      </w: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1" w:name="_Toc325726001"/>
      <w:bookmarkStart w:id="22" w:name="_Toc376936732"/>
      <w:bookmarkStart w:id="23" w:name="_Toc18155"/>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tabs>
          <w:tab w:val="left" w:pos="840"/>
        </w:tabs>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sz w:val="24"/>
          <w:szCs w:val="24"/>
        </w:rPr>
      </w:pPr>
      <w:bookmarkStart w:id="24" w:name="_Toc14153"/>
      <w:bookmarkStart w:id="25" w:name="_Toc325726002"/>
      <w:bookmarkStart w:id="26" w:name="_Toc376936733"/>
      <w:bookmarkStart w:id="27" w:name="_Toc10649"/>
      <w:r>
        <w:rPr>
          <w:rFonts w:hint="eastAsia" w:ascii="宋体" w:hAnsi="宋体" w:eastAsia="宋体" w:cs="宋体"/>
          <w:b/>
          <w:bCs/>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sz w:val="24"/>
          <w:szCs w:val="24"/>
        </w:rPr>
      </w:pPr>
      <w:bookmarkStart w:id="28" w:name="_Toc325726003"/>
      <w:bookmarkStart w:id="29" w:name="_Toc376936734"/>
      <w:bookmarkStart w:id="30" w:name="_Toc3451"/>
      <w:bookmarkStart w:id="31" w:name="_Toc6482"/>
      <w:r>
        <w:rPr>
          <w:rFonts w:hint="eastAsia" w:ascii="宋体" w:hAnsi="宋体" w:eastAsia="宋体" w:cs="宋体"/>
          <w:b/>
          <w:bCs/>
          <w:sz w:val="24"/>
          <w:szCs w:val="24"/>
        </w:rPr>
        <w:t>5.磋商文件的</w:t>
      </w:r>
      <w:bookmarkEnd w:id="28"/>
      <w:bookmarkEnd w:id="29"/>
      <w:r>
        <w:rPr>
          <w:rFonts w:hint="eastAsia" w:ascii="宋体" w:hAnsi="宋体" w:eastAsia="宋体" w:cs="宋体"/>
          <w:b/>
          <w:bCs/>
          <w:sz w:val="24"/>
          <w:szCs w:val="24"/>
        </w:rPr>
        <w:t>质疑</w:t>
      </w:r>
      <w:bookmarkEnd w:id="30"/>
      <w:bookmarkEnd w:id="31"/>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sz w:val="24"/>
          <w:szCs w:val="24"/>
        </w:rPr>
      </w:pPr>
      <w:bookmarkStart w:id="32" w:name="_Toc376936735"/>
      <w:bookmarkStart w:id="33" w:name="_Toc26515"/>
      <w:bookmarkStart w:id="34" w:name="_Toc325726004"/>
      <w:bookmarkStart w:id="35" w:name="_Toc13050"/>
      <w:r>
        <w:rPr>
          <w:rFonts w:hint="eastAsia" w:ascii="宋体" w:hAnsi="宋体" w:eastAsia="宋体" w:cs="宋体"/>
          <w:b/>
          <w:bCs/>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376936736"/>
      <w:bookmarkStart w:id="38" w:name="_Toc23340"/>
    </w:p>
    <w:p>
      <w:pPr>
        <w:widowControl/>
        <w:spacing w:line="24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sz w:val="24"/>
          <w:szCs w:val="24"/>
        </w:rPr>
      </w:pPr>
      <w:bookmarkStart w:id="39" w:name="_Toc325726006"/>
      <w:bookmarkStart w:id="40" w:name="_Toc9674"/>
      <w:bookmarkStart w:id="41" w:name="_Toc376936737"/>
      <w:bookmarkStart w:id="42" w:name="_Toc13057"/>
      <w:r>
        <w:rPr>
          <w:rFonts w:hint="eastAsia" w:ascii="宋体" w:hAnsi="宋体" w:eastAsia="宋体" w:cs="宋体"/>
          <w:b/>
          <w:bCs/>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sz w:val="24"/>
          <w:szCs w:val="24"/>
        </w:rPr>
      </w:pPr>
      <w:bookmarkStart w:id="43" w:name="_Toc376936743"/>
      <w:bookmarkStart w:id="44" w:name="_Toc17093"/>
      <w:bookmarkStart w:id="45" w:name="_Toc21569"/>
      <w:bookmarkStart w:id="46" w:name="_Toc325726012"/>
      <w:r>
        <w:rPr>
          <w:rFonts w:hint="eastAsia" w:ascii="宋体" w:hAnsi="宋体" w:eastAsia="宋体" w:cs="宋体"/>
          <w:b/>
          <w:bCs/>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磋商保证金由供应商以转款方式直接缴入“河南宏业建设管理股份有限公司”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.3 供应商投标签到时，需出示“</w:t>
      </w:r>
      <w:r>
        <w:rPr>
          <w:rFonts w:hint="eastAsia" w:ascii="宋体" w:hAnsi="宋体" w:eastAsia="宋体" w:cs="宋体"/>
          <w:sz w:val="24"/>
          <w:szCs w:val="24"/>
        </w:rPr>
        <w:t>磋商保证金缴款证明”原件作为供应商参加磋商的资格证明。同时将缴款证明扫描（或复印）件装订在响应文件中</w:t>
      </w:r>
      <w:r>
        <w:rPr>
          <w:rFonts w:hint="eastAsia" w:ascii="宋体" w:hAnsi="宋体" w:eastAsia="宋体" w:cs="宋体"/>
          <w:sz w:val="24"/>
          <w:szCs w:val="24"/>
          <w:lang w:eastAsia="zh-CN"/>
        </w:rPr>
        <w:t>并加盖公章</w:t>
      </w:r>
      <w:r>
        <w:rPr>
          <w:rFonts w:hint="eastAsia" w:ascii="宋体" w:hAnsi="宋体" w:eastAsia="宋体" w:cs="宋体"/>
          <w:sz w:val="24"/>
          <w:szCs w:val="24"/>
        </w:rPr>
        <w:t>，否则采购代理机构将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sz w:val="24"/>
          <w:szCs w:val="24"/>
        </w:rPr>
      </w:pPr>
      <w:bookmarkStart w:id="47" w:name="_Toc32704"/>
      <w:bookmarkStart w:id="48" w:name="_Toc376936744"/>
      <w:bookmarkStart w:id="49" w:name="_Toc22044"/>
      <w:bookmarkStart w:id="50" w:name="_Toc325726013"/>
      <w:r>
        <w:rPr>
          <w:rFonts w:hint="eastAsia" w:ascii="宋体" w:hAnsi="宋体" w:eastAsia="宋体" w:cs="宋体"/>
          <w:b/>
          <w:bCs/>
          <w:sz w:val="24"/>
          <w:szCs w:val="24"/>
        </w:rPr>
        <w:t>9.磋商有效期</w:t>
      </w:r>
      <w:bookmarkEnd w:id="47"/>
      <w:bookmarkEnd w:id="48"/>
      <w:bookmarkEnd w:id="49"/>
      <w:bookmarkEnd w:id="50"/>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hint="eastAsia" w:ascii="宋体" w:hAnsi="宋体" w:eastAsia="宋体" w:cs="宋体"/>
          <w:b/>
          <w:bCs/>
          <w:sz w:val="24"/>
          <w:szCs w:val="24"/>
        </w:rPr>
      </w:pPr>
      <w:bookmarkStart w:id="51" w:name="_Toc16445"/>
      <w:bookmarkStart w:id="52" w:name="_Toc325726008"/>
      <w:bookmarkStart w:id="53" w:name="_Toc376936739"/>
      <w:bookmarkStart w:id="54" w:name="_Toc31915"/>
      <w:r>
        <w:rPr>
          <w:rFonts w:hint="eastAsia" w:ascii="宋体" w:hAnsi="宋体" w:eastAsia="宋体" w:cs="宋体"/>
          <w:b/>
          <w:bCs/>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）供应商最后报价表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sz w:val="24"/>
          <w:szCs w:val="24"/>
        </w:rPr>
      </w:pPr>
      <w:bookmarkStart w:id="55" w:name="_Toc16453"/>
      <w:bookmarkStart w:id="56" w:name="_Toc11377"/>
      <w:bookmarkStart w:id="57" w:name="_Toc412617729"/>
      <w:bookmarkStart w:id="58" w:name="_Toc373392580"/>
      <w:r>
        <w:rPr>
          <w:rFonts w:hint="eastAsia" w:ascii="宋体" w:hAnsi="宋体" w:eastAsia="宋体" w:cs="宋体"/>
          <w:b/>
          <w:bCs/>
          <w:sz w:val="24"/>
          <w:szCs w:val="24"/>
        </w:rPr>
        <w:t>11.响应文件编印和签署</w:t>
      </w:r>
      <w:bookmarkEnd w:id="55"/>
      <w:bookmarkEnd w:id="56"/>
      <w:bookmarkEnd w:id="57"/>
      <w:bookmarkEnd w:id="58"/>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11.1 供应商须提交一式三份响应文件（一份正本、二份副本）</w:t>
      </w:r>
      <w:r>
        <w:rPr>
          <w:rFonts w:hint="eastAsia" w:ascii="宋体" w:hAnsi="宋体" w:eastAsia="宋体" w:cs="宋体"/>
          <w:bCs/>
          <w:sz w:val="24"/>
          <w:szCs w:val="24"/>
        </w:rPr>
        <w:t>，</w:t>
      </w:r>
      <w:r>
        <w:rPr>
          <w:rFonts w:hint="eastAsia" w:ascii="宋体" w:hAnsi="宋体" w:eastAsia="宋体" w:cs="宋体"/>
          <w:sz w:val="24"/>
          <w:szCs w:val="24"/>
        </w:rPr>
        <w:t>每份响应文件须清楚地标明“正本”或“副本”字样。若发生正本和副本不符，以正本为准。</w:t>
      </w:r>
      <w:r>
        <w:rPr>
          <w:rFonts w:hint="eastAsia" w:ascii="宋体" w:hAnsi="宋体" w:eastAsia="宋体" w:cs="宋体"/>
          <w:bCs/>
          <w:sz w:val="24"/>
          <w:szCs w:val="24"/>
        </w:rPr>
        <w:t>与响应文件正本一致的电子版文件一份，</w:t>
      </w:r>
      <w:r>
        <w:rPr>
          <w:rFonts w:hint="eastAsia" w:ascii="宋体" w:hAnsi="宋体" w:eastAsia="宋体" w:cs="宋体"/>
          <w:sz w:val="24"/>
          <w:szCs w:val="24"/>
        </w:rPr>
        <w:t>响应文件统一使用A4幅面的纸张印制，左侧胶装，其他方式装订的响应文件一概不予接受。</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11.2响应文件的正、副本均需打印，并由供应商的法定代表人或委托代理人按要求签字、盖章。</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pStyle w:val="12"/>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sz w:val="24"/>
          <w:szCs w:val="24"/>
        </w:rPr>
      </w:pPr>
      <w:bookmarkStart w:id="63" w:name="_Toc23823"/>
      <w:bookmarkStart w:id="64" w:name="_Toc325726016"/>
      <w:bookmarkStart w:id="65" w:name="_Toc373392582"/>
      <w:bookmarkStart w:id="66" w:name="_Toc1176"/>
      <w:bookmarkStart w:id="67" w:name="_Toc412617731"/>
      <w:r>
        <w:rPr>
          <w:rFonts w:hint="eastAsia" w:ascii="宋体" w:hAnsi="宋体" w:eastAsia="宋体" w:cs="宋体"/>
          <w:b/>
          <w:bCs/>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12.2密封后的响应文件均应：</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（1）按“供应商须知前附表”中注明的时间、地址送达；</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（2）投标专用袋用“于</w:t>
      </w:r>
      <w:r>
        <w:rPr>
          <w:rFonts w:hint="eastAsia" w:hAnsi="宋体" w:eastAsia="宋体" w:cs="宋体"/>
          <w:sz w:val="24"/>
          <w:szCs w:val="24"/>
          <w:lang w:val="zh-CN"/>
        </w:rPr>
        <w:t>2020年10月30日上午09：</w:t>
      </w:r>
      <w:r>
        <w:rPr>
          <w:rFonts w:hint="eastAsia" w:hAnsi="宋体" w:eastAsia="宋体" w:cs="宋体"/>
          <w:sz w:val="24"/>
          <w:szCs w:val="24"/>
          <w:lang w:val="en-US" w:eastAsia="zh-CN"/>
        </w:rPr>
        <w:t>3</w:t>
      </w:r>
      <w:r>
        <w:rPr>
          <w:rFonts w:hint="eastAsia" w:hAnsi="宋体" w:eastAsia="宋体" w:cs="宋体"/>
          <w:sz w:val="24"/>
          <w:szCs w:val="24"/>
          <w:lang w:val="zh-CN"/>
        </w:rPr>
        <w:t>0</w:t>
      </w:r>
      <w:r>
        <w:rPr>
          <w:rFonts w:hint="eastAsia" w:ascii="宋体" w:hAnsi="宋体" w:eastAsia="宋体" w:cs="宋体"/>
          <w:sz w:val="24"/>
          <w:szCs w:val="24"/>
        </w:rPr>
        <w:t>之前不准启封”标签密封。</w:t>
      </w:r>
    </w:p>
    <w:p>
      <w:pPr>
        <w:pStyle w:val="12"/>
        <w:spacing w:line="360" w:lineRule="auto"/>
        <w:ind w:firstLine="0" w:firstLineChars="0"/>
        <w:rPr>
          <w:rFonts w:hint="eastAsia" w:ascii="宋体" w:hAnsi="宋体" w:eastAsia="宋体" w:cs="宋体"/>
          <w:sz w:val="24"/>
          <w:szCs w:val="24"/>
          <w:shd w:val="pct10" w:color="auto" w:fill="FFFFFF"/>
        </w:rPr>
      </w:pPr>
      <w:r>
        <w:rPr>
          <w:rFonts w:hint="eastAsia" w:ascii="宋体" w:hAnsi="宋体" w:eastAsia="宋体" w:cs="宋体"/>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sz w:val="24"/>
          <w:szCs w:val="24"/>
        </w:rPr>
      </w:pPr>
      <w:bookmarkStart w:id="68" w:name="_Toc4009"/>
      <w:bookmarkStart w:id="69" w:name="_Toc373392583"/>
      <w:bookmarkStart w:id="70" w:name="_Toc30756"/>
      <w:bookmarkStart w:id="71" w:name="_Toc325726017"/>
      <w:bookmarkStart w:id="72" w:name="_Toc412617732"/>
      <w:bookmarkStart w:id="73" w:name="_Toc376936749"/>
      <w:bookmarkStart w:id="74" w:name="_Toc371090030"/>
      <w:r>
        <w:rPr>
          <w:rFonts w:hint="eastAsia" w:ascii="宋体" w:hAnsi="宋体" w:eastAsia="宋体" w:cs="宋体"/>
          <w:b/>
          <w:bCs/>
          <w:sz w:val="24"/>
          <w:szCs w:val="24"/>
        </w:rPr>
        <w:t>13.</w:t>
      </w:r>
      <w:bookmarkEnd w:id="68"/>
      <w:bookmarkEnd w:id="69"/>
      <w:bookmarkEnd w:id="70"/>
      <w:bookmarkEnd w:id="71"/>
      <w:bookmarkEnd w:id="72"/>
      <w:r>
        <w:rPr>
          <w:rFonts w:hint="eastAsia" w:ascii="宋体" w:hAnsi="宋体" w:eastAsia="宋体" w:cs="宋体"/>
          <w:b/>
          <w:bCs/>
          <w:sz w:val="24"/>
          <w:szCs w:val="24"/>
        </w:rPr>
        <w:t>提交响应文件截止时间、地点</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sz w:val="24"/>
          <w:szCs w:val="24"/>
        </w:rPr>
      </w:pPr>
      <w:bookmarkStart w:id="78" w:name="_Toc5644"/>
      <w:r>
        <w:rPr>
          <w:rFonts w:hint="eastAsia" w:ascii="宋体" w:hAnsi="宋体" w:eastAsia="宋体" w:cs="宋体"/>
          <w:b/>
          <w:bCs/>
          <w:sz w:val="24"/>
          <w:szCs w:val="24"/>
        </w:rPr>
        <w:t>五、</w:t>
      </w:r>
      <w:bookmarkEnd w:id="75"/>
      <w:bookmarkEnd w:id="76"/>
      <w:r>
        <w:rPr>
          <w:rFonts w:hint="eastAsia" w:ascii="宋体" w:hAnsi="宋体" w:eastAsia="宋体" w:cs="宋体"/>
          <w:b/>
          <w:bCs/>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sz w:val="24"/>
          <w:szCs w:val="24"/>
        </w:rPr>
      </w:pPr>
      <w:bookmarkStart w:id="79" w:name="_Toc376936751"/>
      <w:bookmarkStart w:id="80" w:name="_Toc325726020"/>
      <w:bookmarkStart w:id="81" w:name="_Toc26723"/>
      <w:bookmarkStart w:id="82" w:name="_Toc15630"/>
      <w:r>
        <w:rPr>
          <w:rFonts w:hint="eastAsia" w:ascii="宋体" w:hAnsi="宋体" w:eastAsia="宋体" w:cs="宋体"/>
          <w:b/>
          <w:bCs/>
          <w:sz w:val="24"/>
          <w:szCs w:val="24"/>
        </w:rPr>
        <w:t>14.</w:t>
      </w:r>
      <w:bookmarkEnd w:id="79"/>
      <w:bookmarkEnd w:id="80"/>
      <w:r>
        <w:rPr>
          <w:rFonts w:hint="eastAsia" w:ascii="宋体" w:hAnsi="宋体" w:eastAsia="宋体" w:cs="宋体"/>
          <w:b/>
          <w:bCs/>
          <w:sz w:val="24"/>
          <w:szCs w:val="24"/>
        </w:rPr>
        <w:t>磋商过程</w:t>
      </w:r>
      <w:bookmarkEnd w:id="81"/>
      <w:bookmarkEnd w:id="82"/>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sz w:val="24"/>
          <w:szCs w:val="24"/>
        </w:rPr>
      </w:pPr>
      <w:bookmarkStart w:id="83" w:name="_Toc19030"/>
      <w:bookmarkStart w:id="84" w:name="_Toc18107"/>
      <w:bookmarkStart w:id="85" w:name="_Toc376936752"/>
      <w:bookmarkStart w:id="86" w:name="_Toc325726021"/>
      <w:r>
        <w:rPr>
          <w:rFonts w:hint="eastAsia" w:ascii="宋体" w:hAnsi="宋体" w:eastAsia="宋体" w:cs="宋体"/>
          <w:b/>
          <w:bCs/>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sz w:val="24"/>
          <w:szCs w:val="24"/>
        </w:rPr>
      </w:pPr>
      <w:bookmarkStart w:id="87" w:name="_Toc26121"/>
      <w:bookmarkStart w:id="88" w:name="_Toc16935"/>
      <w:bookmarkStart w:id="89" w:name="_Toc376936753"/>
      <w:bookmarkStart w:id="90" w:name="_Toc325726022"/>
      <w:r>
        <w:rPr>
          <w:rFonts w:hint="eastAsia" w:ascii="宋体" w:hAnsi="宋体" w:eastAsia="宋体" w:cs="宋体"/>
          <w:b/>
          <w:bCs/>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sz w:val="24"/>
          <w:szCs w:val="24"/>
        </w:rPr>
      </w:pPr>
      <w:bookmarkStart w:id="91" w:name="_Toc14694"/>
      <w:bookmarkStart w:id="92" w:name="_Toc27086"/>
      <w:bookmarkStart w:id="93" w:name="_Toc376936754"/>
      <w:bookmarkStart w:id="94" w:name="_Toc325726023"/>
      <w:r>
        <w:rPr>
          <w:rFonts w:hint="eastAsia" w:ascii="宋体" w:hAnsi="宋体" w:eastAsia="宋体" w:cs="宋体"/>
          <w:b/>
          <w:bCs/>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（7）交货时间、磋商有效期、法定代表人授权期限不能满足磋商文件要求的；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sz w:val="24"/>
          <w:szCs w:val="24"/>
        </w:rPr>
      </w:pPr>
      <w:bookmarkStart w:id="95" w:name="_Toc20611"/>
      <w:bookmarkStart w:id="96" w:name="_Toc13668"/>
      <w:bookmarkStart w:id="97" w:name="_Toc376936755"/>
      <w:bookmarkStart w:id="98" w:name="_Toc325726024"/>
      <w:r>
        <w:rPr>
          <w:rFonts w:hint="eastAsia" w:ascii="宋体" w:hAnsi="宋体" w:eastAsia="宋体" w:cs="宋体"/>
          <w:b/>
          <w:bCs/>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sz w:val="24"/>
          <w:szCs w:val="24"/>
        </w:rPr>
      </w:pPr>
    </w:p>
    <w:p>
      <w:pPr>
        <w:spacing w:line="360" w:lineRule="auto"/>
        <w:ind w:firstLine="0" w:firstLineChars="0"/>
        <w:jc w:val="left"/>
        <w:rPr>
          <w:rFonts w:hint="eastAsia" w:ascii="宋体" w:hAnsi="宋体" w:eastAsia="宋体" w:cs="宋体"/>
          <w:sz w:val="24"/>
          <w:szCs w:val="24"/>
        </w:rPr>
      </w:pP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17.2评审标准和分值分配：</w:t>
      </w:r>
    </w:p>
    <w:p>
      <w:pPr>
        <w:autoSpaceDE w:val="0"/>
        <w:autoSpaceDN w:val="0"/>
        <w:adjustRightInd w:val="0"/>
        <w:ind w:firstLine="240" w:firstLineChars="100"/>
        <w:jc w:val="left"/>
        <w:rPr>
          <w:rFonts w:hint="eastAsia" w:ascii="宋体" w:hAnsi="宋体" w:eastAsia="宋体" w:cs="宋体"/>
          <w:sz w:val="24"/>
          <w:lang w:val="zh-CN"/>
        </w:rPr>
      </w:pPr>
      <w:r>
        <w:rPr>
          <w:rFonts w:hint="eastAsia" w:ascii="宋体" w:hAnsi="宋体" w:eastAsia="宋体" w:cs="宋体"/>
          <w:sz w:val="24"/>
          <w:lang w:val="zh-CN"/>
        </w:rPr>
        <w:t>具体项目及评分细则：</w:t>
      </w:r>
    </w:p>
    <w:tbl>
      <w:tblPr>
        <w:tblStyle w:val="20"/>
        <w:tblW w:w="9140" w:type="dxa"/>
        <w:jc w:val="center"/>
        <w:tblLayout w:type="fixed"/>
        <w:tblCellMar>
          <w:top w:w="0" w:type="dxa"/>
          <w:left w:w="108" w:type="dxa"/>
          <w:bottom w:w="0" w:type="dxa"/>
          <w:right w:w="108" w:type="dxa"/>
        </w:tblCellMar>
      </w:tblPr>
      <w:tblGrid>
        <w:gridCol w:w="503"/>
        <w:gridCol w:w="1536"/>
        <w:gridCol w:w="7101"/>
      </w:tblGrid>
      <w:tr>
        <w:tblPrEx>
          <w:tblCellMar>
            <w:top w:w="0" w:type="dxa"/>
            <w:left w:w="108" w:type="dxa"/>
            <w:bottom w:w="0" w:type="dxa"/>
            <w:right w:w="108" w:type="dxa"/>
          </w:tblCellMar>
        </w:tblPrEx>
        <w:trPr>
          <w:trHeight w:val="705"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00" w:lineRule="exact"/>
              <w:ind w:firstLine="420"/>
              <w:jc w:val="center"/>
              <w:rPr>
                <w:rFonts w:hint="eastAsia" w:ascii="宋体" w:hAnsi="宋体" w:eastAsia="宋体" w:cs="宋体"/>
                <w:color w:val="000000"/>
                <w:lang w:val="zh-CN"/>
              </w:rPr>
            </w:pPr>
            <w:r>
              <w:rPr>
                <w:rFonts w:hint="eastAsia" w:ascii="宋体" w:hAnsi="宋体" w:eastAsia="宋体" w:cs="宋体"/>
                <w:color w:val="000000"/>
                <w:lang w:val="zh-CN"/>
              </w:rPr>
              <w:t>序号</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rPr>
                <w:rFonts w:hint="eastAsia" w:ascii="宋体" w:hAnsi="宋体" w:eastAsia="宋体" w:cs="宋体"/>
                <w:color w:val="000000"/>
              </w:rPr>
            </w:pPr>
            <w:r>
              <w:rPr>
                <w:rFonts w:hint="eastAsia" w:ascii="宋体" w:hAnsi="宋体" w:eastAsia="宋体" w:cs="宋体"/>
                <w:color w:val="000000"/>
                <w:lang w:val="zh-CN"/>
              </w:rPr>
              <w:t>评审</w:t>
            </w:r>
            <w:r>
              <w:rPr>
                <w:rFonts w:hint="eastAsia" w:ascii="宋体" w:hAnsi="宋体" w:eastAsia="宋体" w:cs="宋体"/>
                <w:color w:val="000000"/>
              </w:rPr>
              <w:t>因素</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center"/>
              <w:rPr>
                <w:rFonts w:hint="eastAsia" w:ascii="宋体" w:hAnsi="宋体" w:eastAsia="宋体" w:cs="宋体"/>
                <w:color w:val="000000"/>
                <w:lang w:val="zh-CN"/>
              </w:rPr>
            </w:pPr>
            <w:r>
              <w:rPr>
                <w:rFonts w:hint="eastAsia" w:ascii="宋体" w:hAnsi="宋体" w:eastAsia="宋体" w:cs="宋体"/>
                <w:color w:val="000000"/>
              </w:rPr>
              <w:t>评审标准</w:t>
            </w:r>
          </w:p>
        </w:tc>
      </w:tr>
      <w:tr>
        <w:tblPrEx>
          <w:tblCellMar>
            <w:top w:w="0" w:type="dxa"/>
            <w:left w:w="108" w:type="dxa"/>
            <w:bottom w:w="0" w:type="dxa"/>
            <w:right w:w="108" w:type="dxa"/>
          </w:tblCellMar>
        </w:tblPrEx>
        <w:trPr>
          <w:trHeight w:val="4523"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1</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投标报价</w:t>
            </w:r>
          </w:p>
          <w:p>
            <w:pPr>
              <w:pStyle w:val="17"/>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eastAsia="宋体" w:cs="宋体"/>
                <w:color w:val="000000"/>
              </w:rPr>
              <w:t>30分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pStyle w:val="17"/>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注：1.根据《政府采购促进中小企业发展暂行办法》的相关规定，对小型和微型企业制造（生产）产品的价格给予6%的扣除，用扣除后的价格参与评审。</w:t>
            </w:r>
          </w:p>
          <w:p>
            <w:pPr>
              <w:pStyle w:val="17"/>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2.残疾人福利性单位属于小型、微型企业的，不重复享受政策。</w:t>
            </w:r>
          </w:p>
          <w:p>
            <w:pPr>
              <w:pStyle w:val="17"/>
              <w:widowControl/>
              <w:spacing w:before="0" w:beforeAutospacing="0" w:after="0" w:afterAutospacing="0" w:line="360" w:lineRule="auto"/>
              <w:ind w:firstLine="420"/>
              <w:jc w:val="both"/>
              <w:rPr>
                <w:rFonts w:hint="eastAsia" w:ascii="宋体" w:hAnsi="宋体" w:eastAsia="宋体" w:cs="宋体"/>
                <w:color w:val="000000"/>
                <w:shd w:val="clear" w:color="auto" w:fill="FFFFFF"/>
              </w:rPr>
            </w:pPr>
            <w:r>
              <w:rPr>
                <w:rFonts w:hint="eastAsia" w:ascii="宋体" w:hAnsi="宋体" w:eastAsia="宋体" w:cs="宋体"/>
                <w:color w:val="000000"/>
                <w:szCs w:val="22"/>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991"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2</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numPr>
                <w:ilvl w:val="0"/>
                <w:numId w:val="0"/>
              </w:numPr>
              <w:spacing w:before="0" w:beforeAutospacing="0" w:after="0" w:afterAutospacing="0" w:line="360" w:lineRule="auto"/>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技术水平（</w:t>
            </w:r>
            <w:r>
              <w:rPr>
                <w:rFonts w:hint="eastAsia" w:eastAsia="宋体" w:cs="宋体"/>
                <w:color w:val="000000"/>
                <w:szCs w:val="22"/>
                <w:lang w:val="en-US" w:eastAsia="zh-CN"/>
              </w:rPr>
              <w:t>54</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jc w:val="both"/>
              <w:rPr>
                <w:rFonts w:hint="default" w:ascii="宋体" w:hAnsi="宋体" w:eastAsia="宋体" w:cs="宋体"/>
                <w:color w:val="000000"/>
                <w:szCs w:val="22"/>
                <w:lang w:val="en-US" w:eastAsia="zh-CN"/>
              </w:rPr>
            </w:pPr>
            <w:r>
              <w:rPr>
                <w:rFonts w:hint="eastAsia" w:ascii="宋体" w:hAnsi="宋体" w:eastAsia="宋体" w:cs="宋体"/>
                <w:color w:val="000000"/>
                <w:szCs w:val="22"/>
                <w:lang w:val="zh-CN"/>
              </w:rPr>
              <w:t>（1）</w:t>
            </w:r>
            <w:r>
              <w:rPr>
                <w:rFonts w:hint="eastAsia" w:ascii="宋体" w:hAnsi="宋体" w:eastAsia="宋体" w:cs="宋体"/>
                <w:color w:val="000000"/>
                <w:szCs w:val="22"/>
              </w:rPr>
              <w:t>技术参数：投标产品技术参数和配置完全满足或高于招标文件要求的，得</w:t>
            </w:r>
            <w:r>
              <w:rPr>
                <w:rFonts w:hint="eastAsia" w:eastAsia="宋体" w:cs="宋体"/>
                <w:color w:val="000000"/>
                <w:szCs w:val="22"/>
                <w:lang w:val="en-US" w:eastAsia="zh-CN"/>
              </w:rPr>
              <w:t>36</w:t>
            </w:r>
            <w:r>
              <w:rPr>
                <w:rFonts w:hint="eastAsia" w:ascii="宋体" w:hAnsi="宋体" w:eastAsia="宋体" w:cs="宋体"/>
                <w:color w:val="000000"/>
                <w:szCs w:val="22"/>
              </w:rPr>
              <w:t>分；每有一项负偏离一项扣</w:t>
            </w:r>
            <w:r>
              <w:rPr>
                <w:rFonts w:hint="eastAsia" w:eastAsia="宋体" w:cs="宋体"/>
                <w:color w:val="000000"/>
                <w:szCs w:val="22"/>
                <w:lang w:val="en-US" w:eastAsia="zh-CN"/>
              </w:rPr>
              <w:t>2</w:t>
            </w:r>
            <w:r>
              <w:rPr>
                <w:rFonts w:hint="eastAsia" w:ascii="宋体" w:hAnsi="宋体" w:eastAsia="宋体" w:cs="宋体"/>
                <w:color w:val="000000"/>
                <w:szCs w:val="22"/>
              </w:rPr>
              <w:t>分，直至扣完该项得分为止。</w:t>
            </w:r>
            <w:bookmarkStart w:id="177" w:name="_GoBack"/>
            <w:bookmarkEnd w:id="177"/>
          </w:p>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rPr>
            </w:pPr>
            <w:r>
              <w:rPr>
                <w:rFonts w:hint="eastAsia" w:ascii="宋体" w:hAnsi="宋体" w:eastAsia="宋体" w:cs="宋体"/>
                <w:color w:val="000000"/>
                <w:lang w:val="zh-CN"/>
              </w:rPr>
              <w:t>（</w:t>
            </w:r>
            <w:r>
              <w:rPr>
                <w:rFonts w:hint="eastAsia" w:ascii="宋体" w:hAnsi="宋体" w:eastAsia="宋体" w:cs="宋体"/>
                <w:color w:val="000000"/>
              </w:rPr>
              <w:t>2</w:t>
            </w:r>
            <w:r>
              <w:rPr>
                <w:rFonts w:hint="eastAsia" w:ascii="宋体" w:hAnsi="宋体" w:eastAsia="宋体" w:cs="宋体"/>
                <w:color w:val="000000"/>
                <w:lang w:val="zh-CN"/>
              </w:rPr>
              <w:t>）节能和环保：</w:t>
            </w:r>
            <w:r>
              <w:rPr>
                <w:rFonts w:hint="eastAsia" w:ascii="宋体" w:hAnsi="宋体" w:eastAsia="宋体" w:cs="宋体"/>
                <w:color w:val="000000"/>
              </w:rPr>
              <w:t>所投产品为节能产品，每提供1份得</w:t>
            </w:r>
            <w:r>
              <w:rPr>
                <w:rFonts w:hint="eastAsia" w:eastAsia="宋体" w:cs="宋体"/>
                <w:color w:val="000000"/>
                <w:lang w:val="en-US" w:eastAsia="zh-CN"/>
              </w:rPr>
              <w:t>1</w:t>
            </w:r>
            <w:r>
              <w:rPr>
                <w:rFonts w:hint="eastAsia" w:ascii="宋体" w:hAnsi="宋体" w:eastAsia="宋体" w:cs="宋体"/>
                <w:color w:val="000000"/>
              </w:rPr>
              <w:t>分</w:t>
            </w:r>
            <w:r>
              <w:rPr>
                <w:rFonts w:hint="eastAsia" w:ascii="宋体" w:hAnsi="宋体" w:eastAsia="宋体" w:cs="宋体"/>
                <w:color w:val="000000"/>
                <w:lang w:val="zh-CN"/>
              </w:rPr>
              <w:t>；</w:t>
            </w:r>
            <w:r>
              <w:rPr>
                <w:rFonts w:hint="eastAsia" w:ascii="宋体" w:hAnsi="宋体" w:eastAsia="宋体" w:cs="宋体"/>
                <w:color w:val="000000"/>
              </w:rPr>
              <w:t>所投产品为环保产品，每提供1份得</w:t>
            </w:r>
            <w:r>
              <w:rPr>
                <w:rFonts w:hint="eastAsia" w:eastAsia="宋体" w:cs="宋体"/>
                <w:color w:val="000000"/>
                <w:lang w:val="en-US" w:eastAsia="zh-CN"/>
              </w:rPr>
              <w:t>1</w:t>
            </w:r>
            <w:r>
              <w:rPr>
                <w:rFonts w:hint="eastAsia" w:ascii="宋体" w:hAnsi="宋体" w:eastAsia="宋体" w:cs="宋体"/>
                <w:color w:val="000000"/>
              </w:rPr>
              <w:t>分</w:t>
            </w:r>
            <w:r>
              <w:rPr>
                <w:rFonts w:hint="eastAsia" w:ascii="宋体" w:hAnsi="宋体" w:eastAsia="宋体" w:cs="宋体"/>
                <w:color w:val="000000"/>
                <w:lang w:val="zh-CN"/>
              </w:rPr>
              <w:t>；最多的</w:t>
            </w:r>
            <w:r>
              <w:rPr>
                <w:rFonts w:hint="eastAsia" w:eastAsia="宋体" w:cs="宋体"/>
                <w:color w:val="000000"/>
                <w:lang w:val="en-US" w:eastAsia="zh-CN"/>
              </w:rPr>
              <w:t>2</w:t>
            </w:r>
            <w:r>
              <w:rPr>
                <w:rFonts w:hint="eastAsia" w:ascii="宋体" w:hAnsi="宋体" w:eastAsia="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eastAsia="zh-CN"/>
              </w:rPr>
            </w:pPr>
            <w:r>
              <w:rPr>
                <w:rFonts w:hint="eastAsia" w:ascii="宋体" w:hAnsi="宋体" w:eastAsia="宋体" w:cs="宋体"/>
                <w:color w:val="000000"/>
                <w:lang w:val="zh-CN" w:eastAsia="zh-CN"/>
              </w:rPr>
              <w:t>（</w:t>
            </w:r>
            <w:r>
              <w:rPr>
                <w:rFonts w:hint="eastAsia" w:eastAsia="宋体" w:cs="宋体"/>
                <w:color w:val="000000"/>
                <w:lang w:val="en-US" w:eastAsia="zh-CN"/>
              </w:rPr>
              <w:t>3</w:t>
            </w:r>
            <w:r>
              <w:rPr>
                <w:rFonts w:hint="eastAsia" w:ascii="宋体" w:hAnsi="宋体" w:eastAsia="宋体" w:cs="宋体"/>
                <w:color w:val="000000"/>
                <w:lang w:val="zh-CN" w:eastAsia="zh-CN"/>
              </w:rPr>
              <w:t>）项目管理及实施方案:设置了项目管理机构，并且有科学、具体的项目管理措施，能够结合项目特点制定实施方案，</w:t>
            </w:r>
            <w:r>
              <w:rPr>
                <w:rFonts w:hint="eastAsia" w:eastAsia="宋体" w:cs="宋体"/>
                <w:color w:val="000000"/>
                <w:lang w:val="zh-CN" w:eastAsia="zh-CN"/>
              </w:rPr>
              <w:t>优秀</w:t>
            </w:r>
            <w:r>
              <w:rPr>
                <w:rFonts w:hint="eastAsia" w:ascii="宋体" w:hAnsi="宋体" w:eastAsia="宋体" w:cs="宋体"/>
                <w:color w:val="000000"/>
                <w:lang w:val="zh-CN" w:eastAsia="zh-CN"/>
              </w:rPr>
              <w:t>得</w:t>
            </w:r>
            <w:r>
              <w:rPr>
                <w:rFonts w:hint="eastAsia" w:eastAsia="宋体" w:cs="宋体"/>
                <w:color w:val="000000"/>
                <w:lang w:val="en-US" w:eastAsia="zh-CN"/>
              </w:rPr>
              <w:t>9</w:t>
            </w:r>
            <w:r>
              <w:rPr>
                <w:rFonts w:hint="eastAsia" w:ascii="宋体" w:hAnsi="宋体" w:eastAsia="宋体" w:cs="宋体"/>
                <w:color w:val="000000"/>
                <w:lang w:val="zh-CN" w:eastAsia="zh-CN"/>
              </w:rPr>
              <w:t>分</w:t>
            </w:r>
            <w:r>
              <w:rPr>
                <w:rFonts w:hint="eastAsia" w:eastAsia="宋体" w:cs="宋体"/>
                <w:color w:val="000000"/>
                <w:lang w:val="zh-CN" w:eastAsia="zh-CN"/>
              </w:rPr>
              <w:t>，良</w:t>
            </w:r>
            <w:r>
              <w:rPr>
                <w:rFonts w:hint="eastAsia" w:ascii="宋体" w:hAnsi="宋体" w:eastAsia="宋体" w:cs="宋体"/>
                <w:color w:val="000000"/>
                <w:lang w:val="zh-CN" w:eastAsia="zh-CN"/>
              </w:rPr>
              <w:t>好得</w:t>
            </w:r>
            <w:r>
              <w:rPr>
                <w:rFonts w:hint="eastAsia" w:eastAsia="宋体" w:cs="宋体"/>
                <w:color w:val="000000"/>
                <w:lang w:val="en-US" w:eastAsia="zh-CN"/>
              </w:rPr>
              <w:t>6</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3</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差</w:t>
            </w:r>
            <w:r>
              <w:rPr>
                <w:rFonts w:hint="eastAsia" w:eastAsia="宋体" w:cs="宋体"/>
                <w:color w:val="000000"/>
                <w:lang w:val="zh-CN" w:eastAsia="zh-CN"/>
              </w:rPr>
              <w:t>的得</w:t>
            </w:r>
            <w:r>
              <w:rPr>
                <w:rFonts w:hint="eastAsia" w:eastAsia="宋体" w:cs="宋体"/>
                <w:color w:val="000000"/>
                <w:lang w:val="en-US" w:eastAsia="zh-CN"/>
              </w:rPr>
              <w:t>1分，</w:t>
            </w:r>
            <w:r>
              <w:rPr>
                <w:rFonts w:hint="eastAsia" w:ascii="宋体" w:hAnsi="宋体" w:eastAsia="宋体" w:cs="宋体"/>
                <w:color w:val="000000"/>
                <w:lang w:val="zh-CN" w:eastAsia="zh-CN"/>
              </w:rPr>
              <w:t>未提供的不得分。</w:t>
            </w:r>
          </w:p>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eastAsia="zh-CN"/>
              </w:rPr>
            </w:pPr>
            <w:r>
              <w:rPr>
                <w:rFonts w:hint="eastAsia" w:ascii="宋体" w:hAnsi="宋体" w:eastAsia="宋体" w:cs="宋体"/>
                <w:color w:val="000000"/>
                <w:szCs w:val="22"/>
                <w:lang w:val="en-US" w:eastAsia="zh-CN"/>
              </w:rPr>
              <w:t>(</w:t>
            </w:r>
            <w:r>
              <w:rPr>
                <w:rFonts w:hint="eastAsia" w:eastAsia="宋体" w:cs="宋体"/>
                <w:color w:val="000000"/>
                <w:szCs w:val="22"/>
                <w:lang w:val="en-US" w:eastAsia="zh-CN"/>
              </w:rPr>
              <w:t>4</w:t>
            </w:r>
            <w:r>
              <w:rPr>
                <w:rFonts w:hint="eastAsia" w:ascii="宋体" w:hAnsi="宋体" w:eastAsia="宋体" w:cs="宋体"/>
                <w:color w:val="000000"/>
                <w:szCs w:val="22"/>
                <w:lang w:val="en-US" w:eastAsia="zh-CN"/>
              </w:rPr>
              <w:t>)质量保证：根据各投标人的质量保证措施和承诺等进行比较、评议，优秀得7分</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良好得</w:t>
            </w: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3</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szCs w:val="22"/>
                <w:lang w:val="en-US" w:eastAsia="zh-CN"/>
              </w:rPr>
              <w:t>差的得1分，不提供不得分。</w:t>
            </w:r>
          </w:p>
        </w:tc>
      </w:tr>
      <w:tr>
        <w:tblPrEx>
          <w:tblCellMar>
            <w:top w:w="0" w:type="dxa"/>
            <w:left w:w="108" w:type="dxa"/>
            <w:bottom w:w="0" w:type="dxa"/>
            <w:right w:w="108" w:type="dxa"/>
          </w:tblCellMar>
        </w:tblPrEx>
        <w:trPr>
          <w:trHeight w:val="1838"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3</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lang w:val="zh-CN"/>
              </w:rPr>
              <w:t>履约能力</w:t>
            </w:r>
          </w:p>
          <w:p>
            <w:pPr>
              <w:pStyle w:val="17"/>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shd w:val="clear" w:color="auto" w:fill="FFFFFF"/>
              </w:rPr>
              <w:t>(</w:t>
            </w:r>
            <w:r>
              <w:rPr>
                <w:rFonts w:hint="eastAsia" w:eastAsia="宋体" w:cs="宋体"/>
                <w:color w:val="000000"/>
                <w:lang w:val="en-US" w:eastAsia="zh-CN"/>
              </w:rPr>
              <w:t>8</w:t>
            </w:r>
            <w:r>
              <w:rPr>
                <w:rFonts w:hint="eastAsia" w:ascii="宋体" w:hAnsi="宋体" w:eastAsia="宋体" w:cs="宋体"/>
                <w:color w:val="000000"/>
              </w:rPr>
              <w:t>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numPr>
                <w:ilvl w:val="0"/>
                <w:numId w:val="0"/>
              </w:numPr>
              <w:spacing w:before="0" w:beforeAutospacing="0" w:after="0" w:afterAutospacing="0" w:line="360" w:lineRule="auto"/>
              <w:ind w:right="0" w:rightChars="0"/>
              <w:jc w:val="both"/>
              <w:rPr>
                <w:rFonts w:hint="eastAsia" w:ascii="宋体" w:hAnsi="宋体" w:eastAsia="宋体" w:cs="宋体"/>
                <w:color w:val="000000"/>
              </w:rPr>
            </w:pPr>
            <w:r>
              <w:rPr>
                <w:rFonts w:hint="eastAsia" w:ascii="宋体" w:hAnsi="宋体" w:eastAsia="宋体" w:cs="宋体"/>
                <w:color w:val="000000"/>
              </w:rPr>
              <w:t>类似业绩情况：提供投标截止日前3年（201</w:t>
            </w:r>
            <w:r>
              <w:rPr>
                <w:rFonts w:hint="eastAsia" w:eastAsia="宋体" w:cs="宋体"/>
                <w:color w:val="000000"/>
                <w:lang w:val="en-US" w:eastAsia="zh-CN"/>
              </w:rPr>
              <w:t>7</w:t>
            </w:r>
            <w:r>
              <w:rPr>
                <w:rFonts w:hint="eastAsia" w:ascii="宋体" w:hAnsi="宋体" w:eastAsia="宋体" w:cs="宋体"/>
                <w:color w:val="000000"/>
              </w:rPr>
              <w:t>年</w:t>
            </w:r>
            <w:r>
              <w:rPr>
                <w:rFonts w:hint="eastAsia" w:ascii="宋体" w:hAnsi="宋体" w:eastAsia="宋体" w:cs="宋体"/>
                <w:color w:val="000000"/>
                <w:lang w:eastAsia="zh-CN"/>
              </w:rPr>
              <w:t>至今</w:t>
            </w:r>
            <w:r>
              <w:rPr>
                <w:rFonts w:hint="eastAsia" w:ascii="宋体" w:hAnsi="宋体" w:eastAsia="宋体" w:cs="宋体"/>
                <w:color w:val="000000"/>
              </w:rPr>
              <w:t>）的投标人类似业绩证明材料每提供1项得</w:t>
            </w:r>
            <w:r>
              <w:rPr>
                <w:rFonts w:hint="eastAsia" w:eastAsia="宋体" w:cs="宋体"/>
                <w:color w:val="000000"/>
                <w:lang w:val="en-US" w:eastAsia="zh-CN"/>
              </w:rPr>
              <w:t>2</w:t>
            </w:r>
            <w:r>
              <w:rPr>
                <w:rFonts w:hint="eastAsia" w:ascii="宋体" w:hAnsi="宋体" w:eastAsia="宋体" w:cs="宋体"/>
                <w:color w:val="000000"/>
              </w:rPr>
              <w:t>分,满分</w:t>
            </w:r>
            <w:r>
              <w:rPr>
                <w:rFonts w:hint="eastAsia" w:eastAsia="宋体" w:cs="宋体"/>
                <w:color w:val="000000"/>
                <w:lang w:val="en-US" w:eastAsia="zh-CN"/>
              </w:rPr>
              <w:t>8</w:t>
            </w:r>
            <w:r>
              <w:rPr>
                <w:rFonts w:hint="eastAsia" w:ascii="宋体" w:hAnsi="宋体" w:eastAsia="宋体" w:cs="宋体"/>
                <w:color w:val="000000"/>
              </w:rPr>
              <w:t>分（以中标、成交通知书或合同协议证明为准），未提供或其他情况不得分。</w:t>
            </w:r>
          </w:p>
        </w:tc>
      </w:tr>
      <w:tr>
        <w:tblPrEx>
          <w:tblCellMar>
            <w:top w:w="0" w:type="dxa"/>
            <w:left w:w="108" w:type="dxa"/>
            <w:bottom w:w="0" w:type="dxa"/>
            <w:right w:w="108" w:type="dxa"/>
          </w:tblCellMar>
        </w:tblPrEx>
        <w:trPr>
          <w:trHeight w:val="2796"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4</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售后服务</w:t>
            </w:r>
          </w:p>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rPr>
            </w:pPr>
            <w:r>
              <w:rPr>
                <w:rFonts w:hint="eastAsia" w:ascii="宋体" w:hAnsi="宋体" w:eastAsia="宋体" w:cs="宋体"/>
                <w:color w:val="000000"/>
                <w:szCs w:val="22"/>
                <w:lang w:val="zh-CN"/>
              </w:rPr>
              <w:t>（</w:t>
            </w:r>
            <w:r>
              <w:rPr>
                <w:rFonts w:hint="eastAsia" w:eastAsia="宋体" w:cs="宋体"/>
                <w:color w:val="000000"/>
                <w:szCs w:val="22"/>
                <w:lang w:val="en-US" w:eastAsia="zh-CN"/>
              </w:rPr>
              <w:t>8</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售后服务计划、措施:针对该项目须有详尽的组织配送、验收、售后等方面的服务计划、能力、措施。服务计划、措施好的，得 5 分；较好的得3分，一般的，得1分；未提供或其他情况不得分</w:t>
            </w:r>
            <w:r>
              <w:rPr>
                <w:rFonts w:hint="eastAsia" w:eastAsia="宋体" w:cs="宋体"/>
                <w:color w:val="000000"/>
                <w:szCs w:val="22"/>
                <w:lang w:val="en-US" w:eastAsia="zh-CN"/>
              </w:rPr>
              <w:t>。</w:t>
            </w:r>
          </w:p>
          <w:p>
            <w:pPr>
              <w:pStyle w:val="17"/>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（2）</w:t>
            </w:r>
            <w:r>
              <w:rPr>
                <w:rFonts w:hint="eastAsia" w:ascii="宋体" w:hAnsi="宋体" w:eastAsia="宋体" w:cs="宋体"/>
                <w:color w:val="000000"/>
                <w:szCs w:val="22"/>
                <w:lang w:val="en-US" w:eastAsia="zh-CN"/>
              </w:rPr>
              <w:t>本地化服务能力:在青海省有服务机构的，具有在本地区经营</w:t>
            </w:r>
            <w:r>
              <w:rPr>
                <w:rFonts w:hint="eastAsia" w:eastAsia="宋体" w:cs="宋体"/>
                <w:color w:val="000000"/>
                <w:szCs w:val="22"/>
                <w:lang w:val="en-US" w:eastAsia="zh-CN"/>
              </w:rPr>
              <w:t>本项目相关</w:t>
            </w:r>
            <w:r>
              <w:rPr>
                <w:rFonts w:hint="eastAsia" w:ascii="宋体" w:hAnsi="宋体" w:eastAsia="宋体" w:cs="宋体"/>
                <w:color w:val="000000"/>
                <w:szCs w:val="22"/>
                <w:lang w:val="en-US" w:eastAsia="zh-CN"/>
              </w:rPr>
              <w:t>的经验</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得</w:t>
            </w:r>
            <w:r>
              <w:rPr>
                <w:rFonts w:hint="eastAsia" w:eastAsia="宋体" w:cs="宋体"/>
                <w:color w:val="000000"/>
                <w:szCs w:val="22"/>
                <w:lang w:val="en-US" w:eastAsia="zh-CN"/>
              </w:rPr>
              <w:t>3</w:t>
            </w:r>
            <w:r>
              <w:rPr>
                <w:rFonts w:hint="eastAsia" w:ascii="宋体" w:hAnsi="宋体" w:eastAsia="宋体" w:cs="宋体"/>
                <w:color w:val="000000"/>
                <w:szCs w:val="22"/>
                <w:lang w:val="en-US" w:eastAsia="zh-CN"/>
              </w:rPr>
              <w:t>分；有合作性服务机构的，得</w:t>
            </w: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分（需提供合作性服务机构的委托协议书、营业执照及售后服务承诺函）；没有的不得分。</w:t>
            </w:r>
          </w:p>
        </w:tc>
      </w:tr>
    </w:tbl>
    <w:p>
      <w:pPr>
        <w:wordWrap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sz w:val="24"/>
          <w:szCs w:val="24"/>
        </w:rPr>
      </w:pPr>
      <w:bookmarkStart w:id="99" w:name="_Toc325726025"/>
      <w:bookmarkStart w:id="100" w:name="_Toc376936756"/>
      <w:bookmarkStart w:id="101" w:name="_Toc6689"/>
      <w:bookmarkStart w:id="102" w:name="_Toc2506"/>
      <w:r>
        <w:rPr>
          <w:rFonts w:hint="eastAsia" w:ascii="宋体" w:hAnsi="宋体" w:eastAsia="宋体" w:cs="宋体"/>
          <w:b/>
          <w:bCs/>
          <w:sz w:val="24"/>
          <w:szCs w:val="24"/>
        </w:rPr>
        <w:t>七、</w:t>
      </w:r>
      <w:bookmarkEnd w:id="99"/>
      <w:bookmarkEnd w:id="100"/>
      <w:r>
        <w:rPr>
          <w:rFonts w:hint="eastAsia" w:ascii="宋体" w:hAnsi="宋体" w:eastAsia="宋体" w:cs="宋体"/>
          <w:b/>
          <w:bCs/>
          <w:sz w:val="24"/>
          <w:szCs w:val="24"/>
        </w:rPr>
        <w:t>确定成交供应商</w:t>
      </w:r>
      <w:bookmarkEnd w:id="101"/>
      <w:bookmarkEnd w:id="102"/>
    </w:p>
    <w:p>
      <w:pPr>
        <w:widowControl/>
        <w:spacing w:line="360" w:lineRule="auto"/>
        <w:ind w:firstLine="0" w:firstLineChars="0"/>
        <w:jc w:val="left"/>
        <w:outlineLvl w:val="2"/>
        <w:rPr>
          <w:rFonts w:hint="eastAsia" w:ascii="宋体" w:hAnsi="宋体" w:eastAsia="宋体" w:cs="宋体"/>
          <w:b/>
          <w:bCs/>
          <w:sz w:val="24"/>
          <w:szCs w:val="24"/>
        </w:rPr>
      </w:pPr>
      <w:bookmarkStart w:id="103" w:name="_Toc376936757"/>
      <w:bookmarkStart w:id="104" w:name="_Toc325726026"/>
      <w:bookmarkStart w:id="105" w:name="_Toc17038"/>
      <w:bookmarkStart w:id="106" w:name="_Toc28889"/>
      <w:r>
        <w:rPr>
          <w:rFonts w:hint="eastAsia" w:ascii="宋体" w:hAnsi="宋体" w:eastAsia="宋体" w:cs="宋体"/>
          <w:b/>
          <w:bCs/>
          <w:sz w:val="24"/>
          <w:szCs w:val="24"/>
        </w:rPr>
        <w:t>18.推荐并确定成交</w:t>
      </w:r>
      <w:bookmarkEnd w:id="103"/>
      <w:bookmarkEnd w:id="104"/>
      <w:r>
        <w:rPr>
          <w:rFonts w:hint="eastAsia" w:ascii="宋体" w:hAnsi="宋体" w:eastAsia="宋体" w:cs="宋体"/>
          <w:b/>
          <w:bCs/>
          <w:sz w:val="24"/>
          <w:szCs w:val="24"/>
        </w:rPr>
        <w:t>供应商</w:t>
      </w:r>
      <w:bookmarkEnd w:id="105"/>
      <w:bookmarkEnd w:id="106"/>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sz w:val="24"/>
          <w:szCs w:val="24"/>
        </w:rPr>
      </w:pPr>
      <w:bookmarkStart w:id="107" w:name="_Toc2346"/>
      <w:bookmarkStart w:id="108" w:name="_Toc2963"/>
      <w:bookmarkStart w:id="109" w:name="_Toc376936759"/>
      <w:bookmarkStart w:id="110" w:name="_Toc325726028"/>
      <w:bookmarkStart w:id="111" w:name="_Toc325726027"/>
      <w:r>
        <w:rPr>
          <w:rFonts w:hint="eastAsia" w:ascii="宋体" w:hAnsi="宋体" w:eastAsia="宋体" w:cs="宋体"/>
          <w:b/>
          <w:bCs/>
          <w:sz w:val="24"/>
          <w:szCs w:val="24"/>
        </w:rPr>
        <w:t>19.成交通知</w:t>
      </w:r>
      <w:bookmarkEnd w:id="107"/>
      <w:bookmarkEnd w:id="108"/>
      <w:bookmarkEnd w:id="109"/>
      <w:bookmarkEnd w:id="110"/>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sz w:val="24"/>
          <w:szCs w:val="24"/>
        </w:rPr>
      </w:pPr>
      <w:bookmarkStart w:id="112" w:name="_Toc376936758"/>
      <w:bookmarkStart w:id="113" w:name="_Toc18063"/>
      <w:bookmarkStart w:id="114" w:name="_Toc5556"/>
      <w:r>
        <w:rPr>
          <w:rFonts w:hint="eastAsia" w:ascii="宋体" w:hAnsi="宋体" w:eastAsia="宋体" w:cs="宋体"/>
          <w:b/>
          <w:bCs/>
          <w:sz w:val="24"/>
          <w:szCs w:val="24"/>
        </w:rPr>
        <w:t>八、授予合同</w:t>
      </w:r>
      <w:bookmarkEnd w:id="111"/>
      <w:bookmarkEnd w:id="112"/>
      <w:bookmarkEnd w:id="113"/>
      <w:bookmarkEnd w:id="114"/>
    </w:p>
    <w:p>
      <w:pPr>
        <w:widowControl/>
        <w:spacing w:line="360" w:lineRule="auto"/>
        <w:ind w:firstLine="0" w:firstLineChars="0"/>
        <w:jc w:val="left"/>
        <w:outlineLvl w:val="2"/>
        <w:rPr>
          <w:rFonts w:hint="eastAsia" w:ascii="宋体" w:hAnsi="宋体" w:eastAsia="宋体" w:cs="宋体"/>
          <w:b/>
          <w:bCs/>
          <w:sz w:val="24"/>
          <w:szCs w:val="24"/>
        </w:rPr>
      </w:pPr>
      <w:bookmarkStart w:id="115" w:name="_Toc921"/>
      <w:bookmarkStart w:id="116" w:name="_Toc325726029"/>
      <w:bookmarkStart w:id="117" w:name="_Toc376936760"/>
      <w:bookmarkStart w:id="118" w:name="_Toc28394"/>
      <w:r>
        <w:rPr>
          <w:rFonts w:hint="eastAsia" w:ascii="宋体" w:hAnsi="宋体" w:eastAsia="宋体" w:cs="宋体"/>
          <w:b/>
          <w:bCs/>
          <w:sz w:val="24"/>
          <w:szCs w:val="24"/>
        </w:rPr>
        <w:t>20.签订合同</w:t>
      </w:r>
      <w:bookmarkEnd w:id="115"/>
      <w:bookmarkEnd w:id="116"/>
      <w:bookmarkEnd w:id="117"/>
      <w:bookmarkEnd w:id="118"/>
    </w:p>
    <w:p>
      <w:pPr>
        <w:spacing w:line="360" w:lineRule="auto"/>
        <w:ind w:firstLine="0" w:firstLineChars="0"/>
        <w:jc w:val="left"/>
        <w:rPr>
          <w:rFonts w:hint="eastAsia" w:ascii="宋体" w:hAnsi="宋体" w:eastAsia="宋体" w:cs="宋体"/>
          <w:sz w:val="24"/>
          <w:szCs w:val="24"/>
        </w:rPr>
      </w:pPr>
      <w:bookmarkStart w:id="119" w:name="_Toc376936761"/>
      <w:bookmarkStart w:id="120"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sz w:val="24"/>
          <w:szCs w:val="24"/>
        </w:rPr>
      </w:pPr>
      <w:bookmarkStart w:id="121" w:name="_Toc896"/>
      <w:bookmarkStart w:id="122" w:name="_Toc22442"/>
      <w:r>
        <w:rPr>
          <w:rFonts w:hint="eastAsia" w:ascii="宋体" w:hAnsi="宋体" w:eastAsia="宋体" w:cs="宋体"/>
          <w:b/>
          <w:bCs/>
          <w:sz w:val="24"/>
          <w:szCs w:val="24"/>
        </w:rPr>
        <w:t>九、</w:t>
      </w:r>
      <w:bookmarkEnd w:id="119"/>
      <w:bookmarkEnd w:id="120"/>
      <w:r>
        <w:rPr>
          <w:rFonts w:hint="eastAsia" w:ascii="宋体" w:hAnsi="宋体" w:eastAsia="宋体" w:cs="宋体"/>
          <w:b/>
          <w:bCs/>
          <w:sz w:val="24"/>
          <w:szCs w:val="24"/>
        </w:rPr>
        <w:t>磋商活动终止</w:t>
      </w:r>
      <w:bookmarkEnd w:id="121"/>
      <w:bookmarkEnd w:id="122"/>
    </w:p>
    <w:p>
      <w:pPr>
        <w:widowControl/>
        <w:spacing w:line="360" w:lineRule="auto"/>
        <w:ind w:firstLine="0" w:firstLineChars="0"/>
        <w:jc w:val="left"/>
        <w:outlineLvl w:val="2"/>
        <w:rPr>
          <w:rFonts w:hint="eastAsia" w:ascii="宋体" w:hAnsi="宋体" w:eastAsia="宋体" w:cs="宋体"/>
          <w:b/>
          <w:bCs/>
          <w:sz w:val="24"/>
          <w:szCs w:val="24"/>
        </w:rPr>
      </w:pPr>
      <w:bookmarkStart w:id="123" w:name="_Toc11684"/>
      <w:bookmarkStart w:id="124" w:name="_Toc7098"/>
      <w:bookmarkStart w:id="125" w:name="_Toc376936762"/>
      <w:bookmarkStart w:id="126" w:name="_Toc325726031"/>
      <w:r>
        <w:rPr>
          <w:rFonts w:hint="eastAsia" w:ascii="宋体" w:hAnsi="宋体" w:eastAsia="宋体" w:cs="宋体"/>
          <w:b/>
          <w:bCs/>
          <w:sz w:val="24"/>
          <w:szCs w:val="24"/>
        </w:rPr>
        <w:t>21.终止情形</w:t>
      </w:r>
      <w:bookmarkEnd w:id="123"/>
      <w:bookmarkEnd w:id="124"/>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21.1</w:t>
      </w:r>
      <w:bookmarkEnd w:id="125"/>
      <w:bookmarkEnd w:id="126"/>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7" w:name="_Toc325726032"/>
    </w:p>
    <w:p>
      <w:pPr>
        <w:widowControl/>
        <w:spacing w:line="360" w:lineRule="auto"/>
        <w:ind w:firstLine="0" w:firstLineChars="0"/>
        <w:jc w:val="center"/>
        <w:outlineLvl w:val="1"/>
        <w:rPr>
          <w:rFonts w:hint="eastAsia" w:ascii="宋体" w:hAnsi="宋体" w:eastAsia="宋体" w:cs="宋体"/>
          <w:b/>
          <w:bCs/>
          <w:sz w:val="24"/>
          <w:szCs w:val="24"/>
        </w:rPr>
      </w:pPr>
      <w:bookmarkStart w:id="128" w:name="_Toc27950"/>
      <w:bookmarkStart w:id="129" w:name="_Toc376936763"/>
      <w:bookmarkStart w:id="130" w:name="_Toc6646"/>
      <w:r>
        <w:rPr>
          <w:rFonts w:hint="eastAsia" w:ascii="宋体" w:hAnsi="宋体" w:eastAsia="宋体" w:cs="宋体"/>
          <w:b/>
          <w:bCs/>
          <w:sz w:val="24"/>
          <w:szCs w:val="24"/>
        </w:rPr>
        <w:t>十、处罚</w:t>
      </w:r>
      <w:bookmarkEnd w:id="127"/>
      <w:bookmarkEnd w:id="128"/>
      <w:bookmarkEnd w:id="129"/>
      <w:bookmarkEnd w:id="130"/>
    </w:p>
    <w:p>
      <w:pPr>
        <w:widowControl/>
        <w:spacing w:line="360" w:lineRule="auto"/>
        <w:ind w:firstLine="0" w:firstLineChars="0"/>
        <w:jc w:val="left"/>
        <w:outlineLvl w:val="2"/>
        <w:rPr>
          <w:rFonts w:hint="eastAsia" w:ascii="宋体" w:hAnsi="宋体" w:eastAsia="宋体" w:cs="宋体"/>
          <w:b/>
          <w:bCs/>
          <w:sz w:val="24"/>
          <w:szCs w:val="24"/>
        </w:rPr>
      </w:pPr>
      <w:bookmarkStart w:id="131" w:name="_Toc28018"/>
      <w:bookmarkStart w:id="132" w:name="_Toc17567"/>
      <w:bookmarkStart w:id="133" w:name="_Toc376936764"/>
      <w:bookmarkStart w:id="134" w:name="_Toc325726033"/>
      <w:r>
        <w:rPr>
          <w:rFonts w:hint="eastAsia" w:ascii="宋体" w:hAnsi="宋体" w:eastAsia="宋体" w:cs="宋体"/>
          <w:b/>
          <w:bCs/>
          <w:sz w:val="24"/>
          <w:szCs w:val="24"/>
        </w:rPr>
        <w:t>22.处罚情形</w:t>
      </w:r>
      <w:bookmarkEnd w:id="131"/>
      <w:bookmarkEnd w:id="132"/>
      <w:bookmarkEnd w:id="133"/>
      <w:bookmarkEnd w:id="134"/>
    </w:p>
    <w:p>
      <w:pPr>
        <w:autoSpaceDE w:val="0"/>
        <w:autoSpaceDN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sz w:val="24"/>
          <w:szCs w:val="24"/>
        </w:rPr>
      </w:pPr>
      <w:bookmarkStart w:id="135" w:name="_Toc19538"/>
      <w:bookmarkStart w:id="136" w:name="_Toc325726034"/>
      <w:bookmarkStart w:id="137" w:name="_Toc376936765"/>
      <w:bookmarkStart w:id="138" w:name="_Toc16406"/>
      <w:r>
        <w:rPr>
          <w:rFonts w:hint="eastAsia" w:ascii="宋体" w:hAnsi="宋体" w:eastAsia="宋体" w:cs="宋体"/>
          <w:b/>
          <w:bCs/>
          <w:sz w:val="24"/>
          <w:szCs w:val="24"/>
        </w:rPr>
        <w:t>十一、其他</w:t>
      </w:r>
      <w:bookmarkEnd w:id="135"/>
      <w:bookmarkEnd w:id="136"/>
      <w:bookmarkEnd w:id="137"/>
      <w:bookmarkEnd w:id="138"/>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sz w:val="24"/>
          <w:szCs w:val="24"/>
        </w:rPr>
      </w:pPr>
      <w:bookmarkStart w:id="139" w:name="_Toc30421"/>
      <w:r>
        <w:rPr>
          <w:rFonts w:hint="eastAsia" w:ascii="宋体" w:hAnsi="宋体" w:eastAsia="宋体" w:cs="宋体"/>
          <w:b/>
          <w:kern w:val="28"/>
          <w:sz w:val="36"/>
          <w:szCs w:val="20"/>
        </w:rPr>
        <w:t>第四部分  采购项目合同书</w:t>
      </w:r>
      <w:bookmarkEnd w:id="139"/>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宏业建设竞磋（货物）2020-020</w:t>
      </w:r>
    </w:p>
    <w:p>
      <w:pPr>
        <w:autoSpaceDE w:val="0"/>
        <w:autoSpaceDN w:val="0"/>
        <w:spacing w:line="360" w:lineRule="auto"/>
        <w:ind w:left="2108" w:leftChars="0" w:hanging="2108" w:hangingChars="700"/>
        <w:rPr>
          <w:rFonts w:hint="eastAsia" w:ascii="宋体" w:hAnsi="宋体" w:eastAsia="宋体" w:cs="宋体"/>
          <w:b/>
          <w:bCs/>
          <w:sz w:val="30"/>
          <w:szCs w:val="30"/>
          <w:lang w:val="zh-CN"/>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2020年防汛抢险除险物资采购</w:t>
      </w:r>
    </w:p>
    <w:p>
      <w:pPr>
        <w:autoSpaceDE w:val="0"/>
        <w:autoSpaceDN w:val="0"/>
        <w:spacing w:line="360" w:lineRule="auto"/>
        <w:ind w:firstLine="0" w:firstLineChars="0"/>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en-US" w:eastAsia="zh-CN"/>
        </w:rPr>
        <w:t>HYJS</w:t>
      </w:r>
      <w:r>
        <w:rPr>
          <w:rFonts w:hint="eastAsia" w:ascii="宋体" w:hAnsi="宋体" w:eastAsia="宋体" w:cs="宋体"/>
          <w:b/>
          <w:bCs/>
          <w:sz w:val="30"/>
          <w:szCs w:val="30"/>
          <w:u w:val="single"/>
          <w:lang w:val="zh-CN"/>
        </w:rPr>
        <w:t>-20</w:t>
      </w:r>
      <w:r>
        <w:rPr>
          <w:rFonts w:hint="eastAsia" w:ascii="宋体" w:hAnsi="宋体" w:eastAsia="宋体" w:cs="宋体"/>
          <w:b/>
          <w:bCs/>
          <w:sz w:val="30"/>
          <w:szCs w:val="30"/>
          <w:u w:val="single"/>
          <w:lang w:val="en-US" w:eastAsia="zh-CN"/>
        </w:rPr>
        <w:t>20</w:t>
      </w:r>
      <w:r>
        <w:rPr>
          <w:rFonts w:hint="eastAsia" w:ascii="宋体" w:hAnsi="宋体" w:eastAsia="宋体" w:cs="宋体"/>
          <w:b/>
          <w:bCs/>
          <w:sz w:val="30"/>
          <w:szCs w:val="30"/>
          <w:u w:val="single"/>
          <w:lang w:val="zh-CN"/>
        </w:rPr>
        <w:t>-</w:t>
      </w:r>
      <w:r>
        <w:rPr>
          <w:rFonts w:hint="eastAsia" w:ascii="宋体" w:hAnsi="宋体" w:eastAsia="宋体" w:cs="宋体"/>
          <w:b/>
          <w:bCs/>
          <w:sz w:val="30"/>
          <w:szCs w:val="30"/>
          <w:u w:val="single"/>
        </w:rPr>
        <w:t>0</w:t>
      </w:r>
      <w:r>
        <w:rPr>
          <w:rFonts w:hint="eastAsia" w:ascii="宋体" w:hAnsi="宋体" w:eastAsia="宋体" w:cs="宋体"/>
          <w:b/>
          <w:bCs/>
          <w:sz w:val="30"/>
          <w:szCs w:val="30"/>
          <w:u w:val="single"/>
          <w:lang w:val="en-US" w:eastAsia="zh-CN"/>
        </w:rPr>
        <w:t>20</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合同金额（人民币）：</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采购日期：</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pPr>
        <w:autoSpaceDE w:val="0"/>
        <w:autoSpaceDN w:val="0"/>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0"/>
        <w:spacing w:after="0" w:line="360" w:lineRule="auto"/>
        <w:ind w:left="0" w:leftChars="0" w:firstLine="480"/>
        <w:rPr>
          <w:rFonts w:hint="eastAsia" w:ascii="宋体" w:hAnsi="宋体" w:eastAsia="宋体" w:cs="宋体"/>
          <w:sz w:val="24"/>
          <w:szCs w:val="24"/>
          <w:lang w:val="zh-CN"/>
        </w:rPr>
      </w:pPr>
      <w:r>
        <w:rPr>
          <w:rFonts w:hint="eastAsia" w:ascii="宋体" w:hAnsi="宋体" w:eastAsia="宋体" w:cs="宋体"/>
          <w:sz w:val="24"/>
          <w:szCs w:val="24"/>
          <w:lang w:val="zh-CN"/>
        </w:rPr>
        <w:t>甲、乙双方根据年月日</w:t>
      </w:r>
      <w:r>
        <w:rPr>
          <w:rFonts w:hint="eastAsia" w:ascii="宋体" w:hAnsi="宋体" w:eastAsia="宋体" w:cs="宋体"/>
          <w:sz w:val="24"/>
          <w:szCs w:val="24"/>
          <w:u w:val="single"/>
          <w:lang w:val="zh-CN"/>
        </w:rPr>
        <w:t>2020年防汛抢险除险物资采购</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宏业建设竞磋（货物）2020-020</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河南宏业建设管理股份有限公司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6.履约保证金凭证</w:t>
      </w:r>
      <w:r>
        <w:rPr>
          <w:rFonts w:hint="eastAsia" w:ascii="宋体" w:hAnsi="宋体" w:eastAsia="宋体" w:cs="宋体"/>
          <w:sz w:val="24"/>
          <w:szCs w:val="24"/>
          <w:lang w:val="zh-CN"/>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bl>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 （大写）元。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w:t>
      </w:r>
      <w:r>
        <w:rPr>
          <w:rFonts w:hint="eastAsia" w:ascii="宋体" w:hAnsi="宋体" w:eastAsia="宋体" w:cs="宋体"/>
          <w:sz w:val="24"/>
        </w:rPr>
        <w:t>检验费、</w:t>
      </w:r>
      <w:r>
        <w:rPr>
          <w:rFonts w:hint="eastAsia" w:ascii="宋体" w:hAnsi="宋体" w:eastAsia="宋体" w:cs="宋体"/>
          <w:sz w:val="24"/>
          <w:lang w:val="zh-CN"/>
        </w:rPr>
        <w:t>售前、售中、售后服务费、中标服务费及不可预见费等全部费用。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四、付款方式</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lang w:val="zh-CN"/>
        </w:rPr>
        <w:t>签订合同时，乙方应当以支票、汇票、本票等非现金形式缴纳中标金额</w:t>
      </w:r>
      <w:r>
        <w:rPr>
          <w:rFonts w:hint="eastAsia" w:ascii="宋体" w:hAnsi="宋体" w:eastAsia="宋体" w:cs="宋体"/>
          <w:sz w:val="24"/>
          <w:u w:val="single"/>
        </w:rPr>
        <w:t>5</w:t>
      </w:r>
      <w:r>
        <w:rPr>
          <w:rFonts w:hint="eastAsia" w:ascii="宋体" w:hAnsi="宋体" w:eastAsia="宋体" w:cs="宋体"/>
          <w:sz w:val="24"/>
          <w:lang w:val="zh-CN"/>
        </w:rPr>
        <w:t>%的履约保证金到甲方指定的账户。</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乙方向甲方提交的履约保证金计（大写）转为质量保证金。质量保证金待约定的免费质保期满且产品无质量问题后，由乙方提出书面申请，甲方以转账方式予以退还。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u w:val="single"/>
        </w:rPr>
        <w:t>8</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账号：</w:t>
      </w:r>
    </w:p>
    <w:p>
      <w:pPr>
        <w:autoSpaceDE w:val="0"/>
        <w:autoSpaceDN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签约时间：年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lang w:val="zh-CN"/>
        </w:rPr>
        <w:t>河南宏业建设管理股份有限公司</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合同备案时间：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wordWrap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kern w:val="28"/>
          <w:sz w:val="36"/>
          <w:szCs w:val="20"/>
        </w:rPr>
      </w:pPr>
      <w:bookmarkStart w:id="140" w:name="_Toc12139"/>
      <w:r>
        <w:rPr>
          <w:rFonts w:hint="eastAsia" w:ascii="宋体" w:hAnsi="宋体" w:eastAsia="宋体" w:cs="宋体"/>
          <w:b/>
          <w:kern w:val="28"/>
          <w:sz w:val="36"/>
          <w:szCs w:val="20"/>
        </w:rPr>
        <w:t>第五部分  响应文件格式</w:t>
      </w:r>
      <w:bookmarkEnd w:id="140"/>
    </w:p>
    <w:p>
      <w:pPr>
        <w:widowControl/>
        <w:snapToGrid w:val="0"/>
        <w:spacing w:line="360" w:lineRule="auto"/>
        <w:ind w:firstLine="880" w:firstLineChars="200"/>
        <w:outlineLvl w:val="1"/>
        <w:rPr>
          <w:rFonts w:hint="eastAsia" w:ascii="宋体" w:hAnsi="宋体" w:eastAsia="宋体" w:cs="宋体"/>
          <w:b/>
          <w:sz w:val="28"/>
          <w:szCs w:val="28"/>
        </w:rPr>
      </w:pPr>
      <w:bookmarkStart w:id="141" w:name="_Toc16431"/>
      <w:bookmarkStart w:id="142" w:name="_Toc9848"/>
      <w:r>
        <w:rPr>
          <w:rFonts w:hint="eastAsia" w:ascii="宋体" w:hAnsi="宋体" w:eastAsia="宋体" w:cs="宋体"/>
          <w:sz w:val="44"/>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172720</wp:posOffset>
                </wp:positionV>
                <wp:extent cx="495300" cy="6976110"/>
                <wp:effectExtent l="7620" t="7620" r="11430" b="26670"/>
                <wp:wrapNone/>
                <wp:docPr id="1" name="文本框 1"/>
                <wp:cNvGraphicFramePr/>
                <a:graphic xmlns:a="http://schemas.openxmlformats.org/drawingml/2006/main">
                  <a:graphicData uri="http://schemas.microsoft.com/office/word/2010/wordprocessingShape">
                    <wps:wsp>
                      <wps:cNvSpPr txBox="1"/>
                      <wps:spPr>
                        <a:xfrm>
                          <a:off x="0" y="0"/>
                          <a:ext cx="495300" cy="697611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left="0" w:leftChars="0" w:firstLine="0" w:firstLineChars="0"/>
                              <w:rPr>
                                <w:rFonts w:hint="eastAsia" w:eastAsiaTheme="minorEastAsia"/>
                                <w:sz w:val="28"/>
                                <w:szCs w:val="28"/>
                                <w:lang w:eastAsia="zh-CN"/>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r>
                              <w:rPr>
                                <w:rFonts w:hint="eastAsia"/>
                                <w:sz w:val="28"/>
                                <w:szCs w:val="28"/>
                                <w:lang w:eastAsia="zh-CN"/>
                              </w:rPr>
                              <w:t>（背脊）</w:t>
                            </w:r>
                          </w:p>
                        </w:txbxContent>
                      </wps:txbx>
                      <wps:bodyPr vert="eaVert" upright="1"/>
                    </wps:wsp>
                  </a:graphicData>
                </a:graphic>
              </wp:anchor>
            </w:drawing>
          </mc:Choice>
          <mc:Fallback>
            <w:pict>
              <v:shape id="_x0000_s1026" o:spid="_x0000_s1026" o:spt="202" type="#_x0000_t202" style="position:absolute;left:0pt;margin-left:-37.4pt;margin-top:13.6pt;height:549.3pt;width:39pt;z-index:251658240;mso-width-relative:page;mso-height-relative:page;" fillcolor="#FFFFFF" filled="t" stroked="t" coordsize="21600,21600" o:gfxdata="UEsDBAoAAAAAAIdO4kAAAAAAAAAAAAAAAAAEAAAAZHJzL1BLAwQUAAAACACHTuJABvNckNgAAAAJ&#10;AQAADwAAAGRycy9kb3ducmV2LnhtbE2Py2rDMBBF94X+g5hAd4lk9+HgWA590EWgBJr2A2RrYptI&#10;I2Mpj/59p6tmNQxzuPdMtb54J044xSGQhmyhQCC1wQ7Uafj+ep8vQcRkyBoXCDX8YIR1fXtTmdKG&#10;M33iaZc6wSEUS6OhT2kspYxtj97ERRiR+LYPkzeJ16mTdjJnDvdO5ko9SW8G4obejPjaY3vYHT2X&#10;FC57y7p0aD72L1uPz5tWbTda380ytQKR8JL+YfjTZ3Wo2akJR7JROA3z4oHVk4a8yEEwcM+jYS7L&#10;H5cg60pef1D/AlBLAwQUAAAACACHTuJAmAcSAzUCAAB+BAAADgAAAGRycy9lMm9Eb2MueG1srVTN&#10;jtMwEL4j8Q6W7zTJlrbbqOlKtJQLAsTyc54mTmLJf7K9TfoC8Aac9sKd5+pzMHZCt4CEECIHZzLz&#10;zd8346xueinIgVnHtSpoNkkpYarUFVdNQd+/2z25psR5UBUIrVhBj8zRm/XjR6vO5OxKt1pUzBIM&#10;olzemYK23ps8SVzZMgluog1TaKy1leDx0zZJZaHD6FIkV2k6TzptK2N1yZxD7XYw0nWMX9es9K/r&#10;2jFPREGxNh9PG899OJP1CvLGgml5OZYB/1CFBK4w6TnUFjyQO8t/CyV5abXTtZ+UWia6rnnJYg/Y&#10;TZb+0s1tC4bFXpAcZ840uf8Xtnx1eGMJr3B2lCiQOKLTl8+n+2+nr59IFujpjMsRdWsQ5/tnug/Q&#10;Ue9QGbruayvDG/shaEeij2dyWe9Jicqny9k0RUuJpvlyMc+yyH7y4G2s8y+YliQIBbU4vMgpHF46&#10;jxkR+gMyUl3tuBDEav+R+zayFdJGo0OfQSBGI2GD2tlmvxGWHAD3YRef0AtGbtwlOkvDEyP92SV6&#10;jqkEVwTC3o9r5blgb7GJMYGFWG5IIxTpkMbZ9WKGhADufS3AoygNTsKpZsisBT+7/FTGYrrcbKZj&#10;5e4SFgjagmuHDqMpwCCX3DMbpZZB9VxVxB8NTlvhtaShGskqSgTDWxykiPTAxd8gkQShkMWwKsNK&#10;BMn3+x7DBHGvqyOuD/4ncK4MPuCbkjtjedOiIq5TdMYlH4YxXMhwiy6/Y4qH38b6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zXJDYAAAACQEAAA8AAAAAAAAAAQAgAAAAIgAAAGRycy9kb3ducmV2&#10;LnhtbFBLAQIUABQAAAAIAIdO4kCYBxIDNQIAAH4EAAAOAAAAAAAAAAEAIAAAACcBAABkcnMvZTJv&#10;RG9jLnhtbFBLBQYAAAAABgAGAFkBAADOBQAAAAA=&#10;">
                <v:fill type="gradient" on="t" color2="#FFFFFF" angle="90" focus="100%" focussize="0,0">
                  <o:fill type="gradientUnscaled" v:ext="backwardCompatible"/>
                </v:fill>
                <v:stroke weight="1.25pt" color="#739CC3" joinstyle="miter"/>
                <v:imagedata o:title=""/>
                <o:lock v:ext="edit" aspectratio="f"/>
                <v:textbox style="layout-flow:vertical-ideographic;">
                  <w:txbxContent>
                    <w:p>
                      <w:pPr>
                        <w:ind w:left="0" w:leftChars="0" w:firstLine="0" w:firstLineChars="0"/>
                        <w:rPr>
                          <w:rFonts w:hint="eastAsia" w:eastAsiaTheme="minorEastAsia"/>
                          <w:sz w:val="28"/>
                          <w:szCs w:val="28"/>
                          <w:lang w:eastAsia="zh-CN"/>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r>
                        <w:rPr>
                          <w:rFonts w:hint="eastAsia"/>
                          <w:sz w:val="28"/>
                          <w:szCs w:val="28"/>
                          <w:lang w:eastAsia="zh-CN"/>
                        </w:rPr>
                        <w:t>（背脊）</w:t>
                      </w:r>
                    </w:p>
                  </w:txbxContent>
                </v:textbox>
              </v:shape>
            </w:pict>
          </mc:Fallback>
        </mc:AlternateContent>
      </w:r>
      <w:r>
        <w:rPr>
          <w:rFonts w:hint="eastAsia" w:ascii="宋体" w:hAnsi="宋体" w:eastAsia="宋体" w:cs="宋体"/>
          <w:b/>
          <w:sz w:val="28"/>
          <w:szCs w:val="28"/>
        </w:rPr>
        <w:t>附件1：响应文件封面</w:t>
      </w:r>
      <w:bookmarkEnd w:id="141"/>
      <w:bookmarkEnd w:id="142"/>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2364" w:firstLineChars="327"/>
        <w:rPr>
          <w:rFonts w:hint="eastAsia"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hint="eastAsia" w:ascii="宋体" w:hAnsi="宋体" w:eastAsia="宋体" w:cs="宋体"/>
          <w:b/>
          <w:bCs/>
          <w:sz w:val="36"/>
          <w:szCs w:val="36"/>
        </w:rPr>
      </w:pP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3" w:leftChars="174" w:right="420" w:rightChars="200" w:hanging="2168" w:hangingChars="600"/>
        <w:textAlignment w:val="baseline"/>
        <w:rPr>
          <w:rFonts w:hint="eastAsia" w:ascii="宋体" w:hAnsi="宋体" w:eastAsia="宋体" w:cs="宋体"/>
          <w:b/>
          <w:bCs/>
          <w:sz w:val="36"/>
          <w:szCs w:val="36"/>
        </w:rPr>
      </w:pPr>
      <w:r>
        <w:rPr>
          <w:rFonts w:hint="eastAsia" w:ascii="宋体" w:hAnsi="宋体" w:eastAsia="宋体" w:cs="宋体"/>
          <w:b/>
          <w:bCs/>
          <w:sz w:val="36"/>
          <w:szCs w:val="36"/>
        </w:rPr>
        <w:t xml:space="preserve">采购项目名称： </w:t>
      </w: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hint="eastAsia" w:ascii="宋体" w:hAnsi="宋体" w:eastAsia="宋体" w:cs="宋体"/>
          <w:b/>
          <w:sz w:val="36"/>
          <w:szCs w:val="36"/>
        </w:rPr>
      </w:pPr>
    </w:p>
    <w:p>
      <w:pPr>
        <w:adjustRightInd w:val="0"/>
        <w:spacing w:line="360" w:lineRule="auto"/>
        <w:ind w:firstLine="0" w:firstLineChars="0"/>
        <w:textAlignment w:val="baseline"/>
        <w:rPr>
          <w:rFonts w:hint="eastAsia" w:ascii="宋体" w:hAnsi="宋体" w:eastAsia="宋体" w:cs="宋体"/>
          <w:b/>
          <w:sz w:val="36"/>
          <w:szCs w:val="36"/>
        </w:rPr>
      </w:pP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3" w:name="_Toc17238"/>
      <w:bookmarkStart w:id="144" w:name="_Toc30269"/>
      <w:r>
        <w:rPr>
          <w:rFonts w:hint="eastAsia" w:ascii="宋体" w:hAnsi="宋体" w:eastAsia="宋体" w:cs="宋体"/>
          <w:b/>
          <w:sz w:val="24"/>
          <w:szCs w:val="24"/>
        </w:rPr>
        <w:t>附件2</w:t>
      </w:r>
      <w:bookmarkStart w:id="145" w:name="_Toc376936768"/>
      <w:bookmarkStart w:id="146" w:name="_Toc325726037"/>
      <w:r>
        <w:rPr>
          <w:rFonts w:hint="eastAsia" w:ascii="宋体" w:hAnsi="宋体" w:eastAsia="宋体" w:cs="宋体"/>
          <w:b/>
          <w:sz w:val="24"/>
          <w:szCs w:val="24"/>
        </w:rPr>
        <w:t>：磋商函</w:t>
      </w:r>
      <w:bookmarkEnd w:id="143"/>
      <w:bookmarkEnd w:id="144"/>
      <w:bookmarkEnd w:id="145"/>
      <w:bookmarkEnd w:id="146"/>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hint="eastAsia" w:ascii="宋体" w:hAnsi="宋体" w:eastAsia="宋体" w:cs="宋体"/>
          <w:b/>
          <w:sz w:val="24"/>
          <w:szCs w:val="24"/>
        </w:rPr>
      </w:pPr>
      <w:r>
        <w:rPr>
          <w:rFonts w:hint="eastAsia" w:ascii="宋体" w:hAnsi="宋体" w:eastAsia="宋体" w:cs="宋体"/>
          <w:b/>
          <w:sz w:val="24"/>
          <w:szCs w:val="24"/>
        </w:rPr>
        <w:t xml:space="preserve">致： </w:t>
      </w:r>
      <w:r>
        <w:rPr>
          <w:rFonts w:hint="eastAsia" w:ascii="宋体" w:hAnsi="宋体" w:eastAsia="宋体" w:cs="宋体"/>
          <w:sz w:val="24"/>
          <w:u w:val="single"/>
          <w:lang w:val="zh-CN"/>
        </w:rPr>
        <w:t>采购代理机构</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u w:val="single"/>
          <w:lang w:val="zh-CN"/>
        </w:rPr>
        <w:t>采购项目名称（采购项目编号）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7" w:name="_Toc31069"/>
      <w:bookmarkStart w:id="148" w:name="_Toc26950"/>
      <w:r>
        <w:rPr>
          <w:rFonts w:hint="eastAsia" w:ascii="宋体" w:hAnsi="宋体" w:eastAsia="宋体" w:cs="宋体"/>
          <w:b/>
          <w:sz w:val="24"/>
          <w:szCs w:val="24"/>
        </w:rPr>
        <w:t>附件3：投标报价一览表</w:t>
      </w:r>
      <w:bookmarkEnd w:id="147"/>
      <w:bookmarkEnd w:id="148"/>
    </w:p>
    <w:p>
      <w:pPr>
        <w:spacing w:line="360" w:lineRule="auto"/>
        <w:ind w:firstLine="0" w:firstLineChars="0"/>
        <w:textAlignment w:val="baseline"/>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4"/>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4"/>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4"/>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4"/>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4"/>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4"/>
              <w:spacing w:line="360" w:lineRule="auto"/>
              <w:ind w:firstLine="0" w:firstLineChars="0"/>
              <w:rPr>
                <w:rFonts w:hint="eastAsia" w:ascii="宋体" w:hAnsi="宋体" w:eastAsia="宋体" w:cs="宋体"/>
                <w:sz w:val="24"/>
                <w:szCs w:val="24"/>
                <w:lang w:val="zh-CN"/>
              </w:rPr>
            </w:pPr>
          </w:p>
          <w:p>
            <w:pPr>
              <w:pStyle w:val="4"/>
              <w:spacing w:line="360" w:lineRule="auto"/>
              <w:ind w:firstLine="0" w:firstLineChars="0"/>
              <w:rPr>
                <w:rFonts w:hint="eastAsia" w:ascii="宋体" w:hAnsi="宋体" w:eastAsia="宋体" w:cs="宋体"/>
                <w:sz w:val="24"/>
                <w:szCs w:val="24"/>
                <w:lang w:val="zh-CN"/>
              </w:rPr>
            </w:pP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hint="eastAsia" w:ascii="宋体" w:hAnsi="宋体" w:eastAsia="宋体" w:cs="宋体"/>
          <w:b/>
          <w:bCs/>
          <w:sz w:val="24"/>
          <w:szCs w:val="24"/>
          <w:lang w:val="zh-CN"/>
        </w:rPr>
      </w:pP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
          <w:color w:val="000000"/>
          <w:sz w:val="28"/>
          <w:szCs w:val="28"/>
        </w:rPr>
      </w:pPr>
      <w:r>
        <w:rPr>
          <w:rFonts w:hint="eastAsia" w:ascii="宋体" w:hAnsi="宋体" w:eastAsia="宋体" w:cs="宋体"/>
          <w:b/>
          <w:sz w:val="24"/>
          <w:szCs w:val="24"/>
        </w:rPr>
        <w:br w:type="page"/>
      </w:r>
      <w:r>
        <w:rPr>
          <w:rFonts w:hint="eastAsia" w:ascii="宋体" w:hAnsi="宋体" w:eastAsia="宋体" w:cs="宋体"/>
          <w:b/>
          <w:color w:val="000000"/>
          <w:sz w:val="28"/>
          <w:szCs w:val="28"/>
        </w:rPr>
        <w:t>技术规格响应表</w:t>
      </w:r>
    </w:p>
    <w:p>
      <w:pPr>
        <w:spacing w:line="360" w:lineRule="auto"/>
        <w:ind w:firstLine="0" w:firstLineChars="0"/>
        <w:rPr>
          <w:rFonts w:hint="eastAsia" w:ascii="宋体" w:hAnsi="宋体" w:eastAsia="宋体" w:cs="宋体"/>
          <w:b/>
          <w:color w:val="000000"/>
          <w:sz w:val="24"/>
          <w:szCs w:val="24"/>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技术规格响应表</w:t>
      </w:r>
    </w:p>
    <w:p>
      <w:pPr>
        <w:autoSpaceDE w:val="0"/>
        <w:autoSpaceDN w:val="0"/>
        <w:spacing w:line="360" w:lineRule="auto"/>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供应商名称</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包号：</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bl>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注：1.本表应按照每包“项目概况及技术参数”中产品序号的指标逐项填写，不得遗漏。</w:t>
      </w:r>
    </w:p>
    <w:p>
      <w:pPr>
        <w:numPr>
          <w:ilvl w:val="0"/>
          <w:numId w:val="2"/>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必须与投标文件中提供的产品检测报告、彩页等证明材料的实质性响应情况相一致。若在评标环节发现该项与响应文件中提供的产品检测报告、彩页（或厂家公开发布的资料参数）等证明材料的实质性响应情况不一致或直接复制招标文件“采购需求技术参数、指标”内容的，按无效投标处理。</w:t>
      </w:r>
    </w:p>
    <w:p>
      <w:pPr>
        <w:numPr>
          <w:ilvl w:val="0"/>
          <w:numId w:val="2"/>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填写此表时以招标项目参数要求为基本投标要求，满足招标项目参数要求的指标需列出“</w:t>
      </w:r>
      <w:r>
        <w:rPr>
          <w:rFonts w:hint="eastAsia" w:ascii="宋体" w:hAnsi="宋体" w:eastAsia="宋体" w:cs="宋体"/>
          <w:color w:val="000000"/>
          <w:sz w:val="24"/>
          <w:szCs w:val="24"/>
        </w:rPr>
        <w:t>0</w:t>
      </w:r>
      <w:r>
        <w:rPr>
          <w:rFonts w:hint="eastAsia" w:ascii="宋体" w:hAnsi="宋体" w:eastAsia="宋体" w:cs="宋体"/>
          <w:color w:val="00000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 xml:space="preserve">供应商：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 xml:space="preserve">  （公章）</w:t>
      </w:r>
    </w:p>
    <w:p>
      <w:pPr>
        <w:autoSpaceDE w:val="0"/>
        <w:autoSpaceDN w:val="0"/>
        <w:spacing w:line="360" w:lineRule="auto"/>
        <w:ind w:firstLine="482"/>
        <w:jc w:val="center"/>
        <w:rPr>
          <w:rFonts w:hint="eastAsia" w:ascii="宋体" w:hAnsi="宋体" w:eastAsia="宋体" w:cs="宋体"/>
          <w:b/>
          <w:sz w:val="24"/>
          <w:szCs w:val="24"/>
        </w:rPr>
      </w:pPr>
      <w:r>
        <w:rPr>
          <w:rFonts w:hint="eastAsia" w:ascii="宋体" w:hAnsi="宋体" w:eastAsia="宋体" w:cs="宋体"/>
          <w:b/>
          <w:bCs/>
          <w:color w:val="000000"/>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49" w:name="_Toc13693"/>
      <w:bookmarkStart w:id="150" w:name="_Toc14675"/>
      <w:r>
        <w:rPr>
          <w:rFonts w:hint="eastAsia" w:ascii="宋体" w:hAnsi="宋体" w:eastAsia="宋体" w:cs="宋体"/>
          <w:b/>
          <w:sz w:val="24"/>
          <w:szCs w:val="24"/>
        </w:rPr>
        <w:t>附件</w:t>
      </w:r>
      <w:bookmarkStart w:id="151" w:name="_Toc376936774"/>
      <w:bookmarkStart w:id="152" w:name="_Toc325726043"/>
      <w:r>
        <w:rPr>
          <w:rFonts w:hint="eastAsia" w:ascii="宋体" w:hAnsi="宋体" w:eastAsia="宋体" w:cs="宋体"/>
          <w:b/>
          <w:sz w:val="24"/>
          <w:szCs w:val="24"/>
        </w:rPr>
        <w:t>4：法定代表人证明书</w:t>
      </w:r>
      <w:bookmarkEnd w:id="149"/>
      <w:bookmarkEnd w:id="150"/>
      <w:bookmarkEnd w:id="151"/>
      <w:bookmarkEnd w:id="152"/>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hint="eastAsia" w:ascii="宋体" w:hAnsi="宋体" w:eastAsia="宋体" w:cs="宋体"/>
          <w:sz w:val="24"/>
          <w:szCs w:val="24"/>
          <w:u w:val="single"/>
        </w:rPr>
      </w:pPr>
      <w:r>
        <w:rPr>
          <w:rFonts w:hint="eastAsia" w:ascii="宋体" w:hAnsi="宋体" w:eastAsia="宋体" w:cs="宋体"/>
          <w:sz w:val="24"/>
          <w:szCs w:val="24"/>
        </w:rPr>
        <w:t>身份证号码：</w:t>
      </w:r>
    </w:p>
    <w:p>
      <w:pPr>
        <w:pStyle w:val="6"/>
        <w:spacing w:before="67"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法定代表人第二代身份证双面扫描（或复印）件，身份证双面扫描（或复印）件上须由法定代表人签字并加盖法定代表人章</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3" w:name="_Toc201287639"/>
      <w:bookmarkStart w:id="154" w:name="_Toc324756736"/>
      <w:bookmarkStart w:id="155" w:name="_Toc29201"/>
      <w:bookmarkStart w:id="156" w:name="_Toc31614"/>
      <w:r>
        <w:rPr>
          <w:rFonts w:hint="eastAsia" w:ascii="宋体" w:hAnsi="宋体" w:eastAsia="宋体" w:cs="宋体"/>
          <w:b/>
          <w:sz w:val="24"/>
          <w:szCs w:val="24"/>
        </w:rPr>
        <w:t>附件</w:t>
      </w:r>
      <w:bookmarkEnd w:id="153"/>
      <w:bookmarkEnd w:id="154"/>
      <w:r>
        <w:rPr>
          <w:rFonts w:hint="eastAsia" w:ascii="宋体" w:hAnsi="宋体" w:eastAsia="宋体" w:cs="宋体"/>
          <w:b/>
          <w:sz w:val="24"/>
          <w:szCs w:val="24"/>
        </w:rPr>
        <w:t>5：法定代表人授权书</w:t>
      </w:r>
      <w:bookmarkEnd w:id="155"/>
      <w:bookmarkEnd w:id="156"/>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u w:val="single"/>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职务：                   职务：</w:t>
      </w:r>
    </w:p>
    <w:p>
      <w:pPr>
        <w:pStyle w:val="6"/>
        <w:spacing w:before="66"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被授权人第二代身份证双面扫描（或复印）件，身份证双面扫描（或复印）件上须由被授权人签字</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7" w:name="_Toc25884"/>
      <w:bookmarkStart w:id="158" w:name="_Toc30284"/>
      <w:r>
        <w:rPr>
          <w:rFonts w:hint="eastAsia" w:ascii="宋体" w:hAnsi="宋体" w:eastAsia="宋体" w:cs="宋体"/>
          <w:b/>
          <w:sz w:val="24"/>
          <w:szCs w:val="24"/>
        </w:rPr>
        <w:t>附件6：供应商承诺函</w:t>
      </w:r>
      <w:bookmarkEnd w:id="157"/>
      <w:bookmarkEnd w:id="158"/>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（采购项目名称）</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9" w:name="_Toc11349"/>
      <w:bookmarkStart w:id="160" w:name="_Toc11173"/>
      <w:r>
        <w:rPr>
          <w:rFonts w:hint="eastAsia" w:ascii="宋体" w:hAnsi="宋体" w:eastAsia="宋体" w:cs="宋体"/>
          <w:b/>
          <w:sz w:val="24"/>
          <w:szCs w:val="24"/>
        </w:rPr>
        <w:t>附件</w:t>
      </w:r>
      <w:bookmarkStart w:id="161" w:name="_Toc365019584"/>
      <w:bookmarkStart w:id="162" w:name="_Toc351475542"/>
      <w:bookmarkStart w:id="163" w:name="_Toc376936779"/>
      <w:r>
        <w:rPr>
          <w:rFonts w:hint="eastAsia" w:ascii="宋体" w:hAnsi="宋体" w:eastAsia="宋体" w:cs="宋体"/>
          <w:b/>
          <w:sz w:val="24"/>
          <w:szCs w:val="24"/>
        </w:rPr>
        <w:t>7：</w:t>
      </w:r>
      <w:bookmarkEnd w:id="159"/>
      <w:bookmarkEnd w:id="160"/>
      <w:bookmarkEnd w:id="161"/>
      <w:bookmarkEnd w:id="162"/>
      <w:bookmarkEnd w:id="163"/>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u w:val="single"/>
        </w:rPr>
        <w:t>（采购代理机构）</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both"/>
        <w:rPr>
          <w:rFonts w:hint="eastAsia" w:ascii="宋体" w:hAnsi="宋体" w:eastAsia="宋体" w:cs="宋体"/>
          <w:b/>
          <w:sz w:val="24"/>
          <w:szCs w:val="24"/>
        </w:rPr>
      </w:pPr>
      <w:r>
        <w:rPr>
          <w:rFonts w:hint="eastAsia" w:ascii="宋体" w:hAnsi="宋体" w:eastAsia="宋体" w:cs="宋体"/>
          <w:b/>
          <w:sz w:val="24"/>
          <w:szCs w:val="24"/>
        </w:rPr>
        <w:br w:type="page"/>
      </w:r>
      <w:bookmarkStart w:id="164" w:name="_Toc25993"/>
      <w:bookmarkStart w:id="165" w:name="_Toc7486"/>
      <w:r>
        <w:rPr>
          <w:rFonts w:hint="eastAsia" w:ascii="宋体" w:hAnsi="宋体" w:eastAsia="宋体" w:cs="宋体"/>
          <w:b/>
          <w:sz w:val="24"/>
          <w:szCs w:val="24"/>
        </w:rPr>
        <w:t>附件8：资格证明材料</w:t>
      </w:r>
      <w:bookmarkEnd w:id="164"/>
      <w:bookmarkEnd w:id="165"/>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hint="eastAsia" w:ascii="宋体" w:hAnsi="宋体" w:eastAsia="宋体" w:cs="宋体"/>
          <w:sz w:val="24"/>
          <w:szCs w:val="24"/>
          <w:lang w:val="zh-CN"/>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6" w:name="_Toc19128"/>
      <w:bookmarkStart w:id="167" w:name="_Toc32130"/>
      <w:r>
        <w:rPr>
          <w:rFonts w:hint="eastAsia" w:ascii="宋体" w:hAnsi="宋体" w:eastAsia="宋体" w:cs="宋体"/>
          <w:b/>
          <w:sz w:val="24"/>
          <w:szCs w:val="24"/>
        </w:rPr>
        <w:t>附件9：财务状况证明</w:t>
      </w:r>
      <w:bookmarkEnd w:id="166"/>
      <w:bookmarkEnd w:id="167"/>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1、投标人基本开户银行近三个月内出具的资信证明或经第三方机构出具的201</w:t>
      </w:r>
      <w:r>
        <w:rPr>
          <w:rFonts w:hint="eastAsia" w:ascii="宋体" w:hAnsi="宋体" w:eastAsia="宋体" w:cs="宋体"/>
          <w:sz w:val="24"/>
          <w:szCs w:val="24"/>
          <w:lang w:val="en-US" w:eastAsia="zh-CN"/>
        </w:rPr>
        <w:t>9</w:t>
      </w:r>
      <w:r>
        <w:rPr>
          <w:rFonts w:hint="eastAsia" w:ascii="宋体" w:hAnsi="宋体" w:eastAsia="宋体" w:cs="宋体"/>
          <w:sz w:val="24"/>
          <w:szCs w:val="24"/>
        </w:rPr>
        <w:t>年度财务状况审计报告（扫描或复印件应全面、完整、清晰），包括资产负债表、现金流量表、利润表和财务（会计）报表附注,并提供第三方机构的营业执照、执业证书。</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2、依法缴纳</w:t>
      </w:r>
      <w:r>
        <w:rPr>
          <w:rFonts w:hint="eastAsia" w:ascii="宋体" w:hAnsi="宋体" w:eastAsia="宋体" w:cs="宋体"/>
          <w:sz w:val="24"/>
          <w:szCs w:val="24"/>
          <w:lang w:eastAsia="zh-CN"/>
        </w:rPr>
        <w:t>近三个月的</w:t>
      </w:r>
      <w:r>
        <w:rPr>
          <w:rFonts w:hint="eastAsia" w:ascii="宋体" w:hAnsi="宋体" w:eastAsia="宋体" w:cs="宋体"/>
          <w:sz w:val="24"/>
          <w:szCs w:val="24"/>
        </w:rPr>
        <w:t>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8" w:name="_Toc27149"/>
      <w:bookmarkStart w:id="169"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sz w:val="24"/>
          <w:szCs w:val="24"/>
          <w:lang w:val="zh-CN"/>
        </w:rPr>
      </w:pP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供应商应按不低于招标项目要求，针对该项目的实施，投标人必须具备履行合同的设备和技术的能力且提供</w:t>
      </w:r>
      <w:r>
        <w:rPr>
          <w:rFonts w:hint="eastAsia" w:ascii="宋体" w:hAnsi="宋体" w:eastAsia="宋体" w:cs="宋体"/>
          <w:color w:val="000000" w:themeColor="text1"/>
          <w:kern w:val="0"/>
          <w:sz w:val="24"/>
          <w:szCs w:val="24"/>
          <w:lang w:val="zh-CN"/>
          <w14:textFill>
            <w14:solidFill>
              <w14:schemeClr w14:val="tx1"/>
            </w14:solidFill>
          </w14:textFill>
        </w:rPr>
        <w:t>承诺函（格式自拟）；须提供相关设备的购置发票及相关人员的职称证书和用工合同等证明材料。</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480"/>
        <w:rPr>
          <w:rFonts w:hint="eastAsia"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sz w:val="24"/>
          <w:szCs w:val="24"/>
        </w:rPr>
      </w:pPr>
      <w:r>
        <w:rPr>
          <w:rFonts w:hint="eastAsia" w:ascii="宋体" w:hAnsi="宋体" w:eastAsia="宋体" w:cs="宋体"/>
          <w:b/>
          <w:sz w:val="24"/>
          <w:szCs w:val="24"/>
        </w:rPr>
        <w:t>附件1</w:t>
      </w:r>
      <w:bookmarkStart w:id="170" w:name="_Toc376936781"/>
      <w:bookmarkStart w:id="171" w:name="_Toc325726049"/>
      <w:r>
        <w:rPr>
          <w:rFonts w:hint="eastAsia" w:ascii="宋体" w:hAnsi="宋体" w:eastAsia="宋体" w:cs="宋体"/>
          <w:b/>
          <w:sz w:val="24"/>
          <w:szCs w:val="24"/>
        </w:rPr>
        <w:t>1：</w:t>
      </w:r>
      <w:bookmarkEnd w:id="170"/>
      <w:bookmarkEnd w:id="171"/>
      <w:r>
        <w:rPr>
          <w:rFonts w:hint="eastAsia" w:ascii="宋体" w:hAnsi="宋体" w:eastAsia="宋体" w:cs="宋体"/>
          <w:b/>
          <w:sz w:val="24"/>
          <w:szCs w:val="24"/>
        </w:rPr>
        <w:t>无重大违法记录声明</w:t>
      </w:r>
      <w:bookmarkEnd w:id="168"/>
      <w:bookmarkEnd w:id="169"/>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sz w:val="24"/>
          <w:u w:val="single"/>
          <w:lang w:val="zh-CN"/>
        </w:rPr>
        <w:t>采购代理机构</w:t>
      </w:r>
    </w:p>
    <w:p>
      <w:pPr>
        <w:spacing w:line="360" w:lineRule="auto"/>
        <w:ind w:firstLine="482"/>
        <w:rPr>
          <w:rFonts w:hint="eastAsia" w:ascii="宋体" w:hAnsi="宋体" w:eastAsia="宋体" w:cs="宋体"/>
          <w:b/>
          <w:bCs/>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hint="eastAsia"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72" w:name="_Toc24531"/>
      <w:bookmarkStart w:id="173" w:name="_Toc22957"/>
      <w:r>
        <w:rPr>
          <w:rFonts w:hint="eastAsia" w:ascii="宋体" w:hAnsi="宋体" w:eastAsia="宋体" w:cs="宋体"/>
          <w:b/>
          <w:sz w:val="24"/>
          <w:szCs w:val="24"/>
        </w:rPr>
        <w:t>附件12：磋商保证金</w:t>
      </w:r>
      <w:bookmarkEnd w:id="172"/>
      <w:bookmarkEnd w:id="173"/>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hint="eastAsia" w:ascii="宋体" w:hAnsi="宋体" w:eastAsia="宋体" w:cs="宋体"/>
          <w:b/>
          <w:sz w:val="24"/>
          <w:szCs w:val="24"/>
        </w:rPr>
      </w:pP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lang w:eastAsia="zh-CN"/>
        </w:rPr>
      </w:pPr>
      <w:bookmarkStart w:id="174" w:name="_Toc1224"/>
      <w:r>
        <w:rPr>
          <w:rFonts w:hint="eastAsia" w:ascii="宋体" w:hAnsi="宋体" w:eastAsia="宋体" w:cs="宋体"/>
          <w:b/>
          <w:sz w:val="24"/>
          <w:szCs w:val="24"/>
        </w:rPr>
        <w:t>附件1</w:t>
      </w: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eastAsia="宋体" w:cs="宋体"/>
          <w:b/>
          <w:sz w:val="24"/>
          <w:szCs w:val="24"/>
          <w:lang w:eastAsia="zh-CN"/>
        </w:rPr>
        <w:t>供应商认为在其他方面有必要说明的事项</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供应商认为在其他方面有必要说明的事项</w:t>
      </w:r>
    </w:p>
    <w:p>
      <w:pPr>
        <w:spacing w:line="360" w:lineRule="auto"/>
        <w:ind w:firstLine="0" w:firstLine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格式自定</w:t>
      </w:r>
    </w:p>
    <w:p>
      <w:pPr>
        <w:spacing w:line="360" w:lineRule="auto"/>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bCs/>
          <w:sz w:val="24"/>
          <w:szCs w:val="24"/>
        </w:rPr>
      </w:pPr>
      <w:r>
        <w:rPr>
          <w:rFonts w:hint="eastAsia" w:ascii="宋体" w:hAnsi="宋体" w:eastAsia="宋体" w:cs="宋体"/>
          <w:b/>
          <w:sz w:val="24"/>
          <w:szCs w:val="24"/>
        </w:rPr>
        <w:t>附件1</w:t>
      </w:r>
      <w:r>
        <w:rPr>
          <w:rFonts w:hint="eastAsia" w:ascii="宋体" w:hAnsi="宋体" w:eastAsia="宋体" w:cs="宋体"/>
          <w:b/>
          <w:sz w:val="24"/>
          <w:szCs w:val="24"/>
          <w:lang w:val="en-US" w:eastAsia="zh-CN"/>
        </w:rPr>
        <w:t>4</w:t>
      </w:r>
      <w:r>
        <w:rPr>
          <w:rFonts w:hint="eastAsia" w:ascii="宋体" w:hAnsi="宋体" w:eastAsia="宋体" w:cs="宋体"/>
          <w:b/>
          <w:sz w:val="24"/>
          <w:szCs w:val="24"/>
        </w:rPr>
        <w:t>：供应商最后报价表</w:t>
      </w:r>
      <w:bookmarkEnd w:id="174"/>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bookmarkStart w:id="175" w:name="_Toc408326292"/>
      <w:r>
        <w:rPr>
          <w:rFonts w:hint="eastAsia" w:ascii="宋体" w:hAnsi="宋体" w:eastAsia="宋体" w:cs="宋体"/>
          <w:b/>
          <w:sz w:val="24"/>
          <w:szCs w:val="24"/>
        </w:rPr>
        <w:t>供应商最后报价表</w:t>
      </w:r>
      <w:bookmarkEnd w:id="175"/>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b/>
          <w:sz w:val="24"/>
          <w:szCs w:val="24"/>
        </w:rPr>
        <w:t>项目名称：</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sz w:val="24"/>
                <w:szCs w:val="24"/>
              </w:rPr>
            </w:pPr>
          </w:p>
        </w:tc>
        <w:tc>
          <w:tcPr>
            <w:tcW w:w="2233" w:type="dxa"/>
          </w:tcPr>
          <w:p>
            <w:pPr>
              <w:spacing w:line="360" w:lineRule="auto"/>
              <w:ind w:firstLine="0" w:firstLineChars="0"/>
              <w:rPr>
                <w:rFonts w:hint="eastAsia" w:ascii="宋体" w:hAnsi="宋体" w:eastAsia="宋体" w:cs="宋体"/>
                <w:sz w:val="24"/>
                <w:szCs w:val="24"/>
              </w:rPr>
            </w:pPr>
          </w:p>
        </w:tc>
        <w:tc>
          <w:tcPr>
            <w:tcW w:w="2420" w:type="dxa"/>
          </w:tcPr>
          <w:p>
            <w:pPr>
              <w:spacing w:line="360" w:lineRule="auto"/>
              <w:ind w:firstLine="0" w:firstLineChars="0"/>
              <w:rPr>
                <w:rFonts w:hint="eastAsia" w:ascii="宋体" w:hAnsi="宋体" w:eastAsia="宋体" w:cs="宋体"/>
                <w:sz w:val="24"/>
                <w:szCs w:val="24"/>
              </w:rPr>
            </w:pPr>
          </w:p>
        </w:tc>
        <w:tc>
          <w:tcPr>
            <w:tcW w:w="2581"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tc>
      </w:tr>
    </w:tbl>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sz w:val="24"/>
          <w:szCs w:val="24"/>
        </w:rPr>
        <w:t>年   月  日</w:t>
      </w:r>
    </w:p>
    <w:p>
      <w:pPr>
        <w:keepNext/>
        <w:keepLines/>
        <w:widowControl/>
        <w:numPr>
          <w:ilvl w:val="0"/>
          <w:numId w:val="3"/>
        </w:numPr>
        <w:snapToGrid w:val="0"/>
        <w:spacing w:line="360" w:lineRule="auto"/>
        <w:ind w:firstLine="0" w:firstLineChars="0"/>
        <w:jc w:val="center"/>
        <w:outlineLvl w:val="0"/>
        <w:rPr>
          <w:rFonts w:hint="eastAsia" w:ascii="宋体" w:hAnsi="宋体" w:eastAsia="宋体" w:cs="宋体"/>
          <w:b/>
          <w:kern w:val="28"/>
          <w:sz w:val="36"/>
          <w:szCs w:val="20"/>
        </w:rPr>
      </w:pPr>
      <w:bookmarkStart w:id="176" w:name="_Toc26743"/>
      <w:r>
        <w:rPr>
          <w:rFonts w:hint="eastAsia" w:ascii="宋体" w:hAnsi="宋体" w:eastAsia="宋体" w:cs="宋体"/>
          <w:b/>
          <w:kern w:val="28"/>
          <w:sz w:val="36"/>
          <w:szCs w:val="20"/>
        </w:rPr>
        <w:t xml:space="preserve"> 采购项目要求及技术参数</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1.交货时间：</w:t>
      </w:r>
      <w:r>
        <w:rPr>
          <w:rFonts w:hint="eastAsia" w:ascii="宋体" w:hAnsi="宋体" w:eastAsia="宋体" w:cs="宋体"/>
          <w:sz w:val="24"/>
          <w:szCs w:val="24"/>
          <w:lang w:val="en-US" w:eastAsia="zh-CN"/>
        </w:rPr>
        <w:t>按合同约定执行</w:t>
      </w:r>
    </w:p>
    <w:p>
      <w:pPr>
        <w:spacing w:line="360" w:lineRule="auto"/>
        <w:ind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2.交货地点：</w:t>
      </w:r>
      <w:r>
        <w:rPr>
          <w:rFonts w:hint="eastAsia" w:ascii="宋体" w:hAnsi="宋体" w:eastAsia="宋体" w:cs="宋体"/>
          <w:sz w:val="24"/>
          <w:szCs w:val="24"/>
          <w:lang w:eastAsia="zh-CN"/>
        </w:rPr>
        <w:t>甲方指定地点</w:t>
      </w:r>
    </w:p>
    <w:p>
      <w:pPr>
        <w:numPr>
          <w:ilvl w:val="0"/>
          <w:numId w:val="0"/>
        </w:num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.付款方式：验收合格后一次性付清。</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产品技术参数：（附后）</w:t>
      </w:r>
    </w:p>
    <w:tbl>
      <w:tblPr>
        <w:tblStyle w:val="21"/>
        <w:tblW w:w="9885"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65"/>
        <w:gridCol w:w="4005"/>
        <w:gridCol w:w="780"/>
        <w:gridCol w:w="96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65"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产品名称</w:t>
            </w:r>
          </w:p>
        </w:tc>
        <w:tc>
          <w:tcPr>
            <w:tcW w:w="4005"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技术参数</w:t>
            </w:r>
          </w:p>
        </w:tc>
        <w:tc>
          <w:tcPr>
            <w:tcW w:w="780"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960"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2070"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65" w:type="dxa"/>
            <w:vAlign w:val="center"/>
          </w:tcPr>
          <w:p>
            <w:pPr>
              <w:numPr>
                <w:ilvl w:val="0"/>
                <w:numId w:val="0"/>
              </w:numPr>
              <w:spacing w:line="360" w:lineRule="auto"/>
              <w:jc w:val="center"/>
              <w:rPr>
                <w:rFonts w:hint="eastAsia" w:ascii="宋体" w:hAnsi="宋体" w:eastAsia="宋体" w:cs="宋体"/>
                <w:sz w:val="24"/>
                <w:szCs w:val="24"/>
                <w:vertAlign w:val="baseline"/>
              </w:rPr>
            </w:pPr>
            <w:r>
              <w:rPr>
                <w:rFonts w:hint="eastAsia" w:ascii="宋体" w:hAnsi="宋体"/>
                <w:szCs w:val="21"/>
              </w:rPr>
              <w:t>编织袋</w:t>
            </w:r>
          </w:p>
        </w:tc>
        <w:tc>
          <w:tcPr>
            <w:tcW w:w="4005" w:type="dxa"/>
            <w:vAlign w:val="center"/>
          </w:tcPr>
          <w:p>
            <w:pPr>
              <w:ind w:left="0" w:leftChars="0" w:firstLine="0" w:firstLineChars="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55*95厘米</w:t>
            </w:r>
          </w:p>
          <w:p>
            <w:pPr>
              <w:ind w:left="0" w:leftChars="0" w:firstLine="0" w:firstLineChars="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产品用料:PP颗粒聚丙烯</w:t>
            </w:r>
          </w:p>
          <w:p>
            <w:pPr>
              <w:ind w:left="0" w:leftChars="0" w:firstLine="0" w:firstLineChars="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产品重量：65g左右/平方</w:t>
            </w:r>
          </w:p>
          <w:p>
            <w:pPr>
              <w:ind w:left="0" w:leftChars="0" w:firstLine="0" w:firstLineChars="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长度误差3-5mm，宽度误差：1－3mm</w:t>
            </w:r>
          </w:p>
          <w:p>
            <w:pPr>
              <w:ind w:left="0" w:leftChars="0" w:firstLine="0" w:firstLineChars="0"/>
              <w:jc w:val="both"/>
              <w:rPr>
                <w:rFonts w:hint="eastAsia" w:ascii="宋体" w:hAnsi="宋体" w:eastAsia="宋体" w:cs="宋体"/>
                <w:sz w:val="24"/>
                <w:szCs w:val="24"/>
                <w:vertAlign w:val="baseline"/>
              </w:rPr>
            </w:pPr>
            <w:r>
              <w:rPr>
                <w:rFonts w:hint="eastAsia" w:ascii="仿宋_GB2312" w:hAnsi="仿宋_GB2312" w:eastAsia="仿宋_GB2312" w:cs="仿宋_GB2312"/>
                <w:color w:val="000000"/>
                <w:sz w:val="22"/>
                <w:szCs w:val="22"/>
              </w:rPr>
              <w:t>平方克重误差2－3克左右</w:t>
            </w:r>
          </w:p>
        </w:tc>
        <w:tc>
          <w:tcPr>
            <w:tcW w:w="780" w:type="dxa"/>
            <w:vAlign w:val="center"/>
          </w:tcPr>
          <w:p>
            <w:pPr>
              <w:numPr>
                <w:ilvl w:val="0"/>
                <w:numId w:val="0"/>
              </w:num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条</w:t>
            </w:r>
          </w:p>
        </w:tc>
        <w:tc>
          <w:tcPr>
            <w:tcW w:w="960" w:type="dxa"/>
            <w:vAlign w:val="center"/>
          </w:tcPr>
          <w:p>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6000</w:t>
            </w:r>
          </w:p>
        </w:tc>
        <w:tc>
          <w:tcPr>
            <w:tcW w:w="2070" w:type="dxa"/>
            <w:vAlign w:val="center"/>
          </w:tcPr>
          <w:p>
            <w:pPr>
              <w:numPr>
                <w:ilvl w:val="0"/>
                <w:numId w:val="0"/>
              </w:numPr>
              <w:spacing w:line="360" w:lineRule="auto"/>
              <w:jc w:val="center"/>
              <w:rPr>
                <w:rFonts w:hint="eastAsia" w:ascii="宋体" w:hAnsi="宋体" w:eastAsia="宋体" w:cs="宋体"/>
                <w:sz w:val="24"/>
                <w:szCs w:val="24"/>
                <w:vertAlign w:val="baseline"/>
              </w:rPr>
            </w:pPr>
            <w:r>
              <w:rPr>
                <w:rFonts w:ascii="宋体" w:hAnsi="宋体"/>
                <w:szCs w:val="21"/>
              </w:rPr>
              <w:drawing>
                <wp:inline distT="0" distB="0" distL="0" distR="0">
                  <wp:extent cx="1002030" cy="970280"/>
                  <wp:effectExtent l="0" t="0" r="7620" b="1270"/>
                  <wp:docPr id="6" name="图片 6" descr="8dc8ed17c58f748d459ea069b1bbf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dc8ed17c58f748d459ea069b1bbf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2030" cy="9702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65" w:type="dxa"/>
            <w:vAlign w:val="center"/>
          </w:tcPr>
          <w:p>
            <w:pPr>
              <w:numPr>
                <w:ilvl w:val="0"/>
                <w:numId w:val="0"/>
              </w:numPr>
              <w:spacing w:line="360" w:lineRule="auto"/>
              <w:jc w:val="center"/>
              <w:rPr>
                <w:rFonts w:hint="eastAsia" w:ascii="宋体" w:hAnsi="宋体" w:eastAsia="宋体" w:cs="宋体"/>
                <w:sz w:val="24"/>
                <w:szCs w:val="24"/>
                <w:vertAlign w:val="baseline"/>
              </w:rPr>
            </w:pPr>
            <w:r>
              <w:rPr>
                <w:rFonts w:hint="eastAsia" w:ascii="仿宋_GB2312" w:hAnsi="仿宋_GB2312" w:eastAsia="仿宋_GB2312" w:cs="仿宋_GB2312"/>
                <w:bCs/>
              </w:rPr>
              <w:t>铅丝石笼</w:t>
            </w:r>
          </w:p>
        </w:tc>
        <w:tc>
          <w:tcPr>
            <w:tcW w:w="4005" w:type="dxa"/>
            <w:vAlign w:val="center"/>
          </w:tcPr>
          <w:p>
            <w:pPr>
              <w:numPr>
                <w:ilvl w:val="0"/>
                <w:numId w:val="0"/>
              </w:numPr>
              <w:spacing w:line="360" w:lineRule="auto"/>
              <w:jc w:val="left"/>
              <w:rPr>
                <w:rFonts w:hint="eastAsia" w:ascii="宋体" w:hAnsi="宋体" w:eastAsia="宋体" w:cs="宋体"/>
                <w:sz w:val="24"/>
                <w:szCs w:val="24"/>
                <w:vertAlign w:val="baseline"/>
              </w:rPr>
            </w:pPr>
            <w:r>
              <w:rPr>
                <w:rFonts w:hint="eastAsia" w:ascii="仿宋_GB2312" w:hAnsi="仿宋_GB2312" w:eastAsia="仿宋_GB2312" w:cs="仿宋_GB2312"/>
                <w:bCs/>
                <w:sz w:val="22"/>
                <w:szCs w:val="22"/>
                <w:lang w:val="en-US" w:eastAsia="zh-CN"/>
              </w:rPr>
              <w:t>长*宽*高=1米*1米*2米；</w:t>
            </w:r>
            <w:r>
              <w:rPr>
                <w:rFonts w:hint="eastAsia" w:ascii="仿宋_GB2312" w:hAnsi="仿宋_GB2312" w:eastAsia="仿宋_GB2312" w:cs="仿宋_GB2312"/>
                <w:bCs/>
                <w:sz w:val="22"/>
                <w:szCs w:val="22"/>
              </w:rPr>
              <w:t>网丝:3.0mm（±0.05）,边丝3.</w:t>
            </w:r>
            <w:r>
              <w:rPr>
                <w:rFonts w:hint="eastAsia" w:ascii="仿宋_GB2312" w:hAnsi="仿宋_GB2312" w:eastAsia="仿宋_GB2312" w:cs="仿宋_GB2312"/>
                <w:bCs/>
                <w:sz w:val="22"/>
                <w:szCs w:val="22"/>
                <w:lang w:val="en-US" w:eastAsia="zh-CN"/>
              </w:rPr>
              <w:t>2</w:t>
            </w:r>
            <w:r>
              <w:rPr>
                <w:rFonts w:hint="eastAsia" w:ascii="仿宋_GB2312" w:hAnsi="仿宋_GB2312" w:eastAsia="仿宋_GB2312" w:cs="仿宋_GB2312"/>
                <w:bCs/>
                <w:sz w:val="22"/>
                <w:szCs w:val="22"/>
              </w:rPr>
              <w:t>mm（±0.05）,绑丝2.2mm（±0.05）,网孔8*10cm（±5%）,抗拉强度380—500N/m㎡,伸长率（%）&gt;10%,化学成分:符合GB/T10125-1997,表观不得有破损、腐蚀，网片面色泽基本一致,抗拉强度（顺编织方向）&gt;50KN/M,网孔钢丝角制长度&gt;45mm,材质采用锌-5%铝合金,镀层缠绕试验在自身缠绕（即一倍缠绕）八圈以上后，对钢丝表面进行放大拍照（放大12倍），镀层不得出现裂痕，锌铝合金类镀层铝含量5%，盐雾试验经3000小时盐雾试验检测，质量变化率不大于1.9%，腐蚀率不大于110g/㎡，重量&gt;230g/㎡。</w:t>
            </w:r>
          </w:p>
        </w:tc>
        <w:tc>
          <w:tcPr>
            <w:tcW w:w="780" w:type="dxa"/>
            <w:vAlign w:val="center"/>
          </w:tcPr>
          <w:p>
            <w:pPr>
              <w:numPr>
                <w:ilvl w:val="0"/>
                <w:numId w:val="0"/>
              </w:numPr>
              <w:spacing w:line="360" w:lineRule="auto"/>
              <w:jc w:val="center"/>
              <w:rPr>
                <w:rFonts w:hint="eastAsia" w:ascii="宋体" w:hAnsi="宋体" w:eastAsia="宋体" w:cs="宋体"/>
                <w:sz w:val="24"/>
                <w:szCs w:val="24"/>
                <w:vertAlign w:val="baseline"/>
              </w:rPr>
            </w:pPr>
            <w:r>
              <w:rPr>
                <w:rFonts w:hint="eastAsia" w:ascii="仿宋_GB2312" w:hAnsi="宋体" w:eastAsia="仿宋_GB2312" w:cs="仿宋_GB2312"/>
                <w:color w:val="000000"/>
                <w:kern w:val="0"/>
                <w:sz w:val="24"/>
                <w:lang w:bidi="ar"/>
              </w:rPr>
              <w:t>㎡</w:t>
            </w:r>
          </w:p>
        </w:tc>
        <w:tc>
          <w:tcPr>
            <w:tcW w:w="960" w:type="dxa"/>
            <w:vAlign w:val="center"/>
          </w:tcPr>
          <w:p>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26000</w:t>
            </w:r>
          </w:p>
        </w:tc>
        <w:tc>
          <w:tcPr>
            <w:tcW w:w="2070" w:type="dxa"/>
            <w:vAlign w:val="center"/>
          </w:tcPr>
          <w:p>
            <w:pPr>
              <w:numPr>
                <w:ilvl w:val="0"/>
                <w:numId w:val="0"/>
              </w:numPr>
              <w:spacing w:line="360" w:lineRule="auto"/>
              <w:jc w:val="center"/>
              <w:rPr>
                <w:rFonts w:hint="eastAsia" w:ascii="宋体" w:hAnsi="宋体" w:eastAsia="宋体" w:cs="宋体"/>
                <w:sz w:val="24"/>
                <w:szCs w:val="24"/>
                <w:vertAlign w:val="baseline"/>
              </w:rPr>
            </w:pPr>
            <w:r>
              <w:rPr>
                <w:rFonts w:ascii="宋体" w:hAnsi="宋体"/>
                <w:szCs w:val="21"/>
              </w:rPr>
              <w:drawing>
                <wp:inline distT="0" distB="0" distL="0" distR="0">
                  <wp:extent cx="1086485" cy="944880"/>
                  <wp:effectExtent l="0" t="0" r="1841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6485" cy="944880"/>
                          </a:xfrm>
                          <a:prstGeom prst="rect">
                            <a:avLst/>
                          </a:prstGeom>
                        </pic:spPr>
                      </pic:pic>
                    </a:graphicData>
                  </a:graphic>
                </wp:inline>
              </w:drawing>
            </w:r>
          </w:p>
        </w:tc>
      </w:tr>
    </w:tbl>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rPr>
      </w:pPr>
    </w:p>
    <w:bookmarkEnd w:id="176"/>
    <w:p>
      <w:pPr>
        <w:numPr>
          <w:ilvl w:val="0"/>
          <w:numId w:val="0"/>
        </w:numPr>
        <w:spacing w:line="360" w:lineRule="auto"/>
        <w:rPr>
          <w:rFonts w:hint="eastAsia" w:ascii="宋体" w:hAnsi="宋体" w:eastAsia="宋体" w:cs="宋体"/>
          <w:sz w:val="24"/>
          <w:szCs w:val="24"/>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480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w="6350">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pt;width:27.15pt;mso-position-horizontal:center;mso-position-horizontal-relative:margin;mso-wrap-style:none;z-index:251658240;mso-width-relative:page;mso-height-relative:page;" filled="f" stroked="f" coordsize="21600,21600"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Bnvu/jEgIAAAUEAAAOAAAAZHJzL2Uyb0RvYy54bWytU8uO0zAU3SPx&#10;D5b3NOlrNKqajsqMipAqZqSCWLuO00TyS7bbpHwA/AErNuz5rn4Hx27TQcAKsXFufJ/n3OP5Xack&#10;OQjnG6MLOhzklAjNTdnoXUE/vF+9uqXEB6ZLJo0WBT0KT+8WL1/MWzsTI1MbWQpHUET7WWsLWodg&#10;Z1nmeS0U8wNjhYazMk6xgF+3y0rHWlRXMhvl+U3WGldaZ7jwHrcPZyddpPpVJXh4rCovApEFxWwh&#10;nS6d23hmizmb7RyzdcMvY7B/mEKxRqPptdQDC4zsXfNHKdVwZ7ypwoAblZmqarhIGIBmmP+GZlMz&#10;KxIWkOPtlSb//8ryd4cnR5qyoGNKNFNY0enrl9O3H6fvn8k40tNaP0PUxiIudK9NhzX39x6XEXVX&#10;ORW/wEPgB9HHK7miC4TjcjyZ3OZTSjhco+kkzxP52XOydT68EUaRaBTUYXeJUnZY+4BBENqHxF7a&#10;rBop0/6kJm1Bb8bTPCVcPciQGokRwnnUaIVu211wbU15BCxnzrrwlq8aNF8zH56YgxCABOIOjzgq&#10;adDEXCxKauM+/e0+xmM/8FLSQlgF1VA+JfKtxt6iBnvD9ca2N/Re3RsodYhHY3kykeCC7M3KGfUR&#10;il/GHnAxzdGpoKE378NZ3HgxXCyXKQhKsyys9cbyWDqS5+1yH0Bg4jWScmbiwhW0lui+vIso5l//&#10;U9Tz6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abEjRAAAAAwEAAA8AAAAAAAAAAQAgAAAA&#10;IgAAAGRycy9kb3ducmV2LnhtbFBLAQIUABQAAAAIAIdO4kBnvu/jEgIAAAUEAAAOAAAAAAAAAAEA&#10;IAAAACABAABkcnMvZTJvRG9jLnhtbFBLBQYAAAAABgAGAFkBAACk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jc w:val="both"/>
      <w:rPr>
        <w:rFonts w:ascii="宋体" w:hAnsi="宋体" w:eastAsia="宋体" w:cs="宋体"/>
        <w:b/>
        <w:bCs/>
        <w:sz w:val="15"/>
        <w:szCs w:val="15"/>
        <w:u w:val="single"/>
      </w:rPr>
    </w:pPr>
    <w:r>
      <w:rPr>
        <w:rFonts w:hint="eastAsia" w:ascii="宋体" w:hAnsi="宋体" w:eastAsia="宋体" w:cs="宋体"/>
        <w:b/>
        <w:bCs/>
        <w:sz w:val="15"/>
        <w:szCs w:val="15"/>
        <w:u w:val="single"/>
        <w:lang w:eastAsia="zh-CN"/>
      </w:rPr>
      <w:t>2020年防汛抢险除险物资采购</w:t>
    </w:r>
    <w:r>
      <w:rPr>
        <w:rFonts w:hint="eastAsia" w:ascii="宋体" w:hAnsi="宋体" w:eastAsia="宋体" w:cs="宋体"/>
        <w:b/>
        <w:bCs/>
        <w:sz w:val="15"/>
        <w:szCs w:val="15"/>
        <w:u w:val="single"/>
      </w:rPr>
      <w:t xml:space="preserve">                  </w:t>
    </w:r>
    <w:r>
      <w:rPr>
        <w:rFonts w:ascii="宋体" w:hAnsi="宋体" w:eastAsia="宋体" w:cs="宋体"/>
        <w:b/>
        <w:bCs/>
        <w:sz w:val="15"/>
        <w:szCs w:val="15"/>
        <w:u w:val="single"/>
      </w:rPr>
      <w:t xml:space="preserve">   </w:t>
    </w:r>
    <w:r>
      <w:rPr>
        <w:rFonts w:hint="eastAsia" w:ascii="宋体" w:hAnsi="宋体" w:eastAsia="宋体" w:cs="宋体"/>
        <w:b/>
        <w:bCs/>
        <w:sz w:val="15"/>
        <w:szCs w:val="15"/>
        <w:u w:val="single"/>
        <w:lang w:val="en-US" w:eastAsia="zh-CN"/>
      </w:rPr>
      <w:t xml:space="preserve">                                                       </w:t>
    </w:r>
    <w:r>
      <w:rPr>
        <w:rFonts w:hint="eastAsia" w:ascii="宋体" w:hAnsi="宋体" w:eastAsia="宋体" w:cs="宋体"/>
        <w:b/>
        <w:bCs/>
        <w:sz w:val="15"/>
        <w:szCs w:val="15"/>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4199"/>
    <w:multiLevelType w:val="singleLevel"/>
    <w:tmpl w:val="4B604199"/>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01D0"/>
    <w:rsid w:val="000330D6"/>
    <w:rsid w:val="00041115"/>
    <w:rsid w:val="00075B9A"/>
    <w:rsid w:val="0008378E"/>
    <w:rsid w:val="00090569"/>
    <w:rsid w:val="000D0CF2"/>
    <w:rsid w:val="000F1ACD"/>
    <w:rsid w:val="000F7A75"/>
    <w:rsid w:val="00116C12"/>
    <w:rsid w:val="0011729F"/>
    <w:rsid w:val="0016230F"/>
    <w:rsid w:val="001A716C"/>
    <w:rsid w:val="001B62D0"/>
    <w:rsid w:val="001D0B13"/>
    <w:rsid w:val="002447B1"/>
    <w:rsid w:val="00286034"/>
    <w:rsid w:val="00287403"/>
    <w:rsid w:val="002C3BEB"/>
    <w:rsid w:val="002C5D0F"/>
    <w:rsid w:val="002F630D"/>
    <w:rsid w:val="00315CF5"/>
    <w:rsid w:val="00380D3B"/>
    <w:rsid w:val="003B067B"/>
    <w:rsid w:val="004A3E2A"/>
    <w:rsid w:val="004D02F5"/>
    <w:rsid w:val="005211E0"/>
    <w:rsid w:val="00573C76"/>
    <w:rsid w:val="005A00C1"/>
    <w:rsid w:val="006158C1"/>
    <w:rsid w:val="006A437F"/>
    <w:rsid w:val="006B0F4A"/>
    <w:rsid w:val="006F643B"/>
    <w:rsid w:val="00712A4B"/>
    <w:rsid w:val="007304F9"/>
    <w:rsid w:val="007B2D36"/>
    <w:rsid w:val="007B437F"/>
    <w:rsid w:val="007B72CB"/>
    <w:rsid w:val="007C6871"/>
    <w:rsid w:val="007D0117"/>
    <w:rsid w:val="007D0943"/>
    <w:rsid w:val="007E5021"/>
    <w:rsid w:val="007E5B58"/>
    <w:rsid w:val="007F6837"/>
    <w:rsid w:val="00870461"/>
    <w:rsid w:val="008854F7"/>
    <w:rsid w:val="00891F9A"/>
    <w:rsid w:val="00897161"/>
    <w:rsid w:val="008B6C4C"/>
    <w:rsid w:val="008F6A68"/>
    <w:rsid w:val="00913EB0"/>
    <w:rsid w:val="00922B80"/>
    <w:rsid w:val="00924FFD"/>
    <w:rsid w:val="00955B37"/>
    <w:rsid w:val="00974AFA"/>
    <w:rsid w:val="009A104D"/>
    <w:rsid w:val="009B5D81"/>
    <w:rsid w:val="009D2414"/>
    <w:rsid w:val="009D68D7"/>
    <w:rsid w:val="009E4E30"/>
    <w:rsid w:val="00A22D1A"/>
    <w:rsid w:val="00A507C8"/>
    <w:rsid w:val="00A518E0"/>
    <w:rsid w:val="00A71928"/>
    <w:rsid w:val="00AD092E"/>
    <w:rsid w:val="00AD1FA0"/>
    <w:rsid w:val="00AE1918"/>
    <w:rsid w:val="00AE5A2B"/>
    <w:rsid w:val="00B16948"/>
    <w:rsid w:val="00B37EB9"/>
    <w:rsid w:val="00B410F7"/>
    <w:rsid w:val="00B629A4"/>
    <w:rsid w:val="00B844B2"/>
    <w:rsid w:val="00BB263C"/>
    <w:rsid w:val="00BC450F"/>
    <w:rsid w:val="00C02247"/>
    <w:rsid w:val="00C27972"/>
    <w:rsid w:val="00C84928"/>
    <w:rsid w:val="00C849C0"/>
    <w:rsid w:val="00D03B35"/>
    <w:rsid w:val="00D06903"/>
    <w:rsid w:val="00D21EFE"/>
    <w:rsid w:val="00D27ED5"/>
    <w:rsid w:val="00D63853"/>
    <w:rsid w:val="00D84693"/>
    <w:rsid w:val="00DD3381"/>
    <w:rsid w:val="00E22C49"/>
    <w:rsid w:val="00E24720"/>
    <w:rsid w:val="00E447A7"/>
    <w:rsid w:val="00EB0515"/>
    <w:rsid w:val="00EB0DB5"/>
    <w:rsid w:val="00EC129E"/>
    <w:rsid w:val="00ED11C2"/>
    <w:rsid w:val="00F2327F"/>
    <w:rsid w:val="00F3746C"/>
    <w:rsid w:val="00F82EB8"/>
    <w:rsid w:val="00FB2BFE"/>
    <w:rsid w:val="00FD1CBD"/>
    <w:rsid w:val="01863BB5"/>
    <w:rsid w:val="01940B70"/>
    <w:rsid w:val="032A69FC"/>
    <w:rsid w:val="0347679C"/>
    <w:rsid w:val="03850C13"/>
    <w:rsid w:val="041D2837"/>
    <w:rsid w:val="04946203"/>
    <w:rsid w:val="05370CD5"/>
    <w:rsid w:val="05D86090"/>
    <w:rsid w:val="074F4172"/>
    <w:rsid w:val="0A691C3F"/>
    <w:rsid w:val="0AB50A1F"/>
    <w:rsid w:val="0AF357C2"/>
    <w:rsid w:val="0B033A47"/>
    <w:rsid w:val="0C744DA7"/>
    <w:rsid w:val="0CE93F54"/>
    <w:rsid w:val="0D56632D"/>
    <w:rsid w:val="0DCB49FB"/>
    <w:rsid w:val="0DCE5669"/>
    <w:rsid w:val="0E6F0309"/>
    <w:rsid w:val="0E7B6813"/>
    <w:rsid w:val="0E9F4DF7"/>
    <w:rsid w:val="0F2B7F1E"/>
    <w:rsid w:val="0FC227CF"/>
    <w:rsid w:val="0FCD4D03"/>
    <w:rsid w:val="10386814"/>
    <w:rsid w:val="10A71125"/>
    <w:rsid w:val="1127288E"/>
    <w:rsid w:val="1129001A"/>
    <w:rsid w:val="123E0181"/>
    <w:rsid w:val="12673043"/>
    <w:rsid w:val="12D6219D"/>
    <w:rsid w:val="130F0854"/>
    <w:rsid w:val="13241D90"/>
    <w:rsid w:val="142C108F"/>
    <w:rsid w:val="144B73B0"/>
    <w:rsid w:val="144E779D"/>
    <w:rsid w:val="14B508D5"/>
    <w:rsid w:val="14CA622D"/>
    <w:rsid w:val="16207A85"/>
    <w:rsid w:val="16DA2E92"/>
    <w:rsid w:val="17F732B1"/>
    <w:rsid w:val="183A064D"/>
    <w:rsid w:val="1948597C"/>
    <w:rsid w:val="19BA015F"/>
    <w:rsid w:val="1A1A6AF3"/>
    <w:rsid w:val="1A8F07CF"/>
    <w:rsid w:val="1BAF484F"/>
    <w:rsid w:val="1CCB586E"/>
    <w:rsid w:val="1D1978B6"/>
    <w:rsid w:val="1D86481F"/>
    <w:rsid w:val="1DE64446"/>
    <w:rsid w:val="1E113690"/>
    <w:rsid w:val="1E5816EC"/>
    <w:rsid w:val="1E974FB1"/>
    <w:rsid w:val="1F074BAD"/>
    <w:rsid w:val="1F8244C5"/>
    <w:rsid w:val="1FC44471"/>
    <w:rsid w:val="1FD12232"/>
    <w:rsid w:val="200212E2"/>
    <w:rsid w:val="20914C3C"/>
    <w:rsid w:val="20C27096"/>
    <w:rsid w:val="20F70553"/>
    <w:rsid w:val="21056ED6"/>
    <w:rsid w:val="219E74FE"/>
    <w:rsid w:val="21E9685F"/>
    <w:rsid w:val="226067E7"/>
    <w:rsid w:val="23CE3F38"/>
    <w:rsid w:val="24D31C46"/>
    <w:rsid w:val="25224BE5"/>
    <w:rsid w:val="253133D7"/>
    <w:rsid w:val="25EE2A75"/>
    <w:rsid w:val="26A16E16"/>
    <w:rsid w:val="270F023A"/>
    <w:rsid w:val="27FF372E"/>
    <w:rsid w:val="28A4534B"/>
    <w:rsid w:val="28CD7151"/>
    <w:rsid w:val="291D2347"/>
    <w:rsid w:val="29824880"/>
    <w:rsid w:val="29B14F93"/>
    <w:rsid w:val="29FD4568"/>
    <w:rsid w:val="2A5E32AB"/>
    <w:rsid w:val="2AF46C0E"/>
    <w:rsid w:val="2C0D3E59"/>
    <w:rsid w:val="2C7736D6"/>
    <w:rsid w:val="2C8C5577"/>
    <w:rsid w:val="2D9A1D3B"/>
    <w:rsid w:val="2DCE7C72"/>
    <w:rsid w:val="2DDC343E"/>
    <w:rsid w:val="2E25035E"/>
    <w:rsid w:val="2F52455A"/>
    <w:rsid w:val="30C419B0"/>
    <w:rsid w:val="33B83934"/>
    <w:rsid w:val="33E76902"/>
    <w:rsid w:val="34656ECC"/>
    <w:rsid w:val="34B93D79"/>
    <w:rsid w:val="34EE6D49"/>
    <w:rsid w:val="3511452F"/>
    <w:rsid w:val="35980BD9"/>
    <w:rsid w:val="377105FB"/>
    <w:rsid w:val="379A591A"/>
    <w:rsid w:val="379E48A9"/>
    <w:rsid w:val="37C239D4"/>
    <w:rsid w:val="382055C6"/>
    <w:rsid w:val="38CF1702"/>
    <w:rsid w:val="3912426D"/>
    <w:rsid w:val="398F7BA5"/>
    <w:rsid w:val="3A7B6527"/>
    <w:rsid w:val="3AB42FBD"/>
    <w:rsid w:val="3ADF3B74"/>
    <w:rsid w:val="3CFE4FE7"/>
    <w:rsid w:val="3DE86C84"/>
    <w:rsid w:val="3E0A3D43"/>
    <w:rsid w:val="3EA1224E"/>
    <w:rsid w:val="3F082449"/>
    <w:rsid w:val="3F326AC0"/>
    <w:rsid w:val="3F464660"/>
    <w:rsid w:val="3F4871AE"/>
    <w:rsid w:val="3F9B6B83"/>
    <w:rsid w:val="403640B1"/>
    <w:rsid w:val="408D38FB"/>
    <w:rsid w:val="40EC6DDC"/>
    <w:rsid w:val="4274490A"/>
    <w:rsid w:val="42DB3194"/>
    <w:rsid w:val="42E950C0"/>
    <w:rsid w:val="42F14241"/>
    <w:rsid w:val="442A65AD"/>
    <w:rsid w:val="442E3A88"/>
    <w:rsid w:val="443F17B1"/>
    <w:rsid w:val="44B27F70"/>
    <w:rsid w:val="45984FD7"/>
    <w:rsid w:val="461922DC"/>
    <w:rsid w:val="462C6948"/>
    <w:rsid w:val="4706034D"/>
    <w:rsid w:val="473C1275"/>
    <w:rsid w:val="475600C3"/>
    <w:rsid w:val="484A76B7"/>
    <w:rsid w:val="48B84B70"/>
    <w:rsid w:val="48D05D7D"/>
    <w:rsid w:val="48F1403F"/>
    <w:rsid w:val="494670BD"/>
    <w:rsid w:val="4A832C17"/>
    <w:rsid w:val="4B4A18CD"/>
    <w:rsid w:val="4B553996"/>
    <w:rsid w:val="4BB14F46"/>
    <w:rsid w:val="4BD763B3"/>
    <w:rsid w:val="4BDD017D"/>
    <w:rsid w:val="4D1C42F6"/>
    <w:rsid w:val="4D2F3ED8"/>
    <w:rsid w:val="4D3A3BD9"/>
    <w:rsid w:val="4D79243E"/>
    <w:rsid w:val="4E6977C0"/>
    <w:rsid w:val="4E83739C"/>
    <w:rsid w:val="4F154760"/>
    <w:rsid w:val="4F3545E4"/>
    <w:rsid w:val="4FE135D9"/>
    <w:rsid w:val="4FE535DF"/>
    <w:rsid w:val="50224ED9"/>
    <w:rsid w:val="5024289C"/>
    <w:rsid w:val="50377224"/>
    <w:rsid w:val="50401BE4"/>
    <w:rsid w:val="5045327D"/>
    <w:rsid w:val="50870F93"/>
    <w:rsid w:val="51824063"/>
    <w:rsid w:val="519C36CE"/>
    <w:rsid w:val="52442E64"/>
    <w:rsid w:val="532D22DF"/>
    <w:rsid w:val="537403E6"/>
    <w:rsid w:val="556716EB"/>
    <w:rsid w:val="55A40DA6"/>
    <w:rsid w:val="55B4406B"/>
    <w:rsid w:val="55BB76A2"/>
    <w:rsid w:val="55C430E7"/>
    <w:rsid w:val="55F4508C"/>
    <w:rsid w:val="565457F8"/>
    <w:rsid w:val="56DF0613"/>
    <w:rsid w:val="56E77EE3"/>
    <w:rsid w:val="573D6E30"/>
    <w:rsid w:val="57C03F71"/>
    <w:rsid w:val="58436AEB"/>
    <w:rsid w:val="58D801C4"/>
    <w:rsid w:val="591B394B"/>
    <w:rsid w:val="5967076A"/>
    <w:rsid w:val="5980105A"/>
    <w:rsid w:val="5A8C7845"/>
    <w:rsid w:val="5B4F0291"/>
    <w:rsid w:val="5D17675D"/>
    <w:rsid w:val="5EDA1E6C"/>
    <w:rsid w:val="5F853A62"/>
    <w:rsid w:val="601951C0"/>
    <w:rsid w:val="61636212"/>
    <w:rsid w:val="61F91231"/>
    <w:rsid w:val="6331717F"/>
    <w:rsid w:val="63BA73ED"/>
    <w:rsid w:val="63EF72F1"/>
    <w:rsid w:val="64B26F24"/>
    <w:rsid w:val="64DB09E4"/>
    <w:rsid w:val="64E43447"/>
    <w:rsid w:val="65064A62"/>
    <w:rsid w:val="65212235"/>
    <w:rsid w:val="65AF5013"/>
    <w:rsid w:val="66067608"/>
    <w:rsid w:val="672C41DB"/>
    <w:rsid w:val="67F701C6"/>
    <w:rsid w:val="6811279F"/>
    <w:rsid w:val="68EC57A5"/>
    <w:rsid w:val="694726AE"/>
    <w:rsid w:val="695218D5"/>
    <w:rsid w:val="696D4097"/>
    <w:rsid w:val="6A0F58FE"/>
    <w:rsid w:val="6A4B791D"/>
    <w:rsid w:val="6B295089"/>
    <w:rsid w:val="6BA173FB"/>
    <w:rsid w:val="6C6C0F3A"/>
    <w:rsid w:val="6C79425C"/>
    <w:rsid w:val="6C8A350B"/>
    <w:rsid w:val="6D486066"/>
    <w:rsid w:val="6DD81E53"/>
    <w:rsid w:val="6F3A01D0"/>
    <w:rsid w:val="6F627C18"/>
    <w:rsid w:val="711B136D"/>
    <w:rsid w:val="714B21B2"/>
    <w:rsid w:val="71CD4358"/>
    <w:rsid w:val="720A5DC9"/>
    <w:rsid w:val="7220416F"/>
    <w:rsid w:val="72A07F28"/>
    <w:rsid w:val="72AC5551"/>
    <w:rsid w:val="72B93CC7"/>
    <w:rsid w:val="72F97CB5"/>
    <w:rsid w:val="733345B0"/>
    <w:rsid w:val="74E168DE"/>
    <w:rsid w:val="75154017"/>
    <w:rsid w:val="75B720DE"/>
    <w:rsid w:val="768358AE"/>
    <w:rsid w:val="770610E0"/>
    <w:rsid w:val="78A66114"/>
    <w:rsid w:val="78C0244D"/>
    <w:rsid w:val="79250A32"/>
    <w:rsid w:val="793A7148"/>
    <w:rsid w:val="7A57199D"/>
    <w:rsid w:val="7ACC5CEF"/>
    <w:rsid w:val="7AFA5EB2"/>
    <w:rsid w:val="7B290C9E"/>
    <w:rsid w:val="7C494E9D"/>
    <w:rsid w:val="7CEF38D2"/>
    <w:rsid w:val="7D890306"/>
    <w:rsid w:val="7E9F58CF"/>
    <w:rsid w:val="7EC15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lang w:val="zh-CN" w:eastAsia="zh-CN"/>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link w:val="34"/>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8"/>
    <w:qFormat/>
    <w:uiPriority w:val="0"/>
    <w:pPr>
      <w:spacing w:line="240" w:lineRule="auto"/>
    </w:pPr>
    <w:rPr>
      <w:sz w:val="18"/>
      <w:szCs w:val="18"/>
    </w:rPr>
  </w:style>
  <w:style w:type="paragraph" w:styleId="14">
    <w:name w:val="footer"/>
    <w:basedOn w:val="1"/>
    <w:link w:val="38"/>
    <w:qFormat/>
    <w:uiPriority w:val="99"/>
    <w:pPr>
      <w:tabs>
        <w:tab w:val="center" w:pos="4153"/>
        <w:tab w:val="right" w:pos="8306"/>
      </w:tabs>
      <w:snapToGrid w:val="0"/>
      <w:jc w:val="left"/>
    </w:pPr>
    <w:rPr>
      <w:sz w:val="18"/>
      <w:szCs w:val="20"/>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link w:val="36"/>
    <w:qFormat/>
    <w:uiPriority w:val="0"/>
    <w:pPr>
      <w:spacing w:before="240" w:after="60"/>
      <w:jc w:val="center"/>
      <w:outlineLvl w:val="0"/>
    </w:pPr>
    <w:rPr>
      <w:rFonts w:ascii="Cambria" w:hAnsi="Cambria"/>
      <w:b/>
      <w:bCs/>
      <w:sz w:val="36"/>
      <w:szCs w:val="32"/>
    </w:rPr>
  </w:style>
  <w:style w:type="paragraph" w:styleId="19">
    <w:name w:val="annotation subject"/>
    <w:basedOn w:val="5"/>
    <w:next w:val="5"/>
    <w:link w:val="35"/>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99"/>
      <w:u w:val="none"/>
    </w:rPr>
  </w:style>
  <w:style w:type="character" w:styleId="26">
    <w:name w:val="annotation reference"/>
    <w:basedOn w:val="22"/>
    <w:qFormat/>
    <w:uiPriority w:val="0"/>
    <w:rPr>
      <w:sz w:val="21"/>
      <w:szCs w:val="21"/>
    </w:rPr>
  </w:style>
  <w:style w:type="paragraph" w:customStyle="1" w:styleId="27">
    <w:name w:val="列出段落1"/>
    <w:basedOn w:val="1"/>
    <w:qFormat/>
    <w:uiPriority w:val="34"/>
    <w:pPr>
      <w:ind w:firstLine="420"/>
    </w:pPr>
    <w:rPr>
      <w:rFonts w:ascii="Calibri" w:hAnsi="Calibri"/>
    </w:rPr>
  </w:style>
  <w:style w:type="character" w:customStyle="1" w:styleId="28">
    <w:name w:val="批注框文本 字符"/>
    <w:basedOn w:val="22"/>
    <w:link w:val="13"/>
    <w:qFormat/>
    <w:uiPriority w:val="0"/>
    <w:rPr>
      <w:sz w:val="18"/>
      <w:szCs w:val="18"/>
    </w:rPr>
  </w:style>
  <w:style w:type="character" w:customStyle="1" w:styleId="29">
    <w:name w:val="font41"/>
    <w:basedOn w:val="22"/>
    <w:qFormat/>
    <w:uiPriority w:val="0"/>
    <w:rPr>
      <w:rFonts w:hint="default" w:ascii="Tahoma" w:hAnsi="Tahoma" w:eastAsia="Tahoma" w:cs="Tahoma"/>
      <w:color w:val="000000"/>
      <w:sz w:val="18"/>
      <w:szCs w:val="18"/>
      <w:u w:val="none"/>
    </w:rPr>
  </w:style>
  <w:style w:type="character" w:customStyle="1" w:styleId="30">
    <w:name w:val="font11"/>
    <w:basedOn w:val="22"/>
    <w:qFormat/>
    <w:uiPriority w:val="0"/>
    <w:rPr>
      <w:rFonts w:hint="eastAsia" w:ascii="宋体" w:hAnsi="宋体" w:eastAsia="宋体" w:cs="宋体"/>
      <w:color w:val="000000"/>
      <w:sz w:val="24"/>
      <w:szCs w:val="24"/>
      <w:u w:val="none"/>
      <w:vertAlign w:val="subscript"/>
    </w:rPr>
  </w:style>
  <w:style w:type="character" w:customStyle="1" w:styleId="31">
    <w:name w:val="int_huang_12_b1"/>
    <w:qFormat/>
    <w:uiPriority w:val="0"/>
    <w:rPr>
      <w:rFonts w:hint="default" w:ascii="Verdana" w:hAnsi="Verdana"/>
      <w:b/>
      <w:bCs/>
      <w:color w:val="EECC77"/>
      <w:sz w:val="18"/>
      <w:szCs w:val="18"/>
    </w:rPr>
  </w:style>
  <w:style w:type="character" w:customStyle="1" w:styleId="32">
    <w:name w:val="font01"/>
    <w:basedOn w:val="22"/>
    <w:qFormat/>
    <w:uiPriority w:val="0"/>
    <w:rPr>
      <w:rFonts w:hint="eastAsia" w:ascii="宋体" w:hAnsi="宋体" w:eastAsia="宋体" w:cs="宋体"/>
      <w:color w:val="000000"/>
      <w:sz w:val="20"/>
      <w:szCs w:val="20"/>
      <w:u w:val="none"/>
    </w:rPr>
  </w:style>
  <w:style w:type="character" w:customStyle="1" w:styleId="33">
    <w:name w:val="font21"/>
    <w:basedOn w:val="22"/>
    <w:qFormat/>
    <w:uiPriority w:val="0"/>
    <w:rPr>
      <w:rFonts w:hint="eastAsia" w:ascii="宋体" w:hAnsi="宋体" w:eastAsia="宋体" w:cs="宋体"/>
      <w:color w:val="000000"/>
      <w:sz w:val="20"/>
      <w:szCs w:val="20"/>
      <w:u w:val="none"/>
    </w:rPr>
  </w:style>
  <w:style w:type="character" w:customStyle="1" w:styleId="34">
    <w:name w:val="批注文字 字符"/>
    <w:basedOn w:val="22"/>
    <w:link w:val="5"/>
    <w:qFormat/>
    <w:uiPriority w:val="0"/>
    <w:rPr>
      <w:rFonts w:asciiTheme="minorHAnsi" w:hAnsiTheme="minorHAnsi" w:eastAsiaTheme="minorEastAsia" w:cstheme="minorBidi"/>
      <w:sz w:val="21"/>
      <w:szCs w:val="22"/>
    </w:rPr>
  </w:style>
  <w:style w:type="character" w:customStyle="1" w:styleId="35">
    <w:name w:val="批注主题 字符"/>
    <w:basedOn w:val="34"/>
    <w:link w:val="19"/>
    <w:qFormat/>
    <w:uiPriority w:val="0"/>
    <w:rPr>
      <w:rFonts w:asciiTheme="minorHAnsi" w:hAnsiTheme="minorHAnsi" w:eastAsiaTheme="minorEastAsia" w:cstheme="minorBidi"/>
      <w:b/>
      <w:bCs/>
      <w:sz w:val="21"/>
      <w:szCs w:val="22"/>
    </w:rPr>
  </w:style>
  <w:style w:type="character" w:customStyle="1" w:styleId="36">
    <w:name w:val="标题 字符"/>
    <w:link w:val="18"/>
    <w:qFormat/>
    <w:uiPriority w:val="0"/>
    <w:rPr>
      <w:rFonts w:ascii="Cambria" w:hAnsi="Cambria" w:eastAsiaTheme="minorEastAsia" w:cstheme="minorBidi"/>
      <w:b/>
      <w:bCs/>
      <w:sz w:val="36"/>
      <w:szCs w:val="32"/>
    </w:rPr>
  </w:style>
  <w:style w:type="character" w:customStyle="1" w:styleId="37">
    <w:name w:val="mh-map_new-info"/>
    <w:basedOn w:val="22"/>
    <w:qFormat/>
    <w:uiPriority w:val="0"/>
  </w:style>
  <w:style w:type="character" w:customStyle="1" w:styleId="38">
    <w:name w:val="页脚 字符"/>
    <w:basedOn w:val="22"/>
    <w:link w:val="14"/>
    <w:qFormat/>
    <w:locked/>
    <w:uiPriority w:val="99"/>
    <w:rPr>
      <w:rFonts w:asciiTheme="minorHAnsi" w:hAnsiTheme="minorHAnsi" w:eastAsiaTheme="minorEastAsia" w:cstheme="minorBidi"/>
      <w:sz w:val="18"/>
    </w:rPr>
  </w:style>
  <w:style w:type="character" w:customStyle="1" w:styleId="39">
    <w:name w:val="页眉 字符"/>
    <w:basedOn w:val="22"/>
    <w:link w:val="15"/>
    <w:qFormat/>
    <w:locked/>
    <w:uiPriority w:val="99"/>
    <w:rPr>
      <w:rFonts w:asciiTheme="minorHAnsi" w:hAnsiTheme="minorHAnsi" w:eastAsiaTheme="minorEastAsia" w:cstheme="minorBidi"/>
      <w:sz w:val="18"/>
      <w:szCs w:val="18"/>
    </w:rPr>
  </w:style>
  <w:style w:type="paragraph" w:customStyle="1" w:styleId="40">
    <w:name w:val="表内文字  居左"/>
    <w:basedOn w:val="1"/>
    <w:qFormat/>
    <w:uiPriority w:val="0"/>
    <w:pPr>
      <w:jc w:val="left"/>
    </w:pPr>
    <w:rPr>
      <w:snapToGrid w:val="0"/>
      <w:szCs w:val="24"/>
    </w:rPr>
  </w:style>
  <w:style w:type="character" w:customStyle="1" w:styleId="41">
    <w:name w:val="font31"/>
    <w:basedOn w:val="22"/>
    <w:qFormat/>
    <w:uiPriority w:val="0"/>
    <w:rPr>
      <w:rFonts w:hint="eastAsia" w:ascii="宋体" w:hAnsi="宋体" w:eastAsia="宋体" w:cs="宋体"/>
      <w:color w:val="000000"/>
      <w:sz w:val="24"/>
      <w:szCs w:val="24"/>
      <w:u w:val="none"/>
    </w:rPr>
  </w:style>
  <w:style w:type="character" w:customStyle="1" w:styleId="42">
    <w:name w:val="font61"/>
    <w:basedOn w:val="2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3480</Words>
  <Characters>19841</Characters>
  <Lines>165</Lines>
  <Paragraphs>46</Paragraphs>
  <TotalTime>9</TotalTime>
  <ScaleCrop>false</ScaleCrop>
  <LinksUpToDate>false</LinksUpToDate>
  <CharactersWithSpaces>23275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2017-12-08T06:36:00Z</dcterms:created>
  <dc:creator>Administrator</dc:creator>
  <cp:lastModifiedBy>风来花自开</cp:lastModifiedBy>
  <cp:lastPrinted>2020-08-26T06:20:00Z</cp:lastPrinted>
  <dcterms:modified xsi:type="dcterms:W3CDTF">2020-10-19T07:32:01Z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