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000000"/>
          <w:kern w:val="0"/>
          <w:sz w:val="84"/>
          <w:szCs w:val="84"/>
        </w:rPr>
      </w:pPr>
      <w:r>
        <w:rPr>
          <w:rFonts w:hint="eastAsia" w:ascii="宋体" w:hAnsi="宋体" w:cs="宋体"/>
          <w:b/>
          <w:bCs/>
          <w:color w:val="000000"/>
          <w:kern w:val="0"/>
          <w:sz w:val="84"/>
          <w:szCs w:val="84"/>
        </w:rPr>
        <w:t xml:space="preserve">                   </w:t>
      </w:r>
    </w:p>
    <w:p>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480" w:lineRule="auto"/>
        <w:ind w:firstLine="1446" w:firstLineChars="400"/>
        <w:rPr>
          <w:rFonts w:ascii="宋体" w:hAnsi="宋体" w:cs="宋体"/>
          <w:b/>
          <w:bCs/>
          <w:color w:val="000000"/>
          <w:kern w:val="0"/>
          <w:sz w:val="36"/>
          <w:szCs w:val="36"/>
          <w:lang w:val="zh-CN"/>
        </w:rPr>
      </w:pPr>
    </w:p>
    <w:p>
      <w:pPr>
        <w:autoSpaceDE w:val="0"/>
        <w:autoSpaceDN w:val="0"/>
        <w:adjustRightInd w:val="0"/>
        <w:spacing w:line="480" w:lineRule="auto"/>
        <w:ind w:firstLine="1446" w:firstLineChars="400"/>
        <w:rPr>
          <w:rFonts w:ascii="宋体" w:hAnsi="宋体" w:cs="宋体"/>
          <w:b/>
          <w:bCs/>
          <w:color w:val="000000"/>
          <w:kern w:val="0"/>
          <w:sz w:val="36"/>
          <w:szCs w:val="36"/>
          <w:lang w:val="zh-CN"/>
        </w:rPr>
      </w:pPr>
    </w:p>
    <w:p>
      <w:pPr>
        <w:autoSpaceDE w:val="0"/>
        <w:autoSpaceDN w:val="0"/>
        <w:adjustRightInd w:val="0"/>
        <w:spacing w:line="480" w:lineRule="auto"/>
        <w:ind w:firstLine="1446" w:firstLineChars="400"/>
        <w:rPr>
          <w:rFonts w:ascii="宋体" w:hAnsi="宋体" w:cs="宋体"/>
          <w:b/>
          <w:bCs/>
          <w:color w:val="000000"/>
          <w:kern w:val="0"/>
          <w:sz w:val="36"/>
          <w:szCs w:val="36"/>
          <w:lang w:val="zh-CN"/>
        </w:rPr>
      </w:pPr>
    </w:p>
    <w:p>
      <w:pPr>
        <w:autoSpaceDE w:val="0"/>
        <w:autoSpaceDN w:val="0"/>
        <w:adjustRightInd w:val="0"/>
        <w:spacing w:line="480" w:lineRule="auto"/>
        <w:ind w:firstLine="1446" w:firstLineChars="400"/>
        <w:rPr>
          <w:rFonts w:ascii="宋体" w:hAnsi="宋体" w:cs="宋体"/>
          <w:b/>
          <w:bCs/>
          <w:color w:val="000000"/>
          <w:kern w:val="0"/>
          <w:sz w:val="36"/>
          <w:szCs w:val="36"/>
          <w:lang w:val="zh-CN"/>
        </w:rPr>
      </w:pPr>
    </w:p>
    <w:p>
      <w:pPr>
        <w:autoSpaceDE w:val="0"/>
        <w:autoSpaceDN w:val="0"/>
        <w:adjustRightInd w:val="0"/>
        <w:spacing w:line="48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采购项目编号：青海圣诺公招（服务）2022-002号</w:t>
      </w:r>
    </w:p>
    <w:p>
      <w:pPr>
        <w:keepNext/>
        <w:keepLines/>
        <w:spacing w:line="600" w:lineRule="exact"/>
        <w:ind w:left="2520" w:hanging="2530" w:hangingChars="700"/>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采购项目名称：关于海东市第一人民医院信息化平台建设项目采购</w:t>
      </w:r>
    </w:p>
    <w:p>
      <w:pPr>
        <w:autoSpaceDE w:val="0"/>
        <w:autoSpaceDN w:val="0"/>
        <w:adjustRightInd w:val="0"/>
        <w:spacing w:line="480" w:lineRule="auto"/>
        <w:jc w:val="lef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采购人：海东市第一人民医院</w:t>
      </w:r>
    </w:p>
    <w:p>
      <w:pPr>
        <w:pStyle w:val="2"/>
        <w:rPr>
          <w:rFonts w:ascii="宋体" w:hAnsi="宋体" w:cs="宋体"/>
          <w:color w:val="000000"/>
          <w:kern w:val="0"/>
          <w:sz w:val="36"/>
          <w:szCs w:val="36"/>
          <w:lang w:val="zh-CN"/>
        </w:rPr>
      </w:pPr>
    </w:p>
    <w:p>
      <w:pPr>
        <w:autoSpaceDE w:val="0"/>
        <w:autoSpaceDN w:val="0"/>
        <w:adjustRightInd w:val="0"/>
        <w:spacing w:line="360" w:lineRule="auto"/>
        <w:rPr>
          <w:rFonts w:ascii="宋体" w:hAnsi="宋体" w:cs="宋体"/>
          <w:b/>
          <w:bCs/>
          <w:color w:val="000000"/>
          <w:kern w:val="0"/>
          <w:sz w:val="36"/>
          <w:szCs w:val="36"/>
          <w:lang w:val="zh-CN"/>
        </w:rPr>
      </w:pPr>
    </w:p>
    <w:p>
      <w:pPr>
        <w:autoSpaceDE w:val="0"/>
        <w:autoSpaceDN w:val="0"/>
        <w:adjustRightInd w:val="0"/>
        <w:spacing w:line="360" w:lineRule="auto"/>
        <w:rPr>
          <w:rFonts w:ascii="宋体" w:hAnsi="宋体" w:cs="宋体"/>
          <w:b/>
          <w:bCs/>
          <w:color w:val="000000"/>
          <w:kern w:val="0"/>
          <w:sz w:val="36"/>
          <w:szCs w:val="36"/>
          <w:lang w:val="zh-CN"/>
        </w:rPr>
      </w:pPr>
    </w:p>
    <w:p>
      <w:pPr>
        <w:autoSpaceDE w:val="0"/>
        <w:autoSpaceDN w:val="0"/>
        <w:adjustRightInd w:val="0"/>
        <w:spacing w:line="360" w:lineRule="auto"/>
        <w:ind w:firstLine="542" w:firstLineChars="150"/>
        <w:rPr>
          <w:rFonts w:ascii="宋体" w:hAnsi="宋体" w:cs="宋体"/>
          <w:b/>
          <w:bCs/>
          <w:color w:val="000000"/>
          <w:kern w:val="0"/>
          <w:sz w:val="36"/>
          <w:szCs w:val="36"/>
          <w:lang w:val="zh-CN"/>
        </w:rPr>
      </w:pPr>
    </w:p>
    <w:p>
      <w:pPr>
        <w:autoSpaceDE w:val="0"/>
        <w:autoSpaceDN w:val="0"/>
        <w:adjustRightInd w:val="0"/>
        <w:spacing w:line="360" w:lineRule="auto"/>
        <w:ind w:firstLine="542" w:firstLineChars="150"/>
        <w:rPr>
          <w:rFonts w:ascii="宋体" w:hAnsi="宋体" w:cs="宋体"/>
          <w:b/>
          <w:bCs/>
          <w:color w:val="000000"/>
          <w:kern w:val="0"/>
          <w:sz w:val="36"/>
          <w:szCs w:val="36"/>
        </w:rPr>
      </w:pPr>
      <w:r>
        <w:rPr>
          <w:rFonts w:hint="eastAsia" w:ascii="宋体" w:hAnsi="宋体" w:cs="宋体"/>
          <w:b/>
          <w:bCs/>
          <w:color w:val="000000"/>
          <w:kern w:val="0"/>
          <w:sz w:val="36"/>
          <w:szCs w:val="36"/>
          <w:lang w:val="zh-CN"/>
        </w:rPr>
        <w:t>采购代理机构：青海圣诺工程咨询管理有限公司</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bCs/>
          <w:color w:val="000000"/>
          <w:kern w:val="0"/>
          <w:sz w:val="36"/>
          <w:szCs w:val="36"/>
          <w:lang w:val="zh-CN"/>
        </w:rPr>
        <w:t xml:space="preserve">    2022年05月</w:t>
      </w:r>
      <w:r>
        <w:rPr>
          <w:rFonts w:hint="eastAsia" w:ascii="宋体" w:hAnsi="宋体" w:cs="宋体"/>
          <w:b/>
          <w:color w:val="000000"/>
          <w:sz w:val="40"/>
          <w:szCs w:val="30"/>
        </w:rPr>
        <w:br w:type="page"/>
      </w:r>
      <w:r>
        <w:rPr>
          <w:rFonts w:hint="eastAsia" w:ascii="宋体" w:hAnsi="宋体" w:cs="宋体"/>
          <w:b/>
          <w:color w:val="000000"/>
          <w:sz w:val="40"/>
          <w:szCs w:val="30"/>
        </w:rPr>
        <w:t>目  录</w:t>
      </w:r>
    </w:p>
    <w:p>
      <w:pPr>
        <w:pStyle w:val="20"/>
        <w:tabs>
          <w:tab w:val="right" w:leader="dot" w:pos="8297"/>
        </w:tabs>
        <w:ind w:firstLine="480"/>
        <w:rPr>
          <w:rFonts w:asciiTheme="minorHAnsi" w:hAnsiTheme="minorHAnsi" w:eastAsiaTheme="minorEastAsia" w:cstheme="minorBidi"/>
          <w:b w:val="0"/>
          <w:bCs w:val="0"/>
          <w:caps w:val="0"/>
          <w:sz w:val="21"/>
          <w:szCs w:val="22"/>
        </w:rPr>
      </w:pPr>
      <w:r>
        <w:rPr>
          <w:rFonts w:hint="eastAsia" w:ascii="宋体" w:hAnsi="宋体" w:cs="宋体"/>
          <w:color w:val="000000"/>
          <w:kern w:val="0"/>
          <w:szCs w:val="24"/>
        </w:rPr>
        <w:fldChar w:fldCharType="begin"/>
      </w:r>
      <w:r>
        <w:rPr>
          <w:rStyle w:val="39"/>
          <w:rFonts w:hint="eastAsia" w:ascii="宋体" w:hAnsi="宋体" w:cs="宋体"/>
          <w:kern w:val="0"/>
          <w:szCs w:val="24"/>
        </w:rPr>
        <w:instrText xml:space="preserve"> TOC \o "3-3" \h \z \t "标题 1,2,标题 2,3,标题,1" </w:instrText>
      </w:r>
      <w:r>
        <w:rPr>
          <w:rFonts w:hint="eastAsia" w:ascii="宋体" w:hAnsi="宋体" w:cs="宋体"/>
          <w:color w:val="000000"/>
          <w:kern w:val="0"/>
          <w:szCs w:val="24"/>
        </w:rPr>
        <w:fldChar w:fldCharType="separate"/>
      </w:r>
      <w:r>
        <w:fldChar w:fldCharType="begin"/>
      </w:r>
      <w:r>
        <w:instrText xml:space="preserve"> HYPERLINK \l "_Toc42174762" </w:instrText>
      </w:r>
      <w:r>
        <w:fldChar w:fldCharType="separate"/>
      </w:r>
      <w:r>
        <w:rPr>
          <w:rStyle w:val="39"/>
          <w:rFonts w:hint="eastAsia" w:ascii="宋体" w:hAnsi="宋体" w:cs="宋体"/>
          <w:lang w:val="zh-CN"/>
        </w:rPr>
        <w:t>第一部分</w:t>
      </w:r>
      <w:r>
        <w:rPr>
          <w:rStyle w:val="39"/>
          <w:rFonts w:ascii="宋体" w:hAnsi="宋体" w:cs="宋体"/>
          <w:lang w:val="zh-CN"/>
        </w:rPr>
        <w:t xml:space="preserve">  </w:t>
      </w:r>
      <w:r>
        <w:rPr>
          <w:rStyle w:val="39"/>
          <w:rFonts w:hint="eastAsia" w:ascii="宋体" w:hAnsi="宋体" w:cs="宋体"/>
          <w:lang w:val="zh-CN"/>
        </w:rPr>
        <w:t>投标邀请</w:t>
      </w:r>
      <w:r>
        <w:tab/>
      </w:r>
      <w:r>
        <w:fldChar w:fldCharType="begin"/>
      </w:r>
      <w:r>
        <w:instrText xml:space="preserve"> PAGEREF _Toc42174762 \h </w:instrText>
      </w:r>
      <w:r>
        <w:fldChar w:fldCharType="separate"/>
      </w:r>
      <w:r>
        <w:t>5</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"_Toc42174765" </w:instrText>
      </w:r>
      <w:r>
        <w:fldChar w:fldCharType="separate"/>
      </w:r>
      <w:r>
        <w:rPr>
          <w:rStyle w:val="39"/>
          <w:rFonts w:hint="eastAsia" w:ascii="宋体" w:hAnsi="宋体" w:cs="宋体"/>
          <w:lang w:val="zh-CN"/>
        </w:rPr>
        <w:t>第二部分</w:t>
      </w:r>
      <w:r>
        <w:rPr>
          <w:rStyle w:val="39"/>
          <w:rFonts w:ascii="宋体" w:hAnsi="宋体" w:cs="宋体"/>
          <w:lang w:val="zh-CN"/>
        </w:rPr>
        <w:t xml:space="preserve">  </w:t>
      </w:r>
      <w:r>
        <w:rPr>
          <w:rStyle w:val="39"/>
          <w:rFonts w:hint="eastAsia" w:ascii="宋体" w:hAnsi="宋体" w:cs="宋体"/>
          <w:lang w:val="zh-CN"/>
        </w:rPr>
        <w:t>投标人须知</w:t>
      </w:r>
      <w:r>
        <w:tab/>
      </w:r>
      <w:r>
        <w:fldChar w:fldCharType="begin"/>
      </w:r>
      <w:r>
        <w:instrText xml:space="preserve"> PAGEREF _Toc42174765 \h </w:instrText>
      </w:r>
      <w:r>
        <w:fldChar w:fldCharType="separate"/>
      </w:r>
      <w:r>
        <w:t>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"_Toc42174766" </w:instrText>
      </w:r>
      <w:r>
        <w:fldChar w:fldCharType="separate"/>
      </w:r>
      <w:r>
        <w:rPr>
          <w:rStyle w:val="39"/>
          <w:rFonts w:hint="eastAsia" w:ascii="宋体" w:hAnsi="宋体" w:cs="宋体"/>
          <w:lang w:val="zh-CN"/>
        </w:rPr>
        <w:t>一、说明</w:t>
      </w:r>
      <w:r>
        <w:tab/>
      </w:r>
      <w:r>
        <w:fldChar w:fldCharType="begin"/>
      </w:r>
      <w:r>
        <w:instrText xml:space="preserve"> PAGEREF _Toc42174766 \h </w:instrText>
      </w:r>
      <w:r>
        <w:fldChar w:fldCharType="separate"/>
      </w:r>
      <w:r>
        <w:t>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"_Toc42174767" </w:instrText>
      </w:r>
      <w:r>
        <w:fldChar w:fldCharType="separate"/>
      </w:r>
      <w:r>
        <w:rPr>
          <w:rStyle w:val="39"/>
          <w:rFonts w:ascii="宋体" w:hAnsi="宋体" w:cs="宋体"/>
          <w:lang w:val="zh-CN"/>
        </w:rPr>
        <w:t>1.</w:t>
      </w:r>
      <w:r>
        <w:rPr>
          <w:rStyle w:val="39"/>
          <w:rFonts w:hint="eastAsia" w:ascii="宋体" w:hAnsi="宋体" w:cs="宋体"/>
          <w:lang w:val="zh-CN"/>
        </w:rPr>
        <w:t>适用范围</w:t>
      </w:r>
      <w:r>
        <w:tab/>
      </w:r>
      <w:r>
        <w:fldChar w:fldCharType="begin"/>
      </w:r>
      <w:r>
        <w:instrText xml:space="preserve"> PAGEREF _Toc42174767 \h </w:instrText>
      </w:r>
      <w:r>
        <w:fldChar w:fldCharType="separate"/>
      </w:r>
      <w:r>
        <w:t>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"_Toc42174768" </w:instrText>
      </w:r>
      <w:r>
        <w:fldChar w:fldCharType="separate"/>
      </w:r>
      <w:r>
        <w:rPr>
          <w:rStyle w:val="39"/>
          <w:rFonts w:ascii="宋体" w:hAnsi="宋体" w:cs="宋体"/>
          <w:lang w:val="zh-CN"/>
        </w:rPr>
        <w:t>2.</w:t>
      </w:r>
      <w:r>
        <w:rPr>
          <w:rStyle w:val="39"/>
          <w:rFonts w:hint="eastAsia" w:ascii="宋体" w:hAnsi="宋体" w:cs="宋体"/>
          <w:lang w:val="zh-CN"/>
        </w:rPr>
        <w:t>采购方式、合格的投标人</w:t>
      </w:r>
      <w:r>
        <w:tab/>
      </w:r>
      <w:r>
        <w:fldChar w:fldCharType="begin"/>
      </w:r>
      <w:r>
        <w:instrText xml:space="preserve"> PAGEREF _Toc42174768 \h </w:instrText>
      </w:r>
      <w:r>
        <w:fldChar w:fldCharType="separate"/>
      </w:r>
      <w:r>
        <w:t>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"_Toc42174769" </w:instrText>
      </w:r>
      <w:r>
        <w:fldChar w:fldCharType="separate"/>
      </w:r>
      <w:r>
        <w:rPr>
          <w:rStyle w:val="39"/>
          <w:rFonts w:ascii="宋体" w:hAnsi="宋体" w:cs="宋体"/>
          <w:lang w:val="zh-CN"/>
        </w:rPr>
        <w:t>3.</w:t>
      </w:r>
      <w:r>
        <w:rPr>
          <w:rStyle w:val="39"/>
          <w:rFonts w:hint="eastAsia" w:ascii="宋体" w:hAnsi="宋体" w:cs="宋体"/>
          <w:lang w:val="zh-CN"/>
        </w:rPr>
        <w:t>投标费用</w:t>
      </w:r>
      <w:r>
        <w:tab/>
      </w:r>
      <w:r>
        <w:fldChar w:fldCharType="begin"/>
      </w:r>
      <w:r>
        <w:instrText xml:space="preserve"> PAGEREF _Toc42174769 \h </w:instrText>
      </w:r>
      <w:r>
        <w:fldChar w:fldCharType="separate"/>
      </w:r>
      <w:r>
        <w:t>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"_Toc42174770" </w:instrText>
      </w:r>
      <w:r>
        <w:fldChar w:fldCharType="separate"/>
      </w:r>
      <w:r>
        <w:rPr>
          <w:rStyle w:val="39"/>
          <w:rFonts w:hint="eastAsia" w:ascii="宋体" w:hAnsi="宋体" w:cs="宋体"/>
          <w:lang w:val="zh-CN"/>
        </w:rPr>
        <w:t>二、招标文件说明</w:t>
      </w:r>
      <w:r>
        <w:tab/>
      </w:r>
      <w:r>
        <w:fldChar w:fldCharType="begin"/>
      </w:r>
      <w:r>
        <w:instrText xml:space="preserve"> PAGEREF _Toc42174770 \h </w:instrText>
      </w:r>
      <w:r>
        <w:fldChar w:fldCharType="separate"/>
      </w:r>
      <w:r>
        <w:t>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"_Toc42174771" </w:instrText>
      </w:r>
      <w:r>
        <w:fldChar w:fldCharType="separate"/>
      </w:r>
      <w:r>
        <w:rPr>
          <w:rStyle w:val="39"/>
          <w:rFonts w:ascii="宋体" w:hAnsi="宋体" w:cs="宋体"/>
          <w:lang w:val="zh-CN"/>
        </w:rPr>
        <w:t>4.</w:t>
      </w:r>
      <w:r>
        <w:rPr>
          <w:rStyle w:val="39"/>
          <w:rFonts w:hint="eastAsia" w:ascii="宋体" w:hAnsi="宋体" w:cs="宋体"/>
          <w:lang w:val="zh-CN"/>
        </w:rPr>
        <w:t>招标文件的构成</w:t>
      </w:r>
      <w:r>
        <w:tab/>
      </w:r>
      <w:r>
        <w:fldChar w:fldCharType="begin"/>
      </w:r>
      <w:r>
        <w:instrText xml:space="preserve"> PAGEREF _Toc42174771 \h </w:instrText>
      </w:r>
      <w:r>
        <w:fldChar w:fldCharType="separate"/>
      </w:r>
      <w:r>
        <w:t>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"_Toc42174772" </w:instrText>
      </w:r>
      <w:r>
        <w:fldChar w:fldCharType="separate"/>
      </w:r>
      <w:r>
        <w:rPr>
          <w:rStyle w:val="39"/>
          <w:rFonts w:ascii="宋体" w:hAnsi="宋体" w:cs="宋体"/>
          <w:lang w:val="zh-CN"/>
        </w:rPr>
        <w:t>5.</w:t>
      </w:r>
      <w:r>
        <w:rPr>
          <w:rStyle w:val="39"/>
          <w:rFonts w:hint="eastAsia" w:ascii="宋体" w:hAnsi="宋体" w:cs="宋体"/>
          <w:lang w:val="zh-CN"/>
        </w:rPr>
        <w:t>招标文件、采购活动和中标结果的质疑</w:t>
      </w:r>
      <w:r>
        <w:tab/>
      </w:r>
      <w:r>
        <w:fldChar w:fldCharType="begin"/>
      </w:r>
      <w:r>
        <w:instrText xml:space="preserve"> PAGEREF _Toc42174772 \h </w:instrText>
      </w:r>
      <w:r>
        <w:fldChar w:fldCharType="separate"/>
      </w:r>
      <w:r>
        <w:t>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"_Toc42174773" </w:instrText>
      </w:r>
      <w:r>
        <w:fldChar w:fldCharType="separate"/>
      </w:r>
      <w:r>
        <w:rPr>
          <w:rStyle w:val="39"/>
          <w:rFonts w:ascii="宋体" w:hAnsi="宋体" w:cs="宋体"/>
          <w:lang w:val="zh-CN"/>
        </w:rPr>
        <w:t>6.</w:t>
      </w:r>
      <w:r>
        <w:rPr>
          <w:rStyle w:val="39"/>
          <w:rFonts w:hint="eastAsia" w:ascii="宋体" w:hAnsi="宋体" w:cs="宋体"/>
          <w:lang w:val="zh-CN"/>
        </w:rPr>
        <w:t>招标文件的澄清或修改</w:t>
      </w:r>
      <w:r>
        <w:tab/>
      </w:r>
      <w:r>
        <w:fldChar w:fldCharType="begin"/>
      </w:r>
      <w:r>
        <w:instrText xml:space="preserve"> PAGEREF _Toc42174773 \h </w:instrText>
      </w:r>
      <w:r>
        <w:fldChar w:fldCharType="separate"/>
      </w:r>
      <w:r>
        <w:t>9</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"_Toc42174774" </w:instrText>
      </w:r>
      <w:r>
        <w:fldChar w:fldCharType="separate"/>
      </w:r>
      <w:r>
        <w:rPr>
          <w:rStyle w:val="39"/>
          <w:rFonts w:hint="eastAsia" w:ascii="宋体" w:hAnsi="宋体" w:cs="宋体"/>
          <w:lang w:val="zh-CN"/>
        </w:rPr>
        <w:t>三、投标文件的编制</w:t>
      </w:r>
      <w:r>
        <w:tab/>
      </w:r>
      <w:r>
        <w:fldChar w:fldCharType="begin"/>
      </w:r>
      <w:r>
        <w:instrText xml:space="preserve"> PAGEREF _Toc42174774 \h </w:instrText>
      </w:r>
      <w:r>
        <w:fldChar w:fldCharType="separate"/>
      </w:r>
      <w:r>
        <w:t>9</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"_Toc42174775" </w:instrText>
      </w:r>
      <w:r>
        <w:fldChar w:fldCharType="separate"/>
      </w:r>
      <w:r>
        <w:rPr>
          <w:rStyle w:val="39"/>
          <w:rFonts w:ascii="宋体" w:hAnsi="宋体" w:cs="宋体"/>
          <w:lang w:val="zh-CN"/>
        </w:rPr>
        <w:t>7.</w:t>
      </w:r>
      <w:r>
        <w:rPr>
          <w:rStyle w:val="39"/>
          <w:rFonts w:hint="eastAsia" w:ascii="宋体" w:hAnsi="宋体" w:cs="宋体"/>
          <w:lang w:val="zh-CN"/>
        </w:rPr>
        <w:t>投标文件的语言及度量衡单位</w:t>
      </w:r>
      <w:r>
        <w:tab/>
      </w:r>
      <w:r>
        <w:fldChar w:fldCharType="begin"/>
      </w:r>
      <w:r>
        <w:instrText xml:space="preserve"> PAGEREF _Toc42174775 \h </w:instrText>
      </w:r>
      <w:r>
        <w:fldChar w:fldCharType="separate"/>
      </w:r>
      <w:r>
        <w:t>9</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"_Toc42174776" </w:instrText>
      </w:r>
      <w:r>
        <w:fldChar w:fldCharType="separate"/>
      </w:r>
      <w:r>
        <w:rPr>
          <w:rStyle w:val="39"/>
          <w:rFonts w:ascii="宋体" w:hAnsi="宋体" w:cs="宋体"/>
          <w:lang w:val="zh-CN"/>
        </w:rPr>
        <w:t>8.</w:t>
      </w:r>
      <w:r>
        <w:rPr>
          <w:rStyle w:val="39"/>
          <w:rFonts w:hint="eastAsia" w:ascii="宋体" w:hAnsi="宋体" w:cs="宋体"/>
          <w:lang w:val="zh-CN"/>
        </w:rPr>
        <w:t>投标报价及币种</w:t>
      </w:r>
      <w:r>
        <w:tab/>
      </w:r>
      <w:r>
        <w:fldChar w:fldCharType="begin"/>
      </w:r>
      <w:r>
        <w:instrText xml:space="preserve"> PAGEREF _Toc42174776 \h </w:instrText>
      </w:r>
      <w:r>
        <w:fldChar w:fldCharType="separate"/>
      </w:r>
      <w:r>
        <w:t>10</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"_Toc42174777" </w:instrText>
      </w:r>
      <w:r>
        <w:fldChar w:fldCharType="separate"/>
      </w:r>
      <w:r>
        <w:rPr>
          <w:rStyle w:val="39"/>
          <w:rFonts w:ascii="宋体" w:hAnsi="宋体" w:cs="宋体"/>
          <w:lang w:val="zh-CN"/>
        </w:rPr>
        <w:t>9.</w:t>
      </w:r>
      <w:r>
        <w:rPr>
          <w:rStyle w:val="39"/>
          <w:rFonts w:hint="eastAsia" w:ascii="宋体" w:hAnsi="宋体" w:cs="宋体"/>
          <w:lang w:val="zh-CN"/>
        </w:rPr>
        <w:t>投标保证金</w:t>
      </w:r>
      <w:r>
        <w:tab/>
      </w:r>
      <w:r>
        <w:fldChar w:fldCharType="begin"/>
      </w:r>
      <w:r>
        <w:instrText xml:space="preserve"> PAGEREF _Toc42174777 \h </w:instrText>
      </w:r>
      <w:r>
        <w:fldChar w:fldCharType="separate"/>
      </w:r>
      <w:r>
        <w:t>10</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"_Toc42174778" </w:instrText>
      </w:r>
      <w:r>
        <w:fldChar w:fldCharType="separate"/>
      </w:r>
      <w:r>
        <w:rPr>
          <w:rStyle w:val="39"/>
          <w:rFonts w:ascii="宋体" w:hAnsi="宋体" w:cs="宋体"/>
          <w:lang w:val="zh-CN"/>
        </w:rPr>
        <w:t>10.</w:t>
      </w:r>
      <w:r>
        <w:rPr>
          <w:rStyle w:val="39"/>
          <w:rFonts w:hint="eastAsia" w:ascii="宋体" w:hAnsi="宋体" w:cs="宋体"/>
          <w:lang w:val="zh-CN"/>
        </w:rPr>
        <w:t>投标有效期</w:t>
      </w:r>
      <w:r>
        <w:tab/>
      </w:r>
      <w:r>
        <w:fldChar w:fldCharType="begin"/>
      </w:r>
      <w:r>
        <w:instrText xml:space="preserve"> PAGEREF _Toc42174778 \h </w:instrText>
      </w:r>
      <w:r>
        <w:fldChar w:fldCharType="separate"/>
      </w:r>
      <w:r>
        <w:t>11</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"_Toc42174779" </w:instrText>
      </w:r>
      <w:r>
        <w:fldChar w:fldCharType="separate"/>
      </w:r>
      <w:r>
        <w:rPr>
          <w:rStyle w:val="39"/>
          <w:rFonts w:ascii="宋体" w:hAnsi="宋体" w:cs="宋体"/>
          <w:lang w:val="zh-CN"/>
        </w:rPr>
        <w:t>11.</w:t>
      </w:r>
      <w:r>
        <w:rPr>
          <w:rStyle w:val="39"/>
          <w:rFonts w:hint="eastAsia" w:ascii="宋体" w:hAnsi="宋体" w:cs="宋体"/>
          <w:lang w:val="zh-CN"/>
        </w:rPr>
        <w:t>投标文件构成</w:t>
      </w:r>
      <w:r>
        <w:tab/>
      </w:r>
      <w:r>
        <w:fldChar w:fldCharType="begin"/>
      </w:r>
      <w:r>
        <w:instrText xml:space="preserve"> PAGEREF _Toc42174779 \h </w:instrText>
      </w:r>
      <w:r>
        <w:fldChar w:fldCharType="separate"/>
      </w:r>
      <w:r>
        <w:t>11</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"_Toc42174780" </w:instrText>
      </w:r>
      <w:r>
        <w:fldChar w:fldCharType="separate"/>
      </w:r>
      <w:r>
        <w:rPr>
          <w:rStyle w:val="39"/>
          <w:rFonts w:ascii="宋体" w:hAnsi="宋体" w:cs="宋体"/>
          <w:lang w:val="zh-CN"/>
        </w:rPr>
        <w:t>12.</w:t>
      </w:r>
      <w:r>
        <w:rPr>
          <w:rStyle w:val="39"/>
          <w:rFonts w:hint="eastAsia" w:ascii="宋体" w:hAnsi="宋体" w:cs="宋体"/>
          <w:lang w:val="zh-CN"/>
        </w:rPr>
        <w:t>投标文件的编制要求</w:t>
      </w:r>
      <w:r>
        <w:tab/>
      </w:r>
      <w:r>
        <w:fldChar w:fldCharType="begin"/>
      </w:r>
      <w:r>
        <w:instrText xml:space="preserve"> PAGEREF _Toc42174780 \h </w:instrText>
      </w:r>
      <w:r>
        <w:fldChar w:fldCharType="separate"/>
      </w:r>
      <w:r>
        <w:t>12</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"_Toc42174781" </w:instrText>
      </w:r>
      <w:r>
        <w:fldChar w:fldCharType="separate"/>
      </w:r>
      <w:r>
        <w:rPr>
          <w:rStyle w:val="39"/>
          <w:rFonts w:hint="eastAsia" w:ascii="宋体" w:hAnsi="宋体" w:cs="宋体"/>
          <w:lang w:val="zh-CN"/>
        </w:rPr>
        <w:t>四、投标文件的提交</w:t>
      </w:r>
      <w:r>
        <w:tab/>
      </w:r>
      <w:r>
        <w:fldChar w:fldCharType="begin"/>
      </w:r>
      <w:r>
        <w:instrText xml:space="preserve"> PAGEREF _Toc42174781 \h </w:instrText>
      </w:r>
      <w:r>
        <w:fldChar w:fldCharType="separate"/>
      </w:r>
      <w:r>
        <w:t>12</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"_Toc42174782" </w:instrText>
      </w:r>
      <w:r>
        <w:fldChar w:fldCharType="separate"/>
      </w:r>
      <w:r>
        <w:rPr>
          <w:rStyle w:val="39"/>
          <w:rFonts w:ascii="宋体" w:hAnsi="宋体" w:cs="宋体"/>
          <w:lang w:val="zh-CN"/>
        </w:rPr>
        <w:t>13.</w:t>
      </w:r>
      <w:r>
        <w:rPr>
          <w:rStyle w:val="39"/>
          <w:rFonts w:hint="eastAsia" w:ascii="宋体" w:hAnsi="宋体" w:cs="宋体"/>
          <w:lang w:val="zh-CN"/>
        </w:rPr>
        <w:t>投标文件的密封和标记</w:t>
      </w:r>
      <w:r>
        <w:tab/>
      </w:r>
      <w:r>
        <w:fldChar w:fldCharType="begin"/>
      </w:r>
      <w:r>
        <w:instrText xml:space="preserve"> PAGEREF _Toc42174782 \h </w:instrText>
      </w:r>
      <w:r>
        <w:fldChar w:fldCharType="separate"/>
      </w:r>
      <w:r>
        <w:t>12</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"_Toc42174783" </w:instrText>
      </w:r>
      <w:r>
        <w:fldChar w:fldCharType="separate"/>
      </w:r>
      <w:r>
        <w:rPr>
          <w:rStyle w:val="39"/>
          <w:rFonts w:ascii="宋体" w:hAnsi="宋体" w:cs="宋体"/>
          <w:lang w:val="zh-CN"/>
        </w:rPr>
        <w:t>14.</w:t>
      </w:r>
      <w:r>
        <w:rPr>
          <w:rStyle w:val="39"/>
          <w:rFonts w:hint="eastAsia" w:ascii="宋体" w:hAnsi="宋体" w:cs="宋体"/>
          <w:lang w:val="zh-CN"/>
        </w:rPr>
        <w:t>提交投标文件的时间、地点、方式</w:t>
      </w:r>
      <w:r>
        <w:tab/>
      </w:r>
      <w:r>
        <w:fldChar w:fldCharType="begin"/>
      </w:r>
      <w:r>
        <w:instrText xml:space="preserve"> PAGEREF _Toc42174783 \h </w:instrText>
      </w:r>
      <w:r>
        <w:fldChar w:fldCharType="separate"/>
      </w:r>
      <w:r>
        <w:t>12</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"_Toc42174784" </w:instrText>
      </w:r>
      <w:r>
        <w:fldChar w:fldCharType="separate"/>
      </w:r>
      <w:r>
        <w:rPr>
          <w:rStyle w:val="39"/>
          <w:rFonts w:ascii="宋体" w:hAnsi="宋体" w:cs="宋体"/>
          <w:lang w:val="zh-CN"/>
        </w:rPr>
        <w:t>15.</w:t>
      </w:r>
      <w:r>
        <w:rPr>
          <w:rStyle w:val="39"/>
          <w:rFonts w:hint="eastAsia" w:ascii="宋体" w:hAnsi="宋体" w:cs="宋体"/>
          <w:lang w:val="zh-CN"/>
        </w:rPr>
        <w:t>投标文件的补充、修改或者撤回</w:t>
      </w:r>
      <w:r>
        <w:tab/>
      </w:r>
      <w:r>
        <w:fldChar w:fldCharType="begin"/>
      </w:r>
      <w:r>
        <w:instrText xml:space="preserve"> PAGEREF _Toc42174784 \h </w:instrText>
      </w:r>
      <w:r>
        <w:fldChar w:fldCharType="separate"/>
      </w:r>
      <w:r>
        <w:t>13</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"_Toc42174785" </w:instrText>
      </w:r>
      <w:r>
        <w:fldChar w:fldCharType="separate"/>
      </w:r>
      <w:r>
        <w:rPr>
          <w:rStyle w:val="39"/>
          <w:rFonts w:hint="eastAsia" w:ascii="宋体" w:hAnsi="宋体" w:cs="宋体"/>
          <w:lang w:val="zh-CN"/>
        </w:rPr>
        <w:t>五、开标</w:t>
      </w:r>
      <w:r>
        <w:tab/>
      </w:r>
      <w:r>
        <w:fldChar w:fldCharType="begin"/>
      </w:r>
      <w:r>
        <w:instrText xml:space="preserve"> PAGEREF _Toc42174785 \h </w:instrText>
      </w:r>
      <w:r>
        <w:fldChar w:fldCharType="separate"/>
      </w:r>
      <w:r>
        <w:t>13</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"_Toc42174786" </w:instrText>
      </w:r>
      <w:r>
        <w:fldChar w:fldCharType="separate"/>
      </w:r>
      <w:r>
        <w:rPr>
          <w:rStyle w:val="39"/>
          <w:rFonts w:ascii="宋体" w:hAnsi="宋体" w:cs="宋体"/>
          <w:lang w:val="zh-CN"/>
        </w:rPr>
        <w:t>16.</w:t>
      </w:r>
      <w:r>
        <w:rPr>
          <w:rStyle w:val="39"/>
          <w:rFonts w:hint="eastAsia" w:ascii="宋体" w:hAnsi="宋体" w:cs="宋体"/>
          <w:lang w:val="zh-CN"/>
        </w:rPr>
        <w:t>开标</w:t>
      </w:r>
      <w:r>
        <w:tab/>
      </w:r>
      <w:r>
        <w:fldChar w:fldCharType="begin"/>
      </w:r>
      <w:r>
        <w:instrText xml:space="preserve"> PAGEREF _Toc42174786 \h </w:instrText>
      </w:r>
      <w:r>
        <w:fldChar w:fldCharType="separate"/>
      </w:r>
      <w:r>
        <w:t>13</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"_Toc42174787" </w:instrText>
      </w:r>
      <w:r>
        <w:fldChar w:fldCharType="separate"/>
      </w:r>
      <w:r>
        <w:rPr>
          <w:rStyle w:val="39"/>
          <w:rFonts w:hint="eastAsia" w:ascii="宋体" w:hAnsi="宋体" w:cs="宋体"/>
          <w:kern w:val="0"/>
        </w:rPr>
        <w:t>六、资格</w:t>
      </w:r>
      <w:r>
        <w:rPr>
          <w:rStyle w:val="39"/>
          <w:rFonts w:hint="eastAsia" w:ascii="宋体" w:hAnsi="宋体" w:cs="宋体"/>
          <w:lang w:val="zh-CN"/>
        </w:rPr>
        <w:t>审查</w:t>
      </w:r>
      <w:r>
        <w:rPr>
          <w:rStyle w:val="39"/>
          <w:rFonts w:hint="eastAsia" w:ascii="宋体" w:hAnsi="宋体" w:cs="宋体"/>
          <w:kern w:val="0"/>
        </w:rPr>
        <w:t>程序</w:t>
      </w:r>
      <w:r>
        <w:tab/>
      </w:r>
      <w:r>
        <w:fldChar w:fldCharType="begin"/>
      </w:r>
      <w:r>
        <w:instrText xml:space="preserve"> PAGEREF _Toc42174787 \h </w:instrText>
      </w:r>
      <w:r>
        <w:fldChar w:fldCharType="separate"/>
      </w:r>
      <w:r>
        <w:t>13</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"_Toc42174788" </w:instrText>
      </w:r>
      <w:r>
        <w:fldChar w:fldCharType="separate"/>
      </w:r>
      <w:r>
        <w:rPr>
          <w:rStyle w:val="39"/>
          <w:rFonts w:ascii="宋体" w:hAnsi="宋体" w:cs="宋体"/>
        </w:rPr>
        <w:t>17.</w:t>
      </w:r>
      <w:r>
        <w:rPr>
          <w:rStyle w:val="39"/>
          <w:rFonts w:hint="eastAsia" w:ascii="宋体" w:hAnsi="宋体" w:cs="宋体"/>
        </w:rPr>
        <w:t>资格审查</w:t>
      </w:r>
      <w:r>
        <w:tab/>
      </w:r>
      <w:r>
        <w:fldChar w:fldCharType="begin"/>
      </w:r>
      <w:r>
        <w:instrText xml:space="preserve"> PAGEREF _Toc42174788 \h </w:instrText>
      </w:r>
      <w:r>
        <w:fldChar w:fldCharType="separate"/>
      </w:r>
      <w:r>
        <w:t>13</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"_Toc42174789" </w:instrText>
      </w:r>
      <w:r>
        <w:fldChar w:fldCharType="separate"/>
      </w:r>
      <w:r>
        <w:rPr>
          <w:rStyle w:val="39"/>
          <w:rFonts w:hint="eastAsia" w:ascii="宋体" w:hAnsi="宋体" w:cs="宋体"/>
          <w:lang w:val="zh-CN"/>
        </w:rPr>
        <w:t>七、评审程序及方法</w:t>
      </w:r>
      <w:r>
        <w:tab/>
      </w:r>
      <w:r>
        <w:fldChar w:fldCharType="begin"/>
      </w:r>
      <w:r>
        <w:instrText xml:space="preserve"> PAGEREF _Toc42174789 \h </w:instrText>
      </w:r>
      <w:r>
        <w:fldChar w:fldCharType="separate"/>
      </w:r>
      <w:r>
        <w:t>14</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"_Toc42174790" </w:instrText>
      </w:r>
      <w:r>
        <w:fldChar w:fldCharType="separate"/>
      </w:r>
      <w:r>
        <w:rPr>
          <w:rStyle w:val="39"/>
          <w:rFonts w:ascii="宋体" w:hAnsi="宋体" w:cs="宋体"/>
          <w:lang w:val="zh-CN"/>
        </w:rPr>
        <w:t>1</w:t>
      </w:r>
      <w:r>
        <w:rPr>
          <w:rStyle w:val="39"/>
          <w:rFonts w:ascii="宋体" w:hAnsi="宋体" w:cs="宋体"/>
        </w:rPr>
        <w:t>8</w:t>
      </w:r>
      <w:r>
        <w:rPr>
          <w:rStyle w:val="39"/>
          <w:rFonts w:ascii="宋体" w:hAnsi="宋体" w:cs="宋体"/>
          <w:lang w:val="zh-CN"/>
        </w:rPr>
        <w:t>.</w:t>
      </w:r>
      <w:r>
        <w:rPr>
          <w:rStyle w:val="39"/>
          <w:rFonts w:hint="eastAsia" w:ascii="宋体" w:hAnsi="宋体" w:cs="宋体"/>
          <w:lang w:val="zh-CN"/>
        </w:rPr>
        <w:t>评标委员会</w:t>
      </w:r>
      <w:r>
        <w:tab/>
      </w:r>
      <w:r>
        <w:fldChar w:fldCharType="begin"/>
      </w:r>
      <w:r>
        <w:instrText xml:space="preserve"> PAGEREF _Toc42174790 \h </w:instrText>
      </w:r>
      <w:r>
        <w:fldChar w:fldCharType="separate"/>
      </w:r>
      <w:r>
        <w:t>14</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"_Toc42174791" </w:instrText>
      </w:r>
      <w:r>
        <w:fldChar w:fldCharType="separate"/>
      </w:r>
      <w:r>
        <w:rPr>
          <w:rStyle w:val="39"/>
          <w:rFonts w:ascii="宋体" w:hAnsi="宋体" w:cs="宋体"/>
        </w:rPr>
        <w:t>19</w:t>
      </w:r>
      <w:r>
        <w:rPr>
          <w:rStyle w:val="39"/>
          <w:rFonts w:ascii="宋体" w:hAnsi="宋体" w:cs="宋体"/>
          <w:lang w:val="zh-CN"/>
        </w:rPr>
        <w:t>.</w:t>
      </w:r>
      <w:r>
        <w:rPr>
          <w:rStyle w:val="39"/>
          <w:rFonts w:hint="eastAsia" w:ascii="宋体" w:hAnsi="宋体" w:cs="宋体"/>
          <w:lang w:val="zh-CN"/>
        </w:rPr>
        <w:t>评审工作程序</w:t>
      </w:r>
      <w:r>
        <w:tab/>
      </w:r>
      <w:r>
        <w:fldChar w:fldCharType="begin"/>
      </w:r>
      <w:r>
        <w:instrText xml:space="preserve"> PAGEREF _Toc42174791 \h </w:instrText>
      </w:r>
      <w:r>
        <w:fldChar w:fldCharType="separate"/>
      </w:r>
      <w:r>
        <w:t>16</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"_Toc42174792" </w:instrText>
      </w:r>
      <w:r>
        <w:fldChar w:fldCharType="separate"/>
      </w:r>
      <w:r>
        <w:rPr>
          <w:rStyle w:val="39"/>
          <w:rFonts w:ascii="宋体" w:hAnsi="宋体" w:cs="宋体"/>
        </w:rPr>
        <w:t>20</w:t>
      </w:r>
      <w:r>
        <w:rPr>
          <w:rStyle w:val="39"/>
          <w:rFonts w:ascii="宋体" w:hAnsi="宋体" w:cs="宋体"/>
          <w:lang w:val="zh-CN"/>
        </w:rPr>
        <w:t>.</w:t>
      </w:r>
      <w:r>
        <w:rPr>
          <w:rStyle w:val="39"/>
          <w:rFonts w:hint="eastAsia" w:ascii="宋体" w:hAnsi="宋体" w:cs="宋体"/>
          <w:lang w:val="zh-CN"/>
        </w:rPr>
        <w:t>评审方法和标准</w:t>
      </w:r>
      <w:r>
        <w:tab/>
      </w:r>
      <w:r>
        <w:fldChar w:fldCharType="begin"/>
      </w:r>
      <w:r>
        <w:instrText xml:space="preserve"> PAGEREF _Toc42174792 \h </w:instrText>
      </w:r>
      <w:r>
        <w:fldChar w:fldCharType="separate"/>
      </w:r>
      <w:r>
        <w:t>18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"_Toc42174793" </w:instrText>
      </w:r>
      <w:r>
        <w:fldChar w:fldCharType="separate"/>
      </w:r>
      <w:r>
        <w:rPr>
          <w:rStyle w:val="39"/>
          <w:rFonts w:hint="eastAsia" w:ascii="宋体" w:hAnsi="宋体" w:cs="宋体"/>
          <w:lang w:val="zh-CN"/>
        </w:rPr>
        <w:t>八、中标</w:t>
      </w:r>
      <w:r>
        <w:tab/>
      </w:r>
      <w:r>
        <w:fldChar w:fldCharType="begin"/>
      </w:r>
      <w:r>
        <w:instrText xml:space="preserve"> PAGEREF _Toc42174793 \h </w:instrText>
      </w:r>
      <w:r>
        <w:fldChar w:fldCharType="separate"/>
      </w:r>
      <w:r>
        <w:t>21</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"_Toc42174794" </w:instrText>
      </w:r>
      <w:r>
        <w:fldChar w:fldCharType="separate"/>
      </w:r>
      <w:r>
        <w:rPr>
          <w:rStyle w:val="39"/>
          <w:rFonts w:ascii="宋体" w:hAnsi="宋体" w:cs="宋体"/>
          <w:lang w:val="zh-CN"/>
        </w:rPr>
        <w:t>2</w:t>
      </w:r>
      <w:r>
        <w:rPr>
          <w:rStyle w:val="39"/>
          <w:rFonts w:ascii="宋体" w:hAnsi="宋体" w:cs="宋体"/>
        </w:rPr>
        <w:t>1</w:t>
      </w:r>
      <w:r>
        <w:rPr>
          <w:rStyle w:val="39"/>
          <w:rFonts w:ascii="宋体" w:hAnsi="宋体" w:cs="宋体"/>
          <w:lang w:val="zh-CN"/>
        </w:rPr>
        <w:t>.</w:t>
      </w:r>
      <w:r>
        <w:rPr>
          <w:rStyle w:val="39"/>
          <w:rFonts w:hint="eastAsia" w:ascii="宋体" w:hAnsi="宋体" w:cs="宋体"/>
          <w:lang w:val="zh-CN"/>
        </w:rPr>
        <w:t>推荐并确定中标人</w:t>
      </w:r>
      <w:r>
        <w:tab/>
      </w:r>
      <w:r>
        <w:fldChar w:fldCharType="begin"/>
      </w:r>
      <w:r>
        <w:instrText xml:space="preserve"> PAGEREF _Toc42174794 \h </w:instrText>
      </w:r>
      <w:r>
        <w:fldChar w:fldCharType="separate"/>
      </w:r>
      <w:r>
        <w:t>21</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"_Toc42174795" </w:instrText>
      </w:r>
      <w:r>
        <w:fldChar w:fldCharType="separate"/>
      </w:r>
      <w:r>
        <w:rPr>
          <w:rStyle w:val="39"/>
          <w:rFonts w:ascii="宋体" w:hAnsi="宋体" w:cs="宋体"/>
          <w:lang w:val="zh-CN"/>
        </w:rPr>
        <w:t>2</w:t>
      </w:r>
      <w:r>
        <w:rPr>
          <w:rStyle w:val="39"/>
          <w:rFonts w:ascii="宋体" w:hAnsi="宋体" w:cs="宋体"/>
        </w:rPr>
        <w:t>2</w:t>
      </w:r>
      <w:r>
        <w:rPr>
          <w:rStyle w:val="39"/>
          <w:rFonts w:ascii="宋体" w:hAnsi="宋体" w:cs="宋体"/>
          <w:lang w:val="zh-CN"/>
        </w:rPr>
        <w:t>.</w:t>
      </w:r>
      <w:r>
        <w:rPr>
          <w:rStyle w:val="39"/>
          <w:rFonts w:hint="eastAsia" w:ascii="宋体" w:hAnsi="宋体" w:cs="宋体"/>
          <w:lang w:val="zh-CN"/>
        </w:rPr>
        <w:t>中标通知</w:t>
      </w:r>
      <w:r>
        <w:tab/>
      </w:r>
      <w:r>
        <w:fldChar w:fldCharType="begin"/>
      </w:r>
      <w:r>
        <w:instrText xml:space="preserve"> PAGEREF _Toc42174795 \h </w:instrText>
      </w:r>
      <w:r>
        <w:fldChar w:fldCharType="separate"/>
      </w:r>
      <w:r>
        <w:t>22</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"_Toc42174796" </w:instrText>
      </w:r>
      <w:r>
        <w:fldChar w:fldCharType="separate"/>
      </w:r>
      <w:r>
        <w:rPr>
          <w:rStyle w:val="39"/>
          <w:rFonts w:hint="eastAsia" w:ascii="宋体" w:hAnsi="宋体" w:cs="宋体"/>
          <w:lang w:val="zh-CN"/>
        </w:rPr>
        <w:t>九、授予合同</w:t>
      </w:r>
      <w:r>
        <w:tab/>
      </w:r>
      <w:r>
        <w:fldChar w:fldCharType="begin"/>
      </w:r>
      <w:r>
        <w:instrText xml:space="preserve"> PAGEREF _Toc42174796 \h </w:instrText>
      </w:r>
      <w:r>
        <w:fldChar w:fldCharType="separate"/>
      </w:r>
      <w:r>
        <w:t>22</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"_Toc42174797" </w:instrText>
      </w:r>
      <w:r>
        <w:fldChar w:fldCharType="separate"/>
      </w:r>
      <w:r>
        <w:rPr>
          <w:rStyle w:val="39"/>
          <w:rFonts w:ascii="宋体" w:hAnsi="宋体" w:cs="宋体"/>
          <w:lang w:val="zh-CN"/>
        </w:rPr>
        <w:t>2</w:t>
      </w:r>
      <w:r>
        <w:rPr>
          <w:rStyle w:val="39"/>
          <w:rFonts w:ascii="宋体" w:hAnsi="宋体" w:cs="宋体"/>
        </w:rPr>
        <w:t>3</w:t>
      </w:r>
      <w:r>
        <w:rPr>
          <w:rStyle w:val="39"/>
          <w:rFonts w:ascii="宋体" w:hAnsi="宋体" w:cs="宋体"/>
          <w:lang w:val="zh-CN"/>
        </w:rPr>
        <w:t>.</w:t>
      </w:r>
      <w:r>
        <w:rPr>
          <w:rStyle w:val="39"/>
          <w:rFonts w:hint="eastAsia" w:ascii="宋体" w:hAnsi="宋体" w:cs="宋体"/>
          <w:lang w:val="zh-CN"/>
        </w:rPr>
        <w:t>签订合同</w:t>
      </w:r>
      <w:r>
        <w:tab/>
      </w:r>
      <w:r>
        <w:fldChar w:fldCharType="begin"/>
      </w:r>
      <w:r>
        <w:instrText xml:space="preserve"> PAGEREF _Toc42174797 \h </w:instrText>
      </w:r>
      <w:r>
        <w:fldChar w:fldCharType="separate"/>
      </w:r>
      <w:r>
        <w:t>22</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"_Toc42174798" </w:instrText>
      </w:r>
      <w:r>
        <w:fldChar w:fldCharType="separate"/>
      </w:r>
      <w:r>
        <w:rPr>
          <w:rStyle w:val="39"/>
          <w:rFonts w:hint="eastAsia" w:ascii="宋体" w:hAnsi="宋体" w:cs="宋体"/>
          <w:lang w:val="zh-CN"/>
        </w:rPr>
        <w:t>十、其他</w:t>
      </w:r>
      <w:r>
        <w:tab/>
      </w:r>
      <w:r>
        <w:fldChar w:fldCharType="begin"/>
      </w:r>
      <w:r>
        <w:instrText xml:space="preserve"> PAGEREF _Toc42174798 \h </w:instrText>
      </w:r>
      <w:r>
        <w:fldChar w:fldCharType="separate"/>
      </w:r>
      <w:r>
        <w:t>23</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"_Toc42174799" </w:instrText>
      </w:r>
      <w:r>
        <w:fldChar w:fldCharType="separate"/>
      </w:r>
      <w:r>
        <w:rPr>
          <w:rStyle w:val="39"/>
          <w:rFonts w:ascii="宋体" w:hAnsi="宋体" w:cs="宋体"/>
        </w:rPr>
        <w:t xml:space="preserve">24. </w:t>
      </w:r>
      <w:r>
        <w:rPr>
          <w:rStyle w:val="39"/>
          <w:rFonts w:hint="eastAsia" w:ascii="宋体" w:hAnsi="宋体" w:cs="宋体"/>
        </w:rPr>
        <w:t>串通投标的情形</w:t>
      </w:r>
      <w:r>
        <w:tab/>
      </w:r>
      <w:r>
        <w:fldChar w:fldCharType="begin"/>
      </w:r>
      <w:r>
        <w:instrText xml:space="preserve"> PAGEREF _Toc42174799 \h </w:instrText>
      </w:r>
      <w:r>
        <w:fldChar w:fldCharType="separate"/>
      </w:r>
      <w:r>
        <w:t>23</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"_Toc42174800" </w:instrText>
      </w:r>
      <w:r>
        <w:fldChar w:fldCharType="separate"/>
      </w:r>
      <w:r>
        <w:rPr>
          <w:rStyle w:val="39"/>
          <w:rFonts w:ascii="宋体" w:hAnsi="宋体" w:cs="宋体"/>
        </w:rPr>
        <w:t xml:space="preserve">25. </w:t>
      </w:r>
      <w:r>
        <w:rPr>
          <w:rStyle w:val="39"/>
          <w:rFonts w:hint="eastAsia" w:ascii="宋体" w:hAnsi="宋体" w:cs="宋体"/>
        </w:rPr>
        <w:t>废标</w:t>
      </w:r>
      <w:r>
        <w:tab/>
      </w:r>
      <w:r>
        <w:fldChar w:fldCharType="begin"/>
      </w:r>
      <w:r>
        <w:instrText xml:space="preserve"> PAGEREF _Toc42174800 \h </w:instrText>
      </w:r>
      <w:r>
        <w:fldChar w:fldCharType="separate"/>
      </w:r>
      <w:r>
        <w:t>23</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"_Toc42174801" </w:instrText>
      </w:r>
      <w:r>
        <w:fldChar w:fldCharType="separate"/>
      </w:r>
      <w:r>
        <w:rPr>
          <w:rStyle w:val="39"/>
          <w:rFonts w:ascii="宋体" w:hAnsi="宋体" w:cs="宋体"/>
        </w:rPr>
        <w:t xml:space="preserve">26. </w:t>
      </w:r>
      <w:r>
        <w:rPr>
          <w:rStyle w:val="39"/>
          <w:rFonts w:hint="eastAsia" w:ascii="宋体" w:hAnsi="宋体" w:cs="宋体"/>
        </w:rPr>
        <w:t>中标服务费</w:t>
      </w:r>
      <w:r>
        <w:tab/>
      </w:r>
      <w:r>
        <w:fldChar w:fldCharType="begin"/>
      </w:r>
      <w:r>
        <w:instrText xml:space="preserve"> PAGEREF _Toc42174801 \h </w:instrText>
      </w:r>
      <w:r>
        <w:fldChar w:fldCharType="separate"/>
      </w:r>
      <w:r>
        <w:t>24</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"_Toc42174802" </w:instrText>
      </w:r>
      <w:r>
        <w:fldChar w:fldCharType="separate"/>
      </w:r>
      <w:r>
        <w:rPr>
          <w:rStyle w:val="39"/>
          <w:rFonts w:hint="eastAsia" w:ascii="宋体" w:hAnsi="宋体" w:cs="宋体"/>
          <w:lang w:val="zh-CN"/>
        </w:rPr>
        <w:t>第三部分</w:t>
      </w:r>
      <w:r>
        <w:rPr>
          <w:rStyle w:val="39"/>
          <w:rFonts w:ascii="宋体" w:hAnsi="宋体" w:cs="宋体"/>
          <w:lang w:val="zh-CN"/>
        </w:rPr>
        <w:t xml:space="preserve"> </w:t>
      </w:r>
      <w:r>
        <w:rPr>
          <w:rStyle w:val="39"/>
          <w:rFonts w:ascii="宋体" w:hAnsi="宋体" w:cs="宋体"/>
        </w:rPr>
        <w:t xml:space="preserve"> </w:t>
      </w:r>
      <w:r>
        <w:rPr>
          <w:rStyle w:val="39"/>
          <w:rFonts w:hint="eastAsia" w:ascii="宋体" w:hAnsi="宋体" w:cs="宋体"/>
          <w:lang w:val="zh-CN"/>
        </w:rPr>
        <w:t>青海省政府采购项目合同书范本</w:t>
      </w:r>
      <w:r>
        <w:tab/>
      </w:r>
      <w:r>
        <w:fldChar w:fldCharType="begin"/>
      </w:r>
      <w:r>
        <w:instrText xml:space="preserve"> PAGEREF _Toc42174802 \h </w:instrText>
      </w:r>
      <w:r>
        <w:fldChar w:fldCharType="separate"/>
      </w:r>
      <w:r>
        <w:t>25</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"_Toc42174803" </w:instrText>
      </w:r>
      <w:r>
        <w:fldChar w:fldCharType="separate"/>
      </w:r>
      <w:r>
        <w:rPr>
          <w:rStyle w:val="39"/>
          <w:rFonts w:hint="eastAsia" w:ascii="宋体" w:hAnsi="宋体" w:cs="宋体"/>
          <w:lang w:val="zh-CN"/>
        </w:rPr>
        <w:t>第四部分</w:t>
      </w:r>
      <w:r>
        <w:rPr>
          <w:rStyle w:val="39"/>
          <w:rFonts w:ascii="宋体" w:hAnsi="宋体" w:cs="宋体"/>
          <w:lang w:val="zh-CN"/>
        </w:rPr>
        <w:t xml:space="preserve">  </w:t>
      </w:r>
      <w:r>
        <w:rPr>
          <w:rStyle w:val="39"/>
          <w:rFonts w:hint="eastAsia" w:ascii="宋体" w:hAnsi="宋体" w:cs="宋体"/>
          <w:lang w:val="zh-CN"/>
        </w:rPr>
        <w:t>投标文件格式</w:t>
      </w:r>
      <w:r>
        <w:tab/>
      </w:r>
      <w:r>
        <w:fldChar w:fldCharType="begin"/>
      </w:r>
      <w:r>
        <w:instrText xml:space="preserve"> PAGEREF _Toc42174803 \h </w:instrText>
      </w:r>
      <w:r>
        <w:fldChar w:fldCharType="separate"/>
      </w:r>
      <w:r>
        <w:t>25</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"_Toc42174804" </w:instrText>
      </w:r>
      <w:r>
        <w:fldChar w:fldCharType="separate"/>
      </w:r>
      <w:r>
        <w:rPr>
          <w:rStyle w:val="39"/>
          <w:rFonts w:hint="eastAsia" w:ascii="宋体" w:hAnsi="宋体" w:cs="宋体"/>
          <w:lang w:val="zh-CN"/>
        </w:rPr>
        <w:t>封面（上册）</w:t>
      </w:r>
      <w:r>
        <w:tab/>
      </w:r>
      <w:r>
        <w:fldChar w:fldCharType="begin"/>
      </w:r>
      <w:r>
        <w:instrText xml:space="preserve"> PAGEREF _Toc42174804 \h </w:instrText>
      </w:r>
      <w:r>
        <w:fldChar w:fldCharType="separate"/>
      </w:r>
      <w:r>
        <w:t>37</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"_Toc42174805" </w:instrText>
      </w:r>
      <w:r>
        <w:fldChar w:fldCharType="separate"/>
      </w:r>
      <w:r>
        <w:rPr>
          <w:rStyle w:val="39"/>
          <w:rFonts w:hint="eastAsia" w:ascii="宋体" w:hAnsi="宋体" w:cs="宋体"/>
          <w:lang w:val="zh-CN"/>
        </w:rPr>
        <w:t>目录（上册）</w:t>
      </w:r>
      <w:r>
        <w:tab/>
      </w:r>
      <w:r>
        <w:fldChar w:fldCharType="begin"/>
      </w:r>
      <w:r>
        <w:instrText xml:space="preserve"> PAGEREF _Toc42174805 \h </w:instrText>
      </w:r>
      <w:r>
        <w:fldChar w:fldCharType="separate"/>
      </w:r>
      <w:r>
        <w:t>38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"_Toc42174806" </w:instrText>
      </w:r>
      <w:r>
        <w:fldChar w:fldCharType="separate"/>
      </w:r>
      <w:r>
        <w:rPr>
          <w:rStyle w:val="39"/>
          <w:rFonts w:hint="eastAsia" w:ascii="宋体" w:hAnsi="宋体" w:cs="宋体"/>
        </w:rPr>
        <w:t>（</w:t>
      </w:r>
      <w:r>
        <w:rPr>
          <w:rStyle w:val="39"/>
          <w:rFonts w:ascii="宋体" w:hAnsi="宋体" w:cs="宋体"/>
        </w:rPr>
        <w:t>1</w:t>
      </w:r>
      <w:r>
        <w:rPr>
          <w:rStyle w:val="39"/>
          <w:rFonts w:hint="eastAsia" w:ascii="宋体" w:hAnsi="宋体" w:cs="宋体"/>
        </w:rPr>
        <w:t>）</w:t>
      </w:r>
      <w:r>
        <w:rPr>
          <w:rStyle w:val="39"/>
          <w:rFonts w:hint="eastAsia" w:ascii="宋体" w:hAnsi="宋体" w:cs="宋体"/>
          <w:lang w:val="zh-CN"/>
        </w:rPr>
        <w:t>投标函</w:t>
      </w:r>
      <w:r>
        <w:tab/>
      </w:r>
      <w:r>
        <w:fldChar w:fldCharType="begin"/>
      </w:r>
      <w:r>
        <w:instrText xml:space="preserve"> PAGEREF _Toc42174806 \h </w:instrText>
      </w:r>
      <w:r>
        <w:fldChar w:fldCharType="separate"/>
      </w:r>
      <w:r>
        <w:t>39</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"_Toc42174807" </w:instrText>
      </w:r>
      <w:r>
        <w:fldChar w:fldCharType="separate"/>
      </w:r>
      <w:r>
        <w:rPr>
          <w:rStyle w:val="39"/>
          <w:rFonts w:hint="eastAsia" w:ascii="宋体" w:hAnsi="宋体" w:cs="宋体"/>
          <w:kern w:val="0"/>
          <w:lang w:val="zh-CN"/>
        </w:rPr>
        <w:t>（</w:t>
      </w:r>
      <w:r>
        <w:rPr>
          <w:rStyle w:val="39"/>
          <w:rFonts w:ascii="宋体" w:hAnsi="宋体" w:cs="宋体"/>
          <w:kern w:val="0"/>
        </w:rPr>
        <w:t>2</w:t>
      </w:r>
      <w:r>
        <w:rPr>
          <w:rStyle w:val="39"/>
          <w:rFonts w:hint="eastAsia" w:ascii="宋体" w:hAnsi="宋体" w:cs="宋体"/>
          <w:kern w:val="0"/>
          <w:lang w:val="zh-CN"/>
        </w:rPr>
        <w:t>）</w:t>
      </w:r>
      <w:r>
        <w:rPr>
          <w:rStyle w:val="39"/>
          <w:rFonts w:hint="eastAsia" w:ascii="宋体" w:hAnsi="宋体" w:cs="宋体"/>
        </w:rPr>
        <w:t>法定代表人证明书</w:t>
      </w:r>
      <w:r>
        <w:tab/>
      </w:r>
      <w:r>
        <w:fldChar w:fldCharType="begin"/>
      </w:r>
      <w:r>
        <w:instrText xml:space="preserve"> PAGEREF _Toc42174807 \h </w:instrText>
      </w:r>
      <w:r>
        <w:fldChar w:fldCharType="separate"/>
      </w:r>
      <w:r>
        <w:t>40</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"_Toc42174808" </w:instrText>
      </w:r>
      <w:r>
        <w:fldChar w:fldCharType="separate"/>
      </w:r>
      <w:r>
        <w:rPr>
          <w:rStyle w:val="39"/>
          <w:rFonts w:hint="eastAsia" w:ascii="宋体" w:hAnsi="宋体" w:cs="宋体"/>
        </w:rPr>
        <w:t>（</w:t>
      </w:r>
      <w:r>
        <w:rPr>
          <w:rStyle w:val="39"/>
          <w:rFonts w:ascii="宋体" w:hAnsi="宋体" w:cs="宋体"/>
        </w:rPr>
        <w:t>3</w:t>
      </w:r>
      <w:r>
        <w:rPr>
          <w:rStyle w:val="39"/>
          <w:rFonts w:hint="eastAsia" w:ascii="宋体" w:hAnsi="宋体" w:cs="宋体"/>
        </w:rPr>
        <w:t>）</w:t>
      </w:r>
      <w:r>
        <w:rPr>
          <w:rStyle w:val="39"/>
          <w:rFonts w:hint="eastAsia" w:ascii="宋体" w:hAnsi="宋体" w:cs="宋体"/>
          <w:lang w:val="zh-CN"/>
        </w:rPr>
        <w:t>法定代表人授权书</w:t>
      </w:r>
      <w:r>
        <w:tab/>
      </w:r>
      <w:r>
        <w:fldChar w:fldCharType="begin"/>
      </w:r>
      <w:r>
        <w:instrText xml:space="preserve"> PAGEREF _Toc42174808 \h </w:instrText>
      </w:r>
      <w:r>
        <w:fldChar w:fldCharType="separate"/>
      </w:r>
      <w:r>
        <w:t>41</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"_Toc42174809" </w:instrText>
      </w:r>
      <w:r>
        <w:fldChar w:fldCharType="separate"/>
      </w:r>
      <w:r>
        <w:rPr>
          <w:rStyle w:val="39"/>
          <w:rFonts w:hint="eastAsia" w:ascii="宋体" w:hAnsi="宋体" w:cs="宋体"/>
        </w:rPr>
        <w:t>（</w:t>
      </w:r>
      <w:r>
        <w:rPr>
          <w:rStyle w:val="39"/>
          <w:rFonts w:ascii="宋体" w:hAnsi="宋体" w:cs="宋体"/>
        </w:rPr>
        <w:t>4</w:t>
      </w:r>
      <w:r>
        <w:rPr>
          <w:rStyle w:val="39"/>
          <w:rFonts w:hint="eastAsia" w:ascii="宋体" w:hAnsi="宋体" w:cs="宋体"/>
        </w:rPr>
        <w:t>）</w:t>
      </w:r>
      <w:r>
        <w:rPr>
          <w:rStyle w:val="39"/>
          <w:rFonts w:hint="eastAsia" w:ascii="宋体" w:hAnsi="宋体" w:cs="宋体"/>
          <w:lang w:val="zh-CN"/>
        </w:rPr>
        <w:t>投标人承诺函</w:t>
      </w:r>
      <w:r>
        <w:tab/>
      </w:r>
      <w:r>
        <w:fldChar w:fldCharType="begin"/>
      </w:r>
      <w:r>
        <w:instrText xml:space="preserve"> PAGEREF _Toc42174809 \h </w:instrText>
      </w:r>
      <w:r>
        <w:fldChar w:fldCharType="separate"/>
      </w:r>
      <w:r>
        <w:t>42</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"_Toc42174810" </w:instrText>
      </w:r>
      <w:r>
        <w:fldChar w:fldCharType="separate"/>
      </w:r>
      <w:r>
        <w:rPr>
          <w:rStyle w:val="39"/>
          <w:rFonts w:hint="eastAsia" w:ascii="宋体" w:hAnsi="宋体" w:cs="宋体"/>
        </w:rPr>
        <w:t>（</w:t>
      </w:r>
      <w:r>
        <w:rPr>
          <w:rStyle w:val="39"/>
          <w:rFonts w:ascii="宋体" w:hAnsi="宋体" w:cs="宋体"/>
        </w:rPr>
        <w:t>5</w:t>
      </w:r>
      <w:r>
        <w:rPr>
          <w:rStyle w:val="39"/>
          <w:rFonts w:hint="eastAsia" w:ascii="宋体" w:hAnsi="宋体" w:cs="宋体"/>
        </w:rPr>
        <w:t>）</w:t>
      </w:r>
      <w:r>
        <w:rPr>
          <w:rStyle w:val="39"/>
          <w:rFonts w:hint="eastAsia" w:ascii="宋体" w:hAnsi="宋体" w:cs="宋体"/>
          <w:lang w:val="zh-CN"/>
        </w:rPr>
        <w:t>投标人诚信承诺书</w:t>
      </w:r>
      <w:r>
        <w:tab/>
      </w:r>
      <w:r>
        <w:fldChar w:fldCharType="begin"/>
      </w:r>
      <w:r>
        <w:instrText xml:space="preserve"> PAGEREF _Toc42174810 \h </w:instrText>
      </w:r>
      <w:r>
        <w:fldChar w:fldCharType="separate"/>
      </w:r>
      <w:r>
        <w:t>43</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"_Toc42174811" </w:instrText>
      </w:r>
      <w:r>
        <w:fldChar w:fldCharType="separate"/>
      </w:r>
      <w:r>
        <w:rPr>
          <w:rStyle w:val="39"/>
          <w:rFonts w:hint="eastAsia" w:ascii="宋体" w:hAnsi="宋体" w:cs="宋体"/>
        </w:rPr>
        <w:t>（</w:t>
      </w:r>
      <w:r>
        <w:rPr>
          <w:rStyle w:val="39"/>
          <w:rFonts w:ascii="宋体" w:hAnsi="宋体" w:cs="宋体"/>
        </w:rPr>
        <w:t>6</w:t>
      </w:r>
      <w:r>
        <w:rPr>
          <w:rStyle w:val="39"/>
          <w:rFonts w:hint="eastAsia" w:ascii="宋体" w:hAnsi="宋体" w:cs="宋体"/>
        </w:rPr>
        <w:t>）</w:t>
      </w:r>
      <w:r>
        <w:rPr>
          <w:rStyle w:val="39"/>
          <w:rFonts w:hint="eastAsia" w:ascii="宋体" w:hAnsi="宋体" w:cs="宋体"/>
          <w:lang w:val="zh-CN"/>
        </w:rPr>
        <w:t>资格证明材料</w:t>
      </w:r>
      <w:r>
        <w:tab/>
      </w:r>
      <w:r>
        <w:fldChar w:fldCharType="begin"/>
      </w:r>
      <w:r>
        <w:instrText xml:space="preserve"> PAGEREF _Toc42174811 \h </w:instrText>
      </w:r>
      <w:r>
        <w:fldChar w:fldCharType="separate"/>
      </w:r>
      <w:r>
        <w:t>44</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"_Toc42174812" </w:instrText>
      </w:r>
      <w:r>
        <w:fldChar w:fldCharType="separate"/>
      </w:r>
      <w:r>
        <w:rPr>
          <w:rStyle w:val="39"/>
          <w:rFonts w:hint="eastAsia" w:ascii="宋体" w:hAnsi="宋体" w:cs="宋体"/>
        </w:rPr>
        <w:t>（</w:t>
      </w:r>
      <w:r>
        <w:rPr>
          <w:rStyle w:val="39"/>
          <w:rFonts w:ascii="宋体" w:hAnsi="宋体" w:cs="宋体"/>
        </w:rPr>
        <w:t>7</w:t>
      </w:r>
      <w:r>
        <w:rPr>
          <w:rStyle w:val="39"/>
          <w:rFonts w:hint="eastAsia" w:ascii="宋体" w:hAnsi="宋体" w:cs="宋体"/>
        </w:rPr>
        <w:t>）</w:t>
      </w:r>
      <w:r>
        <w:rPr>
          <w:rStyle w:val="39"/>
          <w:rFonts w:hint="eastAsia" w:ascii="宋体" w:hAnsi="宋体" w:cs="宋体"/>
          <w:lang w:val="zh-CN"/>
        </w:rPr>
        <w:t>财务状况报告，依法缴纳税收和社会保障资金的相关材料</w:t>
      </w:r>
      <w:r>
        <w:tab/>
      </w:r>
      <w:r>
        <w:fldChar w:fldCharType="begin"/>
      </w:r>
      <w:r>
        <w:instrText xml:space="preserve"> PAGEREF _Toc42174812 \h </w:instrText>
      </w:r>
      <w:r>
        <w:fldChar w:fldCharType="separate"/>
      </w:r>
      <w:r>
        <w:t>45</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"_Toc42174814" </w:instrText>
      </w:r>
      <w:r>
        <w:fldChar w:fldCharType="separate"/>
      </w:r>
      <w:r>
        <w:rPr>
          <w:rStyle w:val="39"/>
          <w:rFonts w:hint="eastAsia" w:ascii="宋体" w:hAnsi="宋体" w:cs="宋体"/>
        </w:rPr>
        <w:t>（</w:t>
      </w:r>
      <w:r>
        <w:rPr>
          <w:rStyle w:val="39"/>
          <w:rFonts w:ascii="宋体" w:hAnsi="宋体" w:cs="宋体"/>
        </w:rPr>
        <w:t>9</w:t>
      </w:r>
      <w:r>
        <w:rPr>
          <w:rStyle w:val="39"/>
          <w:rFonts w:hint="eastAsia" w:ascii="宋体" w:hAnsi="宋体" w:cs="宋体"/>
        </w:rPr>
        <w:t>）</w:t>
      </w:r>
      <w:r>
        <w:rPr>
          <w:rStyle w:val="39"/>
          <w:rFonts w:hint="eastAsia" w:ascii="宋体" w:hAnsi="宋体" w:cs="宋体"/>
          <w:lang w:val="zh-CN"/>
        </w:rPr>
        <w:t>无重大违法记录声明</w:t>
      </w:r>
      <w:r>
        <w:tab/>
      </w:r>
      <w:r>
        <w:fldChar w:fldCharType="begin"/>
      </w:r>
      <w:r>
        <w:instrText xml:space="preserve"> PAGEREF _Toc42174814 \h </w:instrText>
      </w:r>
      <w:r>
        <w:fldChar w:fldCharType="separate"/>
      </w:r>
      <w:r>
        <w:t>47</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"_Toc42174815" </w:instrText>
      </w:r>
      <w:r>
        <w:fldChar w:fldCharType="separate"/>
      </w:r>
      <w:r>
        <w:rPr>
          <w:rStyle w:val="39"/>
          <w:rFonts w:hint="eastAsia" w:ascii="宋体" w:hAnsi="宋体" w:cs="宋体"/>
        </w:rPr>
        <w:t>（</w:t>
      </w:r>
      <w:r>
        <w:rPr>
          <w:rStyle w:val="39"/>
          <w:rFonts w:ascii="宋体" w:hAnsi="宋体" w:cs="宋体"/>
        </w:rPr>
        <w:t>10</w:t>
      </w:r>
      <w:r>
        <w:rPr>
          <w:rStyle w:val="39"/>
          <w:rFonts w:hint="eastAsia" w:ascii="宋体" w:hAnsi="宋体" w:cs="宋体"/>
        </w:rPr>
        <w:t>）</w:t>
      </w:r>
      <w:r>
        <w:rPr>
          <w:rStyle w:val="39"/>
          <w:rFonts w:hint="eastAsia" w:ascii="宋体" w:hAnsi="宋体" w:cs="宋体"/>
          <w:lang w:val="zh-CN"/>
        </w:rPr>
        <w:t>投标保证金证明</w:t>
      </w:r>
      <w:r>
        <w:tab/>
      </w:r>
      <w:r>
        <w:fldChar w:fldCharType="begin"/>
      </w:r>
      <w:r>
        <w:instrText xml:space="preserve"> PAGEREF _Toc42174815 \h </w:instrText>
      </w:r>
      <w:r>
        <w:fldChar w:fldCharType="separate"/>
      </w:r>
      <w:r>
        <w:t>48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"_Toc42174816" </w:instrText>
      </w:r>
      <w:r>
        <w:fldChar w:fldCharType="separate"/>
      </w:r>
      <w:r>
        <w:rPr>
          <w:rStyle w:val="39"/>
          <w:rFonts w:hint="eastAsia" w:ascii="宋体" w:hAnsi="宋体" w:cs="宋体"/>
          <w:lang w:val="zh-CN"/>
        </w:rPr>
        <w:t>目录（下册）</w:t>
      </w:r>
      <w:r>
        <w:tab/>
      </w:r>
      <w:r>
        <w:fldChar w:fldCharType="begin"/>
      </w:r>
      <w:r>
        <w:instrText xml:space="preserve"> PAGEREF _Toc42174816 \h </w:instrText>
      </w:r>
      <w:r>
        <w:fldChar w:fldCharType="separate"/>
      </w:r>
      <w:r>
        <w:t>50</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"_Toc42174817" </w:instrText>
      </w:r>
      <w:r>
        <w:fldChar w:fldCharType="separate"/>
      </w:r>
      <w:r>
        <w:rPr>
          <w:rStyle w:val="39"/>
          <w:rFonts w:hint="eastAsia" w:ascii="宋体" w:hAnsi="宋体" w:cs="宋体"/>
        </w:rPr>
        <w:t>（</w:t>
      </w:r>
      <w:r>
        <w:rPr>
          <w:rStyle w:val="39"/>
          <w:rFonts w:ascii="宋体" w:hAnsi="宋体" w:cs="宋体"/>
        </w:rPr>
        <w:t>11</w:t>
      </w:r>
      <w:r>
        <w:rPr>
          <w:rStyle w:val="39"/>
          <w:rFonts w:hint="eastAsia" w:ascii="宋体" w:hAnsi="宋体" w:cs="宋体"/>
        </w:rPr>
        <w:t>）</w:t>
      </w:r>
      <w:r>
        <w:rPr>
          <w:rStyle w:val="39"/>
          <w:rFonts w:hint="eastAsia" w:ascii="宋体" w:hAnsi="宋体" w:cs="宋体"/>
          <w:lang w:val="zh-CN"/>
        </w:rPr>
        <w:t>评分对照表</w:t>
      </w:r>
      <w:r>
        <w:tab/>
      </w:r>
      <w:r>
        <w:fldChar w:fldCharType="begin"/>
      </w:r>
      <w:r>
        <w:instrText xml:space="preserve"> PAGEREF _Toc42174817 \h </w:instrText>
      </w:r>
      <w:r>
        <w:fldChar w:fldCharType="separate"/>
      </w:r>
      <w:r>
        <w:t>51</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"_Toc42174818" </w:instrText>
      </w:r>
      <w:r>
        <w:fldChar w:fldCharType="separate"/>
      </w:r>
      <w:r>
        <w:rPr>
          <w:rStyle w:val="39"/>
          <w:rFonts w:hint="eastAsia" w:ascii="宋体" w:hAnsi="宋体" w:cs="宋体"/>
        </w:rPr>
        <w:t>（</w:t>
      </w:r>
      <w:r>
        <w:rPr>
          <w:rStyle w:val="39"/>
          <w:rFonts w:ascii="宋体" w:hAnsi="宋体" w:cs="宋体"/>
        </w:rPr>
        <w:t>12</w:t>
      </w:r>
      <w:r>
        <w:rPr>
          <w:rStyle w:val="39"/>
          <w:rFonts w:hint="eastAsia" w:ascii="宋体" w:hAnsi="宋体" w:cs="宋体"/>
        </w:rPr>
        <w:t>）</w:t>
      </w:r>
      <w:r>
        <w:rPr>
          <w:rStyle w:val="39"/>
          <w:rFonts w:hint="eastAsia" w:ascii="宋体" w:hAnsi="宋体" w:cs="宋体"/>
          <w:lang w:val="zh-CN"/>
        </w:rPr>
        <w:t>开标一览表（报价表）</w:t>
      </w:r>
      <w:r>
        <w:tab/>
      </w:r>
      <w:r>
        <w:fldChar w:fldCharType="begin"/>
      </w:r>
      <w:r>
        <w:instrText xml:space="preserve"> PAGEREF _Toc42174818 \h </w:instrText>
      </w:r>
      <w:r>
        <w:fldChar w:fldCharType="separate"/>
      </w:r>
      <w:r>
        <w:t>52</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"_Toc42174819" </w:instrText>
      </w:r>
      <w:r>
        <w:fldChar w:fldCharType="separate"/>
      </w:r>
      <w:r>
        <w:rPr>
          <w:rStyle w:val="39"/>
          <w:rFonts w:hint="eastAsia" w:ascii="宋体" w:hAnsi="宋体" w:cs="宋体"/>
        </w:rPr>
        <w:t>（</w:t>
      </w:r>
      <w:r>
        <w:rPr>
          <w:rStyle w:val="39"/>
          <w:rFonts w:ascii="宋体" w:hAnsi="宋体" w:cs="宋体"/>
        </w:rPr>
        <w:t>13</w:t>
      </w:r>
      <w:r>
        <w:rPr>
          <w:rStyle w:val="39"/>
          <w:rFonts w:hint="eastAsia" w:ascii="宋体" w:hAnsi="宋体" w:cs="宋体"/>
        </w:rPr>
        <w:t>）</w:t>
      </w:r>
      <w:r>
        <w:rPr>
          <w:rStyle w:val="39"/>
          <w:rFonts w:hint="eastAsia" w:ascii="宋体" w:hAnsi="宋体" w:cs="宋体"/>
          <w:lang w:val="zh-CN"/>
        </w:rPr>
        <w:t>分项报价表</w:t>
      </w:r>
      <w:r>
        <w:tab/>
      </w:r>
      <w:r>
        <w:fldChar w:fldCharType="begin"/>
      </w:r>
      <w:r>
        <w:instrText xml:space="preserve"> PAGEREF _Toc42174819 \h </w:instrText>
      </w:r>
      <w:r>
        <w:fldChar w:fldCharType="separate"/>
      </w:r>
      <w:r>
        <w:t>53</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"_Toc42174820" </w:instrText>
      </w:r>
      <w:r>
        <w:fldChar w:fldCharType="separate"/>
      </w:r>
      <w:r>
        <w:rPr>
          <w:rStyle w:val="39"/>
          <w:rFonts w:hint="eastAsia" w:ascii="宋体" w:hAnsi="宋体" w:cs="宋体"/>
        </w:rPr>
        <w:t>（</w:t>
      </w:r>
      <w:r>
        <w:rPr>
          <w:rStyle w:val="39"/>
          <w:rFonts w:ascii="宋体" w:hAnsi="宋体" w:cs="宋体"/>
        </w:rPr>
        <w:t>14</w:t>
      </w:r>
      <w:r>
        <w:rPr>
          <w:rStyle w:val="39"/>
          <w:rFonts w:hint="eastAsia" w:ascii="宋体" w:hAnsi="宋体" w:cs="宋体"/>
        </w:rPr>
        <w:t>）</w:t>
      </w:r>
      <w:r>
        <w:rPr>
          <w:rStyle w:val="39"/>
          <w:rFonts w:hint="eastAsia" w:ascii="宋体" w:hAnsi="宋体" w:cs="宋体"/>
          <w:lang w:val="zh-CN"/>
        </w:rPr>
        <w:t>技术规格响应表</w:t>
      </w:r>
      <w:r>
        <w:tab/>
      </w:r>
      <w:r>
        <w:fldChar w:fldCharType="begin"/>
      </w:r>
      <w:r>
        <w:instrText xml:space="preserve"> PAGEREF _Toc42174820 \h </w:instrText>
      </w:r>
      <w:r>
        <w:fldChar w:fldCharType="separate"/>
      </w:r>
      <w:r>
        <w:t>54</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"_Toc42174821" </w:instrText>
      </w:r>
      <w:r>
        <w:fldChar w:fldCharType="separate"/>
      </w:r>
      <w:r>
        <w:rPr>
          <w:rStyle w:val="39"/>
          <w:rFonts w:hint="eastAsia"/>
        </w:rPr>
        <w:t>（</w:t>
      </w:r>
      <w:r>
        <w:rPr>
          <w:rStyle w:val="39"/>
        </w:rPr>
        <w:t>15</w:t>
      </w:r>
      <w:r>
        <w:rPr>
          <w:rStyle w:val="39"/>
          <w:rFonts w:hint="eastAsia"/>
        </w:rPr>
        <w:t>）</w:t>
      </w:r>
      <w:r>
        <w:rPr>
          <w:rStyle w:val="39"/>
          <w:rFonts w:hint="eastAsia" w:ascii="宋体" w:hAnsi="宋体" w:cs="宋体"/>
          <w:lang w:val="zh-CN"/>
        </w:rPr>
        <w:t>投标</w:t>
      </w:r>
      <w:r>
        <w:rPr>
          <w:rStyle w:val="39"/>
          <w:rFonts w:hint="eastAsia" w:ascii="宋体" w:hAnsi="宋体" w:cs="宋体"/>
          <w:lang w:val="en-US" w:eastAsia="zh-CN"/>
        </w:rPr>
        <w:t>服务响应方案</w:t>
      </w:r>
      <w:r>
        <w:rPr>
          <w:rStyle w:val="39"/>
          <w:rFonts w:hint="eastAsia" w:ascii="宋体" w:hAnsi="宋体" w:cs="宋体"/>
          <w:lang w:val="zh-CN"/>
        </w:rPr>
        <w:t>相关资料</w:t>
      </w:r>
      <w:r>
        <w:tab/>
      </w:r>
      <w:r>
        <w:fldChar w:fldCharType="begin"/>
      </w:r>
      <w:r>
        <w:instrText xml:space="preserve"> PAGEREF _Toc42174821 \h </w:instrText>
      </w:r>
      <w:r>
        <w:fldChar w:fldCharType="separate"/>
      </w:r>
      <w:r>
        <w:t>55</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"_Toc42174823" </w:instrText>
      </w:r>
      <w:r>
        <w:fldChar w:fldCharType="separate"/>
      </w:r>
      <w:r>
        <w:rPr>
          <w:rStyle w:val="39"/>
          <w:rFonts w:hint="eastAsia" w:ascii="宋体" w:hAnsi="宋体" w:cs="宋体"/>
        </w:rPr>
        <w:t>（</w:t>
      </w:r>
      <w:r>
        <w:rPr>
          <w:rStyle w:val="39"/>
          <w:rFonts w:ascii="宋体" w:hAnsi="宋体" w:cs="宋体"/>
        </w:rPr>
        <w:t>16</w:t>
      </w:r>
      <w:r>
        <w:rPr>
          <w:rStyle w:val="39"/>
          <w:rFonts w:hint="eastAsia" w:ascii="宋体" w:hAnsi="宋体" w:cs="宋体"/>
        </w:rPr>
        <w:t>）</w:t>
      </w:r>
      <w:r>
        <w:rPr>
          <w:rStyle w:val="39"/>
          <w:rFonts w:hint="eastAsia" w:ascii="宋体" w:hAnsi="宋体" w:cs="宋体"/>
          <w:lang w:val="zh-CN"/>
        </w:rPr>
        <w:t>投标人的类似业绩证明材料</w:t>
      </w:r>
      <w:r>
        <w:tab/>
      </w:r>
      <w:r>
        <w:fldChar w:fldCharType="begin"/>
      </w:r>
      <w:r>
        <w:instrText xml:space="preserve"> PAGEREF _Toc42174823 \h </w:instrText>
      </w:r>
      <w:r>
        <w:fldChar w:fldCharType="separate"/>
      </w:r>
      <w:r>
        <w:t>55</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"_Toc42174825" </w:instrText>
      </w:r>
      <w:r>
        <w:fldChar w:fldCharType="separate"/>
      </w:r>
      <w:r>
        <w:rPr>
          <w:rStyle w:val="39"/>
          <w:rFonts w:hint="eastAsia" w:ascii="宋体" w:hAnsi="宋体" w:cs="宋体"/>
        </w:rPr>
        <w:t>（</w:t>
      </w:r>
      <w:r>
        <w:rPr>
          <w:rStyle w:val="39"/>
          <w:rFonts w:ascii="宋体" w:hAnsi="宋体" w:cs="宋体"/>
        </w:rPr>
        <w:t>17.1</w:t>
      </w:r>
      <w:r>
        <w:rPr>
          <w:rStyle w:val="39"/>
          <w:rFonts w:hint="eastAsia" w:ascii="宋体" w:hAnsi="宋体" w:cs="宋体"/>
        </w:rPr>
        <w:t>）</w:t>
      </w:r>
      <w:r>
        <w:rPr>
          <w:rStyle w:val="39"/>
          <w:rFonts w:hint="eastAsia" w:ascii="宋体" w:hAnsi="宋体" w:cs="宋体"/>
          <w:lang w:val="zh-CN"/>
        </w:rPr>
        <w:t>制造（生产）企业小型、微型企业声明函</w:t>
      </w:r>
      <w:r>
        <w:tab/>
      </w:r>
      <w:r>
        <w:fldChar w:fldCharType="begin"/>
      </w:r>
      <w:r>
        <w:instrText xml:space="preserve"> PAGEREF _Toc42174825 \h </w:instrText>
      </w:r>
      <w:r>
        <w:fldChar w:fldCharType="separate"/>
      </w:r>
      <w:r>
        <w:t>57</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"_Toc42174826" </w:instrText>
      </w:r>
      <w:r>
        <w:fldChar w:fldCharType="separate"/>
      </w:r>
      <w:r>
        <w:rPr>
          <w:rStyle w:val="39"/>
          <w:rFonts w:hint="eastAsia" w:ascii="宋体" w:hAnsi="宋体" w:cs="宋体"/>
        </w:rPr>
        <w:t>（</w:t>
      </w:r>
      <w:r>
        <w:rPr>
          <w:rStyle w:val="39"/>
          <w:rFonts w:ascii="宋体" w:hAnsi="宋体" w:cs="宋体"/>
        </w:rPr>
        <w:t>17.2</w:t>
      </w:r>
      <w:r>
        <w:rPr>
          <w:rStyle w:val="39"/>
          <w:rFonts w:hint="eastAsia" w:ascii="宋体" w:hAnsi="宋体" w:cs="宋体"/>
        </w:rPr>
        <w:t>）</w:t>
      </w:r>
      <w:r>
        <w:rPr>
          <w:rStyle w:val="39"/>
          <w:rFonts w:hint="eastAsia" w:ascii="宋体" w:hAnsi="宋体" w:cs="宋体"/>
          <w:lang w:val="zh-CN"/>
        </w:rPr>
        <w:t>从业人员声明函</w:t>
      </w:r>
      <w:r>
        <w:tab/>
      </w:r>
      <w:r>
        <w:fldChar w:fldCharType="begin"/>
      </w:r>
      <w:r>
        <w:instrText xml:space="preserve"> PAGEREF _Toc42174826 \h </w:instrText>
      </w:r>
      <w:r>
        <w:fldChar w:fldCharType="separate"/>
      </w:r>
      <w:r>
        <w:t>58</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"_Toc42174827" </w:instrText>
      </w:r>
      <w:r>
        <w:fldChar w:fldCharType="separate"/>
      </w:r>
      <w:r>
        <w:rPr>
          <w:rStyle w:val="39"/>
          <w:rFonts w:hint="eastAsia" w:ascii="宋体" w:hAnsi="宋体" w:cs="宋体"/>
          <w:lang w:val="zh-CN"/>
        </w:rPr>
        <w:t>（</w:t>
      </w:r>
      <w:r>
        <w:rPr>
          <w:rStyle w:val="39"/>
          <w:rFonts w:ascii="宋体" w:hAnsi="宋体" w:cs="宋体"/>
        </w:rPr>
        <w:t>18</w:t>
      </w:r>
      <w:r>
        <w:rPr>
          <w:rStyle w:val="39"/>
          <w:rFonts w:hint="eastAsia" w:ascii="宋体" w:hAnsi="宋体" w:cs="宋体"/>
          <w:lang w:val="zh-CN"/>
        </w:rPr>
        <w:t>）残疾人</w:t>
      </w:r>
      <w:r>
        <w:rPr>
          <w:rStyle w:val="39"/>
          <w:rFonts w:hint="eastAsia" w:ascii="宋体" w:hAnsi="宋体" w:cs="宋体"/>
        </w:rPr>
        <w:t>福利性单位声明函</w:t>
      </w:r>
      <w:r>
        <w:tab/>
      </w:r>
      <w:r>
        <w:fldChar w:fldCharType="begin"/>
      </w:r>
      <w:r>
        <w:instrText xml:space="preserve"> PAGEREF _Toc42174827 \h </w:instrText>
      </w:r>
      <w:r>
        <w:fldChar w:fldCharType="separate"/>
      </w:r>
      <w:r>
        <w:t>59</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"_Toc42174828" </w:instrText>
      </w:r>
      <w:r>
        <w:fldChar w:fldCharType="separate"/>
      </w:r>
      <w:r>
        <w:rPr>
          <w:rStyle w:val="39"/>
          <w:rFonts w:hint="eastAsia" w:ascii="宋体" w:hAnsi="宋体" w:cs="宋体"/>
        </w:rPr>
        <w:t>（</w:t>
      </w:r>
      <w:r>
        <w:rPr>
          <w:rStyle w:val="39"/>
          <w:rFonts w:ascii="宋体" w:hAnsi="宋体" w:cs="宋体"/>
        </w:rPr>
        <w:t>19</w:t>
      </w:r>
      <w:r>
        <w:rPr>
          <w:rStyle w:val="39"/>
          <w:rFonts w:hint="eastAsia" w:ascii="宋体" w:hAnsi="宋体" w:cs="宋体"/>
        </w:rPr>
        <w:t>）</w:t>
      </w:r>
      <w:r>
        <w:rPr>
          <w:rStyle w:val="39"/>
          <w:rFonts w:hint="eastAsia" w:ascii="宋体" w:hAnsi="宋体" w:cs="宋体"/>
          <w:lang w:val="zh-CN"/>
        </w:rPr>
        <w:t>投标人认为在其他方面有必要说明的事项</w:t>
      </w:r>
      <w:r>
        <w:tab/>
      </w:r>
      <w:r>
        <w:fldChar w:fldCharType="begin"/>
      </w:r>
      <w:r>
        <w:instrText xml:space="preserve"> PAGEREF _Toc42174828 \h </w:instrText>
      </w:r>
      <w:r>
        <w:fldChar w:fldCharType="separate"/>
      </w:r>
      <w:r>
        <w:t>60</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"_Toc42174829" </w:instrText>
      </w:r>
      <w:r>
        <w:fldChar w:fldCharType="separate"/>
      </w:r>
      <w:r>
        <w:rPr>
          <w:rStyle w:val="39"/>
          <w:rFonts w:hint="eastAsia" w:ascii="宋体" w:hAnsi="宋体" w:cs="宋体"/>
          <w:lang w:val="zh-CN"/>
        </w:rPr>
        <w:t>第五部分</w:t>
      </w:r>
      <w:r>
        <w:rPr>
          <w:rStyle w:val="39"/>
          <w:rFonts w:ascii="宋体" w:hAnsi="宋体" w:cs="宋体"/>
          <w:lang w:val="zh-CN"/>
        </w:rPr>
        <w:t xml:space="preserve">  </w:t>
      </w:r>
      <w:r>
        <w:rPr>
          <w:rStyle w:val="39"/>
          <w:rFonts w:hint="eastAsia" w:ascii="宋体" w:hAnsi="宋体" w:cs="宋体"/>
          <w:lang w:val="zh-CN"/>
        </w:rPr>
        <w:t>采购项目要求及技术参数</w:t>
      </w:r>
      <w:r>
        <w:tab/>
      </w:r>
      <w:r>
        <w:fldChar w:fldCharType="begin"/>
      </w:r>
      <w:r>
        <w:instrText xml:space="preserve"> PAGEREF _Toc42174829 \h </w:instrText>
      </w:r>
      <w:r>
        <w:fldChar w:fldCharType="separate"/>
      </w:r>
      <w:r>
        <w:t>61</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"_Toc42174830" </w:instrText>
      </w:r>
      <w:r>
        <w:fldChar w:fldCharType="separate"/>
      </w:r>
      <w:r>
        <w:rPr>
          <w:rStyle w:val="39"/>
          <w:rFonts w:hint="eastAsia" w:ascii="宋体" w:hAnsi="宋体" w:cs="宋体"/>
          <w:lang w:val="zh-CN"/>
        </w:rPr>
        <w:t>（一）投标要求</w:t>
      </w:r>
      <w:r>
        <w:tab/>
      </w:r>
      <w:r>
        <w:fldChar w:fldCharType="begin"/>
      </w:r>
      <w:r>
        <w:instrText xml:space="preserve"> PAGEREF _Toc42174830 \h </w:instrText>
      </w:r>
      <w:r>
        <w:fldChar w:fldCharType="separate"/>
      </w:r>
      <w:r>
        <w:t>61</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"_Toc42174831" </w:instrText>
      </w:r>
      <w:r>
        <w:fldChar w:fldCharType="separate"/>
      </w:r>
      <w:r>
        <w:rPr>
          <w:rStyle w:val="39"/>
          <w:rFonts w:ascii="宋体" w:hAnsi="宋体" w:cs="宋体"/>
          <w:lang w:val="zh-CN"/>
        </w:rPr>
        <w:t>1.</w:t>
      </w:r>
      <w:r>
        <w:rPr>
          <w:rStyle w:val="39"/>
          <w:rFonts w:hint="eastAsia" w:ascii="宋体" w:hAnsi="宋体" w:cs="宋体"/>
          <w:lang w:val="zh-CN"/>
        </w:rPr>
        <w:t>投标说明</w:t>
      </w:r>
      <w:r>
        <w:tab/>
      </w:r>
      <w:r>
        <w:fldChar w:fldCharType="begin"/>
      </w:r>
      <w:r>
        <w:instrText xml:space="preserve"> PAGEREF _Toc42174831 \h </w:instrText>
      </w:r>
      <w:r>
        <w:fldChar w:fldCharType="separate"/>
      </w:r>
      <w:r>
        <w:t>61</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"_Toc42174832" </w:instrText>
      </w:r>
      <w:r>
        <w:fldChar w:fldCharType="separate"/>
      </w:r>
      <w:r>
        <w:rPr>
          <w:rStyle w:val="39"/>
          <w:rFonts w:ascii="宋体" w:hAnsi="宋体" w:cs="宋体"/>
        </w:rPr>
        <w:t>2</w:t>
      </w:r>
      <w:r>
        <w:rPr>
          <w:rStyle w:val="39"/>
          <w:rFonts w:ascii="宋体" w:hAnsi="宋体" w:cs="宋体"/>
          <w:lang w:val="zh-CN"/>
        </w:rPr>
        <w:t>.</w:t>
      </w:r>
      <w:r>
        <w:rPr>
          <w:rStyle w:val="39"/>
          <w:rFonts w:hint="eastAsia" w:ascii="宋体" w:hAnsi="宋体" w:cs="宋体"/>
          <w:lang w:val="zh-CN"/>
        </w:rPr>
        <w:t>商务要求</w:t>
      </w:r>
      <w:r>
        <w:tab/>
      </w:r>
      <w:r>
        <w:fldChar w:fldCharType="begin"/>
      </w:r>
      <w:r>
        <w:instrText xml:space="preserve"> PAGEREF _Toc42174832 \h </w:instrText>
      </w:r>
      <w:r>
        <w:fldChar w:fldCharType="separate"/>
      </w:r>
      <w:r>
        <w:t>61</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"_Toc42174833" </w:instrText>
      </w:r>
      <w:r>
        <w:fldChar w:fldCharType="separate"/>
      </w:r>
      <w:r>
        <w:rPr>
          <w:rStyle w:val="39"/>
          <w:rFonts w:ascii="宋体" w:hAnsi="宋体" w:cs="宋体"/>
        </w:rPr>
        <w:t>3.</w:t>
      </w:r>
      <w:r>
        <w:rPr>
          <w:rStyle w:val="39"/>
          <w:rFonts w:hint="eastAsia" w:ascii="宋体" w:hAnsi="宋体" w:cs="宋体"/>
          <w:lang w:val="zh-CN"/>
        </w:rPr>
        <w:t>重要指标</w:t>
      </w:r>
      <w:r>
        <w:tab/>
      </w:r>
      <w:r>
        <w:fldChar w:fldCharType="begin"/>
      </w:r>
      <w:r>
        <w:instrText xml:space="preserve"> PAGEREF _Toc42174833 \h </w:instrText>
      </w:r>
      <w:r>
        <w:fldChar w:fldCharType="separate"/>
      </w:r>
      <w:r>
        <w:t>61</w:t>
      </w:r>
      <w:r>
        <w:fldChar w:fldCharType="end"/>
      </w:r>
      <w:r>
        <w:fldChar w:fldCharType="end"/>
      </w:r>
    </w:p>
    <w:p>
      <w:pPr>
        <w:pStyle w:val="20"/>
        <w:tabs>
          <w:tab w:val="right" w:leader="dot" w:pos="8297"/>
        </w:tabs>
        <w:ind w:firstLine="480"/>
        <w:rPr>
          <w:rFonts w:asciiTheme="minorHAnsi" w:hAnsiTheme="minorHAnsi" w:eastAsiaTheme="minorEastAsia" w:cstheme="minorBidi"/>
          <w:b w:val="0"/>
          <w:bCs w:val="0"/>
          <w:caps w:val="0"/>
          <w:sz w:val="21"/>
          <w:szCs w:val="22"/>
        </w:rPr>
      </w:pPr>
      <w:r>
        <w:fldChar w:fldCharType="begin"/>
      </w:r>
      <w:r>
        <w:instrText xml:space="preserve"> HYPERLINK \l "_Toc42174834" </w:instrText>
      </w:r>
      <w:r>
        <w:fldChar w:fldCharType="separate"/>
      </w:r>
      <w:r>
        <w:rPr>
          <w:rStyle w:val="39"/>
          <w:rFonts w:hint="eastAsia" w:ascii="宋体" w:hAnsi="宋体" w:cs="宋体"/>
          <w:lang w:val="zh-CN"/>
        </w:rPr>
        <w:t>（二） 项目概况及技术参数</w:t>
      </w:r>
      <w:r>
        <w:tab/>
      </w:r>
      <w:r>
        <w:fldChar w:fldCharType="begin"/>
      </w:r>
      <w:r>
        <w:instrText xml:space="preserve"> PAGEREF _Toc42174834 \h </w:instrText>
      </w:r>
      <w:r>
        <w:fldChar w:fldCharType="separate"/>
      </w:r>
      <w:r>
        <w:t>61</w:t>
      </w:r>
      <w:r>
        <w:fldChar w:fldCharType="end"/>
      </w:r>
      <w:r>
        <w:fldChar w:fldCharType="end"/>
      </w:r>
    </w:p>
    <w:p>
      <w:pPr>
        <w:spacing w:line="400" w:lineRule="exact"/>
        <w:ind w:firstLine="2530" w:firstLineChars="1050"/>
        <w:rPr>
          <w:rFonts w:ascii="宋体" w:hAnsi="宋体" w:cs="宋体"/>
          <w:b/>
          <w:bCs/>
          <w:color w:val="000000"/>
        </w:rPr>
      </w:pPr>
      <w:r>
        <w:rPr>
          <w:rFonts w:hint="eastAsia" w:ascii="宋体" w:hAnsi="宋体" w:cs="宋体"/>
          <w:b/>
          <w:bCs/>
          <w:color w:val="000000"/>
        </w:rPr>
        <w:fldChar w:fldCharType="end"/>
      </w:r>
      <w:bookmarkStart w:id="0" w:name="_Toc42174762"/>
    </w:p>
    <w:p>
      <w:pPr>
        <w:spacing w:line="400" w:lineRule="exact"/>
        <w:ind w:firstLine="2530" w:firstLineChars="1050"/>
        <w:rPr>
          <w:rFonts w:ascii="宋体" w:hAnsi="宋体" w:cs="宋体"/>
          <w:b/>
          <w:bCs/>
          <w:color w:val="000000"/>
        </w:rPr>
      </w:pPr>
    </w:p>
    <w:p>
      <w:pPr>
        <w:spacing w:line="400" w:lineRule="exact"/>
        <w:ind w:firstLine="2530" w:firstLineChars="1050"/>
        <w:rPr>
          <w:rFonts w:ascii="宋体" w:hAnsi="宋体" w:cs="宋体"/>
          <w:b/>
          <w:bCs/>
          <w:color w:val="000000"/>
        </w:rPr>
      </w:pPr>
    </w:p>
    <w:p>
      <w:pPr>
        <w:spacing w:line="400" w:lineRule="exact"/>
        <w:ind w:firstLine="2530" w:firstLineChars="1050"/>
        <w:rPr>
          <w:rFonts w:ascii="宋体" w:hAnsi="宋体" w:cs="宋体"/>
          <w:b/>
          <w:bCs/>
          <w:color w:val="000000"/>
        </w:rPr>
      </w:pPr>
    </w:p>
    <w:p>
      <w:pPr>
        <w:spacing w:line="400" w:lineRule="exact"/>
        <w:ind w:firstLine="2530" w:firstLineChars="1050"/>
        <w:rPr>
          <w:rFonts w:ascii="宋体" w:hAnsi="宋体" w:cs="宋体"/>
          <w:b/>
          <w:bCs/>
          <w:color w:val="000000"/>
        </w:rPr>
      </w:pPr>
    </w:p>
    <w:p>
      <w:pPr>
        <w:spacing w:line="400" w:lineRule="exact"/>
        <w:ind w:firstLine="2530" w:firstLineChars="1050"/>
        <w:rPr>
          <w:rFonts w:ascii="宋体" w:hAnsi="宋体" w:cs="宋体"/>
          <w:b/>
          <w:bCs/>
          <w:color w:val="000000"/>
        </w:rPr>
      </w:pPr>
    </w:p>
    <w:p>
      <w:pPr>
        <w:spacing w:line="400" w:lineRule="exact"/>
        <w:ind w:firstLine="3795" w:firstLineChars="1050"/>
        <w:rPr>
          <w:rFonts w:ascii="宋体" w:hAnsi="宋体" w:cs="宋体"/>
          <w:b/>
          <w:color w:val="000000"/>
          <w:sz w:val="36"/>
          <w:szCs w:val="36"/>
          <w:lang w:val="zh-CN"/>
        </w:rPr>
      </w:pPr>
    </w:p>
    <w:p>
      <w:pPr>
        <w:spacing w:line="400" w:lineRule="exact"/>
        <w:ind w:firstLine="3795" w:firstLineChars="1050"/>
        <w:rPr>
          <w:rFonts w:ascii="宋体" w:hAnsi="宋体" w:cs="宋体"/>
          <w:b/>
          <w:color w:val="000000"/>
          <w:sz w:val="36"/>
          <w:szCs w:val="36"/>
          <w:lang w:val="zh-CN"/>
        </w:rPr>
      </w:pPr>
    </w:p>
    <w:p>
      <w:pPr>
        <w:spacing w:line="400" w:lineRule="exact"/>
        <w:ind w:firstLine="3795" w:firstLineChars="1050"/>
        <w:rPr>
          <w:rFonts w:ascii="宋体" w:hAnsi="宋体" w:cs="宋体"/>
          <w:b/>
          <w:color w:val="000000"/>
          <w:sz w:val="36"/>
          <w:szCs w:val="36"/>
          <w:lang w:val="zh-CN"/>
        </w:rPr>
      </w:pPr>
    </w:p>
    <w:p>
      <w:pPr>
        <w:spacing w:line="400" w:lineRule="exact"/>
        <w:ind w:firstLine="3795" w:firstLineChars="1050"/>
        <w:rPr>
          <w:rFonts w:ascii="宋体" w:hAnsi="宋体" w:cs="宋体"/>
          <w:b/>
          <w:color w:val="000000"/>
          <w:sz w:val="36"/>
          <w:szCs w:val="36"/>
          <w:lang w:val="zh-CN"/>
        </w:rPr>
      </w:pPr>
    </w:p>
    <w:p>
      <w:pPr>
        <w:spacing w:line="400" w:lineRule="exact"/>
        <w:ind w:firstLine="3795" w:firstLineChars="1050"/>
        <w:rPr>
          <w:rFonts w:ascii="宋体" w:hAnsi="宋体" w:cs="宋体"/>
          <w:b/>
          <w:color w:val="000000"/>
          <w:sz w:val="36"/>
          <w:szCs w:val="36"/>
          <w:lang w:val="zh-CN"/>
        </w:rPr>
      </w:pPr>
    </w:p>
    <w:p>
      <w:pPr>
        <w:spacing w:line="400" w:lineRule="exact"/>
        <w:ind w:firstLine="3795" w:firstLineChars="1050"/>
        <w:rPr>
          <w:rFonts w:ascii="宋体" w:hAnsi="宋体" w:cs="宋体"/>
          <w:b/>
          <w:color w:val="000000"/>
          <w:sz w:val="36"/>
          <w:szCs w:val="36"/>
          <w:lang w:val="zh-CN"/>
        </w:rPr>
      </w:pPr>
    </w:p>
    <w:p>
      <w:pPr>
        <w:spacing w:line="400" w:lineRule="exact"/>
        <w:ind w:firstLine="3795" w:firstLineChars="1050"/>
        <w:rPr>
          <w:rFonts w:ascii="宋体" w:hAnsi="宋体" w:cs="宋体"/>
          <w:b/>
          <w:color w:val="000000"/>
          <w:sz w:val="36"/>
          <w:szCs w:val="36"/>
          <w:lang w:val="zh-CN"/>
        </w:rPr>
      </w:pPr>
    </w:p>
    <w:p>
      <w:pPr>
        <w:spacing w:line="400" w:lineRule="exact"/>
        <w:ind w:firstLine="3795" w:firstLineChars="1050"/>
        <w:rPr>
          <w:rFonts w:ascii="宋体" w:hAnsi="宋体" w:cs="宋体"/>
          <w:b/>
          <w:color w:val="000000"/>
          <w:sz w:val="36"/>
          <w:szCs w:val="36"/>
          <w:lang w:val="zh-CN"/>
        </w:rPr>
      </w:pPr>
    </w:p>
    <w:p>
      <w:pPr>
        <w:spacing w:line="400" w:lineRule="exact"/>
        <w:ind w:firstLine="3253" w:firstLineChars="900"/>
        <w:rPr>
          <w:rFonts w:ascii="宋体" w:hAnsi="宋体" w:cs="宋体"/>
          <w:b/>
          <w:bCs/>
          <w:color w:val="000000"/>
          <w:sz w:val="36"/>
        </w:rPr>
      </w:pPr>
      <w:r>
        <w:rPr>
          <w:rFonts w:hint="eastAsia" w:ascii="宋体" w:hAnsi="宋体" w:cs="宋体"/>
          <w:b/>
          <w:color w:val="000000"/>
          <w:sz w:val="36"/>
          <w:szCs w:val="36"/>
          <w:lang w:val="zh-CN"/>
        </w:rPr>
        <w:t xml:space="preserve">第一部分  </w:t>
      </w:r>
      <w:bookmarkEnd w:id="0"/>
      <w:r>
        <w:rPr>
          <w:rFonts w:hint="eastAsia" w:ascii="宋体" w:hAnsi="宋体" w:cs="宋体"/>
          <w:b/>
          <w:color w:val="000000"/>
          <w:sz w:val="36"/>
          <w:szCs w:val="36"/>
          <w:lang w:val="zh-CN"/>
        </w:rPr>
        <w:t>采购公告</w:t>
      </w:r>
    </w:p>
    <w:p>
      <w:pPr>
        <w:autoSpaceDE w:val="0"/>
        <w:autoSpaceDN w:val="0"/>
        <w:adjustRightInd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青海圣诺工程咨询管理有限公司（以下均简称“采购代理机构”）受</w:t>
      </w:r>
      <w:r>
        <w:rPr>
          <w:rFonts w:hint="eastAsia" w:ascii="宋体" w:hAnsi="宋体" w:cs="宋体"/>
          <w:color w:val="000000"/>
          <w:kern w:val="0"/>
          <w:u w:val="single"/>
          <w:lang w:val="zh-CN"/>
        </w:rPr>
        <w:t>海东市第一人民医院</w:t>
      </w:r>
      <w:r>
        <w:rPr>
          <w:rFonts w:hint="eastAsia" w:ascii="宋体" w:hAnsi="宋体" w:cs="宋体"/>
          <w:color w:val="000000"/>
          <w:kern w:val="0"/>
          <w:lang w:val="zh-CN"/>
        </w:rPr>
        <w:t>（以下均简称“采购人”）委托,拟对</w:t>
      </w:r>
      <w:r>
        <w:rPr>
          <w:rFonts w:hint="eastAsia" w:ascii="宋体" w:hAnsi="宋体" w:cs="宋体"/>
          <w:color w:val="000000"/>
          <w:kern w:val="0"/>
          <w:u w:val="single"/>
          <w:lang w:val="zh-CN"/>
        </w:rPr>
        <w:t>关于海东市第一人民医院信息化平台建设项目采购</w:t>
      </w:r>
      <w:r>
        <w:rPr>
          <w:rFonts w:hint="eastAsia" w:ascii="宋体" w:hAnsi="宋体"/>
          <w:u w:val="single"/>
        </w:rPr>
        <w:t xml:space="preserve"> </w:t>
      </w:r>
      <w:r>
        <w:rPr>
          <w:rFonts w:hint="eastAsia" w:ascii="宋体" w:hAnsi="宋体" w:cs="宋体"/>
          <w:color w:val="000000"/>
          <w:kern w:val="0"/>
          <w:lang w:val="zh-CN"/>
        </w:rPr>
        <w:t>进行国内公开招标，现予以公告，欢迎潜在的投标人参加本次政府采购活动。</w:t>
      </w:r>
    </w:p>
    <w:tbl>
      <w:tblPr>
        <w:tblStyle w:val="28"/>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青海圣诺公招（服务）2022-002号</w:t>
            </w:r>
          </w:p>
        </w:tc>
      </w:tr>
      <w:tr>
        <w:tblPrEx>
          <w:tblCellMar>
            <w:top w:w="0" w:type="dxa"/>
            <w:left w:w="108" w:type="dxa"/>
            <w:bottom w:w="0" w:type="dxa"/>
            <w:right w:w="108" w:type="dxa"/>
          </w:tblCellMar>
        </w:tblPrEx>
        <w:trPr>
          <w:trHeight w:val="51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关于海东市第一人民医院信息化平台建设项目采购</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pPr>
            <w:r>
              <w:rPr>
                <w:rFonts w:hint="eastAsia"/>
              </w:rPr>
              <w:t>总预算：</w:t>
            </w:r>
            <w:r>
              <w:rPr>
                <w:rFonts w:hint="eastAsia" w:ascii="宋体" w:hAnsi="宋体" w:cs="宋体"/>
                <w:lang w:eastAsia="zh-CN"/>
              </w:rPr>
              <w:t>850</w:t>
            </w:r>
            <w:r>
              <w:rPr>
                <w:rFonts w:hint="eastAsia"/>
              </w:rPr>
              <w:t>万元</w:t>
            </w:r>
          </w:p>
        </w:tc>
      </w:tr>
      <w:tr>
        <w:tblPrEx>
          <w:tblCellMar>
            <w:top w:w="0" w:type="dxa"/>
            <w:left w:w="108" w:type="dxa"/>
            <w:bottom w:w="0" w:type="dxa"/>
            <w:right w:w="108" w:type="dxa"/>
          </w:tblCellMar>
        </w:tblPrEx>
        <w:trPr>
          <w:trHeight w:val="459"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lang w:val="zh-CN"/>
              </w:rPr>
            </w:pPr>
            <w:r>
              <w:rPr>
                <w:rFonts w:hint="eastAsia" w:ascii="宋体" w:hAnsi="宋体" w:cs="宋体"/>
                <w:color w:val="000000"/>
                <w:kern w:val="0"/>
                <w:lang w:eastAsia="zh-CN"/>
              </w:rPr>
              <w:t>850</w:t>
            </w:r>
            <w:r>
              <w:rPr>
                <w:rFonts w:hint="eastAsia" w:ascii="宋体" w:hAnsi="宋体" w:cs="宋体"/>
                <w:color w:val="000000"/>
                <w:kern w:val="0"/>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lang w:eastAsia="zh-CN"/>
              </w:rPr>
            </w:pPr>
            <w:r>
              <w:rPr>
                <w:rFonts w:hint="eastAsia" w:ascii="宋体" w:hAnsi="宋体" w:cs="宋体"/>
                <w:kern w:val="0"/>
                <w:lang w:eastAsia="zh-CN"/>
              </w:rPr>
              <w:t>合同履约期限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kern w:val="0"/>
              </w:rPr>
              <w:t>90个工作日</w:t>
            </w:r>
          </w:p>
        </w:tc>
      </w:tr>
      <w:tr>
        <w:tblPrEx>
          <w:tblCellMar>
            <w:top w:w="0" w:type="dxa"/>
            <w:left w:w="108" w:type="dxa"/>
            <w:bottom w:w="0" w:type="dxa"/>
            <w:right w:w="108" w:type="dxa"/>
          </w:tblCellMar>
        </w:tblPrEx>
        <w:trPr>
          <w:trHeight w:val="337"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kern w:val="0"/>
              </w:rPr>
            </w:pPr>
            <w:r>
              <w:rPr>
                <w:rFonts w:hint="eastAsia" w:ascii="宋体" w:hAnsi="宋体" w:cs="宋体"/>
                <w:color w:val="000000"/>
                <w:kern w:val="0"/>
                <w:lang w:bidi="ar"/>
              </w:rPr>
              <w:t>无</w:t>
            </w:r>
          </w:p>
        </w:tc>
      </w:tr>
      <w:tr>
        <w:tblPrEx>
          <w:tblCellMar>
            <w:top w:w="0" w:type="dxa"/>
            <w:left w:w="108" w:type="dxa"/>
            <w:bottom w:w="0" w:type="dxa"/>
            <w:right w:w="108" w:type="dxa"/>
          </w:tblCellMar>
        </w:tblPrEx>
        <w:trPr>
          <w:trHeight w:val="699"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kern w:val="0"/>
              </w:rPr>
            </w:pPr>
            <w:r>
              <w:rPr>
                <w:rFonts w:hint="eastAsia" w:ascii="宋体" w:hAnsi="宋体" w:cs="宋体"/>
                <w:color w:val="000000"/>
                <w:kern w:val="0"/>
                <w:lang w:bidi="ar"/>
              </w:rPr>
              <w:t>具体内容详见《招标文件》</w:t>
            </w:r>
          </w:p>
        </w:tc>
      </w:tr>
      <w:tr>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rPr>
            </w:pPr>
            <w:r>
              <w:rPr>
                <w:rFonts w:hint="eastAsia" w:ascii="宋体" w:hAnsi="宋体" w:cs="宋体"/>
                <w:kern w:val="0"/>
              </w:rPr>
              <w:t>1、 符合《政府采购法》第22条条件，并提供下列材料：</w:t>
            </w:r>
          </w:p>
          <w:p>
            <w:pPr>
              <w:autoSpaceDE w:val="0"/>
              <w:autoSpaceDN w:val="0"/>
              <w:spacing w:line="360" w:lineRule="auto"/>
              <w:rPr>
                <w:rFonts w:ascii="宋体" w:hAnsi="宋体" w:cs="宋体"/>
                <w:kern w:val="0"/>
              </w:rPr>
            </w:pPr>
            <w:r>
              <w:rPr>
                <w:rFonts w:hint="eastAsia" w:ascii="宋体" w:hAnsi="宋体" w:cs="宋体"/>
                <w:kern w:val="0"/>
              </w:rPr>
              <w:t>（1）投标人的营业执照等证明文件，自然人的身份证明。</w:t>
            </w:r>
          </w:p>
          <w:p>
            <w:pPr>
              <w:autoSpaceDE w:val="0"/>
              <w:autoSpaceDN w:val="0"/>
              <w:spacing w:line="360" w:lineRule="auto"/>
              <w:rPr>
                <w:rFonts w:ascii="宋体" w:hAnsi="宋体" w:cs="宋体"/>
                <w:kern w:val="0"/>
              </w:rPr>
            </w:pPr>
            <w:r>
              <w:rPr>
                <w:rFonts w:hint="eastAsia" w:ascii="宋体" w:hAnsi="宋体" w:cs="宋体"/>
                <w:kern w:val="0"/>
              </w:rPr>
              <w:t>（2）财务状况报告，依法缴纳税收和社会保障资金的相关材料。</w:t>
            </w:r>
          </w:p>
          <w:p>
            <w:pPr>
              <w:autoSpaceDE w:val="0"/>
              <w:autoSpaceDN w:val="0"/>
              <w:spacing w:line="360" w:lineRule="auto"/>
              <w:rPr>
                <w:rFonts w:ascii="宋体" w:hAnsi="宋体" w:cs="宋体"/>
                <w:kern w:val="0"/>
              </w:rPr>
            </w:pPr>
            <w:r>
              <w:rPr>
                <w:rFonts w:hint="eastAsia" w:ascii="宋体" w:hAnsi="宋体" w:cs="宋体"/>
                <w:kern w:val="0"/>
              </w:rPr>
              <w:t>（3）具备履行合同所必需的设备和专业技术能力的证明材料。</w:t>
            </w:r>
          </w:p>
          <w:p>
            <w:pPr>
              <w:autoSpaceDE w:val="0"/>
              <w:autoSpaceDN w:val="0"/>
              <w:spacing w:line="360" w:lineRule="auto"/>
              <w:rPr>
                <w:rFonts w:ascii="宋体" w:hAnsi="宋体" w:cs="宋体"/>
                <w:kern w:val="0"/>
              </w:rPr>
            </w:pPr>
            <w:r>
              <w:rPr>
                <w:rFonts w:hint="eastAsia" w:ascii="宋体" w:hAnsi="宋体" w:cs="宋体"/>
                <w:kern w:val="0"/>
              </w:rPr>
              <w:t>（4）参加政府采购活动前3年内在经营活动中没有重大违法记录的书面声明。</w:t>
            </w:r>
          </w:p>
          <w:p>
            <w:pPr>
              <w:autoSpaceDE w:val="0"/>
              <w:autoSpaceDN w:val="0"/>
              <w:spacing w:line="360" w:lineRule="auto"/>
              <w:rPr>
                <w:rFonts w:ascii="宋体" w:hAnsi="宋体" w:cs="宋体"/>
                <w:kern w:val="0"/>
              </w:rPr>
            </w:pPr>
            <w:r>
              <w:rPr>
                <w:rFonts w:hint="eastAsia" w:ascii="宋体" w:hAnsi="宋体" w:cs="宋体"/>
                <w:kern w:val="0"/>
              </w:rPr>
              <w:t>（5）具备法律、行政法规规定的其他条件的证明材料。</w:t>
            </w:r>
          </w:p>
          <w:p>
            <w:pPr>
              <w:autoSpaceDE w:val="0"/>
              <w:autoSpaceDN w:val="0"/>
              <w:spacing w:line="360" w:lineRule="auto"/>
              <w:rPr>
                <w:rFonts w:ascii="宋体" w:hAnsi="宋体" w:cs="宋体"/>
                <w:kern w:val="0"/>
              </w:rPr>
            </w:pPr>
            <w:r>
              <w:rPr>
                <w:rFonts w:hint="eastAsia" w:ascii="宋体" w:hAnsi="宋体" w:cs="宋体"/>
                <w:kern w:val="0"/>
              </w:rPr>
              <w:t>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pPr>
              <w:autoSpaceDE w:val="0"/>
              <w:autoSpaceDN w:val="0"/>
              <w:spacing w:line="360" w:lineRule="auto"/>
              <w:rPr>
                <w:rFonts w:ascii="宋体" w:hAnsi="宋体" w:cs="宋体"/>
                <w:kern w:val="0"/>
              </w:rPr>
            </w:pPr>
            <w:r>
              <w:rPr>
                <w:rFonts w:hint="eastAsia" w:ascii="宋体" w:hAnsi="宋体" w:cs="宋体"/>
                <w:kern w:val="0"/>
              </w:rPr>
              <w:t>3、单位负责人为同一人或者存在直接控股、管理关系的不同投标人，不得参加同一合同项下的政府采购活动。否则，皆取消投标资格；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kern w:val="0"/>
              </w:rPr>
            </w:pPr>
            <w:r>
              <w:rPr>
                <w:rFonts w:hint="eastAsia" w:ascii="宋体" w:hAnsi="宋体" w:cs="宋体"/>
                <w:kern w:val="0"/>
              </w:rPr>
              <w:t>4、财务要求：投标人需提供（2020年或2021年）经第三方审计的</w:t>
            </w:r>
            <w:r>
              <w:rPr>
                <w:rFonts w:hint="eastAsia" w:ascii="宋体" w:hAnsi="宋体" w:cs="宋体"/>
                <w:kern w:val="0"/>
                <w:lang w:val="en-US" w:eastAsia="zh-CN"/>
              </w:rPr>
              <w:t>完整的</w:t>
            </w:r>
            <w:r>
              <w:rPr>
                <w:rFonts w:hint="eastAsia" w:ascii="宋体" w:hAnsi="宋体" w:cs="宋体"/>
                <w:kern w:val="0"/>
              </w:rPr>
              <w:t>财务审计报告，</w:t>
            </w:r>
            <w:r>
              <w:rPr>
                <w:rFonts w:hint="eastAsia" w:ascii="宋体" w:hAnsi="宋体" w:cstheme="minorEastAsia"/>
                <w:lang w:val="zh-CN"/>
              </w:rPr>
              <w:t>包括资产负债表、现金流量表、利润表和财务（会计）报表附注</w:t>
            </w:r>
            <w:r>
              <w:rPr>
                <w:rFonts w:hint="eastAsia" w:ascii="宋体" w:hAnsi="宋体" w:cstheme="minorEastAsia"/>
              </w:rPr>
              <w:t>,</w:t>
            </w:r>
            <w:r>
              <w:rPr>
                <w:rFonts w:hint="eastAsia" w:ascii="宋体" w:hAnsi="宋体" w:cstheme="minorEastAsia"/>
                <w:lang w:val="zh-CN"/>
              </w:rPr>
              <w:t>并提供第三方机构的营业执照、执业证书</w:t>
            </w:r>
            <w:r>
              <w:rPr>
                <w:rFonts w:hint="eastAsia" w:ascii="宋体" w:hAnsi="宋体" w:cs="宋体"/>
                <w:kern w:val="0"/>
              </w:rPr>
              <w:t>；（如有成立不满一年无法提供近一年完整的财务报告的新公司，需提供银行的资信证明）。</w:t>
            </w:r>
          </w:p>
          <w:p>
            <w:pPr>
              <w:autoSpaceDE w:val="0"/>
              <w:autoSpaceDN w:val="0"/>
              <w:spacing w:line="360" w:lineRule="auto"/>
              <w:rPr>
                <w:rFonts w:ascii="宋体" w:hAnsi="宋体" w:cs="宋体"/>
                <w:kern w:val="0"/>
              </w:rPr>
            </w:pPr>
            <w:r>
              <w:rPr>
                <w:rFonts w:hint="eastAsia" w:ascii="宋体" w:hAnsi="宋体" w:cs="宋体"/>
                <w:kern w:val="0"/>
                <w:lang w:val="en-US" w:eastAsia="zh-CN"/>
              </w:rPr>
              <w:t>5</w:t>
            </w:r>
            <w:r>
              <w:rPr>
                <w:rFonts w:hint="eastAsia" w:ascii="宋体" w:hAnsi="宋体" w:cs="宋体"/>
                <w:kern w:val="0"/>
              </w:rPr>
              <w:t>.本项目不接受投标人以联合体方式进行投标。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highlight w:val="none"/>
                <w:lang w:val="zh-CN"/>
              </w:rPr>
              <w:t>2022年05月</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05</w:t>
            </w:r>
            <w:r>
              <w:rPr>
                <w:rFonts w:hint="eastAsia" w:ascii="宋体" w:hAnsi="宋体" w:cs="宋体"/>
                <w:kern w:val="0"/>
                <w:highlight w:val="none"/>
                <w:lang w:val="zh-CN"/>
              </w:rPr>
              <w:t>月</w:t>
            </w:r>
            <w:r>
              <w:rPr>
                <w:rFonts w:hint="eastAsia" w:ascii="宋体" w:hAnsi="宋体" w:cs="宋体"/>
                <w:kern w:val="0"/>
                <w:highlight w:val="none"/>
                <w:lang w:val="en-US" w:eastAsia="zh-CN"/>
              </w:rPr>
              <w:t>07</w:t>
            </w:r>
            <w:r>
              <w:rPr>
                <w:rFonts w:hint="eastAsia" w:ascii="宋体" w:hAnsi="宋体" w:cs="宋体"/>
                <w:kern w:val="0"/>
                <w:highlight w:val="none"/>
                <w:lang w:val="zh-CN"/>
              </w:rPr>
              <w:t>日至2022年</w:t>
            </w:r>
            <w:r>
              <w:rPr>
                <w:rFonts w:hint="eastAsia" w:ascii="宋体" w:hAnsi="宋体" w:cs="宋体"/>
                <w:kern w:val="0"/>
                <w:highlight w:val="none"/>
                <w:lang w:val="en-US" w:eastAsia="zh-CN"/>
              </w:rPr>
              <w:t>05</w:t>
            </w:r>
            <w:r>
              <w:rPr>
                <w:rFonts w:hint="eastAsia" w:ascii="宋体" w:hAnsi="宋体" w:cs="宋体"/>
                <w:kern w:val="0"/>
                <w:highlight w:val="none"/>
                <w:lang w:val="zh-CN"/>
              </w:rPr>
              <w:t>月</w:t>
            </w:r>
            <w:r>
              <w:rPr>
                <w:rFonts w:hint="eastAsia" w:ascii="宋体" w:hAnsi="宋体" w:cs="宋体"/>
                <w:kern w:val="0"/>
                <w:highlight w:val="none"/>
                <w:lang w:val="en-US" w:eastAsia="zh-CN"/>
              </w:rPr>
              <w:t>12</w:t>
            </w:r>
            <w:r>
              <w:rPr>
                <w:rFonts w:hint="eastAsia" w:ascii="宋体" w:hAnsi="宋体" w:cs="宋体"/>
                <w:kern w:val="0"/>
                <w:highlight w:val="none"/>
                <w:lang w:val="zh-CN"/>
              </w:rPr>
              <w:t>日</w:t>
            </w:r>
            <w:r>
              <w:rPr>
                <w:rFonts w:hint="eastAsia" w:ascii="宋体" w:hAnsi="宋体" w:cs="宋体"/>
                <w:kern w:val="0"/>
                <w:lang w:val="zh-CN"/>
              </w:rPr>
              <w:t>，每天上午9:00-11:30,下午13:30-17:</w:t>
            </w:r>
            <w:r>
              <w:rPr>
                <w:rFonts w:hint="eastAsia" w:ascii="宋体" w:hAnsi="宋体" w:cs="宋体"/>
                <w:kern w:val="0"/>
                <w:lang w:val="en-US" w:eastAsia="zh-CN"/>
              </w:rPr>
              <w:t>0</w:t>
            </w:r>
            <w:r>
              <w:rPr>
                <w:rFonts w:hint="eastAsia" w:ascii="宋体" w:hAnsi="宋体" w:cs="宋体"/>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hAnsi="宋体" w:cs="宋体"/>
                <w:color w:val="000000"/>
                <w:kern w:val="0"/>
                <w:lang w:val="zh-CN"/>
              </w:rPr>
            </w:pPr>
            <w:r>
              <w:rPr>
                <w:rFonts w:hint="eastAsia" w:ascii="宋体" w:hAnsi="宋体" w:cs="宋体"/>
                <w:color w:val="000000"/>
                <w:kern w:val="0"/>
              </w:rPr>
              <w:t>500</w:t>
            </w:r>
            <w:r>
              <w:rPr>
                <w:rFonts w:hint="eastAsia" w:ascii="宋体" w:hAnsi="宋体" w:cs="宋体"/>
                <w:color w:val="000000"/>
                <w:kern w:val="0"/>
                <w:lang w:val="zh-CN"/>
              </w:rPr>
              <w:t>元/</w:t>
            </w:r>
            <w:r>
              <w:rPr>
                <w:rFonts w:hint="eastAsia" w:ascii="宋体" w:hAnsi="宋体" w:cs="宋体"/>
                <w:color w:val="000000"/>
                <w:kern w:val="0"/>
              </w:rPr>
              <w:t>包</w:t>
            </w:r>
            <w:r>
              <w:rPr>
                <w:rFonts w:hint="eastAsia" w:ascii="宋体" w:hAnsi="宋体" w:cs="宋体"/>
                <w:color w:val="000000"/>
                <w:kern w:val="0"/>
                <w:lang w:val="zh-CN"/>
              </w:rPr>
              <w:t>（</w:t>
            </w:r>
            <w:r>
              <w:rPr>
                <w:rFonts w:hint="eastAsia" w:ascii="宋体" w:hAnsi="宋体" w:cs="宋体"/>
                <w:color w:val="000000"/>
                <w:kern w:val="0"/>
              </w:rPr>
              <w:t>招标文件及其他。</w:t>
            </w:r>
            <w:r>
              <w:rPr>
                <w:rFonts w:hint="eastAsia" w:ascii="宋体" w:hAnsi="宋体" w:cs="宋体"/>
                <w:color w:val="000000"/>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0"/>
              <w:spacing w:line="360" w:lineRule="auto"/>
              <w:jc w:val="both"/>
              <w:rPr>
                <w:rFonts w:ascii="宋体" w:hAnsi="宋体" w:cs="宋体"/>
                <w:color w:val="000000"/>
                <w:kern w:val="0"/>
                <w:lang w:val="zh-CN"/>
              </w:rPr>
            </w:pPr>
            <w:r>
              <w:rPr>
                <w:rFonts w:hint="eastAsia" w:ascii="宋体" w:hAnsi="宋体" w:cs="宋体"/>
                <w:color w:val="000000"/>
                <w:kern w:val="0"/>
                <w:lang w:val="zh-CN"/>
              </w:rPr>
              <w:t>地址：青海圣诺工程咨询管理有限公司（青海省西宁市城北区萨尔斯堡西区二期41栋1单元1093室）</w:t>
            </w:r>
          </w:p>
          <w:p>
            <w:pPr>
              <w:pStyle w:val="10"/>
              <w:spacing w:line="360" w:lineRule="auto"/>
              <w:jc w:val="both"/>
              <w:rPr>
                <w:rFonts w:ascii="宋体" w:hAnsi="宋体" w:cs="宋体"/>
                <w:color w:val="000000"/>
                <w:kern w:val="0"/>
              </w:rPr>
            </w:pPr>
            <w:r>
              <w:rPr>
                <w:rFonts w:hint="eastAsia" w:ascii="宋体" w:hAnsi="宋体" w:cs="宋体"/>
                <w:color w:val="000000"/>
                <w:kern w:val="0"/>
                <w:lang w:val="zh-CN"/>
              </w:rPr>
              <w:t>标书购买联系人：</w:t>
            </w:r>
            <w:r>
              <w:rPr>
                <w:rFonts w:hint="eastAsia" w:ascii="宋体" w:hAnsi="宋体" w:cs="宋体"/>
                <w:color w:val="000000"/>
                <w:kern w:val="0"/>
                <w:lang w:val="en-US" w:eastAsia="zh-CN"/>
              </w:rPr>
              <w:t>许</w:t>
            </w:r>
            <w:r>
              <w:rPr>
                <w:rFonts w:hint="eastAsia" w:ascii="宋体" w:hAnsi="宋体" w:cs="宋体"/>
                <w:color w:val="000000"/>
                <w:kern w:val="0"/>
                <w:lang w:val="zh-CN"/>
              </w:rPr>
              <w:t>女士</w:t>
            </w:r>
          </w:p>
          <w:p>
            <w:pPr>
              <w:pStyle w:val="10"/>
              <w:spacing w:line="360" w:lineRule="auto"/>
              <w:jc w:val="both"/>
              <w:rPr>
                <w:rFonts w:hint="default" w:ascii="宋体" w:hAnsi="宋体" w:cs="宋体"/>
                <w:color w:val="000000"/>
                <w:kern w:val="0"/>
                <w:lang w:val="en-US" w:eastAsia="zh-CN"/>
              </w:rPr>
            </w:pPr>
            <w:r>
              <w:rPr>
                <w:rFonts w:hint="eastAsia" w:ascii="宋体" w:hAnsi="宋体" w:cs="宋体"/>
                <w:color w:val="000000"/>
                <w:kern w:val="0"/>
                <w:lang w:val="zh-CN"/>
              </w:rPr>
              <w:t>电话：</w:t>
            </w:r>
            <w:r>
              <w:rPr>
                <w:rFonts w:hint="eastAsia" w:ascii="宋体" w:hAnsi="宋体" w:cs="宋体"/>
                <w:color w:val="000000"/>
                <w:kern w:val="0"/>
                <w:lang w:val="en-US" w:eastAsia="zh-CN"/>
              </w:rPr>
              <w:t>15709786034</w:t>
            </w:r>
          </w:p>
          <w:p>
            <w:pPr>
              <w:pStyle w:val="10"/>
              <w:spacing w:line="360" w:lineRule="auto"/>
              <w:jc w:val="both"/>
              <w:rPr>
                <w:rFonts w:ascii="宋体" w:hAnsi="宋体" w:cs="宋体"/>
                <w:color w:val="000000"/>
                <w:kern w:val="0"/>
                <w:lang w:val="zh-CN"/>
              </w:rPr>
            </w:pPr>
            <w:r>
              <w:rPr>
                <w:rFonts w:hint="eastAsia" w:ascii="宋体" w:hAnsi="宋体" w:cs="宋体"/>
                <w:color w:val="000000"/>
                <w:kern w:val="0"/>
                <w:lang w:val="zh-CN"/>
              </w:rPr>
              <w:t>电子邮箱：3633768018@qq.com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left"/>
              <w:outlineLvl w:val="0"/>
              <w:rPr>
                <w:rFonts w:cs="宋体" w:asciiTheme="minorEastAsia" w:hAnsiTheme="minorEastAsia" w:eastAsiaTheme="minorEastAsia"/>
                <w:kern w:val="36"/>
              </w:rPr>
            </w:pPr>
            <w:r>
              <w:rPr>
                <w:rFonts w:hint="eastAsia" w:cs="宋体" w:asciiTheme="minorEastAsia" w:hAnsiTheme="minorEastAsia" w:eastAsiaTheme="minorEastAsia"/>
                <w:kern w:val="36"/>
              </w:rPr>
              <w:t>持供应商的营业执照复印件、介绍信或法定代表人授权委托书（原件）及法定代表人、被授权人身份证复印件（所有复印件加盖公章）。以上资料复印件需加盖公章，采购代理机构对以上资料留存备案。</w:t>
            </w:r>
            <w:bookmarkStart w:id="1" w:name="OLE_LINK40"/>
          </w:p>
          <w:p>
            <w:pPr>
              <w:widowControl/>
              <w:spacing w:line="360" w:lineRule="auto"/>
              <w:jc w:val="left"/>
              <w:outlineLvl w:val="0"/>
              <w:rPr>
                <w:rFonts w:cs="宋体" w:asciiTheme="minorEastAsia" w:hAnsiTheme="minorEastAsia" w:eastAsiaTheme="minorEastAsia"/>
                <w:kern w:val="36"/>
              </w:rPr>
            </w:pPr>
            <w:r>
              <w:rPr>
                <w:rFonts w:hint="eastAsia" w:cs="宋体" w:asciiTheme="minorEastAsia" w:hAnsiTheme="minorEastAsia" w:eastAsiaTheme="minorEastAsia"/>
                <w:kern w:val="36"/>
              </w:rPr>
              <w:t>注：需网上购买标书的供应商应将以上材料扫描后发至我公司联系邮箱（</w:t>
            </w:r>
            <w:r>
              <w:rPr>
                <w:rFonts w:hint="eastAsia" w:cs="宋体" w:asciiTheme="minorEastAsia" w:hAnsiTheme="minorEastAsia" w:eastAsiaTheme="minorEastAsia"/>
                <w:kern w:val="36"/>
                <w:lang w:eastAsia="zh-CN"/>
              </w:rPr>
              <w:t>3633768018@qq.com</w:t>
            </w:r>
            <w:r>
              <w:rPr>
                <w:rFonts w:hint="eastAsia" w:cs="宋体" w:asciiTheme="minorEastAsia" w:hAnsiTheme="minorEastAsia" w:eastAsiaTheme="minorEastAsia"/>
                <w:kern w:val="36"/>
              </w:rPr>
              <w:t>），在邮件中标明购买项目名称、项目编号、</w:t>
            </w:r>
            <w:r>
              <w:t>包号（如果有）</w:t>
            </w:r>
            <w:r>
              <w:rPr>
                <w:spacing w:val="-1"/>
              </w:rPr>
              <w:t>、</w:t>
            </w:r>
            <w:r>
              <w:rPr>
                <w:rFonts w:hint="eastAsia" w:cs="宋体" w:asciiTheme="minorEastAsia" w:hAnsiTheme="minorEastAsia" w:eastAsiaTheme="minorEastAsia"/>
                <w:kern w:val="36"/>
              </w:rPr>
              <w:t>联系人及联系方式，并与我公司工作人员进行联系确认（联系电话：</w:t>
            </w:r>
            <w:r>
              <w:rPr>
                <w:rFonts w:hint="eastAsia" w:cs="宋体" w:asciiTheme="minorEastAsia" w:hAnsiTheme="minorEastAsia" w:eastAsiaTheme="minorEastAsia"/>
                <w:color w:val="auto"/>
                <w:kern w:val="36"/>
                <w:lang w:eastAsia="zh-CN"/>
              </w:rPr>
              <w:t>15709786034</w:t>
            </w:r>
            <w:r>
              <w:rPr>
                <w:rFonts w:hint="eastAsia" w:cs="宋体" w:asciiTheme="minorEastAsia" w:hAnsiTheme="minorEastAsia" w:eastAsiaTheme="minorEastAsia"/>
                <w:kern w:val="36"/>
              </w:rPr>
              <w:t>）。同时将以上资料邮寄至采购代理机构留存备案。</w:t>
            </w:r>
            <w:bookmarkEnd w:id="1"/>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2022年05月31日上午09:00</w:t>
            </w:r>
            <w:r>
              <w:rPr>
                <w:rFonts w:hint="eastAsia" w:ascii="宋体" w:hAnsi="宋体" w:cs="宋体"/>
                <w:kern w:val="0"/>
                <w:highlight w:val="none"/>
              </w:rPr>
              <w:t xml:space="preserve"> </w:t>
            </w:r>
            <w:r>
              <w:rPr>
                <w:rFonts w:hint="eastAsia" w:ascii="宋体" w:hAnsi="宋体" w:cs="宋体"/>
                <w:color w:val="000000"/>
                <w:kern w:val="0"/>
                <w:highlight w:val="none"/>
                <w:lang w:val="zh-CN"/>
              </w:rPr>
              <w:t>（</w:t>
            </w:r>
            <w:r>
              <w:rPr>
                <w:rFonts w:hint="eastAsia" w:ascii="宋体" w:hAnsi="宋体" w:cs="宋体"/>
                <w:color w:val="000000"/>
                <w:kern w:val="0"/>
                <w:lang w:val="zh-CN"/>
              </w:rPr>
              <w:t>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lang w:val="zh-CN" w:eastAsia="zh-CN"/>
              </w:rPr>
            </w:pPr>
            <w:r>
              <w:rPr>
                <w:rFonts w:hint="eastAsia" w:cs="宋体" w:asciiTheme="minorEastAsia" w:hAnsiTheme="minorEastAsia" w:eastAsiaTheme="minorEastAsia"/>
                <w:kern w:val="36"/>
                <w:lang w:eastAsia="zh-CN"/>
              </w:rPr>
              <w:t>海东市公共资源交易中心·开标室一（乐都区）</w:t>
            </w:r>
          </w:p>
        </w:tc>
      </w:tr>
      <w:tr>
        <w:tblPrEx>
          <w:tblCellMar>
            <w:top w:w="0" w:type="dxa"/>
            <w:left w:w="108" w:type="dxa"/>
            <w:bottom w:w="0" w:type="dxa"/>
            <w:right w:w="108" w:type="dxa"/>
          </w:tblCellMar>
        </w:tblPrEx>
        <w:trPr>
          <w:trHeight w:val="55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eastAsia="zh-CN"/>
              </w:rPr>
            </w:pPr>
            <w:r>
              <w:rPr>
                <w:rFonts w:hint="eastAsia" w:ascii="宋体" w:hAnsi="宋体" w:cs="宋体"/>
                <w:color w:val="000000"/>
                <w:kern w:val="0"/>
                <w:lang w:val="zh-CN" w:eastAsia="zh-CN"/>
              </w:rPr>
              <w:t>采购单位：海东市第一人民医院</w:t>
            </w:r>
          </w:p>
          <w:p>
            <w:pPr>
              <w:autoSpaceDE w:val="0"/>
              <w:autoSpaceDN w:val="0"/>
              <w:adjustRightInd w:val="0"/>
              <w:spacing w:line="360" w:lineRule="auto"/>
              <w:rPr>
                <w:rFonts w:hint="eastAsia" w:ascii="宋体" w:hAnsi="宋体" w:cs="宋体"/>
                <w:color w:val="000000"/>
                <w:kern w:val="0"/>
                <w:lang w:val="zh-CN" w:eastAsia="zh-CN"/>
              </w:rPr>
            </w:pPr>
            <w:r>
              <w:rPr>
                <w:rFonts w:hint="eastAsia" w:ascii="宋体" w:hAnsi="宋体" w:cs="宋体"/>
                <w:color w:val="000000"/>
                <w:kern w:val="0"/>
                <w:lang w:val="zh-CN" w:eastAsia="zh-CN"/>
              </w:rPr>
              <w:t>联系人：田老师</w:t>
            </w:r>
          </w:p>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zh-CN" w:eastAsia="zh-CN"/>
              </w:rPr>
              <w:t>联系电话：</w:t>
            </w:r>
            <w:r>
              <w:rPr>
                <w:rFonts w:hint="eastAsia" w:ascii="宋体" w:hAnsi="宋体" w:cs="宋体"/>
                <w:color w:val="000000"/>
                <w:kern w:val="0"/>
                <w:lang w:val="en-US" w:eastAsia="zh-CN"/>
              </w:rPr>
              <w:t xml:space="preserve">0972-8673088 </w:t>
            </w:r>
          </w:p>
          <w:p>
            <w:pPr>
              <w:autoSpaceDE w:val="0"/>
              <w:autoSpaceDN w:val="0"/>
              <w:adjustRightInd w:val="0"/>
              <w:spacing w:line="360" w:lineRule="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联系地址：海东市平安区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eastAsia="zh-CN"/>
              </w:rPr>
            </w:pPr>
            <w:r>
              <w:rPr>
                <w:rFonts w:hint="eastAsia" w:ascii="宋体" w:hAnsi="宋体" w:cs="宋体"/>
                <w:color w:val="000000"/>
                <w:kern w:val="0"/>
                <w:lang w:val="zh-CN" w:eastAsia="zh-CN"/>
              </w:rPr>
              <w:t>联系人：许女士</w:t>
            </w:r>
          </w:p>
          <w:p>
            <w:pPr>
              <w:autoSpaceDE w:val="0"/>
              <w:autoSpaceDN w:val="0"/>
              <w:adjustRightInd w:val="0"/>
              <w:spacing w:line="360" w:lineRule="auto"/>
              <w:rPr>
                <w:rFonts w:hint="eastAsia" w:ascii="宋体" w:hAnsi="宋体" w:cs="宋体"/>
                <w:color w:val="000000"/>
                <w:kern w:val="0"/>
                <w:lang w:val="zh-CN" w:eastAsia="zh-CN"/>
              </w:rPr>
            </w:pPr>
            <w:r>
              <w:rPr>
                <w:rFonts w:hint="eastAsia" w:ascii="宋体" w:hAnsi="宋体" w:cs="宋体"/>
                <w:color w:val="000000"/>
                <w:kern w:val="0"/>
                <w:lang w:val="zh-CN" w:eastAsia="zh-CN"/>
              </w:rPr>
              <w:t>联系电话：15709786034</w:t>
            </w:r>
          </w:p>
          <w:p>
            <w:pPr>
              <w:autoSpaceDE w:val="0"/>
              <w:autoSpaceDN w:val="0"/>
              <w:adjustRightInd w:val="0"/>
              <w:spacing w:line="360" w:lineRule="auto"/>
              <w:rPr>
                <w:rFonts w:hint="eastAsia" w:ascii="宋体" w:hAnsi="宋体" w:cs="宋体"/>
                <w:color w:val="000000"/>
                <w:kern w:val="0"/>
                <w:lang w:val="zh-CN" w:eastAsia="zh-CN"/>
              </w:rPr>
            </w:pPr>
            <w:r>
              <w:rPr>
                <w:rFonts w:hint="eastAsia" w:ascii="宋体" w:hAnsi="宋体" w:cs="宋体"/>
                <w:color w:val="000000"/>
                <w:kern w:val="0"/>
                <w:lang w:val="zh-CN" w:eastAsia="zh-CN"/>
              </w:rPr>
              <w:t>联系地址：青海圣诺工程咨询管理有限公司（青海省西宁市城北区萨尔斯堡西区二期41栋1单元1093室）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lang w:eastAsia="zh-CN"/>
              </w:rPr>
              <w:t>青海西宁农村商业银行股份有限公司市民中心支行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cs="宋体"/>
                <w:color w:val="000000"/>
                <w:kern w:val="0"/>
                <w:lang w:eastAsia="zh-CN"/>
              </w:rPr>
              <w:t>青海圣诺工程咨询管理有限公司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lang w:eastAsia="zh-CN"/>
              </w:rPr>
              <w:t>82010000000741434</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pPr>
            <w:r>
              <w:rPr>
                <w:rFonts w:hint="eastAsia"/>
                <w:lang w:val="zh-CN"/>
              </w:rPr>
              <w:t>公告期限：自青海政府采购网发布之日起</w:t>
            </w:r>
            <w:r>
              <w:rPr>
                <w:rFonts w:hint="eastAsia"/>
              </w:rPr>
              <w:t>5个工作日；</w:t>
            </w:r>
          </w:p>
          <w:p>
            <w:pPr>
              <w:pStyle w:val="120"/>
              <w:spacing w:before="81" w:line="312" w:lineRule="auto"/>
              <w:ind w:right="91"/>
            </w:pPr>
            <w:r>
              <w:rPr>
                <w:rFonts w:hint="eastAsia"/>
              </w:rPr>
              <w:t>公告内容在《青海政府采购网》、《青海省电子招投标公共服务平台》、《中国招投标公共服务平台》、《青海项目信息网》同时发布。</w:t>
            </w:r>
            <w:r>
              <w:t>公告内容以《青海政府采购网》发布的为准</w:t>
            </w:r>
            <w:r>
              <w:rPr>
                <w:rFonts w:hint="eastAsia"/>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ind w:firstLine="120" w:firstLineChars="50"/>
              <w:rPr>
                <w:rFonts w:ascii="宋体" w:hAnsi="宋体" w:cs="宋体"/>
                <w:color w:val="000000"/>
                <w:kern w:val="0"/>
                <w:lang w:val="zh-CN"/>
              </w:rPr>
            </w:pPr>
            <w:r>
              <w:rPr>
                <w:rFonts w:hint="eastAsia" w:ascii="宋体" w:hAnsi="宋体" w:cs="宋体"/>
                <w:color w:val="000000"/>
                <w:kern w:val="0"/>
                <w:lang w:val="zh-CN"/>
              </w:rPr>
              <w:t>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hAnsi="宋体" w:cs="宋体"/>
              </w:rPr>
            </w:pPr>
            <w:r>
              <w:rPr>
                <w:rFonts w:hint="eastAsia" w:ascii="宋体" w:hAnsi="宋体" w:cs="宋体"/>
                <w:color w:val="000000" w:themeColor="text1"/>
                <w:kern w:val="0"/>
                <w:lang w:val="zh-CN"/>
                <w14:textFill>
                  <w14:solidFill>
                    <w14:schemeClr w14:val="tx1"/>
                  </w14:solidFill>
                </w14:textFill>
              </w:rPr>
              <w:t>监督单位：</w:t>
            </w:r>
            <w:r>
              <w:rPr>
                <w:rFonts w:hint="eastAsia" w:ascii="宋体" w:hAnsi="宋体" w:cs="宋体"/>
                <w:lang w:eastAsia="zh-CN"/>
              </w:rPr>
              <w:t>海东市财政局</w:t>
            </w:r>
            <w:r>
              <w:rPr>
                <w:rFonts w:hint="eastAsia" w:ascii="宋体" w:hAnsi="宋体" w:cs="宋体"/>
              </w:rPr>
              <w:t xml:space="preserve"> </w:t>
            </w:r>
          </w:p>
          <w:p>
            <w:pPr>
              <w:spacing w:line="360" w:lineRule="auto"/>
              <w:jc w:val="left"/>
              <w:rPr>
                <w:rFonts w:ascii="宋体" w:hAnsi="宋体" w:cs="宋体"/>
                <w:color w:val="FF0000"/>
                <w:kern w:val="0"/>
              </w:rPr>
            </w:pPr>
            <w:r>
              <w:rPr>
                <w:rFonts w:hint="eastAsia" w:cs="宋体" w:asciiTheme="minorEastAsia" w:hAnsiTheme="minorEastAsia"/>
                <w:color w:val="000000"/>
                <w:kern w:val="0"/>
                <w:highlight w:val="none"/>
              </w:rPr>
              <w:t>联系电话：</w:t>
            </w:r>
            <w:r>
              <w:rPr>
                <w:rFonts w:hint="eastAsia" w:ascii="宋体" w:hAnsi="宋体" w:cs="宋体"/>
                <w:color w:val="000000" w:themeColor="text1"/>
                <w:kern w:val="0"/>
                <w:highlight w:val="none"/>
                <w:lang w:eastAsia="zh-CN"/>
                <w14:textFill>
                  <w14:solidFill>
                    <w14:schemeClr w14:val="tx1"/>
                  </w14:solidFill>
                </w14:textFill>
              </w:rPr>
              <w:t>0972-8612053</w:t>
            </w:r>
            <w:r>
              <w:rPr>
                <w:rFonts w:hint="eastAsia" w:ascii="宋体" w:hAnsi="宋体" w:cs="宋体"/>
                <w:color w:val="000000"/>
                <w:kern w:val="0"/>
              </w:rPr>
              <w:t xml:space="preserve"> </w:t>
            </w:r>
          </w:p>
        </w:tc>
      </w:tr>
    </w:tbl>
    <w:p>
      <w:pPr>
        <w:pStyle w:val="25"/>
        <w:spacing w:before="0" w:after="0" w:line="360" w:lineRule="auto"/>
        <w:rPr>
          <w:rFonts w:ascii="宋体" w:hAnsi="宋体" w:cs="宋体"/>
          <w:b w:val="0"/>
          <w:bCs w:val="0"/>
          <w:color w:val="000000"/>
          <w:sz w:val="24"/>
          <w:szCs w:val="22"/>
        </w:rPr>
      </w:pPr>
      <w:bookmarkStart w:id="2" w:name="_Toc428180535"/>
      <w:r>
        <w:rPr>
          <w:rFonts w:hint="eastAsia" w:ascii="宋体" w:hAnsi="宋体" w:cs="宋体"/>
          <w:b w:val="0"/>
          <w:bCs w:val="0"/>
          <w:color w:val="000000"/>
          <w:sz w:val="28"/>
          <w:szCs w:val="24"/>
        </w:rPr>
        <w:t xml:space="preserve">                           </w:t>
      </w:r>
      <w:r>
        <w:rPr>
          <w:rFonts w:hint="eastAsia" w:ascii="宋体" w:hAnsi="宋体" w:cs="宋体"/>
          <w:b w:val="0"/>
          <w:bCs w:val="0"/>
          <w:color w:val="000000"/>
          <w:sz w:val="24"/>
          <w:szCs w:val="22"/>
        </w:rPr>
        <w:t xml:space="preserve"> </w:t>
      </w:r>
    </w:p>
    <w:p>
      <w:pPr>
        <w:pStyle w:val="25"/>
        <w:spacing w:before="0" w:after="0" w:line="360" w:lineRule="auto"/>
        <w:rPr>
          <w:rFonts w:hint="eastAsia" w:ascii="宋体" w:hAnsi="宋体" w:eastAsia="宋体" w:cs="宋体"/>
          <w:b w:val="0"/>
          <w:bCs w:val="0"/>
          <w:color w:val="000000"/>
          <w:sz w:val="24"/>
          <w:szCs w:val="22"/>
          <w:lang w:eastAsia="zh-CN"/>
        </w:rPr>
      </w:pPr>
      <w:r>
        <w:rPr>
          <w:rFonts w:hint="eastAsia" w:ascii="宋体" w:hAnsi="宋体" w:cs="宋体"/>
          <w:b w:val="0"/>
          <w:bCs w:val="0"/>
          <w:color w:val="000000"/>
          <w:sz w:val="24"/>
          <w:szCs w:val="22"/>
        </w:rPr>
        <w:t xml:space="preserve">                              </w:t>
      </w:r>
      <w:r>
        <w:rPr>
          <w:rFonts w:hint="eastAsia" w:ascii="宋体" w:hAnsi="宋体" w:cs="宋体"/>
          <w:b w:val="0"/>
          <w:bCs w:val="0"/>
          <w:color w:val="000000"/>
          <w:sz w:val="24"/>
          <w:szCs w:val="22"/>
          <w:lang w:eastAsia="zh-CN"/>
        </w:rPr>
        <w:t>青海圣诺工程咨询管理有限公司</w:t>
      </w:r>
    </w:p>
    <w:p>
      <w:pPr>
        <w:pStyle w:val="25"/>
        <w:spacing w:before="0" w:after="0" w:line="360" w:lineRule="auto"/>
        <w:rPr>
          <w:rFonts w:ascii="宋体" w:hAnsi="宋体" w:cs="宋体"/>
          <w:color w:val="000000"/>
          <w:szCs w:val="36"/>
        </w:rPr>
      </w:pPr>
      <w:r>
        <w:rPr>
          <w:rFonts w:hint="eastAsia" w:ascii="宋体" w:hAnsi="宋体" w:cs="宋体"/>
          <w:b w:val="0"/>
          <w:bCs w:val="0"/>
          <w:color w:val="000000"/>
          <w:sz w:val="24"/>
          <w:szCs w:val="22"/>
        </w:rPr>
        <w:t xml:space="preserve">                        </w:t>
      </w:r>
      <w:r>
        <w:rPr>
          <w:rFonts w:hint="eastAsia" w:ascii="宋体" w:hAnsi="宋体" w:cs="宋体"/>
          <w:b w:val="0"/>
          <w:bCs w:val="0"/>
          <w:sz w:val="24"/>
          <w:szCs w:val="24"/>
        </w:rPr>
        <w:t xml:space="preserve">      </w:t>
      </w:r>
      <w:bookmarkStart w:id="3" w:name="_Toc42174764"/>
      <w:r>
        <w:rPr>
          <w:rFonts w:hint="eastAsia" w:ascii="宋体" w:hAnsi="宋体" w:cs="宋体"/>
          <w:b w:val="0"/>
          <w:bCs w:val="0"/>
          <w:sz w:val="24"/>
          <w:szCs w:val="24"/>
          <w:lang w:eastAsia="zh-CN"/>
        </w:rPr>
        <w:t>2022年05月</w:t>
      </w:r>
      <w:r>
        <w:rPr>
          <w:rFonts w:hint="eastAsia" w:ascii="宋体" w:hAnsi="宋体" w:cs="宋体"/>
          <w:b w:val="0"/>
          <w:bCs w:val="0"/>
          <w:color w:val="000000"/>
          <w:sz w:val="24"/>
          <w:szCs w:val="22"/>
          <w:highlight w:val="yellow"/>
          <w:lang w:val="zh-CN"/>
        </w:rPr>
        <w:br w:type="page"/>
      </w:r>
      <w:bookmarkEnd w:id="2"/>
      <w:bookmarkStart w:id="4" w:name="_Toc42174765"/>
      <w:r>
        <w:rPr>
          <w:rFonts w:hint="eastAsia" w:ascii="宋体" w:hAnsi="宋体" w:cs="宋体"/>
          <w:color w:val="000000"/>
          <w:szCs w:val="36"/>
          <w:lang w:val="zh-CN"/>
        </w:rPr>
        <w:t>第二部分  投标人须知</w:t>
      </w:r>
      <w:bookmarkEnd w:id="3"/>
      <w:bookmarkEnd w:id="4"/>
    </w:p>
    <w:p>
      <w:pPr>
        <w:pStyle w:val="25"/>
        <w:spacing w:before="0" w:after="0" w:line="360" w:lineRule="auto"/>
        <w:rPr>
          <w:rFonts w:ascii="宋体" w:hAnsi="宋体" w:cs="宋体"/>
          <w:color w:val="000000"/>
        </w:rPr>
      </w:pPr>
      <w:bookmarkStart w:id="5" w:name="_Toc42174766"/>
      <w:r>
        <w:rPr>
          <w:rFonts w:hint="eastAsia" w:ascii="宋体" w:hAnsi="宋体" w:cs="宋体"/>
          <w:color w:val="000000"/>
          <w:lang w:val="zh-CN"/>
        </w:rPr>
        <w:t>一、说明</w:t>
      </w:r>
      <w:bookmarkEnd w:id="5"/>
    </w:p>
    <w:p>
      <w:pPr>
        <w:pStyle w:val="25"/>
        <w:spacing w:before="0" w:after="0" w:line="360" w:lineRule="auto"/>
        <w:jc w:val="left"/>
        <w:rPr>
          <w:rFonts w:ascii="宋体" w:hAnsi="宋体" w:cs="宋体"/>
          <w:color w:val="000000"/>
          <w:lang w:val="zh-CN"/>
        </w:rPr>
      </w:pPr>
      <w:bookmarkStart w:id="6" w:name="_Toc42174767"/>
      <w:r>
        <w:rPr>
          <w:rFonts w:hint="eastAsia" w:ascii="宋体" w:hAnsi="宋体" w:cs="宋体"/>
          <w:color w:val="000000"/>
          <w:sz w:val="28"/>
          <w:szCs w:val="28"/>
          <w:lang w:val="zh-CN"/>
        </w:rPr>
        <w:t>1.适用范围</w:t>
      </w:r>
      <w:bookmarkEnd w:id="6"/>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5"/>
        <w:spacing w:before="0" w:after="0" w:line="360" w:lineRule="auto"/>
        <w:jc w:val="left"/>
        <w:rPr>
          <w:rFonts w:ascii="宋体" w:hAnsi="宋体" w:cs="宋体"/>
          <w:color w:val="000000"/>
          <w:lang w:val="zh-CN"/>
        </w:rPr>
      </w:pPr>
      <w:bookmarkStart w:id="7" w:name="_Toc42174768"/>
      <w:r>
        <w:rPr>
          <w:rFonts w:hint="eastAsia" w:ascii="宋体" w:hAnsi="宋体" w:cs="宋体"/>
          <w:color w:val="000000"/>
          <w:sz w:val="28"/>
          <w:szCs w:val="28"/>
          <w:lang w:val="zh-CN"/>
        </w:rPr>
        <w:t>2.采购方式、合格的投标人</w:t>
      </w:r>
      <w:bookmarkEnd w:id="7"/>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5"/>
        <w:spacing w:before="0" w:after="0" w:line="360" w:lineRule="auto"/>
        <w:jc w:val="left"/>
        <w:rPr>
          <w:rFonts w:ascii="宋体" w:hAnsi="宋体" w:cs="宋体"/>
          <w:color w:val="000000"/>
          <w:lang w:val="zh-CN"/>
        </w:rPr>
      </w:pPr>
      <w:bookmarkStart w:id="8" w:name="_Toc42174769"/>
      <w:r>
        <w:rPr>
          <w:rFonts w:hint="eastAsia" w:ascii="宋体" w:hAnsi="宋体" w:cs="宋体"/>
          <w:color w:val="000000"/>
          <w:sz w:val="28"/>
          <w:szCs w:val="28"/>
          <w:lang w:val="zh-CN"/>
        </w:rPr>
        <w:t>3.投标费用</w:t>
      </w:r>
      <w:bookmarkEnd w:id="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5"/>
        <w:spacing w:before="0" w:after="0" w:line="360" w:lineRule="auto"/>
        <w:rPr>
          <w:rFonts w:ascii="宋体" w:hAnsi="宋体" w:cs="宋体"/>
          <w:color w:val="000000"/>
        </w:rPr>
      </w:pPr>
      <w:bookmarkStart w:id="9" w:name="_Toc42174770"/>
      <w:r>
        <w:rPr>
          <w:rFonts w:hint="eastAsia" w:ascii="宋体" w:hAnsi="宋体" w:cs="宋体"/>
          <w:color w:val="000000"/>
          <w:lang w:val="zh-CN"/>
        </w:rPr>
        <w:t>二、招标文件说明</w:t>
      </w:r>
      <w:bookmarkEnd w:id="9"/>
    </w:p>
    <w:p>
      <w:pPr>
        <w:pStyle w:val="25"/>
        <w:spacing w:before="0" w:after="0" w:line="360" w:lineRule="auto"/>
        <w:jc w:val="left"/>
        <w:rPr>
          <w:rFonts w:ascii="宋体" w:hAnsi="宋体" w:cs="宋体"/>
          <w:color w:val="000000"/>
          <w:lang w:val="zh-CN"/>
        </w:rPr>
      </w:pPr>
      <w:bookmarkStart w:id="10" w:name="_Toc42174771"/>
      <w:r>
        <w:rPr>
          <w:rFonts w:hint="eastAsia" w:ascii="宋体" w:hAnsi="宋体" w:cs="宋体"/>
          <w:color w:val="000000"/>
          <w:sz w:val="28"/>
          <w:szCs w:val="28"/>
          <w:lang w:val="zh-CN"/>
        </w:rPr>
        <w:t>4.招标文件的构成</w:t>
      </w:r>
      <w:bookmarkEnd w:id="10"/>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5"/>
        <w:spacing w:before="0" w:after="0" w:line="360" w:lineRule="auto"/>
        <w:jc w:val="left"/>
        <w:rPr>
          <w:rFonts w:ascii="宋体" w:hAnsi="宋体" w:cs="宋体"/>
          <w:color w:val="000000"/>
          <w:sz w:val="28"/>
          <w:szCs w:val="28"/>
          <w:lang w:val="zh-CN"/>
        </w:rPr>
      </w:pPr>
      <w:bookmarkStart w:id="11" w:name="_Toc42174772"/>
      <w:r>
        <w:rPr>
          <w:rFonts w:hint="eastAsia" w:ascii="宋体" w:hAnsi="宋体" w:cs="宋体"/>
          <w:color w:val="000000"/>
          <w:sz w:val="28"/>
          <w:szCs w:val="28"/>
          <w:lang w:val="zh-CN"/>
        </w:rPr>
        <w:t>5.招标文件、采购活动和中标结果的质疑</w:t>
      </w:r>
      <w:bookmarkEnd w:id="1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5"/>
        <w:spacing w:before="0" w:after="0" w:line="360" w:lineRule="auto"/>
        <w:jc w:val="left"/>
        <w:rPr>
          <w:rFonts w:ascii="宋体" w:hAnsi="宋体" w:cs="宋体"/>
          <w:color w:val="000000"/>
          <w:lang w:val="zh-CN"/>
        </w:rPr>
      </w:pPr>
      <w:bookmarkStart w:id="12" w:name="_Toc42174773"/>
      <w:r>
        <w:rPr>
          <w:rFonts w:hint="eastAsia" w:ascii="宋体" w:hAnsi="宋体" w:cs="宋体"/>
          <w:color w:val="000000"/>
          <w:sz w:val="28"/>
          <w:szCs w:val="28"/>
          <w:lang w:val="zh-CN"/>
        </w:rPr>
        <w:t>6.招标文件的澄清或修改</w:t>
      </w:r>
      <w:bookmarkEnd w:id="1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25"/>
        <w:spacing w:before="0" w:after="0" w:line="360" w:lineRule="auto"/>
        <w:rPr>
          <w:rFonts w:ascii="宋体" w:hAnsi="宋体" w:cs="宋体"/>
          <w:color w:val="000000"/>
        </w:rPr>
      </w:pPr>
      <w:bookmarkStart w:id="13" w:name="_Toc42174774"/>
      <w:r>
        <w:rPr>
          <w:rFonts w:hint="eastAsia" w:ascii="宋体" w:hAnsi="宋体" w:cs="宋体"/>
          <w:color w:val="000000"/>
          <w:lang w:val="zh-CN"/>
        </w:rPr>
        <w:t>三、投标文件的编制</w:t>
      </w:r>
      <w:bookmarkEnd w:id="13"/>
    </w:p>
    <w:p>
      <w:pPr>
        <w:pStyle w:val="25"/>
        <w:spacing w:before="0" w:after="0" w:line="360" w:lineRule="auto"/>
        <w:jc w:val="left"/>
        <w:rPr>
          <w:rFonts w:ascii="宋体" w:hAnsi="宋体" w:cs="宋体"/>
          <w:color w:val="000000"/>
          <w:lang w:val="zh-CN"/>
        </w:rPr>
      </w:pPr>
      <w:bookmarkStart w:id="14" w:name="_Toc42174775"/>
      <w:r>
        <w:rPr>
          <w:rFonts w:hint="eastAsia" w:ascii="宋体" w:hAnsi="宋体" w:cs="宋体"/>
          <w:color w:val="000000"/>
          <w:sz w:val="28"/>
          <w:szCs w:val="28"/>
          <w:lang w:val="zh-CN"/>
        </w:rPr>
        <w:t>7.投标文件的语言及度量衡单位</w:t>
      </w:r>
      <w:bookmarkEnd w:id="1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5"/>
        <w:spacing w:before="0" w:after="0" w:line="360" w:lineRule="auto"/>
        <w:jc w:val="left"/>
        <w:rPr>
          <w:rFonts w:ascii="宋体" w:hAnsi="宋体" w:cs="宋体"/>
          <w:color w:val="000000"/>
          <w:lang w:val="zh-CN"/>
        </w:rPr>
      </w:pPr>
      <w:bookmarkStart w:id="15" w:name="_Toc42174776"/>
      <w:r>
        <w:rPr>
          <w:rFonts w:hint="eastAsia" w:ascii="宋体" w:hAnsi="宋体" w:cs="宋体"/>
          <w:color w:val="000000"/>
          <w:sz w:val="28"/>
          <w:szCs w:val="28"/>
          <w:lang w:val="zh-CN"/>
        </w:rPr>
        <w:t>8.投标报价及币种</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投标报价为投标总价。投标报价必须包括：苗木费（材料费）、运输费、整地栽植费（人工费）、税金及不可预见费等全部费用。（说明：具体内容应根据项目特点实事求是的填写）</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5"/>
        <w:spacing w:before="0" w:after="0" w:line="360" w:lineRule="auto"/>
        <w:jc w:val="left"/>
        <w:rPr>
          <w:rFonts w:ascii="宋体" w:hAnsi="宋体" w:cs="宋体"/>
          <w:color w:val="000000"/>
          <w:lang w:val="zh-CN"/>
        </w:rPr>
      </w:pPr>
      <w:bookmarkStart w:id="16" w:name="_Toc42174777"/>
      <w:r>
        <w:rPr>
          <w:rFonts w:hint="eastAsia" w:ascii="宋体" w:hAnsi="宋体" w:cs="宋体"/>
          <w:color w:val="000000"/>
          <w:sz w:val="28"/>
          <w:szCs w:val="28"/>
          <w:lang w:val="zh-CN"/>
        </w:rPr>
        <w:t>9.投标保证金</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投标人须在投标截止期前按以下要求交纳投标保证金（说明：收取的投标保证金不得超过采购项目预算金额的2%）：</w:t>
      </w:r>
    </w:p>
    <w:p>
      <w:pPr>
        <w:autoSpaceDE w:val="0"/>
        <w:autoSpaceDN w:val="0"/>
        <w:spacing w:line="360" w:lineRule="auto"/>
        <w:ind w:firstLine="482" w:firstLineChars="200"/>
        <w:rPr>
          <w:rFonts w:ascii="宋体" w:hAnsi="宋体" w:cs="宋体"/>
          <w:kern w:val="0"/>
          <w:highlight w:val="none"/>
          <w:lang w:val="zh-CN"/>
        </w:rPr>
      </w:pPr>
      <w:r>
        <w:rPr>
          <w:rFonts w:hint="eastAsia" w:ascii="宋体" w:hAnsi="宋体" w:cs="宋体"/>
          <w:b/>
          <w:kern w:val="0"/>
          <w:highlight w:val="none"/>
          <w:lang w:val="zh-CN"/>
        </w:rPr>
        <w:t>投标保证金：</w:t>
      </w:r>
      <w:r>
        <w:rPr>
          <w:rFonts w:hint="eastAsia" w:ascii="宋体" w:hAnsi="宋体" w:cs="宋体"/>
          <w:b/>
          <w:kern w:val="0"/>
          <w:highlight w:val="none"/>
          <w:lang w:val="en-US" w:eastAsia="zh-CN"/>
        </w:rPr>
        <w:t>1</w:t>
      </w:r>
      <w:r>
        <w:rPr>
          <w:rFonts w:hint="eastAsia" w:ascii="宋体" w:hAnsi="宋体" w:cs="宋体"/>
          <w:b/>
          <w:kern w:val="0"/>
          <w:highlight w:val="none"/>
        </w:rPr>
        <w:t>50000</w:t>
      </w:r>
      <w:r>
        <w:rPr>
          <w:rFonts w:hint="eastAsia" w:ascii="宋体" w:hAnsi="宋体" w:cs="宋体"/>
          <w:b/>
          <w:kern w:val="0"/>
          <w:highlight w:val="none"/>
          <w:lang w:val="zh-CN"/>
        </w:rPr>
        <w:t xml:space="preserve">.00（小写） </w:t>
      </w:r>
      <w:r>
        <w:rPr>
          <w:rFonts w:hint="eastAsia" w:ascii="宋体" w:hAnsi="宋体" w:cs="宋体"/>
          <w:b/>
          <w:kern w:val="0"/>
          <w:highlight w:val="none"/>
          <w:lang w:val="en-US" w:eastAsia="zh-CN"/>
        </w:rPr>
        <w:t>壹拾</w:t>
      </w:r>
      <w:r>
        <w:rPr>
          <w:rFonts w:hint="eastAsia" w:ascii="宋体" w:hAnsi="宋体" w:cs="宋体"/>
          <w:b/>
          <w:kern w:val="0"/>
          <w:highlight w:val="none"/>
          <w:lang w:val="zh-CN"/>
        </w:rPr>
        <w:t>伍万元整（大写）</w:t>
      </w:r>
    </w:p>
    <w:p>
      <w:pPr>
        <w:autoSpaceDE w:val="0"/>
        <w:autoSpaceDN w:val="0"/>
        <w:spacing w:line="360" w:lineRule="auto"/>
        <w:ind w:firstLine="482" w:firstLineChars="200"/>
        <w:rPr>
          <w:rFonts w:hint="eastAsia" w:ascii="宋体" w:hAnsi="宋体" w:cs="宋体"/>
          <w:b/>
          <w:kern w:val="0"/>
          <w:highlight w:val="none"/>
          <w:lang w:val="zh-CN" w:eastAsia="zh-CN"/>
        </w:rPr>
      </w:pPr>
      <w:r>
        <w:rPr>
          <w:rFonts w:hint="eastAsia" w:ascii="宋体" w:hAnsi="宋体" w:cs="宋体"/>
          <w:b/>
          <w:bCs/>
          <w:kern w:val="0"/>
          <w:lang w:val="zh-CN"/>
        </w:rPr>
        <w:t>收款单位</w:t>
      </w:r>
      <w:r>
        <w:rPr>
          <w:rFonts w:hint="eastAsia" w:ascii="宋体" w:hAnsi="宋体" w:cs="宋体"/>
          <w:b/>
          <w:kern w:val="0"/>
          <w:highlight w:val="none"/>
          <w:lang w:val="zh-CN" w:eastAsia="zh-CN"/>
        </w:rPr>
        <w:t>：</w:t>
      </w:r>
      <w:r>
        <w:rPr>
          <w:rFonts w:hint="eastAsia" w:ascii="宋体" w:hAnsi="宋体" w:cs="宋体"/>
          <w:b/>
          <w:kern w:val="0"/>
          <w:highlight w:val="none"/>
          <w:lang w:val="en-US" w:eastAsia="zh-CN"/>
        </w:rPr>
        <w:t>海东市政务服务监督管理局保证金专户</w:t>
      </w:r>
    </w:p>
    <w:p>
      <w:pPr>
        <w:autoSpaceDE w:val="0"/>
        <w:autoSpaceDN w:val="0"/>
        <w:spacing w:line="360" w:lineRule="auto"/>
        <w:ind w:firstLine="482" w:firstLineChars="200"/>
        <w:rPr>
          <w:rFonts w:hint="eastAsia" w:ascii="宋体" w:hAnsi="宋体" w:cs="宋体"/>
          <w:b/>
          <w:kern w:val="0"/>
          <w:highlight w:val="none"/>
          <w:lang w:val="en-US" w:eastAsia="zh-CN"/>
        </w:rPr>
      </w:pPr>
      <w:r>
        <w:rPr>
          <w:rFonts w:hint="eastAsia" w:ascii="宋体" w:hAnsi="宋体" w:cs="宋体"/>
          <w:b/>
          <w:kern w:val="0"/>
          <w:highlight w:val="none"/>
          <w:lang w:val="zh-CN" w:eastAsia="zh-CN"/>
        </w:rPr>
        <w:t>开 户 行：</w:t>
      </w:r>
      <w:r>
        <w:rPr>
          <w:rFonts w:hint="eastAsia" w:ascii="宋体" w:hAnsi="宋体" w:cs="宋体"/>
          <w:b/>
          <w:kern w:val="0"/>
          <w:highlight w:val="none"/>
          <w:lang w:val="en-US" w:eastAsia="zh-CN"/>
        </w:rPr>
        <w:t>青海银行股份有限公司海东市分行（行号：313852316017）；</w:t>
      </w:r>
    </w:p>
    <w:p>
      <w:pPr>
        <w:autoSpaceDE w:val="0"/>
        <w:autoSpaceDN w:val="0"/>
        <w:spacing w:line="360" w:lineRule="auto"/>
        <w:ind w:firstLine="482" w:firstLineChars="200"/>
        <w:rPr>
          <w:rFonts w:hint="eastAsia" w:ascii="宋体" w:hAnsi="宋体" w:cs="宋体"/>
          <w:b/>
          <w:kern w:val="0"/>
          <w:highlight w:val="none"/>
          <w:lang w:val="zh-CN" w:eastAsia="zh-CN"/>
        </w:rPr>
      </w:pPr>
      <w:r>
        <w:rPr>
          <w:rFonts w:hint="eastAsia" w:ascii="宋体" w:hAnsi="宋体" w:cs="宋体"/>
          <w:b/>
          <w:kern w:val="0"/>
          <w:highlight w:val="none"/>
          <w:lang w:val="zh-CN" w:eastAsia="zh-CN"/>
        </w:rPr>
        <w:t>银行账号：</w:t>
      </w:r>
      <w:r>
        <w:rPr>
          <w:rFonts w:hint="eastAsia" w:ascii="宋体" w:hAnsi="宋体" w:cs="宋体"/>
          <w:b/>
          <w:kern w:val="0"/>
          <w:highlight w:val="none"/>
          <w:lang w:val="en-US" w:eastAsia="zh-CN"/>
        </w:rPr>
        <w:t>7779905201000426471</w:t>
      </w:r>
      <w:r>
        <w:rPr>
          <w:rFonts w:hint="eastAsia" w:ascii="宋体" w:hAnsi="宋体" w:cs="宋体"/>
          <w:b/>
          <w:kern w:val="0"/>
          <w:highlight w:val="none"/>
          <w:lang w:val="zh-CN" w:eastAsia="zh-CN"/>
        </w:rPr>
        <w:t>（保证金汇款，后附项目编号）</w:t>
      </w:r>
    </w:p>
    <w:p>
      <w:pPr>
        <w:autoSpaceDE w:val="0"/>
        <w:autoSpaceDN w:val="0"/>
        <w:spacing w:line="360" w:lineRule="auto"/>
        <w:ind w:firstLine="482" w:firstLineChars="200"/>
        <w:rPr>
          <w:rFonts w:hint="eastAsia" w:ascii="宋体" w:hAnsi="宋体" w:cs="宋体"/>
          <w:b/>
          <w:kern w:val="0"/>
          <w:highlight w:val="none"/>
          <w:lang w:val="zh-CN" w:eastAsia="zh-CN"/>
        </w:rPr>
      </w:pPr>
      <w:r>
        <w:rPr>
          <w:rFonts w:hint="eastAsia" w:ascii="宋体" w:hAnsi="宋体" w:cs="宋体"/>
          <w:b/>
          <w:kern w:val="0"/>
          <w:highlight w:val="none"/>
          <w:lang w:val="zh-CN" w:eastAsia="zh-CN"/>
        </w:rPr>
        <w:t>交纳时间：2022年</w:t>
      </w:r>
      <w:r>
        <w:rPr>
          <w:rFonts w:hint="eastAsia" w:ascii="宋体" w:hAnsi="宋体" w:cs="宋体"/>
          <w:b/>
          <w:kern w:val="0"/>
          <w:highlight w:val="none"/>
          <w:lang w:val="en-US" w:eastAsia="zh-CN"/>
        </w:rPr>
        <w:t>05</w:t>
      </w:r>
      <w:r>
        <w:rPr>
          <w:rFonts w:hint="eastAsia" w:ascii="宋体" w:hAnsi="宋体" w:cs="宋体"/>
          <w:b/>
          <w:kern w:val="0"/>
          <w:highlight w:val="none"/>
          <w:lang w:val="zh-CN" w:eastAsia="zh-CN"/>
        </w:rPr>
        <w:t>月</w:t>
      </w:r>
      <w:r>
        <w:rPr>
          <w:rFonts w:hint="eastAsia" w:ascii="宋体" w:hAnsi="宋体" w:cs="宋体"/>
          <w:b/>
          <w:kern w:val="0"/>
          <w:highlight w:val="none"/>
          <w:lang w:val="en-US" w:eastAsia="zh-CN"/>
        </w:rPr>
        <w:t>31</w:t>
      </w:r>
      <w:r>
        <w:rPr>
          <w:rFonts w:hint="eastAsia" w:ascii="宋体" w:hAnsi="宋体" w:cs="宋体"/>
          <w:b/>
          <w:kern w:val="0"/>
          <w:highlight w:val="none"/>
          <w:lang w:val="zh-CN" w:eastAsia="zh-CN"/>
        </w:rPr>
        <w:t>日</w:t>
      </w:r>
      <w:r>
        <w:rPr>
          <w:rFonts w:hint="eastAsia" w:ascii="宋体" w:hAnsi="宋体" w:cs="宋体"/>
          <w:b/>
          <w:kern w:val="0"/>
          <w:highlight w:val="none"/>
          <w:lang w:val="en-US" w:eastAsia="zh-CN"/>
        </w:rPr>
        <w:t>09</w:t>
      </w:r>
      <w:r>
        <w:rPr>
          <w:rFonts w:hint="eastAsia" w:ascii="宋体" w:hAnsi="宋体" w:cs="宋体"/>
          <w:b/>
          <w:kern w:val="0"/>
          <w:highlight w:val="none"/>
          <w:lang w:val="zh-CN" w:eastAsia="zh-CN"/>
        </w:rPr>
        <w:t>:00前，以银行到账时间为准。</w:t>
      </w:r>
      <w:bookmarkStart w:id="124" w:name="_GoBack"/>
      <w:bookmarkEnd w:id="12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pPr>
        <w:pStyle w:val="25"/>
        <w:spacing w:before="0" w:after="0" w:line="360" w:lineRule="auto"/>
        <w:jc w:val="left"/>
        <w:rPr>
          <w:rFonts w:ascii="宋体" w:hAnsi="宋体" w:cs="宋体"/>
          <w:color w:val="000000"/>
          <w:lang w:val="zh-CN"/>
        </w:rPr>
      </w:pPr>
      <w:bookmarkStart w:id="17" w:name="_Toc42174778"/>
      <w:r>
        <w:rPr>
          <w:rFonts w:hint="eastAsia" w:ascii="宋体" w:hAnsi="宋体" w:cs="宋体"/>
          <w:color w:val="000000"/>
          <w:sz w:val="28"/>
          <w:szCs w:val="28"/>
          <w:lang w:val="zh-CN"/>
        </w:rPr>
        <w:t>10.投标有效期</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w:t>
      </w:r>
      <w:r>
        <w:rPr>
          <w:rFonts w:hint="eastAsia" w:ascii="宋体" w:hAnsi="宋体" w:cs="宋体"/>
          <w:color w:val="000000"/>
          <w:kern w:val="0"/>
          <w:lang w:val="zh-CN"/>
        </w:rPr>
        <w:t>起</w:t>
      </w:r>
      <w:r>
        <w:rPr>
          <w:rFonts w:hint="eastAsia" w:ascii="宋体" w:hAnsi="宋体" w:cs="宋体"/>
          <w:color w:val="000000"/>
          <w:kern w:val="0"/>
        </w:rPr>
        <w:t>60</w:t>
      </w:r>
      <w:r>
        <w:rPr>
          <w:rFonts w:hint="eastAsia" w:ascii="宋体" w:hAnsi="宋体" w:cs="宋体"/>
          <w:color w:val="000000"/>
          <w:kern w:val="0"/>
          <w:lang w:val="zh-CN"/>
        </w:rPr>
        <w:t>日历日（说明：一般为</w:t>
      </w:r>
      <w:r>
        <w:rPr>
          <w:rFonts w:hint="eastAsia" w:ascii="宋体" w:hAnsi="宋体" w:cs="宋体"/>
          <w:color w:val="000000"/>
          <w:kern w:val="0"/>
        </w:rPr>
        <w:t>60天</w:t>
      </w:r>
      <w:r>
        <w:rPr>
          <w:rFonts w:hint="eastAsia" w:ascii="宋体" w:hAnsi="宋体" w:cs="宋体"/>
          <w:color w:val="000000"/>
          <w:kern w:val="0"/>
          <w:lang w:val="zh-CN"/>
        </w:rPr>
        <w:t>）。投标文件中承诺的投标有效期应当不少于招标文件中载明的投标有效期。</w:t>
      </w:r>
    </w:p>
    <w:p>
      <w:pPr>
        <w:pStyle w:val="25"/>
        <w:spacing w:before="0" w:after="0" w:line="360" w:lineRule="auto"/>
        <w:jc w:val="left"/>
        <w:rPr>
          <w:rFonts w:ascii="宋体" w:hAnsi="宋体" w:cs="宋体"/>
          <w:color w:val="000000"/>
          <w:lang w:val="zh-CN"/>
        </w:rPr>
      </w:pPr>
      <w:bookmarkStart w:id="18" w:name="_Toc42174779"/>
      <w:r>
        <w:rPr>
          <w:rFonts w:hint="eastAsia" w:ascii="宋体" w:hAnsi="宋体" w:cs="宋体"/>
          <w:color w:val="000000"/>
          <w:sz w:val="28"/>
          <w:szCs w:val="28"/>
          <w:lang w:val="zh-CN"/>
        </w:rPr>
        <w:t>11.投标文件构成</w:t>
      </w:r>
      <w:bookmarkEnd w:id="1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5"/>
        <w:spacing w:before="0" w:after="0" w:line="360" w:lineRule="auto"/>
        <w:jc w:val="left"/>
        <w:rPr>
          <w:rFonts w:ascii="宋体" w:hAnsi="宋体" w:cs="宋体"/>
          <w:color w:val="000000"/>
          <w:lang w:val="zh-CN"/>
        </w:rPr>
      </w:pPr>
      <w:bookmarkStart w:id="19" w:name="_Toc42174780"/>
      <w:r>
        <w:rPr>
          <w:rFonts w:hint="eastAsia" w:ascii="宋体" w:hAnsi="宋体" w:cs="宋体"/>
          <w:color w:val="000000"/>
          <w:sz w:val="28"/>
          <w:szCs w:val="28"/>
          <w:lang w:val="zh-CN"/>
        </w:rPr>
        <w:t>12.投标文件的编制要求</w:t>
      </w:r>
      <w:bookmarkEnd w:id="1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rPr>
        <w:t>4</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用U盘制作，采用不可修改文档格式（如：</w:t>
      </w:r>
      <w:r>
        <w:t>正本投标文件的PDF格式扫描件</w:t>
      </w:r>
      <w:r>
        <w:rPr>
          <w:rFonts w:hint="eastAsia" w:ascii="宋体" w:hAnsi="宋体" w:cs="宋体"/>
          <w:color w:val="000000"/>
          <w:kern w:val="0"/>
          <w:lang w:val="zh-CN"/>
        </w:rPr>
        <w:t>），内容必须和纸质投标文件正本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25"/>
        <w:spacing w:before="0" w:after="0" w:line="360" w:lineRule="auto"/>
        <w:rPr>
          <w:rFonts w:ascii="宋体" w:hAnsi="宋体" w:cs="宋体"/>
          <w:color w:val="000000"/>
        </w:rPr>
      </w:pPr>
      <w:bookmarkStart w:id="20" w:name="_Toc42174781"/>
      <w:r>
        <w:rPr>
          <w:rFonts w:hint="eastAsia" w:ascii="宋体" w:hAnsi="宋体" w:cs="宋体"/>
          <w:color w:val="000000"/>
          <w:lang w:val="zh-CN"/>
        </w:rPr>
        <w:t>四、投标文件的提交</w:t>
      </w:r>
      <w:bookmarkEnd w:id="20"/>
    </w:p>
    <w:p>
      <w:pPr>
        <w:pStyle w:val="25"/>
        <w:spacing w:before="0" w:after="0" w:line="360" w:lineRule="auto"/>
        <w:jc w:val="left"/>
        <w:rPr>
          <w:rFonts w:ascii="宋体" w:hAnsi="宋体" w:cs="宋体"/>
          <w:color w:val="000000"/>
          <w:lang w:val="zh-CN"/>
        </w:rPr>
      </w:pPr>
      <w:bookmarkStart w:id="21" w:name="_Toc42174782"/>
      <w:r>
        <w:rPr>
          <w:rFonts w:hint="eastAsia" w:ascii="宋体" w:hAnsi="宋体" w:cs="宋体"/>
          <w:color w:val="000000"/>
          <w:sz w:val="28"/>
          <w:szCs w:val="28"/>
          <w:lang w:val="zh-CN"/>
        </w:rPr>
        <w:t>13.投标文件的密封和标记</w:t>
      </w:r>
      <w:bookmarkEnd w:id="2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w:t>
      </w:r>
      <w:r>
        <w:rPr>
          <w:rFonts w:hint="eastAsia" w:ascii="宋体" w:hAnsi="宋体" w:cs="宋体"/>
          <w:kern w:val="0"/>
          <w:lang w:val="zh-CN"/>
        </w:rPr>
        <w:t>“于2022年05月</w:t>
      </w:r>
      <w:r>
        <w:rPr>
          <w:rFonts w:hint="eastAsia" w:ascii="宋体" w:hAnsi="宋体" w:cs="宋体"/>
          <w:kern w:val="0"/>
          <w:lang w:val="en-US" w:eastAsia="zh-CN"/>
        </w:rPr>
        <w:t>31</w:t>
      </w:r>
      <w:r>
        <w:rPr>
          <w:rFonts w:hint="eastAsia" w:ascii="宋体" w:hAnsi="宋体" w:cs="宋体"/>
          <w:kern w:val="0"/>
          <w:lang w:val="zh-CN"/>
        </w:rPr>
        <w:t>日</w:t>
      </w:r>
      <w:r>
        <w:rPr>
          <w:rFonts w:hint="eastAsia" w:ascii="宋体" w:hAnsi="宋体" w:cs="宋体"/>
          <w:kern w:val="0"/>
          <w:highlight w:val="none"/>
          <w:lang w:val="en-US" w:eastAsia="zh-CN"/>
        </w:rPr>
        <w:t>09</w:t>
      </w:r>
      <w:r>
        <w:rPr>
          <w:rFonts w:hint="eastAsia" w:ascii="宋体" w:hAnsi="宋体" w:cs="宋体"/>
          <w:kern w:val="0"/>
          <w:highlight w:val="none"/>
          <w:lang w:val="zh-CN"/>
        </w:rPr>
        <w:t>时00分</w:t>
      </w:r>
      <w:r>
        <w:rPr>
          <w:rFonts w:hint="eastAsia" w:ascii="宋体" w:hAnsi="宋体" w:cs="宋体"/>
          <w:kern w:val="0"/>
          <w:lang w:val="zh-CN"/>
        </w:rPr>
        <w:t>（北京时间）之前</w:t>
      </w:r>
      <w:r>
        <w:rPr>
          <w:rFonts w:hint="eastAsia" w:ascii="宋体" w:hAnsi="宋体" w:cs="宋体"/>
          <w:color w:val="000000"/>
          <w:kern w:val="0"/>
          <w:lang w:val="zh-CN"/>
        </w:rPr>
        <w:t>不准启封”的标签密封。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25"/>
        <w:spacing w:before="0" w:after="0" w:line="360" w:lineRule="auto"/>
        <w:jc w:val="left"/>
        <w:rPr>
          <w:rFonts w:ascii="宋体" w:hAnsi="宋体" w:cs="宋体"/>
          <w:color w:val="000000"/>
          <w:lang w:val="zh-CN"/>
        </w:rPr>
      </w:pPr>
      <w:bookmarkStart w:id="22" w:name="_Toc42174783"/>
      <w:r>
        <w:rPr>
          <w:rFonts w:hint="eastAsia" w:ascii="宋体" w:hAnsi="宋体" w:cs="宋体"/>
          <w:color w:val="000000"/>
          <w:sz w:val="28"/>
          <w:szCs w:val="28"/>
          <w:lang w:val="zh-CN"/>
        </w:rPr>
        <w:t>14.提交投标文件的时间、地点、方式</w:t>
      </w:r>
      <w:bookmarkEnd w:id="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25"/>
        <w:spacing w:before="0" w:after="0" w:line="360" w:lineRule="auto"/>
        <w:jc w:val="left"/>
        <w:rPr>
          <w:rFonts w:ascii="宋体" w:hAnsi="宋体" w:cs="宋体"/>
          <w:color w:val="000000"/>
          <w:lang w:val="zh-CN"/>
        </w:rPr>
      </w:pPr>
      <w:bookmarkStart w:id="23" w:name="_Toc42174784"/>
      <w:r>
        <w:rPr>
          <w:rFonts w:hint="eastAsia" w:ascii="宋体" w:hAnsi="宋体" w:cs="宋体"/>
          <w:color w:val="000000"/>
          <w:sz w:val="28"/>
          <w:szCs w:val="28"/>
          <w:lang w:val="zh-CN"/>
        </w:rPr>
        <w:t>15.投标文件的补充、修改或者撤回</w:t>
      </w:r>
      <w:bookmarkEnd w:id="2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5"/>
        <w:spacing w:before="0" w:after="0" w:line="360" w:lineRule="auto"/>
        <w:rPr>
          <w:rFonts w:ascii="宋体" w:hAnsi="宋体" w:cs="宋体"/>
          <w:color w:val="auto"/>
          <w:highlight w:val="none"/>
        </w:rPr>
      </w:pPr>
      <w:bookmarkStart w:id="24" w:name="_Toc42174785"/>
      <w:r>
        <w:rPr>
          <w:rFonts w:hint="eastAsia" w:ascii="宋体" w:hAnsi="宋体" w:cs="宋体"/>
          <w:color w:val="auto"/>
          <w:highlight w:val="none"/>
          <w:lang w:val="zh-CN"/>
        </w:rPr>
        <w:t>五、开标</w:t>
      </w:r>
      <w:bookmarkEnd w:id="24"/>
    </w:p>
    <w:p>
      <w:pPr>
        <w:pStyle w:val="25"/>
        <w:spacing w:before="0" w:after="0" w:line="360" w:lineRule="auto"/>
        <w:jc w:val="left"/>
        <w:rPr>
          <w:rFonts w:ascii="宋体" w:hAnsi="宋体" w:cs="宋体"/>
          <w:color w:val="000000"/>
          <w:lang w:val="zh-CN"/>
        </w:rPr>
      </w:pPr>
      <w:bookmarkStart w:id="25" w:name="_Toc42174786"/>
      <w:r>
        <w:rPr>
          <w:rFonts w:hint="eastAsia" w:ascii="宋体" w:hAnsi="宋体" w:cs="宋体"/>
          <w:color w:val="000000"/>
          <w:sz w:val="28"/>
          <w:szCs w:val="28"/>
          <w:lang w:val="zh-CN"/>
        </w:rPr>
        <w:t>16.开标</w:t>
      </w:r>
      <w:bookmarkEnd w:id="2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25"/>
        <w:spacing w:before="0" w:after="0" w:line="360" w:lineRule="auto"/>
        <w:rPr>
          <w:rFonts w:ascii="宋体" w:hAnsi="宋体" w:cs="宋体"/>
          <w:color w:val="000000"/>
          <w:kern w:val="0"/>
        </w:rPr>
      </w:pPr>
      <w:bookmarkStart w:id="26" w:name="_Toc42174787"/>
      <w:bookmarkStart w:id="27" w:name="_Toc496004006"/>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6"/>
      <w:bookmarkEnd w:id="27"/>
    </w:p>
    <w:p>
      <w:pPr>
        <w:pStyle w:val="25"/>
        <w:spacing w:before="0" w:after="0" w:line="360" w:lineRule="auto"/>
        <w:jc w:val="left"/>
        <w:rPr>
          <w:rFonts w:ascii="宋体" w:hAnsi="宋体" w:cs="宋体"/>
          <w:color w:val="000000"/>
          <w:sz w:val="28"/>
          <w:szCs w:val="28"/>
        </w:rPr>
      </w:pPr>
      <w:bookmarkStart w:id="28" w:name="_Toc42174788"/>
      <w:r>
        <w:rPr>
          <w:rFonts w:hint="eastAsia" w:ascii="宋体" w:hAnsi="宋体" w:cs="宋体"/>
          <w:color w:val="000000"/>
          <w:sz w:val="28"/>
          <w:szCs w:val="28"/>
        </w:rPr>
        <w:t>17.资格审查</w:t>
      </w:r>
      <w:bookmarkEnd w:id="28"/>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9" w:name="_Toc30809"/>
      <w:bookmarkStart w:id="30" w:name="_Toc497503315"/>
      <w:bookmarkStart w:id="31" w:name="_Toc497503516"/>
      <w:bookmarkStart w:id="32" w:name="_Toc497503249"/>
      <w:bookmarkStart w:id="33" w:name="_Toc497503449"/>
      <w:r>
        <w:rPr>
          <w:rFonts w:hint="eastAsia" w:ascii="宋体" w:hAnsi="宋体" w:cs="宋体"/>
          <w:color w:val="000000"/>
          <w:kern w:val="0"/>
        </w:rPr>
        <w:t>17.3 资格审查时，投标人存在下列情况之一的，按无效投标处理：</w:t>
      </w:r>
      <w:bookmarkEnd w:id="29"/>
      <w:bookmarkEnd w:id="30"/>
      <w:bookmarkEnd w:id="31"/>
      <w:bookmarkEnd w:id="32"/>
      <w:bookmarkEnd w:id="33"/>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5"/>
        <w:spacing w:before="0" w:after="0" w:line="360" w:lineRule="auto"/>
        <w:rPr>
          <w:rFonts w:ascii="宋体" w:hAnsi="宋体" w:cs="宋体"/>
          <w:color w:val="000000"/>
        </w:rPr>
      </w:pPr>
      <w:bookmarkStart w:id="34" w:name="_Toc42174789"/>
      <w:r>
        <w:rPr>
          <w:rFonts w:hint="eastAsia" w:ascii="宋体" w:hAnsi="宋体" w:cs="宋体"/>
          <w:color w:val="000000"/>
          <w:lang w:val="zh-CN"/>
        </w:rPr>
        <w:t>七、评审程序及方法</w:t>
      </w:r>
      <w:bookmarkEnd w:id="34"/>
    </w:p>
    <w:p>
      <w:pPr>
        <w:pStyle w:val="25"/>
        <w:spacing w:before="0" w:after="0" w:line="360" w:lineRule="auto"/>
        <w:jc w:val="left"/>
        <w:rPr>
          <w:rFonts w:ascii="宋体" w:hAnsi="宋体" w:cs="宋体"/>
          <w:color w:val="000000"/>
          <w:lang w:val="zh-CN"/>
        </w:rPr>
      </w:pPr>
      <w:bookmarkStart w:id="35" w:name="_Toc42174790"/>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pPr>
        <w:pStyle w:val="25"/>
        <w:spacing w:before="0" w:after="0" w:line="360" w:lineRule="auto"/>
        <w:jc w:val="left"/>
        <w:rPr>
          <w:rFonts w:ascii="宋体" w:hAnsi="宋体" w:cs="宋体"/>
          <w:color w:val="000000"/>
          <w:lang w:val="zh-CN"/>
        </w:rPr>
      </w:pPr>
      <w:bookmarkStart w:id="36" w:name="_Toc42174791"/>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6"/>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.1</w:t>
      </w:r>
      <w:r>
        <w:rPr>
          <w:rFonts w:hint="eastAsia" w:ascii="宋体" w:hAnsi="宋体" w:cs="宋体"/>
          <w:color w:val="000000"/>
          <w:lang w:val="zh-CN"/>
        </w:rPr>
        <w:t>（1）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w:t>
      </w:r>
      <w:r>
        <w:rPr>
          <w:rFonts w:hint="eastAsia" w:ascii="宋体" w:hAnsi="宋体" w:cs="宋体"/>
          <w:color w:val="000000"/>
        </w:rPr>
        <w:t>0</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4"/>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5"/>
        <w:spacing w:before="0" w:after="0" w:line="360" w:lineRule="auto"/>
        <w:jc w:val="left"/>
        <w:rPr>
          <w:rFonts w:ascii="宋体" w:hAnsi="宋体" w:cs="宋体"/>
          <w:color w:val="000000"/>
          <w:sz w:val="28"/>
          <w:szCs w:val="28"/>
          <w:lang w:val="zh-CN"/>
        </w:rPr>
      </w:pPr>
      <w:bookmarkStart w:id="37" w:name="_Toc42174792"/>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采用</w:t>
      </w:r>
      <w:r>
        <w:rPr>
          <w:rFonts w:hint="eastAsia" w:ascii="宋体" w:hAnsi="宋体" w:cs="宋体"/>
          <w:b/>
          <w:bCs/>
          <w:color w:val="000000"/>
          <w:kern w:val="0"/>
          <w:lang w:val="zh-CN"/>
        </w:rPr>
        <w:t>综合评分法</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8"/>
        <w:tblW w:w="4909" w:type="pct"/>
        <w:tblInd w:w="152" w:type="dxa"/>
        <w:tblLayout w:type="autofit"/>
        <w:tblCellMar>
          <w:top w:w="15" w:type="dxa"/>
          <w:left w:w="15" w:type="dxa"/>
          <w:bottom w:w="15" w:type="dxa"/>
          <w:right w:w="15" w:type="dxa"/>
        </w:tblCellMar>
      </w:tblPr>
      <w:tblGrid>
        <w:gridCol w:w="1098"/>
        <w:gridCol w:w="7601"/>
        <w:gridCol w:w="899"/>
      </w:tblGrid>
      <w:tr>
        <w:tblPrEx>
          <w:tblCellMar>
            <w:top w:w="15" w:type="dxa"/>
            <w:left w:w="15" w:type="dxa"/>
            <w:bottom w:w="15" w:type="dxa"/>
            <w:right w:w="15" w:type="dxa"/>
          </w:tblCellMar>
        </w:tblPrEx>
        <w:trPr>
          <w:trHeight w:val="429" w:hRule="atLeast"/>
        </w:trPr>
        <w:tc>
          <w:tcPr>
            <w:tcW w:w="572"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类别</w:t>
            </w:r>
          </w:p>
        </w:tc>
        <w:tc>
          <w:tcPr>
            <w:tcW w:w="3958"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评分标准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分值</w:t>
            </w:r>
          </w:p>
        </w:tc>
      </w:tr>
      <w:tr>
        <w:tblPrEx>
          <w:tblCellMar>
            <w:top w:w="15" w:type="dxa"/>
            <w:left w:w="15" w:type="dxa"/>
            <w:bottom w:w="15" w:type="dxa"/>
            <w:right w:w="15" w:type="dxa"/>
          </w:tblCellMar>
        </w:tblPrEx>
        <w:trPr>
          <w:trHeight w:val="510" w:hRule="atLeast"/>
        </w:trPr>
        <w:tc>
          <w:tcPr>
            <w:tcW w:w="572"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投标价格(10分)</w:t>
            </w:r>
          </w:p>
        </w:tc>
        <w:tc>
          <w:tcPr>
            <w:tcW w:w="395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（1）服务项目的价格分值占总分值的比重的 10%。 </w:t>
            </w:r>
          </w:p>
          <w:p>
            <w:pPr>
              <w:widowControl/>
              <w:jc w:val="left"/>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（2）价格分应当采用低价优先法计算，即满足招标文件要求且投标 </w:t>
            </w:r>
          </w:p>
          <w:p>
            <w:pPr>
              <w:widowControl/>
              <w:jc w:val="left"/>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价格最低的投标报价为评标基准价，其价格分为满分。其他投标人的 </w:t>
            </w:r>
          </w:p>
          <w:p>
            <w:pPr>
              <w:widowControl/>
              <w:jc w:val="left"/>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价格分统一按照下列公式计算：投标报价得分=(评标基准价／投标报价)×100×投标报价比重 </w:t>
            </w:r>
          </w:p>
          <w:p>
            <w:pPr>
              <w:widowControl/>
              <w:jc w:val="left"/>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（3）因落实政府采购政策进行价格调整的，以调整后的价格计算评 </w:t>
            </w:r>
          </w:p>
          <w:p>
            <w:pPr>
              <w:widowControl/>
              <w:jc w:val="left"/>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标基准价和投标报价。残疾人福利性单位属于小型、微型企业的，不重复享受政策。（注：根据《政府采购促进中小企业发展暂行办法》的相关规定，对小型和微型企业制造（生产）产品的价格给予 6%的扣除，用扣除后的价格参与评审） </w:t>
            </w:r>
          </w:p>
          <w:p>
            <w:pPr>
              <w:widowControl/>
              <w:jc w:val="left"/>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（4）执行国家统一定价标准和采用固定价格采购的项目，其价格不 </w:t>
            </w:r>
          </w:p>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列为评审因素。 </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10分</w:t>
            </w:r>
          </w:p>
        </w:tc>
      </w:tr>
      <w:tr>
        <w:tblPrEx>
          <w:tblCellMar>
            <w:top w:w="15" w:type="dxa"/>
            <w:left w:w="15" w:type="dxa"/>
            <w:bottom w:w="15" w:type="dxa"/>
            <w:right w:w="15" w:type="dxa"/>
          </w:tblCellMar>
        </w:tblPrEx>
        <w:trPr>
          <w:trHeight w:val="765" w:hRule="atLeast"/>
        </w:trPr>
        <w:tc>
          <w:tcPr>
            <w:tcW w:w="57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技术部分(40分)</w:t>
            </w:r>
          </w:p>
        </w:tc>
        <w:tc>
          <w:tcPr>
            <w:tcW w:w="3958" w:type="pct"/>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投标人产品技术参数明确、配置齐全，规格、功能齐全，满足招标文件技术参数要求，并能够提供要求的功能截图、测试报告等相关证明资料，全部满足招标文件技术要求得20分。每有一项不满足的扣2分，扣完为止。</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20分</w:t>
            </w:r>
          </w:p>
        </w:tc>
      </w:tr>
      <w:tr>
        <w:tblPrEx>
          <w:tblCellMar>
            <w:top w:w="15" w:type="dxa"/>
            <w:left w:w="15" w:type="dxa"/>
            <w:bottom w:w="15" w:type="dxa"/>
            <w:right w:w="15" w:type="dxa"/>
          </w:tblCellMar>
        </w:tblPrEx>
        <w:trPr>
          <w:trHeight w:val="2775" w:hRule="atLeast"/>
        </w:trPr>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3958" w:type="pct"/>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项目技术方案：围绕医院信息互联互通标准化成熟度测评标准，结合本次建设内容，技术方案需包含投标人对医院信息化现状充分的认识与理解、重点和难点问题分析、项目总体目标、项目需求、技术功能、与现有核心业务系统融合等方面，进行总体框架设计、业务模式设计、标准规范体系设计、数据中心扩容设计等，并能够充分结合医院实际现状提供技术方案。</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整体方案围绕医院信息互联互通标准化成熟度测评，设计先进合理、目标清晰、内容完整，重点和难点问题分析透彻。对招标文件技术要求及技术关键点进行响应。能充分结合医院实际情况进行规划，并能够提出本院信息互联互通标准测评方面实质性指导意见的，得10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2）整体方案围绕医院信息互联互通标准化成熟度测评，设计内容完整、目标基本达成，但结合医院实际情况不足，响应招标文件技术要求及技术关键点，得7分；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3）各项设计完整，整体设计内容简单、基本满足项目基本需求、但结合医院实际情况不足，得4分；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4）未响应招标文件技术要求及技术关键点，方案严重与医院实际情况不符的，不得分。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10分</w:t>
            </w:r>
          </w:p>
        </w:tc>
      </w:tr>
      <w:tr>
        <w:tblPrEx>
          <w:tblCellMar>
            <w:top w:w="15" w:type="dxa"/>
            <w:left w:w="15" w:type="dxa"/>
            <w:bottom w:w="15" w:type="dxa"/>
            <w:right w:w="15" w:type="dxa"/>
          </w:tblCellMar>
        </w:tblPrEx>
        <w:trPr>
          <w:trHeight w:val="2280" w:hRule="atLeast"/>
        </w:trPr>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tc>
        <w:tc>
          <w:tcPr>
            <w:tcW w:w="3958" w:type="pct"/>
            <w:tcBorders>
              <w:top w:val="single" w:color="000000" w:sz="4" w:space="0"/>
              <w:left w:val="single" w:color="auto" w:sz="4" w:space="0"/>
              <w:bottom w:val="single" w:color="000000" w:sz="4" w:space="0"/>
              <w:right w:val="single" w:color="000000" w:sz="4" w:space="0"/>
            </w:tcBorders>
            <w:noWrap w:val="0"/>
            <w:vAlign w:val="top"/>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3.项目管理及实施方案：针对本项目制定项目管理方案、人员配置方案、质量保障及实施管理方案是否科学、内容是否全面、是否有针对性及是否满足院方实际建设需求等进行综合评定：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1）项目管理制度健全，实施方案科学、合理，人员配置齐全、搭配合理、质量保障措施完善，并对项目实施进度有详尽的施工规划，进度计划完整、切实、合理、衔接紧密，结合项目实际现状针对性强的得10分；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2）项目管理制度较健全，实施方案基本合理内容较完整，人员配置齐全、质量保障措施较完善，承诺能够按时完成各项任务，进度计划笼统不全面、进度衔接不紧密，结合项目实际现状针对性不强的得7分；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3）项目管理制度不健全，实施方案基本合理内容不完整，人员配置基本满足、质量保障措实施可行性差，进度计划不能保证能按时完成各项任务或保障措施存在明显不足，结合项目实际现状针对性差的得4分；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4）未提供方案不得分。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10分</w:t>
            </w:r>
          </w:p>
        </w:tc>
      </w:tr>
      <w:tr>
        <w:tblPrEx>
          <w:tblCellMar>
            <w:top w:w="15" w:type="dxa"/>
            <w:left w:w="15" w:type="dxa"/>
            <w:bottom w:w="15" w:type="dxa"/>
            <w:right w:w="15" w:type="dxa"/>
          </w:tblCellMar>
        </w:tblPrEx>
        <w:trPr>
          <w:trHeight w:val="408" w:hRule="atLeast"/>
        </w:trPr>
        <w:tc>
          <w:tcPr>
            <w:tcW w:w="572"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履约保障能力（28分）</w:t>
            </w:r>
          </w:p>
        </w:tc>
        <w:tc>
          <w:tcPr>
            <w:tcW w:w="3958"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1.投标人综合能力：</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1）具有软件能力成熟度（CMMI ）认证，5 级得 2分，4 级得1分，3 级得0.5分，</w:t>
            </w:r>
            <w:r>
              <w:rPr>
                <w:rFonts w:hint="eastAsia" w:ascii="宋体" w:hAnsi="宋体" w:cs="宋体"/>
                <w:color w:val="000000"/>
                <w:kern w:val="0"/>
                <w:sz w:val="24"/>
                <w:szCs w:val="24"/>
                <w:lang w:val="en-US" w:eastAsia="zh-CN" w:bidi="ar"/>
              </w:rPr>
              <w:t>不提供</w:t>
            </w:r>
            <w:r>
              <w:rPr>
                <w:rFonts w:hint="eastAsia" w:ascii="宋体" w:hAnsi="宋体" w:eastAsia="宋体" w:cs="宋体"/>
                <w:color w:val="000000"/>
                <w:kern w:val="0"/>
                <w:sz w:val="24"/>
                <w:szCs w:val="24"/>
                <w:lang w:bidi="ar"/>
              </w:rPr>
              <w:t>不得分。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2）具有ISO9001认证、信息安全管理体系认证证书（ISO27001），每提供一个得0.5分，共1分，不提供不得分。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3）具有高新技术企业认证、软件企业认定证书，每提供一个得0.5分，共1分，不提供不得分。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须提供以上证书复印件并加盖投标人公章。</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4分</w:t>
            </w:r>
          </w:p>
        </w:tc>
      </w:tr>
      <w:tr>
        <w:tblPrEx>
          <w:tblCellMar>
            <w:top w:w="15" w:type="dxa"/>
            <w:left w:w="15" w:type="dxa"/>
            <w:bottom w:w="15" w:type="dxa"/>
            <w:right w:w="15" w:type="dxa"/>
          </w:tblCellMar>
        </w:tblPrEx>
        <w:trPr>
          <w:trHeight w:val="1020" w:hRule="atLeast"/>
        </w:trPr>
        <w:tc>
          <w:tcPr>
            <w:tcW w:w="572"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3958"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2.投标人自主研发的如下著作权证书：</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医院信息平台系统、临床数据管理系统、医疗服务总线系统、医院管理决策支持系统、患者主索引系统、主数据管理系统、数据治理平台系统、数据标准管理系统、数据可视化分析系统、HL7引擎系统；全部提供得16分。缺一项扣2分，扣完为止。软件著作权证书中的产品名称可略不同，但需具备同等功能，提供复印件加盖公章。</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16分</w:t>
            </w:r>
          </w:p>
        </w:tc>
      </w:tr>
      <w:tr>
        <w:tblPrEx>
          <w:tblCellMar>
            <w:top w:w="15" w:type="dxa"/>
            <w:left w:w="15" w:type="dxa"/>
            <w:bottom w:w="15" w:type="dxa"/>
            <w:right w:w="15" w:type="dxa"/>
          </w:tblCellMar>
        </w:tblPrEx>
        <w:trPr>
          <w:trHeight w:val="1635" w:hRule="atLeast"/>
        </w:trPr>
        <w:tc>
          <w:tcPr>
            <w:tcW w:w="572"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395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3.投标人所实施项目已通过“医院信息互联互通标准化成熟度”测评相关业绩案例：</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1）具有五级乙等案例，每提供1家案例，得1分，最多得2分；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2）具有四级甲等案例，每提供1家案例，得1分，最多得2分；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3）未提供不得分。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（以上案例不得重复，提供相关案例合同复印件及案例客户通过测评等级的证明材料复印件）</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4分</w:t>
            </w:r>
          </w:p>
        </w:tc>
      </w:tr>
      <w:tr>
        <w:tblPrEx>
          <w:tblCellMar>
            <w:top w:w="15" w:type="dxa"/>
            <w:left w:w="15" w:type="dxa"/>
            <w:bottom w:w="15" w:type="dxa"/>
            <w:right w:w="15" w:type="dxa"/>
          </w:tblCellMar>
        </w:tblPrEx>
        <w:trPr>
          <w:trHeight w:val="1605" w:hRule="atLeast"/>
        </w:trPr>
        <w:tc>
          <w:tcPr>
            <w:tcW w:w="572"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3958"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4.项目团队：</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1）项目经理具有三个互联互通四级甲等或以上，</w:t>
            </w:r>
            <w:r>
              <w:rPr>
                <w:rFonts w:hint="eastAsia" w:ascii="宋体" w:hAnsi="宋体" w:eastAsia="宋体" w:cs="宋体"/>
                <w:kern w:val="0"/>
                <w:sz w:val="24"/>
                <w:szCs w:val="24"/>
                <w:lang w:bidi="ar"/>
              </w:rPr>
              <w:t>并成功通过评审的管理和实施经验的得2分；</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 xml:space="preserve"> 2）项目团队中需具有信息系统项目管理师1人、系统分析师1人、系统架构师1人、信息安全工程师1人、数据库认证工程师1人，全部满足得2分，不满足一项扣一分，扣完为止（一人一证不重复计分）；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3）未提供上述材料不得分。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备注：提供项目经理相关经验证明材料及所有人员近半年内连续三个月社会保障资金缴纳证明。</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4分</w:t>
            </w:r>
          </w:p>
        </w:tc>
      </w:tr>
      <w:tr>
        <w:tblPrEx>
          <w:tblCellMar>
            <w:top w:w="15" w:type="dxa"/>
            <w:left w:w="15" w:type="dxa"/>
            <w:bottom w:w="15" w:type="dxa"/>
            <w:right w:w="15" w:type="dxa"/>
          </w:tblCellMar>
        </w:tblPrEx>
        <w:trPr>
          <w:trHeight w:val="1620" w:hRule="atLeast"/>
        </w:trPr>
        <w:tc>
          <w:tcPr>
            <w:tcW w:w="572"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售后服务及培训(22分)</w:t>
            </w:r>
          </w:p>
        </w:tc>
        <w:tc>
          <w:tcPr>
            <w:tcW w:w="3958"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4.应急保障方案:</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根据平台运行中可能发生的故障问题提供有效可行的应急保障方案，以保障平台正常稳定运行，以是否满足院方实际业务运行需求等进行综合评定。</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1）对平台的应用安全、应急保障方面提出了切实可行的措施和解决方案得6分；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2）对平台的应急提出的措施和解决方案简单，可行性较差得2分；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3）对平台的应急提出的措施和解决方案与项目实际情况不符的不得分。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6分</w:t>
            </w:r>
          </w:p>
        </w:tc>
      </w:tr>
      <w:tr>
        <w:tblPrEx>
          <w:tblCellMar>
            <w:top w:w="15" w:type="dxa"/>
            <w:left w:w="15" w:type="dxa"/>
            <w:bottom w:w="15" w:type="dxa"/>
            <w:right w:w="15" w:type="dxa"/>
          </w:tblCellMar>
        </w:tblPrEx>
        <w:trPr>
          <w:trHeight w:val="1215" w:hRule="atLeast"/>
        </w:trPr>
        <w:tc>
          <w:tcPr>
            <w:tcW w:w="572"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3958"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1.售后服务方案内容包括但不限于服务流程、故障解决响应时间、服务内容的全面性等方面进行综合评分。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1）方案详实充分，针对性强的计6分；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2）方案内容充分，但针对性不强的计2分；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3）方案内容叙述简单且无针对性的不得分；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6分</w:t>
            </w:r>
          </w:p>
        </w:tc>
      </w:tr>
      <w:tr>
        <w:tblPrEx>
          <w:tblCellMar>
            <w:top w:w="15" w:type="dxa"/>
            <w:left w:w="15" w:type="dxa"/>
            <w:bottom w:w="15" w:type="dxa"/>
            <w:right w:w="15" w:type="dxa"/>
          </w:tblCellMar>
        </w:tblPrEx>
        <w:trPr>
          <w:trHeight w:val="550" w:hRule="atLeast"/>
        </w:trPr>
        <w:tc>
          <w:tcPr>
            <w:tcW w:w="572"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3958" w:type="pct"/>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2.根据本项目培训需求提供具体可行的培训方案：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1）培训方案结合项目实际现状，内容完整，培训计划详细得5分；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2）培训方案基本完整，培训计划有针对性的得2分；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3）培训方案简单，内容不完整，培训计划针对性弱的不得分；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4）未提供方案不得分。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5分</w:t>
            </w:r>
          </w:p>
        </w:tc>
      </w:tr>
      <w:tr>
        <w:tblPrEx>
          <w:tblCellMar>
            <w:top w:w="15" w:type="dxa"/>
            <w:left w:w="15" w:type="dxa"/>
            <w:bottom w:w="15" w:type="dxa"/>
            <w:right w:w="15" w:type="dxa"/>
          </w:tblCellMar>
        </w:tblPrEx>
        <w:trPr>
          <w:trHeight w:val="1717" w:hRule="atLeast"/>
        </w:trPr>
        <w:tc>
          <w:tcPr>
            <w:tcW w:w="572" w:type="pct"/>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395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3.投标人</w:t>
            </w:r>
            <w:r>
              <w:rPr>
                <w:rFonts w:hint="eastAsia" w:ascii="宋体" w:hAnsi="宋体" w:eastAsia="宋体" w:cs="宋体"/>
                <w:color w:val="000000"/>
                <w:kern w:val="0"/>
                <w:sz w:val="24"/>
                <w:szCs w:val="24"/>
                <w:lang w:eastAsia="zh-Hans" w:bidi="ar"/>
              </w:rPr>
              <w:t>本地化</w:t>
            </w:r>
            <w:r>
              <w:rPr>
                <w:rFonts w:hint="eastAsia" w:ascii="宋体" w:hAnsi="宋体" w:eastAsia="宋体" w:cs="宋体"/>
                <w:color w:val="000000"/>
                <w:kern w:val="0"/>
                <w:sz w:val="24"/>
                <w:szCs w:val="24"/>
                <w:lang w:bidi="ar"/>
              </w:rPr>
              <w:t>售后服务能力</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需提供不少于10人缴纳社保的证明材料）</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1）在</w:t>
            </w:r>
            <w:r>
              <w:rPr>
                <w:rFonts w:hint="eastAsia" w:ascii="宋体" w:hAnsi="宋体" w:eastAsia="宋体" w:cs="宋体"/>
                <w:color w:val="000000"/>
                <w:kern w:val="0"/>
                <w:sz w:val="24"/>
                <w:szCs w:val="24"/>
                <w:lang w:eastAsia="zh-Hans" w:bidi="ar"/>
              </w:rPr>
              <w:t>青海省</w:t>
            </w:r>
            <w:r>
              <w:rPr>
                <w:rFonts w:hint="eastAsia" w:ascii="宋体" w:hAnsi="宋体" w:eastAsia="宋体" w:cs="宋体"/>
                <w:color w:val="000000"/>
                <w:kern w:val="0"/>
                <w:sz w:val="24"/>
                <w:szCs w:val="24"/>
                <w:lang w:bidi="ar"/>
              </w:rPr>
              <w:t>设有服务机构，并提供证明材料，满足要求得5分，否则不得分；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2）承诺成立售后服务机构的得1分；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3）没有的不得分。</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5分</w:t>
            </w:r>
          </w:p>
        </w:tc>
      </w:tr>
    </w:tbl>
    <w:p>
      <w:pPr>
        <w:autoSpaceDE w:val="0"/>
        <w:autoSpaceDN w:val="0"/>
        <w:spacing w:line="360" w:lineRule="auto"/>
        <w:ind w:firstLine="480" w:firstLineChars="200"/>
        <w:rPr>
          <w:rFonts w:ascii="宋体" w:hAnsi="宋体" w:cs="宋体"/>
          <w:color w:val="000000"/>
          <w:shd w:val="clear" w:color="auto" w:fill="FFFFFF"/>
        </w:rPr>
      </w:pP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25"/>
        <w:spacing w:before="0" w:after="0" w:line="360" w:lineRule="auto"/>
        <w:rPr>
          <w:rFonts w:ascii="宋体" w:hAnsi="宋体" w:cs="宋体"/>
          <w:color w:val="000000"/>
          <w:lang w:val="zh-CN"/>
        </w:rPr>
      </w:pPr>
      <w:bookmarkStart w:id="38" w:name="_Toc42174793"/>
      <w:r>
        <w:rPr>
          <w:rFonts w:hint="eastAsia" w:ascii="宋体" w:hAnsi="宋体" w:cs="宋体"/>
          <w:color w:val="000000"/>
          <w:lang w:val="zh-CN"/>
        </w:rPr>
        <w:t>八、中标</w:t>
      </w:r>
      <w:bookmarkEnd w:id="38"/>
    </w:p>
    <w:p>
      <w:pPr>
        <w:pStyle w:val="25"/>
        <w:spacing w:before="0" w:after="0" w:line="360" w:lineRule="auto"/>
        <w:jc w:val="left"/>
        <w:rPr>
          <w:rFonts w:ascii="宋体" w:hAnsi="宋体" w:cs="宋体"/>
          <w:color w:val="000000"/>
          <w:lang w:val="zh-CN"/>
        </w:rPr>
      </w:pPr>
      <w:bookmarkStart w:id="39" w:name="_Toc42174794"/>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9"/>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5"/>
        <w:spacing w:before="0" w:after="0" w:line="360" w:lineRule="auto"/>
        <w:jc w:val="left"/>
        <w:rPr>
          <w:rFonts w:ascii="宋体" w:hAnsi="宋体" w:cs="宋体"/>
          <w:color w:val="000000"/>
          <w:lang w:val="zh-CN"/>
        </w:rPr>
      </w:pPr>
      <w:bookmarkStart w:id="40" w:name="_Toc42174795"/>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40"/>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5"/>
        <w:spacing w:before="0" w:after="0" w:line="360" w:lineRule="auto"/>
        <w:rPr>
          <w:rFonts w:ascii="宋体" w:hAnsi="宋体" w:cs="宋体"/>
          <w:color w:val="000000"/>
          <w:lang w:val="zh-CN"/>
        </w:rPr>
      </w:pPr>
      <w:bookmarkStart w:id="41" w:name="_Toc42174796"/>
      <w:r>
        <w:rPr>
          <w:rFonts w:hint="eastAsia" w:ascii="宋体" w:hAnsi="宋体" w:cs="宋体"/>
          <w:color w:val="000000"/>
          <w:lang w:val="zh-CN"/>
        </w:rPr>
        <w:t>九、授予合同</w:t>
      </w:r>
      <w:bookmarkEnd w:id="41"/>
    </w:p>
    <w:p>
      <w:pPr>
        <w:pStyle w:val="25"/>
        <w:spacing w:before="0" w:after="0" w:line="360" w:lineRule="auto"/>
        <w:jc w:val="left"/>
        <w:rPr>
          <w:rFonts w:ascii="宋体" w:hAnsi="宋体" w:cs="宋体"/>
          <w:color w:val="000000"/>
          <w:kern w:val="0"/>
          <w:sz w:val="24"/>
        </w:rPr>
      </w:pPr>
      <w:bookmarkStart w:id="42" w:name="_Toc42174797"/>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2"/>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5"/>
        <w:spacing w:before="0" w:after="0" w:line="360" w:lineRule="auto"/>
        <w:rPr>
          <w:rFonts w:ascii="宋体" w:hAnsi="宋体" w:cs="宋体"/>
          <w:color w:val="000000"/>
          <w:lang w:val="zh-CN"/>
        </w:rPr>
      </w:pPr>
      <w:bookmarkStart w:id="43" w:name="_Toc42174798"/>
      <w:r>
        <w:rPr>
          <w:rFonts w:hint="eastAsia" w:ascii="宋体" w:hAnsi="宋体" w:cs="宋体"/>
          <w:color w:val="000000"/>
          <w:lang w:val="zh-CN"/>
        </w:rPr>
        <w:t>十、其他</w:t>
      </w:r>
      <w:bookmarkEnd w:id="43"/>
    </w:p>
    <w:p>
      <w:pPr>
        <w:pStyle w:val="25"/>
        <w:spacing w:before="0" w:after="0" w:line="360" w:lineRule="auto"/>
        <w:jc w:val="left"/>
        <w:rPr>
          <w:rFonts w:ascii="宋体" w:hAnsi="宋体" w:cs="宋体"/>
          <w:color w:val="000000"/>
          <w:sz w:val="28"/>
          <w:szCs w:val="28"/>
        </w:rPr>
      </w:pPr>
      <w:bookmarkStart w:id="44" w:name="_Toc42174799"/>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5"/>
        <w:spacing w:before="0" w:after="0" w:line="360" w:lineRule="auto"/>
        <w:jc w:val="left"/>
        <w:rPr>
          <w:rFonts w:ascii="宋体" w:hAnsi="宋体" w:cs="宋体"/>
          <w:color w:val="000000"/>
          <w:sz w:val="28"/>
          <w:szCs w:val="28"/>
        </w:rPr>
      </w:pPr>
      <w:bookmarkStart w:id="45" w:name="_Toc42174800"/>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5"/>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25"/>
        <w:spacing w:before="0" w:after="0" w:line="360" w:lineRule="auto"/>
        <w:jc w:val="left"/>
        <w:rPr>
          <w:rFonts w:ascii="宋体" w:hAnsi="宋体" w:cs="宋体"/>
          <w:color w:val="000000"/>
          <w:sz w:val="28"/>
          <w:szCs w:val="28"/>
        </w:rPr>
      </w:pPr>
      <w:bookmarkStart w:id="46" w:name="_Toc42174801"/>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6"/>
    </w:p>
    <w:p>
      <w:pPr>
        <w:autoSpaceDE w:val="0"/>
        <w:autoSpaceDN w:val="0"/>
        <w:spacing w:line="360" w:lineRule="auto"/>
        <w:jc w:val="left"/>
        <w:rPr>
          <w:rFonts w:ascii="宋体" w:hAnsi="宋体" w:cs="宋体"/>
          <w:kern w:val="0"/>
          <w:lang w:val="zh-CN"/>
        </w:rPr>
      </w:pPr>
      <w:r>
        <w:rPr>
          <w:rFonts w:hint="eastAsia" w:ascii="宋体" w:hAnsi="宋体" w:cs="宋体"/>
          <w:color w:val="000000"/>
          <w:kern w:val="0"/>
          <w:lang w:val="zh-CN"/>
        </w:rPr>
        <w:t xml:space="preserve">26.1 </w:t>
      </w:r>
      <w:r>
        <w:rPr>
          <w:rFonts w:hint="eastAsia" w:ascii="宋体" w:hAnsi="宋体" w:cs="宋体"/>
          <w:kern w:val="0"/>
          <w:lang w:val="zh-CN"/>
        </w:rPr>
        <w:t>收取对象：中标人。</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rPr>
          <w:rFonts w:ascii="宋体" w:hAnsi="宋体" w:cs="宋体"/>
          <w:color w:val="000000"/>
        </w:rPr>
      </w:pPr>
    </w:p>
    <w:p>
      <w:pPr>
        <w:pStyle w:val="25"/>
        <w:spacing w:before="0" w:after="0" w:line="360" w:lineRule="auto"/>
        <w:rPr>
          <w:rFonts w:ascii="宋体" w:hAnsi="宋体" w:cs="宋体"/>
          <w:color w:val="000000"/>
          <w:szCs w:val="36"/>
          <w:lang w:val="zh-CN"/>
        </w:rPr>
      </w:pPr>
      <w:r>
        <w:rPr>
          <w:rFonts w:hint="eastAsia" w:ascii="宋体" w:hAnsi="宋体" w:cs="宋体"/>
          <w:color w:val="000000"/>
          <w:szCs w:val="36"/>
          <w:lang w:val="zh-CN"/>
        </w:rPr>
        <w:br w:type="page"/>
      </w:r>
      <w:bookmarkStart w:id="47" w:name="_Toc42174802"/>
    </w:p>
    <w:p>
      <w:pPr>
        <w:pStyle w:val="25"/>
        <w:spacing w:before="0" w:after="0" w:line="360" w:lineRule="auto"/>
        <w:rPr>
          <w:rFonts w:ascii="宋体" w:hAnsi="宋体" w:cs="宋体"/>
          <w:color w:val="000000"/>
          <w:szCs w:val="36"/>
          <w:lang w:val="zh-CN"/>
        </w:rPr>
      </w:pPr>
    </w:p>
    <w:p>
      <w:pPr>
        <w:keepNext/>
        <w:keepLines/>
        <w:widowControl/>
        <w:snapToGrid w:val="0"/>
        <w:spacing w:line="400" w:lineRule="atLeast"/>
        <w:ind w:firstLine="0" w:firstLineChars="0"/>
        <w:jc w:val="center"/>
        <w:outlineLvl w:val="0"/>
        <w:rPr>
          <w:rFonts w:hint="eastAsia" w:ascii="宋体" w:hAnsi="宋体" w:eastAsia="宋体" w:cs="宋体"/>
          <w:b/>
          <w:bCs/>
          <w:color w:val="000000"/>
          <w:kern w:val="2"/>
          <w:sz w:val="36"/>
          <w:szCs w:val="36"/>
          <w:lang w:val="zh-CN" w:eastAsia="zh-CN" w:bidi="ar-SA"/>
        </w:rPr>
      </w:pPr>
      <w:r>
        <w:rPr>
          <w:rFonts w:hint="eastAsia" w:ascii="宋体" w:hAnsi="宋体" w:eastAsia="宋体" w:cs="宋体"/>
          <w:b/>
          <w:bCs/>
          <w:color w:val="000000"/>
          <w:kern w:val="2"/>
          <w:sz w:val="36"/>
          <w:szCs w:val="36"/>
          <w:lang w:val="zh-CN" w:eastAsia="zh-CN" w:bidi="ar-SA"/>
        </w:rPr>
        <w:t xml:space="preserve">第三部分  </w:t>
      </w:r>
      <w:bookmarkEnd w:id="47"/>
      <w:bookmarkStart w:id="48" w:name="_Toc42174803"/>
      <w:r>
        <w:rPr>
          <w:rFonts w:hint="eastAsia" w:ascii="宋体" w:hAnsi="宋体" w:eastAsia="宋体" w:cs="宋体"/>
          <w:b/>
          <w:bCs/>
          <w:color w:val="000000"/>
          <w:kern w:val="2"/>
          <w:sz w:val="36"/>
          <w:szCs w:val="36"/>
          <w:lang w:val="zh-CN" w:eastAsia="zh-CN" w:bidi="ar-SA"/>
        </w:rPr>
        <w:t>青海省政府采购项目合同书范本（服务类）</w:t>
      </w:r>
    </w:p>
    <w:p>
      <w:pPr>
        <w:ind w:firstLine="480"/>
        <w:rPr>
          <w:rFonts w:hint="eastAsia"/>
        </w:rPr>
      </w:pPr>
    </w:p>
    <w:p>
      <w:pPr>
        <w:ind w:firstLine="480"/>
        <w:rPr>
          <w:rFonts w:hint="eastAsia"/>
        </w:rPr>
      </w:pPr>
      <w:bookmarkStart w:id="49" w:name="_Toc373954603"/>
      <w:bookmarkStart w:id="50" w:name="_Toc373936315"/>
      <w:bookmarkStart w:id="51" w:name="_Toc375576842"/>
    </w:p>
    <w:p>
      <w:pPr>
        <w:ind w:firstLine="480"/>
        <w:rPr>
          <w:rFonts w:hint="eastAsia"/>
        </w:rPr>
      </w:pPr>
    </w:p>
    <w:p>
      <w:pPr>
        <w:ind w:firstLine="480"/>
        <w:rPr>
          <w:rFonts w:hint="eastAsia"/>
        </w:rPr>
      </w:pPr>
    </w:p>
    <w:p>
      <w:pPr>
        <w:pStyle w:val="3"/>
        <w:ind w:firstLine="1378" w:firstLineChars="286"/>
        <w:jc w:val="both"/>
        <w:rPr>
          <w:rFonts w:hint="eastAsia"/>
          <w:sz w:val="48"/>
          <w:szCs w:val="48"/>
        </w:rPr>
      </w:pPr>
    </w:p>
    <w:p>
      <w:pPr>
        <w:pStyle w:val="3"/>
        <w:ind w:firstLine="1378" w:firstLineChars="286"/>
        <w:jc w:val="both"/>
        <w:rPr>
          <w:rFonts w:hint="eastAsia"/>
          <w:sz w:val="48"/>
          <w:szCs w:val="48"/>
        </w:rPr>
      </w:pPr>
    </w:p>
    <w:p>
      <w:pPr>
        <w:pStyle w:val="3"/>
        <w:ind w:firstLine="1378" w:firstLineChars="286"/>
        <w:jc w:val="both"/>
        <w:rPr>
          <w:rFonts w:hint="eastAsia"/>
          <w:sz w:val="48"/>
          <w:szCs w:val="48"/>
        </w:rPr>
      </w:pPr>
      <w:bookmarkStart w:id="52" w:name="_Toc82527698"/>
      <w:r>
        <w:rPr>
          <w:rFonts w:hint="eastAsia"/>
          <w:sz w:val="48"/>
          <w:szCs w:val="48"/>
        </w:rPr>
        <w:t>青海省政府采购项目合同</w:t>
      </w:r>
      <w:bookmarkEnd w:id="49"/>
      <w:bookmarkEnd w:id="50"/>
      <w:bookmarkEnd w:id="51"/>
      <w:r>
        <w:rPr>
          <w:rFonts w:hint="eastAsia"/>
          <w:sz w:val="48"/>
          <w:szCs w:val="48"/>
        </w:rPr>
        <w:t>书</w:t>
      </w:r>
      <w:bookmarkEnd w:id="52"/>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48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rPr>
      </w:pPr>
      <w:r>
        <w:rPr>
          <w:rFonts w:hint="eastAsia"/>
          <w:b/>
          <w:sz w:val="30"/>
          <w:szCs w:val="30"/>
        </w:rPr>
        <w:t xml:space="preserve">采购合同编号：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Cs/>
          <w:sz w:val="32"/>
          <w:szCs w:val="30"/>
          <w:u w:val="thick"/>
          <w:lang w:val="en-US" w:eastAsia="zh-CN"/>
        </w:rPr>
        <w:t>QHSN-2022-002号</w:t>
      </w:r>
      <w:r>
        <w:rPr>
          <w:rFonts w:hint="eastAsia"/>
          <w:bCs/>
          <w:sz w:val="32"/>
          <w:szCs w:val="30"/>
          <w:u w:val="thick"/>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hint="eastAsia" w:ascii="宋体" w:hAnsi="宋体"/>
          <w:b/>
          <w:bCs/>
        </w:rPr>
      </w:pPr>
    </w:p>
    <w:p>
      <w:pPr>
        <w:ind w:firstLine="482"/>
        <w:rPr>
          <w:rFonts w:hint="eastAsia" w:ascii="宋体" w:hAnsi="宋体"/>
          <w:b/>
          <w:bCs/>
        </w:rPr>
      </w:pPr>
    </w:p>
    <w:p>
      <w:pPr>
        <w:ind w:firstLine="0" w:firstLineChars="0"/>
        <w:rPr>
          <w:rFonts w:hint="eastAsia" w:ascii="宋体" w:hAnsi="宋体"/>
          <w:b/>
          <w:bCs/>
        </w:rPr>
      </w:pPr>
    </w:p>
    <w:p>
      <w:pPr>
        <w:ind w:firstLine="482"/>
        <w:rPr>
          <w:rFonts w:hint="eastAsia" w:ascii="宋体" w:hAnsi="宋体"/>
          <w:b/>
          <w:bCs/>
        </w:rPr>
      </w:pPr>
      <w:r>
        <w:rPr>
          <w:rFonts w:hint="eastAsia" w:ascii="宋体" w:hAnsi="宋体"/>
          <w:b/>
          <w:bCs/>
        </w:rPr>
        <w:t xml:space="preserve">采 购 人（以下简称甲方）： </w:t>
      </w:r>
    </w:p>
    <w:p>
      <w:pPr>
        <w:ind w:firstLine="482"/>
        <w:rPr>
          <w:rFonts w:hint="eastAsia" w:ascii="宋体" w:hAnsi="宋体"/>
          <w:bCs/>
        </w:rPr>
      </w:pPr>
      <w:r>
        <w:rPr>
          <w:rFonts w:hint="eastAsia" w:ascii="宋体" w:hAnsi="宋体"/>
          <w:b/>
          <w:bCs/>
        </w:rPr>
        <w:t>供 应 商（以下简称乙方）：</w:t>
      </w:r>
    </w:p>
    <w:p>
      <w:pPr>
        <w:ind w:firstLine="720" w:firstLineChars="300"/>
        <w:rPr>
          <w:rFonts w:hint="eastAsia" w:ascii="宋体" w:hAnsi="宋体"/>
          <w:bCs/>
        </w:rPr>
      </w:pPr>
      <w:r>
        <w:rPr>
          <w:rFonts w:hint="eastAsia" w:ascii="宋体" w:hAnsi="宋体"/>
          <w:bCs/>
        </w:rPr>
        <w:t>甲、乙双方根据 *年*月*日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青海圣诺公招（服务）2022-002号</w:t>
      </w:r>
      <w:r>
        <w:rPr>
          <w:rFonts w:hint="eastAsia" w:ascii="宋体" w:hAnsi="宋体"/>
          <w:bCs/>
        </w:rPr>
        <w:t>）的招标文件要求和采购机构出具的《中标通知书》，并经双方协商一致，达成合同总价款为</w:t>
      </w:r>
      <w:r>
        <w:rPr>
          <w:rFonts w:hint="eastAsia" w:ascii="宋体" w:hAnsi="宋体"/>
          <w:bCs/>
          <w:u w:val="single"/>
        </w:rPr>
        <w:t xml:space="preserve">                 .    </w:t>
      </w:r>
      <w:r>
        <w:rPr>
          <w:rFonts w:hint="eastAsia" w:ascii="宋体" w:hAnsi="宋体"/>
          <w:bCs/>
        </w:rPr>
        <w:t>的</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7.省级预算单位政府采购计划备案表。</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28"/>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2410"/>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3481" w:type="dxa"/>
            <w:noWrap w:val="0"/>
            <w:vAlign w:val="center"/>
          </w:tcPr>
          <w:p>
            <w:pPr>
              <w:ind w:firstLine="0" w:firstLineChars="0"/>
              <w:jc w:val="center"/>
              <w:rPr>
                <w:rFonts w:hint="eastAsia" w:ascii="宋体" w:hAnsi="宋体"/>
              </w:rPr>
            </w:pPr>
            <w:r>
              <w:rPr>
                <w:rFonts w:hint="eastAsia" w:ascii="宋体" w:hAnsi="宋体"/>
              </w:rPr>
              <w:t>项目实施服务内容</w:t>
            </w:r>
          </w:p>
        </w:tc>
        <w:tc>
          <w:tcPr>
            <w:tcW w:w="2410" w:type="dxa"/>
            <w:noWrap w:val="0"/>
            <w:vAlign w:val="center"/>
          </w:tcPr>
          <w:p>
            <w:pPr>
              <w:ind w:firstLine="0" w:firstLineChars="0"/>
              <w:jc w:val="center"/>
              <w:rPr>
                <w:rFonts w:hint="eastAsia" w:ascii="宋体" w:hAnsi="宋体"/>
              </w:rPr>
            </w:pPr>
            <w:r>
              <w:rPr>
                <w:rFonts w:hint="eastAsia" w:ascii="宋体" w:hAnsi="宋体"/>
              </w:rPr>
              <w:t>数量及单位</w:t>
            </w:r>
          </w:p>
        </w:tc>
        <w:tc>
          <w:tcPr>
            <w:tcW w:w="1276" w:type="dxa"/>
            <w:noWrap w:val="0"/>
            <w:vAlign w:val="center"/>
          </w:tcPr>
          <w:p>
            <w:pPr>
              <w:ind w:firstLine="0" w:firstLineChars="0"/>
              <w:jc w:val="center"/>
              <w:rPr>
                <w:rFonts w:hint="eastAsia" w:ascii="宋体" w:hAnsi="宋体"/>
              </w:rPr>
            </w:pPr>
            <w:r>
              <w:rPr>
                <w:rFonts w:hint="eastAsia" w:ascii="宋体" w:hAnsi="宋体"/>
              </w:rPr>
              <w:t>金额</w:t>
            </w:r>
          </w:p>
        </w:tc>
        <w:tc>
          <w:tcPr>
            <w:tcW w:w="992"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1</w:t>
            </w:r>
          </w:p>
        </w:tc>
        <w:tc>
          <w:tcPr>
            <w:tcW w:w="3481" w:type="dxa"/>
            <w:noWrap w:val="0"/>
            <w:vAlign w:val="center"/>
          </w:tcPr>
          <w:p>
            <w:pPr>
              <w:ind w:firstLine="480"/>
              <w:jc w:val="center"/>
              <w:rPr>
                <w:rFonts w:hint="eastAsia" w:ascii="宋体" w:hAnsi="宋体"/>
              </w:rPr>
            </w:pPr>
          </w:p>
        </w:tc>
        <w:tc>
          <w:tcPr>
            <w:tcW w:w="2410"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2</w:t>
            </w:r>
          </w:p>
        </w:tc>
        <w:tc>
          <w:tcPr>
            <w:tcW w:w="3481" w:type="dxa"/>
            <w:noWrap w:val="0"/>
            <w:vAlign w:val="center"/>
          </w:tcPr>
          <w:p>
            <w:pPr>
              <w:ind w:firstLine="480"/>
              <w:jc w:val="center"/>
              <w:rPr>
                <w:rFonts w:hint="eastAsia" w:ascii="宋体" w:hAnsi="宋体"/>
              </w:rPr>
            </w:pPr>
          </w:p>
        </w:tc>
        <w:tc>
          <w:tcPr>
            <w:tcW w:w="2410"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ascii="宋体" w:hAnsi="宋体"/>
              </w:rPr>
              <w:t>…</w:t>
            </w:r>
          </w:p>
        </w:tc>
        <w:tc>
          <w:tcPr>
            <w:tcW w:w="3481" w:type="dxa"/>
            <w:noWrap w:val="0"/>
            <w:vAlign w:val="center"/>
          </w:tcPr>
          <w:p>
            <w:pPr>
              <w:ind w:firstLine="480"/>
              <w:jc w:val="center"/>
              <w:rPr>
                <w:rFonts w:hint="eastAsia" w:ascii="宋体" w:hAnsi="宋体"/>
              </w:rPr>
            </w:pPr>
          </w:p>
        </w:tc>
        <w:tc>
          <w:tcPr>
            <w:tcW w:w="2410"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pPr>
      <w:r>
        <w:rPr>
          <w:rFonts w:hint="eastAsia" w:ascii="宋体" w:hAnsi="Calibri" w:cs="宋体"/>
          <w:kern w:val="0"/>
          <w:lang w:val="zh-CN"/>
        </w:rPr>
        <w:t>本合同以人民币进行结算，合同总价包括：</w:t>
      </w:r>
      <w:r>
        <w:t>服务费、人员差旅费、检验费、保险费、硬件设备费、运输费、包装费、安装调试费、税金及不可预见费等全部费用。</w:t>
      </w:r>
    </w:p>
    <w:p>
      <w:pPr>
        <w:autoSpaceDE w:val="0"/>
        <w:autoSpaceDN w:val="0"/>
        <w:adjustRightInd w:val="0"/>
        <w:ind w:firstLine="480"/>
      </w:pPr>
    </w:p>
    <w:p>
      <w:pPr>
        <w:autoSpaceDE w:val="0"/>
        <w:autoSpaceDN w:val="0"/>
        <w:adjustRightInd w:val="0"/>
        <w:ind w:firstLine="480"/>
        <w:rPr>
          <w:rFonts w:hint="eastAsia" w:ascii="Calibri" w:hAnsi="Calibri" w:cs="Calibri"/>
          <w:kern w:val="0"/>
        </w:rPr>
      </w:pP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hint="eastAsia" w:ascii="宋体" w:hAnsi="Calibri" w:cs="宋体"/>
          <w:kern w:val="0"/>
          <w:lang w:val="zh-CN"/>
        </w:rPr>
      </w:pPr>
      <w:r>
        <w:rPr>
          <w:rFonts w:ascii="Calibri" w:hAnsi="Calibri" w:cs="Calibri"/>
          <w:kern w:val="0"/>
        </w:rPr>
        <w:t>1.</w:t>
      </w:r>
      <w:r>
        <w:rPr>
          <w:rFonts w:hint="eastAsia" w:ascii="宋体" w:hAnsi="Calibri" w:cs="宋体"/>
          <w:kern w:val="0"/>
          <w:lang w:val="zh-CN"/>
        </w:rPr>
        <w:t xml:space="preserve"> 服务、实施时间：</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720" w:firstLineChars="300"/>
        <w:rPr>
          <w:rFonts w:ascii="Calibri" w:hAnsi="Calibri" w:cs="Calibri"/>
          <w:kern w:val="0"/>
        </w:rPr>
      </w:pPr>
      <w:r>
        <w:rPr>
          <w:rFonts w:hint="eastAsia" w:ascii="宋体" w:hAnsi="Calibri" w:cs="宋体"/>
          <w:kern w:val="0"/>
          <w:lang w:val="zh-CN"/>
        </w:rPr>
        <w:t>服务、实施地点：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乙方提供不符合招投标文件和本合同规定的产品和服务，甲方有权拒绝接受。</w:t>
      </w: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 xml:space="preserve">. </w:t>
      </w:r>
      <w:r>
        <w:rPr>
          <w:rFonts w:hint="eastAsia" w:ascii="Calibri" w:hAnsi="Calibri" w:cs="Calibri"/>
          <w:kern w:val="0"/>
        </w:rPr>
        <w:t>具体验收由甲乙双方商定。</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乙方所交付的产品由甲方验收，验收合格后，申请资金拨付，按合同金额向乙方支付合同总价款的100%（付款方式及金额由采购人根据项目情况确定），即人民币（大写）：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 xml:space="preserve">乙方向甲方提交的履约保证金计（大写） </w:t>
      </w:r>
      <w:r>
        <w:rPr>
          <w:rFonts w:hint="eastAsia" w:ascii="宋体" w:hAnsi="Calibri" w:cs="宋体"/>
          <w:kern w:val="0"/>
          <w:u w:val="single"/>
          <w:lang w:val="zh-CN"/>
        </w:rPr>
        <w:t xml:space="preserve">      </w:t>
      </w:r>
      <w:r>
        <w:rPr>
          <w:rFonts w:hint="eastAsia" w:ascii="宋体" w:hAnsi="Calibri" w:cs="宋体"/>
          <w:kern w:val="0"/>
          <w:lang w:val="zh-CN"/>
        </w:rPr>
        <w:t xml:space="preserve"> 元转为质量保证金。质量保证金待约定的免费质保期满 </w:t>
      </w:r>
      <w:r>
        <w:rPr>
          <w:rFonts w:hint="eastAsia" w:ascii="宋体" w:hAnsi="Calibri" w:cs="宋体"/>
          <w:kern w:val="0"/>
          <w:u w:val="single"/>
          <w:lang w:val="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宋体" w:hAnsi="Calibri" w:cs="宋体"/>
          <w:kern w:val="0"/>
          <w:lang w:val="zh-CN"/>
        </w:rPr>
      </w:pPr>
      <w:r>
        <w:rPr>
          <w:rFonts w:ascii="Calibri" w:hAnsi="Calibri" w:cs="Calibri"/>
          <w:kern w:val="0"/>
        </w:rPr>
        <w:t>2.</w:t>
      </w:r>
      <w:r>
        <w:rPr>
          <w:rFonts w:hint="eastAsia" w:ascii="宋体" w:hAnsi="Calibri" w:cs="宋体"/>
          <w:kern w:val="0"/>
          <w:lang w:val="zh-CN"/>
        </w:rPr>
        <w:t>本合同未尽事宜，按《民法典》有关规定处理。</w:t>
      </w:r>
    </w:p>
    <w:p>
      <w:pPr>
        <w:autoSpaceDE w:val="0"/>
        <w:autoSpaceDN w:val="0"/>
        <w:adjustRightInd w:val="0"/>
        <w:ind w:firstLine="480"/>
        <w:rPr>
          <w:rFonts w:hint="eastAsia" w:ascii="Calibri" w:hAnsi="Calibri" w:cs="Calibri"/>
          <w:kern w:val="0"/>
        </w:rPr>
      </w:pP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650" w:firstLineChars="1100"/>
        <w:rPr>
          <w:rFonts w:hint="eastAsia"/>
          <w:b/>
        </w:rPr>
      </w:pPr>
      <w:r>
        <w:rPr>
          <w:rFonts w:hint="eastAsia"/>
          <w:b/>
        </w:rPr>
        <w:t>签约时间：  年  月  日</w:t>
      </w:r>
    </w:p>
    <w:p>
      <w:pPr>
        <w:ind w:firstLine="0" w:firstLineChars="0"/>
        <w:rPr>
          <w:rFonts w:hint="eastAsia"/>
          <w:b/>
        </w:rPr>
      </w:pPr>
    </w:p>
    <w:p>
      <w:pPr>
        <w:ind w:firstLine="482"/>
        <w:rPr>
          <w:rFonts w:hint="eastAsia"/>
          <w:b/>
        </w:rPr>
      </w:pPr>
    </w:p>
    <w:p>
      <w:pPr>
        <w:ind w:firstLine="482"/>
        <w:rPr>
          <w:rFonts w:hint="eastAsia"/>
          <w:b/>
        </w:rPr>
      </w:pPr>
      <w:r>
        <w:rPr>
          <w:rFonts w:hint="eastAsia"/>
          <w:b/>
        </w:rPr>
        <w:t xml:space="preserve">合同备案部门：      </w:t>
      </w:r>
    </w:p>
    <w:p>
      <w:pPr>
        <w:ind w:firstLine="482"/>
        <w:rPr>
          <w:rFonts w:hint="eastAsia"/>
          <w:b/>
        </w:rPr>
      </w:pPr>
      <w:r>
        <w:rPr>
          <w:rFonts w:hint="eastAsia"/>
          <w:b/>
        </w:rPr>
        <w:t>经办人：</w:t>
      </w:r>
    </w:p>
    <w:p>
      <w:pPr>
        <w:adjustRightInd w:val="0"/>
        <w:spacing w:line="360" w:lineRule="auto"/>
        <w:ind w:firstLine="2489"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hint="eastAsia"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支票、汇票、本票或者金融机构、担保机构出具的保函等非现金形式提交。</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rPr>
          <w:rFonts w:hint="eastAsia" w:ascii="宋体" w:hAnsi="宋体" w:cs="宋体"/>
          <w:color w:val="000000"/>
          <w:szCs w:val="36"/>
          <w:lang w:val="zh-CN"/>
        </w:rPr>
      </w:pPr>
      <w:r>
        <w:rPr>
          <w:rFonts w:hint="eastAsia" w:ascii="宋体" w:hAnsi="宋体" w:cs="宋体"/>
          <w:color w:val="000000"/>
          <w:szCs w:val="36"/>
          <w:lang w:val="zh-CN"/>
        </w:rPr>
        <w:br w:type="page"/>
      </w:r>
    </w:p>
    <w:p>
      <w:pPr>
        <w:pStyle w:val="25"/>
        <w:spacing w:before="0" w:after="0" w:line="360" w:lineRule="auto"/>
        <w:rPr>
          <w:rFonts w:ascii="宋体" w:hAnsi="宋体" w:cs="宋体"/>
          <w:color w:val="000000"/>
          <w:lang w:val="zh-CN"/>
        </w:rPr>
      </w:pPr>
      <w:r>
        <w:rPr>
          <w:rFonts w:hint="eastAsia" w:ascii="宋体" w:hAnsi="宋体" w:cs="宋体"/>
          <w:color w:val="000000"/>
          <w:szCs w:val="36"/>
          <w:lang w:val="zh-CN"/>
        </w:rPr>
        <w:t>第四部分  投标文件格式</w:t>
      </w:r>
      <w:bookmarkEnd w:id="48"/>
    </w:p>
    <w:p>
      <w:pPr>
        <w:pStyle w:val="25"/>
        <w:spacing w:before="0" w:after="0" w:line="360" w:lineRule="auto"/>
        <w:jc w:val="left"/>
        <w:outlineLvl w:val="1"/>
        <w:rPr>
          <w:rFonts w:ascii="宋体" w:hAnsi="宋体" w:cs="宋体"/>
          <w:color w:val="000000"/>
        </w:rPr>
      </w:pPr>
      <w:bookmarkStart w:id="53" w:name="_Toc11851"/>
      <w:bookmarkStart w:id="54" w:name="_Toc42174804"/>
      <w:r>
        <w:rPr>
          <w:rFonts w:hint="eastAsia" w:ascii="宋体" w:hAnsi="宋体" w:cs="宋体"/>
          <w:color w:val="000000"/>
          <w:sz w:val="30"/>
          <w:szCs w:val="30"/>
          <w:lang w:val="zh-CN"/>
        </w:rPr>
        <w:t>封面</w:t>
      </w:r>
      <w:bookmarkEnd w:id="53"/>
      <w:r>
        <w:rPr>
          <w:rFonts w:hint="eastAsia" w:ascii="宋体" w:hAnsi="宋体" w:cs="宋体"/>
          <w:color w:val="000000"/>
          <w:sz w:val="30"/>
          <w:szCs w:val="30"/>
          <w:lang w:val="zh-CN"/>
        </w:rPr>
        <w:t>（上册）</w:t>
      </w:r>
      <w:bookmarkEnd w:id="54"/>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u w:val="single"/>
        </w:rPr>
      </w:pPr>
      <w:r>
        <w:rPr>
          <w:rFonts w:hint="eastAsia" w:ascii="宋体" w:hAnsi="宋体" w:cs="宋体"/>
          <w:b/>
          <w:bCs/>
          <w:color w:val="000000"/>
          <w:kern w:val="0"/>
          <w:sz w:val="36"/>
          <w:szCs w:val="36"/>
          <w:lang w:val="zh-CN"/>
        </w:rPr>
        <w:t>采购项目编号：</w:t>
      </w:r>
      <w:r>
        <w:rPr>
          <w:rFonts w:hint="eastAsia" w:ascii="宋体" w:hAnsi="宋体" w:cs="宋体"/>
          <w:b/>
          <w:bCs/>
          <w:color w:val="000000"/>
          <w:kern w:val="0"/>
          <w:sz w:val="36"/>
          <w:szCs w:val="36"/>
          <w:u w:val="single"/>
          <w:lang w:val="zh-CN"/>
        </w:rPr>
        <w:t>青海圣诺公招（服务）2022-002号</w:t>
      </w:r>
      <w:r>
        <w:rPr>
          <w:rFonts w:hint="eastAsia" w:ascii="宋体" w:hAnsi="宋体" w:cs="宋体"/>
          <w:b/>
          <w:bCs/>
          <w:color w:val="000000"/>
          <w:kern w:val="0"/>
          <w:sz w:val="36"/>
          <w:szCs w:val="36"/>
          <w:u w:val="single"/>
        </w:rPr>
        <w:t xml:space="preserve">           </w:t>
      </w:r>
    </w:p>
    <w:p>
      <w:pPr>
        <w:autoSpaceDE w:val="0"/>
        <w:autoSpaceDN w:val="0"/>
        <w:spacing w:line="360" w:lineRule="auto"/>
        <w:ind w:left="2520" w:hanging="2530" w:hangingChars="700"/>
        <w:rPr>
          <w:rFonts w:ascii="宋体" w:hAnsi="宋体" w:cs="宋体"/>
          <w:b/>
          <w:bCs/>
          <w:color w:val="000000"/>
          <w:kern w:val="0"/>
          <w:sz w:val="36"/>
          <w:szCs w:val="36"/>
          <w:u w:val="single"/>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r>
        <w:rPr>
          <w:rFonts w:hint="eastAsia" w:ascii="宋体" w:hAnsi="宋体" w:cs="宋体"/>
          <w:b/>
          <w:bCs/>
          <w:color w:val="000000"/>
          <w:kern w:val="0"/>
          <w:sz w:val="36"/>
          <w:szCs w:val="36"/>
          <w:u w:val="single"/>
          <w:lang w:val="zh-CN"/>
        </w:rPr>
        <w:t>关于海东市第一人民医院信息化平台建设项目采购</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ind w:firstLine="723" w:firstLineChars="200"/>
        <w:rPr>
          <w:rFonts w:ascii="宋体" w:hAnsi="宋体" w:cs="宋体"/>
          <w:b/>
          <w:bCs/>
          <w:color w:val="000000"/>
          <w:kern w:val="0"/>
          <w:sz w:val="36"/>
          <w:szCs w:val="36"/>
        </w:rPr>
      </w:pP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5"/>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55" w:name="_Toc42174805"/>
      <w:bookmarkStart w:id="56" w:name="_Toc29902"/>
      <w:bookmarkStart w:id="57" w:name="_Toc8514"/>
      <w:r>
        <w:rPr>
          <w:rFonts w:hint="eastAsia" w:ascii="宋体" w:hAnsi="宋体" w:cs="宋体"/>
          <w:color w:val="000000"/>
          <w:sz w:val="30"/>
          <w:szCs w:val="30"/>
          <w:lang w:val="zh-CN"/>
        </w:rPr>
        <w:t>目录（上册）</w:t>
      </w:r>
      <w:bookmarkEnd w:id="55"/>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5"/>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6"/>
    <w:bookmarkEnd w:id="57"/>
    <w:p>
      <w:pPr>
        <w:pStyle w:val="25"/>
        <w:spacing w:before="0" w:after="0" w:line="360" w:lineRule="auto"/>
        <w:jc w:val="left"/>
        <w:outlineLvl w:val="1"/>
        <w:rPr>
          <w:rFonts w:ascii="宋体" w:hAnsi="宋体" w:cs="宋体"/>
          <w:color w:val="000000"/>
          <w:lang w:val="zh-CN"/>
        </w:rPr>
      </w:pPr>
      <w:bookmarkStart w:id="58" w:name="_Toc19582"/>
      <w:r>
        <w:rPr>
          <w:rFonts w:hint="eastAsia" w:ascii="宋体" w:hAnsi="宋体" w:cs="宋体"/>
          <w:color w:val="000000"/>
          <w:sz w:val="30"/>
          <w:szCs w:val="30"/>
          <w:lang w:val="zh-CN"/>
        </w:rPr>
        <w:br w:type="page"/>
      </w:r>
      <w:bookmarkStart w:id="59" w:name="_Toc42174806"/>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8"/>
      <w:bookmarkEnd w:id="59"/>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致：青海圣诺工程咨询管理有限公司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关于海东市第一人民医院信息化平台建设项目采购（青海圣诺公招（服务）2022-002号）</w:t>
      </w:r>
      <w:r>
        <w:rPr>
          <w:rFonts w:hint="eastAsia" w:ascii="宋体" w:hAnsi="宋体" w:cs="宋体"/>
          <w:color w:val="000000"/>
          <w:kern w:val="0"/>
          <w:lang w:val="zh-CN"/>
        </w:rPr>
        <w:t>招标文件，经研究，法定代表人（</w:t>
      </w:r>
      <w:r>
        <w:rPr>
          <w:rFonts w:hint="eastAsia" w:ascii="宋体" w:hAnsi="宋体" w:cs="宋体"/>
          <w:color w:val="000000"/>
          <w:kern w:val="0"/>
          <w:u w:val="single"/>
          <w:lang w:val="zh-CN"/>
        </w:rPr>
        <w:t>姓名、职务</w:t>
      </w:r>
      <w:r>
        <w:rPr>
          <w:rFonts w:hint="eastAsia" w:ascii="宋体" w:hAnsi="宋体" w:cs="宋体"/>
          <w:color w:val="000000"/>
          <w:kern w:val="0"/>
          <w:lang w:val="zh-CN"/>
        </w:rPr>
        <w:t>）正式授权（</w:t>
      </w:r>
      <w:r>
        <w:rPr>
          <w:rFonts w:hint="eastAsia" w:ascii="宋体" w:hAnsi="宋体" w:cs="宋体"/>
          <w:color w:val="000000"/>
          <w:kern w:val="0"/>
          <w:u w:val="single"/>
          <w:lang w:val="zh-CN"/>
        </w:rPr>
        <w:t>委托代理人姓名、职务</w:t>
      </w:r>
      <w:r>
        <w:rPr>
          <w:rFonts w:hint="eastAsia" w:ascii="宋体" w:hAnsi="宋体" w:cs="宋体"/>
          <w:color w:val="000000"/>
          <w:kern w:val="0"/>
          <w:lang w:val="zh-CN"/>
        </w:rPr>
        <w:t>）代表投标人（</w:t>
      </w:r>
      <w:r>
        <w:rPr>
          <w:rFonts w:hint="eastAsia" w:ascii="宋体" w:hAnsi="宋体" w:cs="宋体"/>
          <w:color w:val="000000"/>
          <w:kern w:val="0"/>
          <w:u w:val="single"/>
          <w:lang w:val="zh-CN"/>
        </w:rPr>
        <w:t>投标人名称、地址</w:t>
      </w:r>
      <w:r>
        <w:rPr>
          <w:rFonts w:hint="eastAsia" w:ascii="宋体" w:hAnsi="宋体" w:cs="宋体"/>
          <w:color w:val="000000"/>
          <w:kern w:val="0"/>
          <w:lang w:val="zh-CN"/>
        </w:rPr>
        <w:t>）提交投标文件。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u w:val="single"/>
        </w:rPr>
        <w:t xml:space="preserve">               </w:t>
      </w: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邮编：</w:t>
      </w:r>
      <w:r>
        <w:rPr>
          <w:rFonts w:hint="eastAsia" w:ascii="宋体" w:hAnsi="宋体" w:cs="宋体"/>
          <w:color w:val="000000"/>
          <w:kern w:val="0"/>
          <w:u w:val="single"/>
        </w:rPr>
        <w:t xml:space="preserve">               </w:t>
      </w:r>
      <w:r>
        <w:rPr>
          <w:rFonts w:hint="eastAsia" w:ascii="宋体" w:hAnsi="宋体" w:cs="宋体"/>
          <w:color w:val="000000"/>
          <w:kern w:val="0"/>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w:t>
      </w:r>
      <w:r>
        <w:rPr>
          <w:rFonts w:hint="eastAsia" w:ascii="宋体" w:hAnsi="宋体" w:cs="宋体"/>
          <w:color w:val="000000"/>
          <w:kern w:val="0"/>
          <w:u w:val="single"/>
        </w:rPr>
        <w:t xml:space="preserve">               </w:t>
      </w: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传真：</w:t>
      </w:r>
      <w:r>
        <w:rPr>
          <w:rFonts w:hint="eastAsia" w:ascii="宋体" w:hAnsi="宋体" w:cs="宋体"/>
          <w:color w:val="000000"/>
          <w:kern w:val="0"/>
          <w:u w:val="single"/>
        </w:rPr>
        <w:t xml:space="preserve">               </w:t>
      </w:r>
      <w:r>
        <w:rPr>
          <w:rFonts w:hint="eastAsia" w:ascii="宋体" w:hAnsi="宋体" w:cs="宋体"/>
          <w:color w:val="000000"/>
          <w:kern w:val="0"/>
          <w:lang w:val="zh-CN"/>
        </w:rPr>
        <w:t xml:space="preserve"> </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法定代表人姓名：</w:t>
      </w:r>
      <w:r>
        <w:rPr>
          <w:rFonts w:hint="eastAsia" w:ascii="宋体" w:hAnsi="宋体" w:cs="宋体"/>
          <w:color w:val="000000"/>
          <w:kern w:val="0"/>
          <w:u w:val="single"/>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rPr>
        <w:t xml:space="preserve">               </w:t>
      </w:r>
      <w:r>
        <w:rPr>
          <w:rFonts w:hint="eastAsia" w:ascii="宋体" w:hAnsi="宋体" w:cs="宋体"/>
          <w:color w:val="000000"/>
          <w:kern w:val="0"/>
          <w:lang w:val="zh-CN"/>
        </w:rPr>
        <w:t xml:space="preserve"> </w:t>
      </w:r>
      <w:r>
        <w:rPr>
          <w:rFonts w:hint="eastAsia" w:ascii="宋体" w:hAnsi="宋体" w:cs="宋体"/>
          <w:color w:val="000000"/>
          <w:kern w:val="0"/>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5"/>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60" w:name="_Toc42174807"/>
      <w:bookmarkStart w:id="61"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60"/>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致：青海圣诺工程咨询管理有限公司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5"/>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61"/>
      <w:bookmarkStart w:id="62" w:name="_Toc42174808"/>
      <w:bookmarkStart w:id="63"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62"/>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致：青海圣诺工程咨询管理有限公司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rPr>
          <w:rFonts w:ascii="宋体" w:hAnsi="宋体" w:cs="宋体"/>
          <w:color w:val="000000"/>
          <w:kern w:val="0"/>
          <w:u w:val="single"/>
        </w:rPr>
      </w:pPr>
      <w:r>
        <w:rPr>
          <w:rFonts w:hint="eastAsia" w:ascii="宋体" w:hAnsi="宋体" w:cs="宋体"/>
          <w:color w:val="000000"/>
          <w:kern w:val="0"/>
          <w:lang w:val="zh-CN"/>
        </w:rPr>
        <w:t>被授权人联系电话：</w:t>
      </w:r>
      <w:r>
        <w:rPr>
          <w:rFonts w:hint="eastAsia" w:ascii="宋体" w:hAnsi="宋体" w:cs="宋体"/>
          <w:color w:val="000000"/>
          <w:kern w:val="0"/>
          <w:u w:val="single"/>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5"/>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4" w:name="_Toc4217480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6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致：青海圣诺工程咨询管理有限公司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关于贵方2022年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关于海东市第一人民医院信息化平台建设项目采购（青海圣诺公招（服务）2022-002号）</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w:t>
      </w:r>
      <w:r>
        <w:rPr>
          <w:rFonts w:hint="eastAsia" w:ascii="宋体" w:hAnsi="宋体" w:cs="宋体"/>
          <w:color w:val="000000"/>
          <w:kern w:val="0"/>
          <w:u w:val="single"/>
          <w:lang w:val="zh-CN"/>
        </w:rPr>
        <w:t>投标人名称</w:t>
      </w:r>
      <w:r>
        <w:rPr>
          <w:rFonts w:hint="eastAsia" w:ascii="宋体" w:hAnsi="宋体" w:cs="宋体"/>
          <w:color w:val="000000"/>
          <w:kern w:val="0"/>
          <w:lang w:val="zh-CN"/>
        </w:rPr>
        <w:t>），在此作如下承诺：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法定代表人或委托代理人：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5"/>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5" w:name="_Toc42174810"/>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5"/>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致：青海圣诺工程咨询管理有限公司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5"/>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63"/>
      <w:bookmarkStart w:id="66" w:name="_Toc42174811"/>
      <w:bookmarkStart w:id="67"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6"/>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5"/>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8" w:name="_Toc42174812"/>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1、</w:t>
      </w:r>
      <w:r>
        <w:rPr>
          <w:rFonts w:hint="eastAsia" w:ascii="宋体" w:hAnsi="宋体" w:cs="宋体"/>
          <w:kern w:val="0"/>
        </w:rPr>
        <w:t>投标人需提供（</w:t>
      </w:r>
      <w:r>
        <w:rPr>
          <w:rFonts w:hint="eastAsia" w:ascii="宋体" w:hAnsi="宋体" w:cs="宋体"/>
          <w:color w:val="000000"/>
        </w:rPr>
        <w:t>2020年</w:t>
      </w:r>
      <w:r>
        <w:rPr>
          <w:rFonts w:hint="eastAsia" w:ascii="宋体" w:hAnsi="宋体" w:cs="宋体"/>
          <w:color w:val="000000"/>
          <w:lang w:val="zh-CN"/>
        </w:rPr>
        <w:t>或</w:t>
      </w:r>
      <w:r>
        <w:rPr>
          <w:rFonts w:hint="eastAsia" w:ascii="宋体" w:hAnsi="宋体" w:cs="宋体"/>
          <w:color w:val="000000"/>
        </w:rPr>
        <w:t>2021年</w:t>
      </w:r>
      <w:r>
        <w:rPr>
          <w:rFonts w:hint="eastAsia" w:ascii="宋体" w:hAnsi="宋体" w:cs="宋体"/>
          <w:color w:val="000000"/>
          <w:lang w:val="zh-CN"/>
        </w:rPr>
        <w:t>度</w:t>
      </w:r>
      <w:r>
        <w:rPr>
          <w:rFonts w:hint="eastAsia" w:ascii="宋体" w:hAnsi="宋体" w:cs="宋体"/>
          <w:kern w:val="0"/>
        </w:rPr>
        <w:t>）经第三方审计的财务审计报告；</w:t>
      </w:r>
      <w:r>
        <w:rPr>
          <w:rFonts w:hint="eastAsia" w:ascii="宋体" w:hAnsi="宋体" w:cstheme="minorEastAsia"/>
          <w:lang w:val="zh-CN"/>
        </w:rPr>
        <w:t>包括资产负债表、现金流量表、利润表和财务（会计）报表附注</w:t>
      </w:r>
      <w:r>
        <w:rPr>
          <w:rFonts w:hint="eastAsia" w:ascii="宋体" w:hAnsi="宋体" w:cstheme="minorEastAsia"/>
        </w:rPr>
        <w:t>,</w:t>
      </w:r>
      <w:r>
        <w:rPr>
          <w:rFonts w:hint="eastAsia" w:ascii="宋体" w:hAnsi="宋体" w:cstheme="minorEastAsia"/>
          <w:lang w:val="zh-CN"/>
        </w:rPr>
        <w:t>并提供第三方机构的营业执照、执业证书</w:t>
      </w:r>
      <w:r>
        <w:rPr>
          <w:rFonts w:hint="eastAsia" w:ascii="宋体" w:hAnsi="宋体" w:cs="宋体"/>
          <w:kern w:val="0"/>
        </w:rPr>
        <w:t>；（如有成立不满一年无法提供近一年完整的财务报告的新公司，只需提供银行的资信证明</w:t>
      </w:r>
      <w:r>
        <w:rPr>
          <w:rFonts w:hint="eastAsia" w:ascii="宋体" w:hAnsi="宋体" w:cs="宋体"/>
          <w:color w:val="000000"/>
          <w:lang w:val="zh-CN"/>
        </w:rPr>
        <w:t>（扫描或复印件应全面、完整、清晰）。</w:t>
      </w:r>
    </w:p>
    <w:p>
      <w:pPr>
        <w:spacing w:line="360" w:lineRule="auto"/>
        <w:ind w:firstLine="480" w:firstLineChars="200"/>
        <w:rPr>
          <w:rFonts w:ascii="宋体" w:hAnsi="宋体" w:cs="宋体"/>
          <w:color w:val="000000"/>
        </w:rPr>
      </w:pPr>
      <w:r>
        <w:rPr>
          <w:rFonts w:hint="eastAsia" w:ascii="宋体" w:hAnsi="宋体" w:cs="宋体"/>
          <w:color w:val="000000"/>
          <w:lang w:val="zh-CN"/>
        </w:rPr>
        <w:t>2、近半年内任意三个月的依法缴纳税收和社会保障资金记录的证明材料；依法免税或不需要缴纳社会保障资金的供应商须提供相应文件证明其依法免税或不需要缴纳社会保障资金。</w:t>
      </w:r>
      <w:r>
        <w:rPr>
          <w:rFonts w:hint="eastAsia" w:ascii="宋体" w:hAnsi="宋体" w:cs="宋体"/>
          <w:color w:val="000000"/>
          <w:lang w:val="zh-CN"/>
        </w:rPr>
        <w:br w:type="page"/>
      </w:r>
      <w:bookmarkEnd w:id="67"/>
      <w:bookmarkStart w:id="69" w:name="_Toc21530"/>
      <w:r>
        <w:rPr>
          <w:rFonts w:hint="eastAsia" w:ascii="宋体" w:hAnsi="宋体" w:cs="宋体"/>
          <w:b/>
          <w:color w:val="000000"/>
          <w:sz w:val="30"/>
          <w:szCs w:val="30"/>
        </w:rPr>
        <w:t>（8）</w:t>
      </w:r>
      <w:r>
        <w:rPr>
          <w:rFonts w:hint="eastAsia" w:ascii="宋体" w:hAnsi="宋体" w:cs="宋体"/>
          <w:b/>
          <w:color w:val="000000"/>
          <w:sz w:val="30"/>
          <w:szCs w:val="30"/>
          <w:lang w:val="zh-CN"/>
        </w:rPr>
        <w:t>具备履行合同所必需的设备和专业技术能力的证明材料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sz w:val="28"/>
          <w:szCs w:val="28"/>
          <w:lang w:val="zh-CN"/>
        </w:rPr>
        <w:t>具备履行合同所必需的设备和专业技术能力的证明材料</w:t>
      </w:r>
    </w:p>
    <w:p>
      <w:pPr>
        <w:pStyle w:val="25"/>
        <w:spacing w:before="0" w:after="0" w:line="360" w:lineRule="auto"/>
        <w:jc w:val="left"/>
        <w:outlineLvl w:val="1"/>
        <w:rPr>
          <w:rFonts w:ascii="宋体" w:hAnsi="宋体" w:cs="宋体"/>
          <w:b w:val="0"/>
          <w:bCs w:val="0"/>
          <w:color w:val="000000"/>
          <w:sz w:val="24"/>
          <w:szCs w:val="24"/>
        </w:rPr>
      </w:pPr>
      <w:r>
        <w:rPr>
          <w:rFonts w:hint="eastAsia" w:ascii="宋体" w:hAnsi="宋体" w:cs="宋体"/>
          <w:color w:val="000000"/>
          <w:kern w:val="0"/>
          <w:lang w:val="zh-CN"/>
        </w:rPr>
        <w:t> </w:t>
      </w:r>
      <w:bookmarkStart w:id="70" w:name="_Toc42174813"/>
      <w:r>
        <w:rPr>
          <w:rFonts w:hint="eastAsia" w:ascii="宋体" w:hAnsi="宋体" w:cs="宋体"/>
          <w:b w:val="0"/>
          <w:bCs w:val="0"/>
          <w:color w:val="000000"/>
          <w:sz w:val="24"/>
          <w:szCs w:val="24"/>
          <w:lang w:val="zh-CN"/>
        </w:rPr>
        <w:t>为保证本项目合同的顺利履行，投标人必须具备履行合同的设备和专业技术能力，须提供具备履行合同的设备和专业技术能力的承诺函（格式自拟）</w:t>
      </w:r>
      <w:r>
        <w:rPr>
          <w:rFonts w:hint="eastAsia" w:ascii="宋体" w:hAnsi="宋体" w:cs="宋体"/>
          <w:b w:val="0"/>
          <w:bCs w:val="0"/>
          <w:color w:val="000000"/>
          <w:sz w:val="24"/>
          <w:szCs w:val="24"/>
          <w:lang w:val="zh-CN" w:eastAsia="zh-CN"/>
        </w:rPr>
        <w:t>。</w:t>
      </w:r>
      <w:r>
        <w:rPr>
          <w:rFonts w:hint="eastAsia" w:ascii="宋体" w:hAnsi="宋体" w:cs="宋体"/>
          <w:b w:val="0"/>
          <w:bCs w:val="0"/>
          <w:color w:val="000000"/>
          <w:sz w:val="24"/>
          <w:szCs w:val="24"/>
        </w:rPr>
        <w:t xml:space="preserve">              </w:t>
      </w:r>
    </w:p>
    <w:p>
      <w:pPr>
        <w:pStyle w:val="25"/>
        <w:spacing w:before="0" w:after="0" w:line="360" w:lineRule="auto"/>
        <w:jc w:val="left"/>
        <w:outlineLvl w:val="1"/>
        <w:rPr>
          <w:rFonts w:ascii="宋体" w:hAnsi="宋体" w:cs="宋体"/>
          <w:color w:val="000000"/>
          <w:sz w:val="30"/>
          <w:szCs w:val="30"/>
        </w:rPr>
      </w:pPr>
      <w:bookmarkStart w:id="71" w:name="_Toc42174814"/>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rPr>
      </w:pPr>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70"/>
      <w:bookmarkEnd w:id="71"/>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青海圣诺工程咨询管理有限公司</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附</w:t>
      </w:r>
      <w:r>
        <w:rPr>
          <w:rFonts w:hint="eastAsia" w:ascii="宋体" w:hAnsi="宋体" w:cs="宋体"/>
          <w:color w:val="000000"/>
          <w:kern w:val="0"/>
        </w:rPr>
        <w:t xml:space="preserve">   </w:t>
      </w:r>
      <w:r>
        <w:rPr>
          <w:rFonts w:hint="eastAsia" w:ascii="宋体" w:hAnsi="宋体" w:cs="宋体"/>
          <w:color w:val="000000"/>
          <w:kern w:val="0"/>
          <w:lang w:val="zh-CN"/>
        </w:rPr>
        <w:t>网站查询截图，时间为投标截止时间前20天内。</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5"/>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72" w:name="_Toc29764"/>
      <w:bookmarkStart w:id="73" w:name="_Toc42174815"/>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72"/>
      <w:bookmarkEnd w:id="73"/>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致：青海圣诺工程咨询管理有限公司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w:t>
      </w:r>
      <w:r>
        <w:rPr>
          <w:rFonts w:hint="eastAsia" w:ascii="宋体" w:hAnsi="宋体" w:cs="宋体"/>
          <w:color w:val="000000"/>
          <w:kern w:val="0"/>
          <w:u w:val="single"/>
          <w:lang w:val="zh-CN"/>
        </w:rPr>
        <w:t>关于海东市第一人民医院信息化平台建设项目采购</w:t>
      </w:r>
      <w:r>
        <w:rPr>
          <w:rFonts w:hint="eastAsia" w:ascii="宋体" w:hAnsi="宋体" w:cs="宋体"/>
          <w:color w:val="000000"/>
          <w:kern w:val="0"/>
          <w:lang w:val="zh-CN"/>
        </w:rPr>
        <w:t>）项目（</w:t>
      </w:r>
      <w:r>
        <w:rPr>
          <w:rFonts w:hint="eastAsia" w:ascii="宋体" w:hAnsi="宋体" w:cs="宋体"/>
          <w:color w:val="000000"/>
          <w:kern w:val="0"/>
          <w:u w:val="single"/>
          <w:lang w:val="zh-CN"/>
        </w:rPr>
        <w:t xml:space="preserve">采购项目编号为：青海圣诺公招（服务）2022-002号 </w:t>
      </w:r>
      <w:r>
        <w:rPr>
          <w:rFonts w:hint="eastAsia" w:ascii="宋体" w:hAnsi="宋体" w:cs="宋体"/>
          <w:color w:val="000000"/>
          <w:kern w:val="0"/>
          <w:lang w:val="zh-CN"/>
        </w:rPr>
        <w:t>）递交保证金人民币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（大写：人民币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元）已于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69"/>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u w:val="single"/>
        </w:rPr>
      </w:pPr>
      <w:r>
        <w:rPr>
          <w:rFonts w:hint="eastAsia" w:ascii="宋体" w:hAnsi="宋体" w:cs="宋体"/>
          <w:b/>
          <w:bCs/>
          <w:color w:val="000000"/>
          <w:kern w:val="0"/>
          <w:sz w:val="36"/>
          <w:szCs w:val="36"/>
          <w:lang w:val="zh-CN"/>
        </w:rPr>
        <w:t>采购项目编号：</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u w:val="single"/>
          <w:lang w:val="zh-CN"/>
        </w:rPr>
        <w:t>青海圣诺公招（服务）2022-002号</w:t>
      </w:r>
      <w:r>
        <w:rPr>
          <w:rFonts w:hint="eastAsia" w:ascii="宋体" w:hAnsi="宋体" w:cs="宋体"/>
          <w:b/>
          <w:bCs/>
          <w:color w:val="000000"/>
          <w:kern w:val="0"/>
          <w:sz w:val="36"/>
          <w:szCs w:val="36"/>
          <w:u w:val="single"/>
        </w:rPr>
        <w:t xml:space="preserve">           </w:t>
      </w:r>
    </w:p>
    <w:p>
      <w:pPr>
        <w:autoSpaceDE w:val="0"/>
        <w:autoSpaceDN w:val="0"/>
        <w:spacing w:line="360" w:lineRule="auto"/>
        <w:ind w:left="2520" w:hanging="2530" w:hangingChars="700"/>
        <w:rPr>
          <w:rFonts w:ascii="宋体" w:hAnsi="宋体" w:cs="宋体"/>
          <w:b/>
          <w:bCs/>
          <w:color w:val="000000"/>
          <w:kern w:val="0"/>
          <w:sz w:val="36"/>
          <w:szCs w:val="36"/>
          <w:u w:val="single"/>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r>
        <w:rPr>
          <w:rFonts w:hint="eastAsia" w:ascii="宋体" w:hAnsi="宋体" w:cs="宋体"/>
          <w:b/>
          <w:bCs/>
          <w:color w:val="000000"/>
          <w:kern w:val="0"/>
          <w:sz w:val="36"/>
          <w:szCs w:val="36"/>
          <w:u w:val="single"/>
          <w:lang w:val="zh-CN"/>
        </w:rPr>
        <w:t>关于海东市第一人民医院信息化平台建设项目采购</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5"/>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74" w:name="_Toc42174816"/>
      <w:r>
        <w:rPr>
          <w:rFonts w:hint="eastAsia" w:ascii="宋体" w:hAnsi="宋体" w:cs="宋体"/>
          <w:color w:val="000000"/>
          <w:sz w:val="30"/>
          <w:szCs w:val="30"/>
          <w:lang w:val="zh-CN"/>
        </w:rPr>
        <w:t>目录（下册）</w:t>
      </w:r>
      <w:bookmarkEnd w:id="74"/>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7"/>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7"/>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5"/>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75" w:name="_Toc42174817"/>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75"/>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2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8"/>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8"/>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8"/>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ascii="宋体" w:hAnsi="宋体" w:cs="宋体"/>
                <w:color w:val="000000"/>
                <w:szCs w:val="24"/>
              </w:rPr>
            </w:pPr>
          </w:p>
        </w:tc>
        <w:tc>
          <w:tcPr>
            <w:tcW w:w="2514" w:type="dxa"/>
            <w:vAlign w:val="center"/>
          </w:tcPr>
          <w:p>
            <w:pPr>
              <w:pStyle w:val="8"/>
              <w:spacing w:line="360" w:lineRule="auto"/>
              <w:ind w:firstLine="0"/>
              <w:jc w:val="center"/>
              <w:rPr>
                <w:rFonts w:ascii="宋体" w:hAnsi="宋体" w:cs="宋体"/>
                <w:color w:val="000000"/>
                <w:szCs w:val="24"/>
              </w:rPr>
            </w:pPr>
          </w:p>
        </w:tc>
        <w:tc>
          <w:tcPr>
            <w:tcW w:w="2266" w:type="dxa"/>
            <w:vAlign w:val="center"/>
          </w:tcPr>
          <w:p>
            <w:pPr>
              <w:pStyle w:val="8"/>
              <w:spacing w:line="360" w:lineRule="auto"/>
              <w:ind w:firstLine="0"/>
              <w:jc w:val="center"/>
              <w:rPr>
                <w:rFonts w:ascii="宋体" w:hAnsi="宋体" w:cs="宋体"/>
                <w:color w:val="000000"/>
                <w:szCs w:val="24"/>
              </w:rPr>
            </w:pPr>
          </w:p>
        </w:tc>
        <w:tc>
          <w:tcPr>
            <w:tcW w:w="2966" w:type="dxa"/>
            <w:vAlign w:val="center"/>
          </w:tcPr>
          <w:p>
            <w:pPr>
              <w:pStyle w:val="8"/>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ascii="宋体" w:hAnsi="宋体" w:cs="宋体"/>
                <w:color w:val="000000"/>
                <w:szCs w:val="24"/>
              </w:rPr>
            </w:pPr>
          </w:p>
        </w:tc>
        <w:tc>
          <w:tcPr>
            <w:tcW w:w="2514" w:type="dxa"/>
            <w:vAlign w:val="center"/>
          </w:tcPr>
          <w:p>
            <w:pPr>
              <w:pStyle w:val="8"/>
              <w:spacing w:line="360" w:lineRule="auto"/>
              <w:ind w:firstLine="0"/>
              <w:jc w:val="center"/>
              <w:rPr>
                <w:rFonts w:ascii="宋体" w:hAnsi="宋体" w:cs="宋体"/>
                <w:color w:val="000000"/>
                <w:szCs w:val="24"/>
              </w:rPr>
            </w:pPr>
          </w:p>
        </w:tc>
        <w:tc>
          <w:tcPr>
            <w:tcW w:w="2266" w:type="dxa"/>
            <w:vAlign w:val="center"/>
          </w:tcPr>
          <w:p>
            <w:pPr>
              <w:pStyle w:val="8"/>
              <w:spacing w:line="360" w:lineRule="auto"/>
              <w:ind w:firstLine="0"/>
              <w:jc w:val="center"/>
              <w:rPr>
                <w:rFonts w:ascii="宋体" w:hAnsi="宋体" w:cs="宋体"/>
                <w:color w:val="000000"/>
                <w:szCs w:val="24"/>
              </w:rPr>
            </w:pPr>
          </w:p>
        </w:tc>
        <w:tc>
          <w:tcPr>
            <w:tcW w:w="2966" w:type="dxa"/>
            <w:vAlign w:val="center"/>
          </w:tcPr>
          <w:p>
            <w:pPr>
              <w:pStyle w:val="8"/>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ascii="宋体" w:hAnsi="宋体" w:cs="宋体"/>
                <w:color w:val="000000"/>
                <w:szCs w:val="24"/>
              </w:rPr>
            </w:pPr>
          </w:p>
        </w:tc>
        <w:tc>
          <w:tcPr>
            <w:tcW w:w="2514" w:type="dxa"/>
            <w:vAlign w:val="center"/>
          </w:tcPr>
          <w:p>
            <w:pPr>
              <w:pStyle w:val="8"/>
              <w:spacing w:line="360" w:lineRule="auto"/>
              <w:ind w:firstLine="0"/>
              <w:jc w:val="center"/>
              <w:rPr>
                <w:rFonts w:ascii="宋体" w:hAnsi="宋体" w:cs="宋体"/>
                <w:color w:val="000000"/>
                <w:szCs w:val="24"/>
              </w:rPr>
            </w:pPr>
          </w:p>
        </w:tc>
        <w:tc>
          <w:tcPr>
            <w:tcW w:w="2266" w:type="dxa"/>
            <w:vAlign w:val="center"/>
          </w:tcPr>
          <w:p>
            <w:pPr>
              <w:pStyle w:val="8"/>
              <w:spacing w:line="360" w:lineRule="auto"/>
              <w:ind w:firstLine="0"/>
              <w:jc w:val="center"/>
              <w:rPr>
                <w:rFonts w:ascii="宋体" w:hAnsi="宋体" w:cs="宋体"/>
                <w:color w:val="000000"/>
                <w:szCs w:val="24"/>
              </w:rPr>
            </w:pPr>
          </w:p>
        </w:tc>
        <w:tc>
          <w:tcPr>
            <w:tcW w:w="2966" w:type="dxa"/>
            <w:vAlign w:val="center"/>
          </w:tcPr>
          <w:p>
            <w:pPr>
              <w:pStyle w:val="8"/>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ascii="宋体" w:hAnsi="宋体" w:cs="宋体"/>
                <w:color w:val="000000"/>
                <w:szCs w:val="24"/>
              </w:rPr>
            </w:pPr>
          </w:p>
        </w:tc>
        <w:tc>
          <w:tcPr>
            <w:tcW w:w="2514" w:type="dxa"/>
            <w:vAlign w:val="center"/>
          </w:tcPr>
          <w:p>
            <w:pPr>
              <w:pStyle w:val="8"/>
              <w:spacing w:line="360" w:lineRule="auto"/>
              <w:ind w:firstLine="0"/>
              <w:jc w:val="center"/>
              <w:rPr>
                <w:rFonts w:ascii="宋体" w:hAnsi="宋体" w:cs="宋体"/>
                <w:color w:val="000000"/>
                <w:szCs w:val="24"/>
              </w:rPr>
            </w:pPr>
          </w:p>
        </w:tc>
        <w:tc>
          <w:tcPr>
            <w:tcW w:w="2266" w:type="dxa"/>
            <w:vAlign w:val="center"/>
          </w:tcPr>
          <w:p>
            <w:pPr>
              <w:pStyle w:val="8"/>
              <w:spacing w:line="360" w:lineRule="auto"/>
              <w:ind w:firstLine="0"/>
              <w:jc w:val="center"/>
              <w:rPr>
                <w:rFonts w:ascii="宋体" w:hAnsi="宋体" w:cs="宋体"/>
                <w:color w:val="000000"/>
                <w:szCs w:val="24"/>
              </w:rPr>
            </w:pPr>
          </w:p>
        </w:tc>
        <w:tc>
          <w:tcPr>
            <w:tcW w:w="2966" w:type="dxa"/>
            <w:vAlign w:val="center"/>
          </w:tcPr>
          <w:p>
            <w:pPr>
              <w:pStyle w:val="8"/>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ascii="宋体" w:hAnsi="宋体" w:cs="宋体"/>
                <w:color w:val="000000"/>
                <w:szCs w:val="24"/>
              </w:rPr>
            </w:pPr>
          </w:p>
        </w:tc>
        <w:tc>
          <w:tcPr>
            <w:tcW w:w="2514" w:type="dxa"/>
            <w:vAlign w:val="center"/>
          </w:tcPr>
          <w:p>
            <w:pPr>
              <w:pStyle w:val="8"/>
              <w:spacing w:line="360" w:lineRule="auto"/>
              <w:ind w:firstLine="0"/>
              <w:jc w:val="center"/>
              <w:rPr>
                <w:rFonts w:ascii="宋体" w:hAnsi="宋体" w:cs="宋体"/>
                <w:color w:val="000000"/>
                <w:szCs w:val="24"/>
              </w:rPr>
            </w:pPr>
          </w:p>
        </w:tc>
        <w:tc>
          <w:tcPr>
            <w:tcW w:w="2266" w:type="dxa"/>
            <w:vAlign w:val="center"/>
          </w:tcPr>
          <w:p>
            <w:pPr>
              <w:pStyle w:val="8"/>
              <w:spacing w:line="360" w:lineRule="auto"/>
              <w:ind w:firstLine="0"/>
              <w:jc w:val="center"/>
              <w:rPr>
                <w:rFonts w:ascii="宋体" w:hAnsi="宋体" w:cs="宋体"/>
                <w:color w:val="000000"/>
                <w:szCs w:val="24"/>
              </w:rPr>
            </w:pPr>
          </w:p>
        </w:tc>
        <w:tc>
          <w:tcPr>
            <w:tcW w:w="2966" w:type="dxa"/>
            <w:vAlign w:val="center"/>
          </w:tcPr>
          <w:p>
            <w:pPr>
              <w:pStyle w:val="8"/>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8"/>
              <w:spacing w:line="360" w:lineRule="auto"/>
              <w:ind w:firstLine="0"/>
              <w:jc w:val="center"/>
              <w:rPr>
                <w:rFonts w:ascii="宋体" w:hAnsi="宋体" w:cs="宋体"/>
                <w:color w:val="000000"/>
                <w:szCs w:val="24"/>
              </w:rPr>
            </w:pPr>
          </w:p>
        </w:tc>
        <w:tc>
          <w:tcPr>
            <w:tcW w:w="2514" w:type="dxa"/>
            <w:vAlign w:val="center"/>
          </w:tcPr>
          <w:p>
            <w:pPr>
              <w:pStyle w:val="8"/>
              <w:spacing w:line="360" w:lineRule="auto"/>
              <w:ind w:firstLine="0"/>
              <w:jc w:val="center"/>
              <w:rPr>
                <w:rFonts w:ascii="宋体" w:hAnsi="宋体" w:cs="宋体"/>
                <w:color w:val="000000"/>
                <w:szCs w:val="24"/>
              </w:rPr>
            </w:pPr>
          </w:p>
        </w:tc>
        <w:tc>
          <w:tcPr>
            <w:tcW w:w="2266" w:type="dxa"/>
            <w:vAlign w:val="center"/>
          </w:tcPr>
          <w:p>
            <w:pPr>
              <w:pStyle w:val="8"/>
              <w:spacing w:line="360" w:lineRule="auto"/>
              <w:ind w:firstLine="0"/>
              <w:jc w:val="center"/>
              <w:rPr>
                <w:rFonts w:ascii="宋体" w:hAnsi="宋体" w:cs="宋体"/>
                <w:color w:val="000000"/>
                <w:szCs w:val="24"/>
              </w:rPr>
            </w:pPr>
          </w:p>
        </w:tc>
        <w:tc>
          <w:tcPr>
            <w:tcW w:w="2966" w:type="dxa"/>
            <w:vAlign w:val="center"/>
          </w:tcPr>
          <w:p>
            <w:pPr>
              <w:pStyle w:val="8"/>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25"/>
        <w:spacing w:before="0" w:after="0" w:line="360" w:lineRule="auto"/>
        <w:jc w:val="left"/>
        <w:outlineLvl w:val="1"/>
        <w:rPr>
          <w:rFonts w:ascii="宋体" w:hAnsi="宋体" w:cs="宋体"/>
          <w:color w:val="000000"/>
          <w:lang w:val="zh-CN"/>
        </w:rPr>
      </w:pPr>
      <w:bookmarkStart w:id="76" w:name="_Toc28963"/>
      <w:r>
        <w:rPr>
          <w:rFonts w:hint="eastAsia" w:ascii="宋体" w:hAnsi="宋体" w:cs="宋体"/>
          <w:color w:val="000000"/>
          <w:sz w:val="30"/>
          <w:szCs w:val="30"/>
          <w:lang w:val="zh-CN"/>
        </w:rPr>
        <w:br w:type="page"/>
      </w:r>
      <w:bookmarkStart w:id="77" w:name="_Toc26451"/>
      <w:bookmarkStart w:id="78" w:name="_Toc42174818"/>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7"/>
      <w:bookmarkEnd w:id="78"/>
    </w:p>
    <w:p>
      <w:pPr>
        <w:ind w:firstLine="0" w:firstLineChars="0"/>
        <w:jc w:val="center"/>
        <w:rPr>
          <w:rFonts w:hint="eastAsia" w:ascii="宋体" w:hAnsi="宋体"/>
          <w:b/>
          <w:sz w:val="36"/>
          <w:szCs w:val="36"/>
        </w:rPr>
      </w:pPr>
      <w:r>
        <w:rPr>
          <w:rFonts w:hint="eastAsia" w:ascii="宋体" w:hAnsi="宋体"/>
          <w:b/>
          <w:sz w:val="36"/>
          <w:szCs w:val="36"/>
        </w:rPr>
        <w:t>投标报价一览表</w:t>
      </w:r>
    </w:p>
    <w:p>
      <w:pPr>
        <w:ind w:firstLine="0" w:firstLineChars="0"/>
        <w:rPr>
          <w:rFonts w:hint="eastAsia" w:ascii="宋体" w:hAnsi="宋体"/>
          <w:b/>
        </w:rPr>
      </w:pPr>
      <w:r>
        <w:rPr>
          <w:rFonts w:hint="eastAsia" w:ascii="宋体" w:hAnsi="宋体"/>
          <w:b/>
        </w:rPr>
        <w:t xml:space="preserve">投标单位名称：                                          </w:t>
      </w:r>
    </w:p>
    <w:p>
      <w:pPr>
        <w:ind w:firstLine="0" w:firstLineChars="0"/>
        <w:jc w:val="right"/>
        <w:rPr>
          <w:rFonts w:hint="eastAsia" w:ascii="宋体" w:hAnsi="宋体"/>
          <w:b/>
        </w:rPr>
      </w:pPr>
      <w:r>
        <w:rPr>
          <w:rFonts w:hint="eastAsia" w:ascii="宋体" w:hAnsi="宋体"/>
          <w:b/>
          <w:bCs/>
        </w:rPr>
        <w:t xml:space="preserve"> </w:t>
      </w:r>
      <w:r>
        <w:rPr>
          <w:rFonts w:hint="eastAsia" w:ascii="宋体" w:hAnsi="宋体"/>
        </w:rPr>
        <w:t>单位：</w:t>
      </w:r>
      <w:r>
        <w:rPr>
          <w:rFonts w:hint="eastAsia" w:ascii="宋体" w:hAnsi="宋体"/>
          <w:bCs/>
        </w:rPr>
        <w:t>人民币(元)</w:t>
      </w:r>
    </w:p>
    <w:tbl>
      <w:tblPr>
        <w:tblStyle w:val="28"/>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684"/>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235"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3684" w:type="dxa"/>
            <w:noWrap w:val="0"/>
            <w:vAlign w:val="center"/>
          </w:tcPr>
          <w:p>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服务期</w:t>
            </w:r>
          </w:p>
        </w:tc>
        <w:tc>
          <w:tcPr>
            <w:tcW w:w="1560" w:type="dxa"/>
            <w:noWrap w:val="0"/>
            <w:vAlign w:val="center"/>
          </w:tcPr>
          <w:p>
            <w:pPr>
              <w:adjustRightInd w:val="0"/>
              <w:ind w:left="279" w:leftChars="16" w:hanging="241" w:hangingChars="10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35" w:type="dxa"/>
            <w:vMerge w:val="restart"/>
            <w:noWrap w:val="0"/>
            <w:vAlign w:val="center"/>
          </w:tcPr>
          <w:p>
            <w:pPr>
              <w:adjustRightInd w:val="0"/>
              <w:ind w:firstLine="482"/>
              <w:textAlignment w:val="baseline"/>
              <w:rPr>
                <w:rFonts w:hint="eastAsia" w:ascii="宋体" w:hAnsi="宋体"/>
                <w:b/>
                <w:bCs/>
              </w:rPr>
            </w:pPr>
          </w:p>
        </w:tc>
        <w:tc>
          <w:tcPr>
            <w:tcW w:w="3684" w:type="dxa"/>
            <w:noWrap w:val="0"/>
            <w:vAlign w:val="top"/>
          </w:tcPr>
          <w:p>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noWrap w:val="0"/>
            <w:vAlign w:val="top"/>
          </w:tcPr>
          <w:p>
            <w:pPr>
              <w:adjustRightInd w:val="0"/>
              <w:ind w:firstLine="198" w:firstLineChars="82"/>
              <w:textAlignment w:val="baseline"/>
              <w:rPr>
                <w:rFonts w:hint="eastAsia" w:ascii="宋体" w:hAnsi="宋体"/>
                <w:b/>
              </w:rPr>
            </w:pPr>
          </w:p>
        </w:tc>
        <w:tc>
          <w:tcPr>
            <w:tcW w:w="1560"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235" w:type="dxa"/>
            <w:vMerge w:val="continue"/>
            <w:noWrap w:val="0"/>
            <w:vAlign w:val="center"/>
          </w:tcPr>
          <w:p>
            <w:pPr>
              <w:adjustRightInd w:val="0"/>
              <w:ind w:firstLine="482"/>
              <w:textAlignment w:val="baseline"/>
              <w:rPr>
                <w:rFonts w:hint="eastAsia" w:ascii="宋体" w:hAnsi="宋体"/>
                <w:b/>
                <w:bCs/>
              </w:rPr>
            </w:pPr>
          </w:p>
        </w:tc>
        <w:tc>
          <w:tcPr>
            <w:tcW w:w="3684" w:type="dxa"/>
            <w:noWrap w:val="0"/>
            <w:vAlign w:val="top"/>
          </w:tcPr>
          <w:p>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noWrap w:val="0"/>
            <w:vAlign w:val="top"/>
          </w:tcPr>
          <w:p>
            <w:pPr>
              <w:adjustRightInd w:val="0"/>
              <w:ind w:firstLine="482"/>
              <w:textAlignment w:val="baseline"/>
              <w:rPr>
                <w:rFonts w:hint="eastAsia" w:ascii="宋体" w:hAnsi="宋体"/>
                <w:b/>
              </w:rPr>
            </w:pPr>
          </w:p>
        </w:tc>
        <w:tc>
          <w:tcPr>
            <w:tcW w:w="1560"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utoSpaceDE w:val="0"/>
        <w:autoSpaceDN w:val="0"/>
        <w:spacing w:line="360" w:lineRule="auto"/>
        <w:ind w:firstLine="723" w:firstLineChars="300"/>
        <w:rPr>
          <w:rFonts w:hint="eastAsia" w:ascii="宋体" w:hAnsi="宋体" w:cs="宋体"/>
          <w:b/>
          <w:bCs/>
          <w:color w:val="000000"/>
          <w:kern w:val="0"/>
          <w:lang w:val="zh-CN"/>
        </w:rPr>
      </w:pPr>
    </w:p>
    <w:p>
      <w:pPr>
        <w:autoSpaceDE w:val="0"/>
        <w:autoSpaceDN w:val="0"/>
        <w:spacing w:line="360" w:lineRule="auto"/>
        <w:ind w:firstLine="723" w:firstLineChars="300"/>
        <w:rPr>
          <w:rFonts w:hint="eastAsia" w:ascii="宋体" w:hAnsi="宋体" w:cs="宋体"/>
          <w:b/>
          <w:bCs/>
          <w:color w:val="000000"/>
          <w:kern w:val="0"/>
          <w:lang w:val="zh-CN"/>
        </w:rPr>
      </w:pPr>
    </w:p>
    <w:p>
      <w:pPr>
        <w:autoSpaceDE w:val="0"/>
        <w:autoSpaceDN w:val="0"/>
        <w:spacing w:line="360" w:lineRule="auto"/>
        <w:ind w:firstLine="723" w:firstLineChars="300"/>
        <w:rPr>
          <w:rFonts w:hint="eastAsia" w:ascii="宋体" w:hAnsi="宋体" w:cs="宋体"/>
          <w:b/>
          <w:bCs/>
          <w:color w:val="000000"/>
          <w:kern w:val="0"/>
          <w:lang w:val="zh-CN"/>
        </w:rPr>
      </w:pPr>
    </w:p>
    <w:p>
      <w:pPr>
        <w:autoSpaceDE w:val="0"/>
        <w:autoSpaceDN w:val="0"/>
        <w:spacing w:line="360" w:lineRule="auto"/>
        <w:ind w:firstLine="723" w:firstLineChars="300"/>
        <w:rPr>
          <w:rFonts w:hint="eastAsia" w:ascii="宋体" w:hAnsi="宋体" w:cs="宋体"/>
          <w:b/>
          <w:bCs/>
          <w:color w:val="000000"/>
          <w:kern w:val="0"/>
          <w:lang w:val="zh-CN"/>
        </w:rPr>
      </w:pPr>
    </w:p>
    <w:p>
      <w:pPr>
        <w:autoSpaceDE w:val="0"/>
        <w:autoSpaceDN w:val="0"/>
        <w:spacing w:line="360" w:lineRule="auto"/>
        <w:ind w:firstLine="723" w:firstLineChars="300"/>
        <w:rPr>
          <w:rFonts w:hint="eastAsia" w:ascii="宋体" w:hAnsi="宋体" w:cs="宋体"/>
          <w:b/>
          <w:bCs/>
          <w:color w:val="000000"/>
          <w:kern w:val="0"/>
          <w:lang w:val="zh-CN"/>
        </w:rPr>
      </w:pPr>
    </w:p>
    <w:p>
      <w:pPr>
        <w:autoSpaceDE w:val="0"/>
        <w:autoSpaceDN w:val="0"/>
        <w:spacing w:line="360" w:lineRule="auto"/>
        <w:ind w:firstLine="723" w:firstLineChars="300"/>
        <w:rPr>
          <w:rFonts w:hint="eastAsia" w:ascii="宋体" w:hAnsi="宋体" w:cs="宋体"/>
          <w:b/>
          <w:bCs/>
          <w:color w:val="000000"/>
          <w:kern w:val="0"/>
          <w:lang w:val="zh-CN"/>
        </w:rPr>
      </w:pPr>
    </w:p>
    <w:p>
      <w:pPr>
        <w:autoSpaceDE w:val="0"/>
        <w:autoSpaceDN w:val="0"/>
        <w:spacing w:line="360" w:lineRule="auto"/>
        <w:ind w:firstLine="723" w:firstLineChars="300"/>
        <w:rPr>
          <w:rFonts w:hint="eastAsia" w:ascii="宋体" w:hAnsi="宋体" w:cs="宋体"/>
          <w:b/>
          <w:bCs/>
          <w:color w:val="000000"/>
          <w:kern w:val="0"/>
          <w:lang w:val="zh-CN"/>
        </w:rPr>
      </w:pPr>
    </w:p>
    <w:p>
      <w:pPr>
        <w:autoSpaceDE w:val="0"/>
        <w:autoSpaceDN w:val="0"/>
        <w:spacing w:line="360" w:lineRule="auto"/>
        <w:ind w:firstLine="723" w:firstLineChars="300"/>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spacing w:line="360" w:lineRule="auto"/>
        <w:ind w:firstLine="1200" w:firstLineChars="500"/>
        <w:textAlignment w:val="baseline"/>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“投标报价”为投标总价。投标报价必须包括：</w:t>
      </w:r>
      <w:r>
        <w:rPr>
          <w:rStyle w:val="121"/>
          <w:rFonts w:ascii="宋体" w:hAnsi="宋体"/>
          <w:color w:val="000000"/>
          <w:kern w:val="0"/>
          <w:lang w:val="zh-CN"/>
        </w:rPr>
        <w:t>产品费、验收费、手续费、包装费、运输费、保险费、安装费、调试费、培训费、售前、售中、售后服务费、招标代理费、税金及不可预见费等全部费用。</w:t>
      </w:r>
      <w:r>
        <w:rPr>
          <w:rFonts w:hint="eastAsia" w:ascii="宋体" w:hAnsi="宋体" w:cs="宋体"/>
          <w:color w:val="000000"/>
          <w:kern w:val="0"/>
          <w:lang w:val="zh-CN"/>
        </w:rPr>
        <w:t>（说明：具体内容应根据项目特点实事求是的填写）</w:t>
      </w:r>
    </w:p>
    <w:p>
      <w:pPr>
        <w:autoSpaceDE w:val="0"/>
        <w:autoSpaceDN w:val="0"/>
        <w:spacing w:line="360" w:lineRule="auto"/>
        <w:ind w:firstLine="960" w:firstLineChars="4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.投标报价不能有两个或两个以上的报价方案，否则投标无效。</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25"/>
        <w:spacing w:before="0" w:after="0" w:line="360" w:lineRule="auto"/>
        <w:jc w:val="left"/>
        <w:outlineLvl w:val="1"/>
        <w:rPr>
          <w:rFonts w:ascii="宋体" w:hAnsi="宋体" w:cs="宋体"/>
          <w:color w:val="000000"/>
          <w:kern w:val="0"/>
          <w:sz w:val="28"/>
          <w:szCs w:val="28"/>
          <w:lang w:val="zh-CN"/>
        </w:rPr>
      </w:pPr>
      <w:r>
        <w:rPr>
          <w:rFonts w:hint="eastAsia" w:ascii="宋体" w:hAnsi="宋体" w:cs="宋体"/>
          <w:color w:val="000000"/>
          <w:sz w:val="30"/>
          <w:szCs w:val="30"/>
          <w:lang w:val="zh-CN"/>
        </w:rPr>
        <w:br w:type="page"/>
      </w:r>
      <w:bookmarkStart w:id="79" w:name="_Toc42174819"/>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6"/>
      <w:bookmarkEnd w:id="79"/>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分项报价表</w:t>
      </w:r>
    </w:p>
    <w:p>
      <w:pPr>
        <w:ind w:firstLine="0" w:firstLineChars="0"/>
        <w:rPr>
          <w:rFonts w:hint="eastAsia" w:ascii="宋体" w:hAnsi="宋体"/>
          <w:b/>
        </w:rPr>
      </w:pPr>
      <w:r>
        <w:rPr>
          <w:rFonts w:hint="eastAsia" w:ascii="宋体" w:hAnsi="宋体"/>
          <w:b/>
        </w:rPr>
        <w:t>投标单位名称:</w:t>
      </w:r>
    </w:p>
    <w:p>
      <w:pPr>
        <w:ind w:right="120" w:firstLine="0" w:firstLineChars="0"/>
        <w:jc w:val="right"/>
        <w:rPr>
          <w:rFonts w:hint="eastAsia" w:ascii="宋体" w:hAnsi="宋体"/>
        </w:rPr>
      </w:pPr>
      <w:r>
        <w:rPr>
          <w:rFonts w:hint="eastAsia" w:ascii="宋体" w:hAnsi="宋体"/>
        </w:rPr>
        <w:t xml:space="preserve">                                                  单位：人民币（元）</w:t>
      </w:r>
    </w:p>
    <w:tbl>
      <w:tblPr>
        <w:tblStyle w:val="28"/>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2344"/>
        <w:gridCol w:w="198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rPr>
                <w:rFonts w:hint="eastAsia" w:ascii="宋体" w:hAnsi="宋体"/>
              </w:rPr>
            </w:pPr>
            <w:r>
              <w:rPr>
                <w:rFonts w:hint="eastAsia" w:ascii="宋体" w:hAnsi="宋体"/>
              </w:rPr>
              <w:t>序号</w:t>
            </w:r>
          </w:p>
        </w:tc>
        <w:tc>
          <w:tcPr>
            <w:tcW w:w="4048" w:type="dxa"/>
            <w:gridSpan w:val="2"/>
            <w:noWrap w:val="0"/>
            <w:vAlign w:val="center"/>
          </w:tcPr>
          <w:p>
            <w:pPr>
              <w:ind w:firstLine="0" w:firstLineChars="0"/>
              <w:jc w:val="center"/>
              <w:rPr>
                <w:rFonts w:hint="eastAsia" w:ascii="宋体" w:hAnsi="宋体"/>
              </w:rPr>
            </w:pPr>
            <w:r>
              <w:rPr>
                <w:rFonts w:hint="eastAsia" w:ascii="宋体" w:hAnsi="宋体"/>
              </w:rPr>
              <w:t>项目实施服务内容</w:t>
            </w:r>
          </w:p>
        </w:tc>
        <w:tc>
          <w:tcPr>
            <w:tcW w:w="1985" w:type="dxa"/>
            <w:noWrap w:val="0"/>
            <w:vAlign w:val="center"/>
          </w:tcPr>
          <w:p>
            <w:pPr>
              <w:ind w:firstLine="0" w:firstLineChars="0"/>
              <w:jc w:val="center"/>
              <w:rPr>
                <w:rFonts w:hint="eastAsia" w:ascii="宋体" w:hAnsi="宋体"/>
              </w:rPr>
            </w:pPr>
            <w:r>
              <w:rPr>
                <w:rFonts w:hint="eastAsia" w:ascii="宋体" w:hAnsi="宋体"/>
              </w:rPr>
              <w:t>数量及单位</w:t>
            </w:r>
          </w:p>
        </w:tc>
        <w:tc>
          <w:tcPr>
            <w:tcW w:w="1134" w:type="dxa"/>
            <w:noWrap w:val="0"/>
            <w:vAlign w:val="center"/>
          </w:tcPr>
          <w:p>
            <w:pPr>
              <w:ind w:firstLine="0" w:firstLineChars="0"/>
              <w:jc w:val="center"/>
              <w:rPr>
                <w:rFonts w:hint="eastAsia" w:ascii="宋体" w:hAnsi="宋体"/>
              </w:rPr>
            </w:pPr>
            <w:r>
              <w:rPr>
                <w:rFonts w:hint="eastAsia" w:ascii="宋体" w:hAnsi="宋体"/>
              </w:rPr>
              <w:t>金额</w:t>
            </w:r>
          </w:p>
        </w:tc>
        <w:tc>
          <w:tcPr>
            <w:tcW w:w="992"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1</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2</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3</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hint="eastAsia" w:ascii="宋体" w:hAnsi="宋体"/>
              </w:rPr>
              <w:t>4</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宋体" w:hAnsi="宋体"/>
              </w:rPr>
            </w:pPr>
            <w:r>
              <w:rPr>
                <w:rFonts w:ascii="宋体" w:hAnsi="宋体"/>
              </w:rPr>
              <w:t>…</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817" w:type="dxa"/>
            <w:gridSpan w:val="6"/>
            <w:noWrap w:val="0"/>
            <w:vAlign w:val="center"/>
          </w:tcPr>
          <w:p>
            <w:pPr>
              <w:adjustRightInd w:val="0"/>
              <w:ind w:firstLine="199" w:firstLineChars="83"/>
              <w:textAlignment w:val="baseline"/>
              <w:rPr>
                <w:rFonts w:hint="eastAsia" w:ascii="宋体" w:hAnsi="宋体"/>
              </w:rPr>
            </w:pPr>
            <w:r>
              <w:rPr>
                <w:rFonts w:hint="eastAsia" w:ascii="宋体" w:hAnsi="宋体"/>
              </w:rPr>
              <w:t>其他承诺及需要说明的事项：</w:t>
            </w:r>
          </w:p>
          <w:p>
            <w:pPr>
              <w:ind w:firstLine="48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投标总价</w:t>
            </w:r>
          </w:p>
        </w:tc>
        <w:tc>
          <w:tcPr>
            <w:tcW w:w="6455" w:type="dxa"/>
            <w:gridSpan w:val="4"/>
            <w:noWrap w:val="0"/>
            <w:vAlign w:val="center"/>
          </w:tcPr>
          <w:p>
            <w:pPr>
              <w:ind w:firstLine="480"/>
              <w:rPr>
                <w:rFonts w:hint="eastAsia" w:ascii="宋体" w:hAnsi="宋体"/>
              </w:rPr>
            </w:pPr>
            <w:r>
              <w:rPr>
                <w:rFonts w:hint="eastAsia" w:ascii="宋体" w:hAnsi="宋体"/>
              </w:rPr>
              <w:t>大写：                      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5"/>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80" w:name="_Toc42174820"/>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80"/>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标段</w:t>
      </w:r>
      <w:r>
        <w:rPr>
          <w:rFonts w:hint="eastAsia" w:ascii="宋体" w:hAnsi="宋体" w:cs="宋体"/>
          <w:b/>
          <w:bCs/>
          <w:color w:val="000000"/>
          <w:kern w:val="0"/>
          <w:lang w:val="zh-CN"/>
        </w:rPr>
        <w:t>：</w:t>
      </w:r>
    </w:p>
    <w:tbl>
      <w:tblPr>
        <w:tblStyle w:val="28"/>
        <w:tblW w:w="9796" w:type="dxa"/>
        <w:jc w:val="center"/>
        <w:tblLayout w:type="fixed"/>
        <w:tblCellMar>
          <w:top w:w="0" w:type="dxa"/>
          <w:left w:w="108" w:type="dxa"/>
          <w:bottom w:w="0" w:type="dxa"/>
          <w:right w:w="108" w:type="dxa"/>
        </w:tblCellMar>
      </w:tblPr>
      <w:tblGrid>
        <w:gridCol w:w="923"/>
        <w:gridCol w:w="983"/>
        <w:gridCol w:w="2714"/>
        <w:gridCol w:w="1053"/>
        <w:gridCol w:w="2907"/>
        <w:gridCol w:w="1216"/>
      </w:tblGrid>
      <w:tr>
        <w:tblPrEx>
          <w:tblCellMar>
            <w:top w:w="0" w:type="dxa"/>
            <w:left w:w="108" w:type="dxa"/>
            <w:bottom w:w="0" w:type="dxa"/>
            <w:right w:w="108" w:type="dxa"/>
          </w:tblCellMar>
        </w:tblPrEx>
        <w:trPr>
          <w:trHeight w:val="525" w:hRule="atLeast"/>
          <w:jc w:val="center"/>
        </w:trPr>
        <w:tc>
          <w:tcPr>
            <w:tcW w:w="923"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rPr>
            </w:pPr>
            <w:r>
              <w:rPr>
                <w:rFonts w:hint="eastAsia" w:ascii="宋体" w:hAnsi="宋体" w:cs="宋体"/>
              </w:rPr>
              <w:t>序号</w:t>
            </w:r>
          </w:p>
        </w:tc>
        <w:tc>
          <w:tcPr>
            <w:tcW w:w="3697" w:type="dxa"/>
            <w:gridSpan w:val="2"/>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rPr>
            </w:pPr>
            <w:r>
              <w:rPr>
                <w:rFonts w:hint="eastAsia" w:ascii="宋体" w:hAnsi="宋体" w:cs="宋体"/>
              </w:rPr>
              <w:t>招标文件</w:t>
            </w:r>
            <w:r>
              <w:rPr>
                <w:rFonts w:hint="eastAsia" w:ascii="宋体" w:hAnsi="宋体" w:cs="宋体"/>
                <w:lang w:val="en-US" w:eastAsia="zh-CN"/>
              </w:rPr>
              <w:t>技术服务要求</w:t>
            </w:r>
            <w:r>
              <w:rPr>
                <w:rFonts w:hint="eastAsia" w:ascii="宋体" w:hAnsi="宋体" w:cs="宋体"/>
              </w:rPr>
              <w:t>参数、指标</w:t>
            </w:r>
          </w:p>
        </w:tc>
        <w:tc>
          <w:tcPr>
            <w:tcW w:w="3960" w:type="dxa"/>
            <w:gridSpan w:val="2"/>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rPr>
            </w:pPr>
            <w:r>
              <w:rPr>
                <w:rFonts w:hint="eastAsia" w:ascii="宋体" w:hAnsi="宋体" w:cs="宋体"/>
              </w:rPr>
              <w:t>投标技术</w:t>
            </w:r>
            <w:r>
              <w:rPr>
                <w:rFonts w:hint="eastAsia" w:ascii="宋体" w:hAnsi="宋体" w:cs="宋体"/>
                <w:lang w:val="en-US" w:eastAsia="zh-CN"/>
              </w:rPr>
              <w:t>技术服务</w:t>
            </w:r>
            <w:r>
              <w:rPr>
                <w:rFonts w:hint="eastAsia" w:ascii="宋体" w:hAnsi="宋体" w:cs="宋体"/>
              </w:rPr>
              <w:t>参数、指标</w:t>
            </w:r>
          </w:p>
        </w:tc>
        <w:tc>
          <w:tcPr>
            <w:tcW w:w="1216"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rPr>
            </w:pPr>
            <w:r>
              <w:rPr>
                <w:rFonts w:hint="eastAsia" w:ascii="宋体" w:hAnsi="宋体" w:cs="宋体"/>
              </w:rPr>
              <w:t>偏离</w:t>
            </w:r>
          </w:p>
        </w:tc>
      </w:tr>
      <w:tr>
        <w:tblPrEx>
          <w:tblCellMar>
            <w:top w:w="0" w:type="dxa"/>
            <w:left w:w="108" w:type="dxa"/>
            <w:bottom w:w="0" w:type="dxa"/>
            <w:right w:w="108" w:type="dxa"/>
          </w:tblCellMar>
        </w:tblPrEx>
        <w:trPr>
          <w:trHeight w:val="640" w:hRule="atLeast"/>
          <w:jc w:val="center"/>
        </w:trPr>
        <w:tc>
          <w:tcPr>
            <w:tcW w:w="923"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firstLine="420"/>
              <w:jc w:val="center"/>
              <w:rPr>
                <w:rFonts w:ascii="宋体" w:hAnsi="宋体" w:cs="宋体"/>
              </w:rPr>
            </w:pPr>
          </w:p>
        </w:tc>
        <w:tc>
          <w:tcPr>
            <w:tcW w:w="983" w:type="dxa"/>
            <w:tcBorders>
              <w:top w:val="nil"/>
              <w:left w:val="single" w:color="000000" w:sz="8" w:space="0"/>
              <w:bottom w:val="single" w:color="000000" w:sz="8"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cs="宋体"/>
              </w:rPr>
              <w:t>名称</w:t>
            </w:r>
          </w:p>
        </w:tc>
        <w:tc>
          <w:tcPr>
            <w:tcW w:w="27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rPr>
            </w:pPr>
            <w:r>
              <w:rPr>
                <w:rFonts w:hint="eastAsia" w:ascii="宋体" w:hAnsi="宋体" w:cs="宋体"/>
              </w:rPr>
              <w:t>技术</w:t>
            </w:r>
            <w:r>
              <w:rPr>
                <w:rFonts w:hint="eastAsia" w:ascii="宋体" w:hAnsi="宋体" w:cs="宋体"/>
                <w:lang w:val="en-US" w:eastAsia="zh-CN"/>
              </w:rPr>
              <w:t>服务要求</w:t>
            </w:r>
            <w:r>
              <w:rPr>
                <w:rFonts w:hint="eastAsia" w:ascii="宋体" w:hAnsi="宋体" w:cs="宋体"/>
              </w:rPr>
              <w:t>参数</w:t>
            </w:r>
          </w:p>
        </w:tc>
        <w:tc>
          <w:tcPr>
            <w:tcW w:w="1053" w:type="dxa"/>
            <w:tcBorders>
              <w:top w:val="nil"/>
              <w:left w:val="single" w:color="auto" w:sz="4" w:space="0"/>
              <w:bottom w:val="single" w:color="000000" w:sz="8" w:space="0"/>
              <w:right w:val="single" w:color="000000" w:sz="8" w:space="0"/>
            </w:tcBorders>
            <w:shd w:val="clear" w:color="000000" w:fill="FFFFFF"/>
            <w:vAlign w:val="center"/>
          </w:tcPr>
          <w:p>
            <w:pPr>
              <w:widowControl/>
              <w:jc w:val="center"/>
              <w:rPr>
                <w:rFonts w:ascii="宋体" w:hAnsi="宋体" w:cs="宋体"/>
              </w:rPr>
            </w:pPr>
            <w:r>
              <w:rPr>
                <w:rFonts w:hint="eastAsia" w:ascii="宋体" w:hAnsi="宋体" w:cs="宋体"/>
              </w:rPr>
              <w:t>名称</w:t>
            </w:r>
          </w:p>
        </w:tc>
        <w:tc>
          <w:tcPr>
            <w:tcW w:w="2907"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rPr>
            </w:pPr>
            <w:r>
              <w:rPr>
                <w:rFonts w:hint="eastAsia" w:ascii="宋体" w:hAnsi="宋体" w:cs="宋体"/>
              </w:rPr>
              <w:t>技术</w:t>
            </w:r>
            <w:r>
              <w:rPr>
                <w:rFonts w:hint="eastAsia" w:ascii="宋体" w:hAnsi="宋体" w:cs="宋体"/>
                <w:lang w:val="en-US" w:eastAsia="zh-CN"/>
              </w:rPr>
              <w:t>服务要求</w:t>
            </w:r>
            <w:r>
              <w:rPr>
                <w:rFonts w:hint="eastAsia" w:ascii="宋体" w:hAnsi="宋体" w:cs="宋体"/>
              </w:rPr>
              <w:t>参数</w:t>
            </w:r>
          </w:p>
        </w:tc>
        <w:tc>
          <w:tcPr>
            <w:tcW w:w="1216"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firstLine="420"/>
              <w:jc w:val="center"/>
              <w:rPr>
                <w:rFonts w:ascii="宋体" w:hAnsi="宋体" w:cs="宋体"/>
              </w:rPr>
            </w:pPr>
          </w:p>
        </w:tc>
      </w:tr>
      <w:tr>
        <w:tblPrEx>
          <w:tblCellMar>
            <w:top w:w="0" w:type="dxa"/>
            <w:left w:w="108" w:type="dxa"/>
            <w:bottom w:w="0" w:type="dxa"/>
            <w:right w:w="108" w:type="dxa"/>
          </w:tblCellMar>
        </w:tblPrEx>
        <w:trPr>
          <w:trHeight w:val="444" w:hRule="atLeast"/>
          <w:jc w:val="center"/>
        </w:trPr>
        <w:tc>
          <w:tcPr>
            <w:tcW w:w="923"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Arial" w:hAnsi="Arial" w:cs="Arial"/>
              </w:rPr>
            </w:pPr>
            <w:r>
              <w:rPr>
                <w:rFonts w:hint="eastAsia" w:ascii="Arial" w:hAnsi="Arial" w:cs="Arial"/>
              </w:rPr>
              <w:t>1</w:t>
            </w:r>
          </w:p>
        </w:tc>
        <w:tc>
          <w:tcPr>
            <w:tcW w:w="983"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2714" w:type="dxa"/>
            <w:tcBorders>
              <w:top w:val="single" w:color="auto" w:sz="4" w:space="0"/>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1053"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2907"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1216"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r>
      <w:tr>
        <w:tblPrEx>
          <w:tblCellMar>
            <w:top w:w="0" w:type="dxa"/>
            <w:left w:w="108" w:type="dxa"/>
            <w:bottom w:w="0" w:type="dxa"/>
            <w:right w:w="108" w:type="dxa"/>
          </w:tblCellMar>
        </w:tblPrEx>
        <w:trPr>
          <w:trHeight w:val="444" w:hRule="atLeast"/>
          <w:jc w:val="center"/>
        </w:trPr>
        <w:tc>
          <w:tcPr>
            <w:tcW w:w="923"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Arial" w:hAnsi="Arial" w:cs="Arial"/>
              </w:rPr>
            </w:pPr>
            <w:r>
              <w:rPr>
                <w:rFonts w:hint="eastAsia" w:ascii="Arial" w:hAnsi="Arial" w:cs="Arial"/>
              </w:rPr>
              <w:t>2</w:t>
            </w:r>
          </w:p>
        </w:tc>
        <w:tc>
          <w:tcPr>
            <w:tcW w:w="983"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2714"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1053"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2907"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1216"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r>
      <w:tr>
        <w:tblPrEx>
          <w:tblCellMar>
            <w:top w:w="0" w:type="dxa"/>
            <w:left w:w="108" w:type="dxa"/>
            <w:bottom w:w="0" w:type="dxa"/>
            <w:right w:w="108" w:type="dxa"/>
          </w:tblCellMar>
        </w:tblPrEx>
        <w:trPr>
          <w:trHeight w:val="464" w:hRule="atLeast"/>
          <w:jc w:val="center"/>
        </w:trPr>
        <w:tc>
          <w:tcPr>
            <w:tcW w:w="923"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Arial" w:hAnsi="Arial" w:cs="Arial"/>
              </w:rPr>
            </w:pPr>
            <w:r>
              <w:rPr>
                <w:rFonts w:ascii="Arial" w:hAnsi="Arial" w:cs="Arial"/>
              </w:rPr>
              <w:t>…</w:t>
            </w:r>
          </w:p>
        </w:tc>
        <w:tc>
          <w:tcPr>
            <w:tcW w:w="983"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2714"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1053"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2907"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c>
          <w:tcPr>
            <w:tcW w:w="1216" w:type="dxa"/>
            <w:tcBorders>
              <w:top w:val="nil"/>
              <w:left w:val="nil"/>
              <w:bottom w:val="single" w:color="000000" w:sz="8" w:space="0"/>
              <w:right w:val="single" w:color="000000" w:sz="8" w:space="0"/>
            </w:tcBorders>
            <w:shd w:val="clear" w:color="000000" w:fill="FFFFFF"/>
            <w:vAlign w:val="center"/>
          </w:tcPr>
          <w:p>
            <w:pPr>
              <w:widowControl/>
              <w:ind w:firstLine="420"/>
              <w:jc w:val="center"/>
              <w:rPr>
                <w:rFonts w:ascii="Arial" w:hAnsi="Arial" w:cs="Arial"/>
              </w:rPr>
            </w:pPr>
          </w:p>
        </w:tc>
      </w:tr>
    </w:tbl>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注：1.本表应按照“</w:t>
      </w:r>
      <w:r>
        <w:rPr>
          <w:rFonts w:hint="eastAsia" w:ascii="宋体" w:hAnsi="宋体" w:cs="宋体"/>
          <w:color w:val="000000"/>
          <w:szCs w:val="36"/>
          <w:lang w:val="zh-CN"/>
        </w:rPr>
        <w:t>第五部分</w:t>
      </w:r>
      <w:r>
        <w:rPr>
          <w:rFonts w:hint="eastAsia" w:ascii="宋体" w:hAnsi="宋体" w:cs="宋体"/>
          <w:color w:val="000000"/>
          <w:szCs w:val="36"/>
          <w:lang w:val="en-US" w:eastAsia="zh-CN"/>
        </w:rPr>
        <w:t xml:space="preserve"> </w:t>
      </w:r>
      <w:r>
        <w:rPr>
          <w:rFonts w:hint="eastAsia" w:ascii="宋体" w:hAnsi="宋体" w:cs="宋体"/>
          <w:color w:val="000000"/>
          <w:szCs w:val="36"/>
          <w:lang w:val="zh-CN"/>
        </w:rPr>
        <w:t>采购项目要求及技术参数</w:t>
      </w:r>
      <w:r>
        <w:rPr>
          <w:rFonts w:hint="eastAsia" w:ascii="宋体" w:hAnsi="宋体" w:cs="宋体"/>
          <w:color w:val="000000"/>
          <w:kern w:val="0"/>
        </w:rPr>
        <w:t xml:space="preserve">”每包中产品序号的指标逐项填写，不得遗漏，否则，按无效投标处理。 </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2.“投标产品技术参数、指标”直接复制招标文件“采购需求技术参数、指标”内容的，按无效投标处理。 </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3.填写此表时以招标项目参数要求为基本投标要求，满足招标项目参数要求的指标需列出“0”；超出、不满足招标项目参数要求的指标需列出“+”、“-”偏差，并做出详细说明；如果只注明“+”、“-”或未填写，将视为该项指标不响应。 </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4.投标人响应采购需求应具体、明确，含糊不清、不确切或伪造、编造证明材料的，按照实质性不响应处理。对伪造、编造证明材料的，将报告本级财政部门。 </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ind w:firstLine="3253"/>
        <w:rPr>
          <w:rFonts w:ascii="宋体" w:hAnsi="宋体" w:cs="宋体"/>
          <w:color w:val="000000"/>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r>
        <w:rPr>
          <w:rFonts w:hint="eastAsia" w:ascii="宋体" w:hAnsi="宋体" w:cs="宋体"/>
          <w:color w:val="000000"/>
          <w:kern w:val="0"/>
          <w:lang w:val="zh-CN"/>
        </w:rPr>
        <w:br w:type="page"/>
      </w:r>
      <w:bookmarkStart w:id="81" w:name="_Toc42174821"/>
      <w:bookmarkStart w:id="82" w:name="_Toc14290"/>
      <w:r>
        <w:rPr>
          <w:rStyle w:val="55"/>
          <w:rFonts w:hint="eastAsia"/>
          <w:sz w:val="32"/>
          <w:szCs w:val="28"/>
        </w:rPr>
        <w:t>（15）</w:t>
      </w:r>
      <w:r>
        <w:rPr>
          <w:rStyle w:val="55"/>
          <w:rFonts w:hint="eastAsia" w:cs="Times New Roman"/>
          <w:sz w:val="32"/>
          <w:szCs w:val="28"/>
          <w:lang w:val="zh-CN"/>
        </w:rPr>
        <w:t>投标</w:t>
      </w:r>
      <w:r>
        <w:rPr>
          <w:rStyle w:val="55"/>
          <w:rFonts w:hint="eastAsia" w:cs="Times New Roman"/>
          <w:sz w:val="32"/>
          <w:szCs w:val="28"/>
          <w:lang w:val="en-US" w:eastAsia="zh-CN"/>
        </w:rPr>
        <w:t>服务响应方案</w:t>
      </w:r>
      <w:r>
        <w:rPr>
          <w:rStyle w:val="55"/>
          <w:rFonts w:hint="eastAsia" w:cs="Times New Roman"/>
          <w:sz w:val="32"/>
          <w:szCs w:val="28"/>
          <w:lang w:val="zh-CN"/>
        </w:rPr>
        <w:t>相关资料</w:t>
      </w:r>
      <w:bookmarkEnd w:id="81"/>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w:t>
      </w:r>
      <w:r>
        <w:rPr>
          <w:rFonts w:hint="eastAsia" w:ascii="宋体" w:hAnsi="宋体" w:cs="宋体"/>
          <w:b/>
          <w:bCs/>
          <w:color w:val="000000"/>
          <w:kern w:val="0"/>
          <w:sz w:val="28"/>
          <w:szCs w:val="28"/>
          <w:lang w:val="en-US" w:eastAsia="zh-CN"/>
        </w:rPr>
        <w:t>服务响应方案</w:t>
      </w:r>
      <w:r>
        <w:rPr>
          <w:rFonts w:hint="eastAsia" w:ascii="宋体" w:hAnsi="宋体" w:cs="宋体"/>
          <w:b/>
          <w:bCs/>
          <w:color w:val="000000"/>
          <w:kern w:val="0"/>
          <w:sz w:val="28"/>
          <w:szCs w:val="28"/>
          <w:lang w:val="zh-CN"/>
        </w:rPr>
        <w:t>相关资料</w:t>
      </w:r>
    </w:p>
    <w:p>
      <w:pPr>
        <w:pStyle w:val="25"/>
        <w:spacing w:before="0" w:after="0" w:line="360" w:lineRule="auto"/>
        <w:jc w:val="left"/>
        <w:outlineLvl w:val="1"/>
        <w:rPr>
          <w:rFonts w:ascii="宋体" w:hAnsi="宋体" w:cs="宋体"/>
          <w:color w:val="000000"/>
          <w:kern w:val="0"/>
          <w:lang w:val="zh-CN"/>
        </w:rPr>
      </w:pPr>
    </w:p>
    <w:p>
      <w:pPr>
        <w:autoSpaceDE w:val="0"/>
        <w:autoSpaceDN w:val="0"/>
        <w:spacing w:line="360" w:lineRule="auto"/>
        <w:ind w:firstLine="480" w:firstLineChars="200"/>
        <w:rPr>
          <w:rFonts w:ascii="宋体" w:hAnsi="宋体" w:cs="宋体"/>
          <w:color w:val="000000"/>
          <w:kern w:val="0"/>
          <w:highlight w:val="yellow"/>
        </w:rPr>
      </w:pPr>
      <w:bookmarkStart w:id="83" w:name="_Toc42174823"/>
      <w:bookmarkStart w:id="84" w:name="_Toc42174822"/>
      <w:r>
        <w:rPr>
          <w:rFonts w:hint="eastAsia" w:ascii="宋体" w:hAnsi="宋体" w:cs="宋体"/>
          <w:color w:val="000000"/>
          <w:kern w:val="0"/>
          <w:highlight w:val="none"/>
        </w:rPr>
        <w:t>根据采购项目内容，投标时提供</w:t>
      </w:r>
      <w:r>
        <w:rPr>
          <w:rFonts w:hint="eastAsia" w:ascii="宋体" w:hAnsi="宋体" w:cs="宋体"/>
          <w:color w:val="000000"/>
          <w:kern w:val="0"/>
          <w:highlight w:val="none"/>
          <w:lang w:val="en-US" w:eastAsia="zh-CN"/>
        </w:rPr>
        <w:t>服务响应方案和</w:t>
      </w:r>
      <w:r>
        <w:rPr>
          <w:rFonts w:hint="eastAsia" w:ascii="宋体" w:hAnsi="宋体" w:cs="宋体"/>
          <w:color w:val="000000"/>
          <w:kern w:val="0"/>
          <w:highlight w:val="none"/>
        </w:rPr>
        <w:t>国家认可的质监机构出具的投标产品的产品检验报告、证明技术参数响应的相关资料、彩页（或厂家公开发布的资料参数）、相关认证等资料。</w:t>
      </w: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ind w:firstLine="602" w:firstLineChars="200"/>
        <w:jc w:val="left"/>
        <w:outlineLvl w:val="1"/>
        <w:rPr>
          <w:rFonts w:ascii="宋体" w:hAnsi="宋体" w:cs="宋体"/>
          <w:color w:val="000000"/>
          <w:sz w:val="30"/>
          <w:szCs w:val="30"/>
        </w:rPr>
      </w:pPr>
    </w:p>
    <w:p>
      <w:pPr>
        <w:pStyle w:val="25"/>
        <w:spacing w:before="0" w:after="0" w:line="360" w:lineRule="auto"/>
        <w:jc w:val="left"/>
        <w:outlineLvl w:val="1"/>
        <w:rPr>
          <w:rFonts w:ascii="宋体" w:hAnsi="宋体" w:cs="宋体"/>
          <w:color w:val="000000"/>
        </w:rPr>
      </w:pPr>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82"/>
      <w:bookmarkEnd w:id="83"/>
      <w:bookmarkEnd w:id="8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pStyle w:val="25"/>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bookmarkStart w:id="85" w:name="_Toc42174824"/>
      <w:bookmarkStart w:id="86" w:name="_Toc10010"/>
      <w:r>
        <w:rPr>
          <w:rFonts w:hint="eastAsia" w:ascii="宋体" w:hAnsi="宋体" w:cs="宋体"/>
          <w:b w:val="0"/>
          <w:bCs w:val="0"/>
          <w:color w:val="000000"/>
          <w:kern w:val="0"/>
          <w:sz w:val="24"/>
          <w:szCs w:val="24"/>
          <w:lang w:val="zh-CN"/>
        </w:rPr>
        <w:t>提供自</w:t>
      </w:r>
      <w:r>
        <w:rPr>
          <w:rFonts w:hint="eastAsia" w:ascii="宋体" w:hAnsi="宋体" w:cs="宋体"/>
          <w:b w:val="0"/>
          <w:bCs w:val="0"/>
          <w:color w:val="000000"/>
          <w:kern w:val="0"/>
          <w:sz w:val="24"/>
          <w:szCs w:val="24"/>
          <w:highlight w:val="none"/>
          <w:lang w:val="zh-CN"/>
        </w:rPr>
        <w:t>201</w:t>
      </w:r>
      <w:r>
        <w:rPr>
          <w:rFonts w:hint="eastAsia" w:ascii="宋体" w:hAnsi="宋体" w:cs="宋体"/>
          <w:b w:val="0"/>
          <w:bCs w:val="0"/>
          <w:color w:val="000000"/>
          <w:kern w:val="0"/>
          <w:sz w:val="24"/>
          <w:szCs w:val="24"/>
          <w:highlight w:val="none"/>
          <w:lang w:val="en-US" w:eastAsia="zh-CN"/>
        </w:rPr>
        <w:t>9</w:t>
      </w:r>
      <w:r>
        <w:rPr>
          <w:rFonts w:hint="eastAsia" w:ascii="宋体" w:hAnsi="宋体" w:cs="宋体"/>
          <w:b w:val="0"/>
          <w:bCs w:val="0"/>
          <w:color w:val="000000"/>
          <w:kern w:val="0"/>
          <w:sz w:val="24"/>
          <w:szCs w:val="24"/>
          <w:highlight w:val="none"/>
          <w:lang w:val="zh-CN"/>
        </w:rPr>
        <w:t>年以来的类似业绩证</w:t>
      </w:r>
      <w:r>
        <w:rPr>
          <w:rFonts w:hint="eastAsia" w:ascii="宋体" w:hAnsi="宋体" w:cs="宋体"/>
          <w:b w:val="0"/>
          <w:bCs w:val="0"/>
          <w:color w:val="000000"/>
          <w:kern w:val="0"/>
          <w:sz w:val="24"/>
          <w:szCs w:val="24"/>
          <w:lang w:val="zh-CN"/>
        </w:rPr>
        <w:t>明材料。</w:t>
      </w:r>
      <w:r>
        <w:rPr>
          <w:rFonts w:hint="eastAsia" w:ascii="宋体" w:hAnsi="宋体" w:cs="宋体"/>
          <w:b w:val="0"/>
          <w:bCs w:val="0"/>
          <w:color w:val="000000"/>
          <w:kern w:val="0"/>
          <w:sz w:val="24"/>
          <w:szCs w:val="24"/>
          <w:highlight w:val="none"/>
          <w:lang w:val="zh-CN"/>
        </w:rPr>
        <w:t>类似业绩是指与采购项目在服务类型、服务功能</w:t>
      </w:r>
      <w:r>
        <w:rPr>
          <w:rFonts w:hint="eastAsia" w:ascii="宋体" w:hAnsi="宋体" w:cs="宋体"/>
          <w:b w:val="0"/>
          <w:bCs w:val="0"/>
          <w:color w:val="000000"/>
          <w:kern w:val="0"/>
          <w:sz w:val="24"/>
          <w:szCs w:val="24"/>
          <w:highlight w:val="none"/>
          <w:lang w:val="zh-CN" w:eastAsia="zh-CN"/>
        </w:rPr>
        <w:t>、</w:t>
      </w:r>
      <w:r>
        <w:rPr>
          <w:rFonts w:hint="eastAsia" w:ascii="宋体" w:hAnsi="宋体" w:cs="宋体"/>
          <w:b w:val="0"/>
          <w:bCs w:val="0"/>
          <w:color w:val="000000"/>
          <w:kern w:val="0"/>
          <w:sz w:val="24"/>
          <w:szCs w:val="24"/>
          <w:highlight w:val="none"/>
          <w:lang w:val="zh-CN"/>
        </w:rPr>
        <w:t>合同规模等方面相同或相近的项目。需提供</w:t>
      </w:r>
      <w:bookmarkEnd w:id="85"/>
      <w:r>
        <w:rPr>
          <w:rFonts w:hint="eastAsia" w:ascii="宋体" w:hAnsi="宋体" w:cs="宋体"/>
          <w:b w:val="0"/>
          <w:bCs w:val="0"/>
          <w:color w:val="000000"/>
          <w:kern w:val="0"/>
          <w:sz w:val="24"/>
          <w:szCs w:val="24"/>
          <w:highlight w:val="none"/>
          <w:lang w:val="zh-CN"/>
        </w:rPr>
        <w:t>合同及证明材料复印件，并对以上材料真实性负责。</w:t>
      </w: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480" w:firstLineChars="200"/>
        <w:jc w:val="left"/>
        <w:outlineLvl w:val="1"/>
        <w:rPr>
          <w:rFonts w:ascii="宋体" w:hAnsi="宋体" w:cs="宋体"/>
          <w:b w:val="0"/>
          <w:bCs w:val="0"/>
          <w:color w:val="000000"/>
          <w:kern w:val="0"/>
          <w:sz w:val="24"/>
          <w:szCs w:val="24"/>
          <w:lang w:val="zh-CN"/>
        </w:rPr>
      </w:pPr>
    </w:p>
    <w:p>
      <w:pPr>
        <w:pStyle w:val="25"/>
        <w:spacing w:before="0" w:after="0" w:line="360" w:lineRule="auto"/>
        <w:ind w:firstLine="602" w:firstLineChars="200"/>
        <w:jc w:val="left"/>
        <w:outlineLvl w:val="1"/>
        <w:rPr>
          <w:rFonts w:ascii="宋体" w:hAnsi="宋体" w:cs="宋体"/>
          <w:color w:val="000000"/>
          <w:lang w:val="zh-CN"/>
        </w:rPr>
      </w:pPr>
      <w:bookmarkStart w:id="87" w:name="_Toc42174825"/>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86"/>
      <w:bookmarkEnd w:id="8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致：青海圣诺工程咨询管理有限公司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5"/>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88" w:name="_Toc42174826"/>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8"/>
    </w:p>
    <w:p>
      <w:pPr>
        <w:adjustRightInd w:val="0"/>
        <w:snapToGrid w:val="0"/>
        <w:spacing w:line="440" w:lineRule="exact"/>
        <w:ind w:left="6960" w:hanging="6987" w:hangingChars="2900"/>
        <w:jc w:val="center"/>
        <w:rPr>
          <w:rFonts w:ascii="宋体" w:hAnsi="宋体" w:cs="宋体"/>
          <w:b/>
          <w:bCs/>
          <w:color w:val="000000"/>
          <w:kern w:val="0"/>
          <w:lang w:val="zh-CN"/>
        </w:rPr>
      </w:pPr>
    </w:p>
    <w:p>
      <w:pPr>
        <w:adjustRightInd w:val="0"/>
        <w:snapToGrid w:val="0"/>
        <w:spacing w:line="440" w:lineRule="exact"/>
        <w:ind w:left="8120"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60" w:hanging="6987" w:hangingChars="2900"/>
        <w:rPr>
          <w:rFonts w:ascii="宋体" w:hAnsi="宋体" w:cs="宋体"/>
          <w:b/>
          <w:bCs/>
          <w:color w:val="000000"/>
          <w:kern w:val="0"/>
          <w:lang w:val="zh-CN"/>
        </w:rPr>
      </w:pPr>
    </w:p>
    <w:p>
      <w:pPr>
        <w:adjustRightInd w:val="0"/>
        <w:snapToGrid w:val="0"/>
        <w:spacing w:line="440" w:lineRule="exact"/>
        <w:ind w:left="6960" w:hanging="6987" w:hangingChars="2900"/>
        <w:rPr>
          <w:rFonts w:ascii="宋体" w:hAnsi="宋体" w:cs="宋体"/>
          <w:color w:val="000000"/>
        </w:rPr>
      </w:pPr>
      <w:r>
        <w:rPr>
          <w:rFonts w:hint="eastAsia" w:ascii="宋体" w:hAnsi="宋体" w:cs="宋体"/>
          <w:b/>
          <w:bCs/>
          <w:color w:val="000000"/>
          <w:kern w:val="0"/>
          <w:lang w:val="zh-CN"/>
        </w:rPr>
        <w:t>致：青海圣诺工程咨询管理有限公司</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5"/>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9" w:name="_Toc42174827"/>
      <w:bookmarkStart w:id="90"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9"/>
    </w:p>
    <w:p>
      <w:pPr>
        <w:jc w:val="center"/>
        <w:rPr>
          <w:rFonts w:ascii="宋体" w:hAnsi="宋体" w:cs="宋体"/>
          <w:b/>
          <w:sz w:val="36"/>
          <w:szCs w:val="36"/>
        </w:rPr>
      </w:pPr>
      <w:bookmarkStart w:id="91" w:name="OLE_LINK13"/>
      <w:bookmarkStart w:id="92" w:name="OLE_LINK14"/>
    </w:p>
    <w:p>
      <w:pPr>
        <w:jc w:val="center"/>
        <w:rPr>
          <w:rFonts w:ascii="宋体" w:hAnsi="宋体" w:cs="宋体"/>
          <w:b/>
          <w:sz w:val="36"/>
          <w:szCs w:val="36"/>
        </w:rPr>
      </w:pPr>
      <w:r>
        <w:rPr>
          <w:rFonts w:hint="eastAsia" w:ascii="宋体" w:hAnsi="宋体" w:cs="宋体"/>
          <w:b/>
          <w:sz w:val="36"/>
          <w:szCs w:val="36"/>
        </w:rPr>
        <w:t>残疾人福利性单位声明函</w:t>
      </w:r>
    </w:p>
    <w:bookmarkEnd w:id="91"/>
    <w:bookmarkEnd w:id="92"/>
    <w:p>
      <w:pPr>
        <w:spacing w:after="163" w:afterLines="50"/>
        <w:rPr>
          <w:rFonts w:ascii="宋体" w:hAnsi="宋体" w:cs="宋体"/>
          <w:bCs/>
        </w:rPr>
      </w:pPr>
    </w:p>
    <w:p>
      <w:pPr>
        <w:spacing w:after="163" w:afterLines="50"/>
        <w:rPr>
          <w:rFonts w:ascii="宋体" w:hAnsi="宋体" w:cs="宋体"/>
          <w:b/>
          <w:bCs/>
        </w:rPr>
      </w:pPr>
      <w:r>
        <w:rPr>
          <w:rFonts w:hint="eastAsia" w:ascii="宋体" w:hAnsi="宋体" w:cs="宋体"/>
          <w:b/>
          <w:bCs/>
        </w:rPr>
        <w:t>致：</w:t>
      </w:r>
      <w:r>
        <w:rPr>
          <w:rFonts w:hint="eastAsia" w:ascii="宋体" w:hAnsi="宋体" w:cs="宋体"/>
          <w:b/>
          <w:bCs/>
          <w:color w:val="000000"/>
          <w:kern w:val="0"/>
          <w:lang w:val="zh-CN"/>
        </w:rPr>
        <w:t>青海圣诺工程咨询管理有限公司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25"/>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93" w:name="_Toc42174828"/>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90"/>
      <w:bookmarkEnd w:id="9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ind w:firstLine="3120" w:firstLineChars="1300"/>
        <w:rPr>
          <w:rFonts w:ascii="宋体" w:hAnsi="宋体" w:cs="宋体"/>
          <w:color w:val="000000"/>
          <w:lang w:val="zh-CN"/>
        </w:rPr>
      </w:pPr>
      <w:r>
        <w:rPr>
          <w:rFonts w:hint="eastAsia" w:ascii="宋体" w:hAnsi="宋体" w:cs="宋体"/>
          <w:color w:val="000000"/>
          <w:lang w:val="zh-CN"/>
        </w:rPr>
        <w:t>（格式自定）</w:t>
      </w:r>
    </w:p>
    <w:p>
      <w:pPr>
        <w:pStyle w:val="25"/>
        <w:spacing w:before="0" w:after="0" w:line="360" w:lineRule="auto"/>
        <w:rPr>
          <w:rFonts w:ascii="宋体" w:hAnsi="宋体" w:cs="宋体"/>
          <w:color w:val="000000"/>
        </w:rPr>
      </w:pPr>
      <w:r>
        <w:rPr>
          <w:rFonts w:hint="eastAsia" w:ascii="宋体" w:hAnsi="宋体" w:cs="宋体"/>
          <w:color w:val="000000"/>
          <w:lang w:val="zh-CN"/>
        </w:rPr>
        <w:br w:type="page"/>
      </w:r>
      <w:bookmarkStart w:id="94" w:name="_Toc42174829"/>
      <w:bookmarkStart w:id="95" w:name="_Toc18752"/>
      <w:r>
        <w:rPr>
          <w:rFonts w:hint="eastAsia" w:ascii="宋体" w:hAnsi="宋体" w:cs="宋体"/>
          <w:color w:val="000000"/>
          <w:szCs w:val="36"/>
          <w:lang w:val="zh-CN"/>
        </w:rPr>
        <w:t>第五部分  采购项目要求及技术参数</w:t>
      </w:r>
      <w:bookmarkEnd w:id="94"/>
      <w:bookmarkEnd w:id="95"/>
    </w:p>
    <w:p>
      <w:pPr>
        <w:pStyle w:val="25"/>
        <w:spacing w:before="0" w:after="0" w:line="360" w:lineRule="auto"/>
        <w:outlineLvl w:val="1"/>
        <w:rPr>
          <w:rFonts w:ascii="宋体" w:hAnsi="宋体" w:cs="宋体"/>
          <w:color w:val="000000"/>
          <w:szCs w:val="36"/>
        </w:rPr>
      </w:pPr>
      <w:bookmarkStart w:id="96" w:name="_Toc42174830"/>
      <w:bookmarkStart w:id="97" w:name="_Toc9451"/>
      <w:r>
        <w:rPr>
          <w:rFonts w:hint="eastAsia" w:ascii="宋体" w:hAnsi="宋体" w:cs="宋体"/>
          <w:color w:val="000000"/>
          <w:lang w:val="zh-CN"/>
        </w:rPr>
        <w:t>（一）投标要求</w:t>
      </w:r>
      <w:bookmarkEnd w:id="96"/>
      <w:bookmarkEnd w:id="97"/>
    </w:p>
    <w:p>
      <w:pPr>
        <w:pStyle w:val="25"/>
        <w:spacing w:before="0" w:after="0" w:line="360" w:lineRule="auto"/>
        <w:jc w:val="left"/>
        <w:outlineLvl w:val="1"/>
        <w:rPr>
          <w:rFonts w:ascii="宋体" w:hAnsi="宋体" w:cs="宋体"/>
          <w:color w:val="000000"/>
          <w:lang w:val="zh-CN"/>
        </w:rPr>
      </w:pPr>
      <w:bookmarkStart w:id="98" w:name="_Toc25746734"/>
      <w:bookmarkStart w:id="99" w:name="_Toc42174831"/>
      <w:bookmarkStart w:id="100" w:name="_Toc4601"/>
      <w:bookmarkStart w:id="101" w:name="_Toc26125"/>
      <w:r>
        <w:rPr>
          <w:rFonts w:hint="eastAsia" w:ascii="宋体" w:hAnsi="宋体" w:cs="宋体"/>
          <w:color w:val="000000"/>
          <w:sz w:val="28"/>
          <w:szCs w:val="28"/>
          <w:lang w:val="zh-CN"/>
        </w:rPr>
        <w:t>1.投标说明</w:t>
      </w:r>
      <w:bookmarkEnd w:id="98"/>
      <w:bookmarkEnd w:id="99"/>
      <w:bookmarkEnd w:id="100"/>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1.1</w:t>
      </w:r>
      <w:r>
        <w:rPr>
          <w:rFonts w:hint="eastAsia" w:ascii="宋体" w:hAnsi="宋体" w:cs="宋体"/>
          <w:kern w:val="0"/>
        </w:rPr>
        <w:t xml:space="preserve">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ind w:firstLine="470" w:firstLineChars="196"/>
        <w:rPr>
          <w:rFonts w:ascii="宋体" w:hAnsi="宋体"/>
        </w:rPr>
      </w:pPr>
      <w:r>
        <w:rPr>
          <w:rFonts w:hint="eastAsia" w:ascii="宋体" w:hAnsi="宋体"/>
        </w:rPr>
        <w:t>1.2投标报价为投标总价。包括</w:t>
      </w:r>
      <w:r>
        <w:t>服务费、人员差旅费、检验费、保险费、硬件设备费、运输费、包装费、安装调试费、税金及不可预见费等全部费用。</w:t>
      </w:r>
      <w:r>
        <w:rPr>
          <w:rFonts w:hint="eastAsia" w:ascii="宋体" w:hAnsi="宋体"/>
        </w:rPr>
        <w:t>若投标报价不能完全包括上述内容，该投标将被认为非实质性响应。</w:t>
      </w:r>
    </w:p>
    <w:p>
      <w:pPr>
        <w:ind w:firstLine="470" w:firstLineChars="196"/>
        <w:rPr>
          <w:lang w:val="zh-CN"/>
        </w:rPr>
      </w:pPr>
      <w:r>
        <w:rPr>
          <w:rFonts w:hint="eastAsia" w:ascii="宋体" w:hAnsi="宋体"/>
        </w:rPr>
        <w:t>1.3所投产品或其任何一部分不得侵犯专利权、著作权、商标权和工业设计权等知识产权。</w:t>
      </w:r>
    </w:p>
    <w:p>
      <w:pPr>
        <w:pStyle w:val="25"/>
        <w:spacing w:before="0" w:after="0" w:line="360" w:lineRule="auto"/>
        <w:jc w:val="left"/>
        <w:outlineLvl w:val="1"/>
        <w:rPr>
          <w:rFonts w:ascii="宋体" w:hAnsi="宋体" w:cs="宋体"/>
          <w:lang w:val="zh-CN"/>
        </w:rPr>
      </w:pPr>
      <w:bookmarkStart w:id="102" w:name="_Toc25746735"/>
      <w:bookmarkStart w:id="103" w:name="_Toc42174832"/>
      <w:r>
        <w:rPr>
          <w:rFonts w:hint="eastAsia" w:ascii="宋体" w:hAnsi="宋体" w:cs="宋体"/>
          <w:sz w:val="28"/>
          <w:szCs w:val="28"/>
        </w:rPr>
        <w:t>2</w:t>
      </w:r>
      <w:r>
        <w:rPr>
          <w:rFonts w:hint="eastAsia" w:ascii="宋体" w:hAnsi="宋体" w:cs="宋体"/>
          <w:sz w:val="28"/>
          <w:szCs w:val="28"/>
          <w:lang w:val="zh-CN"/>
        </w:rPr>
        <w:t>.商务要求</w:t>
      </w:r>
      <w:bookmarkEnd w:id="102"/>
      <w:bookmarkEnd w:id="103"/>
    </w:p>
    <w:p>
      <w:pPr>
        <w:numPr>
          <w:ilvl w:val="0"/>
          <w:numId w:val="0"/>
        </w:numPr>
        <w:spacing w:line="360" w:lineRule="auto"/>
        <w:ind w:leftChars="0" w:firstLine="240" w:firstLineChars="100"/>
        <w:rPr>
          <w:rFonts w:ascii="宋体" w:hAnsi="宋体"/>
          <w:sz w:val="24"/>
          <w:lang w:eastAsia="zh-Hans"/>
        </w:rPr>
      </w:pPr>
      <w:r>
        <w:rPr>
          <w:rFonts w:hint="eastAsia" w:ascii="宋体" w:hAnsi="宋体"/>
          <w:sz w:val="24"/>
          <w:lang w:val="en-US" w:eastAsia="zh-CN"/>
        </w:rPr>
        <w:t>2.1</w:t>
      </w:r>
      <w:r>
        <w:rPr>
          <w:rFonts w:hint="eastAsia" w:ascii="宋体" w:hAnsi="宋体"/>
          <w:sz w:val="24"/>
          <w:lang w:eastAsia="zh-CN"/>
        </w:rPr>
        <w:t>合同履约期限</w:t>
      </w:r>
      <w:r>
        <w:rPr>
          <w:rFonts w:ascii="宋体" w:hAnsi="宋体"/>
          <w:sz w:val="24"/>
          <w:lang w:eastAsia="zh-Hans"/>
        </w:rPr>
        <w:t>：90</w:t>
      </w:r>
      <w:r>
        <w:rPr>
          <w:rFonts w:hint="eastAsia" w:ascii="宋体" w:hAnsi="宋体"/>
          <w:sz w:val="24"/>
          <w:lang w:eastAsia="zh-Hans"/>
        </w:rPr>
        <w:t>个工作日</w:t>
      </w:r>
      <w:r>
        <w:rPr>
          <w:rFonts w:ascii="宋体" w:hAnsi="宋体"/>
          <w:sz w:val="24"/>
          <w:lang w:eastAsia="zh-Hans"/>
        </w:rPr>
        <w:t>；</w:t>
      </w:r>
    </w:p>
    <w:p>
      <w:pPr>
        <w:numPr>
          <w:ilvl w:val="0"/>
          <w:numId w:val="0"/>
        </w:numPr>
        <w:spacing w:line="360" w:lineRule="auto"/>
        <w:ind w:leftChars="0" w:firstLine="240" w:firstLineChars="100"/>
        <w:rPr>
          <w:rFonts w:hint="eastAsia" w:ascii="宋体" w:hAnsi="宋体"/>
          <w:sz w:val="24"/>
        </w:rPr>
      </w:pPr>
      <w:r>
        <w:rPr>
          <w:rFonts w:hint="eastAsia" w:ascii="宋体" w:hAnsi="宋体"/>
          <w:sz w:val="24"/>
          <w:lang w:val="en-US" w:eastAsia="zh-CN"/>
        </w:rPr>
        <w:t>2.2</w:t>
      </w:r>
      <w:r>
        <w:rPr>
          <w:rFonts w:hint="eastAsia" w:ascii="宋体" w:hAnsi="宋体"/>
          <w:sz w:val="24"/>
          <w:lang w:eastAsia="zh-Hans"/>
        </w:rPr>
        <w:t>质保期</w:t>
      </w:r>
      <w:r>
        <w:rPr>
          <w:rFonts w:ascii="宋体" w:hAnsi="宋体"/>
          <w:sz w:val="24"/>
          <w:lang w:eastAsia="zh-Hans"/>
        </w:rPr>
        <w:t>：</w:t>
      </w:r>
      <w:r>
        <w:rPr>
          <w:rFonts w:hint="eastAsia" w:ascii="宋体" w:hAnsi="宋体"/>
          <w:sz w:val="24"/>
        </w:rPr>
        <w:t>三年质保服务；</w:t>
      </w:r>
    </w:p>
    <w:p>
      <w:pPr>
        <w:numPr>
          <w:ilvl w:val="0"/>
          <w:numId w:val="0"/>
        </w:numPr>
        <w:spacing w:line="360" w:lineRule="auto"/>
        <w:ind w:leftChars="0" w:firstLine="240" w:firstLineChars="100"/>
        <w:rPr>
          <w:rFonts w:hint="eastAsia" w:ascii="宋体" w:hAnsi="宋体"/>
          <w:sz w:val="24"/>
          <w:lang w:eastAsia="zh-Hans"/>
        </w:rPr>
      </w:pPr>
      <w:r>
        <w:rPr>
          <w:rFonts w:hint="eastAsia" w:ascii="宋体" w:hAnsi="宋体"/>
          <w:sz w:val="24"/>
          <w:lang w:val="en-US" w:eastAsia="zh-CN"/>
        </w:rPr>
        <w:t>2.3</w:t>
      </w:r>
      <w:r>
        <w:rPr>
          <w:rFonts w:hint="eastAsia" w:ascii="宋体" w:hAnsi="宋体"/>
          <w:sz w:val="24"/>
          <w:lang w:eastAsia="zh-Hans"/>
        </w:rPr>
        <w:t>交货地点</w:t>
      </w:r>
      <w:r>
        <w:rPr>
          <w:rFonts w:ascii="宋体" w:hAnsi="宋体"/>
          <w:sz w:val="24"/>
          <w:lang w:eastAsia="zh-Hans"/>
        </w:rPr>
        <w:t>：</w:t>
      </w:r>
      <w:r>
        <w:rPr>
          <w:rFonts w:hint="eastAsia" w:ascii="宋体" w:hAnsi="宋体"/>
          <w:sz w:val="24"/>
        </w:rPr>
        <w:t>海东市第一人民医院</w:t>
      </w:r>
      <w:r>
        <w:rPr>
          <w:rFonts w:ascii="宋体" w:hAnsi="宋体"/>
          <w:sz w:val="24"/>
        </w:rPr>
        <w:t>。</w:t>
      </w:r>
    </w:p>
    <w:p>
      <w:pPr>
        <w:pStyle w:val="25"/>
        <w:spacing w:before="0" w:after="0" w:line="360" w:lineRule="auto"/>
        <w:jc w:val="left"/>
        <w:outlineLvl w:val="1"/>
        <w:rPr>
          <w:rFonts w:ascii="宋体" w:hAnsi="宋体" w:cs="宋体"/>
          <w:color w:val="000000"/>
          <w:lang w:val="zh-CN"/>
        </w:rPr>
      </w:pPr>
      <w:bookmarkStart w:id="104" w:name="_Toc42174833"/>
      <w:r>
        <w:rPr>
          <w:rFonts w:hint="eastAsia" w:ascii="宋体" w:hAnsi="宋体" w:cs="宋体"/>
          <w:color w:val="000000"/>
          <w:sz w:val="28"/>
          <w:szCs w:val="28"/>
        </w:rPr>
        <w:t>3.</w:t>
      </w:r>
      <w:bookmarkEnd w:id="101"/>
      <w:bookmarkStart w:id="105" w:name="_Toc1475"/>
      <w:r>
        <w:rPr>
          <w:rFonts w:hint="eastAsia" w:ascii="宋体" w:hAnsi="宋体" w:cs="宋体"/>
          <w:color w:val="000000"/>
          <w:sz w:val="28"/>
          <w:szCs w:val="28"/>
          <w:lang w:val="zh-CN"/>
        </w:rPr>
        <w:t>重要指标</w:t>
      </w:r>
      <w:bookmarkEnd w:id="104"/>
      <w:bookmarkEnd w:id="105"/>
    </w:p>
    <w:p>
      <w:pPr>
        <w:ind w:firstLine="470" w:firstLineChars="196"/>
        <w:rPr>
          <w:rFonts w:ascii="宋体" w:hAnsi="宋体" w:cs="宋体"/>
          <w:color w:val="000000"/>
          <w:kern w:val="0"/>
          <w:lang w:val="zh-CN"/>
        </w:rPr>
      </w:pPr>
      <w:bookmarkStart w:id="106" w:name="_Toc18880"/>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rPr>
        <w:t>招标文件在技术参数中列出了招标人可以接受的最低技术指标，投标人必须对技术参数一览表中各项</w:t>
      </w:r>
      <w:r>
        <w:rPr>
          <w:rFonts w:hint="eastAsia" w:ascii="宋体" w:hAnsi="宋体"/>
          <w:lang w:val="en-US" w:eastAsia="zh-CN"/>
        </w:rPr>
        <w:t>要求</w:t>
      </w:r>
      <w:r>
        <w:rPr>
          <w:rFonts w:hint="eastAsia" w:ascii="宋体" w:hAnsi="宋体"/>
        </w:rPr>
        <w:t>和指标进行实质性响应，不能低于所列的各项指标。</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 xml:space="preserve">2 </w:t>
      </w:r>
      <w:bookmarkEnd w:id="106"/>
      <w:bookmarkStart w:id="107" w:name="_Toc28576"/>
      <w:r>
        <w:rPr>
          <w:rFonts w:hint="eastAsia" w:ascii="宋体" w:hAnsi="宋体" w:eastAsia="宋体" w:cs="宋体"/>
          <w:color w:val="000000"/>
          <w:kern w:val="0"/>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firstLineChars="200"/>
        <w:rPr>
          <w:lang w:val="zh-CN"/>
        </w:rPr>
      </w:pPr>
    </w:p>
    <w:p>
      <w:pPr>
        <w:pStyle w:val="25"/>
        <w:numPr>
          <w:ilvl w:val="0"/>
          <w:numId w:val="8"/>
        </w:numPr>
        <w:spacing w:before="0" w:after="0" w:line="360" w:lineRule="auto"/>
        <w:rPr>
          <w:rFonts w:ascii="宋体" w:hAnsi="宋体" w:cs="宋体"/>
          <w:color w:val="000000"/>
          <w:szCs w:val="36"/>
          <w:lang w:val="zh-CN"/>
        </w:rPr>
      </w:pPr>
      <w:bookmarkStart w:id="108" w:name="_Toc42174834"/>
      <w:r>
        <w:rPr>
          <w:rFonts w:hint="eastAsia" w:ascii="宋体" w:hAnsi="宋体" w:cs="宋体"/>
          <w:color w:val="000000"/>
          <w:szCs w:val="36"/>
          <w:lang w:val="zh-CN"/>
        </w:rPr>
        <w:t>项目概况及技术参数</w:t>
      </w:r>
      <w:bookmarkEnd w:id="107"/>
      <w:bookmarkEnd w:id="108"/>
    </w:p>
    <w:p>
      <w:pPr>
        <w:spacing w:line="360" w:lineRule="auto"/>
        <w:ind w:left="5" w:firstLine="412" w:firstLineChars="172"/>
        <w:rPr>
          <w:rFonts w:hint="eastAsia" w:ascii="宋体" w:hAnsi="宋体"/>
          <w:sz w:val="24"/>
        </w:rPr>
      </w:pPr>
      <w:r>
        <w:rPr>
          <w:rFonts w:hint="eastAsia" w:ascii="宋体" w:hAnsi="宋体"/>
          <w:sz w:val="24"/>
        </w:rPr>
        <w:t>海东市第一人民医院信息化平台建设项目，</w:t>
      </w:r>
      <w:r>
        <w:rPr>
          <w:rFonts w:hint="eastAsia" w:ascii="宋体" w:hAnsi="宋体"/>
          <w:sz w:val="24"/>
          <w:lang w:eastAsia="zh-Hans"/>
        </w:rPr>
        <w:t>通过建设</w:t>
      </w:r>
      <w:r>
        <w:rPr>
          <w:rFonts w:hint="eastAsia" w:ascii="宋体" w:hAnsi="宋体"/>
          <w:sz w:val="24"/>
        </w:rPr>
        <w:t>医院信息平台，建立标准的数据交换和集成服务，将原先分布在各业务系统中的信息交换整合到信息平台和数据中心。实现医院各个科室之间信息的互联互通，消除信息孤岛，使信息数据实现充分的共享，优化医院业务流程。构建实时临床数据中心，实现数据资源整合，使信息数据实现充分的共享，提升数据再利用的能力，同时可为管理者提供决策支持，</w:t>
      </w:r>
      <w:r>
        <w:rPr>
          <w:rFonts w:hint="eastAsia" w:ascii="Calibri" w:hAnsi="Calibri"/>
          <w:sz w:val="24"/>
        </w:rPr>
        <w:t>根据</w:t>
      </w:r>
      <w:r>
        <w:rPr>
          <w:rFonts w:hint="eastAsia" w:ascii="Calibri" w:hAnsi="Calibri"/>
          <w:sz w:val="24"/>
          <w:lang w:eastAsia="zh-Hans"/>
        </w:rPr>
        <w:t>医院信息平台部署</w:t>
      </w:r>
      <w:r>
        <w:rPr>
          <w:rFonts w:hint="eastAsia" w:ascii="Calibri" w:hAnsi="Calibri"/>
          <w:sz w:val="24"/>
        </w:rPr>
        <w:t>需要，本次项目</w:t>
      </w:r>
      <w:r>
        <w:rPr>
          <w:rFonts w:hint="eastAsia" w:ascii="Calibri" w:hAnsi="Calibri"/>
          <w:sz w:val="24"/>
          <w:lang w:eastAsia="zh-Hans"/>
        </w:rPr>
        <w:t>需对医院</w:t>
      </w:r>
      <w:r>
        <w:rPr>
          <w:rFonts w:hint="eastAsia" w:ascii="Calibri" w:hAnsi="Calibri"/>
          <w:sz w:val="24"/>
        </w:rPr>
        <w:t>数据中心扩容</w:t>
      </w:r>
      <w:r>
        <w:rPr>
          <w:rFonts w:ascii="Calibri" w:hAnsi="Calibri"/>
          <w:sz w:val="24"/>
        </w:rPr>
        <w:t>，</w:t>
      </w:r>
      <w:r>
        <w:rPr>
          <w:rFonts w:hint="eastAsia" w:ascii="Calibri" w:hAnsi="Calibri"/>
          <w:sz w:val="24"/>
          <w:lang w:eastAsia="zh-Hans"/>
        </w:rPr>
        <w:t>包括</w:t>
      </w:r>
      <w:r>
        <w:rPr>
          <w:rFonts w:hint="eastAsia" w:ascii="Calibri" w:hAnsi="Calibri"/>
          <w:sz w:val="24"/>
        </w:rPr>
        <w:t>数据库服务器，超融合服务器、存储等</w:t>
      </w:r>
      <w:r>
        <w:rPr>
          <w:rFonts w:hint="eastAsia" w:ascii="宋体" w:hAnsi="宋体"/>
          <w:sz w:val="24"/>
        </w:rPr>
        <w:t>设备，详见</w:t>
      </w:r>
      <w:r>
        <w:rPr>
          <w:rFonts w:hint="eastAsia" w:ascii="宋体" w:hAnsi="宋体"/>
          <w:sz w:val="24"/>
          <w:lang w:eastAsia="zh-Hans"/>
        </w:rPr>
        <w:t>招标内容清单</w:t>
      </w:r>
      <w:r>
        <w:rPr>
          <w:rFonts w:hint="eastAsia" w:ascii="宋体" w:hAnsi="宋体"/>
          <w:sz w:val="24"/>
        </w:rPr>
        <w:t>。</w:t>
      </w:r>
    </w:p>
    <w:p>
      <w:pPr>
        <w:spacing w:line="360" w:lineRule="auto"/>
        <w:ind w:left="5" w:firstLine="412" w:firstLineChars="172"/>
        <w:rPr>
          <w:rFonts w:hint="eastAsia" w:ascii="宋体" w:hAnsi="宋体" w:eastAsia="Times New Roman"/>
          <w:sz w:val="24"/>
          <w:lang w:eastAsia="zh-Hans"/>
        </w:rPr>
      </w:pPr>
      <w:r>
        <w:rPr>
          <w:rFonts w:hint="eastAsia" w:ascii="宋体" w:hAnsi="宋体"/>
          <w:sz w:val="24"/>
          <w:lang w:eastAsia="zh-Hans"/>
        </w:rPr>
        <w:t>其他要求</w:t>
      </w:r>
      <w:r>
        <w:rPr>
          <w:rFonts w:ascii="宋体" w:hAnsi="宋体"/>
          <w:sz w:val="24"/>
          <w:lang w:eastAsia="zh-Hans"/>
        </w:rPr>
        <w:t>：</w:t>
      </w:r>
    </w:p>
    <w:p>
      <w:pPr>
        <w:numPr>
          <w:ilvl w:val="0"/>
          <w:numId w:val="9"/>
        </w:numPr>
        <w:spacing w:line="360" w:lineRule="auto"/>
        <w:ind w:left="-413" w:leftChars="0" w:firstLine="413" w:firstLineChars="0"/>
        <w:rPr>
          <w:rFonts w:ascii="宋体" w:hAnsi="宋体"/>
          <w:sz w:val="24"/>
          <w:lang w:eastAsia="zh-Hans"/>
        </w:rPr>
      </w:pPr>
      <w:r>
        <w:rPr>
          <w:rFonts w:hint="eastAsia" w:ascii="宋体" w:hAnsi="宋体"/>
          <w:sz w:val="24"/>
          <w:lang w:eastAsia="zh-CN"/>
        </w:rPr>
        <w:t>合同履约期限</w:t>
      </w:r>
      <w:r>
        <w:rPr>
          <w:rFonts w:ascii="宋体" w:hAnsi="宋体"/>
          <w:sz w:val="24"/>
          <w:lang w:eastAsia="zh-Hans"/>
        </w:rPr>
        <w:t>：90</w:t>
      </w:r>
      <w:r>
        <w:rPr>
          <w:rFonts w:hint="eastAsia" w:ascii="宋体" w:hAnsi="宋体"/>
          <w:sz w:val="24"/>
          <w:lang w:eastAsia="zh-Hans"/>
        </w:rPr>
        <w:t>个工作日</w:t>
      </w:r>
      <w:r>
        <w:rPr>
          <w:rFonts w:ascii="宋体" w:hAnsi="宋体"/>
          <w:sz w:val="24"/>
          <w:lang w:eastAsia="zh-Hans"/>
        </w:rPr>
        <w:t>；</w:t>
      </w:r>
    </w:p>
    <w:p>
      <w:pPr>
        <w:numPr>
          <w:ilvl w:val="0"/>
          <w:numId w:val="9"/>
        </w:numPr>
        <w:spacing w:line="360" w:lineRule="auto"/>
        <w:ind w:left="-413" w:leftChars="0" w:firstLine="413" w:firstLineChars="0"/>
        <w:rPr>
          <w:rFonts w:hint="eastAsia" w:ascii="宋体" w:hAnsi="宋体"/>
          <w:sz w:val="24"/>
          <w:lang w:eastAsia="zh-Hans"/>
        </w:rPr>
      </w:pPr>
      <w:r>
        <w:rPr>
          <w:rFonts w:hint="eastAsia" w:ascii="宋体" w:hAnsi="宋体"/>
          <w:sz w:val="24"/>
          <w:lang w:eastAsia="zh-Hans"/>
        </w:rPr>
        <w:t>质保期</w:t>
      </w:r>
      <w:r>
        <w:rPr>
          <w:rFonts w:ascii="宋体" w:hAnsi="宋体"/>
          <w:sz w:val="24"/>
          <w:lang w:eastAsia="zh-Hans"/>
        </w:rPr>
        <w:t>：</w:t>
      </w:r>
      <w:r>
        <w:rPr>
          <w:rFonts w:hint="eastAsia" w:ascii="宋体" w:hAnsi="宋体"/>
          <w:sz w:val="24"/>
        </w:rPr>
        <w:t>三年质保服务；</w:t>
      </w:r>
    </w:p>
    <w:p>
      <w:pPr>
        <w:numPr>
          <w:ilvl w:val="0"/>
          <w:numId w:val="9"/>
        </w:numPr>
        <w:spacing w:line="360" w:lineRule="auto"/>
        <w:ind w:left="-413" w:leftChars="0" w:firstLine="413" w:firstLineChars="0"/>
        <w:rPr>
          <w:rFonts w:hint="eastAsia" w:ascii="宋体" w:hAnsi="宋体"/>
          <w:sz w:val="24"/>
          <w:lang w:eastAsia="zh-Hans"/>
        </w:rPr>
      </w:pPr>
      <w:r>
        <w:rPr>
          <w:rFonts w:hint="eastAsia" w:ascii="宋体" w:hAnsi="宋体"/>
          <w:sz w:val="24"/>
          <w:lang w:eastAsia="zh-Hans"/>
        </w:rPr>
        <w:t>交货地点</w:t>
      </w:r>
      <w:r>
        <w:rPr>
          <w:rFonts w:ascii="宋体" w:hAnsi="宋体"/>
          <w:sz w:val="24"/>
          <w:lang w:eastAsia="zh-Hans"/>
        </w:rPr>
        <w:t>：</w:t>
      </w:r>
      <w:r>
        <w:rPr>
          <w:rFonts w:hint="eastAsia" w:ascii="宋体" w:hAnsi="宋体"/>
          <w:sz w:val="24"/>
        </w:rPr>
        <w:t>海东市第一人民医院</w:t>
      </w:r>
      <w:r>
        <w:rPr>
          <w:rFonts w:ascii="宋体" w:hAnsi="宋体"/>
          <w:sz w:val="24"/>
        </w:rPr>
        <w:t>。</w:t>
      </w:r>
    </w:p>
    <w:p>
      <w:pPr>
        <w:pStyle w:val="4"/>
        <w:numPr>
          <w:ilvl w:val="0"/>
          <w:numId w:val="0"/>
        </w:numPr>
        <w:tabs>
          <w:tab w:val="left" w:pos="780"/>
        </w:tabs>
        <w:spacing w:line="360" w:lineRule="auto"/>
        <w:jc w:val="left"/>
        <w:rPr>
          <w:rFonts w:hint="eastAsia" w:ascii="宋体" w:hAnsi="宋体" w:cs="仿宋"/>
          <w:sz w:val="30"/>
          <w:szCs w:val="30"/>
        </w:rPr>
      </w:pPr>
      <w:bookmarkStart w:id="109" w:name="_Toc462780909"/>
      <w:bookmarkStart w:id="110" w:name="_Toc53173005"/>
      <w:r>
        <w:rPr>
          <w:rFonts w:hint="eastAsia" w:ascii="宋体" w:hAnsi="宋体" w:cs="仿宋"/>
          <w:sz w:val="30"/>
          <w:szCs w:val="30"/>
        </w:rPr>
        <w:t>一、</w:t>
      </w:r>
      <w:bookmarkEnd w:id="109"/>
      <w:bookmarkStart w:id="111" w:name="_Toc462780910"/>
      <w:r>
        <w:rPr>
          <w:rFonts w:hint="eastAsia" w:ascii="宋体" w:hAnsi="宋体" w:cs="仿宋"/>
          <w:sz w:val="30"/>
          <w:szCs w:val="30"/>
        </w:rPr>
        <w:t>项目建设目标</w:t>
      </w:r>
      <w:bookmarkEnd w:id="110"/>
    </w:p>
    <w:bookmarkEnd w:id="111"/>
    <w:p>
      <w:pPr>
        <w:spacing w:line="360" w:lineRule="auto"/>
        <w:ind w:firstLine="480" w:firstLineChars="200"/>
        <w:rPr>
          <w:sz w:val="24"/>
        </w:rPr>
      </w:pPr>
      <w:bookmarkStart w:id="112" w:name="_Toc462780911"/>
      <w:bookmarkStart w:id="113" w:name="_Hlk533321255"/>
      <w:bookmarkStart w:id="114" w:name="_Hlk533321096"/>
      <w:r>
        <w:rPr>
          <w:rFonts w:hint="eastAsia"/>
          <w:sz w:val="24"/>
          <w:lang w:eastAsia="zh-Hans"/>
        </w:rPr>
        <w:t>项目</w:t>
      </w:r>
      <w:r>
        <w:rPr>
          <w:rFonts w:hint="eastAsia"/>
          <w:sz w:val="24"/>
        </w:rPr>
        <w:t>遵循以评促用，以评促改，以评促建的建设原则，以平台为载体实现医院不同系统间“互联互通、信息共享、业务协同”。平台以《国家医疗健康信息医院信息互联互通标准化成熟度（医院信息互联互通）测评方案（2020年版）》中四级甲等的标准进行建设，最终达到四级甲等的评审要求。</w:t>
      </w:r>
    </w:p>
    <w:p>
      <w:pPr>
        <w:spacing w:line="360" w:lineRule="auto"/>
        <w:ind w:firstLine="480" w:firstLineChars="200"/>
        <w:rPr>
          <w:sz w:val="24"/>
        </w:rPr>
      </w:pPr>
      <w:r>
        <w:rPr>
          <w:rFonts w:hint="eastAsia"/>
          <w:sz w:val="24"/>
        </w:rPr>
        <w:t>具体建设目标如下：</w:t>
      </w:r>
    </w:p>
    <w:bookmarkEnd w:id="112"/>
    <w:bookmarkEnd w:id="113"/>
    <w:bookmarkEnd w:id="114"/>
    <w:p>
      <w:pPr>
        <w:numPr>
          <w:ilvl w:val="0"/>
          <w:numId w:val="10"/>
        </w:numPr>
        <w:spacing w:line="360" w:lineRule="auto"/>
        <w:ind w:firstLine="480" w:firstLineChars="200"/>
        <w:rPr>
          <w:sz w:val="24"/>
        </w:rPr>
      </w:pPr>
      <w:bookmarkStart w:id="115" w:name="_Hlk533321459"/>
      <w:bookmarkStart w:id="116" w:name="_Toc462780912"/>
      <w:bookmarkStart w:id="117" w:name="_Toc53173006"/>
      <w:bookmarkStart w:id="118" w:name="_Hlk533332119"/>
      <w:r>
        <w:rPr>
          <w:rFonts w:hint="eastAsia"/>
          <w:sz w:val="24"/>
        </w:rPr>
        <w:t>搭建符合医院信息互联互通四级甲等要求的、开放的、标准化的医院信息平台；</w:t>
      </w:r>
    </w:p>
    <w:p>
      <w:pPr>
        <w:numPr>
          <w:ilvl w:val="0"/>
          <w:numId w:val="10"/>
        </w:numPr>
        <w:spacing w:line="360" w:lineRule="auto"/>
        <w:ind w:firstLine="480" w:firstLineChars="200"/>
        <w:rPr>
          <w:sz w:val="24"/>
        </w:rPr>
      </w:pPr>
      <w:r>
        <w:rPr>
          <w:rFonts w:hint="eastAsia"/>
          <w:sz w:val="24"/>
        </w:rPr>
        <w:t>结合数据标准化要求，对现有信息系统进行数据标准化治理，通过系统改造实现业务系统与平台的对接；</w:t>
      </w:r>
    </w:p>
    <w:p>
      <w:pPr>
        <w:numPr>
          <w:ilvl w:val="0"/>
          <w:numId w:val="10"/>
        </w:numPr>
        <w:spacing w:line="360" w:lineRule="auto"/>
        <w:ind w:firstLine="480" w:firstLineChars="200"/>
        <w:rPr>
          <w:sz w:val="24"/>
        </w:rPr>
      </w:pPr>
      <w:r>
        <w:rPr>
          <w:rFonts w:hint="eastAsia"/>
          <w:sz w:val="24"/>
        </w:rPr>
        <w:t>通过信息平台的建设过程，协同各业务部门，梳理关键业务流程，根据需要进行信息系统改造，基于实时临床数据中心的建设，反推业务闭环管理和监控，实现以信息化建设促进流程改进和优化；</w:t>
      </w:r>
    </w:p>
    <w:p>
      <w:pPr>
        <w:numPr>
          <w:ilvl w:val="0"/>
          <w:numId w:val="10"/>
        </w:numPr>
        <w:spacing w:line="360" w:lineRule="auto"/>
        <w:ind w:firstLine="480" w:firstLineChars="200"/>
        <w:rPr>
          <w:sz w:val="24"/>
        </w:rPr>
      </w:pPr>
      <w:r>
        <w:rPr>
          <w:rFonts w:hint="eastAsia"/>
          <w:sz w:val="24"/>
        </w:rPr>
        <w:t>基于医院信息平台，构建实时的临床数据中心，实现医院数据二次有效利用；</w:t>
      </w:r>
    </w:p>
    <w:p>
      <w:pPr>
        <w:numPr>
          <w:ilvl w:val="0"/>
          <w:numId w:val="10"/>
        </w:numPr>
        <w:spacing w:line="360" w:lineRule="auto"/>
        <w:ind w:firstLine="480" w:firstLineChars="200"/>
        <w:rPr>
          <w:sz w:val="24"/>
        </w:rPr>
      </w:pPr>
      <w:r>
        <w:rPr>
          <w:rFonts w:hint="eastAsia"/>
          <w:sz w:val="24"/>
        </w:rPr>
        <w:t>积极参加医院信息互联互通标准化成熟度等级测评（四级甲等），以测评为抓手，督促和协助各业务部门深度参与信息化建设工作，最终实现以评促建的目标</w:t>
      </w:r>
      <w:r>
        <w:rPr>
          <w:rFonts w:hint="eastAsia"/>
          <w:sz w:val="24"/>
          <w:lang w:eastAsia="zh-CN"/>
        </w:rPr>
        <w:t>，</w:t>
      </w:r>
      <w:r>
        <w:rPr>
          <w:rFonts w:hint="eastAsia"/>
          <w:sz w:val="24"/>
          <w:lang w:val="en-US" w:eastAsia="zh-CN"/>
        </w:rPr>
        <w:t>并保证医院通过互联互通四甲</w:t>
      </w:r>
      <w:r>
        <w:rPr>
          <w:rFonts w:hint="eastAsia"/>
          <w:sz w:val="24"/>
        </w:rPr>
        <w:t>。</w:t>
      </w:r>
    </w:p>
    <w:p>
      <w:pPr>
        <w:pStyle w:val="4"/>
        <w:numPr>
          <w:ilvl w:val="0"/>
          <w:numId w:val="0"/>
        </w:numPr>
        <w:tabs>
          <w:tab w:val="left" w:pos="780"/>
        </w:tabs>
        <w:spacing w:line="360" w:lineRule="auto"/>
        <w:jc w:val="left"/>
        <w:rPr>
          <w:rFonts w:hint="eastAsia"/>
        </w:rPr>
      </w:pPr>
      <w:r>
        <w:rPr>
          <w:rFonts w:hint="eastAsia" w:ascii="宋体" w:hAnsi="宋体" w:cs="仿宋"/>
          <w:sz w:val="30"/>
          <w:szCs w:val="30"/>
        </w:rPr>
        <w:t>二、项目建设要求</w:t>
      </w:r>
      <w:bookmarkEnd w:id="115"/>
      <w:bookmarkEnd w:id="116"/>
      <w:bookmarkEnd w:id="117"/>
      <w:bookmarkStart w:id="119" w:name="_Hlk533321508"/>
    </w:p>
    <w:p>
      <w:pPr>
        <w:spacing w:line="360" w:lineRule="auto"/>
        <w:ind w:firstLine="480" w:firstLineChars="200"/>
        <w:rPr>
          <w:rFonts w:ascii="宋体" w:hAnsi="宋体"/>
          <w:sz w:val="24"/>
          <w:szCs w:val="28"/>
        </w:rPr>
      </w:pPr>
      <w:r>
        <w:rPr>
          <w:rFonts w:hint="eastAsia" w:ascii="宋体" w:hAnsi="宋体"/>
          <w:sz w:val="24"/>
          <w:szCs w:val="28"/>
        </w:rPr>
        <w:t>投标人</w:t>
      </w:r>
      <w:r>
        <w:rPr>
          <w:rFonts w:hint="eastAsia" w:ascii="宋体" w:hAnsi="宋体"/>
          <w:sz w:val="24"/>
          <w:szCs w:val="28"/>
          <w:lang w:eastAsia="zh-Hans"/>
        </w:rPr>
        <w:t>建设的</w:t>
      </w:r>
      <w:r>
        <w:rPr>
          <w:rFonts w:hint="eastAsia" w:ascii="宋体" w:hAnsi="宋体"/>
          <w:sz w:val="24"/>
          <w:szCs w:val="28"/>
        </w:rPr>
        <w:t>医院信息平台</w:t>
      </w:r>
      <w:r>
        <w:rPr>
          <w:rFonts w:hint="eastAsia" w:ascii="宋体" w:hAnsi="宋体"/>
          <w:sz w:val="24"/>
          <w:szCs w:val="28"/>
          <w:lang w:eastAsia="zh-Hans"/>
        </w:rPr>
        <w:t>需</w:t>
      </w:r>
      <w:r>
        <w:rPr>
          <w:rFonts w:hint="eastAsia" w:ascii="宋体" w:hAnsi="宋体"/>
          <w:sz w:val="24"/>
          <w:szCs w:val="28"/>
        </w:rPr>
        <w:t>能够</w:t>
      </w:r>
      <w:r>
        <w:rPr>
          <w:rFonts w:hint="eastAsia" w:ascii="宋体" w:hAnsi="宋体"/>
          <w:sz w:val="24"/>
          <w:szCs w:val="28"/>
          <w:lang w:eastAsia="zh-Hans"/>
        </w:rPr>
        <w:t>展现针对医院现有核心业务系统</w:t>
      </w:r>
      <w:r>
        <w:rPr>
          <w:rFonts w:ascii="宋体" w:hAnsi="宋体"/>
          <w:sz w:val="24"/>
          <w:szCs w:val="28"/>
          <w:lang w:eastAsia="zh-Hans"/>
        </w:rPr>
        <w:t>（</w:t>
      </w:r>
      <w:r>
        <w:rPr>
          <w:rFonts w:hint="eastAsia" w:ascii="宋体" w:hAnsi="宋体"/>
          <w:sz w:val="24"/>
          <w:szCs w:val="28"/>
          <w:lang w:eastAsia="zh-Hans"/>
        </w:rPr>
        <w:t>医院管理信息系统</w:t>
      </w:r>
      <w:r>
        <w:rPr>
          <w:rFonts w:ascii="宋体" w:hAnsi="宋体"/>
          <w:sz w:val="24"/>
          <w:szCs w:val="28"/>
          <w:lang w:eastAsia="zh-Hans"/>
        </w:rPr>
        <w:t>、</w:t>
      </w:r>
      <w:r>
        <w:rPr>
          <w:rFonts w:hint="eastAsia" w:ascii="宋体" w:hAnsi="宋体"/>
          <w:sz w:val="24"/>
          <w:szCs w:val="28"/>
          <w:lang w:eastAsia="zh-Hans"/>
        </w:rPr>
        <w:t>电子病历系统</w:t>
      </w:r>
      <w:r>
        <w:rPr>
          <w:rFonts w:ascii="宋体" w:hAnsi="宋体"/>
          <w:sz w:val="24"/>
          <w:szCs w:val="28"/>
          <w:lang w:eastAsia="zh-Hans"/>
        </w:rPr>
        <w:t>）</w:t>
      </w:r>
      <w:r>
        <w:rPr>
          <w:rFonts w:hint="eastAsia" w:ascii="宋体" w:hAnsi="宋体"/>
          <w:sz w:val="24"/>
          <w:szCs w:val="28"/>
          <w:lang w:eastAsia="zh-Hans"/>
        </w:rPr>
        <w:t>的集成能力</w:t>
      </w:r>
      <w:r>
        <w:rPr>
          <w:rFonts w:ascii="宋体" w:hAnsi="宋体"/>
          <w:sz w:val="24"/>
          <w:szCs w:val="28"/>
          <w:lang w:eastAsia="zh-Hans"/>
        </w:rPr>
        <w:t>。</w:t>
      </w:r>
      <w:r>
        <w:rPr>
          <w:rFonts w:hint="eastAsia" w:ascii="宋体" w:hAnsi="宋体"/>
          <w:sz w:val="24"/>
          <w:szCs w:val="28"/>
          <w:lang w:eastAsia="zh-Hans"/>
        </w:rPr>
        <w:t>提供</w:t>
      </w:r>
      <w:r>
        <w:rPr>
          <w:rFonts w:hint="eastAsia" w:ascii="宋体" w:hAnsi="宋体"/>
          <w:sz w:val="24"/>
          <w:szCs w:val="28"/>
        </w:rPr>
        <w:t>基于</w:t>
      </w:r>
      <w:r>
        <w:rPr>
          <w:rFonts w:ascii="宋体" w:hAnsi="宋体"/>
          <w:sz w:val="24"/>
          <w:szCs w:val="28"/>
        </w:rPr>
        <w:t>J2EE技术的多层应用架构，设计过程中能够采用SOA的服务架构以及SOMA的分析设计方法建设院内集成体系，建立统一</w:t>
      </w:r>
      <w:r>
        <w:rPr>
          <w:rFonts w:hint="eastAsia" w:ascii="宋体" w:hAnsi="宋体"/>
          <w:sz w:val="24"/>
          <w:szCs w:val="28"/>
        </w:rPr>
        <w:t>数据和服务</w:t>
      </w:r>
      <w:r>
        <w:rPr>
          <w:rFonts w:ascii="宋体" w:hAnsi="宋体"/>
          <w:sz w:val="24"/>
          <w:szCs w:val="28"/>
        </w:rPr>
        <w:t>标准体系。</w:t>
      </w:r>
    </w:p>
    <w:p>
      <w:pPr>
        <w:spacing w:line="360" w:lineRule="auto"/>
        <w:ind w:firstLine="480" w:firstLineChars="200"/>
        <w:rPr>
          <w:rFonts w:ascii="宋体" w:hAnsi="宋体"/>
          <w:sz w:val="24"/>
          <w:szCs w:val="28"/>
        </w:rPr>
      </w:pPr>
      <w:r>
        <w:rPr>
          <w:rFonts w:hint="eastAsia" w:ascii="宋体" w:hAnsi="宋体"/>
          <w:sz w:val="24"/>
          <w:szCs w:val="28"/>
        </w:rPr>
        <w:t>能够摒弃传统大型软件系统紧耦合的设计思想，能够以基于微服务的临床数据中心服务体系实现高可用、横向扩展能力；</w:t>
      </w:r>
    </w:p>
    <w:p>
      <w:pPr>
        <w:spacing w:line="360" w:lineRule="auto"/>
        <w:ind w:firstLine="480" w:firstLineChars="200"/>
        <w:rPr>
          <w:rFonts w:ascii="宋体" w:hAnsi="宋体"/>
          <w:sz w:val="24"/>
          <w:szCs w:val="28"/>
        </w:rPr>
      </w:pPr>
      <w:r>
        <w:rPr>
          <w:rFonts w:hint="eastAsia" w:ascii="宋体" w:hAnsi="宋体"/>
          <w:sz w:val="24"/>
          <w:szCs w:val="28"/>
        </w:rPr>
        <w:t>采用</w:t>
      </w:r>
      <w:r>
        <w:rPr>
          <w:rFonts w:ascii="宋体" w:hAnsi="宋体"/>
          <w:sz w:val="24"/>
          <w:szCs w:val="28"/>
        </w:rPr>
        <w:t>HL7 V3及</w:t>
      </w:r>
      <w:r>
        <w:rPr>
          <w:rFonts w:hint="eastAsia" w:ascii="宋体" w:hAnsi="宋体"/>
          <w:sz w:val="24"/>
          <w:szCs w:val="28"/>
        </w:rPr>
        <w:t>FHIR标准</w:t>
      </w:r>
      <w:r>
        <w:rPr>
          <w:rFonts w:ascii="宋体" w:hAnsi="宋体"/>
          <w:sz w:val="24"/>
          <w:szCs w:val="28"/>
        </w:rPr>
        <w:t>实现服务标准体系，兼顾国家标准以及国际领先技术，实现院内各系统间的互操作能力；应用上采用统一认证、单点登录等手段解决系统访问碎片化现象，实现一站式应用的目标。同时提供一整套数据治理全生命周期产品，用以提升数据质量。</w:t>
      </w:r>
    </w:p>
    <w:p>
      <w:pPr>
        <w:spacing w:line="360" w:lineRule="auto"/>
        <w:ind w:firstLine="480" w:firstLineChars="200"/>
        <w:rPr>
          <w:rFonts w:ascii="宋体" w:hAnsi="宋体"/>
          <w:sz w:val="24"/>
          <w:szCs w:val="28"/>
        </w:rPr>
      </w:pPr>
    </w:p>
    <w:bookmarkEnd w:id="118"/>
    <w:bookmarkEnd w:id="119"/>
    <w:p>
      <w:pPr>
        <w:pStyle w:val="4"/>
        <w:numPr>
          <w:ilvl w:val="0"/>
          <w:numId w:val="0"/>
        </w:numPr>
        <w:tabs>
          <w:tab w:val="left" w:pos="780"/>
        </w:tabs>
        <w:spacing w:line="360" w:lineRule="auto"/>
        <w:jc w:val="left"/>
        <w:rPr>
          <w:rFonts w:hint="eastAsia" w:ascii="宋体" w:hAnsi="宋体" w:cs="仿宋"/>
          <w:sz w:val="30"/>
          <w:szCs w:val="30"/>
        </w:rPr>
      </w:pPr>
      <w:bookmarkStart w:id="120" w:name="_Toc53173009"/>
      <w:bookmarkStart w:id="121" w:name="_Toc462781075"/>
      <w:r>
        <w:rPr>
          <w:rFonts w:hint="eastAsia" w:ascii="宋体" w:hAnsi="宋体" w:cs="仿宋"/>
          <w:sz w:val="30"/>
          <w:szCs w:val="30"/>
        </w:rPr>
        <w:t>三、</w:t>
      </w:r>
      <w:r>
        <w:rPr>
          <w:rFonts w:hint="eastAsia" w:ascii="宋体" w:hAnsi="宋体" w:cs="仿宋"/>
          <w:sz w:val="30"/>
          <w:szCs w:val="30"/>
          <w:lang w:eastAsia="zh-Hans"/>
        </w:rPr>
        <w:t>招标内容及</w:t>
      </w:r>
      <w:r>
        <w:rPr>
          <w:rFonts w:hint="eastAsia" w:ascii="宋体" w:hAnsi="宋体" w:cs="仿宋"/>
          <w:sz w:val="30"/>
          <w:szCs w:val="30"/>
        </w:rPr>
        <w:t>功能参数</w:t>
      </w:r>
      <w:bookmarkEnd w:id="120"/>
      <w:r>
        <w:rPr>
          <w:rFonts w:hint="eastAsia" w:ascii="宋体" w:hAnsi="宋体" w:cs="仿宋"/>
          <w:sz w:val="30"/>
          <w:szCs w:val="30"/>
          <w:lang w:eastAsia="zh-Hans"/>
        </w:rPr>
        <w:t>要求</w:t>
      </w:r>
    </w:p>
    <w:p>
      <w:pPr>
        <w:pStyle w:val="123"/>
        <w:rPr>
          <w:rFonts w:hint="eastAsia"/>
          <w:lang w:eastAsia="zh-Hans"/>
        </w:rPr>
      </w:pPr>
      <w:bookmarkStart w:id="122" w:name="_Toc53173010"/>
      <w:r>
        <w:rPr>
          <w:rFonts w:hint="eastAsia"/>
        </w:rPr>
        <w:t>3.1招标</w:t>
      </w:r>
      <w:bookmarkEnd w:id="122"/>
      <w:r>
        <w:rPr>
          <w:rFonts w:hint="eastAsia"/>
          <w:lang w:eastAsia="zh-Hans"/>
        </w:rPr>
        <w:t>内容清单</w:t>
      </w:r>
    </w:p>
    <w:tbl>
      <w:tblPr>
        <w:tblStyle w:val="28"/>
        <w:tblW w:w="4998" w:type="pct"/>
        <w:tblInd w:w="0" w:type="dxa"/>
        <w:tblLayout w:type="autofit"/>
        <w:tblCellMar>
          <w:top w:w="15" w:type="dxa"/>
          <w:left w:w="15" w:type="dxa"/>
          <w:bottom w:w="15" w:type="dxa"/>
          <w:right w:w="15" w:type="dxa"/>
        </w:tblCellMar>
      </w:tblPr>
      <w:tblGrid>
        <w:gridCol w:w="1380"/>
        <w:gridCol w:w="3635"/>
        <w:gridCol w:w="2250"/>
        <w:gridCol w:w="2507"/>
      </w:tblGrid>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招标内容</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r>
      <w:tr>
        <w:tblPrEx>
          <w:tblCellMar>
            <w:top w:w="15" w:type="dxa"/>
            <w:left w:w="15" w:type="dxa"/>
            <w:bottom w:w="15" w:type="dxa"/>
            <w:right w:w="15" w:type="dxa"/>
          </w:tblCellMar>
        </w:tblPrEx>
        <w:trPr>
          <w:trHeight w:val="90"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医院信息平台</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859" w:type="pct"/>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现有系统平台接入</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r>
      <w:tr>
        <w:tblPrEx>
          <w:tblCellMar>
            <w:top w:w="15" w:type="dxa"/>
            <w:left w:w="15" w:type="dxa"/>
            <w:bottom w:w="15" w:type="dxa"/>
            <w:right w:w="15" w:type="dxa"/>
          </w:tblCellMar>
        </w:tblPrEx>
        <w:trPr>
          <w:trHeight w:val="43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互联互通四级甲等测评咨询服务</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r>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服务器</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数据库服务器</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超融合服务器</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超融合软件</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存储网交换机</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业务网交换机</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光纤交换机</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集中存储</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NAS存储</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225" w:hRule="atLeast"/>
        </w:trPr>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8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备份一体机</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bl>
    <w:p>
      <w:pPr>
        <w:pStyle w:val="124"/>
        <w:ind w:firstLine="0" w:firstLineChars="0"/>
        <w:rPr>
          <w:rFonts w:hint="eastAsia"/>
        </w:rPr>
      </w:pPr>
    </w:p>
    <w:p>
      <w:pPr>
        <w:pStyle w:val="123"/>
        <w:rPr>
          <w:rFonts w:hint="eastAsia"/>
          <w:lang w:eastAsia="zh-Hans"/>
        </w:rPr>
      </w:pPr>
      <w:bookmarkStart w:id="123" w:name="_Toc53173011"/>
      <w:r>
        <w:rPr>
          <w:rFonts w:hint="eastAsia"/>
        </w:rPr>
        <w:t>3</w:t>
      </w:r>
      <w:r>
        <w:t xml:space="preserve">.2 </w:t>
      </w:r>
      <w:bookmarkEnd w:id="121"/>
      <w:bookmarkEnd w:id="123"/>
      <w:r>
        <w:rPr>
          <w:rFonts w:hint="eastAsia"/>
          <w:lang w:eastAsia="zh-Hans"/>
        </w:rPr>
        <w:t>软硬件功能参数要求</w:t>
      </w:r>
    </w:p>
    <w:tbl>
      <w:tblPr>
        <w:tblStyle w:val="28"/>
        <w:tblW w:w="5000" w:type="pct"/>
        <w:tblInd w:w="0" w:type="dxa"/>
        <w:tblLayout w:type="autofit"/>
        <w:tblCellMar>
          <w:top w:w="15" w:type="dxa"/>
          <w:left w:w="15" w:type="dxa"/>
          <w:bottom w:w="15" w:type="dxa"/>
          <w:right w:w="15" w:type="dxa"/>
        </w:tblCellMar>
      </w:tblPr>
      <w:tblGrid>
        <w:gridCol w:w="490"/>
        <w:gridCol w:w="758"/>
        <w:gridCol w:w="833"/>
        <w:gridCol w:w="6519"/>
        <w:gridCol w:w="675"/>
        <w:gridCol w:w="501"/>
      </w:tblGrid>
      <w:tr>
        <w:tblPrEx>
          <w:tblCellMar>
            <w:top w:w="15" w:type="dxa"/>
            <w:left w:w="15" w:type="dxa"/>
            <w:bottom w:w="15" w:type="dxa"/>
            <w:right w:w="15" w:type="dxa"/>
          </w:tblCellMar>
        </w:tblPrEx>
        <w:trPr>
          <w:trHeight w:val="22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招标内容</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功能参数要求</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r>
      <w:tr>
        <w:tblPrEx>
          <w:tblCellMar>
            <w:top w:w="15" w:type="dxa"/>
            <w:left w:w="15" w:type="dxa"/>
            <w:bottom w:w="15" w:type="dxa"/>
            <w:right w:w="15" w:type="dxa"/>
          </w:tblCellMar>
        </w:tblPrEx>
        <w:trPr>
          <w:trHeight w:val="225" w:hRule="atLeast"/>
        </w:trPr>
        <w:tc>
          <w:tcPr>
            <w:tcW w:w="25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8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医院信息平台</w:t>
            </w:r>
          </w:p>
        </w:tc>
        <w:tc>
          <w:tcPr>
            <w:tcW w:w="42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数据治理</w:t>
            </w: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数据治理系统：需提供人员主数据管理、科室主数据管理、药品主数据管理、耗材主数据管理、收费项目主数据管理、ICD-9主数据管理、ICD-10主数据管理等FHIR标准的注册、更新、查询和获取服务。</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43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患者主索引（EMPI）：需能够支持根据患者的本地索引获得患者主索引或患者的其他本地索引；需能够支持逻辑合并同一患者的多条记录信息；需支持发布患者注册、患者更新和患者删除消息的服务；需支持人工合并或拆分同一患者的相似的多条记录；需根据本地索引获取患者信息；需根据主索引获取患者的相对准确完整的信息。</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基础架构集成及应用</w:t>
            </w: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临床数据管理系统（CDR）：需能够基于医院信息平台构建临床数据中心（CDR），使用Fhir标准进行服务的构建，与多个厂商进行多个场景的集成，包括门诊就诊、门诊发药流程、检查检验流程等；需存储临床电子病历数据和临床文档数据；需提供临床信息注</w:t>
            </w:r>
            <w:r>
              <w:rPr>
                <w:rFonts w:hint="eastAsia" w:ascii="宋体" w:hAnsi="宋体" w:cs="宋体"/>
                <w:kern w:val="0"/>
                <w:sz w:val="20"/>
                <w:szCs w:val="20"/>
                <w:lang w:bidi="ar"/>
              </w:rPr>
              <w:t>册服务、测试报告或软件功能截图；需提供临床信息检索服务、测试报告或软件功能截图；需提供接口和数据标准化服务；需提供可视化的消息监控服务管理、测试报告或软件功能截图。</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22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业务日志分析：需将平台日志统一收集、处理、存储，以方便医院实时准确地查询到日志信息并对日志进行统计分析。日志分析系统需包含数据采集器、收集引擎、日志存储、日志概览等。</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360集成视图：需基于平台和临床数据中心，对外发布患者全息视图。医生可以通过360视图查看患者的基本健康信息（过敏史、诊断等）、历次就诊（门诊、住院）情况、各项指标、用药和处治情况，每次诊疗的详细过程等。</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系统间业务集成</w:t>
            </w: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总线监控系统：需提供一套后台运行的一体化监控管理，通过有效监控了解整个医院信息平台的运行状况；需提供针对医院信息平台的各个信息通道之间的可控性、交互服务的综合管理；需提供一体化接入平台中的API接口管理。</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22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单点登录：需能够基于CAS认证，提供一站式单点登录，统一登录界面。</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统一用户管理与统一认证：需过通过人员管理提供查看人员列表、单个人员添加、批量导入用户信息、批量添加资源组、单个用户添加资源组、查询用户已添加资源组、修改用户信息、删除用户、以及设置用户与系统间对应关系等功能。</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3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服务集成：需支持检查、检验、门诊发药、门诊缴费、门诊就诊、用血、患者患病史等服务集成。</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工具软件</w:t>
            </w: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总线：需提供服务总线产品，基于总线产品能够简化IT资产之间的连接，包括遗留应用程序、打包应用程序和Web服务，且能够实现无需进行代码级别的修改。需提供应用程序连通性，帮助医院管理和简化这些连接，同时支持在不更改应用程序本身的前提下检索业务关键数据。</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定量测评</w:t>
            </w: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DA管理系统：需基于医院信息平台，能够提供CDA管理系统。提供CDA接口服务，支持注册参数模式和直接注册CDA文档模式；支持配置CDA的参数与CDA模板的映射关系，支持根据流水号和文档类型进行CDA文档的下载，对于CDA文档的上传情况和分类进行展示；同时支持对于CDA文档的展示和校验功能，并提供对CDA的文档进行相关统计分析功能。</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22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互联互通服务包：需提供包括《国家医疗健康信息医院信息互联互通标准化成熟度测评方案（2020年版）》“3.2 互联互通服务功能”章节内的等级要求达到“四级甲等”的所有服务。</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医保控费</w:t>
            </w: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违规监控：需提供针对诊疗项目以及材料的违规情况进行监控，按照违规原因进行分组汇总；需提供针对药品的违规情况进行监控，按照药品的名称进行分组汇总；需提供针对气压治疗和超三种以上理疗项目两种指标进行监控，按照这两种指标进行分组汇总。需提供针对15天再入院和意外伤害两种指标进行监控，按照这两种指标进行分组汇总。</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违规分析：需根据规则类别、医保分类、医保类型、时间等条件，对材料、诊疗项目以及药品的历史违规情况进行查询和分析；需根据规则类别、医保分类、医保类型、时间等条件，对气压治疗和超三种以上理疗项目两个指标的历史违规情况进行查询和分析；需根据规则类别、医保分类、医保类型、时间等条件，对15天再入院和意外伤害两个指标的历史违规情况进行查询和分析。</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22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费用分析：需支持通过图表等形式，对医保费用、住院人次、目录外占比、床日费用等指标进行多维度展示和分析。</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综合查询：需支持根据科室名称、住院医师、住院号、患者姓名、医保名称、就医方式、时间段等条件对历史发生的材料、诊疗项目、药品、气压治疗、超三种以上理疗项目、15天再入院的违规信息进行查询。</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22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基础维护：需根据最新的药品目录或是服务价格手册，用户可自行针对新的材料、药品追加规则信息，或是对已有的材料、药品的规则信息进行修改和维护。</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22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公立医院绩效</w:t>
            </w: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绩效指标管理：需支持绩效指标说明设置、目标值维护、绩效非抽取指标填报、绩效指标展示、绩效指标导出等功能。</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质量：需提供门诊人次数与出院人次数比、下转患者人次数、日间手术占择期手术比例、出院患者手术占比、出院患者微创手术占比、出院患者四级手术比例、特需医疗服务占比等功能定位指标；需提供手术患者并发症发生率、I 类切口手术部位感染率、单病种、大型医用设备检查阳性率等质量安全指标；需提供处方总数、抗菌药物使用强度、住院患者基本药物使用率等合理用药指标；需提供门诊患者平均预约诊疗率、门诊患者预约后平均等待时间等服务流程类指标。</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营效率：需提供每名执业医师日均住院工作负担、每百张病床药师人数等资料效率指标；需提供门诊收入占医疗收入比例、门诊收入中来自医保基金的比例、住院收入占医疗收入比例、住院收入中来自医保基金的比例等收支结构类指标；需提供医疗收入增幅。</w:t>
            </w:r>
            <w:r>
              <w:rPr>
                <w:rFonts w:hint="eastAsia" w:ascii="宋体" w:hAnsi="宋体" w:cs="宋体"/>
                <w:color w:val="FF0000"/>
                <w:kern w:val="0"/>
                <w:sz w:val="20"/>
                <w:szCs w:val="20"/>
                <w:lang w:bidi="ar"/>
              </w:rPr>
              <w:br w:type="textWrapping"/>
            </w:r>
            <w:r>
              <w:rPr>
                <w:rFonts w:hint="eastAsia" w:ascii="宋体" w:hAnsi="宋体" w:cs="宋体"/>
                <w:color w:val="000000"/>
                <w:kern w:val="0"/>
                <w:sz w:val="20"/>
                <w:szCs w:val="20"/>
                <w:lang w:bidi="ar"/>
              </w:rPr>
              <w:t>门诊次均费用增幅、门诊次均药品费用增幅、住院次均费用增幅、住院次均药品费用增幅等费用控制类指标。</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225"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持续发展：需提供卫生技术人员职称结构、麻醉、儿科、重症、病理、中医医师占比等人员机构类指标。</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333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室指标分析：需提供门诊人次、出院人次、门诊下转患者人次、住院下转患者人次等工作量指标；需提供科室出院患者手术占比、科室出院患者微创手术占比、科室出院患者四级手术占比、科室出院患者日间手术占比等手术分析类指标；需提供科室手术患者并发症发生率等医疗质量指标；需提供科室门诊和住院患者基本药物处方占比等合理用药类指标；需提供科室门诊患者平均预约诊疗率等服务效率类指标；需提供科室医疗收入、科室门诊收入中医保基金占比等医疗收入类指标；需提供科室医疗收入增幅等收入增幅类指标；需提供科室卫生技术人员职称构成、医护比等人员机构类指标。</w:t>
            </w: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5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22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现有系统平台接入</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需实现现有系统与医院信息平台对接，重点分为业务系统的主项数据的统一管理、数据标准化治理、业务</w:t>
            </w:r>
            <w:r>
              <w:rPr>
                <w:rFonts w:hint="eastAsia" w:ascii="宋体" w:hAnsi="宋体" w:cs="宋体"/>
                <w:kern w:val="0"/>
                <w:sz w:val="20"/>
                <w:szCs w:val="20"/>
                <w:lang w:bidi="ar"/>
              </w:rPr>
              <w:t>系统与平台CDR业务集成等。（提供与原有系统无缝对接的承诺函）其他接口：检验系统核酸接口服务</w:t>
            </w:r>
            <w:r>
              <w:rPr>
                <w:rFonts w:hint="eastAsia" w:ascii="宋体" w:hAnsi="宋体" w:cs="宋体"/>
                <w:kern w:val="0"/>
                <w:sz w:val="20"/>
                <w:szCs w:val="20"/>
                <w:lang w:val="en-US" w:eastAsia="zh-CN" w:bidi="ar"/>
              </w:rPr>
              <w:t>及未来第三方软件接口接入</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r>
      <w:tr>
        <w:tblPrEx>
          <w:tblCellMar>
            <w:top w:w="15" w:type="dxa"/>
            <w:left w:w="15" w:type="dxa"/>
            <w:bottom w:w="15" w:type="dxa"/>
            <w:right w:w="15" w:type="dxa"/>
          </w:tblCellMar>
        </w:tblPrEx>
        <w:trPr>
          <w:trHeight w:val="279"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互联互通四级甲等测评咨询服务</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需按照《国家医疗健康信息医院信息互联互通标准化成熟度测评方案（2020年版）》要求，提供互联互通标准培训、测评方案、协助数据上报、协助准备文审材料、协助现场查验等与四甲测评相关的测评咨询服务内容，并保证医院通过互联互通标准化成熟度4级甲等。</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r>
      <w:tr>
        <w:tblPrEx>
          <w:tblCellMar>
            <w:top w:w="15" w:type="dxa"/>
            <w:left w:w="15" w:type="dxa"/>
            <w:bottom w:w="15" w:type="dxa"/>
            <w:right w:w="15" w:type="dxa"/>
          </w:tblCellMar>
        </w:tblPrEx>
        <w:trPr>
          <w:trHeight w:val="136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服务器</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品牌：非OEM产品；2U机架式，可放入42U标准机柜；12*3.5”盘配(2*英特尔至强银牌4116(2.1GHz/12-core/16.5MB/85W)处理器,12*16GB DDR4内存,独立RAID卡，支持RAID0/1/5;3*480 SAS 固态+3*6TB NL SAS 7.2K rpm硬盘,2*GE+2*10GE（不含光模块）,2*550W电源,无DVD,滑轨)，SM212板载网卡-4xGE电口(I350)-RJ45。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其他服务器配件（不包含在3台服务器）：40条DDR4 RDIMM内存-16GB-2666MT/s-2Rank(1G*8bit)-1.2V-ECC；6块硬盘-4000GB-NL SAS 12Gb/s-7.2K rpm-128MB-3.5英寸(3.5英寸托架)。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199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数据库服务器</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1、品牌：非OEM产品；2U机架式，可放入42U标准机柜；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2、CPU：2颗英特尔至强金牌5220(2.2GHz/18-Core/24.75MB/125W)处理器(带散热器)；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3、内存：256GB（4*32G） DDR4 2666 MHz内存，RDIMM 内存插槽支持24个，最高2666MT/s；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4、硬盘：3块1.2TB 10K RPM 2.5寸SAS 硬盘；最大可扩展硬盘数量8块2.5寸硬盘，支持双Mini SSD硬盘；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5、RAID卡：配置独立12G RAID卡，2G缓存，支持RAID 0/1/5/6/50/60，支持超级电容掉电保护；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6、网络：4*GE+4*10GE光口（含2个10GE多模光模块）；配置2块16Gbps双通道HBA卡；配置DVD驱动器；最大支持PCI-E I/O插槽数10个；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7、标配集成显卡，显存≥32 MB，满配1+1 550W白金交流双电源，满配冗余热插拔电源，并提供配套的电源连接线；满配4个冗余风扇，支持单风扇失效；</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1642"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超融合服务器</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1.2U机架式服务器，配置不少于2颗CPU，单CPU主频不低2.9GHz，</w:t>
            </w:r>
          </w:p>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2、内存≥256GB，系统盘≥480GB，缓存盘≥3.84TB SSD，数据盘≥24TB；</w:t>
            </w:r>
          </w:p>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3</w:t>
            </w:r>
            <w:r>
              <w:rPr>
                <w:rFonts w:hint="eastAsia" w:ascii="宋体" w:hAnsi="宋体" w:cs="宋体"/>
                <w:kern w:val="0"/>
                <w:sz w:val="20"/>
                <w:szCs w:val="20"/>
                <w:lang w:bidi="ar"/>
              </w:rPr>
              <w:t>、电源：冗余电源</w:t>
            </w:r>
          </w:p>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4、网络接口：千兆电口≥6个，万兆光口≥2个;</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968"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超融合软件</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1.针对原有的3台服务器和本次的6台服务器，提供18个物理CPU的服务器虚拟化、存储虚拟化、网络虚拟化等云计算组件授权；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2.为保障云计算集群的兼容性和可管理性，云计算软件授权要求与本次新购云计算服务器为同一品牌，统一纳管。</w:t>
            </w:r>
          </w:p>
          <w:p>
            <w:pPr>
              <w:widowControl/>
              <w:jc w:val="left"/>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3</w:t>
            </w:r>
            <w:r>
              <w:rPr>
                <w:rFonts w:hint="eastAsia" w:ascii="宋体" w:hAnsi="宋体" w:cs="宋体"/>
                <w:color w:val="000000"/>
                <w:kern w:val="0"/>
                <w:sz w:val="20"/>
                <w:szCs w:val="20"/>
                <w:lang w:bidi="ar"/>
              </w:rPr>
              <w:t>.支持虚拟机卡死及蓝屏的检测功能并实现自动重启，无需人工干预，减少运维工作量；</w:t>
            </w:r>
          </w:p>
          <w:p>
            <w:pPr>
              <w:widowControl/>
              <w:jc w:val="left"/>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4</w:t>
            </w:r>
            <w:r>
              <w:rPr>
                <w:rFonts w:hint="eastAsia" w:ascii="宋体" w:hAnsi="宋体" w:cs="宋体"/>
                <w:color w:val="000000"/>
                <w:kern w:val="0"/>
                <w:sz w:val="20"/>
                <w:szCs w:val="20"/>
                <w:lang w:bidi="ar"/>
              </w:rPr>
              <w:t>.支持双向迁移，可将VMware虚拟机在运行状态下迁移到云计算平台上，也可将云计算平台上的虚拟机在运行状态下迁移到VMware vCenter的集群中，迁移结束后可选择自动或手动重启虚拟机；</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5</w:t>
            </w:r>
            <w:r>
              <w:rPr>
                <w:rFonts w:hint="eastAsia" w:ascii="宋体" w:hAnsi="宋体" w:cs="宋体"/>
                <w:color w:val="000000"/>
                <w:kern w:val="0"/>
                <w:sz w:val="20"/>
                <w:szCs w:val="20"/>
                <w:lang w:bidi="ar"/>
              </w:rPr>
              <w:t>.支持对平台虚拟机的精细化权限管理，可根据单个虚拟机开关机、打开控制台、删除等操作设定不同的权限，管理员也可以根据用户需求合理分配权限；</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6</w:t>
            </w:r>
            <w:r>
              <w:rPr>
                <w:rFonts w:hint="eastAsia" w:ascii="宋体" w:hAnsi="宋体" w:cs="宋体"/>
                <w:color w:val="000000"/>
                <w:kern w:val="0"/>
                <w:sz w:val="20"/>
                <w:szCs w:val="20"/>
                <w:lang w:bidi="ar"/>
              </w:rPr>
              <w:t>.支持为虚拟磁盘配置不同的存储策略以满足特定场景的需求,如系统盘和数据盘选择高性能策略,备份盘选择低性能策略；</w:t>
            </w:r>
          </w:p>
          <w:p>
            <w:pPr>
              <w:widowControl/>
              <w:jc w:val="left"/>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7</w:t>
            </w:r>
            <w:r>
              <w:rPr>
                <w:rFonts w:hint="eastAsia" w:ascii="宋体" w:hAnsi="宋体" w:cs="宋体"/>
                <w:color w:val="000000"/>
                <w:kern w:val="0"/>
                <w:sz w:val="20"/>
                <w:szCs w:val="20"/>
                <w:lang w:bidi="ar"/>
              </w:rPr>
              <w:t>.支持数据重建优先级调整，在故障数据重新恢复时，可由用户指定优先重建的虚拟机，保证重要的业务优先恢复数据的安全性；</w:t>
            </w:r>
          </w:p>
          <w:p>
            <w:pPr>
              <w:widowControl/>
              <w:jc w:val="left"/>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8</w:t>
            </w:r>
            <w:r>
              <w:rPr>
                <w:rFonts w:hint="eastAsia" w:ascii="宋体" w:hAnsi="宋体" w:cs="宋体"/>
                <w:color w:val="000000"/>
                <w:kern w:val="0"/>
                <w:sz w:val="20"/>
                <w:szCs w:val="20"/>
                <w:lang w:bidi="ar"/>
              </w:rPr>
              <w:t>.支持数据重建智能保护业务性能，可以对数据重建速度进行智能限速，避免数据重建过程中IO性能占用导致对业务的性能造成影响；</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9</w:t>
            </w:r>
            <w:r>
              <w:rPr>
                <w:rFonts w:hint="eastAsia" w:ascii="宋体" w:hAnsi="宋体" w:cs="宋体"/>
                <w:color w:val="000000"/>
                <w:kern w:val="0"/>
                <w:sz w:val="20"/>
                <w:szCs w:val="20"/>
                <w:lang w:bidi="ar"/>
              </w:rPr>
              <w:t>.支持平台中的集群资源环境一键检测，对硬件健康、平台底层的虚拟化的运行状态和配置，进行多个维度进行检查，提供快速定位问题功能，确保系统最佳状态；</w:t>
            </w:r>
          </w:p>
          <w:p>
            <w:pPr>
              <w:widowControl/>
              <w:jc w:val="left"/>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10</w:t>
            </w:r>
            <w:r>
              <w:rPr>
                <w:rFonts w:hint="eastAsia" w:ascii="宋体" w:hAnsi="宋体" w:cs="宋体"/>
                <w:color w:val="000000"/>
                <w:kern w:val="0"/>
                <w:sz w:val="20"/>
                <w:szCs w:val="20"/>
                <w:lang w:bidi="ar"/>
              </w:rPr>
              <w:t>.支持条带化功能，实现分布式raid0的性能提升效果，并且支持以虚拟磁盘为单位设置不同的条带数；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w:t>
            </w:r>
            <w:r>
              <w:rPr>
                <w:rFonts w:ascii="宋体" w:hAnsi="宋体" w:cs="宋体"/>
                <w:color w:val="000000"/>
                <w:kern w:val="0"/>
                <w:sz w:val="20"/>
                <w:szCs w:val="20"/>
                <w:lang w:bidi="ar"/>
              </w:rPr>
              <w:t>1</w:t>
            </w:r>
            <w:r>
              <w:rPr>
                <w:rFonts w:hint="eastAsia" w:ascii="宋体" w:hAnsi="宋体" w:cs="宋体"/>
                <w:color w:val="000000"/>
                <w:kern w:val="0"/>
                <w:sz w:val="20"/>
                <w:szCs w:val="20"/>
                <w:lang w:bidi="ar"/>
              </w:rPr>
              <w:t>.支持对虚拟机业务按照小时/天/周自定义设置定时快照策略，以便业务发生故障时可以快速回滚覆盖原虚拟机或者通过对快照进行克隆的方式生成全新虚拟机，进而恢复至业务健康状态；</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2</w:t>
            </w:r>
            <w:r>
              <w:rPr>
                <w:rFonts w:hint="eastAsia" w:ascii="宋体" w:hAnsi="宋体" w:cs="宋体"/>
                <w:color w:val="000000"/>
                <w:kern w:val="0"/>
                <w:sz w:val="20"/>
                <w:szCs w:val="20"/>
                <w:lang w:bidi="ar"/>
              </w:rPr>
              <w:t>.支持CDP秒级备份功能，快速浏览指定CDP备份内的文件，可快速的从CDP备份中找回数据文件，查看虚拟机文件目录的操作可做安全审计；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w:t>
            </w:r>
            <w:r>
              <w:rPr>
                <w:rFonts w:ascii="宋体" w:hAnsi="宋体" w:cs="宋体"/>
                <w:color w:val="000000"/>
                <w:kern w:val="0"/>
                <w:sz w:val="20"/>
                <w:szCs w:val="20"/>
                <w:lang w:bidi="ar"/>
              </w:rPr>
              <w:t>3</w:t>
            </w:r>
            <w:r>
              <w:rPr>
                <w:rFonts w:hint="eastAsia" w:ascii="宋体" w:hAnsi="宋体" w:cs="宋体"/>
                <w:color w:val="000000"/>
                <w:kern w:val="0"/>
                <w:sz w:val="20"/>
                <w:szCs w:val="20"/>
                <w:lang w:bidi="ar"/>
              </w:rPr>
              <w:t>.支持快速浏览指定CDP备份内的文件，可快速的从CDP备份中找回数据文件，查看虚拟机文件目录的操作可做安全审计；</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4</w:t>
            </w:r>
            <w:r>
              <w:rPr>
                <w:rFonts w:hint="eastAsia" w:ascii="宋体" w:hAnsi="宋体" w:cs="宋体"/>
                <w:color w:val="000000"/>
                <w:kern w:val="0"/>
                <w:sz w:val="20"/>
                <w:szCs w:val="20"/>
                <w:lang w:bidi="ar"/>
              </w:rPr>
              <w:t>.为了便于部署关键业务系统，虚拟存储可支持Oracle RAC，支持共享盘，及共享块设备，支持向导式安装，降低部署复杂度；</w:t>
            </w:r>
          </w:p>
          <w:p>
            <w:pPr>
              <w:widowControl/>
              <w:jc w:val="left"/>
              <w:textAlignment w:val="center"/>
              <w:rPr>
                <w:rFonts w:ascii="宋体" w:hAnsi="宋体" w:cs="宋体"/>
                <w:color w:val="FF0000"/>
                <w:kern w:val="0"/>
                <w:sz w:val="20"/>
                <w:szCs w:val="20"/>
                <w:lang w:bidi="ar"/>
              </w:rPr>
            </w:pPr>
            <w:r>
              <w:rPr>
                <w:rFonts w:ascii="宋体" w:hAnsi="宋体" w:cs="宋体"/>
                <w:color w:val="000000"/>
                <w:kern w:val="0"/>
                <w:sz w:val="20"/>
                <w:szCs w:val="20"/>
                <w:lang w:bidi="ar"/>
              </w:rPr>
              <w:t>15</w:t>
            </w:r>
            <w:r>
              <w:rPr>
                <w:rFonts w:hint="eastAsia" w:ascii="宋体" w:hAnsi="宋体" w:cs="宋体"/>
                <w:color w:val="000000"/>
                <w:kern w:val="0"/>
                <w:sz w:val="20"/>
                <w:szCs w:val="20"/>
                <w:lang w:bidi="ar"/>
              </w:rPr>
              <w:t>.支持创建分布式虚拟防火墙，基于虚拟机构建安全防火墙，当虚拟机在不同的物理节点之间迁移时，安全策略随之移动；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w:t>
            </w:r>
            <w:r>
              <w:rPr>
                <w:rFonts w:ascii="宋体" w:hAnsi="宋体" w:cs="宋体"/>
                <w:color w:val="000000"/>
                <w:kern w:val="0"/>
                <w:sz w:val="20"/>
                <w:szCs w:val="20"/>
                <w:lang w:bidi="ar"/>
              </w:rPr>
              <w:t>6</w:t>
            </w:r>
            <w:r>
              <w:rPr>
                <w:rFonts w:hint="eastAsia" w:ascii="宋体" w:hAnsi="宋体" w:cs="宋体"/>
                <w:color w:val="000000"/>
                <w:kern w:val="0"/>
                <w:sz w:val="20"/>
                <w:szCs w:val="20"/>
                <w:lang w:bidi="ar"/>
              </w:rPr>
              <w:t>.为保证</w:t>
            </w:r>
            <w:r>
              <w:rPr>
                <w:rFonts w:hint="eastAsia" w:ascii="宋体" w:hAnsi="宋体" w:cs="宋体"/>
                <w:kern w:val="0"/>
                <w:sz w:val="20"/>
                <w:szCs w:val="20"/>
                <w:lang w:bidi="ar"/>
              </w:rPr>
              <w:t>产品稳定性和可靠性，要求超融合软件通过数据中心联盟颁发的云计算超融合架构可信评估证书；</w:t>
            </w:r>
          </w:p>
          <w:p>
            <w:pPr>
              <w:widowControl/>
              <w:jc w:val="left"/>
              <w:textAlignment w:val="center"/>
              <w:rPr>
                <w:rFonts w:hint="eastAsia" w:ascii="宋体" w:hAnsi="宋体" w:cs="宋体"/>
                <w:color w:val="000000"/>
                <w:sz w:val="20"/>
                <w:szCs w:val="20"/>
              </w:rPr>
            </w:pPr>
            <w:r>
              <w:rPr>
                <w:rFonts w:ascii="宋体" w:hAnsi="宋体" w:cs="宋体"/>
                <w:color w:val="000000"/>
                <w:kern w:val="0"/>
                <w:sz w:val="20"/>
                <w:szCs w:val="20"/>
                <w:lang w:bidi="ar"/>
              </w:rPr>
              <w:t>17</w:t>
            </w:r>
            <w:r>
              <w:rPr>
                <w:rFonts w:hint="eastAsia" w:ascii="宋体" w:hAnsi="宋体" w:cs="宋体"/>
                <w:color w:val="000000"/>
                <w:kern w:val="0"/>
                <w:sz w:val="20"/>
                <w:szCs w:val="20"/>
                <w:lang w:bidi="ar"/>
              </w:rPr>
              <w:t>.为保障产品使用效果和成熟度，保障云安全能力，产品生产厂商需获得CSA-CMMI5云安全能力成熟度集成证书；</w:t>
            </w:r>
            <w:r>
              <w:rPr>
                <w:rFonts w:hint="eastAsia" w:ascii="宋体" w:hAnsi="宋体" w:cs="宋体"/>
                <w:color w:val="000000"/>
                <w:sz w:val="20"/>
                <w:szCs w:val="20"/>
              </w:rPr>
              <w:t xml:space="preserve"> </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15" w:type="dxa"/>
            <w:left w:w="15" w:type="dxa"/>
            <w:bottom w:w="15" w:type="dxa"/>
            <w:right w:w="15" w:type="dxa"/>
          </w:tblCellMar>
        </w:tblPrEx>
        <w:trPr>
          <w:trHeight w:val="130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存储网交换机</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1.万兆交换机，万兆光口≥12个，千兆电口≥12个；交换容量≥1.28Tbps/12.8Tbps，包转发率≥480Mpps；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2.支持全端口线速转发；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w:t>
            </w:r>
            <w:r>
              <w:rPr>
                <w:rFonts w:hint="eastAsia" w:ascii="宋体" w:hAnsi="宋体" w:cs="宋体"/>
                <w:kern w:val="0"/>
                <w:sz w:val="20"/>
                <w:szCs w:val="20"/>
                <w:lang w:bidi="ar"/>
              </w:rPr>
              <w:t>aNAC</w:t>
            </w:r>
            <w:r>
              <w:rPr>
                <w:rFonts w:hint="eastAsia" w:ascii="宋体" w:hAnsi="宋体" w:cs="宋体"/>
                <w:color w:val="000000"/>
                <w:kern w:val="0"/>
                <w:sz w:val="20"/>
                <w:szCs w:val="20"/>
                <w:lang w:bidi="ar"/>
              </w:rPr>
              <w:t>统一管理、统一查看状态、VLAN、堆叠等配置管理；</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14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业务网交换机</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1.万兆交换机，10/100/1000Base-T自适应电口≥24个，万兆光口≥4个；交换容量≥336Gbps/3.36Tbps，包转发率≥108Mpps/126Mpps；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2.支持全端口线速转发；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w:t>
            </w:r>
            <w:r>
              <w:rPr>
                <w:rFonts w:hint="eastAsia" w:ascii="宋体" w:hAnsi="宋体" w:cs="宋体"/>
                <w:kern w:val="0"/>
                <w:sz w:val="20"/>
                <w:szCs w:val="20"/>
                <w:lang w:bidi="ar"/>
              </w:rPr>
              <w:t>支持aNAC统一管理</w:t>
            </w:r>
            <w:r>
              <w:rPr>
                <w:rFonts w:hint="eastAsia" w:ascii="宋体" w:hAnsi="宋体" w:cs="宋体"/>
                <w:color w:val="000000"/>
                <w:kern w:val="0"/>
                <w:sz w:val="20"/>
                <w:szCs w:val="20"/>
                <w:lang w:bidi="ar"/>
              </w:rPr>
              <w:t>、统一查看状态、VLAN等配置管理；</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85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光纤交换机</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24端口交换机，24端口激活，含24个16Gbps FC端口，全光纤支持集联，双交流电源，含相关机架套件等配件，三年原厂质保</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343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存储</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1.厂商资质：设备制造商是拥有自主知识产权，非OEM品牌或联合品牌，拥有属于自身品牌的IEEE OUI地址段（提供IEEE的查询结果截图）；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2.体系架构：多控制器架构，配置双控制器，采用FC及低延迟以太网双协议实现控制器间互连，最大可扩展到≥16个控制器；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3.在线升级：支持控制器在线升级，升级过程中前端业务运行正常，单LUN无IO跌零（提供具备第三方评测机构的测试报告）；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4.主机接口：支持8Gbps FC、16Gbps FC、32Gbps FC、1Gbps iSCSI、10Gbps iSCSI、25Gbps iSCSI、40Gbps iSCSI、100Gbps iSCSI等主机接口，配置1Gbps iSCSI≥14个，16Gbps FC≥8个，10Gbps iSCSI≥4个；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5.缓存：配置高速缓存≥128GB（缓存不包含SSD磁盘、闪存及NAS控制器缓存）；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6.硬盘：配置2.4TB 10000转 SAS硬盘≥24块，可用容量≥40TB；系统支持最大硬盘数≥1200块，配置全部容量授权许可，未来扩容任意类型硬盘，不需要再支付相应的授权许可费；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7.RAID类型：支持RAID 0、1、3、4、5、6、10、50、60、70等；单RAID硬盘组任意3块及以上硬盘发生整盘永久性故障，数据不丢失，业务不中断（提供具备第三方评测机构的测试报告）；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8.硬盘检测：支持集中硬盘管理中心，对磁盘运行状态进行实时监测。并根据磁盘监控统计数据，同时支持手动对相应磁盘进行预警、修复或重建（提供相关证明材料）；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9.硬盘安全管理：支持硬盘缓上电技术，避免大量硬盘同时上电时，引起电流过载，跳闸风险，对硬盘的上电时间设置告警阈值以及告警事件开关（提供相关证明材料）；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10.虚拟化平台：设备制造商是VMware存储官方合作伙伴，通过VMware VAAI、SRM、VVOL认证，通过VVols Storage Replication认证，实现基于虚拟机（VM）级别的复制灾备方案（提供VMware官网截图）；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11.运维管理：实现存储系统的集中化部署、管理、监控和维护，支持SMI-S接口标准,获得SMI-S V1.8.0版本的认证（提供SNIA官网截图和链接）；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12.存储管理软件：配置中文图形化管理平台软件，采用开放存储管理软件，开放存储API接口，支持功能特性植入和二次开发；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13.原厂维保：提供三年7*24小时原厂维保,原厂上门安装；</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543"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NAS存储</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1.厂商资质：设备制造商是拥有自主知识产权，非OEM品牌或联合品牌，拥有属于自身品牌的IEEE OUI地址段（提供IEEE的查询结果截图）；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2.体系架构：多控制器SAN+NAS一体化架构，配置双控制器，采用FC及低延迟以太网双协议实现控制器间互连，最大可扩展到≥16个控制器；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3.在线升级：支持控制器在线升级，升级过程中前端业务运行正常，单LUN无IO跌零</w:t>
            </w:r>
            <w:r>
              <w:rPr>
                <w:rFonts w:hint="eastAsia" w:ascii="宋体" w:hAnsi="宋体" w:cs="宋体"/>
                <w:kern w:val="0"/>
                <w:sz w:val="20"/>
                <w:szCs w:val="20"/>
                <w:lang w:bidi="ar"/>
              </w:rPr>
              <w:t>（提供具备第三方评测机构的测试报告）；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4.主机接口：支持8Gbps FC、16Gbps FC、32Gbps FC、1Gbps iSCSI、10Gbps iSCSI、25Gbps iSCSI、40Gbps iSCSI、100Gbps iSCSI等主机接口，配置1Gbps iSCSI≥14个，10Gbps iSCSI≥4个；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5.缓存：配置高速缓存≥64GB，双控最大可扩展到128GB（缓存不包含SSD磁盘、闪存及NAS控制器缓存）；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6.硬盘：配置6TB 7200转 SAS硬盘≥10块，可用容量≥40TB；系统支持最大硬盘数≥1200块，配置全部容量授权许可，未来扩容任意类型硬盘，不需要再支付相应的授权许可费；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7.RAID类型：支持RAID 0、1、3、4、5、6、10、50、60、70等；单RAID硬盘组任意3块及以上硬盘发生整盘永久性故障，数据不丢失，业务不中断</w:t>
            </w:r>
            <w:r>
              <w:rPr>
                <w:rFonts w:hint="eastAsia" w:ascii="宋体" w:hAnsi="宋体" w:cs="宋体"/>
                <w:kern w:val="0"/>
                <w:sz w:val="20"/>
                <w:szCs w:val="20"/>
                <w:lang w:bidi="ar"/>
              </w:rPr>
              <w:t>（提供具备第三方评测机构的测试报告）；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8.硬盘检测：支持集中硬盘管理中心，对磁盘运行状态进行实时监测。并根据磁盘监控统计数据，同时支持手动对相应磁盘进行预警、修复或重建（提供相关证明材料）；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9.硬盘安全管理：支持硬盘缓上电技术，避免大量硬盘同时上电时，引起电流过载，跳闸风险，对硬盘的上电时间设置告警阈值以及告警事件开关（提供相关证明材料）；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10.NAS一体化：配置NAS功能，同时提供 SAN、NAS 两种服务，无需配置额外的NAS 网关设备；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11.运维管理：实现存储系统的集中化部署、管理、监控和维护，支持SMI-S接口标准,获得SMI-S V1.8.0版本的认证（提供SNIA官网截图和链接）；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12.存储管理软件：配置中文图形化管理平台软件，采用开放存储管理软件，开放存储API接口，支持功能特性植入和二次开发；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13.原厂维保：提供三年7*24小时原厂维保，原厂上门安装</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15" w:type="dxa"/>
            <w:left w:w="15" w:type="dxa"/>
            <w:bottom w:w="15" w:type="dxa"/>
            <w:right w:w="15" w:type="dxa"/>
          </w:tblCellMar>
        </w:tblPrEx>
        <w:trPr>
          <w:trHeight w:val="612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备份一体机</w:t>
            </w:r>
          </w:p>
        </w:tc>
        <w:tc>
          <w:tcPr>
            <w:tcW w:w="37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1、所投产品应具有《中国国家强制性产品认证证书》，所投产品内置软件具有《中国国家信息安全产品认证证书》增强级；所投产品具有涉密信息系统产品检测证书；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2、所投产品具有数据库一致性专利证书；</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3</w:t>
            </w:r>
            <w:r>
              <w:rPr>
                <w:rFonts w:hint="eastAsia" w:ascii="宋体" w:hAnsi="宋体" w:cs="宋体"/>
                <w:color w:val="000000"/>
                <w:kern w:val="0"/>
                <w:sz w:val="20"/>
                <w:szCs w:val="20"/>
                <w:lang w:bidi="ar"/>
              </w:rPr>
              <w:t xml:space="preserve">、配置：2U机架式；800W（1+1）冗余电源；两颗64位六核处理器；64GB高速缓存；12个热插拔位；4个千兆以太网接口；系统基于备份（存储）系统专用的64位UNIX嵌入式系统；多模光纤双端口万兆以太网卡；配置≥24TB 定时备份容量使用授权；配置≥24TB CDM容量使用授权，配置≥24TB 重删功能使用授权；配置VTL功能使用授权，配置内置虚拟主机，配置远程复制模块; </w:t>
            </w:r>
            <w:r>
              <w:rPr>
                <w:rFonts w:hint="eastAsia" w:ascii="宋体" w:hAnsi="宋体" w:cs="宋体"/>
                <w:color w:val="000000"/>
                <w:kern w:val="0"/>
                <w:sz w:val="20"/>
                <w:szCs w:val="20"/>
                <w:lang w:bidi="ar"/>
              </w:rPr>
              <w:br w:type="textWrapping"/>
            </w:r>
            <w:r>
              <w:rPr>
                <w:rFonts w:ascii="宋体" w:hAnsi="宋体" w:cs="宋体"/>
                <w:color w:val="000000"/>
                <w:kern w:val="0"/>
                <w:sz w:val="20"/>
                <w:szCs w:val="20"/>
                <w:lang w:bidi="ar"/>
              </w:rPr>
              <w:t>4</w:t>
            </w:r>
            <w:r>
              <w:rPr>
                <w:rFonts w:hint="eastAsia" w:ascii="宋体" w:hAnsi="宋体" w:cs="宋体"/>
                <w:color w:val="000000"/>
                <w:kern w:val="0"/>
                <w:sz w:val="20"/>
                <w:szCs w:val="20"/>
                <w:lang w:bidi="ar"/>
              </w:rPr>
              <w:t>、设备系统基于备份（存储）系统专用的64位UNIX嵌入式系统，不接受商业版Windows或Linux内核，存储系</w:t>
            </w:r>
            <w:r>
              <w:rPr>
                <w:rFonts w:hint="eastAsia" w:ascii="宋体" w:hAnsi="宋体" w:cs="宋体"/>
                <w:kern w:val="0"/>
                <w:sz w:val="20"/>
                <w:szCs w:val="20"/>
                <w:lang w:bidi="ar"/>
              </w:rPr>
              <w:t>统及软件预装在独立的存储介质中，不占用RAID硬盘组的存储空间。(提供管理界面截图)；</w:t>
            </w:r>
            <w:r>
              <w:rPr>
                <w:rFonts w:hint="eastAsia" w:ascii="宋体" w:hAnsi="宋体" w:cs="宋体"/>
                <w:kern w:val="0"/>
                <w:sz w:val="20"/>
                <w:szCs w:val="20"/>
                <w:lang w:bidi="ar"/>
              </w:rPr>
              <w:br w:type="textWrapping"/>
            </w:r>
            <w:r>
              <w:rPr>
                <w:rFonts w:ascii="宋体" w:hAnsi="宋体" w:cs="宋体"/>
                <w:kern w:val="0"/>
                <w:sz w:val="20"/>
                <w:szCs w:val="20"/>
                <w:lang w:bidi="ar"/>
              </w:rPr>
              <w:t>5</w:t>
            </w:r>
            <w:r>
              <w:rPr>
                <w:rFonts w:hint="eastAsia" w:ascii="宋体" w:hAnsi="宋体" w:cs="宋体"/>
                <w:kern w:val="0"/>
                <w:sz w:val="20"/>
                <w:szCs w:val="20"/>
                <w:lang w:bidi="ar"/>
              </w:rPr>
              <w:t>、设备支持保护Windows、Linux操作系统，并在系统盘损坏时直接从容灾设备历史点数据启动，支持FC光纤、iSCSI等多种SAN Boot方式。不接受虚拟机文件的方式进行系统启动。(提供管理界面截图)；</w:t>
            </w:r>
            <w:r>
              <w:rPr>
                <w:rFonts w:hint="eastAsia" w:ascii="宋体" w:hAnsi="宋体" w:cs="宋体"/>
                <w:kern w:val="0"/>
                <w:sz w:val="20"/>
                <w:szCs w:val="20"/>
                <w:lang w:bidi="ar"/>
              </w:rPr>
              <w:br w:type="textWrapping"/>
            </w:r>
            <w:r>
              <w:rPr>
                <w:rFonts w:hint="eastAsia" w:ascii="宋体" w:hAnsi="宋体" w:cs="宋体"/>
                <w:kern w:val="0"/>
                <w:sz w:val="20"/>
                <w:szCs w:val="20"/>
                <w:lang w:bidi="ar"/>
              </w:rPr>
              <w:t>6、设备支持FC SAN网络中异构平台下的多台服务器LAN-Free备份功能，支持以虚拟磁带库（VTL）或者物理磁带库作为LAN-Free的备份目标，不接受采用基于磁盘预先划分固定分区方式实现。支持同一存储空间（虚拟/物理磁带介质）被Windows、Linux和Unix主机共享使用。(提供管理界面截图)；</w:t>
            </w:r>
            <w:r>
              <w:rPr>
                <w:rFonts w:hint="eastAsia" w:ascii="宋体" w:hAnsi="宋体" w:cs="宋体"/>
                <w:kern w:val="0"/>
                <w:sz w:val="20"/>
                <w:szCs w:val="20"/>
                <w:lang w:bidi="ar"/>
              </w:rPr>
              <w:br w:type="textWrapping"/>
            </w:r>
            <w:r>
              <w:rPr>
                <w:rFonts w:hint="eastAsia" w:ascii="宋体" w:hAnsi="宋体" w:cs="宋体"/>
                <w:kern w:val="0"/>
                <w:sz w:val="20"/>
                <w:szCs w:val="20"/>
                <w:lang w:bidi="ar"/>
              </w:rPr>
              <w:t>7、支持远程复制功能，复制细粒度必须为块级别，复制策略可设置为实时复制、定时复制等策略，支持在本地直接管理远程容灾设备的复制任务。支持一对一、多对一、级联复制等复制方式（提供管理界面截图）；</w:t>
            </w:r>
            <w:r>
              <w:rPr>
                <w:rFonts w:hint="eastAsia" w:ascii="宋体" w:hAnsi="宋体" w:cs="宋体"/>
                <w:kern w:val="0"/>
                <w:sz w:val="20"/>
                <w:szCs w:val="20"/>
                <w:lang w:bidi="ar"/>
              </w:rPr>
              <w:br w:type="textWrapping"/>
            </w:r>
            <w:r>
              <w:rPr>
                <w:rFonts w:ascii="宋体" w:hAnsi="宋体" w:cs="宋体"/>
                <w:kern w:val="0"/>
                <w:sz w:val="20"/>
                <w:szCs w:val="20"/>
                <w:lang w:bidi="ar"/>
              </w:rPr>
              <w:t>8</w:t>
            </w:r>
            <w:r>
              <w:rPr>
                <w:rFonts w:hint="eastAsia" w:ascii="宋体" w:hAnsi="宋体" w:cs="宋体"/>
                <w:kern w:val="0"/>
                <w:sz w:val="20"/>
                <w:szCs w:val="20"/>
                <w:lang w:bidi="ar"/>
              </w:rPr>
              <w:t>、设备必须支持虚拟磁带库功能，必须拥有和备份功能为同一制造商的品牌，拥有自主知识产权，不接受OEM方式。（提供虚拟磁带库软件产品著作权登记证书）；可将内部磁盘空间仿真为磁带设备，通过FC-SAN或IP-SAN连接到网络，可供自身备份功能或者第三方备份/归档应用程序使用。(提供管理界面截图)</w:t>
            </w:r>
            <w:r>
              <w:rPr>
                <w:rFonts w:hint="eastAsia" w:ascii="宋体" w:hAnsi="宋体" w:cs="宋体"/>
                <w:kern w:val="0"/>
                <w:sz w:val="20"/>
                <w:szCs w:val="20"/>
                <w:lang w:bidi="ar"/>
              </w:rPr>
              <w:br w:type="textWrapping"/>
            </w:r>
            <w:r>
              <w:rPr>
                <w:rFonts w:ascii="宋体" w:hAnsi="宋体" w:cs="宋体"/>
                <w:kern w:val="0"/>
                <w:sz w:val="20"/>
                <w:szCs w:val="20"/>
                <w:lang w:bidi="ar"/>
              </w:rPr>
              <w:t>9</w:t>
            </w:r>
            <w:r>
              <w:rPr>
                <w:rFonts w:hint="eastAsia" w:ascii="宋体" w:hAnsi="宋体" w:cs="宋体"/>
                <w:kern w:val="0"/>
                <w:sz w:val="20"/>
                <w:szCs w:val="20"/>
                <w:lang w:bidi="ar"/>
              </w:rPr>
              <w:t>、设备支持备份集进行恢复后，通过用户提供的MD5检验文件对恢复文件进行效验，确保备份和恢复的文件一致。（提供产品界面截图）；</w:t>
            </w:r>
            <w:r>
              <w:rPr>
                <w:rFonts w:hint="eastAsia" w:ascii="宋体" w:hAnsi="宋体" w:cs="宋体"/>
                <w:kern w:val="0"/>
                <w:sz w:val="20"/>
                <w:szCs w:val="20"/>
                <w:lang w:bidi="ar"/>
              </w:rPr>
              <w:br w:type="textWrapping"/>
            </w:r>
            <w:r>
              <w:rPr>
                <w:rFonts w:hint="eastAsia" w:ascii="宋体" w:hAnsi="宋体" w:cs="宋体"/>
                <w:kern w:val="0"/>
                <w:sz w:val="20"/>
                <w:szCs w:val="20"/>
                <w:lang w:bidi="ar"/>
              </w:rPr>
              <w:t>1</w:t>
            </w:r>
            <w:r>
              <w:rPr>
                <w:rFonts w:ascii="宋体" w:hAnsi="宋体" w:cs="宋体"/>
                <w:kern w:val="0"/>
                <w:sz w:val="20"/>
                <w:szCs w:val="20"/>
                <w:lang w:bidi="ar"/>
              </w:rPr>
              <w:t>0</w:t>
            </w:r>
            <w:r>
              <w:rPr>
                <w:rFonts w:hint="eastAsia" w:ascii="宋体" w:hAnsi="宋体" w:cs="宋体"/>
                <w:kern w:val="0"/>
                <w:sz w:val="20"/>
                <w:szCs w:val="20"/>
                <w:lang w:bidi="ar"/>
              </w:rPr>
              <w:t>、提供三年的原厂商服务；提供原厂售后服务承诺函；</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bl>
    <w:p>
      <w:pPr>
        <w:pStyle w:val="126"/>
        <w:ind w:left="540" w:firstLine="480"/>
        <w:rPr>
          <w:rFonts w:hint="eastAsia"/>
          <w:lang w:eastAsia="zh-Hans"/>
        </w:rPr>
      </w:pPr>
    </w:p>
    <w:p>
      <w:pPr>
        <w:rPr>
          <w:rFonts w:hint="eastAsia"/>
          <w:lang w:eastAsia="zh-Hans"/>
        </w:rPr>
      </w:pPr>
    </w:p>
    <w:p>
      <w:pPr>
        <w:pStyle w:val="25"/>
        <w:spacing w:before="0" w:after="0" w:line="360" w:lineRule="auto"/>
        <w:jc w:val="both"/>
        <w:rPr>
          <w:rFonts w:ascii="宋体" w:hAnsi="宋体" w:cs="宋体"/>
          <w:sz w:val="24"/>
          <w:szCs w:val="24"/>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98</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pStyle w:val="18"/>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98</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694E5"/>
    <w:multiLevelType w:val="singleLevel"/>
    <w:tmpl w:val="95F694E5"/>
    <w:lvl w:ilvl="0" w:tentative="0">
      <w:start w:val="2"/>
      <w:numFmt w:val="chineseCounting"/>
      <w:suff w:val="nothing"/>
      <w:lvlText w:val="（%1）"/>
      <w:lvlJc w:val="left"/>
      <w:rPr>
        <w:rFonts w:hint="eastAsia"/>
      </w:rPr>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698"/>
    <w:multiLevelType w:val="singleLevel"/>
    <w:tmpl w:val="59FC4698"/>
    <w:lvl w:ilvl="0" w:tentative="0">
      <w:start w:val="1"/>
      <w:numFmt w:val="decimal"/>
      <w:suff w:val="nothing"/>
      <w:lvlText w:val="（%1）"/>
      <w:lvlJc w:val="left"/>
    </w:lvl>
  </w:abstractNum>
  <w:abstractNum w:abstractNumId="6">
    <w:nsid w:val="59FC4CCC"/>
    <w:multiLevelType w:val="singleLevel"/>
    <w:tmpl w:val="59FC4CCC"/>
    <w:lvl w:ilvl="0" w:tentative="0">
      <w:start w:val="1"/>
      <w:numFmt w:val="decimal"/>
      <w:suff w:val="nothing"/>
      <w:lvlText w:val="（%1）"/>
      <w:lvlJc w:val="left"/>
    </w:lvl>
  </w:abstractNum>
  <w:abstractNum w:abstractNumId="7">
    <w:nsid w:val="59FC4D84"/>
    <w:multiLevelType w:val="singleLevel"/>
    <w:tmpl w:val="59FC4D84"/>
    <w:lvl w:ilvl="0" w:tentative="0">
      <w:start w:val="11"/>
      <w:numFmt w:val="decimal"/>
      <w:suff w:val="nothing"/>
      <w:lvlText w:val="（%1）"/>
      <w:lvlJc w:val="left"/>
    </w:lvl>
  </w:abstractNum>
  <w:abstractNum w:abstractNumId="8">
    <w:nsid w:val="62557BAC"/>
    <w:multiLevelType w:val="singleLevel"/>
    <w:tmpl w:val="62557BAC"/>
    <w:lvl w:ilvl="0" w:tentative="0">
      <w:start w:val="1"/>
      <w:numFmt w:val="decimal"/>
      <w:suff w:val="nothing"/>
      <w:lvlText w:val="%1、"/>
      <w:lvlJc w:val="left"/>
      <w:pPr>
        <w:ind w:left="-418"/>
      </w:pPr>
    </w:lvl>
  </w:abstractNum>
  <w:abstractNum w:abstractNumId="9">
    <w:nsid w:val="639403E4"/>
    <w:multiLevelType w:val="multilevel"/>
    <w:tmpl w:val="639403E4"/>
    <w:lvl w:ilvl="0" w:tentative="0">
      <w:start w:val="1"/>
      <w:numFmt w:val="decimal"/>
      <w:suff w:val="nothing"/>
      <w:lvlText w:val="%1、"/>
      <w:lvlJc w:val="left"/>
      <w:pPr>
        <w:ind w:left="0" w:firstLine="0"/>
      </w:pPr>
      <w:rPr>
        <w:rFonts w:hint="eastAsia" w:ascii="宋体" w:hAnsi="宋体" w:eastAsia="宋体"/>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ZDM1MWE1ZTIyMmI1NzZmZjAwMGU1ZGViMTc1YzIifQ=="/>
  </w:docVars>
  <w:rsids>
    <w:rsidRoot w:val="0DEF2D8F"/>
    <w:rsid w:val="00001E38"/>
    <w:rsid w:val="00014035"/>
    <w:rsid w:val="00020857"/>
    <w:rsid w:val="00041174"/>
    <w:rsid w:val="00047AC6"/>
    <w:rsid w:val="00056964"/>
    <w:rsid w:val="000628A4"/>
    <w:rsid w:val="00063CE5"/>
    <w:rsid w:val="00067372"/>
    <w:rsid w:val="00073588"/>
    <w:rsid w:val="00086B2D"/>
    <w:rsid w:val="000A00B0"/>
    <w:rsid w:val="000A2F89"/>
    <w:rsid w:val="000A4F44"/>
    <w:rsid w:val="000B6D48"/>
    <w:rsid w:val="000D3F86"/>
    <w:rsid w:val="000E2603"/>
    <w:rsid w:val="0010325D"/>
    <w:rsid w:val="00111166"/>
    <w:rsid w:val="001178B7"/>
    <w:rsid w:val="00135FCD"/>
    <w:rsid w:val="00151A44"/>
    <w:rsid w:val="00160A2B"/>
    <w:rsid w:val="0016209D"/>
    <w:rsid w:val="001805C2"/>
    <w:rsid w:val="001901A2"/>
    <w:rsid w:val="001A0964"/>
    <w:rsid w:val="001A7595"/>
    <w:rsid w:val="001B7E70"/>
    <w:rsid w:val="001C34B1"/>
    <w:rsid w:val="001C42C4"/>
    <w:rsid w:val="001C688F"/>
    <w:rsid w:val="001D16EB"/>
    <w:rsid w:val="001E31B6"/>
    <w:rsid w:val="001F565F"/>
    <w:rsid w:val="00204C78"/>
    <w:rsid w:val="00205E39"/>
    <w:rsid w:val="00206DBC"/>
    <w:rsid w:val="0021088C"/>
    <w:rsid w:val="00216C13"/>
    <w:rsid w:val="002170FA"/>
    <w:rsid w:val="00222A3B"/>
    <w:rsid w:val="00223848"/>
    <w:rsid w:val="00224168"/>
    <w:rsid w:val="002258C3"/>
    <w:rsid w:val="0022799F"/>
    <w:rsid w:val="00243AD9"/>
    <w:rsid w:val="002473B8"/>
    <w:rsid w:val="002538C1"/>
    <w:rsid w:val="002579E4"/>
    <w:rsid w:val="002718A4"/>
    <w:rsid w:val="00272024"/>
    <w:rsid w:val="00272276"/>
    <w:rsid w:val="002827C3"/>
    <w:rsid w:val="00286D01"/>
    <w:rsid w:val="00286F7E"/>
    <w:rsid w:val="00293275"/>
    <w:rsid w:val="0029651F"/>
    <w:rsid w:val="0029694B"/>
    <w:rsid w:val="002A0A52"/>
    <w:rsid w:val="002A54F9"/>
    <w:rsid w:val="002C1E60"/>
    <w:rsid w:val="002D6418"/>
    <w:rsid w:val="002F2D9C"/>
    <w:rsid w:val="002F3E4C"/>
    <w:rsid w:val="003259F6"/>
    <w:rsid w:val="003346C0"/>
    <w:rsid w:val="003355BC"/>
    <w:rsid w:val="00351D51"/>
    <w:rsid w:val="00363084"/>
    <w:rsid w:val="0037020A"/>
    <w:rsid w:val="0037138E"/>
    <w:rsid w:val="0037147B"/>
    <w:rsid w:val="003751EB"/>
    <w:rsid w:val="00377E7C"/>
    <w:rsid w:val="003823A3"/>
    <w:rsid w:val="00393AAF"/>
    <w:rsid w:val="00395D34"/>
    <w:rsid w:val="003A5151"/>
    <w:rsid w:val="003A698C"/>
    <w:rsid w:val="003A6C8B"/>
    <w:rsid w:val="003C49D4"/>
    <w:rsid w:val="003D75FC"/>
    <w:rsid w:val="003E22C4"/>
    <w:rsid w:val="003E2E27"/>
    <w:rsid w:val="003E47D1"/>
    <w:rsid w:val="003E6A33"/>
    <w:rsid w:val="004025A7"/>
    <w:rsid w:val="00404206"/>
    <w:rsid w:val="004048E9"/>
    <w:rsid w:val="004049CB"/>
    <w:rsid w:val="004256FD"/>
    <w:rsid w:val="00445648"/>
    <w:rsid w:val="00446309"/>
    <w:rsid w:val="00462802"/>
    <w:rsid w:val="00463DF0"/>
    <w:rsid w:val="00472690"/>
    <w:rsid w:val="00472941"/>
    <w:rsid w:val="00473D5F"/>
    <w:rsid w:val="004769CB"/>
    <w:rsid w:val="00482447"/>
    <w:rsid w:val="00492511"/>
    <w:rsid w:val="004A65FB"/>
    <w:rsid w:val="004A7802"/>
    <w:rsid w:val="004B3B52"/>
    <w:rsid w:val="004C095C"/>
    <w:rsid w:val="004C67CB"/>
    <w:rsid w:val="004D2860"/>
    <w:rsid w:val="004E7903"/>
    <w:rsid w:val="004F4440"/>
    <w:rsid w:val="00500524"/>
    <w:rsid w:val="005070B6"/>
    <w:rsid w:val="00533661"/>
    <w:rsid w:val="00537301"/>
    <w:rsid w:val="00540132"/>
    <w:rsid w:val="00550F75"/>
    <w:rsid w:val="0055677E"/>
    <w:rsid w:val="00556CEC"/>
    <w:rsid w:val="005635AA"/>
    <w:rsid w:val="005730C9"/>
    <w:rsid w:val="005737D9"/>
    <w:rsid w:val="00574F78"/>
    <w:rsid w:val="005768C8"/>
    <w:rsid w:val="00580001"/>
    <w:rsid w:val="005840ED"/>
    <w:rsid w:val="00590FFC"/>
    <w:rsid w:val="005933A1"/>
    <w:rsid w:val="005A31FB"/>
    <w:rsid w:val="005A6B42"/>
    <w:rsid w:val="005D3B18"/>
    <w:rsid w:val="005D74D9"/>
    <w:rsid w:val="005E2992"/>
    <w:rsid w:val="005F187D"/>
    <w:rsid w:val="005F3EDC"/>
    <w:rsid w:val="005F7A2D"/>
    <w:rsid w:val="00604F02"/>
    <w:rsid w:val="00611DD8"/>
    <w:rsid w:val="006121BE"/>
    <w:rsid w:val="006200CA"/>
    <w:rsid w:val="006335F3"/>
    <w:rsid w:val="006357C1"/>
    <w:rsid w:val="006505FA"/>
    <w:rsid w:val="006531BD"/>
    <w:rsid w:val="00653955"/>
    <w:rsid w:val="006627E8"/>
    <w:rsid w:val="0069094E"/>
    <w:rsid w:val="00695D1B"/>
    <w:rsid w:val="006A298E"/>
    <w:rsid w:val="006A38BC"/>
    <w:rsid w:val="006A4410"/>
    <w:rsid w:val="006A6A9C"/>
    <w:rsid w:val="006B7FBE"/>
    <w:rsid w:val="006C64B5"/>
    <w:rsid w:val="006D16F3"/>
    <w:rsid w:val="006D6982"/>
    <w:rsid w:val="006E31CA"/>
    <w:rsid w:val="00700CBE"/>
    <w:rsid w:val="00731F13"/>
    <w:rsid w:val="00740E93"/>
    <w:rsid w:val="00745619"/>
    <w:rsid w:val="0077014A"/>
    <w:rsid w:val="00776D98"/>
    <w:rsid w:val="0079591A"/>
    <w:rsid w:val="00796D59"/>
    <w:rsid w:val="007A37FC"/>
    <w:rsid w:val="007A4472"/>
    <w:rsid w:val="007C59B0"/>
    <w:rsid w:val="007D01C1"/>
    <w:rsid w:val="007D629D"/>
    <w:rsid w:val="007E255B"/>
    <w:rsid w:val="007E5C50"/>
    <w:rsid w:val="007F1208"/>
    <w:rsid w:val="008015EA"/>
    <w:rsid w:val="00802A5D"/>
    <w:rsid w:val="00806353"/>
    <w:rsid w:val="008066F8"/>
    <w:rsid w:val="00812966"/>
    <w:rsid w:val="008449A4"/>
    <w:rsid w:val="00850415"/>
    <w:rsid w:val="00851E9E"/>
    <w:rsid w:val="00862861"/>
    <w:rsid w:val="00865B51"/>
    <w:rsid w:val="00867220"/>
    <w:rsid w:val="00872AA7"/>
    <w:rsid w:val="00877C83"/>
    <w:rsid w:val="00880A0E"/>
    <w:rsid w:val="008830FE"/>
    <w:rsid w:val="00885770"/>
    <w:rsid w:val="0089320F"/>
    <w:rsid w:val="008B029F"/>
    <w:rsid w:val="008D4EF0"/>
    <w:rsid w:val="009023A0"/>
    <w:rsid w:val="009034F6"/>
    <w:rsid w:val="00922CAE"/>
    <w:rsid w:val="00930C40"/>
    <w:rsid w:val="00933133"/>
    <w:rsid w:val="00947B5C"/>
    <w:rsid w:val="00953B0F"/>
    <w:rsid w:val="00953D3A"/>
    <w:rsid w:val="00956024"/>
    <w:rsid w:val="00961EA9"/>
    <w:rsid w:val="009650DC"/>
    <w:rsid w:val="00971620"/>
    <w:rsid w:val="00985832"/>
    <w:rsid w:val="0098732A"/>
    <w:rsid w:val="00991247"/>
    <w:rsid w:val="00991314"/>
    <w:rsid w:val="009A062D"/>
    <w:rsid w:val="009A4CB7"/>
    <w:rsid w:val="009F001D"/>
    <w:rsid w:val="00A0370D"/>
    <w:rsid w:val="00A051CE"/>
    <w:rsid w:val="00A15BFF"/>
    <w:rsid w:val="00A23E34"/>
    <w:rsid w:val="00A363B8"/>
    <w:rsid w:val="00A37464"/>
    <w:rsid w:val="00A56919"/>
    <w:rsid w:val="00A85118"/>
    <w:rsid w:val="00AA24F4"/>
    <w:rsid w:val="00AA668C"/>
    <w:rsid w:val="00AA77A6"/>
    <w:rsid w:val="00AB1D50"/>
    <w:rsid w:val="00AB718E"/>
    <w:rsid w:val="00AC0E26"/>
    <w:rsid w:val="00AD4FDD"/>
    <w:rsid w:val="00AE2CD3"/>
    <w:rsid w:val="00AE5DE7"/>
    <w:rsid w:val="00AF0BD5"/>
    <w:rsid w:val="00B04420"/>
    <w:rsid w:val="00B2329D"/>
    <w:rsid w:val="00B3429D"/>
    <w:rsid w:val="00B34BD7"/>
    <w:rsid w:val="00B36D29"/>
    <w:rsid w:val="00B3777F"/>
    <w:rsid w:val="00B601E4"/>
    <w:rsid w:val="00B812D3"/>
    <w:rsid w:val="00BA467D"/>
    <w:rsid w:val="00BA5CCC"/>
    <w:rsid w:val="00BB18AE"/>
    <w:rsid w:val="00BB5339"/>
    <w:rsid w:val="00BD445A"/>
    <w:rsid w:val="00BD54D6"/>
    <w:rsid w:val="00BE479B"/>
    <w:rsid w:val="00BE498F"/>
    <w:rsid w:val="00BE54F5"/>
    <w:rsid w:val="00BF253F"/>
    <w:rsid w:val="00BF343F"/>
    <w:rsid w:val="00C06E6A"/>
    <w:rsid w:val="00C105BD"/>
    <w:rsid w:val="00C24583"/>
    <w:rsid w:val="00C27D0D"/>
    <w:rsid w:val="00C32112"/>
    <w:rsid w:val="00C323AD"/>
    <w:rsid w:val="00C367C0"/>
    <w:rsid w:val="00C4067F"/>
    <w:rsid w:val="00C43282"/>
    <w:rsid w:val="00C52CA0"/>
    <w:rsid w:val="00C52F3D"/>
    <w:rsid w:val="00C60C4F"/>
    <w:rsid w:val="00C65192"/>
    <w:rsid w:val="00C72230"/>
    <w:rsid w:val="00C72407"/>
    <w:rsid w:val="00C81DB2"/>
    <w:rsid w:val="00C831B4"/>
    <w:rsid w:val="00C841CC"/>
    <w:rsid w:val="00C85181"/>
    <w:rsid w:val="00C8662E"/>
    <w:rsid w:val="00C90DC7"/>
    <w:rsid w:val="00C92E37"/>
    <w:rsid w:val="00CA31FE"/>
    <w:rsid w:val="00CB0A5E"/>
    <w:rsid w:val="00CB18BF"/>
    <w:rsid w:val="00CB797B"/>
    <w:rsid w:val="00CC7500"/>
    <w:rsid w:val="00CD2D06"/>
    <w:rsid w:val="00CD330D"/>
    <w:rsid w:val="00D02E2E"/>
    <w:rsid w:val="00D07994"/>
    <w:rsid w:val="00D12798"/>
    <w:rsid w:val="00D21ACA"/>
    <w:rsid w:val="00D34024"/>
    <w:rsid w:val="00D40C94"/>
    <w:rsid w:val="00D62350"/>
    <w:rsid w:val="00D6724A"/>
    <w:rsid w:val="00D70581"/>
    <w:rsid w:val="00D81CB6"/>
    <w:rsid w:val="00D828B2"/>
    <w:rsid w:val="00D85B35"/>
    <w:rsid w:val="00D94A11"/>
    <w:rsid w:val="00DA4CC3"/>
    <w:rsid w:val="00DA75B5"/>
    <w:rsid w:val="00DB0E06"/>
    <w:rsid w:val="00DC382A"/>
    <w:rsid w:val="00DE254C"/>
    <w:rsid w:val="00DF7506"/>
    <w:rsid w:val="00E172EB"/>
    <w:rsid w:val="00E203FB"/>
    <w:rsid w:val="00E21412"/>
    <w:rsid w:val="00E31540"/>
    <w:rsid w:val="00E35E79"/>
    <w:rsid w:val="00E36CAC"/>
    <w:rsid w:val="00E4584E"/>
    <w:rsid w:val="00E46D73"/>
    <w:rsid w:val="00E506A6"/>
    <w:rsid w:val="00E702D2"/>
    <w:rsid w:val="00E90FD4"/>
    <w:rsid w:val="00E915D1"/>
    <w:rsid w:val="00E92F20"/>
    <w:rsid w:val="00EA5954"/>
    <w:rsid w:val="00EB3B06"/>
    <w:rsid w:val="00EC5822"/>
    <w:rsid w:val="00EC79E4"/>
    <w:rsid w:val="00ED3933"/>
    <w:rsid w:val="00EE464D"/>
    <w:rsid w:val="00EE5B4D"/>
    <w:rsid w:val="00F02E85"/>
    <w:rsid w:val="00F068FD"/>
    <w:rsid w:val="00F1272E"/>
    <w:rsid w:val="00F22F55"/>
    <w:rsid w:val="00F347FE"/>
    <w:rsid w:val="00F3482F"/>
    <w:rsid w:val="00F45EBF"/>
    <w:rsid w:val="00F53051"/>
    <w:rsid w:val="00F57FF6"/>
    <w:rsid w:val="00F92D67"/>
    <w:rsid w:val="00FA1F87"/>
    <w:rsid w:val="00FA7F01"/>
    <w:rsid w:val="00FB4568"/>
    <w:rsid w:val="00FB49D2"/>
    <w:rsid w:val="00FB5763"/>
    <w:rsid w:val="00FB5D8D"/>
    <w:rsid w:val="00FB6560"/>
    <w:rsid w:val="00FC0E50"/>
    <w:rsid w:val="00FE292D"/>
    <w:rsid w:val="00FE41AC"/>
    <w:rsid w:val="00FE5EE7"/>
    <w:rsid w:val="00FF1389"/>
    <w:rsid w:val="0160623D"/>
    <w:rsid w:val="01EA0118"/>
    <w:rsid w:val="027E2958"/>
    <w:rsid w:val="028377FA"/>
    <w:rsid w:val="03B25669"/>
    <w:rsid w:val="03E312C3"/>
    <w:rsid w:val="053F280D"/>
    <w:rsid w:val="057E526E"/>
    <w:rsid w:val="05F723D6"/>
    <w:rsid w:val="06B341EB"/>
    <w:rsid w:val="07433DD1"/>
    <w:rsid w:val="07707495"/>
    <w:rsid w:val="08492B5D"/>
    <w:rsid w:val="08D12D73"/>
    <w:rsid w:val="08F16230"/>
    <w:rsid w:val="09DC70DD"/>
    <w:rsid w:val="0A5B1BB3"/>
    <w:rsid w:val="0A6A06B0"/>
    <w:rsid w:val="0A887C47"/>
    <w:rsid w:val="0BB023D2"/>
    <w:rsid w:val="0C1239F7"/>
    <w:rsid w:val="0C6959F6"/>
    <w:rsid w:val="0CFE3F88"/>
    <w:rsid w:val="0D4A6E26"/>
    <w:rsid w:val="0DCC4856"/>
    <w:rsid w:val="0DEF2D8F"/>
    <w:rsid w:val="0FEF44BC"/>
    <w:rsid w:val="10490EEC"/>
    <w:rsid w:val="10DE3152"/>
    <w:rsid w:val="10F71A0C"/>
    <w:rsid w:val="12887A18"/>
    <w:rsid w:val="12FB1B12"/>
    <w:rsid w:val="131D5FA5"/>
    <w:rsid w:val="144F71CF"/>
    <w:rsid w:val="14A640BD"/>
    <w:rsid w:val="152F1117"/>
    <w:rsid w:val="163C4F8E"/>
    <w:rsid w:val="165C4FD5"/>
    <w:rsid w:val="16754EA0"/>
    <w:rsid w:val="17C62116"/>
    <w:rsid w:val="18137FA2"/>
    <w:rsid w:val="18DA6CE0"/>
    <w:rsid w:val="194A63F6"/>
    <w:rsid w:val="1A215BDB"/>
    <w:rsid w:val="1A273208"/>
    <w:rsid w:val="1B13413B"/>
    <w:rsid w:val="1B7156DA"/>
    <w:rsid w:val="1B717FE1"/>
    <w:rsid w:val="1BC21F3A"/>
    <w:rsid w:val="1BD6553D"/>
    <w:rsid w:val="1BF11C31"/>
    <w:rsid w:val="1BFF0BA9"/>
    <w:rsid w:val="1C3B008B"/>
    <w:rsid w:val="1C4C246E"/>
    <w:rsid w:val="1CAE6CAB"/>
    <w:rsid w:val="1D1F09AD"/>
    <w:rsid w:val="1E49084A"/>
    <w:rsid w:val="1E58702E"/>
    <w:rsid w:val="1E7B6317"/>
    <w:rsid w:val="1E8A1981"/>
    <w:rsid w:val="1ED204F8"/>
    <w:rsid w:val="1F176598"/>
    <w:rsid w:val="20CE2C87"/>
    <w:rsid w:val="20E83C71"/>
    <w:rsid w:val="214B2C18"/>
    <w:rsid w:val="21700948"/>
    <w:rsid w:val="21D56A69"/>
    <w:rsid w:val="21E16770"/>
    <w:rsid w:val="226E2DA3"/>
    <w:rsid w:val="22A72A22"/>
    <w:rsid w:val="230A13A0"/>
    <w:rsid w:val="23152DEF"/>
    <w:rsid w:val="2539627B"/>
    <w:rsid w:val="26BB7348"/>
    <w:rsid w:val="27F56CFF"/>
    <w:rsid w:val="27F807E9"/>
    <w:rsid w:val="281401A9"/>
    <w:rsid w:val="28FC5C27"/>
    <w:rsid w:val="29481D2F"/>
    <w:rsid w:val="29A937EC"/>
    <w:rsid w:val="29BA1325"/>
    <w:rsid w:val="29F059F8"/>
    <w:rsid w:val="2A160F5B"/>
    <w:rsid w:val="2A3C0272"/>
    <w:rsid w:val="2A6937D8"/>
    <w:rsid w:val="2AFF40D7"/>
    <w:rsid w:val="2B3234E7"/>
    <w:rsid w:val="2BAD6352"/>
    <w:rsid w:val="2C1816E7"/>
    <w:rsid w:val="2C183950"/>
    <w:rsid w:val="2C51761F"/>
    <w:rsid w:val="2CB5119F"/>
    <w:rsid w:val="2E35173A"/>
    <w:rsid w:val="2E45461F"/>
    <w:rsid w:val="2FC37F68"/>
    <w:rsid w:val="3084584C"/>
    <w:rsid w:val="31445341"/>
    <w:rsid w:val="32034B9D"/>
    <w:rsid w:val="331441C0"/>
    <w:rsid w:val="335A65FC"/>
    <w:rsid w:val="33F8404D"/>
    <w:rsid w:val="35EA5D8A"/>
    <w:rsid w:val="36C32699"/>
    <w:rsid w:val="37307DA0"/>
    <w:rsid w:val="37643EED"/>
    <w:rsid w:val="37BA58BB"/>
    <w:rsid w:val="3826060E"/>
    <w:rsid w:val="387A29D2"/>
    <w:rsid w:val="38B97E0B"/>
    <w:rsid w:val="39387D60"/>
    <w:rsid w:val="394A6BDE"/>
    <w:rsid w:val="395B5000"/>
    <w:rsid w:val="399C32F4"/>
    <w:rsid w:val="39B90520"/>
    <w:rsid w:val="3A5D5317"/>
    <w:rsid w:val="3AFC6A03"/>
    <w:rsid w:val="3B0C07F1"/>
    <w:rsid w:val="3B836202"/>
    <w:rsid w:val="3E511E3D"/>
    <w:rsid w:val="3EE128C0"/>
    <w:rsid w:val="3EEB74AB"/>
    <w:rsid w:val="3F0C6E96"/>
    <w:rsid w:val="3F8D30DF"/>
    <w:rsid w:val="401E398A"/>
    <w:rsid w:val="40381A73"/>
    <w:rsid w:val="409A6144"/>
    <w:rsid w:val="40C978A1"/>
    <w:rsid w:val="40F42D23"/>
    <w:rsid w:val="41F32F1D"/>
    <w:rsid w:val="423553AA"/>
    <w:rsid w:val="42DC0DDB"/>
    <w:rsid w:val="43296EBF"/>
    <w:rsid w:val="441B4C08"/>
    <w:rsid w:val="443B6568"/>
    <w:rsid w:val="44975CD6"/>
    <w:rsid w:val="44D70341"/>
    <w:rsid w:val="452847AC"/>
    <w:rsid w:val="453573FB"/>
    <w:rsid w:val="45B3770E"/>
    <w:rsid w:val="45E65057"/>
    <w:rsid w:val="46290C6D"/>
    <w:rsid w:val="46BD7176"/>
    <w:rsid w:val="47A638F5"/>
    <w:rsid w:val="48D470CA"/>
    <w:rsid w:val="49494CF1"/>
    <w:rsid w:val="499713DC"/>
    <w:rsid w:val="4A6A6EB4"/>
    <w:rsid w:val="4A851CA9"/>
    <w:rsid w:val="4AA04DE4"/>
    <w:rsid w:val="4ACB4173"/>
    <w:rsid w:val="4AF26B55"/>
    <w:rsid w:val="4B042EBA"/>
    <w:rsid w:val="4BC37A61"/>
    <w:rsid w:val="4BDA5BCF"/>
    <w:rsid w:val="4C4D3BBC"/>
    <w:rsid w:val="4C4D489A"/>
    <w:rsid w:val="4C532A8B"/>
    <w:rsid w:val="4C8C14A2"/>
    <w:rsid w:val="4CAE5D4A"/>
    <w:rsid w:val="4CF40329"/>
    <w:rsid w:val="4E5B3B5C"/>
    <w:rsid w:val="4ECE7556"/>
    <w:rsid w:val="4FA20391"/>
    <w:rsid w:val="5103655F"/>
    <w:rsid w:val="51C20176"/>
    <w:rsid w:val="51EB4B97"/>
    <w:rsid w:val="51F87718"/>
    <w:rsid w:val="528D01FD"/>
    <w:rsid w:val="52B563E4"/>
    <w:rsid w:val="535C747A"/>
    <w:rsid w:val="53CB31D6"/>
    <w:rsid w:val="54284558"/>
    <w:rsid w:val="542F4680"/>
    <w:rsid w:val="54FC51DD"/>
    <w:rsid w:val="5585675D"/>
    <w:rsid w:val="573350D9"/>
    <w:rsid w:val="576879DE"/>
    <w:rsid w:val="578908BA"/>
    <w:rsid w:val="592A63C5"/>
    <w:rsid w:val="5AD72101"/>
    <w:rsid w:val="5ADA758E"/>
    <w:rsid w:val="5B251D54"/>
    <w:rsid w:val="5C5B500F"/>
    <w:rsid w:val="5D2D13A5"/>
    <w:rsid w:val="5D6C1317"/>
    <w:rsid w:val="5D6E73C6"/>
    <w:rsid w:val="5D935B0F"/>
    <w:rsid w:val="5E8E1788"/>
    <w:rsid w:val="5F031561"/>
    <w:rsid w:val="5F764DE2"/>
    <w:rsid w:val="6267026A"/>
    <w:rsid w:val="64A07A63"/>
    <w:rsid w:val="64A76ED7"/>
    <w:rsid w:val="65290E81"/>
    <w:rsid w:val="65673AD0"/>
    <w:rsid w:val="65FE7137"/>
    <w:rsid w:val="666B4950"/>
    <w:rsid w:val="6676622B"/>
    <w:rsid w:val="670A0D95"/>
    <w:rsid w:val="67126D30"/>
    <w:rsid w:val="67C240F3"/>
    <w:rsid w:val="689A0C6D"/>
    <w:rsid w:val="68E53C71"/>
    <w:rsid w:val="69CF0A2F"/>
    <w:rsid w:val="6AD62431"/>
    <w:rsid w:val="6B7E48A8"/>
    <w:rsid w:val="6BDE4043"/>
    <w:rsid w:val="6C500CBC"/>
    <w:rsid w:val="6C9E7EF3"/>
    <w:rsid w:val="6D5411C1"/>
    <w:rsid w:val="6D735D07"/>
    <w:rsid w:val="6DA132F7"/>
    <w:rsid w:val="6F097618"/>
    <w:rsid w:val="6F892F9E"/>
    <w:rsid w:val="70703314"/>
    <w:rsid w:val="713C4FB8"/>
    <w:rsid w:val="718D136F"/>
    <w:rsid w:val="71E930B2"/>
    <w:rsid w:val="72163A54"/>
    <w:rsid w:val="72695938"/>
    <w:rsid w:val="73207E8C"/>
    <w:rsid w:val="732E4CD3"/>
    <w:rsid w:val="739C5083"/>
    <w:rsid w:val="73CC5FC2"/>
    <w:rsid w:val="74226927"/>
    <w:rsid w:val="7451341B"/>
    <w:rsid w:val="747924C7"/>
    <w:rsid w:val="75222AAE"/>
    <w:rsid w:val="75680129"/>
    <w:rsid w:val="76213657"/>
    <w:rsid w:val="76BB588A"/>
    <w:rsid w:val="76FD3B03"/>
    <w:rsid w:val="7739398C"/>
    <w:rsid w:val="774B68D5"/>
    <w:rsid w:val="776310AF"/>
    <w:rsid w:val="779570F7"/>
    <w:rsid w:val="7A1B0465"/>
    <w:rsid w:val="7A2F7E65"/>
    <w:rsid w:val="7A965738"/>
    <w:rsid w:val="7AAC06FC"/>
    <w:rsid w:val="7AE877EF"/>
    <w:rsid w:val="7B4E27CB"/>
    <w:rsid w:val="7BDA019A"/>
    <w:rsid w:val="7D714A00"/>
    <w:rsid w:val="7E877D5E"/>
    <w:rsid w:val="7F515060"/>
    <w:rsid w:val="7F7973D7"/>
    <w:rsid w:val="7F8760D8"/>
    <w:rsid w:val="7F90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99"/>
    <w:pPr>
      <w:keepNext/>
      <w:keepLines/>
      <w:spacing w:line="416" w:lineRule="auto"/>
      <w:outlineLvl w:val="1"/>
    </w:pPr>
    <w:rPr>
      <w:rFonts w:ascii="Cambria" w:hAnsi="Cambria"/>
      <w:b/>
      <w:bCs/>
      <w:sz w:val="32"/>
      <w:szCs w:val="32"/>
    </w:rPr>
  </w:style>
  <w:style w:type="paragraph" w:styleId="5">
    <w:name w:val="heading 3"/>
    <w:basedOn w:val="1"/>
    <w:next w:val="1"/>
    <w:link w:val="49"/>
    <w:qFormat/>
    <w:uiPriority w:val="9"/>
    <w:pPr>
      <w:keepNext/>
      <w:keepLines/>
      <w:spacing w:line="416" w:lineRule="auto"/>
      <w:outlineLvl w:val="2"/>
    </w:pPr>
    <w:rPr>
      <w:b/>
      <w:bCs/>
      <w:szCs w:val="32"/>
    </w:rPr>
  </w:style>
  <w:style w:type="paragraph" w:styleId="2">
    <w:name w:val="heading 4"/>
    <w:basedOn w:val="1"/>
    <w:next w:val="1"/>
    <w:link w:val="46"/>
    <w:qFormat/>
    <w:uiPriority w:val="0"/>
    <w:pPr>
      <w:keepNext/>
      <w:keepLines/>
      <w:spacing w:line="376" w:lineRule="auto"/>
      <w:outlineLvl w:val="3"/>
    </w:pPr>
    <w:rPr>
      <w:rFonts w:ascii="Cambria" w:hAnsi="Cambria"/>
      <w:b/>
      <w:bCs/>
      <w:sz w:val="28"/>
      <w:szCs w:val="28"/>
    </w:rPr>
  </w:style>
  <w:style w:type="paragraph" w:styleId="6">
    <w:name w:val="heading 5"/>
    <w:basedOn w:val="1"/>
    <w:next w:val="1"/>
    <w:link w:val="70"/>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71"/>
    <w:qFormat/>
    <w:uiPriority w:val="0"/>
    <w:pPr>
      <w:keepNext/>
      <w:keepLines/>
      <w:spacing w:before="240" w:after="64" w:line="320" w:lineRule="auto"/>
      <w:outlineLvl w:val="5"/>
    </w:pPr>
    <w:rPr>
      <w:rFonts w:ascii="Cambria" w:hAnsi="Cambria"/>
      <w:b/>
      <w:bC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8"/>
    <w:qFormat/>
    <w:uiPriority w:val="0"/>
    <w:pPr>
      <w:ind w:firstLine="420"/>
    </w:pPr>
    <w:rPr>
      <w:szCs w:val="20"/>
    </w:rPr>
  </w:style>
  <w:style w:type="paragraph" w:styleId="9">
    <w:name w:val="Document Map"/>
    <w:basedOn w:val="1"/>
    <w:link w:val="69"/>
    <w:qFormat/>
    <w:uiPriority w:val="99"/>
    <w:pPr>
      <w:shd w:val="clear" w:color="auto" w:fill="000080"/>
    </w:pPr>
    <w:rPr>
      <w:kern w:val="0"/>
      <w:sz w:val="16"/>
      <w:szCs w:val="16"/>
    </w:rPr>
  </w:style>
  <w:style w:type="paragraph" w:styleId="10">
    <w:name w:val="annotation text"/>
    <w:basedOn w:val="1"/>
    <w:qFormat/>
    <w:uiPriority w:val="99"/>
    <w:pPr>
      <w:jc w:val="left"/>
    </w:pPr>
  </w:style>
  <w:style w:type="paragraph" w:styleId="11">
    <w:name w:val="Body Text"/>
    <w:basedOn w:val="1"/>
    <w:next w:val="12"/>
    <w:link w:val="50"/>
    <w:qFormat/>
    <w:uiPriority w:val="99"/>
    <w:rPr>
      <w:rFonts w:eastAsia="黑体"/>
      <w:sz w:val="36"/>
    </w:rPr>
  </w:style>
  <w:style w:type="paragraph" w:customStyle="1" w:styleId="12">
    <w:name w:val="一级条标题"/>
    <w:basedOn w:val="13"/>
    <w:next w:val="14"/>
    <w:qFormat/>
    <w:uiPriority w:val="99"/>
    <w:pPr>
      <w:spacing w:line="240" w:lineRule="auto"/>
      <w:ind w:left="420"/>
      <w:outlineLvl w:val="2"/>
    </w:pPr>
  </w:style>
  <w:style w:type="paragraph" w:customStyle="1" w:styleId="13">
    <w:name w:val="章标题"/>
    <w:next w:val="1"/>
    <w:qFormat/>
    <w:uiPriority w:val="99"/>
    <w:pPr>
      <w:spacing w:line="360" w:lineRule="auto"/>
      <w:jc w:val="both"/>
      <w:outlineLvl w:val="1"/>
    </w:pPr>
    <w:rPr>
      <w:rFonts w:ascii="黑体" w:hAnsi="Times New Roman" w:eastAsia="黑体" w:cs="Times New Roman"/>
      <w:sz w:val="21"/>
      <w:szCs w:val="22"/>
      <w:lang w:val="en-US" w:eastAsia="zh-CN" w:bidi="ar-SA"/>
    </w:rPr>
  </w:style>
  <w:style w:type="paragraph" w:customStyle="1" w:styleId="14">
    <w:name w:val="段"/>
    <w:next w:val="1"/>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5">
    <w:name w:val="Body Text Indent"/>
    <w:basedOn w:val="1"/>
    <w:qFormat/>
    <w:uiPriority w:val="0"/>
    <w:pPr>
      <w:spacing w:after="120"/>
      <w:ind w:left="420" w:leftChars="200"/>
    </w:pPr>
    <w:rPr>
      <w:sz w:val="21"/>
    </w:rPr>
  </w:style>
  <w:style w:type="paragraph" w:styleId="16">
    <w:name w:val="Plain Text"/>
    <w:basedOn w:val="1"/>
    <w:link w:val="51"/>
    <w:qFormat/>
    <w:uiPriority w:val="0"/>
    <w:pPr>
      <w:spacing w:line="360" w:lineRule="auto"/>
      <w:ind w:firstLine="482" w:firstLineChars="200"/>
      <w:jc w:val="left"/>
    </w:pPr>
    <w:rPr>
      <w:rFonts w:ascii="Courier New" w:hAnsi="Courier New"/>
      <w:szCs w:val="20"/>
    </w:rPr>
  </w:style>
  <w:style w:type="paragraph" w:styleId="17">
    <w:name w:val="Balloon Text"/>
    <w:basedOn w:val="1"/>
    <w:link w:val="52"/>
    <w:qFormat/>
    <w:uiPriority w:val="99"/>
    <w:rPr>
      <w:sz w:val="18"/>
      <w:szCs w:val="18"/>
    </w:rPr>
  </w:style>
  <w:style w:type="paragraph" w:styleId="18">
    <w:name w:val="footer"/>
    <w:basedOn w:val="1"/>
    <w:link w:val="53"/>
    <w:qFormat/>
    <w:uiPriority w:val="99"/>
    <w:pPr>
      <w:tabs>
        <w:tab w:val="center" w:pos="4153"/>
        <w:tab w:val="right" w:pos="8306"/>
      </w:tabs>
      <w:snapToGrid w:val="0"/>
      <w:jc w:val="left"/>
    </w:pPr>
    <w:rPr>
      <w:sz w:val="18"/>
      <w:szCs w:val="18"/>
    </w:rPr>
  </w:style>
  <w:style w:type="paragraph" w:styleId="19">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21">
    <w:name w:val="Subtitle"/>
    <w:basedOn w:val="1"/>
    <w:next w:val="1"/>
    <w:link w:val="73"/>
    <w:qFormat/>
    <w:uiPriority w:val="0"/>
    <w:pPr>
      <w:spacing w:before="240" w:after="60" w:line="312" w:lineRule="auto"/>
      <w:jc w:val="center"/>
      <w:outlineLvl w:val="1"/>
    </w:pPr>
    <w:rPr>
      <w:rFonts w:ascii="Cambria" w:hAnsi="Cambria"/>
      <w:b/>
      <w:bCs/>
      <w:kern w:val="28"/>
      <w:sz w:val="32"/>
      <w:szCs w:val="32"/>
    </w:rPr>
  </w:style>
  <w:style w:type="paragraph" w:styleId="22">
    <w:name w:val="List"/>
    <w:basedOn w:val="1"/>
    <w:qFormat/>
    <w:uiPriority w:val="0"/>
    <w:pPr>
      <w:ind w:left="420" w:hanging="420"/>
    </w:pPr>
    <w:rPr>
      <w:sz w:val="21"/>
      <w:szCs w:val="20"/>
    </w:rPr>
  </w:style>
  <w:style w:type="paragraph" w:styleId="23">
    <w:name w:val="toc 2"/>
    <w:basedOn w:val="1"/>
    <w:next w:val="1"/>
    <w:qFormat/>
    <w:uiPriority w:val="39"/>
    <w:pPr>
      <w:ind w:left="420" w:leftChars="200"/>
    </w:pPr>
    <w:rPr>
      <w:rFonts w:ascii="Calibri" w:hAnsi="Calibri"/>
      <w:sz w:val="21"/>
    </w:rPr>
  </w:style>
  <w:style w:type="paragraph" w:styleId="24">
    <w:name w:val="Normal (Web)"/>
    <w:basedOn w:val="1"/>
    <w:qFormat/>
    <w:uiPriority w:val="99"/>
    <w:pPr>
      <w:spacing w:before="100" w:beforeAutospacing="1" w:after="100" w:afterAutospacing="1"/>
      <w:jc w:val="left"/>
    </w:pPr>
    <w:rPr>
      <w:kern w:val="0"/>
    </w:rPr>
  </w:style>
  <w:style w:type="paragraph" w:styleId="25">
    <w:name w:val="Title"/>
    <w:basedOn w:val="1"/>
    <w:next w:val="1"/>
    <w:link w:val="55"/>
    <w:qFormat/>
    <w:uiPriority w:val="0"/>
    <w:pPr>
      <w:spacing w:before="240" w:after="60"/>
      <w:jc w:val="center"/>
      <w:outlineLvl w:val="0"/>
    </w:pPr>
    <w:rPr>
      <w:rFonts w:ascii="Cambria" w:hAnsi="Cambria"/>
      <w:b/>
      <w:bCs/>
      <w:sz w:val="36"/>
      <w:szCs w:val="32"/>
    </w:rPr>
  </w:style>
  <w:style w:type="paragraph" w:styleId="26">
    <w:name w:val="Body Text First Indent"/>
    <w:basedOn w:val="11"/>
    <w:next w:val="27"/>
    <w:qFormat/>
    <w:uiPriority w:val="0"/>
    <w:pPr>
      <w:ind w:firstLine="420"/>
    </w:pPr>
    <w:rPr>
      <w:sz w:val="32"/>
    </w:rPr>
  </w:style>
  <w:style w:type="paragraph" w:styleId="27">
    <w:name w:val="Body Text First Indent 2"/>
    <w:basedOn w:val="15"/>
    <w:qFormat/>
    <w:uiPriority w:val="0"/>
    <w:pPr>
      <w:ind w:firstLine="420"/>
    </w:pPr>
    <w:rPr>
      <w:sz w:val="28"/>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unhideWhenUsed/>
    <w:qFormat/>
    <w:uiPriority w:val="99"/>
    <w:rPr>
      <w:color w:val="000000"/>
      <w:u w:val="none"/>
    </w:rPr>
  </w:style>
  <w:style w:type="character" w:styleId="34">
    <w:name w:val="Emphasis"/>
    <w:basedOn w:val="30"/>
    <w:qFormat/>
    <w:uiPriority w:val="0"/>
    <w:rPr>
      <w:b/>
      <w:bCs/>
      <w:bdr w:val="none" w:color="auto" w:sz="0" w:space="0"/>
    </w:rPr>
  </w:style>
  <w:style w:type="character" w:styleId="35">
    <w:name w:val="HTML Definition"/>
    <w:basedOn w:val="30"/>
    <w:uiPriority w:val="0"/>
  </w:style>
  <w:style w:type="character" w:styleId="36">
    <w:name w:val="HTML Typewriter"/>
    <w:basedOn w:val="30"/>
    <w:uiPriority w:val="0"/>
    <w:rPr>
      <w:rFonts w:hint="default" w:ascii="monospace" w:hAnsi="monospace" w:eastAsia="monospace" w:cs="monospace"/>
      <w:sz w:val="20"/>
    </w:rPr>
  </w:style>
  <w:style w:type="character" w:styleId="37">
    <w:name w:val="HTML Acronym"/>
    <w:basedOn w:val="30"/>
    <w:uiPriority w:val="0"/>
    <w:rPr>
      <w:bdr w:val="none" w:color="auto" w:sz="0" w:space="0"/>
    </w:rPr>
  </w:style>
  <w:style w:type="character" w:styleId="38">
    <w:name w:val="HTML Variable"/>
    <w:basedOn w:val="30"/>
    <w:uiPriority w:val="0"/>
  </w:style>
  <w:style w:type="character" w:styleId="39">
    <w:name w:val="Hyperlink"/>
    <w:qFormat/>
    <w:uiPriority w:val="99"/>
    <w:rPr>
      <w:color w:val="000000"/>
      <w:u w:val="none"/>
    </w:rPr>
  </w:style>
  <w:style w:type="character" w:styleId="40">
    <w:name w:val="HTML Code"/>
    <w:basedOn w:val="30"/>
    <w:uiPriority w:val="0"/>
    <w:rPr>
      <w:rFonts w:hint="default" w:ascii="monospace" w:hAnsi="monospace" w:eastAsia="monospace" w:cs="monospace"/>
      <w:sz w:val="20"/>
      <w:bdr w:val="none" w:color="auto" w:sz="0" w:space="0"/>
    </w:rPr>
  </w:style>
  <w:style w:type="character" w:styleId="41">
    <w:name w:val="annotation reference"/>
    <w:unhideWhenUsed/>
    <w:qFormat/>
    <w:uiPriority w:val="99"/>
    <w:rPr>
      <w:sz w:val="21"/>
      <w:szCs w:val="21"/>
    </w:rPr>
  </w:style>
  <w:style w:type="character" w:styleId="42">
    <w:name w:val="HTML Cite"/>
    <w:basedOn w:val="30"/>
    <w:uiPriority w:val="0"/>
  </w:style>
  <w:style w:type="character" w:styleId="43">
    <w:name w:val="HTML Keyboard"/>
    <w:basedOn w:val="30"/>
    <w:uiPriority w:val="0"/>
    <w:rPr>
      <w:rFonts w:ascii="monospace" w:hAnsi="monospace" w:eastAsia="monospace" w:cs="monospace"/>
      <w:sz w:val="20"/>
      <w:bdr w:val="single" w:color="F1F1F1" w:sz="6" w:space="0"/>
      <w:shd w:val="clear" w:fill="F1F1F1"/>
    </w:rPr>
  </w:style>
  <w:style w:type="character" w:styleId="44">
    <w:name w:val="HTML Sample"/>
    <w:basedOn w:val="30"/>
    <w:uiPriority w:val="0"/>
    <w:rPr>
      <w:rFonts w:hint="default" w:ascii="monospace" w:hAnsi="monospace" w:eastAsia="monospace" w:cs="monospace"/>
      <w:bdr w:val="single" w:color="BDBEC1" w:sz="6" w:space="0"/>
      <w:shd w:val="clear" w:fill="FFFFFF"/>
    </w:rPr>
  </w:style>
  <w:style w:type="character" w:customStyle="1" w:styleId="45">
    <w:name w:val="标题 2字符"/>
    <w:link w:val="4"/>
    <w:qFormat/>
    <w:locked/>
    <w:uiPriority w:val="99"/>
    <w:rPr>
      <w:rFonts w:ascii="Cambria" w:hAnsi="Cambria"/>
      <w:b/>
      <w:bCs/>
      <w:kern w:val="2"/>
      <w:sz w:val="32"/>
      <w:szCs w:val="32"/>
    </w:rPr>
  </w:style>
  <w:style w:type="character" w:customStyle="1" w:styleId="46">
    <w:name w:val="标题 4字符"/>
    <w:link w:val="2"/>
    <w:qFormat/>
    <w:uiPriority w:val="0"/>
    <w:rPr>
      <w:rFonts w:ascii="Cambria" w:hAnsi="Cambria"/>
      <w:b/>
      <w:bCs/>
      <w:kern w:val="2"/>
      <w:sz w:val="28"/>
      <w:szCs w:val="28"/>
    </w:rPr>
  </w:style>
  <w:style w:type="character" w:customStyle="1" w:styleId="47">
    <w:name w:val="标题 1字符"/>
    <w:basedOn w:val="30"/>
    <w:link w:val="3"/>
    <w:qFormat/>
    <w:uiPriority w:val="0"/>
    <w:rPr>
      <w:b/>
      <w:bCs/>
      <w:kern w:val="44"/>
      <w:sz w:val="44"/>
      <w:szCs w:val="44"/>
    </w:rPr>
  </w:style>
  <w:style w:type="character" w:customStyle="1" w:styleId="48">
    <w:name w:val="正文缩进字符"/>
    <w:link w:val="8"/>
    <w:qFormat/>
    <w:uiPriority w:val="0"/>
    <w:rPr>
      <w:kern w:val="2"/>
      <w:sz w:val="24"/>
    </w:rPr>
  </w:style>
  <w:style w:type="character" w:customStyle="1" w:styleId="49">
    <w:name w:val="标题 3字符"/>
    <w:link w:val="5"/>
    <w:qFormat/>
    <w:uiPriority w:val="9"/>
    <w:rPr>
      <w:b/>
      <w:bCs/>
      <w:kern w:val="2"/>
      <w:sz w:val="24"/>
      <w:szCs w:val="32"/>
    </w:rPr>
  </w:style>
  <w:style w:type="character" w:customStyle="1" w:styleId="50">
    <w:name w:val="正文文本字符"/>
    <w:link w:val="11"/>
    <w:qFormat/>
    <w:locked/>
    <w:uiPriority w:val="99"/>
    <w:rPr>
      <w:rFonts w:eastAsia="黑体"/>
      <w:kern w:val="2"/>
      <w:sz w:val="36"/>
      <w:szCs w:val="24"/>
    </w:rPr>
  </w:style>
  <w:style w:type="character" w:customStyle="1" w:styleId="51">
    <w:name w:val="纯文本字符"/>
    <w:basedOn w:val="30"/>
    <w:link w:val="16"/>
    <w:qFormat/>
    <w:uiPriority w:val="0"/>
    <w:rPr>
      <w:rFonts w:ascii="Courier New" w:hAnsi="Courier New"/>
      <w:kern w:val="2"/>
      <w:sz w:val="24"/>
    </w:rPr>
  </w:style>
  <w:style w:type="character" w:customStyle="1" w:styleId="52">
    <w:name w:val="批注框文本字符"/>
    <w:basedOn w:val="30"/>
    <w:link w:val="17"/>
    <w:qFormat/>
    <w:uiPriority w:val="99"/>
    <w:rPr>
      <w:kern w:val="2"/>
      <w:sz w:val="18"/>
      <w:szCs w:val="18"/>
    </w:rPr>
  </w:style>
  <w:style w:type="character" w:customStyle="1" w:styleId="53">
    <w:name w:val="页脚字符"/>
    <w:basedOn w:val="30"/>
    <w:link w:val="18"/>
    <w:qFormat/>
    <w:uiPriority w:val="99"/>
    <w:rPr>
      <w:kern w:val="2"/>
      <w:sz w:val="18"/>
      <w:szCs w:val="18"/>
    </w:rPr>
  </w:style>
  <w:style w:type="character" w:customStyle="1" w:styleId="54">
    <w:name w:val="页眉字符"/>
    <w:link w:val="19"/>
    <w:qFormat/>
    <w:uiPriority w:val="99"/>
    <w:rPr>
      <w:kern w:val="2"/>
      <w:sz w:val="18"/>
      <w:szCs w:val="18"/>
    </w:rPr>
  </w:style>
  <w:style w:type="character" w:customStyle="1" w:styleId="55">
    <w:name w:val="标题字符"/>
    <w:link w:val="25"/>
    <w:qFormat/>
    <w:uiPriority w:val="0"/>
    <w:rPr>
      <w:rFonts w:ascii="Cambria" w:hAnsi="Cambria"/>
      <w:b/>
      <w:bCs/>
      <w:sz w:val="36"/>
      <w:szCs w:val="32"/>
    </w:rPr>
  </w:style>
  <w:style w:type="character" w:customStyle="1" w:styleId="56">
    <w:name w:val="font121"/>
    <w:basedOn w:val="30"/>
    <w:qFormat/>
    <w:uiPriority w:val="0"/>
    <w:rPr>
      <w:rFonts w:hint="eastAsia" w:ascii="宋体" w:hAnsi="宋体" w:eastAsia="宋体" w:cs="宋体"/>
      <w:b/>
      <w:color w:val="000000"/>
      <w:sz w:val="22"/>
      <w:szCs w:val="22"/>
      <w:u w:val="none"/>
    </w:rPr>
  </w:style>
  <w:style w:type="character" w:customStyle="1" w:styleId="57">
    <w:name w:val="font171"/>
    <w:basedOn w:val="30"/>
    <w:qFormat/>
    <w:uiPriority w:val="0"/>
    <w:rPr>
      <w:rFonts w:hint="default" w:ascii="Calibri" w:hAnsi="Calibri" w:cs="Calibri"/>
      <w:b/>
      <w:color w:val="000000"/>
      <w:sz w:val="22"/>
      <w:szCs w:val="22"/>
      <w:u w:val="none"/>
    </w:rPr>
  </w:style>
  <w:style w:type="character" w:customStyle="1" w:styleId="58">
    <w:name w:val="font51"/>
    <w:basedOn w:val="30"/>
    <w:qFormat/>
    <w:uiPriority w:val="0"/>
    <w:rPr>
      <w:rFonts w:hint="default" w:ascii="Calibri" w:hAnsi="Calibri" w:cs="Calibri"/>
      <w:color w:val="000000"/>
      <w:sz w:val="16"/>
      <w:szCs w:val="16"/>
      <w:u w:val="none"/>
    </w:rPr>
  </w:style>
  <w:style w:type="character" w:customStyle="1" w:styleId="59">
    <w:name w:val="font201"/>
    <w:basedOn w:val="30"/>
    <w:qFormat/>
    <w:uiPriority w:val="0"/>
    <w:rPr>
      <w:rFonts w:hint="eastAsia" w:ascii="宋体" w:hAnsi="宋体" w:eastAsia="宋体" w:cs="宋体"/>
      <w:color w:val="000000"/>
      <w:sz w:val="16"/>
      <w:szCs w:val="16"/>
      <w:u w:val="none"/>
    </w:rPr>
  </w:style>
  <w:style w:type="character" w:customStyle="1" w:styleId="60">
    <w:name w:val="font101"/>
    <w:basedOn w:val="30"/>
    <w:qFormat/>
    <w:uiPriority w:val="0"/>
    <w:rPr>
      <w:rFonts w:hint="eastAsia" w:ascii="宋体" w:hAnsi="宋体" w:eastAsia="宋体" w:cs="宋体"/>
      <w:color w:val="000000"/>
      <w:sz w:val="12"/>
      <w:szCs w:val="12"/>
      <w:u w:val="none"/>
    </w:rPr>
  </w:style>
  <w:style w:type="character" w:customStyle="1" w:styleId="61">
    <w:name w:val="font41"/>
    <w:basedOn w:val="30"/>
    <w:qFormat/>
    <w:uiPriority w:val="0"/>
    <w:rPr>
      <w:rFonts w:hint="default" w:ascii="Calibri" w:hAnsi="Calibri" w:cs="Calibri"/>
      <w:color w:val="000000"/>
      <w:sz w:val="12"/>
      <w:szCs w:val="12"/>
      <w:u w:val="none"/>
    </w:rPr>
  </w:style>
  <w:style w:type="character" w:customStyle="1" w:styleId="62">
    <w:name w:val="font112"/>
    <w:basedOn w:val="30"/>
    <w:qFormat/>
    <w:uiPriority w:val="0"/>
    <w:rPr>
      <w:rFonts w:hint="default" w:ascii="Calibri" w:hAnsi="Calibri" w:cs="Calibri"/>
      <w:b/>
      <w:color w:val="000000"/>
      <w:sz w:val="12"/>
      <w:szCs w:val="12"/>
      <w:u w:val="none"/>
    </w:rPr>
  </w:style>
  <w:style w:type="character" w:customStyle="1" w:styleId="63">
    <w:name w:val="font01"/>
    <w:basedOn w:val="30"/>
    <w:qFormat/>
    <w:uiPriority w:val="0"/>
    <w:rPr>
      <w:rFonts w:hint="eastAsia" w:ascii="宋体" w:hAnsi="宋体" w:eastAsia="宋体" w:cs="宋体"/>
      <w:b/>
      <w:color w:val="000000"/>
      <w:sz w:val="12"/>
      <w:szCs w:val="12"/>
      <w:u w:val="none"/>
    </w:rPr>
  </w:style>
  <w:style w:type="character" w:customStyle="1" w:styleId="64">
    <w:name w:val="font31"/>
    <w:basedOn w:val="30"/>
    <w:qFormat/>
    <w:uiPriority w:val="0"/>
    <w:rPr>
      <w:rFonts w:ascii="Arial" w:hAnsi="Arial" w:cs="Arial"/>
      <w:color w:val="000000"/>
      <w:sz w:val="22"/>
      <w:szCs w:val="22"/>
      <w:u w:val="none"/>
    </w:rPr>
  </w:style>
  <w:style w:type="character" w:customStyle="1" w:styleId="65">
    <w:name w:val="font11"/>
    <w:basedOn w:val="30"/>
    <w:qFormat/>
    <w:uiPriority w:val="0"/>
    <w:rPr>
      <w:rFonts w:hint="eastAsia" w:ascii="宋体" w:hAnsi="宋体" w:eastAsia="宋体" w:cs="宋体"/>
      <w:color w:val="000000"/>
      <w:sz w:val="24"/>
      <w:szCs w:val="24"/>
      <w:u w:val="none"/>
    </w:rPr>
  </w:style>
  <w:style w:type="character" w:customStyle="1" w:styleId="66">
    <w:name w:val="font21"/>
    <w:basedOn w:val="30"/>
    <w:qFormat/>
    <w:uiPriority w:val="0"/>
    <w:rPr>
      <w:rFonts w:hint="eastAsia" w:ascii="宋体" w:hAnsi="宋体" w:eastAsia="宋体" w:cs="宋体"/>
      <w:color w:val="000000"/>
      <w:sz w:val="28"/>
      <w:szCs w:val="28"/>
      <w:u w:val="none"/>
    </w:rPr>
  </w:style>
  <w:style w:type="paragraph" w:styleId="67">
    <w:name w:val="List Paragraph"/>
    <w:basedOn w:val="1"/>
    <w:unhideWhenUsed/>
    <w:qFormat/>
    <w:uiPriority w:val="99"/>
    <w:pPr>
      <w:ind w:firstLine="420" w:firstLineChars="200"/>
    </w:pPr>
  </w:style>
  <w:style w:type="character" w:customStyle="1" w:styleId="68">
    <w:name w:val="文档结构图 Char"/>
    <w:qFormat/>
    <w:uiPriority w:val="99"/>
    <w:rPr>
      <w:sz w:val="16"/>
      <w:szCs w:val="16"/>
      <w:shd w:val="clear" w:color="auto" w:fill="000080"/>
    </w:rPr>
  </w:style>
  <w:style w:type="character" w:customStyle="1" w:styleId="69">
    <w:name w:val="文档结构图字符"/>
    <w:basedOn w:val="30"/>
    <w:link w:val="9"/>
    <w:qFormat/>
    <w:uiPriority w:val="0"/>
    <w:rPr>
      <w:rFonts w:ascii="宋体"/>
      <w:kern w:val="2"/>
      <w:sz w:val="18"/>
      <w:szCs w:val="18"/>
    </w:rPr>
  </w:style>
  <w:style w:type="character" w:customStyle="1" w:styleId="70">
    <w:name w:val="标题 5字符"/>
    <w:basedOn w:val="30"/>
    <w:link w:val="6"/>
    <w:qFormat/>
    <w:uiPriority w:val="0"/>
    <w:rPr>
      <w:rFonts w:ascii="Calibri" w:hAnsi="Calibri"/>
      <w:b/>
      <w:bCs/>
      <w:kern w:val="2"/>
      <w:sz w:val="28"/>
      <w:szCs w:val="28"/>
    </w:rPr>
  </w:style>
  <w:style w:type="character" w:customStyle="1" w:styleId="71">
    <w:name w:val="标题 6字符"/>
    <w:basedOn w:val="30"/>
    <w:link w:val="7"/>
    <w:qFormat/>
    <w:uiPriority w:val="0"/>
    <w:rPr>
      <w:rFonts w:ascii="Cambria" w:hAnsi="Cambria"/>
      <w:b/>
      <w:bCs/>
      <w:kern w:val="2"/>
      <w:sz w:val="24"/>
      <w:szCs w:val="24"/>
    </w:rPr>
  </w:style>
  <w:style w:type="character" w:customStyle="1" w:styleId="72">
    <w:name w:val="副标题 Char"/>
    <w:qFormat/>
    <w:uiPriority w:val="0"/>
    <w:rPr>
      <w:rFonts w:ascii="Cambria" w:hAnsi="Cambria"/>
      <w:b/>
      <w:bCs/>
      <w:kern w:val="28"/>
      <w:sz w:val="32"/>
      <w:szCs w:val="32"/>
    </w:rPr>
  </w:style>
  <w:style w:type="character" w:customStyle="1" w:styleId="73">
    <w:name w:val="副标题字符"/>
    <w:basedOn w:val="30"/>
    <w:link w:val="21"/>
    <w:qFormat/>
    <w:uiPriority w:val="0"/>
    <w:rPr>
      <w:rFonts w:asciiTheme="majorHAnsi" w:hAnsiTheme="majorHAnsi" w:cstheme="majorBidi"/>
      <w:b/>
      <w:bCs/>
      <w:kern w:val="28"/>
      <w:sz w:val="32"/>
      <w:szCs w:val="32"/>
    </w:rPr>
  </w:style>
  <w:style w:type="character" w:customStyle="1" w:styleId="74">
    <w:name w:val="15"/>
    <w:qFormat/>
    <w:uiPriority w:val="0"/>
    <w:rPr>
      <w:rFonts w:hint="eastAsia" w:ascii="仿宋_GB2312" w:eastAsia="仿宋_GB2312"/>
      <w:color w:val="000000"/>
      <w:sz w:val="16"/>
      <w:szCs w:val="16"/>
    </w:rPr>
  </w:style>
  <w:style w:type="character" w:customStyle="1" w:styleId="75">
    <w:name w:val="正文缩进 Char1"/>
    <w:qFormat/>
    <w:uiPriority w:val="0"/>
    <w:rPr>
      <w:rFonts w:eastAsia="宋体"/>
      <w:kern w:val="2"/>
      <w:sz w:val="28"/>
      <w:szCs w:val="28"/>
      <w:lang w:val="en-US" w:eastAsia="zh-CN" w:bidi="ar-SA"/>
    </w:rPr>
  </w:style>
  <w:style w:type="character" w:customStyle="1" w:styleId="76">
    <w:name w:val="font71"/>
    <w:qFormat/>
    <w:uiPriority w:val="0"/>
    <w:rPr>
      <w:rFonts w:hint="default" w:ascii="仿宋_GB2312" w:eastAsia="仿宋_GB2312" w:cs="仿宋_GB2312"/>
      <w:b/>
      <w:color w:val="000000"/>
      <w:sz w:val="20"/>
      <w:szCs w:val="20"/>
      <w:u w:val="none"/>
    </w:rPr>
  </w:style>
  <w:style w:type="character" w:customStyle="1" w:styleId="77">
    <w:name w:val="font61"/>
    <w:qFormat/>
    <w:uiPriority w:val="0"/>
    <w:rPr>
      <w:rFonts w:ascii="仿宋_GB2312" w:eastAsia="仿宋_GB2312" w:cs="仿宋_GB2312"/>
      <w:color w:val="000000"/>
      <w:sz w:val="20"/>
      <w:szCs w:val="20"/>
      <w:u w:val="none"/>
    </w:rPr>
  </w:style>
  <w:style w:type="character" w:customStyle="1" w:styleId="78">
    <w:name w:val="font81"/>
    <w:qFormat/>
    <w:uiPriority w:val="0"/>
    <w:rPr>
      <w:rFonts w:hint="default" w:ascii="仿宋_GB2312" w:eastAsia="仿宋_GB2312" w:cs="仿宋_GB2312"/>
      <w:color w:val="000000"/>
      <w:sz w:val="16"/>
      <w:szCs w:val="16"/>
      <w:u w:val="none"/>
    </w:rPr>
  </w:style>
  <w:style w:type="character" w:customStyle="1" w:styleId="79">
    <w:name w:val="font91"/>
    <w:qFormat/>
    <w:uiPriority w:val="0"/>
    <w:rPr>
      <w:rFonts w:hint="default" w:ascii="仿宋_GB2312" w:eastAsia="仿宋_GB2312" w:cs="仿宋_GB2312"/>
      <w:color w:val="000000"/>
      <w:sz w:val="16"/>
      <w:szCs w:val="16"/>
      <w:u w:val="none"/>
    </w:rPr>
  </w:style>
  <w:style w:type="paragraph" w:customStyle="1" w:styleId="80">
    <w:name w:val="font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1">
    <w:name w:val="et12"/>
    <w:basedOn w:val="1"/>
    <w:qFormat/>
    <w:uiPriority w:val="0"/>
    <w:pPr>
      <w:widowControl/>
      <w:pBdr>
        <w:right w:val="single" w:color="000000"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8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et4"/>
    <w:basedOn w:val="1"/>
    <w:qFormat/>
    <w:uiPriority w:val="0"/>
    <w:pPr>
      <w:widowControl/>
      <w:spacing w:before="100" w:beforeAutospacing="1" w:after="100" w:afterAutospacing="1"/>
      <w:jc w:val="center"/>
    </w:pPr>
    <w:rPr>
      <w:rFonts w:ascii="宋体" w:hAnsi="宋体" w:cs="宋体"/>
      <w:b/>
      <w:bCs/>
      <w:color w:val="000000"/>
      <w:kern w:val="0"/>
      <w:sz w:val="20"/>
      <w:szCs w:val="20"/>
    </w:rPr>
  </w:style>
  <w:style w:type="paragraph" w:customStyle="1" w:styleId="84">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85">
    <w:name w:val="et28"/>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 w:val="18"/>
      <w:szCs w:val="18"/>
    </w:rPr>
  </w:style>
  <w:style w:type="paragraph" w:customStyle="1" w:styleId="86">
    <w:name w:val="et1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87">
    <w:name w:val="et22"/>
    <w:basedOn w:val="1"/>
    <w:qFormat/>
    <w:uiPriority w:val="0"/>
    <w:pPr>
      <w:widowControl/>
      <w:pBdr>
        <w:left w:val="single" w:color="000000" w:sz="4" w:space="0"/>
        <w:right w:val="single" w:color="000000"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88">
    <w:name w:val="et2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89">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90">
    <w:name w:val="font3"/>
    <w:basedOn w:val="1"/>
    <w:qFormat/>
    <w:uiPriority w:val="0"/>
    <w:pPr>
      <w:widowControl/>
      <w:spacing w:before="100" w:beforeAutospacing="1" w:after="100" w:afterAutospacing="1"/>
      <w:jc w:val="left"/>
    </w:pPr>
    <w:rPr>
      <w:color w:val="000000"/>
      <w:kern w:val="0"/>
      <w:sz w:val="16"/>
      <w:szCs w:val="16"/>
    </w:rPr>
  </w:style>
  <w:style w:type="paragraph" w:customStyle="1" w:styleId="91">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92">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93">
    <w:name w:val="1"/>
    <w:basedOn w:val="1"/>
    <w:qFormat/>
    <w:uiPriority w:val="99"/>
    <w:rPr>
      <w:sz w:val="21"/>
    </w:rPr>
  </w:style>
  <w:style w:type="paragraph" w:customStyle="1" w:styleId="94">
    <w:name w:val="Char Char Char Char"/>
    <w:basedOn w:val="1"/>
    <w:qFormat/>
    <w:uiPriority w:val="0"/>
    <w:pPr>
      <w:widowControl/>
      <w:spacing w:after="160"/>
      <w:ind w:right="320" w:firstLine="640" w:firstLineChars="200"/>
      <w:jc w:val="left"/>
    </w:pPr>
    <w:rPr>
      <w:rFonts w:ascii="黑体" w:hAnsi="宋体" w:eastAsia="黑体"/>
      <w:kern w:val="0"/>
      <w:sz w:val="32"/>
      <w:szCs w:val="32"/>
    </w:rPr>
  </w:style>
  <w:style w:type="paragraph" w:customStyle="1" w:styleId="95">
    <w:name w:val="et7"/>
    <w:basedOn w:val="1"/>
    <w:qFormat/>
    <w:uiPriority w:val="0"/>
    <w:pPr>
      <w:widowControl/>
      <w:pBdr>
        <w:bottom w:val="single" w:color="000000" w:sz="4" w:space="0"/>
      </w:pBdr>
      <w:spacing w:before="100" w:beforeAutospacing="1" w:after="100" w:afterAutospacing="1"/>
      <w:jc w:val="right"/>
    </w:pPr>
    <w:rPr>
      <w:rFonts w:ascii="宋体" w:hAnsi="宋体" w:cs="宋体"/>
      <w:b/>
      <w:bCs/>
      <w:color w:val="000000"/>
      <w:kern w:val="0"/>
      <w:sz w:val="20"/>
      <w:szCs w:val="20"/>
    </w:rPr>
  </w:style>
  <w:style w:type="paragraph" w:customStyle="1" w:styleId="96">
    <w:name w:val="et3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rPr>
  </w:style>
  <w:style w:type="paragraph" w:customStyle="1" w:styleId="9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98">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rPr>
  </w:style>
  <w:style w:type="paragraph" w:customStyle="1" w:styleId="99">
    <w:name w:val="et6"/>
    <w:basedOn w:val="1"/>
    <w:qFormat/>
    <w:uiPriority w:val="0"/>
    <w:pPr>
      <w:widowControl/>
      <w:spacing w:before="100" w:beforeAutospacing="1" w:after="100" w:afterAutospacing="1"/>
      <w:jc w:val="left"/>
    </w:pPr>
    <w:rPr>
      <w:rFonts w:ascii="Calibri" w:hAnsi="Calibri" w:cs="Calibri"/>
      <w:color w:val="000000"/>
      <w:kern w:val="0"/>
      <w:sz w:val="20"/>
      <w:szCs w:val="20"/>
    </w:rPr>
  </w:style>
  <w:style w:type="paragraph" w:customStyle="1" w:styleId="100">
    <w:name w:val="font1"/>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01">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02">
    <w:name w:val="font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3">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18"/>
      <w:szCs w:val="18"/>
    </w:rPr>
  </w:style>
  <w:style w:type="paragraph" w:customStyle="1" w:styleId="104">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rPr>
  </w:style>
  <w:style w:type="paragraph" w:customStyle="1" w:styleId="105">
    <w:name w:val="font6"/>
    <w:basedOn w:val="1"/>
    <w:qFormat/>
    <w:uiPriority w:val="0"/>
    <w:pPr>
      <w:widowControl/>
      <w:spacing w:before="100" w:beforeAutospacing="1" w:after="100" w:afterAutospacing="1"/>
      <w:jc w:val="left"/>
    </w:pPr>
    <w:rPr>
      <w:rFonts w:ascii="Calibri" w:hAnsi="Calibri" w:cs="Calibri"/>
      <w:color w:val="000000"/>
      <w:kern w:val="0"/>
      <w:sz w:val="20"/>
      <w:szCs w:val="20"/>
    </w:rPr>
  </w:style>
  <w:style w:type="paragraph" w:customStyle="1" w:styleId="106">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107">
    <w:name w:val="et5"/>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08">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kern w:val="0"/>
      <w:sz w:val="18"/>
      <w:szCs w:val="18"/>
    </w:rPr>
  </w:style>
  <w:style w:type="paragraph" w:customStyle="1" w:styleId="109">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10">
    <w:name w:val="et2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 w:val="18"/>
      <w:szCs w:val="18"/>
    </w:rPr>
  </w:style>
  <w:style w:type="paragraph" w:customStyle="1" w:styleId="111">
    <w:name w:val="et2"/>
    <w:basedOn w:val="1"/>
    <w:qFormat/>
    <w:uiPriority w:val="0"/>
    <w:pPr>
      <w:widowControl/>
      <w:spacing w:before="100" w:beforeAutospacing="1" w:after="100" w:afterAutospacing="1"/>
      <w:jc w:val="left"/>
    </w:pPr>
    <w:rPr>
      <w:rFonts w:ascii="宋体" w:hAnsi="宋体" w:cs="宋体"/>
      <w:b/>
      <w:bCs/>
      <w:kern w:val="0"/>
    </w:rPr>
  </w:style>
  <w:style w:type="paragraph" w:customStyle="1" w:styleId="112">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113">
    <w:name w:val="et1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114">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115">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16">
    <w:name w:val="font5"/>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17">
    <w:name w:val="et2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118">
    <w:name w:val="font7"/>
    <w:basedOn w:val="1"/>
    <w:qFormat/>
    <w:uiPriority w:val="0"/>
    <w:pPr>
      <w:widowControl/>
      <w:spacing w:before="100" w:beforeAutospacing="1" w:after="100" w:afterAutospacing="1"/>
      <w:jc w:val="left"/>
    </w:pPr>
    <w:rPr>
      <w:rFonts w:ascii="仿宋_GB2312" w:hAnsi="宋体" w:eastAsia="仿宋_GB2312" w:cs="宋体"/>
      <w:b/>
      <w:bCs/>
      <w:color w:val="000000"/>
      <w:kern w:val="0"/>
      <w:sz w:val="20"/>
      <w:szCs w:val="20"/>
    </w:rPr>
  </w:style>
  <w:style w:type="paragraph" w:customStyle="1" w:styleId="119">
    <w:name w:val="Char Char Char Char1"/>
    <w:basedOn w:val="1"/>
    <w:qFormat/>
    <w:uiPriority w:val="0"/>
    <w:pPr>
      <w:widowControl/>
      <w:spacing w:after="160"/>
      <w:ind w:right="320" w:firstLine="640" w:firstLineChars="200"/>
      <w:jc w:val="left"/>
    </w:pPr>
    <w:rPr>
      <w:rFonts w:ascii="黑体" w:hAnsi="宋体" w:eastAsia="黑体"/>
      <w:kern w:val="0"/>
      <w:sz w:val="32"/>
      <w:szCs w:val="32"/>
    </w:rPr>
  </w:style>
  <w:style w:type="paragraph" w:customStyle="1" w:styleId="120">
    <w:name w:val="Table Paragraph"/>
    <w:basedOn w:val="1"/>
    <w:qFormat/>
    <w:uiPriority w:val="0"/>
  </w:style>
  <w:style w:type="character" w:customStyle="1" w:styleId="121">
    <w:name w:val="NormalCharacter"/>
    <w:qFormat/>
    <w:uiPriority w:val="0"/>
    <w:rPr>
      <w:rFonts w:ascii="Times New Roman" w:hAnsi="Times New Roman" w:eastAsia="宋体" w:cs="Times New Roman"/>
      <w:kern w:val="2"/>
      <w:sz w:val="24"/>
      <w:szCs w:val="24"/>
      <w:lang w:val="en-US" w:eastAsia="zh-CN" w:bidi="ar-SA"/>
    </w:rPr>
  </w:style>
  <w:style w:type="paragraph" w:customStyle="1" w:styleId="122">
    <w:name w:val="样式 正文缩进 + 首行缩进:  2 字符"/>
    <w:basedOn w:val="8"/>
    <w:qFormat/>
    <w:uiPriority w:val="0"/>
    <w:pPr>
      <w:spacing w:line="360" w:lineRule="auto"/>
      <w:ind w:firstLine="200"/>
    </w:pPr>
  </w:style>
  <w:style w:type="paragraph" w:customStyle="1" w:styleId="123">
    <w:name w:val="2级标题（前附表）"/>
    <w:basedOn w:val="1"/>
    <w:qFormat/>
    <w:uiPriority w:val="0"/>
    <w:pPr>
      <w:widowControl/>
      <w:jc w:val="left"/>
      <w:outlineLvl w:val="1"/>
    </w:pPr>
    <w:rPr>
      <w:rFonts w:ascii="黑体" w:eastAsia="黑体"/>
      <w:color w:val="000000"/>
      <w:kern w:val="0"/>
      <w:sz w:val="28"/>
      <w:szCs w:val="28"/>
    </w:rPr>
  </w:style>
  <w:style w:type="paragraph" w:customStyle="1" w:styleId="124">
    <w:name w:val="*正文"/>
    <w:basedOn w:val="1"/>
    <w:qFormat/>
    <w:uiPriority w:val="0"/>
    <w:pPr>
      <w:widowControl/>
      <w:spacing w:line="360" w:lineRule="auto"/>
      <w:ind w:firstLine="480" w:firstLineChars="200"/>
      <w:jc w:val="left"/>
    </w:pPr>
    <w:rPr>
      <w:rFonts w:ascii="仿宋_GB2312" w:eastAsia="仿宋"/>
      <w:kern w:val="0"/>
      <w:szCs w:val="28"/>
    </w:rPr>
  </w:style>
  <w:style w:type="character" w:customStyle="1" w:styleId="125">
    <w:name w:val="p12"/>
    <w:qFormat/>
    <w:uiPriority w:val="0"/>
  </w:style>
  <w:style w:type="paragraph" w:customStyle="1" w:styleId="126">
    <w:name w:val="正文1级"/>
    <w:basedOn w:val="1"/>
    <w:uiPriority w:val="0"/>
    <w:pPr>
      <w:widowControl/>
      <w:spacing w:line="360" w:lineRule="auto"/>
      <w:ind w:left="257" w:leftChars="257" w:firstLine="200" w:firstLineChars="200"/>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F1891-2EC6-7946-9941-7C737601BB9F}">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36239</Words>
  <Characters>38694</Characters>
  <Lines>472</Lines>
  <Paragraphs>132</Paragraphs>
  <TotalTime>27</TotalTime>
  <ScaleCrop>false</ScaleCrop>
  <LinksUpToDate>false</LinksUpToDate>
  <CharactersWithSpaces>41070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2020-04-20T07:11:00Z</dcterms:created>
  <dc:creator>旋律</dc:creator>
  <cp:lastModifiedBy>11792</cp:lastModifiedBy>
  <cp:lastPrinted>2021-09-15T01:42:00Z</cp:lastPrinted>
  <dcterms:modified xsi:type="dcterms:W3CDTF">2022-05-06T02:22:43Z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D6F1F36019D64ACA9B03617F40079090</vt:lpwstr>
  </property>
  <property fmtid="{D5CDD505-2E9C-101B-9397-08002B2CF9AE}" pid="4" name="commondata">
    <vt:lpwstr>eyJoZGlkIjoiNGNhZDM1MWE1ZTIyMmI1NzZmZjAwMGU1ZGViMTc1YzIifQ==</vt:lpwstr>
  </property>
</Properties>
</file>