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9"/>
        <w:rPr>
          <w:rFonts w:ascii="Times New Roman"/>
          <w:sz w:val="22"/>
        </w:rPr>
      </w:pPr>
    </w:p>
    <w:p>
      <w:pPr>
        <w:pStyle w:val="Heading5"/>
        <w:spacing w:line="393" w:lineRule="auto" w:before="59"/>
        <w:ind w:right="1309"/>
      </w:pPr>
      <w:r>
        <w:rPr>
          <w:color w:val="0000FF"/>
        </w:rPr>
        <w:t>2020 年互助县哈拉直沟乡费家村高标准农田建设项目</w:t>
      </w:r>
      <w:r>
        <w:rPr/>
        <w:t>(项目名称)</w:t>
      </w:r>
      <w:r>
        <w:rPr>
          <w:color w:val="0000FF"/>
        </w:rPr>
        <w:t>2020 年互助县哈拉直沟乡费家村高标准农田建设项目</w:t>
      </w:r>
      <w:r>
        <w:rPr/>
        <w:t>(标段)</w:t>
      </w:r>
    </w:p>
    <w:p>
      <w:pPr>
        <w:pStyle w:val="BodyText"/>
        <w:rPr>
          <w:rFonts w:ascii="黑体"/>
          <w:sz w:val="20"/>
        </w:rPr>
      </w:pPr>
    </w:p>
    <w:p>
      <w:pPr>
        <w:pStyle w:val="BodyText"/>
        <w:spacing w:before="8"/>
        <w:rPr>
          <w:rFonts w:ascii="黑体"/>
          <w:sz w:val="15"/>
        </w:rPr>
      </w:pPr>
      <w:r>
        <w:rPr/>
        <w:pict>
          <v:group style="position:absolute;margin-left:78.170998pt;margin-top:11.971465pt;width:451.5pt;height:444.15pt;mso-position-horizontal-relative:page;mso-position-vertical-relative:paragraph;z-index:-251654144;mso-wrap-distance-left:0;mso-wrap-distance-right:0" coordorigin="1563,239" coordsize="9030,8883">
            <v:shape style="position:absolute;left:1563;top:420;width:8786;height:8653" type="#_x0000_t75" stroked="false">
              <v:imagedata r:id="rId6" o:title=""/>
            </v:shape>
            <v:rect style="position:absolute;left:2208;top:239;width:7570;height:811" filled="true" fillcolor="#ffffff" stroked="false">
              <v:fill type="solid"/>
            </v:rect>
            <v:shapetype id="_x0000_t202" o:spt="202" coordsize="21600,21600" path="m,l,21600r21600,l21600,xe">
              <v:stroke joinstyle="miter"/>
              <v:path gradientshapeok="t" o:connecttype="rect"/>
            </v:shapetype>
            <v:shape style="position:absolute;left:2208;top:448;width:7587;height:526" type="#_x0000_t202" filled="false" stroked="false">
              <v:textbox inset="0,0,0,0">
                <w:txbxContent>
                  <w:p>
                    <w:pPr>
                      <w:spacing w:line="525" w:lineRule="exact" w:before="0"/>
                      <w:ind w:left="0" w:right="0" w:firstLine="0"/>
                      <w:jc w:val="left"/>
                      <w:rPr>
                        <w:rFonts w:ascii="黑体" w:eastAsia="黑体" w:hint="eastAsia"/>
                        <w:sz w:val="52"/>
                      </w:rPr>
                    </w:pPr>
                    <w:r>
                      <w:rPr>
                        <w:rFonts w:ascii="黑体" w:eastAsia="黑体" w:hint="eastAsia"/>
                        <w:sz w:val="52"/>
                      </w:rPr>
                      <w:t>水利水电工程标准施工电子招标</w:t>
                    </w:r>
                  </w:p>
                </w:txbxContent>
              </v:textbox>
              <w10:wrap type="none"/>
            </v:shape>
            <v:shape style="position:absolute;left:2989;top:1647;width:6028;height:301" type="#_x0000_t202" filled="false" stroked="false">
              <v:textbox inset="0,0,0,0">
                <w:txbxContent>
                  <w:p>
                    <w:pPr>
                      <w:spacing w:line="300" w:lineRule="exact" w:before="0"/>
                      <w:ind w:left="0" w:right="0" w:firstLine="0"/>
                      <w:jc w:val="left"/>
                      <w:rPr>
                        <w:rFonts w:ascii="黑体" w:eastAsia="黑体" w:hint="eastAsia"/>
                        <w:sz w:val="30"/>
                      </w:rPr>
                    </w:pPr>
                    <w:r>
                      <w:rPr>
                        <w:rFonts w:ascii="黑体" w:eastAsia="黑体" w:hint="eastAsia"/>
                        <w:sz w:val="30"/>
                        <w:shd w:fill="FFFFFF" w:color="auto" w:val="clear"/>
                      </w:rPr>
                      <w:t>(招标编号：</w:t>
                    </w:r>
                    <w:r>
                      <w:rPr>
                        <w:rFonts w:ascii="黑体" w:eastAsia="黑体" w:hint="eastAsia"/>
                        <w:color w:val="0000FF"/>
                        <w:sz w:val="30"/>
                        <w:shd w:fill="FFFFFF" w:color="auto" w:val="clear"/>
                      </w:rPr>
                      <w:t>青海唐融公招（工程）2020-005</w:t>
                    </w:r>
                    <w:r>
                      <w:rPr>
                        <w:rFonts w:ascii="黑体" w:eastAsia="黑体" w:hint="eastAsia"/>
                        <w:sz w:val="30"/>
                        <w:shd w:fill="FFFFFF" w:color="auto" w:val="clear"/>
                      </w:rPr>
                      <w:t>)</w:t>
                    </w:r>
                  </w:p>
                </w:txbxContent>
              </v:textbox>
              <w10:wrap type="none"/>
            </v:shape>
            <v:shape style="position:absolute;left:4971;top:4212;width:2062;height:496" type="#_x0000_t202" filled="false" stroked="false">
              <v:textbox inset="0,0,0,0">
                <w:txbxContent>
                  <w:p>
                    <w:pPr>
                      <w:spacing w:line="495" w:lineRule="exact" w:before="0"/>
                      <w:ind w:left="0" w:right="0" w:firstLine="0"/>
                      <w:jc w:val="left"/>
                      <w:rPr>
                        <w:rFonts w:ascii="黑体" w:eastAsia="黑体" w:hint="eastAsia"/>
                        <w:sz w:val="49"/>
                      </w:rPr>
                    </w:pPr>
                    <w:r>
                      <w:rPr>
                        <w:rFonts w:ascii="黑体" w:eastAsia="黑体" w:hint="eastAsia"/>
                        <w:sz w:val="49"/>
                        <w:shd w:fill="FFFFFF" w:color="auto" w:val="clear"/>
                      </w:rPr>
                      <w:t>招标文件</w:t>
                    </w:r>
                  </w:p>
                </w:txbxContent>
              </v:textbox>
              <w10:wrap type="none"/>
            </v:shape>
            <v:shape style="position:absolute;left:4085;top:8837;width:6508;height:285" type="#_x0000_t202" filled="false" stroked="false">
              <v:textbox inset="0,0,0,0">
                <w:txbxContent>
                  <w:p>
                    <w:pPr>
                      <w:spacing w:line="285" w:lineRule="exact" w:before="0"/>
                      <w:ind w:left="0" w:right="0" w:firstLine="0"/>
                      <w:jc w:val="left"/>
                      <w:rPr>
                        <w:rFonts w:ascii="黑体" w:eastAsia="黑体" w:hint="eastAsia"/>
                        <w:sz w:val="28"/>
                      </w:rPr>
                    </w:pPr>
                    <w:r>
                      <w:rPr>
                        <w:rFonts w:ascii="黑体" w:eastAsia="黑体" w:hint="eastAsia"/>
                        <w:sz w:val="28"/>
                      </w:rPr>
                      <w:t>招标人：</w:t>
                    </w:r>
                    <w:r>
                      <w:rPr>
                        <w:rFonts w:ascii="黑体" w:eastAsia="黑体" w:hint="eastAsia"/>
                        <w:color w:val="0000FF"/>
                        <w:sz w:val="28"/>
                      </w:rPr>
                      <w:t>互助土族自治县农业农村和科技局</w:t>
                    </w:r>
                    <w:r>
                      <w:rPr>
                        <w:rFonts w:ascii="黑体" w:eastAsia="黑体" w:hint="eastAsia"/>
                        <w:sz w:val="28"/>
                      </w:rPr>
                      <w:t>(盖单位</w:t>
                    </w:r>
                  </w:p>
                </w:txbxContent>
              </v:textbox>
              <w10:wrap type="none"/>
            </v:shape>
            <w10:wrap type="topAndBottom"/>
          </v:group>
        </w:pict>
      </w:r>
    </w:p>
    <w:p>
      <w:pPr>
        <w:pStyle w:val="BodyText"/>
        <w:spacing w:before="9"/>
        <w:rPr>
          <w:rFonts w:ascii="黑体"/>
          <w:sz w:val="15"/>
        </w:rPr>
      </w:pPr>
    </w:p>
    <w:p>
      <w:pPr>
        <w:pStyle w:val="Heading7"/>
        <w:rPr>
          <w:rFonts w:ascii="黑体" w:eastAsia="黑体" w:hint="eastAsia"/>
        </w:rPr>
      </w:pPr>
      <w:r>
        <w:rPr>
          <w:rFonts w:ascii="黑体" w:eastAsia="黑体" w:hint="eastAsia"/>
        </w:rPr>
        <w:t>章)</w:t>
      </w:r>
    </w:p>
    <w:p>
      <w:pPr>
        <w:pStyle w:val="BodyText"/>
        <w:spacing w:before="2"/>
        <w:rPr>
          <w:rFonts w:ascii="黑体"/>
          <w:sz w:val="16"/>
        </w:rPr>
      </w:pPr>
    </w:p>
    <w:p>
      <w:pPr>
        <w:spacing w:before="65"/>
        <w:ind w:left="2885" w:right="0" w:firstLine="0"/>
        <w:jc w:val="left"/>
        <w:rPr>
          <w:rFonts w:ascii="黑体" w:eastAsia="黑体" w:hint="eastAsia"/>
          <w:sz w:val="28"/>
        </w:rPr>
      </w:pPr>
      <w:r>
        <w:rPr>
          <w:rFonts w:ascii="黑体" w:eastAsia="黑体" w:hint="eastAsia"/>
          <w:sz w:val="28"/>
        </w:rPr>
        <w:t>日期：</w:t>
      </w:r>
      <w:r>
        <w:rPr>
          <w:rFonts w:ascii="黑体" w:eastAsia="黑体" w:hint="eastAsia"/>
          <w:color w:val="0000FF"/>
          <w:sz w:val="28"/>
        </w:rPr>
        <w:t>2020-09-16</w:t>
      </w:r>
    </w:p>
    <w:p>
      <w:pPr>
        <w:pStyle w:val="BodyText"/>
        <w:rPr>
          <w:rFonts w:ascii="黑体"/>
          <w:sz w:val="20"/>
        </w:rPr>
      </w:pPr>
    </w:p>
    <w:p>
      <w:pPr>
        <w:spacing w:before="1"/>
        <w:ind w:left="2885" w:right="0" w:firstLine="0"/>
        <w:jc w:val="left"/>
        <w:rPr>
          <w:rFonts w:ascii="黑体" w:eastAsia="黑体" w:hint="eastAsia"/>
          <w:sz w:val="28"/>
        </w:rPr>
      </w:pPr>
      <w:r>
        <w:rPr>
          <w:rFonts w:ascii="黑体" w:eastAsia="黑体" w:hint="eastAsia"/>
          <w:sz w:val="28"/>
        </w:rPr>
        <w:t>招标代理机构：</w:t>
      </w:r>
      <w:r>
        <w:rPr>
          <w:rFonts w:ascii="黑体" w:eastAsia="黑体" w:hint="eastAsia"/>
          <w:color w:val="0000FF"/>
          <w:sz w:val="28"/>
        </w:rPr>
        <w:t>青海唐融工程咨询管理有限公司</w:t>
      </w:r>
      <w:r>
        <w:rPr>
          <w:rFonts w:ascii="黑体" w:eastAsia="黑体" w:hint="eastAsia"/>
          <w:sz w:val="28"/>
        </w:rPr>
        <w:t>(盖单</w:t>
      </w:r>
    </w:p>
    <w:p>
      <w:pPr>
        <w:pStyle w:val="BodyText"/>
        <w:spacing w:before="1"/>
        <w:rPr>
          <w:rFonts w:ascii="黑体"/>
          <w:sz w:val="16"/>
        </w:rPr>
      </w:pPr>
    </w:p>
    <w:p>
      <w:pPr>
        <w:spacing w:before="65"/>
        <w:ind w:left="226" w:right="0" w:firstLine="0"/>
        <w:jc w:val="left"/>
        <w:rPr>
          <w:rFonts w:ascii="黑体" w:eastAsia="黑体" w:hint="eastAsia"/>
          <w:sz w:val="28"/>
        </w:rPr>
      </w:pPr>
      <w:r>
        <w:rPr>
          <w:rFonts w:ascii="黑体" w:eastAsia="黑体" w:hint="eastAsia"/>
          <w:sz w:val="28"/>
        </w:rPr>
        <w:t>位章)</w:t>
      </w:r>
    </w:p>
    <w:p>
      <w:pPr>
        <w:spacing w:after="0"/>
        <w:jc w:val="left"/>
        <w:rPr>
          <w:rFonts w:ascii="黑体" w:eastAsia="黑体" w:hint="eastAsia"/>
          <w:sz w:val="28"/>
        </w:rPr>
        <w:sectPr>
          <w:headerReference w:type="default" r:id="rId5"/>
          <w:type w:val="continuous"/>
          <w:pgSz w:w="11910" w:h="16850"/>
          <w:pgMar w:header="911" w:top="1380" w:bottom="280" w:left="1200" w:right="0"/>
        </w:sectPr>
      </w:pPr>
    </w:p>
    <w:p>
      <w:pPr>
        <w:pStyle w:val="BodyText"/>
        <w:spacing w:before="3"/>
        <w:rPr>
          <w:rFonts w:ascii="黑体"/>
          <w:sz w:val="8"/>
        </w:rPr>
      </w:pPr>
    </w:p>
    <w:p>
      <w:pPr>
        <w:spacing w:before="65"/>
        <w:ind w:left="2885" w:right="0" w:firstLine="0"/>
        <w:jc w:val="left"/>
        <w:rPr>
          <w:rFonts w:ascii="黑体" w:eastAsia="黑体" w:hint="eastAsia"/>
          <w:sz w:val="28"/>
        </w:rPr>
      </w:pPr>
      <w:r>
        <w:rPr>
          <w:rFonts w:ascii="黑体" w:eastAsia="黑体" w:hint="eastAsia"/>
          <w:sz w:val="28"/>
        </w:rPr>
        <w:t>日期：</w:t>
      </w:r>
      <w:r>
        <w:rPr>
          <w:rFonts w:ascii="黑体" w:eastAsia="黑体" w:hint="eastAsia"/>
          <w:color w:val="0000FF"/>
          <w:sz w:val="28"/>
        </w:rPr>
        <w:t>2020-09-16</w:t>
      </w:r>
    </w:p>
    <w:p>
      <w:pPr>
        <w:spacing w:before="146"/>
        <w:ind w:left="0" w:right="1115" w:firstLine="0"/>
        <w:jc w:val="center"/>
        <w:rPr>
          <w:sz w:val="21"/>
        </w:rPr>
      </w:pPr>
      <w:r>
        <w:rPr>
          <w:sz w:val="21"/>
        </w:rPr>
        <w:t>依据中华人民共和国水利部《水利水电工程标准施工招标文件》编制</w:t>
      </w:r>
    </w:p>
    <w:p>
      <w:pPr>
        <w:pStyle w:val="BodyText"/>
        <w:rPr>
          <w:sz w:val="20"/>
        </w:rPr>
      </w:pPr>
    </w:p>
    <w:p>
      <w:pPr>
        <w:pStyle w:val="BodyText"/>
        <w:rPr>
          <w:sz w:val="20"/>
        </w:rPr>
      </w:pPr>
    </w:p>
    <w:p>
      <w:pPr>
        <w:pStyle w:val="BodyText"/>
        <w:spacing w:before="4"/>
        <w:rPr>
          <w:sz w:val="27"/>
        </w:rPr>
      </w:pPr>
    </w:p>
    <w:p>
      <w:pPr>
        <w:pStyle w:val="Heading3"/>
        <w:tabs>
          <w:tab w:pos="705" w:val="left" w:leader="none"/>
        </w:tabs>
        <w:spacing w:before="0"/>
        <w:ind w:left="0" w:right="1152"/>
        <w:jc w:val="center"/>
      </w:pPr>
      <w:bookmarkStart w:name="目  录" w:id="1"/>
      <w:bookmarkEnd w:id="1"/>
      <w:r>
        <w:rPr>
          <w:b w:val="0"/>
        </w:rPr>
      </w:r>
      <w:bookmarkStart w:name="_bookmark0" w:id="2"/>
      <w:bookmarkEnd w:id="2"/>
      <w:r>
        <w:rPr>
          <w:b w:val="0"/>
        </w:rPr>
      </w:r>
      <w:r>
        <w:rPr/>
        <w:t>目</w:t>
        <w:tab/>
        <w:t>录</w:t>
      </w:r>
    </w:p>
    <w:p>
      <w:pPr>
        <w:tabs>
          <w:tab w:pos="405" w:val="left" w:leader="none"/>
          <w:tab w:pos="9026" w:val="left" w:leader="dot"/>
        </w:tabs>
        <w:spacing w:before="534"/>
        <w:ind w:left="0" w:right="1128" w:firstLine="0"/>
        <w:jc w:val="center"/>
        <w:rPr>
          <w:rFonts w:ascii="Calibri" w:eastAsia="Calibri"/>
          <w:b/>
          <w:sz w:val="19"/>
        </w:rPr>
      </w:pPr>
      <w:r>
        <w:rPr/>
        <w:drawing>
          <wp:anchor distT="0" distB="0" distL="0" distR="0" allowOverlap="1" layoutInCell="1" locked="0" behindDoc="1" simplePos="0" relativeHeight="234633216">
            <wp:simplePos x="0" y="0"/>
            <wp:positionH relativeFrom="page">
              <wp:posOffset>992771</wp:posOffset>
            </wp:positionH>
            <wp:positionV relativeFrom="paragraph">
              <wp:posOffset>326776</wp:posOffset>
            </wp:positionV>
            <wp:extent cx="5578970" cy="549414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5578970" cy="5494141"/>
                    </a:xfrm>
                    <a:prstGeom prst="rect">
                      <a:avLst/>
                    </a:prstGeom>
                  </pic:spPr>
                </pic:pic>
              </a:graphicData>
            </a:graphic>
          </wp:anchor>
        </w:drawing>
      </w:r>
      <w:hyperlink w:history="true" w:anchor="_bookmark0">
        <w:r>
          <w:rPr>
            <w:b/>
            <w:sz w:val="19"/>
          </w:rPr>
          <w:t>目</w:t>
          <w:tab/>
          <w:t>录</w:t>
          <w:tab/>
        </w:r>
        <w:r>
          <w:rPr>
            <w:rFonts w:ascii="Calibri" w:eastAsia="Calibri"/>
            <w:b/>
            <w:sz w:val="19"/>
          </w:rPr>
          <w:t>2</w:t>
        </w:r>
      </w:hyperlink>
    </w:p>
    <w:p>
      <w:pPr>
        <w:tabs>
          <w:tab w:pos="8920" w:val="left" w:leader="dot"/>
        </w:tabs>
        <w:spacing w:before="191"/>
        <w:ind w:left="0" w:right="1122" w:firstLine="0"/>
        <w:jc w:val="center"/>
        <w:rPr>
          <w:rFonts w:ascii="Calibri" w:eastAsia="Calibri"/>
          <w:b/>
          <w:sz w:val="19"/>
        </w:rPr>
      </w:pPr>
      <w:hyperlink w:history="true" w:anchor="_bookmark1">
        <w:r>
          <w:rPr>
            <w:b/>
            <w:spacing w:val="15"/>
            <w:sz w:val="19"/>
          </w:rPr>
          <w:t>第</w:t>
        </w:r>
        <w:r>
          <w:rPr>
            <w:b/>
            <w:sz w:val="19"/>
          </w:rPr>
          <w:t>一卷</w:t>
          <w:tab/>
        </w:r>
        <w:r>
          <w:rPr>
            <w:rFonts w:ascii="Calibri" w:eastAsia="Calibri"/>
            <w:b/>
            <w:spacing w:val="6"/>
            <w:sz w:val="19"/>
          </w:rPr>
          <w:t>22</w:t>
        </w:r>
      </w:hyperlink>
    </w:p>
    <w:p>
      <w:pPr>
        <w:tabs>
          <w:tab w:pos="840" w:val="left" w:leader="none"/>
          <w:tab w:pos="8710" w:val="left" w:leader="dot"/>
        </w:tabs>
        <w:spacing w:before="192"/>
        <w:ind w:left="0" w:right="1349" w:firstLine="0"/>
        <w:jc w:val="right"/>
        <w:rPr>
          <w:rFonts w:ascii="Calibri" w:eastAsia="Calibri"/>
          <w:sz w:val="19"/>
        </w:rPr>
      </w:pPr>
      <w:hyperlink w:history="true" w:anchor="_bookmark2">
        <w:r>
          <w:rPr>
            <w:w w:val="105"/>
            <w:sz w:val="19"/>
          </w:rPr>
          <w:t>第一章</w:t>
          <w:tab/>
          <w:t>招标公告</w:t>
          <w:tab/>
        </w:r>
        <w:r>
          <w:rPr>
            <w:rFonts w:ascii="Calibri" w:eastAsia="Calibri"/>
            <w:spacing w:val="6"/>
            <w:sz w:val="19"/>
          </w:rPr>
          <w:t>23</w:t>
        </w:r>
      </w:hyperlink>
    </w:p>
    <w:p>
      <w:pPr>
        <w:tabs>
          <w:tab w:pos="8710" w:val="left" w:leader="dot"/>
        </w:tabs>
        <w:spacing w:before="72"/>
        <w:ind w:left="0" w:right="1349" w:firstLine="0"/>
        <w:jc w:val="right"/>
        <w:rPr>
          <w:rFonts w:ascii="Calibri" w:eastAsia="Calibri"/>
          <w:sz w:val="19"/>
        </w:rPr>
      </w:pPr>
      <w:hyperlink w:history="true" w:anchor="_bookmark3">
        <w:r>
          <w:rPr>
            <w:w w:val="105"/>
            <w:sz w:val="19"/>
          </w:rPr>
          <w:t>第二章</w:t>
        </w:r>
        <w:r>
          <w:rPr>
            <w:spacing w:val="60"/>
            <w:w w:val="105"/>
            <w:sz w:val="19"/>
          </w:rPr>
          <w:t> </w:t>
        </w:r>
        <w:r>
          <w:rPr>
            <w:w w:val="105"/>
            <w:sz w:val="19"/>
          </w:rPr>
          <w:t>投标人须知</w:t>
          <w:tab/>
        </w:r>
        <w:r>
          <w:rPr>
            <w:rFonts w:ascii="Calibri" w:eastAsia="Calibri"/>
            <w:spacing w:val="6"/>
            <w:sz w:val="19"/>
          </w:rPr>
          <w:t>28</w:t>
        </w:r>
      </w:hyperlink>
    </w:p>
    <w:p>
      <w:pPr>
        <w:tabs>
          <w:tab w:pos="8500" w:val="left" w:leader="dot"/>
        </w:tabs>
        <w:spacing w:before="72"/>
        <w:ind w:left="0" w:right="1349" w:firstLine="0"/>
        <w:jc w:val="right"/>
        <w:rPr>
          <w:rFonts w:ascii="Calibri" w:eastAsia="Calibri"/>
          <w:sz w:val="19"/>
        </w:rPr>
      </w:pPr>
      <w:hyperlink w:history="true" w:anchor="_bookmark4">
        <w:r>
          <w:rPr>
            <w:w w:val="105"/>
            <w:sz w:val="19"/>
          </w:rPr>
          <w:t>投标人</w:t>
        </w:r>
        <w:r>
          <w:rPr>
            <w:spacing w:val="15"/>
            <w:w w:val="105"/>
            <w:sz w:val="19"/>
          </w:rPr>
          <w:t>须</w:t>
        </w:r>
        <w:r>
          <w:rPr>
            <w:w w:val="105"/>
            <w:sz w:val="19"/>
          </w:rPr>
          <w:t>知前</w:t>
        </w:r>
        <w:r>
          <w:rPr>
            <w:spacing w:val="15"/>
            <w:w w:val="105"/>
            <w:sz w:val="19"/>
          </w:rPr>
          <w:t>附</w:t>
        </w:r>
        <w:r>
          <w:rPr>
            <w:w w:val="105"/>
            <w:sz w:val="19"/>
          </w:rPr>
          <w:t>表</w:t>
          <w:tab/>
        </w:r>
        <w:r>
          <w:rPr>
            <w:rFonts w:ascii="Calibri" w:eastAsia="Calibri"/>
            <w:spacing w:val="6"/>
            <w:sz w:val="19"/>
          </w:rPr>
          <w:t>28</w:t>
        </w:r>
      </w:hyperlink>
    </w:p>
    <w:p>
      <w:pPr>
        <w:tabs>
          <w:tab w:pos="9147" w:val="left" w:leader="dot"/>
        </w:tabs>
        <w:spacing w:before="57"/>
        <w:ind w:left="647" w:right="0" w:firstLine="0"/>
        <w:jc w:val="left"/>
        <w:rPr>
          <w:rFonts w:ascii="Calibri" w:eastAsia="Calibri"/>
          <w:sz w:val="19"/>
        </w:rPr>
      </w:pPr>
      <w:hyperlink w:history="true" w:anchor="_bookmark5">
        <w:r>
          <w:rPr>
            <w:rFonts w:ascii="Calibri" w:eastAsia="Calibri"/>
            <w:w w:val="105"/>
            <w:sz w:val="19"/>
          </w:rPr>
          <w:t>1 </w:t>
        </w:r>
        <w:r>
          <w:rPr>
            <w:rFonts w:ascii="Calibri" w:eastAsia="Calibri"/>
            <w:spacing w:val="15"/>
            <w:w w:val="105"/>
            <w:sz w:val="19"/>
          </w:rPr>
          <w:t> </w:t>
        </w:r>
        <w:r>
          <w:rPr>
            <w:w w:val="105"/>
            <w:sz w:val="19"/>
          </w:rPr>
          <w:t>总则</w:t>
          <w:tab/>
        </w:r>
        <w:r>
          <w:rPr>
            <w:rFonts w:ascii="Calibri" w:eastAsia="Calibri"/>
            <w:spacing w:val="6"/>
            <w:w w:val="105"/>
            <w:sz w:val="19"/>
          </w:rPr>
          <w:t>38</w:t>
        </w:r>
      </w:hyperlink>
    </w:p>
    <w:p>
      <w:pPr>
        <w:pStyle w:val="ListParagraph"/>
        <w:numPr>
          <w:ilvl w:val="0"/>
          <w:numId w:val="1"/>
        </w:numPr>
        <w:tabs>
          <w:tab w:pos="858" w:val="left" w:leader="none"/>
          <w:tab w:pos="9147" w:val="left" w:leader="dot"/>
        </w:tabs>
        <w:spacing w:line="240" w:lineRule="auto" w:before="72" w:after="0"/>
        <w:ind w:left="857" w:right="0" w:hanging="211"/>
        <w:jc w:val="left"/>
        <w:rPr>
          <w:rFonts w:ascii="Calibri" w:eastAsia="Calibri"/>
          <w:sz w:val="19"/>
        </w:rPr>
      </w:pPr>
      <w:hyperlink w:history="true" w:anchor="_bookmark6">
        <w:r>
          <w:rPr>
            <w:w w:val="105"/>
            <w:sz w:val="19"/>
          </w:rPr>
          <w:t>招标文件</w:t>
          <w:tab/>
        </w:r>
        <w:r>
          <w:rPr>
            <w:rFonts w:ascii="Calibri" w:eastAsia="Calibri"/>
            <w:spacing w:val="6"/>
            <w:w w:val="105"/>
            <w:sz w:val="19"/>
          </w:rPr>
          <w:t>40</w:t>
        </w:r>
      </w:hyperlink>
    </w:p>
    <w:p>
      <w:pPr>
        <w:pStyle w:val="ListParagraph"/>
        <w:numPr>
          <w:ilvl w:val="0"/>
          <w:numId w:val="1"/>
        </w:numPr>
        <w:tabs>
          <w:tab w:pos="858" w:val="left" w:leader="none"/>
          <w:tab w:pos="9147" w:val="left" w:leader="dot"/>
        </w:tabs>
        <w:spacing w:line="240" w:lineRule="auto" w:before="72" w:after="0"/>
        <w:ind w:left="857" w:right="0" w:hanging="211"/>
        <w:jc w:val="left"/>
        <w:rPr>
          <w:rFonts w:ascii="Calibri" w:eastAsia="Calibri"/>
          <w:sz w:val="19"/>
        </w:rPr>
      </w:pPr>
      <w:hyperlink w:history="true" w:anchor="_bookmark7">
        <w:r>
          <w:rPr>
            <w:w w:val="105"/>
            <w:sz w:val="19"/>
          </w:rPr>
          <w:t>投标文件</w:t>
          <w:tab/>
        </w:r>
        <w:r>
          <w:rPr>
            <w:rFonts w:ascii="Calibri" w:eastAsia="Calibri"/>
            <w:spacing w:val="6"/>
            <w:w w:val="105"/>
            <w:sz w:val="19"/>
          </w:rPr>
          <w:t>40</w:t>
        </w:r>
      </w:hyperlink>
    </w:p>
    <w:p>
      <w:pPr>
        <w:tabs>
          <w:tab w:pos="9147" w:val="left" w:leader="dot"/>
        </w:tabs>
        <w:spacing w:before="71"/>
        <w:ind w:left="647" w:right="0" w:firstLine="0"/>
        <w:jc w:val="left"/>
        <w:rPr>
          <w:rFonts w:ascii="Calibri" w:eastAsia="Calibri"/>
          <w:sz w:val="19"/>
        </w:rPr>
      </w:pPr>
      <w:hyperlink w:history="true" w:anchor="_bookmark8">
        <w:r>
          <w:rPr>
            <w:rFonts w:ascii="Calibri" w:eastAsia="Calibri"/>
            <w:w w:val="105"/>
            <w:sz w:val="19"/>
          </w:rPr>
          <w:t>4 </w:t>
        </w:r>
        <w:r>
          <w:rPr>
            <w:rFonts w:ascii="Calibri" w:eastAsia="Calibri"/>
            <w:spacing w:val="15"/>
            <w:w w:val="105"/>
            <w:sz w:val="19"/>
          </w:rPr>
          <w:t> </w:t>
        </w:r>
        <w:r>
          <w:rPr>
            <w:w w:val="105"/>
            <w:sz w:val="19"/>
          </w:rPr>
          <w:t>投标</w:t>
          <w:tab/>
        </w:r>
        <w:r>
          <w:rPr>
            <w:rFonts w:ascii="Calibri" w:eastAsia="Calibri"/>
            <w:spacing w:val="6"/>
            <w:w w:val="105"/>
            <w:sz w:val="19"/>
          </w:rPr>
          <w:t>42</w:t>
        </w:r>
      </w:hyperlink>
    </w:p>
    <w:p>
      <w:pPr>
        <w:tabs>
          <w:tab w:pos="9147" w:val="left" w:leader="dot"/>
        </w:tabs>
        <w:spacing w:before="72"/>
        <w:ind w:left="647" w:right="0" w:firstLine="0"/>
        <w:jc w:val="left"/>
        <w:rPr>
          <w:rFonts w:ascii="Calibri" w:eastAsia="Calibri"/>
          <w:sz w:val="19"/>
        </w:rPr>
      </w:pPr>
      <w:hyperlink w:history="true" w:anchor="_bookmark9">
        <w:r>
          <w:rPr>
            <w:rFonts w:ascii="Calibri" w:eastAsia="Calibri"/>
            <w:w w:val="105"/>
            <w:sz w:val="19"/>
          </w:rPr>
          <w:t>5 </w:t>
        </w:r>
        <w:r>
          <w:rPr>
            <w:rFonts w:ascii="Calibri" w:eastAsia="Calibri"/>
            <w:spacing w:val="15"/>
            <w:w w:val="105"/>
            <w:sz w:val="19"/>
          </w:rPr>
          <w:t> </w:t>
        </w:r>
        <w:r>
          <w:rPr>
            <w:w w:val="105"/>
            <w:sz w:val="19"/>
          </w:rPr>
          <w:t>开标</w:t>
          <w:tab/>
        </w:r>
        <w:r>
          <w:rPr>
            <w:rFonts w:ascii="Calibri" w:eastAsia="Calibri"/>
            <w:spacing w:val="6"/>
            <w:w w:val="105"/>
            <w:sz w:val="19"/>
          </w:rPr>
          <w:t>42</w:t>
        </w:r>
      </w:hyperlink>
    </w:p>
    <w:p>
      <w:pPr>
        <w:tabs>
          <w:tab w:pos="9147" w:val="left" w:leader="dot"/>
        </w:tabs>
        <w:spacing w:before="57"/>
        <w:ind w:left="647" w:right="0" w:firstLine="0"/>
        <w:jc w:val="left"/>
        <w:rPr>
          <w:rFonts w:ascii="Calibri" w:eastAsia="Calibri"/>
          <w:sz w:val="19"/>
        </w:rPr>
      </w:pPr>
      <w:hyperlink w:history="true" w:anchor="_bookmark10">
        <w:r>
          <w:rPr>
            <w:rFonts w:ascii="Calibri" w:eastAsia="Calibri"/>
            <w:w w:val="105"/>
            <w:sz w:val="19"/>
          </w:rPr>
          <w:t>6 </w:t>
        </w:r>
        <w:r>
          <w:rPr>
            <w:rFonts w:ascii="Calibri" w:eastAsia="Calibri"/>
            <w:spacing w:val="15"/>
            <w:w w:val="105"/>
            <w:sz w:val="19"/>
          </w:rPr>
          <w:t> </w:t>
        </w:r>
        <w:r>
          <w:rPr>
            <w:w w:val="105"/>
            <w:sz w:val="19"/>
          </w:rPr>
          <w:t>评标</w:t>
          <w:tab/>
        </w:r>
        <w:r>
          <w:rPr>
            <w:rFonts w:ascii="Calibri" w:eastAsia="Calibri"/>
            <w:spacing w:val="6"/>
            <w:w w:val="105"/>
            <w:sz w:val="19"/>
          </w:rPr>
          <w:t>42</w:t>
        </w:r>
      </w:hyperlink>
    </w:p>
    <w:p>
      <w:pPr>
        <w:pStyle w:val="ListParagraph"/>
        <w:numPr>
          <w:ilvl w:val="0"/>
          <w:numId w:val="2"/>
        </w:numPr>
        <w:tabs>
          <w:tab w:pos="210" w:val="left" w:leader="none"/>
          <w:tab w:pos="8500" w:val="left" w:leader="dot"/>
        </w:tabs>
        <w:spacing w:line="240" w:lineRule="auto" w:before="72" w:after="0"/>
        <w:ind w:left="857" w:right="1349" w:hanging="858"/>
        <w:jc w:val="right"/>
        <w:rPr>
          <w:rFonts w:ascii="Calibri" w:eastAsia="Calibri"/>
          <w:sz w:val="19"/>
        </w:rPr>
      </w:pPr>
      <w:hyperlink w:history="true" w:anchor="_bookmark11">
        <w:r>
          <w:rPr>
            <w:w w:val="105"/>
            <w:sz w:val="19"/>
          </w:rPr>
          <w:t>合同和授予</w:t>
          <w:tab/>
        </w:r>
        <w:r>
          <w:rPr>
            <w:rFonts w:ascii="Calibri" w:eastAsia="Calibri"/>
            <w:spacing w:val="6"/>
            <w:sz w:val="19"/>
          </w:rPr>
          <w:t>43</w:t>
        </w:r>
      </w:hyperlink>
    </w:p>
    <w:p>
      <w:pPr>
        <w:pStyle w:val="ListParagraph"/>
        <w:numPr>
          <w:ilvl w:val="0"/>
          <w:numId w:val="2"/>
        </w:numPr>
        <w:tabs>
          <w:tab w:pos="210" w:val="left" w:leader="none"/>
          <w:tab w:pos="8500" w:val="left" w:leader="dot"/>
        </w:tabs>
        <w:spacing w:line="240" w:lineRule="auto" w:before="72" w:after="0"/>
        <w:ind w:left="857" w:right="1349" w:hanging="858"/>
        <w:jc w:val="right"/>
        <w:rPr>
          <w:rFonts w:ascii="Calibri" w:eastAsia="Calibri"/>
          <w:sz w:val="19"/>
        </w:rPr>
      </w:pPr>
      <w:hyperlink w:history="true" w:anchor="_bookmark12">
        <w:r>
          <w:rPr>
            <w:w w:val="105"/>
            <w:sz w:val="19"/>
          </w:rPr>
          <w:t>重新招标和</w:t>
        </w:r>
        <w:r>
          <w:rPr>
            <w:spacing w:val="15"/>
            <w:w w:val="105"/>
            <w:sz w:val="19"/>
          </w:rPr>
          <w:t>不</w:t>
        </w:r>
        <w:r>
          <w:rPr>
            <w:w w:val="105"/>
            <w:sz w:val="19"/>
          </w:rPr>
          <w:t>再招标</w:t>
          <w:tab/>
        </w:r>
        <w:r>
          <w:rPr>
            <w:rFonts w:ascii="Calibri" w:eastAsia="Calibri"/>
            <w:spacing w:val="6"/>
            <w:sz w:val="19"/>
          </w:rPr>
          <w:t>43</w:t>
        </w:r>
      </w:hyperlink>
    </w:p>
    <w:p>
      <w:pPr>
        <w:pStyle w:val="ListParagraph"/>
        <w:numPr>
          <w:ilvl w:val="0"/>
          <w:numId w:val="2"/>
        </w:numPr>
        <w:tabs>
          <w:tab w:pos="210" w:val="left" w:leader="none"/>
          <w:tab w:pos="8500" w:val="left" w:leader="dot"/>
        </w:tabs>
        <w:spacing w:line="240" w:lineRule="auto" w:before="71" w:after="0"/>
        <w:ind w:left="857" w:right="1349" w:hanging="858"/>
        <w:jc w:val="right"/>
        <w:rPr>
          <w:rFonts w:ascii="Calibri" w:eastAsia="Calibri"/>
          <w:sz w:val="19"/>
        </w:rPr>
      </w:pPr>
      <w:hyperlink w:history="true" w:anchor="_bookmark13">
        <w:r>
          <w:rPr>
            <w:w w:val="105"/>
            <w:sz w:val="19"/>
          </w:rPr>
          <w:t>纪律和监督</w:t>
          <w:tab/>
        </w:r>
        <w:r>
          <w:rPr>
            <w:rFonts w:ascii="Calibri" w:eastAsia="Calibri"/>
            <w:spacing w:val="6"/>
            <w:sz w:val="19"/>
          </w:rPr>
          <w:t>43</w:t>
        </w:r>
      </w:hyperlink>
    </w:p>
    <w:p>
      <w:pPr>
        <w:pStyle w:val="ListParagraph"/>
        <w:numPr>
          <w:ilvl w:val="0"/>
          <w:numId w:val="2"/>
        </w:numPr>
        <w:tabs>
          <w:tab w:pos="315" w:val="left" w:leader="none"/>
          <w:tab w:pos="8500" w:val="left" w:leader="dot"/>
        </w:tabs>
        <w:spacing w:line="240" w:lineRule="auto" w:before="73" w:after="0"/>
        <w:ind w:left="962" w:right="1349" w:hanging="963"/>
        <w:jc w:val="right"/>
        <w:rPr>
          <w:rFonts w:ascii="Calibri" w:eastAsia="Calibri"/>
          <w:sz w:val="19"/>
        </w:rPr>
      </w:pPr>
      <w:hyperlink w:history="true" w:anchor="_bookmark14">
        <w:r>
          <w:rPr>
            <w:w w:val="105"/>
            <w:sz w:val="19"/>
          </w:rPr>
          <w:t>需要补充的</w:t>
        </w:r>
        <w:r>
          <w:rPr>
            <w:spacing w:val="15"/>
            <w:w w:val="105"/>
            <w:sz w:val="19"/>
          </w:rPr>
          <w:t>其</w:t>
        </w:r>
        <w:r>
          <w:rPr>
            <w:w w:val="105"/>
            <w:sz w:val="19"/>
          </w:rPr>
          <w:t>它内容</w:t>
          <w:tab/>
        </w:r>
        <w:r>
          <w:rPr>
            <w:rFonts w:ascii="Calibri" w:eastAsia="Calibri"/>
            <w:spacing w:val="6"/>
            <w:sz w:val="19"/>
          </w:rPr>
          <w:t>44</w:t>
        </w:r>
      </w:hyperlink>
    </w:p>
    <w:p>
      <w:pPr>
        <w:tabs>
          <w:tab w:pos="8500" w:val="left" w:leader="dot"/>
        </w:tabs>
        <w:spacing w:before="56"/>
        <w:ind w:left="0" w:right="1349" w:firstLine="0"/>
        <w:jc w:val="right"/>
        <w:rPr>
          <w:rFonts w:ascii="Calibri" w:eastAsia="Calibri"/>
          <w:sz w:val="19"/>
        </w:rPr>
      </w:pPr>
      <w:hyperlink w:history="true" w:anchor="_bookmark15">
        <w:r>
          <w:rPr>
            <w:w w:val="105"/>
            <w:sz w:val="19"/>
          </w:rPr>
          <w:t>附件一： </w:t>
        </w:r>
        <w:r>
          <w:rPr>
            <w:spacing w:val="73"/>
            <w:w w:val="105"/>
            <w:sz w:val="19"/>
          </w:rPr>
          <w:t> </w:t>
        </w:r>
        <w:r>
          <w:rPr>
            <w:w w:val="105"/>
            <w:sz w:val="19"/>
          </w:rPr>
          <w:t>招标</w:t>
        </w:r>
        <w:r>
          <w:rPr>
            <w:spacing w:val="15"/>
            <w:w w:val="105"/>
            <w:sz w:val="19"/>
          </w:rPr>
          <w:t>文</w:t>
        </w:r>
        <w:r>
          <w:rPr>
            <w:w w:val="105"/>
            <w:sz w:val="19"/>
          </w:rPr>
          <w:t>件澄</w:t>
        </w:r>
        <w:r>
          <w:rPr>
            <w:spacing w:val="15"/>
            <w:w w:val="105"/>
            <w:sz w:val="19"/>
          </w:rPr>
          <w:t>清</w:t>
        </w:r>
        <w:r>
          <w:rPr>
            <w:w w:val="105"/>
            <w:sz w:val="19"/>
          </w:rPr>
          <w:t>申请函</w:t>
          <w:tab/>
        </w:r>
        <w:r>
          <w:rPr>
            <w:rFonts w:ascii="Calibri" w:eastAsia="Calibri"/>
            <w:spacing w:val="6"/>
            <w:sz w:val="19"/>
          </w:rPr>
          <w:t>44</w:t>
        </w:r>
      </w:hyperlink>
    </w:p>
    <w:p>
      <w:pPr>
        <w:tabs>
          <w:tab w:pos="8500" w:val="left" w:leader="dot"/>
        </w:tabs>
        <w:spacing w:before="72"/>
        <w:ind w:left="0" w:right="1349" w:firstLine="0"/>
        <w:jc w:val="right"/>
        <w:rPr>
          <w:rFonts w:ascii="Calibri" w:eastAsia="Calibri"/>
          <w:sz w:val="19"/>
        </w:rPr>
      </w:pPr>
      <w:hyperlink w:history="true" w:anchor="_bookmark16">
        <w:r>
          <w:rPr>
            <w:w w:val="105"/>
            <w:sz w:val="19"/>
          </w:rPr>
          <w:t>附件二</w:t>
        </w:r>
        <w:r>
          <w:rPr>
            <w:spacing w:val="15"/>
            <w:w w:val="105"/>
            <w:sz w:val="19"/>
          </w:rPr>
          <w:t>：</w:t>
        </w:r>
        <w:r>
          <w:rPr>
            <w:w w:val="105"/>
            <w:sz w:val="19"/>
          </w:rPr>
          <w:t>招标</w:t>
        </w:r>
        <w:r>
          <w:rPr>
            <w:spacing w:val="15"/>
            <w:w w:val="105"/>
            <w:sz w:val="19"/>
          </w:rPr>
          <w:t>文</w:t>
        </w:r>
        <w:r>
          <w:rPr>
            <w:w w:val="105"/>
            <w:sz w:val="19"/>
          </w:rPr>
          <w:t>件澄</w:t>
        </w:r>
        <w:r>
          <w:rPr>
            <w:spacing w:val="15"/>
            <w:w w:val="105"/>
            <w:sz w:val="19"/>
          </w:rPr>
          <w:t>清</w:t>
        </w:r>
        <w:r>
          <w:rPr>
            <w:w w:val="105"/>
            <w:sz w:val="19"/>
          </w:rPr>
          <w:t>通知</w:t>
          <w:tab/>
        </w:r>
        <w:r>
          <w:rPr>
            <w:rFonts w:ascii="Calibri" w:eastAsia="Calibri"/>
            <w:spacing w:val="6"/>
            <w:sz w:val="19"/>
          </w:rPr>
          <w:t>45</w:t>
        </w:r>
      </w:hyperlink>
    </w:p>
    <w:p>
      <w:pPr>
        <w:tabs>
          <w:tab w:pos="8500" w:val="left" w:leader="dot"/>
        </w:tabs>
        <w:spacing w:before="72"/>
        <w:ind w:left="0" w:right="1349" w:firstLine="0"/>
        <w:jc w:val="right"/>
        <w:rPr>
          <w:rFonts w:ascii="Calibri" w:eastAsia="Calibri"/>
          <w:sz w:val="19"/>
        </w:rPr>
      </w:pPr>
      <w:hyperlink w:history="true" w:anchor="_bookmark17">
        <w:r>
          <w:rPr>
            <w:w w:val="105"/>
            <w:sz w:val="19"/>
          </w:rPr>
          <w:t>附件三</w:t>
        </w:r>
        <w:r>
          <w:rPr>
            <w:spacing w:val="15"/>
            <w:w w:val="105"/>
            <w:sz w:val="19"/>
          </w:rPr>
          <w:t>：</w:t>
        </w:r>
        <w:r>
          <w:rPr>
            <w:w w:val="105"/>
            <w:sz w:val="19"/>
          </w:rPr>
          <w:t>招标</w:t>
        </w:r>
        <w:r>
          <w:rPr>
            <w:spacing w:val="15"/>
            <w:w w:val="105"/>
            <w:sz w:val="19"/>
          </w:rPr>
          <w:t>文</w:t>
        </w:r>
        <w:r>
          <w:rPr>
            <w:w w:val="105"/>
            <w:sz w:val="19"/>
          </w:rPr>
          <w:t>件修</w:t>
        </w:r>
        <w:r>
          <w:rPr>
            <w:spacing w:val="15"/>
            <w:w w:val="105"/>
            <w:sz w:val="19"/>
          </w:rPr>
          <w:t>改</w:t>
        </w:r>
        <w:r>
          <w:rPr>
            <w:w w:val="105"/>
            <w:sz w:val="19"/>
          </w:rPr>
          <w:t>通知</w:t>
          <w:tab/>
        </w:r>
        <w:r>
          <w:rPr>
            <w:rFonts w:ascii="Calibri" w:eastAsia="Calibri"/>
            <w:spacing w:val="6"/>
            <w:sz w:val="19"/>
          </w:rPr>
          <w:t>45</w:t>
        </w:r>
      </w:hyperlink>
    </w:p>
    <w:p>
      <w:pPr>
        <w:tabs>
          <w:tab w:pos="8500" w:val="left" w:leader="dot"/>
        </w:tabs>
        <w:spacing w:before="72"/>
        <w:ind w:left="0" w:right="1349" w:firstLine="0"/>
        <w:jc w:val="right"/>
        <w:rPr>
          <w:rFonts w:ascii="Calibri" w:eastAsia="Calibri"/>
          <w:sz w:val="19"/>
        </w:rPr>
      </w:pPr>
      <w:hyperlink w:history="true" w:anchor="_bookmark18">
        <w:r>
          <w:rPr>
            <w:w w:val="105"/>
            <w:sz w:val="19"/>
          </w:rPr>
          <w:t>附件四</w:t>
        </w:r>
        <w:r>
          <w:rPr>
            <w:spacing w:val="15"/>
            <w:w w:val="105"/>
            <w:sz w:val="19"/>
          </w:rPr>
          <w:t>：</w:t>
        </w:r>
        <w:r>
          <w:rPr>
            <w:w w:val="105"/>
            <w:sz w:val="19"/>
          </w:rPr>
          <w:t>开标</w:t>
        </w:r>
        <w:r>
          <w:rPr>
            <w:spacing w:val="15"/>
            <w:w w:val="105"/>
            <w:sz w:val="19"/>
          </w:rPr>
          <w:t>纪</w:t>
        </w:r>
        <w:r>
          <w:rPr>
            <w:w w:val="105"/>
            <w:sz w:val="19"/>
          </w:rPr>
          <w:t>录表</w:t>
          <w:tab/>
        </w:r>
        <w:r>
          <w:rPr>
            <w:rFonts w:ascii="Calibri" w:eastAsia="Calibri"/>
            <w:spacing w:val="6"/>
            <w:sz w:val="19"/>
          </w:rPr>
          <w:t>46</w:t>
        </w:r>
      </w:hyperlink>
    </w:p>
    <w:p>
      <w:pPr>
        <w:tabs>
          <w:tab w:pos="8710" w:val="left" w:leader="dot"/>
        </w:tabs>
        <w:spacing w:before="71"/>
        <w:ind w:left="0" w:right="1349" w:firstLine="0"/>
        <w:jc w:val="right"/>
        <w:rPr>
          <w:rFonts w:ascii="Calibri" w:eastAsia="Calibri"/>
          <w:sz w:val="19"/>
        </w:rPr>
      </w:pPr>
      <w:hyperlink w:history="true" w:anchor="_bookmark19">
        <w:r>
          <w:rPr>
            <w:w w:val="105"/>
            <w:sz w:val="19"/>
          </w:rPr>
          <w:t>第三章</w:t>
        </w:r>
        <w:r>
          <w:rPr>
            <w:spacing w:val="63"/>
            <w:w w:val="105"/>
            <w:sz w:val="19"/>
          </w:rPr>
          <w:t> </w:t>
        </w:r>
        <w:r>
          <w:rPr>
            <w:w w:val="105"/>
            <w:sz w:val="19"/>
          </w:rPr>
          <w:t>评标办法</w:t>
          <w:tab/>
        </w:r>
        <w:r>
          <w:rPr>
            <w:rFonts w:ascii="Calibri" w:eastAsia="Calibri"/>
            <w:spacing w:val="6"/>
            <w:sz w:val="19"/>
          </w:rPr>
          <w:t>47</w:t>
        </w:r>
      </w:hyperlink>
    </w:p>
    <w:p>
      <w:pPr>
        <w:tabs>
          <w:tab w:pos="8710" w:val="left" w:leader="dot"/>
        </w:tabs>
        <w:spacing w:before="57"/>
        <w:ind w:left="0" w:right="1349" w:firstLine="0"/>
        <w:jc w:val="right"/>
        <w:rPr>
          <w:rFonts w:ascii="Calibri" w:eastAsia="Calibri"/>
          <w:sz w:val="19"/>
        </w:rPr>
      </w:pPr>
      <w:hyperlink w:history="true" w:anchor="_bookmark20">
        <w:r>
          <w:rPr>
            <w:rFonts w:ascii="Calibri" w:eastAsia="Calibri"/>
            <w:spacing w:val="6"/>
            <w:w w:val="105"/>
            <w:sz w:val="19"/>
          </w:rPr>
          <w:t>1</w:t>
        </w:r>
        <w:r>
          <w:rPr>
            <w:w w:val="105"/>
            <w:sz w:val="19"/>
          </w:rPr>
          <w:t>、评标方法</w:t>
          <w:tab/>
        </w:r>
        <w:r>
          <w:rPr>
            <w:rFonts w:ascii="Calibri" w:eastAsia="Calibri"/>
            <w:spacing w:val="6"/>
            <w:sz w:val="19"/>
          </w:rPr>
          <w:t>50</w:t>
        </w:r>
      </w:hyperlink>
    </w:p>
    <w:p>
      <w:pPr>
        <w:tabs>
          <w:tab w:pos="8710" w:val="left" w:leader="dot"/>
        </w:tabs>
        <w:spacing w:before="72"/>
        <w:ind w:left="0" w:right="1349" w:firstLine="0"/>
        <w:jc w:val="right"/>
        <w:rPr>
          <w:rFonts w:ascii="Calibri" w:eastAsia="Calibri"/>
          <w:sz w:val="19"/>
        </w:rPr>
      </w:pPr>
      <w:r>
        <w:rPr/>
        <w:pict>
          <v:shape style="position:absolute;margin-left:81.849998pt;margin-top:17.629999pt;width:108.15pt;height:61.55pt;mso-position-horizontal-relative:page;mso-position-vertical-relative:paragraph;z-index:251664384"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
                    <w:gridCol w:w="797"/>
                    <w:gridCol w:w="1157"/>
                  </w:tblGrid>
                  <w:tr>
                    <w:trPr>
                      <w:trHeight w:val="297" w:hRule="atLeast"/>
                    </w:trPr>
                    <w:tc>
                      <w:tcPr>
                        <w:tcW w:w="1008" w:type="dxa"/>
                        <w:gridSpan w:val="2"/>
                        <w:tcBorders>
                          <w:bottom w:val="single" w:sz="8" w:space="0" w:color="FFFFFF"/>
                        </w:tcBorders>
                        <w:shd w:val="clear" w:color="auto" w:fill="FFFFFF"/>
                      </w:tcPr>
                      <w:p>
                        <w:pPr>
                          <w:pStyle w:val="TableParagraph"/>
                          <w:spacing w:line="243" w:lineRule="exact" w:before="35"/>
                          <w:ind w:right="-15"/>
                          <w:rPr>
                            <w:sz w:val="19"/>
                          </w:rPr>
                        </w:pPr>
                        <w:hyperlink w:history="true" w:anchor="_bookmark22">
                          <w:r>
                            <w:rPr>
                              <w:rFonts w:ascii="Calibri" w:eastAsia="Calibri"/>
                              <w:spacing w:val="3"/>
                              <w:w w:val="105"/>
                              <w:sz w:val="19"/>
                            </w:rPr>
                            <w:t>3</w:t>
                          </w:r>
                          <w:r>
                            <w:rPr>
                              <w:rFonts w:ascii="Calibri" w:eastAsia="Calibri"/>
                              <w:spacing w:val="6"/>
                              <w:w w:val="105"/>
                              <w:sz w:val="19"/>
                            </w:rPr>
                            <w:t>. </w:t>
                          </w:r>
                          <w:r>
                            <w:rPr>
                              <w:spacing w:val="-1"/>
                              <w:w w:val="105"/>
                              <w:sz w:val="19"/>
                            </w:rPr>
                            <w:t>评标程序</w:t>
                          </w:r>
                        </w:hyperlink>
                      </w:p>
                    </w:tc>
                    <w:tc>
                      <w:tcPr>
                        <w:tcW w:w="1157" w:type="dxa"/>
                        <w:vMerge w:val="restart"/>
                        <w:tcBorders>
                          <w:bottom w:val="single" w:sz="6" w:space="0" w:color="FFFFFF"/>
                        </w:tcBorders>
                      </w:tcPr>
                      <w:p>
                        <w:pPr>
                          <w:pStyle w:val="TableParagraph"/>
                          <w:rPr>
                            <w:rFonts w:ascii="Times New Roman"/>
                            <w:sz w:val="18"/>
                          </w:rPr>
                        </w:pPr>
                      </w:p>
                    </w:tc>
                  </w:tr>
                  <w:tr>
                    <w:trPr>
                      <w:trHeight w:val="295" w:hRule="atLeast"/>
                    </w:trPr>
                    <w:tc>
                      <w:tcPr>
                        <w:tcW w:w="211" w:type="dxa"/>
                        <w:vMerge w:val="restart"/>
                        <w:tcBorders>
                          <w:top w:val="single" w:sz="8" w:space="0" w:color="FFFFFF"/>
                          <w:bottom w:val="single" w:sz="6" w:space="0" w:color="FFFFFF"/>
                        </w:tcBorders>
                      </w:tcPr>
                      <w:p>
                        <w:pPr>
                          <w:pStyle w:val="TableParagraph"/>
                          <w:rPr>
                            <w:rFonts w:ascii="Times New Roman"/>
                            <w:sz w:val="18"/>
                          </w:rPr>
                        </w:pPr>
                      </w:p>
                    </w:tc>
                    <w:tc>
                      <w:tcPr>
                        <w:tcW w:w="797" w:type="dxa"/>
                        <w:tcBorders>
                          <w:top w:val="single" w:sz="8" w:space="0" w:color="FFFFFF"/>
                          <w:bottom w:val="single" w:sz="8" w:space="0" w:color="FFFFFF"/>
                        </w:tcBorders>
                        <w:shd w:val="clear" w:color="auto" w:fill="FFFFFF"/>
                      </w:tcPr>
                      <w:p>
                        <w:pPr>
                          <w:pStyle w:val="TableParagraph"/>
                          <w:spacing w:line="243" w:lineRule="exact" w:before="33"/>
                          <w:ind w:left="2" w:right="3"/>
                          <w:jc w:val="center"/>
                          <w:rPr>
                            <w:rFonts w:ascii="黑体" w:eastAsia="黑体" w:hint="eastAsia"/>
                            <w:sz w:val="19"/>
                          </w:rPr>
                        </w:pPr>
                        <w:hyperlink w:history="true" w:anchor="_bookmark23">
                          <w:r>
                            <w:rPr>
                              <w:rFonts w:ascii="黑体" w:eastAsia="黑体" w:hint="eastAsia"/>
                              <w:spacing w:val="-2"/>
                              <w:sz w:val="19"/>
                            </w:rPr>
                            <w:t>附件一：</w:t>
                          </w:r>
                        </w:hyperlink>
                      </w:p>
                    </w:tc>
                    <w:tc>
                      <w:tcPr>
                        <w:tcW w:w="1157" w:type="dxa"/>
                        <w:vMerge/>
                        <w:tcBorders>
                          <w:top w:val="nil"/>
                          <w:bottom w:val="single" w:sz="6" w:space="0" w:color="FFFFFF"/>
                        </w:tcBorders>
                      </w:tcPr>
                      <w:p>
                        <w:pPr>
                          <w:rPr>
                            <w:sz w:val="2"/>
                            <w:szCs w:val="2"/>
                          </w:rPr>
                        </w:pPr>
                      </w:p>
                    </w:tc>
                  </w:tr>
                  <w:tr>
                    <w:trPr>
                      <w:trHeight w:val="282" w:hRule="atLeast"/>
                    </w:trPr>
                    <w:tc>
                      <w:tcPr>
                        <w:tcW w:w="211" w:type="dxa"/>
                        <w:vMerge/>
                        <w:tcBorders>
                          <w:top w:val="nil"/>
                          <w:bottom w:val="single" w:sz="6" w:space="0" w:color="FFFFFF"/>
                        </w:tcBorders>
                      </w:tcPr>
                      <w:p>
                        <w:pPr>
                          <w:rPr>
                            <w:sz w:val="2"/>
                            <w:szCs w:val="2"/>
                          </w:rPr>
                        </w:pPr>
                      </w:p>
                    </w:tc>
                    <w:tc>
                      <w:tcPr>
                        <w:tcW w:w="797" w:type="dxa"/>
                        <w:tcBorders>
                          <w:top w:val="single" w:sz="8" w:space="0" w:color="FFFFFF"/>
                          <w:bottom w:val="single" w:sz="6" w:space="0" w:color="FFFFFF"/>
                        </w:tcBorders>
                        <w:shd w:val="clear" w:color="auto" w:fill="FFFFFF"/>
                      </w:tcPr>
                      <w:p>
                        <w:pPr>
                          <w:pStyle w:val="TableParagraph"/>
                          <w:spacing w:line="230" w:lineRule="exact" w:before="32"/>
                          <w:ind w:left="2" w:right="3"/>
                          <w:jc w:val="center"/>
                          <w:rPr>
                            <w:rFonts w:ascii="黑体" w:eastAsia="黑体" w:hint="eastAsia"/>
                            <w:sz w:val="19"/>
                          </w:rPr>
                        </w:pPr>
                        <w:hyperlink w:history="true" w:anchor="_bookmark24">
                          <w:r>
                            <w:rPr>
                              <w:rFonts w:ascii="黑体" w:eastAsia="黑体" w:hint="eastAsia"/>
                              <w:spacing w:val="-2"/>
                              <w:sz w:val="19"/>
                            </w:rPr>
                            <w:t>附件二：</w:t>
                          </w:r>
                        </w:hyperlink>
                      </w:p>
                    </w:tc>
                    <w:tc>
                      <w:tcPr>
                        <w:tcW w:w="1157" w:type="dxa"/>
                        <w:vMerge/>
                        <w:tcBorders>
                          <w:top w:val="nil"/>
                          <w:bottom w:val="single" w:sz="6" w:space="0" w:color="FFFFFF"/>
                        </w:tcBorders>
                      </w:tcPr>
                      <w:p>
                        <w:pPr>
                          <w:rPr>
                            <w:sz w:val="2"/>
                            <w:szCs w:val="2"/>
                          </w:rPr>
                        </w:pPr>
                      </w:p>
                    </w:tc>
                  </w:tr>
                  <w:tr>
                    <w:trPr>
                      <w:trHeight w:val="300" w:hRule="atLeast"/>
                    </w:trPr>
                    <w:tc>
                      <w:tcPr>
                        <w:tcW w:w="2165" w:type="dxa"/>
                        <w:gridSpan w:val="3"/>
                        <w:tcBorders>
                          <w:top w:val="single" w:sz="6" w:space="0" w:color="FFFFFF"/>
                        </w:tcBorders>
                        <w:shd w:val="clear" w:color="auto" w:fill="FFFFFF"/>
                      </w:tcPr>
                      <w:p>
                        <w:pPr>
                          <w:pStyle w:val="TableParagraph"/>
                          <w:spacing w:before="35"/>
                          <w:rPr>
                            <w:sz w:val="19"/>
                          </w:rPr>
                        </w:pPr>
                        <w:hyperlink w:history="true" w:anchor="_bookmark25">
                          <w:r>
                            <w:rPr>
                              <w:w w:val="105"/>
                              <w:sz w:val="19"/>
                            </w:rPr>
                            <w:t>第四章 合同条款及格式</w:t>
                          </w:r>
                        </w:hyperlink>
                      </w:p>
                    </w:tc>
                  </w:tr>
                </w:tbl>
                <w:p>
                  <w:pPr>
                    <w:pStyle w:val="BodyText"/>
                  </w:pPr>
                </w:p>
              </w:txbxContent>
            </v:textbox>
            <w10:wrap type="none"/>
          </v:shape>
        </w:pict>
      </w:r>
      <w:hyperlink w:history="true" w:anchor="_bookmark21">
        <w:r>
          <w:rPr>
            <w:rFonts w:ascii="Calibri" w:eastAsia="Calibri"/>
            <w:w w:val="105"/>
            <w:sz w:val="19"/>
          </w:rPr>
          <w:t>2</w:t>
        </w:r>
        <w:r>
          <w:rPr>
            <w:rFonts w:ascii="Calibri" w:eastAsia="Calibri"/>
            <w:spacing w:val="28"/>
            <w:w w:val="105"/>
            <w:sz w:val="19"/>
          </w:rPr>
          <w:t> </w:t>
        </w:r>
        <w:r>
          <w:rPr>
            <w:w w:val="105"/>
            <w:sz w:val="19"/>
          </w:rPr>
          <w:t>评审标准</w:t>
          <w:tab/>
        </w:r>
        <w:r>
          <w:rPr>
            <w:rFonts w:ascii="Calibri" w:eastAsia="Calibri"/>
            <w:spacing w:val="6"/>
            <w:sz w:val="19"/>
          </w:rPr>
          <w:t>50</w:t>
        </w:r>
      </w:hyperlink>
    </w:p>
    <w:p>
      <w:pPr>
        <w:spacing w:before="81"/>
        <w:ind w:left="0" w:right="1349" w:firstLine="0"/>
        <w:jc w:val="right"/>
        <w:rPr>
          <w:rFonts w:ascii="Calibri"/>
          <w:sz w:val="19"/>
        </w:rPr>
      </w:pPr>
      <w:hyperlink w:history="true" w:anchor="_bookmark22">
        <w:r>
          <w:rPr>
            <w:rFonts w:ascii="Calibri"/>
            <w:spacing w:val="-5"/>
            <w:sz w:val="19"/>
          </w:rPr>
          <w:t>.........................................................................................................................................................................     </w:t>
        </w:r>
        <w:r>
          <w:rPr>
            <w:rFonts w:ascii="Calibri"/>
            <w:spacing w:val="26"/>
            <w:sz w:val="19"/>
          </w:rPr>
          <w:t> </w:t>
        </w:r>
        <w:r>
          <w:rPr>
            <w:rFonts w:ascii="Calibri"/>
            <w:spacing w:val="6"/>
            <w:sz w:val="19"/>
          </w:rPr>
          <w:t>53</w:t>
        </w:r>
      </w:hyperlink>
    </w:p>
    <w:p>
      <w:pPr>
        <w:spacing w:before="84"/>
        <w:ind w:left="0" w:right="1349" w:firstLine="0"/>
        <w:jc w:val="right"/>
        <w:rPr>
          <w:rFonts w:ascii="Calibri"/>
          <w:sz w:val="19"/>
        </w:rPr>
      </w:pPr>
      <w:hyperlink w:history="true" w:anchor="_bookmark23">
        <w:r>
          <w:rPr>
            <w:rFonts w:ascii="Calibri"/>
            <w:spacing w:val="-5"/>
            <w:sz w:val="19"/>
          </w:rPr>
          <w:t>..........................................................................................................................................................................     </w:t>
        </w:r>
        <w:r>
          <w:rPr>
            <w:rFonts w:ascii="Calibri"/>
            <w:spacing w:val="27"/>
            <w:sz w:val="19"/>
          </w:rPr>
          <w:t> </w:t>
        </w:r>
        <w:r>
          <w:rPr>
            <w:rFonts w:ascii="Calibri"/>
            <w:spacing w:val="6"/>
            <w:sz w:val="19"/>
          </w:rPr>
          <w:t>54</w:t>
        </w:r>
      </w:hyperlink>
    </w:p>
    <w:p>
      <w:pPr>
        <w:spacing w:before="83"/>
        <w:ind w:left="0" w:right="1349" w:firstLine="0"/>
        <w:jc w:val="right"/>
        <w:rPr>
          <w:rFonts w:ascii="Calibri"/>
          <w:sz w:val="19"/>
        </w:rPr>
      </w:pPr>
      <w:hyperlink w:history="true" w:anchor="_bookmark24">
        <w:r>
          <w:rPr>
            <w:rFonts w:ascii="Calibri"/>
            <w:spacing w:val="-5"/>
            <w:sz w:val="19"/>
          </w:rPr>
          <w:t>..........................................................................................................................................................................     </w:t>
        </w:r>
        <w:r>
          <w:rPr>
            <w:rFonts w:ascii="Calibri"/>
            <w:spacing w:val="27"/>
            <w:sz w:val="19"/>
          </w:rPr>
          <w:t> </w:t>
        </w:r>
        <w:r>
          <w:rPr>
            <w:rFonts w:ascii="Calibri"/>
            <w:spacing w:val="6"/>
            <w:sz w:val="19"/>
          </w:rPr>
          <w:t>55</w:t>
        </w:r>
      </w:hyperlink>
    </w:p>
    <w:p>
      <w:pPr>
        <w:spacing w:before="68"/>
        <w:ind w:left="0" w:right="1349" w:firstLine="0"/>
        <w:jc w:val="right"/>
        <w:rPr>
          <w:rFonts w:ascii="Calibri"/>
          <w:sz w:val="19"/>
        </w:rPr>
      </w:pPr>
      <w:hyperlink w:history="true" w:anchor="_bookmark25">
        <w:r>
          <w:rPr>
            <w:rFonts w:ascii="Calibri"/>
            <w:spacing w:val="-5"/>
            <w:sz w:val="19"/>
          </w:rPr>
          <w:t>................................................................................................................................................    </w:t>
        </w:r>
        <w:r>
          <w:rPr>
            <w:rFonts w:ascii="Calibri"/>
            <w:spacing w:val="31"/>
            <w:sz w:val="19"/>
          </w:rPr>
          <w:t> </w:t>
        </w:r>
        <w:r>
          <w:rPr>
            <w:rFonts w:ascii="Calibri"/>
            <w:spacing w:val="6"/>
            <w:sz w:val="19"/>
          </w:rPr>
          <w:t>56</w:t>
        </w:r>
      </w:hyperlink>
    </w:p>
    <w:p>
      <w:pPr>
        <w:tabs>
          <w:tab w:pos="8710" w:val="right" w:leader="dot"/>
        </w:tabs>
        <w:spacing w:before="74"/>
        <w:ind w:left="0" w:right="1349" w:firstLine="0"/>
        <w:jc w:val="right"/>
        <w:rPr>
          <w:rFonts w:ascii="Calibri" w:eastAsia="Calibri"/>
          <w:sz w:val="19"/>
        </w:rPr>
      </w:pPr>
      <w:hyperlink w:history="true" w:anchor="_bookmark26">
        <w:r>
          <w:rPr>
            <w:w w:val="105"/>
            <w:sz w:val="19"/>
          </w:rPr>
          <w:t>第一节</w:t>
        </w:r>
        <w:r>
          <w:rPr>
            <w:spacing w:val="4"/>
            <w:w w:val="105"/>
            <w:sz w:val="19"/>
          </w:rPr>
          <w:t> </w:t>
        </w:r>
        <w:r>
          <w:rPr>
            <w:w w:val="105"/>
            <w:sz w:val="19"/>
          </w:rPr>
          <w:t>通</w:t>
        </w:r>
        <w:r>
          <w:rPr>
            <w:spacing w:val="15"/>
            <w:w w:val="105"/>
            <w:sz w:val="19"/>
          </w:rPr>
          <w:t>用</w:t>
        </w:r>
        <w:r>
          <w:rPr>
            <w:w w:val="105"/>
            <w:sz w:val="19"/>
          </w:rPr>
          <w:t>合同</w:t>
        </w:r>
        <w:r>
          <w:rPr>
            <w:spacing w:val="15"/>
            <w:w w:val="105"/>
            <w:sz w:val="19"/>
          </w:rPr>
          <w:t>条</w:t>
        </w:r>
        <w:r>
          <w:rPr>
            <w:w w:val="105"/>
            <w:sz w:val="19"/>
          </w:rPr>
          <w:t>款</w:t>
          <w:tab/>
        </w:r>
        <w:r>
          <w:rPr>
            <w:rFonts w:ascii="Calibri" w:eastAsia="Calibri"/>
            <w:spacing w:val="6"/>
            <w:w w:val="105"/>
            <w:sz w:val="19"/>
          </w:rPr>
          <w:t>56</w:t>
        </w:r>
      </w:hyperlink>
    </w:p>
    <w:p>
      <w:pPr>
        <w:tabs>
          <w:tab w:pos="8710" w:val="right" w:leader="dot"/>
        </w:tabs>
        <w:spacing w:before="72"/>
        <w:ind w:left="0" w:right="1349" w:firstLine="0"/>
        <w:jc w:val="right"/>
        <w:rPr>
          <w:rFonts w:ascii="Calibri" w:eastAsia="Calibri"/>
          <w:sz w:val="19"/>
        </w:rPr>
      </w:pPr>
      <w:hyperlink w:history="true" w:anchor="_bookmark27">
        <w:r>
          <w:rPr>
            <w:w w:val="105"/>
            <w:sz w:val="19"/>
          </w:rPr>
          <w:t>第二节 </w:t>
        </w:r>
        <w:r>
          <w:rPr>
            <w:spacing w:val="9"/>
            <w:w w:val="105"/>
            <w:sz w:val="19"/>
          </w:rPr>
          <w:t> </w:t>
        </w:r>
        <w:r>
          <w:rPr>
            <w:w w:val="105"/>
            <w:sz w:val="19"/>
          </w:rPr>
          <w:t>专用</w:t>
        </w:r>
        <w:r>
          <w:rPr>
            <w:spacing w:val="15"/>
            <w:w w:val="105"/>
            <w:sz w:val="19"/>
          </w:rPr>
          <w:t>合</w:t>
        </w:r>
        <w:r>
          <w:rPr>
            <w:w w:val="105"/>
            <w:sz w:val="19"/>
          </w:rPr>
          <w:t>同条款</w:t>
          <w:tab/>
        </w:r>
        <w:r>
          <w:rPr>
            <w:rFonts w:ascii="Calibri" w:eastAsia="Calibri"/>
            <w:spacing w:val="6"/>
            <w:w w:val="105"/>
            <w:sz w:val="19"/>
          </w:rPr>
          <w:t>98</w:t>
        </w:r>
      </w:hyperlink>
    </w:p>
    <w:p>
      <w:pPr>
        <w:tabs>
          <w:tab w:pos="8710" w:val="right" w:leader="dot"/>
        </w:tabs>
        <w:spacing w:before="72"/>
        <w:ind w:left="0" w:right="1349" w:firstLine="0"/>
        <w:jc w:val="right"/>
        <w:rPr>
          <w:rFonts w:ascii="Calibri" w:eastAsia="Calibri"/>
          <w:sz w:val="19"/>
        </w:rPr>
      </w:pPr>
      <w:hyperlink w:history="true" w:anchor="_bookmark28">
        <w:r>
          <w:rPr>
            <w:w w:val="105"/>
            <w:sz w:val="19"/>
          </w:rPr>
          <w:t>第三节 </w:t>
        </w:r>
        <w:r>
          <w:rPr>
            <w:spacing w:val="9"/>
            <w:w w:val="105"/>
            <w:sz w:val="19"/>
          </w:rPr>
          <w:t> </w:t>
        </w:r>
        <w:r>
          <w:rPr>
            <w:w w:val="105"/>
            <w:sz w:val="19"/>
          </w:rPr>
          <w:t>合同</w:t>
        </w:r>
        <w:r>
          <w:rPr>
            <w:spacing w:val="15"/>
            <w:w w:val="105"/>
            <w:sz w:val="19"/>
          </w:rPr>
          <w:t>附</w:t>
        </w:r>
        <w:r>
          <w:rPr>
            <w:w w:val="105"/>
            <w:sz w:val="19"/>
          </w:rPr>
          <w:t>件格式</w:t>
          <w:tab/>
        </w:r>
        <w:r>
          <w:rPr>
            <w:rFonts w:ascii="Calibri" w:eastAsia="Calibri"/>
            <w:spacing w:val="6"/>
            <w:w w:val="105"/>
            <w:sz w:val="19"/>
          </w:rPr>
          <w:t>107</w:t>
        </w:r>
      </w:hyperlink>
    </w:p>
    <w:p>
      <w:pPr>
        <w:tabs>
          <w:tab w:pos="8920" w:val="right" w:leader="dot"/>
        </w:tabs>
        <w:spacing w:before="72"/>
        <w:ind w:left="0" w:right="1349" w:firstLine="0"/>
        <w:jc w:val="right"/>
        <w:rPr>
          <w:rFonts w:ascii="Calibri" w:eastAsia="Calibri"/>
          <w:sz w:val="19"/>
        </w:rPr>
      </w:pPr>
      <w:hyperlink w:history="true" w:anchor="_bookmark29">
        <w:r>
          <w:rPr>
            <w:w w:val="105"/>
            <w:sz w:val="19"/>
          </w:rPr>
          <w:t>第五章 </w:t>
        </w:r>
        <w:r>
          <w:rPr>
            <w:spacing w:val="53"/>
            <w:w w:val="105"/>
            <w:sz w:val="19"/>
          </w:rPr>
          <w:t> </w:t>
        </w:r>
        <w:r>
          <w:rPr>
            <w:w w:val="105"/>
            <w:sz w:val="19"/>
          </w:rPr>
          <w:t>工程量</w:t>
        </w:r>
        <w:r>
          <w:rPr>
            <w:spacing w:val="15"/>
            <w:w w:val="105"/>
            <w:sz w:val="19"/>
          </w:rPr>
          <w:t>清</w:t>
        </w:r>
        <w:r>
          <w:rPr>
            <w:w w:val="105"/>
            <w:sz w:val="19"/>
          </w:rPr>
          <w:t>单</w:t>
          <w:tab/>
        </w:r>
        <w:r>
          <w:rPr>
            <w:rFonts w:ascii="Calibri" w:eastAsia="Calibri"/>
            <w:spacing w:val="6"/>
            <w:w w:val="105"/>
            <w:sz w:val="19"/>
          </w:rPr>
          <w:t>111</w:t>
        </w:r>
      </w:hyperlink>
    </w:p>
    <w:p>
      <w:pPr>
        <w:spacing w:after="0"/>
        <w:jc w:val="right"/>
        <w:rPr>
          <w:rFonts w:ascii="Calibri" w:eastAsia="Calibri"/>
          <w:sz w:val="19"/>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7"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8"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9"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0"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1"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2"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3"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4"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5"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6"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7"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8"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19"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20"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21"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22"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23"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24"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363"/>
        <w:rPr>
          <w:rFonts w:ascii="Times New Roman"/>
          <w:sz w:val="20"/>
        </w:rPr>
      </w:pPr>
      <w:r>
        <w:rPr>
          <w:rFonts w:ascii="Times New Roman"/>
          <w:sz w:val="20"/>
        </w:rPr>
        <w:pict>
          <v:group style="width:470.1pt;height:645.75pt;mso-position-horizontal-relative:char;mso-position-vertical-relative:line" coordorigin="0,0" coordsize="9402,12915">
            <v:shape style="position:absolute;left:0;top:2584;width:8786;height:8653" type="#_x0000_t75" stroked="false">
              <v:imagedata r:id="rId6" o:title=""/>
            </v:shape>
            <v:shape style="position:absolute;left:281;top:0;width:9120;height:12915" type="#_x0000_t75" stroked="false">
              <v:imagedata r:id="rId25" o:title=""/>
            </v:shape>
          </v:group>
        </w:pict>
      </w:r>
      <w:r>
        <w:rPr>
          <w:rFonts w:ascii="Times New Roman"/>
          <w:sz w:val="20"/>
        </w:rPr>
      </w:r>
    </w:p>
    <w:p>
      <w:pPr>
        <w:spacing w:after="0"/>
        <w:rPr>
          <w:rFonts w:ascii="Times New Roman"/>
          <w:sz w:val="20"/>
        </w:rPr>
        <w:sectPr>
          <w:pgSz w:w="11910" w:h="16850"/>
          <w:pgMar w:header="911" w:footer="0" w:top="1380" w:bottom="1698" w:left="1200" w:right="0"/>
        </w:sectPr>
      </w:pPr>
    </w:p>
    <w:sdt>
      <w:sdtPr>
        <w:docPartObj>
          <w:docPartGallery w:val="Table of Contents"/>
          <w:docPartUnique/>
        </w:docPartObj>
      </w:sdtPr>
      <w:sdtEndPr/>
      <w:sdtContent>
        <w:p>
          <w:pPr>
            <w:pStyle w:val="TOC5"/>
            <w:numPr>
              <w:ilvl w:val="0"/>
              <w:numId w:val="3"/>
            </w:numPr>
            <w:tabs>
              <w:tab w:pos="858" w:val="left" w:leader="none"/>
              <w:tab w:pos="9357" w:val="right" w:leader="dot"/>
            </w:tabs>
            <w:spacing w:line="240" w:lineRule="auto" w:before="128" w:after="0"/>
            <w:ind w:left="857" w:right="0" w:hanging="211"/>
            <w:jc w:val="left"/>
            <w:rPr>
              <w:rFonts w:ascii="黑体" w:eastAsia="黑体" w:hint="eastAsia"/>
              <w:sz w:val="17"/>
            </w:rPr>
          </w:pPr>
          <w:hyperlink w:history="true" w:anchor="_bookmark30">
            <w:r>
              <w:rPr>
                <w:w w:val="105"/>
              </w:rPr>
              <w:t>工程量清单</w:t>
            </w:r>
            <w:r>
              <w:rPr>
                <w:spacing w:val="15"/>
                <w:w w:val="105"/>
              </w:rPr>
              <w:t>说</w:t>
            </w:r>
            <w:r>
              <w:rPr>
                <w:w w:val="105"/>
              </w:rPr>
              <w:t>明</w:t>
              <w:tab/>
            </w:r>
            <w:r>
              <w:rPr>
                <w:rFonts w:ascii="Calibri" w:eastAsia="Calibri"/>
                <w:spacing w:val="6"/>
                <w:w w:val="105"/>
              </w:rPr>
              <w:t>112</w:t>
            </w:r>
          </w:hyperlink>
        </w:p>
        <w:p>
          <w:pPr>
            <w:pStyle w:val="TOC5"/>
            <w:numPr>
              <w:ilvl w:val="0"/>
              <w:numId w:val="3"/>
            </w:numPr>
            <w:tabs>
              <w:tab w:pos="858" w:val="left" w:leader="none"/>
              <w:tab w:pos="9357" w:val="right" w:leader="dot"/>
            </w:tabs>
            <w:spacing w:line="240" w:lineRule="auto" w:before="71" w:after="20"/>
            <w:ind w:left="857" w:right="0" w:hanging="211"/>
            <w:jc w:val="left"/>
            <w:rPr>
              <w:rFonts w:ascii="黑体" w:eastAsia="黑体" w:hint="eastAsia"/>
              <w:sz w:val="17"/>
            </w:rPr>
          </w:pPr>
          <w:hyperlink w:history="true" w:anchor="_bookmark31">
            <w:r>
              <w:rPr>
                <w:w w:val="105"/>
              </w:rPr>
              <w:t>投标报价说明</w:t>
              <w:tab/>
            </w:r>
            <w:r>
              <w:rPr>
                <w:rFonts w:ascii="Calibri" w:eastAsia="Calibri"/>
                <w:spacing w:val="6"/>
                <w:w w:val="105"/>
              </w:rPr>
              <w:t>131</w:t>
            </w:r>
          </w:hyperlink>
        </w:p>
        <w:p>
          <w:pPr>
            <w:pStyle w:val="TOC2"/>
            <w:tabs>
              <w:tab w:pos="8605" w:val="left" w:leader="dot"/>
            </w:tabs>
            <w:spacing w:before="80"/>
            <w:rPr>
              <w:rFonts w:ascii="Calibri" w:eastAsia="Calibri"/>
            </w:rPr>
          </w:pPr>
          <w:hyperlink w:history="true" w:anchor="_bookmark32">
            <w:r>
              <w:rPr>
                <w:w w:val="105"/>
              </w:rPr>
              <w:t>第六章</w:t>
            </w:r>
            <w:r>
              <w:rPr>
                <w:spacing w:val="39"/>
                <w:w w:val="105"/>
              </w:rPr>
              <w:t> </w:t>
            </w:r>
            <w:r>
              <w:rPr>
                <w:w w:val="105"/>
              </w:rPr>
              <w:t>图纸</w:t>
            </w:r>
            <w:r>
              <w:rPr>
                <w:rFonts w:ascii="黑体" w:eastAsia="黑体" w:hint="eastAsia"/>
                <w:spacing w:val="7"/>
                <w:w w:val="105"/>
              </w:rPr>
              <w:t>(</w:t>
            </w:r>
            <w:r>
              <w:rPr>
                <w:spacing w:val="15"/>
                <w:w w:val="105"/>
              </w:rPr>
              <w:t>招</w:t>
            </w:r>
            <w:r>
              <w:rPr>
                <w:w w:val="105"/>
              </w:rPr>
              <w:t>标图纸</w:t>
            </w:r>
            <w:r>
              <w:rPr>
                <w:rFonts w:ascii="黑体" w:eastAsia="黑体" w:hint="eastAsia"/>
                <w:w w:val="105"/>
              </w:rPr>
              <w:t>)</w:t>
              <w:tab/>
            </w:r>
            <w:r>
              <w:rPr>
                <w:rFonts w:ascii="Calibri" w:eastAsia="Calibri"/>
                <w:spacing w:val="6"/>
              </w:rPr>
              <w:t>149</w:t>
            </w:r>
          </w:hyperlink>
        </w:p>
        <w:p>
          <w:pPr>
            <w:pStyle w:val="TOC1"/>
            <w:tabs>
              <w:tab w:pos="8815" w:val="left" w:leader="dot"/>
            </w:tabs>
            <w:rPr>
              <w:rFonts w:ascii="Calibri" w:eastAsia="Calibri"/>
            </w:rPr>
          </w:pPr>
          <w:hyperlink w:history="true" w:anchor="_bookmark33">
            <w:r>
              <w:rPr>
                <w:spacing w:val="15"/>
              </w:rPr>
              <w:t>第</w:t>
            </w:r>
            <w:r>
              <w:rPr/>
              <w:t>三卷</w:t>
              <w:tab/>
            </w:r>
            <w:r>
              <w:rPr>
                <w:rFonts w:ascii="Calibri" w:eastAsia="Calibri"/>
                <w:spacing w:val="6"/>
              </w:rPr>
              <w:t>152</w:t>
            </w:r>
          </w:hyperlink>
        </w:p>
        <w:p>
          <w:pPr>
            <w:pStyle w:val="TOC2"/>
            <w:tabs>
              <w:tab w:pos="8605" w:val="left" w:leader="dot"/>
            </w:tabs>
            <w:spacing w:before="192"/>
            <w:rPr>
              <w:rFonts w:ascii="Calibri" w:eastAsia="Calibri"/>
            </w:rPr>
          </w:pPr>
          <w:hyperlink w:history="true" w:anchor="_bookmark34">
            <w:r>
              <w:rPr>
                <w:w w:val="105"/>
              </w:rPr>
              <w:t>第七章</w:t>
            </w:r>
            <w:r>
              <w:rPr>
                <w:spacing w:val="22"/>
                <w:w w:val="105"/>
              </w:rPr>
              <w:t> </w:t>
            </w:r>
            <w:r>
              <w:rPr>
                <w:w w:val="105"/>
              </w:rPr>
              <w:t>技</w:t>
            </w:r>
            <w:r>
              <w:rPr>
                <w:spacing w:val="15"/>
                <w:w w:val="105"/>
              </w:rPr>
              <w:t>术</w:t>
            </w:r>
            <w:r>
              <w:rPr>
                <w:w w:val="105"/>
              </w:rPr>
              <w:t>标准</w:t>
            </w:r>
            <w:r>
              <w:rPr>
                <w:spacing w:val="15"/>
                <w:w w:val="105"/>
              </w:rPr>
              <w:t>和</w:t>
            </w:r>
            <w:r>
              <w:rPr>
                <w:w w:val="105"/>
              </w:rPr>
              <w:t>要求</w:t>
            </w:r>
            <w:r>
              <w:rPr>
                <w:rFonts w:ascii="黑体" w:eastAsia="黑体" w:hint="eastAsia"/>
                <w:spacing w:val="7"/>
                <w:w w:val="105"/>
              </w:rPr>
              <w:t>(</w:t>
            </w:r>
            <w:r>
              <w:rPr>
                <w:w w:val="105"/>
              </w:rPr>
              <w:t>合</w:t>
            </w:r>
            <w:r>
              <w:rPr>
                <w:spacing w:val="15"/>
                <w:w w:val="105"/>
              </w:rPr>
              <w:t>同</w:t>
            </w:r>
            <w:r>
              <w:rPr>
                <w:w w:val="105"/>
              </w:rPr>
              <w:t>技术</w:t>
            </w:r>
            <w:r>
              <w:rPr>
                <w:spacing w:val="15"/>
                <w:w w:val="105"/>
              </w:rPr>
              <w:t>条</w:t>
            </w:r>
            <w:r>
              <w:rPr>
                <w:w w:val="105"/>
              </w:rPr>
              <w:t>款</w:t>
            </w:r>
            <w:r>
              <w:rPr>
                <w:rFonts w:ascii="黑体" w:eastAsia="黑体" w:hint="eastAsia"/>
                <w:w w:val="105"/>
              </w:rPr>
              <w:t>)</w:t>
              <w:tab/>
            </w:r>
            <w:r>
              <w:rPr>
                <w:rFonts w:ascii="Calibri" w:eastAsia="Calibri"/>
                <w:spacing w:val="6"/>
              </w:rPr>
              <w:t>152</w:t>
            </w:r>
          </w:hyperlink>
        </w:p>
        <w:p>
          <w:pPr>
            <w:pStyle w:val="TOC1"/>
            <w:tabs>
              <w:tab w:pos="8815" w:val="left" w:leader="dot"/>
            </w:tabs>
            <w:spacing w:before="192"/>
            <w:rPr>
              <w:rFonts w:ascii="Calibri" w:eastAsia="Calibri"/>
            </w:rPr>
          </w:pPr>
          <w:hyperlink w:history="true" w:anchor="_bookmark35">
            <w:r>
              <w:rPr>
                <w:spacing w:val="15"/>
              </w:rPr>
              <w:t>第</w:t>
            </w:r>
            <w:r>
              <w:rPr/>
              <w:t>四卷</w:t>
              <w:tab/>
            </w:r>
            <w:r>
              <w:rPr>
                <w:rFonts w:ascii="Calibri" w:eastAsia="Calibri"/>
                <w:spacing w:val="6"/>
              </w:rPr>
              <w:t>153</w:t>
            </w:r>
          </w:hyperlink>
        </w:p>
        <w:p>
          <w:pPr>
            <w:pStyle w:val="TOC2"/>
            <w:tabs>
              <w:tab w:pos="8605" w:val="left" w:leader="dot"/>
            </w:tabs>
            <w:spacing w:before="192"/>
            <w:rPr>
              <w:rFonts w:ascii="Calibri" w:eastAsia="Calibri"/>
            </w:rPr>
          </w:pPr>
          <w:hyperlink w:history="true" w:anchor="_bookmark36">
            <w:r>
              <w:rPr>
                <w:w w:val="105"/>
              </w:rPr>
              <w:t>第八章</w:t>
            </w:r>
            <w:r>
              <w:rPr>
                <w:spacing w:val="41"/>
                <w:w w:val="105"/>
              </w:rPr>
              <w:t> </w:t>
            </w:r>
            <w:r>
              <w:rPr>
                <w:w w:val="105"/>
              </w:rPr>
              <w:t>投</w:t>
            </w:r>
            <w:r>
              <w:rPr>
                <w:spacing w:val="15"/>
                <w:w w:val="105"/>
              </w:rPr>
              <w:t>标</w:t>
            </w:r>
            <w:r>
              <w:rPr>
                <w:w w:val="105"/>
              </w:rPr>
              <w:t>文件</w:t>
            </w:r>
            <w:r>
              <w:rPr>
                <w:spacing w:val="15"/>
                <w:w w:val="105"/>
              </w:rPr>
              <w:t>格</w:t>
            </w:r>
            <w:r>
              <w:rPr>
                <w:w w:val="105"/>
              </w:rPr>
              <w:t>式</w:t>
              <w:tab/>
            </w:r>
            <w:r>
              <w:rPr>
                <w:rFonts w:ascii="Calibri" w:eastAsia="Calibri"/>
                <w:spacing w:val="6"/>
              </w:rPr>
              <w:t>153</w:t>
            </w:r>
          </w:hyperlink>
        </w:p>
        <w:p>
          <w:pPr>
            <w:pStyle w:val="TOC4"/>
            <w:tabs>
              <w:tab w:pos="9042" w:val="left" w:leader="dot"/>
            </w:tabs>
            <w:spacing w:before="71"/>
            <w:rPr>
              <w:rFonts w:ascii="Calibri" w:eastAsia="Calibri"/>
              <w:b w:val="0"/>
              <w:i w:val="0"/>
              <w:sz w:val="19"/>
            </w:rPr>
          </w:pPr>
          <w:hyperlink w:history="true" w:anchor="_bookmark37">
            <w:r>
              <w:rPr>
                <w:i w:val="0"/>
                <w:spacing w:val="15"/>
                <w:sz w:val="19"/>
              </w:rPr>
              <w:t>一</w:t>
            </w:r>
            <w:r>
              <w:rPr>
                <w:i w:val="0"/>
                <w:sz w:val="19"/>
              </w:rPr>
              <w:t>、</w:t>
            </w:r>
            <w:r>
              <w:rPr>
                <w:i w:val="0"/>
                <w:spacing w:val="15"/>
                <w:sz w:val="19"/>
              </w:rPr>
              <w:t>封</w:t>
            </w:r>
            <w:r>
              <w:rPr>
                <w:i w:val="0"/>
                <w:sz w:val="19"/>
              </w:rPr>
              <w:t>面</w:t>
              <w:tab/>
            </w:r>
            <w:r>
              <w:rPr>
                <w:rFonts w:ascii="Calibri" w:eastAsia="Calibri"/>
                <w:b w:val="0"/>
                <w:i w:val="0"/>
                <w:spacing w:val="6"/>
                <w:sz w:val="19"/>
              </w:rPr>
              <w:t>154</w:t>
            </w:r>
          </w:hyperlink>
        </w:p>
        <w:p>
          <w:pPr>
            <w:pStyle w:val="TOC3"/>
            <w:tabs>
              <w:tab w:pos="9042" w:val="left" w:leader="dot"/>
            </w:tabs>
            <w:rPr>
              <w:rFonts w:ascii="Calibri" w:eastAsia="Calibri"/>
              <w:b w:val="0"/>
            </w:rPr>
          </w:pPr>
          <w:hyperlink w:history="true" w:anchor="_bookmark38">
            <w:r>
              <w:rPr>
                <w:spacing w:val="15"/>
              </w:rPr>
              <w:t>二</w:t>
            </w:r>
            <w:r>
              <w:rPr/>
              <w:t>、</w:t>
            </w:r>
            <w:r>
              <w:rPr>
                <w:spacing w:val="15"/>
              </w:rPr>
              <w:t>投</w:t>
            </w:r>
            <w:r>
              <w:rPr/>
              <w:t>标函</w:t>
            </w:r>
            <w:r>
              <w:rPr>
                <w:spacing w:val="15"/>
              </w:rPr>
              <w:t>及</w:t>
            </w:r>
            <w:r>
              <w:rPr/>
              <w:t>投</w:t>
            </w:r>
            <w:r>
              <w:rPr>
                <w:spacing w:val="15"/>
              </w:rPr>
              <w:t>标</w:t>
            </w:r>
            <w:r>
              <w:rPr/>
              <w:t>函附录</w:t>
              <w:tab/>
            </w:r>
            <w:r>
              <w:rPr>
                <w:rFonts w:ascii="Calibri" w:eastAsia="Calibri"/>
                <w:b w:val="0"/>
                <w:spacing w:val="6"/>
              </w:rPr>
              <w:t>155</w:t>
            </w:r>
          </w:hyperlink>
        </w:p>
        <w:p>
          <w:pPr>
            <w:pStyle w:val="TOC2"/>
            <w:tabs>
              <w:tab w:pos="8395" w:val="left" w:leader="dot"/>
            </w:tabs>
            <w:spacing w:before="73"/>
            <w:rPr>
              <w:rFonts w:ascii="Calibri" w:eastAsia="Calibri"/>
            </w:rPr>
          </w:pPr>
          <w:r>
            <w:rPr/>
            <w:drawing>
              <wp:anchor distT="0" distB="0" distL="0" distR="0" allowOverlap="1" layoutInCell="1" locked="0" behindDoc="1" simplePos="0" relativeHeight="234654720">
                <wp:simplePos x="0" y="0"/>
                <wp:positionH relativeFrom="page">
                  <wp:posOffset>992771</wp:posOffset>
                </wp:positionH>
                <wp:positionV relativeFrom="paragraph">
                  <wp:posOffset>34041</wp:posOffset>
                </wp:positionV>
                <wp:extent cx="5578970" cy="5494141"/>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6" cstate="print"/>
                        <a:stretch>
                          <a:fillRect/>
                        </a:stretch>
                      </pic:blipFill>
                      <pic:spPr>
                        <a:xfrm>
                          <a:off x="0" y="0"/>
                          <a:ext cx="5578970" cy="5494141"/>
                        </a:xfrm>
                        <a:prstGeom prst="rect">
                          <a:avLst/>
                        </a:prstGeom>
                      </pic:spPr>
                    </pic:pic>
                  </a:graphicData>
                </a:graphic>
              </wp:anchor>
            </w:drawing>
          </w:r>
          <w:hyperlink w:history="true" w:anchor="_bookmark39">
            <w:r>
              <w:rPr>
                <w:w w:val="105"/>
              </w:rPr>
              <w:t>投标函</w:t>
            </w:r>
            <w:r>
              <w:rPr>
                <w:spacing w:val="15"/>
                <w:w w:val="105"/>
              </w:rPr>
              <w:t>及</w:t>
            </w:r>
            <w:r>
              <w:rPr>
                <w:w w:val="105"/>
              </w:rPr>
              <w:t>投标</w:t>
            </w:r>
            <w:r>
              <w:rPr>
                <w:spacing w:val="15"/>
                <w:w w:val="105"/>
              </w:rPr>
              <w:t>函</w:t>
            </w:r>
            <w:r>
              <w:rPr>
                <w:w w:val="105"/>
              </w:rPr>
              <w:t>附录</w:t>
              <w:tab/>
            </w:r>
            <w:r>
              <w:rPr>
                <w:rFonts w:ascii="Calibri" w:eastAsia="Calibri"/>
                <w:spacing w:val="6"/>
              </w:rPr>
              <w:t>155</w:t>
            </w:r>
          </w:hyperlink>
        </w:p>
        <w:p>
          <w:pPr>
            <w:pStyle w:val="TOC3"/>
            <w:tabs>
              <w:tab w:pos="9042" w:val="left" w:leader="dot"/>
            </w:tabs>
            <w:spacing w:before="71"/>
            <w:rPr>
              <w:rFonts w:ascii="Calibri" w:eastAsia="Calibri"/>
              <w:b w:val="0"/>
            </w:rPr>
          </w:pPr>
          <w:hyperlink w:history="true" w:anchor="_bookmark40">
            <w:r>
              <w:rPr>
                <w:spacing w:val="15"/>
              </w:rPr>
              <w:t>三</w:t>
            </w:r>
            <w:r>
              <w:rPr/>
              <w:t>、</w:t>
            </w:r>
            <w:r>
              <w:rPr>
                <w:spacing w:val="15"/>
              </w:rPr>
              <w:t>法</w:t>
            </w:r>
            <w:r>
              <w:rPr/>
              <w:t>定代</w:t>
            </w:r>
            <w:r>
              <w:rPr>
                <w:spacing w:val="15"/>
              </w:rPr>
              <w:t>表</w:t>
            </w:r>
            <w:r>
              <w:rPr/>
              <w:t>人</w:t>
            </w:r>
            <w:r>
              <w:rPr>
                <w:spacing w:val="15"/>
              </w:rPr>
              <w:t>身</w:t>
            </w:r>
            <w:r>
              <w:rPr/>
              <w:t>份证明</w:t>
              <w:tab/>
            </w:r>
            <w:r>
              <w:rPr>
                <w:rFonts w:ascii="Calibri" w:eastAsia="Calibri"/>
                <w:b w:val="0"/>
                <w:spacing w:val="6"/>
              </w:rPr>
              <w:t>157</w:t>
            </w:r>
          </w:hyperlink>
        </w:p>
        <w:p>
          <w:pPr>
            <w:pStyle w:val="TOC2"/>
            <w:tabs>
              <w:tab w:pos="8395" w:val="left" w:leader="dot"/>
            </w:tabs>
            <w:rPr>
              <w:rFonts w:ascii="Calibri" w:eastAsia="Calibri"/>
            </w:rPr>
          </w:pPr>
          <w:hyperlink w:history="true" w:anchor="_bookmark41">
            <w:r>
              <w:rPr>
                <w:w w:val="105"/>
              </w:rPr>
              <w:t>法定代</w:t>
            </w:r>
            <w:r>
              <w:rPr>
                <w:spacing w:val="15"/>
                <w:w w:val="105"/>
              </w:rPr>
              <w:t>表</w:t>
            </w:r>
            <w:r>
              <w:rPr>
                <w:w w:val="105"/>
              </w:rPr>
              <w:t>人身</w:t>
            </w:r>
            <w:r>
              <w:rPr>
                <w:spacing w:val="15"/>
                <w:w w:val="105"/>
              </w:rPr>
              <w:t>份</w:t>
            </w:r>
            <w:r>
              <w:rPr>
                <w:w w:val="105"/>
              </w:rPr>
              <w:t>证明</w:t>
              <w:tab/>
            </w:r>
            <w:r>
              <w:rPr>
                <w:rFonts w:ascii="Calibri" w:eastAsia="Calibri"/>
                <w:spacing w:val="6"/>
              </w:rPr>
              <w:t>157</w:t>
            </w:r>
          </w:hyperlink>
        </w:p>
        <w:p>
          <w:pPr>
            <w:pStyle w:val="TOC4"/>
            <w:tabs>
              <w:tab w:pos="9042" w:val="left" w:leader="dot"/>
            </w:tabs>
            <w:rPr>
              <w:rFonts w:ascii="Calibri" w:eastAsia="Calibri"/>
              <w:b w:val="0"/>
              <w:i w:val="0"/>
              <w:sz w:val="19"/>
            </w:rPr>
          </w:pPr>
          <w:hyperlink w:history="true" w:anchor="_bookmark42">
            <w:r>
              <w:rPr>
                <w:i w:val="0"/>
                <w:spacing w:val="15"/>
                <w:sz w:val="19"/>
              </w:rPr>
              <w:t>四</w:t>
            </w:r>
            <w:r>
              <w:rPr>
                <w:i w:val="0"/>
                <w:sz w:val="19"/>
              </w:rPr>
              <w:t>、</w:t>
            </w:r>
            <w:r>
              <w:rPr>
                <w:i w:val="0"/>
                <w:spacing w:val="15"/>
                <w:sz w:val="19"/>
              </w:rPr>
              <w:t>授</w:t>
            </w:r>
            <w:r>
              <w:rPr>
                <w:i w:val="0"/>
                <w:sz w:val="19"/>
              </w:rPr>
              <w:t>权委</w:t>
            </w:r>
            <w:r>
              <w:rPr>
                <w:i w:val="0"/>
                <w:spacing w:val="15"/>
                <w:sz w:val="19"/>
              </w:rPr>
              <w:t>托</w:t>
            </w:r>
            <w:r>
              <w:rPr>
                <w:i w:val="0"/>
                <w:sz w:val="19"/>
              </w:rPr>
              <w:t>书</w:t>
              <w:tab/>
            </w:r>
            <w:r>
              <w:rPr>
                <w:rFonts w:ascii="Calibri" w:eastAsia="Calibri"/>
                <w:b w:val="0"/>
                <w:i w:val="0"/>
                <w:spacing w:val="6"/>
                <w:sz w:val="19"/>
              </w:rPr>
              <w:t>158</w:t>
            </w:r>
          </w:hyperlink>
        </w:p>
        <w:p>
          <w:pPr>
            <w:pStyle w:val="TOC2"/>
            <w:tabs>
              <w:tab w:pos="8395" w:val="left" w:leader="dot"/>
            </w:tabs>
            <w:spacing w:before="57"/>
            <w:rPr>
              <w:rFonts w:ascii="Calibri" w:eastAsia="Calibri"/>
            </w:rPr>
          </w:pPr>
          <w:hyperlink w:history="true" w:anchor="_bookmark43">
            <w:r>
              <w:rPr>
                <w:w w:val="105"/>
              </w:rPr>
              <w:t>授权委</w:t>
            </w:r>
            <w:r>
              <w:rPr>
                <w:spacing w:val="15"/>
                <w:w w:val="105"/>
              </w:rPr>
              <w:t>托</w:t>
            </w:r>
            <w:r>
              <w:rPr>
                <w:w w:val="105"/>
              </w:rPr>
              <w:t>书</w:t>
              <w:tab/>
            </w:r>
            <w:r>
              <w:rPr>
                <w:rFonts w:ascii="Calibri" w:eastAsia="Calibri"/>
                <w:spacing w:val="6"/>
              </w:rPr>
              <w:t>158</w:t>
            </w:r>
          </w:hyperlink>
        </w:p>
        <w:p>
          <w:pPr>
            <w:pStyle w:val="TOC4"/>
            <w:tabs>
              <w:tab w:pos="9042" w:val="left" w:leader="dot"/>
            </w:tabs>
            <w:spacing w:before="71"/>
            <w:rPr>
              <w:rFonts w:ascii="Calibri" w:eastAsia="Calibri"/>
              <w:b w:val="0"/>
              <w:i w:val="0"/>
              <w:sz w:val="19"/>
            </w:rPr>
          </w:pPr>
          <w:hyperlink w:history="true" w:anchor="_bookmark44">
            <w:r>
              <w:rPr>
                <w:i w:val="0"/>
                <w:spacing w:val="15"/>
                <w:sz w:val="19"/>
              </w:rPr>
              <w:t>五</w:t>
            </w:r>
            <w:r>
              <w:rPr>
                <w:i w:val="0"/>
                <w:sz w:val="19"/>
              </w:rPr>
              <w:t>、</w:t>
            </w:r>
            <w:r>
              <w:rPr>
                <w:i w:val="0"/>
                <w:spacing w:val="15"/>
                <w:sz w:val="19"/>
              </w:rPr>
              <w:t>联</w:t>
            </w:r>
            <w:r>
              <w:rPr>
                <w:i w:val="0"/>
                <w:sz w:val="19"/>
              </w:rPr>
              <w:t>合体</w:t>
            </w:r>
            <w:r>
              <w:rPr>
                <w:i w:val="0"/>
                <w:spacing w:val="15"/>
                <w:sz w:val="19"/>
              </w:rPr>
              <w:t>协</w:t>
            </w:r>
            <w:r>
              <w:rPr>
                <w:i w:val="0"/>
                <w:sz w:val="19"/>
              </w:rPr>
              <w:t>议书</w:t>
              <w:tab/>
            </w:r>
            <w:r>
              <w:rPr>
                <w:rFonts w:ascii="Calibri" w:eastAsia="Calibri"/>
                <w:b w:val="0"/>
                <w:i w:val="0"/>
                <w:spacing w:val="6"/>
                <w:sz w:val="19"/>
              </w:rPr>
              <w:t>160</w:t>
            </w:r>
          </w:hyperlink>
        </w:p>
        <w:p>
          <w:pPr>
            <w:pStyle w:val="TOC2"/>
            <w:tabs>
              <w:tab w:pos="8395" w:val="left" w:leader="dot"/>
            </w:tabs>
            <w:rPr>
              <w:rFonts w:ascii="Calibri" w:eastAsia="Calibri"/>
            </w:rPr>
          </w:pPr>
          <w:hyperlink w:history="true" w:anchor="_bookmark45">
            <w:r>
              <w:rPr>
                <w:w w:val="105"/>
              </w:rPr>
              <w:t>联合体</w:t>
            </w:r>
            <w:r>
              <w:rPr>
                <w:spacing w:val="15"/>
                <w:w w:val="105"/>
              </w:rPr>
              <w:t>协</w:t>
            </w:r>
            <w:r>
              <w:rPr>
                <w:w w:val="105"/>
              </w:rPr>
              <w:t>议书</w:t>
              <w:tab/>
            </w:r>
            <w:r>
              <w:rPr>
                <w:rFonts w:ascii="Calibri" w:eastAsia="Calibri"/>
                <w:spacing w:val="6"/>
              </w:rPr>
              <w:t>160</w:t>
            </w:r>
          </w:hyperlink>
        </w:p>
        <w:p>
          <w:pPr>
            <w:pStyle w:val="TOC4"/>
            <w:tabs>
              <w:tab w:pos="9042" w:val="left" w:leader="dot"/>
            </w:tabs>
            <w:rPr>
              <w:rFonts w:ascii="Calibri" w:eastAsia="Calibri"/>
              <w:b w:val="0"/>
              <w:i w:val="0"/>
              <w:sz w:val="19"/>
            </w:rPr>
          </w:pPr>
          <w:hyperlink w:history="true" w:anchor="_bookmark46">
            <w:r>
              <w:rPr>
                <w:i w:val="0"/>
                <w:spacing w:val="15"/>
                <w:sz w:val="19"/>
              </w:rPr>
              <w:t>六</w:t>
            </w:r>
            <w:r>
              <w:rPr>
                <w:i w:val="0"/>
                <w:sz w:val="19"/>
              </w:rPr>
              <w:t>、</w:t>
            </w:r>
            <w:r>
              <w:rPr>
                <w:i w:val="0"/>
                <w:spacing w:val="15"/>
                <w:sz w:val="19"/>
              </w:rPr>
              <w:t>投</w:t>
            </w:r>
            <w:r>
              <w:rPr>
                <w:i w:val="0"/>
                <w:sz w:val="19"/>
              </w:rPr>
              <w:t>标保</w:t>
            </w:r>
            <w:r>
              <w:rPr>
                <w:i w:val="0"/>
                <w:spacing w:val="15"/>
                <w:sz w:val="19"/>
              </w:rPr>
              <w:t>证</w:t>
            </w:r>
            <w:r>
              <w:rPr>
                <w:i w:val="0"/>
                <w:sz w:val="19"/>
              </w:rPr>
              <w:t>金</w:t>
              <w:tab/>
            </w:r>
            <w:r>
              <w:rPr>
                <w:rFonts w:ascii="Calibri" w:eastAsia="Calibri"/>
                <w:b w:val="0"/>
                <w:i w:val="0"/>
                <w:spacing w:val="6"/>
                <w:sz w:val="19"/>
              </w:rPr>
              <w:t>161</w:t>
            </w:r>
          </w:hyperlink>
        </w:p>
        <w:p>
          <w:pPr>
            <w:pStyle w:val="TOC2"/>
            <w:tabs>
              <w:tab w:pos="8395" w:val="left" w:leader="dot"/>
            </w:tabs>
            <w:rPr>
              <w:rFonts w:ascii="Calibri" w:eastAsia="Calibri"/>
            </w:rPr>
          </w:pPr>
          <w:hyperlink w:history="true" w:anchor="_bookmark47">
            <w:r>
              <w:rPr>
                <w:w w:val="105"/>
              </w:rPr>
              <w:t>投标保</w:t>
            </w:r>
            <w:r>
              <w:rPr>
                <w:spacing w:val="15"/>
                <w:w w:val="105"/>
              </w:rPr>
              <w:t>证</w:t>
            </w:r>
            <w:r>
              <w:rPr>
                <w:w w:val="105"/>
              </w:rPr>
              <w:t>金</w:t>
              <w:tab/>
            </w:r>
            <w:r>
              <w:rPr>
                <w:rFonts w:ascii="Calibri" w:eastAsia="Calibri"/>
                <w:spacing w:val="6"/>
              </w:rPr>
              <w:t>161</w:t>
            </w:r>
          </w:hyperlink>
        </w:p>
        <w:p>
          <w:pPr>
            <w:pStyle w:val="TOC4"/>
            <w:tabs>
              <w:tab w:pos="9042" w:val="left" w:leader="dot"/>
            </w:tabs>
            <w:spacing w:before="57"/>
            <w:rPr>
              <w:rFonts w:ascii="Calibri" w:eastAsia="Calibri"/>
              <w:b w:val="0"/>
              <w:i w:val="0"/>
              <w:sz w:val="19"/>
            </w:rPr>
          </w:pPr>
          <w:hyperlink w:history="true" w:anchor="_bookmark48">
            <w:r>
              <w:rPr>
                <w:i w:val="0"/>
                <w:spacing w:val="15"/>
                <w:sz w:val="19"/>
              </w:rPr>
              <w:t>七</w:t>
            </w:r>
            <w:r>
              <w:rPr>
                <w:i w:val="0"/>
                <w:sz w:val="19"/>
              </w:rPr>
              <w:t>、</w:t>
            </w:r>
            <w:r>
              <w:rPr>
                <w:i w:val="0"/>
                <w:spacing w:val="15"/>
                <w:sz w:val="19"/>
              </w:rPr>
              <w:t>已</w:t>
            </w:r>
            <w:r>
              <w:rPr>
                <w:i w:val="0"/>
                <w:sz w:val="19"/>
              </w:rPr>
              <w:t>标价</w:t>
            </w:r>
            <w:r>
              <w:rPr>
                <w:i w:val="0"/>
                <w:spacing w:val="15"/>
                <w:sz w:val="19"/>
              </w:rPr>
              <w:t>工</w:t>
            </w:r>
            <w:r>
              <w:rPr>
                <w:i w:val="0"/>
                <w:sz w:val="19"/>
              </w:rPr>
              <w:t>程</w:t>
            </w:r>
            <w:r>
              <w:rPr>
                <w:i w:val="0"/>
                <w:spacing w:val="15"/>
                <w:sz w:val="19"/>
              </w:rPr>
              <w:t>量</w:t>
            </w:r>
            <w:r>
              <w:rPr>
                <w:i w:val="0"/>
                <w:sz w:val="19"/>
              </w:rPr>
              <w:t>清单</w:t>
              <w:tab/>
            </w:r>
            <w:r>
              <w:rPr>
                <w:rFonts w:ascii="Calibri" w:eastAsia="Calibri"/>
                <w:b w:val="0"/>
                <w:i w:val="0"/>
                <w:spacing w:val="6"/>
                <w:sz w:val="19"/>
              </w:rPr>
              <w:t>162</w:t>
            </w:r>
          </w:hyperlink>
        </w:p>
        <w:p>
          <w:pPr>
            <w:pStyle w:val="TOC4"/>
            <w:tabs>
              <w:tab w:pos="9042" w:val="left" w:leader="dot"/>
            </w:tabs>
            <w:rPr>
              <w:rFonts w:ascii="Calibri" w:eastAsia="Calibri"/>
              <w:b w:val="0"/>
              <w:i w:val="0"/>
              <w:sz w:val="19"/>
            </w:rPr>
          </w:pPr>
          <w:hyperlink w:history="true" w:anchor="_bookmark49">
            <w:r>
              <w:rPr>
                <w:i w:val="0"/>
                <w:spacing w:val="15"/>
                <w:sz w:val="19"/>
              </w:rPr>
              <w:t>八</w:t>
            </w:r>
            <w:r>
              <w:rPr>
                <w:i w:val="0"/>
                <w:sz w:val="19"/>
              </w:rPr>
              <w:t>、</w:t>
            </w:r>
            <w:r>
              <w:rPr>
                <w:i w:val="0"/>
                <w:spacing w:val="15"/>
                <w:sz w:val="19"/>
              </w:rPr>
              <w:t>施</w:t>
            </w:r>
            <w:r>
              <w:rPr>
                <w:i w:val="0"/>
                <w:sz w:val="19"/>
              </w:rPr>
              <w:t>工组</w:t>
            </w:r>
            <w:r>
              <w:rPr>
                <w:i w:val="0"/>
                <w:spacing w:val="15"/>
                <w:sz w:val="19"/>
              </w:rPr>
              <w:t>织</w:t>
            </w:r>
            <w:r>
              <w:rPr>
                <w:i w:val="0"/>
                <w:sz w:val="19"/>
              </w:rPr>
              <w:t>设计</w:t>
              <w:tab/>
            </w:r>
            <w:r>
              <w:rPr>
                <w:rFonts w:ascii="Calibri" w:eastAsia="Calibri"/>
                <w:b w:val="0"/>
                <w:i w:val="0"/>
                <w:spacing w:val="6"/>
                <w:sz w:val="19"/>
              </w:rPr>
              <w:t>163</w:t>
            </w:r>
          </w:hyperlink>
        </w:p>
        <w:p>
          <w:pPr>
            <w:pStyle w:val="TOC4"/>
            <w:tabs>
              <w:tab w:pos="9042" w:val="left" w:leader="dot"/>
            </w:tabs>
            <w:rPr>
              <w:rFonts w:ascii="Calibri" w:eastAsia="Calibri"/>
              <w:b w:val="0"/>
              <w:i w:val="0"/>
              <w:sz w:val="19"/>
            </w:rPr>
          </w:pPr>
          <w:hyperlink w:history="true" w:anchor="_bookmark50">
            <w:r>
              <w:rPr>
                <w:i w:val="0"/>
                <w:spacing w:val="15"/>
                <w:sz w:val="19"/>
              </w:rPr>
              <w:t>九</w:t>
            </w:r>
            <w:r>
              <w:rPr>
                <w:i w:val="0"/>
                <w:sz w:val="19"/>
              </w:rPr>
              <w:t>、</w:t>
            </w:r>
            <w:r>
              <w:rPr>
                <w:i w:val="0"/>
                <w:spacing w:val="15"/>
                <w:sz w:val="19"/>
              </w:rPr>
              <w:t>项</w:t>
            </w:r>
            <w:r>
              <w:rPr>
                <w:i w:val="0"/>
                <w:sz w:val="19"/>
              </w:rPr>
              <w:t>目管</w:t>
            </w:r>
            <w:r>
              <w:rPr>
                <w:i w:val="0"/>
                <w:spacing w:val="15"/>
                <w:sz w:val="19"/>
              </w:rPr>
              <w:t>理</w:t>
            </w:r>
            <w:r>
              <w:rPr>
                <w:i w:val="0"/>
                <w:sz w:val="19"/>
              </w:rPr>
              <w:t>机构</w:t>
              <w:tab/>
            </w:r>
            <w:r>
              <w:rPr>
                <w:rFonts w:ascii="Calibri" w:eastAsia="Calibri"/>
                <w:b w:val="0"/>
                <w:i w:val="0"/>
                <w:spacing w:val="6"/>
                <w:sz w:val="19"/>
              </w:rPr>
              <w:t>164</w:t>
            </w:r>
          </w:hyperlink>
        </w:p>
        <w:p>
          <w:pPr>
            <w:pStyle w:val="TOC2"/>
            <w:tabs>
              <w:tab w:pos="8395" w:val="left" w:leader="dot"/>
            </w:tabs>
            <w:spacing w:before="71"/>
            <w:rPr>
              <w:rFonts w:ascii="Calibri" w:eastAsia="Calibri"/>
            </w:rPr>
          </w:pPr>
          <w:hyperlink w:history="true" w:anchor="_bookmark51">
            <w:r>
              <w:rPr>
                <w:w w:val="105"/>
              </w:rPr>
              <w:t>项目管</w:t>
            </w:r>
            <w:r>
              <w:rPr>
                <w:spacing w:val="15"/>
                <w:w w:val="105"/>
              </w:rPr>
              <w:t>理</w:t>
            </w:r>
            <w:r>
              <w:rPr>
                <w:w w:val="105"/>
              </w:rPr>
              <w:t>机构表</w:t>
              <w:tab/>
            </w:r>
            <w:r>
              <w:rPr>
                <w:rFonts w:ascii="Calibri" w:eastAsia="Calibri"/>
                <w:spacing w:val="6"/>
              </w:rPr>
              <w:t>164</w:t>
            </w:r>
          </w:hyperlink>
        </w:p>
        <w:p>
          <w:pPr>
            <w:pStyle w:val="TOC4"/>
            <w:tabs>
              <w:tab w:pos="9042" w:val="left" w:leader="dot"/>
            </w:tabs>
            <w:rPr>
              <w:rFonts w:ascii="Calibri" w:eastAsia="Calibri"/>
              <w:b w:val="0"/>
              <w:i w:val="0"/>
              <w:sz w:val="19"/>
            </w:rPr>
          </w:pPr>
          <w:hyperlink w:history="true" w:anchor="_bookmark52">
            <w:r>
              <w:rPr>
                <w:i w:val="0"/>
                <w:spacing w:val="15"/>
                <w:sz w:val="19"/>
              </w:rPr>
              <w:t>十</w:t>
            </w:r>
            <w:r>
              <w:rPr>
                <w:i w:val="0"/>
                <w:sz w:val="19"/>
              </w:rPr>
              <w:t>、</w:t>
            </w:r>
            <w:r>
              <w:rPr>
                <w:i w:val="0"/>
                <w:spacing w:val="15"/>
                <w:sz w:val="19"/>
              </w:rPr>
              <w:t>拟</w:t>
            </w:r>
            <w:r>
              <w:rPr>
                <w:i w:val="0"/>
                <w:sz w:val="19"/>
              </w:rPr>
              <w:t>分包</w:t>
            </w:r>
            <w:r>
              <w:rPr>
                <w:i w:val="0"/>
                <w:spacing w:val="15"/>
                <w:sz w:val="19"/>
              </w:rPr>
              <w:t>项</w:t>
            </w:r>
            <w:r>
              <w:rPr>
                <w:i w:val="0"/>
                <w:sz w:val="19"/>
              </w:rPr>
              <w:t>目</w:t>
            </w:r>
            <w:r>
              <w:rPr>
                <w:i w:val="0"/>
                <w:spacing w:val="15"/>
                <w:sz w:val="19"/>
              </w:rPr>
              <w:t>情</w:t>
            </w:r>
            <w:r>
              <w:rPr>
                <w:i w:val="0"/>
                <w:sz w:val="19"/>
              </w:rPr>
              <w:t>况表</w:t>
              <w:tab/>
            </w:r>
            <w:r>
              <w:rPr>
                <w:rFonts w:ascii="Calibri" w:eastAsia="Calibri"/>
                <w:b w:val="0"/>
                <w:i w:val="0"/>
                <w:spacing w:val="6"/>
                <w:sz w:val="19"/>
              </w:rPr>
              <w:t>166</w:t>
            </w:r>
          </w:hyperlink>
        </w:p>
        <w:p>
          <w:pPr>
            <w:pStyle w:val="TOC2"/>
            <w:tabs>
              <w:tab w:pos="8395" w:val="left" w:leader="dot"/>
            </w:tabs>
            <w:spacing w:before="57"/>
            <w:rPr>
              <w:rFonts w:ascii="Calibri" w:eastAsia="Calibri"/>
            </w:rPr>
          </w:pPr>
          <w:hyperlink w:history="true" w:anchor="_bookmark53">
            <w:r>
              <w:rPr>
                <w:w w:val="105"/>
              </w:rPr>
              <w:t>拟分包</w:t>
            </w:r>
            <w:r>
              <w:rPr>
                <w:spacing w:val="15"/>
                <w:w w:val="105"/>
              </w:rPr>
              <w:t>项</w:t>
            </w:r>
            <w:r>
              <w:rPr>
                <w:w w:val="105"/>
              </w:rPr>
              <w:t>目情</w:t>
            </w:r>
            <w:r>
              <w:rPr>
                <w:spacing w:val="15"/>
                <w:w w:val="105"/>
              </w:rPr>
              <w:t>况</w:t>
            </w:r>
            <w:r>
              <w:rPr>
                <w:w w:val="105"/>
              </w:rPr>
              <w:t>表</w:t>
              <w:tab/>
            </w:r>
            <w:r>
              <w:rPr>
                <w:rFonts w:ascii="Calibri" w:eastAsia="Calibri"/>
                <w:spacing w:val="6"/>
              </w:rPr>
              <w:t>166</w:t>
            </w:r>
          </w:hyperlink>
        </w:p>
        <w:p>
          <w:pPr>
            <w:pStyle w:val="TOC4"/>
            <w:tabs>
              <w:tab w:pos="9042" w:val="left" w:leader="dot"/>
            </w:tabs>
            <w:rPr>
              <w:rFonts w:ascii="Calibri" w:eastAsia="Calibri"/>
              <w:b w:val="0"/>
              <w:i w:val="0"/>
              <w:sz w:val="19"/>
            </w:rPr>
          </w:pPr>
          <w:hyperlink w:history="true" w:anchor="_bookmark54">
            <w:r>
              <w:rPr>
                <w:i w:val="0"/>
                <w:spacing w:val="15"/>
                <w:sz w:val="19"/>
              </w:rPr>
              <w:t>十</w:t>
            </w:r>
            <w:r>
              <w:rPr>
                <w:i w:val="0"/>
                <w:sz w:val="19"/>
              </w:rPr>
              <w:t>一</w:t>
            </w:r>
            <w:r>
              <w:rPr>
                <w:i w:val="0"/>
                <w:spacing w:val="15"/>
                <w:sz w:val="19"/>
              </w:rPr>
              <w:t>、</w:t>
            </w:r>
            <w:r>
              <w:rPr>
                <w:i w:val="0"/>
                <w:sz w:val="19"/>
              </w:rPr>
              <w:t>资格</w:t>
            </w:r>
            <w:r>
              <w:rPr>
                <w:i w:val="0"/>
                <w:spacing w:val="15"/>
                <w:sz w:val="19"/>
              </w:rPr>
              <w:t>审</w:t>
            </w:r>
            <w:r>
              <w:rPr>
                <w:i w:val="0"/>
                <w:sz w:val="19"/>
              </w:rPr>
              <w:t>查</w:t>
            </w:r>
            <w:r>
              <w:rPr>
                <w:i w:val="0"/>
                <w:spacing w:val="15"/>
                <w:sz w:val="19"/>
              </w:rPr>
              <w:t>资</w:t>
            </w:r>
            <w:r>
              <w:rPr>
                <w:i w:val="0"/>
                <w:sz w:val="19"/>
              </w:rPr>
              <w:t>料</w:t>
              <w:tab/>
            </w:r>
            <w:r>
              <w:rPr>
                <w:rFonts w:ascii="Calibri" w:eastAsia="Calibri"/>
                <w:b w:val="0"/>
                <w:i w:val="0"/>
                <w:spacing w:val="6"/>
                <w:sz w:val="19"/>
              </w:rPr>
              <w:t>167</w:t>
            </w:r>
          </w:hyperlink>
        </w:p>
        <w:p>
          <w:pPr>
            <w:pStyle w:val="TOC2"/>
            <w:tabs>
              <w:tab w:pos="8395" w:val="left" w:leader="dot"/>
            </w:tabs>
            <w:rPr>
              <w:rFonts w:ascii="Calibri" w:eastAsia="Calibri"/>
            </w:rPr>
          </w:pPr>
          <w:hyperlink w:history="true" w:anchor="_bookmark55">
            <w:r>
              <w:rPr>
                <w:w w:val="105"/>
              </w:rPr>
              <w:t>资格审</w:t>
            </w:r>
            <w:r>
              <w:rPr>
                <w:spacing w:val="15"/>
                <w:w w:val="105"/>
              </w:rPr>
              <w:t>查</w:t>
            </w:r>
            <w:r>
              <w:rPr>
                <w:w w:val="105"/>
              </w:rPr>
              <w:t>资料</w:t>
              <w:tab/>
            </w:r>
            <w:r>
              <w:rPr>
                <w:rFonts w:ascii="Calibri" w:eastAsia="Calibri"/>
                <w:spacing w:val="6"/>
              </w:rPr>
              <w:t>167</w:t>
            </w:r>
          </w:hyperlink>
        </w:p>
      </w:sdtContent>
    </w:sdt>
    <w:p>
      <w:pPr>
        <w:spacing w:after="0"/>
        <w:rPr>
          <w:rFonts w:ascii="Calibri" w:eastAsia="Calibri"/>
        </w:rPr>
        <w:sectPr>
          <w:type w:val="continuous"/>
          <w:pgSz w:w="11910" w:h="16850"/>
          <w:pgMar w:top="1386" w:bottom="1698" w:left="1200" w:right="0"/>
        </w:sect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rPr>
          <w:rFonts w:ascii="Calibri"/>
          <w:sz w:val="22"/>
        </w:rPr>
      </w:pPr>
    </w:p>
    <w:p>
      <w:pPr>
        <w:pStyle w:val="BodyText"/>
        <w:spacing w:before="7"/>
        <w:rPr>
          <w:rFonts w:ascii="Calibri"/>
          <w:sz w:val="25"/>
        </w:rPr>
      </w:pPr>
    </w:p>
    <w:p>
      <w:pPr>
        <w:pStyle w:val="Heading1"/>
        <w:spacing w:before="0"/>
        <w:ind w:right="1123"/>
      </w:pPr>
      <w:bookmarkStart w:name="第一卷" w:id="3"/>
      <w:bookmarkEnd w:id="3"/>
      <w:r>
        <w:rPr/>
      </w:r>
      <w:bookmarkStart w:name="_bookmark1" w:id="4"/>
      <w:bookmarkEnd w:id="4"/>
      <w:r>
        <w:rPr/>
      </w:r>
      <w:r>
        <w:rPr/>
        <w:t>第一卷</w:t>
      </w: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0"/>
        <w:rPr>
          <w:rFonts w:ascii="黑体"/>
          <w:sz w:val="14"/>
        </w:rPr>
      </w:pPr>
    </w:p>
    <w:p>
      <w:pPr>
        <w:pStyle w:val="BodyText"/>
        <w:spacing w:before="67"/>
        <w:ind w:left="226"/>
      </w:pPr>
      <w:r>
        <w:rPr/>
        <w:t> </w:t>
      </w:r>
    </w:p>
    <w:p>
      <w:pPr>
        <w:pStyle w:val="BodyText"/>
        <w:spacing w:before="158"/>
        <w:ind w:left="226"/>
      </w:pPr>
      <w:r>
        <w:rPr/>
        <w:t> </w:t>
      </w:r>
    </w:p>
    <w:p>
      <w:pPr>
        <w:pStyle w:val="BodyText"/>
        <w:spacing w:before="158"/>
        <w:ind w:left="226"/>
      </w:pPr>
      <w:r>
        <w:rPr/>
        <w:t> </w:t>
      </w:r>
    </w:p>
    <w:p>
      <w:pPr>
        <w:spacing w:after="0"/>
        <w:sectPr>
          <w:type w:val="continuous"/>
          <w:pgSz w:w="11910" w:h="16850"/>
          <w:pgMar w:top="1380" w:bottom="280" w:left="12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p>
    <w:p>
      <w:pPr>
        <w:pStyle w:val="BodyText"/>
        <w:ind w:left="227"/>
        <w:rPr>
          <w:sz w:val="20"/>
        </w:rPr>
      </w:pPr>
      <w:r>
        <w:rPr>
          <w:sz w:val="20"/>
        </w:rPr>
        <w:pict>
          <v:group style="width:446.15pt;height:432.65pt;mso-position-horizontal-relative:char;mso-position-vertical-relative:line" coordorigin="0,0" coordsize="8923,8653">
            <v:shape style="position:absolute;left:136;top:0;width:8786;height:8653" type="#_x0000_t75" stroked="false">
              <v:imagedata r:id="rId6" o:title=""/>
            </v:shape>
            <v:shape style="position:absolute;left:0;top:258;width:230;height:7247" type="#_x0000_t202" filled="false" stroked="false">
              <v:textbox inset="0,0,0,0">
                <w:txbxContent>
                  <w:p>
                    <w:pPr>
                      <w:spacing w:line="274" w:lineRule="exact" w:before="0"/>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57"/>
                      <w:ind w:left="0" w:right="0" w:firstLine="0"/>
                      <w:jc w:val="left"/>
                      <w:rPr>
                        <w:sz w:val="24"/>
                      </w:rPr>
                    </w:pPr>
                    <w:r>
                      <w:rPr>
                        <w:sz w:val="24"/>
                      </w:rPr>
                      <w:t> </w:t>
                    </w:r>
                  </w:p>
                  <w:p>
                    <w:pPr>
                      <w:spacing w:before="173"/>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73"/>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58"/>
                      <w:ind w:left="0" w:right="0" w:firstLine="0"/>
                      <w:jc w:val="left"/>
                      <w:rPr>
                        <w:sz w:val="24"/>
                      </w:rPr>
                    </w:pPr>
                    <w:r>
                      <w:rPr>
                        <w:sz w:val="24"/>
                      </w:rPr>
                      <w:t> </w:t>
                    </w:r>
                  </w:p>
                  <w:p>
                    <w:pPr>
                      <w:spacing w:before="172"/>
                      <w:ind w:left="0" w:right="0" w:firstLine="0"/>
                      <w:jc w:val="left"/>
                      <w:rPr>
                        <w:sz w:val="24"/>
                      </w:rPr>
                    </w:pPr>
                    <w:r>
                      <w:rPr>
                        <w:sz w:val="24"/>
                      </w:rPr>
                      <w:t> </w:t>
                    </w:r>
                  </w:p>
                  <w:p>
                    <w:pPr>
                      <w:spacing w:line="240" w:lineRule="exact" w:before="173"/>
                      <w:ind w:left="0" w:right="0" w:firstLine="0"/>
                      <w:jc w:val="left"/>
                      <w:rPr>
                        <w:sz w:val="21"/>
                      </w:rPr>
                    </w:pPr>
                    <w:r>
                      <w:rPr>
                        <w:color w:val="000080"/>
                        <w:spacing w:val="7"/>
                        <w:w w:val="102"/>
                        <w:sz w:val="19"/>
                      </w:rPr>
                      <w:t> </w:t>
                    </w:r>
                    <w:r>
                      <w:rPr>
                        <w:sz w:val="21"/>
                      </w:rPr>
                      <w:t> </w:t>
                    </w:r>
                  </w:p>
                </w:txbxContent>
              </v:textbox>
              <w10:wrap type="none"/>
            </v:shape>
            <v:shape style="position:absolute;left:3604;top:8069;width:1943;height:270" type="#_x0000_t202" filled="false" stroked="false">
              <v:textbox inset="0,0,0,0">
                <w:txbxContent>
                  <w:p>
                    <w:pPr>
                      <w:spacing w:line="270" w:lineRule="exact" w:before="0"/>
                      <w:ind w:left="0" w:right="0" w:firstLine="0"/>
                      <w:jc w:val="left"/>
                      <w:rPr>
                        <w:rFonts w:ascii="黑体" w:eastAsia="黑体" w:hint="eastAsia"/>
                        <w:sz w:val="27"/>
                      </w:rPr>
                    </w:pPr>
                    <w:bookmarkStart w:name="第一章 招标公告" w:id="5"/>
                    <w:bookmarkEnd w:id="5"/>
                    <w:r>
                      <w:rPr/>
                    </w:r>
                    <w:bookmarkStart w:name="_bookmark2" w:id="6"/>
                    <w:bookmarkEnd w:id="6"/>
                    <w:r>
                      <w:rPr/>
                    </w:r>
                    <w:r>
                      <w:rPr>
                        <w:rFonts w:ascii="黑体" w:eastAsia="黑体" w:hint="eastAsia"/>
                        <w:spacing w:val="-15"/>
                        <w:sz w:val="27"/>
                      </w:rPr>
                      <w:t>第一章 招标公告</w:t>
                    </w:r>
                  </w:p>
                </w:txbxContent>
              </v:textbox>
              <w10:wrap type="none"/>
            </v:shape>
          </v:group>
        </w:pict>
      </w:r>
      <w:r>
        <w:rPr>
          <w:sz w:val="20"/>
        </w:rPr>
      </w:r>
    </w:p>
    <w:p>
      <w:pPr>
        <w:pStyle w:val="BodyText"/>
        <w:rPr>
          <w:sz w:val="20"/>
        </w:rPr>
      </w:pPr>
    </w:p>
    <w:p>
      <w:pPr>
        <w:pStyle w:val="Heading3"/>
        <w:spacing w:line="266" w:lineRule="auto"/>
        <w:ind w:left="4297" w:right="1364" w:hanging="4070"/>
        <w:rPr>
          <w:rFonts w:ascii="Microsoft JhengHei" w:eastAsia="Microsoft JhengHei" w:hint="eastAsia"/>
        </w:rPr>
      </w:pPr>
      <w:r>
        <w:rPr>
          <w:rFonts w:ascii="Microsoft JhengHei" w:eastAsia="Microsoft JhengHei" w:hint="eastAsia"/>
        </w:rPr>
        <w:t>2020 年互助县哈拉直沟乡费家村高标准农田建设项目水利水电招标公告</w:t>
      </w:r>
    </w:p>
    <w:p>
      <w:pPr>
        <w:pStyle w:val="Heading6"/>
        <w:spacing w:before="5"/>
        <w:ind w:left="226" w:firstLine="0"/>
        <w:rPr>
          <w:rFonts w:ascii="Microsoft JhengHei" w:eastAsia="Microsoft JhengHei" w:hint="eastAsia"/>
        </w:rPr>
      </w:pPr>
      <w:r>
        <w:rPr>
          <w:rFonts w:ascii="Microsoft JhengHei" w:eastAsia="Microsoft JhengHei" w:hint="eastAsia"/>
        </w:rPr>
        <w:t>1、招标条件</w:t>
      </w:r>
    </w:p>
    <w:p>
      <w:pPr>
        <w:spacing w:after="0"/>
        <w:rPr>
          <w:rFonts w:ascii="Microsoft JhengHei" w:eastAsia="Microsoft JhengHei" w:hint="eastAsia"/>
        </w:rPr>
        <w:sectPr>
          <w:pgSz w:w="11910" w:h="16850"/>
          <w:pgMar w:header="911" w:footer="0" w:top="1380" w:bottom="280" w:left="1200" w:right="0"/>
        </w:sectPr>
      </w:pPr>
    </w:p>
    <w:p>
      <w:pPr>
        <w:pStyle w:val="Heading7"/>
        <w:spacing w:line="381" w:lineRule="auto" w:before="155"/>
        <w:ind w:right="1318" w:firstLine="705"/>
      </w:pPr>
      <w:r>
        <w:rPr/>
        <w:drawing>
          <wp:anchor distT="0" distB="0" distL="0" distR="0" allowOverlap="1" layoutInCell="1" locked="0" behindDoc="1" simplePos="0" relativeHeight="234658816">
            <wp:simplePos x="0" y="0"/>
            <wp:positionH relativeFrom="page">
              <wp:posOffset>992771</wp:posOffset>
            </wp:positionH>
            <wp:positionV relativeFrom="paragraph">
              <wp:posOffset>1725935</wp:posOffset>
            </wp:positionV>
            <wp:extent cx="5578970" cy="5494141"/>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6"/>
        </w:rPr>
        <w:t>本招标项目 </w:t>
      </w:r>
      <w:r>
        <w:rPr/>
        <w:t>2020</w:t>
      </w:r>
      <w:r>
        <w:rPr>
          <w:spacing w:val="-7"/>
        </w:rPr>
        <w:t> 年互助县哈拉直沟乡费家村高标准农田建设项目已</w:t>
      </w:r>
      <w:r>
        <w:rPr>
          <w:spacing w:val="-11"/>
        </w:rPr>
        <w:t>由互助土族自治县政府采购管理办公室以东农发【</w:t>
      </w:r>
      <w:r>
        <w:rPr>
          <w:spacing w:val="-3"/>
        </w:rPr>
        <w:t>2020</w:t>
      </w:r>
      <w:r>
        <w:rPr/>
        <w:t>】</w:t>
      </w:r>
      <w:r>
        <w:rPr>
          <w:spacing w:val="-5"/>
        </w:rPr>
        <w:t>404</w:t>
      </w:r>
      <w:r>
        <w:rPr>
          <w:spacing w:val="-2"/>
        </w:rPr>
        <w:t> 号批准建设， </w:t>
      </w:r>
      <w:r>
        <w:rPr>
          <w:spacing w:val="-10"/>
        </w:rPr>
        <w:t>项目业主为互助土族自治县农业农村和科技局，建设资金来自财政，出资 </w:t>
      </w:r>
      <w:r>
        <w:rPr>
          <w:spacing w:val="-2"/>
        </w:rPr>
        <w:t>比例为国有资金 </w:t>
      </w:r>
      <w:r>
        <w:rPr>
          <w:spacing w:val="-4"/>
        </w:rPr>
        <w:t>100.0</w:t>
      </w:r>
      <w:r>
        <w:rPr>
          <w:spacing w:val="1"/>
        </w:rPr>
        <w:t>%，私有资金 </w:t>
      </w:r>
      <w:r>
        <w:rPr/>
        <w:t>0.0</w:t>
      </w:r>
      <w:r>
        <w:rPr>
          <w:spacing w:val="-3"/>
        </w:rPr>
        <w:t>%，外国政府及组织投资 </w:t>
      </w:r>
      <w:r>
        <w:rPr>
          <w:spacing w:val="-5"/>
        </w:rPr>
        <w:t>0.0</w:t>
      </w:r>
      <w:r>
        <w:rPr>
          <w:spacing w:val="-3"/>
        </w:rPr>
        <w:t>%，境外</w:t>
      </w:r>
      <w:r>
        <w:rPr>
          <w:spacing w:val="-2"/>
        </w:rPr>
        <w:t>私人投资 </w:t>
      </w:r>
      <w:r>
        <w:rPr/>
        <w:t>0.0</w:t>
      </w:r>
      <w:r>
        <w:rPr>
          <w:spacing w:val="-12"/>
        </w:rPr>
        <w:t>%，招标人为互助土族自治县农业农村和科技局，招标代理机</w:t>
      </w:r>
      <w:r>
        <w:rPr>
          <w:spacing w:val="-16"/>
        </w:rPr>
        <w:t>构为青海唐融工程咨询管理有限公司。项目已具备招标条件，现对该项目 施工进行公开招标。</w:t>
      </w:r>
    </w:p>
    <w:p>
      <w:pPr>
        <w:spacing w:line="433" w:lineRule="exact" w:before="0"/>
        <w:ind w:left="226" w:right="0" w:firstLine="0"/>
        <w:jc w:val="left"/>
        <w:rPr>
          <w:rFonts w:ascii="Microsoft JhengHei" w:eastAsia="Microsoft JhengHei" w:hint="eastAsia"/>
          <w:b/>
          <w:sz w:val="28"/>
        </w:rPr>
      </w:pPr>
      <w:r>
        <w:rPr>
          <w:rFonts w:ascii="Microsoft JhengHei" w:eastAsia="Microsoft JhengHei" w:hint="eastAsia"/>
          <w:b/>
          <w:sz w:val="28"/>
        </w:rPr>
        <w:t>2、项目概况与招标范围</w:t>
      </w:r>
    </w:p>
    <w:p>
      <w:pPr>
        <w:pStyle w:val="ListParagraph"/>
        <w:numPr>
          <w:ilvl w:val="1"/>
          <w:numId w:val="3"/>
        </w:numPr>
        <w:tabs>
          <w:tab w:pos="1323" w:val="left" w:leader="none"/>
        </w:tabs>
        <w:spacing w:line="240" w:lineRule="auto" w:before="193" w:after="0"/>
        <w:ind w:left="1323" w:right="0" w:hanging="466"/>
        <w:jc w:val="left"/>
        <w:rPr>
          <w:rFonts w:ascii="PMingLiU" w:eastAsia="PMingLiU" w:hint="eastAsia"/>
          <w:sz w:val="28"/>
        </w:rPr>
      </w:pPr>
      <w:r>
        <w:rPr>
          <w:rFonts w:ascii="PMingLiU" w:eastAsia="PMingLiU" w:hint="eastAsia"/>
          <w:sz w:val="28"/>
        </w:rPr>
        <w:t>项目概况</w:t>
      </w:r>
    </w:p>
    <w:p>
      <w:pPr>
        <w:spacing w:line="386" w:lineRule="auto" w:before="239"/>
        <w:ind w:left="857" w:right="5013" w:firstLine="0"/>
        <w:jc w:val="left"/>
        <w:rPr>
          <w:rFonts w:ascii="PMingLiU" w:eastAsia="PMingLiU" w:hint="eastAsia"/>
          <w:sz w:val="28"/>
        </w:rPr>
      </w:pPr>
      <w:r>
        <w:rPr>
          <w:rFonts w:ascii="PMingLiU" w:eastAsia="PMingLiU" w:hint="eastAsia"/>
          <w:sz w:val="28"/>
        </w:rPr>
        <w:t>(1)建设地点：互助县哈拉直沟乡费家村(2)招标范围：详见工程量清单</w:t>
      </w:r>
    </w:p>
    <w:p>
      <w:pPr>
        <w:pStyle w:val="ListParagraph"/>
        <w:numPr>
          <w:ilvl w:val="1"/>
          <w:numId w:val="3"/>
        </w:numPr>
        <w:tabs>
          <w:tab w:pos="1323" w:val="left" w:leader="none"/>
        </w:tabs>
        <w:spacing w:line="377" w:lineRule="exact" w:before="0" w:after="0"/>
        <w:ind w:left="1323" w:right="0" w:hanging="466"/>
        <w:jc w:val="left"/>
        <w:rPr>
          <w:rFonts w:ascii="PMingLiU" w:eastAsia="PMingLiU" w:hint="eastAsia"/>
          <w:sz w:val="28"/>
        </w:rPr>
      </w:pPr>
      <w:r>
        <w:rPr>
          <w:rFonts w:ascii="PMingLiU" w:eastAsia="PMingLiU" w:hint="eastAsia"/>
          <w:sz w:val="28"/>
        </w:rPr>
        <w:t>招标范围及标段划分</w:t>
      </w:r>
    </w:p>
    <w:p>
      <w:pPr>
        <w:spacing w:before="239"/>
        <w:ind w:left="797" w:right="0" w:firstLine="0"/>
        <w:jc w:val="left"/>
        <w:rPr>
          <w:rFonts w:ascii="PMingLiU" w:eastAsia="PMingLiU" w:hint="eastAsia"/>
          <w:sz w:val="28"/>
        </w:rPr>
      </w:pPr>
      <w:r>
        <w:rPr>
          <w:rFonts w:ascii="PMingLiU" w:eastAsia="PMingLiU" w:hint="eastAsia"/>
          <w:sz w:val="28"/>
        </w:rPr>
        <w:t>标段编号:E6301000076024442001001</w:t>
      </w:r>
    </w:p>
    <w:p>
      <w:pPr>
        <w:spacing w:line="386" w:lineRule="auto" w:before="224"/>
        <w:ind w:left="797" w:right="2189" w:firstLine="0"/>
        <w:jc w:val="left"/>
        <w:rPr>
          <w:rFonts w:ascii="PMingLiU" w:eastAsia="PMingLiU" w:hint="eastAsia"/>
          <w:sz w:val="28"/>
        </w:rPr>
      </w:pPr>
      <w:r>
        <w:rPr>
          <w:rFonts w:ascii="PMingLiU" w:eastAsia="PMingLiU" w:hint="eastAsia"/>
          <w:sz w:val="28"/>
        </w:rPr>
        <w:t>标段名称:2020</w:t>
      </w:r>
      <w:r>
        <w:rPr>
          <w:rFonts w:ascii="PMingLiU" w:eastAsia="PMingLiU" w:hint="eastAsia"/>
          <w:spacing w:val="-6"/>
          <w:sz w:val="28"/>
        </w:rPr>
        <w:t> 年互助县哈拉直沟乡费家村高标准农田建设项目计划开工日期:2020</w:t>
      </w:r>
      <w:r>
        <w:rPr>
          <w:rFonts w:ascii="PMingLiU" w:eastAsia="PMingLiU" w:hint="eastAsia"/>
          <w:spacing w:val="-3"/>
          <w:sz w:val="28"/>
        </w:rPr>
        <w:t> 年 </w:t>
      </w:r>
      <w:r>
        <w:rPr>
          <w:rFonts w:ascii="PMingLiU" w:eastAsia="PMingLiU" w:hint="eastAsia"/>
          <w:sz w:val="28"/>
        </w:rPr>
        <w:t>10</w:t>
      </w:r>
      <w:r>
        <w:rPr>
          <w:rFonts w:ascii="PMingLiU" w:eastAsia="PMingLiU" w:hint="eastAsia"/>
          <w:spacing w:val="-3"/>
          <w:sz w:val="28"/>
        </w:rPr>
        <w:t> 月 </w:t>
      </w:r>
      <w:r>
        <w:rPr>
          <w:rFonts w:ascii="PMingLiU" w:eastAsia="PMingLiU" w:hint="eastAsia"/>
          <w:spacing w:val="-7"/>
          <w:sz w:val="28"/>
        </w:rPr>
        <w:t>21</w:t>
      </w:r>
      <w:r>
        <w:rPr>
          <w:rFonts w:ascii="PMingLiU" w:eastAsia="PMingLiU" w:hint="eastAsia"/>
          <w:spacing w:val="2"/>
          <w:sz w:val="28"/>
        </w:rPr>
        <w:t> 日</w:t>
      </w:r>
    </w:p>
    <w:p>
      <w:pPr>
        <w:spacing w:before="1"/>
        <w:ind w:left="797" w:right="0" w:firstLine="0"/>
        <w:jc w:val="both"/>
        <w:rPr>
          <w:rFonts w:ascii="PMingLiU" w:eastAsia="PMingLiU" w:hint="eastAsia"/>
          <w:sz w:val="28"/>
        </w:rPr>
      </w:pPr>
      <w:r>
        <w:rPr>
          <w:rFonts w:ascii="PMingLiU" w:eastAsia="PMingLiU" w:hint="eastAsia"/>
          <w:sz w:val="28"/>
        </w:rPr>
        <w:t>计划完工日期:2021</w:t>
      </w:r>
      <w:r>
        <w:rPr>
          <w:rFonts w:ascii="PMingLiU" w:eastAsia="PMingLiU" w:hint="eastAsia"/>
          <w:spacing w:val="3"/>
          <w:sz w:val="28"/>
        </w:rPr>
        <w:t> 年 </w:t>
      </w:r>
      <w:r>
        <w:rPr>
          <w:rFonts w:ascii="PMingLiU" w:eastAsia="PMingLiU" w:hint="eastAsia"/>
          <w:sz w:val="28"/>
        </w:rPr>
        <w:t>12</w:t>
      </w:r>
      <w:r>
        <w:rPr>
          <w:rFonts w:ascii="PMingLiU" w:eastAsia="PMingLiU" w:hint="eastAsia"/>
          <w:spacing w:val="3"/>
          <w:sz w:val="28"/>
        </w:rPr>
        <w:t> 月 </w:t>
      </w:r>
      <w:r>
        <w:rPr>
          <w:rFonts w:ascii="PMingLiU" w:eastAsia="PMingLiU" w:hint="eastAsia"/>
          <w:spacing w:val="-7"/>
          <w:sz w:val="28"/>
        </w:rPr>
        <w:t>31</w:t>
      </w:r>
      <w:r>
        <w:rPr>
          <w:rFonts w:ascii="PMingLiU" w:eastAsia="PMingLiU" w:hint="eastAsia"/>
          <w:spacing w:val="7"/>
          <w:sz w:val="28"/>
        </w:rPr>
        <w:t> 日</w:t>
      </w:r>
    </w:p>
    <w:p>
      <w:pPr>
        <w:spacing w:line="381" w:lineRule="auto" w:before="224"/>
        <w:ind w:left="226" w:right="1318" w:firstLine="570"/>
        <w:jc w:val="both"/>
        <w:rPr>
          <w:rFonts w:ascii="PMingLiU" w:eastAsia="PMingLiU" w:hint="eastAsia"/>
          <w:sz w:val="28"/>
        </w:rPr>
      </w:pPr>
      <w:r>
        <w:rPr>
          <w:rFonts w:ascii="PMingLiU" w:eastAsia="PMingLiU" w:hint="eastAsia"/>
          <w:sz w:val="28"/>
        </w:rPr>
        <w:t>建设内容:土地平整工程：将项目区 </w:t>
      </w:r>
      <w:r>
        <w:rPr>
          <w:rFonts w:ascii="PMingLiU" w:eastAsia="PMingLiU" w:hint="eastAsia"/>
          <w:spacing w:val="-3"/>
          <w:sz w:val="28"/>
        </w:rPr>
        <w:t>40.0h</w:t>
      </w:r>
      <w:r>
        <w:rPr>
          <w:rFonts w:ascii="PMingLiU" w:eastAsia="PMingLiU" w:hint="eastAsia"/>
          <w:sz w:val="28"/>
        </w:rPr>
        <w:t> ㎡的已成台耕地进行归并， </w:t>
      </w:r>
      <w:r>
        <w:rPr>
          <w:rFonts w:ascii="PMingLiU" w:eastAsia="PMingLiU" w:hint="eastAsia"/>
          <w:spacing w:val="-11"/>
          <w:sz w:val="28"/>
        </w:rPr>
        <w:t>使现有水浇地以小变大，集中连片，在田坎上设计田埂，田埂高 </w:t>
      </w:r>
      <w:r>
        <w:rPr>
          <w:rFonts w:ascii="PMingLiU" w:eastAsia="PMingLiU" w:hint="eastAsia"/>
          <w:sz w:val="28"/>
        </w:rPr>
        <w:t>30cm，顶</w:t>
      </w:r>
      <w:r>
        <w:rPr>
          <w:rFonts w:ascii="PMingLiU" w:eastAsia="PMingLiU" w:hint="eastAsia"/>
          <w:spacing w:val="45"/>
          <w:sz w:val="28"/>
        </w:rPr>
        <w:t>宽</w:t>
      </w:r>
      <w:r>
        <w:rPr>
          <w:rFonts w:ascii="PMingLiU" w:eastAsia="PMingLiU" w:hint="eastAsia"/>
          <w:sz w:val="28"/>
        </w:rPr>
        <w:t>30cm</w:t>
      </w:r>
      <w:r>
        <w:rPr>
          <w:rFonts w:ascii="PMingLiU" w:eastAsia="PMingLiU" w:hint="eastAsia"/>
          <w:spacing w:val="15"/>
          <w:sz w:val="28"/>
        </w:rPr>
        <w:t>，底宽</w:t>
      </w:r>
      <w:r>
        <w:rPr>
          <w:rFonts w:ascii="PMingLiU" w:eastAsia="PMingLiU" w:hint="eastAsia"/>
          <w:spacing w:val="-5"/>
          <w:sz w:val="28"/>
        </w:rPr>
        <w:t>50cm</w:t>
      </w:r>
      <w:r>
        <w:rPr>
          <w:rFonts w:ascii="PMingLiU" w:eastAsia="PMingLiU" w:hint="eastAsia"/>
          <w:sz w:val="28"/>
        </w:rPr>
        <w:t>，梗内外边坡均为1：0.3</w:t>
      </w:r>
      <w:r>
        <w:rPr>
          <w:rFonts w:ascii="PMingLiU" w:eastAsia="PMingLiU" w:hint="eastAsia"/>
          <w:spacing w:val="-5"/>
          <w:sz w:val="28"/>
        </w:rPr>
        <w:t> 土壤改良工程：对项目区内土</w:t>
      </w:r>
      <w:r>
        <w:rPr>
          <w:rFonts w:ascii="PMingLiU" w:eastAsia="PMingLiU" w:hint="eastAsia"/>
          <w:spacing w:val="-8"/>
          <w:sz w:val="28"/>
        </w:rPr>
        <w:t>地平整部分进行机械松翻，松翻总面积为 </w:t>
      </w:r>
      <w:r>
        <w:rPr>
          <w:rFonts w:ascii="PMingLiU" w:eastAsia="PMingLiU" w:hint="eastAsia"/>
          <w:spacing w:val="-5"/>
          <w:sz w:val="28"/>
        </w:rPr>
        <w:t>37.95h</w:t>
      </w:r>
      <w:r>
        <w:rPr>
          <w:rFonts w:ascii="PMingLiU" w:eastAsia="PMingLiU" w:hint="eastAsia"/>
          <w:spacing w:val="-2"/>
          <w:sz w:val="28"/>
        </w:rPr>
        <w:t> ㎡</w:t>
      </w:r>
      <w:r>
        <w:rPr>
          <w:rFonts w:ascii="PMingLiU" w:eastAsia="PMingLiU" w:hint="eastAsia"/>
          <w:sz w:val="28"/>
        </w:rPr>
        <w:t>（569.25</w:t>
      </w:r>
      <w:r>
        <w:rPr>
          <w:rFonts w:ascii="PMingLiU" w:eastAsia="PMingLiU" w:hint="eastAsia"/>
          <w:spacing w:val="18"/>
          <w:sz w:val="28"/>
        </w:rPr>
        <w:t> 亩</w:t>
      </w:r>
      <w:r>
        <w:rPr>
          <w:rFonts w:ascii="PMingLiU" w:eastAsia="PMingLiU" w:hint="eastAsia"/>
          <w:spacing w:val="-23"/>
          <w:sz w:val="28"/>
        </w:rPr>
        <w:t>）</w:t>
      </w:r>
      <w:r>
        <w:rPr>
          <w:rFonts w:ascii="PMingLiU" w:eastAsia="PMingLiU" w:hint="eastAsia"/>
          <w:spacing w:val="-8"/>
          <w:sz w:val="28"/>
        </w:rPr>
        <w:t>，松翻深度</w:t>
      </w:r>
      <w:r>
        <w:rPr>
          <w:rFonts w:ascii="PMingLiU" w:eastAsia="PMingLiU" w:hint="eastAsia"/>
          <w:spacing w:val="7"/>
          <w:sz w:val="28"/>
        </w:rPr>
        <w:t>为 </w:t>
      </w:r>
      <w:r>
        <w:rPr>
          <w:rFonts w:ascii="PMingLiU" w:eastAsia="PMingLiU" w:hint="eastAsia"/>
          <w:sz w:val="28"/>
        </w:rPr>
        <w:t>20cm</w:t>
      </w:r>
      <w:r>
        <w:rPr>
          <w:rFonts w:ascii="PMingLiU" w:eastAsia="PMingLiU" w:hint="eastAsia"/>
          <w:spacing w:val="-9"/>
          <w:sz w:val="28"/>
        </w:rPr>
        <w:t>。机械松翻部分施用商品有机肥，施肥总面积为 </w:t>
      </w:r>
      <w:r>
        <w:rPr>
          <w:rFonts w:ascii="PMingLiU" w:eastAsia="PMingLiU" w:hint="eastAsia"/>
          <w:spacing w:val="-3"/>
          <w:sz w:val="28"/>
        </w:rPr>
        <w:t>37.95h</w:t>
      </w:r>
      <w:r>
        <w:rPr>
          <w:rFonts w:ascii="PMingLiU" w:eastAsia="PMingLiU" w:hint="eastAsia"/>
          <w:spacing w:val="7"/>
          <w:sz w:val="28"/>
        </w:rPr>
        <w:t> ㎡</w:t>
      </w:r>
      <w:r>
        <w:rPr>
          <w:rFonts w:ascii="PMingLiU" w:eastAsia="PMingLiU" w:hint="eastAsia"/>
          <w:sz w:val="28"/>
        </w:rPr>
        <w:t>（569.25 </w:t>
      </w:r>
      <w:r>
        <w:rPr>
          <w:rFonts w:ascii="PMingLiU" w:eastAsia="PMingLiU" w:hint="eastAsia"/>
          <w:w w:val="101"/>
          <w:sz w:val="28"/>
        </w:rPr>
        <w:t>亩），亩施</w:t>
      </w:r>
      <w:r>
        <w:rPr>
          <w:rFonts w:ascii="PMingLiU" w:eastAsia="PMingLiU" w:hint="eastAsia"/>
          <w:sz w:val="28"/>
        </w:rPr>
        <w:t> </w:t>
      </w:r>
      <w:r>
        <w:rPr>
          <w:rFonts w:ascii="PMingLiU" w:eastAsia="PMingLiU" w:hint="eastAsia"/>
          <w:spacing w:val="1"/>
          <w:w w:val="101"/>
          <w:sz w:val="28"/>
        </w:rPr>
        <w:t>200</w:t>
      </w:r>
      <w:r>
        <w:rPr>
          <w:rFonts w:ascii="PMingLiU" w:eastAsia="PMingLiU" w:hint="eastAsia"/>
          <w:spacing w:val="-14"/>
          <w:w w:val="101"/>
          <w:sz w:val="28"/>
        </w:rPr>
        <w:t>k</w:t>
      </w:r>
      <w:r>
        <w:rPr>
          <w:rFonts w:ascii="PMingLiU" w:eastAsia="PMingLiU" w:hint="eastAsia"/>
          <w:spacing w:val="7"/>
          <w:w w:val="97"/>
          <w:sz w:val="28"/>
        </w:rPr>
        <w:t>g</w:t>
      </w:r>
      <w:r>
        <w:rPr>
          <w:rFonts w:ascii="PMingLiU" w:eastAsia="PMingLiU" w:hint="eastAsia"/>
          <w:spacing w:val="-6"/>
          <w:w w:val="195"/>
          <w:sz w:val="28"/>
        </w:rPr>
        <w:t>/</w:t>
      </w:r>
      <w:r>
        <w:rPr>
          <w:rFonts w:ascii="PMingLiU" w:eastAsia="PMingLiU" w:hint="eastAsia"/>
          <w:spacing w:val="-4"/>
          <w:w w:val="101"/>
          <w:sz w:val="28"/>
        </w:rPr>
        <w:t>亩，合计</w:t>
      </w:r>
      <w:r>
        <w:rPr>
          <w:rFonts w:ascii="PMingLiU" w:eastAsia="PMingLiU" w:hint="eastAsia"/>
          <w:spacing w:val="-4"/>
          <w:sz w:val="28"/>
        </w:rPr>
        <w:t> </w:t>
      </w:r>
      <w:r>
        <w:rPr>
          <w:rFonts w:ascii="PMingLiU" w:eastAsia="PMingLiU" w:hint="eastAsia"/>
          <w:spacing w:val="1"/>
          <w:w w:val="101"/>
          <w:sz w:val="28"/>
        </w:rPr>
        <w:t>11</w:t>
      </w:r>
      <w:r>
        <w:rPr>
          <w:rFonts w:ascii="PMingLiU" w:eastAsia="PMingLiU" w:hint="eastAsia"/>
          <w:spacing w:val="-14"/>
          <w:w w:val="101"/>
          <w:sz w:val="28"/>
        </w:rPr>
        <w:t>3</w:t>
      </w:r>
      <w:r>
        <w:rPr>
          <w:rFonts w:ascii="PMingLiU" w:eastAsia="PMingLiU" w:hint="eastAsia"/>
          <w:spacing w:val="1"/>
          <w:w w:val="101"/>
          <w:sz w:val="28"/>
        </w:rPr>
        <w:t>850</w:t>
      </w:r>
      <w:r>
        <w:rPr>
          <w:rFonts w:ascii="PMingLiU" w:eastAsia="PMingLiU" w:hint="eastAsia"/>
          <w:spacing w:val="-14"/>
          <w:w w:val="101"/>
          <w:sz w:val="28"/>
        </w:rPr>
        <w:t>k</w:t>
      </w:r>
      <w:r>
        <w:rPr>
          <w:rFonts w:ascii="PMingLiU" w:eastAsia="PMingLiU" w:hint="eastAsia"/>
          <w:w w:val="97"/>
          <w:sz w:val="28"/>
        </w:rPr>
        <w:t>g</w:t>
      </w:r>
      <w:r>
        <w:rPr>
          <w:rFonts w:ascii="PMingLiU" w:eastAsia="PMingLiU" w:hint="eastAsia"/>
          <w:spacing w:val="-1"/>
          <w:sz w:val="28"/>
        </w:rPr>
        <w:t>  </w:t>
      </w:r>
      <w:r>
        <w:rPr>
          <w:rFonts w:ascii="PMingLiU" w:eastAsia="PMingLiU" w:hint="eastAsia"/>
          <w:spacing w:val="-7"/>
          <w:w w:val="101"/>
          <w:sz w:val="28"/>
        </w:rPr>
        <w:t>灌溉与排水工程：新建渠道</w:t>
      </w:r>
      <w:r>
        <w:rPr>
          <w:rFonts w:ascii="PMingLiU" w:eastAsia="PMingLiU" w:hint="eastAsia"/>
          <w:spacing w:val="-7"/>
          <w:sz w:val="28"/>
        </w:rPr>
        <w:t> </w:t>
      </w:r>
      <w:r>
        <w:rPr>
          <w:rFonts w:ascii="PMingLiU" w:eastAsia="PMingLiU" w:hint="eastAsia"/>
          <w:spacing w:val="-14"/>
          <w:w w:val="101"/>
          <w:sz w:val="28"/>
        </w:rPr>
        <w:t>1</w:t>
      </w:r>
      <w:r>
        <w:rPr>
          <w:rFonts w:ascii="PMingLiU" w:eastAsia="PMingLiU" w:hint="eastAsia"/>
          <w:spacing w:val="1"/>
          <w:w w:val="101"/>
          <w:sz w:val="28"/>
        </w:rPr>
        <w:t>2</w:t>
      </w:r>
      <w:r>
        <w:rPr>
          <w:rFonts w:ascii="PMingLiU" w:eastAsia="PMingLiU" w:hint="eastAsia"/>
          <w:w w:val="101"/>
          <w:sz w:val="28"/>
        </w:rPr>
        <w:t>8</w:t>
      </w:r>
      <w:r>
        <w:rPr>
          <w:rFonts w:ascii="PMingLiU" w:eastAsia="PMingLiU" w:hint="eastAsia"/>
          <w:sz w:val="28"/>
        </w:rPr>
        <w:t> </w:t>
      </w:r>
      <w:r>
        <w:rPr>
          <w:rFonts w:ascii="PMingLiU" w:eastAsia="PMingLiU" w:hint="eastAsia"/>
          <w:w w:val="101"/>
          <w:sz w:val="28"/>
        </w:rPr>
        <w:t>条，</w:t>
      </w:r>
    </w:p>
    <w:p>
      <w:pPr>
        <w:spacing w:after="0" w:line="381" w:lineRule="auto"/>
        <w:jc w:val="both"/>
        <w:rPr>
          <w:rFonts w:ascii="PMingLiU" w:eastAsia="PMingLiU" w:hint="eastAsia"/>
          <w:sz w:val="28"/>
        </w:rPr>
        <w:sectPr>
          <w:pgSz w:w="11910" w:h="16850"/>
          <w:pgMar w:header="911" w:footer="0" w:top="1380" w:bottom="280" w:left="1200" w:right="0"/>
        </w:sectPr>
      </w:pPr>
    </w:p>
    <w:p>
      <w:pPr>
        <w:spacing w:line="376" w:lineRule="auto" w:before="155"/>
        <w:ind w:left="226" w:right="1318" w:firstLine="0"/>
        <w:jc w:val="both"/>
        <w:rPr>
          <w:rFonts w:ascii="PMingLiU" w:eastAsia="PMingLiU" w:hint="eastAsia"/>
          <w:sz w:val="28"/>
        </w:rPr>
      </w:pPr>
      <w:r>
        <w:rPr>
          <w:rFonts w:ascii="PMingLiU" w:eastAsia="PMingLiU" w:hint="eastAsia"/>
          <w:spacing w:val="22"/>
          <w:sz w:val="28"/>
        </w:rPr>
        <w:t>总计</w:t>
      </w:r>
      <w:r>
        <w:rPr>
          <w:rFonts w:ascii="PMingLiU" w:eastAsia="PMingLiU" w:hint="eastAsia"/>
          <w:spacing w:val="-3"/>
          <w:sz w:val="28"/>
        </w:rPr>
        <w:t>24.522km</w:t>
      </w:r>
      <w:r>
        <w:rPr>
          <w:rFonts w:ascii="PMingLiU" w:eastAsia="PMingLiU" w:hint="eastAsia"/>
          <w:spacing w:val="2"/>
          <w:sz w:val="28"/>
        </w:rPr>
        <w:t>，其中新建支渠</w:t>
      </w:r>
      <w:r>
        <w:rPr>
          <w:rFonts w:ascii="PMingLiU" w:eastAsia="PMingLiU" w:hint="eastAsia"/>
          <w:sz w:val="28"/>
        </w:rPr>
        <w:t>55</w:t>
      </w:r>
      <w:r>
        <w:rPr>
          <w:rFonts w:ascii="PMingLiU" w:eastAsia="PMingLiU" w:hint="eastAsia"/>
          <w:spacing w:val="15"/>
          <w:sz w:val="28"/>
        </w:rPr>
        <w:t> 条，总长</w:t>
      </w:r>
      <w:r>
        <w:rPr>
          <w:rFonts w:ascii="PMingLiU" w:eastAsia="PMingLiU" w:hint="eastAsia"/>
          <w:spacing w:val="-3"/>
          <w:sz w:val="28"/>
        </w:rPr>
        <w:t>12.695km</w:t>
      </w:r>
      <w:r>
        <w:rPr>
          <w:rFonts w:ascii="PMingLiU" w:eastAsia="PMingLiU" w:hint="eastAsia"/>
          <w:spacing w:val="4"/>
          <w:sz w:val="28"/>
        </w:rPr>
        <w:t>；新建斗渠</w:t>
      </w:r>
      <w:r>
        <w:rPr>
          <w:rFonts w:ascii="PMingLiU" w:eastAsia="PMingLiU" w:hint="eastAsia"/>
          <w:sz w:val="28"/>
        </w:rPr>
        <w:t>56</w:t>
      </w:r>
      <w:r>
        <w:rPr>
          <w:rFonts w:ascii="PMingLiU" w:eastAsia="PMingLiU" w:hint="eastAsia"/>
          <w:spacing w:val="6"/>
          <w:sz w:val="28"/>
        </w:rPr>
        <w:t> 条，总长9.443km</w:t>
      </w:r>
      <w:r>
        <w:rPr>
          <w:rFonts w:ascii="PMingLiU" w:eastAsia="PMingLiU" w:hint="eastAsia"/>
          <w:spacing w:val="2"/>
          <w:sz w:val="28"/>
        </w:rPr>
        <w:t>；新建农渠 </w:t>
      </w:r>
      <w:r>
        <w:rPr>
          <w:rFonts w:ascii="PMingLiU" w:eastAsia="PMingLiU" w:hint="eastAsia"/>
          <w:spacing w:val="-7"/>
          <w:sz w:val="28"/>
        </w:rPr>
        <w:t>17</w:t>
      </w:r>
      <w:r>
        <w:rPr>
          <w:rFonts w:ascii="PMingLiU" w:eastAsia="PMingLiU" w:hint="eastAsia"/>
          <w:spacing w:val="7"/>
          <w:sz w:val="28"/>
        </w:rPr>
        <w:t> 条，总长 </w:t>
      </w:r>
      <w:r>
        <w:rPr>
          <w:rFonts w:ascii="PMingLiU" w:eastAsia="PMingLiU" w:hint="eastAsia"/>
          <w:spacing w:val="-4"/>
          <w:sz w:val="28"/>
        </w:rPr>
        <w:t>2.348km</w:t>
      </w:r>
      <w:r>
        <w:rPr>
          <w:rFonts w:ascii="PMingLiU" w:eastAsia="PMingLiU" w:hint="eastAsia"/>
          <w:spacing w:val="-1"/>
          <w:sz w:val="28"/>
        </w:rPr>
        <w:t>。总共配套附属建筑物</w:t>
      </w:r>
      <w:r>
        <w:rPr>
          <w:rFonts w:ascii="PMingLiU" w:eastAsia="PMingLiU" w:hint="eastAsia"/>
          <w:sz w:val="28"/>
        </w:rPr>
        <w:t>1359</w:t>
      </w:r>
      <w:r>
        <w:rPr>
          <w:rFonts w:ascii="PMingLiU" w:eastAsia="PMingLiU" w:hint="eastAsia"/>
          <w:spacing w:val="1"/>
          <w:sz w:val="28"/>
        </w:rPr>
        <w:t> 座，其</w:t>
      </w:r>
    </w:p>
    <w:p>
      <w:pPr>
        <w:spacing w:before="16"/>
        <w:ind w:left="226" w:right="0" w:firstLine="0"/>
        <w:jc w:val="both"/>
        <w:rPr>
          <w:rFonts w:ascii="PMingLiU" w:eastAsia="PMingLiU" w:hint="eastAsia"/>
          <w:sz w:val="28"/>
        </w:rPr>
      </w:pPr>
      <w:r>
        <w:rPr>
          <w:rFonts w:ascii="PMingLiU" w:eastAsia="PMingLiU" w:hint="eastAsia"/>
          <w:spacing w:val="1"/>
          <w:sz w:val="28"/>
        </w:rPr>
        <w:t>中分水闸 </w:t>
      </w:r>
      <w:r>
        <w:rPr>
          <w:rFonts w:ascii="PMingLiU" w:eastAsia="PMingLiU" w:hint="eastAsia"/>
          <w:sz w:val="28"/>
        </w:rPr>
        <w:t>54</w:t>
      </w:r>
      <w:r>
        <w:rPr>
          <w:rFonts w:ascii="PMingLiU" w:eastAsia="PMingLiU" w:hint="eastAsia"/>
          <w:spacing w:val="-1"/>
          <w:sz w:val="28"/>
        </w:rPr>
        <w:t> 座，斗门 </w:t>
      </w:r>
      <w:r>
        <w:rPr>
          <w:rFonts w:ascii="PMingLiU" w:eastAsia="PMingLiU" w:hint="eastAsia"/>
          <w:sz w:val="28"/>
        </w:rPr>
        <w:t>56</w:t>
      </w:r>
      <w:r>
        <w:rPr>
          <w:rFonts w:ascii="PMingLiU" w:eastAsia="PMingLiU" w:hint="eastAsia"/>
          <w:spacing w:val="-1"/>
          <w:sz w:val="28"/>
        </w:rPr>
        <w:t> 座，跌水 </w:t>
      </w:r>
      <w:r>
        <w:rPr>
          <w:rFonts w:ascii="PMingLiU" w:eastAsia="PMingLiU" w:hint="eastAsia"/>
          <w:sz w:val="28"/>
        </w:rPr>
        <w:t>115</w:t>
      </w:r>
      <w:r>
        <w:rPr>
          <w:rFonts w:ascii="PMingLiU" w:eastAsia="PMingLiU" w:hint="eastAsia"/>
          <w:spacing w:val="-1"/>
          <w:sz w:val="28"/>
        </w:rPr>
        <w:t> 座，便桥 </w:t>
      </w:r>
      <w:r>
        <w:rPr>
          <w:rFonts w:ascii="PMingLiU" w:eastAsia="PMingLiU" w:hint="eastAsia"/>
          <w:sz w:val="28"/>
        </w:rPr>
        <w:t>118</w:t>
      </w:r>
      <w:r>
        <w:rPr>
          <w:rFonts w:ascii="PMingLiU" w:eastAsia="PMingLiU" w:hint="eastAsia"/>
          <w:spacing w:val="-7"/>
          <w:sz w:val="28"/>
        </w:rPr>
        <w:t> 座，单、双向农口合计</w:t>
      </w:r>
    </w:p>
    <w:p>
      <w:pPr>
        <w:spacing w:line="386" w:lineRule="auto" w:before="225"/>
        <w:ind w:left="226" w:right="1318" w:firstLine="0"/>
        <w:jc w:val="both"/>
        <w:rPr>
          <w:rFonts w:ascii="PMingLiU" w:eastAsia="PMingLiU" w:hint="eastAsia"/>
          <w:sz w:val="28"/>
        </w:rPr>
      </w:pPr>
      <w:r>
        <w:rPr/>
        <w:drawing>
          <wp:anchor distT="0" distB="0" distL="0" distR="0" allowOverlap="1" layoutInCell="1" locked="0" behindDoc="1" simplePos="0" relativeHeight="234659840">
            <wp:simplePos x="0" y="0"/>
            <wp:positionH relativeFrom="page">
              <wp:posOffset>992771</wp:posOffset>
            </wp:positionH>
            <wp:positionV relativeFrom="paragraph">
              <wp:posOffset>588396</wp:posOffset>
            </wp:positionV>
            <wp:extent cx="5578970" cy="5494141"/>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PMingLiU" w:eastAsia="PMingLiU" w:hint="eastAsia"/>
          <w:sz w:val="28"/>
        </w:rPr>
        <w:t>1016</w:t>
      </w:r>
      <w:r>
        <w:rPr>
          <w:rFonts w:ascii="PMingLiU" w:eastAsia="PMingLiU" w:hint="eastAsia"/>
          <w:spacing w:val="-1"/>
          <w:sz w:val="28"/>
        </w:rPr>
        <w:t> 座 田间道路工程：修整田间道路 </w:t>
      </w:r>
      <w:r>
        <w:rPr>
          <w:rFonts w:ascii="PMingLiU" w:eastAsia="PMingLiU" w:hint="eastAsia"/>
          <w:sz w:val="28"/>
        </w:rPr>
        <w:t>3</w:t>
      </w:r>
      <w:r>
        <w:rPr>
          <w:rFonts w:ascii="PMingLiU" w:eastAsia="PMingLiU" w:hint="eastAsia"/>
          <w:spacing w:val="6"/>
          <w:sz w:val="28"/>
        </w:rPr>
        <w:t> 条，总长</w:t>
      </w:r>
      <w:r>
        <w:rPr>
          <w:rFonts w:ascii="PMingLiU" w:eastAsia="PMingLiU" w:hint="eastAsia"/>
          <w:sz w:val="28"/>
        </w:rPr>
        <w:t>1260m</w:t>
      </w:r>
      <w:r>
        <w:rPr>
          <w:rFonts w:ascii="PMingLiU" w:eastAsia="PMingLiU" w:hint="eastAsia"/>
          <w:spacing w:val="-4"/>
          <w:sz w:val="28"/>
        </w:rPr>
        <w:t>；新建生产道路 </w:t>
      </w:r>
      <w:r>
        <w:rPr>
          <w:rFonts w:ascii="PMingLiU" w:eastAsia="PMingLiU" w:hint="eastAsia"/>
          <w:sz w:val="28"/>
        </w:rPr>
        <w:t>12 </w:t>
      </w:r>
      <w:r>
        <w:rPr>
          <w:rFonts w:ascii="PMingLiU" w:eastAsia="PMingLiU" w:hint="eastAsia"/>
          <w:spacing w:val="3"/>
          <w:sz w:val="28"/>
        </w:rPr>
        <w:t>条，总长 </w:t>
      </w:r>
      <w:r>
        <w:rPr>
          <w:rFonts w:ascii="PMingLiU" w:eastAsia="PMingLiU" w:hint="eastAsia"/>
          <w:spacing w:val="-4"/>
          <w:sz w:val="28"/>
        </w:rPr>
        <w:t>3000m</w:t>
      </w:r>
      <w:r>
        <w:rPr>
          <w:rFonts w:ascii="PMingLiU" w:eastAsia="PMingLiU" w:hint="eastAsia"/>
          <w:spacing w:val="-1"/>
          <w:sz w:val="28"/>
        </w:rPr>
        <w:t>，均采用 </w:t>
      </w:r>
      <w:r>
        <w:rPr>
          <w:rFonts w:ascii="PMingLiU" w:eastAsia="PMingLiU" w:hint="eastAsia"/>
          <w:spacing w:val="-3"/>
          <w:sz w:val="28"/>
        </w:rPr>
        <w:t>15cm 砂砾石铺设地面  详见清单。具体内容详见工程量清单及招标文件</w:t>
      </w:r>
    </w:p>
    <w:p>
      <w:pPr>
        <w:spacing w:line="377" w:lineRule="exact" w:before="0"/>
        <w:ind w:left="797" w:right="0" w:firstLine="0"/>
        <w:jc w:val="left"/>
        <w:rPr>
          <w:rFonts w:ascii="PMingLiU" w:eastAsia="PMingLiU" w:hint="eastAsia"/>
          <w:sz w:val="28"/>
        </w:rPr>
      </w:pPr>
      <w:r>
        <w:rPr>
          <w:rFonts w:ascii="PMingLiU" w:eastAsia="PMingLiU" w:hint="eastAsia"/>
          <w:sz w:val="28"/>
        </w:rPr>
        <w:t>投标所需身份类型:施工单位;</w:t>
      </w:r>
    </w:p>
    <w:p>
      <w:pPr>
        <w:spacing w:line="376" w:lineRule="auto" w:before="239"/>
        <w:ind w:left="226" w:right="1317" w:firstLine="570"/>
        <w:jc w:val="left"/>
        <w:rPr>
          <w:rFonts w:ascii="PMingLiU" w:eastAsia="PMingLiU" w:hint="eastAsia"/>
          <w:sz w:val="28"/>
        </w:rPr>
      </w:pPr>
      <w:r>
        <w:rPr>
          <w:rFonts w:ascii="PMingLiU" w:eastAsia="PMingLiU" w:hint="eastAsia"/>
          <w:spacing w:val="-10"/>
          <w:sz w:val="28"/>
        </w:rPr>
        <w:t>保证金子账号:[户名：海东市公共资源交易中心保证金专户；开户行： </w:t>
      </w:r>
      <w:r>
        <w:rPr>
          <w:rFonts w:ascii="PMingLiU" w:eastAsia="PMingLiU" w:hint="eastAsia"/>
          <w:spacing w:val="-11"/>
          <w:sz w:val="28"/>
        </w:rPr>
        <w:t>青海银行海东市分行；子账号：</w:t>
      </w:r>
      <w:r>
        <w:rPr>
          <w:rFonts w:ascii="PMingLiU" w:eastAsia="PMingLiU" w:hint="eastAsia"/>
          <w:spacing w:val="-3"/>
          <w:sz w:val="28"/>
        </w:rPr>
        <w:t>7779905201000323751]</w:t>
      </w:r>
    </w:p>
    <w:p>
      <w:pPr>
        <w:spacing w:line="439" w:lineRule="exact" w:before="0"/>
        <w:ind w:left="226" w:right="0" w:firstLine="0"/>
        <w:jc w:val="both"/>
        <w:rPr>
          <w:rFonts w:ascii="Microsoft JhengHei" w:eastAsia="Microsoft JhengHei" w:hint="eastAsia"/>
          <w:b/>
          <w:sz w:val="28"/>
        </w:rPr>
      </w:pPr>
      <w:r>
        <w:rPr>
          <w:rFonts w:ascii="Microsoft JhengHei" w:eastAsia="Microsoft JhengHei" w:hint="eastAsia"/>
          <w:b/>
          <w:sz w:val="28"/>
        </w:rPr>
        <w:t>3、投标人资格要求</w:t>
      </w:r>
    </w:p>
    <w:p>
      <w:pPr>
        <w:pStyle w:val="ListParagraph"/>
        <w:numPr>
          <w:ilvl w:val="1"/>
          <w:numId w:val="4"/>
        </w:numPr>
        <w:tabs>
          <w:tab w:pos="1369" w:val="left" w:leader="none"/>
        </w:tabs>
        <w:spacing w:line="381" w:lineRule="auto" w:before="207" w:after="0"/>
        <w:ind w:left="226" w:right="1318" w:firstLine="660"/>
        <w:jc w:val="both"/>
        <w:rPr>
          <w:rFonts w:ascii="PMingLiU" w:hAnsi="PMingLiU" w:eastAsia="PMingLiU" w:hint="eastAsia"/>
          <w:sz w:val="28"/>
        </w:rPr>
      </w:pPr>
      <w:r>
        <w:rPr>
          <w:rFonts w:ascii="PMingLiU" w:hAnsi="PMingLiU" w:eastAsia="PMingLiU" w:hint="eastAsia"/>
          <w:spacing w:val="10"/>
          <w:w w:val="105"/>
          <w:sz w:val="28"/>
        </w:rPr>
        <w:t>本次招标要求投标人须具备[ 水利水电工程</w:t>
      </w:r>
      <w:r>
        <w:rPr>
          <w:rFonts w:ascii="PMingLiU" w:hAnsi="PMingLiU" w:eastAsia="PMingLiU" w:hint="eastAsia"/>
          <w:w w:val="155"/>
          <w:sz w:val="28"/>
        </w:rPr>
        <w:t>·</w:t>
      </w:r>
      <w:r>
        <w:rPr>
          <w:rFonts w:ascii="PMingLiU" w:hAnsi="PMingLiU" w:eastAsia="PMingLiU" w:hint="eastAsia"/>
          <w:spacing w:val="-102"/>
          <w:w w:val="155"/>
          <w:sz w:val="28"/>
        </w:rPr>
        <w:t> </w:t>
      </w:r>
      <w:r>
        <w:rPr>
          <w:rFonts w:ascii="PMingLiU" w:hAnsi="PMingLiU" w:eastAsia="PMingLiU" w:hint="eastAsia"/>
          <w:spacing w:val="16"/>
          <w:w w:val="105"/>
          <w:sz w:val="28"/>
        </w:rPr>
        <w:t>水利水电工程三</w:t>
      </w:r>
      <w:r>
        <w:rPr>
          <w:rFonts w:ascii="PMingLiU" w:hAnsi="PMingLiU" w:eastAsia="PMingLiU" w:hint="eastAsia"/>
          <w:sz w:val="28"/>
        </w:rPr>
        <w:t>级](含)以上资质，业绩，并在人员、设备、资金等方面具有承担本标段施</w:t>
      </w:r>
      <w:r>
        <w:rPr>
          <w:rFonts w:ascii="PMingLiU" w:hAnsi="PMingLiU" w:eastAsia="PMingLiU" w:hint="eastAsia"/>
          <w:spacing w:val="-4"/>
          <w:sz w:val="28"/>
        </w:rPr>
        <w:t>工的能力。其中，投标人拟派项目经理须具备[注册二级建造师</w:t>
      </w:r>
      <w:r>
        <w:rPr>
          <w:rFonts w:ascii="PMingLiU" w:hAnsi="PMingLiU" w:eastAsia="PMingLiU" w:hint="eastAsia"/>
          <w:sz w:val="28"/>
        </w:rPr>
        <w:t>·水利水电  </w:t>
      </w:r>
      <w:r>
        <w:rPr>
          <w:rFonts w:ascii="PMingLiU" w:hAnsi="PMingLiU" w:eastAsia="PMingLiU" w:hint="eastAsia"/>
          <w:spacing w:val="-5"/>
          <w:sz w:val="28"/>
        </w:rPr>
        <w:t>工程](含)以上执业资格，符合 </w:t>
      </w:r>
      <w:r>
        <w:rPr>
          <w:rFonts w:ascii="PMingLiU" w:hAnsi="PMingLiU" w:eastAsia="PMingLiU" w:hint="eastAsia"/>
          <w:spacing w:val="-3"/>
          <w:sz w:val="28"/>
        </w:rPr>
        <w:t>2016</w:t>
      </w:r>
      <w:r>
        <w:rPr>
          <w:rFonts w:ascii="PMingLiU" w:hAnsi="PMingLiU" w:eastAsia="PMingLiU" w:hint="eastAsia"/>
          <w:spacing w:val="-4"/>
          <w:sz w:val="28"/>
        </w:rPr>
        <w:t> 年《注册建造师管理规定》</w:t>
      </w:r>
      <w:r>
        <w:rPr>
          <w:rFonts w:ascii="PMingLiU" w:hAnsi="PMingLiU" w:eastAsia="PMingLiU" w:hint="eastAsia"/>
          <w:sz w:val="28"/>
        </w:rPr>
        <w:t>（</w:t>
      </w:r>
      <w:r>
        <w:rPr>
          <w:rFonts w:ascii="PMingLiU" w:hAnsi="PMingLiU" w:eastAsia="PMingLiU" w:hint="eastAsia"/>
          <w:spacing w:val="-5"/>
          <w:sz w:val="28"/>
        </w:rPr>
        <w:t>建设部令</w:t>
      </w:r>
      <w:r>
        <w:rPr>
          <w:rFonts w:ascii="PMingLiU" w:hAnsi="PMingLiU" w:eastAsia="PMingLiU" w:hint="eastAsia"/>
          <w:spacing w:val="-4"/>
          <w:w w:val="105"/>
          <w:sz w:val="28"/>
        </w:rPr>
        <w:t>第 </w:t>
      </w:r>
      <w:r>
        <w:rPr>
          <w:rFonts w:ascii="PMingLiU" w:hAnsi="PMingLiU" w:eastAsia="PMingLiU" w:hint="eastAsia"/>
          <w:w w:val="105"/>
          <w:sz w:val="28"/>
        </w:rPr>
        <w:t>153</w:t>
      </w:r>
      <w:r>
        <w:rPr>
          <w:rFonts w:ascii="PMingLiU" w:hAnsi="PMingLiU" w:eastAsia="PMingLiU" w:hint="eastAsia"/>
          <w:spacing w:val="-1"/>
          <w:w w:val="105"/>
          <w:sz w:val="28"/>
        </w:rPr>
        <w:t> 号</w:t>
      </w:r>
      <w:r>
        <w:rPr>
          <w:rFonts w:ascii="PMingLiU" w:hAnsi="PMingLiU" w:eastAsia="PMingLiU" w:hint="eastAsia"/>
          <w:w w:val="105"/>
          <w:sz w:val="28"/>
        </w:rPr>
        <w:t>）</w:t>
      </w:r>
      <w:r>
        <w:rPr>
          <w:rFonts w:ascii="PMingLiU" w:hAnsi="PMingLiU" w:eastAsia="PMingLiU" w:hint="eastAsia"/>
          <w:spacing w:val="-4"/>
          <w:w w:val="105"/>
          <w:sz w:val="28"/>
        </w:rPr>
        <w:t>相关规定。</w:t>
      </w:r>
    </w:p>
    <w:p>
      <w:pPr>
        <w:pStyle w:val="ListParagraph"/>
        <w:numPr>
          <w:ilvl w:val="1"/>
          <w:numId w:val="4"/>
        </w:numPr>
        <w:tabs>
          <w:tab w:pos="1323" w:val="left" w:leader="none"/>
        </w:tabs>
        <w:spacing w:line="240" w:lineRule="auto" w:before="11" w:after="0"/>
        <w:ind w:left="1323" w:right="0" w:hanging="466"/>
        <w:jc w:val="both"/>
        <w:rPr>
          <w:rFonts w:ascii="PMingLiU" w:eastAsia="PMingLiU" w:hint="eastAsia"/>
          <w:sz w:val="28"/>
        </w:rPr>
      </w:pPr>
      <w:r>
        <w:rPr>
          <w:rFonts w:ascii="PMingLiU" w:eastAsia="PMingLiU" w:hint="eastAsia"/>
          <w:spacing w:val="-2"/>
          <w:sz w:val="28"/>
        </w:rPr>
        <w:t>本次招标不接受联合体投标。</w:t>
      </w:r>
    </w:p>
    <w:p>
      <w:pPr>
        <w:pStyle w:val="ListParagraph"/>
        <w:numPr>
          <w:ilvl w:val="1"/>
          <w:numId w:val="4"/>
        </w:numPr>
        <w:tabs>
          <w:tab w:pos="1353" w:val="left" w:leader="none"/>
        </w:tabs>
        <w:spacing w:line="386" w:lineRule="auto" w:before="224" w:after="0"/>
        <w:ind w:left="226" w:right="1346" w:firstLine="645"/>
        <w:jc w:val="both"/>
        <w:rPr>
          <w:rFonts w:ascii="PMingLiU" w:eastAsia="PMingLiU" w:hint="eastAsia"/>
          <w:sz w:val="28"/>
        </w:rPr>
      </w:pPr>
      <w:r>
        <w:rPr>
          <w:rFonts w:ascii="PMingLiU" w:eastAsia="PMingLiU" w:hint="eastAsia"/>
          <w:sz w:val="28"/>
        </w:rPr>
        <w:t>本次招标实行资格后审，资格审查的具体要求见招标文件。资格</w:t>
      </w:r>
      <w:r>
        <w:rPr>
          <w:rFonts w:ascii="PMingLiU" w:eastAsia="PMingLiU" w:hint="eastAsia"/>
          <w:spacing w:val="-3"/>
          <w:sz w:val="28"/>
        </w:rPr>
        <w:t>后审不合格的投标人的投标予以否决。</w:t>
      </w:r>
    </w:p>
    <w:p>
      <w:pPr>
        <w:spacing w:line="408" w:lineRule="exact" w:before="0"/>
        <w:ind w:left="226" w:right="0" w:firstLine="0"/>
        <w:jc w:val="both"/>
        <w:rPr>
          <w:rFonts w:ascii="Microsoft JhengHei" w:eastAsia="Microsoft JhengHei" w:hint="eastAsia"/>
          <w:b/>
          <w:sz w:val="28"/>
        </w:rPr>
      </w:pPr>
      <w:r>
        <w:rPr>
          <w:rFonts w:ascii="Microsoft JhengHei" w:eastAsia="Microsoft JhengHei" w:hint="eastAsia"/>
          <w:b/>
          <w:sz w:val="28"/>
        </w:rPr>
        <w:t>4、招标文件的获取</w:t>
      </w:r>
    </w:p>
    <w:p>
      <w:pPr>
        <w:pStyle w:val="ListParagraph"/>
        <w:numPr>
          <w:ilvl w:val="1"/>
          <w:numId w:val="5"/>
        </w:numPr>
        <w:tabs>
          <w:tab w:pos="1353" w:val="left" w:leader="none"/>
        </w:tabs>
        <w:spacing w:line="381" w:lineRule="auto" w:before="208" w:after="0"/>
        <w:ind w:left="226" w:right="1318" w:firstLine="645"/>
        <w:jc w:val="both"/>
        <w:rPr>
          <w:rFonts w:ascii="PMingLiU" w:hAnsi="PMingLiU" w:eastAsia="PMingLiU" w:hint="eastAsia"/>
          <w:sz w:val="28"/>
        </w:rPr>
      </w:pPr>
      <w:r>
        <w:rPr>
          <w:rFonts w:ascii="PMingLiU" w:hAnsi="PMingLiU" w:eastAsia="PMingLiU" w:hint="eastAsia"/>
          <w:sz w:val="28"/>
        </w:rPr>
        <w:t>凡有意参加本项目投标的潜在投标人，应当在青海省电子招标投</w:t>
      </w:r>
      <w:r>
        <w:rPr>
          <w:rFonts w:ascii="PMingLiU" w:hAnsi="PMingLiU" w:eastAsia="PMingLiU" w:hint="eastAsia"/>
          <w:spacing w:val="-6"/>
          <w:w w:val="101"/>
          <w:sz w:val="28"/>
        </w:rPr>
        <w:t>标公共服务平台</w:t>
      </w:r>
      <w:r>
        <w:rPr>
          <w:rFonts w:ascii="PMingLiU" w:hAnsi="PMingLiU" w:eastAsia="PMingLiU" w:hint="eastAsia"/>
          <w:spacing w:val="-16"/>
          <w:w w:val="101"/>
          <w:sz w:val="28"/>
        </w:rPr>
        <w:t>（</w:t>
      </w:r>
      <w:hyperlink r:id="rId26">
        <w:r>
          <w:rPr>
            <w:rFonts w:ascii="PMingLiU" w:hAnsi="PMingLiU" w:eastAsia="PMingLiU" w:hint="eastAsia"/>
            <w:spacing w:val="4"/>
            <w:w w:val="110"/>
            <w:sz w:val="28"/>
          </w:rPr>
          <w:t>h</w:t>
        </w:r>
        <w:r>
          <w:rPr>
            <w:rFonts w:ascii="PMingLiU" w:hAnsi="PMingLiU" w:eastAsia="PMingLiU" w:hint="eastAsia"/>
            <w:spacing w:val="-9"/>
            <w:w w:val="113"/>
            <w:sz w:val="28"/>
          </w:rPr>
          <w:t>t</w:t>
        </w:r>
        <w:r>
          <w:rPr>
            <w:rFonts w:ascii="PMingLiU" w:hAnsi="PMingLiU" w:eastAsia="PMingLiU" w:hint="eastAsia"/>
            <w:spacing w:val="6"/>
            <w:w w:val="113"/>
            <w:sz w:val="28"/>
          </w:rPr>
          <w:t>t</w:t>
        </w:r>
        <w:r>
          <w:rPr>
            <w:rFonts w:ascii="PMingLiU" w:hAnsi="PMingLiU" w:eastAsia="PMingLiU" w:hint="eastAsia"/>
            <w:spacing w:val="4"/>
            <w:w w:val="110"/>
            <w:sz w:val="28"/>
          </w:rPr>
          <w:t>p</w:t>
        </w:r>
        <w:r>
          <w:rPr>
            <w:rFonts w:ascii="PMingLiU" w:hAnsi="PMingLiU" w:eastAsia="PMingLiU" w:hint="eastAsia"/>
            <w:spacing w:val="-3"/>
            <w:w w:val="85"/>
            <w:sz w:val="28"/>
          </w:rPr>
          <w:t>:</w:t>
        </w:r>
        <w:r>
          <w:rPr>
            <w:rFonts w:ascii="PMingLiU" w:hAnsi="PMingLiU" w:eastAsia="PMingLiU" w:hint="eastAsia"/>
            <w:spacing w:val="-8"/>
            <w:w w:val="195"/>
            <w:sz w:val="28"/>
          </w:rPr>
          <w:t>//</w:t>
        </w:r>
        <w:r>
          <w:rPr>
            <w:rFonts w:ascii="PMingLiU" w:hAnsi="PMingLiU" w:eastAsia="PMingLiU" w:hint="eastAsia"/>
            <w:spacing w:val="4"/>
            <w:w w:val="100"/>
            <w:sz w:val="28"/>
          </w:rPr>
          <w:t>w</w:t>
        </w:r>
        <w:r>
          <w:rPr>
            <w:rFonts w:ascii="PMingLiU" w:hAnsi="PMingLiU" w:eastAsia="PMingLiU" w:hint="eastAsia"/>
            <w:spacing w:val="-10"/>
            <w:w w:val="100"/>
            <w:sz w:val="28"/>
          </w:rPr>
          <w:t>w</w:t>
        </w:r>
        <w:r>
          <w:rPr>
            <w:rFonts w:ascii="PMingLiU" w:hAnsi="PMingLiU" w:eastAsia="PMingLiU" w:hint="eastAsia"/>
            <w:spacing w:val="4"/>
            <w:w w:val="100"/>
            <w:sz w:val="28"/>
          </w:rPr>
          <w:t>w</w:t>
        </w:r>
        <w:r>
          <w:rPr>
            <w:rFonts w:ascii="PMingLiU" w:hAnsi="PMingLiU" w:eastAsia="PMingLiU" w:hint="eastAsia"/>
            <w:spacing w:val="-3"/>
            <w:w w:val="94"/>
            <w:sz w:val="28"/>
          </w:rPr>
          <w:t>.</w:t>
        </w:r>
        <w:r>
          <w:rPr>
            <w:rFonts w:ascii="PMingLiU" w:hAnsi="PMingLiU" w:eastAsia="PMingLiU" w:hint="eastAsia"/>
            <w:spacing w:val="-5"/>
            <w:w w:val="106"/>
            <w:sz w:val="28"/>
          </w:rPr>
          <w:t>q</w:t>
        </w:r>
        <w:r>
          <w:rPr>
            <w:rFonts w:ascii="PMingLiU" w:hAnsi="PMingLiU" w:eastAsia="PMingLiU" w:hint="eastAsia"/>
            <w:spacing w:val="4"/>
            <w:w w:val="110"/>
            <w:sz w:val="28"/>
          </w:rPr>
          <w:t>h</w:t>
        </w:r>
        <w:r>
          <w:rPr>
            <w:rFonts w:ascii="PMingLiU" w:hAnsi="PMingLiU" w:eastAsia="PMingLiU" w:hint="eastAsia"/>
            <w:spacing w:val="-8"/>
            <w:w w:val="108"/>
            <w:sz w:val="28"/>
          </w:rPr>
          <w:t>d</w:t>
        </w:r>
        <w:r>
          <w:rPr>
            <w:rFonts w:ascii="PMingLiU" w:hAnsi="PMingLiU" w:eastAsia="PMingLiU" w:hint="eastAsia"/>
            <w:spacing w:val="-2"/>
            <w:w w:val="104"/>
            <w:sz w:val="28"/>
          </w:rPr>
          <w:t>zz</w:t>
        </w:r>
        <w:r>
          <w:rPr>
            <w:rFonts w:ascii="PMingLiU" w:hAnsi="PMingLiU" w:eastAsia="PMingLiU" w:hint="eastAsia"/>
            <w:spacing w:val="4"/>
            <w:w w:val="110"/>
            <w:sz w:val="28"/>
          </w:rPr>
          <w:t>b</w:t>
        </w:r>
        <w:r>
          <w:rPr>
            <w:rFonts w:ascii="PMingLiU" w:hAnsi="PMingLiU" w:eastAsia="PMingLiU" w:hint="eastAsia"/>
            <w:spacing w:val="-18"/>
            <w:w w:val="104"/>
            <w:sz w:val="28"/>
          </w:rPr>
          <w:t>f</w:t>
        </w:r>
        <w:r>
          <w:rPr>
            <w:rFonts w:ascii="PMingLiU" w:hAnsi="PMingLiU" w:eastAsia="PMingLiU" w:hint="eastAsia"/>
            <w:spacing w:val="4"/>
            <w:w w:val="100"/>
            <w:sz w:val="28"/>
          </w:rPr>
          <w:t>w</w:t>
        </w:r>
        <w:r>
          <w:rPr>
            <w:rFonts w:ascii="PMingLiU" w:hAnsi="PMingLiU" w:eastAsia="PMingLiU" w:hint="eastAsia"/>
            <w:spacing w:val="-3"/>
            <w:w w:val="94"/>
            <w:sz w:val="28"/>
          </w:rPr>
          <w:t>.</w:t>
        </w:r>
        <w:r>
          <w:rPr>
            <w:rFonts w:ascii="PMingLiU" w:hAnsi="PMingLiU" w:eastAsia="PMingLiU" w:hint="eastAsia"/>
            <w:spacing w:val="-8"/>
            <w:w w:val="97"/>
            <w:sz w:val="28"/>
          </w:rPr>
          <w:t>g</w:t>
        </w:r>
        <w:r>
          <w:rPr>
            <w:rFonts w:ascii="PMingLiU" w:hAnsi="PMingLiU" w:eastAsia="PMingLiU" w:hint="eastAsia"/>
            <w:spacing w:val="4"/>
            <w:w w:val="110"/>
            <w:sz w:val="28"/>
          </w:rPr>
          <w:t>o</w:t>
        </w:r>
        <w:r>
          <w:rPr>
            <w:rFonts w:ascii="PMingLiU" w:hAnsi="PMingLiU" w:eastAsia="PMingLiU" w:hint="eastAsia"/>
            <w:spacing w:val="1"/>
            <w:w w:val="101"/>
            <w:sz w:val="28"/>
          </w:rPr>
          <w:t>v</w:t>
        </w:r>
        <w:r>
          <w:rPr>
            <w:rFonts w:ascii="PMingLiU" w:hAnsi="PMingLiU" w:eastAsia="PMingLiU" w:hint="eastAsia"/>
            <w:spacing w:val="-3"/>
            <w:w w:val="94"/>
            <w:sz w:val="28"/>
          </w:rPr>
          <w:t>.</w:t>
        </w:r>
        <w:r>
          <w:rPr>
            <w:rFonts w:ascii="PMingLiU" w:hAnsi="PMingLiU" w:eastAsia="PMingLiU" w:hint="eastAsia"/>
            <w:spacing w:val="-14"/>
            <w:w w:val="101"/>
            <w:sz w:val="28"/>
          </w:rPr>
          <w:t>c</w:t>
        </w:r>
        <w:r>
          <w:rPr>
            <w:rFonts w:ascii="PMingLiU" w:hAnsi="PMingLiU" w:eastAsia="PMingLiU" w:hint="eastAsia"/>
            <w:spacing w:val="11"/>
            <w:w w:val="110"/>
            <w:sz w:val="28"/>
          </w:rPr>
          <w:t>n</w:t>
        </w:r>
      </w:hyperlink>
      <w:r>
        <w:rPr>
          <w:rFonts w:ascii="PMingLiU" w:hAnsi="PMingLiU" w:eastAsia="PMingLiU" w:hint="eastAsia"/>
          <w:spacing w:val="-15"/>
          <w:w w:val="101"/>
          <w:sz w:val="28"/>
        </w:rPr>
        <w:t>）（</w:t>
      </w:r>
      <w:r>
        <w:rPr>
          <w:rFonts w:ascii="PMingLiU" w:hAnsi="PMingLiU" w:eastAsia="PMingLiU" w:hint="eastAsia"/>
          <w:spacing w:val="-7"/>
          <w:w w:val="101"/>
          <w:sz w:val="28"/>
        </w:rPr>
        <w:t>以下简称“省平台”</w:t>
      </w:r>
      <w:r>
        <w:rPr>
          <w:rFonts w:ascii="PMingLiU" w:hAnsi="PMingLiU" w:eastAsia="PMingLiU" w:hint="eastAsia"/>
          <w:w w:val="101"/>
          <w:sz w:val="28"/>
        </w:rPr>
        <w:t>）进</w:t>
      </w:r>
      <w:r>
        <w:rPr>
          <w:rFonts w:ascii="PMingLiU" w:hAnsi="PMingLiU" w:eastAsia="PMingLiU" w:hint="eastAsia"/>
          <w:spacing w:val="-8"/>
          <w:sz w:val="28"/>
        </w:rPr>
        <w:t>行诚信库“主体入库”注册，完成注册后办理CA</w:t>
      </w:r>
      <w:r>
        <w:rPr>
          <w:rFonts w:ascii="PMingLiU" w:hAnsi="PMingLiU" w:eastAsia="PMingLiU" w:hint="eastAsia"/>
          <w:spacing w:val="-3"/>
          <w:sz w:val="28"/>
        </w:rPr>
        <w:t> 数字证书。具体操作详见</w:t>
      </w:r>
    </w:p>
    <w:p>
      <w:pPr>
        <w:spacing w:after="0" w:line="381" w:lineRule="auto"/>
        <w:jc w:val="both"/>
        <w:rPr>
          <w:rFonts w:ascii="PMingLiU" w:hAnsi="PMingLiU" w:eastAsia="PMingLiU" w:hint="eastAsia"/>
          <w:sz w:val="28"/>
        </w:rPr>
        <w:sectPr>
          <w:pgSz w:w="11910" w:h="16850"/>
          <w:pgMar w:header="911" w:footer="0" w:top="1380" w:bottom="280" w:left="1200" w:right="0"/>
        </w:sectPr>
      </w:pPr>
    </w:p>
    <w:p>
      <w:pPr>
        <w:spacing w:line="376" w:lineRule="auto" w:before="155"/>
        <w:ind w:left="226" w:right="1318" w:firstLine="0"/>
        <w:jc w:val="both"/>
        <w:rPr>
          <w:rFonts w:ascii="PMingLiU" w:eastAsia="PMingLiU" w:hint="eastAsia"/>
          <w:sz w:val="28"/>
        </w:rPr>
      </w:pPr>
      <w:r>
        <w:rPr>
          <w:rFonts w:ascii="PMingLiU" w:eastAsia="PMingLiU" w:hint="eastAsia"/>
          <w:spacing w:val="-11"/>
          <w:w w:val="101"/>
          <w:sz w:val="28"/>
        </w:rPr>
        <w:t>《青海省公共资源交易网》</w:t>
      </w:r>
      <w:r>
        <w:rPr>
          <w:rFonts w:ascii="PMingLiU" w:eastAsia="PMingLiU" w:hint="eastAsia"/>
          <w:spacing w:val="-17"/>
          <w:w w:val="101"/>
          <w:sz w:val="28"/>
        </w:rPr>
        <w:t>（</w:t>
      </w:r>
      <w:hyperlink r:id="rId27">
        <w:r>
          <w:rPr>
            <w:rFonts w:ascii="PMingLiU" w:eastAsia="PMingLiU" w:hint="eastAsia"/>
            <w:spacing w:val="4"/>
            <w:w w:val="100"/>
            <w:sz w:val="28"/>
          </w:rPr>
          <w:t>w</w:t>
        </w:r>
        <w:r>
          <w:rPr>
            <w:rFonts w:ascii="PMingLiU" w:eastAsia="PMingLiU" w:hint="eastAsia"/>
            <w:spacing w:val="-10"/>
            <w:w w:val="100"/>
            <w:sz w:val="28"/>
          </w:rPr>
          <w:t>w</w:t>
        </w:r>
        <w:r>
          <w:rPr>
            <w:rFonts w:ascii="PMingLiU" w:eastAsia="PMingLiU" w:hint="eastAsia"/>
            <w:spacing w:val="4"/>
            <w:w w:val="100"/>
            <w:sz w:val="28"/>
          </w:rPr>
          <w:t>w</w:t>
        </w:r>
        <w:r>
          <w:rPr>
            <w:rFonts w:ascii="PMingLiU" w:eastAsia="PMingLiU" w:hint="eastAsia"/>
            <w:spacing w:val="-3"/>
            <w:w w:val="94"/>
            <w:sz w:val="28"/>
          </w:rPr>
          <w:t>.</w:t>
        </w:r>
        <w:r>
          <w:rPr>
            <w:rFonts w:ascii="PMingLiU" w:eastAsia="PMingLiU" w:hint="eastAsia"/>
            <w:spacing w:val="-5"/>
            <w:w w:val="106"/>
            <w:sz w:val="28"/>
          </w:rPr>
          <w:t>q</w:t>
        </w:r>
        <w:r>
          <w:rPr>
            <w:rFonts w:ascii="PMingLiU" w:eastAsia="PMingLiU" w:hint="eastAsia"/>
            <w:spacing w:val="-11"/>
            <w:w w:val="110"/>
            <w:sz w:val="28"/>
          </w:rPr>
          <w:t>h</w:t>
        </w:r>
        <w:r>
          <w:rPr>
            <w:rFonts w:ascii="PMingLiU" w:eastAsia="PMingLiU" w:hint="eastAsia"/>
            <w:spacing w:val="7"/>
            <w:w w:val="97"/>
            <w:sz w:val="28"/>
          </w:rPr>
          <w:t>gg</w:t>
        </w:r>
        <w:r>
          <w:rPr>
            <w:rFonts w:ascii="PMingLiU" w:eastAsia="PMingLiU" w:hint="eastAsia"/>
            <w:spacing w:val="-2"/>
            <w:w w:val="104"/>
            <w:sz w:val="28"/>
          </w:rPr>
          <w:t>z</w:t>
        </w:r>
        <w:r>
          <w:rPr>
            <w:rFonts w:ascii="PMingLiU" w:eastAsia="PMingLiU" w:hint="eastAsia"/>
            <w:w w:val="90"/>
            <w:sz w:val="28"/>
          </w:rPr>
          <w:t>y</w:t>
        </w:r>
        <w:r>
          <w:rPr>
            <w:rFonts w:ascii="PMingLiU" w:eastAsia="PMingLiU" w:hint="eastAsia"/>
            <w:spacing w:val="-6"/>
            <w:w w:val="89"/>
            <w:sz w:val="28"/>
          </w:rPr>
          <w:t>j</w:t>
        </w:r>
        <w:r>
          <w:rPr>
            <w:rFonts w:ascii="PMingLiU" w:eastAsia="PMingLiU" w:hint="eastAsia"/>
            <w:w w:val="90"/>
            <w:sz w:val="28"/>
          </w:rPr>
          <w:t>y</w:t>
        </w:r>
        <w:r>
          <w:rPr>
            <w:rFonts w:ascii="PMingLiU" w:eastAsia="PMingLiU" w:hint="eastAsia"/>
            <w:spacing w:val="-18"/>
            <w:w w:val="94"/>
            <w:sz w:val="28"/>
          </w:rPr>
          <w:t>.</w:t>
        </w:r>
        <w:r>
          <w:rPr>
            <w:rFonts w:ascii="PMingLiU" w:eastAsia="PMingLiU" w:hint="eastAsia"/>
            <w:spacing w:val="7"/>
            <w:w w:val="97"/>
            <w:sz w:val="28"/>
          </w:rPr>
          <w:t>g</w:t>
        </w:r>
        <w:r>
          <w:rPr>
            <w:rFonts w:ascii="PMingLiU" w:eastAsia="PMingLiU" w:hint="eastAsia"/>
            <w:spacing w:val="-11"/>
            <w:w w:val="110"/>
            <w:sz w:val="28"/>
          </w:rPr>
          <w:t>o</w:t>
        </w:r>
        <w:r>
          <w:rPr>
            <w:rFonts w:ascii="PMingLiU" w:eastAsia="PMingLiU" w:hint="eastAsia"/>
            <w:spacing w:val="1"/>
            <w:w w:val="101"/>
            <w:sz w:val="28"/>
          </w:rPr>
          <w:t>v</w:t>
        </w:r>
        <w:r>
          <w:rPr>
            <w:rFonts w:ascii="PMingLiU" w:eastAsia="PMingLiU" w:hint="eastAsia"/>
            <w:spacing w:val="-3"/>
            <w:w w:val="94"/>
            <w:sz w:val="28"/>
          </w:rPr>
          <w:t>.</w:t>
        </w:r>
        <w:r>
          <w:rPr>
            <w:rFonts w:ascii="PMingLiU" w:eastAsia="PMingLiU" w:hint="eastAsia"/>
            <w:w w:val="101"/>
            <w:sz w:val="28"/>
          </w:rPr>
          <w:t>c</w:t>
        </w:r>
        <w:r>
          <w:rPr>
            <w:rFonts w:ascii="PMingLiU" w:eastAsia="PMingLiU" w:hint="eastAsia"/>
            <w:spacing w:val="4"/>
            <w:w w:val="110"/>
            <w:sz w:val="28"/>
          </w:rPr>
          <w:t>n</w:t>
        </w:r>
        <w:r>
          <w:rPr>
            <w:rFonts w:ascii="PMingLiU" w:eastAsia="PMingLiU" w:hint="eastAsia"/>
            <w:spacing w:val="-18"/>
            <w:w w:val="195"/>
            <w:sz w:val="28"/>
          </w:rPr>
          <w:t>/</w:t>
        </w:r>
      </w:hyperlink>
      <w:r>
        <w:rPr>
          <w:rFonts w:ascii="PMingLiU" w:eastAsia="PMingLiU" w:hint="eastAsia"/>
          <w:spacing w:val="-15"/>
          <w:w w:val="101"/>
          <w:sz w:val="28"/>
        </w:rPr>
        <w:t>）</w:t>
      </w:r>
      <w:r>
        <w:rPr>
          <w:rFonts w:ascii="PMingLiU" w:eastAsia="PMingLiU" w:hint="eastAsia"/>
          <w:spacing w:val="-8"/>
          <w:w w:val="101"/>
          <w:sz w:val="28"/>
        </w:rPr>
        <w:t>办事指南栏的《青海省</w:t>
      </w:r>
      <w:r>
        <w:rPr>
          <w:rFonts w:ascii="PMingLiU" w:eastAsia="PMingLiU" w:hint="eastAsia"/>
          <w:spacing w:val="-7"/>
          <w:sz w:val="28"/>
        </w:rPr>
        <w:t>公共资源交易平台 </w:t>
      </w:r>
      <w:r>
        <w:rPr>
          <w:rFonts w:ascii="PMingLiU" w:eastAsia="PMingLiU" w:hint="eastAsia"/>
          <w:sz w:val="28"/>
        </w:rPr>
        <w:t>CA</w:t>
      </w:r>
      <w:r>
        <w:rPr>
          <w:rFonts w:ascii="PMingLiU" w:eastAsia="PMingLiU" w:hint="eastAsia"/>
          <w:spacing w:val="-8"/>
          <w:sz w:val="28"/>
        </w:rPr>
        <w:t> 数字证书办理指南》。</w:t>
      </w:r>
    </w:p>
    <w:p>
      <w:pPr>
        <w:pStyle w:val="ListParagraph"/>
        <w:numPr>
          <w:ilvl w:val="1"/>
          <w:numId w:val="5"/>
        </w:numPr>
        <w:tabs>
          <w:tab w:pos="1338" w:val="left" w:leader="none"/>
        </w:tabs>
        <w:spacing w:line="384" w:lineRule="auto" w:before="16" w:after="0"/>
        <w:ind w:left="226" w:right="1316" w:firstLine="645"/>
        <w:jc w:val="both"/>
        <w:rPr>
          <w:rFonts w:ascii="PMingLiU" w:eastAsia="PMingLiU" w:hint="eastAsia"/>
          <w:sz w:val="28"/>
        </w:rPr>
      </w:pPr>
      <w:r>
        <w:rPr/>
        <w:drawing>
          <wp:anchor distT="0" distB="0" distL="0" distR="0" allowOverlap="1" layoutInCell="1" locked="0" behindDoc="1" simplePos="0" relativeHeight="234660864">
            <wp:simplePos x="0" y="0"/>
            <wp:positionH relativeFrom="page">
              <wp:posOffset>992771</wp:posOffset>
            </wp:positionH>
            <wp:positionV relativeFrom="paragraph">
              <wp:posOffset>846588</wp:posOffset>
            </wp:positionV>
            <wp:extent cx="5578970" cy="5494141"/>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PMingLiU" w:eastAsia="PMingLiU" w:hint="eastAsia"/>
          <w:spacing w:val="-20"/>
          <w:sz w:val="28"/>
        </w:rPr>
        <w:t>招标文件</w:t>
      </w:r>
      <w:r>
        <w:rPr>
          <w:rFonts w:ascii="PMingLiU" w:eastAsia="PMingLiU" w:hint="eastAsia"/>
          <w:sz w:val="28"/>
        </w:rPr>
        <w:t>（</w:t>
      </w:r>
      <w:r>
        <w:rPr>
          <w:rFonts w:ascii="PMingLiU" w:eastAsia="PMingLiU" w:hint="eastAsia"/>
          <w:spacing w:val="-9"/>
          <w:sz w:val="28"/>
        </w:rPr>
        <w:t>如有所有本项目需要的编制参考资料</w:t>
      </w:r>
      <w:r>
        <w:rPr>
          <w:rFonts w:ascii="PMingLiU" w:eastAsia="PMingLiU" w:hint="eastAsia"/>
          <w:spacing w:val="-44"/>
          <w:sz w:val="28"/>
        </w:rPr>
        <w:t>）</w:t>
      </w:r>
      <w:r>
        <w:rPr>
          <w:rFonts w:ascii="PMingLiU" w:eastAsia="PMingLiU" w:hint="eastAsia"/>
          <w:spacing w:val="-6"/>
          <w:sz w:val="28"/>
        </w:rPr>
        <w:t>均为招标文件组</w:t>
      </w:r>
      <w:r>
        <w:rPr>
          <w:rFonts w:ascii="PMingLiU" w:eastAsia="PMingLiU" w:hint="eastAsia"/>
          <w:spacing w:val="-18"/>
          <w:sz w:val="28"/>
        </w:rPr>
        <w:t>成部分，必须同时上传至《青海省电子招投标公共服务平台》发布。获取方</w:t>
      </w:r>
      <w:r>
        <w:rPr>
          <w:rFonts w:ascii="PMingLiU" w:eastAsia="PMingLiU" w:hint="eastAsia"/>
          <w:spacing w:val="-15"/>
          <w:sz w:val="28"/>
        </w:rPr>
        <w:t>式：自 </w:t>
      </w:r>
      <w:r>
        <w:rPr>
          <w:rFonts w:ascii="PMingLiU" w:eastAsia="PMingLiU" w:hint="eastAsia"/>
          <w:spacing w:val="-3"/>
          <w:sz w:val="28"/>
        </w:rPr>
        <w:t>2020</w:t>
      </w:r>
      <w:r>
        <w:rPr>
          <w:rFonts w:ascii="PMingLiU" w:eastAsia="PMingLiU" w:hint="eastAsia"/>
          <w:spacing w:val="21"/>
          <w:sz w:val="28"/>
        </w:rPr>
        <w:t> 年</w:t>
      </w:r>
      <w:r>
        <w:rPr>
          <w:rFonts w:ascii="PMingLiU" w:eastAsia="PMingLiU" w:hint="eastAsia"/>
          <w:sz w:val="28"/>
        </w:rPr>
        <w:t>09</w:t>
      </w:r>
      <w:r>
        <w:rPr>
          <w:rFonts w:ascii="PMingLiU" w:eastAsia="PMingLiU" w:hint="eastAsia"/>
          <w:spacing w:val="-3"/>
          <w:sz w:val="28"/>
        </w:rPr>
        <w:t> 月 </w:t>
      </w:r>
      <w:r>
        <w:rPr>
          <w:rFonts w:ascii="PMingLiU" w:eastAsia="PMingLiU" w:hint="eastAsia"/>
          <w:spacing w:val="-7"/>
          <w:sz w:val="28"/>
        </w:rPr>
        <w:t>17</w:t>
      </w:r>
      <w:r>
        <w:rPr>
          <w:rFonts w:ascii="PMingLiU" w:eastAsia="PMingLiU" w:hint="eastAsia"/>
          <w:spacing w:val="-3"/>
          <w:sz w:val="28"/>
        </w:rPr>
        <w:t> 日 00:00</w:t>
      </w:r>
      <w:r>
        <w:rPr>
          <w:rFonts w:ascii="PMingLiU" w:eastAsia="PMingLiU" w:hint="eastAsia"/>
          <w:spacing w:val="-6"/>
          <w:sz w:val="28"/>
        </w:rPr>
        <w:t> 时至 </w:t>
      </w:r>
      <w:r>
        <w:rPr>
          <w:rFonts w:ascii="PMingLiU" w:eastAsia="PMingLiU" w:hint="eastAsia"/>
          <w:spacing w:val="-3"/>
          <w:sz w:val="28"/>
        </w:rPr>
        <w:t>2020 年 </w:t>
      </w:r>
      <w:r>
        <w:rPr>
          <w:rFonts w:ascii="PMingLiU" w:eastAsia="PMingLiU" w:hint="eastAsia"/>
          <w:spacing w:val="-7"/>
          <w:sz w:val="28"/>
        </w:rPr>
        <w:t>09</w:t>
      </w:r>
      <w:r>
        <w:rPr>
          <w:rFonts w:ascii="PMingLiU" w:eastAsia="PMingLiU" w:hint="eastAsia"/>
          <w:spacing w:val="-3"/>
          <w:sz w:val="28"/>
        </w:rPr>
        <w:t> 月 </w:t>
      </w:r>
      <w:r>
        <w:rPr>
          <w:rFonts w:ascii="PMingLiU" w:eastAsia="PMingLiU" w:hint="eastAsia"/>
          <w:sz w:val="28"/>
        </w:rPr>
        <w:t>21</w:t>
      </w:r>
      <w:r>
        <w:rPr>
          <w:rFonts w:ascii="PMingLiU" w:eastAsia="PMingLiU" w:hint="eastAsia"/>
          <w:spacing w:val="-9"/>
          <w:sz w:val="28"/>
        </w:rPr>
        <w:t> 日 </w:t>
      </w:r>
      <w:r>
        <w:rPr>
          <w:rFonts w:ascii="PMingLiU" w:eastAsia="PMingLiU" w:hint="eastAsia"/>
          <w:spacing w:val="-3"/>
          <w:sz w:val="28"/>
        </w:rPr>
        <w:t>24:00</w:t>
      </w:r>
      <w:r>
        <w:rPr>
          <w:rFonts w:ascii="PMingLiU" w:eastAsia="PMingLiU" w:hint="eastAsia"/>
          <w:spacing w:val="-22"/>
          <w:sz w:val="28"/>
        </w:rPr>
        <w:t> 时止，通过《青</w:t>
      </w:r>
      <w:r>
        <w:rPr>
          <w:rFonts w:ascii="PMingLiU" w:eastAsia="PMingLiU" w:hint="eastAsia"/>
          <w:spacing w:val="-17"/>
          <w:sz w:val="28"/>
        </w:rPr>
        <w:t>海省电子招投标公共服务平台》自行免费下载。</w:t>
      </w:r>
    </w:p>
    <w:p>
      <w:pPr>
        <w:pStyle w:val="ListParagraph"/>
        <w:numPr>
          <w:ilvl w:val="1"/>
          <w:numId w:val="5"/>
        </w:numPr>
        <w:tabs>
          <w:tab w:pos="1338" w:val="left" w:leader="none"/>
        </w:tabs>
        <w:spacing w:line="378" w:lineRule="exact" w:before="0" w:after="0"/>
        <w:ind w:left="1338" w:right="0" w:hanging="466"/>
        <w:jc w:val="both"/>
        <w:rPr>
          <w:rFonts w:ascii="PMingLiU" w:eastAsia="PMingLiU" w:hint="eastAsia"/>
          <w:sz w:val="28"/>
        </w:rPr>
      </w:pPr>
      <w:r>
        <w:rPr>
          <w:rFonts w:ascii="PMingLiU" w:eastAsia="PMingLiU" w:hint="eastAsia"/>
          <w:spacing w:val="-20"/>
          <w:sz w:val="28"/>
        </w:rPr>
        <w:t>招标人</w:t>
      </w:r>
      <w:r>
        <w:rPr>
          <w:rFonts w:ascii="PMingLiU" w:eastAsia="PMingLiU" w:hint="eastAsia"/>
          <w:spacing w:val="-15"/>
          <w:sz w:val="28"/>
        </w:rPr>
        <w:t>（</w:t>
      </w:r>
      <w:r>
        <w:rPr>
          <w:rFonts w:ascii="PMingLiU" w:eastAsia="PMingLiU" w:hint="eastAsia"/>
          <w:spacing w:val="-4"/>
          <w:sz w:val="28"/>
        </w:rPr>
        <w:t>代理机构</w:t>
      </w:r>
      <w:r>
        <w:rPr>
          <w:rFonts w:ascii="PMingLiU" w:eastAsia="PMingLiU" w:hint="eastAsia"/>
          <w:spacing w:val="-44"/>
          <w:sz w:val="28"/>
        </w:rPr>
        <w:t>）</w:t>
      </w:r>
      <w:r>
        <w:rPr>
          <w:rFonts w:ascii="PMingLiU" w:eastAsia="PMingLiU" w:hint="eastAsia"/>
          <w:spacing w:val="-12"/>
          <w:sz w:val="28"/>
        </w:rPr>
        <w:t>不得要求投标人到现场领取纸质资料或登记。</w:t>
      </w:r>
    </w:p>
    <w:p>
      <w:pPr>
        <w:pStyle w:val="ListParagraph"/>
        <w:numPr>
          <w:ilvl w:val="1"/>
          <w:numId w:val="5"/>
        </w:numPr>
        <w:tabs>
          <w:tab w:pos="1338" w:val="left" w:leader="none"/>
        </w:tabs>
        <w:spacing w:line="381" w:lineRule="auto" w:before="240" w:after="0"/>
        <w:ind w:left="226" w:right="1317" w:firstLine="645"/>
        <w:jc w:val="both"/>
        <w:rPr>
          <w:rFonts w:ascii="PMingLiU" w:hAnsi="PMingLiU" w:eastAsia="PMingLiU" w:hint="eastAsia"/>
          <w:sz w:val="28"/>
        </w:rPr>
      </w:pPr>
      <w:r>
        <w:rPr>
          <w:rFonts w:ascii="PMingLiU" w:hAnsi="PMingLiU" w:eastAsia="PMingLiU" w:hint="eastAsia"/>
          <w:spacing w:val="-17"/>
          <w:sz w:val="28"/>
        </w:rPr>
        <w:t>潜在投标人自确认参加投标起至投标截止时间前应随时登录《青海</w:t>
      </w:r>
      <w:r>
        <w:rPr>
          <w:rFonts w:ascii="PMingLiU" w:hAnsi="PMingLiU" w:eastAsia="PMingLiU" w:hint="eastAsia"/>
          <w:spacing w:val="-11"/>
          <w:sz w:val="28"/>
        </w:rPr>
        <w:t>省电子招投标公共服务平台》关注 “消息提醒”，及时查看该项目的招标人（代理机构）发出的通知、变更、答疑等内容。</w:t>
      </w:r>
    </w:p>
    <w:p>
      <w:pPr>
        <w:spacing w:line="431" w:lineRule="exact" w:before="0"/>
        <w:ind w:left="226" w:right="0" w:firstLine="0"/>
        <w:jc w:val="both"/>
        <w:rPr>
          <w:rFonts w:ascii="Microsoft JhengHei" w:eastAsia="Microsoft JhengHei" w:hint="eastAsia"/>
          <w:b/>
          <w:sz w:val="28"/>
        </w:rPr>
      </w:pPr>
      <w:r>
        <w:rPr>
          <w:rFonts w:ascii="Microsoft JhengHei" w:eastAsia="Microsoft JhengHei" w:hint="eastAsia"/>
          <w:b/>
          <w:sz w:val="28"/>
        </w:rPr>
        <w:t>5、投标文件的递交</w:t>
      </w:r>
    </w:p>
    <w:p>
      <w:pPr>
        <w:pStyle w:val="ListParagraph"/>
        <w:numPr>
          <w:ilvl w:val="1"/>
          <w:numId w:val="6"/>
        </w:numPr>
        <w:tabs>
          <w:tab w:pos="1338" w:val="left" w:leader="none"/>
        </w:tabs>
        <w:spacing w:line="386" w:lineRule="auto" w:before="192" w:after="0"/>
        <w:ind w:left="226" w:right="1321" w:firstLine="645"/>
        <w:jc w:val="both"/>
        <w:rPr>
          <w:rFonts w:ascii="PMingLiU" w:eastAsia="PMingLiU" w:hint="eastAsia"/>
          <w:sz w:val="28"/>
        </w:rPr>
      </w:pPr>
      <w:r>
        <w:rPr>
          <w:rFonts w:ascii="PMingLiU" w:eastAsia="PMingLiU" w:hint="eastAsia"/>
          <w:spacing w:val="-10"/>
          <w:sz w:val="28"/>
        </w:rPr>
        <w:t>投标文件递交的截止时间</w:t>
      </w:r>
      <w:r>
        <w:rPr>
          <w:rFonts w:ascii="PMingLiU" w:eastAsia="PMingLiU" w:hint="eastAsia"/>
          <w:sz w:val="28"/>
        </w:rPr>
        <w:t>（</w:t>
      </w:r>
      <w:r>
        <w:rPr>
          <w:rFonts w:ascii="PMingLiU" w:eastAsia="PMingLiU" w:hint="eastAsia"/>
          <w:spacing w:val="-7"/>
          <w:sz w:val="28"/>
        </w:rPr>
        <w:t>投标截止时间，下同</w:t>
      </w:r>
      <w:r>
        <w:rPr>
          <w:rFonts w:ascii="PMingLiU" w:eastAsia="PMingLiU" w:hint="eastAsia"/>
          <w:spacing w:val="-30"/>
          <w:sz w:val="28"/>
        </w:rPr>
        <w:t>）</w:t>
      </w:r>
      <w:r>
        <w:rPr>
          <w:rFonts w:ascii="PMingLiU" w:eastAsia="PMingLiU" w:hint="eastAsia"/>
          <w:spacing w:val="17"/>
          <w:sz w:val="28"/>
        </w:rPr>
        <w:t>为 </w:t>
      </w:r>
      <w:r>
        <w:rPr>
          <w:rFonts w:ascii="PMingLiU" w:eastAsia="PMingLiU" w:hint="eastAsia"/>
          <w:spacing w:val="-3"/>
          <w:sz w:val="28"/>
        </w:rPr>
        <w:t>2020</w:t>
      </w:r>
      <w:r>
        <w:rPr>
          <w:rFonts w:ascii="PMingLiU" w:eastAsia="PMingLiU" w:hint="eastAsia"/>
          <w:spacing w:val="17"/>
          <w:sz w:val="28"/>
        </w:rPr>
        <w:t> 年 </w:t>
      </w:r>
      <w:r>
        <w:rPr>
          <w:rFonts w:ascii="PMingLiU" w:eastAsia="PMingLiU" w:hint="eastAsia"/>
          <w:spacing w:val="-7"/>
          <w:sz w:val="28"/>
        </w:rPr>
        <w:t>10</w:t>
      </w:r>
      <w:r>
        <w:rPr>
          <w:rFonts w:ascii="PMingLiU" w:eastAsia="PMingLiU" w:hint="eastAsia"/>
          <w:spacing w:val="20"/>
          <w:sz w:val="28"/>
        </w:rPr>
        <w:t> 月12 日 09 时 00</w:t>
      </w:r>
      <w:r>
        <w:rPr>
          <w:rFonts w:ascii="PMingLiU" w:eastAsia="PMingLiU" w:hint="eastAsia"/>
          <w:spacing w:val="-3"/>
          <w:sz w:val="28"/>
        </w:rPr>
        <w:t> 分 。</w:t>
      </w:r>
    </w:p>
    <w:p>
      <w:pPr>
        <w:pStyle w:val="ListParagraph"/>
        <w:numPr>
          <w:ilvl w:val="1"/>
          <w:numId w:val="6"/>
        </w:numPr>
        <w:tabs>
          <w:tab w:pos="1353" w:val="left" w:leader="none"/>
        </w:tabs>
        <w:spacing w:line="377" w:lineRule="exact" w:before="0" w:after="0"/>
        <w:ind w:left="1353" w:right="0" w:hanging="481"/>
        <w:jc w:val="both"/>
        <w:rPr>
          <w:rFonts w:ascii="PMingLiU" w:eastAsia="PMingLiU" w:hint="eastAsia"/>
          <w:sz w:val="28"/>
        </w:rPr>
      </w:pPr>
      <w:r>
        <w:rPr>
          <w:rFonts w:ascii="PMingLiU" w:eastAsia="PMingLiU" w:hint="eastAsia"/>
          <w:spacing w:val="-5"/>
          <w:sz w:val="28"/>
        </w:rPr>
        <w:t>由招标人</w:t>
      </w:r>
      <w:r>
        <w:rPr>
          <w:rFonts w:ascii="PMingLiU" w:eastAsia="PMingLiU" w:hint="eastAsia"/>
          <w:sz w:val="28"/>
        </w:rPr>
        <w:t>（代理机构）在海东市公共资源交易中心.开标室三（乐</w:t>
      </w:r>
    </w:p>
    <w:p>
      <w:pPr>
        <w:spacing w:line="384" w:lineRule="auto" w:before="239"/>
        <w:ind w:left="226" w:right="1317" w:firstLine="0"/>
        <w:jc w:val="both"/>
        <w:rPr>
          <w:rFonts w:ascii="PMingLiU" w:hAnsi="PMingLiU" w:eastAsia="PMingLiU" w:hint="eastAsia"/>
          <w:sz w:val="28"/>
        </w:rPr>
      </w:pPr>
      <w:r>
        <w:rPr>
          <w:rFonts w:ascii="PMingLiU" w:hAnsi="PMingLiU" w:eastAsia="PMingLiU" w:hint="eastAsia"/>
          <w:sz w:val="28"/>
        </w:rPr>
        <w:t>都区</w:t>
      </w:r>
      <w:r>
        <w:rPr>
          <w:rFonts w:ascii="PMingLiU" w:hAnsi="PMingLiU" w:eastAsia="PMingLiU" w:hint="eastAsia"/>
          <w:spacing w:val="-46"/>
          <w:sz w:val="28"/>
        </w:rPr>
        <w:t>）（</w:t>
      </w:r>
      <w:r>
        <w:rPr>
          <w:rFonts w:ascii="PMingLiU" w:hAnsi="PMingLiU" w:eastAsia="PMingLiU" w:hint="eastAsia"/>
          <w:spacing w:val="-10"/>
          <w:sz w:val="28"/>
        </w:rPr>
        <w:t>地址：海东市乐都区朝阳山片区海东大道南凉路</w:t>
      </w:r>
      <w:r>
        <w:rPr>
          <w:rFonts w:ascii="PMingLiU" w:hAnsi="PMingLiU" w:eastAsia="PMingLiU" w:hint="eastAsia"/>
          <w:spacing w:val="-45"/>
          <w:sz w:val="28"/>
        </w:rPr>
        <w:t>）</w:t>
      </w:r>
      <w:r>
        <w:rPr>
          <w:rFonts w:ascii="PMingLiU" w:hAnsi="PMingLiU" w:eastAsia="PMingLiU" w:hint="eastAsia"/>
          <w:spacing w:val="-6"/>
          <w:sz w:val="28"/>
        </w:rPr>
        <w:t>组织远程解密、</w:t>
      </w:r>
      <w:r>
        <w:rPr>
          <w:rFonts w:ascii="PMingLiU" w:hAnsi="PMingLiU" w:eastAsia="PMingLiU" w:hint="eastAsia"/>
          <w:spacing w:val="-12"/>
          <w:sz w:val="28"/>
        </w:rPr>
        <w:t>远程在线开标。潜在投标人应当在截止时间前，通过互联网使用</w:t>
      </w:r>
      <w:r>
        <w:rPr>
          <w:rFonts w:ascii="PMingLiU" w:hAnsi="PMingLiU" w:eastAsia="PMingLiU" w:hint="eastAsia"/>
          <w:sz w:val="28"/>
        </w:rPr>
        <w:t>CA</w:t>
      </w:r>
      <w:r>
        <w:rPr>
          <w:rFonts w:ascii="PMingLiU" w:hAnsi="PMingLiU" w:eastAsia="PMingLiU" w:hint="eastAsia"/>
          <w:spacing w:val="15"/>
          <w:sz w:val="28"/>
        </w:rPr>
        <w:t> 数字证书登录“青海省电子招投标公共服务平台”，选择所投标段将加密的电子投标文件上传。投标人完成投标文件上传后，“电子交易平台”即时向投标人发出电子签收凭证，递交时间以电子签收凭证载明的传输完成时间为准。</w:t>
      </w:r>
    </w:p>
    <w:p>
      <w:pPr>
        <w:pStyle w:val="ListParagraph"/>
        <w:numPr>
          <w:ilvl w:val="1"/>
          <w:numId w:val="6"/>
        </w:numPr>
        <w:tabs>
          <w:tab w:pos="1353" w:val="left" w:leader="none"/>
        </w:tabs>
        <w:spacing w:line="376" w:lineRule="auto" w:before="0" w:after="0"/>
        <w:ind w:left="226" w:right="1319" w:firstLine="645"/>
        <w:jc w:val="left"/>
        <w:rPr>
          <w:rFonts w:ascii="PMingLiU" w:hAnsi="PMingLiU" w:eastAsia="PMingLiU" w:hint="eastAsia"/>
          <w:sz w:val="28"/>
        </w:rPr>
      </w:pPr>
      <w:r>
        <w:rPr>
          <w:rFonts w:ascii="PMingLiU" w:hAnsi="PMingLiU" w:eastAsia="PMingLiU" w:hint="eastAsia"/>
          <w:sz w:val="28"/>
        </w:rPr>
        <w:t>本项目采用远程解密、远程开标的“不见面开标方式”依法组织</w:t>
      </w:r>
      <w:r>
        <w:rPr>
          <w:rFonts w:ascii="PMingLiU" w:hAnsi="PMingLiU" w:eastAsia="PMingLiU" w:hint="eastAsia"/>
          <w:spacing w:val="-12"/>
          <w:sz w:val="28"/>
        </w:rPr>
        <w:t>开标活动。投标人不到开标现场，投标人应在开标时间前提前使用</w:t>
      </w:r>
      <w:r>
        <w:rPr>
          <w:rFonts w:ascii="PMingLiU" w:hAnsi="PMingLiU" w:eastAsia="PMingLiU" w:hint="eastAsia"/>
          <w:spacing w:val="-8"/>
          <w:sz w:val="28"/>
        </w:rPr>
        <w:t>CA</w:t>
      </w:r>
      <w:r>
        <w:rPr>
          <w:rFonts w:ascii="PMingLiU" w:hAnsi="PMingLiU" w:eastAsia="PMingLiU" w:hint="eastAsia"/>
          <w:spacing w:val="10"/>
          <w:sz w:val="28"/>
        </w:rPr>
        <w:t> 数字</w:t>
      </w:r>
    </w:p>
    <w:p>
      <w:pPr>
        <w:spacing w:after="0" w:line="376" w:lineRule="auto"/>
        <w:jc w:val="left"/>
        <w:rPr>
          <w:rFonts w:ascii="PMingLiU" w:hAnsi="PMingLiU" w:eastAsia="PMingLiU" w:hint="eastAsia"/>
          <w:sz w:val="28"/>
        </w:rPr>
        <w:sectPr>
          <w:pgSz w:w="11910" w:h="16850"/>
          <w:pgMar w:header="911" w:footer="0" w:top="1380" w:bottom="280" w:left="1200" w:right="0"/>
        </w:sectPr>
      </w:pPr>
    </w:p>
    <w:p>
      <w:pPr>
        <w:spacing w:line="381" w:lineRule="auto" w:before="155"/>
        <w:ind w:left="226" w:right="1317" w:firstLine="0"/>
        <w:jc w:val="both"/>
        <w:rPr>
          <w:rFonts w:ascii="PMingLiU" w:hAnsi="PMingLiU" w:eastAsia="PMingLiU" w:hint="eastAsia"/>
          <w:sz w:val="28"/>
        </w:rPr>
      </w:pPr>
      <w:r>
        <w:rPr>
          <w:rFonts w:ascii="PMingLiU" w:hAnsi="PMingLiU" w:eastAsia="PMingLiU" w:hint="eastAsia"/>
          <w:sz w:val="28"/>
        </w:rPr>
        <w:t>证书登录“不见面开标系统”，等待开标并按系统提示进行相应的投标人</w:t>
      </w:r>
      <w:r>
        <w:rPr>
          <w:rFonts w:ascii="PMingLiU" w:hAnsi="PMingLiU" w:eastAsia="PMingLiU" w:hint="eastAsia"/>
          <w:spacing w:val="-16"/>
          <w:sz w:val="28"/>
        </w:rPr>
        <w:t>解密等事项。投标人应查阅青海省电子招投标公共服务平台《远程异地开标</w:t>
      </w:r>
      <w:r>
        <w:rPr>
          <w:rFonts w:ascii="PMingLiU" w:hAnsi="PMingLiU" w:eastAsia="PMingLiU" w:hint="eastAsia"/>
          <w:spacing w:val="-15"/>
          <w:sz w:val="28"/>
        </w:rPr>
        <w:t>操作手册》，熟练掌握远程投标、远程解密操作规范和方法。</w:t>
      </w:r>
    </w:p>
    <w:p>
      <w:pPr>
        <w:pStyle w:val="ListParagraph"/>
        <w:numPr>
          <w:ilvl w:val="1"/>
          <w:numId w:val="6"/>
        </w:numPr>
        <w:tabs>
          <w:tab w:pos="1338" w:val="left" w:leader="none"/>
        </w:tabs>
        <w:spacing w:line="384" w:lineRule="auto" w:before="0" w:after="0"/>
        <w:ind w:left="226" w:right="1321" w:firstLine="645"/>
        <w:jc w:val="both"/>
        <w:rPr>
          <w:rFonts w:ascii="PMingLiU" w:eastAsia="PMingLiU" w:hint="eastAsia"/>
          <w:sz w:val="28"/>
        </w:rPr>
      </w:pPr>
      <w:r>
        <w:rPr/>
        <w:drawing>
          <wp:anchor distT="0" distB="0" distL="0" distR="0" allowOverlap="1" layoutInCell="1" locked="0" behindDoc="1" simplePos="0" relativeHeight="234661888">
            <wp:simplePos x="0" y="0"/>
            <wp:positionH relativeFrom="page">
              <wp:posOffset>992771</wp:posOffset>
            </wp:positionH>
            <wp:positionV relativeFrom="paragraph">
              <wp:posOffset>445521</wp:posOffset>
            </wp:positionV>
            <wp:extent cx="5578970" cy="5494141"/>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PMingLiU" w:eastAsia="PMingLiU" w:hint="eastAsia"/>
          <w:spacing w:val="-8"/>
          <w:sz w:val="28"/>
        </w:rPr>
        <w:t>投标截止时间前未完成投标文件传输的，视为撤回投标文件。 投标截止时间后送达的投标文件，青海省电子招投标公共服务平台拒收。因投标人原因造成投标文件未解密的，视为撤消其投标文件。部分投标文件</w:t>
      </w:r>
      <w:r>
        <w:rPr>
          <w:rFonts w:ascii="PMingLiU" w:eastAsia="PMingLiU" w:hint="eastAsia"/>
          <w:spacing w:val="-11"/>
          <w:sz w:val="28"/>
        </w:rPr>
        <w:t>未解密的，其他投标文件的开标继续进行。</w:t>
      </w:r>
    </w:p>
    <w:p>
      <w:pPr>
        <w:spacing w:line="424" w:lineRule="exact" w:before="0"/>
        <w:ind w:left="226" w:right="0" w:firstLine="0"/>
        <w:jc w:val="both"/>
        <w:rPr>
          <w:rFonts w:ascii="Microsoft JhengHei" w:eastAsia="Microsoft JhengHei" w:hint="eastAsia"/>
          <w:b/>
          <w:sz w:val="28"/>
        </w:rPr>
      </w:pPr>
      <w:r>
        <w:rPr>
          <w:rFonts w:ascii="Microsoft JhengHei" w:eastAsia="Microsoft JhengHei" w:hint="eastAsia"/>
          <w:b/>
          <w:sz w:val="28"/>
        </w:rPr>
        <w:t>6 、发布公告发布媒介</w:t>
      </w:r>
    </w:p>
    <w:p>
      <w:pPr>
        <w:pStyle w:val="ListParagraph"/>
        <w:numPr>
          <w:ilvl w:val="0"/>
          <w:numId w:val="7"/>
        </w:numPr>
        <w:tabs>
          <w:tab w:pos="1068" w:val="left" w:leader="none"/>
        </w:tabs>
        <w:spacing w:line="240" w:lineRule="auto" w:before="187" w:after="0"/>
        <w:ind w:left="1068" w:right="0" w:hanging="421"/>
        <w:jc w:val="left"/>
        <w:rPr>
          <w:rFonts w:ascii="PMingLiU" w:hAnsi="PMingLiU" w:eastAsia="PMingLiU" w:hint="eastAsia"/>
          <w:sz w:val="28"/>
        </w:rPr>
      </w:pPr>
      <w:r>
        <w:rPr>
          <w:rFonts w:ascii="PMingLiU" w:hAnsi="PMingLiU" w:eastAsia="PMingLiU" w:hint="eastAsia"/>
          <w:spacing w:val="-3"/>
          <w:sz w:val="28"/>
        </w:rPr>
        <w:t>中国招投标公共服务平台(www.cebpubservice.com</w:t>
      </w:r>
      <w:r>
        <w:rPr>
          <w:rFonts w:ascii="PMingLiU" w:hAnsi="PMingLiU" w:eastAsia="PMingLiU" w:hint="eastAsia"/>
          <w:spacing w:val="-2"/>
          <w:sz w:val="28"/>
        </w:rPr>
        <w:t>)。</w:t>
      </w:r>
    </w:p>
    <w:p>
      <w:pPr>
        <w:pStyle w:val="ListParagraph"/>
        <w:numPr>
          <w:ilvl w:val="0"/>
          <w:numId w:val="7"/>
        </w:numPr>
        <w:tabs>
          <w:tab w:pos="1068" w:val="left" w:leader="none"/>
        </w:tabs>
        <w:spacing w:line="328" w:lineRule="auto" w:before="239" w:after="0"/>
        <w:ind w:left="226" w:right="1665" w:firstLine="420"/>
        <w:jc w:val="left"/>
        <w:rPr>
          <w:rFonts w:ascii="Microsoft JhengHei" w:hAnsi="Microsoft JhengHei" w:eastAsia="Microsoft JhengHei" w:hint="eastAsia"/>
          <w:b/>
          <w:sz w:val="28"/>
        </w:rPr>
      </w:pPr>
      <w:r>
        <w:rPr>
          <w:rFonts w:ascii="PMingLiU" w:hAnsi="PMingLiU" w:eastAsia="PMingLiU" w:hint="eastAsia"/>
          <w:spacing w:val="-3"/>
          <w:w w:val="101"/>
          <w:sz w:val="28"/>
        </w:rPr>
        <w:t>青海省电子招标投标公共服务平台</w:t>
      </w:r>
      <w:r>
        <w:rPr>
          <w:rFonts w:ascii="PMingLiU" w:hAnsi="PMingLiU" w:eastAsia="PMingLiU" w:hint="eastAsia"/>
          <w:spacing w:val="6"/>
          <w:w w:val="94"/>
          <w:sz w:val="28"/>
        </w:rPr>
        <w:t>(</w:t>
      </w:r>
      <w:r>
        <w:rPr>
          <w:rFonts w:ascii="PMingLiU" w:hAnsi="PMingLiU" w:eastAsia="PMingLiU" w:hint="eastAsia"/>
          <w:spacing w:val="-11"/>
          <w:w w:val="110"/>
          <w:sz w:val="28"/>
        </w:rPr>
        <w:t>h</w:t>
      </w:r>
      <w:r>
        <w:rPr>
          <w:rFonts w:ascii="PMingLiU" w:hAnsi="PMingLiU" w:eastAsia="PMingLiU" w:hint="eastAsia"/>
          <w:spacing w:val="6"/>
          <w:w w:val="113"/>
          <w:sz w:val="28"/>
        </w:rPr>
        <w:t>t</w:t>
      </w:r>
      <w:r>
        <w:rPr>
          <w:rFonts w:ascii="PMingLiU" w:hAnsi="PMingLiU" w:eastAsia="PMingLiU" w:hint="eastAsia"/>
          <w:spacing w:val="-9"/>
          <w:w w:val="113"/>
          <w:sz w:val="28"/>
        </w:rPr>
        <w:t>t</w:t>
      </w:r>
      <w:r>
        <w:rPr>
          <w:rFonts w:ascii="PMingLiU" w:hAnsi="PMingLiU" w:eastAsia="PMingLiU" w:hint="eastAsia"/>
          <w:spacing w:val="4"/>
          <w:w w:val="110"/>
          <w:sz w:val="28"/>
        </w:rPr>
        <w:t>p</w:t>
      </w:r>
      <w:r>
        <w:rPr>
          <w:rFonts w:ascii="PMingLiU" w:hAnsi="PMingLiU" w:eastAsia="PMingLiU" w:hint="eastAsia"/>
          <w:spacing w:val="-3"/>
          <w:w w:val="85"/>
          <w:sz w:val="28"/>
        </w:rPr>
        <w:t>:</w:t>
      </w:r>
      <w:r>
        <w:rPr>
          <w:rFonts w:ascii="PMingLiU" w:hAnsi="PMingLiU" w:eastAsia="PMingLiU" w:hint="eastAsia"/>
          <w:spacing w:val="-8"/>
          <w:w w:val="195"/>
          <w:sz w:val="28"/>
        </w:rPr>
        <w:t>//</w:t>
      </w:r>
      <w:r>
        <w:rPr>
          <w:rFonts w:ascii="PMingLiU" w:hAnsi="PMingLiU" w:eastAsia="PMingLiU" w:hint="eastAsia"/>
          <w:spacing w:val="4"/>
          <w:w w:val="100"/>
          <w:sz w:val="28"/>
        </w:rPr>
        <w:t>w</w:t>
      </w:r>
      <w:r>
        <w:rPr>
          <w:rFonts w:ascii="PMingLiU" w:hAnsi="PMingLiU" w:eastAsia="PMingLiU" w:hint="eastAsia"/>
          <w:spacing w:val="-10"/>
          <w:w w:val="100"/>
          <w:sz w:val="28"/>
        </w:rPr>
        <w:t>w</w:t>
      </w:r>
      <w:r>
        <w:rPr>
          <w:rFonts w:ascii="PMingLiU" w:hAnsi="PMingLiU" w:eastAsia="PMingLiU" w:hint="eastAsia"/>
          <w:spacing w:val="4"/>
          <w:w w:val="100"/>
          <w:sz w:val="28"/>
        </w:rPr>
        <w:t>w</w:t>
      </w:r>
      <w:r>
        <w:rPr>
          <w:rFonts w:ascii="PMingLiU" w:hAnsi="PMingLiU" w:eastAsia="PMingLiU" w:hint="eastAsia"/>
          <w:spacing w:val="-3"/>
          <w:w w:val="94"/>
          <w:sz w:val="28"/>
        </w:rPr>
        <w:t>.</w:t>
      </w:r>
      <w:r>
        <w:rPr>
          <w:rFonts w:ascii="PMingLiU" w:hAnsi="PMingLiU" w:eastAsia="PMingLiU" w:hint="eastAsia"/>
          <w:spacing w:val="-5"/>
          <w:w w:val="106"/>
          <w:sz w:val="28"/>
        </w:rPr>
        <w:t>q</w:t>
      </w:r>
      <w:r>
        <w:rPr>
          <w:rFonts w:ascii="PMingLiU" w:hAnsi="PMingLiU" w:eastAsia="PMingLiU" w:hint="eastAsia"/>
          <w:spacing w:val="-11"/>
          <w:w w:val="110"/>
          <w:sz w:val="28"/>
        </w:rPr>
        <w:t>h</w:t>
      </w:r>
      <w:r>
        <w:rPr>
          <w:rFonts w:ascii="PMingLiU" w:hAnsi="PMingLiU" w:eastAsia="PMingLiU" w:hint="eastAsia"/>
          <w:spacing w:val="-8"/>
          <w:w w:val="108"/>
          <w:sz w:val="28"/>
        </w:rPr>
        <w:t>d</w:t>
      </w:r>
      <w:r>
        <w:rPr>
          <w:rFonts w:ascii="PMingLiU" w:hAnsi="PMingLiU" w:eastAsia="PMingLiU" w:hint="eastAsia"/>
          <w:spacing w:val="-2"/>
          <w:w w:val="104"/>
          <w:sz w:val="28"/>
        </w:rPr>
        <w:t>zz</w:t>
      </w:r>
      <w:r>
        <w:rPr>
          <w:rFonts w:ascii="PMingLiU" w:hAnsi="PMingLiU" w:eastAsia="PMingLiU" w:hint="eastAsia"/>
          <w:spacing w:val="4"/>
          <w:w w:val="110"/>
          <w:sz w:val="28"/>
        </w:rPr>
        <w:t>b</w:t>
      </w:r>
      <w:r>
        <w:rPr>
          <w:rFonts w:ascii="PMingLiU" w:hAnsi="PMingLiU" w:eastAsia="PMingLiU" w:hint="eastAsia"/>
          <w:spacing w:val="-2"/>
          <w:w w:val="104"/>
          <w:sz w:val="28"/>
        </w:rPr>
        <w:t>f</w:t>
      </w:r>
      <w:r>
        <w:rPr>
          <w:rFonts w:ascii="PMingLiU" w:hAnsi="PMingLiU" w:eastAsia="PMingLiU" w:hint="eastAsia"/>
          <w:spacing w:val="4"/>
          <w:w w:val="100"/>
          <w:sz w:val="28"/>
        </w:rPr>
        <w:t>w</w:t>
      </w:r>
      <w:r>
        <w:rPr>
          <w:rFonts w:ascii="PMingLiU" w:hAnsi="PMingLiU" w:eastAsia="PMingLiU" w:hint="eastAsia"/>
          <w:spacing w:val="-3"/>
          <w:w w:val="94"/>
          <w:sz w:val="28"/>
        </w:rPr>
        <w:t>.</w:t>
      </w:r>
      <w:r>
        <w:rPr>
          <w:rFonts w:ascii="PMingLiU" w:hAnsi="PMingLiU" w:eastAsia="PMingLiU" w:hint="eastAsia"/>
          <w:spacing w:val="-8"/>
          <w:w w:val="97"/>
          <w:sz w:val="28"/>
        </w:rPr>
        <w:t>g</w:t>
      </w:r>
      <w:r>
        <w:rPr>
          <w:rFonts w:ascii="PMingLiU" w:hAnsi="PMingLiU" w:eastAsia="PMingLiU" w:hint="eastAsia"/>
          <w:spacing w:val="4"/>
          <w:w w:val="110"/>
          <w:sz w:val="28"/>
        </w:rPr>
        <w:t>o</w:t>
      </w:r>
      <w:r>
        <w:rPr>
          <w:rFonts w:ascii="PMingLiU" w:hAnsi="PMingLiU" w:eastAsia="PMingLiU" w:hint="eastAsia"/>
          <w:spacing w:val="-14"/>
          <w:w w:val="101"/>
          <w:sz w:val="28"/>
        </w:rPr>
        <w:t>v</w:t>
      </w:r>
      <w:r>
        <w:rPr>
          <w:rFonts w:ascii="PMingLiU" w:hAnsi="PMingLiU" w:eastAsia="PMingLiU" w:hint="eastAsia"/>
          <w:spacing w:val="-3"/>
          <w:w w:val="94"/>
          <w:sz w:val="28"/>
        </w:rPr>
        <w:t>.</w:t>
      </w:r>
      <w:r>
        <w:rPr>
          <w:rFonts w:ascii="PMingLiU" w:hAnsi="PMingLiU" w:eastAsia="PMingLiU" w:hint="eastAsia"/>
          <w:w w:val="101"/>
          <w:sz w:val="28"/>
        </w:rPr>
        <w:t>c</w:t>
      </w:r>
      <w:r>
        <w:rPr>
          <w:rFonts w:ascii="PMingLiU" w:hAnsi="PMingLiU" w:eastAsia="PMingLiU" w:hint="eastAsia"/>
          <w:spacing w:val="4"/>
          <w:w w:val="110"/>
          <w:sz w:val="28"/>
        </w:rPr>
        <w:t>n</w:t>
      </w:r>
      <w:r>
        <w:rPr>
          <w:rFonts w:ascii="PMingLiU" w:hAnsi="PMingLiU" w:eastAsia="PMingLiU" w:hint="eastAsia"/>
          <w:spacing w:val="-2"/>
          <w:w w:val="94"/>
          <w:sz w:val="28"/>
        </w:rPr>
        <w:t>)</w:t>
      </w:r>
      <w:r>
        <w:rPr>
          <w:rFonts w:ascii="PMingLiU" w:hAnsi="PMingLiU" w:eastAsia="PMingLiU" w:hint="eastAsia"/>
          <w:w w:val="101"/>
          <w:sz w:val="28"/>
        </w:rPr>
        <w:t>。 </w:t>
      </w:r>
      <w:r>
        <w:rPr>
          <w:rFonts w:ascii="Microsoft JhengHei" w:hAnsi="Microsoft JhengHei" w:eastAsia="Microsoft JhengHei" w:hint="eastAsia"/>
          <w:b/>
          <w:sz w:val="28"/>
        </w:rPr>
        <w:t>7</w:t>
      </w:r>
      <w:r>
        <w:rPr>
          <w:rFonts w:ascii="Microsoft JhengHei" w:hAnsi="Microsoft JhengHei" w:eastAsia="Microsoft JhengHei" w:hint="eastAsia"/>
          <w:b/>
          <w:spacing w:val="10"/>
          <w:sz w:val="28"/>
        </w:rPr>
        <w:t> 、联系方式</w:t>
      </w:r>
    </w:p>
    <w:p>
      <w:pPr>
        <w:spacing w:before="4"/>
        <w:ind w:left="226" w:right="0" w:firstLine="0"/>
        <w:jc w:val="left"/>
        <w:rPr>
          <w:rFonts w:ascii="PMingLiU" w:eastAsia="PMingLiU" w:hint="eastAsia"/>
          <w:sz w:val="28"/>
        </w:rPr>
      </w:pPr>
      <w:r>
        <w:rPr>
          <w:rFonts w:ascii="PMingLiU" w:eastAsia="PMingLiU" w:hint="eastAsia"/>
          <w:sz w:val="28"/>
        </w:rPr>
        <w:t>招标人：互助土族自治县农业农村和科技局</w:t>
      </w:r>
    </w:p>
    <w:p>
      <w:pPr>
        <w:pStyle w:val="BodyText"/>
        <w:spacing w:before="2"/>
        <w:rPr>
          <w:rFonts w:ascii="PMingLiU"/>
          <w:sz w:val="19"/>
        </w:rPr>
      </w:pP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23"/>
        <w:gridCol w:w="609"/>
        <w:gridCol w:w="661"/>
        <w:gridCol w:w="5199"/>
        <w:gridCol w:w="405"/>
        <w:gridCol w:w="554"/>
      </w:tblGrid>
      <w:tr>
        <w:trPr>
          <w:trHeight w:val="1762" w:hRule="atLeast"/>
        </w:trPr>
        <w:tc>
          <w:tcPr>
            <w:tcW w:w="2732" w:type="dxa"/>
            <w:gridSpan w:val="2"/>
          </w:tcPr>
          <w:p>
            <w:pPr>
              <w:pStyle w:val="TableParagraph"/>
              <w:spacing w:line="376" w:lineRule="auto" w:before="1"/>
              <w:ind w:left="200" w:right="114"/>
              <w:rPr>
                <w:rFonts w:ascii="PMingLiU" w:eastAsia="PMingLiU" w:hint="eastAsia"/>
                <w:sz w:val="28"/>
              </w:rPr>
            </w:pPr>
            <w:r>
              <w:rPr>
                <w:rFonts w:ascii="PMingLiU" w:eastAsia="PMingLiU" w:hint="eastAsia"/>
                <w:sz w:val="28"/>
              </w:rPr>
              <w:t>招标代理机构： 青海唐融工程咨询管</w:t>
            </w:r>
          </w:p>
          <w:p>
            <w:pPr>
              <w:pStyle w:val="TableParagraph"/>
              <w:spacing w:before="17"/>
              <w:ind w:left="200"/>
              <w:rPr>
                <w:rFonts w:ascii="PMingLiU" w:eastAsia="PMingLiU" w:hint="eastAsia"/>
                <w:sz w:val="28"/>
              </w:rPr>
            </w:pPr>
            <w:r>
              <w:rPr>
                <w:rFonts w:ascii="PMingLiU" w:eastAsia="PMingLiU" w:hint="eastAsia"/>
                <w:sz w:val="28"/>
              </w:rPr>
              <w:t>理有限公司</w:t>
            </w:r>
          </w:p>
        </w:tc>
        <w:tc>
          <w:tcPr>
            <w:tcW w:w="6819" w:type="dxa"/>
            <w:gridSpan w:val="4"/>
          </w:tcPr>
          <w:p>
            <w:pPr>
              <w:pStyle w:val="TableParagraph"/>
              <w:rPr>
                <w:rFonts w:ascii="Times New Roman"/>
                <w:sz w:val="28"/>
              </w:rPr>
            </w:pPr>
          </w:p>
        </w:tc>
      </w:tr>
      <w:tr>
        <w:trPr>
          <w:trHeight w:val="1276" w:hRule="atLeast"/>
        </w:trPr>
        <w:tc>
          <w:tcPr>
            <w:tcW w:w="2732" w:type="dxa"/>
            <w:gridSpan w:val="2"/>
          </w:tcPr>
          <w:p>
            <w:pPr>
              <w:pStyle w:val="TableParagraph"/>
              <w:tabs>
                <w:tab w:pos="755" w:val="left" w:leader="none"/>
              </w:tabs>
              <w:spacing w:before="146"/>
              <w:ind w:left="200"/>
              <w:rPr>
                <w:rFonts w:ascii="PMingLiU" w:eastAsia="PMingLiU" w:hint="eastAsia"/>
                <w:sz w:val="28"/>
              </w:rPr>
            </w:pPr>
            <w:r>
              <w:rPr>
                <w:rFonts w:ascii="PMingLiU" w:eastAsia="PMingLiU" w:hint="eastAsia"/>
                <w:sz w:val="28"/>
              </w:rPr>
              <w:t>地</w:t>
              <w:tab/>
              <w:t>址：</w:t>
            </w:r>
          </w:p>
        </w:tc>
        <w:tc>
          <w:tcPr>
            <w:tcW w:w="661" w:type="dxa"/>
          </w:tcPr>
          <w:p>
            <w:pPr>
              <w:pStyle w:val="TableParagraph"/>
              <w:spacing w:before="146"/>
              <w:ind w:left="111"/>
              <w:rPr>
                <w:rFonts w:ascii="PMingLiU" w:eastAsia="PMingLiU" w:hint="eastAsia"/>
                <w:sz w:val="28"/>
              </w:rPr>
            </w:pPr>
            <w:r>
              <w:rPr>
                <w:rFonts w:ascii="PMingLiU" w:eastAsia="PMingLiU" w:hint="eastAsia"/>
                <w:w w:val="101"/>
                <w:sz w:val="28"/>
              </w:rPr>
              <w:t>地</w:t>
            </w:r>
          </w:p>
          <w:p>
            <w:pPr>
              <w:pStyle w:val="TableParagraph"/>
              <w:spacing w:before="224"/>
              <w:ind w:left="111"/>
              <w:rPr>
                <w:rFonts w:ascii="PMingLiU"/>
                <w:sz w:val="28"/>
              </w:rPr>
            </w:pPr>
            <w:r>
              <w:rPr>
                <w:rFonts w:ascii="PMingLiU"/>
                <w:sz w:val="28"/>
              </w:rPr>
              <w:t>1506</w:t>
            </w:r>
          </w:p>
        </w:tc>
        <w:tc>
          <w:tcPr>
            <w:tcW w:w="5199" w:type="dxa"/>
          </w:tcPr>
          <w:p>
            <w:pPr>
              <w:pStyle w:val="TableParagraph"/>
              <w:spacing w:before="146"/>
              <w:ind w:left="36"/>
              <w:rPr>
                <w:rFonts w:ascii="PMingLiU" w:eastAsia="PMingLiU" w:hint="eastAsia"/>
                <w:sz w:val="28"/>
              </w:rPr>
            </w:pPr>
            <w:r>
              <w:rPr>
                <w:rFonts w:ascii="PMingLiU" w:eastAsia="PMingLiU" w:hint="eastAsia"/>
                <w:sz w:val="28"/>
              </w:rPr>
              <w:t>址：青海省西宁市城中区西大街世贸大厦</w:t>
            </w:r>
          </w:p>
          <w:p>
            <w:pPr>
              <w:pStyle w:val="TableParagraph"/>
              <w:spacing w:before="224"/>
              <w:ind w:left="66"/>
              <w:rPr>
                <w:rFonts w:ascii="PMingLiU" w:eastAsia="PMingLiU" w:hint="eastAsia"/>
                <w:sz w:val="28"/>
              </w:rPr>
            </w:pPr>
            <w:r>
              <w:rPr>
                <w:rFonts w:ascii="PMingLiU" w:eastAsia="PMingLiU" w:hint="eastAsia"/>
                <w:w w:val="101"/>
                <w:sz w:val="28"/>
              </w:rPr>
              <w:t>室</w:t>
            </w:r>
          </w:p>
        </w:tc>
        <w:tc>
          <w:tcPr>
            <w:tcW w:w="405" w:type="dxa"/>
          </w:tcPr>
          <w:p>
            <w:pPr>
              <w:pStyle w:val="TableParagraph"/>
              <w:spacing w:before="146"/>
              <w:ind w:left="63"/>
              <w:rPr>
                <w:rFonts w:ascii="PMingLiU"/>
                <w:sz w:val="28"/>
              </w:rPr>
            </w:pPr>
            <w:r>
              <w:rPr>
                <w:rFonts w:ascii="PMingLiU"/>
                <w:sz w:val="28"/>
              </w:rPr>
              <w:t>15</w:t>
            </w:r>
          </w:p>
        </w:tc>
        <w:tc>
          <w:tcPr>
            <w:tcW w:w="554" w:type="dxa"/>
          </w:tcPr>
          <w:p>
            <w:pPr>
              <w:pStyle w:val="TableParagraph"/>
              <w:spacing w:before="146"/>
              <w:ind w:left="63"/>
              <w:rPr>
                <w:rFonts w:ascii="PMingLiU" w:eastAsia="PMingLiU" w:hint="eastAsia"/>
                <w:sz w:val="28"/>
              </w:rPr>
            </w:pPr>
            <w:r>
              <w:rPr>
                <w:rFonts w:ascii="PMingLiU" w:eastAsia="PMingLiU" w:hint="eastAsia"/>
                <w:w w:val="101"/>
                <w:sz w:val="28"/>
              </w:rPr>
              <w:t>楼</w:t>
            </w:r>
          </w:p>
        </w:tc>
      </w:tr>
      <w:tr>
        <w:trPr>
          <w:trHeight w:val="653" w:hRule="atLeast"/>
        </w:trPr>
        <w:tc>
          <w:tcPr>
            <w:tcW w:w="2732" w:type="dxa"/>
            <w:gridSpan w:val="2"/>
          </w:tcPr>
          <w:p>
            <w:pPr>
              <w:pStyle w:val="TableParagraph"/>
              <w:spacing w:before="146"/>
              <w:ind w:left="200"/>
              <w:rPr>
                <w:rFonts w:ascii="PMingLiU" w:eastAsia="PMingLiU" w:hint="eastAsia"/>
                <w:sz w:val="28"/>
              </w:rPr>
            </w:pPr>
            <w:r>
              <w:rPr>
                <w:rFonts w:ascii="PMingLiU" w:eastAsia="PMingLiU" w:hint="eastAsia"/>
                <w:sz w:val="28"/>
              </w:rPr>
              <w:t>联系人：张先生</w:t>
            </w:r>
          </w:p>
        </w:tc>
        <w:tc>
          <w:tcPr>
            <w:tcW w:w="6819" w:type="dxa"/>
            <w:gridSpan w:val="4"/>
          </w:tcPr>
          <w:p>
            <w:pPr>
              <w:pStyle w:val="TableParagraph"/>
              <w:spacing w:before="146"/>
              <w:ind w:left="111"/>
              <w:rPr>
                <w:rFonts w:ascii="PMingLiU" w:eastAsia="PMingLiU" w:hint="eastAsia"/>
                <w:sz w:val="28"/>
              </w:rPr>
            </w:pPr>
            <w:r>
              <w:rPr>
                <w:rFonts w:ascii="PMingLiU" w:eastAsia="PMingLiU" w:hint="eastAsia"/>
                <w:sz w:val="28"/>
              </w:rPr>
              <w:t>联系人：韩先生</w:t>
            </w:r>
          </w:p>
        </w:tc>
      </w:tr>
      <w:tr>
        <w:trPr>
          <w:trHeight w:val="1283" w:hRule="atLeast"/>
        </w:trPr>
        <w:tc>
          <w:tcPr>
            <w:tcW w:w="2123" w:type="dxa"/>
          </w:tcPr>
          <w:p>
            <w:pPr>
              <w:pStyle w:val="TableParagraph"/>
              <w:tabs>
                <w:tab w:pos="1626" w:val="left" w:leader="none"/>
              </w:tabs>
              <w:spacing w:before="138"/>
              <w:ind w:left="200"/>
              <w:rPr>
                <w:rFonts w:ascii="PMingLiU" w:eastAsia="PMingLiU" w:hint="eastAsia"/>
                <w:sz w:val="28"/>
              </w:rPr>
            </w:pPr>
            <w:r>
              <w:rPr>
                <w:rFonts w:ascii="PMingLiU" w:eastAsia="PMingLiU" w:hint="eastAsia"/>
                <w:sz w:val="28"/>
              </w:rPr>
              <w:t>电</w:t>
              <w:tab/>
              <w:t>话</w:t>
            </w:r>
          </w:p>
          <w:p>
            <w:pPr>
              <w:pStyle w:val="TableParagraph"/>
              <w:spacing w:before="239"/>
              <w:ind w:left="200"/>
              <w:rPr>
                <w:rFonts w:ascii="PMingLiU"/>
                <w:sz w:val="28"/>
              </w:rPr>
            </w:pPr>
            <w:r>
              <w:rPr>
                <w:rFonts w:ascii="PMingLiU"/>
                <w:sz w:val="28"/>
              </w:rPr>
              <w:t>0972-8329428</w:t>
            </w:r>
          </w:p>
        </w:tc>
        <w:tc>
          <w:tcPr>
            <w:tcW w:w="609" w:type="dxa"/>
          </w:tcPr>
          <w:p>
            <w:pPr>
              <w:pStyle w:val="TableParagraph"/>
              <w:spacing w:before="138"/>
              <w:ind w:left="210"/>
              <w:rPr>
                <w:rFonts w:ascii="PMingLiU" w:eastAsia="PMingLiU" w:hint="eastAsia"/>
                <w:sz w:val="28"/>
              </w:rPr>
            </w:pPr>
            <w:r>
              <w:rPr>
                <w:rFonts w:ascii="PMingLiU" w:eastAsia="PMingLiU" w:hint="eastAsia"/>
                <w:w w:val="101"/>
                <w:sz w:val="28"/>
              </w:rPr>
              <w:t>：</w:t>
            </w:r>
          </w:p>
        </w:tc>
        <w:tc>
          <w:tcPr>
            <w:tcW w:w="661" w:type="dxa"/>
          </w:tcPr>
          <w:p>
            <w:pPr>
              <w:pStyle w:val="TableParagraph"/>
              <w:spacing w:before="138"/>
              <w:ind w:left="111"/>
              <w:rPr>
                <w:rFonts w:ascii="PMingLiU" w:eastAsia="PMingLiU" w:hint="eastAsia"/>
                <w:sz w:val="28"/>
              </w:rPr>
            </w:pPr>
            <w:r>
              <w:rPr>
                <w:rFonts w:ascii="PMingLiU" w:eastAsia="PMingLiU" w:hint="eastAsia"/>
                <w:w w:val="101"/>
                <w:sz w:val="28"/>
              </w:rPr>
              <w:t>电</w:t>
            </w:r>
          </w:p>
        </w:tc>
        <w:tc>
          <w:tcPr>
            <w:tcW w:w="6158" w:type="dxa"/>
            <w:gridSpan w:val="3"/>
          </w:tcPr>
          <w:p>
            <w:pPr>
              <w:pStyle w:val="TableParagraph"/>
              <w:spacing w:before="138"/>
              <w:ind w:left="6"/>
              <w:rPr>
                <w:rFonts w:ascii="PMingLiU" w:eastAsia="PMingLiU" w:hint="eastAsia"/>
                <w:sz w:val="28"/>
              </w:rPr>
            </w:pPr>
            <w:r>
              <w:rPr>
                <w:rFonts w:ascii="PMingLiU" w:eastAsia="PMingLiU" w:hint="eastAsia"/>
                <w:sz w:val="28"/>
              </w:rPr>
              <w:t>话：09718081355</w:t>
            </w:r>
          </w:p>
        </w:tc>
      </w:tr>
      <w:tr>
        <w:trPr>
          <w:trHeight w:val="653" w:hRule="atLeast"/>
        </w:trPr>
        <w:tc>
          <w:tcPr>
            <w:tcW w:w="2732" w:type="dxa"/>
            <w:gridSpan w:val="2"/>
          </w:tcPr>
          <w:p>
            <w:pPr>
              <w:pStyle w:val="TableParagraph"/>
              <w:tabs>
                <w:tab w:pos="755" w:val="left" w:leader="none"/>
              </w:tabs>
              <w:spacing w:before="146"/>
              <w:ind w:left="200"/>
              <w:rPr>
                <w:rFonts w:ascii="PMingLiU" w:eastAsia="PMingLiU" w:hint="eastAsia"/>
                <w:sz w:val="28"/>
              </w:rPr>
            </w:pPr>
            <w:r>
              <w:rPr>
                <w:rFonts w:ascii="PMingLiU" w:eastAsia="PMingLiU" w:hint="eastAsia"/>
                <w:sz w:val="28"/>
              </w:rPr>
              <w:t>传</w:t>
              <w:tab/>
              <w:t>真：</w:t>
            </w:r>
          </w:p>
        </w:tc>
        <w:tc>
          <w:tcPr>
            <w:tcW w:w="661" w:type="dxa"/>
          </w:tcPr>
          <w:p>
            <w:pPr>
              <w:pStyle w:val="TableParagraph"/>
              <w:spacing w:before="146"/>
              <w:ind w:left="111"/>
              <w:rPr>
                <w:rFonts w:ascii="PMingLiU" w:eastAsia="PMingLiU" w:hint="eastAsia"/>
                <w:sz w:val="28"/>
              </w:rPr>
            </w:pPr>
            <w:r>
              <w:rPr>
                <w:rFonts w:ascii="PMingLiU" w:eastAsia="PMingLiU" w:hint="eastAsia"/>
                <w:w w:val="101"/>
                <w:sz w:val="28"/>
              </w:rPr>
              <w:t>传</w:t>
            </w:r>
          </w:p>
        </w:tc>
        <w:tc>
          <w:tcPr>
            <w:tcW w:w="6158" w:type="dxa"/>
            <w:gridSpan w:val="3"/>
          </w:tcPr>
          <w:p>
            <w:pPr>
              <w:pStyle w:val="TableParagraph"/>
              <w:spacing w:before="146"/>
              <w:ind w:left="6"/>
              <w:rPr>
                <w:rFonts w:ascii="PMingLiU" w:eastAsia="PMingLiU" w:hint="eastAsia"/>
                <w:sz w:val="28"/>
              </w:rPr>
            </w:pPr>
            <w:r>
              <w:rPr>
                <w:rFonts w:ascii="PMingLiU" w:eastAsia="PMingLiU" w:hint="eastAsia"/>
                <w:sz w:val="28"/>
              </w:rPr>
              <w:t>真：09718081355</w:t>
            </w:r>
          </w:p>
        </w:tc>
      </w:tr>
      <w:tr>
        <w:trPr>
          <w:trHeight w:val="508" w:hRule="atLeast"/>
        </w:trPr>
        <w:tc>
          <w:tcPr>
            <w:tcW w:w="2732" w:type="dxa"/>
            <w:gridSpan w:val="2"/>
          </w:tcPr>
          <w:p>
            <w:pPr>
              <w:pStyle w:val="TableParagraph"/>
              <w:spacing w:line="350" w:lineRule="exact" w:before="138"/>
              <w:ind w:left="200"/>
              <w:rPr>
                <w:rFonts w:ascii="PMingLiU" w:eastAsia="PMingLiU" w:hint="eastAsia"/>
                <w:sz w:val="28"/>
              </w:rPr>
            </w:pPr>
            <w:r>
              <w:rPr>
                <w:rFonts w:ascii="PMingLiU" w:eastAsia="PMingLiU" w:hint="eastAsia"/>
                <w:sz w:val="28"/>
              </w:rPr>
              <w:t>电子信箱：</w:t>
            </w:r>
          </w:p>
        </w:tc>
        <w:tc>
          <w:tcPr>
            <w:tcW w:w="6819" w:type="dxa"/>
            <w:gridSpan w:val="4"/>
          </w:tcPr>
          <w:p>
            <w:pPr>
              <w:pStyle w:val="TableParagraph"/>
              <w:spacing w:line="350" w:lineRule="exact" w:before="138"/>
              <w:ind w:left="111"/>
              <w:rPr>
                <w:rFonts w:ascii="PMingLiU" w:eastAsia="PMingLiU" w:hint="eastAsia"/>
                <w:sz w:val="28"/>
              </w:rPr>
            </w:pPr>
            <w:r>
              <w:rPr>
                <w:rFonts w:ascii="PMingLiU" w:eastAsia="PMingLiU" w:hint="eastAsia"/>
                <w:sz w:val="28"/>
              </w:rPr>
              <w:t>电子信箱：</w:t>
            </w:r>
            <w:hyperlink r:id="rId28">
              <w:r>
                <w:rPr>
                  <w:rFonts w:ascii="PMingLiU" w:eastAsia="PMingLiU" w:hint="eastAsia"/>
                  <w:sz w:val="28"/>
                </w:rPr>
                <w:t>sdfzchusan163@163.com</w:t>
              </w:r>
            </w:hyperlink>
          </w:p>
        </w:tc>
      </w:tr>
    </w:tbl>
    <w:p>
      <w:pPr>
        <w:spacing w:after="0" w:line="350" w:lineRule="exact"/>
        <w:rPr>
          <w:rFonts w:ascii="PMingLiU" w:eastAsia="PMingLiU" w:hint="eastAsia"/>
          <w:sz w:val="28"/>
        </w:rPr>
        <w:sectPr>
          <w:pgSz w:w="11910" w:h="16850"/>
          <w:pgMar w:header="911" w:footer="0" w:top="1380" w:bottom="280" w:left="1200" w:right="0"/>
        </w:sectPr>
      </w:pPr>
    </w:p>
    <w:p>
      <w:pPr>
        <w:pStyle w:val="BodyText"/>
        <w:spacing w:before="8"/>
        <w:rPr>
          <w:rFonts w:ascii="Times New Roman"/>
          <w:sz w:val="14"/>
        </w:rPr>
      </w:pPr>
      <w:r>
        <w:rPr/>
        <w:pict>
          <v:group style="position:absolute;margin-left:71.349998pt;margin-top:204.980469pt;width:458.3pt;height:432.65pt;mso-position-horizontal-relative:page;mso-position-vertical-relative:page;z-index:-268649472" coordorigin="1427,4100" coordsize="9166,8653">
            <v:shape style="position:absolute;left:1563;top:4099;width:8786;height:8653" type="#_x0000_t75" stroked="false">
              <v:imagedata r:id="rId6" o:title=""/>
            </v:shape>
            <v:shape style="position:absolute;left:8275;top:4133;width:2318;height:371" type="#_x0000_t202" filled="false" stroked="false">
              <v:textbox inset="0,0,0,0">
                <w:txbxContent>
                  <w:p>
                    <w:pPr>
                      <w:spacing w:line="370" w:lineRule="exact" w:before="1"/>
                      <w:ind w:left="0" w:right="0" w:firstLine="0"/>
                      <w:jc w:val="left"/>
                      <w:rPr>
                        <w:rFonts w:ascii="PMingLiU" w:eastAsia="PMingLiU" w:hint="eastAsia"/>
                        <w:sz w:val="28"/>
                      </w:rPr>
                    </w:pPr>
                    <w:r>
                      <w:rPr>
                        <w:rFonts w:ascii="PMingLiU" w:eastAsia="PMingLiU" w:hint="eastAsia"/>
                        <w:sz w:val="28"/>
                      </w:rPr>
                      <w:t>2020 年 09 月 16 日</w:t>
                    </w:r>
                  </w:p>
                </w:txbxContent>
              </v:textbox>
              <w10:wrap type="none"/>
            </v:shape>
            <v:shape style="position:absolute;left:1427;top:5086;width:418;height:195" type="#_x0000_t202" filled="false" stroked="false">
              <v:textbox inset="0,0,0,0">
                <w:txbxContent>
                  <w:p>
                    <w:pPr>
                      <w:spacing w:line="195" w:lineRule="exact" w:before="0"/>
                      <w:ind w:left="0" w:right="0" w:firstLine="0"/>
                      <w:jc w:val="left"/>
                      <w:rPr>
                        <w:sz w:val="19"/>
                      </w:rPr>
                    </w:pPr>
                    <w:r>
                      <w:rPr>
                        <w:color w:val="000080"/>
                        <w:spacing w:val="7"/>
                        <w:w w:val="102"/>
                        <w:sz w:val="19"/>
                      </w:rPr>
                      <w:t> </w:t>
                    </w:r>
                    <w:r>
                      <w:rPr>
                        <w:color w:val="000080"/>
                        <w:spacing w:val="-8"/>
                        <w:w w:val="102"/>
                        <w:sz w:val="19"/>
                      </w:rPr>
                      <w:t> </w:t>
                    </w:r>
                    <w:r>
                      <w:rPr>
                        <w:color w:val="000080"/>
                        <w:spacing w:val="7"/>
                        <w:w w:val="102"/>
                        <w:sz w:val="19"/>
                      </w:rPr>
                      <w:t> </w:t>
                    </w:r>
                    <w:r>
                      <w:rPr>
                        <w:color w:val="000080"/>
                        <w:w w:val="102"/>
                        <w:sz w:val="19"/>
                      </w:rPr>
                      <w:t> </w:t>
                    </w:r>
                  </w:p>
                </w:txbxContent>
              </v:textbox>
              <w10:wrap type="none"/>
            </v:shape>
            <v:shape style="position:absolute;left:4776;top:5878;width:2455;height:270" type="#_x0000_t202" filled="false" stroked="false">
              <v:textbox inset="0,0,0,0">
                <w:txbxContent>
                  <w:p>
                    <w:pPr>
                      <w:tabs>
                        <w:tab w:pos="1081" w:val="left" w:leader="none"/>
                      </w:tabs>
                      <w:spacing w:line="270" w:lineRule="exact" w:before="0"/>
                      <w:ind w:left="0" w:right="0" w:firstLine="0"/>
                      <w:jc w:val="left"/>
                      <w:rPr>
                        <w:rFonts w:ascii="黑体" w:eastAsia="黑体" w:hint="eastAsia"/>
                        <w:sz w:val="27"/>
                      </w:rPr>
                    </w:pPr>
                    <w:r>
                      <w:rPr>
                        <w:rFonts w:ascii="黑体" w:eastAsia="黑体" w:hint="eastAsia"/>
                        <w:sz w:val="27"/>
                      </w:rPr>
                      <w:t>第二章</w:t>
                      <w:tab/>
                      <w:t>投标人须知</w:t>
                    </w:r>
                  </w:p>
                </w:txbxContent>
              </v:textbox>
              <w10:wrap type="none"/>
            </v:shape>
            <v:shape style="position:absolute;left:4791;top:6736;width:2424;height:285" type="#_x0000_t202" filled="false" stroked="false">
              <v:textbox inset="0,0,0,0">
                <w:txbxContent>
                  <w:p>
                    <w:pPr>
                      <w:spacing w:line="285" w:lineRule="exact" w:before="0"/>
                      <w:ind w:left="0" w:right="0" w:firstLine="0"/>
                      <w:jc w:val="left"/>
                      <w:rPr>
                        <w:rFonts w:ascii="黑体" w:eastAsia="黑体" w:hint="eastAsia"/>
                        <w:sz w:val="28"/>
                      </w:rPr>
                    </w:pPr>
                    <w:r>
                      <w:rPr>
                        <w:rFonts w:ascii="黑体" w:eastAsia="黑体" w:hint="eastAsia"/>
                        <w:sz w:val="28"/>
                        <w:shd w:fill="FFFFFF" w:color="auto" w:val="clear"/>
                      </w:rPr>
                      <w:t>投标人须知前附表</w:t>
                    </w:r>
                  </w:p>
                </w:txbxContent>
              </v:textbox>
              <w10:wrap type="none"/>
            </v:shape>
            <w10:wrap type="none"/>
          </v:group>
        </w:pict>
      </w:r>
      <w:r>
        <w:rPr/>
        <w:pict>
          <v:group style="position:absolute;margin-left:69.849998pt;margin-top:373.075012pt;width:458.85pt;height:368.6pt;mso-position-horizontal-relative:page;mso-position-vertical-relative:page;z-index:-268648448" coordorigin="1397,7462" coordsize="9177,7372">
            <v:rect style="position:absolute;left:7344;top:7461;width:901;height:406" filled="true" fillcolor="#ffffff" stroked="false">
              <v:fill type="solid"/>
            </v:rect>
            <v:line style="position:absolute" from="1397,7469" to="2553,7469" stroked="true" strokeweight=".75pt" strokecolor="#000000">
              <v:stroke dashstyle="solid"/>
            </v:line>
            <v:line style="position:absolute" from="2569,7469" to="4836,7469" stroked="true" strokeweight=".75pt" strokecolor="#000000">
              <v:stroke dashstyle="solid"/>
            </v:line>
            <v:line style="position:absolute" from="4851,7469" to="10574,7469" stroked="true" strokeweight=".75pt" strokecolor="#000000">
              <v:stroke dashstyle="solid"/>
            </v:line>
            <v:line style="position:absolute" from="1397,7875" to="2553,7875" stroked="true" strokeweight=".75pt" strokecolor="#000000">
              <v:stroke dashstyle="solid"/>
            </v:line>
            <v:line style="position:absolute" from="2569,7875" to="4836,7875" stroked="true" strokeweight=".75pt" strokecolor="#000000">
              <v:stroke dashstyle="solid"/>
            </v:line>
            <v:line style="position:absolute" from="4851,7875" to="10574,7875" stroked="true" strokeweight=".75pt" strokecolor="#000000">
              <v:stroke dashstyle="solid"/>
            </v:line>
            <v:rect style="position:absolute;left:4941;top:8512;width:3575;height:511" filled="true" fillcolor="#ffffff" stroked="false">
              <v:fill type="solid"/>
            </v:rect>
            <v:line style="position:absolute" from="1397,8505" to="2553,8505" stroked="true" strokeweight=".75pt" strokecolor="#000000">
              <v:stroke dashstyle="solid"/>
            </v:line>
            <v:line style="position:absolute" from="2569,8505" to="4836,8505" stroked="true" strokeweight=".75pt" strokecolor="#000000">
              <v:stroke dashstyle="solid"/>
            </v:line>
            <v:line style="position:absolute" from="4851,8505" to="10574,8505" stroked="true" strokeweight=".75pt" strokecolor="#000000">
              <v:stroke dashstyle="solid"/>
            </v:line>
            <v:rect style="position:absolute;left:1727;top:11019;width:481;height:511" filled="true" fillcolor="#ffffff" stroked="false">
              <v:fill type="solid"/>
            </v:rect>
            <v:line style="position:absolute" from="1397,11012" to="2553,11012" stroked="true" strokeweight=".75pt" strokecolor="#000000">
              <v:stroke dashstyle="solid"/>
            </v:line>
            <v:rect style="position:absolute;left:3274;top:11019;width:841;height:511" filled="true" fillcolor="#ffffff" stroked="false">
              <v:fill type="solid"/>
            </v:rect>
            <v:line style="position:absolute" from="2569,11012" to="4836,11012" stroked="true" strokeweight=".75pt" strokecolor="#000000">
              <v:stroke dashstyle="solid"/>
            </v:line>
            <v:line style="position:absolute" from="4851,11012" to="10574,11012" stroked="true" strokeweight=".75pt" strokecolor="#000000">
              <v:stroke dashstyle="solid"/>
            </v:line>
            <v:rect style="position:absolute;left:1727;top:11650;width:481;height:511" filled="true" fillcolor="#ffffff" stroked="false">
              <v:fill type="solid"/>
            </v:rect>
            <v:line style="position:absolute" from="1397,11658" to="2553,11658" stroked="true" strokeweight=".75pt" strokecolor="#000000">
              <v:stroke dashstyle="solid"/>
            </v:line>
            <v:line style="position:absolute" from="2569,11658" to="4836,11658" stroked="true" strokeweight=".75pt" strokecolor="#000000">
              <v:stroke dashstyle="solid"/>
            </v:line>
            <v:line style="position:absolute" from="4851,11658" to="10574,11658" stroked="true" strokeweight=".75pt" strokecolor="#000000">
              <v:stroke dashstyle="solid"/>
            </v:line>
            <v:rect style="position:absolute;left:1727;top:12296;width:481;height:495" filled="true" fillcolor="#ffffff" stroked="false">
              <v:fill type="solid"/>
            </v:rect>
            <v:line style="position:absolute" from="1397,12289" to="2553,12289" stroked="true" strokeweight=".75pt" strokecolor="#000000">
              <v:stroke dashstyle="solid"/>
            </v:line>
            <v:line style="position:absolute" from="2569,12289" to="4836,12289" stroked="true" strokeweight=".75pt" strokecolor="#000000">
              <v:stroke dashstyle="solid"/>
            </v:line>
            <v:line style="position:absolute" from="4851,12289" to="10574,12289" stroked="true" strokeweight=".75pt" strokecolor="#000000">
              <v:stroke dashstyle="solid"/>
            </v:line>
            <v:line style="position:absolute" from="4843,7462" to="4843,14833" stroked="true" strokeweight=".75pt" strokecolor="#000000">
              <v:stroke dashstyle="solid"/>
            </v:line>
            <w10:wrap type="none"/>
          </v:group>
        </w:pict>
      </w:r>
      <w:r>
        <w:rPr/>
        <w:pict>
          <v:rect style="position:absolute;margin-left:247.080002pt;margin-top:457.154999pt;width:259.08pt;height:24.775pt;mso-position-horizontal-relative:page;mso-position-vertical-relative:page;z-index:-268647424" filled="true" fillcolor="#ffffff" stroked="false">
            <v:fill type="solid"/>
            <w10:wrap type="none"/>
          </v:rect>
        </w:pict>
      </w:r>
      <w:r>
        <w:rPr/>
        <w:pict>
          <v:rect style="position:absolute;margin-left:247.080002pt;margin-top:487.924988pt;width:73.575pt;height:25.525pt;mso-position-horizontal-relative:page;mso-position-vertical-relative:page;z-index:-268646400" filled="true" fillcolor="#ffffff" stroked="false">
            <v:fill type="solid"/>
            <w10:wrap type="none"/>
          </v:rect>
        </w:pict>
      </w:r>
    </w:p>
    <w:tbl>
      <w:tblPr>
        <w:tblW w:w="0" w:type="auto"/>
        <w:jc w:val="left"/>
        <w:tblInd w:w="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35"/>
        <w:gridCol w:w="7310"/>
      </w:tblGrid>
      <w:tr>
        <w:trPr>
          <w:trHeight w:val="1130" w:hRule="atLeast"/>
        </w:trPr>
        <w:tc>
          <w:tcPr>
            <w:tcW w:w="2235" w:type="dxa"/>
          </w:tcPr>
          <w:p>
            <w:pPr>
              <w:pStyle w:val="TableParagraph"/>
              <w:tabs>
                <w:tab w:pos="755" w:val="left" w:leader="none"/>
              </w:tabs>
              <w:spacing w:before="1"/>
              <w:ind w:left="200"/>
              <w:rPr>
                <w:rFonts w:ascii="PMingLiU" w:eastAsia="PMingLiU" w:hint="eastAsia"/>
                <w:sz w:val="28"/>
              </w:rPr>
            </w:pPr>
            <w:r>
              <w:rPr>
                <w:rFonts w:ascii="PMingLiU" w:eastAsia="PMingLiU" w:hint="eastAsia"/>
                <w:sz w:val="28"/>
              </w:rPr>
              <w:t>网</w:t>
              <w:tab/>
              <w:t>址：</w:t>
            </w:r>
          </w:p>
        </w:tc>
        <w:tc>
          <w:tcPr>
            <w:tcW w:w="7310" w:type="dxa"/>
          </w:tcPr>
          <w:p>
            <w:pPr>
              <w:pStyle w:val="TableParagraph"/>
              <w:tabs>
                <w:tab w:pos="4768" w:val="left" w:leader="none"/>
                <w:tab w:pos="6825" w:val="left" w:leader="none"/>
              </w:tabs>
              <w:spacing w:before="1"/>
              <w:ind w:left="608"/>
              <w:rPr>
                <w:rFonts w:ascii="PMingLiU" w:eastAsia="PMingLiU" w:hint="eastAsia"/>
                <w:sz w:val="28"/>
              </w:rPr>
            </w:pPr>
            <w:r>
              <w:rPr>
                <w:rFonts w:ascii="PMingLiU" w:eastAsia="PMingLiU" w:hint="eastAsia"/>
                <w:sz w:val="28"/>
              </w:rPr>
              <w:t>网</w:t>
              <w:tab/>
              <w:t>址</w:t>
              <w:tab/>
              <w:t>：</w:t>
            </w:r>
          </w:p>
          <w:p>
            <w:pPr>
              <w:pStyle w:val="TableParagraph"/>
              <w:spacing w:before="224"/>
              <w:ind w:left="608"/>
              <w:rPr>
                <w:rFonts w:ascii="PMingLiU"/>
                <w:sz w:val="28"/>
              </w:rPr>
            </w:pPr>
            <w:hyperlink r:id="rId29">
              <w:r>
                <w:rPr>
                  <w:rFonts w:ascii="PMingLiU"/>
                  <w:spacing w:val="4"/>
                  <w:w w:val="110"/>
                  <w:sz w:val="28"/>
                </w:rPr>
                <w:t>h</w:t>
              </w:r>
              <w:r>
                <w:rPr>
                  <w:rFonts w:ascii="PMingLiU"/>
                  <w:spacing w:val="6"/>
                  <w:w w:val="113"/>
                  <w:sz w:val="28"/>
                </w:rPr>
                <w:t>tt</w:t>
              </w:r>
              <w:r>
                <w:rPr>
                  <w:rFonts w:ascii="PMingLiU"/>
                  <w:spacing w:val="4"/>
                  <w:w w:val="110"/>
                  <w:sz w:val="28"/>
                </w:rPr>
                <w:t>p</w:t>
              </w:r>
              <w:r>
                <w:rPr>
                  <w:rFonts w:ascii="PMingLiU"/>
                  <w:spacing w:val="-3"/>
                  <w:w w:val="85"/>
                  <w:sz w:val="28"/>
                </w:rPr>
                <w:t>:</w:t>
              </w:r>
              <w:r>
                <w:rPr>
                  <w:rFonts w:ascii="PMingLiU"/>
                  <w:spacing w:val="-8"/>
                  <w:w w:val="195"/>
                  <w:sz w:val="28"/>
                </w:rPr>
                <w:t>//</w:t>
              </w:r>
              <w:r>
                <w:rPr>
                  <w:rFonts w:ascii="PMingLiU"/>
                  <w:spacing w:val="1"/>
                  <w:w w:val="101"/>
                  <w:sz w:val="28"/>
                </w:rPr>
                <w:t>111</w:t>
              </w:r>
              <w:r>
                <w:rPr>
                  <w:rFonts w:ascii="PMingLiU"/>
                  <w:spacing w:val="-3"/>
                  <w:w w:val="94"/>
                  <w:sz w:val="28"/>
                </w:rPr>
                <w:t>.</w:t>
              </w:r>
              <w:r>
                <w:rPr>
                  <w:rFonts w:ascii="PMingLiU"/>
                  <w:spacing w:val="1"/>
                  <w:w w:val="101"/>
                  <w:sz w:val="28"/>
                </w:rPr>
                <w:t>44</w:t>
              </w:r>
              <w:r>
                <w:rPr>
                  <w:rFonts w:ascii="PMingLiU"/>
                  <w:spacing w:val="-3"/>
                  <w:w w:val="94"/>
                  <w:sz w:val="28"/>
                </w:rPr>
                <w:t>.</w:t>
              </w:r>
              <w:r>
                <w:rPr>
                  <w:rFonts w:ascii="PMingLiU"/>
                  <w:spacing w:val="1"/>
                  <w:w w:val="101"/>
                  <w:sz w:val="28"/>
                </w:rPr>
                <w:t>251</w:t>
              </w:r>
              <w:r>
                <w:rPr>
                  <w:rFonts w:ascii="PMingLiU"/>
                  <w:spacing w:val="-3"/>
                  <w:w w:val="94"/>
                  <w:sz w:val="28"/>
                </w:rPr>
                <w:t>.</w:t>
              </w:r>
              <w:r>
                <w:rPr>
                  <w:rFonts w:ascii="PMingLiU"/>
                  <w:spacing w:val="1"/>
                  <w:w w:val="101"/>
                  <w:sz w:val="28"/>
                </w:rPr>
                <w:t>34</w:t>
              </w:r>
              <w:r>
                <w:rPr>
                  <w:rFonts w:ascii="PMingLiU"/>
                  <w:spacing w:val="-8"/>
                  <w:w w:val="195"/>
                  <w:sz w:val="28"/>
                </w:rPr>
                <w:t>/</w:t>
              </w:r>
              <w:r>
                <w:rPr>
                  <w:rFonts w:ascii="PMingLiU"/>
                  <w:spacing w:val="-11"/>
                  <w:w w:val="109"/>
                  <w:sz w:val="28"/>
                </w:rPr>
                <w:t>T</w:t>
              </w:r>
              <w:r>
                <w:rPr>
                  <w:rFonts w:ascii="PMingLiU"/>
                  <w:spacing w:val="4"/>
                  <w:w w:val="109"/>
                  <w:sz w:val="28"/>
                </w:rPr>
                <w:t>P</w:t>
              </w:r>
              <w:r>
                <w:rPr>
                  <w:rFonts w:ascii="PMingLiU"/>
                  <w:spacing w:val="-11"/>
                  <w:w w:val="99"/>
                  <w:sz w:val="28"/>
                </w:rPr>
                <w:t>B</w:t>
              </w:r>
              <w:r>
                <w:rPr>
                  <w:rFonts w:ascii="PMingLiU"/>
                  <w:spacing w:val="-6"/>
                  <w:w w:val="89"/>
                  <w:sz w:val="28"/>
                </w:rPr>
                <w:t>i</w:t>
              </w:r>
              <w:r>
                <w:rPr>
                  <w:rFonts w:ascii="PMingLiU"/>
                  <w:spacing w:val="-8"/>
                  <w:w w:val="108"/>
                  <w:sz w:val="28"/>
                </w:rPr>
                <w:t>dd</w:t>
              </w:r>
              <w:r>
                <w:rPr>
                  <w:rFonts w:ascii="PMingLiU"/>
                  <w:w w:val="101"/>
                  <w:sz w:val="28"/>
                </w:rPr>
                <w:t>e</w:t>
              </w:r>
              <w:r>
                <w:rPr>
                  <w:rFonts w:ascii="PMingLiU"/>
                  <w:spacing w:val="-5"/>
                  <w:w w:val="108"/>
                  <w:sz w:val="28"/>
                </w:rPr>
                <w:t>r</w:t>
              </w:r>
              <w:r>
                <w:rPr>
                  <w:rFonts w:ascii="PMingLiU"/>
                  <w:spacing w:val="-8"/>
                  <w:w w:val="195"/>
                  <w:sz w:val="28"/>
                </w:rPr>
                <w:t>/</w:t>
              </w:r>
              <w:r>
                <w:rPr>
                  <w:rFonts w:ascii="PMingLiU"/>
                  <w:spacing w:val="5"/>
                  <w:w w:val="107"/>
                  <w:sz w:val="28"/>
                </w:rPr>
                <w:t>m</w:t>
              </w:r>
              <w:r>
                <w:rPr>
                  <w:rFonts w:ascii="PMingLiU"/>
                  <w:w w:val="101"/>
                  <w:sz w:val="28"/>
                </w:rPr>
                <w:t>e</w:t>
              </w:r>
              <w:r>
                <w:rPr>
                  <w:rFonts w:ascii="PMingLiU"/>
                  <w:spacing w:val="5"/>
                  <w:w w:val="107"/>
                  <w:sz w:val="28"/>
                </w:rPr>
                <w:t>m</w:t>
              </w:r>
              <w:r>
                <w:rPr>
                  <w:rFonts w:ascii="PMingLiU"/>
                  <w:spacing w:val="4"/>
                  <w:w w:val="110"/>
                  <w:sz w:val="28"/>
                </w:rPr>
                <w:t>b</w:t>
              </w:r>
              <w:r>
                <w:rPr>
                  <w:rFonts w:ascii="PMingLiU"/>
                  <w:w w:val="101"/>
                  <w:sz w:val="28"/>
                </w:rPr>
                <w:t>e</w:t>
              </w:r>
              <w:r>
                <w:rPr>
                  <w:rFonts w:ascii="PMingLiU"/>
                  <w:spacing w:val="-5"/>
                  <w:w w:val="108"/>
                  <w:sz w:val="28"/>
                </w:rPr>
                <w:t>r</w:t>
              </w:r>
              <w:r>
                <w:rPr>
                  <w:rFonts w:ascii="PMingLiU"/>
                  <w:spacing w:val="-2"/>
                  <w:w w:val="104"/>
                  <w:sz w:val="28"/>
                </w:rPr>
                <w:t>f</w:t>
              </w:r>
              <w:r>
                <w:rPr>
                  <w:rFonts w:ascii="PMingLiU"/>
                  <w:spacing w:val="-5"/>
                  <w:w w:val="108"/>
                  <w:sz w:val="28"/>
                </w:rPr>
                <w:t>r</w:t>
              </w:r>
              <w:r>
                <w:rPr>
                  <w:rFonts w:ascii="PMingLiU"/>
                  <w:spacing w:val="3"/>
                  <w:w w:val="99"/>
                  <w:sz w:val="28"/>
                </w:rPr>
                <w:t>a</w:t>
              </w:r>
              <w:r>
                <w:rPr>
                  <w:rFonts w:ascii="PMingLiU"/>
                  <w:spacing w:val="-10"/>
                  <w:w w:val="107"/>
                  <w:sz w:val="28"/>
                </w:rPr>
                <w:t>m</w:t>
              </w:r>
              <w:r>
                <w:rPr>
                  <w:rFonts w:ascii="PMingLiU"/>
                  <w:w w:val="101"/>
                  <w:sz w:val="28"/>
                </w:rPr>
                <w:t>e</w:t>
              </w:r>
              <w:r>
                <w:rPr>
                  <w:rFonts w:ascii="PMingLiU"/>
                  <w:spacing w:val="-8"/>
                  <w:w w:val="195"/>
                  <w:sz w:val="28"/>
                </w:rPr>
                <w:t>/</w:t>
              </w:r>
              <w:r>
                <w:rPr>
                  <w:rFonts w:ascii="PMingLiU"/>
                  <w:spacing w:val="4"/>
                  <w:w w:val="109"/>
                  <w:sz w:val="28"/>
                </w:rPr>
                <w:t>F</w:t>
              </w:r>
              <w:r>
                <w:rPr>
                  <w:rFonts w:ascii="PMingLiU"/>
                  <w:spacing w:val="-5"/>
                  <w:w w:val="108"/>
                  <w:sz w:val="28"/>
                </w:rPr>
                <w:t>r</w:t>
              </w:r>
              <w:r>
                <w:rPr>
                  <w:rFonts w:ascii="PMingLiU"/>
                  <w:spacing w:val="-11"/>
                  <w:w w:val="99"/>
                  <w:sz w:val="28"/>
                </w:rPr>
                <w:t>a</w:t>
              </w:r>
              <w:r>
                <w:rPr>
                  <w:rFonts w:ascii="PMingLiU"/>
                  <w:spacing w:val="5"/>
                  <w:w w:val="107"/>
                  <w:sz w:val="28"/>
                </w:rPr>
                <w:t>m</w:t>
              </w:r>
              <w:r>
                <w:rPr>
                  <w:rFonts w:ascii="PMingLiU"/>
                  <w:w w:val="101"/>
                  <w:sz w:val="28"/>
                </w:rPr>
                <w:t>e</w:t>
              </w:r>
              <w:r>
                <w:rPr>
                  <w:rFonts w:ascii="PMingLiU"/>
                  <w:spacing w:val="-13"/>
                  <w:w w:val="101"/>
                  <w:sz w:val="28"/>
                </w:rPr>
                <w:t>A</w:t>
              </w:r>
              <w:r>
                <w:rPr>
                  <w:rFonts w:ascii="PMingLiU"/>
                  <w:spacing w:val="-6"/>
                  <w:w w:val="89"/>
                  <w:sz w:val="28"/>
                </w:rPr>
                <w:t>l</w:t>
              </w:r>
              <w:r>
                <w:rPr>
                  <w:rFonts w:ascii="PMingLiU"/>
                  <w:w w:val="89"/>
                  <w:sz w:val="28"/>
                </w:rPr>
                <w:t>l</w:t>
              </w:r>
            </w:hyperlink>
          </w:p>
        </w:tc>
      </w:tr>
      <w:tr>
        <w:trPr>
          <w:trHeight w:val="653" w:hRule="atLeast"/>
        </w:trPr>
        <w:tc>
          <w:tcPr>
            <w:tcW w:w="2235" w:type="dxa"/>
          </w:tcPr>
          <w:p>
            <w:pPr>
              <w:pStyle w:val="TableParagraph"/>
              <w:spacing w:before="146"/>
              <w:ind w:left="200"/>
              <w:rPr>
                <w:rFonts w:ascii="PMingLiU" w:eastAsia="PMingLiU" w:hint="eastAsia"/>
                <w:sz w:val="28"/>
              </w:rPr>
            </w:pPr>
            <w:r>
              <w:rPr>
                <w:rFonts w:ascii="PMingLiU" w:eastAsia="PMingLiU" w:hint="eastAsia"/>
                <w:sz w:val="28"/>
              </w:rPr>
              <w:t>开户银行：</w:t>
            </w:r>
          </w:p>
        </w:tc>
        <w:tc>
          <w:tcPr>
            <w:tcW w:w="7310" w:type="dxa"/>
          </w:tcPr>
          <w:p>
            <w:pPr>
              <w:pStyle w:val="TableParagraph"/>
              <w:spacing w:before="146"/>
              <w:ind w:left="608"/>
              <w:rPr>
                <w:rFonts w:ascii="PMingLiU" w:eastAsia="PMingLiU" w:hint="eastAsia"/>
                <w:sz w:val="28"/>
              </w:rPr>
            </w:pPr>
            <w:r>
              <w:rPr>
                <w:rFonts w:ascii="PMingLiU" w:eastAsia="PMingLiU" w:hint="eastAsia"/>
                <w:sz w:val="28"/>
              </w:rPr>
              <w:t>开户银行：中国民生银行股份有限公司西宁分行</w:t>
            </w:r>
          </w:p>
        </w:tc>
      </w:tr>
      <w:tr>
        <w:trPr>
          <w:trHeight w:val="508" w:hRule="atLeast"/>
        </w:trPr>
        <w:tc>
          <w:tcPr>
            <w:tcW w:w="2235" w:type="dxa"/>
          </w:tcPr>
          <w:p>
            <w:pPr>
              <w:pStyle w:val="TableParagraph"/>
              <w:tabs>
                <w:tab w:pos="755" w:val="left" w:leader="none"/>
              </w:tabs>
              <w:spacing w:line="350" w:lineRule="exact" w:before="138"/>
              <w:ind w:left="200"/>
              <w:rPr>
                <w:rFonts w:ascii="PMingLiU" w:eastAsia="PMingLiU" w:hint="eastAsia"/>
                <w:sz w:val="28"/>
              </w:rPr>
            </w:pPr>
            <w:r>
              <w:rPr>
                <w:rFonts w:ascii="PMingLiU" w:eastAsia="PMingLiU" w:hint="eastAsia"/>
                <w:sz w:val="28"/>
              </w:rPr>
              <w:t>账</w:t>
              <w:tab/>
              <w:t>号：</w:t>
            </w:r>
          </w:p>
        </w:tc>
        <w:tc>
          <w:tcPr>
            <w:tcW w:w="7310" w:type="dxa"/>
          </w:tcPr>
          <w:p>
            <w:pPr>
              <w:pStyle w:val="TableParagraph"/>
              <w:tabs>
                <w:tab w:pos="1163" w:val="left" w:leader="none"/>
              </w:tabs>
              <w:spacing w:line="350" w:lineRule="exact" w:before="138"/>
              <w:ind w:left="608"/>
              <w:rPr>
                <w:rFonts w:ascii="PMingLiU" w:eastAsia="PMingLiU" w:hint="eastAsia"/>
                <w:sz w:val="28"/>
              </w:rPr>
            </w:pPr>
            <w:r>
              <w:rPr>
                <w:rFonts w:ascii="PMingLiU" w:eastAsia="PMingLiU" w:hint="eastAsia"/>
                <w:sz w:val="28"/>
              </w:rPr>
              <w:t>账</w:t>
              <w:tab/>
              <w:t>号：698032587</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5"/>
        </w:r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8"/>
        <w:gridCol w:w="834"/>
        <w:gridCol w:w="2283"/>
        <w:gridCol w:w="5280"/>
        <w:gridCol w:w="458"/>
      </w:tblGrid>
      <w:tr>
        <w:trPr>
          <w:trHeight w:val="405" w:hRule="atLeast"/>
        </w:trPr>
        <w:tc>
          <w:tcPr>
            <w:tcW w:w="338" w:type="dxa"/>
            <w:tcBorders>
              <w:left w:val="single" w:sz="6" w:space="0" w:color="000000"/>
            </w:tcBorders>
          </w:tcPr>
          <w:p>
            <w:pPr>
              <w:pStyle w:val="TableParagraph"/>
              <w:rPr>
                <w:rFonts w:ascii="Times New Roman"/>
                <w:sz w:val="22"/>
              </w:rPr>
            </w:pPr>
          </w:p>
        </w:tc>
        <w:tc>
          <w:tcPr>
            <w:tcW w:w="834" w:type="dxa"/>
            <w:tcBorders>
              <w:right w:val="single" w:sz="8" w:space="0" w:color="000000"/>
            </w:tcBorders>
          </w:tcPr>
          <w:p>
            <w:pPr>
              <w:pStyle w:val="TableParagraph"/>
              <w:spacing w:line="357" w:lineRule="exact" w:before="28"/>
              <w:ind w:left="6"/>
              <w:rPr>
                <w:rFonts w:ascii="Microsoft JhengHei" w:eastAsia="Microsoft JhengHei" w:hint="eastAsia"/>
                <w:b/>
                <w:sz w:val="21"/>
              </w:rPr>
            </w:pPr>
            <w:bookmarkStart w:name="第二章  投标人须知" w:id="7"/>
            <w:bookmarkEnd w:id="7"/>
            <w:r>
              <w:rPr/>
            </w:r>
            <w:bookmarkStart w:name="投标人须知前附表" w:id="8"/>
            <w:bookmarkEnd w:id="8"/>
            <w:r>
              <w:rPr/>
            </w:r>
            <w:bookmarkStart w:name="_bookmark3" w:id="9"/>
            <w:bookmarkEnd w:id="9"/>
            <w:r>
              <w:rPr/>
            </w:r>
            <w:bookmarkStart w:name="_bookmark4" w:id="10"/>
            <w:bookmarkEnd w:id="10"/>
            <w:r>
              <w:rPr/>
            </w:r>
            <w:r>
              <w:rPr>
                <w:rFonts w:ascii="Microsoft JhengHei" w:eastAsia="Microsoft JhengHei" w:hint="eastAsia"/>
                <w:b/>
                <w:sz w:val="21"/>
              </w:rPr>
              <w:t>条款号</w:t>
            </w:r>
          </w:p>
        </w:tc>
        <w:tc>
          <w:tcPr>
            <w:tcW w:w="2283" w:type="dxa"/>
            <w:tcBorders>
              <w:left w:val="single" w:sz="8" w:space="0" w:color="000000"/>
            </w:tcBorders>
          </w:tcPr>
          <w:p>
            <w:pPr>
              <w:pStyle w:val="TableParagraph"/>
              <w:spacing w:line="357" w:lineRule="exact" w:before="28"/>
              <w:ind w:left="1085"/>
              <w:rPr>
                <w:rFonts w:ascii="Microsoft JhengHei" w:eastAsia="Microsoft JhengHei" w:hint="eastAsia"/>
                <w:b/>
                <w:sz w:val="21"/>
              </w:rPr>
            </w:pPr>
            <w:r>
              <w:rPr>
                <w:rFonts w:ascii="Microsoft JhengHei" w:eastAsia="Microsoft JhengHei" w:hint="eastAsia"/>
                <w:b/>
                <w:sz w:val="21"/>
              </w:rPr>
              <w:t>条款名称</w:t>
            </w:r>
          </w:p>
        </w:tc>
        <w:tc>
          <w:tcPr>
            <w:tcW w:w="5280" w:type="dxa"/>
            <w:tcBorders>
              <w:right w:val="single" w:sz="6" w:space="0" w:color="000000"/>
            </w:tcBorders>
          </w:tcPr>
          <w:p>
            <w:pPr>
              <w:pStyle w:val="TableParagraph"/>
              <w:spacing w:line="357" w:lineRule="exact" w:before="28"/>
              <w:ind w:left="2518" w:right="1874"/>
              <w:jc w:val="center"/>
              <w:rPr>
                <w:rFonts w:ascii="Microsoft JhengHei" w:eastAsia="Microsoft JhengHei" w:hint="eastAsia"/>
                <w:b/>
                <w:sz w:val="21"/>
              </w:rPr>
            </w:pPr>
            <w:r>
              <w:rPr>
                <w:rFonts w:ascii="Microsoft JhengHei" w:eastAsia="Microsoft JhengHei" w:hint="eastAsia"/>
                <w:b/>
                <w:sz w:val="21"/>
              </w:rPr>
              <w:t>编列内容</w:t>
            </w:r>
          </w:p>
        </w:tc>
        <w:tc>
          <w:tcPr>
            <w:tcW w:w="458" w:type="dxa"/>
            <w:tcBorders>
              <w:left w:val="single" w:sz="6" w:space="0" w:color="000000"/>
            </w:tcBorders>
          </w:tcPr>
          <w:p>
            <w:pPr>
              <w:pStyle w:val="TableParagraph"/>
              <w:rPr>
                <w:rFonts w:ascii="Times New Roman"/>
                <w:sz w:val="22"/>
              </w:rPr>
            </w:pPr>
          </w:p>
        </w:tc>
      </w:tr>
      <w:tr>
        <w:trPr>
          <w:trHeight w:val="630" w:hRule="atLeast"/>
        </w:trPr>
        <w:tc>
          <w:tcPr>
            <w:tcW w:w="338" w:type="dxa"/>
            <w:tcBorders>
              <w:left w:val="single" w:sz="6" w:space="0" w:color="000000"/>
            </w:tcBorders>
          </w:tcPr>
          <w:p>
            <w:pPr>
              <w:pStyle w:val="TableParagraph"/>
              <w:rPr>
                <w:rFonts w:ascii="Times New Roman"/>
                <w:sz w:val="22"/>
              </w:rPr>
            </w:pPr>
          </w:p>
        </w:tc>
        <w:tc>
          <w:tcPr>
            <w:tcW w:w="834" w:type="dxa"/>
            <w:tcBorders>
              <w:right w:val="single" w:sz="8" w:space="0" w:color="000000"/>
            </w:tcBorders>
          </w:tcPr>
          <w:p>
            <w:pPr>
              <w:pStyle w:val="TableParagraph"/>
              <w:spacing w:before="187"/>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2</w:t>
            </w:r>
          </w:p>
        </w:tc>
        <w:tc>
          <w:tcPr>
            <w:tcW w:w="2283" w:type="dxa"/>
            <w:tcBorders>
              <w:left w:val="single" w:sz="8" w:space="0" w:color="000000"/>
            </w:tcBorders>
          </w:tcPr>
          <w:p>
            <w:pPr>
              <w:pStyle w:val="TableParagraph"/>
              <w:spacing w:before="187"/>
              <w:ind w:left="797" w:right="805"/>
              <w:jc w:val="center"/>
              <w:rPr>
                <w:rFonts w:ascii="hakuyoxingshu7000" w:eastAsia="hakuyoxingshu7000" w:hint="eastAsia"/>
                <w:sz w:val="21"/>
              </w:rPr>
            </w:pPr>
            <w:r>
              <w:rPr>
                <w:rFonts w:ascii="hakuyoxingshu7000" w:eastAsia="hakuyoxingshu7000" w:hint="eastAsia"/>
                <w:sz w:val="21"/>
              </w:rPr>
              <w:t>招标人</w:t>
            </w:r>
          </w:p>
        </w:tc>
        <w:tc>
          <w:tcPr>
            <w:tcW w:w="5280" w:type="dxa"/>
            <w:tcBorders>
              <w:right w:val="single" w:sz="6" w:space="0" w:color="000000"/>
            </w:tcBorders>
          </w:tcPr>
          <w:p>
            <w:pPr>
              <w:pStyle w:val="TableParagraph"/>
              <w:spacing w:before="112"/>
              <w:ind w:left="104"/>
              <w:rPr>
                <w:rFonts w:ascii="hakuyoxingshu7000" w:eastAsia="hakuyoxingshu7000" w:hint="eastAsia"/>
                <w:sz w:val="21"/>
              </w:rPr>
            </w:pPr>
            <w:r>
              <w:rPr>
                <w:rFonts w:ascii="Times New Roman" w:eastAsia="Times New Roman"/>
                <w:color w:val="0000FF"/>
                <w:spacing w:val="-53"/>
                <w:sz w:val="21"/>
                <w:shd w:fill="FFFFFF" w:color="auto" w:val="clear"/>
              </w:rPr>
              <w:t> </w:t>
            </w:r>
            <w:r>
              <w:rPr>
                <w:rFonts w:ascii="hakuyoxingshu7000" w:eastAsia="hakuyoxingshu7000" w:hint="eastAsia"/>
                <w:color w:val="0000FF"/>
                <w:sz w:val="21"/>
                <w:shd w:fill="FFFFFF" w:color="auto" w:val="clear"/>
              </w:rPr>
              <w:t>互助土族自治县农业农村和科技局</w:t>
            </w:r>
          </w:p>
        </w:tc>
        <w:tc>
          <w:tcPr>
            <w:tcW w:w="458" w:type="dxa"/>
            <w:tcBorders>
              <w:left w:val="single" w:sz="6" w:space="0" w:color="000000"/>
            </w:tcBorders>
          </w:tcPr>
          <w:p>
            <w:pPr>
              <w:pStyle w:val="TableParagraph"/>
              <w:rPr>
                <w:rFonts w:ascii="Times New Roman"/>
                <w:sz w:val="22"/>
              </w:rPr>
            </w:pPr>
          </w:p>
        </w:tc>
      </w:tr>
      <w:tr>
        <w:trPr>
          <w:trHeight w:val="2507" w:hRule="atLeast"/>
        </w:trPr>
        <w:tc>
          <w:tcPr>
            <w:tcW w:w="338" w:type="dxa"/>
            <w:tcBorders>
              <w:left w:val="single" w:sz="6" w:space="0" w:color="000000"/>
            </w:tcBorders>
          </w:tcPr>
          <w:p>
            <w:pPr>
              <w:pStyle w:val="TableParagraph"/>
              <w:rPr>
                <w:rFonts w:ascii="Times New Roman"/>
                <w:sz w:val="22"/>
              </w:rPr>
            </w:pPr>
          </w:p>
        </w:tc>
        <w:tc>
          <w:tcPr>
            <w:tcW w:w="834" w:type="dxa"/>
            <w:tcBorders>
              <w:right w:val="single" w:sz="8" w:space="0" w:color="000000"/>
            </w:tcBorders>
          </w:tcPr>
          <w:p>
            <w:pPr>
              <w:pStyle w:val="TableParagraph"/>
              <w:rPr>
                <w:rFonts w:ascii="Times New Roman"/>
                <w:sz w:val="28"/>
              </w:rPr>
            </w:pPr>
          </w:p>
          <w:p>
            <w:pPr>
              <w:pStyle w:val="TableParagraph"/>
              <w:rPr>
                <w:rFonts w:ascii="Times New Roman"/>
                <w:sz w:val="28"/>
              </w:rPr>
            </w:pPr>
          </w:p>
          <w:p>
            <w:pPr>
              <w:pStyle w:val="TableParagraph"/>
              <w:spacing w:before="3"/>
              <w:rPr>
                <w:rFonts w:ascii="Times New Roman"/>
                <w:sz w:val="41"/>
              </w:rPr>
            </w:pPr>
          </w:p>
          <w:p>
            <w:pPr>
              <w:pStyle w:val="TableParagraph"/>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3</w:t>
            </w:r>
          </w:p>
        </w:tc>
        <w:tc>
          <w:tcPr>
            <w:tcW w:w="2283" w:type="dxa"/>
            <w:tcBorders>
              <w:left w:val="single" w:sz="8" w:space="0" w:color="000000"/>
            </w:tcBorders>
          </w:tcPr>
          <w:p>
            <w:pPr>
              <w:pStyle w:val="TableParagraph"/>
              <w:rPr>
                <w:rFonts w:ascii="Times New Roman"/>
                <w:sz w:val="28"/>
              </w:rPr>
            </w:pPr>
          </w:p>
          <w:p>
            <w:pPr>
              <w:pStyle w:val="TableParagraph"/>
              <w:rPr>
                <w:rFonts w:ascii="Times New Roman"/>
                <w:sz w:val="28"/>
              </w:rPr>
            </w:pPr>
          </w:p>
          <w:p>
            <w:pPr>
              <w:pStyle w:val="TableParagraph"/>
              <w:spacing w:before="3"/>
              <w:rPr>
                <w:rFonts w:ascii="Times New Roman"/>
                <w:sz w:val="41"/>
              </w:rPr>
            </w:pPr>
          </w:p>
          <w:p>
            <w:pPr>
              <w:pStyle w:val="TableParagraph"/>
              <w:ind w:left="500"/>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招标代理机构</w:t>
            </w:r>
          </w:p>
        </w:tc>
        <w:tc>
          <w:tcPr>
            <w:tcW w:w="5280" w:type="dxa"/>
            <w:tcBorders>
              <w:right w:val="single" w:sz="6" w:space="0" w:color="000000"/>
            </w:tcBorders>
          </w:tcPr>
          <w:p>
            <w:pPr>
              <w:pStyle w:val="TableParagraph"/>
              <w:spacing w:before="188"/>
              <w:ind w:left="104"/>
              <w:rPr>
                <w:rFonts w:ascii="hakuyoxingshu7000" w:eastAsia="hakuyoxingshu7000" w:hint="eastAsia"/>
                <w:sz w:val="21"/>
              </w:rPr>
            </w:pPr>
            <w:r>
              <w:rPr>
                <w:rFonts w:ascii="hakuyoxingshu7000" w:eastAsia="hakuyoxingshu7000" w:hint="eastAsia"/>
                <w:sz w:val="21"/>
              </w:rPr>
              <w:t>名称：</w:t>
            </w:r>
            <w:r>
              <w:rPr>
                <w:rFonts w:ascii="hakuyoxingshu7000" w:eastAsia="hakuyoxingshu7000" w:hint="eastAsia"/>
                <w:color w:val="0000FF"/>
                <w:sz w:val="21"/>
              </w:rPr>
              <w:t>青海唐融工程咨询管理有限公司</w:t>
            </w:r>
          </w:p>
          <w:p>
            <w:pPr>
              <w:pStyle w:val="TableParagraph"/>
              <w:spacing w:before="4"/>
              <w:rPr>
                <w:rFonts w:ascii="Times New Roman"/>
                <w:sz w:val="31"/>
              </w:rPr>
            </w:pPr>
          </w:p>
          <w:p>
            <w:pPr>
              <w:pStyle w:val="TableParagraph"/>
              <w:spacing w:line="549" w:lineRule="auto" w:before="1"/>
              <w:ind w:left="104" w:right="-15"/>
              <w:rPr>
                <w:rFonts w:ascii="hakuyoxingshu7000" w:eastAsia="hakuyoxingshu7000" w:hint="eastAsia"/>
                <w:sz w:val="21"/>
              </w:rPr>
            </w:pPr>
            <w:r>
              <w:rPr>
                <w:rFonts w:ascii="hakuyoxingshu7000" w:eastAsia="hakuyoxingshu7000" w:hint="eastAsia"/>
                <w:sz w:val="21"/>
              </w:rPr>
              <w:t>地址：</w:t>
            </w:r>
            <w:r>
              <w:rPr>
                <w:rFonts w:ascii="hakuyoxingshu7000" w:eastAsia="hakuyoxingshu7000" w:hint="eastAsia"/>
                <w:color w:val="0000FF"/>
                <w:spacing w:val="-4"/>
                <w:sz w:val="21"/>
              </w:rPr>
              <w:t>西宁市城中区西大街 </w:t>
            </w:r>
            <w:r>
              <w:rPr>
                <w:rFonts w:ascii="hakuyoxingshu7000" w:eastAsia="hakuyoxingshu7000" w:hint="eastAsia"/>
                <w:color w:val="0000FF"/>
                <w:sz w:val="21"/>
              </w:rPr>
              <w:t>8</w:t>
            </w:r>
            <w:r>
              <w:rPr>
                <w:rFonts w:ascii="hakuyoxingshu7000" w:eastAsia="hakuyoxingshu7000" w:hint="eastAsia"/>
                <w:color w:val="0000FF"/>
                <w:spacing w:val="-10"/>
                <w:sz w:val="21"/>
              </w:rPr>
              <w:t> 号世贸大厦 </w:t>
            </w:r>
            <w:r>
              <w:rPr>
                <w:rFonts w:ascii="hakuyoxingshu7000" w:eastAsia="hakuyoxingshu7000" w:hint="eastAsia"/>
                <w:color w:val="0000FF"/>
                <w:sz w:val="21"/>
              </w:rPr>
              <w:t>15</w:t>
            </w:r>
            <w:r>
              <w:rPr>
                <w:rFonts w:ascii="hakuyoxingshu7000" w:eastAsia="hakuyoxingshu7000" w:hint="eastAsia"/>
                <w:color w:val="0000FF"/>
                <w:spacing w:val="-21"/>
                <w:sz w:val="21"/>
              </w:rPr>
              <w:t> 楼 </w:t>
            </w:r>
            <w:r>
              <w:rPr>
                <w:rFonts w:ascii="hakuyoxingshu7000" w:eastAsia="hakuyoxingshu7000" w:hint="eastAsia"/>
                <w:color w:val="0000FF"/>
                <w:sz w:val="21"/>
              </w:rPr>
              <w:t>1506</w:t>
            </w:r>
            <w:r>
              <w:rPr>
                <w:rFonts w:ascii="hakuyoxingshu7000" w:eastAsia="hakuyoxingshu7000" w:hint="eastAsia"/>
                <w:color w:val="0000FF"/>
                <w:spacing w:val="-14"/>
                <w:sz w:val="21"/>
              </w:rPr>
              <w:t> 室</w:t>
            </w:r>
            <w:r>
              <w:rPr>
                <w:rFonts w:ascii="hakuyoxingshu7000" w:eastAsia="hakuyoxingshu7000" w:hint="eastAsia"/>
                <w:spacing w:val="-14"/>
                <w:sz w:val="21"/>
              </w:rPr>
              <w:t>联系人：</w:t>
            </w:r>
            <w:r>
              <w:rPr>
                <w:rFonts w:ascii="hakuyoxingshu7000" w:eastAsia="hakuyoxingshu7000" w:hint="eastAsia"/>
                <w:color w:val="0000FF"/>
                <w:spacing w:val="-14"/>
                <w:sz w:val="21"/>
              </w:rPr>
              <w:t>韩先生</w:t>
            </w:r>
          </w:p>
          <w:p>
            <w:pPr>
              <w:pStyle w:val="TableParagraph"/>
              <w:spacing w:before="13"/>
              <w:ind w:left="104"/>
              <w:rPr>
                <w:rFonts w:ascii="hakuyoxingshu7000" w:eastAsia="hakuyoxingshu7000" w:hint="eastAsia"/>
                <w:sz w:val="21"/>
              </w:rPr>
            </w:pPr>
            <w:r>
              <w:rPr>
                <w:rFonts w:ascii="hakuyoxingshu7000" w:eastAsia="hakuyoxingshu7000" w:hint="eastAsia"/>
                <w:w w:val="105"/>
                <w:sz w:val="21"/>
              </w:rPr>
              <w:t>电话：</w:t>
            </w:r>
            <w:r>
              <w:rPr>
                <w:rFonts w:ascii="hakuyoxingshu7000" w:eastAsia="hakuyoxingshu7000" w:hint="eastAsia"/>
                <w:color w:val="0000FF"/>
                <w:w w:val="105"/>
                <w:sz w:val="21"/>
              </w:rPr>
              <w:t>0971-8080221</w:t>
            </w:r>
          </w:p>
        </w:tc>
        <w:tc>
          <w:tcPr>
            <w:tcW w:w="458" w:type="dxa"/>
            <w:tcBorders>
              <w:left w:val="single" w:sz="6" w:space="0" w:color="000000"/>
            </w:tcBorders>
          </w:tcPr>
          <w:p>
            <w:pPr>
              <w:pStyle w:val="TableParagraph"/>
              <w:rPr>
                <w:rFonts w:ascii="Times New Roman"/>
                <w:sz w:val="22"/>
              </w:rPr>
            </w:pPr>
          </w:p>
        </w:tc>
      </w:tr>
      <w:tr>
        <w:trPr>
          <w:trHeight w:val="517" w:hRule="atLeast"/>
        </w:trPr>
        <w:tc>
          <w:tcPr>
            <w:tcW w:w="338" w:type="dxa"/>
            <w:tcBorders>
              <w:left w:val="single" w:sz="6" w:space="0" w:color="000000"/>
            </w:tcBorders>
          </w:tcPr>
          <w:p>
            <w:pPr>
              <w:pStyle w:val="TableParagraph"/>
              <w:rPr>
                <w:rFonts w:ascii="Times New Roman"/>
                <w:sz w:val="22"/>
              </w:rPr>
            </w:pPr>
          </w:p>
        </w:tc>
        <w:tc>
          <w:tcPr>
            <w:tcW w:w="834" w:type="dxa"/>
            <w:tcBorders>
              <w:right w:val="single" w:sz="8" w:space="0" w:color="000000"/>
            </w:tcBorders>
          </w:tcPr>
          <w:p>
            <w:pPr>
              <w:pStyle w:val="TableParagraph"/>
              <w:spacing w:before="188"/>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4</w:t>
            </w:r>
          </w:p>
        </w:tc>
        <w:tc>
          <w:tcPr>
            <w:tcW w:w="2283" w:type="dxa"/>
            <w:tcBorders>
              <w:left w:val="single" w:sz="8" w:space="0" w:color="000000"/>
            </w:tcBorders>
          </w:tcPr>
          <w:p>
            <w:pPr>
              <w:pStyle w:val="TableParagraph"/>
              <w:spacing w:before="188"/>
              <w:ind w:left="710"/>
              <w:rPr>
                <w:rFonts w:ascii="hakuyoxingshu7000" w:eastAsia="hakuyoxingshu7000" w:hint="eastAsia"/>
                <w:sz w:val="21"/>
              </w:rPr>
            </w:pPr>
            <w:r>
              <w:rPr>
                <w:rFonts w:ascii="hakuyoxingshu7000" w:eastAsia="hakuyoxingshu7000" w:hint="eastAsia"/>
                <w:sz w:val="21"/>
              </w:rPr>
              <w:t>项目名称</w:t>
            </w:r>
          </w:p>
        </w:tc>
        <w:tc>
          <w:tcPr>
            <w:tcW w:w="5280" w:type="dxa"/>
            <w:tcBorders>
              <w:right w:val="single" w:sz="6" w:space="0" w:color="000000"/>
            </w:tcBorders>
          </w:tcPr>
          <w:p>
            <w:pPr>
              <w:pStyle w:val="TableParagraph"/>
              <w:spacing w:before="113"/>
              <w:ind w:left="104"/>
              <w:rPr>
                <w:rFonts w:ascii="hakuyoxingshu7000" w:eastAsia="hakuyoxingshu7000" w:hint="eastAsia"/>
                <w:sz w:val="21"/>
              </w:rPr>
            </w:pPr>
            <w:r>
              <w:rPr>
                <w:rFonts w:ascii="hakuyoxingshu7000" w:eastAsia="hakuyoxingshu7000" w:hint="eastAsia"/>
                <w:color w:val="0000FF"/>
                <w:sz w:val="21"/>
              </w:rPr>
              <w:t>2020 年互助县哈拉直沟乡费家村高标准农田建设项目</w:t>
            </w:r>
          </w:p>
        </w:tc>
        <w:tc>
          <w:tcPr>
            <w:tcW w:w="458" w:type="dxa"/>
            <w:tcBorders>
              <w:left w:val="single" w:sz="6" w:space="0" w:color="000000"/>
            </w:tcBorders>
          </w:tcPr>
          <w:p>
            <w:pPr>
              <w:pStyle w:val="TableParagraph"/>
              <w:rPr>
                <w:rFonts w:ascii="Times New Roman"/>
                <w:sz w:val="22"/>
              </w:rPr>
            </w:pPr>
          </w:p>
        </w:tc>
      </w:tr>
      <w:tr>
        <w:trPr>
          <w:trHeight w:val="127" w:hRule="atLeast"/>
        </w:trPr>
        <w:tc>
          <w:tcPr>
            <w:tcW w:w="338" w:type="dxa"/>
            <w:tcBorders>
              <w:left w:val="single" w:sz="6" w:space="0" w:color="000000"/>
            </w:tcBorders>
          </w:tcPr>
          <w:p>
            <w:pPr>
              <w:pStyle w:val="TableParagraph"/>
              <w:rPr>
                <w:rFonts w:ascii="Times New Roman"/>
                <w:sz w:val="6"/>
              </w:rPr>
            </w:pPr>
          </w:p>
        </w:tc>
        <w:tc>
          <w:tcPr>
            <w:tcW w:w="834" w:type="dxa"/>
            <w:tcBorders>
              <w:right w:val="single" w:sz="8" w:space="0" w:color="000000"/>
            </w:tcBorders>
          </w:tcPr>
          <w:p>
            <w:pPr>
              <w:pStyle w:val="TableParagraph"/>
              <w:rPr>
                <w:rFonts w:ascii="Times New Roman"/>
                <w:sz w:val="6"/>
              </w:rPr>
            </w:pPr>
          </w:p>
        </w:tc>
        <w:tc>
          <w:tcPr>
            <w:tcW w:w="2283" w:type="dxa"/>
            <w:tcBorders>
              <w:left w:val="single" w:sz="8" w:space="0" w:color="000000"/>
            </w:tcBorders>
          </w:tcPr>
          <w:p>
            <w:pPr>
              <w:pStyle w:val="TableParagraph"/>
              <w:rPr>
                <w:rFonts w:ascii="Times New Roman"/>
                <w:sz w:val="6"/>
              </w:rPr>
            </w:pPr>
          </w:p>
        </w:tc>
        <w:tc>
          <w:tcPr>
            <w:tcW w:w="5280" w:type="dxa"/>
            <w:tcBorders>
              <w:right w:val="single" w:sz="6" w:space="0" w:color="000000"/>
            </w:tcBorders>
          </w:tcPr>
          <w:p>
            <w:pPr>
              <w:pStyle w:val="TableParagraph"/>
              <w:rPr>
                <w:rFonts w:ascii="Times New Roman"/>
                <w:sz w:val="6"/>
              </w:rPr>
            </w:pPr>
          </w:p>
        </w:tc>
        <w:tc>
          <w:tcPr>
            <w:tcW w:w="458" w:type="dxa"/>
            <w:tcBorders>
              <w:left w:val="single" w:sz="6" w:space="0" w:color="000000"/>
            </w:tcBorders>
          </w:tcPr>
          <w:p>
            <w:pPr>
              <w:pStyle w:val="TableParagraph"/>
              <w:rPr>
                <w:rFonts w:ascii="Times New Roman"/>
                <w:sz w:val="6"/>
              </w:rPr>
            </w:pPr>
          </w:p>
        </w:tc>
      </w:tr>
      <w:tr>
        <w:trPr>
          <w:trHeight w:val="503" w:hRule="atLeast"/>
        </w:trPr>
        <w:tc>
          <w:tcPr>
            <w:tcW w:w="338" w:type="dxa"/>
            <w:tcBorders>
              <w:left w:val="single" w:sz="6" w:space="0" w:color="000000"/>
            </w:tcBorders>
          </w:tcPr>
          <w:p>
            <w:pPr>
              <w:pStyle w:val="TableParagraph"/>
              <w:rPr>
                <w:rFonts w:ascii="Times New Roman"/>
                <w:sz w:val="22"/>
              </w:rPr>
            </w:pPr>
          </w:p>
        </w:tc>
        <w:tc>
          <w:tcPr>
            <w:tcW w:w="834" w:type="dxa"/>
            <w:tcBorders>
              <w:right w:val="single" w:sz="8" w:space="0" w:color="000000"/>
            </w:tcBorders>
          </w:tcPr>
          <w:p>
            <w:pPr>
              <w:pStyle w:val="TableParagraph"/>
              <w:spacing w:before="173"/>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5</w:t>
            </w:r>
          </w:p>
        </w:tc>
        <w:tc>
          <w:tcPr>
            <w:tcW w:w="2283" w:type="dxa"/>
            <w:tcBorders>
              <w:left w:val="single" w:sz="8" w:space="0" w:color="000000"/>
            </w:tcBorders>
          </w:tcPr>
          <w:p>
            <w:pPr>
              <w:pStyle w:val="TableParagraph"/>
              <w:spacing w:before="173"/>
              <w:ind w:left="710"/>
              <w:rPr>
                <w:rFonts w:ascii="hakuyoxingshu7000" w:eastAsia="hakuyoxingshu7000" w:hint="eastAsia"/>
                <w:sz w:val="21"/>
              </w:rPr>
            </w:pPr>
            <w:r>
              <w:rPr>
                <w:rFonts w:ascii="hakuyoxingshu7000" w:eastAsia="hakuyoxingshu7000" w:hint="eastAsia"/>
                <w:sz w:val="21"/>
              </w:rPr>
              <w:t>建设地点</w:t>
            </w:r>
          </w:p>
        </w:tc>
        <w:tc>
          <w:tcPr>
            <w:tcW w:w="5280" w:type="dxa"/>
            <w:tcBorders>
              <w:right w:val="single" w:sz="6" w:space="0" w:color="000000"/>
            </w:tcBorders>
          </w:tcPr>
          <w:p>
            <w:pPr>
              <w:pStyle w:val="TableParagraph"/>
              <w:spacing w:before="98"/>
              <w:ind w:left="104"/>
              <w:rPr>
                <w:rFonts w:ascii="hakuyoxingshu7000" w:eastAsia="hakuyoxingshu7000" w:hint="eastAsia"/>
                <w:sz w:val="21"/>
              </w:rPr>
            </w:pPr>
            <w:r>
              <w:rPr>
                <w:rFonts w:ascii="hakuyoxingshu7000" w:eastAsia="hakuyoxingshu7000" w:hint="eastAsia"/>
                <w:color w:val="0000FF"/>
                <w:sz w:val="21"/>
              </w:rPr>
              <w:t>互助县哈拉直沟乡费家村</w:t>
            </w:r>
          </w:p>
        </w:tc>
        <w:tc>
          <w:tcPr>
            <w:tcW w:w="458" w:type="dxa"/>
            <w:tcBorders>
              <w:left w:val="single" w:sz="6" w:space="0" w:color="000000"/>
            </w:tcBorders>
          </w:tcPr>
          <w:p>
            <w:pPr>
              <w:pStyle w:val="TableParagraph"/>
              <w:rPr>
                <w:rFonts w:ascii="Times New Roman"/>
                <w:sz w:val="22"/>
              </w:rPr>
            </w:pPr>
          </w:p>
        </w:tc>
      </w:tr>
      <w:tr>
        <w:trPr>
          <w:trHeight w:val="127" w:hRule="atLeast"/>
        </w:trPr>
        <w:tc>
          <w:tcPr>
            <w:tcW w:w="338" w:type="dxa"/>
            <w:tcBorders>
              <w:left w:val="single" w:sz="6" w:space="0" w:color="000000"/>
            </w:tcBorders>
          </w:tcPr>
          <w:p>
            <w:pPr>
              <w:pStyle w:val="TableParagraph"/>
              <w:rPr>
                <w:rFonts w:ascii="Times New Roman"/>
                <w:sz w:val="6"/>
              </w:rPr>
            </w:pPr>
          </w:p>
        </w:tc>
        <w:tc>
          <w:tcPr>
            <w:tcW w:w="834" w:type="dxa"/>
            <w:tcBorders>
              <w:right w:val="single" w:sz="8" w:space="0" w:color="000000"/>
            </w:tcBorders>
          </w:tcPr>
          <w:p>
            <w:pPr>
              <w:pStyle w:val="TableParagraph"/>
              <w:rPr>
                <w:rFonts w:ascii="Times New Roman"/>
                <w:sz w:val="6"/>
              </w:rPr>
            </w:pPr>
          </w:p>
        </w:tc>
        <w:tc>
          <w:tcPr>
            <w:tcW w:w="2283" w:type="dxa"/>
            <w:tcBorders>
              <w:left w:val="single" w:sz="8" w:space="0" w:color="000000"/>
            </w:tcBorders>
          </w:tcPr>
          <w:p>
            <w:pPr>
              <w:pStyle w:val="TableParagraph"/>
              <w:rPr>
                <w:rFonts w:ascii="Times New Roman"/>
                <w:sz w:val="6"/>
              </w:rPr>
            </w:pPr>
          </w:p>
        </w:tc>
        <w:tc>
          <w:tcPr>
            <w:tcW w:w="5280" w:type="dxa"/>
            <w:tcBorders>
              <w:right w:val="single" w:sz="6" w:space="0" w:color="000000"/>
            </w:tcBorders>
          </w:tcPr>
          <w:p>
            <w:pPr>
              <w:pStyle w:val="TableParagraph"/>
              <w:rPr>
                <w:rFonts w:ascii="Times New Roman"/>
                <w:sz w:val="6"/>
              </w:rPr>
            </w:pPr>
          </w:p>
        </w:tc>
        <w:tc>
          <w:tcPr>
            <w:tcW w:w="458" w:type="dxa"/>
            <w:tcBorders>
              <w:left w:val="single" w:sz="6" w:space="0" w:color="000000"/>
            </w:tcBorders>
          </w:tcPr>
          <w:p>
            <w:pPr>
              <w:pStyle w:val="TableParagraph"/>
              <w:rPr>
                <w:rFonts w:ascii="Times New Roman"/>
                <w:sz w:val="6"/>
              </w:rPr>
            </w:pPr>
          </w:p>
        </w:tc>
      </w:tr>
      <w:tr>
        <w:trPr>
          <w:trHeight w:val="502" w:hRule="atLeast"/>
        </w:trPr>
        <w:tc>
          <w:tcPr>
            <w:tcW w:w="338" w:type="dxa"/>
            <w:tcBorders>
              <w:left w:val="single" w:sz="6" w:space="0" w:color="000000"/>
            </w:tcBorders>
          </w:tcPr>
          <w:p>
            <w:pPr>
              <w:pStyle w:val="TableParagraph"/>
              <w:rPr>
                <w:rFonts w:ascii="Times New Roman"/>
                <w:sz w:val="22"/>
              </w:rPr>
            </w:pPr>
          </w:p>
        </w:tc>
        <w:tc>
          <w:tcPr>
            <w:tcW w:w="834" w:type="dxa"/>
            <w:tcBorders>
              <w:right w:val="single" w:sz="8" w:space="0" w:color="000000"/>
            </w:tcBorders>
          </w:tcPr>
          <w:p>
            <w:pPr>
              <w:pStyle w:val="TableParagraph"/>
              <w:spacing w:before="187"/>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6</w:t>
            </w:r>
          </w:p>
        </w:tc>
        <w:tc>
          <w:tcPr>
            <w:tcW w:w="2283" w:type="dxa"/>
            <w:tcBorders>
              <w:left w:val="single" w:sz="8" w:space="0" w:color="000000"/>
            </w:tcBorders>
          </w:tcPr>
          <w:p>
            <w:pPr>
              <w:pStyle w:val="TableParagraph"/>
              <w:spacing w:before="187"/>
              <w:ind w:left="500"/>
              <w:rPr>
                <w:rFonts w:ascii="hakuyoxingshu7000" w:eastAsia="hakuyoxingshu7000" w:hint="eastAsia"/>
                <w:sz w:val="21"/>
              </w:rPr>
            </w:pPr>
            <w:r>
              <w:rPr>
                <w:rFonts w:ascii="hakuyoxingshu7000" w:eastAsia="hakuyoxingshu7000" w:hint="eastAsia"/>
                <w:sz w:val="21"/>
              </w:rPr>
              <w:t>现场管理机构</w:t>
            </w:r>
          </w:p>
        </w:tc>
        <w:tc>
          <w:tcPr>
            <w:tcW w:w="5280" w:type="dxa"/>
            <w:tcBorders>
              <w:right w:val="single" w:sz="6" w:space="0" w:color="000000"/>
            </w:tcBorders>
          </w:tcPr>
          <w:p>
            <w:pPr>
              <w:pStyle w:val="TableParagraph"/>
              <w:spacing w:before="112"/>
              <w:ind w:left="104"/>
              <w:rPr>
                <w:rFonts w:ascii="hakuyoxingshu7000"/>
                <w:sz w:val="21"/>
              </w:rPr>
            </w:pPr>
            <w:r>
              <w:rPr>
                <w:rFonts w:ascii="hakuyoxingshu7000"/>
                <w:color w:val="0000FF"/>
                <w:w w:val="55"/>
                <w:sz w:val="21"/>
              </w:rPr>
              <w:t>/</w:t>
            </w:r>
          </w:p>
        </w:tc>
        <w:tc>
          <w:tcPr>
            <w:tcW w:w="458" w:type="dxa"/>
            <w:tcBorders>
              <w:left w:val="single" w:sz="6" w:space="0" w:color="000000"/>
            </w:tcBorders>
          </w:tcPr>
          <w:p>
            <w:pPr>
              <w:pStyle w:val="TableParagraph"/>
              <w:rPr>
                <w:rFonts w:ascii="Times New Roman"/>
                <w:sz w:val="22"/>
              </w:rPr>
            </w:pPr>
          </w:p>
        </w:tc>
      </w:tr>
      <w:tr>
        <w:trPr>
          <w:trHeight w:val="120" w:hRule="atLeast"/>
        </w:trPr>
        <w:tc>
          <w:tcPr>
            <w:tcW w:w="338" w:type="dxa"/>
            <w:tcBorders>
              <w:left w:val="single" w:sz="6" w:space="0" w:color="000000"/>
              <w:bottom w:val="single" w:sz="6" w:space="0" w:color="000000"/>
            </w:tcBorders>
          </w:tcPr>
          <w:p>
            <w:pPr>
              <w:pStyle w:val="TableParagraph"/>
              <w:rPr>
                <w:rFonts w:ascii="Times New Roman"/>
                <w:sz w:val="6"/>
              </w:rPr>
            </w:pPr>
          </w:p>
        </w:tc>
        <w:tc>
          <w:tcPr>
            <w:tcW w:w="834" w:type="dxa"/>
            <w:tcBorders>
              <w:bottom w:val="single" w:sz="6" w:space="0" w:color="000000"/>
              <w:right w:val="single" w:sz="8" w:space="0" w:color="000000"/>
            </w:tcBorders>
          </w:tcPr>
          <w:p>
            <w:pPr>
              <w:pStyle w:val="TableParagraph"/>
              <w:rPr>
                <w:rFonts w:ascii="Times New Roman"/>
                <w:sz w:val="6"/>
              </w:rPr>
            </w:pPr>
          </w:p>
        </w:tc>
        <w:tc>
          <w:tcPr>
            <w:tcW w:w="2283" w:type="dxa"/>
            <w:tcBorders>
              <w:left w:val="single" w:sz="8" w:space="0" w:color="000000"/>
              <w:bottom w:val="single" w:sz="6" w:space="0" w:color="000000"/>
            </w:tcBorders>
          </w:tcPr>
          <w:p>
            <w:pPr>
              <w:pStyle w:val="TableParagraph"/>
              <w:rPr>
                <w:rFonts w:ascii="Times New Roman"/>
                <w:sz w:val="6"/>
              </w:rPr>
            </w:pPr>
          </w:p>
        </w:tc>
        <w:tc>
          <w:tcPr>
            <w:tcW w:w="5280" w:type="dxa"/>
            <w:tcBorders>
              <w:bottom w:val="single" w:sz="6" w:space="0" w:color="000000"/>
              <w:right w:val="single" w:sz="6" w:space="0" w:color="000000"/>
            </w:tcBorders>
          </w:tcPr>
          <w:p>
            <w:pPr>
              <w:pStyle w:val="TableParagraph"/>
              <w:rPr>
                <w:rFonts w:ascii="Times New Roman"/>
                <w:sz w:val="6"/>
              </w:rPr>
            </w:pPr>
          </w:p>
        </w:tc>
        <w:tc>
          <w:tcPr>
            <w:tcW w:w="458" w:type="dxa"/>
            <w:tcBorders>
              <w:left w:val="single" w:sz="6" w:space="0" w:color="000000"/>
            </w:tcBorders>
          </w:tcPr>
          <w:p>
            <w:pPr>
              <w:pStyle w:val="TableParagraph"/>
              <w:rPr>
                <w:rFonts w:ascii="Times New Roman"/>
                <w:sz w:val="6"/>
              </w:rPr>
            </w:pPr>
          </w:p>
        </w:tc>
      </w:tr>
      <w:tr>
        <w:trPr>
          <w:trHeight w:val="615" w:hRule="atLeast"/>
        </w:trPr>
        <w:tc>
          <w:tcPr>
            <w:tcW w:w="338" w:type="dxa"/>
            <w:tcBorders>
              <w:top w:val="single" w:sz="6" w:space="0" w:color="000000"/>
              <w:left w:val="single" w:sz="6" w:space="0" w:color="000000"/>
              <w:bottom w:val="single" w:sz="6" w:space="0" w:color="000000"/>
            </w:tcBorders>
          </w:tcPr>
          <w:p>
            <w:pPr>
              <w:pStyle w:val="TableParagraph"/>
              <w:rPr>
                <w:rFonts w:ascii="Times New Roman"/>
                <w:sz w:val="22"/>
              </w:rPr>
            </w:pPr>
          </w:p>
        </w:tc>
        <w:tc>
          <w:tcPr>
            <w:tcW w:w="834" w:type="dxa"/>
            <w:tcBorders>
              <w:top w:val="single" w:sz="6" w:space="0" w:color="000000"/>
              <w:bottom w:val="single" w:sz="6" w:space="0" w:color="000000"/>
              <w:right w:val="single" w:sz="8" w:space="0" w:color="000000"/>
            </w:tcBorders>
          </w:tcPr>
          <w:p>
            <w:pPr>
              <w:pStyle w:val="TableParagraph"/>
              <w:spacing w:before="180"/>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7</w:t>
            </w:r>
          </w:p>
        </w:tc>
        <w:tc>
          <w:tcPr>
            <w:tcW w:w="2283" w:type="dxa"/>
            <w:tcBorders>
              <w:top w:val="single" w:sz="6" w:space="0" w:color="000000"/>
              <w:left w:val="single" w:sz="8" w:space="0" w:color="000000"/>
              <w:bottom w:val="single" w:sz="6" w:space="0" w:color="000000"/>
            </w:tcBorders>
          </w:tcPr>
          <w:p>
            <w:pPr>
              <w:pStyle w:val="TableParagraph"/>
              <w:spacing w:before="180"/>
              <w:ind w:left="797" w:right="805"/>
              <w:jc w:val="center"/>
              <w:rPr>
                <w:rFonts w:ascii="hakuyoxingshu7000" w:eastAsia="hakuyoxingshu7000" w:hint="eastAsia"/>
                <w:sz w:val="21"/>
              </w:rPr>
            </w:pPr>
            <w:r>
              <w:rPr>
                <w:rFonts w:ascii="hakuyoxingshu7000" w:eastAsia="hakuyoxingshu7000" w:hint="eastAsia"/>
                <w:sz w:val="21"/>
              </w:rPr>
              <w:t>设计人</w:t>
            </w:r>
          </w:p>
        </w:tc>
        <w:tc>
          <w:tcPr>
            <w:tcW w:w="5280" w:type="dxa"/>
            <w:tcBorders>
              <w:top w:val="single" w:sz="6" w:space="0" w:color="000000"/>
              <w:bottom w:val="single" w:sz="6" w:space="0" w:color="000000"/>
              <w:right w:val="single" w:sz="6" w:space="0" w:color="000000"/>
            </w:tcBorders>
          </w:tcPr>
          <w:p>
            <w:pPr>
              <w:pStyle w:val="TableParagraph"/>
              <w:spacing w:before="105"/>
              <w:ind w:left="104"/>
              <w:rPr>
                <w:rFonts w:ascii="hakuyoxingshu7000"/>
                <w:sz w:val="21"/>
              </w:rPr>
            </w:pPr>
            <w:r>
              <w:rPr>
                <w:rFonts w:ascii="hakuyoxingshu7000"/>
                <w:color w:val="0000FF"/>
                <w:w w:val="55"/>
                <w:sz w:val="21"/>
              </w:rPr>
              <w:t>/</w:t>
            </w:r>
          </w:p>
        </w:tc>
        <w:tc>
          <w:tcPr>
            <w:tcW w:w="458" w:type="dxa"/>
            <w:tcBorders>
              <w:left w:val="single" w:sz="6" w:space="0" w:color="000000"/>
            </w:tcBorders>
          </w:tcPr>
          <w:p>
            <w:pPr>
              <w:pStyle w:val="TableParagraph"/>
              <w:rPr>
                <w:rFonts w:ascii="Times New Roman"/>
                <w:sz w:val="22"/>
              </w:rPr>
            </w:pPr>
          </w:p>
        </w:tc>
      </w:tr>
      <w:tr>
        <w:trPr>
          <w:trHeight w:val="630" w:hRule="atLeast"/>
        </w:trPr>
        <w:tc>
          <w:tcPr>
            <w:tcW w:w="338" w:type="dxa"/>
            <w:tcBorders>
              <w:top w:val="single" w:sz="6" w:space="0" w:color="000000"/>
              <w:left w:val="single" w:sz="6" w:space="0" w:color="000000"/>
              <w:bottom w:val="single" w:sz="6" w:space="0" w:color="000000"/>
            </w:tcBorders>
          </w:tcPr>
          <w:p>
            <w:pPr>
              <w:pStyle w:val="TableParagraph"/>
              <w:rPr>
                <w:rFonts w:ascii="Times New Roman"/>
                <w:sz w:val="22"/>
              </w:rPr>
            </w:pPr>
          </w:p>
        </w:tc>
        <w:tc>
          <w:tcPr>
            <w:tcW w:w="834" w:type="dxa"/>
            <w:tcBorders>
              <w:top w:val="single" w:sz="6" w:space="0" w:color="000000"/>
              <w:bottom w:val="single" w:sz="6" w:space="0" w:color="000000"/>
              <w:right w:val="single" w:sz="8" w:space="0" w:color="000000"/>
            </w:tcBorders>
          </w:tcPr>
          <w:p>
            <w:pPr>
              <w:pStyle w:val="TableParagraph"/>
              <w:spacing w:before="180"/>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8</w:t>
            </w:r>
          </w:p>
        </w:tc>
        <w:tc>
          <w:tcPr>
            <w:tcW w:w="2283" w:type="dxa"/>
            <w:tcBorders>
              <w:top w:val="single" w:sz="6" w:space="0" w:color="000000"/>
              <w:left w:val="single" w:sz="8" w:space="0" w:color="000000"/>
              <w:bottom w:val="single" w:sz="6" w:space="0" w:color="000000"/>
            </w:tcBorders>
          </w:tcPr>
          <w:p>
            <w:pPr>
              <w:pStyle w:val="TableParagraph"/>
              <w:spacing w:before="180"/>
              <w:ind w:left="797" w:right="805"/>
              <w:jc w:val="center"/>
              <w:rPr>
                <w:rFonts w:ascii="hakuyoxingshu7000" w:eastAsia="hakuyoxingshu7000" w:hint="eastAsia"/>
                <w:sz w:val="21"/>
              </w:rPr>
            </w:pPr>
            <w:r>
              <w:rPr>
                <w:rFonts w:ascii="hakuyoxingshu7000" w:eastAsia="hakuyoxingshu7000" w:hint="eastAsia"/>
                <w:sz w:val="21"/>
              </w:rPr>
              <w:t>监理人</w:t>
            </w:r>
          </w:p>
        </w:tc>
        <w:tc>
          <w:tcPr>
            <w:tcW w:w="5280" w:type="dxa"/>
            <w:tcBorders>
              <w:top w:val="single" w:sz="6" w:space="0" w:color="000000"/>
              <w:bottom w:val="single" w:sz="6" w:space="0" w:color="000000"/>
              <w:right w:val="single" w:sz="6" w:space="0" w:color="000000"/>
            </w:tcBorders>
          </w:tcPr>
          <w:p>
            <w:pPr>
              <w:pStyle w:val="TableParagraph"/>
              <w:spacing w:before="105"/>
              <w:ind w:left="104"/>
              <w:rPr>
                <w:rFonts w:ascii="hakuyoxingshu7000"/>
                <w:sz w:val="21"/>
              </w:rPr>
            </w:pPr>
            <w:r>
              <w:rPr>
                <w:rFonts w:ascii="hakuyoxingshu7000"/>
                <w:color w:val="0000FF"/>
                <w:w w:val="55"/>
                <w:sz w:val="21"/>
              </w:rPr>
              <w:t>/</w:t>
            </w:r>
          </w:p>
        </w:tc>
        <w:tc>
          <w:tcPr>
            <w:tcW w:w="458" w:type="dxa"/>
            <w:tcBorders>
              <w:left w:val="single" w:sz="6" w:space="0" w:color="000000"/>
            </w:tcBorders>
          </w:tcPr>
          <w:p>
            <w:pPr>
              <w:pStyle w:val="TableParagraph"/>
              <w:rPr>
                <w:rFonts w:ascii="Times New Roman"/>
                <w:sz w:val="22"/>
              </w:rPr>
            </w:pPr>
          </w:p>
        </w:tc>
      </w:tr>
      <w:tr>
        <w:trPr>
          <w:trHeight w:val="615" w:hRule="atLeast"/>
        </w:trPr>
        <w:tc>
          <w:tcPr>
            <w:tcW w:w="338" w:type="dxa"/>
            <w:tcBorders>
              <w:top w:val="single" w:sz="6" w:space="0" w:color="000000"/>
              <w:left w:val="single" w:sz="6" w:space="0" w:color="000000"/>
              <w:bottom w:val="single" w:sz="6" w:space="0" w:color="000000"/>
            </w:tcBorders>
          </w:tcPr>
          <w:p>
            <w:pPr>
              <w:pStyle w:val="TableParagraph"/>
              <w:rPr>
                <w:rFonts w:ascii="Times New Roman"/>
                <w:sz w:val="22"/>
              </w:rPr>
            </w:pPr>
          </w:p>
        </w:tc>
        <w:tc>
          <w:tcPr>
            <w:tcW w:w="834" w:type="dxa"/>
            <w:tcBorders>
              <w:top w:val="single" w:sz="6" w:space="0" w:color="000000"/>
              <w:bottom w:val="single" w:sz="6" w:space="0" w:color="000000"/>
              <w:right w:val="single" w:sz="8" w:space="0" w:color="000000"/>
            </w:tcBorders>
          </w:tcPr>
          <w:p>
            <w:pPr>
              <w:pStyle w:val="TableParagraph"/>
              <w:spacing w:before="165"/>
              <w:ind w:left="6"/>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9</w:t>
            </w:r>
          </w:p>
        </w:tc>
        <w:tc>
          <w:tcPr>
            <w:tcW w:w="2283" w:type="dxa"/>
            <w:tcBorders>
              <w:top w:val="single" w:sz="6" w:space="0" w:color="000000"/>
              <w:left w:val="single" w:sz="8" w:space="0" w:color="000000"/>
              <w:bottom w:val="single" w:sz="6" w:space="0" w:color="000000"/>
            </w:tcBorders>
          </w:tcPr>
          <w:p>
            <w:pPr>
              <w:pStyle w:val="TableParagraph"/>
              <w:spacing w:before="165"/>
              <w:ind w:left="710"/>
              <w:rPr>
                <w:rFonts w:ascii="hakuyoxingshu7000" w:eastAsia="hakuyoxingshu7000" w:hint="eastAsia"/>
                <w:sz w:val="21"/>
              </w:rPr>
            </w:pPr>
            <w:r>
              <w:rPr>
                <w:rFonts w:ascii="hakuyoxingshu7000" w:eastAsia="hakuyoxingshu7000" w:hint="eastAsia"/>
                <w:sz w:val="21"/>
              </w:rPr>
              <w:t>代建机构</w:t>
            </w:r>
          </w:p>
        </w:tc>
        <w:tc>
          <w:tcPr>
            <w:tcW w:w="5280" w:type="dxa"/>
            <w:tcBorders>
              <w:top w:val="single" w:sz="6" w:space="0" w:color="000000"/>
              <w:bottom w:val="single" w:sz="6" w:space="0" w:color="000000"/>
              <w:right w:val="single" w:sz="6" w:space="0" w:color="000000"/>
            </w:tcBorders>
          </w:tcPr>
          <w:p>
            <w:pPr>
              <w:pStyle w:val="TableParagraph"/>
              <w:spacing w:before="90"/>
              <w:ind w:left="104"/>
              <w:rPr>
                <w:rFonts w:ascii="hakuyoxingshu7000"/>
                <w:sz w:val="21"/>
              </w:rPr>
            </w:pPr>
            <w:r>
              <w:rPr>
                <w:rFonts w:ascii="hakuyoxingshu7000"/>
                <w:color w:val="0000FF"/>
                <w:w w:val="55"/>
                <w:sz w:val="21"/>
              </w:rPr>
              <w:t>/</w:t>
            </w:r>
          </w:p>
        </w:tc>
        <w:tc>
          <w:tcPr>
            <w:tcW w:w="458" w:type="dxa"/>
            <w:tcBorders>
              <w:left w:val="single" w:sz="6" w:space="0" w:color="000000"/>
            </w:tcBorders>
          </w:tcPr>
          <w:p>
            <w:pPr>
              <w:pStyle w:val="TableParagraph"/>
              <w:rPr>
                <w:rFonts w:ascii="Times New Roman"/>
                <w:sz w:val="22"/>
              </w:rPr>
            </w:pPr>
          </w:p>
        </w:tc>
      </w:tr>
    </w:tbl>
    <w:p>
      <w:pPr>
        <w:spacing w:after="0"/>
        <w:rPr>
          <w:rFonts w:ascii="Times New Roman"/>
          <w:sz w:val="22"/>
        </w:rPr>
        <w:sectPr>
          <w:pgSz w:w="11910" w:h="16850"/>
          <w:pgMar w:header="911" w:footer="0" w:top="1380" w:bottom="280" w:left="1200" w:right="0"/>
        </w:sectPr>
      </w:pPr>
    </w:p>
    <w:p>
      <w:pPr>
        <w:pStyle w:val="BodyText"/>
        <w:spacing w:before="10"/>
        <w:rPr>
          <w:rFonts w:ascii="Times New Roman"/>
          <w:sz w:val="3"/>
        </w:rPr>
      </w:pPr>
      <w:r>
        <w:rPr/>
        <w:pict>
          <v:group style="position:absolute;margin-left:78.170998pt;margin-top:198.175003pt;width:445.3pt;height:439.45pt;mso-position-horizontal-relative:page;mso-position-vertical-relative:page;z-index:-268645376" coordorigin="1563,3964" coordsize="8906,8789">
            <v:shape style="position:absolute;left:1563;top:4099;width:8786;height:8653" type="#_x0000_t75" stroked="false">
              <v:imagedata r:id="rId6" o:title=""/>
            </v:shape>
            <v:shape style="position:absolute;left:4941;top:3963;width:5527;height:6126" coordorigin="4942,3964" coordsize="5527,6126" path="m9342,7702l4942,7702,4942,8212,9342,8212,9342,7702m10469,9578l4942,9578,4942,10089,10469,10089,10469,9578m10469,8948l4942,8948,4942,9459,10469,9459,10469,8948m10469,8332l4942,8332,4942,8827,10469,8827,10469,8332m10469,7086l4942,7086,4942,7582,10469,7582,10469,7086m10469,6455l4942,6455,4942,6966,10469,6966,10469,6455m10469,5825l4942,5825,4942,6336,10469,6336,10469,5825m10469,4579l4942,4579,4942,5090,10469,5090,10469,4579m10469,3964l4942,3964,4942,4459,10469,4459,10469,3964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613" w:hRule="atLeast"/>
        </w:trPr>
        <w:tc>
          <w:tcPr>
            <w:tcW w:w="1171" w:type="dxa"/>
            <w:tcBorders>
              <w:left w:val="single" w:sz="6" w:space="0" w:color="000000"/>
              <w:bottom w:val="single" w:sz="6" w:space="0" w:color="000000"/>
            </w:tcBorders>
          </w:tcPr>
          <w:p>
            <w:pPr>
              <w:pStyle w:val="TableParagraph"/>
              <w:spacing w:before="162"/>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1</w:t>
            </w:r>
          </w:p>
        </w:tc>
        <w:tc>
          <w:tcPr>
            <w:tcW w:w="2282" w:type="dxa"/>
            <w:tcBorders>
              <w:bottom w:val="single" w:sz="6" w:space="0" w:color="000000"/>
              <w:right w:val="single" w:sz="6" w:space="0" w:color="000000"/>
            </w:tcBorders>
          </w:tcPr>
          <w:p>
            <w:pPr>
              <w:pStyle w:val="TableParagraph"/>
              <w:spacing w:before="162"/>
              <w:jc w:val="center"/>
              <w:rPr>
                <w:rFonts w:ascii="hakuyoxingshu7000" w:eastAsia="hakuyoxingshu7000" w:hint="eastAsia"/>
                <w:sz w:val="21"/>
              </w:rPr>
            </w:pPr>
            <w:r>
              <w:rPr>
                <w:rFonts w:ascii="hakuyoxingshu7000" w:eastAsia="hakuyoxingshu7000" w:hint="eastAsia"/>
                <w:sz w:val="21"/>
              </w:rPr>
              <w:t>资金来源</w:t>
            </w:r>
          </w:p>
        </w:tc>
        <w:tc>
          <w:tcPr>
            <w:tcW w:w="5737" w:type="dxa"/>
            <w:tcBorders>
              <w:left w:val="single" w:sz="6" w:space="0" w:color="000000"/>
              <w:bottom w:val="single" w:sz="6" w:space="0" w:color="000000"/>
              <w:right w:val="single" w:sz="6" w:space="0" w:color="000000"/>
            </w:tcBorders>
          </w:tcPr>
          <w:p>
            <w:pPr>
              <w:pStyle w:val="TableParagraph"/>
              <w:spacing w:before="87"/>
              <w:ind w:left="99"/>
              <w:rPr>
                <w:rFonts w:ascii="hakuyoxingshu7000" w:eastAsia="hakuyoxingshu7000" w:hint="eastAsia"/>
                <w:sz w:val="21"/>
              </w:rPr>
            </w:pPr>
            <w:r>
              <w:rPr>
                <w:rFonts w:ascii="hakuyoxingshu7000" w:eastAsia="hakuyoxingshu7000" w:hint="eastAsia"/>
                <w:color w:val="0000FF"/>
                <w:sz w:val="21"/>
              </w:rPr>
              <w:t>财政资金</w:t>
            </w:r>
          </w:p>
        </w:tc>
      </w:tr>
      <w:tr>
        <w:trPr>
          <w:trHeight w:val="615" w:hRule="atLeast"/>
        </w:trPr>
        <w:tc>
          <w:tcPr>
            <w:tcW w:w="1171" w:type="dxa"/>
            <w:tcBorders>
              <w:top w:val="single" w:sz="6" w:space="0" w:color="000000"/>
              <w:left w:val="single" w:sz="6" w:space="0" w:color="000000"/>
              <w:bottom w:val="single" w:sz="6" w:space="0" w:color="000000"/>
            </w:tcBorders>
          </w:tcPr>
          <w:p>
            <w:pPr>
              <w:pStyle w:val="TableParagraph"/>
              <w:spacing w:before="165"/>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2</w:t>
            </w:r>
          </w:p>
        </w:tc>
        <w:tc>
          <w:tcPr>
            <w:tcW w:w="2282" w:type="dxa"/>
            <w:tcBorders>
              <w:top w:val="single" w:sz="6" w:space="0" w:color="000000"/>
              <w:bottom w:val="single" w:sz="6" w:space="0" w:color="000000"/>
              <w:right w:val="single" w:sz="6" w:space="0" w:color="000000"/>
            </w:tcBorders>
          </w:tcPr>
          <w:p>
            <w:pPr>
              <w:pStyle w:val="TableParagraph"/>
              <w:spacing w:before="165"/>
              <w:jc w:val="center"/>
              <w:rPr>
                <w:rFonts w:ascii="hakuyoxingshu7000" w:eastAsia="hakuyoxingshu7000" w:hint="eastAsia"/>
                <w:sz w:val="21"/>
              </w:rPr>
            </w:pPr>
            <w:r>
              <w:rPr>
                <w:rFonts w:ascii="hakuyoxingshu7000" w:eastAsia="hakuyoxingshu7000" w:hint="eastAsia"/>
                <w:sz w:val="21"/>
              </w:rPr>
              <w:t>出资比例</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90"/>
              <w:ind w:left="99"/>
              <w:rPr>
                <w:rFonts w:ascii="hakuyoxingshu7000"/>
                <w:sz w:val="21"/>
              </w:rPr>
            </w:pPr>
            <w:r>
              <w:rPr>
                <w:rFonts w:ascii="hakuyoxingshu7000"/>
                <w:color w:val="0000FF"/>
                <w:w w:val="130"/>
                <w:sz w:val="21"/>
              </w:rPr>
              <w:t>100%</w:t>
            </w:r>
          </w:p>
        </w:tc>
      </w:tr>
      <w:tr>
        <w:trPr>
          <w:trHeight w:val="615" w:hRule="atLeast"/>
        </w:trPr>
        <w:tc>
          <w:tcPr>
            <w:tcW w:w="1171" w:type="dxa"/>
            <w:tcBorders>
              <w:top w:val="single" w:sz="6" w:space="0" w:color="000000"/>
              <w:left w:val="single" w:sz="6" w:space="0" w:color="000000"/>
              <w:bottom w:val="single" w:sz="6" w:space="0" w:color="000000"/>
            </w:tcBorders>
          </w:tcPr>
          <w:p>
            <w:pPr>
              <w:pStyle w:val="TableParagraph"/>
              <w:spacing w:before="180"/>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3</w:t>
            </w:r>
          </w:p>
        </w:tc>
        <w:tc>
          <w:tcPr>
            <w:tcW w:w="2282" w:type="dxa"/>
            <w:tcBorders>
              <w:top w:val="single" w:sz="6" w:space="0" w:color="000000"/>
              <w:bottom w:val="single" w:sz="6" w:space="0" w:color="000000"/>
              <w:right w:val="single" w:sz="6" w:space="0" w:color="000000"/>
            </w:tcBorders>
          </w:tcPr>
          <w:p>
            <w:pPr>
              <w:pStyle w:val="TableParagraph"/>
              <w:spacing w:before="180"/>
              <w:jc w:val="center"/>
              <w:rPr>
                <w:rFonts w:ascii="hakuyoxingshu7000" w:eastAsia="hakuyoxingshu7000" w:hint="eastAsia"/>
                <w:sz w:val="21"/>
              </w:rPr>
            </w:pPr>
            <w:r>
              <w:rPr>
                <w:rFonts w:ascii="hakuyoxingshu7000" w:eastAsia="hakuyoxingshu7000" w:hint="eastAsia"/>
                <w:sz w:val="21"/>
              </w:rPr>
              <w:t>资金落实情况</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Pr>
                <w:rFonts w:ascii="hakuyoxingshu7000" w:eastAsia="hakuyoxingshu7000" w:hint="eastAsia"/>
                <w:sz w:val="21"/>
              </w:rPr>
            </w:pPr>
            <w:r>
              <w:rPr>
                <w:rFonts w:ascii="hakuyoxingshu7000" w:eastAsia="hakuyoxingshu7000" w:hint="eastAsia"/>
                <w:color w:val="0000FF"/>
                <w:sz w:val="21"/>
              </w:rPr>
              <w:t>已落实</w:t>
            </w:r>
          </w:p>
        </w:tc>
      </w:tr>
      <w:tr>
        <w:trPr>
          <w:trHeight w:val="10614"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4"/>
              <w:rPr>
                <w:rFonts w:ascii="Times New Roman"/>
                <w:sz w:val="30"/>
              </w:rPr>
            </w:pPr>
          </w:p>
          <w:p>
            <w:pPr>
              <w:pStyle w:val="TableParagraph"/>
              <w:spacing w:before="1"/>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3</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4"/>
              <w:rPr>
                <w:rFonts w:ascii="Times New Roman"/>
                <w:sz w:val="30"/>
              </w:rPr>
            </w:pPr>
          </w:p>
          <w:p>
            <w:pPr>
              <w:pStyle w:val="TableParagraph"/>
              <w:spacing w:before="1"/>
              <w:jc w:val="center"/>
              <w:rPr>
                <w:rFonts w:ascii="hakuyoxingshu7000" w:eastAsia="hakuyoxingshu7000" w:hint="eastAsia"/>
                <w:sz w:val="21"/>
              </w:rPr>
            </w:pPr>
            <w:r>
              <w:rPr>
                <w:rFonts w:ascii="hakuyoxingshu7000" w:eastAsia="hakuyoxingshu7000" w:hint="eastAsia"/>
                <w:sz w:val="21"/>
              </w:rPr>
              <w:t>招标范围</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556" w:lineRule="auto" w:before="180"/>
              <w:ind w:left="99" w:right="-29"/>
              <w:rPr>
                <w:rFonts w:ascii="hakuyoxingshu7000" w:eastAsia="hakuyoxingshu7000" w:hint="eastAsia"/>
                <w:sz w:val="21"/>
              </w:rPr>
            </w:pPr>
            <w:r>
              <w:rPr>
                <w:rFonts w:ascii="hakuyoxingshu7000" w:eastAsia="hakuyoxingshu7000" w:hint="eastAsia"/>
                <w:color w:val="0000FF"/>
                <w:spacing w:val="3"/>
                <w:w w:val="111"/>
                <w:sz w:val="21"/>
              </w:rPr>
              <w:t>1</w:t>
            </w:r>
            <w:r>
              <w:rPr>
                <w:rFonts w:ascii="hakuyoxingshu7000" w:eastAsia="hakuyoxingshu7000" w:hint="eastAsia"/>
                <w:color w:val="0000FF"/>
                <w:spacing w:val="-19"/>
                <w:sz w:val="21"/>
              </w:rPr>
              <w:t>、土地平整工程：将项目区 </w:t>
            </w:r>
            <w:r>
              <w:rPr>
                <w:rFonts w:ascii="hakuyoxingshu7000" w:eastAsia="hakuyoxingshu7000" w:hint="eastAsia"/>
                <w:color w:val="0000FF"/>
                <w:spacing w:val="2"/>
                <w:w w:val="111"/>
                <w:sz w:val="21"/>
              </w:rPr>
              <w:t>40</w:t>
            </w:r>
            <w:r>
              <w:rPr>
                <w:rFonts w:ascii="hakuyoxingshu7000" w:eastAsia="hakuyoxingshu7000" w:hint="eastAsia"/>
                <w:color w:val="0000FF"/>
                <w:spacing w:val="1"/>
                <w:w w:val="55"/>
                <w:sz w:val="21"/>
              </w:rPr>
              <w:t>.</w:t>
            </w:r>
            <w:r>
              <w:rPr>
                <w:rFonts w:ascii="hakuyoxingshu7000" w:eastAsia="hakuyoxingshu7000" w:hint="eastAsia"/>
                <w:color w:val="0000FF"/>
                <w:spacing w:val="-12"/>
                <w:w w:val="111"/>
                <w:sz w:val="21"/>
              </w:rPr>
              <w:t>0</w:t>
            </w:r>
            <w:r>
              <w:rPr>
                <w:rFonts w:ascii="hakuyoxingshu7000" w:eastAsia="hakuyoxingshu7000" w:hint="eastAsia"/>
                <w:color w:val="0000FF"/>
                <w:w w:val="111"/>
                <w:sz w:val="21"/>
              </w:rPr>
              <w:t>h</w:t>
            </w:r>
            <w:r>
              <w:rPr>
                <w:rFonts w:ascii="hakuyoxingshu7000" w:eastAsia="hakuyoxingshu7000" w:hint="eastAsia"/>
                <w:color w:val="0000FF"/>
                <w:spacing w:val="-7"/>
                <w:sz w:val="21"/>
              </w:rPr>
              <w:t> ㎡的已成台耕地进行归并，</w:t>
            </w:r>
            <w:r>
              <w:rPr>
                <w:rFonts w:ascii="hakuyoxingshu7000" w:eastAsia="hakuyoxingshu7000" w:hint="eastAsia"/>
                <w:color w:val="0000FF"/>
                <w:spacing w:val="-4"/>
                <w:sz w:val="21"/>
              </w:rPr>
              <w:t>使现有水浇地以小变大，集中连片，在田坎上设计田埂，田</w:t>
            </w:r>
            <w:r>
              <w:rPr>
                <w:rFonts w:ascii="hakuyoxingshu7000" w:eastAsia="hakuyoxingshu7000" w:hint="eastAsia"/>
                <w:color w:val="0000FF"/>
                <w:spacing w:val="2"/>
                <w:sz w:val="21"/>
              </w:rPr>
              <w:t>埂高 </w:t>
            </w:r>
            <w:r>
              <w:rPr>
                <w:rFonts w:ascii="hakuyoxingshu7000" w:eastAsia="hakuyoxingshu7000" w:hint="eastAsia"/>
                <w:color w:val="0000FF"/>
                <w:sz w:val="21"/>
              </w:rPr>
              <w:t>30cm</w:t>
            </w:r>
            <w:r>
              <w:rPr>
                <w:rFonts w:ascii="hakuyoxingshu7000" w:eastAsia="hakuyoxingshu7000" w:hint="eastAsia"/>
                <w:color w:val="0000FF"/>
                <w:spacing w:val="4"/>
                <w:sz w:val="21"/>
              </w:rPr>
              <w:t>，顶宽 </w:t>
            </w:r>
            <w:r>
              <w:rPr>
                <w:rFonts w:ascii="hakuyoxingshu7000" w:eastAsia="hakuyoxingshu7000" w:hint="eastAsia"/>
                <w:color w:val="0000FF"/>
                <w:sz w:val="21"/>
              </w:rPr>
              <w:t>30cm</w:t>
            </w:r>
            <w:r>
              <w:rPr>
                <w:rFonts w:ascii="hakuyoxingshu7000" w:eastAsia="hakuyoxingshu7000" w:hint="eastAsia"/>
                <w:color w:val="0000FF"/>
                <w:spacing w:val="4"/>
                <w:sz w:val="21"/>
              </w:rPr>
              <w:t>，底宽 </w:t>
            </w:r>
            <w:r>
              <w:rPr>
                <w:rFonts w:ascii="hakuyoxingshu7000" w:eastAsia="hakuyoxingshu7000" w:hint="eastAsia"/>
                <w:color w:val="0000FF"/>
                <w:sz w:val="21"/>
              </w:rPr>
              <w:t>50cm</w:t>
            </w:r>
            <w:r>
              <w:rPr>
                <w:rFonts w:ascii="hakuyoxingshu7000" w:eastAsia="hakuyoxingshu7000" w:hint="eastAsia"/>
                <w:color w:val="0000FF"/>
                <w:spacing w:val="1"/>
                <w:sz w:val="21"/>
              </w:rPr>
              <w:t>，梗内外边坡均为 </w:t>
            </w:r>
            <w:r>
              <w:rPr>
                <w:rFonts w:ascii="hakuyoxingshu7000" w:eastAsia="hakuyoxingshu7000" w:hint="eastAsia"/>
                <w:color w:val="0000FF"/>
                <w:sz w:val="21"/>
              </w:rPr>
              <w:t>1： </w:t>
            </w:r>
            <w:r>
              <w:rPr>
                <w:rFonts w:ascii="hakuyoxingshu7000" w:eastAsia="hakuyoxingshu7000" w:hint="eastAsia"/>
                <w:color w:val="0000FF"/>
                <w:spacing w:val="2"/>
                <w:w w:val="111"/>
                <w:sz w:val="21"/>
              </w:rPr>
              <w:t>0</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3</w:t>
            </w:r>
            <w:r>
              <w:rPr>
                <w:rFonts w:ascii="hakuyoxingshu7000" w:eastAsia="hakuyoxingshu7000" w:hint="eastAsia"/>
                <w:color w:val="0000FF"/>
                <w:w w:val="55"/>
                <w:sz w:val="21"/>
              </w:rPr>
              <w:t>.</w:t>
            </w:r>
          </w:p>
          <w:p>
            <w:pPr>
              <w:pStyle w:val="TableParagraph"/>
              <w:spacing w:line="561" w:lineRule="auto"/>
              <w:ind w:left="99" w:right="27"/>
              <w:jc w:val="both"/>
              <w:rPr>
                <w:rFonts w:ascii="hakuyoxingshu7000" w:eastAsia="hakuyoxingshu7000" w:hint="eastAsia"/>
                <w:sz w:val="21"/>
              </w:rPr>
            </w:pPr>
            <w:r>
              <w:rPr>
                <w:rFonts w:ascii="hakuyoxingshu7000" w:eastAsia="hakuyoxingshu7000" w:hint="eastAsia"/>
                <w:color w:val="0000FF"/>
                <w:spacing w:val="3"/>
                <w:sz w:val="21"/>
              </w:rPr>
              <w:t>2</w:t>
            </w:r>
            <w:r>
              <w:rPr>
                <w:rFonts w:ascii="hakuyoxingshu7000" w:eastAsia="hakuyoxingshu7000" w:hint="eastAsia"/>
                <w:color w:val="0000FF"/>
                <w:sz w:val="21"/>
              </w:rPr>
              <w:t>、土壤改良工程：对项目区内土地平整部分进行机械松翻， </w:t>
            </w:r>
            <w:r>
              <w:rPr>
                <w:rFonts w:ascii="hakuyoxingshu7000" w:eastAsia="hakuyoxingshu7000" w:hint="eastAsia"/>
                <w:color w:val="0000FF"/>
                <w:spacing w:val="-7"/>
                <w:sz w:val="21"/>
              </w:rPr>
              <w:t>松翻总面积为 </w:t>
            </w:r>
            <w:r>
              <w:rPr>
                <w:rFonts w:ascii="hakuyoxingshu7000" w:eastAsia="hakuyoxingshu7000" w:hint="eastAsia"/>
                <w:color w:val="0000FF"/>
                <w:spacing w:val="2"/>
                <w:w w:val="111"/>
                <w:sz w:val="21"/>
              </w:rPr>
              <w:t>37</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95</w:t>
            </w:r>
            <w:r>
              <w:rPr>
                <w:rFonts w:ascii="hakuyoxingshu7000" w:eastAsia="hakuyoxingshu7000" w:hint="eastAsia"/>
                <w:color w:val="0000FF"/>
                <w:w w:val="111"/>
                <w:sz w:val="21"/>
              </w:rPr>
              <w:t>h</w:t>
            </w:r>
            <w:r>
              <w:rPr>
                <w:rFonts w:ascii="hakuyoxingshu7000" w:eastAsia="hakuyoxingshu7000" w:hint="eastAsia"/>
                <w:color w:val="0000FF"/>
                <w:spacing w:val="-20"/>
                <w:sz w:val="21"/>
              </w:rPr>
              <w:t> ㎡</w:t>
            </w:r>
            <w:r>
              <w:rPr>
                <w:rFonts w:ascii="hakuyoxingshu7000" w:eastAsia="hakuyoxingshu7000" w:hint="eastAsia"/>
                <w:color w:val="0000FF"/>
                <w:sz w:val="21"/>
              </w:rPr>
              <w:t>（</w:t>
            </w:r>
            <w:r>
              <w:rPr>
                <w:rFonts w:ascii="hakuyoxingshu7000" w:eastAsia="hakuyoxingshu7000" w:hint="eastAsia"/>
                <w:color w:val="0000FF"/>
                <w:spacing w:val="2"/>
                <w:w w:val="111"/>
                <w:sz w:val="21"/>
              </w:rPr>
              <w:t>569</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2</w:t>
            </w:r>
            <w:r>
              <w:rPr>
                <w:rFonts w:ascii="hakuyoxingshu7000" w:eastAsia="hakuyoxingshu7000" w:hint="eastAsia"/>
                <w:color w:val="0000FF"/>
                <w:w w:val="111"/>
                <w:sz w:val="21"/>
              </w:rPr>
              <w:t>5</w:t>
            </w:r>
            <w:r>
              <w:rPr>
                <w:rFonts w:ascii="hakuyoxingshu7000" w:eastAsia="hakuyoxingshu7000" w:hint="eastAsia"/>
                <w:color w:val="0000FF"/>
                <w:spacing w:val="-20"/>
                <w:sz w:val="21"/>
              </w:rPr>
              <w:t> 亩</w:t>
            </w:r>
            <w:r>
              <w:rPr>
                <w:rFonts w:ascii="hakuyoxingshu7000" w:eastAsia="hakuyoxingshu7000" w:hint="eastAsia"/>
                <w:color w:val="0000FF"/>
                <w:spacing w:val="-105"/>
                <w:sz w:val="21"/>
              </w:rPr>
              <w:t>）</w:t>
            </w:r>
            <w:r>
              <w:rPr>
                <w:rFonts w:ascii="hakuyoxingshu7000" w:eastAsia="hakuyoxingshu7000" w:hint="eastAsia"/>
                <w:color w:val="0000FF"/>
                <w:spacing w:val="-7"/>
                <w:sz w:val="21"/>
              </w:rPr>
              <w:t>，松翻深度为 </w:t>
            </w:r>
            <w:r>
              <w:rPr>
                <w:rFonts w:ascii="hakuyoxingshu7000" w:eastAsia="hakuyoxingshu7000" w:hint="eastAsia"/>
                <w:color w:val="0000FF"/>
                <w:spacing w:val="2"/>
                <w:w w:val="111"/>
                <w:sz w:val="21"/>
              </w:rPr>
              <w:t>20</w:t>
            </w:r>
            <w:r>
              <w:rPr>
                <w:rFonts w:ascii="hakuyoxingshu7000" w:eastAsia="hakuyoxingshu7000" w:hint="eastAsia"/>
                <w:color w:val="0000FF"/>
                <w:w w:val="133"/>
                <w:sz w:val="21"/>
              </w:rPr>
              <w:t>c</w:t>
            </w:r>
            <w:r>
              <w:rPr>
                <w:rFonts w:ascii="hakuyoxingshu7000" w:eastAsia="hakuyoxingshu7000" w:hint="eastAsia"/>
                <w:color w:val="0000FF"/>
                <w:spacing w:val="-9"/>
                <w:w w:val="133"/>
                <w:sz w:val="21"/>
              </w:rPr>
              <w:t>m</w:t>
            </w:r>
            <w:r>
              <w:rPr>
                <w:rFonts w:ascii="hakuyoxingshu7000" w:eastAsia="hakuyoxingshu7000" w:hint="eastAsia"/>
                <w:color w:val="0000FF"/>
                <w:sz w:val="21"/>
              </w:rPr>
              <w:t>。</w:t>
            </w:r>
            <w:r>
              <w:rPr>
                <w:rFonts w:ascii="hakuyoxingshu7000" w:eastAsia="hakuyoxingshu7000" w:hint="eastAsia"/>
                <w:color w:val="0000FF"/>
                <w:spacing w:val="10"/>
                <w:sz w:val="21"/>
              </w:rPr>
              <w:t>机械松翻部分施用商品有机肥，施肥总面积为 </w:t>
            </w:r>
            <w:r>
              <w:rPr>
                <w:rFonts w:ascii="hakuyoxingshu7000" w:eastAsia="hakuyoxingshu7000" w:hint="eastAsia"/>
                <w:color w:val="0000FF"/>
                <w:spacing w:val="2"/>
                <w:w w:val="111"/>
                <w:sz w:val="21"/>
              </w:rPr>
              <w:t>37</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9</w:t>
            </w:r>
            <w:r>
              <w:rPr>
                <w:rFonts w:ascii="hakuyoxingshu7000" w:eastAsia="hakuyoxingshu7000" w:hint="eastAsia"/>
                <w:color w:val="0000FF"/>
                <w:spacing w:val="-12"/>
                <w:w w:val="111"/>
                <w:sz w:val="21"/>
              </w:rPr>
              <w:t>5</w:t>
            </w:r>
            <w:r>
              <w:rPr>
                <w:rFonts w:ascii="hakuyoxingshu7000" w:eastAsia="hakuyoxingshu7000" w:hint="eastAsia"/>
                <w:color w:val="0000FF"/>
                <w:w w:val="111"/>
                <w:sz w:val="21"/>
              </w:rPr>
              <w:t>h</w:t>
            </w:r>
            <w:r>
              <w:rPr>
                <w:rFonts w:ascii="hakuyoxingshu7000" w:eastAsia="hakuyoxingshu7000" w:hint="eastAsia"/>
                <w:color w:val="0000FF"/>
                <w:spacing w:val="10"/>
                <w:sz w:val="21"/>
              </w:rPr>
              <w:t> ㎡</w:t>
            </w:r>
          </w:p>
          <w:p>
            <w:pPr>
              <w:pStyle w:val="TableParagraph"/>
              <w:spacing w:line="257" w:lineRule="exact"/>
              <w:ind w:left="99"/>
              <w:jc w:val="both"/>
              <w:rPr>
                <w:rFonts w:ascii="hakuyoxingshu7000" w:eastAsia="hakuyoxingshu7000" w:hint="eastAsia"/>
                <w:sz w:val="21"/>
              </w:rPr>
            </w:pPr>
            <w:r>
              <w:rPr>
                <w:rFonts w:ascii="hakuyoxingshu7000" w:eastAsia="hakuyoxingshu7000" w:hint="eastAsia"/>
                <w:color w:val="0000FF"/>
                <w:sz w:val="21"/>
              </w:rPr>
              <w:t>（</w:t>
            </w:r>
            <w:r>
              <w:rPr>
                <w:rFonts w:ascii="hakuyoxingshu7000" w:eastAsia="hakuyoxingshu7000" w:hint="eastAsia"/>
                <w:color w:val="0000FF"/>
                <w:spacing w:val="2"/>
                <w:w w:val="111"/>
                <w:sz w:val="21"/>
              </w:rPr>
              <w:t>569</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2</w:t>
            </w:r>
            <w:r>
              <w:rPr>
                <w:rFonts w:ascii="hakuyoxingshu7000" w:eastAsia="hakuyoxingshu7000" w:hint="eastAsia"/>
                <w:color w:val="0000FF"/>
                <w:w w:val="111"/>
                <w:sz w:val="21"/>
              </w:rPr>
              <w:t>5</w:t>
            </w:r>
            <w:r>
              <w:rPr>
                <w:rFonts w:ascii="hakuyoxingshu7000" w:eastAsia="hakuyoxingshu7000" w:hint="eastAsia"/>
                <w:color w:val="0000FF"/>
                <w:spacing w:val="-20"/>
                <w:sz w:val="21"/>
              </w:rPr>
              <w:t> 亩</w:t>
            </w:r>
            <w:r>
              <w:rPr>
                <w:rFonts w:ascii="hakuyoxingshu7000" w:eastAsia="hakuyoxingshu7000" w:hint="eastAsia"/>
                <w:color w:val="0000FF"/>
                <w:spacing w:val="-105"/>
                <w:sz w:val="21"/>
              </w:rPr>
              <w:t>）</w:t>
            </w:r>
            <w:r>
              <w:rPr>
                <w:rFonts w:ascii="hakuyoxingshu7000" w:eastAsia="hakuyoxingshu7000" w:hint="eastAsia"/>
                <w:color w:val="0000FF"/>
                <w:spacing w:val="-12"/>
                <w:sz w:val="21"/>
              </w:rPr>
              <w:t>，亩施 </w:t>
            </w:r>
            <w:r>
              <w:rPr>
                <w:rFonts w:ascii="hakuyoxingshu7000" w:eastAsia="hakuyoxingshu7000" w:hint="eastAsia"/>
                <w:color w:val="0000FF"/>
                <w:spacing w:val="2"/>
                <w:w w:val="111"/>
                <w:sz w:val="21"/>
              </w:rPr>
              <w:t>200</w:t>
            </w:r>
            <w:r>
              <w:rPr>
                <w:rFonts w:ascii="hakuyoxingshu7000" w:eastAsia="hakuyoxingshu7000" w:hint="eastAsia"/>
                <w:color w:val="0000FF"/>
                <w:w w:val="105"/>
                <w:sz w:val="21"/>
              </w:rPr>
              <w:t>k</w:t>
            </w:r>
            <w:r>
              <w:rPr>
                <w:rFonts w:ascii="hakuyoxingshu7000" w:eastAsia="hakuyoxingshu7000" w:hint="eastAsia"/>
                <w:color w:val="0000FF"/>
                <w:spacing w:val="2"/>
                <w:w w:val="105"/>
                <w:sz w:val="21"/>
              </w:rPr>
              <w:t>g</w:t>
            </w:r>
            <w:r>
              <w:rPr>
                <w:rFonts w:ascii="hakuyoxingshu7000" w:eastAsia="hakuyoxingshu7000" w:hint="eastAsia"/>
                <w:color w:val="0000FF"/>
                <w:spacing w:val="4"/>
                <w:w w:val="55"/>
                <w:sz w:val="21"/>
              </w:rPr>
              <w:t>/</w:t>
            </w:r>
            <w:r>
              <w:rPr>
                <w:rFonts w:ascii="hakuyoxingshu7000" w:eastAsia="hakuyoxingshu7000" w:hint="eastAsia"/>
                <w:color w:val="0000FF"/>
                <w:spacing w:val="-13"/>
                <w:sz w:val="21"/>
              </w:rPr>
              <w:t>亩，合计 </w:t>
            </w:r>
            <w:r>
              <w:rPr>
                <w:rFonts w:ascii="hakuyoxingshu7000" w:eastAsia="hakuyoxingshu7000" w:hint="eastAsia"/>
                <w:color w:val="0000FF"/>
                <w:spacing w:val="2"/>
                <w:w w:val="111"/>
                <w:sz w:val="21"/>
              </w:rPr>
              <w:t>1138</w:t>
            </w:r>
            <w:r>
              <w:rPr>
                <w:rFonts w:ascii="hakuyoxingshu7000" w:eastAsia="hakuyoxingshu7000" w:hint="eastAsia"/>
                <w:color w:val="0000FF"/>
                <w:spacing w:val="-12"/>
                <w:w w:val="111"/>
                <w:sz w:val="21"/>
              </w:rPr>
              <w:t>5</w:t>
            </w:r>
            <w:r>
              <w:rPr>
                <w:rFonts w:ascii="hakuyoxingshu7000" w:eastAsia="hakuyoxingshu7000" w:hint="eastAsia"/>
                <w:color w:val="0000FF"/>
                <w:spacing w:val="2"/>
                <w:w w:val="111"/>
                <w:sz w:val="21"/>
              </w:rPr>
              <w:t>0</w:t>
            </w:r>
            <w:r>
              <w:rPr>
                <w:rFonts w:ascii="hakuyoxingshu7000" w:eastAsia="hakuyoxingshu7000" w:hint="eastAsia"/>
                <w:color w:val="0000FF"/>
                <w:w w:val="105"/>
                <w:sz w:val="21"/>
              </w:rPr>
              <w:t>kg</w:t>
            </w:r>
          </w:p>
          <w:p>
            <w:pPr>
              <w:pStyle w:val="TableParagraph"/>
              <w:rPr>
                <w:rFonts w:ascii="Times New Roman"/>
                <w:sz w:val="31"/>
              </w:rPr>
            </w:pPr>
          </w:p>
          <w:p>
            <w:pPr>
              <w:pStyle w:val="TableParagraph"/>
              <w:spacing w:line="559" w:lineRule="auto"/>
              <w:ind w:left="99" w:right="-29"/>
              <w:jc w:val="both"/>
              <w:rPr>
                <w:rFonts w:ascii="hakuyoxingshu7000" w:eastAsia="hakuyoxingshu7000" w:hint="eastAsia"/>
                <w:sz w:val="21"/>
              </w:rPr>
            </w:pPr>
            <w:r>
              <w:rPr>
                <w:rFonts w:ascii="hakuyoxingshu7000" w:eastAsia="hakuyoxingshu7000" w:hint="eastAsia"/>
                <w:color w:val="0000FF"/>
                <w:spacing w:val="3"/>
                <w:w w:val="111"/>
                <w:sz w:val="21"/>
              </w:rPr>
              <w:t>3</w:t>
            </w:r>
            <w:r>
              <w:rPr>
                <w:rFonts w:ascii="hakuyoxingshu7000" w:eastAsia="hakuyoxingshu7000" w:hint="eastAsia"/>
                <w:color w:val="0000FF"/>
                <w:spacing w:val="-4"/>
                <w:sz w:val="21"/>
              </w:rPr>
              <w:t>、灌溉与排水工程：新建渠道 </w:t>
            </w:r>
            <w:r>
              <w:rPr>
                <w:rFonts w:ascii="hakuyoxingshu7000" w:eastAsia="hakuyoxingshu7000" w:hint="eastAsia"/>
                <w:color w:val="0000FF"/>
                <w:spacing w:val="-12"/>
                <w:w w:val="111"/>
                <w:sz w:val="21"/>
              </w:rPr>
              <w:t>1</w:t>
            </w:r>
            <w:r>
              <w:rPr>
                <w:rFonts w:ascii="hakuyoxingshu7000" w:eastAsia="hakuyoxingshu7000" w:hint="eastAsia"/>
                <w:color w:val="0000FF"/>
                <w:spacing w:val="2"/>
                <w:w w:val="111"/>
                <w:sz w:val="21"/>
              </w:rPr>
              <w:t>2</w:t>
            </w:r>
            <w:r>
              <w:rPr>
                <w:rFonts w:ascii="hakuyoxingshu7000" w:eastAsia="hakuyoxingshu7000" w:hint="eastAsia"/>
                <w:color w:val="0000FF"/>
                <w:w w:val="111"/>
                <w:sz w:val="21"/>
              </w:rPr>
              <w:t>8</w:t>
            </w:r>
            <w:r>
              <w:rPr>
                <w:rFonts w:ascii="hakuyoxingshu7000" w:eastAsia="hakuyoxingshu7000" w:hint="eastAsia"/>
                <w:color w:val="0000FF"/>
                <w:spacing w:val="-18"/>
                <w:sz w:val="21"/>
              </w:rPr>
              <w:t> 条，总计 </w:t>
            </w:r>
            <w:r>
              <w:rPr>
                <w:rFonts w:ascii="hakuyoxingshu7000" w:eastAsia="hakuyoxingshu7000" w:hint="eastAsia"/>
                <w:color w:val="0000FF"/>
                <w:spacing w:val="2"/>
                <w:w w:val="111"/>
                <w:sz w:val="21"/>
              </w:rPr>
              <w:t>24</w:t>
            </w:r>
            <w:r>
              <w:rPr>
                <w:rFonts w:ascii="hakuyoxingshu7000" w:eastAsia="hakuyoxingshu7000" w:hint="eastAsia"/>
                <w:color w:val="0000FF"/>
                <w:spacing w:val="-14"/>
                <w:w w:val="55"/>
                <w:sz w:val="21"/>
              </w:rPr>
              <w:t>.</w:t>
            </w:r>
            <w:r>
              <w:rPr>
                <w:rFonts w:ascii="hakuyoxingshu7000" w:eastAsia="hakuyoxingshu7000" w:hint="eastAsia"/>
                <w:color w:val="0000FF"/>
                <w:spacing w:val="2"/>
                <w:w w:val="111"/>
                <w:sz w:val="21"/>
              </w:rPr>
              <w:t>522</w:t>
            </w:r>
            <w:r>
              <w:rPr>
                <w:rFonts w:ascii="hakuyoxingshu7000" w:eastAsia="hakuyoxingshu7000" w:hint="eastAsia"/>
                <w:color w:val="0000FF"/>
                <w:w w:val="133"/>
                <w:sz w:val="21"/>
              </w:rPr>
              <w:t>k</w:t>
            </w:r>
            <w:r>
              <w:rPr>
                <w:rFonts w:ascii="hakuyoxingshu7000" w:eastAsia="hakuyoxingshu7000" w:hint="eastAsia"/>
                <w:color w:val="0000FF"/>
                <w:spacing w:val="-7"/>
                <w:w w:val="133"/>
                <w:sz w:val="21"/>
              </w:rPr>
              <w:t>m</w:t>
            </w:r>
            <w:r>
              <w:rPr>
                <w:rFonts w:ascii="hakuyoxingshu7000" w:eastAsia="hakuyoxingshu7000" w:hint="eastAsia"/>
                <w:color w:val="0000FF"/>
                <w:sz w:val="21"/>
              </w:rPr>
              <w:t>，其</w:t>
            </w:r>
            <w:r>
              <w:rPr>
                <w:rFonts w:ascii="hakuyoxingshu7000" w:eastAsia="hakuyoxingshu7000" w:hint="eastAsia"/>
                <w:color w:val="0000FF"/>
                <w:spacing w:val="-6"/>
                <w:sz w:val="21"/>
              </w:rPr>
              <w:t>中新建支渠 </w:t>
            </w:r>
            <w:r>
              <w:rPr>
                <w:rFonts w:ascii="hakuyoxingshu7000" w:eastAsia="hakuyoxingshu7000" w:hint="eastAsia"/>
                <w:color w:val="0000FF"/>
                <w:spacing w:val="3"/>
                <w:w w:val="111"/>
                <w:sz w:val="21"/>
              </w:rPr>
              <w:t>5</w:t>
            </w:r>
            <w:r>
              <w:rPr>
                <w:rFonts w:ascii="hakuyoxingshu7000" w:eastAsia="hakuyoxingshu7000" w:hint="eastAsia"/>
                <w:color w:val="0000FF"/>
                <w:w w:val="111"/>
                <w:sz w:val="21"/>
              </w:rPr>
              <w:t>5</w:t>
            </w:r>
            <w:r>
              <w:rPr>
                <w:rFonts w:ascii="hakuyoxingshu7000" w:eastAsia="hakuyoxingshu7000" w:hint="eastAsia"/>
                <w:color w:val="0000FF"/>
                <w:spacing w:val="-11"/>
                <w:sz w:val="21"/>
              </w:rPr>
              <w:t> 条，总长 </w:t>
            </w:r>
            <w:r>
              <w:rPr>
                <w:rFonts w:ascii="hakuyoxingshu7000" w:eastAsia="hakuyoxingshu7000" w:hint="eastAsia"/>
                <w:color w:val="0000FF"/>
                <w:spacing w:val="-12"/>
                <w:w w:val="111"/>
                <w:sz w:val="21"/>
              </w:rPr>
              <w:t>1</w:t>
            </w:r>
            <w:r>
              <w:rPr>
                <w:rFonts w:ascii="hakuyoxingshu7000" w:eastAsia="hakuyoxingshu7000" w:hint="eastAsia"/>
                <w:color w:val="0000FF"/>
                <w:spacing w:val="2"/>
                <w:w w:val="111"/>
                <w:sz w:val="21"/>
              </w:rPr>
              <w:t>2</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695</w:t>
            </w:r>
            <w:r>
              <w:rPr>
                <w:rFonts w:ascii="hakuyoxingshu7000" w:eastAsia="hakuyoxingshu7000" w:hint="eastAsia"/>
                <w:color w:val="0000FF"/>
                <w:w w:val="133"/>
                <w:sz w:val="21"/>
              </w:rPr>
              <w:t>k</w:t>
            </w:r>
            <w:r>
              <w:rPr>
                <w:rFonts w:ascii="hakuyoxingshu7000" w:eastAsia="hakuyoxingshu7000" w:hint="eastAsia"/>
                <w:color w:val="0000FF"/>
                <w:spacing w:val="-8"/>
                <w:w w:val="133"/>
                <w:sz w:val="21"/>
              </w:rPr>
              <w:t>m</w:t>
            </w:r>
            <w:r>
              <w:rPr>
                <w:rFonts w:ascii="hakuyoxingshu7000" w:eastAsia="hakuyoxingshu7000" w:hint="eastAsia"/>
                <w:color w:val="0000FF"/>
                <w:spacing w:val="-6"/>
                <w:sz w:val="21"/>
              </w:rPr>
              <w:t>；新建斗渠 </w:t>
            </w:r>
            <w:r>
              <w:rPr>
                <w:rFonts w:ascii="hakuyoxingshu7000" w:eastAsia="hakuyoxingshu7000" w:hint="eastAsia"/>
                <w:color w:val="0000FF"/>
                <w:spacing w:val="-12"/>
                <w:w w:val="111"/>
                <w:sz w:val="21"/>
              </w:rPr>
              <w:t>5</w:t>
            </w:r>
            <w:r>
              <w:rPr>
                <w:rFonts w:ascii="hakuyoxingshu7000" w:eastAsia="hakuyoxingshu7000" w:hint="eastAsia"/>
                <w:color w:val="0000FF"/>
                <w:w w:val="111"/>
                <w:sz w:val="21"/>
              </w:rPr>
              <w:t>6</w:t>
            </w:r>
            <w:r>
              <w:rPr>
                <w:rFonts w:ascii="hakuyoxingshu7000" w:eastAsia="hakuyoxingshu7000" w:hint="eastAsia"/>
                <w:color w:val="0000FF"/>
                <w:spacing w:val="-7"/>
                <w:sz w:val="21"/>
              </w:rPr>
              <w:t> 条，总长 </w:t>
            </w:r>
            <w:r>
              <w:rPr>
                <w:rFonts w:ascii="hakuyoxingshu7000" w:eastAsia="hakuyoxingshu7000" w:hint="eastAsia"/>
                <w:color w:val="0000FF"/>
                <w:spacing w:val="2"/>
                <w:w w:val="111"/>
                <w:sz w:val="21"/>
              </w:rPr>
              <w:t>9</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443</w:t>
            </w:r>
            <w:r>
              <w:rPr>
                <w:rFonts w:ascii="hakuyoxingshu7000" w:eastAsia="hakuyoxingshu7000" w:hint="eastAsia"/>
                <w:color w:val="0000FF"/>
                <w:w w:val="133"/>
                <w:sz w:val="21"/>
              </w:rPr>
              <w:t>k</w:t>
            </w:r>
            <w:r>
              <w:rPr>
                <w:rFonts w:ascii="hakuyoxingshu7000" w:eastAsia="hakuyoxingshu7000" w:hint="eastAsia"/>
                <w:color w:val="0000FF"/>
                <w:spacing w:val="-8"/>
                <w:w w:val="133"/>
                <w:sz w:val="21"/>
              </w:rPr>
              <w:t>m</w:t>
            </w:r>
            <w:r>
              <w:rPr>
                <w:rFonts w:ascii="hakuyoxingshu7000" w:eastAsia="hakuyoxingshu7000" w:hint="eastAsia"/>
                <w:color w:val="0000FF"/>
                <w:spacing w:val="-11"/>
                <w:sz w:val="21"/>
              </w:rPr>
              <w:t>；新建农渠 </w:t>
            </w:r>
            <w:r>
              <w:rPr>
                <w:rFonts w:ascii="hakuyoxingshu7000" w:eastAsia="hakuyoxingshu7000" w:hint="eastAsia"/>
                <w:color w:val="0000FF"/>
                <w:spacing w:val="-12"/>
                <w:w w:val="111"/>
                <w:sz w:val="21"/>
              </w:rPr>
              <w:t>1</w:t>
            </w:r>
            <w:r>
              <w:rPr>
                <w:rFonts w:ascii="hakuyoxingshu7000" w:eastAsia="hakuyoxingshu7000" w:hint="eastAsia"/>
                <w:color w:val="0000FF"/>
                <w:w w:val="111"/>
                <w:sz w:val="21"/>
              </w:rPr>
              <w:t>7</w:t>
            </w:r>
            <w:r>
              <w:rPr>
                <w:rFonts w:ascii="hakuyoxingshu7000" w:eastAsia="hakuyoxingshu7000" w:hint="eastAsia"/>
                <w:color w:val="0000FF"/>
                <w:spacing w:val="-20"/>
                <w:sz w:val="21"/>
              </w:rPr>
              <w:t> 条，总长 </w:t>
            </w:r>
            <w:r>
              <w:rPr>
                <w:rFonts w:ascii="hakuyoxingshu7000" w:eastAsia="hakuyoxingshu7000" w:hint="eastAsia"/>
                <w:color w:val="0000FF"/>
                <w:spacing w:val="2"/>
                <w:w w:val="111"/>
                <w:sz w:val="21"/>
              </w:rPr>
              <w:t>2</w:t>
            </w:r>
            <w:r>
              <w:rPr>
                <w:rFonts w:ascii="hakuyoxingshu7000" w:eastAsia="hakuyoxingshu7000" w:hint="eastAsia"/>
                <w:color w:val="0000FF"/>
                <w:spacing w:val="1"/>
                <w:w w:val="55"/>
                <w:sz w:val="21"/>
              </w:rPr>
              <w:t>.</w:t>
            </w:r>
            <w:r>
              <w:rPr>
                <w:rFonts w:ascii="hakuyoxingshu7000" w:eastAsia="hakuyoxingshu7000" w:hint="eastAsia"/>
                <w:color w:val="0000FF"/>
                <w:spacing w:val="2"/>
                <w:w w:val="111"/>
                <w:sz w:val="21"/>
              </w:rPr>
              <w:t>348</w:t>
            </w:r>
            <w:r>
              <w:rPr>
                <w:rFonts w:ascii="hakuyoxingshu7000" w:eastAsia="hakuyoxingshu7000" w:hint="eastAsia"/>
                <w:color w:val="0000FF"/>
                <w:w w:val="133"/>
                <w:sz w:val="21"/>
              </w:rPr>
              <w:t>k</w:t>
            </w:r>
            <w:r>
              <w:rPr>
                <w:rFonts w:ascii="hakuyoxingshu7000" w:eastAsia="hakuyoxingshu7000" w:hint="eastAsia"/>
                <w:color w:val="0000FF"/>
                <w:spacing w:val="-8"/>
                <w:w w:val="133"/>
                <w:sz w:val="21"/>
              </w:rPr>
              <w:t>m</w:t>
            </w:r>
            <w:r>
              <w:rPr>
                <w:rFonts w:ascii="hakuyoxingshu7000" w:eastAsia="hakuyoxingshu7000" w:hint="eastAsia"/>
                <w:color w:val="0000FF"/>
                <w:spacing w:val="-4"/>
                <w:sz w:val="21"/>
              </w:rPr>
              <w:t>。总共配套附属建</w:t>
            </w:r>
            <w:r>
              <w:rPr>
                <w:rFonts w:ascii="hakuyoxingshu7000" w:eastAsia="hakuyoxingshu7000" w:hint="eastAsia"/>
                <w:color w:val="0000FF"/>
                <w:spacing w:val="-14"/>
                <w:sz w:val="21"/>
              </w:rPr>
              <w:t>筑物 </w:t>
            </w:r>
            <w:r>
              <w:rPr>
                <w:rFonts w:ascii="hakuyoxingshu7000" w:eastAsia="hakuyoxingshu7000" w:hint="eastAsia"/>
                <w:color w:val="0000FF"/>
                <w:sz w:val="21"/>
              </w:rPr>
              <w:t>1359</w:t>
            </w:r>
            <w:r>
              <w:rPr>
                <w:rFonts w:ascii="hakuyoxingshu7000" w:eastAsia="hakuyoxingshu7000" w:hint="eastAsia"/>
                <w:color w:val="0000FF"/>
                <w:spacing w:val="-11"/>
                <w:sz w:val="21"/>
              </w:rPr>
              <w:t> 座，其中分水闸 </w:t>
            </w:r>
            <w:r>
              <w:rPr>
                <w:rFonts w:ascii="hakuyoxingshu7000" w:eastAsia="hakuyoxingshu7000" w:hint="eastAsia"/>
                <w:color w:val="0000FF"/>
                <w:spacing w:val="-6"/>
                <w:sz w:val="21"/>
              </w:rPr>
              <w:t>54</w:t>
            </w:r>
            <w:r>
              <w:rPr>
                <w:rFonts w:ascii="hakuyoxingshu7000" w:eastAsia="hakuyoxingshu7000" w:hint="eastAsia"/>
                <w:color w:val="0000FF"/>
                <w:spacing w:val="-15"/>
                <w:sz w:val="21"/>
              </w:rPr>
              <w:t> 座，斗门 </w:t>
            </w:r>
            <w:r>
              <w:rPr>
                <w:rFonts w:ascii="hakuyoxingshu7000" w:eastAsia="hakuyoxingshu7000" w:hint="eastAsia"/>
                <w:color w:val="0000FF"/>
                <w:spacing w:val="-6"/>
                <w:sz w:val="21"/>
              </w:rPr>
              <w:t>56</w:t>
            </w:r>
            <w:r>
              <w:rPr>
                <w:rFonts w:ascii="hakuyoxingshu7000" w:eastAsia="hakuyoxingshu7000" w:hint="eastAsia"/>
                <w:color w:val="0000FF"/>
                <w:spacing w:val="-16"/>
                <w:sz w:val="21"/>
              </w:rPr>
              <w:t> 座，跌水 </w:t>
            </w:r>
            <w:r>
              <w:rPr>
                <w:rFonts w:ascii="hakuyoxingshu7000" w:eastAsia="hakuyoxingshu7000" w:hint="eastAsia"/>
                <w:color w:val="0000FF"/>
                <w:spacing w:val="-4"/>
                <w:sz w:val="21"/>
              </w:rPr>
              <w:t>115</w:t>
            </w:r>
            <w:r>
              <w:rPr>
                <w:rFonts w:ascii="hakuyoxingshu7000" w:eastAsia="hakuyoxingshu7000" w:hint="eastAsia"/>
                <w:color w:val="0000FF"/>
                <w:spacing w:val="-9"/>
                <w:sz w:val="21"/>
              </w:rPr>
              <w:t> 座，</w:t>
            </w:r>
          </w:p>
          <w:p>
            <w:pPr>
              <w:pStyle w:val="TableParagraph"/>
              <w:spacing w:line="254" w:lineRule="exact"/>
              <w:ind w:left="99"/>
              <w:jc w:val="both"/>
              <w:rPr>
                <w:rFonts w:ascii="hakuyoxingshu7000" w:eastAsia="hakuyoxingshu7000" w:hint="eastAsia"/>
                <w:sz w:val="21"/>
              </w:rPr>
            </w:pPr>
            <w:r>
              <w:rPr>
                <w:rFonts w:ascii="hakuyoxingshu7000" w:eastAsia="hakuyoxingshu7000" w:hint="eastAsia"/>
                <w:color w:val="0000FF"/>
                <w:sz w:val="21"/>
              </w:rPr>
              <w:t>便桥 118 座，单、双向农口合计 1016 座</w:t>
            </w:r>
          </w:p>
          <w:p>
            <w:pPr>
              <w:pStyle w:val="TableParagraph"/>
              <w:spacing w:before="5"/>
              <w:rPr>
                <w:rFonts w:ascii="Times New Roman"/>
                <w:sz w:val="31"/>
              </w:rPr>
            </w:pPr>
          </w:p>
          <w:p>
            <w:pPr>
              <w:pStyle w:val="TableParagraph"/>
              <w:spacing w:line="556" w:lineRule="auto"/>
              <w:ind w:left="99" w:right="77"/>
              <w:jc w:val="both"/>
              <w:rPr>
                <w:rFonts w:ascii="hakuyoxingshu7000" w:eastAsia="hakuyoxingshu7000" w:hint="eastAsia"/>
                <w:sz w:val="21"/>
              </w:rPr>
            </w:pPr>
            <w:r>
              <w:rPr>
                <w:rFonts w:ascii="hakuyoxingshu7000" w:eastAsia="hakuyoxingshu7000" w:hint="eastAsia"/>
                <w:color w:val="0000FF"/>
                <w:sz w:val="21"/>
              </w:rPr>
              <w:t>4、田间道路工程：修整田间道路 3 条，总长 1260m；新建生产道路 12 条，总长 3000m，均采用 15cm 砂砾石铺设地面</w:t>
            </w:r>
          </w:p>
          <w:p>
            <w:pPr>
              <w:pStyle w:val="TableParagraph"/>
              <w:spacing w:before="4"/>
              <w:ind w:left="99"/>
              <w:rPr>
                <w:rFonts w:ascii="hakuyoxingshu7000" w:eastAsia="hakuyoxingshu7000" w:hint="eastAsia"/>
                <w:sz w:val="21"/>
              </w:rPr>
            </w:pPr>
            <w:r>
              <w:rPr>
                <w:rFonts w:ascii="hakuyoxingshu7000" w:eastAsia="hakuyoxingshu7000" w:hint="eastAsia"/>
                <w:color w:val="0000FF"/>
                <w:sz w:val="21"/>
              </w:rPr>
              <w:t>5、详见清单。具体内容详见工程量清单及招标文件</w:t>
            </w:r>
          </w:p>
        </w:tc>
      </w:tr>
      <w:tr>
        <w:trPr>
          <w:trHeight w:val="1201" w:hRule="atLeast"/>
        </w:trPr>
        <w:tc>
          <w:tcPr>
            <w:tcW w:w="1171" w:type="dxa"/>
            <w:tcBorders>
              <w:top w:val="single" w:sz="6" w:space="0" w:color="000000"/>
              <w:left w:val="single" w:sz="6" w:space="0" w:color="000000"/>
              <w:bottom w:val="single" w:sz="6" w:space="0" w:color="000000"/>
            </w:tcBorders>
          </w:tcPr>
          <w:p>
            <w:pPr>
              <w:pStyle w:val="TableParagraph"/>
              <w:spacing w:before="6"/>
              <w:rPr>
                <w:rFonts w:ascii="Times New Roman"/>
                <w:sz w:val="40"/>
              </w:rPr>
            </w:pPr>
          </w:p>
          <w:p>
            <w:pPr>
              <w:pStyle w:val="TableParagraph"/>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3</w:t>
            </w:r>
            <w:r>
              <w:rPr>
                <w:rFonts w:ascii="hakuyoxingshu7000"/>
                <w:spacing w:val="1"/>
                <w:w w:val="55"/>
                <w:sz w:val="21"/>
              </w:rPr>
              <w:t>.</w:t>
            </w:r>
            <w:r>
              <w:rPr>
                <w:rFonts w:ascii="hakuyoxingshu7000"/>
                <w:w w:val="111"/>
                <w:sz w:val="21"/>
              </w:rPr>
              <w:t>2</w:t>
            </w:r>
          </w:p>
        </w:tc>
        <w:tc>
          <w:tcPr>
            <w:tcW w:w="2282" w:type="dxa"/>
            <w:tcBorders>
              <w:top w:val="single" w:sz="6" w:space="0" w:color="000000"/>
              <w:bottom w:val="single" w:sz="6" w:space="0" w:color="000000"/>
              <w:right w:val="single" w:sz="6" w:space="0" w:color="000000"/>
            </w:tcBorders>
          </w:tcPr>
          <w:p>
            <w:pPr>
              <w:pStyle w:val="TableParagraph"/>
              <w:spacing w:before="6"/>
              <w:rPr>
                <w:rFonts w:ascii="Times New Roman"/>
                <w:sz w:val="40"/>
              </w:rPr>
            </w:pPr>
          </w:p>
          <w:p>
            <w:pPr>
              <w:pStyle w:val="TableParagraph"/>
              <w:jc w:val="center"/>
              <w:rPr>
                <w:rFonts w:ascii="hakuyoxingshu7000" w:eastAsia="hakuyoxingshu7000" w:hint="eastAsia"/>
                <w:sz w:val="21"/>
              </w:rPr>
            </w:pPr>
            <w:r>
              <w:rPr>
                <w:rFonts w:ascii="hakuyoxingshu7000" w:eastAsia="hakuyoxingshu7000" w:hint="eastAsia"/>
                <w:sz w:val="21"/>
              </w:rPr>
              <w:t>计划工期</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05"/>
              <w:ind w:left="99"/>
              <w:rPr>
                <w:rFonts w:ascii="hakuyoxingshu7000" w:eastAsia="hakuyoxingshu7000" w:hint="eastAsia"/>
                <w:sz w:val="21"/>
              </w:rPr>
            </w:pPr>
            <w:r>
              <w:rPr>
                <w:rFonts w:ascii="hakuyoxingshu7000" w:eastAsia="hakuyoxingshu7000" w:hint="eastAsia"/>
                <w:sz w:val="21"/>
              </w:rPr>
              <w:t>计划工期：</w:t>
            </w:r>
            <w:r>
              <w:rPr>
                <w:rFonts w:ascii="hakuyoxingshu7000" w:eastAsia="hakuyoxingshu7000" w:hint="eastAsia"/>
                <w:color w:val="0000FF"/>
                <w:sz w:val="21"/>
              </w:rPr>
              <w:t>445 </w:t>
            </w:r>
            <w:r>
              <w:rPr>
                <w:rFonts w:ascii="hakuyoxingshu7000" w:eastAsia="hakuyoxingshu7000" w:hint="eastAsia"/>
                <w:sz w:val="21"/>
              </w:rPr>
              <w:t>日历天</w:t>
            </w:r>
          </w:p>
          <w:p>
            <w:pPr>
              <w:pStyle w:val="TableParagraph"/>
              <w:spacing w:line="390" w:lineRule="atLeast" w:before="16"/>
              <w:ind w:left="99" w:right="3038"/>
              <w:rPr>
                <w:rFonts w:ascii="hakuyoxingshu7000" w:eastAsia="hakuyoxingshu7000" w:hint="eastAsia"/>
                <w:sz w:val="21"/>
              </w:rPr>
            </w:pPr>
            <w:r>
              <w:rPr>
                <w:rFonts w:ascii="hakuyoxingshu7000" w:eastAsia="hakuyoxingshu7000" w:hint="eastAsia"/>
                <w:sz w:val="21"/>
              </w:rPr>
              <w:t>计划开工日期：</w:t>
            </w:r>
            <w:r>
              <w:rPr>
                <w:rFonts w:ascii="hakuyoxingshu7000" w:eastAsia="hakuyoxingshu7000" w:hint="eastAsia"/>
                <w:color w:val="0000FF"/>
                <w:sz w:val="21"/>
              </w:rPr>
              <w:t>2020-10-21 </w:t>
            </w:r>
            <w:r>
              <w:rPr>
                <w:rFonts w:ascii="hakuyoxingshu7000" w:eastAsia="hakuyoxingshu7000" w:hint="eastAsia"/>
                <w:sz w:val="21"/>
              </w:rPr>
              <w:t>计划完工日期：</w:t>
            </w:r>
            <w:r>
              <w:rPr>
                <w:rFonts w:ascii="hakuyoxingshu7000" w:eastAsia="hakuyoxingshu7000" w:hint="eastAsia"/>
                <w:color w:val="0000FF"/>
                <w:sz w:val="21"/>
              </w:rPr>
              <w:t>2021-12-31</w:t>
            </w:r>
          </w:p>
        </w:tc>
      </w:tr>
    </w:tbl>
    <w:p>
      <w:pPr>
        <w:spacing w:after="0" w:line="390" w:lineRule="atLeast"/>
        <w:rPr>
          <w:rFonts w:ascii="hakuyoxingshu7000" w:eastAsia="hakuyoxingshu7000" w:hint="eastAsia"/>
          <w:sz w:val="21"/>
        </w:rPr>
        <w:sectPr>
          <w:pgSz w:w="11910" w:h="16850"/>
          <w:pgMar w:header="911" w:footer="0" w:top="1380" w:bottom="280" w:left="1200" w:right="0"/>
        </w:sectPr>
      </w:pPr>
    </w:p>
    <w:p>
      <w:pPr>
        <w:pStyle w:val="BodyText"/>
        <w:rPr>
          <w:rFonts w:ascii="Times New Roman"/>
          <w:sz w:val="20"/>
        </w:rPr>
      </w:pPr>
      <w:r>
        <w:rPr/>
        <w:pict>
          <v:shape style="position:absolute;margin-left:69.099998pt;margin-top:71.305pt;width:460.7pt;height:690.65pt;mso-position-horizontal-relative:page;mso-position-vertical-relative:page;z-index:251704320" type="#_x0000_t202" filled="false" stroked="false">
            <v:textbox inset="0,0,0,0">
              <w:txbxContent>
                <w:tbl>
                  <w:tblPr>
                    <w:tblW w:w="0" w:type="auto"/>
                    <w:jc w:val="left"/>
                    <w:tblInd w:w="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387"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2" w:type="dxa"/>
                        <w:tcBorders>
                          <w:bottom w:val="single" w:sz="6" w:space="0" w:color="000000"/>
                          <w:right w:val="single" w:sz="6" w:space="0" w:color="000000"/>
                        </w:tcBorders>
                      </w:tcPr>
                      <w:p>
                        <w:pPr>
                          <w:pStyle w:val="TableParagraph"/>
                          <w:rPr>
                            <w:rFonts w:ascii="Times New Roman"/>
                            <w:sz w:val="20"/>
                          </w:rPr>
                        </w:pPr>
                      </w:p>
                    </w:tc>
                    <w:tc>
                      <w:tcPr>
                        <w:tcW w:w="5737" w:type="dxa"/>
                        <w:tcBorders>
                          <w:left w:val="single" w:sz="6" w:space="0" w:color="000000"/>
                          <w:bottom w:val="single" w:sz="6" w:space="0" w:color="000000"/>
                          <w:right w:val="single" w:sz="6" w:space="0" w:color="000000"/>
                        </w:tcBorders>
                      </w:tcPr>
                      <w:p>
                        <w:pPr>
                          <w:pStyle w:val="TableParagraph"/>
                          <w:spacing w:before="87"/>
                          <w:ind w:left="99"/>
                          <w:rPr>
                            <w:rFonts w:ascii="hakuyoxingshu7000" w:hAnsi="hakuyoxingshu7000" w:eastAsia="hakuyoxingshu7000" w:hint="eastAsia"/>
                            <w:sz w:val="21"/>
                          </w:rPr>
                        </w:pPr>
                        <w:r>
                          <w:rPr>
                            <w:rFonts w:ascii="hakuyoxingshu7000" w:hAnsi="hakuyoxingshu7000" w:eastAsia="hakuyoxingshu7000" w:hint="eastAsia"/>
                            <w:sz w:val="21"/>
                          </w:rPr>
                          <w:t>有关工期的详细要求见第七章“技术标准和要求</w:t>
                        </w:r>
                        <w:r>
                          <w:rPr>
                            <w:rFonts w:ascii="hakuyoxingshu7000" w:hAnsi="hakuyoxingshu7000" w:eastAsia="hakuyoxingshu7000" w:hint="eastAsia"/>
                            <w:spacing w:val="-70"/>
                            <w:w w:val="65"/>
                            <w:sz w:val="21"/>
                          </w:rPr>
                          <w:t>”</w:t>
                        </w:r>
                        <w:r>
                          <w:rPr>
                            <w:rFonts w:ascii="hakuyoxingshu7000" w:hAnsi="hakuyoxingshu7000" w:eastAsia="hakuyoxingshu7000" w:hint="eastAsia"/>
                            <w:sz w:val="21"/>
                          </w:rPr>
                          <w:t>。</w:t>
                        </w:r>
                      </w:p>
                    </w:tc>
                  </w:tr>
                  <w:tr>
                    <w:trPr>
                      <w:trHeight w:val="795" w:hRule="atLeast"/>
                    </w:trPr>
                    <w:tc>
                      <w:tcPr>
                        <w:tcW w:w="1171" w:type="dxa"/>
                        <w:tcBorders>
                          <w:top w:val="single" w:sz="6" w:space="0" w:color="000000"/>
                          <w:left w:val="single" w:sz="6" w:space="0" w:color="000000"/>
                          <w:bottom w:val="single" w:sz="6" w:space="0" w:color="000000"/>
                        </w:tcBorders>
                      </w:tcPr>
                      <w:p>
                        <w:pPr>
                          <w:pStyle w:val="TableParagraph"/>
                          <w:spacing w:before="11"/>
                          <w:rPr>
                            <w:rFonts w:ascii="hakuyoxingshu7000"/>
                            <w:sz w:val="19"/>
                          </w:rPr>
                        </w:pPr>
                      </w:p>
                      <w:p>
                        <w:pPr>
                          <w:pStyle w:val="TableParagraph"/>
                          <w:spacing w:before="1"/>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3</w:t>
                        </w:r>
                        <w:r>
                          <w:rPr>
                            <w:rFonts w:ascii="hakuyoxingshu7000"/>
                            <w:spacing w:val="1"/>
                            <w:w w:val="55"/>
                            <w:sz w:val="21"/>
                          </w:rPr>
                          <w:t>.</w:t>
                        </w:r>
                        <w:r>
                          <w:rPr>
                            <w:rFonts w:ascii="hakuyoxingshu7000"/>
                            <w:w w:val="111"/>
                            <w:sz w:val="21"/>
                          </w:rPr>
                          <w:t>3</w:t>
                        </w:r>
                      </w:p>
                    </w:tc>
                    <w:tc>
                      <w:tcPr>
                        <w:tcW w:w="2282" w:type="dxa"/>
                        <w:tcBorders>
                          <w:top w:val="single" w:sz="6" w:space="0" w:color="000000"/>
                          <w:bottom w:val="single" w:sz="6" w:space="0" w:color="000000"/>
                          <w:right w:val="single" w:sz="6" w:space="0" w:color="000000"/>
                        </w:tcBorders>
                      </w:tcPr>
                      <w:p>
                        <w:pPr>
                          <w:pStyle w:val="TableParagraph"/>
                          <w:spacing w:before="11"/>
                          <w:rPr>
                            <w:rFonts w:ascii="hakuyoxingshu7000"/>
                            <w:sz w:val="19"/>
                          </w:rPr>
                        </w:pPr>
                      </w:p>
                      <w:p>
                        <w:pPr>
                          <w:pStyle w:val="TableParagraph"/>
                          <w:spacing w:before="1"/>
                          <w:ind w:left="711"/>
                          <w:rPr>
                            <w:rFonts w:ascii="hakuyoxingshu7000" w:eastAsia="hakuyoxingshu7000" w:hint="eastAsia"/>
                            <w:sz w:val="21"/>
                          </w:rPr>
                        </w:pPr>
                        <w:r>
                          <w:rPr>
                            <w:rFonts w:ascii="hakuyoxingshu7000" w:eastAsia="hakuyoxingshu7000" w:hint="eastAsia"/>
                            <w:sz w:val="21"/>
                          </w:rPr>
                          <w:t>质量要求</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05"/>
                          <w:ind w:left="99"/>
                          <w:rPr>
                            <w:rFonts w:ascii="hakuyoxingshu7000" w:eastAsia="hakuyoxingshu7000" w:hint="eastAsia"/>
                            <w:sz w:val="21"/>
                          </w:rPr>
                        </w:pPr>
                        <w:r>
                          <w:rPr>
                            <w:rFonts w:ascii="hakuyoxingshu7000" w:eastAsia="hakuyoxingshu7000" w:hint="eastAsia"/>
                            <w:sz w:val="21"/>
                          </w:rPr>
                          <w:t>合格</w:t>
                        </w:r>
                        <w:r>
                          <w:rPr>
                            <w:rFonts w:ascii="hakuyoxingshu7000" w:eastAsia="hakuyoxingshu7000" w:hint="eastAsia"/>
                            <w:w w:val="85"/>
                            <w:sz w:val="21"/>
                          </w:rPr>
                          <w:t>/</w:t>
                        </w:r>
                        <w:r>
                          <w:rPr>
                            <w:rFonts w:ascii="hakuyoxingshu7000" w:eastAsia="hakuyoxingshu7000" w:hint="eastAsia"/>
                            <w:sz w:val="21"/>
                          </w:rPr>
                          <w:t>优良</w:t>
                        </w:r>
                      </w:p>
                      <w:p>
                        <w:pPr>
                          <w:pStyle w:val="TableParagraph"/>
                          <w:spacing w:before="121"/>
                          <w:ind w:left="99"/>
                          <w:rPr>
                            <w:rFonts w:ascii="hakuyoxingshu7000" w:hAnsi="hakuyoxingshu7000" w:eastAsia="hakuyoxingshu7000" w:hint="eastAsia"/>
                            <w:sz w:val="21"/>
                          </w:rPr>
                        </w:pPr>
                        <w:r>
                          <w:rPr>
                            <w:rFonts w:ascii="hakuyoxingshu7000" w:hAnsi="hakuyoxingshu7000" w:eastAsia="hakuyoxingshu7000" w:hint="eastAsia"/>
                            <w:sz w:val="21"/>
                          </w:rPr>
                          <w:t>有关质量的详细要求见第七章“技术标准和要求</w:t>
                        </w:r>
                        <w:r>
                          <w:rPr>
                            <w:rFonts w:ascii="hakuyoxingshu7000" w:hAnsi="hakuyoxingshu7000" w:eastAsia="hakuyoxingshu7000" w:hint="eastAsia"/>
                            <w:spacing w:val="-70"/>
                            <w:w w:val="65"/>
                            <w:sz w:val="21"/>
                          </w:rPr>
                          <w:t>”</w:t>
                        </w:r>
                        <w:r>
                          <w:rPr>
                            <w:rFonts w:ascii="hakuyoxingshu7000" w:hAnsi="hakuyoxingshu7000" w:eastAsia="hakuyoxingshu7000" w:hint="eastAsia"/>
                            <w:sz w:val="21"/>
                          </w:rPr>
                          <w:t>。</w:t>
                        </w:r>
                      </w:p>
                    </w:tc>
                  </w:tr>
                  <w:tr>
                    <w:trPr>
                      <w:trHeight w:val="12566" w:hRule="atLeast"/>
                    </w:trPr>
                    <w:tc>
                      <w:tcPr>
                        <w:tcW w:w="1171" w:type="dxa"/>
                        <w:tcBorders>
                          <w:top w:val="single" w:sz="6" w:space="0" w:color="000000"/>
                          <w:left w:val="single" w:sz="6" w:space="0" w:color="000000"/>
                          <w:bottom w:val="single" w:sz="6" w:space="0" w:color="000000"/>
                        </w:tcBorders>
                      </w:tcPr>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spacing w:before="3"/>
                          <w:rPr>
                            <w:rFonts w:ascii="hakuyoxingshu7000"/>
                            <w:sz w:val="31"/>
                          </w:rPr>
                        </w:pPr>
                      </w:p>
                      <w:p>
                        <w:pPr>
                          <w:pStyle w:val="TableParagraph"/>
                          <w:ind w:right="338"/>
                          <w:jc w:val="right"/>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4</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rPr>
                            <w:rFonts w:ascii="hakuyoxingshu7000"/>
                            <w:sz w:val="28"/>
                          </w:rPr>
                        </w:pPr>
                      </w:p>
                      <w:p>
                        <w:pPr>
                          <w:pStyle w:val="TableParagraph"/>
                          <w:spacing w:before="10"/>
                          <w:rPr>
                            <w:rFonts w:ascii="hakuyoxingshu7000"/>
                            <w:sz w:val="35"/>
                          </w:rPr>
                        </w:pPr>
                      </w:p>
                      <w:p>
                        <w:pPr>
                          <w:pStyle w:val="TableParagraph"/>
                          <w:spacing w:line="549" w:lineRule="auto"/>
                          <w:ind w:left="816" w:right="40" w:hanging="721"/>
                          <w:rPr>
                            <w:rFonts w:ascii="hakuyoxingshu7000" w:eastAsia="hakuyoxingshu7000" w:hint="eastAsia"/>
                            <w:sz w:val="21"/>
                          </w:rPr>
                        </w:pPr>
                        <w:r>
                          <w:rPr>
                            <w:rFonts w:ascii="hakuyoxingshu7000" w:eastAsia="hakuyoxingshu7000" w:hint="eastAsia"/>
                            <w:sz w:val="21"/>
                          </w:rPr>
                          <w:t>投标人资质条件、能力和信誉</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556" w:lineRule="auto" w:before="180"/>
                          <w:ind w:left="99" w:right="77"/>
                          <w:jc w:val="both"/>
                          <w:rPr>
                            <w:rFonts w:ascii="hakuyoxingshu7000" w:eastAsia="hakuyoxingshu7000" w:hint="eastAsia"/>
                            <w:sz w:val="21"/>
                          </w:rPr>
                        </w:pPr>
                        <w:r>
                          <w:rPr>
                            <w:rFonts w:ascii="hakuyoxingshu7000" w:eastAsia="hakuyoxingshu7000" w:hint="eastAsia"/>
                            <w:spacing w:val="3"/>
                            <w:sz w:val="21"/>
                          </w:rPr>
                          <w:t>1</w:t>
                        </w:r>
                        <w:r>
                          <w:rPr>
                            <w:rFonts w:ascii="hakuyoxingshu7000" w:eastAsia="hakuyoxingshu7000" w:hint="eastAsia"/>
                            <w:spacing w:val="-11"/>
                            <w:sz w:val="21"/>
                          </w:rPr>
                          <w:t>、资质要求：</w:t>
                        </w:r>
                        <w:r>
                          <w:rPr>
                            <w:rFonts w:ascii="hakuyoxingshu7000" w:eastAsia="hakuyoxingshu7000" w:hint="eastAsia"/>
                            <w:color w:val="0000FF"/>
                            <w:sz w:val="21"/>
                          </w:rPr>
                          <w:t>投标人须具备水利水电工程施工总承包叁级及以上资质的独立法人资格。并在人员、设备、资金等方面应具有相应的施工能力。投标人须具备有效的安全生产许可证</w:t>
                        </w:r>
                        <w:r>
                          <w:rPr>
                            <w:rFonts w:ascii="hakuyoxingshu7000" w:eastAsia="hakuyoxingshu7000" w:hint="eastAsia"/>
                            <w:spacing w:val="3"/>
                            <w:sz w:val="21"/>
                          </w:rPr>
                          <w:t>2</w:t>
                        </w:r>
                        <w:r>
                          <w:rPr>
                            <w:rFonts w:ascii="hakuyoxingshu7000" w:eastAsia="hakuyoxingshu7000" w:hint="eastAsia"/>
                            <w:sz w:val="21"/>
                          </w:rPr>
                          <w:t>、财务要求：</w:t>
                        </w:r>
                        <w:r>
                          <w:rPr>
                            <w:rFonts w:ascii="hakuyoxingshu7000" w:eastAsia="hakuyoxingshu7000" w:hint="eastAsia"/>
                            <w:color w:val="0000FF"/>
                            <w:spacing w:val="24"/>
                            <w:sz w:val="21"/>
                          </w:rPr>
                          <w:t>近 </w:t>
                        </w:r>
                        <w:r>
                          <w:rPr>
                            <w:rFonts w:ascii="hakuyoxingshu7000" w:eastAsia="hakuyoxingshu7000" w:hint="eastAsia"/>
                            <w:color w:val="0000FF"/>
                            <w:sz w:val="21"/>
                          </w:rPr>
                          <w:t>3</w:t>
                        </w:r>
                        <w:r>
                          <w:rPr>
                            <w:rFonts w:ascii="hakuyoxingshu7000" w:eastAsia="hakuyoxingshu7000" w:hint="eastAsia"/>
                            <w:color w:val="0000FF"/>
                            <w:spacing w:val="26"/>
                            <w:sz w:val="21"/>
                          </w:rPr>
                          <w:t> 年</w:t>
                        </w:r>
                        <w:r>
                          <w:rPr>
                            <w:rFonts w:ascii="hakuyoxingshu7000" w:eastAsia="hakuyoxingshu7000" w:hint="eastAsia"/>
                            <w:color w:val="0000FF"/>
                            <w:spacing w:val="2"/>
                            <w:sz w:val="21"/>
                          </w:rPr>
                          <w:t>（2017</w:t>
                        </w:r>
                        <w:r>
                          <w:rPr>
                            <w:rFonts w:ascii="hakuyoxingshu7000" w:eastAsia="hakuyoxingshu7000" w:hint="eastAsia"/>
                            <w:color w:val="0000FF"/>
                            <w:sz w:val="21"/>
                          </w:rPr>
                          <w:t>、2018、2019</w:t>
                        </w:r>
                        <w:r>
                          <w:rPr>
                            <w:rFonts w:ascii="hakuyoxingshu7000" w:eastAsia="hakuyoxingshu7000" w:hint="eastAsia"/>
                            <w:color w:val="0000FF"/>
                            <w:spacing w:val="18"/>
                            <w:sz w:val="21"/>
                          </w:rPr>
                          <w:t> 年度</w:t>
                        </w:r>
                        <w:r>
                          <w:rPr>
                            <w:rFonts w:ascii="hakuyoxingshu7000" w:eastAsia="hakuyoxingshu7000" w:hint="eastAsia"/>
                            <w:color w:val="0000FF"/>
                            <w:sz w:val="21"/>
                          </w:rPr>
                          <w:t>）财务状</w:t>
                        </w:r>
                        <w:r>
                          <w:rPr>
                            <w:rFonts w:ascii="hakuyoxingshu7000" w:eastAsia="hakuyoxingshu7000" w:hint="eastAsia"/>
                            <w:color w:val="0000FF"/>
                            <w:spacing w:val="-11"/>
                            <w:sz w:val="21"/>
                          </w:rPr>
                          <w:t>况良好</w:t>
                        </w:r>
                        <w:r>
                          <w:rPr>
                            <w:rFonts w:ascii="hakuyoxingshu7000" w:eastAsia="hakuyoxingshu7000" w:hint="eastAsia"/>
                            <w:color w:val="0000FF"/>
                            <w:sz w:val="21"/>
                          </w:rPr>
                          <w:t>（</w:t>
                        </w:r>
                        <w:r>
                          <w:rPr>
                            <w:rFonts w:ascii="hakuyoxingshu7000" w:eastAsia="hakuyoxingshu7000" w:hint="eastAsia"/>
                            <w:color w:val="0000FF"/>
                            <w:spacing w:val="15"/>
                            <w:sz w:val="21"/>
                          </w:rPr>
                          <w:t>须提供 </w:t>
                        </w:r>
                        <w:r>
                          <w:rPr>
                            <w:rFonts w:ascii="hakuyoxingshu7000" w:eastAsia="hakuyoxingshu7000" w:hint="eastAsia"/>
                            <w:color w:val="0000FF"/>
                            <w:spacing w:val="3"/>
                            <w:sz w:val="21"/>
                          </w:rPr>
                          <w:t>2017</w:t>
                        </w:r>
                        <w:r>
                          <w:rPr>
                            <w:rFonts w:ascii="hakuyoxingshu7000" w:eastAsia="hakuyoxingshu7000" w:hint="eastAsia"/>
                            <w:color w:val="0000FF"/>
                            <w:spacing w:val="-30"/>
                            <w:sz w:val="21"/>
                          </w:rPr>
                          <w:t>、</w:t>
                        </w:r>
                        <w:r>
                          <w:rPr>
                            <w:rFonts w:ascii="hakuyoxingshu7000" w:eastAsia="hakuyoxingshu7000" w:hint="eastAsia"/>
                            <w:color w:val="0000FF"/>
                            <w:spacing w:val="3"/>
                            <w:sz w:val="21"/>
                          </w:rPr>
                          <w:t>2018</w:t>
                        </w:r>
                        <w:r>
                          <w:rPr>
                            <w:rFonts w:ascii="hakuyoxingshu7000" w:eastAsia="hakuyoxingshu7000" w:hint="eastAsia"/>
                            <w:color w:val="0000FF"/>
                            <w:spacing w:val="-30"/>
                            <w:sz w:val="21"/>
                          </w:rPr>
                          <w:t>、</w:t>
                        </w:r>
                        <w:r>
                          <w:rPr>
                            <w:rFonts w:ascii="hakuyoxingshu7000" w:eastAsia="hakuyoxingshu7000" w:hint="eastAsia"/>
                            <w:color w:val="0000FF"/>
                            <w:sz w:val="21"/>
                          </w:rPr>
                          <w:t>2019</w:t>
                        </w:r>
                        <w:r>
                          <w:rPr>
                            <w:rFonts w:ascii="hakuyoxingshu7000" w:eastAsia="hakuyoxingshu7000" w:hint="eastAsia"/>
                            <w:color w:val="0000FF"/>
                            <w:spacing w:val="4"/>
                            <w:sz w:val="21"/>
                          </w:rPr>
                          <w:t> 年度第三方审计机构审</w:t>
                        </w:r>
                        <w:r>
                          <w:rPr>
                            <w:rFonts w:ascii="hakuyoxingshu7000" w:eastAsia="hakuyoxingshu7000" w:hint="eastAsia"/>
                            <w:color w:val="0000FF"/>
                            <w:spacing w:val="4"/>
                            <w:w w:val="95"/>
                            <w:sz w:val="21"/>
                          </w:rPr>
                          <w:t>计的财务报告,包括资产负债表、现金流量表、利润表和附注 </w:t>
                        </w:r>
                        <w:r>
                          <w:rPr>
                            <w:rFonts w:ascii="hakuyoxingshu7000" w:eastAsia="hakuyoxingshu7000" w:hint="eastAsia"/>
                            <w:color w:val="0000FF"/>
                            <w:spacing w:val="4"/>
                            <w:sz w:val="21"/>
                          </w:rPr>
                          <w:t>说明）</w:t>
                        </w:r>
                      </w:p>
                      <w:p>
                        <w:pPr>
                          <w:pStyle w:val="TableParagraph"/>
                          <w:spacing w:line="269" w:lineRule="exact"/>
                          <w:ind w:left="99"/>
                          <w:rPr>
                            <w:rFonts w:ascii="hakuyoxingshu7000" w:eastAsia="hakuyoxingshu7000" w:hint="eastAsia"/>
                            <w:sz w:val="21"/>
                          </w:rPr>
                        </w:pPr>
                        <w:r>
                          <w:rPr>
                            <w:rFonts w:ascii="hakuyoxingshu7000" w:eastAsia="hakuyoxingshu7000" w:hint="eastAsia"/>
                            <w:sz w:val="21"/>
                          </w:rPr>
                          <w:t>3、业绩要求：</w:t>
                        </w:r>
                        <w:r>
                          <w:rPr>
                            <w:rFonts w:ascii="hakuyoxingshu7000" w:eastAsia="hakuyoxingshu7000" w:hint="eastAsia"/>
                            <w:color w:val="0000FF"/>
                            <w:sz w:val="21"/>
                          </w:rPr>
                          <w:t>业绩不作为资审条件</w:t>
                        </w:r>
                      </w:p>
                      <w:p>
                        <w:pPr>
                          <w:pStyle w:val="TableParagraph"/>
                          <w:rPr>
                            <w:rFonts w:ascii="hakuyoxingshu7000"/>
                            <w:sz w:val="27"/>
                          </w:rPr>
                        </w:pPr>
                      </w:p>
                      <w:p>
                        <w:pPr>
                          <w:pStyle w:val="TableParagraph"/>
                          <w:spacing w:line="561" w:lineRule="auto"/>
                          <w:ind w:left="99" w:right="34"/>
                          <w:rPr>
                            <w:rFonts w:ascii="hakuyoxingshu7000" w:eastAsia="hakuyoxingshu7000" w:hint="eastAsia"/>
                            <w:sz w:val="21"/>
                          </w:rPr>
                        </w:pPr>
                        <w:r>
                          <w:rPr>
                            <w:rFonts w:ascii="hakuyoxingshu7000" w:eastAsia="hakuyoxingshu7000" w:hint="eastAsia"/>
                            <w:sz w:val="21"/>
                          </w:rPr>
                          <w:t>4、信誉要求：</w:t>
                        </w:r>
                        <w:r>
                          <w:rPr>
                            <w:rFonts w:ascii="hakuyoxingshu7000" w:eastAsia="hakuyoxingshu7000" w:hint="eastAsia"/>
                            <w:color w:val="0000FF"/>
                            <w:sz w:val="21"/>
                          </w:rPr>
                          <w:t>投标人应有良好的信誉，信用中国、国家企业信用信息公示平台截图</w:t>
                        </w:r>
                      </w:p>
                      <w:p>
                        <w:pPr>
                          <w:pStyle w:val="TableParagraph"/>
                          <w:spacing w:line="554" w:lineRule="auto" w:before="2"/>
                          <w:ind w:left="99" w:right="78" w:firstLine="420"/>
                          <w:jc w:val="both"/>
                          <w:rPr>
                            <w:rFonts w:ascii="hakuyoxingshu7000" w:hAnsi="hakuyoxingshu7000" w:eastAsia="hakuyoxingshu7000" w:hint="eastAsia"/>
                            <w:sz w:val="21"/>
                          </w:rPr>
                        </w:pPr>
                        <w:r>
                          <w:rPr>
                            <w:rFonts w:ascii="hakuyoxingshu7000" w:hAnsi="hakuyoxingshu7000" w:eastAsia="hakuyoxingshu7000" w:hint="eastAsia"/>
                            <w:spacing w:val="1"/>
                            <w:w w:val="95"/>
                            <w:sz w:val="21"/>
                          </w:rPr>
                          <w:t>中 华 人 民 共 和 国 最 高 人 民 法 院 官 方 网 址</w:t>
                        </w:r>
                        <w:r>
                          <w:rPr>
                            <w:rFonts w:ascii="hakuyoxingshu7000" w:hAnsi="hakuyoxingshu7000" w:eastAsia="hakuyoxingshu7000" w:hint="eastAsia"/>
                            <w:spacing w:val="4"/>
                            <w:w w:val="66"/>
                            <w:sz w:val="21"/>
                          </w:rPr>
                          <w:t>(</w:t>
                        </w:r>
                        <w:hyperlink r:id="rId30">
                          <w:r>
                            <w:rPr>
                              <w:rFonts w:ascii="hakuyoxingshu7000" w:hAnsi="hakuyoxingshu7000" w:eastAsia="hakuyoxingshu7000" w:hint="eastAsia"/>
                              <w:spacing w:val="2"/>
                              <w:w w:val="111"/>
                              <w:sz w:val="21"/>
                            </w:rPr>
                            <w:t>h</w:t>
                          </w:r>
                          <w:r>
                            <w:rPr>
                              <w:rFonts w:ascii="hakuyoxingshu7000" w:hAnsi="hakuyoxingshu7000" w:eastAsia="hakuyoxingshu7000" w:hint="eastAsia"/>
                              <w:spacing w:val="1"/>
                              <w:w w:val="55"/>
                              <w:sz w:val="21"/>
                            </w:rPr>
                            <w:t>tt</w:t>
                          </w:r>
                          <w:r>
                            <w:rPr>
                              <w:rFonts w:ascii="hakuyoxingshu7000" w:hAnsi="hakuyoxingshu7000" w:eastAsia="hakuyoxingshu7000" w:hint="eastAsia"/>
                              <w:spacing w:val="2"/>
                              <w:w w:val="111"/>
                              <w:sz w:val="21"/>
                            </w:rPr>
                            <w:t>p</w:t>
                          </w:r>
                          <w:r>
                            <w:rPr>
                              <w:rFonts w:ascii="hakuyoxingshu7000" w:hAnsi="hakuyoxingshu7000" w:eastAsia="hakuyoxingshu7000" w:hint="eastAsia"/>
                              <w:spacing w:val="1"/>
                              <w:w w:val="55"/>
                              <w:sz w:val="21"/>
                            </w:rPr>
                            <w:t>://</w:t>
                          </w:r>
                          <w:r>
                            <w:rPr>
                              <w:rFonts w:ascii="hakuyoxingshu7000" w:hAnsi="hakuyoxingshu7000" w:eastAsia="hakuyoxingshu7000" w:hint="eastAsia"/>
                              <w:spacing w:val="-2"/>
                              <w:w w:val="144"/>
                              <w:sz w:val="21"/>
                            </w:rPr>
                            <w:t>www</w:t>
                          </w:r>
                          <w:r>
                            <w:rPr>
                              <w:rFonts w:ascii="hakuyoxingshu7000" w:hAnsi="hakuyoxingshu7000" w:eastAsia="hakuyoxingshu7000" w:hint="eastAsia"/>
                              <w:spacing w:val="1"/>
                              <w:w w:val="55"/>
                              <w:sz w:val="21"/>
                            </w:rPr>
                            <w:t>.</w:t>
                          </w:r>
                          <w:r>
                            <w:rPr>
                              <w:rFonts w:ascii="hakuyoxingshu7000" w:hAnsi="hakuyoxingshu7000" w:eastAsia="hakuyoxingshu7000" w:hint="eastAsia"/>
                              <w:w w:val="105"/>
                              <w:sz w:val="21"/>
                            </w:rPr>
                            <w:t>c</w:t>
                          </w:r>
                          <w:r>
                            <w:rPr>
                              <w:rFonts w:ascii="hakuyoxingshu7000" w:hAnsi="hakuyoxingshu7000" w:eastAsia="hakuyoxingshu7000" w:hint="eastAsia"/>
                              <w:spacing w:val="2"/>
                              <w:w w:val="105"/>
                              <w:sz w:val="21"/>
                            </w:rPr>
                            <w:t>o</w:t>
                          </w:r>
                          <w:r>
                            <w:rPr>
                              <w:rFonts w:ascii="hakuyoxingshu7000" w:hAnsi="hakuyoxingshu7000" w:eastAsia="hakuyoxingshu7000" w:hint="eastAsia"/>
                              <w:spacing w:val="-12"/>
                              <w:w w:val="111"/>
                              <w:sz w:val="21"/>
                            </w:rPr>
                            <w:t>u</w:t>
                          </w:r>
                          <w:r>
                            <w:rPr>
                              <w:rFonts w:ascii="hakuyoxingshu7000" w:hAnsi="hakuyoxingshu7000" w:eastAsia="hakuyoxingshu7000" w:hint="eastAsia"/>
                              <w:spacing w:val="4"/>
                              <w:w w:val="66"/>
                              <w:sz w:val="21"/>
                            </w:rPr>
                            <w:t>r</w:t>
                          </w:r>
                          <w:r>
                            <w:rPr>
                              <w:rFonts w:ascii="hakuyoxingshu7000" w:hAnsi="hakuyoxingshu7000" w:eastAsia="hakuyoxingshu7000" w:hint="eastAsia"/>
                              <w:spacing w:val="1"/>
                              <w:w w:val="55"/>
                              <w:sz w:val="21"/>
                            </w:rPr>
                            <w:t>t.</w:t>
                          </w:r>
                          <w:r>
                            <w:rPr>
                              <w:rFonts w:ascii="hakuyoxingshu7000" w:hAnsi="hakuyoxingshu7000" w:eastAsia="hakuyoxingshu7000" w:hint="eastAsia"/>
                              <w:spacing w:val="2"/>
                              <w:w w:val="111"/>
                              <w:sz w:val="21"/>
                            </w:rPr>
                            <w:t>go</w:t>
                          </w:r>
                          <w:r>
                            <w:rPr>
                              <w:rFonts w:ascii="hakuyoxingshu7000" w:hAnsi="hakuyoxingshu7000" w:eastAsia="hakuyoxingshu7000" w:hint="eastAsia"/>
                              <w:spacing w:val="-15"/>
                              <w:sz w:val="21"/>
                            </w:rPr>
                            <w:t>v</w:t>
                          </w:r>
                          <w:r>
                            <w:rPr>
                              <w:rFonts w:ascii="hakuyoxingshu7000" w:hAnsi="hakuyoxingshu7000" w:eastAsia="hakuyoxingshu7000" w:hint="eastAsia"/>
                              <w:spacing w:val="1"/>
                              <w:w w:val="55"/>
                              <w:sz w:val="21"/>
                            </w:rPr>
                            <w:t>.</w:t>
                          </w:r>
                          <w:r>
                            <w:rPr>
                              <w:rFonts w:ascii="hakuyoxingshu7000" w:hAnsi="hakuyoxingshu7000" w:eastAsia="hakuyoxingshu7000" w:hint="eastAsia"/>
                              <w:w w:val="105"/>
                              <w:sz w:val="21"/>
                            </w:rPr>
                            <w:t>c</w:t>
                          </w:r>
                          <w:r>
                            <w:rPr>
                              <w:rFonts w:ascii="hakuyoxingshu7000" w:hAnsi="hakuyoxingshu7000" w:eastAsia="hakuyoxingshu7000" w:hint="eastAsia"/>
                              <w:spacing w:val="2"/>
                              <w:w w:val="105"/>
                              <w:sz w:val="21"/>
                            </w:rPr>
                            <w:t>n</w:t>
                          </w:r>
                          <w:r>
                            <w:rPr>
                              <w:rFonts w:ascii="hakuyoxingshu7000" w:hAnsi="hakuyoxingshu7000" w:eastAsia="hakuyoxingshu7000" w:hint="eastAsia"/>
                              <w:spacing w:val="-14"/>
                              <w:w w:val="55"/>
                              <w:sz w:val="21"/>
                            </w:rPr>
                            <w:t>/</w:t>
                          </w:r>
                          <w:r>
                            <w:rPr>
                              <w:rFonts w:ascii="hakuyoxingshu7000" w:hAnsi="hakuyoxingshu7000" w:eastAsia="hakuyoxingshu7000" w:hint="eastAsia"/>
                              <w:w w:val="66"/>
                              <w:sz w:val="21"/>
                            </w:rPr>
                            <w:t>)</w:t>
                          </w:r>
                          <w:r>
                            <w:rPr>
                              <w:rFonts w:ascii="hakuyoxingshu7000" w:hAnsi="hakuyoxingshu7000" w:eastAsia="hakuyoxingshu7000" w:hint="eastAsia"/>
                              <w:spacing w:val="-79"/>
                              <w:sz w:val="21"/>
                            </w:rPr>
                            <w:t> </w:t>
                          </w:r>
                        </w:hyperlink>
                        <w:r>
                          <w:rPr>
                            <w:rFonts w:ascii="hakuyoxingshu7000" w:hAnsi="hakuyoxingshu7000" w:eastAsia="hakuyoxingshu7000" w:hint="eastAsia"/>
                            <w:spacing w:val="4"/>
                            <w:w w:val="33"/>
                            <w:sz w:val="21"/>
                          </w:rPr>
                          <w:t>“</w:t>
                        </w:r>
                        <w:r>
                          <w:rPr>
                            <w:rFonts w:ascii="hakuyoxingshu7000" w:hAnsi="hakuyoxingshu7000" w:eastAsia="hakuyoxingshu7000" w:hint="eastAsia"/>
                            <w:spacing w:val="5"/>
                            <w:sz w:val="21"/>
                          </w:rPr>
                          <w:t>全国法院失信被执行人名单信息公布与查询</w:t>
                        </w:r>
                        <w:r>
                          <w:rPr>
                            <w:rFonts w:ascii="hakuyoxingshu7000" w:hAnsi="hakuyoxingshu7000" w:eastAsia="hakuyoxingshu7000" w:hint="eastAsia"/>
                            <w:spacing w:val="-55"/>
                            <w:w w:val="33"/>
                            <w:sz w:val="21"/>
                          </w:rPr>
                          <w:t>”</w:t>
                        </w:r>
                        <w:r>
                          <w:rPr>
                            <w:rFonts w:ascii="hakuyoxingshu7000" w:hAnsi="hakuyoxingshu7000" w:eastAsia="hakuyoxingshu7000" w:hint="eastAsia"/>
                            <w:spacing w:val="-1"/>
                            <w:sz w:val="21"/>
                          </w:rPr>
                          <w:t>（</w:t>
                        </w:r>
                        <w:hyperlink r:id="rId31">
                          <w:r>
                            <w:rPr>
                              <w:rFonts w:ascii="hakuyoxingshu7000" w:hAnsi="hakuyoxingshu7000" w:eastAsia="hakuyoxingshu7000" w:hint="eastAsia"/>
                              <w:spacing w:val="2"/>
                              <w:w w:val="111"/>
                              <w:sz w:val="21"/>
                            </w:rPr>
                            <w:t>h</w:t>
                          </w:r>
                          <w:r>
                            <w:rPr>
                              <w:rFonts w:ascii="hakuyoxingshu7000" w:hAnsi="hakuyoxingshu7000" w:eastAsia="hakuyoxingshu7000" w:hint="eastAsia"/>
                              <w:spacing w:val="1"/>
                              <w:w w:val="55"/>
                              <w:sz w:val="21"/>
                            </w:rPr>
                            <w:t>tt</w:t>
                          </w:r>
                          <w:r>
                            <w:rPr>
                              <w:rFonts w:ascii="hakuyoxingshu7000" w:hAnsi="hakuyoxingshu7000" w:eastAsia="hakuyoxingshu7000" w:hint="eastAsia"/>
                              <w:spacing w:val="2"/>
                              <w:w w:val="111"/>
                              <w:sz w:val="21"/>
                            </w:rPr>
                            <w:t>p</w:t>
                          </w:r>
                          <w:r>
                            <w:rPr>
                              <w:rFonts w:ascii="hakuyoxingshu7000" w:hAnsi="hakuyoxingshu7000" w:eastAsia="hakuyoxingshu7000" w:hint="eastAsia"/>
                              <w:spacing w:val="1"/>
                              <w:w w:val="55"/>
                              <w:sz w:val="21"/>
                            </w:rPr>
                            <w:t>://</w:t>
                          </w:r>
                          <w:r>
                            <w:rPr>
                              <w:rFonts w:ascii="hakuyoxingshu7000" w:hAnsi="hakuyoxingshu7000" w:eastAsia="hakuyoxingshu7000" w:hint="eastAsia"/>
                              <w:w w:val="105"/>
                              <w:sz w:val="21"/>
                            </w:rPr>
                            <w:t>s</w:t>
                          </w:r>
                          <w:r>
                            <w:rPr>
                              <w:rFonts w:ascii="hakuyoxingshu7000" w:hAnsi="hakuyoxingshu7000" w:eastAsia="hakuyoxingshu7000" w:hint="eastAsia"/>
                              <w:spacing w:val="2"/>
                              <w:w w:val="105"/>
                              <w:sz w:val="21"/>
                            </w:rPr>
                            <w:t>h</w:t>
                          </w:r>
                          <w:r>
                            <w:rPr>
                              <w:rFonts w:ascii="hakuyoxingshu7000" w:hAnsi="hakuyoxingshu7000" w:eastAsia="hakuyoxingshu7000" w:hint="eastAsia"/>
                              <w:spacing w:val="-2"/>
                              <w:w w:val="44"/>
                              <w:sz w:val="21"/>
                            </w:rPr>
                            <w:t>i</w:t>
                          </w:r>
                          <w:r>
                            <w:rPr>
                              <w:rFonts w:ascii="hakuyoxingshu7000" w:hAnsi="hakuyoxingshu7000" w:eastAsia="hakuyoxingshu7000" w:hint="eastAsia"/>
                              <w:w w:val="72"/>
                              <w:sz w:val="21"/>
                            </w:rPr>
                            <w:t>x</w:t>
                          </w:r>
                          <w:r>
                            <w:rPr>
                              <w:rFonts w:ascii="hakuyoxingshu7000" w:hAnsi="hakuyoxingshu7000" w:eastAsia="hakuyoxingshu7000" w:hint="eastAsia"/>
                              <w:spacing w:val="-2"/>
                              <w:w w:val="72"/>
                              <w:sz w:val="21"/>
                            </w:rPr>
                            <w:t>i</w:t>
                          </w:r>
                          <w:r>
                            <w:rPr>
                              <w:rFonts w:ascii="hakuyoxingshu7000" w:hAnsi="hakuyoxingshu7000" w:eastAsia="hakuyoxingshu7000" w:hint="eastAsia"/>
                              <w:spacing w:val="2"/>
                              <w:w w:val="111"/>
                              <w:sz w:val="21"/>
                            </w:rPr>
                            <w:t>n</w:t>
                          </w:r>
                          <w:r>
                            <w:rPr>
                              <w:rFonts w:ascii="hakuyoxingshu7000" w:hAnsi="hakuyoxingshu7000" w:eastAsia="hakuyoxingshu7000" w:hint="eastAsia"/>
                              <w:spacing w:val="1"/>
                              <w:w w:val="55"/>
                              <w:sz w:val="21"/>
                            </w:rPr>
                            <w:t>.</w:t>
                          </w:r>
                          <w:r>
                            <w:rPr>
                              <w:rFonts w:ascii="hakuyoxingshu7000" w:hAnsi="hakuyoxingshu7000" w:eastAsia="hakuyoxingshu7000" w:hint="eastAsia"/>
                              <w:w w:val="105"/>
                              <w:sz w:val="21"/>
                            </w:rPr>
                            <w:t>c</w:t>
                          </w:r>
                          <w:r>
                            <w:rPr>
                              <w:rFonts w:ascii="hakuyoxingshu7000" w:hAnsi="hakuyoxingshu7000" w:eastAsia="hakuyoxingshu7000" w:hint="eastAsia"/>
                              <w:spacing w:val="2"/>
                              <w:w w:val="105"/>
                              <w:sz w:val="21"/>
                            </w:rPr>
                            <w:t>o</w:t>
                          </w:r>
                          <w:r>
                            <w:rPr>
                              <w:rFonts w:ascii="hakuyoxingshu7000" w:hAnsi="hakuyoxingshu7000" w:eastAsia="hakuyoxingshu7000" w:hint="eastAsia"/>
                              <w:spacing w:val="-12"/>
                              <w:w w:val="111"/>
                              <w:sz w:val="21"/>
                            </w:rPr>
                            <w:t>u</w:t>
                          </w:r>
                          <w:r>
                            <w:rPr>
                              <w:rFonts w:ascii="hakuyoxingshu7000" w:hAnsi="hakuyoxingshu7000" w:eastAsia="hakuyoxingshu7000" w:hint="eastAsia"/>
                              <w:spacing w:val="4"/>
                              <w:w w:val="66"/>
                              <w:sz w:val="21"/>
                            </w:rPr>
                            <w:t>r</w:t>
                          </w:r>
                          <w:r>
                            <w:rPr>
                              <w:rFonts w:ascii="hakuyoxingshu7000" w:hAnsi="hakuyoxingshu7000" w:eastAsia="hakuyoxingshu7000" w:hint="eastAsia"/>
                              <w:spacing w:val="1"/>
                              <w:w w:val="55"/>
                              <w:sz w:val="21"/>
                            </w:rPr>
                            <w:t>t.</w:t>
                          </w:r>
                          <w:r>
                            <w:rPr>
                              <w:rFonts w:ascii="hakuyoxingshu7000" w:hAnsi="hakuyoxingshu7000" w:eastAsia="hakuyoxingshu7000" w:hint="eastAsia"/>
                              <w:spacing w:val="2"/>
                              <w:w w:val="111"/>
                              <w:sz w:val="21"/>
                            </w:rPr>
                            <w:t>go</w:t>
                          </w:r>
                          <w:r>
                            <w:rPr>
                              <w:rFonts w:ascii="hakuyoxingshu7000" w:hAnsi="hakuyoxingshu7000" w:eastAsia="hakuyoxingshu7000" w:hint="eastAsia"/>
                              <w:w w:val="77"/>
                              <w:sz w:val="21"/>
                            </w:rPr>
                            <w:t>v</w:t>
                          </w:r>
                          <w:r>
                            <w:rPr>
                              <w:rFonts w:ascii="hakuyoxingshu7000" w:hAnsi="hakuyoxingshu7000" w:eastAsia="hakuyoxingshu7000" w:hint="eastAsia"/>
                              <w:spacing w:val="1"/>
                              <w:w w:val="77"/>
                              <w:sz w:val="21"/>
                            </w:rPr>
                            <w:t>.</w:t>
                          </w:r>
                          <w:r>
                            <w:rPr>
                              <w:rFonts w:ascii="hakuyoxingshu7000" w:hAnsi="hakuyoxingshu7000" w:eastAsia="hakuyoxingshu7000" w:hint="eastAsia"/>
                              <w:w w:val="105"/>
                              <w:sz w:val="21"/>
                            </w:rPr>
                            <w:t>c</w:t>
                          </w:r>
                          <w:r>
                            <w:rPr>
                              <w:rFonts w:ascii="hakuyoxingshu7000" w:hAnsi="hakuyoxingshu7000" w:eastAsia="hakuyoxingshu7000" w:hint="eastAsia"/>
                              <w:spacing w:val="2"/>
                              <w:w w:val="105"/>
                              <w:sz w:val="21"/>
                            </w:rPr>
                            <w:t>n</w:t>
                          </w:r>
                          <w:r>
                            <w:rPr>
                              <w:rFonts w:ascii="hakuyoxingshu7000" w:hAnsi="hakuyoxingshu7000" w:eastAsia="hakuyoxingshu7000" w:hint="eastAsia"/>
                              <w:spacing w:val="8"/>
                              <w:w w:val="55"/>
                              <w:sz w:val="21"/>
                            </w:rPr>
                            <w:t>/</w:t>
                          </w:r>
                        </w:hyperlink>
                        <w:r>
                          <w:rPr>
                            <w:rFonts w:ascii="hakuyoxingshu7000" w:hAnsi="hakuyoxingshu7000" w:eastAsia="hakuyoxingshu7000" w:hint="eastAsia"/>
                            <w:sz w:val="21"/>
                          </w:rPr>
                          <w:t>）栏目查询失信被执</w:t>
                        </w:r>
                        <w:r>
                          <w:rPr>
                            <w:rFonts w:ascii="hakuyoxingshu7000" w:hAnsi="hakuyoxingshu7000" w:eastAsia="hakuyoxingshu7000" w:hint="eastAsia"/>
                            <w:w w:val="95"/>
                            <w:sz w:val="21"/>
                          </w:rPr>
                          <w:t>行人记录:经查询后，列入失信被执行人、重大税收违法案件</w:t>
                        </w:r>
                      </w:p>
                      <w:p>
                        <w:pPr>
                          <w:pStyle w:val="TableParagraph"/>
                          <w:spacing w:line="323" w:lineRule="exact"/>
                          <w:ind w:left="99"/>
                          <w:jc w:val="both"/>
                          <w:rPr>
                            <w:rFonts w:ascii="hakuyoxingshu7000" w:eastAsia="hakuyoxingshu7000" w:hint="eastAsia"/>
                            <w:sz w:val="21"/>
                          </w:rPr>
                        </w:pPr>
                        <w:r>
                          <w:rPr>
                            <w:rFonts w:ascii="hakuyoxingshu7000" w:eastAsia="hakuyoxingshu7000" w:hint="eastAsia"/>
                            <w:sz w:val="21"/>
                          </w:rPr>
                          <w:t>当事人黑名单的取消投标资格。</w:t>
                        </w:r>
                        <w:r>
                          <w:rPr>
                            <w:rFonts w:ascii="Microsoft JhengHei" w:eastAsia="Microsoft JhengHei" w:hint="eastAsia"/>
                            <w:b/>
                            <w:sz w:val="21"/>
                          </w:rPr>
                          <w:t>投标人应提供查询截图</w:t>
                        </w:r>
                        <w:r>
                          <w:rPr>
                            <w:rFonts w:ascii="hakuyoxingshu7000" w:eastAsia="hakuyoxingshu7000" w:hint="eastAsia"/>
                            <w:sz w:val="21"/>
                          </w:rPr>
                          <w:t>。</w:t>
                        </w:r>
                      </w:p>
                      <w:p>
                        <w:pPr>
                          <w:pStyle w:val="TableParagraph"/>
                          <w:spacing w:before="238"/>
                          <w:ind w:left="99" w:right="124"/>
                          <w:jc w:val="right"/>
                          <w:rPr>
                            <w:rFonts w:ascii="hakuyoxingshu7000" w:eastAsia="hakuyoxingshu7000" w:hint="eastAsia"/>
                            <w:sz w:val="21"/>
                          </w:rPr>
                        </w:pPr>
                        <w:r>
                          <w:rPr>
                            <w:rFonts w:ascii="hakuyoxingshu7000" w:eastAsia="hakuyoxingshu7000" w:hint="eastAsia"/>
                            <w:w w:val="95"/>
                            <w:sz w:val="21"/>
                          </w:rPr>
                          <w:t>5、项目经理(建造师，下同)资格：</w:t>
                        </w:r>
                        <w:r>
                          <w:rPr>
                            <w:rFonts w:ascii="hakuyoxingshu7000" w:eastAsia="hakuyoxingshu7000" w:hint="eastAsia"/>
                            <w:color w:val="0000FF"/>
                            <w:w w:val="95"/>
                            <w:sz w:val="21"/>
                          </w:rPr>
                          <w:t>水利水电工程</w:t>
                        </w:r>
                        <w:r>
                          <w:rPr>
                            <w:rFonts w:ascii="hakuyoxingshu7000" w:eastAsia="hakuyoxingshu7000" w:hint="eastAsia"/>
                            <w:w w:val="95"/>
                            <w:sz w:val="21"/>
                          </w:rPr>
                          <w:t>专业</w:t>
                        </w:r>
                        <w:r>
                          <w:rPr>
                            <w:rFonts w:ascii="hakuyoxingshu7000" w:eastAsia="hakuyoxingshu7000" w:hint="eastAsia"/>
                            <w:color w:val="0000FF"/>
                            <w:w w:val="95"/>
                            <w:sz w:val="21"/>
                          </w:rPr>
                          <w:t>叁</w:t>
                        </w:r>
                      </w:p>
                      <w:p>
                        <w:pPr>
                          <w:pStyle w:val="TableParagraph"/>
                          <w:tabs>
                            <w:tab w:pos="1150" w:val="left" w:leader="none"/>
                          </w:tabs>
                          <w:spacing w:line="357" w:lineRule="auto" w:before="121"/>
                          <w:ind w:left="99" w:right="77"/>
                          <w:jc w:val="right"/>
                          <w:rPr>
                            <w:rFonts w:ascii="hakuyoxingshu7000" w:hAnsi="hakuyoxingshu7000" w:eastAsia="hakuyoxingshu7000" w:hint="eastAsia"/>
                            <w:sz w:val="21"/>
                          </w:rPr>
                        </w:pPr>
                        <w:r>
                          <w:rPr>
                            <w:rFonts w:ascii="hakuyoxingshu7000" w:hAnsi="hakuyoxingshu7000" w:eastAsia="hakuyoxingshu7000" w:hint="eastAsia"/>
                            <w:spacing w:val="-1"/>
                            <w:w w:val="95"/>
                            <w:sz w:val="21"/>
                          </w:rPr>
                          <w:t>（含</w:t>
                        </w:r>
                        <w:r>
                          <w:rPr>
                            <w:rFonts w:ascii="hakuyoxingshu7000" w:hAnsi="hakuyoxingshu7000" w:eastAsia="hakuyoxingshu7000" w:hint="eastAsia"/>
                            <w:w w:val="95"/>
                            <w:sz w:val="21"/>
                          </w:rPr>
                          <w:t>以上级</w:t>
                        </w:r>
                        <w:r>
                          <w:rPr>
                            <w:rFonts w:ascii="hakuyoxingshu7000" w:hAnsi="hakuyoxingshu7000" w:eastAsia="hakuyoxingshu7000" w:hint="eastAsia"/>
                            <w:spacing w:val="-15"/>
                            <w:w w:val="95"/>
                            <w:sz w:val="21"/>
                          </w:rPr>
                          <w:t>）</w:t>
                        </w:r>
                        <w:r>
                          <w:rPr>
                            <w:rFonts w:ascii="hakuyoxingshu7000" w:hAnsi="hakuyoxingshu7000" w:eastAsia="hakuyoxingshu7000" w:hint="eastAsia"/>
                            <w:w w:val="95"/>
                            <w:sz w:val="21"/>
                          </w:rPr>
                          <w:t>级建造师执业资格</w:t>
                        </w:r>
                        <w:r>
                          <w:rPr>
                            <w:rFonts w:ascii="hakuyoxingshu7000" w:hAnsi="hakuyoxingshu7000" w:eastAsia="hakuyoxingshu7000" w:hint="eastAsia"/>
                            <w:spacing w:val="-18"/>
                            <w:w w:val="95"/>
                            <w:sz w:val="21"/>
                          </w:rPr>
                          <w:t>，</w:t>
                        </w:r>
                        <w:r>
                          <w:rPr>
                            <w:rFonts w:ascii="hakuyoxingshu7000" w:hAnsi="hakuyoxingshu7000" w:eastAsia="hakuyoxingshu7000" w:hint="eastAsia"/>
                            <w:w w:val="95"/>
                            <w:sz w:val="21"/>
                          </w:rPr>
                          <w:t>投标人还应就其是否符合</w:t>
                        </w:r>
                        <w:r>
                          <w:rPr>
                            <w:rFonts w:ascii="hakuyoxingshu7000" w:hAnsi="hakuyoxingshu7000" w:eastAsia="hakuyoxingshu7000" w:hint="eastAsia"/>
                            <w:w w:val="65"/>
                            <w:sz w:val="21"/>
                          </w:rPr>
                          <w:t>“ </w:t>
                        </w:r>
                        <w:r>
                          <w:rPr>
                            <w:rFonts w:ascii="hakuyoxingshu7000" w:hAnsi="hakuyoxingshu7000" w:eastAsia="hakuyoxingshu7000" w:hint="eastAsia"/>
                            <w:sz w:val="21"/>
                          </w:rPr>
                          <w:t>二十一条</w:t>
                          <w:tab/>
                          <w:t>注册建造师的具体执业范</w:t>
                        </w:r>
                        <w:r>
                          <w:rPr>
                            <w:rFonts w:ascii="hakuyoxingshu7000" w:hAnsi="hakuyoxingshu7000" w:eastAsia="hakuyoxingshu7000" w:hint="eastAsia"/>
                            <w:spacing w:val="14"/>
                            <w:sz w:val="21"/>
                          </w:rPr>
                          <w:t>围</w:t>
                        </w:r>
                        <w:r>
                          <w:rPr>
                            <w:rFonts w:ascii="hakuyoxingshu7000" w:hAnsi="hakuyoxingshu7000" w:eastAsia="hakuyoxingshu7000" w:hint="eastAsia"/>
                            <w:sz w:val="21"/>
                          </w:rPr>
                          <w:t>按照《注册建造师执工程规模标准》执行</w:t>
                        </w:r>
                        <w:r>
                          <w:rPr>
                            <w:rFonts w:ascii="hakuyoxingshu7000" w:hAnsi="hakuyoxingshu7000" w:eastAsia="hakuyoxingshu7000" w:hint="eastAsia"/>
                            <w:spacing w:val="-3"/>
                            <w:sz w:val="21"/>
                          </w:rPr>
                          <w:t>。</w:t>
                        </w:r>
                        <w:r>
                          <w:rPr>
                            <w:rFonts w:ascii="hakuyoxingshu7000" w:hAnsi="hakuyoxingshu7000" w:eastAsia="hakuyoxingshu7000" w:hint="eastAsia"/>
                            <w:sz w:val="21"/>
                          </w:rPr>
                          <w:t>项目经理不得</w:t>
                        </w:r>
                        <w:r>
                          <w:rPr>
                            <w:rFonts w:ascii="hakuyoxingshu7000" w:hAnsi="hakuyoxingshu7000" w:eastAsia="hakuyoxingshu7000" w:hint="eastAsia"/>
                            <w:spacing w:val="14"/>
                            <w:sz w:val="21"/>
                          </w:rPr>
                          <w:t>同</w:t>
                        </w:r>
                        <w:r>
                          <w:rPr>
                            <w:rFonts w:ascii="hakuyoxingshu7000" w:hAnsi="hakuyoxingshu7000" w:eastAsia="hakuyoxingshu7000" w:hint="eastAsia"/>
                            <w:sz w:val="21"/>
                          </w:rPr>
                          <w:t>时在两个及两个以上</w:t>
                        </w:r>
                        <w:r>
                          <w:rPr>
                            <w:rFonts w:ascii="hakuyoxingshu7000" w:hAnsi="hakuyoxingshu7000" w:eastAsia="hakuyoxingshu7000" w:hint="eastAsia"/>
                            <w:w w:val="95"/>
                            <w:sz w:val="21"/>
                          </w:rPr>
                          <w:t>建设工程项目上担任施工单位项目负责人</w:t>
                        </w:r>
                        <w:r>
                          <w:rPr>
                            <w:rFonts w:ascii="hakuyoxingshu7000" w:hAnsi="hakuyoxingshu7000" w:eastAsia="hakuyoxingshu7000" w:hint="eastAsia"/>
                            <w:spacing w:val="-4"/>
                            <w:w w:val="95"/>
                            <w:sz w:val="21"/>
                          </w:rPr>
                          <w:t>。</w:t>
                        </w:r>
                        <w:r>
                          <w:rPr>
                            <w:rFonts w:ascii="hakuyoxingshu7000" w:hAnsi="hakuyoxingshu7000" w:eastAsia="hakuyoxingshu7000" w:hint="eastAsia"/>
                            <w:spacing w:val="5"/>
                            <w:w w:val="65"/>
                            <w:sz w:val="21"/>
                          </w:rPr>
                          <w:t>”</w:t>
                        </w:r>
                        <w:r>
                          <w:rPr>
                            <w:rFonts w:ascii="hakuyoxingshu7000" w:hAnsi="hakuyoxingshu7000" w:eastAsia="hakuyoxingshu7000" w:hint="eastAsia"/>
                            <w:w w:val="95"/>
                            <w:sz w:val="21"/>
                          </w:rPr>
                          <w:t>的规定进行说明 </w:t>
                        </w:r>
                        <w:r>
                          <w:rPr>
                            <w:rFonts w:ascii="hakuyoxingshu7000" w:hAnsi="hakuyoxingshu7000" w:eastAsia="hakuyoxingshu7000" w:hint="eastAsia"/>
                            <w:spacing w:val="3"/>
                            <w:sz w:val="21"/>
                          </w:rPr>
                          <w:t>6</w:t>
                        </w:r>
                        <w:r>
                          <w:rPr>
                            <w:rFonts w:ascii="hakuyoxingshu7000" w:hAnsi="hakuyoxingshu7000" w:eastAsia="hakuyoxingshu7000" w:hint="eastAsia"/>
                            <w:sz w:val="21"/>
                          </w:rPr>
                          <w:t>、技术负责人</w:t>
                        </w:r>
                        <w:r>
                          <w:rPr>
                            <w:rFonts w:ascii="hakuyoxingshu7000" w:hAnsi="hakuyoxingshu7000" w:eastAsia="hakuyoxingshu7000" w:hint="eastAsia"/>
                            <w:spacing w:val="14"/>
                            <w:sz w:val="21"/>
                          </w:rPr>
                          <w:t>资</w:t>
                        </w:r>
                        <w:r>
                          <w:rPr>
                            <w:rFonts w:ascii="hakuyoxingshu7000" w:hAnsi="hakuyoxingshu7000" w:eastAsia="hakuyoxingshu7000" w:hint="eastAsia"/>
                            <w:sz w:val="21"/>
                          </w:rPr>
                          <w:t>格：</w:t>
                        </w:r>
                        <w:r>
                          <w:rPr>
                            <w:rFonts w:ascii="hakuyoxingshu7000" w:hAnsi="hakuyoxingshu7000" w:eastAsia="hakuyoxingshu7000" w:hint="eastAsia"/>
                            <w:color w:val="0000FF"/>
                            <w:sz w:val="21"/>
                          </w:rPr>
                          <w:t>技术</w:t>
                        </w:r>
                        <w:r>
                          <w:rPr>
                            <w:rFonts w:ascii="hakuyoxingshu7000" w:hAnsi="hakuyoxingshu7000" w:eastAsia="hakuyoxingshu7000" w:hint="eastAsia"/>
                            <w:color w:val="0000FF"/>
                            <w:spacing w:val="15"/>
                            <w:sz w:val="21"/>
                          </w:rPr>
                          <w:t>负</w:t>
                        </w:r>
                        <w:r>
                          <w:rPr>
                            <w:rFonts w:ascii="hakuyoxingshu7000" w:hAnsi="hakuyoxingshu7000" w:eastAsia="hakuyoxingshu7000" w:hint="eastAsia"/>
                            <w:color w:val="0000FF"/>
                            <w:sz w:val="21"/>
                          </w:rPr>
                          <w:t>责人须具</w:t>
                        </w:r>
                        <w:r>
                          <w:rPr>
                            <w:rFonts w:ascii="hakuyoxingshu7000" w:hAnsi="hakuyoxingshu7000" w:eastAsia="hakuyoxingshu7000" w:hint="eastAsia"/>
                            <w:color w:val="0000FF"/>
                            <w:spacing w:val="15"/>
                            <w:sz w:val="21"/>
                          </w:rPr>
                          <w:t>备</w:t>
                        </w:r>
                        <w:r>
                          <w:rPr>
                            <w:rFonts w:ascii="hakuyoxingshu7000" w:hAnsi="hakuyoxingshu7000" w:eastAsia="hakuyoxingshu7000" w:hint="eastAsia"/>
                            <w:color w:val="0000FF"/>
                            <w:sz w:val="21"/>
                          </w:rPr>
                          <w:t>水利水电</w:t>
                        </w:r>
                        <w:r>
                          <w:rPr>
                            <w:rFonts w:ascii="hakuyoxingshu7000" w:hAnsi="hakuyoxingshu7000" w:eastAsia="hakuyoxingshu7000" w:hint="eastAsia"/>
                            <w:color w:val="0000FF"/>
                            <w:spacing w:val="15"/>
                            <w:sz w:val="21"/>
                          </w:rPr>
                          <w:t>中</w:t>
                        </w:r>
                        <w:r>
                          <w:rPr>
                            <w:rFonts w:ascii="hakuyoxingshu7000" w:hAnsi="hakuyoxingshu7000" w:eastAsia="hakuyoxingshu7000" w:hint="eastAsia"/>
                            <w:color w:val="0000FF"/>
                            <w:sz w:val="21"/>
                          </w:rPr>
                          <w:t>级</w:t>
                        </w:r>
                      </w:p>
                      <w:p>
                        <w:pPr>
                          <w:pStyle w:val="TableParagraph"/>
                          <w:spacing w:before="8"/>
                          <w:ind w:left="99"/>
                          <w:rPr>
                            <w:rFonts w:ascii="hakuyoxingshu7000" w:eastAsia="hakuyoxingshu7000" w:hint="eastAsia"/>
                            <w:sz w:val="21"/>
                          </w:rPr>
                        </w:pPr>
                        <w:r>
                          <w:rPr>
                            <w:rFonts w:ascii="hakuyoxingshu7000" w:eastAsia="hakuyoxingshu7000" w:hint="eastAsia"/>
                            <w:color w:val="0000FF"/>
                            <w:sz w:val="21"/>
                          </w:rPr>
                          <w:t>称及以上</w:t>
                        </w:r>
                      </w:p>
                      <w:p>
                        <w:pPr>
                          <w:pStyle w:val="TableParagraph"/>
                          <w:spacing w:before="121"/>
                          <w:ind w:left="579"/>
                          <w:rPr>
                            <w:rFonts w:ascii="hakuyoxingshu7000" w:eastAsia="hakuyoxingshu7000" w:hint="eastAsia"/>
                            <w:sz w:val="21"/>
                          </w:rPr>
                        </w:pPr>
                        <w:r>
                          <w:rPr>
                            <w:rFonts w:ascii="hakuyoxingshu7000" w:eastAsia="hakuyoxingshu7000" w:hint="eastAsia"/>
                            <w:sz w:val="21"/>
                          </w:rPr>
                          <w:t>7、其它要求：</w:t>
                        </w:r>
                      </w:p>
                    </w:tc>
                  </w:tr>
                </w:tbl>
                <w:p>
                  <w:pPr>
                    <w:pStyle w:val="BodyText"/>
                  </w:pP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9"/>
        </w:rPr>
      </w:pPr>
    </w:p>
    <w:p>
      <w:pPr>
        <w:pStyle w:val="BodyText"/>
        <w:ind w:left="363"/>
        <w:rPr>
          <w:rFonts w:ascii="Times New Roman"/>
          <w:sz w:val="20"/>
        </w:rPr>
      </w:pPr>
      <w:r>
        <w:rPr>
          <w:rFonts w:ascii="Times New Roman"/>
          <w:sz w:val="20"/>
        </w:rPr>
        <w:pict>
          <v:group style="width:456pt;height:444.25pt;mso-position-horizontal-relative:char;mso-position-vertical-relative:line" coordorigin="0,0" coordsize="9120,8885">
            <v:shape style="position:absolute;left:0;top:196;width:8786;height:8653" type="#_x0000_t75" stroked="false">
              <v:imagedata r:id="rId6" o:title=""/>
            </v:shape>
            <v:rect style="position:absolute;left:3378;top:0;width:5467;height:496" filled="true" fillcolor="#ffffff" stroked="false">
              <v:fill type="solid"/>
            </v:rect>
            <v:rect style="position:absolute;left:3378;top:615;width:5527;height:511" filled="true" fillcolor="#ffffff" stroked="false">
              <v:fill type="solid"/>
            </v:rect>
            <v:rect style="position:absolute;left:3378;top:1246;width:5527;height:511" filled="true" fillcolor="#ffffff" stroked="false">
              <v:fill type="solid"/>
            </v:rect>
            <v:rect style="position:absolute;left:3378;top:1876;width:5527;height:496" filled="true" fillcolor="#ffffff" stroked="false">
              <v:fill type="solid"/>
            </v:rect>
            <v:rect style="position:absolute;left:3378;top:3122;width:3274;height:496" filled="true" fillcolor="#ffffff" stroked="false">
              <v:fill type="solid"/>
            </v:rect>
            <v:rect style="position:absolute;left:3378;top:3738;width:5527;height:511" filled="true" fillcolor="#ffffff" stroked="false">
              <v:fill type="solid"/>
            </v:rect>
            <v:rect style="position:absolute;left:3378;top:4368;width:2103;height:511" filled="true" fillcolor="#ffffff" stroked="false">
              <v:fill type="solid"/>
            </v:rect>
            <v:rect style="position:absolute;left:3798;top:4999;width:5107;height:495" filled="true" fillcolor="#ffffff" stroked="false">
              <v:fill type="solid"/>
            </v:rect>
            <v:rect style="position:absolute;left:3378;top:5615;width:5527;height:511" filled="true" fillcolor="#ffffff" stroked="false">
              <v:fill type="solid"/>
            </v:rect>
            <v:line style="position:absolute" from="6322,7950" to="8680,7950" stroked="true" strokeweight=".75pt" strokecolor="#000000">
              <v:stroke dashstyle="solid"/>
            </v:line>
            <v:shape style="position:absolute;left:8874;top:8213;width:245;height:672" type="#_x0000_t202" filled="false" stroked="false">
              <v:textbox inset="0,0,0,0">
                <w:txbxContent>
                  <w:p>
                    <w:pPr>
                      <w:spacing w:before="14"/>
                      <w:ind w:left="0" w:right="0" w:firstLine="0"/>
                      <w:jc w:val="left"/>
                      <w:rPr>
                        <w:rFonts w:ascii="hakuyoxingshu7000" w:eastAsia="hakuyoxingshu7000" w:hint="eastAsia"/>
                        <w:sz w:val="21"/>
                      </w:rPr>
                    </w:pPr>
                    <w:r>
                      <w:rPr>
                        <w:rFonts w:ascii="hakuyoxingshu7000" w:eastAsia="hakuyoxingshu7000" w:hint="eastAsia"/>
                        <w:sz w:val="21"/>
                      </w:rPr>
                      <w:t>级</w:t>
                    </w:r>
                  </w:p>
                  <w:p>
                    <w:pPr>
                      <w:spacing w:line="267" w:lineRule="exact" w:before="121"/>
                      <w:ind w:left="15" w:right="0" w:firstLine="0"/>
                      <w:jc w:val="left"/>
                      <w:rPr>
                        <w:rFonts w:ascii="hakuyoxingshu7000" w:eastAsia="hakuyoxingshu7000" w:hint="eastAsia"/>
                        <w:sz w:val="21"/>
                      </w:rPr>
                    </w:pPr>
                    <w:r>
                      <w:rPr>
                        <w:rFonts w:ascii="hakuyoxingshu7000" w:eastAsia="hakuyoxingshu7000" w:hint="eastAsia"/>
                        <w:sz w:val="21"/>
                      </w:rPr>
                      <w:t>第</w:t>
                    </w:r>
                  </w:p>
                </w:txbxContent>
              </v:textbox>
              <w10:wrap type="none"/>
            </v:shape>
          </v:group>
        </w:pict>
      </w:r>
      <w:r>
        <w:rPr>
          <w:rFonts w:ascii="Times New Roman"/>
          <w:sz w:val="20"/>
        </w:rPr>
      </w:r>
    </w:p>
    <w:p>
      <w:pPr>
        <w:spacing w:line="362" w:lineRule="auto" w:before="108"/>
        <w:ind w:left="9224" w:right="1270" w:firstLine="2"/>
        <w:jc w:val="left"/>
        <w:rPr>
          <w:rFonts w:ascii="hakuyoxingshu7000" w:eastAsia="hakuyoxingshu7000" w:hint="eastAsia"/>
          <w:sz w:val="21"/>
        </w:rPr>
      </w:pPr>
      <w:r>
        <w:rPr>
          <w:rFonts w:ascii="hakuyoxingshu7000" w:eastAsia="hakuyoxingshu7000" w:hint="eastAsia"/>
          <w:sz w:val="21"/>
        </w:rPr>
        <w:t>业的</w:t>
      </w:r>
    </w:p>
    <w:p>
      <w:pPr>
        <w:pStyle w:val="BodyText"/>
        <w:spacing w:before="4"/>
        <w:rPr>
          <w:rFonts w:ascii="hakuyoxingshu7000"/>
          <w:sz w:val="30"/>
        </w:rPr>
      </w:pPr>
    </w:p>
    <w:p>
      <w:pPr>
        <w:spacing w:before="0"/>
        <w:ind w:left="9239" w:right="0" w:firstLine="0"/>
        <w:jc w:val="left"/>
        <w:rPr>
          <w:rFonts w:ascii="hakuyoxingshu7000" w:eastAsia="hakuyoxingshu7000" w:hint="eastAsia"/>
          <w:sz w:val="21"/>
        </w:rPr>
      </w:pPr>
      <w:r>
        <w:rPr>
          <w:rFonts w:ascii="hakuyoxingshu7000" w:eastAsia="hakuyoxingshu7000" w:hint="eastAsia"/>
          <w:color w:val="0000FF"/>
          <w:sz w:val="21"/>
        </w:rPr>
        <w:t>职</w:t>
      </w:r>
    </w:p>
    <w:p>
      <w:pPr>
        <w:spacing w:after="0"/>
        <w:jc w:val="left"/>
        <w:rPr>
          <w:rFonts w:ascii="hakuyoxingshu7000" w:eastAsia="hakuyoxingshu7000" w:hint="eastAsia"/>
          <w:sz w:val="21"/>
        </w:rPr>
        <w:sectPr>
          <w:pgSz w:w="11910" w:h="16850"/>
          <w:pgMar w:header="911" w:footer="0" w:top="1380" w:bottom="280" w:left="1200" w:right="0"/>
        </w:sectPr>
      </w:pPr>
    </w:p>
    <w:p>
      <w:pPr>
        <w:pStyle w:val="BodyText"/>
        <w:spacing w:before="10"/>
        <w:rPr>
          <w:rFonts w:ascii="Times New Roman"/>
          <w:sz w:val="3"/>
        </w:rPr>
      </w:pPr>
      <w:r>
        <w:rPr/>
        <w:pict>
          <v:group style="position:absolute;margin-left:78.170998pt;margin-top:196.675003pt;width:445.3pt;height:440.95pt;mso-position-horizontal-relative:page;mso-position-vertical-relative:page;z-index:-268641280" coordorigin="1563,3934" coordsize="8906,8819">
            <v:shape style="position:absolute;left:1563;top:4099;width:8786;height:8653" type="#_x0000_t75" stroked="false">
              <v:imagedata r:id="rId6" o:title=""/>
            </v:shape>
            <v:shape style="position:absolute;left:4941;top:3933;width:5527;height:6321" coordorigin="4942,3934" coordsize="5527,6321" path="m7420,7867l5888,7867,5888,8377,7420,8377,7420,7867m8546,7252l4942,7252,4942,7747,8546,7747,8546,7252m10198,9743l4942,9743,4942,10254,10198,10254,10198,9743m10469,9113l4942,9113,4942,9624,10469,9624,10469,9113m10469,8497l4942,8497,4942,8993,10469,8993,10469,8497m10469,5179l4942,5179,4942,5675,10469,5675,10469,5179m10469,4549l4942,4549,4942,5060,10469,5060,10469,4549m10469,3934l4942,3934,4942,4429,10469,4429,10469,3934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4981"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2" w:type="dxa"/>
            <w:tcBorders>
              <w:bottom w:val="single" w:sz="6" w:space="0" w:color="000000"/>
              <w:right w:val="single" w:sz="6" w:space="0" w:color="000000"/>
            </w:tcBorders>
          </w:tcPr>
          <w:p>
            <w:pPr>
              <w:pStyle w:val="TableParagraph"/>
              <w:rPr>
                <w:rFonts w:ascii="Times New Roman"/>
                <w:sz w:val="20"/>
              </w:rPr>
            </w:pPr>
          </w:p>
        </w:tc>
        <w:tc>
          <w:tcPr>
            <w:tcW w:w="5737" w:type="dxa"/>
            <w:tcBorders>
              <w:left w:val="single" w:sz="6" w:space="0" w:color="000000"/>
              <w:bottom w:val="single" w:sz="6" w:space="0" w:color="000000"/>
              <w:right w:val="single" w:sz="6" w:space="0" w:color="000000"/>
            </w:tcBorders>
          </w:tcPr>
          <w:p>
            <w:pPr>
              <w:pStyle w:val="TableParagraph"/>
              <w:spacing w:line="556" w:lineRule="auto" w:before="162"/>
              <w:ind w:left="99" w:right="77"/>
              <w:jc w:val="both"/>
              <w:rPr>
                <w:rFonts w:ascii="hakuyoxingshu7000" w:eastAsia="hakuyoxingshu7000" w:hint="eastAsia"/>
                <w:sz w:val="21"/>
              </w:rPr>
            </w:pPr>
            <w:r>
              <w:rPr>
                <w:rFonts w:ascii="hakuyoxingshu7000" w:eastAsia="hakuyoxingshu7000" w:hint="eastAsia"/>
                <w:color w:val="0000FF"/>
                <w:sz w:val="21"/>
              </w:rPr>
              <w:t>安全管理人员（</w:t>
            </w:r>
            <w:r>
              <w:rPr>
                <w:rFonts w:ascii="hakuyoxingshu7000" w:eastAsia="hakuyoxingshu7000" w:hint="eastAsia"/>
                <w:color w:val="0000FF"/>
                <w:spacing w:val="2"/>
                <w:sz w:val="21"/>
              </w:rPr>
              <w:t>专职安全员</w:t>
            </w:r>
            <w:r>
              <w:rPr>
                <w:rFonts w:ascii="hakuyoxingshu7000" w:eastAsia="hakuyoxingshu7000" w:hint="eastAsia"/>
                <w:color w:val="0000FF"/>
                <w:spacing w:val="-105"/>
                <w:sz w:val="21"/>
              </w:rPr>
              <w:t>）</w:t>
            </w:r>
            <w:r>
              <w:rPr>
                <w:rFonts w:ascii="hakuyoxingshu7000" w:eastAsia="hakuyoxingshu7000" w:hint="eastAsia"/>
                <w:color w:val="0000FF"/>
                <w:sz w:val="21"/>
              </w:rPr>
              <w:t>、质量管理人员</w:t>
            </w:r>
            <w:r>
              <w:rPr>
                <w:rFonts w:ascii="hakuyoxingshu7000" w:eastAsia="hakuyoxingshu7000" w:hint="eastAsia"/>
                <w:color w:val="0000FF"/>
                <w:spacing w:val="15"/>
                <w:sz w:val="21"/>
              </w:rPr>
              <w:t>（</w:t>
            </w:r>
            <w:r>
              <w:rPr>
                <w:rFonts w:ascii="hakuyoxingshu7000" w:eastAsia="hakuyoxingshu7000" w:hint="eastAsia"/>
                <w:color w:val="0000FF"/>
                <w:sz w:val="21"/>
              </w:rPr>
              <w:t>质检员</w:t>
            </w:r>
            <w:r>
              <w:rPr>
                <w:rFonts w:ascii="hakuyoxingshu7000" w:eastAsia="hakuyoxingshu7000" w:hint="eastAsia"/>
                <w:color w:val="0000FF"/>
                <w:spacing w:val="-105"/>
                <w:sz w:val="21"/>
              </w:rPr>
              <w:t>）</w:t>
            </w:r>
            <w:r>
              <w:rPr>
                <w:rFonts w:ascii="hakuyoxingshu7000" w:eastAsia="hakuyoxingshu7000" w:hint="eastAsia"/>
                <w:color w:val="0000FF"/>
                <w:sz w:val="21"/>
              </w:rPr>
              <w:t>、施工员等应提供相应的职称证书或资格证书的复印件。其中安全管理人员/n</w:t>
            </w:r>
            <w:r>
              <w:rPr>
                <w:rFonts w:ascii="hakuyoxingshu7000" w:eastAsia="hakuyoxingshu7000" w:hint="eastAsia"/>
                <w:color w:val="0000FF"/>
                <w:spacing w:val="-7"/>
                <w:sz w:val="21"/>
              </w:rPr>
              <w:t> 安全管理人员</w:t>
            </w:r>
            <w:r>
              <w:rPr>
                <w:rFonts w:ascii="hakuyoxingshu7000" w:eastAsia="hakuyoxingshu7000" w:hint="eastAsia"/>
                <w:color w:val="0000FF"/>
                <w:sz w:val="21"/>
              </w:rPr>
              <w:t>（专职安全员）具备有效的安全生产考核合格/n</w:t>
            </w:r>
            <w:r>
              <w:rPr>
                <w:rFonts w:ascii="hakuyoxingshu7000" w:eastAsia="hakuyoxingshu7000" w:hint="eastAsia"/>
                <w:color w:val="0000FF"/>
                <w:spacing w:val="2"/>
                <w:sz w:val="21"/>
              </w:rPr>
              <w:t> 证书</w:t>
            </w:r>
            <w:r>
              <w:rPr>
                <w:rFonts w:ascii="hakuyoxingshu7000" w:eastAsia="hakuyoxingshu7000" w:hint="eastAsia"/>
                <w:color w:val="0000FF"/>
                <w:sz w:val="21"/>
              </w:rPr>
              <w:t>（C</w:t>
            </w:r>
            <w:r>
              <w:rPr>
                <w:rFonts w:ascii="hakuyoxingshu7000" w:eastAsia="hakuyoxingshu7000" w:hint="eastAsia"/>
                <w:color w:val="0000FF"/>
                <w:spacing w:val="8"/>
                <w:sz w:val="21"/>
              </w:rPr>
              <w:t> 证</w:t>
            </w:r>
            <w:r>
              <w:rPr>
                <w:rFonts w:ascii="hakuyoxingshu7000" w:eastAsia="hakuyoxingshu7000" w:hint="eastAsia"/>
                <w:color w:val="0000FF"/>
                <w:spacing w:val="-105"/>
                <w:sz w:val="21"/>
              </w:rPr>
              <w:t>）</w:t>
            </w:r>
            <w:r>
              <w:rPr>
                <w:rFonts w:ascii="hakuyoxingshu7000" w:eastAsia="hakuyoxingshu7000" w:hint="eastAsia"/>
                <w:color w:val="0000FF"/>
                <w:sz w:val="21"/>
              </w:rPr>
              <w:t>。项目管理机构所有人员须提</w:t>
            </w:r>
            <w:r>
              <w:rPr>
                <w:rFonts w:ascii="hakuyoxingshu7000" w:eastAsia="hakuyoxingshu7000" w:hint="eastAsia"/>
                <w:color w:val="0000FF"/>
                <w:spacing w:val="-3"/>
                <w:sz w:val="21"/>
              </w:rPr>
              <w:t>供个人缴纳社会保险明细表或劳动合同复印件</w:t>
            </w:r>
            <w:r>
              <w:rPr>
                <w:rFonts w:ascii="hakuyoxingshu7000" w:eastAsia="hakuyoxingshu7000" w:hint="eastAsia"/>
                <w:color w:val="0000FF"/>
                <w:sz w:val="21"/>
              </w:rPr>
              <w:t>（65</w:t>
            </w:r>
            <w:r>
              <w:rPr>
                <w:rFonts w:ascii="hakuyoxingshu7000" w:eastAsia="hakuyoxingshu7000" w:hint="eastAsia"/>
                <w:color w:val="0000FF"/>
                <w:spacing w:val="3"/>
                <w:sz w:val="21"/>
              </w:rPr>
              <w:t> 岁以下的</w:t>
            </w:r>
            <w:r>
              <w:rPr>
                <w:rFonts w:ascii="hakuyoxingshu7000" w:eastAsia="hakuyoxingshu7000" w:hint="eastAsia"/>
                <w:color w:val="0000FF"/>
                <w:sz w:val="21"/>
              </w:rPr>
              <w:t>已退休人员可提供身份证、退休证或劳动合同复印件</w:t>
            </w:r>
            <w:r>
              <w:rPr>
                <w:rFonts w:ascii="hakuyoxingshu7000" w:eastAsia="hakuyoxingshu7000" w:hint="eastAsia"/>
                <w:color w:val="0000FF"/>
                <w:spacing w:val="-105"/>
                <w:sz w:val="21"/>
              </w:rPr>
              <w:t>）</w:t>
            </w:r>
            <w:r>
              <w:rPr>
                <w:rFonts w:ascii="hakuyoxingshu7000" w:eastAsia="hakuyoxingshu7000" w:hint="eastAsia"/>
                <w:color w:val="0000FF"/>
                <w:spacing w:val="-6"/>
                <w:sz w:val="21"/>
              </w:rPr>
              <w:t>。各投标人均可就本招标项目上述标段中的 1</w:t>
            </w:r>
            <w:r>
              <w:rPr>
                <w:rFonts w:ascii="hakuyoxingshu7000" w:eastAsia="hakuyoxingshu7000" w:hint="eastAsia"/>
                <w:color w:val="0000FF"/>
                <w:spacing w:val="-8"/>
                <w:sz w:val="21"/>
              </w:rPr>
              <w:t> 个标段投标，但最多</w:t>
            </w:r>
          </w:p>
          <w:p>
            <w:pPr>
              <w:pStyle w:val="TableParagraph"/>
              <w:spacing w:line="268" w:lineRule="exact"/>
              <w:ind w:left="99"/>
              <w:jc w:val="both"/>
              <w:rPr>
                <w:rFonts w:ascii="hakuyoxingshu7000" w:eastAsia="hakuyoxingshu7000" w:hint="eastAsia"/>
                <w:sz w:val="21"/>
              </w:rPr>
            </w:pPr>
            <w:r>
              <w:rPr>
                <w:rFonts w:ascii="hakuyoxingshu7000" w:eastAsia="hakuyoxingshu7000" w:hint="eastAsia"/>
                <w:color w:val="0000FF"/>
                <w:sz w:val="21"/>
              </w:rPr>
              <w:t>允许中标 1 个标/n 段</w:t>
            </w:r>
          </w:p>
        </w:tc>
      </w:tr>
      <w:tr>
        <w:trPr>
          <w:trHeight w:val="796" w:hRule="atLeast"/>
        </w:trPr>
        <w:tc>
          <w:tcPr>
            <w:tcW w:w="1171" w:type="dxa"/>
            <w:tcBorders>
              <w:top w:val="single" w:sz="6" w:space="0" w:color="000000"/>
              <w:left w:val="single" w:sz="6" w:space="0" w:color="000000"/>
              <w:bottom w:val="single" w:sz="6" w:space="0" w:color="000000"/>
            </w:tcBorders>
          </w:tcPr>
          <w:p>
            <w:pPr>
              <w:pStyle w:val="TableParagraph"/>
              <w:spacing w:before="5"/>
              <w:rPr>
                <w:rFonts w:ascii="Times New Roman"/>
                <w:sz w:val="23"/>
              </w:rPr>
            </w:pPr>
          </w:p>
          <w:p>
            <w:pPr>
              <w:pStyle w:val="TableParagraph"/>
              <w:spacing w:before="1"/>
              <w:ind w:left="320" w:right="320"/>
              <w:jc w:val="center"/>
              <w:rPr>
                <w:rFonts w:ascii="hakuyoxingshu7000"/>
                <w:sz w:val="21"/>
              </w:rPr>
            </w:pPr>
            <w:r>
              <w:rPr>
                <w:rFonts w:ascii="hakuyoxingshu7000"/>
                <w:spacing w:val="2"/>
                <w:w w:val="111"/>
                <w:sz w:val="21"/>
              </w:rPr>
              <w:t>1</w:t>
            </w:r>
            <w:r>
              <w:rPr>
                <w:rFonts w:ascii="hakuyoxingshu7000"/>
                <w:spacing w:val="1"/>
                <w:w w:val="55"/>
                <w:sz w:val="21"/>
              </w:rPr>
              <w:t>.</w:t>
            </w:r>
            <w:r>
              <w:rPr>
                <w:rFonts w:ascii="hakuyoxingshu7000"/>
                <w:spacing w:val="2"/>
                <w:w w:val="111"/>
                <w:sz w:val="21"/>
              </w:rPr>
              <w:t>4</w:t>
            </w:r>
            <w:r>
              <w:rPr>
                <w:rFonts w:ascii="hakuyoxingshu7000"/>
                <w:spacing w:val="1"/>
                <w:w w:val="55"/>
                <w:sz w:val="21"/>
              </w:rPr>
              <w:t>.</w:t>
            </w:r>
            <w:r>
              <w:rPr>
                <w:rFonts w:ascii="hakuyoxingshu7000"/>
                <w:w w:val="111"/>
                <w:sz w:val="21"/>
              </w:rPr>
              <w:t>2</w:t>
            </w:r>
          </w:p>
        </w:tc>
        <w:tc>
          <w:tcPr>
            <w:tcW w:w="2282" w:type="dxa"/>
            <w:tcBorders>
              <w:top w:val="single" w:sz="6" w:space="0" w:color="000000"/>
              <w:bottom w:val="single" w:sz="6" w:space="0" w:color="000000"/>
              <w:right w:val="single" w:sz="6" w:space="0" w:color="000000"/>
            </w:tcBorders>
          </w:tcPr>
          <w:p>
            <w:pPr>
              <w:pStyle w:val="TableParagraph"/>
              <w:spacing w:before="5"/>
              <w:rPr>
                <w:rFonts w:ascii="Times New Roman"/>
                <w:sz w:val="23"/>
              </w:rPr>
            </w:pPr>
          </w:p>
          <w:p>
            <w:pPr>
              <w:pStyle w:val="TableParagraph"/>
              <w:spacing w:before="1"/>
              <w:ind w:left="1"/>
              <w:jc w:val="center"/>
              <w:rPr>
                <w:rFonts w:ascii="hakuyoxingshu7000" w:eastAsia="hakuyoxingshu7000" w:hint="eastAsia"/>
                <w:sz w:val="21"/>
              </w:rPr>
            </w:pPr>
            <w:r>
              <w:rPr>
                <w:rFonts w:ascii="hakuyoxingshu7000" w:eastAsia="hakuyoxingshu7000" w:hint="eastAsia"/>
                <w:sz w:val="21"/>
              </w:rPr>
              <w:t>是否接受联合体投标</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390" w:lineRule="exact" w:before="3"/>
              <w:ind w:left="99" w:right="2286"/>
              <w:rPr>
                <w:rFonts w:ascii="hakuyoxingshu7000" w:hAnsi="hakuyoxingshu7000" w:eastAsia="hakuyoxingshu7000" w:hint="eastAsia"/>
                <w:sz w:val="21"/>
              </w:rPr>
            </w:pPr>
            <w:r>
              <w:rPr>
                <w:rFonts w:ascii="Times New Roman" w:hAnsi="Times New Roman" w:eastAsia="Times New Roman"/>
                <w:color w:val="0000FF"/>
                <w:spacing w:val="-53"/>
                <w:sz w:val="21"/>
                <w:shd w:fill="FFFFFF" w:color="auto" w:val="clear"/>
              </w:rPr>
              <w:t> </w:t>
            </w:r>
            <w:r>
              <w:rPr>
                <w:rFonts w:ascii="hakuyoxingshu7000" w:hAnsi="hakuyoxingshu7000" w:eastAsia="hakuyoxingshu7000" w:hint="eastAsia"/>
                <w:color w:val="0000FF"/>
                <w:spacing w:val="-3"/>
                <w:w w:val="95"/>
                <w:sz w:val="21"/>
                <w:shd w:fill="FFFFFF" w:color="auto" w:val="clear"/>
              </w:rPr>
              <w:t>☑不接受□接受，应满足下列要求： </w:t>
            </w:r>
            <w:r>
              <w:rPr>
                <w:rFonts w:ascii="hakuyoxingshu7000" w:hAnsi="hakuyoxingshu7000" w:eastAsia="hakuyoxingshu7000" w:hint="eastAsia"/>
                <w:spacing w:val="-3"/>
                <w:sz w:val="21"/>
              </w:rPr>
              <w:t>应满足下列要求</w:t>
            </w:r>
            <w:r>
              <w:rPr>
                <w:rFonts w:ascii="hakuyoxingshu7000" w:hAnsi="hakuyoxingshu7000" w:eastAsia="hakuyoxingshu7000" w:hint="eastAsia"/>
                <w:spacing w:val="-3"/>
                <w:w w:val="85"/>
                <w:sz w:val="21"/>
              </w:rPr>
              <w:t>:</w:t>
            </w:r>
            <w:r>
              <w:rPr>
                <w:rFonts w:ascii="hakuyoxingshu7000" w:hAnsi="hakuyoxingshu7000" w:eastAsia="hakuyoxingshu7000" w:hint="eastAsia"/>
                <w:color w:val="0000FF"/>
                <w:spacing w:val="-3"/>
                <w:w w:val="85"/>
                <w:sz w:val="21"/>
              </w:rPr>
              <w:t>/</w:t>
            </w:r>
          </w:p>
        </w:tc>
      </w:tr>
      <w:tr>
        <w:trPr>
          <w:trHeight w:val="3122"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40"/>
              </w:rPr>
            </w:pPr>
          </w:p>
          <w:p>
            <w:pPr>
              <w:pStyle w:val="TableParagraph"/>
              <w:ind w:left="320" w:right="320"/>
              <w:jc w:val="center"/>
              <w:rPr>
                <w:rFonts w:ascii="hakuyoxingshu7000"/>
                <w:sz w:val="21"/>
              </w:rPr>
            </w:pPr>
            <w:r>
              <w:rPr>
                <w:rFonts w:ascii="hakuyoxingshu7000"/>
                <w:sz w:val="21"/>
              </w:rPr>
              <w:t>1.9</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40"/>
              </w:rPr>
            </w:pPr>
          </w:p>
          <w:p>
            <w:pPr>
              <w:pStyle w:val="TableParagraph"/>
              <w:jc w:val="center"/>
              <w:rPr>
                <w:rFonts w:ascii="hakuyoxingshu7000" w:eastAsia="hakuyoxingshu7000" w:hint="eastAsia"/>
                <w:sz w:val="21"/>
              </w:rPr>
            </w:pPr>
            <w:r>
              <w:rPr>
                <w:rFonts w:ascii="hakuyoxingshu7000" w:eastAsia="hakuyoxingshu7000" w:hint="eastAsia"/>
                <w:sz w:val="21"/>
              </w:rPr>
              <w:t>踏勘现场</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tabs>
                <w:tab w:pos="955" w:val="left" w:leader="none"/>
              </w:tabs>
              <w:spacing w:line="549" w:lineRule="auto" w:before="180"/>
              <w:ind w:left="1045" w:right="2022" w:hanging="946"/>
              <w:rPr>
                <w:rFonts w:ascii="hakuyoxingshu7000" w:hAnsi="hakuyoxingshu7000" w:eastAsia="hakuyoxingshu7000" w:hint="eastAsia"/>
                <w:sz w:val="21"/>
              </w:rPr>
            </w:pPr>
            <w:r>
              <w:rPr>
                <w:rFonts w:ascii="hakuyoxingshu7000" w:hAnsi="hakuyoxingshu7000" w:eastAsia="hakuyoxingshu7000" w:hint="eastAsia"/>
                <w:color w:val="0000FF"/>
                <w:spacing w:val="-7"/>
                <w:w w:val="60"/>
                <w:sz w:val="21"/>
              </w:rPr>
              <w:t>□</w:t>
            </w:r>
            <w:r>
              <w:rPr>
                <w:rFonts w:ascii="hakuyoxingshu7000" w:hAnsi="hakuyoxingshu7000" w:eastAsia="hakuyoxingshu7000" w:hint="eastAsia"/>
                <w:sz w:val="21"/>
              </w:rPr>
              <w:t>组织</w:t>
              <w:tab/>
              <w:t>踏勘时间</w:t>
            </w:r>
            <w:r>
              <w:rPr>
                <w:rFonts w:ascii="hakuyoxingshu7000" w:hAnsi="hakuyoxingshu7000" w:eastAsia="hakuyoxingshu7000" w:hint="eastAsia"/>
                <w:spacing w:val="-2"/>
                <w:sz w:val="21"/>
              </w:rPr>
              <w:t>：</w:t>
            </w:r>
            <w:r>
              <w:rPr>
                <w:rFonts w:ascii="hakuyoxingshu7000" w:hAnsi="hakuyoxingshu7000" w:eastAsia="hakuyoxingshu7000" w:hint="eastAsia"/>
                <w:color w:val="0000FF"/>
                <w:spacing w:val="3"/>
                <w:w w:val="111"/>
                <w:sz w:val="21"/>
              </w:rPr>
              <w:t>202</w:t>
            </w:r>
            <w:r>
              <w:rPr>
                <w:rFonts w:ascii="hakuyoxingshu7000" w:hAnsi="hakuyoxingshu7000" w:eastAsia="hakuyoxingshu7000" w:hint="eastAsia"/>
                <w:color w:val="0000FF"/>
                <w:spacing w:val="4"/>
                <w:w w:val="111"/>
                <w:sz w:val="21"/>
              </w:rPr>
              <w:t>0</w:t>
            </w:r>
            <w:r>
              <w:rPr>
                <w:rFonts w:ascii="hakuyoxingshu7000" w:hAnsi="hakuyoxingshu7000" w:eastAsia="hakuyoxingshu7000" w:hint="eastAsia"/>
                <w:color w:val="0000FF"/>
                <w:spacing w:val="5"/>
                <w:w w:val="66"/>
                <w:sz w:val="21"/>
              </w:rPr>
              <w:t>-</w:t>
            </w:r>
            <w:r>
              <w:rPr>
                <w:rFonts w:ascii="hakuyoxingshu7000" w:hAnsi="hakuyoxingshu7000" w:eastAsia="hakuyoxingshu7000" w:hint="eastAsia"/>
                <w:color w:val="0000FF"/>
                <w:spacing w:val="3"/>
                <w:w w:val="111"/>
                <w:sz w:val="21"/>
              </w:rPr>
              <w:t>09</w:t>
            </w:r>
            <w:r>
              <w:rPr>
                <w:rFonts w:ascii="hakuyoxingshu7000" w:hAnsi="hakuyoxingshu7000" w:eastAsia="hakuyoxingshu7000" w:hint="eastAsia"/>
                <w:color w:val="0000FF"/>
                <w:spacing w:val="5"/>
                <w:w w:val="66"/>
                <w:sz w:val="21"/>
              </w:rPr>
              <w:t>-</w:t>
            </w:r>
            <w:r>
              <w:rPr>
                <w:rFonts w:ascii="hakuyoxingshu7000" w:hAnsi="hakuyoxingshu7000" w:eastAsia="hakuyoxingshu7000" w:hint="eastAsia"/>
                <w:color w:val="0000FF"/>
                <w:spacing w:val="2"/>
                <w:w w:val="111"/>
                <w:sz w:val="21"/>
              </w:rPr>
              <w:t>2</w:t>
            </w:r>
            <w:r>
              <w:rPr>
                <w:rFonts w:ascii="hakuyoxingshu7000" w:hAnsi="hakuyoxingshu7000" w:eastAsia="hakuyoxingshu7000" w:hint="eastAsia"/>
                <w:color w:val="0000FF"/>
                <w:w w:val="111"/>
                <w:sz w:val="21"/>
              </w:rPr>
              <w:t>7</w:t>
            </w:r>
            <w:r>
              <w:rPr>
                <w:rFonts w:ascii="hakuyoxingshu7000" w:hAnsi="hakuyoxingshu7000" w:eastAsia="hakuyoxingshu7000" w:hint="eastAsia"/>
                <w:color w:val="0000FF"/>
                <w:spacing w:val="-58"/>
                <w:sz w:val="21"/>
              </w:rPr>
              <w:t> </w:t>
            </w:r>
            <w:r>
              <w:rPr>
                <w:rFonts w:ascii="hakuyoxingshu7000" w:hAnsi="hakuyoxingshu7000" w:eastAsia="hakuyoxingshu7000" w:hint="eastAsia"/>
                <w:color w:val="0000FF"/>
                <w:spacing w:val="2"/>
                <w:w w:val="111"/>
                <w:sz w:val="21"/>
              </w:rPr>
              <w:t>17</w:t>
            </w:r>
            <w:r>
              <w:rPr>
                <w:rFonts w:ascii="hakuyoxingshu7000" w:hAnsi="hakuyoxingshu7000" w:eastAsia="hakuyoxingshu7000" w:hint="eastAsia"/>
                <w:color w:val="0000FF"/>
                <w:spacing w:val="1"/>
                <w:w w:val="55"/>
                <w:sz w:val="21"/>
              </w:rPr>
              <w:t>:</w:t>
            </w:r>
            <w:r>
              <w:rPr>
                <w:rFonts w:ascii="hakuyoxingshu7000" w:hAnsi="hakuyoxingshu7000" w:eastAsia="hakuyoxingshu7000" w:hint="eastAsia"/>
                <w:color w:val="0000FF"/>
                <w:spacing w:val="2"/>
                <w:w w:val="111"/>
                <w:sz w:val="21"/>
              </w:rPr>
              <w:t>0</w:t>
            </w:r>
            <w:r>
              <w:rPr>
                <w:rFonts w:ascii="hakuyoxingshu7000" w:hAnsi="hakuyoxingshu7000" w:eastAsia="hakuyoxingshu7000" w:hint="eastAsia"/>
                <w:color w:val="0000FF"/>
                <w:w w:val="111"/>
                <w:sz w:val="21"/>
              </w:rPr>
              <w:t>0</w:t>
            </w:r>
            <w:r>
              <w:rPr>
                <w:rFonts w:ascii="hakuyoxingshu7000" w:hAnsi="hakuyoxingshu7000" w:eastAsia="hakuyoxingshu7000" w:hint="eastAsia"/>
                <w:sz w:val="21"/>
              </w:rPr>
              <w:t>踏勘集中地点：</w:t>
            </w:r>
            <w:r>
              <w:rPr>
                <w:rFonts w:ascii="hakuyoxingshu7000" w:hAnsi="hakuyoxingshu7000" w:eastAsia="hakuyoxingshu7000" w:hint="eastAsia"/>
                <w:color w:val="0000FF"/>
                <w:sz w:val="21"/>
              </w:rPr>
              <w:t>/</w:t>
            </w:r>
          </w:p>
          <w:p>
            <w:pPr>
              <w:pStyle w:val="TableParagraph"/>
              <w:spacing w:line="549" w:lineRule="auto" w:before="14"/>
              <w:ind w:left="99" w:right="77"/>
              <w:rPr>
                <w:rFonts w:ascii="hakuyoxingshu7000" w:hAnsi="hakuyoxingshu7000" w:eastAsia="hakuyoxingshu7000" w:hint="eastAsia"/>
                <w:sz w:val="21"/>
              </w:rPr>
            </w:pPr>
            <w:r>
              <w:rPr>
                <w:rFonts w:ascii="hakuyoxingshu7000" w:hAnsi="hakuyoxingshu7000" w:eastAsia="hakuyoxingshu7000" w:hint="eastAsia"/>
                <w:color w:val="0000FF"/>
                <w:spacing w:val="-5"/>
                <w:w w:val="95"/>
                <w:sz w:val="21"/>
              </w:rPr>
              <w:t>☑</w:t>
            </w:r>
            <w:r>
              <w:rPr>
                <w:rFonts w:ascii="hakuyoxingshu7000" w:hAnsi="hakuyoxingshu7000" w:eastAsia="hakuyoxingshu7000" w:hint="eastAsia"/>
                <w:spacing w:val="-9"/>
                <w:w w:val="95"/>
                <w:sz w:val="21"/>
              </w:rPr>
              <w:t>不组织，投标人自行踏勘现场，不集中组织答疑，投标人如 </w:t>
            </w:r>
            <w:r>
              <w:rPr>
                <w:rFonts w:ascii="hakuyoxingshu7000" w:hAnsi="hakuyoxingshu7000" w:eastAsia="hakuyoxingshu7000" w:hint="eastAsia"/>
                <w:spacing w:val="-13"/>
                <w:sz w:val="21"/>
              </w:rPr>
              <w:t>有疑问请于 </w:t>
            </w:r>
            <w:r>
              <w:rPr>
                <w:rFonts w:ascii="hakuyoxingshu7000" w:hAnsi="hakuyoxingshu7000" w:eastAsia="hakuyoxingshu7000" w:hint="eastAsia"/>
                <w:color w:val="0000FF"/>
                <w:sz w:val="21"/>
              </w:rPr>
              <w:t>2020-09-27 17 </w:t>
            </w:r>
            <w:r>
              <w:rPr>
                <w:rFonts w:ascii="hakuyoxingshu7000" w:hAnsi="hakuyoxingshu7000" w:eastAsia="hakuyoxingshu7000" w:hint="eastAsia"/>
                <w:sz w:val="21"/>
              </w:rPr>
              <w:t>时前，通过《青海省电子招投标</w:t>
            </w:r>
          </w:p>
          <w:p>
            <w:pPr>
              <w:pStyle w:val="TableParagraph"/>
              <w:spacing w:before="13"/>
              <w:ind w:left="99"/>
              <w:rPr>
                <w:rFonts w:ascii="hakuyoxingshu7000" w:eastAsia="hakuyoxingshu7000" w:hint="eastAsia"/>
                <w:sz w:val="21"/>
              </w:rPr>
            </w:pPr>
            <w:r>
              <w:rPr>
                <w:rFonts w:ascii="hakuyoxingshu7000" w:eastAsia="hakuyoxingshu7000" w:hint="eastAsia"/>
                <w:sz w:val="21"/>
              </w:rPr>
              <w:t>公共服务平台电子招投标系统》中的网上提问菜单提出。</w:t>
            </w:r>
          </w:p>
        </w:tc>
      </w:tr>
      <w:tr>
        <w:trPr>
          <w:trHeight w:val="2387"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8"/>
              <w:rPr>
                <w:rFonts w:ascii="Times New Roman"/>
                <w:sz w:val="36"/>
              </w:rPr>
            </w:pPr>
          </w:p>
          <w:p>
            <w:pPr>
              <w:pStyle w:val="TableParagraph"/>
              <w:ind w:left="320" w:right="318"/>
              <w:jc w:val="center"/>
              <w:rPr>
                <w:rFonts w:ascii="hakuyoxingshu7000"/>
                <w:sz w:val="21"/>
              </w:rPr>
            </w:pPr>
            <w:r>
              <w:rPr>
                <w:rFonts w:ascii="hakuyoxingshu7000"/>
                <w:sz w:val="21"/>
                <w:shd w:fill="FFFFFF" w:color="auto" w:val="clear"/>
              </w:rPr>
              <w:t>1.11</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8"/>
              <w:rPr>
                <w:rFonts w:ascii="Times New Roman"/>
                <w:sz w:val="36"/>
              </w:rPr>
            </w:pPr>
          </w:p>
          <w:p>
            <w:pPr>
              <w:pStyle w:val="TableParagraph"/>
              <w:jc w:val="center"/>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分包</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90"/>
              <w:ind w:left="99"/>
              <w:rPr>
                <w:rFonts w:ascii="hakuyoxingshu7000" w:hAnsi="hakuyoxingshu7000" w:eastAsia="hakuyoxingshu7000" w:hint="eastAsia"/>
                <w:sz w:val="21"/>
              </w:rPr>
            </w:pPr>
            <w:r>
              <w:rPr>
                <w:rFonts w:ascii="hakuyoxingshu7000" w:hAnsi="hakuyoxingshu7000" w:eastAsia="hakuyoxingshu7000" w:hint="eastAsia"/>
                <w:color w:val="0000FF"/>
                <w:w w:val="90"/>
                <w:sz w:val="21"/>
              </w:rPr>
              <w:t>□</w:t>
            </w:r>
            <w:r>
              <w:rPr>
                <w:rFonts w:ascii="hakuyoxingshu7000" w:hAnsi="hakuyoxingshu7000" w:eastAsia="hakuyoxingshu7000" w:hint="eastAsia"/>
                <w:sz w:val="21"/>
              </w:rPr>
              <w:t>允许</w:t>
            </w:r>
          </w:p>
          <w:p>
            <w:pPr>
              <w:pStyle w:val="TableParagraph"/>
              <w:spacing w:line="362" w:lineRule="auto" w:before="136"/>
              <w:ind w:left="99" w:right="4091"/>
              <w:rPr>
                <w:rFonts w:ascii="hakuyoxingshu7000" w:eastAsia="hakuyoxingshu7000" w:hint="eastAsia"/>
                <w:sz w:val="21"/>
              </w:rPr>
            </w:pPr>
            <w:r>
              <w:rPr>
                <w:rFonts w:ascii="hakuyoxingshu7000" w:eastAsia="hakuyoxingshu7000" w:hint="eastAsia"/>
                <w:w w:val="95"/>
                <w:sz w:val="21"/>
              </w:rPr>
              <w:t>分包内容要求：</w:t>
            </w:r>
            <w:r>
              <w:rPr>
                <w:rFonts w:ascii="hakuyoxingshu7000" w:eastAsia="hakuyoxingshu7000" w:hint="eastAsia"/>
                <w:color w:val="0000FF"/>
                <w:w w:val="95"/>
                <w:sz w:val="21"/>
              </w:rPr>
              <w:t>/ </w:t>
            </w:r>
            <w:r>
              <w:rPr>
                <w:rFonts w:ascii="hakuyoxingshu7000" w:eastAsia="hakuyoxingshu7000" w:hint="eastAsia"/>
                <w:w w:val="95"/>
                <w:sz w:val="21"/>
              </w:rPr>
              <w:t>分包金额要求：</w:t>
            </w:r>
            <w:r>
              <w:rPr>
                <w:rFonts w:ascii="hakuyoxingshu7000" w:eastAsia="hakuyoxingshu7000" w:hint="eastAsia"/>
                <w:color w:val="0000FF"/>
                <w:w w:val="95"/>
                <w:sz w:val="21"/>
              </w:rPr>
              <w:t>/</w:t>
            </w:r>
          </w:p>
          <w:p>
            <w:pPr>
              <w:pStyle w:val="TableParagraph"/>
              <w:spacing w:line="253" w:lineRule="exact"/>
              <w:ind w:left="99"/>
              <w:rPr>
                <w:rFonts w:ascii="hakuyoxingshu7000" w:eastAsia="hakuyoxingshu7000" w:hint="eastAsia"/>
                <w:sz w:val="21"/>
              </w:rPr>
            </w:pPr>
            <w:r>
              <w:rPr>
                <w:rFonts w:ascii="hakuyoxingshu7000" w:eastAsia="hakuyoxingshu7000" w:hint="eastAsia"/>
                <w:sz w:val="21"/>
              </w:rPr>
              <w:t>接受分包的第三人资质要求：</w:t>
            </w:r>
          </w:p>
          <w:p>
            <w:pPr>
              <w:pStyle w:val="TableParagraph"/>
              <w:spacing w:before="136"/>
              <w:ind w:left="99"/>
              <w:rPr>
                <w:rFonts w:ascii="hakuyoxingshu7000"/>
                <w:sz w:val="21"/>
              </w:rPr>
            </w:pPr>
            <w:r>
              <w:rPr>
                <w:rFonts w:ascii="hakuyoxingshu7000"/>
                <w:color w:val="0000FF"/>
                <w:w w:val="55"/>
                <w:sz w:val="21"/>
              </w:rPr>
              <w:t>/</w:t>
            </w:r>
          </w:p>
          <w:p>
            <w:pPr>
              <w:pStyle w:val="TableParagraph"/>
              <w:spacing w:line="265" w:lineRule="exact" w:before="136"/>
              <w:ind w:left="99"/>
              <w:rPr>
                <w:rFonts w:ascii="hakuyoxingshu7000" w:hAnsi="hakuyoxingshu7000" w:eastAsia="hakuyoxingshu7000" w:hint="eastAsia"/>
                <w:sz w:val="21"/>
              </w:rPr>
            </w:pPr>
            <w:r>
              <w:rPr>
                <w:rFonts w:ascii="hakuyoxingshu7000" w:hAnsi="hakuyoxingshu7000" w:eastAsia="hakuyoxingshu7000" w:hint="eastAsia"/>
                <w:color w:val="0000FF"/>
                <w:sz w:val="21"/>
              </w:rPr>
              <w:t>☑</w:t>
            </w:r>
            <w:r>
              <w:rPr>
                <w:rFonts w:ascii="hakuyoxingshu7000" w:hAnsi="hakuyoxingshu7000" w:eastAsia="hakuyoxingshu7000" w:hint="eastAsia"/>
                <w:sz w:val="21"/>
              </w:rPr>
              <w:t>不允许</w:t>
            </w:r>
          </w:p>
        </w:tc>
      </w:tr>
      <w:tr>
        <w:trPr>
          <w:trHeight w:val="1246"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4"/>
              <w:ind w:left="320" w:right="318"/>
              <w:jc w:val="center"/>
              <w:rPr>
                <w:rFonts w:ascii="hakuyoxingshu7000"/>
                <w:sz w:val="21"/>
              </w:rPr>
            </w:pPr>
            <w:r>
              <w:rPr>
                <w:rFonts w:ascii="hakuyoxingshu7000"/>
                <w:sz w:val="21"/>
              </w:rPr>
              <w:t>1.12</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spacing w:before="174"/>
              <w:jc w:val="center"/>
              <w:rPr>
                <w:rFonts w:ascii="hakuyoxingshu7000" w:eastAsia="hakuyoxingshu7000" w:hint="eastAsia"/>
                <w:sz w:val="21"/>
              </w:rPr>
            </w:pPr>
            <w:r>
              <w:rPr>
                <w:rFonts w:ascii="hakuyoxingshu7000" w:eastAsia="hakuyoxingshu7000" w:hint="eastAsia"/>
                <w:sz w:val="21"/>
              </w:rPr>
              <w:t>偏离</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Pr>
                <w:rFonts w:ascii="hakuyoxingshu7000" w:hAnsi="hakuyoxingshu7000" w:eastAsia="hakuyoxingshu7000" w:hint="eastAsia"/>
                <w:sz w:val="21"/>
              </w:rPr>
            </w:pPr>
            <w:r>
              <w:rPr>
                <w:rFonts w:ascii="hakuyoxingshu7000" w:hAnsi="hakuyoxingshu7000" w:eastAsia="hakuyoxingshu7000" w:hint="eastAsia"/>
                <w:color w:val="0000FF"/>
                <w:sz w:val="21"/>
              </w:rPr>
              <w:t>☑</w:t>
            </w:r>
            <w:r>
              <w:rPr>
                <w:rFonts w:ascii="hakuyoxingshu7000" w:hAnsi="hakuyoxingshu7000" w:eastAsia="hakuyoxingshu7000" w:hint="eastAsia"/>
                <w:sz w:val="21"/>
              </w:rPr>
              <w:t>不允许</w:t>
            </w:r>
          </w:p>
          <w:p>
            <w:pPr>
              <w:pStyle w:val="TableParagraph"/>
              <w:spacing w:before="5"/>
              <w:rPr>
                <w:rFonts w:ascii="Times New Roman"/>
                <w:sz w:val="31"/>
              </w:rPr>
            </w:pPr>
          </w:p>
          <w:p>
            <w:pPr>
              <w:pStyle w:val="TableParagraph"/>
              <w:ind w:left="99"/>
              <w:rPr>
                <w:sz w:val="21"/>
              </w:rPr>
            </w:pPr>
            <w:r>
              <w:rPr>
                <w:rFonts w:ascii="hakuyoxingshu7000" w:hAnsi="hakuyoxingshu7000" w:eastAsia="hakuyoxingshu7000" w:hint="eastAsia"/>
                <w:color w:val="0000FF"/>
                <w:w w:val="90"/>
                <w:sz w:val="21"/>
              </w:rPr>
              <w:t>□</w:t>
            </w:r>
            <w:r>
              <w:rPr>
                <w:rFonts w:ascii="hakuyoxingshu7000" w:hAnsi="hakuyoxingshu7000" w:eastAsia="hakuyoxingshu7000" w:hint="eastAsia"/>
                <w:sz w:val="21"/>
              </w:rPr>
              <w:t>允许，偏离允许幅度及其处理方法：</w:t>
            </w:r>
            <w:r>
              <w:rPr>
                <w:color w:val="0000FF"/>
                <w:sz w:val="21"/>
              </w:rPr>
              <w:t>/</w:t>
            </w:r>
          </w:p>
        </w:tc>
      </w:tr>
      <w:tr>
        <w:trPr>
          <w:trHeight w:val="1246"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3"/>
              <w:ind w:left="319" w:right="320"/>
              <w:jc w:val="center"/>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spacing w:before="180"/>
              <w:ind w:left="1"/>
              <w:jc w:val="center"/>
              <w:rPr>
                <w:rFonts w:ascii="hakuyoxingshu7000" w:eastAsia="hakuyoxingshu7000" w:hint="eastAsia"/>
                <w:sz w:val="21"/>
              </w:rPr>
            </w:pPr>
            <w:r>
              <w:rPr>
                <w:rFonts w:ascii="hakuyoxingshu7000" w:eastAsia="hakuyoxingshu7000" w:hint="eastAsia"/>
                <w:sz w:val="21"/>
              </w:rPr>
              <w:t>构成招标文件的其他</w:t>
            </w:r>
          </w:p>
          <w:p>
            <w:pPr>
              <w:pStyle w:val="TableParagraph"/>
              <w:spacing w:before="1"/>
              <w:rPr>
                <w:rFonts w:ascii="Times New Roman"/>
                <w:sz w:val="30"/>
              </w:rPr>
            </w:pPr>
          </w:p>
          <w:p>
            <w:pPr>
              <w:pStyle w:val="TableParagraph"/>
              <w:jc w:val="center"/>
              <w:rPr>
                <w:rFonts w:ascii="hakuyoxingshu7000" w:eastAsia="hakuyoxingshu7000" w:hint="eastAsia"/>
                <w:sz w:val="21"/>
              </w:rPr>
            </w:pPr>
            <w:r>
              <w:rPr>
                <w:rFonts w:ascii="hakuyoxingshu7000" w:eastAsia="hakuyoxingshu7000" w:hint="eastAsia"/>
                <w:sz w:val="21"/>
              </w:rPr>
              <w:t>材料</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362" w:lineRule="auto" w:before="105"/>
              <w:ind w:left="99" w:right="103"/>
              <w:rPr>
                <w:rFonts w:ascii="hakuyoxingshu7000" w:eastAsia="hakuyoxingshu7000" w:hint="eastAsia"/>
                <w:sz w:val="21"/>
              </w:rPr>
            </w:pPr>
            <w:r>
              <w:rPr>
                <w:rFonts w:ascii="hakuyoxingshu7000" w:eastAsia="hakuyoxingshu7000" w:hint="eastAsia"/>
                <w:sz w:val="21"/>
              </w:rPr>
              <w:t>招标人在《青海省电子招投标公共服务平台》发布的答疑澄清文件及补遗等。</w:t>
            </w:r>
          </w:p>
        </w:tc>
      </w:tr>
    </w:tbl>
    <w:p>
      <w:pPr>
        <w:spacing w:after="0" w:line="362" w:lineRule="auto"/>
        <w:rPr>
          <w:rFonts w:ascii="hakuyoxingshu7000" w:eastAsia="hakuyoxingshu7000" w:hint="eastAsia"/>
          <w:sz w:val="21"/>
        </w:rPr>
        <w:sectPr>
          <w:pgSz w:w="11910" w:h="16850"/>
          <w:pgMar w:header="911" w:footer="0" w:top="1380" w:bottom="280" w:left="1200" w:right="0"/>
        </w:sectPr>
      </w:pPr>
    </w:p>
    <w:p>
      <w:pPr>
        <w:pStyle w:val="BodyText"/>
        <w:spacing w:before="10"/>
        <w:rPr>
          <w:rFonts w:ascii="Times New Roman"/>
          <w:sz w:val="3"/>
        </w:rPr>
      </w:pPr>
      <w:r>
        <w:rPr/>
        <w:pict>
          <v:group style="position:absolute;margin-left:78.170998pt;margin-top:196.675003pt;width:445.3pt;height:440.95pt;mso-position-horizontal-relative:page;mso-position-vertical-relative:page;z-index:-268640256" coordorigin="1563,3934" coordsize="8906,8819">
            <v:shape style="position:absolute;left:1563;top:4099;width:8786;height:8653" type="#_x0000_t75" stroked="false">
              <v:imagedata r:id="rId6" o:title=""/>
            </v:shape>
            <v:shape style="position:absolute;left:2748;top:3933;width:7720;height:7717" coordorigin="2749,3934" coordsize="7720,7717" path="m4115,11140l3274,11140,3274,11650,4115,11650,4115,11140m4641,10509l2749,10509,2749,11020,4641,11020,4641,10509m7660,7702l4942,7702,4942,8197,7660,8197,7660,7702m10469,9578l4942,9578,4942,10089,10469,10089,10469,9578m10469,8948l4942,8948,4942,9444,10469,9444,10469,8948m10469,8317l4942,8317,4942,8827,10469,8827,10469,8317m10469,7071l4942,7071,4942,7582,10469,7582,10469,7071m10469,6440l4942,6440,4942,6951,10469,6951,10469,6440m10469,5825l4942,5825,4942,6321,10469,6321,10469,5825m10469,3934l4942,3934,4942,4429,10469,4429,10469,3934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3735" w:hRule="atLeast"/>
        </w:trPr>
        <w:tc>
          <w:tcPr>
            <w:tcW w:w="1171" w:type="dxa"/>
            <w:tcBorders>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10"/>
              <w:rPr>
                <w:rFonts w:ascii="Times New Roman"/>
                <w:sz w:val="37"/>
              </w:rPr>
            </w:pPr>
          </w:p>
          <w:p>
            <w:pPr>
              <w:pStyle w:val="TableParagraph"/>
              <w:ind w:right="338"/>
              <w:jc w:val="right"/>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1</w:t>
            </w:r>
          </w:p>
        </w:tc>
        <w:tc>
          <w:tcPr>
            <w:tcW w:w="2282" w:type="dxa"/>
            <w:tcBorders>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5"/>
              <w:rPr>
                <w:rFonts w:ascii="Times New Roman"/>
                <w:sz w:val="38"/>
              </w:rPr>
            </w:pPr>
          </w:p>
          <w:p>
            <w:pPr>
              <w:pStyle w:val="TableParagraph"/>
              <w:spacing w:line="561" w:lineRule="auto"/>
              <w:ind w:left="396" w:right="182" w:hanging="211"/>
              <w:rPr>
                <w:rFonts w:ascii="hakuyoxingshu7000" w:eastAsia="hakuyoxingshu7000" w:hint="eastAsia"/>
                <w:sz w:val="21"/>
              </w:rPr>
            </w:pPr>
            <w:r>
              <w:rPr>
                <w:rFonts w:ascii="hakuyoxingshu7000" w:eastAsia="hakuyoxingshu7000" w:hint="eastAsia"/>
                <w:sz w:val="21"/>
              </w:rPr>
              <w:t>投标人要求澄清招标文件的截止时间</w:t>
            </w:r>
          </w:p>
        </w:tc>
        <w:tc>
          <w:tcPr>
            <w:tcW w:w="5737" w:type="dxa"/>
            <w:tcBorders>
              <w:left w:val="single" w:sz="6" w:space="0" w:color="000000"/>
              <w:bottom w:val="single" w:sz="6" w:space="0" w:color="000000"/>
              <w:right w:val="single" w:sz="6" w:space="0" w:color="000000"/>
            </w:tcBorders>
          </w:tcPr>
          <w:p>
            <w:pPr>
              <w:pStyle w:val="TableParagraph"/>
              <w:spacing w:line="559" w:lineRule="auto" w:before="162"/>
              <w:ind w:left="99" w:right="-29"/>
              <w:rPr>
                <w:rFonts w:ascii="hakuyoxingshu7000" w:eastAsia="hakuyoxingshu7000" w:hint="eastAsia"/>
                <w:sz w:val="21"/>
              </w:rPr>
            </w:pPr>
            <w:r>
              <w:rPr>
                <w:rFonts w:ascii="hakuyoxingshu7000" w:eastAsia="hakuyoxingshu7000" w:hint="eastAsia"/>
                <w:spacing w:val="-4"/>
                <w:sz w:val="21"/>
              </w:rPr>
              <w:t>投标人在下载招标文件后，应仔细检查招标文件的所有内容， </w:t>
            </w:r>
            <w:r>
              <w:rPr>
                <w:rFonts w:ascii="hakuyoxingshu7000" w:eastAsia="hakuyoxingshu7000" w:hint="eastAsia"/>
                <w:spacing w:val="-1"/>
                <w:sz w:val="21"/>
              </w:rPr>
              <w:t>如有疑问或图纸中标注不明以及存在错、碰、漏、缺、概念</w:t>
            </w:r>
            <w:r>
              <w:rPr>
                <w:rFonts w:ascii="hakuyoxingshu7000" w:eastAsia="hakuyoxingshu7000" w:hint="eastAsia"/>
                <w:sz w:val="21"/>
              </w:rPr>
              <w:t>模糊或有可能出现歧义理解上的偏差的内容等应当在投标截</w:t>
            </w:r>
            <w:r>
              <w:rPr>
                <w:rFonts w:ascii="hakuyoxingshu7000" w:eastAsia="hakuyoxingshu7000" w:hint="eastAsia"/>
                <w:spacing w:val="-10"/>
                <w:sz w:val="21"/>
              </w:rPr>
              <w:t>止时间 </w:t>
            </w:r>
            <w:r>
              <w:rPr>
                <w:rFonts w:ascii="hakuyoxingshu7000" w:eastAsia="hakuyoxingshu7000" w:hint="eastAsia"/>
                <w:sz w:val="21"/>
              </w:rPr>
              <w:t>15</w:t>
            </w:r>
            <w:r>
              <w:rPr>
                <w:rFonts w:ascii="hakuyoxingshu7000" w:eastAsia="hakuyoxingshu7000" w:hint="eastAsia"/>
                <w:spacing w:val="-11"/>
                <w:sz w:val="21"/>
              </w:rPr>
              <w:t> 日前通过《青海省电子招投标公共服务平台》电子</w:t>
            </w:r>
            <w:r>
              <w:rPr>
                <w:rFonts w:ascii="hakuyoxingshu7000" w:eastAsia="hakuyoxingshu7000" w:hint="eastAsia"/>
                <w:spacing w:val="-6"/>
                <w:sz w:val="21"/>
              </w:rPr>
              <w:t>招投标系统中的网上提问菜单提出，并通知招标人</w:t>
            </w:r>
            <w:r>
              <w:rPr>
                <w:rFonts w:ascii="hakuyoxingshu7000" w:eastAsia="hakuyoxingshu7000" w:hint="eastAsia"/>
                <w:sz w:val="21"/>
              </w:rPr>
              <w:t>（代理机</w:t>
            </w:r>
          </w:p>
          <w:p>
            <w:pPr>
              <w:pStyle w:val="TableParagraph"/>
              <w:spacing w:line="257" w:lineRule="exact"/>
              <w:ind w:left="99"/>
              <w:rPr>
                <w:rFonts w:ascii="hakuyoxingshu7000" w:eastAsia="hakuyoxingshu7000" w:hint="eastAsia"/>
                <w:sz w:val="21"/>
              </w:rPr>
            </w:pPr>
            <w:r>
              <w:rPr>
                <w:rFonts w:ascii="hakuyoxingshu7000" w:eastAsia="hakuyoxingshu7000" w:hint="eastAsia"/>
                <w:sz w:val="21"/>
              </w:rPr>
              <w:t>构）。</w:t>
            </w:r>
          </w:p>
        </w:tc>
      </w:tr>
      <w:tr>
        <w:trPr>
          <w:trHeight w:val="615" w:hRule="atLeast"/>
        </w:trPr>
        <w:tc>
          <w:tcPr>
            <w:tcW w:w="1171" w:type="dxa"/>
            <w:tcBorders>
              <w:top w:val="single" w:sz="6" w:space="0" w:color="000000"/>
              <w:left w:val="single" w:sz="6" w:space="0" w:color="000000"/>
              <w:bottom w:val="single" w:sz="6" w:space="0" w:color="000000"/>
            </w:tcBorders>
          </w:tcPr>
          <w:p>
            <w:pPr>
              <w:pStyle w:val="TableParagraph"/>
              <w:spacing w:before="165"/>
              <w:ind w:right="338"/>
              <w:jc w:val="right"/>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2</w:t>
            </w:r>
          </w:p>
        </w:tc>
        <w:tc>
          <w:tcPr>
            <w:tcW w:w="2282" w:type="dxa"/>
            <w:tcBorders>
              <w:top w:val="single" w:sz="6" w:space="0" w:color="000000"/>
              <w:bottom w:val="single" w:sz="6" w:space="0" w:color="000000"/>
              <w:right w:val="single" w:sz="6" w:space="0" w:color="000000"/>
            </w:tcBorders>
          </w:tcPr>
          <w:p>
            <w:pPr>
              <w:pStyle w:val="TableParagraph"/>
              <w:spacing w:before="165"/>
              <w:ind w:left="501"/>
              <w:rPr>
                <w:rFonts w:ascii="hakuyoxingshu7000" w:eastAsia="hakuyoxingshu7000" w:hint="eastAsia"/>
                <w:sz w:val="21"/>
              </w:rPr>
            </w:pPr>
            <w:r>
              <w:rPr>
                <w:rFonts w:ascii="hakuyoxingshu7000" w:eastAsia="hakuyoxingshu7000" w:hint="eastAsia"/>
                <w:sz w:val="21"/>
              </w:rPr>
              <w:t>投标截止时间</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65"/>
              <w:ind w:left="99"/>
              <w:rPr>
                <w:rFonts w:ascii="hakuyoxingshu7000" w:eastAsia="hakuyoxingshu7000" w:hint="eastAsia"/>
                <w:sz w:val="21"/>
              </w:rPr>
            </w:pPr>
            <w:r>
              <w:rPr>
                <w:rFonts w:ascii="hakuyoxingshu7000" w:eastAsia="hakuyoxingshu7000" w:hint="eastAsia"/>
                <w:color w:val="0000FF"/>
                <w:spacing w:val="3"/>
                <w:w w:val="105"/>
                <w:sz w:val="21"/>
              </w:rPr>
              <w:t>2020-10-12</w:t>
            </w:r>
            <w:r>
              <w:rPr>
                <w:rFonts w:ascii="hakuyoxingshu7000" w:eastAsia="hakuyoxingshu7000" w:hint="eastAsia"/>
                <w:color w:val="0000FF"/>
                <w:spacing w:val="-64"/>
                <w:w w:val="105"/>
                <w:sz w:val="21"/>
              </w:rPr>
              <w:t> </w:t>
            </w:r>
            <w:r>
              <w:rPr>
                <w:rFonts w:ascii="hakuyoxingshu7000" w:eastAsia="hakuyoxingshu7000" w:hint="eastAsia"/>
                <w:color w:val="0000FF"/>
                <w:spacing w:val="2"/>
                <w:w w:val="105"/>
                <w:sz w:val="21"/>
              </w:rPr>
              <w:t>09：00</w:t>
            </w:r>
          </w:p>
        </w:tc>
      </w:tr>
      <w:tr>
        <w:trPr>
          <w:trHeight w:val="3738"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5"/>
              <w:rPr>
                <w:rFonts w:ascii="Times New Roman"/>
                <w:sz w:val="39"/>
              </w:rPr>
            </w:pPr>
          </w:p>
          <w:p>
            <w:pPr>
              <w:pStyle w:val="TableParagraph"/>
              <w:ind w:right="338"/>
              <w:jc w:val="right"/>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3</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40"/>
              </w:rPr>
            </w:pPr>
          </w:p>
          <w:p>
            <w:pPr>
              <w:pStyle w:val="TableParagraph"/>
              <w:spacing w:line="561" w:lineRule="auto"/>
              <w:ind w:left="921" w:right="182" w:hanging="736"/>
              <w:rPr>
                <w:rFonts w:ascii="hakuyoxingshu7000" w:eastAsia="hakuyoxingshu7000" w:hint="eastAsia"/>
                <w:sz w:val="21"/>
              </w:rPr>
            </w:pPr>
            <w:r>
              <w:rPr>
                <w:rFonts w:ascii="hakuyoxingshu7000" w:eastAsia="hakuyoxingshu7000" w:hint="eastAsia"/>
                <w:sz w:val="21"/>
              </w:rPr>
              <w:t>招标文件澄清发出的形式</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556" w:lineRule="auto" w:before="180"/>
              <w:ind w:left="99" w:right="92"/>
              <w:jc w:val="both"/>
              <w:rPr>
                <w:rFonts w:ascii="hakuyoxingshu7000" w:eastAsia="hakuyoxingshu7000" w:hint="eastAsia"/>
                <w:sz w:val="21"/>
              </w:rPr>
            </w:pPr>
            <w:r>
              <w:rPr>
                <w:rFonts w:ascii="hakuyoxingshu7000" w:eastAsia="hakuyoxingshu7000" w:hint="eastAsia"/>
                <w:sz w:val="21"/>
              </w:rPr>
              <w:t>招标人（</w:t>
            </w:r>
            <w:r>
              <w:rPr>
                <w:rFonts w:ascii="hakuyoxingshu7000" w:eastAsia="hakuyoxingshu7000" w:hint="eastAsia"/>
                <w:spacing w:val="3"/>
                <w:sz w:val="21"/>
              </w:rPr>
              <w:t>代理机构</w:t>
            </w:r>
            <w:r>
              <w:rPr>
                <w:rFonts w:ascii="hakuyoxingshu7000" w:eastAsia="hakuyoxingshu7000" w:hint="eastAsia"/>
                <w:sz w:val="21"/>
              </w:rPr>
              <w:t>）应在投标截止时间前就投标人提出的疑问形成答疑澄清文件</w:t>
            </w:r>
            <w:r>
              <w:rPr>
                <w:rFonts w:ascii="hakuyoxingshu7000" w:eastAsia="hakuyoxingshu7000" w:hint="eastAsia"/>
                <w:w w:val="115"/>
                <w:sz w:val="21"/>
              </w:rPr>
              <w:t>（QHCF </w:t>
            </w:r>
            <w:r>
              <w:rPr>
                <w:rFonts w:ascii="hakuyoxingshu7000" w:eastAsia="hakuyoxingshu7000" w:hint="eastAsia"/>
                <w:sz w:val="21"/>
              </w:rPr>
              <w:t>格式），在《青海省电子招投标公共服务平台》的答疑澄清文件菜单中发布，各投标申请</w:t>
            </w:r>
            <w:r>
              <w:rPr>
                <w:rFonts w:ascii="hakuyoxingshu7000" w:eastAsia="hakuyoxingshu7000" w:hint="eastAsia"/>
                <w:spacing w:val="-16"/>
                <w:sz w:val="21"/>
              </w:rPr>
              <w:t>人用 </w:t>
            </w:r>
            <w:r>
              <w:rPr>
                <w:rFonts w:ascii="hakuyoxingshu7000" w:eastAsia="hakuyoxingshu7000" w:hint="eastAsia"/>
                <w:w w:val="115"/>
                <w:sz w:val="21"/>
              </w:rPr>
              <w:t>CA</w:t>
            </w:r>
            <w:r>
              <w:rPr>
                <w:rFonts w:ascii="hakuyoxingshu7000" w:eastAsia="hakuyoxingshu7000" w:hint="eastAsia"/>
                <w:spacing w:val="-64"/>
                <w:w w:val="115"/>
                <w:sz w:val="21"/>
              </w:rPr>
              <w:t> </w:t>
            </w:r>
            <w:r>
              <w:rPr>
                <w:rFonts w:ascii="hakuyoxingshu7000" w:eastAsia="hakuyoxingshu7000" w:hint="eastAsia"/>
                <w:sz w:val="21"/>
              </w:rPr>
              <w:t>数字证书进行下载。</w:t>
            </w:r>
          </w:p>
          <w:p>
            <w:pPr>
              <w:pStyle w:val="TableParagraph"/>
              <w:spacing w:line="264" w:lineRule="exact"/>
              <w:ind w:left="99"/>
              <w:jc w:val="both"/>
              <w:rPr>
                <w:rFonts w:ascii="hakuyoxingshu7000" w:eastAsia="hakuyoxingshu7000" w:hint="eastAsia"/>
                <w:sz w:val="21"/>
              </w:rPr>
            </w:pPr>
            <w:r>
              <w:rPr>
                <w:rFonts w:ascii="hakuyoxingshu7000" w:eastAsia="hakuyoxingshu7000" w:hint="eastAsia"/>
                <w:sz w:val="21"/>
              </w:rPr>
              <w:t>澄清或者修改的内容可能影响到投标文件编制的，应当在投</w:t>
            </w:r>
          </w:p>
          <w:p>
            <w:pPr>
              <w:pStyle w:val="TableParagraph"/>
              <w:spacing w:before="5"/>
              <w:rPr>
                <w:rFonts w:ascii="Times New Roman"/>
                <w:sz w:val="31"/>
              </w:rPr>
            </w:pPr>
          </w:p>
          <w:p>
            <w:pPr>
              <w:pStyle w:val="TableParagraph"/>
              <w:ind w:left="99"/>
              <w:jc w:val="both"/>
              <w:rPr>
                <w:rFonts w:ascii="hakuyoxingshu7000" w:eastAsia="hakuyoxingshu7000" w:hint="eastAsia"/>
                <w:sz w:val="21"/>
              </w:rPr>
            </w:pPr>
            <w:r>
              <w:rPr>
                <w:rFonts w:ascii="hakuyoxingshu7000" w:eastAsia="hakuyoxingshu7000" w:hint="eastAsia"/>
                <w:spacing w:val="-5"/>
                <w:sz w:val="21"/>
              </w:rPr>
              <w:t>标截止时间至少 </w:t>
            </w:r>
            <w:r>
              <w:rPr>
                <w:rFonts w:ascii="hakuyoxingshu7000" w:eastAsia="hakuyoxingshu7000" w:hint="eastAsia"/>
                <w:sz w:val="21"/>
              </w:rPr>
              <w:t>15</w:t>
            </w:r>
            <w:r>
              <w:rPr>
                <w:rFonts w:ascii="hakuyoxingshu7000" w:eastAsia="hakuyoxingshu7000" w:hint="eastAsia"/>
                <w:spacing w:val="-9"/>
                <w:sz w:val="21"/>
              </w:rPr>
              <w:t> 日前发出，不足 </w:t>
            </w:r>
            <w:r>
              <w:rPr>
                <w:rFonts w:ascii="hakuyoxingshu7000" w:eastAsia="hakuyoxingshu7000" w:hint="eastAsia"/>
                <w:sz w:val="21"/>
              </w:rPr>
              <w:t>15</w:t>
            </w:r>
            <w:r>
              <w:rPr>
                <w:rFonts w:ascii="hakuyoxingshu7000" w:eastAsia="hakuyoxingshu7000" w:hint="eastAsia"/>
                <w:spacing w:val="-8"/>
                <w:sz w:val="21"/>
              </w:rPr>
              <w:t> 日应顺延开标时间。</w:t>
            </w:r>
          </w:p>
        </w:tc>
      </w:tr>
      <w:tr>
        <w:trPr>
          <w:trHeight w:val="3122"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40"/>
              </w:rPr>
            </w:pPr>
          </w:p>
          <w:p>
            <w:pPr>
              <w:pStyle w:val="TableParagraph"/>
              <w:ind w:right="338"/>
              <w:jc w:val="right"/>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spacing w:val="2"/>
                <w:w w:val="111"/>
                <w:sz w:val="21"/>
              </w:rPr>
              <w:t>2</w:t>
            </w:r>
            <w:r>
              <w:rPr>
                <w:rFonts w:ascii="hakuyoxingshu7000"/>
                <w:spacing w:val="1"/>
                <w:w w:val="55"/>
                <w:sz w:val="21"/>
              </w:rPr>
              <w:t>.</w:t>
            </w:r>
            <w:r>
              <w:rPr>
                <w:rFonts w:ascii="hakuyoxingshu7000"/>
                <w:w w:val="111"/>
                <w:sz w:val="21"/>
              </w:rPr>
              <w:t>4</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6"/>
              <w:rPr>
                <w:rFonts w:ascii="Times New Roman"/>
                <w:sz w:val="40"/>
              </w:rPr>
            </w:pPr>
          </w:p>
          <w:p>
            <w:pPr>
              <w:pStyle w:val="TableParagraph"/>
              <w:spacing w:line="561" w:lineRule="auto" w:before="1"/>
              <w:ind w:left="711" w:right="182" w:hanging="526"/>
              <w:rPr>
                <w:rFonts w:ascii="hakuyoxingshu7000" w:eastAsia="hakuyoxingshu7000" w:hint="eastAsia"/>
                <w:sz w:val="21"/>
              </w:rPr>
            </w:pPr>
            <w:r>
              <w:rPr>
                <w:rFonts w:ascii="hakuyoxingshu7000" w:eastAsia="hakuyoxingshu7000" w:hint="eastAsia"/>
                <w:sz w:val="21"/>
              </w:rPr>
              <w:t>投标人确认收到招标文件澄清</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jc w:val="both"/>
              <w:rPr>
                <w:rFonts w:ascii="hakuyoxingshu7000" w:eastAsia="hakuyoxingshu7000" w:hint="eastAsia"/>
                <w:sz w:val="21"/>
              </w:rPr>
            </w:pPr>
            <w:r>
              <w:rPr>
                <w:rFonts w:ascii="hakuyoxingshu7000" w:eastAsia="hakuyoxingshu7000" w:hint="eastAsia"/>
                <w:sz w:val="21"/>
              </w:rPr>
              <w:t>潜在投标人自确认参加投标起至投标截止时间前应随时登录</w:t>
            </w:r>
          </w:p>
          <w:p>
            <w:pPr>
              <w:pStyle w:val="TableParagraph"/>
              <w:spacing w:before="5"/>
              <w:rPr>
                <w:rFonts w:ascii="Times New Roman"/>
                <w:sz w:val="31"/>
              </w:rPr>
            </w:pPr>
          </w:p>
          <w:p>
            <w:pPr>
              <w:pStyle w:val="TableParagraph"/>
              <w:spacing w:line="556" w:lineRule="auto"/>
              <w:ind w:left="99" w:right="103"/>
              <w:jc w:val="both"/>
              <w:rPr>
                <w:rFonts w:ascii="hakuyoxingshu7000" w:hAnsi="hakuyoxingshu7000" w:eastAsia="hakuyoxingshu7000" w:hint="eastAsia"/>
                <w:sz w:val="21"/>
              </w:rPr>
            </w:pPr>
            <w:r>
              <w:rPr>
                <w:rFonts w:ascii="hakuyoxingshu7000" w:hAnsi="hakuyoxingshu7000" w:eastAsia="hakuyoxingshu7000" w:hint="eastAsia"/>
                <w:spacing w:val="-3"/>
                <w:sz w:val="21"/>
              </w:rPr>
              <w:t>《青海省电子招投标公共服务平台》关注 </w:t>
            </w:r>
            <w:r>
              <w:rPr>
                <w:rFonts w:ascii="hakuyoxingshu7000" w:hAnsi="hakuyoxingshu7000" w:eastAsia="hakuyoxingshu7000" w:hint="eastAsia"/>
                <w:spacing w:val="5"/>
                <w:w w:val="33"/>
                <w:sz w:val="21"/>
              </w:rPr>
              <w:t>“</w:t>
            </w:r>
            <w:r>
              <w:rPr>
                <w:rFonts w:ascii="hakuyoxingshu7000" w:hAnsi="hakuyoxingshu7000" w:eastAsia="hakuyoxingshu7000" w:hint="eastAsia"/>
                <w:spacing w:val="-1"/>
                <w:sz w:val="21"/>
              </w:rPr>
              <w:t>消息提醒</w:t>
            </w:r>
            <w:r>
              <w:rPr>
                <w:rFonts w:ascii="hakuyoxingshu7000" w:hAnsi="hakuyoxingshu7000" w:eastAsia="hakuyoxingshu7000" w:hint="eastAsia"/>
                <w:spacing w:val="5"/>
                <w:w w:val="33"/>
                <w:sz w:val="21"/>
              </w:rPr>
              <w:t>”</w:t>
            </w:r>
            <w:r>
              <w:rPr>
                <w:rFonts w:ascii="hakuyoxingshu7000" w:hAnsi="hakuyoxingshu7000" w:eastAsia="hakuyoxingshu7000" w:hint="eastAsia"/>
                <w:sz w:val="21"/>
              </w:rPr>
              <w:t>，及时查看该项目的招标人（</w:t>
            </w:r>
            <w:r>
              <w:rPr>
                <w:rFonts w:ascii="hakuyoxingshu7000" w:hAnsi="hakuyoxingshu7000" w:eastAsia="hakuyoxingshu7000" w:hint="eastAsia"/>
                <w:spacing w:val="3"/>
                <w:sz w:val="21"/>
              </w:rPr>
              <w:t>代理机构</w:t>
            </w:r>
            <w:r>
              <w:rPr>
                <w:rFonts w:ascii="hakuyoxingshu7000" w:hAnsi="hakuyoxingshu7000" w:eastAsia="hakuyoxingshu7000" w:hint="eastAsia"/>
                <w:sz w:val="21"/>
              </w:rPr>
              <w:t>）发出的通知、变更、答疑等内容。无论在《青海省电子招投标公共服务平台》下载与</w:t>
            </w:r>
          </w:p>
          <w:p>
            <w:pPr>
              <w:pStyle w:val="TableParagraph"/>
              <w:spacing w:line="258" w:lineRule="exact"/>
              <w:ind w:left="99"/>
              <w:rPr>
                <w:rFonts w:ascii="hakuyoxingshu7000" w:eastAsia="hakuyoxingshu7000" w:hint="eastAsia"/>
                <w:sz w:val="21"/>
              </w:rPr>
            </w:pPr>
            <w:r>
              <w:rPr>
                <w:rFonts w:ascii="hakuyoxingshu7000" w:eastAsia="hakuyoxingshu7000" w:hint="eastAsia"/>
                <w:sz w:val="21"/>
              </w:rPr>
              <w:t>否都视为投标人全部知晓有关招标过程和所有事宜。</w:t>
            </w:r>
          </w:p>
        </w:tc>
      </w:tr>
      <w:tr>
        <w:trPr>
          <w:trHeight w:val="2492"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7"/>
              <w:rPr>
                <w:rFonts w:ascii="Times New Roman"/>
                <w:sz w:val="40"/>
              </w:rPr>
            </w:pPr>
          </w:p>
          <w:p>
            <w:pPr>
              <w:pStyle w:val="TableParagraph"/>
              <w:ind w:right="338"/>
              <w:jc w:val="right"/>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spacing w:val="2"/>
                <w:w w:val="111"/>
                <w:sz w:val="21"/>
              </w:rPr>
              <w:t>3</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spacing w:before="2"/>
              <w:rPr>
                <w:rFonts w:ascii="Times New Roman"/>
                <w:sz w:val="41"/>
              </w:rPr>
            </w:pPr>
          </w:p>
          <w:p>
            <w:pPr>
              <w:pStyle w:val="TableParagraph"/>
              <w:spacing w:line="561" w:lineRule="auto"/>
              <w:ind w:left="921" w:right="184" w:hanging="736"/>
              <w:rPr>
                <w:rFonts w:ascii="hakuyoxingshu7000" w:eastAsia="hakuyoxingshu7000" w:hint="eastAsia"/>
                <w:sz w:val="21"/>
              </w:rPr>
            </w:pPr>
            <w:r>
              <w:rPr>
                <w:rFonts w:ascii="hakuyoxingshu7000" w:eastAsia="hakuyoxingshu7000" w:hint="eastAsia"/>
                <w:sz w:val="21"/>
              </w:rPr>
              <w:t>招标文件修改发出的形式</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556" w:lineRule="auto" w:before="180"/>
              <w:ind w:left="99" w:right="-15"/>
              <w:rPr>
                <w:rFonts w:ascii="hakuyoxingshu7000" w:eastAsia="hakuyoxingshu7000" w:hint="eastAsia"/>
                <w:sz w:val="21"/>
              </w:rPr>
            </w:pPr>
            <w:r>
              <w:rPr>
                <w:rFonts w:ascii="hakuyoxingshu7000" w:eastAsia="hakuyoxingshu7000" w:hint="eastAsia"/>
                <w:spacing w:val="-4"/>
                <w:sz w:val="21"/>
              </w:rPr>
              <w:t>在投标截止时间前，招标人</w:t>
            </w:r>
            <w:r>
              <w:rPr>
                <w:rFonts w:ascii="hakuyoxingshu7000" w:eastAsia="hakuyoxingshu7000" w:hint="eastAsia"/>
                <w:sz w:val="21"/>
              </w:rPr>
              <w:t>（代理机构</w:t>
            </w:r>
            <w:r>
              <w:rPr>
                <w:rFonts w:ascii="hakuyoxingshu7000" w:eastAsia="hakuyoxingshu7000" w:hint="eastAsia"/>
                <w:spacing w:val="-16"/>
                <w:sz w:val="21"/>
              </w:rPr>
              <w:t>）</w:t>
            </w:r>
            <w:r>
              <w:rPr>
                <w:rFonts w:ascii="hakuyoxingshu7000" w:eastAsia="hakuyoxingshu7000" w:hint="eastAsia"/>
                <w:sz w:val="21"/>
              </w:rPr>
              <w:t>可以修改招标文件， 修改的内容作为补充文件</w:t>
            </w:r>
            <w:r>
              <w:rPr>
                <w:rFonts w:ascii="hakuyoxingshu7000" w:eastAsia="hakuyoxingshu7000" w:hint="eastAsia"/>
                <w:w w:val="115"/>
                <w:sz w:val="21"/>
              </w:rPr>
              <w:t>（QHCF</w:t>
            </w:r>
            <w:r>
              <w:rPr>
                <w:rFonts w:ascii="hakuyoxingshu7000" w:eastAsia="hakuyoxingshu7000" w:hint="eastAsia"/>
                <w:spacing w:val="9"/>
                <w:w w:val="115"/>
                <w:sz w:val="21"/>
              </w:rPr>
              <w:t> </w:t>
            </w:r>
            <w:r>
              <w:rPr>
                <w:rFonts w:ascii="hakuyoxingshu7000" w:eastAsia="hakuyoxingshu7000" w:hint="eastAsia"/>
                <w:sz w:val="21"/>
              </w:rPr>
              <w:t>格式）在《青海省电子招投标公共服务平台》的答疑澄清文件菜单中发布，各投标申</w:t>
            </w:r>
          </w:p>
          <w:p>
            <w:pPr>
              <w:pStyle w:val="TableParagraph"/>
              <w:spacing w:line="258" w:lineRule="exact"/>
              <w:ind w:left="99"/>
              <w:rPr>
                <w:rFonts w:ascii="hakuyoxingshu7000" w:eastAsia="hakuyoxingshu7000" w:hint="eastAsia"/>
                <w:sz w:val="21"/>
              </w:rPr>
            </w:pPr>
            <w:r>
              <w:rPr>
                <w:rFonts w:ascii="hakuyoxingshu7000" w:eastAsia="hakuyoxingshu7000" w:hint="eastAsia"/>
                <w:spacing w:val="-14"/>
                <w:w w:val="105"/>
                <w:sz w:val="21"/>
              </w:rPr>
              <w:t>请人用 </w:t>
            </w:r>
            <w:r>
              <w:rPr>
                <w:rFonts w:ascii="hakuyoxingshu7000" w:eastAsia="hakuyoxingshu7000" w:hint="eastAsia"/>
                <w:w w:val="120"/>
                <w:sz w:val="21"/>
              </w:rPr>
              <w:t>CA</w:t>
            </w:r>
            <w:r>
              <w:rPr>
                <w:rFonts w:ascii="hakuyoxingshu7000" w:eastAsia="hakuyoxingshu7000" w:hint="eastAsia"/>
                <w:spacing w:val="-72"/>
                <w:w w:val="120"/>
                <w:sz w:val="21"/>
              </w:rPr>
              <w:t> </w:t>
            </w:r>
            <w:r>
              <w:rPr>
                <w:rFonts w:ascii="hakuyoxingshu7000" w:eastAsia="hakuyoxingshu7000" w:hint="eastAsia"/>
                <w:w w:val="105"/>
                <w:sz w:val="21"/>
              </w:rPr>
              <w:t>数字证书进行下载。</w:t>
            </w:r>
          </w:p>
        </w:tc>
      </w:tr>
    </w:tbl>
    <w:p>
      <w:pPr>
        <w:spacing w:after="0" w:line="258" w:lineRule="exact"/>
        <w:rPr>
          <w:rFonts w:ascii="hakuyoxingshu7000" w:eastAsia="hakuyoxingshu7000" w:hint="eastAsia"/>
          <w:sz w:val="21"/>
        </w:rPr>
        <w:sectPr>
          <w:pgSz w:w="11910" w:h="16850"/>
          <w:pgMar w:header="911" w:footer="0" w:top="1380" w:bottom="280" w:left="1200" w:right="0"/>
        </w:sectPr>
      </w:pPr>
    </w:p>
    <w:p>
      <w:pPr>
        <w:pStyle w:val="BodyText"/>
        <w:spacing w:before="7"/>
        <w:rPr>
          <w:rFonts w:ascii="Times New Roman"/>
          <w:sz w:val="9"/>
        </w:rPr>
      </w:pPr>
    </w:p>
    <w:p>
      <w:pPr>
        <w:spacing w:line="561" w:lineRule="auto" w:before="115"/>
        <w:ind w:left="3741" w:right="1454" w:firstLine="0"/>
        <w:jc w:val="left"/>
        <w:rPr>
          <w:rFonts w:ascii="hakuyoxingshu7000" w:eastAsia="hakuyoxingshu7000" w:hint="eastAsia"/>
          <w:sz w:val="21"/>
        </w:rPr>
      </w:pPr>
      <w:r>
        <w:rPr>
          <w:rFonts w:ascii="hakuyoxingshu7000" w:eastAsia="hakuyoxingshu7000" w:hint="eastAsia"/>
          <w:spacing w:val="-1"/>
          <w:sz w:val="21"/>
        </w:rPr>
        <w:t>澄清或者修改的内容可能影响到投标文件编制的，应当在投</w:t>
      </w:r>
      <w:r>
        <w:rPr>
          <w:rFonts w:ascii="hakuyoxingshu7000" w:eastAsia="hakuyoxingshu7000" w:hint="eastAsia"/>
          <w:spacing w:val="-6"/>
          <w:sz w:val="21"/>
        </w:rPr>
        <w:t>标截止时间至少 </w:t>
      </w:r>
      <w:r>
        <w:rPr>
          <w:rFonts w:ascii="hakuyoxingshu7000" w:eastAsia="hakuyoxingshu7000" w:hint="eastAsia"/>
          <w:sz w:val="21"/>
        </w:rPr>
        <w:t>15</w:t>
      </w:r>
      <w:r>
        <w:rPr>
          <w:rFonts w:ascii="hakuyoxingshu7000" w:eastAsia="hakuyoxingshu7000" w:hint="eastAsia"/>
          <w:spacing w:val="-12"/>
          <w:sz w:val="21"/>
        </w:rPr>
        <w:t> 日前发出，不足 </w:t>
      </w:r>
      <w:r>
        <w:rPr>
          <w:rFonts w:ascii="hakuyoxingshu7000" w:eastAsia="hakuyoxingshu7000" w:hint="eastAsia"/>
          <w:spacing w:val="-6"/>
          <w:sz w:val="21"/>
        </w:rPr>
        <w:t>15</w:t>
      </w:r>
      <w:r>
        <w:rPr>
          <w:rFonts w:ascii="hakuyoxingshu7000" w:eastAsia="hakuyoxingshu7000" w:hint="eastAsia"/>
          <w:spacing w:val="-8"/>
          <w:sz w:val="21"/>
        </w:rPr>
        <w:t> 日应顺延开标时间。</w:t>
      </w:r>
    </w:p>
    <w:p>
      <w:pPr>
        <w:spacing w:before="1"/>
        <w:ind w:left="3741" w:right="0" w:firstLine="0"/>
        <w:jc w:val="left"/>
        <w:rPr>
          <w:rFonts w:ascii="hakuyoxingshu7000" w:eastAsia="hakuyoxingshu7000" w:hint="eastAsia"/>
          <w:sz w:val="21"/>
        </w:rPr>
      </w:pPr>
      <w:r>
        <w:rPr>
          <w:rFonts w:ascii="hakuyoxingshu7000" w:eastAsia="hakuyoxingshu7000" w:hint="eastAsia"/>
          <w:sz w:val="21"/>
        </w:rPr>
        <w:t>潜在投标人自确认参加投标起至投标截止时间前应随时登录</w:t>
      </w:r>
    </w:p>
    <w:p>
      <w:pPr>
        <w:pStyle w:val="BodyText"/>
        <w:spacing w:before="4"/>
        <w:rPr>
          <w:rFonts w:ascii="hakuyoxingshu7000"/>
          <w:sz w:val="19"/>
        </w:rPr>
      </w:pPr>
    </w:p>
    <w:p>
      <w:pPr>
        <w:spacing w:after="0"/>
        <w:rPr>
          <w:rFonts w:ascii="hakuyoxingshu7000"/>
          <w:sz w:val="19"/>
        </w:rPr>
        <w:sectPr>
          <w:pgSz w:w="11910" w:h="16850"/>
          <w:pgMar w:header="911" w:footer="0" w:top="1380" w:bottom="280" w:left="1200" w:right="0"/>
        </w:sectPr>
      </w:pPr>
    </w:p>
    <w:p>
      <w:pPr>
        <w:pStyle w:val="BodyText"/>
        <w:rPr>
          <w:rFonts w:ascii="hakuyoxingshu7000"/>
          <w:sz w:val="28"/>
        </w:rPr>
      </w:pPr>
    </w:p>
    <w:p>
      <w:pPr>
        <w:pStyle w:val="BodyText"/>
        <w:rPr>
          <w:rFonts w:ascii="hakuyoxingshu7000"/>
          <w:sz w:val="29"/>
        </w:rPr>
      </w:pPr>
    </w:p>
    <w:p>
      <w:pPr>
        <w:spacing w:before="0"/>
        <w:ind w:left="526" w:right="0" w:firstLine="0"/>
        <w:jc w:val="left"/>
        <w:rPr>
          <w:rFonts w:ascii="hakuyoxingshu7000"/>
          <w:sz w:val="21"/>
        </w:rPr>
      </w:pPr>
      <w:r>
        <w:rPr>
          <w:rFonts w:ascii="hakuyoxingshu7000"/>
          <w:spacing w:val="2"/>
          <w:w w:val="111"/>
          <w:sz w:val="21"/>
        </w:rPr>
        <w:t>2</w:t>
      </w:r>
      <w:r>
        <w:rPr>
          <w:rFonts w:ascii="hakuyoxingshu7000"/>
          <w:spacing w:val="1"/>
          <w:w w:val="55"/>
          <w:sz w:val="21"/>
        </w:rPr>
        <w:t>.</w:t>
      </w:r>
      <w:r>
        <w:rPr>
          <w:rFonts w:ascii="hakuyoxingshu7000"/>
          <w:spacing w:val="2"/>
          <w:w w:val="111"/>
          <w:sz w:val="21"/>
        </w:rPr>
        <w:t>3</w:t>
      </w:r>
      <w:r>
        <w:rPr>
          <w:rFonts w:ascii="hakuyoxingshu7000"/>
          <w:spacing w:val="1"/>
          <w:w w:val="55"/>
          <w:sz w:val="21"/>
        </w:rPr>
        <w:t>.</w:t>
      </w:r>
      <w:r>
        <w:rPr>
          <w:rFonts w:ascii="hakuyoxingshu7000"/>
          <w:w w:val="111"/>
          <w:sz w:val="21"/>
        </w:rPr>
        <w:t>2</w:t>
      </w:r>
    </w:p>
    <w:p>
      <w:pPr>
        <w:pStyle w:val="BodyText"/>
        <w:spacing w:before="5"/>
        <w:rPr>
          <w:rFonts w:ascii="hakuyoxingshu7000"/>
          <w:sz w:val="32"/>
        </w:rPr>
      </w:pPr>
      <w:r>
        <w:rPr/>
        <w:br w:type="column"/>
      </w:r>
      <w:r>
        <w:rPr>
          <w:rFonts w:ascii="hakuyoxingshu7000"/>
          <w:sz w:val="32"/>
        </w:rPr>
      </w:r>
    </w:p>
    <w:p>
      <w:pPr>
        <w:spacing w:line="561" w:lineRule="auto" w:before="0"/>
        <w:ind w:left="716" w:right="0" w:hanging="211"/>
        <w:jc w:val="left"/>
        <w:rPr>
          <w:rFonts w:ascii="hakuyoxingshu7000" w:eastAsia="hakuyoxingshu7000" w:hint="eastAsia"/>
          <w:sz w:val="21"/>
        </w:rPr>
      </w:pPr>
      <w:r>
        <w:rPr/>
        <w:pict>
          <v:shape style="position:absolute;margin-left:247.080002pt;margin-top:69.055016pt;width:244.8pt;height:25.55pt;mso-position-horizontal-relative:page;mso-position-vertical-relative:paragraph;z-index:-268637184" type="#_x0000_t202" filled="true" fillcolor="#ffffff" stroked="false">
            <v:textbox inset="0,0,0,0">
              <w:txbxContent>
                <w:p>
                  <w:pPr>
                    <w:spacing w:before="180"/>
                    <w:ind w:left="0" w:right="0" w:firstLine="0"/>
                    <w:jc w:val="left"/>
                    <w:rPr>
                      <w:rFonts w:ascii="hakuyoxingshu7000" w:eastAsia="hakuyoxingshu7000" w:hint="eastAsia"/>
                      <w:sz w:val="21"/>
                    </w:rPr>
                  </w:pPr>
                  <w:r>
                    <w:rPr>
                      <w:rFonts w:ascii="hakuyoxingshu7000" w:eastAsia="hakuyoxingshu7000" w:hint="eastAsia"/>
                      <w:sz w:val="21"/>
                    </w:rPr>
                    <w:t>否都视为投标人全部知晓有关招标过程和所有事宜。</w:t>
                  </w:r>
                </w:p>
              </w:txbxContent>
            </v:textbox>
            <v:fill type="solid"/>
            <w10:wrap type="none"/>
          </v:shape>
        </w:pict>
      </w:r>
      <w:r>
        <w:rPr>
          <w:rFonts w:ascii="hakuyoxingshu7000" w:eastAsia="hakuyoxingshu7000" w:hint="eastAsia"/>
          <w:sz w:val="21"/>
        </w:rPr>
        <w:t>投标人确认收到招标文件修改的时间</w:t>
      </w:r>
    </w:p>
    <w:p>
      <w:pPr>
        <w:spacing w:line="556" w:lineRule="auto" w:before="114"/>
        <w:ind w:left="258" w:right="1449" w:firstLine="0"/>
        <w:jc w:val="both"/>
        <w:rPr>
          <w:rFonts w:ascii="hakuyoxingshu7000" w:hAnsi="hakuyoxingshu7000" w:eastAsia="hakuyoxingshu7000" w:hint="eastAsia"/>
          <w:sz w:val="21"/>
        </w:rPr>
      </w:pPr>
      <w:r>
        <w:rPr/>
        <w:br w:type="column"/>
      </w:r>
      <w:r>
        <w:rPr>
          <w:rFonts w:ascii="hakuyoxingshu7000" w:hAnsi="hakuyoxingshu7000" w:eastAsia="hakuyoxingshu7000" w:hint="eastAsia"/>
          <w:sz w:val="21"/>
        </w:rPr>
        <w:t>《青海省电子招投标公共服务平台》关注 </w:t>
      </w:r>
      <w:r>
        <w:rPr>
          <w:rFonts w:ascii="hakuyoxingshu7000" w:hAnsi="hakuyoxingshu7000" w:eastAsia="hakuyoxingshu7000" w:hint="eastAsia"/>
          <w:w w:val="33"/>
          <w:sz w:val="21"/>
        </w:rPr>
        <w:t>“</w:t>
      </w:r>
      <w:r>
        <w:rPr>
          <w:rFonts w:ascii="hakuyoxingshu7000" w:hAnsi="hakuyoxingshu7000" w:eastAsia="hakuyoxingshu7000" w:hint="eastAsia"/>
          <w:sz w:val="21"/>
        </w:rPr>
        <w:t>消息提醒</w:t>
      </w:r>
      <w:r>
        <w:rPr>
          <w:rFonts w:ascii="hakuyoxingshu7000" w:hAnsi="hakuyoxingshu7000" w:eastAsia="hakuyoxingshu7000" w:hint="eastAsia"/>
          <w:w w:val="33"/>
          <w:sz w:val="21"/>
        </w:rPr>
        <w:t>”</w:t>
      </w:r>
      <w:r>
        <w:rPr>
          <w:rFonts w:ascii="hakuyoxingshu7000" w:hAnsi="hakuyoxingshu7000" w:eastAsia="hakuyoxingshu7000" w:hint="eastAsia"/>
          <w:sz w:val="21"/>
        </w:rPr>
        <w:t>，及时查看该项目的招标人（代理机构）发出的通知、变更、答疑等内容。无论在《青海省电子招投标公共服务平台》下载与</w:t>
      </w:r>
    </w:p>
    <w:p>
      <w:pPr>
        <w:spacing w:after="0" w:line="556" w:lineRule="auto"/>
        <w:jc w:val="both"/>
        <w:rPr>
          <w:rFonts w:ascii="hakuyoxingshu7000" w:hAnsi="hakuyoxingshu7000" w:eastAsia="hakuyoxingshu7000" w:hint="eastAsia"/>
          <w:sz w:val="21"/>
        </w:rPr>
        <w:sectPr>
          <w:type w:val="continuous"/>
          <w:pgSz w:w="11910" w:h="16850"/>
          <w:pgMar w:top="1380" w:bottom="280" w:left="1200" w:right="0"/>
          <w:cols w:num="3" w:equalWidth="0">
            <w:col w:w="1003" w:space="40"/>
            <w:col w:w="2401" w:space="39"/>
            <w:col w:w="7227"/>
          </w:cols>
        </w:sectPr>
      </w:pPr>
    </w:p>
    <w:p>
      <w:pPr>
        <w:pStyle w:val="BodyText"/>
        <w:rPr>
          <w:rFonts w:ascii="hakuyoxingshu7000"/>
          <w:sz w:val="20"/>
        </w:rPr>
      </w:pPr>
    </w:p>
    <w:p>
      <w:pPr>
        <w:pStyle w:val="BodyText"/>
        <w:spacing w:before="8"/>
        <w:rPr>
          <w:rFonts w:ascii="hakuyoxingshu7000"/>
          <w:sz w:val="20"/>
        </w:rPr>
      </w:pPr>
    </w:p>
    <w:p>
      <w:pPr>
        <w:spacing w:after="0"/>
        <w:rPr>
          <w:rFonts w:ascii="hakuyoxingshu7000"/>
          <w:sz w:val="20"/>
        </w:rPr>
        <w:sectPr>
          <w:type w:val="continuous"/>
          <w:pgSz w:w="11910" w:h="16850"/>
          <w:pgMar w:top="1380" w:bottom="280" w:left="1200" w:right="0"/>
        </w:sectPr>
      </w:pPr>
    </w:p>
    <w:p>
      <w:pPr>
        <w:pStyle w:val="BodyText"/>
        <w:spacing w:before="7"/>
        <w:rPr>
          <w:rFonts w:ascii="hakuyoxingshu7000"/>
          <w:sz w:val="33"/>
        </w:rPr>
      </w:pPr>
    </w:p>
    <w:p>
      <w:pPr>
        <w:spacing w:before="0"/>
        <w:ind w:left="526" w:right="0" w:firstLine="0"/>
        <w:jc w:val="left"/>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spacing w:val="2"/>
          <w:w w:val="111"/>
          <w:sz w:val="21"/>
        </w:rPr>
        <w:t>1</w:t>
      </w:r>
      <w:r>
        <w:rPr>
          <w:rFonts w:ascii="hakuyoxingshu7000"/>
          <w:spacing w:val="1"/>
          <w:w w:val="55"/>
          <w:sz w:val="21"/>
        </w:rPr>
        <w:t>.</w:t>
      </w:r>
      <w:r>
        <w:rPr>
          <w:rFonts w:ascii="hakuyoxingshu7000"/>
          <w:w w:val="111"/>
          <w:sz w:val="21"/>
        </w:rPr>
        <w:t>1</w:t>
      </w:r>
    </w:p>
    <w:p>
      <w:pPr>
        <w:spacing w:line="549" w:lineRule="auto" w:before="115"/>
        <w:ind w:left="1241" w:right="0" w:hanging="736"/>
        <w:jc w:val="left"/>
        <w:rPr>
          <w:rFonts w:ascii="hakuyoxingshu7000" w:eastAsia="hakuyoxingshu7000" w:hint="eastAsia"/>
          <w:sz w:val="21"/>
        </w:rPr>
      </w:pPr>
      <w:r>
        <w:rPr/>
        <w:br w:type="column"/>
      </w:r>
      <w:r>
        <w:rPr>
          <w:rFonts w:ascii="hakuyoxingshu7000" w:eastAsia="hakuyoxingshu7000" w:hint="eastAsia"/>
          <w:sz w:val="21"/>
        </w:rPr>
        <w:t>构成投标文件的其他材料</w:t>
      </w:r>
    </w:p>
    <w:p>
      <w:pPr>
        <w:spacing w:line="549" w:lineRule="auto" w:before="115"/>
        <w:ind w:left="258" w:right="1441" w:firstLine="0"/>
        <w:jc w:val="left"/>
        <w:rPr>
          <w:rFonts w:ascii="hakuyoxingshu7000" w:eastAsia="hakuyoxingshu7000" w:hint="eastAsia"/>
          <w:sz w:val="21"/>
        </w:rPr>
      </w:pPr>
      <w:r>
        <w:rPr/>
        <w:br w:type="column"/>
      </w:r>
      <w:r>
        <w:rPr>
          <w:rFonts w:ascii="hakuyoxingshu7000" w:eastAsia="hakuyoxingshu7000" w:hint="eastAsia"/>
          <w:color w:val="0000FF"/>
          <w:spacing w:val="-11"/>
          <w:w w:val="95"/>
          <w:sz w:val="21"/>
        </w:rPr>
        <w:t>招标人在《青海省电子招投标公共服务平台》发布的答疑澄</w:t>
      </w:r>
      <w:r>
        <w:rPr>
          <w:rFonts w:ascii="hakuyoxingshu7000" w:eastAsia="hakuyoxingshu7000" w:hint="eastAsia"/>
          <w:color w:val="0000FF"/>
          <w:w w:val="95"/>
          <w:sz w:val="21"/>
        </w:rPr>
        <w:t>/n </w:t>
      </w:r>
      <w:r>
        <w:rPr>
          <w:rFonts w:ascii="hakuyoxingshu7000" w:eastAsia="hakuyoxingshu7000" w:hint="eastAsia"/>
          <w:color w:val="0000FF"/>
          <w:sz w:val="21"/>
        </w:rPr>
        <w:t>清文件及补遗</w:t>
      </w:r>
    </w:p>
    <w:p>
      <w:pPr>
        <w:spacing w:after="0" w:line="549" w:lineRule="auto"/>
        <w:jc w:val="left"/>
        <w:rPr>
          <w:rFonts w:ascii="hakuyoxingshu7000" w:eastAsia="hakuyoxingshu7000" w:hint="eastAsia"/>
          <w:sz w:val="21"/>
        </w:rPr>
        <w:sectPr>
          <w:type w:val="continuous"/>
          <w:pgSz w:w="11910" w:h="16850"/>
          <w:pgMar w:top="1380" w:bottom="280" w:left="1200" w:right="0"/>
          <w:cols w:num="3" w:equalWidth="0">
            <w:col w:w="1003" w:space="40"/>
            <w:col w:w="2401" w:space="39"/>
            <w:col w:w="7227"/>
          </w:cols>
        </w:sectPr>
      </w:pPr>
    </w:p>
    <w:p>
      <w:pPr>
        <w:spacing w:before="28"/>
        <w:ind w:left="0" w:right="1632" w:firstLine="0"/>
        <w:jc w:val="center"/>
        <w:rPr>
          <w:rFonts w:ascii="hakuyoxingshu7000" w:hAnsi="hakuyoxingshu7000" w:eastAsia="hakuyoxingshu7000" w:hint="eastAsia"/>
          <w:sz w:val="21"/>
        </w:rPr>
      </w:pPr>
      <w:r>
        <w:rPr>
          <w:rFonts w:ascii="hakuyoxingshu7000" w:hAnsi="hakuyoxingshu7000" w:eastAsia="hakuyoxingshu7000" w:hint="eastAsia"/>
          <w:color w:val="0000FF"/>
          <w:w w:val="90"/>
          <w:sz w:val="21"/>
        </w:rPr>
        <w:t>□</w:t>
      </w:r>
      <w:r>
        <w:rPr>
          <w:rFonts w:ascii="hakuyoxingshu7000" w:hAnsi="hakuyoxingshu7000" w:eastAsia="hakuyoxingshu7000" w:hint="eastAsia"/>
          <w:sz w:val="21"/>
        </w:rPr>
        <w:t>不设招标控制价</w:t>
      </w:r>
    </w:p>
    <w:p>
      <w:pPr>
        <w:pStyle w:val="BodyText"/>
        <w:spacing w:before="2"/>
        <w:rPr>
          <w:rFonts w:ascii="hakuyoxingshu7000"/>
          <w:sz w:val="18"/>
        </w:rPr>
      </w:pPr>
    </w:p>
    <w:p>
      <w:pPr>
        <w:spacing w:after="0"/>
        <w:rPr>
          <w:rFonts w:ascii="hakuyoxingshu7000"/>
          <w:sz w:val="18"/>
        </w:rPr>
        <w:sectPr>
          <w:type w:val="continuous"/>
          <w:pgSz w:w="11910" w:h="16850"/>
          <w:pgMar w:top="1380" w:bottom="280" w:left="1200" w:right="0"/>
        </w:sectPr>
      </w:pPr>
    </w:p>
    <w:p>
      <w:pPr>
        <w:spacing w:before="114"/>
        <w:ind w:left="617" w:right="0" w:firstLine="0"/>
        <w:jc w:val="left"/>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w w:val="111"/>
          <w:sz w:val="21"/>
        </w:rPr>
        <w:t>2</w:t>
      </w:r>
    </w:p>
    <w:p>
      <w:pPr>
        <w:spacing w:before="114"/>
        <w:ind w:left="617" w:right="0" w:firstLine="0"/>
        <w:jc w:val="left"/>
        <w:rPr>
          <w:rFonts w:ascii="hakuyoxingshu7000" w:eastAsia="hakuyoxingshu7000" w:hint="eastAsia"/>
          <w:sz w:val="21"/>
        </w:rPr>
      </w:pPr>
      <w:r>
        <w:rPr/>
        <w:br w:type="column"/>
      </w:r>
      <w:r>
        <w:rPr>
          <w:rFonts w:ascii="hakuyoxingshu7000" w:eastAsia="hakuyoxingshu7000" w:hint="eastAsia"/>
          <w:sz w:val="21"/>
        </w:rPr>
        <w:t>招标控制价</w:t>
      </w:r>
    </w:p>
    <w:p>
      <w:pPr>
        <w:spacing w:before="114"/>
        <w:ind w:left="617" w:right="0" w:firstLine="0"/>
        <w:jc w:val="left"/>
        <w:rPr>
          <w:rFonts w:ascii="hakuyoxingshu7000" w:hAnsi="hakuyoxingshu7000" w:eastAsia="hakuyoxingshu7000" w:hint="eastAsia"/>
          <w:sz w:val="21"/>
        </w:rPr>
      </w:pPr>
      <w:r>
        <w:rPr/>
        <w:br w:type="column"/>
      </w:r>
      <w:r>
        <w:rPr>
          <w:rFonts w:ascii="hakuyoxingshu7000" w:hAnsi="hakuyoxingshu7000" w:eastAsia="hakuyoxingshu7000" w:hint="eastAsia"/>
          <w:color w:val="0000FF"/>
          <w:spacing w:val="-5"/>
          <w:sz w:val="21"/>
        </w:rPr>
        <w:t>☑</w:t>
      </w:r>
      <w:r>
        <w:rPr>
          <w:rFonts w:ascii="hakuyoxingshu7000" w:hAnsi="hakuyoxingshu7000" w:eastAsia="hakuyoxingshu7000" w:hint="eastAsia"/>
          <w:spacing w:val="-18"/>
          <w:sz w:val="21"/>
        </w:rPr>
        <w:t>设招标控制价，招标控制价为：</w:t>
      </w:r>
      <w:r>
        <w:rPr>
          <w:rFonts w:ascii="hakuyoxingshu7000" w:hAnsi="hakuyoxingshu7000" w:eastAsia="hakuyoxingshu7000" w:hint="eastAsia"/>
          <w:color w:val="0000FF"/>
          <w:sz w:val="21"/>
        </w:rPr>
        <w:t>叁佰陆拾柒万壹仟肆佰</w:t>
      </w:r>
      <w:r>
        <w:rPr>
          <w:rFonts w:ascii="hakuyoxingshu7000" w:hAnsi="hakuyoxingshu7000" w:eastAsia="hakuyoxingshu7000" w:hint="eastAsia"/>
          <w:spacing w:val="-105"/>
          <w:sz w:val="21"/>
        </w:rPr>
        <w:t>元</w:t>
      </w:r>
      <w:r>
        <w:rPr>
          <w:rFonts w:ascii="hakuyoxingshu7000" w:hAnsi="hakuyoxingshu7000" w:eastAsia="hakuyoxingshu7000" w:hint="eastAsia"/>
          <w:sz w:val="21"/>
        </w:rPr>
        <w:t>（大</w:t>
      </w:r>
    </w:p>
    <w:p>
      <w:pPr>
        <w:spacing w:after="0"/>
        <w:jc w:val="left"/>
        <w:rPr>
          <w:rFonts w:ascii="hakuyoxingshu7000" w:hAnsi="hakuyoxingshu7000" w:eastAsia="hakuyoxingshu7000" w:hint="eastAsia"/>
          <w:sz w:val="21"/>
        </w:rPr>
        <w:sectPr>
          <w:type w:val="continuous"/>
          <w:pgSz w:w="11910" w:h="16850"/>
          <w:pgMar w:top="1380" w:bottom="280" w:left="1200" w:right="0"/>
          <w:cols w:num="3" w:equalWidth="0">
            <w:col w:w="954" w:space="397"/>
            <w:col w:w="1711" w:space="63"/>
            <w:col w:w="7585"/>
          </w:cols>
        </w:sectPr>
      </w:pPr>
    </w:p>
    <w:p>
      <w:pPr>
        <w:pStyle w:val="BodyText"/>
        <w:spacing w:before="2"/>
        <w:rPr>
          <w:rFonts w:ascii="hakuyoxingshu7000"/>
          <w:sz w:val="14"/>
        </w:rPr>
      </w:pPr>
    </w:p>
    <w:p>
      <w:pPr>
        <w:pStyle w:val="BodyText"/>
        <w:ind w:left="3741"/>
        <w:rPr>
          <w:rFonts w:ascii="hakuyoxingshu7000"/>
          <w:sz w:val="20"/>
        </w:rPr>
      </w:pPr>
      <w:r>
        <w:rPr>
          <w:rFonts w:ascii="hakuyoxingshu7000"/>
          <w:sz w:val="20"/>
        </w:rPr>
        <w:pict>
          <v:shape style="width:21.05pt;height:24.75pt;mso-position-horizontal-relative:char;mso-position-vertical-relative:line" type="#_x0000_t202" filled="true" fillcolor="#ffffff" stroked="false">
            <w10:anchorlock/>
            <v:textbox inset="0,0,0,0">
              <w:txbxContent>
                <w:p>
                  <w:pPr>
                    <w:spacing w:before="180"/>
                    <w:ind w:left="0" w:right="-15" w:firstLine="0"/>
                    <w:jc w:val="left"/>
                    <w:rPr>
                      <w:rFonts w:ascii="hakuyoxingshu7000" w:eastAsia="hakuyoxingshu7000" w:hint="eastAsia"/>
                      <w:sz w:val="21"/>
                    </w:rPr>
                  </w:pPr>
                  <w:r>
                    <w:rPr>
                      <w:rFonts w:ascii="hakuyoxingshu7000" w:eastAsia="hakuyoxingshu7000" w:hint="eastAsia"/>
                      <w:sz w:val="21"/>
                    </w:rPr>
                    <w:t>写）</w:t>
                  </w:r>
                </w:p>
              </w:txbxContent>
            </v:textbox>
            <v:fill type="solid"/>
          </v:shape>
        </w:pict>
      </w:r>
      <w:r>
        <w:rPr>
          <w:rFonts w:ascii="hakuyoxingshu7000"/>
          <w:sz w:val="20"/>
        </w:rPr>
      </w:r>
    </w:p>
    <w:p>
      <w:pPr>
        <w:pStyle w:val="BodyText"/>
        <w:spacing w:before="8"/>
        <w:rPr>
          <w:rFonts w:ascii="hakuyoxingshu7000"/>
          <w:sz w:val="8"/>
        </w:rPr>
      </w:pPr>
    </w:p>
    <w:p>
      <w:pPr>
        <w:spacing w:after="0"/>
        <w:rPr>
          <w:rFonts w:ascii="hakuyoxingshu7000"/>
          <w:sz w:val="8"/>
        </w:rPr>
        <w:sectPr>
          <w:type w:val="continuous"/>
          <w:pgSz w:w="11910" w:h="16850"/>
          <w:pgMar w:top="1380" w:bottom="280" w:left="1200" w:right="0"/>
        </w:sectPr>
      </w:pPr>
    </w:p>
    <w:p>
      <w:pPr>
        <w:spacing w:before="190"/>
        <w:ind w:left="617" w:right="0" w:firstLine="0"/>
        <w:jc w:val="left"/>
        <w:rPr>
          <w:rFonts w:ascii="hakuyoxingshu7000"/>
          <w:sz w:val="21"/>
        </w:rPr>
      </w:pPr>
      <w:r>
        <w:rPr>
          <w:rFonts w:ascii="hakuyoxingshu7000"/>
          <w:spacing w:val="3"/>
          <w:w w:val="111"/>
          <w:sz w:val="21"/>
        </w:rPr>
        <w:t>3</w:t>
      </w:r>
      <w:r>
        <w:rPr>
          <w:rFonts w:ascii="hakuyoxingshu7000"/>
          <w:spacing w:val="1"/>
          <w:w w:val="55"/>
          <w:sz w:val="21"/>
        </w:rPr>
        <w:t>.</w:t>
      </w:r>
      <w:r>
        <w:rPr>
          <w:rFonts w:ascii="hakuyoxingshu7000"/>
          <w:w w:val="111"/>
          <w:sz w:val="21"/>
        </w:rPr>
        <w:t>3</w:t>
      </w:r>
    </w:p>
    <w:p>
      <w:pPr>
        <w:spacing w:before="190"/>
        <w:ind w:left="617" w:right="0" w:firstLine="0"/>
        <w:jc w:val="left"/>
        <w:rPr>
          <w:rFonts w:ascii="hakuyoxingshu7000" w:eastAsia="hakuyoxingshu7000" w:hint="eastAsia"/>
          <w:sz w:val="21"/>
        </w:rPr>
      </w:pPr>
      <w:r>
        <w:rPr/>
        <w:br w:type="column"/>
      </w:r>
      <w:r>
        <w:rPr>
          <w:rFonts w:ascii="hakuyoxingshu7000" w:eastAsia="hakuyoxingshu7000" w:hint="eastAsia"/>
          <w:sz w:val="21"/>
        </w:rPr>
        <w:t>投标有效期</w:t>
      </w:r>
    </w:p>
    <w:p>
      <w:pPr>
        <w:spacing w:before="115"/>
        <w:ind w:left="617" w:right="0" w:firstLine="0"/>
        <w:jc w:val="left"/>
        <w:rPr>
          <w:rFonts w:ascii="hakuyoxingshu7000" w:eastAsia="hakuyoxingshu7000" w:hint="eastAsia"/>
          <w:sz w:val="21"/>
        </w:rPr>
      </w:pPr>
      <w:r>
        <w:rPr/>
        <w:br w:type="column"/>
      </w:r>
      <w:r>
        <w:rPr>
          <w:rFonts w:ascii="Times New Roman" w:eastAsia="Times New Roman"/>
          <w:spacing w:val="-53"/>
          <w:sz w:val="21"/>
          <w:shd w:fill="FFFFFF" w:color="auto" w:val="clear"/>
        </w:rPr>
        <w:t> </w:t>
      </w:r>
      <w:r>
        <w:rPr>
          <w:rFonts w:ascii="hakuyoxingshu7000" w:eastAsia="hakuyoxingshu7000" w:hint="eastAsia"/>
          <w:spacing w:val="-3"/>
          <w:sz w:val="21"/>
          <w:shd w:fill="FFFFFF" w:color="auto" w:val="clear"/>
        </w:rPr>
        <w:t>自投标人提交投标文件截止之日起计算 </w:t>
      </w:r>
      <w:r>
        <w:rPr>
          <w:rFonts w:ascii="hakuyoxingshu7000" w:eastAsia="hakuyoxingshu7000" w:hint="eastAsia"/>
          <w:color w:val="0000FF"/>
          <w:sz w:val="21"/>
          <w:shd w:fill="FFFFFF" w:color="auto" w:val="clear"/>
        </w:rPr>
        <w:t>60 </w:t>
      </w:r>
      <w:r>
        <w:rPr>
          <w:rFonts w:ascii="hakuyoxingshu7000" w:eastAsia="hakuyoxingshu7000" w:hint="eastAsia"/>
          <w:sz w:val="21"/>
          <w:shd w:fill="FFFFFF" w:color="auto" w:val="clear"/>
        </w:rPr>
        <w:t>天</w:t>
      </w:r>
    </w:p>
    <w:p>
      <w:pPr>
        <w:spacing w:after="0"/>
        <w:jc w:val="left"/>
        <w:rPr>
          <w:rFonts w:ascii="hakuyoxingshu7000" w:eastAsia="hakuyoxingshu7000" w:hint="eastAsia"/>
          <w:sz w:val="21"/>
        </w:rPr>
        <w:sectPr>
          <w:type w:val="continuous"/>
          <w:pgSz w:w="11910" w:h="16850"/>
          <w:pgMar w:top="1380" w:bottom="280" w:left="1200" w:right="0"/>
          <w:cols w:num="3" w:equalWidth="0">
            <w:col w:w="955" w:space="397"/>
            <w:col w:w="1711" w:space="62"/>
            <w:col w:w="7585"/>
          </w:cols>
        </w:sectPr>
      </w:pPr>
    </w:p>
    <w:p>
      <w:pPr>
        <w:pStyle w:val="BodyText"/>
        <w:spacing w:before="3"/>
        <w:rPr>
          <w:rFonts w:ascii="hakuyoxingshu7000"/>
          <w:sz w:val="19"/>
        </w:rPr>
      </w:pPr>
    </w:p>
    <w:p>
      <w:pPr>
        <w:spacing w:line="564" w:lineRule="auto" w:before="115"/>
        <w:ind w:left="3741" w:right="2335" w:firstLine="0"/>
        <w:jc w:val="left"/>
        <w:rPr>
          <w:rFonts w:ascii="hakuyoxingshu7000" w:eastAsia="hakuyoxingshu7000" w:hint="eastAsia"/>
          <w:sz w:val="21"/>
        </w:rPr>
      </w:pPr>
      <w:r>
        <w:rPr>
          <w:rFonts w:ascii="hakuyoxingshu7000" w:eastAsia="hakuyoxingshu7000" w:hint="eastAsia"/>
          <w:sz w:val="21"/>
        </w:rPr>
        <w:t>投标保证金缴纳形式：转账或投标保函形式缴纳。投标保证金的金额：</w:t>
      </w:r>
      <w:r>
        <w:rPr>
          <w:rFonts w:ascii="hakuyoxingshu7000" w:eastAsia="hakuyoxingshu7000" w:hint="eastAsia"/>
          <w:color w:val="0000FF"/>
          <w:w w:val="111"/>
          <w:sz w:val="21"/>
        </w:rPr>
        <w:t>70000</w:t>
      </w:r>
      <w:r>
        <w:rPr>
          <w:rFonts w:ascii="hakuyoxingshu7000" w:eastAsia="hakuyoxingshu7000" w:hint="eastAsia"/>
          <w:color w:val="0000FF"/>
          <w:w w:val="55"/>
          <w:sz w:val="21"/>
        </w:rPr>
        <w:t>.</w:t>
      </w:r>
      <w:r>
        <w:rPr>
          <w:rFonts w:ascii="hakuyoxingshu7000" w:eastAsia="hakuyoxingshu7000" w:hint="eastAsia"/>
          <w:color w:val="0000FF"/>
          <w:w w:val="111"/>
          <w:sz w:val="21"/>
        </w:rPr>
        <w:t>00</w:t>
      </w:r>
      <w:r>
        <w:rPr>
          <w:rFonts w:ascii="hakuyoxingshu7000" w:eastAsia="hakuyoxingshu7000" w:hint="eastAsia"/>
          <w:color w:val="0000FF"/>
          <w:sz w:val="21"/>
        </w:rPr>
        <w:t>（柒万元整）</w:t>
      </w:r>
    </w:p>
    <w:p>
      <w:pPr>
        <w:spacing w:line="549" w:lineRule="auto" w:before="0"/>
        <w:ind w:left="3741" w:right="4849" w:firstLine="0"/>
        <w:jc w:val="left"/>
        <w:rPr>
          <w:rFonts w:ascii="hakuyoxingshu7000" w:eastAsia="hakuyoxingshu7000" w:hint="eastAsia"/>
          <w:sz w:val="21"/>
        </w:rPr>
      </w:pPr>
      <w:r>
        <w:rPr>
          <w:rFonts w:ascii="hakuyoxingshu7000" w:eastAsia="hakuyoxingshu7000" w:hint="eastAsia"/>
          <w:sz w:val="21"/>
        </w:rPr>
        <w:t>一、保证金缴纳方式： 1、通过银行转账：</w:t>
      </w:r>
    </w:p>
    <w:p>
      <w:pPr>
        <w:spacing w:after="0" w:line="549" w:lineRule="auto"/>
        <w:jc w:val="left"/>
        <w:rPr>
          <w:rFonts w:ascii="hakuyoxingshu7000" w:eastAsia="hakuyoxingshu7000" w:hint="eastAsia"/>
          <w:sz w:val="21"/>
        </w:rPr>
        <w:sectPr>
          <w:type w:val="continuous"/>
          <w:pgSz w:w="11910" w:h="16850"/>
          <w:pgMar w:top="1380" w:bottom="280" w:left="1200" w:right="0"/>
        </w:sectPr>
      </w:pPr>
    </w:p>
    <w:p>
      <w:pPr>
        <w:spacing w:before="10"/>
        <w:ind w:left="617" w:right="0" w:firstLine="0"/>
        <w:jc w:val="left"/>
        <w:rPr>
          <w:rFonts w:ascii="hakuyoxingshu7000"/>
          <w:sz w:val="21"/>
        </w:rPr>
      </w:pPr>
      <w:r>
        <w:rPr/>
        <w:pict>
          <v:group style="position:absolute;margin-left:69.099998pt;margin-top:71.305pt;width:460.35pt;height:689.9pt;mso-position-horizontal-relative:page;mso-position-vertical-relative:page;z-index:-268638208" coordorigin="1382,1426" coordsize="9207,13798">
            <v:shape style="position:absolute;left:1563;top:4099;width:8786;height:8653" type="#_x0000_t75" stroked="false">
              <v:imagedata r:id="rId6" o:title=""/>
            </v:shape>
            <v:shape style="position:absolute;left:4941;top:3933;width:5527;height:2388" coordorigin="4942,3934" coordsize="5527,2388" path="m10469,5825l4942,5825,4942,6321,10469,6321,10469,5825m10469,4564l4942,4564,4942,5060,10469,5060,10469,4564m10469,3934l4942,3934,4942,4444,10469,4444,10469,3934e" filled="true" fillcolor="#ffffff" stroked="false">
              <v:path arrowok="t"/>
              <v:fill type="solid"/>
            </v:shape>
            <v:line style="position:absolute" from="1397,5818" to="2553,5818" stroked="true" strokeweight=".75pt" strokecolor="#000000">
              <v:stroke dashstyle="solid"/>
            </v:line>
            <v:line style="position:absolute" from="2569,5818" to="4836,5818" stroked="true" strokeweight=".75pt" strokecolor="#000000">
              <v:stroke dashstyle="solid"/>
            </v:line>
            <v:line style="position:absolute" from="4851,5818" to="10574,5818" stroked="true" strokeweight=".75pt" strokecolor="#000000">
              <v:stroke dashstyle="solid"/>
            </v:line>
            <v:shape style="position:absolute;left:4941;top:7086;width:5527;height:1126" coordorigin="4942,7086" coordsize="5527,1126" path="m6534,7086l4942,7086,4942,7582,6534,7582,6534,7086m10469,7702l4942,7702,4942,8212,10469,8212,10469,7702e" filled="true" fillcolor="#ffffff" stroked="false">
              <v:path arrowok="t"/>
              <v:fill type="solid"/>
            </v:shape>
            <v:line style="position:absolute" from="1397,7078" to="2553,7078" stroked="true" strokeweight=".75pt" strokecolor="#000000">
              <v:stroke dashstyle="solid"/>
            </v:line>
            <v:line style="position:absolute" from="2569,7078" to="4836,7078" stroked="true" strokeweight=".75pt" strokecolor="#000000">
              <v:stroke dashstyle="solid"/>
            </v:line>
            <v:line style="position:absolute" from="4851,7078" to="10574,7078" stroked="true" strokeweight=".75pt" strokecolor="#000000">
              <v:stroke dashstyle="solid"/>
            </v:line>
            <v:line style="position:absolute" from="1397,8956" to="2553,8956" stroked="true" strokeweight=".75pt" strokecolor="#000000">
              <v:stroke dashstyle="solid"/>
            </v:line>
            <v:line style="position:absolute" from="2569,8956" to="4836,8956" stroked="true" strokeweight=".75pt" strokecolor="#000000">
              <v:stroke dashstyle="solid"/>
            </v:line>
            <v:line style="position:absolute" from="4851,8956" to="10574,8956" stroked="true" strokeweight=".75pt" strokecolor="#000000">
              <v:stroke dashstyle="solid"/>
            </v:line>
            <v:rect style="position:absolute;left:4941;top:9593;width:4626;height:511" filled="true" fillcolor="#ffffff" stroked="false">
              <v:fill type="solid"/>
            </v:rect>
            <v:line style="position:absolute" from="1397,9601" to="2553,9601" stroked="true" strokeweight=".75pt" strokecolor="#000000">
              <v:stroke dashstyle="solid"/>
            </v:line>
            <v:line style="position:absolute" from="2569,9601" to="4836,9601" stroked="true" strokeweight=".75pt" strokecolor="#000000">
              <v:stroke dashstyle="solid"/>
            </v:line>
            <v:line style="position:absolute" from="4851,9601" to="10574,9601" stroked="true" strokeweight=".75pt" strokecolor="#000000">
              <v:stroke dashstyle="solid"/>
            </v:line>
            <v:line style="position:absolute" from="1397,1434" to="2553,1434" stroked="true" strokeweight=".775pt" strokecolor="#000000">
              <v:stroke dashstyle="solid"/>
            </v:line>
            <v:line style="position:absolute" from="2569,1434" to="4836,1434" stroked="true" strokeweight=".775pt" strokecolor="#000000">
              <v:stroke dashstyle="solid"/>
            </v:line>
            <v:line style="position:absolute" from="4851,1434" to="10574,1434" stroked="true" strokeweight=".775pt" strokecolor="#000000">
              <v:stroke dashstyle="solid"/>
            </v:line>
            <v:line style="position:absolute" from="1397,2680" to="2553,2680" stroked="true" strokeweight=".75pt" strokecolor="#000000">
              <v:stroke dashstyle="solid"/>
            </v:line>
            <v:line style="position:absolute" from="2569,2680" to="4836,2680" stroked="true" strokeweight=".75pt" strokecolor="#000000">
              <v:stroke dashstyle="solid"/>
            </v:line>
            <v:line style="position:absolute" from="4851,2680" to="10574,2680" stroked="true" strokeweight=".75pt" strokecolor="#000000">
              <v:stroke dashstyle="solid"/>
            </v:line>
            <v:line style="position:absolute" from="1389,1426" to="1389,15224" stroked="true" strokeweight=".75pt" strokecolor="#000000">
              <v:stroke dashstyle="solid"/>
            </v:line>
            <v:line style="position:absolute" from="1397,15216" to="2553,15216" stroked="true" strokeweight=".75pt" strokecolor="#000000">
              <v:stroke dashstyle="solid"/>
            </v:line>
            <v:line style="position:absolute" from="2561,1426" to="2561,15224" stroked="true" strokeweight=".775pt" strokecolor="#000000">
              <v:stroke dashstyle="solid"/>
            </v:line>
            <v:line style="position:absolute" from="2569,15216" to="4836,15216" stroked="true" strokeweight=".75pt" strokecolor="#000000">
              <v:stroke dashstyle="solid"/>
            </v:line>
            <v:line style="position:absolute" from="4843,1426" to="4843,15224" stroked="true" strokeweight=".75pt" strokecolor="#000000">
              <v:stroke dashstyle="solid"/>
            </v:line>
            <v:line style="position:absolute" from="4851,15216" to="10574,15216" stroked="true" strokeweight=".75pt" strokecolor="#000000">
              <v:stroke dashstyle="solid"/>
            </v:line>
            <v:line style="position:absolute" from="10581,1426" to="10581,15224" stroked="true" strokeweight=".75pt" strokecolor="#000000">
              <v:stroke dashstyle="solid"/>
            </v:line>
            <w10:wrap type="none"/>
          </v:group>
        </w:pict>
      </w:r>
      <w:r>
        <w:rPr>
          <w:rFonts w:ascii="hakuyoxingshu7000"/>
          <w:spacing w:val="3"/>
          <w:w w:val="111"/>
          <w:sz w:val="21"/>
          <w:shd w:fill="FFFFFF" w:color="auto" w:val="clear"/>
        </w:rPr>
        <w:t>3</w:t>
      </w:r>
      <w:r>
        <w:rPr>
          <w:rFonts w:ascii="hakuyoxingshu7000"/>
          <w:spacing w:val="1"/>
          <w:w w:val="55"/>
          <w:sz w:val="21"/>
          <w:shd w:fill="FFFFFF" w:color="auto" w:val="clear"/>
        </w:rPr>
        <w:t>.</w:t>
      </w:r>
      <w:r>
        <w:rPr>
          <w:rFonts w:ascii="hakuyoxingshu7000"/>
          <w:w w:val="111"/>
          <w:sz w:val="21"/>
          <w:shd w:fill="FFFFFF" w:color="auto" w:val="clear"/>
        </w:rPr>
        <w:t>4</w:t>
      </w:r>
    </w:p>
    <w:p>
      <w:pPr>
        <w:spacing w:before="10"/>
        <w:ind w:left="617" w:right="0" w:firstLine="0"/>
        <w:jc w:val="left"/>
        <w:rPr>
          <w:rFonts w:ascii="hakuyoxingshu7000" w:eastAsia="hakuyoxingshu7000" w:hint="eastAsia"/>
          <w:sz w:val="21"/>
        </w:rPr>
      </w:pPr>
      <w:r>
        <w:rPr/>
        <w:br w:type="column"/>
      </w:r>
      <w:r>
        <w:rPr>
          <w:rFonts w:ascii="hakuyoxingshu7000" w:eastAsia="hakuyoxingshu7000" w:hint="eastAsia"/>
          <w:sz w:val="21"/>
        </w:rPr>
        <w:t>投标保证金</w:t>
      </w:r>
    </w:p>
    <w:p>
      <w:pPr>
        <w:spacing w:line="549" w:lineRule="auto" w:before="10"/>
        <w:ind w:left="617" w:right="2547" w:firstLine="0"/>
        <w:jc w:val="left"/>
        <w:rPr>
          <w:rFonts w:ascii="hakuyoxingshu7000" w:eastAsia="hakuyoxingshu7000" w:hint="eastAsia"/>
          <w:sz w:val="21"/>
        </w:rPr>
      </w:pPr>
      <w:r>
        <w:rPr/>
        <w:br w:type="column"/>
      </w:r>
      <w:r>
        <w:rPr>
          <w:rFonts w:ascii="hakuyoxingshu7000" w:eastAsia="hakuyoxingshu7000" w:hint="eastAsia"/>
          <w:sz w:val="21"/>
        </w:rPr>
        <w:t>收款行名：</w:t>
      </w:r>
      <w:r>
        <w:rPr>
          <w:rFonts w:ascii="hakuyoxingshu7000" w:eastAsia="hakuyoxingshu7000" w:hint="eastAsia"/>
          <w:color w:val="0000FF"/>
          <w:sz w:val="21"/>
        </w:rPr>
        <w:t>海东市公共资源交易中心保证金专户</w:t>
      </w:r>
      <w:r>
        <w:rPr>
          <w:rFonts w:ascii="hakuyoxingshu7000" w:eastAsia="hakuyoxingshu7000" w:hint="eastAsia"/>
          <w:sz w:val="21"/>
        </w:rPr>
        <w:t>收款行号：</w:t>
      </w:r>
      <w:r>
        <w:rPr>
          <w:rFonts w:ascii="hakuyoxingshu7000" w:eastAsia="hakuyoxingshu7000" w:hint="eastAsia"/>
          <w:color w:val="0000FF"/>
          <w:sz w:val="21"/>
        </w:rPr>
        <w:t>7779905201000323751</w:t>
      </w:r>
    </w:p>
    <w:p>
      <w:pPr>
        <w:spacing w:line="561" w:lineRule="auto" w:before="14"/>
        <w:ind w:left="617" w:right="3390" w:firstLine="0"/>
        <w:jc w:val="left"/>
        <w:rPr>
          <w:rFonts w:ascii="hakuyoxingshu7000" w:eastAsia="hakuyoxingshu7000" w:hint="eastAsia"/>
          <w:sz w:val="21"/>
        </w:rPr>
      </w:pPr>
      <w:r>
        <w:rPr>
          <w:rFonts w:ascii="hakuyoxingshu7000" w:eastAsia="hakuyoxingshu7000" w:hint="eastAsia"/>
          <w:sz w:val="21"/>
        </w:rPr>
        <w:t>开户行联系电话：</w:t>
      </w:r>
      <w:r>
        <w:rPr>
          <w:rFonts w:ascii="hakuyoxingshu7000" w:eastAsia="hakuyoxingshu7000" w:hint="eastAsia"/>
          <w:color w:val="0000FF"/>
          <w:sz w:val="21"/>
        </w:rPr>
        <w:t>青海银行海东市分行</w:t>
      </w:r>
      <w:r>
        <w:rPr>
          <w:rFonts w:ascii="hakuyoxingshu7000" w:eastAsia="hakuyoxingshu7000" w:hint="eastAsia"/>
          <w:sz w:val="21"/>
        </w:rPr>
        <w:t>投标保证金代收单位名称：</w:t>
      </w:r>
      <w:r>
        <w:rPr>
          <w:rFonts w:ascii="hakuyoxingshu7000" w:eastAsia="hakuyoxingshu7000" w:hint="eastAsia"/>
          <w:color w:val="0000FF"/>
          <w:sz w:val="21"/>
        </w:rPr>
        <w:t>/</w:t>
      </w:r>
    </w:p>
    <w:p>
      <w:pPr>
        <w:spacing w:line="256" w:lineRule="exact" w:before="0"/>
        <w:ind w:left="617" w:right="0" w:firstLine="0"/>
        <w:jc w:val="left"/>
        <w:rPr>
          <w:rFonts w:ascii="hakuyoxingshu7000" w:eastAsia="hakuyoxingshu7000" w:hint="eastAsia"/>
          <w:sz w:val="21"/>
        </w:rPr>
      </w:pPr>
      <w:r>
        <w:rPr>
          <w:rFonts w:ascii="hakuyoxingshu7000" w:eastAsia="hakuyoxingshu7000" w:hint="eastAsia"/>
          <w:sz w:val="21"/>
        </w:rPr>
        <w:t>收款人账号：</w:t>
      </w:r>
      <w:r>
        <w:rPr>
          <w:rFonts w:ascii="hakuyoxingshu7000" w:eastAsia="hakuyoxingshu7000" w:hint="eastAsia"/>
          <w:color w:val="0000FF"/>
          <w:sz w:val="21"/>
        </w:rPr>
        <w:t>/</w:t>
      </w:r>
    </w:p>
    <w:p>
      <w:pPr>
        <w:spacing w:after="0" w:line="256" w:lineRule="exact"/>
        <w:jc w:val="left"/>
        <w:rPr>
          <w:rFonts w:ascii="hakuyoxingshu7000" w:eastAsia="hakuyoxingshu7000" w:hint="eastAsia"/>
          <w:sz w:val="21"/>
        </w:rPr>
        <w:sectPr>
          <w:type w:val="continuous"/>
          <w:pgSz w:w="11910" w:h="16850"/>
          <w:pgMar w:top="1380" w:bottom="280" w:left="1200" w:right="0"/>
          <w:cols w:num="3" w:equalWidth="0">
            <w:col w:w="955" w:space="397"/>
            <w:col w:w="1711" w:space="62"/>
            <w:col w:w="7585"/>
          </w:cols>
        </w:sectPr>
      </w:pPr>
    </w:p>
    <w:p>
      <w:pPr>
        <w:pStyle w:val="BodyText"/>
        <w:spacing w:before="10"/>
        <w:rPr>
          <w:rFonts w:ascii="Times New Roman"/>
          <w:sz w:val="3"/>
        </w:rPr>
      </w:pPr>
      <w:r>
        <w:rPr/>
        <w:pict>
          <v:group style="position:absolute;margin-left:78.170998pt;margin-top:196.675003pt;width:439.3pt;height:440.95pt;mso-position-horizontal-relative:page;mso-position-vertical-relative:page;z-index:-268636160" coordorigin="1563,3934" coordsize="8786,8819">
            <v:shape style="position:absolute;left:1563;top:4099;width:8786;height:8653" type="#_x0000_t75" stroked="false">
              <v:imagedata r:id="rId6" o:title=""/>
            </v:shape>
            <v:shape style="position:absolute;left:4941;top:3933;width:4806;height:5931" coordorigin="4942,3934" coordsize="4806,5931" path="m5723,9368l4942,9368,4942,9864,5723,9864,5723,9368m8997,8107l4942,8107,4942,8602,8997,8602,8997,8107m8997,6846l4942,6846,4942,7357,8997,7357,8997,6846m8997,5585l4942,5585,4942,6096,8997,6096,8997,5585m9748,3934l4942,3934,4942,4429,9748,4429,9748,3934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4126"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2" w:type="dxa"/>
            <w:tcBorders>
              <w:bottom w:val="single" w:sz="6" w:space="0" w:color="000000"/>
              <w:right w:val="single" w:sz="6" w:space="0" w:color="000000"/>
            </w:tcBorders>
          </w:tcPr>
          <w:p>
            <w:pPr>
              <w:pStyle w:val="TableParagraph"/>
              <w:rPr>
                <w:rFonts w:ascii="Times New Roman"/>
                <w:sz w:val="20"/>
              </w:rPr>
            </w:pPr>
          </w:p>
        </w:tc>
        <w:tc>
          <w:tcPr>
            <w:tcW w:w="5737" w:type="dxa"/>
            <w:tcBorders>
              <w:left w:val="single" w:sz="6" w:space="0" w:color="000000"/>
              <w:bottom w:val="single" w:sz="6" w:space="0" w:color="000000"/>
              <w:right w:val="single" w:sz="6" w:space="0" w:color="000000"/>
            </w:tcBorders>
          </w:tcPr>
          <w:p>
            <w:pPr>
              <w:pStyle w:val="TableParagraph"/>
              <w:spacing w:line="561" w:lineRule="auto" w:before="162"/>
              <w:ind w:left="99" w:right="3515"/>
              <w:rPr>
                <w:rFonts w:ascii="hakuyoxingshu7000" w:eastAsia="hakuyoxingshu7000" w:hint="eastAsia"/>
                <w:sz w:val="21"/>
              </w:rPr>
            </w:pPr>
            <w:r>
              <w:rPr>
                <w:rFonts w:ascii="hakuyoxingshu7000" w:eastAsia="hakuyoxingshu7000" w:hint="eastAsia"/>
                <w:w w:val="95"/>
                <w:sz w:val="21"/>
              </w:rPr>
              <w:t>2、投标保证金保函：</w:t>
            </w:r>
            <w:r>
              <w:rPr>
                <w:rFonts w:ascii="hakuyoxingshu7000" w:eastAsia="hakuyoxingshu7000" w:hint="eastAsia"/>
                <w:color w:val="0000FF"/>
                <w:w w:val="95"/>
                <w:sz w:val="21"/>
              </w:rPr>
              <w:t>/ </w:t>
            </w:r>
            <w:r>
              <w:rPr>
                <w:rFonts w:ascii="hakuyoxingshu7000" w:eastAsia="hakuyoxingshu7000" w:hint="eastAsia"/>
                <w:sz w:val="21"/>
              </w:rPr>
              <w:t>二、投标保证金退还：</w:t>
            </w:r>
          </w:p>
          <w:p>
            <w:pPr>
              <w:pStyle w:val="TableParagraph"/>
              <w:spacing w:line="256" w:lineRule="exact"/>
              <w:ind w:left="99"/>
              <w:rPr>
                <w:rFonts w:ascii="hakuyoxingshu7000" w:eastAsia="hakuyoxingshu7000" w:hint="eastAsia"/>
                <w:sz w:val="21"/>
              </w:rPr>
            </w:pPr>
            <w:r>
              <w:rPr>
                <w:rFonts w:ascii="hakuyoxingshu7000" w:eastAsia="hakuyoxingshu7000" w:hint="eastAsia"/>
                <w:spacing w:val="3"/>
                <w:sz w:val="21"/>
              </w:rPr>
              <w:t>1</w:t>
            </w:r>
            <w:r>
              <w:rPr>
                <w:rFonts w:ascii="hakuyoxingshu7000" w:eastAsia="hakuyoxingshu7000" w:hint="eastAsia"/>
                <w:spacing w:val="-2"/>
                <w:sz w:val="21"/>
              </w:rPr>
              <w:t>、投标保函：招标人与中标人签订书面合同后 </w:t>
            </w:r>
            <w:r>
              <w:rPr>
                <w:rFonts w:ascii="hakuyoxingshu7000" w:eastAsia="hakuyoxingshu7000" w:hint="eastAsia"/>
                <w:sz w:val="21"/>
              </w:rPr>
              <w:t>5</w:t>
            </w:r>
            <w:r>
              <w:rPr>
                <w:rFonts w:ascii="hakuyoxingshu7000" w:eastAsia="hakuyoxingshu7000" w:hint="eastAsia"/>
                <w:spacing w:val="-10"/>
                <w:sz w:val="21"/>
              </w:rPr>
              <w:t> 日内退还。</w:t>
            </w:r>
          </w:p>
          <w:p>
            <w:pPr>
              <w:pStyle w:val="TableParagraph"/>
              <w:spacing w:before="5"/>
              <w:rPr>
                <w:rFonts w:ascii="Times New Roman"/>
                <w:sz w:val="31"/>
              </w:rPr>
            </w:pPr>
          </w:p>
          <w:p>
            <w:pPr>
              <w:pStyle w:val="TableParagraph"/>
              <w:spacing w:before="1"/>
              <w:ind w:left="99"/>
              <w:rPr>
                <w:rFonts w:ascii="hakuyoxingshu7000" w:eastAsia="hakuyoxingshu7000" w:hint="eastAsia"/>
                <w:sz w:val="21"/>
              </w:rPr>
            </w:pPr>
            <w:r>
              <w:rPr>
                <w:rFonts w:ascii="hakuyoxingshu7000" w:eastAsia="hakuyoxingshu7000" w:hint="eastAsia"/>
                <w:sz w:val="21"/>
              </w:rPr>
              <w:t>2、通过银行转账的保证金：招标人与中标人签订书面合同后</w:t>
            </w:r>
          </w:p>
          <w:p>
            <w:pPr>
              <w:pStyle w:val="TableParagraph"/>
              <w:spacing w:line="610" w:lineRule="atLeast" w:before="21"/>
              <w:ind w:left="99" w:right="761"/>
              <w:rPr>
                <w:rFonts w:ascii="hakuyoxingshu7000" w:eastAsia="hakuyoxingshu7000" w:hint="eastAsia"/>
                <w:sz w:val="21"/>
              </w:rPr>
            </w:pPr>
            <w:r>
              <w:rPr>
                <w:rFonts w:ascii="hakuyoxingshu7000" w:eastAsia="hakuyoxingshu7000" w:hint="eastAsia"/>
                <w:sz w:val="21"/>
              </w:rPr>
              <w:t>5 日内退还中标人与未中标人本金及银行同期利息， 三、投标保证金不退还：</w:t>
            </w:r>
          </w:p>
          <w:p>
            <w:pPr>
              <w:pStyle w:val="TableParagraph"/>
              <w:spacing w:before="4"/>
              <w:rPr>
                <w:rFonts w:ascii="Times New Roman"/>
                <w:sz w:val="25"/>
              </w:rPr>
            </w:pPr>
          </w:p>
          <w:p>
            <w:pPr>
              <w:pStyle w:val="TableParagraph"/>
              <w:spacing w:line="265" w:lineRule="exact"/>
              <w:ind w:left="99"/>
              <w:rPr>
                <w:rFonts w:ascii="hakuyoxingshu7000" w:eastAsia="hakuyoxingshu7000" w:hint="eastAsia"/>
                <w:sz w:val="21"/>
              </w:rPr>
            </w:pPr>
            <w:r>
              <w:rPr>
                <w:rFonts w:ascii="hakuyoxingshu7000" w:eastAsia="hakuyoxingshu7000" w:hint="eastAsia"/>
                <w:spacing w:val="-6"/>
                <w:sz w:val="21"/>
              </w:rPr>
              <w:t>详见招标文件总则 </w:t>
            </w:r>
            <w:r>
              <w:rPr>
                <w:rFonts w:ascii="hakuyoxingshu7000" w:eastAsia="hakuyoxingshu7000" w:hint="eastAsia"/>
                <w:spacing w:val="2"/>
                <w:w w:val="111"/>
                <w:sz w:val="21"/>
              </w:rPr>
              <w:t>3</w:t>
            </w:r>
            <w:r>
              <w:rPr>
                <w:rFonts w:ascii="hakuyoxingshu7000" w:eastAsia="hakuyoxingshu7000" w:hint="eastAsia"/>
                <w:spacing w:val="1"/>
                <w:w w:val="55"/>
                <w:sz w:val="21"/>
              </w:rPr>
              <w:t>.</w:t>
            </w:r>
            <w:r>
              <w:rPr>
                <w:rFonts w:ascii="hakuyoxingshu7000" w:eastAsia="hakuyoxingshu7000" w:hint="eastAsia"/>
                <w:spacing w:val="2"/>
                <w:w w:val="111"/>
                <w:sz w:val="21"/>
              </w:rPr>
              <w:t>4</w:t>
            </w:r>
            <w:r>
              <w:rPr>
                <w:rFonts w:ascii="hakuyoxingshu7000" w:eastAsia="hakuyoxingshu7000" w:hint="eastAsia"/>
                <w:spacing w:val="1"/>
                <w:w w:val="55"/>
                <w:sz w:val="21"/>
              </w:rPr>
              <w:t>.</w:t>
            </w:r>
            <w:r>
              <w:rPr>
                <w:rFonts w:ascii="hakuyoxingshu7000" w:eastAsia="hakuyoxingshu7000" w:hint="eastAsia"/>
                <w:w w:val="111"/>
                <w:sz w:val="21"/>
              </w:rPr>
              <w:t>4</w:t>
            </w:r>
            <w:r>
              <w:rPr>
                <w:rFonts w:ascii="hakuyoxingshu7000" w:eastAsia="hakuyoxingshu7000" w:hint="eastAsia"/>
                <w:spacing w:val="-11"/>
                <w:sz w:val="21"/>
              </w:rPr>
              <w:t> 条款。</w:t>
            </w:r>
          </w:p>
        </w:tc>
      </w:tr>
      <w:tr>
        <w:trPr>
          <w:trHeight w:val="1246"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3"/>
              <w:ind w:left="320" w:right="320"/>
              <w:jc w:val="center"/>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spacing w:val="2"/>
                <w:w w:val="111"/>
                <w:sz w:val="21"/>
              </w:rPr>
              <w:t>5</w:t>
            </w:r>
            <w:r>
              <w:rPr>
                <w:rFonts w:ascii="hakuyoxingshu7000"/>
                <w:spacing w:val="1"/>
                <w:w w:val="55"/>
                <w:sz w:val="21"/>
              </w:rPr>
              <w:t>.</w:t>
            </w:r>
            <w:r>
              <w:rPr>
                <w:rFonts w:ascii="hakuyoxingshu7000"/>
                <w:w w:val="111"/>
                <w:sz w:val="21"/>
              </w:rPr>
              <w:t>2</w:t>
            </w:r>
          </w:p>
        </w:tc>
        <w:tc>
          <w:tcPr>
            <w:tcW w:w="2282" w:type="dxa"/>
            <w:tcBorders>
              <w:top w:val="single" w:sz="6" w:space="0" w:color="000000"/>
              <w:bottom w:val="single" w:sz="6" w:space="0" w:color="000000"/>
              <w:right w:val="single" w:sz="6" w:space="0" w:color="000000"/>
            </w:tcBorders>
          </w:tcPr>
          <w:p>
            <w:pPr>
              <w:pStyle w:val="TableParagraph"/>
              <w:spacing w:before="180"/>
              <w:ind w:left="1"/>
              <w:jc w:val="center"/>
              <w:rPr>
                <w:rFonts w:ascii="hakuyoxingshu7000" w:eastAsia="hakuyoxingshu7000" w:hint="eastAsia"/>
                <w:sz w:val="21"/>
              </w:rPr>
            </w:pPr>
            <w:r>
              <w:rPr>
                <w:rFonts w:ascii="hakuyoxingshu7000" w:eastAsia="hakuyoxingshu7000" w:hint="eastAsia"/>
                <w:sz w:val="21"/>
              </w:rPr>
              <w:t>近年财务状况的年份</w:t>
            </w:r>
          </w:p>
          <w:p>
            <w:pPr>
              <w:pStyle w:val="TableParagraph"/>
              <w:spacing w:before="5"/>
              <w:rPr>
                <w:rFonts w:ascii="Times New Roman"/>
                <w:sz w:val="31"/>
              </w:rPr>
            </w:pPr>
          </w:p>
          <w:p>
            <w:pPr>
              <w:pStyle w:val="TableParagraph"/>
              <w:jc w:val="center"/>
              <w:rPr>
                <w:rFonts w:ascii="hakuyoxingshu7000" w:eastAsia="hakuyoxingshu7000" w:hint="eastAsia"/>
                <w:sz w:val="21"/>
              </w:rPr>
            </w:pPr>
            <w:r>
              <w:rPr>
                <w:rFonts w:ascii="hakuyoxingshu7000" w:eastAsia="hakuyoxingshu7000" w:hint="eastAsia"/>
                <w:sz w:val="21"/>
              </w:rPr>
              <w:t>要求</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Pr>
                <w:rFonts w:ascii="hakuyoxingshu7000" w:eastAsia="hakuyoxingshu7000" w:hint="eastAsia"/>
                <w:sz w:val="21"/>
              </w:rPr>
            </w:pPr>
            <w:r>
              <w:rPr>
                <w:rFonts w:ascii="hakuyoxingshu7000" w:eastAsia="hakuyoxingshu7000" w:hint="eastAsia"/>
                <w:color w:val="0000FF"/>
                <w:sz w:val="21"/>
              </w:rPr>
              <w:t>3 </w:t>
            </w:r>
            <w:r>
              <w:rPr>
                <w:rFonts w:ascii="hakuyoxingshu7000" w:eastAsia="hakuyoxingshu7000" w:hint="eastAsia"/>
                <w:spacing w:val="-11"/>
                <w:sz w:val="21"/>
              </w:rPr>
              <w:t>年，指 </w:t>
            </w:r>
            <w:r>
              <w:rPr>
                <w:rFonts w:ascii="hakuyoxingshu7000" w:eastAsia="hakuyoxingshu7000" w:hint="eastAsia"/>
                <w:color w:val="0000FF"/>
                <w:spacing w:val="3"/>
                <w:sz w:val="21"/>
              </w:rPr>
              <w:t>2017-01-01</w:t>
            </w:r>
            <w:r>
              <w:rPr>
                <w:rFonts w:ascii="hakuyoxingshu7000" w:eastAsia="hakuyoxingshu7000" w:hint="eastAsia"/>
                <w:color w:val="0000FF"/>
                <w:spacing w:val="-56"/>
                <w:sz w:val="21"/>
              </w:rPr>
              <w:t> </w:t>
            </w:r>
            <w:r>
              <w:rPr>
                <w:rFonts w:ascii="hakuyoxingshu7000" w:eastAsia="hakuyoxingshu7000" w:hint="eastAsia"/>
                <w:spacing w:val="-20"/>
                <w:sz w:val="21"/>
              </w:rPr>
              <w:t>起至 </w:t>
            </w:r>
            <w:r>
              <w:rPr>
                <w:rFonts w:ascii="hakuyoxingshu7000" w:eastAsia="hakuyoxingshu7000" w:hint="eastAsia"/>
                <w:color w:val="0000FF"/>
                <w:sz w:val="21"/>
              </w:rPr>
              <w:t>2019-12-31 </w:t>
            </w:r>
            <w:r>
              <w:rPr>
                <w:rFonts w:ascii="hakuyoxingshu7000" w:eastAsia="hakuyoxingshu7000" w:hint="eastAsia"/>
                <w:sz w:val="21"/>
              </w:rPr>
              <w:t>止。</w:t>
            </w:r>
          </w:p>
        </w:tc>
      </w:tr>
      <w:tr>
        <w:trPr>
          <w:trHeight w:val="1246"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3"/>
              <w:ind w:left="320" w:right="320"/>
              <w:jc w:val="center"/>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spacing w:val="2"/>
                <w:w w:val="111"/>
                <w:sz w:val="21"/>
              </w:rPr>
              <w:t>5</w:t>
            </w:r>
            <w:r>
              <w:rPr>
                <w:rFonts w:ascii="hakuyoxingshu7000"/>
                <w:spacing w:val="1"/>
                <w:w w:val="55"/>
                <w:sz w:val="21"/>
              </w:rPr>
              <w:t>.</w:t>
            </w:r>
            <w:r>
              <w:rPr>
                <w:rFonts w:ascii="hakuyoxingshu7000"/>
                <w:w w:val="111"/>
                <w:sz w:val="21"/>
              </w:rPr>
              <w:t>3</w:t>
            </w:r>
          </w:p>
        </w:tc>
        <w:tc>
          <w:tcPr>
            <w:tcW w:w="2282" w:type="dxa"/>
            <w:tcBorders>
              <w:top w:val="single" w:sz="6" w:space="0" w:color="000000"/>
              <w:bottom w:val="single" w:sz="6" w:space="0" w:color="000000"/>
              <w:right w:val="single" w:sz="6" w:space="0" w:color="000000"/>
            </w:tcBorders>
          </w:tcPr>
          <w:p>
            <w:pPr>
              <w:pStyle w:val="TableParagraph"/>
              <w:spacing w:before="180"/>
              <w:ind w:left="1"/>
              <w:jc w:val="center"/>
              <w:rPr>
                <w:rFonts w:ascii="hakuyoxingshu7000" w:eastAsia="hakuyoxingshu7000" w:hint="eastAsia"/>
                <w:sz w:val="21"/>
              </w:rPr>
            </w:pPr>
            <w:r>
              <w:rPr>
                <w:rFonts w:ascii="hakuyoxingshu7000" w:eastAsia="hakuyoxingshu7000" w:hint="eastAsia"/>
                <w:sz w:val="21"/>
              </w:rPr>
              <w:t>近年完成的类似项目</w:t>
            </w:r>
          </w:p>
          <w:p>
            <w:pPr>
              <w:pStyle w:val="TableParagraph"/>
              <w:spacing w:before="5"/>
              <w:rPr>
                <w:rFonts w:ascii="Times New Roman"/>
                <w:sz w:val="31"/>
              </w:rPr>
            </w:pPr>
          </w:p>
          <w:p>
            <w:pPr>
              <w:pStyle w:val="TableParagraph"/>
              <w:jc w:val="center"/>
              <w:rPr>
                <w:rFonts w:ascii="hakuyoxingshu7000" w:eastAsia="hakuyoxingshu7000" w:hint="eastAsia"/>
                <w:sz w:val="21"/>
              </w:rPr>
            </w:pPr>
            <w:r>
              <w:rPr>
                <w:rFonts w:ascii="hakuyoxingshu7000" w:eastAsia="hakuyoxingshu7000" w:hint="eastAsia"/>
                <w:sz w:val="21"/>
              </w:rPr>
              <w:t>的年份要求</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Pr>
                <w:rFonts w:ascii="hakuyoxingshu7000" w:eastAsia="hakuyoxingshu7000" w:hint="eastAsia"/>
                <w:sz w:val="21"/>
              </w:rPr>
            </w:pPr>
            <w:r>
              <w:rPr>
                <w:rFonts w:ascii="hakuyoxingshu7000" w:eastAsia="hakuyoxingshu7000" w:hint="eastAsia"/>
                <w:color w:val="0000FF"/>
                <w:sz w:val="21"/>
              </w:rPr>
              <w:t>3 </w:t>
            </w:r>
            <w:r>
              <w:rPr>
                <w:rFonts w:ascii="hakuyoxingshu7000" w:eastAsia="hakuyoxingshu7000" w:hint="eastAsia"/>
                <w:spacing w:val="-11"/>
                <w:sz w:val="21"/>
              </w:rPr>
              <w:t>年，指 </w:t>
            </w:r>
            <w:r>
              <w:rPr>
                <w:rFonts w:ascii="hakuyoxingshu7000" w:eastAsia="hakuyoxingshu7000" w:hint="eastAsia"/>
                <w:color w:val="0000FF"/>
                <w:spacing w:val="3"/>
                <w:sz w:val="21"/>
              </w:rPr>
              <w:t>2017-01-01</w:t>
            </w:r>
            <w:r>
              <w:rPr>
                <w:rFonts w:ascii="hakuyoxingshu7000" w:eastAsia="hakuyoxingshu7000" w:hint="eastAsia"/>
                <w:color w:val="0000FF"/>
                <w:spacing w:val="-56"/>
                <w:sz w:val="21"/>
              </w:rPr>
              <w:t> </w:t>
            </w:r>
            <w:r>
              <w:rPr>
                <w:rFonts w:ascii="hakuyoxingshu7000" w:eastAsia="hakuyoxingshu7000" w:hint="eastAsia"/>
                <w:spacing w:val="-20"/>
                <w:sz w:val="21"/>
              </w:rPr>
              <w:t>起至 </w:t>
            </w:r>
            <w:r>
              <w:rPr>
                <w:rFonts w:ascii="hakuyoxingshu7000" w:eastAsia="hakuyoxingshu7000" w:hint="eastAsia"/>
                <w:color w:val="0000FF"/>
                <w:sz w:val="21"/>
              </w:rPr>
              <w:t>2019-12-31 </w:t>
            </w:r>
            <w:r>
              <w:rPr>
                <w:rFonts w:ascii="hakuyoxingshu7000" w:eastAsia="hakuyoxingshu7000" w:hint="eastAsia"/>
                <w:sz w:val="21"/>
              </w:rPr>
              <w:t>止。</w:t>
            </w:r>
          </w:p>
        </w:tc>
      </w:tr>
      <w:tr>
        <w:trPr>
          <w:trHeight w:val="1245"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3"/>
              <w:ind w:left="320" w:right="320"/>
              <w:jc w:val="center"/>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spacing w:val="2"/>
                <w:w w:val="111"/>
                <w:sz w:val="21"/>
              </w:rPr>
              <w:t>5</w:t>
            </w:r>
            <w:r>
              <w:rPr>
                <w:rFonts w:ascii="hakuyoxingshu7000"/>
                <w:spacing w:val="1"/>
                <w:w w:val="55"/>
                <w:sz w:val="21"/>
              </w:rPr>
              <w:t>.</w:t>
            </w:r>
            <w:r>
              <w:rPr>
                <w:rFonts w:ascii="hakuyoxingshu7000"/>
                <w:w w:val="111"/>
                <w:sz w:val="21"/>
              </w:rPr>
              <w:t>5</w:t>
            </w:r>
          </w:p>
        </w:tc>
        <w:tc>
          <w:tcPr>
            <w:tcW w:w="2282" w:type="dxa"/>
            <w:tcBorders>
              <w:top w:val="single" w:sz="6" w:space="0" w:color="000000"/>
              <w:bottom w:val="single" w:sz="6" w:space="0" w:color="000000"/>
              <w:right w:val="single" w:sz="6" w:space="0" w:color="000000"/>
            </w:tcBorders>
          </w:tcPr>
          <w:p>
            <w:pPr>
              <w:pStyle w:val="TableParagraph"/>
              <w:spacing w:before="180"/>
              <w:ind w:left="185"/>
              <w:rPr>
                <w:rFonts w:ascii="hakuyoxingshu7000" w:eastAsia="hakuyoxingshu7000" w:hint="eastAsia"/>
                <w:sz w:val="21"/>
              </w:rPr>
            </w:pPr>
            <w:r>
              <w:rPr>
                <w:rFonts w:ascii="hakuyoxingshu7000" w:eastAsia="hakuyoxingshu7000" w:hint="eastAsia"/>
                <w:sz w:val="21"/>
              </w:rPr>
              <w:t>近年发生的诉讼及仲</w:t>
            </w:r>
          </w:p>
          <w:p>
            <w:pPr>
              <w:pStyle w:val="TableParagraph"/>
              <w:spacing w:before="1"/>
              <w:rPr>
                <w:rFonts w:ascii="Times New Roman"/>
                <w:sz w:val="30"/>
              </w:rPr>
            </w:pPr>
          </w:p>
          <w:p>
            <w:pPr>
              <w:pStyle w:val="TableParagraph"/>
              <w:spacing w:before="1"/>
              <w:ind w:left="290"/>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裁情况的年份要求</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Pr>
                <w:rFonts w:ascii="hakuyoxingshu7000" w:eastAsia="hakuyoxingshu7000" w:hint="eastAsia"/>
                <w:sz w:val="21"/>
              </w:rPr>
            </w:pPr>
            <w:r>
              <w:rPr>
                <w:rFonts w:ascii="hakuyoxingshu7000" w:eastAsia="hakuyoxingshu7000" w:hint="eastAsia"/>
                <w:color w:val="0000FF"/>
                <w:sz w:val="21"/>
              </w:rPr>
              <w:t>3 </w:t>
            </w:r>
            <w:r>
              <w:rPr>
                <w:rFonts w:ascii="hakuyoxingshu7000" w:eastAsia="hakuyoxingshu7000" w:hint="eastAsia"/>
                <w:spacing w:val="-11"/>
                <w:sz w:val="21"/>
              </w:rPr>
              <w:t>年，指 </w:t>
            </w:r>
            <w:r>
              <w:rPr>
                <w:rFonts w:ascii="hakuyoxingshu7000" w:eastAsia="hakuyoxingshu7000" w:hint="eastAsia"/>
                <w:color w:val="0000FF"/>
                <w:spacing w:val="3"/>
                <w:sz w:val="21"/>
              </w:rPr>
              <w:t>2017-01-01</w:t>
            </w:r>
            <w:r>
              <w:rPr>
                <w:rFonts w:ascii="hakuyoxingshu7000" w:eastAsia="hakuyoxingshu7000" w:hint="eastAsia"/>
                <w:color w:val="0000FF"/>
                <w:spacing w:val="-56"/>
                <w:sz w:val="21"/>
              </w:rPr>
              <w:t> </w:t>
            </w:r>
            <w:r>
              <w:rPr>
                <w:rFonts w:ascii="hakuyoxingshu7000" w:eastAsia="hakuyoxingshu7000" w:hint="eastAsia"/>
                <w:spacing w:val="-20"/>
                <w:sz w:val="21"/>
              </w:rPr>
              <w:t>起至 </w:t>
            </w:r>
            <w:r>
              <w:rPr>
                <w:rFonts w:ascii="hakuyoxingshu7000" w:eastAsia="hakuyoxingshu7000" w:hint="eastAsia"/>
                <w:color w:val="0000FF"/>
                <w:sz w:val="21"/>
              </w:rPr>
              <w:t>2019-12-31 </w:t>
            </w:r>
            <w:r>
              <w:rPr>
                <w:rFonts w:ascii="hakuyoxingshu7000" w:eastAsia="hakuyoxingshu7000" w:hint="eastAsia"/>
                <w:sz w:val="21"/>
              </w:rPr>
              <w:t>止。</w:t>
            </w:r>
          </w:p>
        </w:tc>
      </w:tr>
      <w:tr>
        <w:trPr>
          <w:trHeight w:val="2492"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7"/>
              <w:rPr>
                <w:rFonts w:ascii="Times New Roman"/>
                <w:sz w:val="40"/>
              </w:rPr>
            </w:pPr>
          </w:p>
          <w:p>
            <w:pPr>
              <w:pStyle w:val="TableParagraph"/>
              <w:ind w:left="319" w:right="320"/>
              <w:jc w:val="center"/>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w w:val="111"/>
                <w:sz w:val="21"/>
              </w:rPr>
              <w:t>6</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spacing w:before="2"/>
              <w:rPr>
                <w:rFonts w:ascii="Times New Roman"/>
                <w:sz w:val="41"/>
              </w:rPr>
            </w:pPr>
          </w:p>
          <w:p>
            <w:pPr>
              <w:pStyle w:val="TableParagraph"/>
              <w:ind w:left="1"/>
              <w:jc w:val="center"/>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是否允许递交备选投</w:t>
            </w:r>
          </w:p>
          <w:p>
            <w:pPr>
              <w:pStyle w:val="TableParagraph"/>
              <w:spacing w:before="5"/>
              <w:rPr>
                <w:rFonts w:ascii="Times New Roman"/>
                <w:sz w:val="31"/>
              </w:rPr>
            </w:pPr>
          </w:p>
          <w:p>
            <w:pPr>
              <w:pStyle w:val="TableParagraph"/>
              <w:jc w:val="center"/>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标方案</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Pr>
                <w:rFonts w:ascii="hakuyoxingshu7000" w:hAnsi="hakuyoxingshu7000" w:eastAsia="hakuyoxingshu7000" w:hint="eastAsia"/>
                <w:sz w:val="21"/>
              </w:rPr>
            </w:pPr>
            <w:r>
              <w:rPr>
                <w:rFonts w:ascii="hakuyoxingshu7000" w:hAnsi="hakuyoxingshu7000" w:eastAsia="hakuyoxingshu7000" w:hint="eastAsia"/>
                <w:color w:val="0000FF"/>
                <w:sz w:val="21"/>
              </w:rPr>
              <w:t>☑</w:t>
            </w:r>
            <w:r>
              <w:rPr>
                <w:rFonts w:ascii="hakuyoxingshu7000" w:hAnsi="hakuyoxingshu7000" w:eastAsia="hakuyoxingshu7000" w:hint="eastAsia"/>
                <w:sz w:val="21"/>
              </w:rPr>
              <w:t>不允许</w:t>
            </w:r>
          </w:p>
          <w:p>
            <w:pPr>
              <w:pStyle w:val="TableParagraph"/>
              <w:spacing w:line="630" w:lineRule="exact" w:before="53"/>
              <w:ind w:left="309" w:right="1922" w:hanging="210"/>
              <w:rPr>
                <w:rFonts w:ascii="hakuyoxingshu7000" w:hAnsi="hakuyoxingshu7000" w:eastAsia="hakuyoxingshu7000" w:hint="eastAsia"/>
                <w:sz w:val="21"/>
              </w:rPr>
            </w:pPr>
            <w:r>
              <w:rPr>
                <w:rFonts w:ascii="hakuyoxingshu7000" w:hAnsi="hakuyoxingshu7000" w:eastAsia="hakuyoxingshu7000" w:hint="eastAsia"/>
                <w:color w:val="0000FF"/>
                <w:spacing w:val="-7"/>
                <w:w w:val="90"/>
                <w:sz w:val="21"/>
              </w:rPr>
              <w:t>□</w:t>
            </w:r>
            <w:r>
              <w:rPr>
                <w:rFonts w:ascii="hakuyoxingshu7000" w:hAnsi="hakuyoxingshu7000" w:eastAsia="hakuyoxingshu7000" w:hint="eastAsia"/>
                <w:w w:val="95"/>
                <w:sz w:val="21"/>
              </w:rPr>
              <w:t>允许，备选投标方案的编制要求见附表</w:t>
            </w:r>
            <w:r>
              <w:rPr>
                <w:rFonts w:ascii="hakuyoxingshu7000" w:hAnsi="hakuyoxingshu7000" w:eastAsia="hakuyoxingshu7000" w:hint="eastAsia"/>
                <w:spacing w:val="2"/>
                <w:w w:val="66"/>
                <w:sz w:val="21"/>
              </w:rPr>
              <w:t>七“</w:t>
            </w:r>
            <w:r>
              <w:rPr>
                <w:rFonts w:ascii="hakuyoxingshu7000" w:hAnsi="hakuyoxingshu7000" w:eastAsia="hakuyoxingshu7000" w:hint="eastAsia"/>
                <w:sz w:val="21"/>
              </w:rPr>
              <w:t>备选投标方案编制要求</w:t>
            </w:r>
            <w:r>
              <w:rPr>
                <w:rFonts w:ascii="hakuyoxingshu7000" w:hAnsi="hakuyoxingshu7000" w:eastAsia="hakuyoxingshu7000" w:hint="eastAsia"/>
                <w:spacing w:val="4"/>
                <w:w w:val="33"/>
                <w:sz w:val="21"/>
              </w:rPr>
              <w:t>”</w:t>
            </w:r>
            <w:r>
              <w:rPr>
                <w:rFonts w:ascii="hakuyoxingshu7000" w:hAnsi="hakuyoxingshu7000" w:eastAsia="hakuyoxingshu7000" w:hint="eastAsia"/>
                <w:sz w:val="21"/>
              </w:rPr>
              <w:t>，评审和</w:t>
            </w:r>
            <w:r>
              <w:rPr>
                <w:rFonts w:ascii="hakuyoxingshu7000" w:hAnsi="hakuyoxingshu7000" w:eastAsia="hakuyoxingshu7000" w:hint="eastAsia"/>
                <w:w w:val="92"/>
                <w:sz w:val="21"/>
              </w:rPr>
              <w:t> </w:t>
            </w:r>
            <w:r>
              <w:rPr>
                <w:rFonts w:ascii="hakuyoxingshu7000" w:hAnsi="hakuyoxingshu7000" w:eastAsia="hakuyoxingshu7000" w:hint="eastAsia"/>
                <w:w w:val="90"/>
                <w:sz w:val="21"/>
              </w:rPr>
              <w:t>比较方法见第三章“评标办法”</w:t>
            </w:r>
            <w:r>
              <w:rPr>
                <w:rFonts w:ascii="hakuyoxingshu7000" w:hAnsi="hakuyoxingshu7000" w:eastAsia="hakuyoxingshu7000" w:hint="eastAsia"/>
                <w:sz w:val="21"/>
              </w:rPr>
              <w:t>。</w:t>
            </w:r>
          </w:p>
        </w:tc>
      </w:tr>
      <w:tr>
        <w:trPr>
          <w:trHeight w:val="3107"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40"/>
              </w:rPr>
            </w:pPr>
          </w:p>
          <w:p>
            <w:pPr>
              <w:pStyle w:val="TableParagraph"/>
              <w:ind w:left="320" w:right="320"/>
              <w:jc w:val="center"/>
              <w:rPr>
                <w:rFonts w:ascii="hakuyoxingshu7000"/>
                <w:sz w:val="21"/>
              </w:rPr>
            </w:pPr>
            <w:r>
              <w:rPr>
                <w:rFonts w:ascii="hakuyoxingshu7000"/>
                <w:spacing w:val="2"/>
                <w:w w:val="111"/>
                <w:sz w:val="21"/>
              </w:rPr>
              <w:t>3</w:t>
            </w:r>
            <w:r>
              <w:rPr>
                <w:rFonts w:ascii="hakuyoxingshu7000"/>
                <w:spacing w:val="1"/>
                <w:w w:val="55"/>
                <w:sz w:val="21"/>
              </w:rPr>
              <w:t>.</w:t>
            </w:r>
            <w:r>
              <w:rPr>
                <w:rFonts w:ascii="hakuyoxingshu7000"/>
                <w:spacing w:val="2"/>
                <w:w w:val="111"/>
                <w:sz w:val="21"/>
              </w:rPr>
              <w:t>7</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40"/>
              </w:rPr>
            </w:pPr>
          </w:p>
          <w:p>
            <w:pPr>
              <w:pStyle w:val="TableParagraph"/>
              <w:ind w:left="396"/>
              <w:rPr>
                <w:rFonts w:ascii="hakuyoxingshu7000" w:eastAsia="hakuyoxingshu7000" w:hint="eastAsia"/>
                <w:sz w:val="21"/>
              </w:rPr>
            </w:pPr>
            <w:r>
              <w:rPr>
                <w:rFonts w:ascii="hakuyoxingshu7000" w:eastAsia="hakuyoxingshu7000" w:hint="eastAsia"/>
                <w:sz w:val="21"/>
              </w:rPr>
              <w:t>投标文件的编制</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559" w:lineRule="auto" w:before="180"/>
              <w:ind w:left="99" w:right="77" w:firstLine="315"/>
              <w:jc w:val="both"/>
              <w:rPr>
                <w:rFonts w:ascii="hakuyoxingshu7000" w:hAnsi="hakuyoxingshu7000" w:eastAsia="hakuyoxingshu7000" w:hint="eastAsia"/>
                <w:sz w:val="21"/>
              </w:rPr>
            </w:pPr>
            <w:r>
              <w:rPr>
                <w:rFonts w:ascii="hakuyoxingshu7000" w:hAnsi="hakuyoxingshu7000" w:eastAsia="hakuyoxingshu7000" w:hint="eastAsia"/>
                <w:spacing w:val="3"/>
                <w:w w:val="95"/>
                <w:sz w:val="21"/>
              </w:rPr>
              <w:t>1</w:t>
            </w:r>
            <w:r>
              <w:rPr>
                <w:rFonts w:ascii="hakuyoxingshu7000" w:hAnsi="hakuyoxingshu7000" w:eastAsia="hakuyoxingshu7000" w:hint="eastAsia"/>
                <w:spacing w:val="-12"/>
                <w:w w:val="95"/>
                <w:sz w:val="21"/>
              </w:rPr>
              <w:t>、投标文件应按第八章</w:t>
            </w:r>
            <w:r>
              <w:rPr>
                <w:rFonts w:ascii="hakuyoxingshu7000" w:hAnsi="hakuyoxingshu7000" w:eastAsia="hakuyoxingshu7000" w:hint="eastAsia"/>
                <w:spacing w:val="5"/>
                <w:w w:val="70"/>
                <w:sz w:val="21"/>
              </w:rPr>
              <w:t>“</w:t>
            </w:r>
            <w:r>
              <w:rPr>
                <w:rFonts w:ascii="hakuyoxingshu7000" w:hAnsi="hakuyoxingshu7000" w:eastAsia="hakuyoxingshu7000" w:hint="eastAsia"/>
                <w:w w:val="95"/>
                <w:sz w:val="21"/>
              </w:rPr>
              <w:t>投标文件格式</w:t>
            </w:r>
            <w:r>
              <w:rPr>
                <w:rFonts w:ascii="hakuyoxingshu7000" w:hAnsi="hakuyoxingshu7000" w:eastAsia="hakuyoxingshu7000" w:hint="eastAsia"/>
                <w:spacing w:val="5"/>
                <w:w w:val="70"/>
                <w:sz w:val="21"/>
              </w:rPr>
              <w:t>”</w:t>
            </w:r>
            <w:r>
              <w:rPr>
                <w:rFonts w:ascii="hakuyoxingshu7000" w:hAnsi="hakuyoxingshu7000" w:eastAsia="hakuyoxingshu7000" w:hint="eastAsia"/>
                <w:w w:val="95"/>
                <w:sz w:val="21"/>
              </w:rPr>
              <w:t>免费使用青海省投</w:t>
            </w:r>
            <w:r>
              <w:rPr>
                <w:rFonts w:ascii="hakuyoxingshu7000" w:hAnsi="hakuyoxingshu7000" w:eastAsia="hakuyoxingshu7000" w:hint="eastAsia"/>
                <w:sz w:val="21"/>
              </w:rPr>
              <w:t>标文件制作专用工具软件编制。网上招投标模式操作步骤详见《青海省电子招投标公共服务平台》办事指南中相关流程</w:t>
            </w:r>
            <w:r>
              <w:rPr>
                <w:rFonts w:ascii="hakuyoxingshu7000" w:hAnsi="hakuyoxingshu7000" w:eastAsia="hakuyoxingshu7000" w:hint="eastAsia"/>
                <w:spacing w:val="-2"/>
                <w:sz w:val="21"/>
              </w:rPr>
              <w:t>文件，使用青海省投标文件制作专用工具后生成有 </w:t>
            </w:r>
            <w:r>
              <w:rPr>
                <w:rFonts w:ascii="hakuyoxingshu7000" w:hAnsi="hakuyoxingshu7000" w:eastAsia="hakuyoxingshu7000" w:hint="eastAsia"/>
                <w:w w:val="125"/>
                <w:sz w:val="21"/>
              </w:rPr>
              <w:t>QHTF </w:t>
            </w:r>
            <w:r>
              <w:rPr>
                <w:rFonts w:ascii="hakuyoxingshu7000" w:hAnsi="hakuyoxingshu7000" w:eastAsia="hakuyoxingshu7000" w:hint="eastAsia"/>
                <w:sz w:val="21"/>
              </w:rPr>
              <w:t>后</w:t>
            </w:r>
          </w:p>
          <w:p>
            <w:pPr>
              <w:pStyle w:val="TableParagraph"/>
              <w:spacing w:line="254" w:lineRule="exact"/>
              <w:ind w:left="99"/>
              <w:rPr>
                <w:rFonts w:ascii="hakuyoxingshu7000" w:eastAsia="hakuyoxingshu7000" w:hint="eastAsia"/>
                <w:sz w:val="21"/>
              </w:rPr>
            </w:pPr>
            <w:r>
              <w:rPr>
                <w:rFonts w:ascii="hakuyoxingshu7000" w:eastAsia="hakuyoxingshu7000" w:hint="eastAsia"/>
                <w:sz w:val="21"/>
              </w:rPr>
              <w:t>缀形式的加密文件。</w:t>
            </w:r>
          </w:p>
        </w:tc>
      </w:tr>
    </w:tbl>
    <w:p>
      <w:pPr>
        <w:spacing w:after="0" w:line="254" w:lineRule="exact"/>
        <w:rPr>
          <w:rFonts w:ascii="hakuyoxingshu7000" w:eastAsia="hakuyoxingshu7000" w:hint="eastAsia"/>
          <w:sz w:val="21"/>
        </w:rPr>
        <w:sectPr>
          <w:pgSz w:w="11910" w:h="16850"/>
          <w:pgMar w:header="911" w:footer="0" w:top="1380" w:bottom="280" w:left="1200" w:right="0"/>
        </w:sectPr>
      </w:pPr>
    </w:p>
    <w:p>
      <w:pPr>
        <w:pStyle w:val="BodyText"/>
        <w:spacing w:before="10"/>
        <w:rPr>
          <w:rFonts w:ascii="Times New Roman"/>
          <w:sz w:val="3"/>
        </w:rPr>
      </w:pPr>
      <w:r>
        <w:rPr/>
        <w:pict>
          <v:group style="position:absolute;margin-left:78.170998pt;margin-top:196.675003pt;width:445.3pt;height:440.95pt;mso-position-horizontal-relative:page;mso-position-vertical-relative:page;z-index:-268635136" coordorigin="1563,3934" coordsize="8906,8819">
            <v:shape style="position:absolute;left:1563;top:4099;width:8786;height:8653" type="#_x0000_t75" stroked="false">
              <v:imagedata r:id="rId6" o:title=""/>
            </v:shape>
            <v:shape style="position:absolute;left:4941;top:3933;width:5527;height:5496" coordorigin="4942,3934" coordsize="5527,5496" path="m7029,8918l4942,8918,4942,9429,7029,9429,7029,8918m10468,7056l5362,7056,5362,7552,10468,7552,10468,7056m10469,8302l4942,8302,4942,8797,10469,8797,10469,8302m10469,7672l4942,7672,4942,8182,10469,8182,10469,7672m10469,5795l4942,5795,4942,6306,10469,6306,10469,5795m10469,5179l5257,5179,5257,5675,10469,5675,10469,5179m10469,3934l5257,3934,5257,4429,10469,4429,10469,3934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12473"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2" w:type="dxa"/>
            <w:tcBorders>
              <w:bottom w:val="single" w:sz="6" w:space="0" w:color="000000"/>
              <w:right w:val="single" w:sz="6" w:space="0" w:color="000000"/>
            </w:tcBorders>
          </w:tcPr>
          <w:p>
            <w:pPr>
              <w:pStyle w:val="TableParagraph"/>
              <w:rPr>
                <w:rFonts w:ascii="Times New Roman"/>
                <w:sz w:val="20"/>
              </w:rPr>
            </w:pPr>
          </w:p>
        </w:tc>
        <w:tc>
          <w:tcPr>
            <w:tcW w:w="5737" w:type="dxa"/>
            <w:tcBorders>
              <w:left w:val="single" w:sz="6" w:space="0" w:color="000000"/>
              <w:bottom w:val="single" w:sz="6" w:space="0" w:color="000000"/>
              <w:right w:val="single" w:sz="6" w:space="0" w:color="000000"/>
            </w:tcBorders>
          </w:tcPr>
          <w:p>
            <w:pPr>
              <w:pStyle w:val="TableParagraph"/>
              <w:numPr>
                <w:ilvl w:val="0"/>
                <w:numId w:val="8"/>
              </w:numPr>
              <w:tabs>
                <w:tab w:pos="956" w:val="left" w:leader="none"/>
              </w:tabs>
              <w:spacing w:line="240" w:lineRule="auto" w:before="93" w:after="0"/>
              <w:ind w:left="99" w:right="0" w:firstLine="315"/>
              <w:jc w:val="both"/>
              <w:rPr>
                <w:rFonts w:ascii="hakuyoxingshu7000" w:eastAsia="hakuyoxingshu7000" w:hint="eastAsia"/>
                <w:sz w:val="21"/>
              </w:rPr>
            </w:pPr>
            <w:r>
              <w:rPr>
                <w:rFonts w:ascii="Microsoft JhengHei" w:eastAsia="Microsoft JhengHei" w:hint="eastAsia"/>
                <w:b/>
                <w:spacing w:val="3"/>
                <w:sz w:val="21"/>
              </w:rPr>
              <w:t>商务标的编制：</w:t>
            </w:r>
            <w:r>
              <w:rPr>
                <w:rFonts w:ascii="hakuyoxingshu7000" w:eastAsia="hakuyoxingshu7000" w:hint="eastAsia"/>
                <w:sz w:val="21"/>
              </w:rPr>
              <w:t>本工程的商务标部分将采用《青海</w:t>
            </w:r>
          </w:p>
          <w:p>
            <w:pPr>
              <w:pStyle w:val="TableParagraph"/>
              <w:spacing w:before="3"/>
              <w:rPr>
                <w:rFonts w:ascii="Times New Roman"/>
                <w:sz w:val="27"/>
              </w:rPr>
            </w:pPr>
          </w:p>
          <w:p>
            <w:pPr>
              <w:pStyle w:val="TableParagraph"/>
              <w:spacing w:line="556" w:lineRule="auto"/>
              <w:ind w:left="99" w:right="77"/>
              <w:jc w:val="both"/>
              <w:rPr>
                <w:rFonts w:ascii="hakuyoxingshu7000" w:eastAsia="hakuyoxingshu7000" w:hint="eastAsia"/>
                <w:sz w:val="21"/>
              </w:rPr>
            </w:pPr>
            <w:r>
              <w:rPr>
                <w:rFonts w:ascii="hakuyoxingshu7000" w:eastAsia="hakuyoxingshu7000" w:hint="eastAsia"/>
                <w:sz w:val="21"/>
              </w:rPr>
              <w:t>省电子招投标公共服务平台》招标投标智能化评标系统辅助</w:t>
            </w:r>
            <w:r>
              <w:rPr>
                <w:rFonts w:ascii="hakuyoxingshu7000" w:eastAsia="hakuyoxingshu7000" w:hint="eastAsia"/>
                <w:spacing w:val="-2"/>
                <w:sz w:val="21"/>
              </w:rPr>
              <w:t>评标，投标报价表使用   </w:t>
            </w:r>
            <w:r>
              <w:rPr>
                <w:rFonts w:ascii="hakuyoxingshu7000" w:eastAsia="hakuyoxingshu7000" w:hint="eastAsia"/>
                <w:spacing w:val="2"/>
                <w:w w:val="111"/>
                <w:sz w:val="21"/>
              </w:rPr>
              <w:t>o</w:t>
            </w:r>
            <w:r>
              <w:rPr>
                <w:rFonts w:ascii="hakuyoxingshu7000" w:eastAsia="hakuyoxingshu7000" w:hint="eastAsia"/>
                <w:spacing w:val="1"/>
                <w:w w:val="55"/>
                <w:sz w:val="21"/>
              </w:rPr>
              <w:t>ff</w:t>
            </w:r>
            <w:r>
              <w:rPr>
                <w:rFonts w:ascii="hakuyoxingshu7000" w:eastAsia="hakuyoxingshu7000" w:hint="eastAsia"/>
                <w:spacing w:val="-2"/>
                <w:w w:val="44"/>
                <w:sz w:val="21"/>
              </w:rPr>
              <w:t>i</w:t>
            </w:r>
            <w:r>
              <w:rPr>
                <w:rFonts w:ascii="hakuyoxingshu7000" w:eastAsia="hakuyoxingshu7000" w:hint="eastAsia"/>
                <w:w w:val="105"/>
                <w:sz w:val="21"/>
              </w:rPr>
              <w:t>ce</w:t>
            </w:r>
            <w:r>
              <w:rPr>
                <w:rFonts w:ascii="hakuyoxingshu7000" w:eastAsia="hakuyoxingshu7000" w:hint="eastAsia"/>
                <w:spacing w:val="-15"/>
                <w:sz w:val="21"/>
              </w:rPr>
              <w:t> 中的 </w:t>
            </w:r>
            <w:r>
              <w:rPr>
                <w:rFonts w:ascii="hakuyoxingshu7000" w:eastAsia="hakuyoxingshu7000" w:hint="eastAsia"/>
                <w:spacing w:val="-6"/>
                <w:w w:val="133"/>
                <w:sz w:val="21"/>
              </w:rPr>
              <w:t>E</w:t>
            </w:r>
            <w:r>
              <w:rPr>
                <w:rFonts w:ascii="hakuyoxingshu7000" w:eastAsia="hakuyoxingshu7000" w:hint="eastAsia"/>
                <w:w w:val="103"/>
                <w:sz w:val="21"/>
              </w:rPr>
              <w:t>xc</w:t>
            </w:r>
            <w:r>
              <w:rPr>
                <w:rFonts w:ascii="hakuyoxingshu7000" w:eastAsia="hakuyoxingshu7000" w:hint="eastAsia"/>
                <w:spacing w:val="2"/>
                <w:w w:val="103"/>
                <w:sz w:val="21"/>
              </w:rPr>
              <w:t>e</w:t>
            </w:r>
            <w:r>
              <w:rPr>
                <w:rFonts w:ascii="hakuyoxingshu7000" w:eastAsia="hakuyoxingshu7000" w:hint="eastAsia"/>
                <w:w w:val="44"/>
                <w:sz w:val="21"/>
              </w:rPr>
              <w:t>l</w:t>
            </w:r>
            <w:r>
              <w:rPr>
                <w:rFonts w:ascii="hakuyoxingshu7000" w:eastAsia="hakuyoxingshu7000" w:hint="eastAsia"/>
                <w:spacing w:val="-6"/>
                <w:sz w:val="21"/>
              </w:rPr>
              <w:t> 进行编辑。其他</w:t>
            </w:r>
            <w:r>
              <w:rPr>
                <w:rFonts w:ascii="hakuyoxingshu7000" w:eastAsia="hakuyoxingshu7000" w:hint="eastAsia"/>
                <w:spacing w:val="-14"/>
                <w:sz w:val="21"/>
              </w:rPr>
              <w:t>部分可用 </w:t>
            </w:r>
            <w:r>
              <w:rPr>
                <w:rFonts w:ascii="hakuyoxingshu7000" w:eastAsia="hakuyoxingshu7000" w:hint="eastAsia"/>
                <w:spacing w:val="2"/>
                <w:w w:val="111"/>
                <w:sz w:val="21"/>
              </w:rPr>
              <w:t>o</w:t>
            </w:r>
            <w:r>
              <w:rPr>
                <w:rFonts w:ascii="hakuyoxingshu7000" w:eastAsia="hakuyoxingshu7000" w:hint="eastAsia"/>
                <w:spacing w:val="1"/>
                <w:w w:val="55"/>
                <w:sz w:val="21"/>
              </w:rPr>
              <w:t>ff</w:t>
            </w:r>
            <w:r>
              <w:rPr>
                <w:rFonts w:ascii="hakuyoxingshu7000" w:eastAsia="hakuyoxingshu7000" w:hint="eastAsia"/>
                <w:spacing w:val="-2"/>
                <w:w w:val="44"/>
                <w:sz w:val="21"/>
              </w:rPr>
              <w:t>i</w:t>
            </w:r>
            <w:r>
              <w:rPr>
                <w:rFonts w:ascii="hakuyoxingshu7000" w:eastAsia="hakuyoxingshu7000" w:hint="eastAsia"/>
                <w:w w:val="105"/>
                <w:sz w:val="21"/>
              </w:rPr>
              <w:t>ce</w:t>
            </w:r>
            <w:r>
              <w:rPr>
                <w:rFonts w:ascii="hakuyoxingshu7000" w:eastAsia="hakuyoxingshu7000" w:hint="eastAsia"/>
                <w:spacing w:val="-22"/>
                <w:sz w:val="21"/>
              </w:rPr>
              <w:t> 中的 </w:t>
            </w:r>
            <w:r>
              <w:rPr>
                <w:rFonts w:ascii="hakuyoxingshu7000" w:eastAsia="hakuyoxingshu7000" w:hint="eastAsia"/>
                <w:spacing w:val="-2"/>
                <w:w w:val="144"/>
                <w:sz w:val="21"/>
              </w:rPr>
              <w:t>w</w:t>
            </w:r>
            <w:r>
              <w:rPr>
                <w:rFonts w:ascii="hakuyoxingshu7000" w:eastAsia="hakuyoxingshu7000" w:hint="eastAsia"/>
                <w:spacing w:val="2"/>
                <w:w w:val="111"/>
                <w:sz w:val="21"/>
              </w:rPr>
              <w:t>o</w:t>
            </w:r>
            <w:r>
              <w:rPr>
                <w:rFonts w:ascii="hakuyoxingshu7000" w:eastAsia="hakuyoxingshu7000" w:hint="eastAsia"/>
                <w:spacing w:val="4"/>
                <w:w w:val="66"/>
                <w:sz w:val="21"/>
              </w:rPr>
              <w:t>r</w:t>
            </w:r>
            <w:r>
              <w:rPr>
                <w:rFonts w:ascii="hakuyoxingshu7000" w:eastAsia="hakuyoxingshu7000" w:hint="eastAsia"/>
                <w:w w:val="111"/>
                <w:sz w:val="21"/>
              </w:rPr>
              <w:t>d</w:t>
            </w:r>
            <w:r>
              <w:rPr>
                <w:rFonts w:ascii="hakuyoxingshu7000" w:eastAsia="hakuyoxingshu7000" w:hint="eastAsia"/>
                <w:spacing w:val="-8"/>
                <w:sz w:val="21"/>
              </w:rPr>
              <w:t> 进行编辑。</w:t>
            </w:r>
          </w:p>
          <w:p>
            <w:pPr>
              <w:pStyle w:val="TableParagraph"/>
              <w:numPr>
                <w:ilvl w:val="0"/>
                <w:numId w:val="8"/>
              </w:numPr>
              <w:tabs>
                <w:tab w:pos="956" w:val="left" w:leader="none"/>
              </w:tabs>
              <w:spacing w:line="321" w:lineRule="exact" w:before="0" w:after="0"/>
              <w:ind w:left="955" w:right="0" w:hanging="542"/>
              <w:jc w:val="both"/>
              <w:rPr>
                <w:rFonts w:ascii="hakuyoxingshu7000" w:eastAsia="hakuyoxingshu7000" w:hint="eastAsia"/>
                <w:sz w:val="21"/>
              </w:rPr>
            </w:pPr>
            <w:r>
              <w:rPr>
                <w:rFonts w:ascii="Microsoft JhengHei" w:eastAsia="Microsoft JhengHei" w:hint="eastAsia"/>
                <w:b/>
                <w:spacing w:val="-5"/>
                <w:sz w:val="21"/>
              </w:rPr>
              <w:t>技术标的编制：</w:t>
            </w:r>
            <w:r>
              <w:rPr>
                <w:rFonts w:ascii="hakuyoxingshu7000" w:eastAsia="hakuyoxingshu7000" w:hint="eastAsia"/>
                <w:spacing w:val="-11"/>
                <w:sz w:val="21"/>
              </w:rPr>
              <w:t>投标人使用 </w:t>
            </w:r>
            <w:r>
              <w:rPr>
                <w:rFonts w:ascii="hakuyoxingshu7000" w:eastAsia="hakuyoxingshu7000" w:hint="eastAsia"/>
                <w:spacing w:val="-4"/>
                <w:w w:val="188"/>
                <w:sz w:val="21"/>
              </w:rPr>
              <w:t>W</w:t>
            </w:r>
            <w:r>
              <w:rPr>
                <w:rFonts w:ascii="hakuyoxingshu7000" w:eastAsia="hakuyoxingshu7000" w:hint="eastAsia"/>
                <w:spacing w:val="2"/>
                <w:w w:val="111"/>
                <w:sz w:val="21"/>
              </w:rPr>
              <w:t>o</w:t>
            </w:r>
            <w:r>
              <w:rPr>
                <w:rFonts w:ascii="hakuyoxingshu7000" w:eastAsia="hakuyoxingshu7000" w:hint="eastAsia"/>
                <w:spacing w:val="4"/>
                <w:w w:val="66"/>
                <w:sz w:val="21"/>
              </w:rPr>
              <w:t>r</w:t>
            </w:r>
            <w:r>
              <w:rPr>
                <w:rFonts w:ascii="hakuyoxingshu7000" w:eastAsia="hakuyoxingshu7000" w:hint="eastAsia"/>
                <w:spacing w:val="4"/>
                <w:w w:val="111"/>
                <w:sz w:val="21"/>
              </w:rPr>
              <w:t>d</w:t>
            </w:r>
            <w:r>
              <w:rPr>
                <w:rFonts w:ascii="hakuyoxingshu7000" w:eastAsia="hakuyoxingshu7000" w:hint="eastAsia"/>
                <w:spacing w:val="-45"/>
                <w:sz w:val="21"/>
              </w:rPr>
              <w:t>、</w:t>
            </w:r>
            <w:r>
              <w:rPr>
                <w:rFonts w:ascii="hakuyoxingshu7000" w:eastAsia="hakuyoxingshu7000" w:hint="eastAsia"/>
                <w:spacing w:val="-4"/>
                <w:w w:val="188"/>
                <w:sz w:val="21"/>
              </w:rPr>
              <w:t>W</w:t>
            </w:r>
            <w:r>
              <w:rPr>
                <w:rFonts w:ascii="hakuyoxingshu7000" w:eastAsia="hakuyoxingshu7000" w:hint="eastAsia"/>
                <w:spacing w:val="-6"/>
                <w:w w:val="133"/>
                <w:sz w:val="21"/>
              </w:rPr>
              <w:t>P</w:t>
            </w:r>
            <w:r>
              <w:rPr>
                <w:rFonts w:ascii="hakuyoxingshu7000" w:eastAsia="hakuyoxingshu7000" w:hint="eastAsia"/>
                <w:spacing w:val="-5"/>
                <w:w w:val="133"/>
                <w:sz w:val="21"/>
              </w:rPr>
              <w:t>S</w:t>
            </w:r>
            <w:r>
              <w:rPr>
                <w:rFonts w:ascii="hakuyoxingshu7000" w:eastAsia="hakuyoxingshu7000" w:hint="eastAsia"/>
                <w:spacing w:val="-45"/>
                <w:sz w:val="21"/>
              </w:rPr>
              <w:t>、</w:t>
            </w:r>
            <w:r>
              <w:rPr>
                <w:rFonts w:ascii="hakuyoxingshu7000" w:eastAsia="hakuyoxingshu7000" w:hint="eastAsia"/>
                <w:spacing w:val="-6"/>
                <w:w w:val="133"/>
                <w:sz w:val="21"/>
              </w:rPr>
              <w:t>A</w:t>
            </w:r>
            <w:r>
              <w:rPr>
                <w:rFonts w:ascii="hakuyoxingshu7000" w:eastAsia="hakuyoxingshu7000" w:hint="eastAsia"/>
                <w:spacing w:val="2"/>
                <w:w w:val="111"/>
                <w:sz w:val="21"/>
              </w:rPr>
              <w:t>u</w:t>
            </w:r>
            <w:r>
              <w:rPr>
                <w:rFonts w:ascii="hakuyoxingshu7000" w:eastAsia="hakuyoxingshu7000" w:hint="eastAsia"/>
                <w:spacing w:val="1"/>
                <w:w w:val="55"/>
                <w:sz w:val="21"/>
              </w:rPr>
              <w:t>t</w:t>
            </w:r>
            <w:r>
              <w:rPr>
                <w:rFonts w:ascii="hakuyoxingshu7000" w:eastAsia="hakuyoxingshu7000" w:hint="eastAsia"/>
                <w:spacing w:val="2"/>
                <w:w w:val="111"/>
                <w:sz w:val="21"/>
              </w:rPr>
              <w:t>o</w:t>
            </w:r>
            <w:r>
              <w:rPr>
                <w:rFonts w:ascii="hakuyoxingshu7000" w:eastAsia="hakuyoxingshu7000" w:hint="eastAsia"/>
                <w:spacing w:val="-2"/>
                <w:w w:val="144"/>
                <w:sz w:val="21"/>
              </w:rPr>
              <w:t>C</w:t>
            </w:r>
            <w:r>
              <w:rPr>
                <w:rFonts w:ascii="hakuyoxingshu7000" w:eastAsia="hakuyoxingshu7000" w:hint="eastAsia"/>
                <w:spacing w:val="-6"/>
                <w:w w:val="133"/>
                <w:sz w:val="21"/>
              </w:rPr>
              <w:t>A</w:t>
            </w:r>
            <w:r>
              <w:rPr>
                <w:rFonts w:ascii="hakuyoxingshu7000" w:eastAsia="hakuyoxingshu7000" w:hint="eastAsia"/>
                <w:w w:val="144"/>
                <w:sz w:val="21"/>
              </w:rPr>
              <w:t>D</w:t>
            </w:r>
          </w:p>
          <w:p>
            <w:pPr>
              <w:pStyle w:val="TableParagraph"/>
              <w:rPr>
                <w:rFonts w:ascii="Times New Roman"/>
                <w:sz w:val="26"/>
              </w:rPr>
            </w:pPr>
          </w:p>
          <w:p>
            <w:pPr>
              <w:pStyle w:val="TableParagraph"/>
              <w:ind w:left="99"/>
              <w:rPr>
                <w:rFonts w:ascii="hakuyoxingshu7000" w:eastAsia="hakuyoxingshu7000" w:hint="eastAsia"/>
                <w:sz w:val="21"/>
              </w:rPr>
            </w:pPr>
            <w:r>
              <w:rPr>
                <w:rFonts w:ascii="hakuyoxingshu7000" w:eastAsia="hakuyoxingshu7000" w:hint="eastAsia"/>
                <w:sz w:val="21"/>
              </w:rPr>
              <w:t>等工具按照规定的目录和格式编制技术标。</w:t>
            </w:r>
          </w:p>
          <w:p>
            <w:pPr>
              <w:pStyle w:val="TableParagraph"/>
              <w:spacing w:before="5"/>
              <w:rPr>
                <w:rFonts w:ascii="Times New Roman"/>
                <w:sz w:val="31"/>
              </w:rPr>
            </w:pPr>
          </w:p>
          <w:p>
            <w:pPr>
              <w:pStyle w:val="TableParagraph"/>
              <w:spacing w:line="549" w:lineRule="auto"/>
              <w:ind w:left="99" w:right="-29" w:firstLine="315"/>
              <w:jc w:val="both"/>
              <w:rPr>
                <w:rFonts w:ascii="hakuyoxingshu7000" w:eastAsia="hakuyoxingshu7000" w:hint="eastAsia"/>
                <w:sz w:val="21"/>
              </w:rPr>
            </w:pPr>
            <w:r>
              <w:rPr>
                <w:rFonts w:ascii="hakuyoxingshu7000" w:eastAsia="hakuyoxingshu7000" w:hint="eastAsia"/>
                <w:spacing w:val="3"/>
                <w:sz w:val="21"/>
              </w:rPr>
              <w:t>2</w:t>
            </w:r>
            <w:r>
              <w:rPr>
                <w:rFonts w:ascii="hakuyoxingshu7000" w:eastAsia="hakuyoxingshu7000" w:hint="eastAsia"/>
                <w:sz w:val="21"/>
              </w:rPr>
              <w:t>、投标文件应按第四章格式文件要求加盖申请人的单位</w:t>
            </w:r>
            <w:r>
              <w:rPr>
                <w:rFonts w:ascii="hakuyoxingshu7000" w:eastAsia="hakuyoxingshu7000" w:hint="eastAsia"/>
                <w:spacing w:val="-3"/>
                <w:sz w:val="21"/>
              </w:rPr>
              <w:t>电子印章和</w:t>
            </w:r>
            <w:r>
              <w:rPr>
                <w:rFonts w:ascii="hakuyoxingshu7000" w:eastAsia="hakuyoxingshu7000" w:hint="eastAsia"/>
                <w:sz w:val="21"/>
              </w:rPr>
              <w:t>（或</w:t>
            </w:r>
            <w:r>
              <w:rPr>
                <w:rFonts w:ascii="hakuyoxingshu7000" w:eastAsia="hakuyoxingshu7000" w:hint="eastAsia"/>
                <w:spacing w:val="-15"/>
                <w:sz w:val="21"/>
              </w:rPr>
              <w:t>）</w:t>
            </w:r>
            <w:r>
              <w:rPr>
                <w:rFonts w:ascii="hakuyoxingshu7000" w:eastAsia="hakuyoxingshu7000" w:hint="eastAsia"/>
                <w:sz w:val="21"/>
              </w:rPr>
              <w:t>法定代表人的个人电子印章或电子签名章。</w:t>
            </w:r>
          </w:p>
          <w:p>
            <w:pPr>
              <w:pStyle w:val="TableParagraph"/>
              <w:spacing w:line="331" w:lineRule="exact"/>
              <w:ind w:left="519"/>
              <w:jc w:val="both"/>
              <w:rPr>
                <w:rFonts w:ascii="Microsoft JhengHei" w:eastAsia="Microsoft JhengHei" w:hint="eastAsia"/>
                <w:b/>
                <w:sz w:val="21"/>
              </w:rPr>
            </w:pPr>
            <w:r>
              <w:rPr>
                <w:rFonts w:ascii="Microsoft JhengHei" w:eastAsia="Microsoft JhengHei" w:hint="eastAsia"/>
                <w:b/>
                <w:sz w:val="21"/>
              </w:rPr>
              <w:t>特别说明：</w:t>
            </w:r>
          </w:p>
          <w:p>
            <w:pPr>
              <w:pStyle w:val="TableParagraph"/>
              <w:spacing w:before="3"/>
              <w:rPr>
                <w:rFonts w:ascii="Times New Roman"/>
                <w:sz w:val="27"/>
              </w:rPr>
            </w:pPr>
          </w:p>
          <w:p>
            <w:pPr>
              <w:pStyle w:val="TableParagraph"/>
              <w:spacing w:line="554" w:lineRule="auto"/>
              <w:ind w:left="99" w:right="79" w:firstLine="420"/>
              <w:jc w:val="both"/>
              <w:rPr>
                <w:rFonts w:ascii="hakuyoxingshu7000" w:eastAsia="hakuyoxingshu7000" w:hint="eastAsia"/>
                <w:sz w:val="21"/>
              </w:rPr>
            </w:pPr>
            <w:r>
              <w:rPr>
                <w:rFonts w:ascii="hakuyoxingshu7000" w:eastAsia="hakuyoxingshu7000" w:hint="eastAsia"/>
                <w:spacing w:val="3"/>
                <w:sz w:val="21"/>
              </w:rPr>
              <w:t>1</w:t>
            </w:r>
            <w:r>
              <w:rPr>
                <w:rFonts w:ascii="hakuyoxingshu7000" w:eastAsia="hakuyoxingshu7000" w:hint="eastAsia"/>
                <w:spacing w:val="-3"/>
                <w:sz w:val="21"/>
              </w:rPr>
              <w:t>、投标人应妥善保管 </w:t>
            </w:r>
            <w:r>
              <w:rPr>
                <w:rFonts w:ascii="hakuyoxingshu7000" w:eastAsia="hakuyoxingshu7000" w:hint="eastAsia"/>
                <w:w w:val="120"/>
                <w:sz w:val="21"/>
              </w:rPr>
              <w:t>CA</w:t>
            </w:r>
            <w:r>
              <w:rPr>
                <w:rFonts w:ascii="hakuyoxingshu7000" w:eastAsia="hakuyoxingshu7000" w:hint="eastAsia"/>
                <w:spacing w:val="-52"/>
                <w:w w:val="120"/>
                <w:sz w:val="21"/>
              </w:rPr>
              <w:t> </w:t>
            </w:r>
            <w:r>
              <w:rPr>
                <w:rFonts w:ascii="hakuyoxingshu7000" w:eastAsia="hakuyoxingshu7000" w:hint="eastAsia"/>
                <w:spacing w:val="-5"/>
                <w:sz w:val="21"/>
              </w:rPr>
              <w:t>数字证书，投标人由于 </w:t>
            </w:r>
            <w:r>
              <w:rPr>
                <w:rFonts w:ascii="hakuyoxingshu7000" w:eastAsia="hakuyoxingshu7000" w:hint="eastAsia"/>
                <w:w w:val="120"/>
                <w:sz w:val="21"/>
              </w:rPr>
              <w:t>CA</w:t>
            </w:r>
            <w:r>
              <w:rPr>
                <w:rFonts w:ascii="hakuyoxingshu7000" w:eastAsia="hakuyoxingshu7000" w:hint="eastAsia"/>
                <w:spacing w:val="-51"/>
                <w:w w:val="120"/>
                <w:sz w:val="21"/>
              </w:rPr>
              <w:t> </w:t>
            </w:r>
            <w:r>
              <w:rPr>
                <w:rFonts w:ascii="hakuyoxingshu7000" w:eastAsia="hakuyoxingshu7000" w:hint="eastAsia"/>
                <w:sz w:val="21"/>
              </w:rPr>
              <w:t>数字证书遗失、损坏、更换、续期等情况导致投标文件无法解密，由投标人自行承担责任；投标文件加密和解密须用同一</w:t>
            </w:r>
            <w:r>
              <w:rPr>
                <w:rFonts w:ascii="hakuyoxingshu7000" w:eastAsia="hakuyoxingshu7000" w:hint="eastAsia"/>
                <w:spacing w:val="-23"/>
                <w:sz w:val="21"/>
              </w:rPr>
              <w:t>把 </w:t>
            </w:r>
            <w:r>
              <w:rPr>
                <w:rFonts w:ascii="hakuyoxingshu7000" w:eastAsia="hakuyoxingshu7000" w:hint="eastAsia"/>
                <w:w w:val="120"/>
                <w:sz w:val="21"/>
              </w:rPr>
              <w:t>CA</w:t>
            </w:r>
            <w:r>
              <w:rPr>
                <w:rFonts w:ascii="hakuyoxingshu7000" w:eastAsia="hakuyoxingshu7000" w:hint="eastAsia"/>
                <w:spacing w:val="-70"/>
                <w:w w:val="120"/>
                <w:sz w:val="21"/>
              </w:rPr>
              <w:t> </w:t>
            </w:r>
            <w:r>
              <w:rPr>
                <w:rFonts w:ascii="hakuyoxingshu7000" w:eastAsia="hakuyoxingshu7000" w:hint="eastAsia"/>
                <w:sz w:val="21"/>
              </w:rPr>
              <w:t>数字证书介质。</w:t>
            </w:r>
          </w:p>
          <w:p>
            <w:pPr>
              <w:pStyle w:val="TableParagraph"/>
              <w:spacing w:line="559" w:lineRule="auto" w:before="6"/>
              <w:ind w:left="99" w:right="76" w:firstLine="420"/>
              <w:jc w:val="both"/>
              <w:rPr>
                <w:rFonts w:ascii="hakuyoxingshu7000" w:hAnsi="hakuyoxingshu7000" w:eastAsia="hakuyoxingshu7000" w:hint="eastAsia"/>
                <w:sz w:val="21"/>
              </w:rPr>
            </w:pPr>
            <w:r>
              <w:rPr>
                <w:rFonts w:ascii="hakuyoxingshu7000" w:hAnsi="hakuyoxingshu7000" w:eastAsia="hakuyoxingshu7000" w:hint="eastAsia"/>
                <w:spacing w:val="3"/>
                <w:w w:val="111"/>
                <w:sz w:val="21"/>
              </w:rPr>
              <w:t>2</w:t>
            </w:r>
            <w:r>
              <w:rPr>
                <w:rFonts w:ascii="hakuyoxingshu7000" w:hAnsi="hakuyoxingshu7000" w:eastAsia="hakuyoxingshu7000" w:hint="eastAsia"/>
                <w:spacing w:val="-1"/>
                <w:sz w:val="21"/>
              </w:rPr>
              <w:t>、如果出现</w:t>
            </w:r>
            <w:r>
              <w:rPr>
                <w:rFonts w:ascii="hakuyoxingshu7000" w:hAnsi="hakuyoxingshu7000" w:eastAsia="hakuyoxingshu7000" w:hint="eastAsia"/>
                <w:spacing w:val="4"/>
                <w:w w:val="33"/>
                <w:sz w:val="21"/>
              </w:rPr>
              <w:t>“</w:t>
            </w:r>
            <w:r>
              <w:rPr>
                <w:rFonts w:ascii="hakuyoxingshu7000" w:hAnsi="hakuyoxingshu7000" w:eastAsia="hakuyoxingshu7000" w:hint="eastAsia"/>
                <w:spacing w:val="-2"/>
                <w:w w:val="144"/>
                <w:sz w:val="21"/>
              </w:rPr>
              <w:t>C</w:t>
            </w:r>
            <w:r>
              <w:rPr>
                <w:rFonts w:ascii="hakuyoxingshu7000" w:hAnsi="hakuyoxingshu7000" w:eastAsia="hakuyoxingshu7000" w:hint="eastAsia"/>
                <w:w w:val="133"/>
                <w:sz w:val="21"/>
              </w:rPr>
              <w:t>A</w:t>
            </w:r>
            <w:r>
              <w:rPr>
                <w:rFonts w:ascii="hakuyoxingshu7000" w:hAnsi="hakuyoxingshu7000" w:eastAsia="hakuyoxingshu7000" w:hint="eastAsia"/>
                <w:spacing w:val="-8"/>
                <w:sz w:val="21"/>
              </w:rPr>
              <w:t> 数字证书到期后重新续期；</w:t>
            </w:r>
            <w:r>
              <w:rPr>
                <w:rFonts w:ascii="hakuyoxingshu7000" w:hAnsi="hakuyoxingshu7000" w:eastAsia="hakuyoxingshu7000" w:hint="eastAsia"/>
                <w:spacing w:val="-2"/>
                <w:w w:val="138"/>
                <w:sz w:val="21"/>
              </w:rPr>
              <w:t>C</w:t>
            </w:r>
            <w:r>
              <w:rPr>
                <w:rFonts w:ascii="hakuyoxingshu7000" w:hAnsi="hakuyoxingshu7000" w:eastAsia="hakuyoxingshu7000" w:hint="eastAsia"/>
                <w:w w:val="138"/>
                <w:sz w:val="21"/>
              </w:rPr>
              <w:t>A</w:t>
            </w:r>
            <w:r>
              <w:rPr>
                <w:rFonts w:ascii="hakuyoxingshu7000" w:hAnsi="hakuyoxingshu7000" w:eastAsia="hakuyoxingshu7000" w:hint="eastAsia"/>
                <w:spacing w:val="-13"/>
                <w:sz w:val="21"/>
              </w:rPr>
              <w:t> 数字证</w:t>
            </w:r>
            <w:r>
              <w:rPr>
                <w:rFonts w:ascii="hakuyoxingshu7000" w:hAnsi="hakuyoxingshu7000" w:eastAsia="hakuyoxingshu7000" w:hint="eastAsia"/>
                <w:spacing w:val="-13"/>
                <w:w w:val="95"/>
                <w:sz w:val="21"/>
              </w:rPr>
              <w:t>书因遗失、损坏、企业信息变更等</w:t>
            </w:r>
            <w:r>
              <w:rPr>
                <w:rFonts w:ascii="hakuyoxingshu7000" w:hAnsi="hakuyoxingshu7000" w:eastAsia="hakuyoxingshu7000" w:hint="eastAsia"/>
                <w:spacing w:val="5"/>
                <w:w w:val="70"/>
                <w:sz w:val="21"/>
              </w:rPr>
              <w:t>”</w:t>
            </w:r>
            <w:r>
              <w:rPr>
                <w:rFonts w:ascii="hakuyoxingshu7000" w:hAnsi="hakuyoxingshu7000" w:eastAsia="hakuyoxingshu7000" w:hint="eastAsia"/>
                <w:w w:val="95"/>
                <w:sz w:val="21"/>
              </w:rPr>
              <w:t>情况时，投标人应当用新 </w:t>
            </w:r>
            <w:r>
              <w:rPr>
                <w:rFonts w:ascii="hakuyoxingshu7000" w:hAnsi="hakuyoxingshu7000" w:eastAsia="hakuyoxingshu7000" w:hint="eastAsia"/>
                <w:spacing w:val="9"/>
                <w:sz w:val="21"/>
              </w:rPr>
              <w:t>的 </w:t>
            </w:r>
            <w:r>
              <w:rPr>
                <w:rFonts w:ascii="hakuyoxingshu7000" w:hAnsi="hakuyoxingshu7000" w:eastAsia="hakuyoxingshu7000" w:hint="eastAsia"/>
                <w:sz w:val="21"/>
              </w:rPr>
              <w:t>CA 数字证书签章和加密投标文件，并在投标截止时间之</w:t>
            </w:r>
            <w:r>
              <w:rPr>
                <w:rFonts w:ascii="hakuyoxingshu7000" w:hAnsi="hakuyoxingshu7000" w:eastAsia="hakuyoxingshu7000" w:hint="eastAsia"/>
                <w:w w:val="115"/>
                <w:sz w:val="21"/>
              </w:rPr>
              <w:t>前上传到电子招标投标系统。</w:t>
            </w:r>
          </w:p>
          <w:p>
            <w:pPr>
              <w:pStyle w:val="TableParagraph"/>
              <w:spacing w:line="254" w:lineRule="exact"/>
              <w:ind w:left="519"/>
              <w:rPr>
                <w:rFonts w:ascii="hakuyoxingshu7000" w:eastAsia="hakuyoxingshu7000" w:hint="eastAsia"/>
                <w:sz w:val="21"/>
              </w:rPr>
            </w:pPr>
            <w:r>
              <w:rPr>
                <w:rFonts w:ascii="hakuyoxingshu7000" w:eastAsia="hakuyoxingshu7000" w:hint="eastAsia"/>
                <w:sz w:val="21"/>
              </w:rPr>
              <w:t>3、各投标单位务必提前完善好数据库中投标信息、资质</w:t>
            </w:r>
          </w:p>
          <w:p>
            <w:pPr>
              <w:pStyle w:val="TableParagraph"/>
              <w:spacing w:line="630" w:lineRule="atLeast"/>
              <w:ind w:left="99" w:right="103"/>
              <w:rPr>
                <w:rFonts w:ascii="hakuyoxingshu7000" w:eastAsia="hakuyoxingshu7000" w:hint="eastAsia"/>
                <w:sz w:val="21"/>
              </w:rPr>
            </w:pPr>
            <w:r>
              <w:rPr>
                <w:rFonts w:ascii="hakuyoxingshu7000" w:eastAsia="hakuyoxingshu7000" w:hint="eastAsia"/>
                <w:sz w:val="21"/>
              </w:rPr>
              <w:t>证书、人员、业绩等相关投标材料，投标时相关资料应从数据库中获取电子资料。</w:t>
            </w:r>
          </w:p>
        </w:tc>
      </w:tr>
      <w:tr>
        <w:trPr>
          <w:trHeight w:val="1246"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4"/>
              <w:ind w:left="319" w:right="320"/>
              <w:jc w:val="center"/>
              <w:rPr>
                <w:rFonts w:ascii="hakuyoxingshu7000"/>
                <w:sz w:val="21"/>
              </w:rPr>
            </w:pPr>
            <w:r>
              <w:rPr>
                <w:rFonts w:ascii="hakuyoxingshu7000"/>
                <w:spacing w:val="2"/>
                <w:w w:val="111"/>
                <w:sz w:val="21"/>
              </w:rPr>
              <w:t>4</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spacing w:before="174"/>
              <w:ind w:left="396"/>
              <w:rPr>
                <w:rFonts w:ascii="hakuyoxingshu7000" w:eastAsia="hakuyoxingshu7000" w:hint="eastAsia"/>
                <w:sz w:val="21"/>
              </w:rPr>
            </w:pPr>
            <w:r>
              <w:rPr>
                <w:rFonts w:ascii="hakuyoxingshu7000" w:eastAsia="hakuyoxingshu7000" w:hint="eastAsia"/>
                <w:sz w:val="21"/>
              </w:rPr>
              <w:t>投标文件的加密</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80"/>
              <w:ind w:left="99" w:right="-29"/>
              <w:rPr>
                <w:rFonts w:ascii="hakuyoxingshu7000" w:eastAsia="hakuyoxingshu7000" w:hint="eastAsia"/>
                <w:sz w:val="21"/>
              </w:rPr>
            </w:pPr>
            <w:r>
              <w:rPr>
                <w:rFonts w:ascii="hakuyoxingshu7000" w:eastAsia="hakuyoxingshu7000" w:hint="eastAsia"/>
                <w:spacing w:val="-4"/>
                <w:sz w:val="21"/>
              </w:rPr>
              <w:t>投标人在完成投标文件制作后，应使用数字证书认证并加密，</w:t>
            </w:r>
          </w:p>
          <w:p>
            <w:pPr>
              <w:pStyle w:val="TableParagraph"/>
              <w:spacing w:before="1"/>
              <w:rPr>
                <w:rFonts w:ascii="Times New Roman"/>
                <w:sz w:val="30"/>
              </w:rPr>
            </w:pPr>
          </w:p>
          <w:p>
            <w:pPr>
              <w:pStyle w:val="TableParagraph"/>
              <w:spacing w:before="1"/>
              <w:ind w:left="99"/>
              <w:rPr>
                <w:rFonts w:ascii="hakuyoxingshu7000" w:hAnsi="hakuyoxingshu7000" w:eastAsia="hakuyoxingshu7000" w:hint="eastAsia"/>
                <w:sz w:val="21"/>
              </w:rPr>
            </w:pPr>
            <w:r>
              <w:rPr>
                <w:rFonts w:ascii="hakuyoxingshu7000" w:hAnsi="hakuyoxingshu7000" w:eastAsia="hakuyoxingshu7000" w:hint="eastAsia"/>
                <w:w w:val="95"/>
                <w:sz w:val="21"/>
              </w:rPr>
              <w:t>具体详见《青海省电子招投标公共服务平台》</w:t>
            </w:r>
            <w:r>
              <w:rPr>
                <w:rFonts w:ascii="hakuyoxingshu7000" w:hAnsi="hakuyoxingshu7000" w:eastAsia="hakuyoxingshu7000" w:hint="eastAsia"/>
                <w:w w:val="65"/>
                <w:sz w:val="21"/>
              </w:rPr>
              <w:t>“</w:t>
            </w:r>
            <w:r>
              <w:rPr>
                <w:rFonts w:ascii="hakuyoxingshu7000" w:hAnsi="hakuyoxingshu7000" w:eastAsia="hakuyoxingshu7000" w:hint="eastAsia"/>
                <w:w w:val="95"/>
                <w:sz w:val="21"/>
              </w:rPr>
              <w:t>网上招投标系</w:t>
            </w:r>
          </w:p>
        </w:tc>
      </w:tr>
    </w:tbl>
    <w:p>
      <w:pPr>
        <w:spacing w:after="0"/>
        <w:rPr>
          <w:rFonts w:ascii="hakuyoxingshu7000" w:hAnsi="hakuyoxingshu7000" w:eastAsia="hakuyoxingshu7000" w:hint="eastAsia"/>
          <w:sz w:val="21"/>
        </w:rPr>
        <w:sectPr>
          <w:pgSz w:w="11910" w:h="16850"/>
          <w:pgMar w:header="911" w:footer="0" w:top="1380" w:bottom="280" w:left="1200" w:right="0"/>
        </w:sectPr>
      </w:pPr>
    </w:p>
    <w:p>
      <w:pPr>
        <w:pStyle w:val="BodyText"/>
        <w:spacing w:before="10"/>
        <w:rPr>
          <w:rFonts w:ascii="Times New Roman"/>
          <w:sz w:val="3"/>
        </w:rPr>
      </w:pPr>
      <w:r>
        <w:rPr/>
        <w:pict>
          <v:group style="position:absolute;margin-left:78.170998pt;margin-top:196.675003pt;width:445.3pt;height:440.95pt;mso-position-horizontal-relative:page;mso-position-vertical-relative:page;z-index:-268634112" coordorigin="1563,3934" coordsize="8906,8819">
            <v:shape style="position:absolute;left:1563;top:4099;width:8786;height:8653" type="#_x0000_t75" stroked="false">
              <v:imagedata r:id="rId6" o:title=""/>
            </v:shape>
            <v:shape style="position:absolute;left:4941;top:3933;width:5527;height:6126" coordorigin="4942,3934" coordsize="5527,6126" path="m5362,8302l4942,8302,4942,8812,5362,8812,5362,8302m6413,9563l4942,9563,4942,10059,6413,10059,6413,9563m8516,5810l4942,5810,4942,6321,8516,6321,8516,5810m10469,8933l4942,8933,4942,9444,10469,9444,10469,8933m10469,7687l4942,7687,4942,8182,10469,8182,10469,7687m10469,7056l4942,7056,4942,7567,10469,7567,10469,7056m10469,6440l4942,6440,4942,6936,10469,6936,10469,6440m10469,5179l4942,5179,4942,5690,10469,5690,10469,5179m10469,4564l4942,4564,4942,5060,10469,5060,10469,4564m10469,3934l4942,3934,4942,4444,10469,4444,10469,3934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1859"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2" w:type="dxa"/>
            <w:tcBorders>
              <w:bottom w:val="single" w:sz="6" w:space="0" w:color="000000"/>
              <w:right w:val="single" w:sz="6" w:space="0" w:color="000000"/>
            </w:tcBorders>
          </w:tcPr>
          <w:p>
            <w:pPr>
              <w:pStyle w:val="TableParagraph"/>
              <w:rPr>
                <w:rFonts w:ascii="Times New Roman"/>
                <w:sz w:val="20"/>
              </w:rPr>
            </w:pPr>
          </w:p>
        </w:tc>
        <w:tc>
          <w:tcPr>
            <w:tcW w:w="5737" w:type="dxa"/>
            <w:tcBorders>
              <w:left w:val="single" w:sz="6" w:space="0" w:color="000000"/>
              <w:bottom w:val="single" w:sz="6" w:space="0" w:color="000000"/>
              <w:right w:val="single" w:sz="6" w:space="0" w:color="000000"/>
            </w:tcBorders>
          </w:tcPr>
          <w:p>
            <w:pPr>
              <w:pStyle w:val="TableParagraph"/>
              <w:spacing w:before="162"/>
              <w:ind w:left="99"/>
              <w:rPr>
                <w:rFonts w:ascii="hakuyoxingshu7000" w:hAnsi="hakuyoxingshu7000" w:eastAsia="hakuyoxingshu7000" w:hint="eastAsia"/>
                <w:sz w:val="21"/>
              </w:rPr>
            </w:pPr>
            <w:r>
              <w:rPr>
                <w:rFonts w:ascii="hakuyoxingshu7000" w:hAnsi="hakuyoxingshu7000" w:eastAsia="hakuyoxingshu7000" w:hint="eastAsia"/>
                <w:w w:val="95"/>
                <w:sz w:val="21"/>
              </w:rPr>
              <w:t>统操作手册</w:t>
            </w:r>
            <w:r>
              <w:rPr>
                <w:rFonts w:ascii="hakuyoxingshu7000" w:hAnsi="hakuyoxingshu7000" w:eastAsia="hakuyoxingshu7000" w:hint="eastAsia"/>
                <w:w w:val="65"/>
                <w:sz w:val="21"/>
              </w:rPr>
              <w:t>”</w:t>
            </w:r>
            <w:r>
              <w:rPr>
                <w:rFonts w:ascii="hakuyoxingshu7000" w:hAnsi="hakuyoxingshu7000" w:eastAsia="hakuyoxingshu7000" w:hint="eastAsia"/>
                <w:w w:val="95"/>
                <w:sz w:val="21"/>
              </w:rPr>
              <w:t>。未按上述要求加密和数字证书认证的投标文</w:t>
            </w:r>
          </w:p>
          <w:p>
            <w:pPr>
              <w:pStyle w:val="TableParagraph"/>
              <w:spacing w:line="610" w:lineRule="atLeast" w:before="21"/>
              <w:ind w:left="99" w:right="103"/>
              <w:rPr>
                <w:rFonts w:ascii="hakuyoxingshu7000" w:eastAsia="hakuyoxingshu7000" w:hint="eastAsia"/>
                <w:sz w:val="21"/>
              </w:rPr>
            </w:pPr>
            <w:r>
              <w:rPr>
                <w:rFonts w:ascii="hakuyoxingshu7000" w:eastAsia="hakuyoxingshu7000" w:hint="eastAsia"/>
                <w:sz w:val="21"/>
              </w:rPr>
              <w:t>件，将被视为无效投标文件，其投标文件将被拒绝，招标人不予受理。</w:t>
            </w:r>
          </w:p>
        </w:tc>
      </w:tr>
      <w:tr>
        <w:trPr>
          <w:trHeight w:val="9983"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31"/>
              </w:rPr>
            </w:pPr>
          </w:p>
          <w:p>
            <w:pPr>
              <w:pStyle w:val="TableParagraph"/>
              <w:ind w:left="319" w:right="320"/>
              <w:jc w:val="center"/>
              <w:rPr>
                <w:rFonts w:ascii="hakuyoxingshu7000"/>
                <w:sz w:val="21"/>
              </w:rPr>
            </w:pPr>
            <w:r>
              <w:rPr>
                <w:rFonts w:ascii="hakuyoxingshu7000"/>
                <w:spacing w:val="2"/>
                <w:w w:val="111"/>
                <w:sz w:val="21"/>
              </w:rPr>
              <w:t>4</w:t>
            </w:r>
            <w:r>
              <w:rPr>
                <w:rFonts w:ascii="hakuyoxingshu7000"/>
                <w:spacing w:val="1"/>
                <w:w w:val="55"/>
                <w:sz w:val="21"/>
              </w:rPr>
              <w:t>.</w:t>
            </w:r>
            <w:r>
              <w:rPr>
                <w:rFonts w:ascii="hakuyoxingshu7000"/>
                <w:w w:val="111"/>
                <w:sz w:val="21"/>
              </w:rPr>
              <w:t>2</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31"/>
              </w:rPr>
            </w:pPr>
          </w:p>
          <w:p>
            <w:pPr>
              <w:pStyle w:val="TableParagraph"/>
              <w:ind w:left="396"/>
              <w:rPr>
                <w:rFonts w:ascii="hakuyoxingshu7000" w:eastAsia="hakuyoxingshu7000" w:hint="eastAsia"/>
                <w:sz w:val="21"/>
              </w:rPr>
            </w:pPr>
            <w:r>
              <w:rPr>
                <w:rFonts w:ascii="hakuyoxingshu7000" w:eastAsia="hakuyoxingshu7000" w:hint="eastAsia"/>
                <w:sz w:val="21"/>
              </w:rPr>
              <w:t>投标文件的递交</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556" w:lineRule="auto" w:before="180"/>
              <w:ind w:left="99" w:right="78"/>
              <w:jc w:val="both"/>
              <w:rPr>
                <w:rFonts w:ascii="hakuyoxingshu7000" w:hAnsi="hakuyoxingshu7000" w:eastAsia="hakuyoxingshu7000" w:hint="eastAsia"/>
                <w:sz w:val="21"/>
              </w:rPr>
            </w:pPr>
            <w:r>
              <w:rPr>
                <w:rFonts w:ascii="hakuyoxingshu7000" w:hAnsi="hakuyoxingshu7000" w:eastAsia="hakuyoxingshu7000" w:hint="eastAsia"/>
                <w:spacing w:val="3"/>
                <w:sz w:val="21"/>
              </w:rPr>
              <w:t>1</w:t>
            </w:r>
            <w:r>
              <w:rPr>
                <w:rFonts w:ascii="hakuyoxingshu7000" w:hAnsi="hakuyoxingshu7000" w:eastAsia="hakuyoxingshu7000" w:hint="eastAsia"/>
                <w:spacing w:val="-7"/>
                <w:sz w:val="21"/>
              </w:rPr>
              <w:t>、潜在投标人应当在截止时间前，通过互联网使用 </w:t>
            </w:r>
            <w:r>
              <w:rPr>
                <w:rFonts w:ascii="hakuyoxingshu7000" w:hAnsi="hakuyoxingshu7000" w:eastAsia="hakuyoxingshu7000" w:hint="eastAsia"/>
                <w:w w:val="125"/>
                <w:sz w:val="21"/>
              </w:rPr>
              <w:t>CA</w:t>
            </w:r>
            <w:r>
              <w:rPr>
                <w:rFonts w:ascii="hakuyoxingshu7000" w:hAnsi="hakuyoxingshu7000" w:eastAsia="hakuyoxingshu7000" w:hint="eastAsia"/>
                <w:spacing w:val="-59"/>
                <w:w w:val="125"/>
                <w:sz w:val="21"/>
              </w:rPr>
              <w:t> </w:t>
            </w:r>
            <w:r>
              <w:rPr>
                <w:rFonts w:ascii="hakuyoxingshu7000" w:hAnsi="hakuyoxingshu7000" w:eastAsia="hakuyoxingshu7000" w:hint="eastAsia"/>
                <w:sz w:val="21"/>
              </w:rPr>
              <w:t>数字</w:t>
            </w:r>
            <w:r>
              <w:rPr>
                <w:rFonts w:ascii="hakuyoxingshu7000" w:hAnsi="hakuyoxingshu7000" w:eastAsia="hakuyoxingshu7000" w:hint="eastAsia"/>
                <w:spacing w:val="-1"/>
                <w:sz w:val="21"/>
              </w:rPr>
              <w:t>证书登录</w:t>
            </w:r>
            <w:r>
              <w:rPr>
                <w:rFonts w:ascii="hakuyoxingshu7000" w:hAnsi="hakuyoxingshu7000" w:eastAsia="hakuyoxingshu7000" w:hint="eastAsia"/>
                <w:spacing w:val="5"/>
                <w:w w:val="33"/>
                <w:sz w:val="21"/>
              </w:rPr>
              <w:t>“</w:t>
            </w:r>
            <w:r>
              <w:rPr>
                <w:rFonts w:ascii="hakuyoxingshu7000" w:hAnsi="hakuyoxingshu7000" w:eastAsia="hakuyoxingshu7000" w:hint="eastAsia"/>
                <w:spacing w:val="-1"/>
                <w:sz w:val="21"/>
              </w:rPr>
              <w:t>青海省电子招投标公共服务平台</w:t>
            </w:r>
            <w:r>
              <w:rPr>
                <w:rFonts w:ascii="hakuyoxingshu7000" w:hAnsi="hakuyoxingshu7000" w:eastAsia="hakuyoxingshu7000" w:hint="eastAsia"/>
                <w:spacing w:val="5"/>
                <w:w w:val="33"/>
                <w:sz w:val="21"/>
              </w:rPr>
              <w:t>”</w:t>
            </w:r>
            <w:r>
              <w:rPr>
                <w:rFonts w:ascii="hakuyoxingshu7000" w:hAnsi="hakuyoxingshu7000" w:eastAsia="hakuyoxingshu7000" w:hint="eastAsia"/>
                <w:spacing w:val="-11"/>
                <w:sz w:val="21"/>
              </w:rPr>
              <w:t>，选择所投标段将加密的电子投标文件上传。投标人完成投标文件上传后，</w:t>
            </w:r>
            <w:r>
              <w:rPr>
                <w:rFonts w:ascii="hakuyoxingshu7000" w:hAnsi="hakuyoxingshu7000" w:eastAsia="hakuyoxingshu7000" w:hint="eastAsia"/>
                <w:spacing w:val="5"/>
                <w:w w:val="33"/>
                <w:sz w:val="21"/>
              </w:rPr>
              <w:t>“</w:t>
            </w:r>
            <w:r>
              <w:rPr>
                <w:rFonts w:ascii="hakuyoxingshu7000" w:hAnsi="hakuyoxingshu7000" w:eastAsia="hakuyoxingshu7000" w:hint="eastAsia"/>
                <w:sz w:val="21"/>
              </w:rPr>
              <w:t>电</w:t>
            </w:r>
            <w:r>
              <w:rPr>
                <w:rFonts w:ascii="hakuyoxingshu7000" w:hAnsi="hakuyoxingshu7000" w:eastAsia="hakuyoxingshu7000" w:hint="eastAsia"/>
                <w:w w:val="95"/>
                <w:sz w:val="21"/>
              </w:rPr>
              <w:t>子交易平台</w:t>
            </w:r>
            <w:r>
              <w:rPr>
                <w:rFonts w:ascii="hakuyoxingshu7000" w:hAnsi="hakuyoxingshu7000" w:eastAsia="hakuyoxingshu7000" w:hint="eastAsia"/>
                <w:spacing w:val="5"/>
                <w:w w:val="65"/>
                <w:sz w:val="21"/>
              </w:rPr>
              <w:t>”</w:t>
            </w:r>
            <w:r>
              <w:rPr>
                <w:rFonts w:ascii="hakuyoxingshu7000" w:hAnsi="hakuyoxingshu7000" w:eastAsia="hakuyoxingshu7000" w:hint="eastAsia"/>
                <w:spacing w:val="-2"/>
                <w:w w:val="95"/>
                <w:sz w:val="21"/>
              </w:rPr>
              <w:t>即时向投标人发出电子签收凭证，递交时间以电 </w:t>
            </w:r>
            <w:r>
              <w:rPr>
                <w:rFonts w:ascii="hakuyoxingshu7000" w:hAnsi="hakuyoxingshu7000" w:eastAsia="hakuyoxingshu7000" w:hint="eastAsia"/>
                <w:spacing w:val="-2"/>
                <w:sz w:val="21"/>
              </w:rPr>
              <w:t>子签收凭证载明的传输完成时间为准。</w:t>
            </w:r>
          </w:p>
          <w:p>
            <w:pPr>
              <w:pStyle w:val="TableParagraph"/>
              <w:spacing w:line="554" w:lineRule="auto" w:before="2"/>
              <w:ind w:left="99" w:right="91"/>
              <w:jc w:val="both"/>
              <w:rPr>
                <w:rFonts w:ascii="hakuyoxingshu7000" w:eastAsia="hakuyoxingshu7000" w:hint="eastAsia"/>
                <w:sz w:val="21"/>
              </w:rPr>
            </w:pPr>
            <w:r>
              <w:rPr>
                <w:rFonts w:ascii="hakuyoxingshu7000" w:eastAsia="hakuyoxingshu7000" w:hint="eastAsia"/>
                <w:spacing w:val="3"/>
                <w:sz w:val="21"/>
              </w:rPr>
              <w:t>2</w:t>
            </w:r>
            <w:r>
              <w:rPr>
                <w:rFonts w:ascii="hakuyoxingshu7000" w:eastAsia="hakuyoxingshu7000" w:hint="eastAsia"/>
                <w:spacing w:val="-8"/>
                <w:sz w:val="21"/>
              </w:rPr>
              <w:t>、投标截止时间前未完成投标文件传输的，视为撤回投标文</w:t>
            </w:r>
            <w:r>
              <w:rPr>
                <w:rFonts w:ascii="hakuyoxingshu7000" w:eastAsia="hakuyoxingshu7000" w:hint="eastAsia"/>
                <w:spacing w:val="-4"/>
                <w:sz w:val="21"/>
              </w:rPr>
              <w:t>件。因投标人原因造成投标文件未解密的，视为撤消其投标</w:t>
            </w:r>
            <w:r>
              <w:rPr>
                <w:rFonts w:ascii="hakuyoxingshu7000" w:eastAsia="hakuyoxingshu7000" w:hint="eastAsia"/>
                <w:spacing w:val="-1"/>
                <w:sz w:val="21"/>
              </w:rPr>
              <w:t>文件。部分投标文件未解密的，其他投标文件的开标继续进行。</w:t>
            </w:r>
          </w:p>
          <w:p>
            <w:pPr>
              <w:pStyle w:val="TableParagraph"/>
              <w:spacing w:line="561" w:lineRule="auto" w:before="5"/>
              <w:ind w:left="99" w:right="29"/>
              <w:rPr>
                <w:rFonts w:ascii="hakuyoxingshu7000" w:eastAsia="hakuyoxingshu7000" w:hint="eastAsia"/>
                <w:sz w:val="21"/>
              </w:rPr>
            </w:pPr>
            <w:r>
              <w:rPr>
                <w:rFonts w:ascii="hakuyoxingshu7000" w:eastAsia="hakuyoxingshu7000" w:hint="eastAsia"/>
                <w:sz w:val="21"/>
              </w:rPr>
              <w:t>3、招标人（代理机构）郑重承诺本电子招标文件为本项目唯一的招标文件。</w:t>
            </w:r>
          </w:p>
          <w:p>
            <w:pPr>
              <w:pStyle w:val="TableParagraph"/>
              <w:spacing w:line="556" w:lineRule="auto"/>
              <w:ind w:left="99" w:right="-44"/>
              <w:rPr>
                <w:rFonts w:ascii="hakuyoxingshu7000" w:hAnsi="hakuyoxingshu7000" w:eastAsia="hakuyoxingshu7000" w:hint="eastAsia"/>
                <w:sz w:val="21"/>
              </w:rPr>
            </w:pPr>
            <w:r>
              <w:rPr>
                <w:rFonts w:ascii="hakuyoxingshu7000" w:hAnsi="hakuyoxingshu7000" w:eastAsia="hakuyoxingshu7000" w:hint="eastAsia"/>
                <w:spacing w:val="3"/>
                <w:sz w:val="21"/>
              </w:rPr>
              <w:t>4</w:t>
            </w:r>
            <w:r>
              <w:rPr>
                <w:rFonts w:ascii="hakuyoxingshu7000" w:hAnsi="hakuyoxingshu7000" w:eastAsia="hakuyoxingshu7000" w:hint="eastAsia"/>
                <w:sz w:val="21"/>
              </w:rPr>
              <w:t>、招标人如需要相应的</w:t>
            </w:r>
            <w:r>
              <w:rPr>
                <w:rFonts w:ascii="hakuyoxingshu7000" w:hAnsi="hakuyoxingshu7000" w:eastAsia="hakuyoxingshu7000" w:hint="eastAsia"/>
                <w:spacing w:val="5"/>
                <w:w w:val="65"/>
                <w:sz w:val="21"/>
              </w:rPr>
              <w:t>“</w:t>
            </w:r>
            <w:r>
              <w:rPr>
                <w:rFonts w:ascii="hakuyoxingshu7000" w:hAnsi="hakuyoxingshu7000" w:eastAsia="hakuyoxingshu7000" w:hint="eastAsia"/>
                <w:sz w:val="21"/>
              </w:rPr>
              <w:t>纸质招标文件、投标文件、《青海</w:t>
            </w:r>
            <w:r>
              <w:rPr>
                <w:rFonts w:ascii="hakuyoxingshu7000" w:hAnsi="hakuyoxingshu7000" w:eastAsia="hakuyoxingshu7000" w:hint="eastAsia"/>
                <w:spacing w:val="-1"/>
                <w:sz w:val="21"/>
              </w:rPr>
              <w:t>省电子招投标公共服务平台》形成的评标资料</w:t>
            </w:r>
            <w:r>
              <w:rPr>
                <w:rFonts w:ascii="hakuyoxingshu7000" w:hAnsi="hakuyoxingshu7000" w:eastAsia="hakuyoxingshu7000" w:hint="eastAsia"/>
                <w:spacing w:val="5"/>
                <w:w w:val="65"/>
                <w:sz w:val="21"/>
              </w:rPr>
              <w:t>”</w:t>
            </w:r>
            <w:r>
              <w:rPr>
                <w:rFonts w:ascii="hakuyoxingshu7000" w:hAnsi="hakuyoxingshu7000" w:eastAsia="hakuyoxingshu7000" w:hint="eastAsia"/>
                <w:sz w:val="21"/>
              </w:rPr>
              <w:t>是指《青海省</w:t>
            </w:r>
            <w:r>
              <w:rPr>
                <w:rFonts w:ascii="hakuyoxingshu7000" w:hAnsi="hakuyoxingshu7000" w:eastAsia="hakuyoxingshu7000" w:hint="eastAsia"/>
                <w:spacing w:val="-3"/>
                <w:sz w:val="21"/>
              </w:rPr>
              <w:t>电子招投标公共服务平台》生成的电子招标文件、投标文件、</w:t>
            </w:r>
            <w:r>
              <w:rPr>
                <w:rFonts w:ascii="hakuyoxingshu7000" w:hAnsi="hakuyoxingshu7000" w:eastAsia="hakuyoxingshu7000" w:hint="eastAsia"/>
                <w:sz w:val="21"/>
              </w:rPr>
              <w:t>评标资料等的打印文本。在公示结果无疑义后从《青海省电</w:t>
            </w:r>
          </w:p>
          <w:p>
            <w:pPr>
              <w:pStyle w:val="TableParagraph"/>
              <w:ind w:left="99"/>
              <w:rPr>
                <w:rFonts w:ascii="hakuyoxingshu7000" w:eastAsia="hakuyoxingshu7000" w:hint="eastAsia"/>
                <w:sz w:val="21"/>
              </w:rPr>
            </w:pPr>
            <w:r>
              <w:rPr>
                <w:rFonts w:ascii="hakuyoxingshu7000" w:eastAsia="hakuyoxingshu7000" w:hint="eastAsia"/>
                <w:sz w:val="21"/>
              </w:rPr>
              <w:t>子招投标公共服务平台》下载或打印装订成册。</w:t>
            </w:r>
          </w:p>
        </w:tc>
      </w:tr>
      <w:tr>
        <w:trPr>
          <w:trHeight w:val="1996"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227"/>
              <w:ind w:left="320" w:right="320"/>
              <w:jc w:val="center"/>
              <w:rPr>
                <w:rFonts w:ascii="hakuyoxingshu7000"/>
                <w:sz w:val="21"/>
              </w:rPr>
            </w:pPr>
            <w:r>
              <w:rPr>
                <w:rFonts w:ascii="hakuyoxingshu7000"/>
                <w:spacing w:val="3"/>
                <w:w w:val="111"/>
                <w:sz w:val="21"/>
              </w:rPr>
              <w:t>5</w:t>
            </w:r>
            <w:r>
              <w:rPr>
                <w:rFonts w:ascii="hakuyoxingshu7000"/>
                <w:spacing w:val="1"/>
                <w:w w:val="55"/>
                <w:sz w:val="21"/>
              </w:rPr>
              <w:t>.</w:t>
            </w:r>
            <w:r>
              <w:rPr>
                <w:rFonts w:ascii="hakuyoxingshu7000"/>
                <w:w w:val="111"/>
                <w:sz w:val="21"/>
              </w:rPr>
              <w:t>1</w:t>
            </w:r>
          </w:p>
        </w:tc>
        <w:tc>
          <w:tcPr>
            <w:tcW w:w="2282" w:type="dxa"/>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spacing w:before="227"/>
              <w:ind w:left="396"/>
              <w:rPr>
                <w:rFonts w:ascii="hakuyoxingshu7000" w:eastAsia="hakuyoxingshu7000" w:hint="eastAsia"/>
                <w:sz w:val="21"/>
              </w:rPr>
            </w:pPr>
            <w:r>
              <w:rPr>
                <w:rFonts w:ascii="hakuyoxingshu7000" w:eastAsia="hakuyoxingshu7000" w:hint="eastAsia"/>
                <w:sz w:val="21"/>
              </w:rPr>
              <w:t>开标时间和地点</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105"/>
              <w:ind w:left="99"/>
              <w:rPr>
                <w:rFonts w:ascii="hakuyoxingshu7000" w:eastAsia="hakuyoxingshu7000" w:hint="eastAsia"/>
                <w:sz w:val="21"/>
              </w:rPr>
            </w:pPr>
            <w:r>
              <w:rPr>
                <w:rFonts w:ascii="hakuyoxingshu7000" w:eastAsia="hakuyoxingshu7000" w:hint="eastAsia"/>
                <w:sz w:val="21"/>
              </w:rPr>
              <w:t>开标时间：同投标截止时间</w:t>
            </w:r>
          </w:p>
          <w:p>
            <w:pPr>
              <w:pStyle w:val="TableParagraph"/>
              <w:spacing w:line="355" w:lineRule="auto" w:before="136"/>
              <w:ind w:left="99" w:right="107"/>
              <w:jc w:val="both"/>
              <w:rPr>
                <w:rFonts w:ascii="hakuyoxingshu7000" w:hAnsi="hakuyoxingshu7000" w:eastAsia="hakuyoxingshu7000" w:hint="eastAsia"/>
                <w:sz w:val="21"/>
              </w:rPr>
            </w:pPr>
            <w:r>
              <w:rPr>
                <w:rFonts w:ascii="hakuyoxingshu7000" w:hAnsi="hakuyoxingshu7000" w:eastAsia="hakuyoxingshu7000" w:hint="eastAsia"/>
                <w:sz w:val="21"/>
              </w:rPr>
              <w:t>开标地点：由招标人（</w:t>
            </w:r>
            <w:r>
              <w:rPr>
                <w:rFonts w:ascii="hakuyoxingshu7000" w:hAnsi="hakuyoxingshu7000" w:eastAsia="hakuyoxingshu7000" w:hint="eastAsia"/>
                <w:spacing w:val="3"/>
                <w:sz w:val="21"/>
              </w:rPr>
              <w:t>代理机构</w:t>
            </w:r>
            <w:r>
              <w:rPr>
                <w:rFonts w:ascii="hakuyoxingshu7000" w:hAnsi="hakuyoxingshu7000" w:eastAsia="hakuyoxingshu7000" w:hint="eastAsia"/>
                <w:sz w:val="21"/>
              </w:rPr>
              <w:t>）在招标公告规定的地点组</w:t>
            </w:r>
            <w:r>
              <w:rPr>
                <w:rFonts w:ascii="hakuyoxingshu7000" w:hAnsi="hakuyoxingshu7000" w:eastAsia="hakuyoxingshu7000" w:hint="eastAsia"/>
                <w:spacing w:val="1"/>
                <w:w w:val="95"/>
                <w:sz w:val="21"/>
              </w:rPr>
              <w:t>织远程解密、远程在线的</w:t>
            </w:r>
            <w:r>
              <w:rPr>
                <w:rFonts w:ascii="hakuyoxingshu7000" w:hAnsi="hakuyoxingshu7000" w:eastAsia="hakuyoxingshu7000" w:hint="eastAsia"/>
                <w:spacing w:val="5"/>
                <w:w w:val="65"/>
                <w:sz w:val="21"/>
              </w:rPr>
              <w:t>“</w:t>
            </w:r>
            <w:r>
              <w:rPr>
                <w:rFonts w:ascii="hakuyoxingshu7000" w:hAnsi="hakuyoxingshu7000" w:eastAsia="hakuyoxingshu7000" w:hint="eastAsia"/>
                <w:spacing w:val="2"/>
                <w:w w:val="95"/>
                <w:sz w:val="21"/>
              </w:rPr>
              <w:t>不见面开标方式</w:t>
            </w:r>
            <w:r>
              <w:rPr>
                <w:rFonts w:ascii="hakuyoxingshu7000" w:hAnsi="hakuyoxingshu7000" w:eastAsia="hakuyoxingshu7000" w:hint="eastAsia"/>
                <w:spacing w:val="14"/>
                <w:w w:val="65"/>
                <w:sz w:val="21"/>
              </w:rPr>
              <w:t>” </w:t>
            </w:r>
            <w:r>
              <w:rPr>
                <w:rFonts w:ascii="hakuyoxingshu7000" w:hAnsi="hakuyoxingshu7000" w:eastAsia="hakuyoxingshu7000" w:hint="eastAsia"/>
                <w:w w:val="95"/>
                <w:sz w:val="21"/>
              </w:rPr>
              <w:t>依法组织开标活</w:t>
            </w:r>
            <w:r>
              <w:rPr>
                <w:rFonts w:ascii="hakuyoxingshu7000" w:hAnsi="hakuyoxingshu7000" w:eastAsia="hakuyoxingshu7000" w:hint="eastAsia"/>
                <w:sz w:val="21"/>
              </w:rPr>
              <w:t>动。投标人投标人无需到开标现场。投标人应在开标时间前</w:t>
            </w:r>
          </w:p>
          <w:p>
            <w:pPr>
              <w:pStyle w:val="TableParagraph"/>
              <w:spacing w:line="265" w:lineRule="exact" w:before="7"/>
              <w:ind w:left="99"/>
              <w:jc w:val="both"/>
              <w:rPr>
                <w:rFonts w:ascii="hakuyoxingshu7000" w:hAnsi="hakuyoxingshu7000" w:eastAsia="hakuyoxingshu7000" w:hint="eastAsia"/>
                <w:sz w:val="21"/>
              </w:rPr>
            </w:pPr>
            <w:r>
              <w:rPr>
                <w:rFonts w:ascii="hakuyoxingshu7000" w:hAnsi="hakuyoxingshu7000" w:eastAsia="hakuyoxingshu7000" w:hint="eastAsia"/>
                <w:spacing w:val="-10"/>
                <w:sz w:val="21"/>
              </w:rPr>
              <w:t>提前使用 </w:t>
            </w:r>
            <w:r>
              <w:rPr>
                <w:rFonts w:ascii="hakuyoxingshu7000" w:hAnsi="hakuyoxingshu7000" w:eastAsia="hakuyoxingshu7000" w:hint="eastAsia"/>
                <w:spacing w:val="-2"/>
                <w:w w:val="138"/>
                <w:sz w:val="21"/>
              </w:rPr>
              <w:t>C</w:t>
            </w:r>
            <w:r>
              <w:rPr>
                <w:rFonts w:ascii="hakuyoxingshu7000" w:hAnsi="hakuyoxingshu7000" w:eastAsia="hakuyoxingshu7000" w:hint="eastAsia"/>
                <w:w w:val="138"/>
                <w:sz w:val="21"/>
              </w:rPr>
              <w:t>A</w:t>
            </w:r>
            <w:r>
              <w:rPr>
                <w:rFonts w:ascii="hakuyoxingshu7000" w:hAnsi="hakuyoxingshu7000" w:eastAsia="hakuyoxingshu7000" w:hint="eastAsia"/>
                <w:spacing w:val="-9"/>
                <w:sz w:val="21"/>
              </w:rPr>
              <w:t> 数字证书登录</w:t>
            </w:r>
            <w:r>
              <w:rPr>
                <w:rFonts w:ascii="hakuyoxingshu7000" w:hAnsi="hakuyoxingshu7000" w:eastAsia="hakuyoxingshu7000" w:hint="eastAsia"/>
                <w:spacing w:val="5"/>
                <w:w w:val="33"/>
                <w:sz w:val="21"/>
              </w:rPr>
              <w:t>“</w:t>
            </w:r>
            <w:r>
              <w:rPr>
                <w:rFonts w:ascii="hakuyoxingshu7000" w:hAnsi="hakuyoxingshu7000" w:eastAsia="hakuyoxingshu7000" w:hint="eastAsia"/>
                <w:spacing w:val="-1"/>
                <w:sz w:val="21"/>
              </w:rPr>
              <w:t>不见面开标系统</w:t>
            </w:r>
            <w:r>
              <w:rPr>
                <w:rFonts w:ascii="hakuyoxingshu7000" w:hAnsi="hakuyoxingshu7000" w:eastAsia="hakuyoxingshu7000" w:hint="eastAsia"/>
                <w:spacing w:val="5"/>
                <w:w w:val="33"/>
                <w:sz w:val="21"/>
              </w:rPr>
              <w:t>”</w:t>
            </w:r>
            <w:r>
              <w:rPr>
                <w:rFonts w:ascii="hakuyoxingshu7000" w:hAnsi="hakuyoxingshu7000" w:eastAsia="hakuyoxingshu7000" w:hint="eastAsia"/>
                <w:spacing w:val="-10"/>
                <w:sz w:val="21"/>
              </w:rPr>
              <w:t>，等待开标并按</w:t>
            </w:r>
          </w:p>
        </w:tc>
      </w:tr>
    </w:tbl>
    <w:p>
      <w:pPr>
        <w:spacing w:after="0" w:line="265" w:lineRule="exact"/>
        <w:jc w:val="both"/>
        <w:rPr>
          <w:rFonts w:ascii="hakuyoxingshu7000" w:hAnsi="hakuyoxingshu7000" w:eastAsia="hakuyoxingshu7000" w:hint="eastAsia"/>
          <w:sz w:val="21"/>
        </w:rPr>
        <w:sectPr>
          <w:pgSz w:w="11910" w:h="16850"/>
          <w:pgMar w:header="911" w:footer="0" w:top="1380" w:bottom="280" w:left="1200" w:right="0"/>
        </w:sectPr>
      </w:pPr>
    </w:p>
    <w:p>
      <w:pPr>
        <w:pStyle w:val="BodyText"/>
        <w:spacing w:before="10"/>
        <w:rPr>
          <w:rFonts w:ascii="Times New Roman"/>
          <w:sz w:val="3"/>
        </w:rPr>
      </w:pPr>
      <w:r>
        <w:rPr/>
        <w:pict>
          <v:group style="position:absolute;margin-left:78.170998pt;margin-top:192.169998pt;width:445.3pt;height:445.45pt;mso-position-horizontal-relative:page;mso-position-vertical-relative:page;z-index:-268633088" coordorigin="1563,3843" coordsize="8906,8909">
            <v:shape style="position:absolute;left:1563;top:4099;width:8786;height:8653" type="#_x0000_t75" stroked="false">
              <v:imagedata r:id="rId6" o:title=""/>
            </v:shape>
            <v:shape style="position:absolute;left:4941;top:3843;width:5527;height:6216" coordorigin="4942,3843" coordsize="5527,6216" path="m7675,8933l4942,8933,4942,9429,7675,9429,7675,8933m9988,4639l4942,4639,4942,5045,9988,5045,9988,4639m10378,3843l4942,3843,4942,4248,10378,4248,10378,3843m10469,9548l4942,9548,4942,10059,10469,10059,10469,9548m10469,8302l4942,8302,4942,8812,10469,8812,10469,8302m10469,7672l4942,7672,4942,8182,10469,8182,10469,7672m10469,7056l4942,7056,4942,7552,10469,7552,10469,7056m10469,4249l4942,4249,4942,4639,10469,4639,10469,4249e" filled="true" fillcolor="#ffffff" stroked="false">
              <v:path arrowok="t"/>
              <v:fill type="solid"/>
            </v:shape>
            <w10:wrap type="none"/>
          </v:group>
        </w:pict>
      </w: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188"/>
        <w:gridCol w:w="421"/>
        <w:gridCol w:w="1052"/>
        <w:gridCol w:w="421"/>
        <w:gridCol w:w="203"/>
        <w:gridCol w:w="5738"/>
      </w:tblGrid>
      <w:tr>
        <w:trPr>
          <w:trHeight w:val="793"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5" w:type="dxa"/>
            <w:gridSpan w:val="5"/>
            <w:tcBorders>
              <w:bottom w:val="single" w:sz="6" w:space="0" w:color="000000"/>
              <w:right w:val="single" w:sz="6" w:space="0" w:color="000000"/>
            </w:tcBorders>
          </w:tcPr>
          <w:p>
            <w:pPr>
              <w:pStyle w:val="TableParagraph"/>
              <w:rPr>
                <w:rFonts w:ascii="Times New Roman"/>
                <w:sz w:val="20"/>
              </w:rPr>
            </w:pPr>
          </w:p>
        </w:tc>
        <w:tc>
          <w:tcPr>
            <w:tcW w:w="5738" w:type="dxa"/>
            <w:tcBorders>
              <w:left w:val="single" w:sz="6" w:space="0" w:color="000000"/>
              <w:bottom w:val="single" w:sz="6" w:space="0" w:color="000000"/>
              <w:right w:val="single" w:sz="6" w:space="0" w:color="000000"/>
            </w:tcBorders>
          </w:tcPr>
          <w:p>
            <w:pPr>
              <w:pStyle w:val="TableParagraph"/>
              <w:spacing w:before="87"/>
              <w:ind w:left="96"/>
              <w:rPr>
                <w:rFonts w:ascii="hakuyoxingshu7000" w:eastAsia="hakuyoxingshu7000" w:hint="eastAsia"/>
                <w:sz w:val="21"/>
              </w:rPr>
            </w:pPr>
            <w:r>
              <w:rPr>
                <w:rFonts w:ascii="hakuyoxingshu7000" w:eastAsia="hakuyoxingshu7000" w:hint="eastAsia"/>
                <w:sz w:val="21"/>
              </w:rPr>
              <w:t>系统提示进行相应的投标人解密等事项。具体操作方法详见</w:t>
            </w:r>
          </w:p>
          <w:p>
            <w:pPr>
              <w:pStyle w:val="TableParagraph"/>
              <w:spacing w:before="137"/>
              <w:ind w:left="96"/>
              <w:rPr>
                <w:rFonts w:ascii="hakuyoxingshu7000" w:eastAsia="hakuyoxingshu7000" w:hint="eastAsia"/>
                <w:sz w:val="21"/>
              </w:rPr>
            </w:pPr>
            <w:r>
              <w:rPr>
                <w:rFonts w:ascii="hakuyoxingshu7000" w:eastAsia="hakuyoxingshu7000" w:hint="eastAsia"/>
                <w:sz w:val="21"/>
              </w:rPr>
              <w:t>省平台《远程异地开标操作手册》。</w:t>
            </w:r>
          </w:p>
        </w:tc>
      </w:tr>
      <w:tr>
        <w:trPr>
          <w:trHeight w:val="4789"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9"/>
              <w:rPr>
                <w:rFonts w:ascii="Times New Roman"/>
                <w:sz w:val="27"/>
              </w:rPr>
            </w:pPr>
          </w:p>
          <w:p>
            <w:pPr>
              <w:pStyle w:val="TableParagraph"/>
              <w:ind w:left="320" w:right="320"/>
              <w:jc w:val="center"/>
              <w:rPr>
                <w:rFonts w:ascii="hakuyoxingshu7000"/>
                <w:sz w:val="21"/>
              </w:rPr>
            </w:pPr>
            <w:r>
              <w:rPr>
                <w:rFonts w:ascii="hakuyoxingshu7000"/>
                <w:spacing w:val="3"/>
                <w:w w:val="111"/>
                <w:sz w:val="21"/>
              </w:rPr>
              <w:t>5</w:t>
            </w:r>
            <w:r>
              <w:rPr>
                <w:rFonts w:ascii="hakuyoxingshu7000"/>
                <w:spacing w:val="1"/>
                <w:w w:val="55"/>
                <w:sz w:val="21"/>
              </w:rPr>
              <w:t>.</w:t>
            </w:r>
            <w:r>
              <w:rPr>
                <w:rFonts w:ascii="hakuyoxingshu7000"/>
                <w:w w:val="111"/>
                <w:sz w:val="21"/>
              </w:rPr>
              <w:t>2</w:t>
            </w:r>
          </w:p>
        </w:tc>
        <w:tc>
          <w:tcPr>
            <w:tcW w:w="2285" w:type="dxa"/>
            <w:gridSpan w:val="5"/>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9"/>
              <w:rPr>
                <w:rFonts w:ascii="Times New Roman"/>
                <w:sz w:val="27"/>
              </w:rPr>
            </w:pPr>
          </w:p>
          <w:p>
            <w:pPr>
              <w:pStyle w:val="TableParagraph"/>
              <w:ind w:left="711"/>
              <w:rPr>
                <w:rFonts w:ascii="hakuyoxingshu7000" w:eastAsia="hakuyoxingshu7000" w:hint="eastAsia"/>
                <w:sz w:val="21"/>
              </w:rPr>
            </w:pPr>
            <w:r>
              <w:rPr>
                <w:rFonts w:ascii="hakuyoxingshu7000" w:eastAsia="hakuyoxingshu7000" w:hint="eastAsia"/>
                <w:sz w:val="21"/>
              </w:rPr>
              <w:t>开标程序</w:t>
            </w:r>
          </w:p>
        </w:tc>
        <w:tc>
          <w:tcPr>
            <w:tcW w:w="5738" w:type="dxa"/>
            <w:tcBorders>
              <w:top w:val="single" w:sz="6" w:space="0" w:color="000000"/>
              <w:left w:val="single" w:sz="6" w:space="0" w:color="000000"/>
              <w:bottom w:val="single" w:sz="6" w:space="0" w:color="000000"/>
              <w:right w:val="single" w:sz="6" w:space="0" w:color="000000"/>
            </w:tcBorders>
          </w:tcPr>
          <w:p>
            <w:pPr>
              <w:pStyle w:val="TableParagraph"/>
              <w:numPr>
                <w:ilvl w:val="0"/>
                <w:numId w:val="9"/>
              </w:numPr>
              <w:tabs>
                <w:tab w:pos="638" w:val="left" w:leader="none"/>
              </w:tabs>
              <w:spacing w:line="362" w:lineRule="auto" w:before="90" w:after="0"/>
              <w:ind w:left="96" w:right="96" w:firstLine="0"/>
              <w:jc w:val="left"/>
              <w:rPr>
                <w:rFonts w:ascii="hakuyoxingshu7000" w:eastAsia="hakuyoxingshu7000" w:hint="eastAsia"/>
                <w:sz w:val="21"/>
              </w:rPr>
            </w:pPr>
            <w:r>
              <w:rPr>
                <w:rFonts w:ascii="hakuyoxingshu7000" w:eastAsia="hakuyoxingshu7000" w:hint="eastAsia"/>
                <w:spacing w:val="-5"/>
                <w:sz w:val="21"/>
              </w:rPr>
              <w:t>招标人</w:t>
            </w:r>
            <w:r>
              <w:rPr>
                <w:rFonts w:ascii="hakuyoxingshu7000" w:eastAsia="hakuyoxingshu7000" w:hint="eastAsia"/>
                <w:sz w:val="21"/>
              </w:rPr>
              <w:t>（招标代理机构</w:t>
            </w:r>
            <w:r>
              <w:rPr>
                <w:rFonts w:ascii="hakuyoxingshu7000" w:eastAsia="hakuyoxingshu7000" w:hint="eastAsia"/>
                <w:spacing w:val="-15"/>
                <w:sz w:val="21"/>
              </w:rPr>
              <w:t>）</w:t>
            </w:r>
            <w:r>
              <w:rPr>
                <w:rFonts w:ascii="hakuyoxingshu7000" w:eastAsia="hakuyoxingshu7000" w:hint="eastAsia"/>
                <w:spacing w:val="-2"/>
                <w:sz w:val="21"/>
              </w:rPr>
              <w:t>工作人员登录评标系统，选择进入应开标的项目、标段。做好准备；</w:t>
            </w:r>
          </w:p>
          <w:p>
            <w:pPr>
              <w:pStyle w:val="TableParagraph"/>
              <w:numPr>
                <w:ilvl w:val="0"/>
                <w:numId w:val="9"/>
              </w:numPr>
              <w:tabs>
                <w:tab w:pos="638" w:val="left" w:leader="none"/>
              </w:tabs>
              <w:spacing w:line="267" w:lineRule="exact" w:before="0" w:after="0"/>
              <w:ind w:left="637" w:right="0" w:hanging="542"/>
              <w:jc w:val="left"/>
              <w:rPr>
                <w:rFonts w:ascii="hakuyoxingshu7000" w:eastAsia="hakuyoxingshu7000" w:hint="eastAsia"/>
                <w:sz w:val="21"/>
              </w:rPr>
            </w:pPr>
            <w:r>
              <w:rPr>
                <w:rFonts w:ascii="hakuyoxingshu7000" w:eastAsia="hakuyoxingshu7000" w:hint="eastAsia"/>
                <w:sz w:val="21"/>
              </w:rPr>
              <w:t>宣布本项目已到开标时间，现在依法进行开标；</w:t>
            </w:r>
          </w:p>
          <w:p>
            <w:pPr>
              <w:pStyle w:val="TableParagraph"/>
              <w:numPr>
                <w:ilvl w:val="0"/>
                <w:numId w:val="9"/>
              </w:numPr>
              <w:tabs>
                <w:tab w:pos="638" w:val="left" w:leader="none"/>
              </w:tabs>
              <w:spacing w:line="240" w:lineRule="auto" w:before="121" w:after="0"/>
              <w:ind w:left="637" w:right="0" w:hanging="542"/>
              <w:jc w:val="left"/>
              <w:rPr>
                <w:rFonts w:ascii="hakuyoxingshu7000" w:eastAsia="hakuyoxingshu7000" w:hint="eastAsia"/>
                <w:sz w:val="21"/>
              </w:rPr>
            </w:pPr>
            <w:r>
              <w:rPr>
                <w:rFonts w:ascii="hakuyoxingshu7000" w:eastAsia="hakuyoxingshu7000" w:hint="eastAsia"/>
                <w:sz w:val="21"/>
              </w:rPr>
              <w:t>宣布开标纪律；</w:t>
            </w:r>
          </w:p>
          <w:p>
            <w:pPr>
              <w:pStyle w:val="TableParagraph"/>
              <w:numPr>
                <w:ilvl w:val="0"/>
                <w:numId w:val="9"/>
              </w:numPr>
              <w:tabs>
                <w:tab w:pos="638" w:val="left" w:leader="none"/>
              </w:tabs>
              <w:spacing w:line="240" w:lineRule="auto" w:before="136" w:after="0"/>
              <w:ind w:left="637" w:right="0" w:hanging="542"/>
              <w:jc w:val="left"/>
              <w:rPr>
                <w:rFonts w:ascii="hakuyoxingshu7000" w:eastAsia="hakuyoxingshu7000" w:hint="eastAsia"/>
                <w:sz w:val="21"/>
              </w:rPr>
            </w:pPr>
            <w:r>
              <w:rPr>
                <w:rFonts w:ascii="hakuyoxingshu7000" w:eastAsia="hakuyoxingshu7000" w:hint="eastAsia"/>
                <w:sz w:val="21"/>
              </w:rPr>
              <w:t>点击公布投标人名单，获取应开标标段投标人名称；</w:t>
            </w:r>
          </w:p>
          <w:p>
            <w:pPr>
              <w:pStyle w:val="TableParagraph"/>
              <w:numPr>
                <w:ilvl w:val="0"/>
                <w:numId w:val="9"/>
              </w:numPr>
              <w:tabs>
                <w:tab w:pos="638" w:val="left" w:leader="none"/>
              </w:tabs>
              <w:spacing w:line="348" w:lineRule="auto" w:before="137" w:after="0"/>
              <w:ind w:left="96" w:right="80" w:firstLine="0"/>
              <w:jc w:val="left"/>
              <w:rPr>
                <w:rFonts w:ascii="hakuyoxingshu7000" w:eastAsia="hakuyoxingshu7000" w:hint="eastAsia"/>
                <w:sz w:val="21"/>
              </w:rPr>
            </w:pPr>
            <w:r>
              <w:rPr>
                <w:rFonts w:ascii="hakuyoxingshu7000" w:eastAsia="hakuyoxingshu7000" w:hint="eastAsia"/>
                <w:spacing w:val="-4"/>
                <w:sz w:val="21"/>
              </w:rPr>
              <w:t>投标文件解密，首先由投标单位逐一进行解密，投标人全部解密完成后，由招标人对投标文件进行批量解密；</w:t>
            </w:r>
          </w:p>
          <w:p>
            <w:pPr>
              <w:pStyle w:val="TableParagraph"/>
              <w:numPr>
                <w:ilvl w:val="0"/>
                <w:numId w:val="9"/>
              </w:numPr>
              <w:tabs>
                <w:tab w:pos="638" w:val="left" w:leader="none"/>
              </w:tabs>
              <w:spacing w:line="240" w:lineRule="auto" w:before="15" w:after="0"/>
              <w:ind w:left="637" w:right="0" w:hanging="542"/>
              <w:jc w:val="left"/>
              <w:rPr>
                <w:rFonts w:ascii="hakuyoxingshu7000" w:eastAsia="hakuyoxingshu7000" w:hint="eastAsia"/>
                <w:sz w:val="21"/>
              </w:rPr>
            </w:pPr>
            <w:r>
              <w:rPr>
                <w:rFonts w:ascii="hakuyoxingshu7000" w:eastAsia="hakuyoxingshu7000" w:hint="eastAsia"/>
                <w:sz w:val="21"/>
              </w:rPr>
              <w:t>批量导入；</w:t>
            </w:r>
          </w:p>
          <w:p>
            <w:pPr>
              <w:pStyle w:val="TableParagraph"/>
              <w:numPr>
                <w:ilvl w:val="0"/>
                <w:numId w:val="9"/>
              </w:numPr>
              <w:tabs>
                <w:tab w:pos="638" w:val="left" w:leader="none"/>
              </w:tabs>
              <w:spacing w:line="240" w:lineRule="auto" w:before="136" w:after="0"/>
              <w:ind w:left="637" w:right="0" w:hanging="542"/>
              <w:jc w:val="left"/>
              <w:rPr>
                <w:rFonts w:ascii="hakuyoxingshu7000" w:eastAsia="hakuyoxingshu7000" w:hint="eastAsia"/>
                <w:sz w:val="21"/>
              </w:rPr>
            </w:pPr>
            <w:r>
              <w:rPr>
                <w:rFonts w:ascii="hakuyoxingshu7000" w:eastAsia="hakuyoxingshu7000" w:hint="eastAsia"/>
                <w:sz w:val="21"/>
              </w:rPr>
              <w:t>系统生成开标记录表</w:t>
            </w:r>
            <w:r>
              <w:rPr>
                <w:rFonts w:ascii="hakuyoxingshu7000" w:eastAsia="hakuyoxingshu7000" w:hint="eastAsia"/>
                <w:w w:val="85"/>
                <w:sz w:val="21"/>
              </w:rPr>
              <w:t>;</w:t>
            </w:r>
          </w:p>
          <w:p>
            <w:pPr>
              <w:pStyle w:val="TableParagraph"/>
              <w:spacing w:before="122"/>
              <w:ind w:left="96"/>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（8）系统中进行招标文件导入操作；</w:t>
            </w:r>
          </w:p>
          <w:p>
            <w:pPr>
              <w:pStyle w:val="TableParagraph"/>
              <w:numPr>
                <w:ilvl w:val="0"/>
                <w:numId w:val="10"/>
              </w:numPr>
              <w:tabs>
                <w:tab w:pos="638" w:val="left" w:leader="none"/>
              </w:tabs>
              <w:spacing w:line="240" w:lineRule="auto" w:before="136" w:after="0"/>
              <w:ind w:left="637" w:right="0" w:hanging="542"/>
              <w:jc w:val="left"/>
              <w:rPr>
                <w:rFonts w:ascii="hakuyoxingshu7000" w:eastAsia="hakuyoxingshu7000" w:hint="eastAsia"/>
                <w:sz w:val="21"/>
              </w:rPr>
            </w:pPr>
            <w:r>
              <w:rPr>
                <w:rFonts w:ascii="hakuyoxingshu7000" w:eastAsia="hakuyoxingshu7000" w:hint="eastAsia"/>
                <w:sz w:val="21"/>
              </w:rPr>
              <w:t>形成开标纪录表；</w:t>
            </w:r>
          </w:p>
          <w:p>
            <w:pPr>
              <w:pStyle w:val="TableParagraph"/>
              <w:numPr>
                <w:ilvl w:val="0"/>
                <w:numId w:val="10"/>
              </w:numPr>
              <w:tabs>
                <w:tab w:pos="758" w:val="left" w:leader="none"/>
              </w:tabs>
              <w:spacing w:line="265" w:lineRule="exact" w:before="136" w:after="0"/>
              <w:ind w:left="757" w:right="0" w:hanging="662"/>
              <w:jc w:val="left"/>
              <w:rPr>
                <w:rFonts w:ascii="hakuyoxingshu7000" w:eastAsia="hakuyoxingshu7000" w:hint="eastAsia"/>
                <w:sz w:val="21"/>
              </w:rPr>
            </w:pPr>
            <w:r>
              <w:rPr>
                <w:rFonts w:ascii="hakuyoxingshu7000" w:eastAsia="hakuyoxingshu7000" w:hint="eastAsia"/>
                <w:sz w:val="21"/>
              </w:rPr>
              <w:t>开标结束。</w:t>
            </w:r>
          </w:p>
        </w:tc>
      </w:tr>
      <w:tr>
        <w:trPr>
          <w:trHeight w:val="3738" w:hRule="atLeast"/>
        </w:trPr>
        <w:tc>
          <w:tcPr>
            <w:tcW w:w="1171" w:type="dxa"/>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5"/>
              <w:rPr>
                <w:rFonts w:ascii="Times New Roman"/>
                <w:sz w:val="39"/>
              </w:rPr>
            </w:pPr>
          </w:p>
          <w:p>
            <w:pPr>
              <w:pStyle w:val="TableParagraph"/>
              <w:ind w:left="320" w:right="320"/>
              <w:jc w:val="center"/>
              <w:rPr>
                <w:rFonts w:ascii="hakuyoxingshu7000"/>
                <w:sz w:val="21"/>
              </w:rPr>
            </w:pPr>
            <w:r>
              <w:rPr>
                <w:rFonts w:ascii="hakuyoxingshu7000"/>
                <w:sz w:val="21"/>
              </w:rPr>
              <w:t>6.1</w:t>
            </w:r>
          </w:p>
        </w:tc>
        <w:tc>
          <w:tcPr>
            <w:tcW w:w="2285" w:type="dxa"/>
            <w:gridSpan w:val="5"/>
            <w:tcBorders>
              <w:top w:val="single" w:sz="6" w:space="0" w:color="000000"/>
              <w:bottom w:val="single" w:sz="6" w:space="0" w:color="000000"/>
              <w:right w:val="single" w:sz="6" w:space="0" w:color="000000"/>
            </w:tcBorders>
          </w:tcPr>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rPr>
                <w:rFonts w:ascii="Times New Roman"/>
                <w:sz w:val="28"/>
              </w:rPr>
            </w:pPr>
          </w:p>
          <w:p>
            <w:pPr>
              <w:pStyle w:val="TableParagraph"/>
              <w:spacing w:before="5"/>
              <w:rPr>
                <w:rFonts w:ascii="Times New Roman"/>
                <w:sz w:val="39"/>
              </w:rPr>
            </w:pPr>
          </w:p>
          <w:p>
            <w:pPr>
              <w:pStyle w:val="TableParagraph"/>
              <w:ind w:left="290"/>
              <w:rPr>
                <w:rFonts w:ascii="hakuyoxingshu7000" w:eastAsia="hakuyoxingshu7000" w:hint="eastAsia"/>
                <w:sz w:val="21"/>
              </w:rPr>
            </w:pPr>
            <w:r>
              <w:rPr>
                <w:rFonts w:ascii="Times New Roman" w:eastAsia="Times New Roman"/>
                <w:spacing w:val="-53"/>
                <w:sz w:val="21"/>
                <w:shd w:fill="FFFFFF" w:color="auto" w:val="clear"/>
              </w:rPr>
              <w:t> </w:t>
            </w:r>
            <w:r>
              <w:rPr>
                <w:rFonts w:ascii="hakuyoxingshu7000" w:eastAsia="hakuyoxingshu7000" w:hint="eastAsia"/>
                <w:sz w:val="21"/>
                <w:shd w:fill="FFFFFF" w:color="auto" w:val="clear"/>
              </w:rPr>
              <w:t>评标委员会的组建</w:t>
            </w:r>
          </w:p>
        </w:tc>
        <w:tc>
          <w:tcPr>
            <w:tcW w:w="5738" w:type="dxa"/>
            <w:tcBorders>
              <w:top w:val="single" w:sz="6" w:space="0" w:color="000000"/>
              <w:left w:val="single" w:sz="6" w:space="0" w:color="000000"/>
              <w:bottom w:val="single" w:sz="6" w:space="0" w:color="000000"/>
              <w:right w:val="single" w:sz="6" w:space="0" w:color="000000"/>
            </w:tcBorders>
          </w:tcPr>
          <w:p>
            <w:pPr>
              <w:pStyle w:val="TableParagraph"/>
              <w:numPr>
                <w:ilvl w:val="0"/>
                <w:numId w:val="11"/>
              </w:numPr>
              <w:tabs>
                <w:tab w:pos="638" w:val="left" w:leader="none"/>
              </w:tabs>
              <w:spacing w:line="556" w:lineRule="auto" w:before="180" w:after="0"/>
              <w:ind w:left="96" w:right="81" w:firstLine="0"/>
              <w:jc w:val="both"/>
              <w:rPr>
                <w:rFonts w:ascii="hakuyoxingshu7000" w:eastAsia="hakuyoxingshu7000" w:hint="eastAsia"/>
                <w:sz w:val="21"/>
              </w:rPr>
            </w:pPr>
            <w:r>
              <w:rPr>
                <w:rFonts w:ascii="hakuyoxingshu7000" w:eastAsia="hakuyoxingshu7000" w:hint="eastAsia"/>
                <w:spacing w:val="-3"/>
                <w:sz w:val="21"/>
              </w:rPr>
              <w:t>评标委员会构成：依法必须进行招标的项目，其评标</w:t>
            </w:r>
            <w:r>
              <w:rPr>
                <w:rFonts w:ascii="hakuyoxingshu7000" w:eastAsia="hakuyoxingshu7000" w:hint="eastAsia"/>
                <w:sz w:val="21"/>
              </w:rPr>
              <w:t>委员会由招标人的代表和有关技术、经济等方面的专家组成，成员人数为五人以上单数，其中技术、经济等方面的专家不得少于成员总数的三分之二。</w:t>
            </w:r>
          </w:p>
          <w:p>
            <w:pPr>
              <w:pStyle w:val="TableParagraph"/>
              <w:numPr>
                <w:ilvl w:val="0"/>
                <w:numId w:val="11"/>
              </w:numPr>
              <w:tabs>
                <w:tab w:pos="638" w:val="left" w:leader="none"/>
              </w:tabs>
              <w:spacing w:line="264" w:lineRule="exact" w:before="0" w:after="0"/>
              <w:ind w:left="637" w:right="0" w:hanging="542"/>
              <w:jc w:val="left"/>
              <w:rPr>
                <w:rFonts w:ascii="hakuyoxingshu7000" w:eastAsia="hakuyoxingshu7000" w:hint="eastAsia"/>
                <w:sz w:val="21"/>
              </w:rPr>
            </w:pPr>
            <w:r>
              <w:rPr>
                <w:rFonts w:ascii="hakuyoxingshu7000" w:eastAsia="hakuyoxingshu7000" w:hint="eastAsia"/>
                <w:spacing w:val="-4"/>
                <w:sz w:val="21"/>
              </w:rPr>
              <w:t>评标专家确定方式：从青海省公共资源交易评标专家库</w:t>
            </w:r>
          </w:p>
          <w:p>
            <w:pPr>
              <w:pStyle w:val="TableParagraph"/>
              <w:spacing w:before="6"/>
              <w:rPr>
                <w:rFonts w:ascii="Times New Roman"/>
                <w:sz w:val="31"/>
              </w:rPr>
            </w:pPr>
          </w:p>
          <w:p>
            <w:pPr>
              <w:pStyle w:val="TableParagraph"/>
              <w:ind w:left="96"/>
              <w:rPr>
                <w:rFonts w:ascii="hakuyoxingshu7000" w:eastAsia="hakuyoxingshu7000" w:hint="eastAsia"/>
                <w:sz w:val="21"/>
              </w:rPr>
            </w:pPr>
            <w:r>
              <w:rPr>
                <w:rFonts w:ascii="hakuyoxingshu7000" w:eastAsia="hakuyoxingshu7000" w:hint="eastAsia"/>
                <w:sz w:val="21"/>
              </w:rPr>
              <w:t>随机抽取。</w:t>
            </w:r>
          </w:p>
        </w:tc>
      </w:tr>
      <w:tr>
        <w:trPr>
          <w:trHeight w:val="510" w:hRule="atLeast"/>
        </w:trPr>
        <w:tc>
          <w:tcPr>
            <w:tcW w:w="1171" w:type="dxa"/>
            <w:vMerge w:val="restart"/>
            <w:tcBorders>
              <w:top w:val="single" w:sz="6" w:space="0" w:color="000000"/>
              <w:left w:val="single" w:sz="6" w:space="0" w:color="000000"/>
              <w:bottom w:val="single" w:sz="6" w:space="0" w:color="000000"/>
            </w:tcBorders>
          </w:tcPr>
          <w:p>
            <w:pPr>
              <w:pStyle w:val="TableParagraph"/>
              <w:rPr>
                <w:rFonts w:ascii="Times New Roman"/>
                <w:sz w:val="28"/>
              </w:rPr>
            </w:pPr>
          </w:p>
          <w:p>
            <w:pPr>
              <w:pStyle w:val="TableParagraph"/>
              <w:spacing w:before="173"/>
              <w:ind w:left="319" w:right="320"/>
              <w:jc w:val="center"/>
              <w:rPr>
                <w:rFonts w:ascii="hakuyoxingshu7000"/>
                <w:sz w:val="21"/>
              </w:rPr>
            </w:pPr>
            <w:r>
              <w:rPr>
                <w:rFonts w:ascii="hakuyoxingshu7000"/>
                <w:spacing w:val="2"/>
                <w:w w:val="111"/>
                <w:sz w:val="21"/>
              </w:rPr>
              <w:t>7</w:t>
            </w:r>
            <w:r>
              <w:rPr>
                <w:rFonts w:ascii="hakuyoxingshu7000"/>
                <w:spacing w:val="1"/>
                <w:w w:val="55"/>
                <w:sz w:val="21"/>
              </w:rPr>
              <w:t>.</w:t>
            </w:r>
            <w:r>
              <w:rPr>
                <w:rFonts w:ascii="hakuyoxingshu7000"/>
                <w:w w:val="111"/>
                <w:sz w:val="21"/>
              </w:rPr>
              <w:t>1</w:t>
            </w:r>
          </w:p>
        </w:tc>
        <w:tc>
          <w:tcPr>
            <w:tcW w:w="188" w:type="dxa"/>
            <w:tcBorders>
              <w:top w:val="single" w:sz="6" w:space="0" w:color="000000"/>
              <w:bottom w:val="single" w:sz="48" w:space="0" w:color="FFFFFF"/>
              <w:right w:val="nil"/>
            </w:tcBorders>
          </w:tcPr>
          <w:p>
            <w:pPr>
              <w:pStyle w:val="TableParagraph"/>
              <w:rPr>
                <w:rFonts w:ascii="Times New Roman"/>
                <w:sz w:val="20"/>
              </w:rPr>
            </w:pPr>
          </w:p>
        </w:tc>
        <w:tc>
          <w:tcPr>
            <w:tcW w:w="1894" w:type="dxa"/>
            <w:gridSpan w:val="3"/>
            <w:tcBorders>
              <w:top w:val="single" w:sz="6" w:space="0" w:color="000000"/>
              <w:left w:val="nil"/>
              <w:bottom w:val="single" w:sz="48" w:space="0" w:color="FFFFFF"/>
              <w:right w:val="nil"/>
            </w:tcBorders>
            <w:shd w:val="clear" w:color="auto" w:fill="FFFFFF"/>
          </w:tcPr>
          <w:p>
            <w:pPr>
              <w:pStyle w:val="TableParagraph"/>
              <w:spacing w:before="180"/>
              <w:ind w:left="7" w:right="-15"/>
              <w:rPr>
                <w:rFonts w:ascii="hakuyoxingshu7000" w:eastAsia="hakuyoxingshu7000" w:hint="eastAsia"/>
                <w:sz w:val="21"/>
              </w:rPr>
            </w:pPr>
            <w:r>
              <w:rPr>
                <w:rFonts w:ascii="hakuyoxingshu7000" w:eastAsia="hakuyoxingshu7000" w:hint="eastAsia"/>
                <w:sz w:val="21"/>
              </w:rPr>
              <w:t>是否授权评标委员会</w:t>
            </w:r>
          </w:p>
        </w:tc>
        <w:tc>
          <w:tcPr>
            <w:tcW w:w="203" w:type="dxa"/>
            <w:tcBorders>
              <w:top w:val="single" w:sz="6" w:space="0" w:color="000000"/>
              <w:left w:val="nil"/>
              <w:bottom w:val="single" w:sz="48" w:space="0" w:color="FFFFFF"/>
              <w:right w:val="single" w:sz="6" w:space="0" w:color="000000"/>
            </w:tcBorders>
          </w:tcPr>
          <w:p>
            <w:pPr>
              <w:pStyle w:val="TableParagraph"/>
              <w:rPr>
                <w:rFonts w:ascii="Times New Roman"/>
                <w:sz w:val="20"/>
              </w:rPr>
            </w:pPr>
          </w:p>
        </w:tc>
        <w:tc>
          <w:tcPr>
            <w:tcW w:w="5738" w:type="dxa"/>
            <w:vMerge w:val="restart"/>
            <w:tcBorders>
              <w:top w:val="single" w:sz="6" w:space="0" w:color="000000"/>
              <w:left w:val="single" w:sz="6" w:space="0" w:color="000000"/>
              <w:bottom w:val="single" w:sz="6" w:space="0" w:color="000000"/>
              <w:right w:val="single" w:sz="6" w:space="0" w:color="000000"/>
            </w:tcBorders>
          </w:tcPr>
          <w:p>
            <w:pPr>
              <w:pStyle w:val="TableParagraph"/>
              <w:spacing w:before="180"/>
              <w:ind w:left="96"/>
              <w:rPr>
                <w:rFonts w:ascii="hakuyoxingshu7000" w:hAnsi="hakuyoxingshu7000" w:eastAsia="hakuyoxingshu7000" w:hint="eastAsia"/>
                <w:sz w:val="21"/>
              </w:rPr>
            </w:pPr>
            <w:r>
              <w:rPr>
                <w:rFonts w:ascii="hakuyoxingshu7000" w:hAnsi="hakuyoxingshu7000" w:eastAsia="hakuyoxingshu7000" w:hint="eastAsia"/>
                <w:color w:val="0000FF"/>
                <w:w w:val="90"/>
                <w:sz w:val="21"/>
              </w:rPr>
              <w:t>□</w:t>
            </w:r>
            <w:r>
              <w:rPr>
                <w:rFonts w:ascii="hakuyoxingshu7000" w:hAnsi="hakuyoxingshu7000" w:eastAsia="hakuyoxingshu7000" w:hint="eastAsia"/>
                <w:w w:val="90"/>
                <w:sz w:val="21"/>
              </w:rPr>
              <w:t>是</w:t>
            </w:r>
          </w:p>
          <w:p>
            <w:pPr>
              <w:pStyle w:val="TableParagraph"/>
              <w:spacing w:before="5"/>
              <w:rPr>
                <w:rFonts w:ascii="Times New Roman"/>
                <w:sz w:val="31"/>
              </w:rPr>
            </w:pPr>
          </w:p>
          <w:p>
            <w:pPr>
              <w:pStyle w:val="TableParagraph"/>
              <w:ind w:left="96"/>
              <w:rPr>
                <w:rFonts w:ascii="hakuyoxingshu7000" w:hAnsi="hakuyoxingshu7000" w:eastAsia="hakuyoxingshu7000" w:hint="eastAsia"/>
                <w:sz w:val="21"/>
              </w:rPr>
            </w:pPr>
            <w:r>
              <w:rPr>
                <w:rFonts w:ascii="hakuyoxingshu7000" w:hAnsi="hakuyoxingshu7000" w:eastAsia="hakuyoxingshu7000" w:hint="eastAsia"/>
                <w:color w:val="0000FF"/>
                <w:sz w:val="21"/>
              </w:rPr>
              <w:t>☑</w:t>
            </w:r>
            <w:r>
              <w:rPr>
                <w:rFonts w:ascii="hakuyoxingshu7000" w:hAnsi="hakuyoxingshu7000" w:eastAsia="hakuyoxingshu7000" w:hint="eastAsia"/>
                <w:sz w:val="21"/>
              </w:rPr>
              <w:t>否，推荐的中标候选人数：</w:t>
            </w:r>
            <w:r>
              <w:rPr>
                <w:rFonts w:ascii="hakuyoxingshu7000" w:hAnsi="hakuyoxingshu7000" w:eastAsia="hakuyoxingshu7000" w:hint="eastAsia"/>
                <w:color w:val="0000FF"/>
                <w:sz w:val="21"/>
              </w:rPr>
              <w:t>3 名</w:t>
            </w:r>
          </w:p>
        </w:tc>
      </w:tr>
      <w:tr>
        <w:trPr>
          <w:trHeight w:val="487" w:hRule="atLeast"/>
        </w:trPr>
        <w:tc>
          <w:tcPr>
            <w:tcW w:w="1171" w:type="dxa"/>
            <w:vMerge/>
            <w:tcBorders>
              <w:top w:val="nil"/>
              <w:left w:val="single" w:sz="6" w:space="0" w:color="000000"/>
              <w:bottom w:val="single" w:sz="6" w:space="0" w:color="000000"/>
            </w:tcBorders>
          </w:tcPr>
          <w:p>
            <w:pPr>
              <w:rPr>
                <w:sz w:val="2"/>
                <w:szCs w:val="2"/>
              </w:rPr>
            </w:pPr>
          </w:p>
        </w:tc>
        <w:tc>
          <w:tcPr>
            <w:tcW w:w="609" w:type="dxa"/>
            <w:gridSpan w:val="2"/>
            <w:tcBorders>
              <w:top w:val="single" w:sz="48" w:space="0" w:color="FFFFFF"/>
              <w:bottom w:val="nil"/>
              <w:right w:val="nil"/>
            </w:tcBorders>
          </w:tcPr>
          <w:p>
            <w:pPr>
              <w:pStyle w:val="TableParagraph"/>
              <w:rPr>
                <w:rFonts w:ascii="Times New Roman"/>
                <w:sz w:val="20"/>
              </w:rPr>
            </w:pPr>
          </w:p>
        </w:tc>
        <w:tc>
          <w:tcPr>
            <w:tcW w:w="1052" w:type="dxa"/>
            <w:tcBorders>
              <w:top w:val="single" w:sz="48" w:space="0" w:color="FFFFFF"/>
              <w:left w:val="nil"/>
              <w:bottom w:val="nil"/>
              <w:right w:val="nil"/>
            </w:tcBorders>
            <w:shd w:val="clear" w:color="auto" w:fill="FFFFFF"/>
          </w:tcPr>
          <w:p>
            <w:pPr>
              <w:pStyle w:val="TableParagraph"/>
              <w:spacing w:before="180"/>
              <w:ind w:left="6" w:right="-15"/>
              <w:rPr>
                <w:rFonts w:ascii="hakuyoxingshu7000" w:eastAsia="hakuyoxingshu7000" w:hint="eastAsia"/>
                <w:sz w:val="21"/>
              </w:rPr>
            </w:pPr>
            <w:r>
              <w:rPr>
                <w:rFonts w:ascii="hakuyoxingshu7000" w:eastAsia="hakuyoxingshu7000" w:hint="eastAsia"/>
                <w:sz w:val="21"/>
              </w:rPr>
              <w:t>确定中标人</w:t>
            </w:r>
          </w:p>
        </w:tc>
        <w:tc>
          <w:tcPr>
            <w:tcW w:w="624" w:type="dxa"/>
            <w:gridSpan w:val="2"/>
            <w:tcBorders>
              <w:top w:val="single" w:sz="48" w:space="0" w:color="FFFFFF"/>
              <w:left w:val="nil"/>
              <w:bottom w:val="nil"/>
              <w:right w:val="single" w:sz="6" w:space="0" w:color="000000"/>
            </w:tcBorders>
          </w:tcPr>
          <w:p>
            <w:pPr>
              <w:pStyle w:val="TableParagraph"/>
              <w:rPr>
                <w:rFonts w:ascii="Times New Roman"/>
                <w:sz w:val="20"/>
              </w:rPr>
            </w:pPr>
          </w:p>
        </w:tc>
        <w:tc>
          <w:tcPr>
            <w:tcW w:w="5738" w:type="dxa"/>
            <w:vMerge/>
            <w:tcBorders>
              <w:top w:val="nil"/>
              <w:left w:val="single" w:sz="6" w:space="0" w:color="000000"/>
              <w:bottom w:val="single" w:sz="6" w:space="0" w:color="000000"/>
              <w:right w:val="single" w:sz="6" w:space="0" w:color="000000"/>
            </w:tcBorders>
          </w:tcPr>
          <w:p>
            <w:pPr>
              <w:rPr>
                <w:sz w:val="2"/>
                <w:szCs w:val="2"/>
              </w:rPr>
            </w:pPr>
          </w:p>
        </w:tc>
      </w:tr>
      <w:tr>
        <w:trPr>
          <w:trHeight w:val="112" w:hRule="atLeast"/>
        </w:trPr>
        <w:tc>
          <w:tcPr>
            <w:tcW w:w="1171" w:type="dxa"/>
            <w:vMerge/>
            <w:tcBorders>
              <w:top w:val="nil"/>
              <w:left w:val="single" w:sz="6" w:space="0" w:color="000000"/>
              <w:bottom w:val="single" w:sz="6" w:space="0" w:color="000000"/>
            </w:tcBorders>
          </w:tcPr>
          <w:p>
            <w:pPr>
              <w:rPr>
                <w:sz w:val="2"/>
                <w:szCs w:val="2"/>
              </w:rPr>
            </w:pPr>
          </w:p>
        </w:tc>
        <w:tc>
          <w:tcPr>
            <w:tcW w:w="2285" w:type="dxa"/>
            <w:gridSpan w:val="5"/>
            <w:tcBorders>
              <w:top w:val="nil"/>
              <w:bottom w:val="single" w:sz="6" w:space="0" w:color="000000"/>
              <w:right w:val="single" w:sz="6" w:space="0" w:color="000000"/>
            </w:tcBorders>
          </w:tcPr>
          <w:p>
            <w:pPr>
              <w:pStyle w:val="TableParagraph"/>
              <w:rPr>
                <w:rFonts w:ascii="Times New Roman"/>
                <w:sz w:val="6"/>
              </w:rPr>
            </w:pPr>
          </w:p>
        </w:tc>
        <w:tc>
          <w:tcPr>
            <w:tcW w:w="5738" w:type="dxa"/>
            <w:vMerge/>
            <w:tcBorders>
              <w:top w:val="nil"/>
              <w:left w:val="single" w:sz="6" w:space="0" w:color="000000"/>
              <w:bottom w:val="single" w:sz="6" w:space="0" w:color="000000"/>
              <w:right w:val="single" w:sz="6" w:space="0" w:color="000000"/>
            </w:tcBorders>
          </w:tcPr>
          <w:p>
            <w:pPr>
              <w:rPr>
                <w:sz w:val="2"/>
                <w:szCs w:val="2"/>
              </w:rPr>
            </w:pPr>
          </w:p>
        </w:tc>
      </w:tr>
      <w:tr>
        <w:trPr>
          <w:trHeight w:val="796" w:hRule="atLeast"/>
        </w:trPr>
        <w:tc>
          <w:tcPr>
            <w:tcW w:w="1171" w:type="dxa"/>
            <w:tcBorders>
              <w:top w:val="single" w:sz="6" w:space="0" w:color="000000"/>
              <w:left w:val="single" w:sz="6" w:space="0" w:color="000000"/>
              <w:bottom w:val="single" w:sz="6" w:space="0" w:color="000000"/>
            </w:tcBorders>
          </w:tcPr>
          <w:p>
            <w:pPr>
              <w:pStyle w:val="TableParagraph"/>
              <w:spacing w:before="5"/>
              <w:rPr>
                <w:rFonts w:ascii="Times New Roman"/>
                <w:sz w:val="23"/>
              </w:rPr>
            </w:pPr>
          </w:p>
          <w:p>
            <w:pPr>
              <w:pStyle w:val="TableParagraph"/>
              <w:spacing w:before="1"/>
              <w:ind w:left="320" w:right="320"/>
              <w:jc w:val="center"/>
              <w:rPr>
                <w:rFonts w:ascii="hakuyoxingshu7000"/>
                <w:sz w:val="21"/>
              </w:rPr>
            </w:pPr>
            <w:r>
              <w:rPr>
                <w:rFonts w:ascii="hakuyoxingshu7000"/>
                <w:spacing w:val="3"/>
                <w:w w:val="111"/>
                <w:sz w:val="21"/>
                <w:shd w:fill="FFFFFF" w:color="auto" w:val="clear"/>
              </w:rPr>
              <w:t>7</w:t>
            </w:r>
            <w:r>
              <w:rPr>
                <w:rFonts w:ascii="hakuyoxingshu7000"/>
                <w:spacing w:val="1"/>
                <w:w w:val="55"/>
                <w:sz w:val="21"/>
                <w:shd w:fill="FFFFFF" w:color="auto" w:val="clear"/>
              </w:rPr>
              <w:t>.</w:t>
            </w:r>
            <w:r>
              <w:rPr>
                <w:rFonts w:ascii="hakuyoxingshu7000"/>
                <w:w w:val="111"/>
                <w:sz w:val="21"/>
                <w:shd w:fill="FFFFFF" w:color="auto" w:val="clear"/>
              </w:rPr>
              <w:t>3</w:t>
            </w:r>
          </w:p>
        </w:tc>
        <w:tc>
          <w:tcPr>
            <w:tcW w:w="2285" w:type="dxa"/>
            <w:gridSpan w:val="5"/>
            <w:tcBorders>
              <w:top w:val="single" w:sz="6" w:space="0" w:color="000000"/>
              <w:bottom w:val="single" w:sz="6" w:space="0" w:color="000000"/>
              <w:right w:val="single" w:sz="6" w:space="0" w:color="000000"/>
            </w:tcBorders>
          </w:tcPr>
          <w:p>
            <w:pPr>
              <w:pStyle w:val="TableParagraph"/>
              <w:spacing w:before="5"/>
              <w:rPr>
                <w:rFonts w:ascii="Times New Roman"/>
                <w:sz w:val="23"/>
              </w:rPr>
            </w:pPr>
          </w:p>
          <w:p>
            <w:pPr>
              <w:pStyle w:val="TableParagraph"/>
              <w:spacing w:before="1"/>
              <w:ind w:left="711"/>
              <w:rPr>
                <w:rFonts w:ascii="hakuyoxingshu7000" w:eastAsia="hakuyoxingshu7000" w:hint="eastAsia"/>
                <w:sz w:val="21"/>
              </w:rPr>
            </w:pPr>
            <w:r>
              <w:rPr>
                <w:rFonts w:ascii="hakuyoxingshu7000" w:eastAsia="hakuyoxingshu7000" w:hint="eastAsia"/>
                <w:sz w:val="21"/>
              </w:rPr>
              <w:t>履约担保</w:t>
            </w:r>
          </w:p>
        </w:tc>
        <w:tc>
          <w:tcPr>
            <w:tcW w:w="5738" w:type="dxa"/>
            <w:tcBorders>
              <w:top w:val="single" w:sz="6" w:space="0" w:color="000000"/>
              <w:left w:val="single" w:sz="6" w:space="0" w:color="000000"/>
              <w:bottom w:val="single" w:sz="6" w:space="0" w:color="000000"/>
              <w:right w:val="single" w:sz="6" w:space="0" w:color="000000"/>
            </w:tcBorders>
          </w:tcPr>
          <w:p>
            <w:pPr>
              <w:pStyle w:val="TableParagraph"/>
              <w:spacing w:before="105"/>
              <w:ind w:left="96"/>
              <w:rPr>
                <w:rFonts w:ascii="hakuyoxingshu7000" w:eastAsia="hakuyoxingshu7000" w:hint="eastAsia"/>
                <w:sz w:val="21"/>
              </w:rPr>
            </w:pPr>
            <w:r>
              <w:rPr>
                <w:rFonts w:ascii="hakuyoxingshu7000" w:eastAsia="hakuyoxingshu7000" w:hint="eastAsia"/>
                <w:spacing w:val="-1"/>
                <w:sz w:val="21"/>
              </w:rPr>
              <w:t>履约担保的形式：</w:t>
            </w:r>
            <w:r>
              <w:rPr>
                <w:rFonts w:ascii="hakuyoxingshu7000" w:eastAsia="hakuyoxingshu7000" w:hint="eastAsia"/>
                <w:color w:val="0000FF"/>
                <w:sz w:val="21"/>
              </w:rPr>
              <w:t>合同签订时约定</w:t>
            </w:r>
          </w:p>
          <w:p>
            <w:pPr>
              <w:pStyle w:val="TableParagraph"/>
              <w:spacing w:line="266" w:lineRule="exact" w:before="136"/>
              <w:ind w:left="96"/>
              <w:rPr>
                <w:rFonts w:ascii="hakuyoxingshu7000" w:eastAsia="hakuyoxingshu7000" w:hint="eastAsia"/>
                <w:sz w:val="21"/>
              </w:rPr>
            </w:pPr>
            <w:r>
              <w:rPr>
                <w:rFonts w:ascii="hakuyoxingshu7000" w:eastAsia="hakuyoxingshu7000" w:hint="eastAsia"/>
                <w:spacing w:val="-1"/>
                <w:sz w:val="21"/>
              </w:rPr>
              <w:t>履约担保的金额：</w:t>
            </w:r>
            <w:r>
              <w:rPr>
                <w:rFonts w:ascii="hakuyoxingshu7000" w:eastAsia="hakuyoxingshu7000" w:hint="eastAsia"/>
                <w:color w:val="0000FF"/>
                <w:sz w:val="21"/>
              </w:rPr>
              <w:t>合同签订时约定</w:t>
            </w:r>
          </w:p>
        </w:tc>
      </w:tr>
      <w:tr>
        <w:trPr>
          <w:trHeight w:val="630" w:hRule="atLeast"/>
        </w:trPr>
        <w:tc>
          <w:tcPr>
            <w:tcW w:w="1171" w:type="dxa"/>
            <w:tcBorders>
              <w:top w:val="single" w:sz="6" w:space="0" w:color="000000"/>
              <w:left w:val="single" w:sz="6" w:space="0" w:color="000000"/>
              <w:bottom w:val="single" w:sz="6" w:space="0" w:color="000000"/>
            </w:tcBorders>
          </w:tcPr>
          <w:p>
            <w:pPr>
              <w:pStyle w:val="TableParagraph"/>
              <w:spacing w:before="180"/>
              <w:ind w:left="320" w:right="318"/>
              <w:jc w:val="center"/>
              <w:rPr>
                <w:rFonts w:ascii="hakuyoxingshu7000"/>
                <w:sz w:val="21"/>
              </w:rPr>
            </w:pPr>
            <w:r>
              <w:rPr>
                <w:rFonts w:ascii="hakuyoxingshu7000"/>
                <w:w w:val="110"/>
                <w:sz w:val="21"/>
              </w:rPr>
              <w:t>10</w:t>
            </w:r>
          </w:p>
        </w:tc>
        <w:tc>
          <w:tcPr>
            <w:tcW w:w="8023" w:type="dxa"/>
            <w:gridSpan w:val="6"/>
            <w:tcBorders>
              <w:top w:val="single" w:sz="6" w:space="0" w:color="000000"/>
              <w:bottom w:val="single" w:sz="6" w:space="0" w:color="000000"/>
              <w:right w:val="single" w:sz="6" w:space="0" w:color="000000"/>
            </w:tcBorders>
          </w:tcPr>
          <w:p>
            <w:pPr>
              <w:pStyle w:val="TableParagraph"/>
              <w:spacing w:before="180"/>
              <w:ind w:left="3036" w:right="3038"/>
              <w:jc w:val="center"/>
              <w:rPr>
                <w:rFonts w:ascii="hakuyoxingshu7000" w:eastAsia="hakuyoxingshu7000" w:hint="eastAsia"/>
                <w:sz w:val="21"/>
              </w:rPr>
            </w:pPr>
            <w:r>
              <w:rPr>
                <w:rFonts w:ascii="hakuyoxingshu7000" w:eastAsia="hakuyoxingshu7000" w:hint="eastAsia"/>
                <w:sz w:val="21"/>
              </w:rPr>
              <w:t>需要补充的其它内容</w:t>
            </w:r>
          </w:p>
        </w:tc>
      </w:tr>
      <w:tr>
        <w:trPr>
          <w:trHeight w:val="795" w:hRule="atLeast"/>
        </w:trPr>
        <w:tc>
          <w:tcPr>
            <w:tcW w:w="1171" w:type="dxa"/>
            <w:tcBorders>
              <w:top w:val="single" w:sz="6" w:space="0" w:color="000000"/>
              <w:left w:val="single" w:sz="6" w:space="0" w:color="000000"/>
              <w:bottom w:val="single" w:sz="6" w:space="0" w:color="000000"/>
            </w:tcBorders>
          </w:tcPr>
          <w:p>
            <w:pPr>
              <w:pStyle w:val="TableParagraph"/>
              <w:spacing w:before="2"/>
              <w:rPr>
                <w:rFonts w:ascii="Times New Roman"/>
                <w:sz w:val="22"/>
              </w:rPr>
            </w:pPr>
          </w:p>
          <w:p>
            <w:pPr>
              <w:pStyle w:val="TableParagraph"/>
              <w:ind w:left="320" w:right="320"/>
              <w:jc w:val="center"/>
              <w:rPr>
                <w:rFonts w:ascii="hakuyoxingshu7000"/>
                <w:sz w:val="21"/>
              </w:rPr>
            </w:pPr>
            <w:r>
              <w:rPr>
                <w:rFonts w:ascii="hakuyoxingshu7000"/>
                <w:sz w:val="21"/>
              </w:rPr>
              <w:t>10.1</w:t>
            </w:r>
          </w:p>
        </w:tc>
        <w:tc>
          <w:tcPr>
            <w:tcW w:w="2285" w:type="dxa"/>
            <w:gridSpan w:val="5"/>
            <w:tcBorders>
              <w:top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711"/>
              <w:rPr>
                <w:rFonts w:ascii="hakuyoxingshu7000" w:eastAsia="hakuyoxingshu7000" w:hint="eastAsia"/>
                <w:sz w:val="21"/>
              </w:rPr>
            </w:pPr>
            <w:r>
              <w:rPr>
                <w:rFonts w:ascii="hakuyoxingshu7000" w:eastAsia="hakuyoxingshu7000" w:hint="eastAsia"/>
                <w:sz w:val="21"/>
              </w:rPr>
              <w:t>类似项目</w:t>
            </w:r>
          </w:p>
        </w:tc>
        <w:tc>
          <w:tcPr>
            <w:tcW w:w="5738" w:type="dxa"/>
            <w:tcBorders>
              <w:top w:val="single" w:sz="6" w:space="0" w:color="000000"/>
              <w:left w:val="single" w:sz="6" w:space="0" w:color="000000"/>
              <w:bottom w:val="single" w:sz="6" w:space="0" w:color="000000"/>
              <w:right w:val="single" w:sz="6" w:space="0" w:color="000000"/>
            </w:tcBorders>
          </w:tcPr>
          <w:p>
            <w:pPr>
              <w:pStyle w:val="TableParagraph"/>
              <w:spacing w:before="90"/>
              <w:ind w:left="96"/>
              <w:rPr>
                <w:rFonts w:ascii="hakuyoxingshu7000" w:eastAsia="hakuyoxingshu7000" w:hint="eastAsia"/>
                <w:sz w:val="21"/>
              </w:rPr>
            </w:pPr>
            <w:r>
              <w:rPr>
                <w:rFonts w:ascii="hakuyoxingshu7000" w:eastAsia="hakuyoxingshu7000" w:hint="eastAsia"/>
                <w:sz w:val="21"/>
              </w:rPr>
              <w:t>指中标价</w:t>
            </w:r>
            <w:r>
              <w:rPr>
                <w:rFonts w:ascii="hakuyoxingshu7000" w:eastAsia="hakuyoxingshu7000" w:hint="eastAsia"/>
                <w:spacing w:val="5"/>
                <w:w w:val="95"/>
                <w:sz w:val="21"/>
              </w:rPr>
              <w:t>(</w:t>
            </w:r>
            <w:r>
              <w:rPr>
                <w:rFonts w:ascii="hakuyoxingshu7000" w:eastAsia="hakuyoxingshu7000" w:hint="eastAsia"/>
                <w:sz w:val="21"/>
              </w:rPr>
              <w:t>或工程规模</w:t>
            </w:r>
            <w:r>
              <w:rPr>
                <w:rFonts w:ascii="hakuyoxingshu7000" w:eastAsia="hakuyoxingshu7000" w:hint="eastAsia"/>
                <w:spacing w:val="5"/>
                <w:w w:val="95"/>
                <w:sz w:val="21"/>
              </w:rPr>
              <w:t>)</w:t>
            </w:r>
            <w:r>
              <w:rPr>
                <w:rFonts w:ascii="hakuyoxingshu7000" w:eastAsia="hakuyoxingshu7000" w:hint="eastAsia"/>
                <w:color w:val="0000FF"/>
                <w:spacing w:val="-9"/>
                <w:sz w:val="21"/>
              </w:rPr>
              <w:t>中标价、工程规模不作要求</w:t>
            </w:r>
            <w:r>
              <w:rPr>
                <w:rFonts w:ascii="hakuyoxingshu7000" w:eastAsia="hakuyoxingshu7000" w:hint="eastAsia"/>
                <w:sz w:val="21"/>
              </w:rPr>
              <w:t>以上的</w:t>
            </w:r>
            <w:r>
              <w:rPr>
                <w:rFonts w:ascii="hakuyoxingshu7000" w:eastAsia="hakuyoxingshu7000" w:hint="eastAsia"/>
                <w:color w:val="0000FF"/>
                <w:sz w:val="21"/>
              </w:rPr>
              <w:t>类似</w:t>
            </w:r>
          </w:p>
          <w:p>
            <w:pPr>
              <w:pStyle w:val="TableParagraph"/>
              <w:spacing w:before="136"/>
              <w:ind w:left="96"/>
              <w:rPr>
                <w:rFonts w:ascii="hakuyoxingshu7000" w:eastAsia="hakuyoxingshu7000" w:hint="eastAsia"/>
                <w:sz w:val="21"/>
              </w:rPr>
            </w:pPr>
            <w:r>
              <w:rPr>
                <w:rFonts w:ascii="hakuyoxingshu7000" w:eastAsia="hakuyoxingshu7000" w:hint="eastAsia"/>
                <w:sz w:val="21"/>
              </w:rPr>
              <w:t>项目</w:t>
            </w:r>
          </w:p>
        </w:tc>
      </w:tr>
      <w:tr>
        <w:trPr>
          <w:trHeight w:val="778" w:hRule="atLeast"/>
        </w:trPr>
        <w:tc>
          <w:tcPr>
            <w:tcW w:w="1171" w:type="dxa"/>
            <w:tcBorders>
              <w:top w:val="single" w:sz="6" w:space="0" w:color="000000"/>
              <w:left w:val="single" w:sz="6" w:space="0" w:color="000000"/>
            </w:tcBorders>
          </w:tcPr>
          <w:p>
            <w:pPr>
              <w:pStyle w:val="TableParagraph"/>
              <w:spacing w:before="2"/>
              <w:rPr>
                <w:rFonts w:ascii="Times New Roman"/>
                <w:sz w:val="22"/>
              </w:rPr>
            </w:pPr>
          </w:p>
          <w:p>
            <w:pPr>
              <w:pStyle w:val="TableParagraph"/>
              <w:ind w:left="319" w:right="320"/>
              <w:jc w:val="center"/>
              <w:rPr>
                <w:rFonts w:ascii="hakuyoxingshu7000"/>
                <w:sz w:val="21"/>
              </w:rPr>
            </w:pPr>
            <w:r>
              <w:rPr>
                <w:rFonts w:ascii="hakuyoxingshu7000"/>
                <w:spacing w:val="3"/>
                <w:w w:val="111"/>
                <w:sz w:val="21"/>
              </w:rPr>
              <w:t>10</w:t>
            </w:r>
            <w:r>
              <w:rPr>
                <w:rFonts w:ascii="hakuyoxingshu7000"/>
                <w:spacing w:val="1"/>
                <w:w w:val="55"/>
                <w:sz w:val="21"/>
              </w:rPr>
              <w:t>.</w:t>
            </w:r>
            <w:r>
              <w:rPr>
                <w:rFonts w:ascii="hakuyoxingshu7000"/>
                <w:w w:val="111"/>
                <w:sz w:val="21"/>
              </w:rPr>
              <w:t>2</w:t>
            </w:r>
          </w:p>
        </w:tc>
        <w:tc>
          <w:tcPr>
            <w:tcW w:w="2285" w:type="dxa"/>
            <w:gridSpan w:val="5"/>
            <w:tcBorders>
              <w:top w:val="single" w:sz="6" w:space="0" w:color="000000"/>
              <w:right w:val="single" w:sz="6" w:space="0" w:color="000000"/>
            </w:tcBorders>
          </w:tcPr>
          <w:p>
            <w:pPr>
              <w:pStyle w:val="TableParagraph"/>
              <w:spacing w:before="2"/>
              <w:rPr>
                <w:rFonts w:ascii="Times New Roman"/>
                <w:sz w:val="22"/>
              </w:rPr>
            </w:pPr>
          </w:p>
          <w:p>
            <w:pPr>
              <w:pStyle w:val="TableParagraph"/>
              <w:ind w:left="606"/>
              <w:rPr>
                <w:rFonts w:ascii="hakuyoxingshu7000" w:eastAsia="hakuyoxingshu7000" w:hint="eastAsia"/>
                <w:sz w:val="21"/>
              </w:rPr>
            </w:pPr>
            <w:r>
              <w:rPr>
                <w:rFonts w:ascii="hakuyoxingshu7000" w:eastAsia="hakuyoxingshu7000" w:hint="eastAsia"/>
                <w:sz w:val="21"/>
              </w:rPr>
              <w:t>招标代理费</w:t>
            </w:r>
          </w:p>
        </w:tc>
        <w:tc>
          <w:tcPr>
            <w:tcW w:w="5738" w:type="dxa"/>
            <w:tcBorders>
              <w:top w:val="single" w:sz="6" w:space="0" w:color="000000"/>
              <w:left w:val="single" w:sz="6" w:space="0" w:color="000000"/>
              <w:right w:val="single" w:sz="6" w:space="0" w:color="000000"/>
            </w:tcBorders>
          </w:tcPr>
          <w:p>
            <w:pPr>
              <w:pStyle w:val="TableParagraph"/>
              <w:spacing w:before="90"/>
              <w:ind w:left="96"/>
              <w:rPr>
                <w:rFonts w:ascii="hakuyoxingshu7000" w:eastAsia="hakuyoxingshu7000" w:hint="eastAsia"/>
                <w:sz w:val="21"/>
              </w:rPr>
            </w:pPr>
            <w:r>
              <w:rPr>
                <w:rFonts w:ascii="hakuyoxingshu7000" w:eastAsia="hakuyoxingshu7000" w:hint="eastAsia"/>
                <w:sz w:val="21"/>
              </w:rPr>
              <w:t>本项目招标代理费由招标人支付，金额为</w:t>
            </w:r>
            <w:r>
              <w:rPr>
                <w:rFonts w:ascii="hakuyoxingshu7000" w:eastAsia="hakuyoxingshu7000" w:hint="eastAsia"/>
                <w:color w:val="0000FF"/>
                <w:sz w:val="21"/>
              </w:rPr>
              <w:t>合同约定</w:t>
            </w:r>
            <w:r>
              <w:rPr>
                <w:rFonts w:ascii="hakuyoxingshu7000" w:eastAsia="hakuyoxingshu7000" w:hint="eastAsia"/>
                <w:sz w:val="21"/>
              </w:rPr>
              <w:t>元，执行</w:t>
            </w:r>
          </w:p>
          <w:p>
            <w:pPr>
              <w:pStyle w:val="TableParagraph"/>
              <w:spacing w:line="263" w:lineRule="exact" w:before="136"/>
              <w:ind w:left="96" w:right="-15"/>
              <w:rPr>
                <w:rFonts w:ascii="hakuyoxingshu7000" w:eastAsia="hakuyoxingshu7000" w:hint="eastAsia"/>
                <w:sz w:val="21"/>
              </w:rPr>
            </w:pPr>
            <w:r>
              <w:rPr>
                <w:rFonts w:ascii="hakuyoxingshu7000" w:eastAsia="hakuyoxingshu7000" w:hint="eastAsia"/>
                <w:spacing w:val="-7"/>
                <w:sz w:val="21"/>
              </w:rPr>
              <w:t>国家发改委《关于进一步放开建设项目专业服务价格的通知》</w:t>
            </w:r>
          </w:p>
        </w:tc>
      </w:tr>
    </w:tbl>
    <w:p>
      <w:pPr>
        <w:spacing w:after="0" w:line="263" w:lineRule="exact"/>
        <w:rPr>
          <w:rFonts w:ascii="hakuyoxingshu7000" w:eastAsia="hakuyoxingshu7000" w:hint="eastAsia"/>
          <w:sz w:val="21"/>
        </w:rPr>
        <w:sectPr>
          <w:pgSz w:w="11910" w:h="16850"/>
          <w:pgMar w:header="911" w:footer="0" w:top="1380" w:bottom="280" w:left="1200" w:right="0"/>
        </w:sectPr>
      </w:pPr>
    </w:p>
    <w:p>
      <w:pPr>
        <w:pStyle w:val="BodyText"/>
        <w:spacing w:before="10"/>
        <w:rPr>
          <w:rFonts w:ascii="Times New Roman"/>
          <w:sz w:val="3"/>
        </w:rPr>
      </w:pPr>
    </w:p>
    <w:tbl>
      <w:tblPr>
        <w:tblW w:w="0" w:type="auto"/>
        <w:jc w:val="left"/>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71"/>
        <w:gridCol w:w="2282"/>
        <w:gridCol w:w="5737"/>
      </w:tblGrid>
      <w:tr>
        <w:trPr>
          <w:trHeight w:val="387" w:hRule="atLeast"/>
        </w:trPr>
        <w:tc>
          <w:tcPr>
            <w:tcW w:w="1171" w:type="dxa"/>
            <w:tcBorders>
              <w:left w:val="single" w:sz="6" w:space="0" w:color="000000"/>
              <w:bottom w:val="single" w:sz="6" w:space="0" w:color="000000"/>
            </w:tcBorders>
          </w:tcPr>
          <w:p>
            <w:pPr>
              <w:pStyle w:val="TableParagraph"/>
              <w:rPr>
                <w:rFonts w:ascii="Times New Roman"/>
                <w:sz w:val="20"/>
              </w:rPr>
            </w:pPr>
          </w:p>
        </w:tc>
        <w:tc>
          <w:tcPr>
            <w:tcW w:w="2282" w:type="dxa"/>
            <w:tcBorders>
              <w:bottom w:val="single" w:sz="6" w:space="0" w:color="000000"/>
              <w:right w:val="single" w:sz="6" w:space="0" w:color="000000"/>
            </w:tcBorders>
          </w:tcPr>
          <w:p>
            <w:pPr>
              <w:pStyle w:val="TableParagraph"/>
              <w:rPr>
                <w:rFonts w:ascii="Times New Roman"/>
                <w:sz w:val="20"/>
              </w:rPr>
            </w:pPr>
          </w:p>
        </w:tc>
        <w:tc>
          <w:tcPr>
            <w:tcW w:w="5737" w:type="dxa"/>
            <w:tcBorders>
              <w:left w:val="single" w:sz="6" w:space="0" w:color="000000"/>
              <w:bottom w:val="single" w:sz="6" w:space="0" w:color="000000"/>
              <w:right w:val="single" w:sz="6" w:space="0" w:color="000000"/>
            </w:tcBorders>
          </w:tcPr>
          <w:p>
            <w:pPr>
              <w:pStyle w:val="TableParagraph"/>
              <w:spacing w:before="87"/>
              <w:ind w:left="99"/>
              <w:rPr>
                <w:rFonts w:ascii="hakuyoxingshu7000" w:eastAsia="hakuyoxingshu7000" w:hint="eastAsia"/>
                <w:sz w:val="21"/>
              </w:rPr>
            </w:pPr>
            <w:r>
              <w:rPr>
                <w:rFonts w:ascii="hakuyoxingshu7000" w:eastAsia="hakuyoxingshu7000" w:hint="eastAsia"/>
                <w:sz w:val="21"/>
              </w:rPr>
              <w:t>（</w:t>
            </w:r>
            <w:r>
              <w:rPr>
                <w:rFonts w:ascii="hakuyoxingshu7000" w:eastAsia="hakuyoxingshu7000" w:hint="eastAsia"/>
                <w:spacing w:val="-1"/>
                <w:sz w:val="21"/>
              </w:rPr>
              <w:t>发改价格</w:t>
            </w:r>
            <w:r>
              <w:rPr>
                <w:rFonts w:ascii="hakuyoxingshu7000" w:eastAsia="hakuyoxingshu7000" w:hint="eastAsia"/>
                <w:spacing w:val="1"/>
                <w:w w:val="55"/>
                <w:sz w:val="21"/>
              </w:rPr>
              <w:t>[</w:t>
            </w:r>
            <w:r>
              <w:rPr>
                <w:rFonts w:ascii="hakuyoxingshu7000" w:eastAsia="hakuyoxingshu7000" w:hint="eastAsia"/>
                <w:spacing w:val="2"/>
                <w:w w:val="111"/>
                <w:sz w:val="21"/>
              </w:rPr>
              <w:t>2015</w:t>
            </w:r>
            <w:r>
              <w:rPr>
                <w:rFonts w:ascii="hakuyoxingshu7000" w:eastAsia="hakuyoxingshu7000" w:hint="eastAsia"/>
                <w:spacing w:val="1"/>
                <w:w w:val="55"/>
                <w:sz w:val="21"/>
              </w:rPr>
              <w:t>]</w:t>
            </w:r>
            <w:r>
              <w:rPr>
                <w:rFonts w:ascii="hakuyoxingshu7000" w:eastAsia="hakuyoxingshu7000" w:hint="eastAsia"/>
                <w:spacing w:val="2"/>
                <w:w w:val="111"/>
                <w:sz w:val="21"/>
              </w:rPr>
              <w:t>29</w:t>
            </w:r>
            <w:r>
              <w:rPr>
                <w:rFonts w:ascii="hakuyoxingshu7000" w:eastAsia="hakuyoxingshu7000" w:hint="eastAsia"/>
                <w:w w:val="111"/>
                <w:sz w:val="21"/>
              </w:rPr>
              <w:t>9</w:t>
            </w:r>
            <w:r>
              <w:rPr>
                <w:rFonts w:ascii="hakuyoxingshu7000" w:eastAsia="hakuyoxingshu7000" w:hint="eastAsia"/>
                <w:spacing w:val="-20"/>
                <w:sz w:val="21"/>
              </w:rPr>
              <w:t> 号</w:t>
            </w:r>
            <w:r>
              <w:rPr>
                <w:rFonts w:ascii="hakuyoxingshu7000" w:eastAsia="hakuyoxingshu7000" w:hint="eastAsia"/>
                <w:sz w:val="21"/>
              </w:rPr>
              <w:t>）商定。</w:t>
            </w:r>
          </w:p>
        </w:tc>
      </w:tr>
      <w:tr>
        <w:trPr>
          <w:trHeight w:val="795" w:hRule="atLeast"/>
        </w:trPr>
        <w:tc>
          <w:tcPr>
            <w:tcW w:w="1171" w:type="dxa"/>
            <w:tcBorders>
              <w:top w:val="single" w:sz="6" w:space="0" w:color="000000"/>
              <w:left w:val="single" w:sz="6" w:space="0" w:color="000000"/>
              <w:bottom w:val="single" w:sz="6" w:space="0" w:color="000000"/>
            </w:tcBorders>
          </w:tcPr>
          <w:p>
            <w:pPr>
              <w:pStyle w:val="TableParagraph"/>
              <w:spacing w:before="2"/>
              <w:rPr>
                <w:rFonts w:ascii="Times New Roman"/>
                <w:sz w:val="22"/>
              </w:rPr>
            </w:pPr>
          </w:p>
          <w:p>
            <w:pPr>
              <w:pStyle w:val="TableParagraph"/>
              <w:ind w:left="319" w:right="320"/>
              <w:jc w:val="center"/>
              <w:rPr>
                <w:rFonts w:ascii="hakuyoxingshu7000"/>
                <w:sz w:val="21"/>
              </w:rPr>
            </w:pPr>
            <w:r>
              <w:rPr>
                <w:rFonts w:ascii="hakuyoxingshu7000"/>
                <w:sz w:val="21"/>
              </w:rPr>
              <w:t>10.3</w:t>
            </w:r>
          </w:p>
        </w:tc>
        <w:tc>
          <w:tcPr>
            <w:tcW w:w="2282" w:type="dxa"/>
            <w:tcBorders>
              <w:top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
              <w:jc w:val="center"/>
              <w:rPr>
                <w:rFonts w:ascii="hakuyoxingshu7000" w:eastAsia="hakuyoxingshu7000" w:hint="eastAsia"/>
                <w:sz w:val="21"/>
              </w:rPr>
            </w:pPr>
            <w:r>
              <w:rPr>
                <w:rFonts w:ascii="hakuyoxingshu7000" w:eastAsia="hakuyoxingshu7000" w:hint="eastAsia"/>
                <w:sz w:val="21"/>
              </w:rPr>
              <w:t>实行计算机辅助评标</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line="390" w:lineRule="exact" w:before="3"/>
              <w:ind w:left="99" w:right="77"/>
              <w:rPr>
                <w:rFonts w:ascii="hakuyoxingshu7000" w:hAnsi="hakuyoxingshu7000" w:eastAsia="hakuyoxingshu7000" w:hint="eastAsia"/>
                <w:sz w:val="21"/>
              </w:rPr>
            </w:pPr>
            <w:r>
              <w:rPr>
                <w:rFonts w:ascii="hakuyoxingshu7000" w:hAnsi="hakuyoxingshu7000" w:eastAsia="hakuyoxingshu7000" w:hint="eastAsia"/>
                <w:spacing w:val="-1"/>
                <w:w w:val="95"/>
                <w:sz w:val="21"/>
              </w:rPr>
              <w:t>实行计算机辅助评标，按本须知</w:t>
            </w:r>
            <w:r>
              <w:rPr>
                <w:rFonts w:ascii="hakuyoxingshu7000" w:hAnsi="hakuyoxingshu7000" w:eastAsia="hakuyoxingshu7000" w:hint="eastAsia"/>
                <w:spacing w:val="4"/>
                <w:w w:val="65"/>
                <w:sz w:val="21"/>
              </w:rPr>
              <w:t>“</w:t>
            </w:r>
            <w:r>
              <w:rPr>
                <w:rFonts w:ascii="hakuyoxingshu7000" w:hAnsi="hakuyoxingshu7000" w:eastAsia="hakuyoxingshu7000" w:hint="eastAsia"/>
                <w:w w:val="95"/>
                <w:sz w:val="21"/>
              </w:rPr>
              <w:t>说明：电子投标文件编制及 </w:t>
            </w:r>
            <w:r>
              <w:rPr>
                <w:rFonts w:ascii="hakuyoxingshu7000" w:hAnsi="hakuyoxingshu7000" w:eastAsia="hakuyoxingshu7000" w:hint="eastAsia"/>
                <w:sz w:val="21"/>
              </w:rPr>
              <w:t>报送要求</w:t>
            </w:r>
            <w:r>
              <w:rPr>
                <w:rFonts w:ascii="hakuyoxingshu7000" w:hAnsi="hakuyoxingshu7000" w:eastAsia="hakuyoxingshu7000" w:hint="eastAsia"/>
                <w:spacing w:val="4"/>
                <w:w w:val="65"/>
                <w:sz w:val="21"/>
              </w:rPr>
              <w:t>”</w:t>
            </w:r>
            <w:r>
              <w:rPr>
                <w:rFonts w:ascii="hakuyoxingshu7000" w:hAnsi="hakuyoxingshu7000" w:eastAsia="hakuyoxingshu7000" w:hint="eastAsia"/>
                <w:sz w:val="21"/>
              </w:rPr>
              <w:t>编制及上传电子投标文件。</w:t>
            </w:r>
          </w:p>
        </w:tc>
      </w:tr>
      <w:tr>
        <w:trPr>
          <w:trHeight w:val="1245" w:hRule="atLeast"/>
        </w:trPr>
        <w:tc>
          <w:tcPr>
            <w:tcW w:w="1171" w:type="dxa"/>
            <w:tcBorders>
              <w:top w:val="single" w:sz="6" w:space="0" w:color="000000"/>
              <w:left w:val="single" w:sz="6" w:space="0" w:color="000000"/>
              <w:bottom w:val="single" w:sz="6" w:space="0" w:color="000000"/>
            </w:tcBorders>
          </w:tcPr>
          <w:p>
            <w:pPr>
              <w:pStyle w:val="TableParagraph"/>
              <w:spacing w:before="9"/>
              <w:rPr>
                <w:rFonts w:ascii="Times New Roman"/>
                <w:sz w:val="41"/>
              </w:rPr>
            </w:pPr>
          </w:p>
          <w:p>
            <w:pPr>
              <w:pStyle w:val="TableParagraph"/>
              <w:ind w:left="320" w:right="320"/>
              <w:jc w:val="center"/>
              <w:rPr>
                <w:rFonts w:ascii="hakuyoxingshu7000"/>
                <w:sz w:val="21"/>
              </w:rPr>
            </w:pPr>
            <w:r>
              <w:rPr>
                <w:rFonts w:ascii="hakuyoxingshu7000"/>
                <w:spacing w:val="2"/>
                <w:w w:val="111"/>
                <w:sz w:val="21"/>
              </w:rPr>
              <w:t>10</w:t>
            </w:r>
            <w:r>
              <w:rPr>
                <w:rFonts w:ascii="hakuyoxingshu7000"/>
                <w:spacing w:val="1"/>
                <w:w w:val="55"/>
                <w:sz w:val="21"/>
              </w:rPr>
              <w:t>.</w:t>
            </w:r>
            <w:r>
              <w:rPr>
                <w:rFonts w:ascii="hakuyoxingshu7000"/>
                <w:w w:val="111"/>
                <w:sz w:val="21"/>
              </w:rPr>
              <w:t>4</w:t>
            </w:r>
          </w:p>
        </w:tc>
        <w:tc>
          <w:tcPr>
            <w:tcW w:w="2282" w:type="dxa"/>
            <w:tcBorders>
              <w:top w:val="single" w:sz="6" w:space="0" w:color="000000"/>
              <w:bottom w:val="single" w:sz="6" w:space="0" w:color="000000"/>
              <w:right w:val="single" w:sz="6" w:space="0" w:color="000000"/>
            </w:tcBorders>
          </w:tcPr>
          <w:p>
            <w:pPr>
              <w:pStyle w:val="TableParagraph"/>
              <w:spacing w:before="180"/>
              <w:ind w:left="1"/>
              <w:jc w:val="center"/>
              <w:rPr>
                <w:rFonts w:ascii="hakuyoxingshu7000" w:eastAsia="hakuyoxingshu7000" w:hint="eastAsia"/>
                <w:sz w:val="21"/>
              </w:rPr>
            </w:pPr>
            <w:r>
              <w:rPr>
                <w:rFonts w:ascii="hakuyoxingshu7000" w:eastAsia="hakuyoxingshu7000" w:hint="eastAsia"/>
                <w:sz w:val="21"/>
              </w:rPr>
              <w:t>中标候选人公示媒介</w:t>
            </w:r>
          </w:p>
          <w:p>
            <w:pPr>
              <w:pStyle w:val="TableParagraph"/>
              <w:spacing w:before="1"/>
              <w:rPr>
                <w:rFonts w:ascii="Times New Roman"/>
                <w:sz w:val="30"/>
              </w:rPr>
            </w:pPr>
          </w:p>
          <w:p>
            <w:pPr>
              <w:pStyle w:val="TableParagraph"/>
              <w:jc w:val="center"/>
              <w:rPr>
                <w:rFonts w:ascii="hakuyoxingshu7000" w:eastAsia="hakuyoxingshu7000" w:hint="eastAsia"/>
                <w:sz w:val="21"/>
              </w:rPr>
            </w:pPr>
            <w:r>
              <w:rPr>
                <w:rFonts w:ascii="hakuyoxingshu7000" w:eastAsia="hakuyoxingshu7000" w:hint="eastAsia"/>
                <w:sz w:val="21"/>
              </w:rPr>
              <w:t>及期限</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5"/>
              <w:rPr>
                <w:rFonts w:ascii="Times New Roman"/>
                <w:sz w:val="27"/>
              </w:rPr>
            </w:pPr>
          </w:p>
          <w:p>
            <w:pPr>
              <w:pStyle w:val="TableParagraph"/>
              <w:spacing w:line="362" w:lineRule="auto"/>
              <w:ind w:left="99" w:right="2466"/>
              <w:rPr>
                <w:rFonts w:ascii="hakuyoxingshu7000" w:eastAsia="hakuyoxingshu7000" w:hint="eastAsia"/>
                <w:sz w:val="21"/>
              </w:rPr>
            </w:pPr>
            <w:r>
              <w:rPr>
                <w:rFonts w:ascii="hakuyoxingshu7000" w:eastAsia="hakuyoxingshu7000" w:hint="eastAsia"/>
                <w:sz w:val="21"/>
              </w:rPr>
              <w:t>公示媒介：同招标公告发布媒介。公示期限：3 日</w:t>
            </w:r>
          </w:p>
        </w:tc>
      </w:tr>
      <w:tr>
        <w:trPr>
          <w:trHeight w:val="615" w:hRule="atLeast"/>
        </w:trPr>
        <w:tc>
          <w:tcPr>
            <w:tcW w:w="1171" w:type="dxa"/>
            <w:tcBorders>
              <w:top w:val="single" w:sz="6" w:space="0" w:color="000000"/>
              <w:left w:val="single" w:sz="6" w:space="0" w:color="000000"/>
              <w:bottom w:val="single" w:sz="6" w:space="0" w:color="000000"/>
            </w:tcBorders>
          </w:tcPr>
          <w:p>
            <w:pPr>
              <w:pStyle w:val="TableParagraph"/>
              <w:spacing w:before="165"/>
              <w:ind w:left="320" w:right="320"/>
              <w:jc w:val="center"/>
              <w:rPr>
                <w:rFonts w:ascii="hakuyoxingshu7000"/>
                <w:sz w:val="21"/>
              </w:rPr>
            </w:pPr>
            <w:r>
              <w:rPr>
                <w:rFonts w:ascii="hakuyoxingshu7000"/>
                <w:spacing w:val="2"/>
                <w:w w:val="111"/>
                <w:sz w:val="21"/>
              </w:rPr>
              <w:t>10</w:t>
            </w:r>
            <w:r>
              <w:rPr>
                <w:rFonts w:ascii="hakuyoxingshu7000"/>
                <w:spacing w:val="1"/>
                <w:w w:val="55"/>
                <w:sz w:val="21"/>
              </w:rPr>
              <w:t>.</w:t>
            </w:r>
            <w:r>
              <w:rPr>
                <w:rFonts w:ascii="hakuyoxingshu7000"/>
                <w:w w:val="111"/>
                <w:sz w:val="21"/>
              </w:rPr>
              <w:t>5</w:t>
            </w:r>
          </w:p>
        </w:tc>
        <w:tc>
          <w:tcPr>
            <w:tcW w:w="2282" w:type="dxa"/>
            <w:tcBorders>
              <w:top w:val="single" w:sz="6" w:space="0" w:color="000000"/>
              <w:bottom w:val="single" w:sz="6" w:space="0" w:color="000000"/>
              <w:right w:val="single" w:sz="6" w:space="0" w:color="000000"/>
            </w:tcBorders>
          </w:tcPr>
          <w:p>
            <w:pPr>
              <w:pStyle w:val="TableParagraph"/>
              <w:spacing w:before="165"/>
              <w:jc w:val="center"/>
              <w:rPr>
                <w:rFonts w:ascii="hakuyoxingshu7000" w:eastAsia="hakuyoxingshu7000" w:hint="eastAsia"/>
                <w:sz w:val="21"/>
              </w:rPr>
            </w:pPr>
            <w:r>
              <w:rPr>
                <w:rFonts w:ascii="hakuyoxingshu7000" w:eastAsia="hakuyoxingshu7000" w:hint="eastAsia"/>
                <w:sz w:val="21"/>
              </w:rPr>
              <w:t>监督单位</w:t>
            </w:r>
          </w:p>
        </w:tc>
        <w:tc>
          <w:tcPr>
            <w:tcW w:w="5737" w:type="dxa"/>
            <w:tcBorders>
              <w:top w:val="single" w:sz="6" w:space="0" w:color="000000"/>
              <w:left w:val="single" w:sz="6" w:space="0" w:color="000000"/>
              <w:bottom w:val="single" w:sz="6" w:space="0" w:color="000000"/>
              <w:right w:val="single" w:sz="6" w:space="0" w:color="000000"/>
            </w:tcBorders>
          </w:tcPr>
          <w:p>
            <w:pPr>
              <w:pStyle w:val="TableParagraph"/>
              <w:spacing w:before="210"/>
              <w:ind w:left="99"/>
              <w:rPr>
                <w:rFonts w:ascii="hakuyoxingshu7000" w:eastAsia="hakuyoxingshu7000" w:hint="eastAsia"/>
                <w:sz w:val="21"/>
              </w:rPr>
            </w:pPr>
            <w:r>
              <w:rPr>
                <w:rFonts w:ascii="hakuyoxingshu7000" w:eastAsia="hakuyoxingshu7000" w:hint="eastAsia"/>
                <w:color w:val="0000FF"/>
                <w:sz w:val="21"/>
              </w:rPr>
              <w:t>互助县财政局</w:t>
            </w:r>
          </w:p>
        </w:tc>
      </w:tr>
    </w:tbl>
    <w:p>
      <w:pPr>
        <w:pStyle w:val="BodyText"/>
        <w:rPr>
          <w:rFonts w:ascii="Times New Roman"/>
          <w:sz w:val="20"/>
        </w:rPr>
      </w:pPr>
    </w:p>
    <w:p>
      <w:pPr>
        <w:pStyle w:val="BodyText"/>
        <w:rPr>
          <w:rFonts w:ascii="Times New Roman"/>
          <w:sz w:val="20"/>
        </w:rPr>
      </w:pPr>
    </w:p>
    <w:p>
      <w:pPr>
        <w:pStyle w:val="Heading7"/>
        <w:numPr>
          <w:ilvl w:val="0"/>
          <w:numId w:val="12"/>
        </w:numPr>
        <w:tabs>
          <w:tab w:pos="512" w:val="left" w:leader="none"/>
        </w:tabs>
        <w:spacing w:line="240" w:lineRule="auto" w:before="236" w:after="0"/>
        <w:ind w:left="512" w:right="0" w:hanging="286"/>
        <w:jc w:val="left"/>
        <w:rPr>
          <w:rFonts w:ascii="黑体" w:eastAsia="黑体" w:hint="eastAsia"/>
        </w:rPr>
      </w:pPr>
      <w:r>
        <w:rPr/>
        <w:pict>
          <v:group style="position:absolute;margin-left:71.349998pt;margin-top:-45.469532pt;width:456.6pt;height:437.6pt;mso-position-horizontal-relative:page;mso-position-vertical-relative:paragraph;z-index:-268632064" coordorigin="1427,-909" coordsize="9132,8752">
            <v:shape style="position:absolute;left:1563;top:-910;width:8786;height:8653" type="#_x0000_t75" stroked="false">
              <v:imagedata r:id="rId6" o:title=""/>
            </v:shape>
            <v:shape style="position:absolute;left:1427;top:1311;width:9132;height:6532" coordorigin="1427,1311" coordsize="9132,6532" path="m3229,6611l1427,6611,1427,6912,3229,6912,3229,6611m4701,5365l1427,5365,1427,5666,4701,5666,4701,5365m5107,7557l1427,7557,1427,7843,5107,7843,5107,7557m5107,7241l1427,7241,1427,7542,5107,7542,5107,7241m5107,4734l1427,4734,1427,5035,5107,5035,5107,4734m5527,5681l1427,5681,1427,5981,5527,5981,5527,5681m5527,5050l1427,5050,1427,5350,5527,5350,5527,5050m5737,2873l1427,2873,1427,3158,5737,3158,5737,2873m5917,3803l1427,3803,1427,4104,5917,4104,5917,3803m5917,3488l1427,3488,1427,3788,5917,3788,5917,3488m5947,6296l1427,6296,1427,6596,5947,6596,5947,6296m5947,5995l1427,5995,1427,6281,5947,6281,5947,5995m6128,4119l1427,4119,1427,4420,6128,4420,6128,4119m6158,2243l1427,2243,1427,2543,6158,2543,6158,2243m6549,3173l1427,3173,1427,3473,6549,3473,6549,3173m7209,6927l1427,6927,1427,7227,7209,7227,7209,6927m10558,1311l1427,1311,1427,1597,10558,1597,10558,1311e" filled="true" fillcolor="#ffffff" stroked="false">
              <v:path arrowok="t"/>
              <v:fill type="solid"/>
            </v:shape>
            <w10:wrap type="none"/>
          </v:group>
        </w:pict>
      </w:r>
      <w:bookmarkStart w:name="1 总则" w:id="11"/>
      <w:bookmarkEnd w:id="11"/>
      <w:r>
        <w:rPr/>
      </w:r>
      <w:bookmarkStart w:name="_bookmark5" w:id="12"/>
      <w:bookmarkEnd w:id="12"/>
      <w:r>
        <w:rPr/>
      </w:r>
      <w:bookmarkStart w:name="_bookmark5" w:id="13"/>
      <w:bookmarkEnd w:id="13"/>
      <w:r>
        <w:rPr>
          <w:rFonts w:ascii="黑体" w:eastAsia="黑体" w:hint="eastAsia"/>
          <w:spacing w:val="15"/>
        </w:rPr>
        <w:t>总则</w:t>
      </w:r>
    </w:p>
    <w:p>
      <w:pPr>
        <w:pStyle w:val="BodyText"/>
        <w:spacing w:before="7"/>
        <w:rPr>
          <w:rFonts w:ascii="黑体"/>
          <w:sz w:val="32"/>
        </w:rPr>
      </w:pPr>
    </w:p>
    <w:p>
      <w:pPr>
        <w:pStyle w:val="ListParagraph"/>
        <w:numPr>
          <w:ilvl w:val="1"/>
          <w:numId w:val="12"/>
        </w:numPr>
        <w:tabs>
          <w:tab w:pos="557" w:val="left" w:leader="none"/>
        </w:tabs>
        <w:spacing w:line="240" w:lineRule="auto" w:before="0" w:after="0"/>
        <w:ind w:left="557" w:right="0" w:hanging="331"/>
        <w:jc w:val="left"/>
        <w:rPr>
          <w:sz w:val="21"/>
        </w:rPr>
      </w:pPr>
      <w:r>
        <w:rPr>
          <w:sz w:val="21"/>
        </w:rPr>
        <w:t>项目概况</w:t>
      </w:r>
    </w:p>
    <w:p>
      <w:pPr>
        <w:pStyle w:val="ListParagraph"/>
        <w:numPr>
          <w:ilvl w:val="2"/>
          <w:numId w:val="12"/>
        </w:numPr>
        <w:tabs>
          <w:tab w:pos="723" w:val="left" w:leader="none"/>
        </w:tabs>
        <w:spacing w:line="268" w:lineRule="auto" w:before="46" w:after="0"/>
        <w:ind w:left="226" w:right="1209" w:firstLine="0"/>
        <w:jc w:val="left"/>
        <w:rPr>
          <w:sz w:val="21"/>
        </w:rPr>
      </w:pPr>
      <w:r>
        <w:rPr>
          <w:spacing w:val="-7"/>
          <w:sz w:val="21"/>
        </w:rPr>
        <w:t>根据《中华人民共和国招标法》等有关法律、法规和规章的规定，本招标项目已具备招标条件， 现对本项目施工进行招标。</w:t>
      </w:r>
    </w:p>
    <w:p>
      <w:pPr>
        <w:pStyle w:val="ListParagraph"/>
        <w:numPr>
          <w:ilvl w:val="2"/>
          <w:numId w:val="12"/>
        </w:numPr>
        <w:tabs>
          <w:tab w:pos="753" w:val="left" w:leader="none"/>
        </w:tabs>
        <w:spacing w:line="240" w:lineRule="auto" w:before="13" w:after="0"/>
        <w:ind w:left="752" w:right="0" w:hanging="527"/>
        <w:jc w:val="left"/>
        <w:rPr>
          <w:sz w:val="21"/>
        </w:rPr>
      </w:pPr>
      <w:r>
        <w:rPr>
          <w:sz w:val="21"/>
        </w:rPr>
        <w:t>本招标项目招标人：见投标人须知前附表。</w:t>
      </w:r>
    </w:p>
    <w:p>
      <w:pPr>
        <w:pStyle w:val="ListParagraph"/>
        <w:numPr>
          <w:ilvl w:val="2"/>
          <w:numId w:val="12"/>
        </w:numPr>
        <w:tabs>
          <w:tab w:pos="753" w:val="left" w:leader="none"/>
        </w:tabs>
        <w:spacing w:line="240" w:lineRule="auto" w:before="46" w:after="0"/>
        <w:ind w:left="752" w:right="0" w:hanging="527"/>
        <w:jc w:val="left"/>
        <w:rPr>
          <w:sz w:val="21"/>
        </w:rPr>
      </w:pPr>
      <w:r>
        <w:rPr>
          <w:sz w:val="21"/>
        </w:rPr>
        <w:t>本项目招标代理机构：见投标人须知前附表。</w:t>
      </w:r>
    </w:p>
    <w:p>
      <w:pPr>
        <w:pStyle w:val="ListParagraph"/>
        <w:numPr>
          <w:ilvl w:val="2"/>
          <w:numId w:val="12"/>
        </w:numPr>
        <w:tabs>
          <w:tab w:pos="753" w:val="left" w:leader="none"/>
        </w:tabs>
        <w:spacing w:line="240" w:lineRule="auto" w:before="47" w:after="0"/>
        <w:ind w:left="752" w:right="0" w:hanging="527"/>
        <w:jc w:val="left"/>
        <w:rPr>
          <w:sz w:val="21"/>
        </w:rPr>
      </w:pPr>
      <w:r>
        <w:rPr>
          <w:sz w:val="21"/>
        </w:rPr>
        <w:t>本项目名称：见投标人须知前附表。</w:t>
      </w:r>
    </w:p>
    <w:p>
      <w:pPr>
        <w:pStyle w:val="ListParagraph"/>
        <w:numPr>
          <w:ilvl w:val="2"/>
          <w:numId w:val="12"/>
        </w:numPr>
        <w:tabs>
          <w:tab w:pos="753" w:val="left" w:leader="none"/>
        </w:tabs>
        <w:spacing w:line="240" w:lineRule="auto" w:before="46" w:after="0"/>
        <w:ind w:left="752" w:right="0" w:hanging="527"/>
        <w:jc w:val="left"/>
        <w:rPr>
          <w:sz w:val="21"/>
        </w:rPr>
      </w:pPr>
      <w:r>
        <w:rPr>
          <w:sz w:val="21"/>
        </w:rPr>
        <w:t>本项目建设地点：见投标人须知前附表。</w:t>
      </w:r>
    </w:p>
    <w:p>
      <w:pPr>
        <w:pStyle w:val="ListParagraph"/>
        <w:numPr>
          <w:ilvl w:val="2"/>
          <w:numId w:val="12"/>
        </w:numPr>
        <w:tabs>
          <w:tab w:pos="723" w:val="left" w:leader="none"/>
        </w:tabs>
        <w:spacing w:line="240" w:lineRule="auto" w:before="31" w:after="0"/>
        <w:ind w:left="722" w:right="0" w:hanging="497"/>
        <w:jc w:val="left"/>
        <w:rPr>
          <w:sz w:val="21"/>
        </w:rPr>
      </w:pPr>
      <w:r>
        <w:rPr>
          <w:sz w:val="21"/>
        </w:rPr>
        <w:t>本招标项目现场管理机构：见投标人须知前附件。</w:t>
      </w:r>
    </w:p>
    <w:p>
      <w:pPr>
        <w:pStyle w:val="ListParagraph"/>
        <w:numPr>
          <w:ilvl w:val="2"/>
          <w:numId w:val="12"/>
        </w:numPr>
        <w:tabs>
          <w:tab w:pos="723" w:val="left" w:leader="none"/>
        </w:tabs>
        <w:spacing w:line="240" w:lineRule="auto" w:before="46" w:after="0"/>
        <w:ind w:left="722" w:right="0" w:hanging="497"/>
        <w:jc w:val="left"/>
        <w:rPr>
          <w:sz w:val="21"/>
        </w:rPr>
      </w:pPr>
      <w:r>
        <w:rPr>
          <w:spacing w:val="-1"/>
          <w:sz w:val="21"/>
        </w:rPr>
        <w:t>本招标项目设计人：见投标人须知前附表。</w:t>
      </w:r>
    </w:p>
    <w:p>
      <w:pPr>
        <w:pStyle w:val="ListParagraph"/>
        <w:numPr>
          <w:ilvl w:val="2"/>
          <w:numId w:val="12"/>
        </w:numPr>
        <w:tabs>
          <w:tab w:pos="723" w:val="left" w:leader="none"/>
        </w:tabs>
        <w:spacing w:line="240" w:lineRule="auto" w:before="46" w:after="0"/>
        <w:ind w:left="722" w:right="0" w:hanging="497"/>
        <w:jc w:val="left"/>
        <w:rPr>
          <w:sz w:val="21"/>
        </w:rPr>
      </w:pPr>
      <w:r>
        <w:rPr>
          <w:sz w:val="21"/>
        </w:rPr>
        <w:t>本招标项目监理人：见投标人须知前附表。</w:t>
      </w:r>
    </w:p>
    <w:p>
      <w:pPr>
        <w:pStyle w:val="ListParagraph"/>
        <w:numPr>
          <w:ilvl w:val="2"/>
          <w:numId w:val="12"/>
        </w:numPr>
        <w:tabs>
          <w:tab w:pos="723" w:val="left" w:leader="none"/>
        </w:tabs>
        <w:spacing w:line="240" w:lineRule="auto" w:before="46" w:after="0"/>
        <w:ind w:left="722" w:right="0" w:hanging="497"/>
        <w:jc w:val="left"/>
        <w:rPr>
          <w:sz w:val="21"/>
        </w:rPr>
      </w:pPr>
      <w:r>
        <w:rPr>
          <w:sz w:val="21"/>
        </w:rPr>
        <w:t>本招标项目代建机构：见投标人须知前附表。</w:t>
      </w:r>
    </w:p>
    <w:p>
      <w:pPr>
        <w:pStyle w:val="ListParagraph"/>
        <w:numPr>
          <w:ilvl w:val="1"/>
          <w:numId w:val="12"/>
        </w:numPr>
        <w:tabs>
          <w:tab w:pos="557" w:val="left" w:leader="none"/>
        </w:tabs>
        <w:spacing w:line="240" w:lineRule="auto" w:before="47" w:after="0"/>
        <w:ind w:left="557" w:right="0" w:hanging="331"/>
        <w:jc w:val="left"/>
        <w:rPr>
          <w:sz w:val="21"/>
        </w:rPr>
      </w:pPr>
      <w:r>
        <w:rPr>
          <w:sz w:val="21"/>
        </w:rPr>
        <w:t>资金来源和落实情况</w:t>
      </w:r>
    </w:p>
    <w:p>
      <w:pPr>
        <w:pStyle w:val="ListParagraph"/>
        <w:numPr>
          <w:ilvl w:val="2"/>
          <w:numId w:val="12"/>
        </w:numPr>
        <w:tabs>
          <w:tab w:pos="753" w:val="left" w:leader="none"/>
        </w:tabs>
        <w:spacing w:line="240" w:lineRule="auto" w:before="31" w:after="0"/>
        <w:ind w:left="752" w:right="0" w:hanging="527"/>
        <w:jc w:val="left"/>
        <w:rPr>
          <w:sz w:val="21"/>
        </w:rPr>
      </w:pPr>
      <w:r>
        <w:rPr>
          <w:sz w:val="21"/>
        </w:rPr>
        <w:t>资金来源：见投标人须知前附表。</w:t>
      </w:r>
    </w:p>
    <w:p>
      <w:pPr>
        <w:spacing w:before="46"/>
        <w:ind w:left="226" w:right="0" w:firstLine="0"/>
        <w:jc w:val="left"/>
        <w:rPr>
          <w:sz w:val="21"/>
        </w:rPr>
      </w:pPr>
      <w:r>
        <w:rPr>
          <w:rFonts w:ascii="Calibri" w:eastAsia="Calibri"/>
          <w:sz w:val="21"/>
        </w:rPr>
        <w:t>1.2.3 </w:t>
      </w:r>
      <w:r>
        <w:rPr>
          <w:sz w:val="21"/>
        </w:rPr>
        <w:t>资金落实情况：见投标人须知前附表。</w:t>
      </w:r>
    </w:p>
    <w:p>
      <w:pPr>
        <w:pStyle w:val="ListParagraph"/>
        <w:numPr>
          <w:ilvl w:val="1"/>
          <w:numId w:val="12"/>
        </w:numPr>
        <w:tabs>
          <w:tab w:pos="557" w:val="left" w:leader="none"/>
        </w:tabs>
        <w:spacing w:line="240" w:lineRule="auto" w:before="46" w:after="0"/>
        <w:ind w:left="557" w:right="0" w:hanging="331"/>
        <w:jc w:val="left"/>
        <w:rPr>
          <w:sz w:val="21"/>
        </w:rPr>
      </w:pPr>
      <w:r>
        <w:rPr>
          <w:sz w:val="21"/>
        </w:rPr>
        <w:t>招标范围、计划工期和质量要求</w:t>
      </w:r>
    </w:p>
    <w:p>
      <w:pPr>
        <w:pStyle w:val="ListParagraph"/>
        <w:numPr>
          <w:ilvl w:val="2"/>
          <w:numId w:val="12"/>
        </w:numPr>
        <w:tabs>
          <w:tab w:pos="753" w:val="left" w:leader="none"/>
        </w:tabs>
        <w:spacing w:line="240" w:lineRule="auto" w:before="46" w:after="0"/>
        <w:ind w:left="752" w:right="0" w:hanging="527"/>
        <w:jc w:val="left"/>
        <w:rPr>
          <w:sz w:val="21"/>
        </w:rPr>
      </w:pPr>
      <w:r>
        <w:rPr>
          <w:sz w:val="21"/>
        </w:rPr>
        <w:t>本次招标范围：见投标人须知前附表。</w:t>
      </w:r>
    </w:p>
    <w:p>
      <w:pPr>
        <w:pStyle w:val="ListParagraph"/>
        <w:numPr>
          <w:ilvl w:val="2"/>
          <w:numId w:val="12"/>
        </w:numPr>
        <w:tabs>
          <w:tab w:pos="753" w:val="left" w:leader="none"/>
        </w:tabs>
        <w:spacing w:line="240" w:lineRule="auto" w:before="47" w:after="0"/>
        <w:ind w:left="752" w:right="0" w:hanging="527"/>
        <w:jc w:val="left"/>
        <w:rPr>
          <w:sz w:val="21"/>
        </w:rPr>
      </w:pPr>
      <w:r>
        <w:rPr>
          <w:sz w:val="21"/>
        </w:rPr>
        <w:t>本标段的计划工期：见投标人须知前附表。</w:t>
      </w:r>
    </w:p>
    <w:p>
      <w:pPr>
        <w:pStyle w:val="ListParagraph"/>
        <w:numPr>
          <w:ilvl w:val="2"/>
          <w:numId w:val="12"/>
        </w:numPr>
        <w:tabs>
          <w:tab w:pos="753" w:val="left" w:leader="none"/>
        </w:tabs>
        <w:spacing w:line="240" w:lineRule="auto" w:before="31" w:after="0"/>
        <w:ind w:left="752" w:right="0" w:hanging="527"/>
        <w:jc w:val="left"/>
        <w:rPr>
          <w:sz w:val="21"/>
        </w:rPr>
      </w:pPr>
      <w:r>
        <w:rPr>
          <w:sz w:val="21"/>
        </w:rPr>
        <w:t>本标段的质量要求：见投标人须知前附表。</w:t>
      </w:r>
    </w:p>
    <w:p>
      <w:pPr>
        <w:pStyle w:val="ListParagraph"/>
        <w:numPr>
          <w:ilvl w:val="1"/>
          <w:numId w:val="12"/>
        </w:numPr>
        <w:tabs>
          <w:tab w:pos="557" w:val="left" w:leader="none"/>
        </w:tabs>
        <w:spacing w:line="240" w:lineRule="auto" w:before="46" w:after="0"/>
        <w:ind w:left="557" w:right="0" w:hanging="331"/>
        <w:jc w:val="left"/>
        <w:rPr>
          <w:sz w:val="21"/>
        </w:rPr>
      </w:pPr>
      <w:r>
        <w:rPr>
          <w:sz w:val="21"/>
        </w:rPr>
        <w:t>投标人资格要求</w:t>
      </w:r>
    </w:p>
    <w:p>
      <w:pPr>
        <w:pStyle w:val="ListParagraph"/>
        <w:numPr>
          <w:ilvl w:val="2"/>
          <w:numId w:val="12"/>
        </w:numPr>
        <w:tabs>
          <w:tab w:pos="753" w:val="left" w:leader="none"/>
        </w:tabs>
        <w:spacing w:line="240" w:lineRule="auto" w:before="46" w:after="0"/>
        <w:ind w:left="752" w:right="0" w:hanging="527"/>
        <w:jc w:val="left"/>
        <w:rPr>
          <w:sz w:val="21"/>
        </w:rPr>
      </w:pPr>
      <w:r>
        <w:rPr>
          <w:spacing w:val="-1"/>
          <w:sz w:val="21"/>
        </w:rPr>
        <w:t>投标人应具备承担本标段施工的资质条件、能力和信誉。</w:t>
      </w:r>
    </w:p>
    <w:p>
      <w:pPr>
        <w:pStyle w:val="ListParagraph"/>
        <w:numPr>
          <w:ilvl w:val="0"/>
          <w:numId w:val="13"/>
        </w:numPr>
        <w:tabs>
          <w:tab w:pos="753" w:val="left" w:leader="none"/>
        </w:tabs>
        <w:spacing w:line="240" w:lineRule="auto" w:before="47" w:after="0"/>
        <w:ind w:left="753" w:right="0" w:hanging="527"/>
        <w:jc w:val="left"/>
        <w:rPr>
          <w:sz w:val="21"/>
        </w:rPr>
      </w:pPr>
      <w:r>
        <w:rPr>
          <w:sz w:val="21"/>
        </w:rPr>
        <w:t>资质条件：见投标人须知前附表；</w:t>
      </w:r>
    </w:p>
    <w:p>
      <w:pPr>
        <w:pStyle w:val="ListParagraph"/>
        <w:numPr>
          <w:ilvl w:val="0"/>
          <w:numId w:val="13"/>
        </w:numPr>
        <w:tabs>
          <w:tab w:pos="753" w:val="left" w:leader="none"/>
        </w:tabs>
        <w:spacing w:line="240" w:lineRule="auto" w:before="46" w:after="0"/>
        <w:ind w:left="753" w:right="0" w:hanging="527"/>
        <w:jc w:val="left"/>
        <w:rPr>
          <w:sz w:val="21"/>
        </w:rPr>
      </w:pPr>
      <w:r>
        <w:rPr>
          <w:sz w:val="21"/>
        </w:rPr>
        <w:t>财务要求：见投标人须知前附表；</w:t>
      </w:r>
    </w:p>
    <w:p>
      <w:pPr>
        <w:pStyle w:val="ListParagraph"/>
        <w:numPr>
          <w:ilvl w:val="0"/>
          <w:numId w:val="13"/>
        </w:numPr>
        <w:tabs>
          <w:tab w:pos="753" w:val="left" w:leader="none"/>
        </w:tabs>
        <w:spacing w:line="240" w:lineRule="auto" w:before="31" w:after="0"/>
        <w:ind w:left="753" w:right="0" w:hanging="527"/>
        <w:jc w:val="left"/>
        <w:rPr>
          <w:sz w:val="21"/>
        </w:rPr>
      </w:pPr>
      <w:r>
        <w:rPr>
          <w:sz w:val="21"/>
        </w:rPr>
        <w:t>业绩要求：见投标人须知前附表；</w:t>
      </w:r>
    </w:p>
    <w:p>
      <w:pPr>
        <w:pStyle w:val="ListParagraph"/>
        <w:numPr>
          <w:ilvl w:val="0"/>
          <w:numId w:val="13"/>
        </w:numPr>
        <w:tabs>
          <w:tab w:pos="753" w:val="left" w:leader="none"/>
        </w:tabs>
        <w:spacing w:line="240" w:lineRule="auto" w:before="46" w:after="0"/>
        <w:ind w:left="753" w:right="0" w:hanging="527"/>
        <w:jc w:val="left"/>
        <w:rPr>
          <w:rFonts w:ascii="Calibri" w:eastAsia="Calibri"/>
          <w:sz w:val="21"/>
        </w:rPr>
      </w:pPr>
      <w:r>
        <w:rPr>
          <w:spacing w:val="-1"/>
          <w:sz w:val="21"/>
        </w:rPr>
        <w:t>信誉要求：见投标人须知前附表</w:t>
      </w:r>
      <w:r>
        <w:rPr>
          <w:rFonts w:ascii="Calibri" w:eastAsia="Calibri"/>
          <w:sz w:val="21"/>
        </w:rPr>
        <w:t>;</w:t>
      </w:r>
    </w:p>
    <w:p>
      <w:pPr>
        <w:pStyle w:val="ListParagraph"/>
        <w:numPr>
          <w:ilvl w:val="0"/>
          <w:numId w:val="13"/>
        </w:numPr>
        <w:tabs>
          <w:tab w:pos="753" w:val="left" w:leader="none"/>
        </w:tabs>
        <w:spacing w:line="240" w:lineRule="auto" w:before="46" w:after="0"/>
        <w:ind w:left="753" w:right="0" w:hanging="527"/>
        <w:jc w:val="left"/>
        <w:rPr>
          <w:sz w:val="21"/>
        </w:rPr>
      </w:pPr>
      <w:r>
        <w:rPr>
          <w:sz w:val="21"/>
        </w:rPr>
        <w:t>项目经理资格：见投标人须知前附表；</w:t>
      </w:r>
    </w:p>
    <w:p>
      <w:pPr>
        <w:pStyle w:val="ListParagraph"/>
        <w:numPr>
          <w:ilvl w:val="0"/>
          <w:numId w:val="13"/>
        </w:numPr>
        <w:tabs>
          <w:tab w:pos="753" w:val="left" w:leader="none"/>
        </w:tabs>
        <w:spacing w:line="240" w:lineRule="auto" w:before="47" w:after="0"/>
        <w:ind w:left="753" w:right="0" w:hanging="527"/>
        <w:jc w:val="left"/>
        <w:rPr>
          <w:sz w:val="21"/>
        </w:rPr>
      </w:pPr>
      <w:r>
        <w:rPr>
          <w:sz w:val="21"/>
        </w:rPr>
        <w:t>其他要求：见投标人须知前附表。</w:t>
      </w:r>
    </w:p>
    <w:p>
      <w:pPr>
        <w:pStyle w:val="ListParagraph"/>
        <w:numPr>
          <w:ilvl w:val="2"/>
          <w:numId w:val="12"/>
        </w:numPr>
        <w:tabs>
          <w:tab w:pos="723" w:val="left" w:leader="none"/>
        </w:tabs>
        <w:spacing w:line="276" w:lineRule="auto" w:before="46" w:after="0"/>
        <w:ind w:left="226" w:right="1316" w:firstLine="0"/>
        <w:jc w:val="left"/>
        <w:rPr>
          <w:sz w:val="21"/>
        </w:rPr>
      </w:pPr>
      <w:r>
        <w:rPr>
          <w:spacing w:val="-6"/>
          <w:sz w:val="21"/>
        </w:rPr>
        <w:t>投标人须知前附表规定接受联合体投标的，除应符合本章第 </w:t>
      </w:r>
      <w:r>
        <w:rPr>
          <w:rFonts w:ascii="Calibri" w:eastAsia="Calibri"/>
          <w:sz w:val="21"/>
        </w:rPr>
        <w:t>1.4.1</w:t>
      </w:r>
      <w:r>
        <w:rPr>
          <w:rFonts w:ascii="Calibri" w:eastAsia="Calibri"/>
          <w:spacing w:val="8"/>
          <w:sz w:val="21"/>
        </w:rPr>
        <w:t> </w:t>
      </w:r>
      <w:r>
        <w:rPr>
          <w:sz w:val="21"/>
        </w:rPr>
        <w:t>项和投标人须知前附表的要求外，还应遵守以下规定：                                                              </w:t>
      </w:r>
      <w:r>
        <w:rPr>
          <w:rFonts w:ascii="Calibri" w:eastAsia="Calibri"/>
          <w:spacing w:val="-2"/>
          <w:sz w:val="21"/>
        </w:rPr>
        <w:t>(1</w:t>
      </w:r>
      <w:r>
        <w:rPr>
          <w:spacing w:val="-2"/>
          <w:sz w:val="21"/>
        </w:rPr>
        <w:t>）</w:t>
      </w:r>
      <w:r>
        <w:rPr>
          <w:sz w:val="21"/>
        </w:rPr>
        <w:t>联合体各方应按招标文件提供的格式签订联合体协议书，明确联合体牵头人和各方权利义务； </w:t>
      </w:r>
      <w:r>
        <w:rPr>
          <w:rFonts w:ascii="Calibri" w:eastAsia="Calibri"/>
          <w:spacing w:val="-2"/>
          <w:sz w:val="21"/>
        </w:rPr>
        <w:t>(2</w:t>
      </w:r>
      <w:r>
        <w:rPr>
          <w:spacing w:val="-2"/>
          <w:sz w:val="21"/>
        </w:rPr>
        <w:t>）</w:t>
      </w:r>
      <w:r>
        <w:rPr>
          <w:spacing w:val="-1"/>
          <w:sz w:val="21"/>
        </w:rPr>
        <w:t>由同一专业的单位组成的联合体，按照资质等级较低的单位确定资质等级；</w:t>
      </w:r>
    </w:p>
    <w:p>
      <w:pPr>
        <w:spacing w:after="0" w:line="276" w:lineRule="auto"/>
        <w:jc w:val="left"/>
        <w:rPr>
          <w:sz w:val="21"/>
        </w:rPr>
        <w:sectPr>
          <w:pgSz w:w="11910" w:h="16850"/>
          <w:pgMar w:header="911" w:footer="0" w:top="1380" w:bottom="280" w:left="1200" w:right="0"/>
        </w:sectPr>
      </w:pPr>
    </w:p>
    <w:p>
      <w:pPr>
        <w:spacing w:before="60"/>
        <w:ind w:left="226" w:right="0" w:firstLine="0"/>
        <w:jc w:val="left"/>
        <w:rPr>
          <w:sz w:val="21"/>
        </w:rPr>
      </w:pPr>
      <w:r>
        <w:rPr>
          <w:rFonts w:ascii="Calibri" w:eastAsia="Calibri"/>
          <w:sz w:val="21"/>
        </w:rPr>
        <w:t>(3</w:t>
      </w:r>
      <w:r>
        <w:rPr>
          <w:sz w:val="21"/>
        </w:rPr>
        <w:t>）联合体各方不得再以自己名义单独或参加其他联合体在同一标段中投标。</w:t>
      </w:r>
    </w:p>
    <w:p>
      <w:pPr>
        <w:pStyle w:val="ListParagraph"/>
        <w:numPr>
          <w:ilvl w:val="2"/>
          <w:numId w:val="12"/>
        </w:numPr>
        <w:tabs>
          <w:tab w:pos="723" w:val="left" w:leader="none"/>
        </w:tabs>
        <w:spacing w:line="240" w:lineRule="auto" w:before="31" w:after="0"/>
        <w:ind w:left="722" w:right="0" w:hanging="497"/>
        <w:jc w:val="left"/>
        <w:rPr>
          <w:sz w:val="21"/>
        </w:rPr>
      </w:pPr>
      <w:r>
        <w:rPr>
          <w:sz w:val="21"/>
        </w:rPr>
        <w:t>经评标委员会认定，投标人有下列情况之一的，投标无效；隐瞒实情骗取中标的，中标无效：</w:t>
      </w:r>
    </w:p>
    <w:p>
      <w:pPr>
        <w:pStyle w:val="ListParagraph"/>
        <w:numPr>
          <w:ilvl w:val="3"/>
          <w:numId w:val="12"/>
        </w:numPr>
        <w:tabs>
          <w:tab w:pos="878" w:val="left" w:leader="none"/>
        </w:tabs>
        <w:spacing w:line="240" w:lineRule="auto" w:before="46" w:after="0"/>
        <w:ind w:left="877" w:right="0" w:hanging="231"/>
        <w:jc w:val="left"/>
        <w:rPr>
          <w:rFonts w:ascii="Calibri" w:eastAsia="Calibri"/>
          <w:sz w:val="21"/>
        </w:rPr>
      </w:pPr>
      <w:r>
        <w:rPr>
          <w:sz w:val="21"/>
        </w:rPr>
        <w:t>为招标人不具有独立法人资格的附属机构（单位</w:t>
      </w:r>
      <w:r>
        <w:rPr>
          <w:spacing w:val="-3"/>
          <w:sz w:val="21"/>
        </w:rPr>
        <w:t>）</w:t>
      </w:r>
      <w:r>
        <w:rPr>
          <w:rFonts w:ascii="Calibri" w:eastAsia="Calibri"/>
          <w:spacing w:val="-3"/>
          <w:sz w:val="21"/>
        </w:rPr>
        <w:t>;</w:t>
      </w:r>
    </w:p>
    <w:p>
      <w:pPr>
        <w:pStyle w:val="ListParagraph"/>
        <w:numPr>
          <w:ilvl w:val="3"/>
          <w:numId w:val="12"/>
        </w:numPr>
        <w:tabs>
          <w:tab w:pos="457" w:val="left" w:leader="none"/>
        </w:tabs>
        <w:spacing w:line="280" w:lineRule="auto" w:before="47" w:after="0"/>
        <w:ind w:left="226" w:right="3730" w:firstLine="0"/>
        <w:jc w:val="left"/>
        <w:rPr>
          <w:sz w:val="21"/>
        </w:rPr>
      </w:pPr>
      <w:r>
        <w:rPr>
          <w:sz w:val="21"/>
        </w:rPr>
        <w:t>为本标段前期准备提供设计或咨询服务的，但设计施工总承包的除外； </w:t>
      </w:r>
      <w:r>
        <w:rPr>
          <w:rFonts w:ascii="Calibri" w:eastAsia="Calibri"/>
          <w:spacing w:val="-4"/>
          <w:sz w:val="21"/>
        </w:rPr>
        <w:t>(3)</w:t>
      </w:r>
      <w:r>
        <w:rPr>
          <w:sz w:val="21"/>
        </w:rPr>
        <w:t>为本标段的监理人；</w:t>
      </w:r>
    </w:p>
    <w:p>
      <w:pPr>
        <w:pStyle w:val="ListParagraph"/>
        <w:numPr>
          <w:ilvl w:val="0"/>
          <w:numId w:val="14"/>
        </w:numPr>
        <w:tabs>
          <w:tab w:pos="457" w:val="left" w:leader="none"/>
        </w:tabs>
        <w:spacing w:line="240" w:lineRule="auto" w:before="1" w:after="0"/>
        <w:ind w:left="456" w:right="0" w:hanging="231"/>
        <w:jc w:val="left"/>
        <w:rPr>
          <w:sz w:val="21"/>
        </w:rPr>
      </w:pPr>
      <w:r>
        <w:rPr>
          <w:sz w:val="21"/>
        </w:rPr>
        <w:t>为本标段的代建人；</w:t>
      </w:r>
    </w:p>
    <w:p>
      <w:pPr>
        <w:pStyle w:val="ListParagraph"/>
        <w:numPr>
          <w:ilvl w:val="0"/>
          <w:numId w:val="14"/>
        </w:numPr>
        <w:tabs>
          <w:tab w:pos="457" w:val="left" w:leader="none"/>
        </w:tabs>
        <w:spacing w:line="240" w:lineRule="auto" w:before="31" w:after="0"/>
        <w:ind w:left="456" w:right="0" w:hanging="231"/>
        <w:jc w:val="left"/>
        <w:rPr>
          <w:sz w:val="21"/>
        </w:rPr>
      </w:pPr>
      <w:r>
        <w:rPr>
          <w:sz w:val="21"/>
        </w:rPr>
        <w:t>为本标段提供招标代理服务的；</w:t>
      </w:r>
    </w:p>
    <w:p>
      <w:pPr>
        <w:pStyle w:val="ListParagraph"/>
        <w:numPr>
          <w:ilvl w:val="0"/>
          <w:numId w:val="14"/>
        </w:numPr>
        <w:tabs>
          <w:tab w:pos="457" w:val="left" w:leader="none"/>
        </w:tabs>
        <w:spacing w:line="280" w:lineRule="auto" w:before="46" w:after="0"/>
        <w:ind w:left="226" w:right="1344" w:firstLine="0"/>
        <w:jc w:val="left"/>
        <w:rPr>
          <w:sz w:val="21"/>
        </w:rPr>
      </w:pPr>
      <w:r>
        <w:rPr/>
        <w:pict>
          <v:group style="position:absolute;margin-left:71.349998pt;margin-top:26.360485pt;width:456.6pt;height:442.85pt;mso-position-horizontal-relative:page;mso-position-vertical-relative:paragraph;z-index:-268631040" coordorigin="1427,527" coordsize="9132,8857">
            <v:shape style="position:absolute;left:1563;top:527;width:8786;height:8653" type="#_x0000_t75" stroked="false">
              <v:imagedata r:id="rId6" o:title=""/>
            </v:shape>
            <v:shape style="position:absolute;left:1427;top:2838;width:9132;height:6547" coordorigin="1427,2838" coordsize="9132,6547" path="m3109,7522l1427,7522,1427,7823,3109,7823,3109,7522m4386,9084l1427,9084,1427,9384,4386,9384,4386,9084m5077,7838l1427,7838,1427,8138,5077,8138,5077,7838m5842,8784l1427,8784,1427,9069,5842,9069,5842,8784m5842,6592l1427,6592,1427,6892,5842,6892,5842,6592m9417,5961l1427,5961,1427,6261,9417,6261,9417,5961m9912,8153l1427,8153,1427,8453,9912,8453,9912,8153m10558,8468l1427,8468,1427,8769,10558,8769,10558,8468m10558,7222l1427,7222,1427,7507,10558,7507,10558,7222m10558,5030l1427,5030,1427,5331,10558,5331,10558,5030m10558,2838l1427,2838,1427,3139,10558,3139,10558,2838e" filled="true" fillcolor="#ffffff" stroked="false">
              <v:path arrowok="t"/>
              <v:fill type="solid"/>
            </v:shape>
            <w10:wrap type="none"/>
          </v:group>
        </w:pict>
      </w:r>
      <w:r>
        <w:rPr>
          <w:sz w:val="21"/>
        </w:rPr>
        <w:t>与本标段的监理人或代建人或招标代理机构同为一个法定代表人的；与本标段的监理人或代建人</w:t>
      </w:r>
      <w:r>
        <w:rPr>
          <w:spacing w:val="-1"/>
          <w:sz w:val="21"/>
        </w:rPr>
        <w:t>或招标代理机构相互控股或参股的；</w:t>
      </w:r>
    </w:p>
    <w:p>
      <w:pPr>
        <w:pStyle w:val="ListParagraph"/>
        <w:numPr>
          <w:ilvl w:val="0"/>
          <w:numId w:val="13"/>
        </w:numPr>
        <w:tabs>
          <w:tab w:pos="753" w:val="left" w:leader="none"/>
        </w:tabs>
        <w:spacing w:line="240" w:lineRule="auto" w:before="1" w:after="0"/>
        <w:ind w:left="753" w:right="0" w:hanging="527"/>
        <w:jc w:val="left"/>
        <w:rPr>
          <w:sz w:val="21"/>
        </w:rPr>
      </w:pPr>
      <w:r>
        <w:rPr>
          <w:sz w:val="21"/>
        </w:rPr>
        <w:t>与本标段的监理人或代建人或招标代理机构相互任职或工作的；</w:t>
      </w:r>
    </w:p>
    <w:p>
      <w:pPr>
        <w:pStyle w:val="ListParagraph"/>
        <w:numPr>
          <w:ilvl w:val="0"/>
          <w:numId w:val="13"/>
        </w:numPr>
        <w:tabs>
          <w:tab w:pos="753" w:val="left" w:leader="none"/>
        </w:tabs>
        <w:spacing w:line="240" w:lineRule="auto" w:before="46" w:after="0"/>
        <w:ind w:left="753" w:right="0" w:hanging="527"/>
        <w:jc w:val="left"/>
        <w:rPr>
          <w:sz w:val="21"/>
        </w:rPr>
      </w:pPr>
      <w:r>
        <w:rPr>
          <w:sz w:val="21"/>
        </w:rPr>
        <w:t>被责令停业的；</w:t>
      </w:r>
    </w:p>
    <w:p>
      <w:pPr>
        <w:pStyle w:val="ListParagraph"/>
        <w:numPr>
          <w:ilvl w:val="0"/>
          <w:numId w:val="13"/>
        </w:numPr>
        <w:tabs>
          <w:tab w:pos="753" w:val="left" w:leader="none"/>
        </w:tabs>
        <w:spacing w:line="240" w:lineRule="auto" w:before="31" w:after="0"/>
        <w:ind w:left="753" w:right="0" w:hanging="527"/>
        <w:jc w:val="left"/>
        <w:rPr>
          <w:sz w:val="21"/>
        </w:rPr>
      </w:pPr>
      <w:r>
        <w:rPr>
          <w:sz w:val="21"/>
        </w:rPr>
        <w:t>被暂停或取消投标资格的；</w:t>
      </w:r>
    </w:p>
    <w:p>
      <w:pPr>
        <w:pStyle w:val="ListParagraph"/>
        <w:numPr>
          <w:ilvl w:val="0"/>
          <w:numId w:val="13"/>
        </w:numPr>
        <w:tabs>
          <w:tab w:pos="859" w:val="left" w:leader="none"/>
        </w:tabs>
        <w:spacing w:line="240" w:lineRule="auto" w:before="46" w:after="0"/>
        <w:ind w:left="858" w:right="0" w:hanging="633"/>
        <w:jc w:val="left"/>
        <w:rPr>
          <w:sz w:val="21"/>
        </w:rPr>
      </w:pPr>
      <w:r>
        <w:rPr>
          <w:sz w:val="21"/>
        </w:rPr>
        <w:t>财产被接管或冻结的；</w:t>
      </w:r>
    </w:p>
    <w:p>
      <w:pPr>
        <w:pStyle w:val="ListParagraph"/>
        <w:numPr>
          <w:ilvl w:val="0"/>
          <w:numId w:val="13"/>
        </w:numPr>
        <w:tabs>
          <w:tab w:pos="859" w:val="left" w:leader="none"/>
        </w:tabs>
        <w:spacing w:line="240" w:lineRule="auto" w:before="47" w:after="0"/>
        <w:ind w:left="858" w:right="0" w:hanging="633"/>
        <w:jc w:val="left"/>
        <w:rPr>
          <w:sz w:val="21"/>
        </w:rPr>
      </w:pPr>
      <w:r>
        <w:rPr>
          <w:sz w:val="21"/>
        </w:rPr>
        <w:t>在最近三年内有骗取中标或严重违约或重大工程质量问题的。</w:t>
      </w:r>
    </w:p>
    <w:p>
      <w:pPr>
        <w:pStyle w:val="ListParagraph"/>
        <w:numPr>
          <w:ilvl w:val="0"/>
          <w:numId w:val="13"/>
        </w:numPr>
        <w:tabs>
          <w:tab w:pos="859" w:val="left" w:leader="none"/>
        </w:tabs>
        <w:spacing w:line="240" w:lineRule="auto" w:before="46" w:after="0"/>
        <w:ind w:left="858" w:right="0" w:hanging="633"/>
        <w:jc w:val="left"/>
        <w:rPr>
          <w:sz w:val="21"/>
        </w:rPr>
      </w:pPr>
      <w:r>
        <w:rPr>
          <w:sz w:val="21"/>
        </w:rPr>
        <w:t>投标资格被暂停、取消或被责令停业期间的；</w:t>
      </w:r>
    </w:p>
    <w:p>
      <w:pPr>
        <w:pStyle w:val="ListParagraph"/>
        <w:numPr>
          <w:ilvl w:val="0"/>
          <w:numId w:val="13"/>
        </w:numPr>
        <w:tabs>
          <w:tab w:pos="859" w:val="left" w:leader="none"/>
        </w:tabs>
        <w:spacing w:line="240" w:lineRule="auto" w:before="46" w:after="0"/>
        <w:ind w:left="858" w:right="0" w:hanging="633"/>
        <w:jc w:val="left"/>
        <w:rPr>
          <w:sz w:val="21"/>
        </w:rPr>
      </w:pPr>
      <w:r>
        <w:rPr>
          <w:sz w:val="21"/>
        </w:rPr>
        <w:t>被人民法院列为失信被执行人的；</w:t>
      </w:r>
    </w:p>
    <w:p>
      <w:pPr>
        <w:pStyle w:val="ListParagraph"/>
        <w:numPr>
          <w:ilvl w:val="0"/>
          <w:numId w:val="13"/>
        </w:numPr>
        <w:tabs>
          <w:tab w:pos="859" w:val="left" w:leader="none"/>
        </w:tabs>
        <w:spacing w:line="280" w:lineRule="auto" w:before="32" w:after="0"/>
        <w:ind w:left="226" w:right="1344" w:firstLine="0"/>
        <w:jc w:val="left"/>
        <w:rPr>
          <w:sz w:val="21"/>
        </w:rPr>
      </w:pPr>
      <w:r>
        <w:rPr>
          <w:sz w:val="21"/>
        </w:rPr>
        <w:t>单位负责人为同一人或者存在控股、管理关系的不同单位，参加同一标段或者未划分标段的同一招标项目投标的；</w:t>
      </w:r>
    </w:p>
    <w:p>
      <w:pPr>
        <w:pStyle w:val="ListParagraph"/>
        <w:numPr>
          <w:ilvl w:val="0"/>
          <w:numId w:val="13"/>
        </w:numPr>
        <w:tabs>
          <w:tab w:pos="859" w:val="left" w:leader="none"/>
        </w:tabs>
        <w:spacing w:line="240" w:lineRule="auto" w:before="1" w:after="0"/>
        <w:ind w:left="858" w:right="0" w:hanging="633"/>
        <w:jc w:val="left"/>
        <w:rPr>
          <w:sz w:val="21"/>
        </w:rPr>
      </w:pPr>
      <w:r>
        <w:rPr>
          <w:sz w:val="21"/>
        </w:rPr>
        <w:t>未按招标文件规定提交电子投标文件的；</w:t>
      </w:r>
    </w:p>
    <w:p>
      <w:pPr>
        <w:pStyle w:val="ListParagraph"/>
        <w:numPr>
          <w:ilvl w:val="0"/>
          <w:numId w:val="13"/>
        </w:numPr>
        <w:tabs>
          <w:tab w:pos="859" w:val="left" w:leader="none"/>
        </w:tabs>
        <w:spacing w:line="240" w:lineRule="auto" w:before="46" w:after="0"/>
        <w:ind w:left="858" w:right="0" w:hanging="633"/>
        <w:jc w:val="left"/>
        <w:rPr>
          <w:sz w:val="21"/>
        </w:rPr>
      </w:pPr>
      <w:r>
        <w:rPr>
          <w:sz w:val="21"/>
        </w:rPr>
        <w:t>法律法规规定的其他情形。</w:t>
      </w:r>
    </w:p>
    <w:p>
      <w:pPr>
        <w:pStyle w:val="ListParagraph"/>
        <w:numPr>
          <w:ilvl w:val="1"/>
          <w:numId w:val="12"/>
        </w:numPr>
        <w:tabs>
          <w:tab w:pos="557" w:val="left" w:leader="none"/>
        </w:tabs>
        <w:spacing w:line="240" w:lineRule="auto" w:before="46" w:after="0"/>
        <w:ind w:left="557" w:right="0" w:hanging="331"/>
        <w:jc w:val="left"/>
        <w:rPr>
          <w:sz w:val="21"/>
        </w:rPr>
      </w:pPr>
      <w:r>
        <w:rPr>
          <w:sz w:val="21"/>
        </w:rPr>
        <w:t>费用承担</w:t>
      </w:r>
    </w:p>
    <w:p>
      <w:pPr>
        <w:spacing w:before="31"/>
        <w:ind w:left="226" w:right="0" w:firstLine="0"/>
        <w:jc w:val="left"/>
        <w:rPr>
          <w:sz w:val="21"/>
        </w:rPr>
      </w:pPr>
      <w:r>
        <w:rPr>
          <w:sz w:val="21"/>
        </w:rPr>
        <w:t>投标人准备和参加投标发生的费用自理。</w:t>
      </w:r>
    </w:p>
    <w:p>
      <w:pPr>
        <w:pStyle w:val="ListParagraph"/>
        <w:numPr>
          <w:ilvl w:val="1"/>
          <w:numId w:val="12"/>
        </w:numPr>
        <w:tabs>
          <w:tab w:pos="557" w:val="left" w:leader="none"/>
        </w:tabs>
        <w:spacing w:line="240" w:lineRule="auto" w:before="46" w:after="0"/>
        <w:ind w:left="557" w:right="0" w:hanging="331"/>
        <w:jc w:val="left"/>
        <w:rPr>
          <w:sz w:val="21"/>
        </w:rPr>
      </w:pPr>
      <w:r>
        <w:rPr>
          <w:sz w:val="21"/>
        </w:rPr>
        <w:t>保密</w:t>
      </w:r>
    </w:p>
    <w:p>
      <w:pPr>
        <w:spacing w:line="280" w:lineRule="auto" w:before="46"/>
        <w:ind w:left="226" w:right="1341" w:firstLine="0"/>
        <w:jc w:val="left"/>
        <w:rPr>
          <w:sz w:val="21"/>
        </w:rPr>
      </w:pPr>
      <w:r>
        <w:rPr>
          <w:sz w:val="21"/>
        </w:rPr>
        <w:t>参与招标投标活动的各方应对招标文件和投标文件的商业和技术等秘密保密，违者应对由此造成的后果承担法律责任。</w:t>
      </w:r>
    </w:p>
    <w:p>
      <w:pPr>
        <w:pStyle w:val="ListParagraph"/>
        <w:numPr>
          <w:ilvl w:val="1"/>
          <w:numId w:val="12"/>
        </w:numPr>
        <w:tabs>
          <w:tab w:pos="557" w:val="left" w:leader="none"/>
        </w:tabs>
        <w:spacing w:line="240" w:lineRule="auto" w:before="1" w:after="0"/>
        <w:ind w:left="557" w:right="0" w:hanging="331"/>
        <w:jc w:val="left"/>
        <w:rPr>
          <w:sz w:val="21"/>
        </w:rPr>
      </w:pPr>
      <w:r>
        <w:rPr>
          <w:sz w:val="21"/>
        </w:rPr>
        <w:t>语言文字</w:t>
      </w:r>
    </w:p>
    <w:p>
      <w:pPr>
        <w:spacing w:before="31"/>
        <w:ind w:left="226" w:right="0" w:firstLine="0"/>
        <w:jc w:val="left"/>
        <w:rPr>
          <w:sz w:val="21"/>
        </w:rPr>
      </w:pPr>
      <w:r>
        <w:rPr>
          <w:sz w:val="21"/>
        </w:rPr>
        <w:t>除专用术语外，与招标投标有关的语言均使用中文。必要时专用术语应附有中文注释。</w:t>
      </w:r>
    </w:p>
    <w:p>
      <w:pPr>
        <w:pStyle w:val="ListParagraph"/>
        <w:numPr>
          <w:ilvl w:val="1"/>
          <w:numId w:val="12"/>
        </w:numPr>
        <w:tabs>
          <w:tab w:pos="557" w:val="left" w:leader="none"/>
        </w:tabs>
        <w:spacing w:line="240" w:lineRule="auto" w:before="47" w:after="0"/>
        <w:ind w:left="557" w:right="0" w:hanging="331"/>
        <w:jc w:val="left"/>
        <w:rPr>
          <w:sz w:val="21"/>
        </w:rPr>
      </w:pPr>
      <w:r>
        <w:rPr>
          <w:sz w:val="21"/>
        </w:rPr>
        <w:t>计量单位</w:t>
      </w:r>
    </w:p>
    <w:p>
      <w:pPr>
        <w:spacing w:before="46"/>
        <w:ind w:left="226" w:right="0" w:firstLine="0"/>
        <w:jc w:val="left"/>
        <w:rPr>
          <w:sz w:val="21"/>
        </w:rPr>
      </w:pPr>
      <w:r>
        <w:rPr>
          <w:sz w:val="21"/>
        </w:rPr>
        <w:t>所有计量均采用中华人民共和国法定计量单位。</w:t>
      </w:r>
    </w:p>
    <w:p>
      <w:pPr>
        <w:pStyle w:val="ListParagraph"/>
        <w:numPr>
          <w:ilvl w:val="1"/>
          <w:numId w:val="12"/>
        </w:numPr>
        <w:tabs>
          <w:tab w:pos="557" w:val="left" w:leader="none"/>
        </w:tabs>
        <w:spacing w:line="240" w:lineRule="auto" w:before="46" w:after="0"/>
        <w:ind w:left="557" w:right="0" w:hanging="331"/>
        <w:jc w:val="left"/>
        <w:rPr>
          <w:sz w:val="21"/>
        </w:rPr>
      </w:pPr>
      <w:r>
        <w:rPr>
          <w:sz w:val="21"/>
        </w:rPr>
        <w:t>踏勘现场</w:t>
      </w:r>
    </w:p>
    <w:p>
      <w:pPr>
        <w:pStyle w:val="ListParagraph"/>
        <w:numPr>
          <w:ilvl w:val="2"/>
          <w:numId w:val="12"/>
        </w:numPr>
        <w:tabs>
          <w:tab w:pos="753" w:val="left" w:leader="none"/>
        </w:tabs>
        <w:spacing w:line="268" w:lineRule="auto" w:before="46" w:after="0"/>
        <w:ind w:left="226" w:right="1326" w:firstLine="0"/>
        <w:jc w:val="left"/>
        <w:rPr>
          <w:sz w:val="21"/>
        </w:rPr>
      </w:pPr>
      <w:r>
        <w:rPr>
          <w:sz w:val="21"/>
        </w:rPr>
        <w:t>投标人须知前附表规定组织踏勘现场的，招标人按投标人须知前附表规定的时间、地点组织投标踏勘项目现场。</w:t>
      </w:r>
    </w:p>
    <w:p>
      <w:pPr>
        <w:pStyle w:val="ListParagraph"/>
        <w:numPr>
          <w:ilvl w:val="2"/>
          <w:numId w:val="12"/>
        </w:numPr>
        <w:tabs>
          <w:tab w:pos="723" w:val="left" w:leader="none"/>
        </w:tabs>
        <w:spacing w:line="240" w:lineRule="auto" w:before="13" w:after="0"/>
        <w:ind w:left="722" w:right="0" w:hanging="497"/>
        <w:jc w:val="left"/>
        <w:rPr>
          <w:sz w:val="21"/>
        </w:rPr>
      </w:pPr>
      <w:r>
        <w:rPr>
          <w:sz w:val="21"/>
        </w:rPr>
        <w:t>投标人踏勘现场发生的费用自理。</w:t>
      </w:r>
    </w:p>
    <w:p>
      <w:pPr>
        <w:pStyle w:val="ListParagraph"/>
        <w:numPr>
          <w:ilvl w:val="2"/>
          <w:numId w:val="12"/>
        </w:numPr>
        <w:tabs>
          <w:tab w:pos="723" w:val="left" w:leader="none"/>
        </w:tabs>
        <w:spacing w:line="240" w:lineRule="auto" w:before="47" w:after="0"/>
        <w:ind w:left="722" w:right="0" w:hanging="497"/>
        <w:jc w:val="left"/>
        <w:rPr>
          <w:sz w:val="21"/>
        </w:rPr>
      </w:pPr>
      <w:r>
        <w:rPr>
          <w:sz w:val="21"/>
        </w:rPr>
        <w:t>除招标人的踏勘原因外，投标人自行负责在踏勘现场中所发生的人员伤亡和财产损失。</w:t>
      </w:r>
    </w:p>
    <w:p>
      <w:pPr>
        <w:pStyle w:val="ListParagraph"/>
        <w:numPr>
          <w:ilvl w:val="2"/>
          <w:numId w:val="12"/>
        </w:numPr>
        <w:tabs>
          <w:tab w:pos="723" w:val="left" w:leader="none"/>
        </w:tabs>
        <w:spacing w:line="280" w:lineRule="auto" w:before="46" w:after="0"/>
        <w:ind w:left="226" w:right="1204" w:firstLine="0"/>
        <w:jc w:val="left"/>
        <w:rPr>
          <w:sz w:val="21"/>
        </w:rPr>
      </w:pPr>
      <w:r>
        <w:rPr>
          <w:spacing w:val="-3"/>
          <w:sz w:val="21"/>
        </w:rPr>
        <w:t>招标人在踏勘现场中介绍的工程场地和相关的周边环境情况，供投标人在编制投标文件时参考， 招标人不对投标人据此作出的判断和决策负责。</w:t>
      </w:r>
    </w:p>
    <w:p>
      <w:pPr>
        <w:pStyle w:val="ListParagraph"/>
        <w:numPr>
          <w:ilvl w:val="1"/>
          <w:numId w:val="12"/>
        </w:numPr>
        <w:tabs>
          <w:tab w:pos="663" w:val="left" w:leader="none"/>
        </w:tabs>
        <w:spacing w:line="255" w:lineRule="exact" w:before="0" w:after="0"/>
        <w:ind w:left="662" w:right="0" w:hanging="437"/>
        <w:jc w:val="left"/>
        <w:rPr>
          <w:sz w:val="21"/>
        </w:rPr>
      </w:pPr>
      <w:r>
        <w:rPr>
          <w:sz w:val="21"/>
        </w:rPr>
        <w:t>投标预备会（一般不适用）</w:t>
      </w:r>
    </w:p>
    <w:p>
      <w:pPr>
        <w:pStyle w:val="ListParagraph"/>
        <w:numPr>
          <w:ilvl w:val="1"/>
          <w:numId w:val="12"/>
        </w:numPr>
        <w:tabs>
          <w:tab w:pos="663" w:val="left" w:leader="none"/>
        </w:tabs>
        <w:spacing w:line="240" w:lineRule="auto" w:before="45" w:after="0"/>
        <w:ind w:left="662" w:right="0" w:hanging="437"/>
        <w:jc w:val="left"/>
        <w:rPr>
          <w:sz w:val="21"/>
        </w:rPr>
      </w:pPr>
      <w:r>
        <w:rPr>
          <w:sz w:val="21"/>
        </w:rPr>
        <w:t>分包</w:t>
      </w:r>
    </w:p>
    <w:p>
      <w:pPr>
        <w:spacing w:line="278" w:lineRule="auto" w:before="47"/>
        <w:ind w:left="226" w:right="1220" w:firstLine="0"/>
        <w:jc w:val="left"/>
        <w:rPr>
          <w:sz w:val="21"/>
        </w:rPr>
      </w:pPr>
      <w:r>
        <w:rPr>
          <w:sz w:val="21"/>
        </w:rPr>
        <w:t>在投标人须知前附表规定允许分包的，分包的内容，分包金额，接受分包的第三人资质要求见投标人须知前附表。投标人应在投标文件中明确是否在中标后将中标项目的部分非主体、非关键性工作进行分包。投标人拟分包时，分包人应具备与分包工程的标准和规模相适应的资质和业绩，在人力、设备、资金等方面具有承担分包工程施工的能力。投标人应在投标文件中提供分包协议、分包人的资质证书及社会统一信用代码证书、人员、设备和业绩资料表、分包的工程项目和工程量。</w:t>
      </w:r>
    </w:p>
    <w:p>
      <w:pPr>
        <w:pStyle w:val="ListParagraph"/>
        <w:numPr>
          <w:ilvl w:val="1"/>
          <w:numId w:val="12"/>
        </w:numPr>
        <w:tabs>
          <w:tab w:pos="663" w:val="left" w:leader="none"/>
        </w:tabs>
        <w:spacing w:line="240" w:lineRule="auto" w:before="0" w:after="0"/>
        <w:ind w:left="662" w:right="0" w:hanging="437"/>
        <w:jc w:val="left"/>
        <w:rPr>
          <w:sz w:val="21"/>
        </w:rPr>
      </w:pPr>
      <w:r>
        <w:rPr>
          <w:sz w:val="21"/>
        </w:rPr>
        <w:t>偏离</w:t>
      </w:r>
    </w:p>
    <w:p>
      <w:pPr>
        <w:spacing w:after="0" w:line="240" w:lineRule="auto"/>
        <w:jc w:val="left"/>
        <w:rPr>
          <w:sz w:val="21"/>
        </w:rPr>
        <w:sectPr>
          <w:pgSz w:w="11910" w:h="16850"/>
          <w:pgMar w:header="911" w:footer="0" w:top="1380" w:bottom="280" w:left="1200" w:right="0"/>
        </w:sectPr>
      </w:pPr>
    </w:p>
    <w:p>
      <w:pPr>
        <w:spacing w:line="266" w:lineRule="auto" w:before="60"/>
        <w:ind w:left="226" w:right="1341" w:firstLine="0"/>
        <w:jc w:val="left"/>
        <w:rPr>
          <w:sz w:val="21"/>
        </w:rPr>
      </w:pPr>
      <w:r>
        <w:rPr>
          <w:sz w:val="21"/>
        </w:rPr>
        <w:t>投标文件不允许偏离招标文件的实质性要求和条件。投标文件偏离招标文件的非实质性要求和条件的，其处理方式见投标人须知前附表。</w:t>
      </w:r>
    </w:p>
    <w:p>
      <w:pPr>
        <w:pStyle w:val="BodyText"/>
        <w:rPr>
          <w:sz w:val="20"/>
        </w:rPr>
      </w:pPr>
    </w:p>
    <w:p>
      <w:pPr>
        <w:pStyle w:val="BodyText"/>
        <w:rPr>
          <w:sz w:val="20"/>
        </w:rPr>
      </w:pPr>
    </w:p>
    <w:p>
      <w:pPr>
        <w:pStyle w:val="BodyText"/>
        <w:spacing w:before="9"/>
        <w:rPr>
          <w:sz w:val="15"/>
        </w:rPr>
      </w:pPr>
    </w:p>
    <w:p>
      <w:pPr>
        <w:pStyle w:val="Heading7"/>
        <w:numPr>
          <w:ilvl w:val="0"/>
          <w:numId w:val="12"/>
        </w:numPr>
        <w:tabs>
          <w:tab w:pos="512" w:val="left" w:leader="none"/>
        </w:tabs>
        <w:spacing w:line="240" w:lineRule="auto" w:before="0" w:after="0"/>
        <w:ind w:left="512" w:right="0" w:hanging="286"/>
        <w:jc w:val="left"/>
        <w:rPr>
          <w:rFonts w:ascii="黑体" w:eastAsia="黑体" w:hint="eastAsia"/>
        </w:rPr>
      </w:pPr>
      <w:bookmarkStart w:name="2 招标文件" w:id="14"/>
      <w:bookmarkEnd w:id="14"/>
      <w:r>
        <w:rPr/>
      </w:r>
      <w:bookmarkStart w:name="_bookmark6" w:id="15"/>
      <w:bookmarkEnd w:id="15"/>
      <w:r>
        <w:rPr/>
      </w:r>
      <w:bookmarkStart w:name="_bookmark6" w:id="16"/>
      <w:bookmarkEnd w:id="16"/>
      <w:r>
        <w:rPr>
          <w:rFonts w:ascii="黑体" w:eastAsia="黑体" w:hint="eastAsia"/>
          <w:spacing w:val="7"/>
        </w:rPr>
        <w:t>招标文件</w:t>
      </w:r>
    </w:p>
    <w:p>
      <w:pPr>
        <w:pStyle w:val="BodyText"/>
        <w:spacing w:before="5"/>
        <w:rPr>
          <w:rFonts w:ascii="黑体"/>
          <w:sz w:val="31"/>
        </w:rPr>
      </w:pPr>
    </w:p>
    <w:p>
      <w:pPr>
        <w:pStyle w:val="ListParagraph"/>
        <w:numPr>
          <w:ilvl w:val="1"/>
          <w:numId w:val="12"/>
        </w:numPr>
        <w:tabs>
          <w:tab w:pos="557" w:val="left" w:leader="none"/>
        </w:tabs>
        <w:spacing w:line="280" w:lineRule="auto" w:before="0" w:after="0"/>
        <w:ind w:left="226" w:right="8677" w:firstLine="0"/>
        <w:jc w:val="left"/>
        <w:rPr>
          <w:sz w:val="21"/>
        </w:rPr>
      </w:pPr>
      <w:r>
        <w:rPr/>
        <w:pict>
          <v:group style="position:absolute;margin-left:71.349998pt;margin-top:29.310486pt;width:456.6pt;height:432.65pt;mso-position-horizontal-relative:page;mso-position-vertical-relative:paragraph;z-index:-268630016" coordorigin="1427,586" coordsize="9132,8653">
            <v:shape style="position:absolute;left:1563;top:586;width:8786;height:8653" type="#_x0000_t75" stroked="false">
              <v:imagedata r:id="rId6" o:title=""/>
            </v:shape>
            <v:shape style="position:absolute;left:1427;top:3422;width:9132;height:5810" coordorigin="1427,3423" coordsize="9132,5810" path="m2884,7732l1427,7732,1427,8257,2884,8257,2884,7732m3229,8632l1427,8632,1427,8918,3229,8918,3229,8632m4746,8933l1427,8933,1427,9233,4746,9233,4746,8933m5137,6546l1427,6546,1427,6846,5137,6846,5137,6546m5137,5915l1427,5915,1427,6215,5137,6215,5137,5915m5287,6230l1427,6230,1427,6531,5287,6531,5287,6230m6594,5299l1427,5299,1427,5600,6594,5600,6594,5299m10558,4984l1427,4984,1427,5284,10558,5284,10558,4984m10558,4668l1427,4668,1427,4969,10558,4969,10558,4668m10558,3423l1427,3423,1427,3723,10558,3723,10558,3423e" filled="true" fillcolor="#ffffff" stroked="false">
              <v:path arrowok="t"/>
              <v:fill type="solid"/>
            </v:shape>
            <w10:wrap type="none"/>
          </v:group>
        </w:pict>
      </w:r>
      <w:r>
        <w:rPr>
          <w:spacing w:val="-2"/>
          <w:sz w:val="21"/>
        </w:rPr>
        <w:t>招标文件的组成</w:t>
      </w:r>
      <w:r>
        <w:rPr>
          <w:sz w:val="21"/>
        </w:rPr>
        <w:t>本招标文件包括：</w:t>
      </w:r>
    </w:p>
    <w:p>
      <w:pPr>
        <w:pStyle w:val="ListParagraph"/>
        <w:numPr>
          <w:ilvl w:val="0"/>
          <w:numId w:val="15"/>
        </w:numPr>
        <w:tabs>
          <w:tab w:pos="753" w:val="left" w:leader="none"/>
        </w:tabs>
        <w:spacing w:line="240" w:lineRule="auto" w:before="1" w:after="0"/>
        <w:ind w:left="753" w:right="0" w:hanging="527"/>
        <w:jc w:val="left"/>
        <w:rPr>
          <w:sz w:val="21"/>
        </w:rPr>
      </w:pPr>
      <w:r>
        <w:rPr>
          <w:sz w:val="21"/>
        </w:rPr>
        <w:t>招标公告（或投标邀请书</w:t>
      </w:r>
      <w:r>
        <w:rPr>
          <w:spacing w:val="-105"/>
          <w:sz w:val="21"/>
        </w:rPr>
        <w:t>）</w:t>
      </w:r>
      <w:r>
        <w:rPr>
          <w:sz w:val="21"/>
        </w:rPr>
        <w:t>；</w:t>
      </w:r>
    </w:p>
    <w:p>
      <w:pPr>
        <w:pStyle w:val="ListParagraph"/>
        <w:numPr>
          <w:ilvl w:val="0"/>
          <w:numId w:val="15"/>
        </w:numPr>
        <w:tabs>
          <w:tab w:pos="753" w:val="left" w:leader="none"/>
        </w:tabs>
        <w:spacing w:line="240" w:lineRule="auto" w:before="46" w:after="0"/>
        <w:ind w:left="753" w:right="0" w:hanging="527"/>
        <w:jc w:val="left"/>
        <w:rPr>
          <w:sz w:val="21"/>
        </w:rPr>
      </w:pPr>
      <w:r>
        <w:rPr>
          <w:sz w:val="21"/>
        </w:rPr>
        <w:t>投标人须知；</w:t>
      </w:r>
    </w:p>
    <w:p>
      <w:pPr>
        <w:pStyle w:val="ListParagraph"/>
        <w:numPr>
          <w:ilvl w:val="0"/>
          <w:numId w:val="15"/>
        </w:numPr>
        <w:tabs>
          <w:tab w:pos="753" w:val="left" w:leader="none"/>
        </w:tabs>
        <w:spacing w:line="240" w:lineRule="auto" w:before="31" w:after="0"/>
        <w:ind w:left="753" w:right="0" w:hanging="527"/>
        <w:jc w:val="left"/>
        <w:rPr>
          <w:sz w:val="21"/>
        </w:rPr>
      </w:pPr>
      <w:r>
        <w:rPr>
          <w:sz w:val="21"/>
        </w:rPr>
        <w:t>评标办法；</w:t>
      </w:r>
    </w:p>
    <w:p>
      <w:pPr>
        <w:pStyle w:val="ListParagraph"/>
        <w:numPr>
          <w:ilvl w:val="0"/>
          <w:numId w:val="15"/>
        </w:numPr>
        <w:tabs>
          <w:tab w:pos="753" w:val="left" w:leader="none"/>
        </w:tabs>
        <w:spacing w:line="240" w:lineRule="auto" w:before="46" w:after="0"/>
        <w:ind w:left="753" w:right="0" w:hanging="527"/>
        <w:jc w:val="left"/>
        <w:rPr>
          <w:sz w:val="21"/>
        </w:rPr>
      </w:pPr>
      <w:r>
        <w:rPr>
          <w:sz w:val="21"/>
        </w:rPr>
        <w:t>合同条款及格式；</w:t>
      </w:r>
    </w:p>
    <w:p>
      <w:pPr>
        <w:pStyle w:val="ListParagraph"/>
        <w:numPr>
          <w:ilvl w:val="0"/>
          <w:numId w:val="15"/>
        </w:numPr>
        <w:tabs>
          <w:tab w:pos="753" w:val="left" w:leader="none"/>
        </w:tabs>
        <w:spacing w:line="240" w:lineRule="auto" w:before="47" w:after="0"/>
        <w:ind w:left="753" w:right="0" w:hanging="527"/>
        <w:jc w:val="left"/>
        <w:rPr>
          <w:sz w:val="21"/>
        </w:rPr>
      </w:pPr>
      <w:r>
        <w:rPr>
          <w:sz w:val="21"/>
        </w:rPr>
        <w:t>工程量清单；</w:t>
      </w:r>
    </w:p>
    <w:p>
      <w:pPr>
        <w:pStyle w:val="ListParagraph"/>
        <w:numPr>
          <w:ilvl w:val="0"/>
          <w:numId w:val="15"/>
        </w:numPr>
        <w:tabs>
          <w:tab w:pos="753" w:val="left" w:leader="none"/>
        </w:tabs>
        <w:spacing w:line="240" w:lineRule="auto" w:before="46" w:after="0"/>
        <w:ind w:left="753" w:right="0" w:hanging="527"/>
        <w:jc w:val="left"/>
        <w:rPr>
          <w:sz w:val="21"/>
        </w:rPr>
      </w:pPr>
      <w:r>
        <w:rPr>
          <w:sz w:val="21"/>
        </w:rPr>
        <w:t>图纸；</w:t>
      </w:r>
    </w:p>
    <w:p>
      <w:pPr>
        <w:pStyle w:val="ListParagraph"/>
        <w:numPr>
          <w:ilvl w:val="0"/>
          <w:numId w:val="15"/>
        </w:numPr>
        <w:tabs>
          <w:tab w:pos="753" w:val="left" w:leader="none"/>
        </w:tabs>
        <w:spacing w:line="240" w:lineRule="auto" w:before="46" w:after="0"/>
        <w:ind w:left="753" w:right="0" w:hanging="527"/>
        <w:jc w:val="left"/>
        <w:rPr>
          <w:sz w:val="21"/>
        </w:rPr>
      </w:pPr>
      <w:r>
        <w:rPr>
          <w:sz w:val="21"/>
        </w:rPr>
        <w:t>技术标准和要求；</w:t>
      </w:r>
    </w:p>
    <w:p>
      <w:pPr>
        <w:pStyle w:val="ListParagraph"/>
        <w:numPr>
          <w:ilvl w:val="0"/>
          <w:numId w:val="15"/>
        </w:numPr>
        <w:tabs>
          <w:tab w:pos="753" w:val="left" w:leader="none"/>
        </w:tabs>
        <w:spacing w:line="240" w:lineRule="auto" w:before="31" w:after="0"/>
        <w:ind w:left="753" w:right="0" w:hanging="527"/>
        <w:jc w:val="left"/>
        <w:rPr>
          <w:sz w:val="21"/>
        </w:rPr>
      </w:pPr>
      <w:r>
        <w:rPr>
          <w:sz w:val="21"/>
        </w:rPr>
        <w:t>投标文件格式；</w:t>
      </w:r>
    </w:p>
    <w:p>
      <w:pPr>
        <w:pStyle w:val="ListParagraph"/>
        <w:numPr>
          <w:ilvl w:val="0"/>
          <w:numId w:val="15"/>
        </w:numPr>
        <w:tabs>
          <w:tab w:pos="753" w:val="left" w:leader="none"/>
        </w:tabs>
        <w:spacing w:line="240" w:lineRule="auto" w:before="47" w:after="0"/>
        <w:ind w:left="753" w:right="0" w:hanging="527"/>
        <w:jc w:val="left"/>
        <w:rPr>
          <w:sz w:val="21"/>
        </w:rPr>
      </w:pPr>
      <w:r>
        <w:rPr>
          <w:sz w:val="21"/>
        </w:rPr>
        <w:t>投标人须知前附表规定的其他材料。</w:t>
      </w:r>
    </w:p>
    <w:p>
      <w:pPr>
        <w:spacing w:before="46"/>
        <w:ind w:left="226" w:right="0" w:firstLine="0"/>
        <w:jc w:val="left"/>
        <w:rPr>
          <w:sz w:val="21"/>
        </w:rPr>
      </w:pPr>
      <w:r>
        <w:rPr>
          <w:sz w:val="21"/>
        </w:rPr>
        <w:t>根据本章第 </w:t>
      </w:r>
      <w:r>
        <w:rPr>
          <w:rFonts w:ascii="Calibri" w:eastAsia="Calibri"/>
          <w:sz w:val="21"/>
        </w:rPr>
        <w:t>1.10 </w:t>
      </w:r>
      <w:r>
        <w:rPr>
          <w:sz w:val="21"/>
        </w:rPr>
        <w:t>款、第 </w:t>
      </w:r>
      <w:r>
        <w:rPr>
          <w:rFonts w:ascii="Calibri" w:eastAsia="Calibri"/>
          <w:sz w:val="21"/>
        </w:rPr>
        <w:t>2.2 </w:t>
      </w:r>
      <w:r>
        <w:rPr>
          <w:sz w:val="21"/>
        </w:rPr>
        <w:t>款和第 </w:t>
      </w:r>
      <w:r>
        <w:rPr>
          <w:rFonts w:ascii="Calibri" w:eastAsia="Calibri"/>
          <w:sz w:val="21"/>
        </w:rPr>
        <w:t>2.3 </w:t>
      </w:r>
      <w:r>
        <w:rPr>
          <w:sz w:val="21"/>
        </w:rPr>
        <w:t>款对招标文件所作的澄清、修改，构成招标文件的组成部分。</w:t>
      </w:r>
    </w:p>
    <w:p>
      <w:pPr>
        <w:pStyle w:val="ListParagraph"/>
        <w:numPr>
          <w:ilvl w:val="1"/>
          <w:numId w:val="12"/>
        </w:numPr>
        <w:tabs>
          <w:tab w:pos="557" w:val="left" w:leader="none"/>
        </w:tabs>
        <w:spacing w:line="240" w:lineRule="auto" w:before="46" w:after="0"/>
        <w:ind w:left="557" w:right="0" w:hanging="331"/>
        <w:jc w:val="left"/>
        <w:rPr>
          <w:sz w:val="21"/>
        </w:rPr>
      </w:pPr>
      <w:r>
        <w:rPr>
          <w:sz w:val="21"/>
        </w:rPr>
        <w:t>招标文件的澄清</w:t>
      </w:r>
    </w:p>
    <w:p>
      <w:pPr>
        <w:pStyle w:val="ListParagraph"/>
        <w:numPr>
          <w:ilvl w:val="2"/>
          <w:numId w:val="12"/>
        </w:numPr>
        <w:tabs>
          <w:tab w:pos="723" w:val="left" w:leader="none"/>
        </w:tabs>
        <w:spacing w:line="266" w:lineRule="auto" w:before="46" w:after="0"/>
        <w:ind w:left="226" w:right="6617" w:firstLine="0"/>
        <w:jc w:val="left"/>
        <w:rPr>
          <w:sz w:val="21"/>
        </w:rPr>
      </w:pPr>
      <w:r>
        <w:rPr>
          <w:sz w:val="21"/>
        </w:rPr>
        <w:t>投标人要求澄清招标文件的截止时间</w:t>
      </w:r>
      <w:r>
        <w:rPr>
          <w:spacing w:val="-4"/>
          <w:sz w:val="21"/>
        </w:rPr>
        <w:t>详见投标人须知前附表第 </w:t>
      </w:r>
      <w:r>
        <w:rPr>
          <w:rFonts w:ascii="Calibri" w:eastAsia="Calibri"/>
          <w:sz w:val="21"/>
        </w:rPr>
        <w:t>2.2.1</w:t>
      </w:r>
      <w:r>
        <w:rPr>
          <w:rFonts w:ascii="Calibri" w:eastAsia="Calibri"/>
          <w:spacing w:val="13"/>
          <w:sz w:val="21"/>
        </w:rPr>
        <w:t> </w:t>
      </w:r>
      <w:r>
        <w:rPr>
          <w:sz w:val="21"/>
        </w:rPr>
        <w:t>项规定。</w:t>
      </w:r>
    </w:p>
    <w:p>
      <w:pPr>
        <w:pStyle w:val="ListParagraph"/>
        <w:numPr>
          <w:ilvl w:val="2"/>
          <w:numId w:val="12"/>
        </w:numPr>
        <w:tabs>
          <w:tab w:pos="723" w:val="left" w:leader="none"/>
        </w:tabs>
        <w:spacing w:line="280" w:lineRule="auto" w:before="18" w:after="0"/>
        <w:ind w:left="226" w:right="1318" w:firstLine="0"/>
        <w:jc w:val="both"/>
        <w:rPr>
          <w:sz w:val="21"/>
        </w:rPr>
      </w:pPr>
      <w:r>
        <w:rPr>
          <w:spacing w:val="-2"/>
          <w:sz w:val="21"/>
        </w:rPr>
        <w:t>招标文件的澄清将在投标人须知前附表规定的投标截止时间 </w:t>
      </w:r>
      <w:r>
        <w:rPr>
          <w:rFonts w:ascii="Calibri" w:eastAsia="Calibri"/>
          <w:spacing w:val="-9"/>
          <w:sz w:val="21"/>
        </w:rPr>
        <w:t>15</w:t>
      </w:r>
      <w:r>
        <w:rPr>
          <w:rFonts w:ascii="Calibri" w:eastAsia="Calibri"/>
          <w:spacing w:val="11"/>
          <w:sz w:val="21"/>
        </w:rPr>
        <w:t> </w:t>
      </w:r>
      <w:r>
        <w:rPr>
          <w:spacing w:val="-8"/>
          <w:sz w:val="21"/>
        </w:rPr>
        <w:t>天前，过《青海省电子招投标公</w:t>
      </w:r>
      <w:r>
        <w:rPr>
          <w:spacing w:val="-5"/>
          <w:sz w:val="21"/>
        </w:rPr>
        <w:t>共服务平台》电子招投标系统发给所有潜在投标人，但不指明澄清问题的来源。如果澄清发出的时</w:t>
      </w:r>
      <w:r>
        <w:rPr>
          <w:spacing w:val="-9"/>
          <w:sz w:val="21"/>
        </w:rPr>
        <w:t>间距投标截止时间不足 </w:t>
      </w:r>
      <w:r>
        <w:rPr>
          <w:rFonts w:ascii="Calibri" w:eastAsia="Calibri"/>
          <w:sz w:val="21"/>
        </w:rPr>
        <w:t>15</w:t>
      </w:r>
      <w:r>
        <w:rPr>
          <w:rFonts w:ascii="Calibri" w:eastAsia="Calibri"/>
          <w:spacing w:val="11"/>
          <w:sz w:val="21"/>
        </w:rPr>
        <w:t> </w:t>
      </w:r>
      <w:r>
        <w:rPr>
          <w:sz w:val="21"/>
        </w:rPr>
        <w:t>天，相应延长投标截止时间。</w:t>
      </w:r>
    </w:p>
    <w:p>
      <w:pPr>
        <w:pStyle w:val="ListParagraph"/>
        <w:numPr>
          <w:ilvl w:val="2"/>
          <w:numId w:val="12"/>
        </w:numPr>
        <w:tabs>
          <w:tab w:pos="723" w:val="left" w:leader="none"/>
        </w:tabs>
        <w:spacing w:line="240" w:lineRule="auto" w:before="2" w:after="0"/>
        <w:ind w:left="722" w:right="0" w:hanging="497"/>
        <w:jc w:val="both"/>
        <w:rPr>
          <w:sz w:val="21"/>
        </w:rPr>
      </w:pPr>
      <w:r>
        <w:rPr>
          <w:sz w:val="21"/>
        </w:rPr>
        <w:t>招标文件澄清发出的形式</w:t>
      </w:r>
    </w:p>
    <w:p>
      <w:pPr>
        <w:spacing w:before="31"/>
        <w:ind w:left="226" w:right="0" w:firstLine="0"/>
        <w:jc w:val="both"/>
        <w:rPr>
          <w:sz w:val="21"/>
        </w:rPr>
      </w:pPr>
      <w:r>
        <w:rPr>
          <w:sz w:val="21"/>
        </w:rPr>
        <w:t>详见投标人须知前附表第 </w:t>
      </w:r>
      <w:r>
        <w:rPr>
          <w:rFonts w:ascii="Calibri" w:eastAsia="Calibri"/>
          <w:sz w:val="21"/>
        </w:rPr>
        <w:t>2.2.2 </w:t>
      </w:r>
      <w:r>
        <w:rPr>
          <w:sz w:val="21"/>
        </w:rPr>
        <w:t>项规定。</w:t>
      </w:r>
    </w:p>
    <w:p>
      <w:pPr>
        <w:pStyle w:val="ListParagraph"/>
        <w:numPr>
          <w:ilvl w:val="2"/>
          <w:numId w:val="12"/>
        </w:numPr>
        <w:tabs>
          <w:tab w:pos="723" w:val="left" w:leader="none"/>
        </w:tabs>
        <w:spacing w:line="280" w:lineRule="auto" w:before="46" w:after="0"/>
        <w:ind w:left="226" w:right="6617" w:firstLine="0"/>
        <w:jc w:val="both"/>
        <w:rPr>
          <w:sz w:val="21"/>
        </w:rPr>
      </w:pPr>
      <w:r>
        <w:rPr>
          <w:sz w:val="21"/>
        </w:rPr>
        <w:t>投标人确认收到招标文件澄清的形式</w:t>
      </w:r>
      <w:r>
        <w:rPr>
          <w:spacing w:val="-4"/>
          <w:sz w:val="21"/>
        </w:rPr>
        <w:t>详见投标人须知前附表第 </w:t>
      </w:r>
      <w:r>
        <w:rPr>
          <w:rFonts w:ascii="Calibri" w:eastAsia="Calibri"/>
          <w:sz w:val="21"/>
        </w:rPr>
        <w:t>2.2.3</w:t>
      </w:r>
      <w:r>
        <w:rPr>
          <w:rFonts w:ascii="Calibri" w:eastAsia="Calibri"/>
          <w:spacing w:val="13"/>
          <w:sz w:val="21"/>
        </w:rPr>
        <w:t> </w:t>
      </w:r>
      <w:r>
        <w:rPr>
          <w:sz w:val="21"/>
        </w:rPr>
        <w:t>项规定。</w:t>
      </w:r>
    </w:p>
    <w:p>
      <w:pPr>
        <w:pStyle w:val="ListParagraph"/>
        <w:numPr>
          <w:ilvl w:val="1"/>
          <w:numId w:val="12"/>
        </w:numPr>
        <w:tabs>
          <w:tab w:pos="557" w:val="left" w:leader="none"/>
        </w:tabs>
        <w:spacing w:line="240" w:lineRule="auto" w:before="1" w:after="0"/>
        <w:ind w:left="557" w:right="0" w:hanging="331"/>
        <w:jc w:val="both"/>
        <w:rPr>
          <w:sz w:val="21"/>
        </w:rPr>
      </w:pPr>
      <w:r>
        <w:rPr>
          <w:sz w:val="21"/>
        </w:rPr>
        <w:t>招标文件的修改</w:t>
      </w:r>
    </w:p>
    <w:p>
      <w:pPr>
        <w:pStyle w:val="BodyText"/>
        <w:rPr>
          <w:sz w:val="20"/>
        </w:rPr>
      </w:pPr>
    </w:p>
    <w:p>
      <w:pPr>
        <w:pStyle w:val="BodyText"/>
        <w:rPr>
          <w:sz w:val="20"/>
        </w:rPr>
      </w:pPr>
    </w:p>
    <w:p>
      <w:pPr>
        <w:pStyle w:val="Heading7"/>
        <w:numPr>
          <w:ilvl w:val="0"/>
          <w:numId w:val="12"/>
        </w:numPr>
        <w:tabs>
          <w:tab w:pos="512" w:val="left" w:leader="none"/>
        </w:tabs>
        <w:spacing w:line="240" w:lineRule="auto" w:before="214" w:after="0"/>
        <w:ind w:left="512" w:right="0" w:hanging="286"/>
        <w:jc w:val="left"/>
        <w:rPr>
          <w:rFonts w:ascii="黑体" w:eastAsia="黑体" w:hint="eastAsia"/>
        </w:rPr>
      </w:pPr>
      <w:bookmarkStart w:name="3 投标文件" w:id="17"/>
      <w:bookmarkEnd w:id="17"/>
      <w:r>
        <w:rPr/>
      </w:r>
      <w:bookmarkStart w:name="_bookmark7" w:id="18"/>
      <w:bookmarkEnd w:id="18"/>
      <w:r>
        <w:rPr/>
      </w:r>
      <w:bookmarkStart w:name="_bookmark7" w:id="19"/>
      <w:bookmarkEnd w:id="19"/>
      <w:r>
        <w:rPr>
          <w:rFonts w:ascii="黑体" w:eastAsia="黑体" w:hint="eastAsia"/>
          <w:spacing w:val="7"/>
        </w:rPr>
        <w:t>投标文件</w:t>
      </w:r>
    </w:p>
    <w:p>
      <w:pPr>
        <w:pStyle w:val="BodyText"/>
        <w:spacing w:before="1"/>
        <w:rPr>
          <w:rFonts w:ascii="黑体"/>
          <w:sz w:val="27"/>
        </w:rPr>
      </w:pPr>
    </w:p>
    <w:p>
      <w:pPr>
        <w:pStyle w:val="ListParagraph"/>
        <w:numPr>
          <w:ilvl w:val="1"/>
          <w:numId w:val="12"/>
        </w:numPr>
        <w:tabs>
          <w:tab w:pos="557" w:val="left" w:leader="none"/>
        </w:tabs>
        <w:spacing w:line="240" w:lineRule="auto" w:before="71" w:after="0"/>
        <w:ind w:left="557" w:right="0" w:hanging="331"/>
        <w:jc w:val="left"/>
        <w:rPr>
          <w:sz w:val="21"/>
        </w:rPr>
      </w:pPr>
      <w:r>
        <w:rPr>
          <w:sz w:val="21"/>
        </w:rPr>
        <w:t>投标文件的组成</w:t>
      </w:r>
    </w:p>
    <w:p>
      <w:pPr>
        <w:pStyle w:val="ListParagraph"/>
        <w:numPr>
          <w:ilvl w:val="2"/>
          <w:numId w:val="12"/>
        </w:numPr>
        <w:tabs>
          <w:tab w:pos="933" w:val="left" w:leader="none"/>
        </w:tabs>
        <w:spacing w:line="240" w:lineRule="auto" w:before="31" w:after="0"/>
        <w:ind w:left="932" w:right="0" w:hanging="497"/>
        <w:jc w:val="left"/>
        <w:rPr>
          <w:sz w:val="21"/>
        </w:rPr>
      </w:pPr>
      <w:r>
        <w:rPr>
          <w:sz w:val="21"/>
        </w:rPr>
        <w:t>投标文件应包括下列内容：</w:t>
      </w:r>
    </w:p>
    <w:p>
      <w:pPr>
        <w:pStyle w:val="ListParagraph"/>
        <w:numPr>
          <w:ilvl w:val="0"/>
          <w:numId w:val="16"/>
        </w:numPr>
        <w:tabs>
          <w:tab w:pos="753" w:val="left" w:leader="none"/>
        </w:tabs>
        <w:spacing w:line="240" w:lineRule="auto" w:before="46" w:after="0"/>
        <w:ind w:left="753" w:right="0" w:hanging="527"/>
        <w:jc w:val="left"/>
        <w:rPr>
          <w:sz w:val="21"/>
        </w:rPr>
      </w:pPr>
      <w:r>
        <w:rPr>
          <w:sz w:val="21"/>
        </w:rPr>
        <w:t>投标函及投标函附录；</w:t>
      </w:r>
    </w:p>
    <w:p>
      <w:pPr>
        <w:pStyle w:val="ListParagraph"/>
        <w:numPr>
          <w:ilvl w:val="0"/>
          <w:numId w:val="16"/>
        </w:numPr>
        <w:tabs>
          <w:tab w:pos="753" w:val="left" w:leader="none"/>
        </w:tabs>
        <w:spacing w:line="240" w:lineRule="auto" w:before="46" w:after="0"/>
        <w:ind w:left="753" w:right="0" w:hanging="527"/>
        <w:jc w:val="left"/>
        <w:rPr>
          <w:sz w:val="21"/>
        </w:rPr>
      </w:pPr>
      <w:r>
        <w:rPr>
          <w:sz w:val="21"/>
        </w:rPr>
        <w:t>法定代表人身份证明或附有法定代表人身份证明的授权委托书；</w:t>
      </w:r>
    </w:p>
    <w:p>
      <w:pPr>
        <w:pStyle w:val="ListParagraph"/>
        <w:numPr>
          <w:ilvl w:val="0"/>
          <w:numId w:val="16"/>
        </w:numPr>
        <w:tabs>
          <w:tab w:pos="753" w:val="left" w:leader="none"/>
        </w:tabs>
        <w:spacing w:line="240" w:lineRule="auto" w:before="46" w:after="0"/>
        <w:ind w:left="753" w:right="0" w:hanging="527"/>
        <w:jc w:val="left"/>
        <w:rPr>
          <w:sz w:val="21"/>
        </w:rPr>
      </w:pPr>
      <w:r>
        <w:rPr>
          <w:sz w:val="21"/>
        </w:rPr>
        <w:t>联合体协议书；</w:t>
      </w:r>
    </w:p>
    <w:p>
      <w:pPr>
        <w:pStyle w:val="ListParagraph"/>
        <w:numPr>
          <w:ilvl w:val="0"/>
          <w:numId w:val="16"/>
        </w:numPr>
        <w:tabs>
          <w:tab w:pos="753" w:val="left" w:leader="none"/>
        </w:tabs>
        <w:spacing w:line="240" w:lineRule="auto" w:before="46" w:after="0"/>
        <w:ind w:left="753" w:right="0" w:hanging="527"/>
        <w:jc w:val="left"/>
        <w:rPr>
          <w:sz w:val="21"/>
        </w:rPr>
      </w:pPr>
      <w:r>
        <w:rPr>
          <w:sz w:val="21"/>
        </w:rPr>
        <w:t>投标保证金；</w:t>
      </w:r>
    </w:p>
    <w:p>
      <w:pPr>
        <w:pStyle w:val="ListParagraph"/>
        <w:numPr>
          <w:ilvl w:val="0"/>
          <w:numId w:val="16"/>
        </w:numPr>
        <w:tabs>
          <w:tab w:pos="753" w:val="left" w:leader="none"/>
        </w:tabs>
        <w:spacing w:line="240" w:lineRule="auto" w:before="32" w:after="0"/>
        <w:ind w:left="753" w:right="0" w:hanging="527"/>
        <w:jc w:val="left"/>
        <w:rPr>
          <w:sz w:val="21"/>
        </w:rPr>
      </w:pPr>
      <w:r>
        <w:rPr>
          <w:sz w:val="21"/>
        </w:rPr>
        <w:t>已标价工程量清单；</w:t>
      </w:r>
    </w:p>
    <w:p>
      <w:pPr>
        <w:pStyle w:val="ListParagraph"/>
        <w:numPr>
          <w:ilvl w:val="0"/>
          <w:numId w:val="16"/>
        </w:numPr>
        <w:tabs>
          <w:tab w:pos="753" w:val="left" w:leader="none"/>
        </w:tabs>
        <w:spacing w:line="240" w:lineRule="auto" w:before="46" w:after="0"/>
        <w:ind w:left="753" w:right="0" w:hanging="527"/>
        <w:jc w:val="left"/>
        <w:rPr>
          <w:sz w:val="21"/>
        </w:rPr>
      </w:pPr>
      <w:r>
        <w:rPr>
          <w:sz w:val="21"/>
        </w:rPr>
        <w:t>施工组织设计；</w:t>
      </w:r>
    </w:p>
    <w:p>
      <w:pPr>
        <w:pStyle w:val="ListParagraph"/>
        <w:numPr>
          <w:ilvl w:val="0"/>
          <w:numId w:val="16"/>
        </w:numPr>
        <w:tabs>
          <w:tab w:pos="753" w:val="left" w:leader="none"/>
        </w:tabs>
        <w:spacing w:line="240" w:lineRule="auto" w:before="46" w:after="0"/>
        <w:ind w:left="753" w:right="0" w:hanging="527"/>
        <w:jc w:val="left"/>
        <w:rPr>
          <w:sz w:val="21"/>
        </w:rPr>
      </w:pPr>
      <w:r>
        <w:rPr>
          <w:sz w:val="21"/>
        </w:rPr>
        <w:t>项目管理机构；</w:t>
      </w:r>
    </w:p>
    <w:p>
      <w:pPr>
        <w:pStyle w:val="ListParagraph"/>
        <w:numPr>
          <w:ilvl w:val="0"/>
          <w:numId w:val="16"/>
        </w:numPr>
        <w:tabs>
          <w:tab w:pos="753" w:val="left" w:leader="none"/>
        </w:tabs>
        <w:spacing w:line="240" w:lineRule="auto" w:before="47" w:after="0"/>
        <w:ind w:left="753" w:right="0" w:hanging="527"/>
        <w:jc w:val="left"/>
        <w:rPr>
          <w:sz w:val="21"/>
        </w:rPr>
      </w:pPr>
      <w:r>
        <w:rPr>
          <w:sz w:val="21"/>
        </w:rPr>
        <w:t>拟分包项目情况表；</w:t>
      </w:r>
    </w:p>
    <w:p>
      <w:pPr>
        <w:spacing w:after="0" w:line="240" w:lineRule="auto"/>
        <w:jc w:val="left"/>
        <w:rPr>
          <w:sz w:val="21"/>
        </w:rPr>
        <w:sectPr>
          <w:pgSz w:w="11910" w:h="16850"/>
          <w:pgMar w:header="911" w:footer="0" w:top="1380" w:bottom="280" w:left="1200" w:right="0"/>
        </w:sectPr>
      </w:pPr>
    </w:p>
    <w:p>
      <w:pPr>
        <w:pStyle w:val="ListParagraph"/>
        <w:numPr>
          <w:ilvl w:val="0"/>
          <w:numId w:val="16"/>
        </w:numPr>
        <w:tabs>
          <w:tab w:pos="753" w:val="left" w:leader="none"/>
        </w:tabs>
        <w:spacing w:line="240" w:lineRule="auto" w:before="60" w:after="0"/>
        <w:ind w:left="753" w:right="0" w:hanging="527"/>
        <w:jc w:val="left"/>
        <w:rPr>
          <w:sz w:val="21"/>
        </w:rPr>
      </w:pPr>
      <w:r>
        <w:rPr>
          <w:sz w:val="21"/>
        </w:rPr>
        <w:t>资格审查资料；</w:t>
      </w:r>
    </w:p>
    <w:p>
      <w:pPr>
        <w:pStyle w:val="ListParagraph"/>
        <w:numPr>
          <w:ilvl w:val="0"/>
          <w:numId w:val="16"/>
        </w:numPr>
        <w:tabs>
          <w:tab w:pos="859" w:val="left" w:leader="none"/>
        </w:tabs>
        <w:spacing w:line="240" w:lineRule="auto" w:before="31" w:after="0"/>
        <w:ind w:left="858" w:right="0" w:hanging="633"/>
        <w:jc w:val="left"/>
        <w:rPr>
          <w:sz w:val="21"/>
        </w:rPr>
      </w:pPr>
      <w:r>
        <w:rPr>
          <w:sz w:val="21"/>
        </w:rPr>
        <w:t>投标人须知前附表规定的其他材料。</w:t>
      </w:r>
    </w:p>
    <w:p>
      <w:pPr>
        <w:pStyle w:val="ListParagraph"/>
        <w:numPr>
          <w:ilvl w:val="2"/>
          <w:numId w:val="12"/>
        </w:numPr>
        <w:tabs>
          <w:tab w:pos="768" w:val="left" w:leader="none"/>
        </w:tabs>
        <w:spacing w:line="280" w:lineRule="auto" w:before="46" w:after="0"/>
        <w:ind w:left="226" w:right="1311" w:firstLine="0"/>
        <w:jc w:val="both"/>
        <w:rPr>
          <w:sz w:val="21"/>
        </w:rPr>
      </w:pPr>
      <w:r>
        <w:rPr>
          <w:sz w:val="21"/>
        </w:rPr>
        <w:t>投标人须知前附表规定不接受联合体投标的，或投标人没有组成联合体的，投标文件不包括本</w:t>
      </w:r>
      <w:r>
        <w:rPr>
          <w:spacing w:val="-15"/>
          <w:sz w:val="21"/>
        </w:rPr>
        <w:t>章第 </w:t>
      </w:r>
      <w:r>
        <w:rPr>
          <w:rFonts w:ascii="Calibri" w:eastAsia="Calibri"/>
          <w:sz w:val="21"/>
        </w:rPr>
        <w:t>3.1.1</w:t>
      </w:r>
      <w:r>
        <w:rPr>
          <w:sz w:val="21"/>
        </w:rPr>
        <w:t>（</w:t>
      </w:r>
      <w:r>
        <w:rPr>
          <w:rFonts w:ascii="Calibri" w:eastAsia="Calibri"/>
          <w:sz w:val="21"/>
        </w:rPr>
        <w:t>3</w:t>
      </w:r>
      <w:r>
        <w:rPr>
          <w:sz w:val="21"/>
        </w:rPr>
        <w:t>）目所指的联合体协议书。</w:t>
      </w:r>
    </w:p>
    <w:p>
      <w:pPr>
        <w:pStyle w:val="ListParagraph"/>
        <w:numPr>
          <w:ilvl w:val="1"/>
          <w:numId w:val="12"/>
        </w:numPr>
        <w:tabs>
          <w:tab w:pos="557" w:val="left" w:leader="none"/>
        </w:tabs>
        <w:spacing w:line="240" w:lineRule="auto" w:before="1" w:after="0"/>
        <w:ind w:left="557" w:right="0" w:hanging="331"/>
        <w:jc w:val="both"/>
        <w:rPr>
          <w:sz w:val="21"/>
        </w:rPr>
      </w:pPr>
      <w:r>
        <w:rPr>
          <w:sz w:val="21"/>
        </w:rPr>
        <w:t>投标报价</w:t>
      </w:r>
    </w:p>
    <w:p>
      <w:pPr>
        <w:pStyle w:val="ListParagraph"/>
        <w:numPr>
          <w:ilvl w:val="2"/>
          <w:numId w:val="12"/>
        </w:numPr>
        <w:tabs>
          <w:tab w:pos="723" w:val="left" w:leader="none"/>
        </w:tabs>
        <w:spacing w:line="240" w:lineRule="auto" w:before="47" w:after="0"/>
        <w:ind w:left="722" w:right="0" w:hanging="497"/>
        <w:jc w:val="both"/>
        <w:rPr>
          <w:sz w:val="21"/>
        </w:rPr>
      </w:pPr>
      <w:r>
        <w:rPr>
          <w:sz w:val="21"/>
        </w:rPr>
        <w:t>投标人应按第五章</w:t>
      </w:r>
      <w:r>
        <w:rPr>
          <w:rFonts w:ascii="Calibri" w:hAnsi="Calibri" w:eastAsia="Calibri"/>
          <w:sz w:val="21"/>
        </w:rPr>
        <w:t>“</w:t>
      </w:r>
      <w:r>
        <w:rPr>
          <w:sz w:val="21"/>
        </w:rPr>
        <w:t>工程量清单</w:t>
      </w:r>
      <w:r>
        <w:rPr>
          <w:rFonts w:ascii="Calibri" w:hAnsi="Calibri" w:eastAsia="Calibri"/>
          <w:sz w:val="21"/>
        </w:rPr>
        <w:t>”</w:t>
      </w:r>
      <w:r>
        <w:rPr>
          <w:sz w:val="21"/>
        </w:rPr>
        <w:t>的要求填写相应表格。</w:t>
      </w:r>
    </w:p>
    <w:p>
      <w:pPr>
        <w:pStyle w:val="ListParagraph"/>
        <w:numPr>
          <w:ilvl w:val="2"/>
          <w:numId w:val="12"/>
        </w:numPr>
        <w:tabs>
          <w:tab w:pos="768" w:val="left" w:leader="none"/>
        </w:tabs>
        <w:spacing w:line="280" w:lineRule="auto" w:before="31" w:after="0"/>
        <w:ind w:left="226" w:right="1348" w:firstLine="0"/>
        <w:jc w:val="both"/>
        <w:rPr>
          <w:sz w:val="21"/>
        </w:rPr>
      </w:pPr>
      <w:r>
        <w:rPr>
          <w:spacing w:val="-1"/>
          <w:sz w:val="21"/>
        </w:rPr>
        <w:t>投标人在投标截止时间前修改投标函中的投标总报价，应同时修改第五章</w:t>
      </w:r>
      <w:r>
        <w:rPr>
          <w:rFonts w:ascii="Calibri" w:hAnsi="Calibri" w:eastAsia="Calibri"/>
          <w:sz w:val="21"/>
        </w:rPr>
        <w:t>“</w:t>
      </w:r>
      <w:r>
        <w:rPr>
          <w:sz w:val="21"/>
        </w:rPr>
        <w:t>工程量清单</w:t>
      </w:r>
      <w:r>
        <w:rPr>
          <w:rFonts w:ascii="Calibri" w:hAnsi="Calibri" w:eastAsia="Calibri"/>
          <w:sz w:val="21"/>
        </w:rPr>
        <w:t>”</w:t>
      </w:r>
      <w:r>
        <w:rPr>
          <w:sz w:val="21"/>
        </w:rPr>
        <w:t>中的相</w:t>
      </w:r>
      <w:r>
        <w:rPr>
          <w:spacing w:val="-4"/>
          <w:sz w:val="21"/>
        </w:rPr>
        <w:t>应报价。此修改须符合本章第 </w:t>
      </w:r>
      <w:r>
        <w:rPr>
          <w:rFonts w:ascii="Calibri" w:hAnsi="Calibri" w:eastAsia="Calibri"/>
          <w:sz w:val="21"/>
        </w:rPr>
        <w:t>4.3</w:t>
      </w:r>
      <w:r>
        <w:rPr>
          <w:rFonts w:ascii="Calibri" w:hAnsi="Calibri" w:eastAsia="Calibri"/>
          <w:spacing w:val="11"/>
          <w:sz w:val="21"/>
        </w:rPr>
        <w:t> </w:t>
      </w:r>
      <w:r>
        <w:rPr>
          <w:sz w:val="21"/>
        </w:rPr>
        <w:t>款的有关要求。</w:t>
      </w:r>
    </w:p>
    <w:p>
      <w:pPr>
        <w:pStyle w:val="ListParagraph"/>
        <w:numPr>
          <w:ilvl w:val="1"/>
          <w:numId w:val="12"/>
        </w:numPr>
        <w:tabs>
          <w:tab w:pos="557" w:val="left" w:leader="none"/>
        </w:tabs>
        <w:spacing w:line="240" w:lineRule="auto" w:before="1" w:after="0"/>
        <w:ind w:left="557" w:right="0" w:hanging="331"/>
        <w:jc w:val="both"/>
        <w:rPr>
          <w:sz w:val="21"/>
        </w:rPr>
      </w:pPr>
      <w:r>
        <w:rPr/>
        <w:pict>
          <v:group style="position:absolute;margin-left:71.349998pt;margin-top:8.360486pt;width:456.6pt;height:442.85pt;mso-position-horizontal-relative:page;mso-position-vertical-relative:paragraph;z-index:-268628992" coordorigin="1427,167" coordsize="9132,8857">
            <v:shape style="position:absolute;left:1563;top:167;width:8786;height:8653" type="#_x0000_t75" stroked="false">
              <v:imagedata r:id="rId6" o:title=""/>
            </v:shape>
            <v:shape style="position:absolute;left:1427;top:301;width:9132;height:8724" coordorigin="1427,301" coordsize="9132,8724" path="m4055,5916l1427,5916,1427,6217,4055,6217,4055,5916m4161,8724l1427,8724,1427,9024,4161,9024,4161,8724m4581,6862l1427,6862,1427,7147,4581,7147,4581,6862m5632,4670l1427,4670,1427,4971,5632,4971,5632,4670m7104,7478l1427,7478,1427,7778,7104,7778,7104,7478m7420,8108l1427,8108,1427,8409,7420,8409,7420,8108m8245,2478l1427,2478,1427,2779,8245,2779,8245,2478m9207,2794l1427,2794,1427,3094,9207,3094,9207,2794m9702,301l1427,301,1427,602,9702,602,9702,301m10048,4355l1427,4355,1427,4655,10048,4655,10048,4355m10138,3109l1427,3109,1427,3409,10138,3409,10138,3109m10558,8424l1427,8424,1427,8709,10558,8709,10558,8424m10558,7793l1427,7793,1427,8093,10558,8093,10558,7793m10558,7162l1427,7162,1427,7463,10558,7463,10558,7162m10558,6547l1427,6547,1427,6847,10558,6847,10558,6547m10558,5601l1427,5601,1427,5901,10558,5901,10558,5601m10558,5301l1427,5301,1427,5586,10558,5586,10558,5301m10558,4986l1427,4986,1427,5286,10558,5286,10558,4986m10558,4040l1427,4040,1427,4340,10558,4340,10558,4040m10558,3739l1427,3739,1427,4025,10558,4025,10558,3739m10558,2178l1427,2178,1427,2463,10558,2463,10558,2178m10558,1232l1427,1232,1427,1533,10558,1533,10558,1232m10558,917l1427,917,1427,1217,10558,1217,10558,917m10558,617l1427,617,1427,902,10558,902,10558,617e" filled="true" fillcolor="#ffffff" stroked="false">
              <v:path arrowok="t"/>
              <v:fill type="solid"/>
            </v:shape>
            <w10:wrap type="none"/>
          </v:group>
        </w:pict>
      </w:r>
      <w:r>
        <w:rPr>
          <w:sz w:val="21"/>
        </w:rPr>
        <w:t>投标有效期</w:t>
      </w:r>
    </w:p>
    <w:p>
      <w:pPr>
        <w:pStyle w:val="ListParagraph"/>
        <w:numPr>
          <w:ilvl w:val="2"/>
          <w:numId w:val="12"/>
        </w:numPr>
        <w:tabs>
          <w:tab w:pos="723" w:val="left" w:leader="none"/>
        </w:tabs>
        <w:spacing w:line="240" w:lineRule="auto" w:before="46" w:after="0"/>
        <w:ind w:left="722" w:right="0" w:hanging="497"/>
        <w:jc w:val="both"/>
        <w:rPr>
          <w:sz w:val="21"/>
        </w:rPr>
      </w:pPr>
      <w:r>
        <w:rPr>
          <w:spacing w:val="-1"/>
          <w:sz w:val="21"/>
        </w:rPr>
        <w:t>在投标人须知前附表规定的投标有效期内，投标人不得要求撤销或修改其投标文件。</w:t>
      </w:r>
    </w:p>
    <w:p>
      <w:pPr>
        <w:pStyle w:val="ListParagraph"/>
        <w:numPr>
          <w:ilvl w:val="2"/>
          <w:numId w:val="12"/>
        </w:numPr>
        <w:tabs>
          <w:tab w:pos="753" w:val="left" w:leader="none"/>
        </w:tabs>
        <w:spacing w:line="276" w:lineRule="auto" w:before="46" w:after="0"/>
        <w:ind w:left="226" w:right="1326" w:firstLine="0"/>
        <w:jc w:val="both"/>
        <w:rPr>
          <w:sz w:val="21"/>
        </w:rPr>
      </w:pPr>
      <w:r>
        <w:rPr>
          <w:sz w:val="21"/>
        </w:rPr>
        <w:t>出现特殊特殊情况需要延长投标有效期的，招标人通过《青海省电子招投标公共服务平台》电子招投标系统告知投标人，所有投标人延长投标有效期。投标人同意延长的，应相应延长其投标保证金的有效期，但不得要求或被允许修改或撤销其投标文件；投标人拒绝延长的，其投标失效，但投标人有权收回其投标保证金。</w:t>
      </w:r>
    </w:p>
    <w:p>
      <w:pPr>
        <w:pStyle w:val="ListParagraph"/>
        <w:numPr>
          <w:ilvl w:val="1"/>
          <w:numId w:val="12"/>
        </w:numPr>
        <w:tabs>
          <w:tab w:pos="557" w:val="left" w:leader="none"/>
        </w:tabs>
        <w:spacing w:line="240" w:lineRule="auto" w:before="9" w:after="0"/>
        <w:ind w:left="557" w:right="0" w:hanging="331"/>
        <w:jc w:val="both"/>
        <w:rPr>
          <w:sz w:val="21"/>
        </w:rPr>
      </w:pPr>
      <w:r>
        <w:rPr>
          <w:sz w:val="21"/>
        </w:rPr>
        <w:t>投标保证金</w:t>
      </w:r>
    </w:p>
    <w:p>
      <w:pPr>
        <w:pStyle w:val="ListParagraph"/>
        <w:numPr>
          <w:ilvl w:val="2"/>
          <w:numId w:val="12"/>
        </w:numPr>
        <w:tabs>
          <w:tab w:pos="723" w:val="left" w:leader="none"/>
        </w:tabs>
        <w:spacing w:line="268" w:lineRule="auto" w:before="46" w:after="0"/>
        <w:ind w:left="226" w:right="1333" w:firstLine="0"/>
        <w:jc w:val="both"/>
        <w:rPr>
          <w:sz w:val="21"/>
        </w:rPr>
      </w:pPr>
      <w:r>
        <w:rPr>
          <w:spacing w:val="-5"/>
          <w:sz w:val="21"/>
        </w:rPr>
        <w:t>投标人在参加投标的同时，应按投标人须知前附表规定的金额、担保形式和第八章</w:t>
      </w:r>
      <w:r>
        <w:rPr>
          <w:rFonts w:ascii="Calibri" w:hAnsi="Calibri" w:eastAsia="Calibri"/>
          <w:sz w:val="21"/>
        </w:rPr>
        <w:t>“</w:t>
      </w:r>
      <w:r>
        <w:rPr>
          <w:sz w:val="21"/>
        </w:rPr>
        <w:t>投标文件格式</w:t>
      </w:r>
      <w:r>
        <w:rPr>
          <w:rFonts w:ascii="Calibri" w:hAnsi="Calibri" w:eastAsia="Calibri"/>
          <w:sz w:val="21"/>
        </w:rPr>
        <w:t>”</w:t>
      </w:r>
      <w:r>
        <w:rPr>
          <w:sz w:val="21"/>
        </w:rPr>
        <w:t>规定的投标保证金格式递交投标保证金并作为其投标文件的组成部分。</w:t>
      </w:r>
    </w:p>
    <w:p>
      <w:pPr>
        <w:pStyle w:val="ListParagraph"/>
        <w:numPr>
          <w:ilvl w:val="2"/>
          <w:numId w:val="12"/>
        </w:numPr>
        <w:tabs>
          <w:tab w:pos="723" w:val="left" w:leader="none"/>
        </w:tabs>
        <w:spacing w:line="240" w:lineRule="auto" w:before="13" w:after="0"/>
        <w:ind w:left="722" w:right="0" w:hanging="497"/>
        <w:jc w:val="left"/>
        <w:rPr>
          <w:sz w:val="21"/>
        </w:rPr>
      </w:pPr>
      <w:r>
        <w:rPr>
          <w:spacing w:val="-6"/>
          <w:sz w:val="21"/>
        </w:rPr>
        <w:t>投标人不按本章第 </w:t>
      </w:r>
      <w:r>
        <w:rPr>
          <w:rFonts w:ascii="Calibri" w:eastAsia="Calibri"/>
          <w:sz w:val="21"/>
        </w:rPr>
        <w:t>3.4.1</w:t>
      </w:r>
      <w:r>
        <w:rPr>
          <w:rFonts w:ascii="Calibri" w:eastAsia="Calibri"/>
          <w:spacing w:val="12"/>
          <w:sz w:val="21"/>
        </w:rPr>
        <w:t> </w:t>
      </w:r>
      <w:r>
        <w:rPr>
          <w:sz w:val="21"/>
        </w:rPr>
        <w:t>项要求提交投标保证金的，其投标文件按无效标处理。</w:t>
      </w:r>
    </w:p>
    <w:p>
      <w:pPr>
        <w:pStyle w:val="ListParagraph"/>
        <w:numPr>
          <w:ilvl w:val="2"/>
          <w:numId w:val="12"/>
        </w:numPr>
        <w:tabs>
          <w:tab w:pos="723" w:val="left" w:leader="none"/>
        </w:tabs>
        <w:spacing w:line="240" w:lineRule="auto" w:before="46" w:after="0"/>
        <w:ind w:left="722" w:right="0" w:hanging="497"/>
        <w:jc w:val="left"/>
        <w:rPr>
          <w:sz w:val="21"/>
        </w:rPr>
      </w:pPr>
      <w:r>
        <w:rPr>
          <w:spacing w:val="-4"/>
          <w:sz w:val="21"/>
        </w:rPr>
        <w:t>招标人与中标人签订合同后 </w:t>
      </w:r>
      <w:r>
        <w:rPr>
          <w:rFonts w:ascii="Calibri" w:eastAsia="Calibri"/>
          <w:sz w:val="21"/>
        </w:rPr>
        <w:t>5</w:t>
      </w:r>
      <w:r>
        <w:rPr>
          <w:rFonts w:ascii="Calibri" w:eastAsia="Calibri"/>
          <w:spacing w:val="11"/>
          <w:sz w:val="21"/>
        </w:rPr>
        <w:t> </w:t>
      </w:r>
      <w:r>
        <w:rPr>
          <w:sz w:val="21"/>
        </w:rPr>
        <w:t>个工作日内，向未中标的投标人和中标人退还投标保证金。</w:t>
      </w:r>
    </w:p>
    <w:p>
      <w:pPr>
        <w:pStyle w:val="ListParagraph"/>
        <w:numPr>
          <w:ilvl w:val="2"/>
          <w:numId w:val="12"/>
        </w:numPr>
        <w:tabs>
          <w:tab w:pos="723" w:val="left" w:leader="none"/>
        </w:tabs>
        <w:spacing w:line="240" w:lineRule="auto" w:before="46" w:after="0"/>
        <w:ind w:left="722" w:right="0" w:hanging="497"/>
        <w:jc w:val="left"/>
        <w:rPr>
          <w:sz w:val="21"/>
        </w:rPr>
      </w:pPr>
      <w:r>
        <w:rPr>
          <w:sz w:val="21"/>
        </w:rPr>
        <w:t>有下列情形之一的，投标保证金将不予退还：</w:t>
      </w:r>
    </w:p>
    <w:p>
      <w:pPr>
        <w:pStyle w:val="ListParagraph"/>
        <w:numPr>
          <w:ilvl w:val="0"/>
          <w:numId w:val="17"/>
        </w:numPr>
        <w:tabs>
          <w:tab w:pos="753" w:val="left" w:leader="none"/>
        </w:tabs>
        <w:spacing w:line="240" w:lineRule="auto" w:before="46" w:after="0"/>
        <w:ind w:left="753" w:right="0" w:hanging="527"/>
        <w:jc w:val="left"/>
        <w:rPr>
          <w:sz w:val="21"/>
        </w:rPr>
      </w:pPr>
      <w:r>
        <w:rPr>
          <w:sz w:val="21"/>
        </w:rPr>
        <w:t>在提交投标文件截止时间后到招标文件规定的投标有效期终止之前，投标人撤销投标文件的；</w:t>
      </w:r>
    </w:p>
    <w:p>
      <w:pPr>
        <w:pStyle w:val="ListParagraph"/>
        <w:numPr>
          <w:ilvl w:val="0"/>
          <w:numId w:val="17"/>
        </w:numPr>
        <w:tabs>
          <w:tab w:pos="753" w:val="left" w:leader="none"/>
        </w:tabs>
        <w:spacing w:line="280" w:lineRule="auto" w:before="31" w:after="0"/>
        <w:ind w:left="226" w:right="1326" w:firstLine="0"/>
        <w:jc w:val="left"/>
        <w:rPr>
          <w:sz w:val="21"/>
        </w:rPr>
      </w:pPr>
      <w:r>
        <w:rPr>
          <w:sz w:val="21"/>
        </w:rPr>
        <w:t>中标通知书发出后，中标人放弃中标项目的，无正当理由不与招标人签订合同的，在签订合同时向招标人提出附加条件或者更改合同实质性内容的，或者拒不提交所要求的履约保证金的；</w:t>
      </w:r>
    </w:p>
    <w:p>
      <w:pPr>
        <w:pStyle w:val="ListParagraph"/>
        <w:numPr>
          <w:ilvl w:val="1"/>
          <w:numId w:val="12"/>
        </w:numPr>
        <w:tabs>
          <w:tab w:pos="557" w:val="left" w:leader="none"/>
        </w:tabs>
        <w:spacing w:line="240" w:lineRule="auto" w:before="1" w:after="0"/>
        <w:ind w:left="557" w:right="0" w:hanging="331"/>
        <w:jc w:val="left"/>
        <w:rPr>
          <w:sz w:val="21"/>
        </w:rPr>
      </w:pPr>
      <w:r>
        <w:rPr>
          <w:sz w:val="21"/>
        </w:rPr>
        <w:t>资格审查资料（适用于已进行资格预审）</w:t>
      </w:r>
    </w:p>
    <w:p>
      <w:pPr>
        <w:spacing w:line="276" w:lineRule="auto" w:before="47"/>
        <w:ind w:left="226" w:right="1341" w:firstLine="0"/>
        <w:jc w:val="both"/>
        <w:rPr>
          <w:sz w:val="21"/>
        </w:rPr>
      </w:pPr>
      <w:r>
        <w:rPr>
          <w:sz w:val="21"/>
        </w:rPr>
        <w:t>投标人在编制投标文件时，如果投标人在资质条件、组织机构、财务能力、信誉等资格条件与资格预审时提交的资格预审申请文件相比发生变化的，应按新情况更新或补充其在申请资格预审申请文件中提供的资料，以证实其各项资格条件仍能继续满足资格预审文件的要求，具备承担本标段施工的资质条件、能力和信誉。</w:t>
      </w:r>
    </w:p>
    <w:p>
      <w:pPr>
        <w:pStyle w:val="ListParagraph"/>
        <w:numPr>
          <w:ilvl w:val="1"/>
          <w:numId w:val="18"/>
        </w:numPr>
        <w:tabs>
          <w:tab w:pos="557" w:val="left" w:leader="none"/>
        </w:tabs>
        <w:spacing w:line="240" w:lineRule="auto" w:before="8" w:after="0"/>
        <w:ind w:left="557" w:right="0" w:hanging="331"/>
        <w:jc w:val="both"/>
        <w:rPr>
          <w:sz w:val="21"/>
        </w:rPr>
      </w:pPr>
      <w:r>
        <w:rPr>
          <w:sz w:val="21"/>
        </w:rPr>
        <w:t>资格审查资料</w:t>
      </w:r>
    </w:p>
    <w:p>
      <w:pPr>
        <w:pStyle w:val="ListParagraph"/>
        <w:numPr>
          <w:ilvl w:val="2"/>
          <w:numId w:val="18"/>
        </w:numPr>
        <w:tabs>
          <w:tab w:pos="665" w:val="left" w:leader="none"/>
        </w:tabs>
        <w:spacing w:line="280" w:lineRule="auto" w:before="46" w:after="0"/>
        <w:ind w:left="226" w:right="1331" w:firstLine="0"/>
        <w:jc w:val="left"/>
        <w:rPr>
          <w:sz w:val="21"/>
        </w:rPr>
      </w:pPr>
      <w:r>
        <w:rPr>
          <w:rFonts w:ascii="Calibri" w:hAnsi="Calibri" w:eastAsia="Calibri"/>
          <w:sz w:val="21"/>
        </w:rPr>
        <w:t>“</w:t>
      </w:r>
      <w:r>
        <w:rPr>
          <w:sz w:val="21"/>
        </w:rPr>
        <w:t>投标人基本情况表</w:t>
      </w:r>
      <w:r>
        <w:rPr>
          <w:rFonts w:ascii="Calibri" w:hAnsi="Calibri" w:eastAsia="Calibri"/>
          <w:sz w:val="21"/>
        </w:rPr>
        <w:t>”</w:t>
      </w:r>
      <w:r>
        <w:rPr>
          <w:spacing w:val="-5"/>
          <w:sz w:val="21"/>
        </w:rPr>
        <w:t>应附投标人统一社会信用代码证书及其年检合格的证明材料、资质证书和安全生产许可证等材料的电子文件。</w:t>
      </w:r>
    </w:p>
    <w:p>
      <w:pPr>
        <w:pStyle w:val="ListParagraph"/>
        <w:numPr>
          <w:ilvl w:val="2"/>
          <w:numId w:val="18"/>
        </w:numPr>
        <w:tabs>
          <w:tab w:pos="665" w:val="left" w:leader="none"/>
        </w:tabs>
        <w:spacing w:line="255" w:lineRule="exact" w:before="0" w:after="0"/>
        <w:ind w:left="664" w:right="0" w:hanging="439"/>
        <w:jc w:val="left"/>
        <w:rPr>
          <w:sz w:val="21"/>
        </w:rPr>
      </w:pPr>
      <w:r>
        <w:rPr>
          <w:rFonts w:ascii="Calibri" w:hAnsi="Calibri" w:eastAsia="Calibri"/>
          <w:sz w:val="21"/>
        </w:rPr>
        <w:t>“</w:t>
      </w:r>
      <w:r>
        <w:rPr>
          <w:spacing w:val="-30"/>
          <w:sz w:val="21"/>
        </w:rPr>
        <w:t>近 </w:t>
      </w:r>
      <w:r>
        <w:rPr>
          <w:rFonts w:ascii="Calibri" w:hAnsi="Calibri" w:eastAsia="Calibri"/>
          <w:sz w:val="21"/>
        </w:rPr>
        <w:t>3</w:t>
      </w:r>
      <w:r>
        <w:rPr>
          <w:rFonts w:ascii="Calibri" w:hAnsi="Calibri" w:eastAsia="Calibri"/>
          <w:spacing w:val="11"/>
          <w:sz w:val="21"/>
        </w:rPr>
        <w:t> </w:t>
      </w:r>
      <w:r>
        <w:rPr>
          <w:sz w:val="21"/>
        </w:rPr>
        <w:t>年财务状况</w:t>
      </w:r>
      <w:r>
        <w:rPr>
          <w:rFonts w:ascii="Calibri" w:hAnsi="Calibri" w:eastAsia="Calibri"/>
          <w:sz w:val="21"/>
        </w:rPr>
        <w:t>”</w:t>
      </w:r>
      <w:r>
        <w:rPr>
          <w:spacing w:val="-5"/>
          <w:sz w:val="21"/>
        </w:rPr>
        <w:t>应附流动资金来源证明及经会计师事务所或审计的财务会计报表，包括资产负</w:t>
      </w:r>
    </w:p>
    <w:p>
      <w:pPr>
        <w:spacing w:before="46"/>
        <w:ind w:left="226" w:right="0" w:firstLine="0"/>
        <w:jc w:val="left"/>
        <w:rPr>
          <w:sz w:val="21"/>
        </w:rPr>
      </w:pPr>
      <w:r>
        <w:rPr>
          <w:sz w:val="21"/>
        </w:rPr>
        <w:t>债表、现金流量表、利润表和财务情况说明书的的电子文件。</w:t>
      </w:r>
    </w:p>
    <w:p>
      <w:pPr>
        <w:pStyle w:val="ListParagraph"/>
        <w:numPr>
          <w:ilvl w:val="2"/>
          <w:numId w:val="18"/>
        </w:numPr>
        <w:tabs>
          <w:tab w:pos="665" w:val="left" w:leader="none"/>
        </w:tabs>
        <w:spacing w:line="280" w:lineRule="auto" w:before="47" w:after="0"/>
        <w:ind w:left="226" w:right="1328" w:firstLine="0"/>
        <w:jc w:val="left"/>
        <w:rPr>
          <w:sz w:val="21"/>
        </w:rPr>
      </w:pPr>
      <w:r>
        <w:rPr>
          <w:rFonts w:ascii="Calibri" w:hAnsi="Calibri" w:eastAsia="Calibri"/>
          <w:sz w:val="21"/>
        </w:rPr>
        <w:t>“</w:t>
      </w:r>
      <w:r>
        <w:rPr>
          <w:spacing w:val="-1"/>
          <w:sz w:val="21"/>
        </w:rPr>
        <w:t>近年完成的类似项目情况表</w:t>
      </w:r>
      <w:r>
        <w:rPr>
          <w:rFonts w:ascii="Calibri" w:hAnsi="Calibri" w:eastAsia="Calibri"/>
          <w:sz w:val="21"/>
        </w:rPr>
        <w:t>”</w:t>
      </w:r>
      <w:r>
        <w:rPr>
          <w:spacing w:val="-8"/>
          <w:sz w:val="21"/>
        </w:rPr>
        <w:t>应附中标通知书、合同协议书或合同工程完工证书</w:t>
      </w:r>
      <w:r>
        <w:rPr>
          <w:sz w:val="21"/>
        </w:rPr>
        <w:t>（工程竣工证书副本）</w:t>
      </w:r>
      <w:r>
        <w:rPr>
          <w:spacing w:val="-11"/>
          <w:sz w:val="21"/>
        </w:rPr>
        <w:t>的的电子文件。。每张表格只填写一个项目，并标明序号。</w:t>
      </w:r>
    </w:p>
    <w:p>
      <w:pPr>
        <w:pStyle w:val="ListParagraph"/>
        <w:numPr>
          <w:ilvl w:val="2"/>
          <w:numId w:val="18"/>
        </w:numPr>
        <w:tabs>
          <w:tab w:pos="665" w:val="left" w:leader="none"/>
        </w:tabs>
        <w:spacing w:line="268" w:lineRule="auto" w:before="1" w:after="0"/>
        <w:ind w:left="226" w:right="1329" w:firstLine="0"/>
        <w:jc w:val="left"/>
        <w:rPr>
          <w:sz w:val="21"/>
        </w:rPr>
      </w:pPr>
      <w:r>
        <w:rPr>
          <w:rFonts w:ascii="Calibri" w:hAnsi="Calibri" w:eastAsia="Calibri"/>
          <w:sz w:val="21"/>
        </w:rPr>
        <w:t>“</w:t>
      </w:r>
      <w:r>
        <w:rPr>
          <w:spacing w:val="-1"/>
          <w:sz w:val="21"/>
        </w:rPr>
        <w:t>正在施工和新承接的项目情况表</w:t>
      </w:r>
      <w:r>
        <w:rPr>
          <w:rFonts w:ascii="Calibri" w:hAnsi="Calibri" w:eastAsia="Calibri"/>
          <w:sz w:val="21"/>
        </w:rPr>
        <w:t>”</w:t>
      </w:r>
      <w:r>
        <w:rPr>
          <w:spacing w:val="-4"/>
          <w:sz w:val="21"/>
        </w:rPr>
        <w:t>应附中标通知书和</w:t>
      </w:r>
      <w:r>
        <w:rPr>
          <w:sz w:val="21"/>
        </w:rPr>
        <w:t>（或</w:t>
      </w:r>
      <w:r>
        <w:rPr>
          <w:spacing w:val="-30"/>
          <w:sz w:val="21"/>
        </w:rPr>
        <w:t>）</w:t>
      </w:r>
      <w:r>
        <w:rPr>
          <w:spacing w:val="-3"/>
          <w:sz w:val="21"/>
        </w:rPr>
        <w:t>合同协议书的电子文件。每张表格只填写一个项目，并标明序号。</w:t>
      </w:r>
    </w:p>
    <w:p>
      <w:pPr>
        <w:pStyle w:val="ListParagraph"/>
        <w:numPr>
          <w:ilvl w:val="2"/>
          <w:numId w:val="18"/>
        </w:numPr>
        <w:tabs>
          <w:tab w:pos="665" w:val="left" w:leader="none"/>
        </w:tabs>
        <w:spacing w:line="280" w:lineRule="auto" w:before="12" w:after="0"/>
        <w:ind w:left="226" w:right="1329" w:firstLine="0"/>
        <w:jc w:val="left"/>
        <w:rPr>
          <w:sz w:val="21"/>
        </w:rPr>
      </w:pPr>
      <w:r>
        <w:rPr>
          <w:rFonts w:ascii="Calibri" w:hAnsi="Calibri" w:eastAsia="Calibri"/>
          <w:sz w:val="21"/>
        </w:rPr>
        <w:t>“</w:t>
      </w:r>
      <w:r>
        <w:rPr>
          <w:spacing w:val="-30"/>
          <w:sz w:val="21"/>
        </w:rPr>
        <w:t>近 </w:t>
      </w:r>
      <w:r>
        <w:rPr>
          <w:rFonts w:ascii="Calibri" w:hAnsi="Calibri" w:eastAsia="Calibri"/>
          <w:sz w:val="21"/>
        </w:rPr>
        <w:t>3</w:t>
      </w:r>
      <w:r>
        <w:rPr>
          <w:rFonts w:ascii="Calibri" w:hAnsi="Calibri" w:eastAsia="Calibri"/>
          <w:spacing w:val="13"/>
          <w:sz w:val="21"/>
        </w:rPr>
        <w:t> </w:t>
      </w:r>
      <w:r>
        <w:rPr>
          <w:spacing w:val="-1"/>
          <w:sz w:val="21"/>
        </w:rPr>
        <w:t>年发生的诉讼及仲裁情况表</w:t>
      </w:r>
      <w:r>
        <w:rPr>
          <w:rFonts w:ascii="Calibri" w:hAnsi="Calibri" w:eastAsia="Calibri"/>
          <w:sz w:val="21"/>
        </w:rPr>
        <w:t>”</w:t>
      </w:r>
      <w:r>
        <w:rPr>
          <w:spacing w:val="-8"/>
          <w:sz w:val="21"/>
        </w:rPr>
        <w:t>应说明相关情况，并附法院或仲裁机构作出的判断、裁决等有关法律文书的电子文件。</w:t>
      </w:r>
    </w:p>
    <w:p>
      <w:pPr>
        <w:pStyle w:val="ListParagraph"/>
        <w:numPr>
          <w:ilvl w:val="1"/>
          <w:numId w:val="18"/>
        </w:numPr>
        <w:tabs>
          <w:tab w:pos="557" w:val="left" w:leader="none"/>
        </w:tabs>
        <w:spacing w:line="240" w:lineRule="auto" w:before="1" w:after="0"/>
        <w:ind w:left="557" w:right="0" w:hanging="331"/>
        <w:jc w:val="left"/>
        <w:rPr>
          <w:sz w:val="21"/>
        </w:rPr>
      </w:pPr>
      <w:r>
        <w:rPr>
          <w:sz w:val="21"/>
        </w:rPr>
        <w:t>备选投标方案</w:t>
      </w:r>
    </w:p>
    <w:p>
      <w:pPr>
        <w:spacing w:line="273" w:lineRule="auto" w:before="47"/>
        <w:ind w:left="226" w:right="1341" w:firstLine="0"/>
        <w:jc w:val="both"/>
        <w:rPr>
          <w:sz w:val="21"/>
        </w:rPr>
      </w:pPr>
      <w:r>
        <w:rPr>
          <w:sz w:val="21"/>
        </w:rPr>
        <w:t>投标人可以递交备选投标方案，只有中标人所递交的备选投标方案方可予以考虑。评标委员会认为中标人递交的备选投标方案优于其按照招标文件要求编制的投标方案时，招标人可以接受该备选投标方案。</w:t>
      </w:r>
    </w:p>
    <w:p>
      <w:pPr>
        <w:pStyle w:val="ListParagraph"/>
        <w:numPr>
          <w:ilvl w:val="1"/>
          <w:numId w:val="18"/>
        </w:numPr>
        <w:tabs>
          <w:tab w:pos="557" w:val="left" w:leader="none"/>
        </w:tabs>
        <w:spacing w:line="240" w:lineRule="auto" w:before="10" w:after="0"/>
        <w:ind w:left="557" w:right="0" w:hanging="331"/>
        <w:jc w:val="both"/>
        <w:rPr>
          <w:sz w:val="21"/>
        </w:rPr>
      </w:pPr>
      <w:r>
        <w:rPr>
          <w:sz w:val="21"/>
        </w:rPr>
        <w:t>投标文件的编制</w:t>
      </w:r>
    </w:p>
    <w:p>
      <w:pPr>
        <w:spacing w:after="0" w:line="240" w:lineRule="auto"/>
        <w:jc w:val="both"/>
        <w:rPr>
          <w:sz w:val="21"/>
        </w:rPr>
        <w:sectPr>
          <w:pgSz w:w="11910" w:h="16850"/>
          <w:pgMar w:header="911" w:footer="0" w:top="1380" w:bottom="280" w:left="1200" w:right="0"/>
        </w:sectPr>
      </w:pPr>
    </w:p>
    <w:p>
      <w:pPr>
        <w:pStyle w:val="BodyText"/>
        <w:rPr>
          <w:sz w:val="20"/>
        </w:rPr>
      </w:pPr>
    </w:p>
    <w:p>
      <w:pPr>
        <w:pStyle w:val="BodyText"/>
        <w:rPr>
          <w:sz w:val="20"/>
        </w:rPr>
      </w:pPr>
    </w:p>
    <w:p>
      <w:pPr>
        <w:pStyle w:val="Heading7"/>
        <w:numPr>
          <w:ilvl w:val="0"/>
          <w:numId w:val="12"/>
        </w:numPr>
        <w:tabs>
          <w:tab w:pos="512" w:val="left" w:leader="none"/>
        </w:tabs>
        <w:spacing w:line="240" w:lineRule="auto" w:before="228" w:after="0"/>
        <w:ind w:left="512" w:right="0" w:hanging="286"/>
        <w:jc w:val="left"/>
        <w:rPr>
          <w:rFonts w:ascii="黑体" w:eastAsia="黑体" w:hint="eastAsia"/>
        </w:rPr>
      </w:pPr>
      <w:bookmarkStart w:name="4 投标" w:id="20"/>
      <w:bookmarkEnd w:id="20"/>
      <w:r>
        <w:rPr/>
      </w:r>
      <w:bookmarkStart w:name="_bookmark8" w:id="21"/>
      <w:bookmarkEnd w:id="21"/>
      <w:r>
        <w:rPr/>
      </w:r>
      <w:bookmarkStart w:name="_bookmark8" w:id="22"/>
      <w:bookmarkEnd w:id="22"/>
      <w:r>
        <w:rPr>
          <w:rFonts w:ascii="黑体" w:eastAsia="黑体" w:hint="eastAsia"/>
          <w:spacing w:val="15"/>
        </w:rPr>
        <w:t>投标</w:t>
      </w:r>
    </w:p>
    <w:p>
      <w:pPr>
        <w:pStyle w:val="BodyText"/>
        <w:spacing w:before="7"/>
        <w:rPr>
          <w:rFonts w:ascii="黑体"/>
          <w:sz w:val="32"/>
        </w:rPr>
      </w:pPr>
    </w:p>
    <w:p>
      <w:pPr>
        <w:pStyle w:val="ListParagraph"/>
        <w:numPr>
          <w:ilvl w:val="1"/>
          <w:numId w:val="12"/>
        </w:numPr>
        <w:tabs>
          <w:tab w:pos="557" w:val="left" w:leader="none"/>
        </w:tabs>
        <w:spacing w:line="268" w:lineRule="auto" w:before="0" w:after="0"/>
        <w:ind w:left="226" w:right="8047" w:firstLine="0"/>
        <w:jc w:val="left"/>
        <w:rPr>
          <w:sz w:val="21"/>
        </w:rPr>
      </w:pPr>
      <w:r>
        <w:rPr>
          <w:spacing w:val="-2"/>
          <w:sz w:val="21"/>
        </w:rPr>
        <w:t>投标文件的密封和标识</w:t>
      </w:r>
      <w:r>
        <w:rPr>
          <w:sz w:val="21"/>
        </w:rPr>
        <w:t>详见投标人需知前附表。</w:t>
      </w:r>
    </w:p>
    <w:p>
      <w:pPr>
        <w:pStyle w:val="ListParagraph"/>
        <w:numPr>
          <w:ilvl w:val="1"/>
          <w:numId w:val="12"/>
        </w:numPr>
        <w:tabs>
          <w:tab w:pos="557" w:val="left" w:leader="none"/>
        </w:tabs>
        <w:spacing w:line="280" w:lineRule="auto" w:before="13" w:after="0"/>
        <w:ind w:left="226" w:right="8377" w:firstLine="0"/>
        <w:jc w:val="left"/>
        <w:rPr>
          <w:sz w:val="21"/>
        </w:rPr>
      </w:pPr>
      <w:r>
        <w:rPr/>
        <w:pict>
          <v:group style="position:absolute;margin-left:71.349998pt;margin-top:29.960485pt;width:456.6pt;height:442.85pt;mso-position-horizontal-relative:page;mso-position-vertical-relative:paragraph;z-index:-268627968" coordorigin="1427,599" coordsize="9132,8857">
            <v:shape style="position:absolute;left:1563;top:599;width:8786;height:8653" type="#_x0000_t75" stroked="false">
              <v:imagedata r:id="rId6" o:title=""/>
            </v:shape>
            <v:shape style="position:absolute;left:1427;top:943;width:9132;height:8513" coordorigin="1427,944" coordsize="9132,8513" path="m2599,9156l1427,9156,1427,9456,2599,9456,2599,9156m5737,8225l1427,8225,1427,8525,5737,8525,5737,8225m5737,7910l1427,7910,1427,8210,5737,8210,5737,7910m6338,7594l1427,7594,1427,7895,6338,7895,6338,7594m7209,8540l1427,8540,1427,8841,7209,8841,7209,8540m10123,3646l1427,3646,1427,3946,10123,3946,10123,3646m10558,8856l1427,8856,1427,9141,10558,9141,10558,8856m10558,6979l1427,6979,1427,7279,10558,7279,10558,6979m10558,6664l1427,6664,1427,6964,10558,6964,10558,6664m10558,6348l1427,6348,1427,6649,10558,6649,10558,6348m10558,944l1427,944,1427,1229,10558,1229,10558,944e" filled="true" fillcolor="#ffffff" stroked="false">
              <v:path arrowok="t"/>
              <v:fill type="solid"/>
            </v:shape>
            <w10:wrap type="none"/>
          </v:group>
        </w:pict>
      </w:r>
      <w:r>
        <w:rPr>
          <w:sz w:val="21"/>
        </w:rPr>
        <w:t>投标文件的递交 </w:t>
      </w:r>
      <w:r>
        <w:rPr>
          <w:spacing w:val="-2"/>
          <w:sz w:val="21"/>
        </w:rPr>
        <w:t>见投标人须知前附表。</w:t>
      </w:r>
    </w:p>
    <w:p>
      <w:pPr>
        <w:pStyle w:val="ListParagraph"/>
        <w:numPr>
          <w:ilvl w:val="1"/>
          <w:numId w:val="12"/>
        </w:numPr>
        <w:tabs>
          <w:tab w:pos="557" w:val="left" w:leader="none"/>
        </w:tabs>
        <w:spacing w:line="240" w:lineRule="auto" w:before="1" w:after="0"/>
        <w:ind w:left="557" w:right="0" w:hanging="331"/>
        <w:jc w:val="left"/>
        <w:rPr>
          <w:sz w:val="21"/>
        </w:rPr>
      </w:pPr>
      <w:r>
        <w:rPr>
          <w:sz w:val="21"/>
        </w:rPr>
        <w:t>投标文件的修改与撤回</w:t>
      </w:r>
    </w:p>
    <w:p>
      <w:pPr>
        <w:pStyle w:val="ListParagraph"/>
        <w:numPr>
          <w:ilvl w:val="2"/>
          <w:numId w:val="12"/>
        </w:numPr>
        <w:tabs>
          <w:tab w:pos="723" w:val="left" w:leader="none"/>
        </w:tabs>
        <w:spacing w:line="268" w:lineRule="auto" w:before="46" w:after="0"/>
        <w:ind w:left="226" w:right="1342" w:firstLine="0"/>
        <w:jc w:val="left"/>
        <w:rPr>
          <w:sz w:val="21"/>
        </w:rPr>
      </w:pPr>
      <w:r>
        <w:rPr>
          <w:spacing w:val="-13"/>
          <w:sz w:val="21"/>
        </w:rPr>
        <w:t>在本章第 </w:t>
      </w:r>
      <w:r>
        <w:rPr>
          <w:rFonts w:ascii="Calibri" w:eastAsia="Calibri"/>
          <w:sz w:val="21"/>
        </w:rPr>
        <w:t>2.2.2</w:t>
      </w:r>
      <w:r>
        <w:rPr>
          <w:rFonts w:ascii="Calibri" w:eastAsia="Calibri"/>
          <w:spacing w:val="8"/>
          <w:sz w:val="21"/>
        </w:rPr>
        <w:t> </w:t>
      </w:r>
      <w:r>
        <w:rPr>
          <w:spacing w:val="-7"/>
          <w:sz w:val="21"/>
        </w:rPr>
        <w:t>项规定的投标截止时间前，投标人可以补充、修改、替代或者撤回已提交的电子投标文件。</w:t>
      </w:r>
    </w:p>
    <w:p>
      <w:pPr>
        <w:pStyle w:val="BodyText"/>
        <w:rPr>
          <w:sz w:val="20"/>
        </w:rPr>
      </w:pPr>
    </w:p>
    <w:p>
      <w:pPr>
        <w:pStyle w:val="BodyText"/>
        <w:rPr>
          <w:sz w:val="20"/>
        </w:rPr>
      </w:pPr>
    </w:p>
    <w:p>
      <w:pPr>
        <w:pStyle w:val="BodyText"/>
        <w:spacing w:before="4"/>
        <w:rPr>
          <w:sz w:val="15"/>
        </w:rPr>
      </w:pPr>
    </w:p>
    <w:p>
      <w:pPr>
        <w:pStyle w:val="Heading7"/>
        <w:numPr>
          <w:ilvl w:val="0"/>
          <w:numId w:val="12"/>
        </w:numPr>
        <w:tabs>
          <w:tab w:pos="512" w:val="left" w:leader="none"/>
        </w:tabs>
        <w:spacing w:line="240" w:lineRule="auto" w:before="0" w:after="0"/>
        <w:ind w:left="512" w:right="0" w:hanging="286"/>
        <w:jc w:val="left"/>
        <w:rPr>
          <w:rFonts w:ascii="黑体" w:eastAsia="黑体" w:hint="eastAsia"/>
        </w:rPr>
      </w:pPr>
      <w:bookmarkStart w:name="5 开标" w:id="23"/>
      <w:bookmarkEnd w:id="23"/>
      <w:r>
        <w:rPr/>
      </w:r>
      <w:bookmarkStart w:name="_bookmark9" w:id="24"/>
      <w:bookmarkEnd w:id="24"/>
      <w:r>
        <w:rPr/>
      </w:r>
      <w:bookmarkStart w:name="_bookmark9" w:id="25"/>
      <w:bookmarkEnd w:id="25"/>
      <w:r>
        <w:rPr>
          <w:rFonts w:ascii="黑体" w:eastAsia="黑体" w:hint="eastAsia"/>
          <w:spacing w:val="15"/>
        </w:rPr>
        <w:t>开标</w:t>
      </w:r>
    </w:p>
    <w:p>
      <w:pPr>
        <w:pStyle w:val="BodyText"/>
        <w:spacing w:before="4"/>
        <w:rPr>
          <w:rFonts w:ascii="黑体"/>
          <w:sz w:val="31"/>
        </w:rPr>
      </w:pPr>
    </w:p>
    <w:p>
      <w:pPr>
        <w:pStyle w:val="ListParagraph"/>
        <w:numPr>
          <w:ilvl w:val="1"/>
          <w:numId w:val="12"/>
        </w:numPr>
        <w:tabs>
          <w:tab w:pos="557" w:val="left" w:leader="none"/>
        </w:tabs>
        <w:spacing w:line="240" w:lineRule="auto" w:before="1" w:after="0"/>
        <w:ind w:left="557" w:right="0" w:hanging="331"/>
        <w:jc w:val="left"/>
        <w:rPr>
          <w:sz w:val="21"/>
        </w:rPr>
      </w:pPr>
      <w:r>
        <w:rPr>
          <w:sz w:val="21"/>
        </w:rPr>
        <w:t>开标时间和地点</w:t>
      </w:r>
    </w:p>
    <w:p>
      <w:pPr>
        <w:pStyle w:val="ListParagraph"/>
        <w:numPr>
          <w:ilvl w:val="2"/>
          <w:numId w:val="12"/>
        </w:numPr>
        <w:tabs>
          <w:tab w:pos="723" w:val="left" w:leader="none"/>
        </w:tabs>
        <w:spacing w:line="240" w:lineRule="auto" w:before="46" w:after="0"/>
        <w:ind w:left="722" w:right="0" w:hanging="497"/>
        <w:jc w:val="left"/>
        <w:rPr>
          <w:sz w:val="21"/>
        </w:rPr>
      </w:pPr>
      <w:r>
        <w:rPr>
          <w:spacing w:val="-5"/>
          <w:sz w:val="21"/>
        </w:rPr>
        <w:t>见投标人须知前附表 </w:t>
      </w:r>
      <w:r>
        <w:rPr>
          <w:rFonts w:ascii="Calibri" w:eastAsia="Calibri"/>
          <w:sz w:val="21"/>
        </w:rPr>
        <w:t>5.1.1</w:t>
      </w:r>
      <w:r>
        <w:rPr>
          <w:rFonts w:ascii="Calibri" w:eastAsia="Calibri"/>
          <w:spacing w:val="11"/>
          <w:sz w:val="21"/>
        </w:rPr>
        <w:t> </w:t>
      </w:r>
      <w:r>
        <w:rPr>
          <w:sz w:val="21"/>
        </w:rPr>
        <w:t>项规定。</w:t>
      </w:r>
    </w:p>
    <w:p>
      <w:pPr>
        <w:pStyle w:val="ListParagraph"/>
        <w:numPr>
          <w:ilvl w:val="2"/>
          <w:numId w:val="12"/>
        </w:numPr>
        <w:tabs>
          <w:tab w:pos="723" w:val="left" w:leader="none"/>
        </w:tabs>
        <w:spacing w:line="240" w:lineRule="auto" w:before="46" w:after="0"/>
        <w:ind w:left="722" w:right="0" w:hanging="497"/>
        <w:jc w:val="left"/>
        <w:rPr>
          <w:sz w:val="21"/>
        </w:rPr>
      </w:pPr>
      <w:r>
        <w:rPr>
          <w:spacing w:val="-1"/>
          <w:sz w:val="21"/>
        </w:rPr>
        <w:t>若投标人对开标有异议的，应当在远程开标系统提出，招标人应现场作出答复，并记录。</w:t>
      </w:r>
    </w:p>
    <w:p>
      <w:pPr>
        <w:pStyle w:val="ListParagraph"/>
        <w:numPr>
          <w:ilvl w:val="1"/>
          <w:numId w:val="12"/>
        </w:numPr>
        <w:tabs>
          <w:tab w:pos="557" w:val="left" w:leader="none"/>
        </w:tabs>
        <w:spacing w:line="240" w:lineRule="auto" w:before="46" w:after="0"/>
        <w:ind w:left="557" w:right="0" w:hanging="331"/>
        <w:jc w:val="left"/>
        <w:rPr>
          <w:sz w:val="21"/>
        </w:rPr>
      </w:pPr>
      <w:r>
        <w:rPr>
          <w:sz w:val="21"/>
        </w:rPr>
        <w:t>开标程序</w:t>
      </w:r>
    </w:p>
    <w:p>
      <w:pPr>
        <w:spacing w:before="31"/>
        <w:ind w:left="226" w:right="0" w:firstLine="0"/>
        <w:jc w:val="left"/>
        <w:rPr>
          <w:sz w:val="21"/>
        </w:rPr>
      </w:pPr>
      <w:r>
        <w:rPr>
          <w:sz w:val="21"/>
        </w:rPr>
        <w:t>见投标人须知前附表第 </w:t>
      </w:r>
      <w:r>
        <w:rPr>
          <w:rFonts w:ascii="Calibri" w:eastAsia="Calibri"/>
          <w:sz w:val="21"/>
        </w:rPr>
        <w:t>5.2 </w:t>
      </w:r>
      <w:r>
        <w:rPr>
          <w:sz w:val="21"/>
        </w:rPr>
        <w:t>项规定。</w:t>
      </w:r>
    </w:p>
    <w:p>
      <w:pPr>
        <w:pStyle w:val="BodyText"/>
        <w:rPr>
          <w:sz w:val="22"/>
        </w:rPr>
      </w:pPr>
    </w:p>
    <w:p>
      <w:pPr>
        <w:pStyle w:val="BodyText"/>
        <w:rPr>
          <w:sz w:val="22"/>
        </w:rPr>
      </w:pPr>
    </w:p>
    <w:p>
      <w:pPr>
        <w:pStyle w:val="Heading7"/>
        <w:numPr>
          <w:ilvl w:val="0"/>
          <w:numId w:val="12"/>
        </w:numPr>
        <w:tabs>
          <w:tab w:pos="512" w:val="left" w:leader="none"/>
        </w:tabs>
        <w:spacing w:line="240" w:lineRule="auto" w:before="179" w:after="0"/>
        <w:ind w:left="512" w:right="0" w:hanging="286"/>
        <w:jc w:val="left"/>
        <w:rPr>
          <w:rFonts w:ascii="黑体" w:eastAsia="黑体" w:hint="eastAsia"/>
        </w:rPr>
      </w:pPr>
      <w:bookmarkStart w:name="6 评标" w:id="26"/>
      <w:bookmarkEnd w:id="26"/>
      <w:r>
        <w:rPr/>
      </w:r>
      <w:bookmarkStart w:name="_bookmark10" w:id="27"/>
      <w:bookmarkEnd w:id="27"/>
      <w:r>
        <w:rPr/>
      </w:r>
      <w:bookmarkStart w:name="_bookmark10" w:id="28"/>
      <w:bookmarkEnd w:id="28"/>
      <w:r>
        <w:rPr>
          <w:rFonts w:ascii="黑体" w:eastAsia="黑体" w:hint="eastAsia"/>
          <w:spacing w:val="15"/>
        </w:rPr>
        <w:t>评标</w:t>
      </w:r>
    </w:p>
    <w:p>
      <w:pPr>
        <w:pStyle w:val="BodyText"/>
        <w:spacing w:before="4"/>
        <w:rPr>
          <w:rFonts w:ascii="黑体"/>
          <w:sz w:val="31"/>
        </w:rPr>
      </w:pPr>
    </w:p>
    <w:p>
      <w:pPr>
        <w:pStyle w:val="ListParagraph"/>
        <w:numPr>
          <w:ilvl w:val="1"/>
          <w:numId w:val="12"/>
        </w:numPr>
        <w:tabs>
          <w:tab w:pos="557" w:val="left" w:leader="none"/>
        </w:tabs>
        <w:spacing w:line="240" w:lineRule="auto" w:before="0" w:after="0"/>
        <w:ind w:left="557" w:right="0" w:hanging="331"/>
        <w:jc w:val="both"/>
        <w:rPr>
          <w:sz w:val="21"/>
        </w:rPr>
      </w:pPr>
      <w:r>
        <w:rPr>
          <w:sz w:val="21"/>
        </w:rPr>
        <w:t>评标委员会</w:t>
      </w:r>
    </w:p>
    <w:p>
      <w:pPr>
        <w:pStyle w:val="ListParagraph"/>
        <w:numPr>
          <w:ilvl w:val="2"/>
          <w:numId w:val="12"/>
        </w:numPr>
        <w:tabs>
          <w:tab w:pos="753" w:val="left" w:leader="none"/>
        </w:tabs>
        <w:spacing w:line="280" w:lineRule="auto" w:before="47" w:after="0"/>
        <w:ind w:left="226" w:right="1326" w:firstLine="0"/>
        <w:jc w:val="both"/>
        <w:rPr>
          <w:sz w:val="21"/>
        </w:rPr>
      </w:pPr>
      <w:r>
        <w:rPr>
          <w:sz w:val="21"/>
        </w:rPr>
        <w:t>评标委员会由招标人依法组建，负责评标活动，向招标人推荐中标候选人或者根据招标人的授权直接确定中标人。评标委员由招标人或其委托的招标代理机构熟悉相关业务的代表，以及有关技术、经济等方面的专家组成。评标委员会成员人数以及技术、经济等方面专家的确定方式见投标人须知前附表。</w:t>
      </w:r>
    </w:p>
    <w:p>
      <w:pPr>
        <w:pStyle w:val="ListParagraph"/>
        <w:numPr>
          <w:ilvl w:val="2"/>
          <w:numId w:val="12"/>
        </w:numPr>
        <w:tabs>
          <w:tab w:pos="723" w:val="left" w:leader="none"/>
        </w:tabs>
        <w:spacing w:line="256" w:lineRule="exact" w:before="0" w:after="0"/>
        <w:ind w:left="722" w:right="0" w:hanging="497"/>
        <w:jc w:val="both"/>
        <w:rPr>
          <w:sz w:val="21"/>
        </w:rPr>
      </w:pPr>
      <w:r>
        <w:rPr>
          <w:spacing w:val="-1"/>
          <w:sz w:val="21"/>
        </w:rPr>
        <w:t>评标委员会成员有下列情形之一的，应当回避：</w:t>
      </w:r>
    </w:p>
    <w:p>
      <w:pPr>
        <w:pStyle w:val="ListParagraph"/>
        <w:numPr>
          <w:ilvl w:val="0"/>
          <w:numId w:val="19"/>
        </w:numPr>
        <w:tabs>
          <w:tab w:pos="753" w:val="left" w:leader="none"/>
        </w:tabs>
        <w:spacing w:line="240" w:lineRule="auto" w:before="46" w:after="0"/>
        <w:ind w:left="753" w:right="0" w:hanging="527"/>
        <w:jc w:val="left"/>
        <w:rPr>
          <w:sz w:val="21"/>
        </w:rPr>
      </w:pPr>
      <w:r>
        <w:rPr>
          <w:sz w:val="21"/>
        </w:rPr>
        <w:t>投标人或投标人的主要负责人的近亲属；</w:t>
      </w:r>
    </w:p>
    <w:p>
      <w:pPr>
        <w:pStyle w:val="ListParagraph"/>
        <w:numPr>
          <w:ilvl w:val="0"/>
          <w:numId w:val="19"/>
        </w:numPr>
        <w:tabs>
          <w:tab w:pos="753" w:val="left" w:leader="none"/>
        </w:tabs>
        <w:spacing w:line="240" w:lineRule="auto" w:before="46" w:after="0"/>
        <w:ind w:left="753" w:right="0" w:hanging="527"/>
        <w:jc w:val="left"/>
        <w:rPr>
          <w:sz w:val="21"/>
        </w:rPr>
      </w:pPr>
      <w:r>
        <w:rPr>
          <w:sz w:val="21"/>
        </w:rPr>
        <w:t>项目主管部门或者行政监督部门的人员；</w:t>
      </w:r>
    </w:p>
    <w:p>
      <w:pPr>
        <w:pStyle w:val="ListParagraph"/>
        <w:numPr>
          <w:ilvl w:val="0"/>
          <w:numId w:val="19"/>
        </w:numPr>
        <w:tabs>
          <w:tab w:pos="753" w:val="left" w:leader="none"/>
        </w:tabs>
        <w:spacing w:line="240" w:lineRule="auto" w:before="46" w:after="0"/>
        <w:ind w:left="753" w:right="0" w:hanging="527"/>
        <w:jc w:val="left"/>
        <w:rPr>
          <w:sz w:val="21"/>
        </w:rPr>
      </w:pPr>
      <w:r>
        <w:rPr>
          <w:sz w:val="21"/>
        </w:rPr>
        <w:t>与投标人有经济利益关系，可能影响对投标公正评审的；</w:t>
      </w:r>
    </w:p>
    <w:p>
      <w:pPr>
        <w:pStyle w:val="ListParagraph"/>
        <w:numPr>
          <w:ilvl w:val="0"/>
          <w:numId w:val="19"/>
        </w:numPr>
        <w:tabs>
          <w:tab w:pos="753" w:val="left" w:leader="none"/>
        </w:tabs>
        <w:spacing w:line="240" w:lineRule="auto" w:before="46" w:after="0"/>
        <w:ind w:left="753" w:right="0" w:hanging="527"/>
        <w:jc w:val="left"/>
        <w:rPr>
          <w:sz w:val="21"/>
        </w:rPr>
      </w:pPr>
      <w:r>
        <w:rPr>
          <w:spacing w:val="-8"/>
          <w:sz w:val="21"/>
        </w:rPr>
        <w:t>曾因在招标、评标以及其他与招标投标有关活动中从事违法行为而受过行政处罚或刑事处罚的。</w:t>
      </w:r>
    </w:p>
    <w:p>
      <w:pPr>
        <w:pStyle w:val="ListParagraph"/>
        <w:numPr>
          <w:ilvl w:val="1"/>
          <w:numId w:val="12"/>
        </w:numPr>
        <w:tabs>
          <w:tab w:pos="557" w:val="left" w:leader="none"/>
        </w:tabs>
        <w:spacing w:line="240" w:lineRule="auto" w:before="32" w:after="0"/>
        <w:ind w:left="557" w:right="0" w:hanging="331"/>
        <w:jc w:val="left"/>
        <w:rPr>
          <w:sz w:val="21"/>
        </w:rPr>
      </w:pPr>
      <w:r>
        <w:rPr>
          <w:sz w:val="21"/>
        </w:rPr>
        <w:t>评标原则</w:t>
      </w:r>
    </w:p>
    <w:p>
      <w:pPr>
        <w:spacing w:before="46"/>
        <w:ind w:left="226" w:right="0" w:firstLine="0"/>
        <w:jc w:val="left"/>
        <w:rPr>
          <w:sz w:val="21"/>
        </w:rPr>
      </w:pPr>
      <w:r>
        <w:rPr>
          <w:sz w:val="21"/>
        </w:rPr>
        <w:t>评标活动遵循公平、公正、科学和择优的原则。</w:t>
      </w:r>
    </w:p>
    <w:p>
      <w:pPr>
        <w:pStyle w:val="ListParagraph"/>
        <w:numPr>
          <w:ilvl w:val="1"/>
          <w:numId w:val="12"/>
        </w:numPr>
        <w:tabs>
          <w:tab w:pos="557" w:val="left" w:leader="none"/>
        </w:tabs>
        <w:spacing w:line="240" w:lineRule="auto" w:before="46" w:after="0"/>
        <w:ind w:left="557" w:right="0" w:hanging="331"/>
        <w:jc w:val="both"/>
        <w:rPr>
          <w:sz w:val="21"/>
        </w:rPr>
      </w:pPr>
      <w:r>
        <w:rPr>
          <w:sz w:val="21"/>
        </w:rPr>
        <w:t>评标</w:t>
      </w:r>
    </w:p>
    <w:p>
      <w:pPr>
        <w:spacing w:before="46"/>
        <w:ind w:left="226" w:right="0" w:firstLine="0"/>
        <w:jc w:val="left"/>
        <w:rPr>
          <w:sz w:val="21"/>
        </w:rPr>
      </w:pPr>
      <w:r>
        <w:rPr>
          <w:sz w:val="21"/>
        </w:rPr>
        <w:t>评标委员会按照“评标办法”规定的方法、评审因素、标准和程序对投标文件进行评审。</w:t>
      </w:r>
    </w:p>
    <w:p>
      <w:pPr>
        <w:spacing w:after="0"/>
        <w:jc w:val="left"/>
        <w:rPr>
          <w:sz w:val="21"/>
        </w:rPr>
        <w:sectPr>
          <w:pgSz w:w="11910" w:h="16850"/>
          <w:pgMar w:header="911" w:footer="0" w:top="1380" w:bottom="280" w:left="1200" w:right="0"/>
        </w:sectPr>
      </w:pPr>
    </w:p>
    <w:p>
      <w:pPr>
        <w:pStyle w:val="BodyText"/>
        <w:spacing w:before="3"/>
        <w:rPr>
          <w:sz w:val="8"/>
        </w:rPr>
      </w:pPr>
    </w:p>
    <w:p>
      <w:pPr>
        <w:pStyle w:val="Heading7"/>
        <w:numPr>
          <w:ilvl w:val="0"/>
          <w:numId w:val="12"/>
        </w:numPr>
        <w:tabs>
          <w:tab w:pos="512" w:val="left" w:leader="none"/>
        </w:tabs>
        <w:spacing w:line="240" w:lineRule="auto" w:before="65" w:after="0"/>
        <w:ind w:left="512" w:right="0" w:hanging="286"/>
        <w:jc w:val="both"/>
        <w:rPr>
          <w:rFonts w:ascii="黑体" w:eastAsia="黑体" w:hint="eastAsia"/>
        </w:rPr>
      </w:pPr>
      <w:bookmarkStart w:name="7 合同和授予" w:id="29"/>
      <w:bookmarkEnd w:id="29"/>
      <w:r>
        <w:rPr/>
      </w:r>
      <w:bookmarkStart w:name="_bookmark11" w:id="30"/>
      <w:bookmarkEnd w:id="30"/>
      <w:r>
        <w:rPr/>
      </w:r>
      <w:bookmarkStart w:name="_bookmark11" w:id="31"/>
      <w:bookmarkEnd w:id="31"/>
      <w:r>
        <w:rPr>
          <w:rFonts w:ascii="黑体" w:eastAsia="黑体" w:hint="eastAsia"/>
          <w:spacing w:val="5"/>
        </w:rPr>
        <w:t>合同和授予</w:t>
      </w:r>
    </w:p>
    <w:p>
      <w:pPr>
        <w:pStyle w:val="BodyText"/>
        <w:spacing w:before="4"/>
        <w:rPr>
          <w:rFonts w:ascii="黑体"/>
          <w:sz w:val="31"/>
        </w:rPr>
      </w:pPr>
    </w:p>
    <w:p>
      <w:pPr>
        <w:pStyle w:val="ListParagraph"/>
        <w:numPr>
          <w:ilvl w:val="1"/>
          <w:numId w:val="12"/>
        </w:numPr>
        <w:tabs>
          <w:tab w:pos="557" w:val="left" w:leader="none"/>
        </w:tabs>
        <w:spacing w:line="240" w:lineRule="auto" w:before="0" w:after="0"/>
        <w:ind w:left="557" w:right="0" w:hanging="331"/>
        <w:jc w:val="both"/>
        <w:rPr>
          <w:sz w:val="21"/>
        </w:rPr>
      </w:pPr>
      <w:r>
        <w:rPr>
          <w:sz w:val="21"/>
        </w:rPr>
        <w:t>定标方式</w:t>
      </w:r>
    </w:p>
    <w:p>
      <w:pPr>
        <w:spacing w:line="280" w:lineRule="auto" w:before="46"/>
        <w:ind w:left="226" w:right="1333" w:firstLine="0"/>
        <w:jc w:val="both"/>
        <w:rPr>
          <w:sz w:val="21"/>
        </w:rPr>
      </w:pPr>
      <w:r>
        <w:rPr>
          <w:sz w:val="21"/>
        </w:rPr>
        <w:t>评标委员会推荐 </w:t>
      </w:r>
      <w:r>
        <w:rPr>
          <w:rFonts w:ascii="Calibri" w:eastAsia="Calibri"/>
          <w:sz w:val="21"/>
        </w:rPr>
        <w:t>3 </w:t>
      </w:r>
      <w:r>
        <w:rPr>
          <w:sz w:val="21"/>
        </w:rPr>
        <w:t>名中标候选人，并标明排列顺序。招标人依据评标委员会推荐的中标候选人确定中标人。</w:t>
      </w:r>
    </w:p>
    <w:p>
      <w:pPr>
        <w:pStyle w:val="ListParagraph"/>
        <w:numPr>
          <w:ilvl w:val="1"/>
          <w:numId w:val="12"/>
        </w:numPr>
        <w:tabs>
          <w:tab w:pos="557" w:val="left" w:leader="none"/>
        </w:tabs>
        <w:spacing w:line="240" w:lineRule="auto" w:before="1" w:after="0"/>
        <w:ind w:left="557" w:right="0" w:hanging="331"/>
        <w:jc w:val="both"/>
        <w:rPr>
          <w:sz w:val="21"/>
        </w:rPr>
      </w:pPr>
      <w:r>
        <w:rPr>
          <w:sz w:val="21"/>
        </w:rPr>
        <w:t>中标通知</w:t>
      </w:r>
    </w:p>
    <w:p>
      <w:pPr>
        <w:spacing w:line="266" w:lineRule="auto" w:before="47"/>
        <w:ind w:left="226" w:right="1311" w:firstLine="0"/>
        <w:jc w:val="both"/>
        <w:rPr>
          <w:sz w:val="21"/>
        </w:rPr>
      </w:pPr>
      <w:r>
        <w:rPr/>
        <w:pict>
          <v:group style="position:absolute;margin-left:71.349998pt;margin-top:28.660486pt;width:456.6pt;height:435.35pt;mso-position-horizontal-relative:page;mso-position-vertical-relative:paragraph;z-index:-268626944" coordorigin="1427,573" coordsize="9132,8707">
            <v:shape style="position:absolute;left:1563;top:573;width:8786;height:8653" type="#_x0000_t75" stroked="false">
              <v:imagedata r:id="rId6" o:title=""/>
            </v:shape>
            <v:shape style="position:absolute;left:1427;top:962;width:9132;height:8317" coordorigin="1427,963" coordsize="9132,8317" path="m1727,8980l1427,8980,1427,9280,1727,9280,1727,8980m2599,8049l1427,8049,1427,8334,2599,8334,2599,8049m3740,8664l1427,8664,1427,8965,3740,8965,3740,8664m4371,7103l1427,7103,1427,7403,4371,7403,4371,7103m5212,5857l1427,5857,1427,6157,5212,6157,5212,5857m5377,6488l1427,6488,1427,6773,5377,6773,5377,6488m5377,6172l1427,6172,1427,6473,5377,6473,5377,6172m5527,7734l1427,7734,1427,8034,5527,8034,5527,7734m5962,7418l1427,7418,1427,7719,5962,7719,5962,7418m8155,3155l1427,3155,1427,3440,8155,3440,8155,3155m8786,1893l1427,1893,1427,2194,8786,2194,8786,1893m10558,8349l1427,8349,1427,8649,10558,8649,10558,8349m10558,6788l1427,6788,1427,7088,10558,7088,10558,6788m10558,3455l1427,3455,1427,3755,10558,3755,10558,3455m10558,2839l1427,2839,1427,3140,10558,3140,10558,2839m10558,2524l1427,2524,1427,2824,10558,2824,10558,2524m10558,1593l1427,1593,1427,1878,10558,1878,10558,1593m10558,963l1427,963,1427,1263,10558,1263,10558,963e" filled="true" fillcolor="#ffffff" stroked="false">
              <v:path arrowok="t"/>
              <v:fill type="solid"/>
            </v:shape>
            <w10:wrap type="none"/>
          </v:group>
        </w:pict>
      </w:r>
      <w:r>
        <w:rPr>
          <w:spacing w:val="-9"/>
          <w:sz w:val="21"/>
        </w:rPr>
        <w:t>在本章第 </w:t>
      </w:r>
      <w:r>
        <w:rPr>
          <w:rFonts w:ascii="Calibri" w:eastAsia="Calibri"/>
          <w:sz w:val="21"/>
        </w:rPr>
        <w:t>3.3 </w:t>
      </w:r>
      <w:r>
        <w:rPr>
          <w:spacing w:val="-4"/>
          <w:sz w:val="21"/>
        </w:rPr>
        <w:t>款规定的投标有效期内，招标人以书面形式向中标人发出中标通知书，同时将中标结果通知未中标的投标人。</w:t>
      </w:r>
    </w:p>
    <w:p>
      <w:pPr>
        <w:pStyle w:val="ListParagraph"/>
        <w:numPr>
          <w:ilvl w:val="1"/>
          <w:numId w:val="12"/>
        </w:numPr>
        <w:tabs>
          <w:tab w:pos="557" w:val="left" w:leader="none"/>
        </w:tabs>
        <w:spacing w:line="240" w:lineRule="auto" w:before="18" w:after="0"/>
        <w:ind w:left="557" w:right="0" w:hanging="331"/>
        <w:jc w:val="both"/>
        <w:rPr>
          <w:sz w:val="21"/>
        </w:rPr>
      </w:pPr>
      <w:r>
        <w:rPr>
          <w:sz w:val="21"/>
        </w:rPr>
        <w:t>履约担保</w:t>
      </w:r>
    </w:p>
    <w:p>
      <w:pPr>
        <w:pStyle w:val="ListParagraph"/>
        <w:numPr>
          <w:ilvl w:val="2"/>
          <w:numId w:val="12"/>
        </w:numPr>
        <w:tabs>
          <w:tab w:pos="723" w:val="left" w:leader="none"/>
        </w:tabs>
        <w:spacing w:line="280" w:lineRule="auto" w:before="46" w:after="0"/>
        <w:ind w:left="226" w:right="1333" w:firstLine="0"/>
        <w:jc w:val="both"/>
        <w:rPr>
          <w:sz w:val="21"/>
        </w:rPr>
      </w:pPr>
      <w:r>
        <w:rPr>
          <w:spacing w:val="-6"/>
          <w:sz w:val="21"/>
        </w:rPr>
        <w:t>在签订合同前，中标人应按投标人须知附表规定的金额、担保形式将和招标文件第四章</w:t>
      </w:r>
      <w:r>
        <w:rPr>
          <w:rFonts w:ascii="Calibri" w:hAnsi="Calibri" w:eastAsia="Calibri"/>
          <w:sz w:val="21"/>
        </w:rPr>
        <w:t>“</w:t>
      </w:r>
      <w:r>
        <w:rPr>
          <w:sz w:val="21"/>
        </w:rPr>
        <w:t>合同条款及格式</w:t>
      </w:r>
      <w:r>
        <w:rPr>
          <w:rFonts w:ascii="Calibri" w:hAnsi="Calibri" w:eastAsia="Calibri"/>
          <w:sz w:val="21"/>
        </w:rPr>
        <w:t>”</w:t>
      </w:r>
      <w:r>
        <w:rPr>
          <w:sz w:val="21"/>
        </w:rPr>
        <w:t>规定的履约担保格式向招标人提交履约担保。</w:t>
      </w:r>
    </w:p>
    <w:p>
      <w:pPr>
        <w:pStyle w:val="ListParagraph"/>
        <w:numPr>
          <w:ilvl w:val="2"/>
          <w:numId w:val="12"/>
        </w:numPr>
        <w:tabs>
          <w:tab w:pos="723" w:val="left" w:leader="none"/>
        </w:tabs>
        <w:spacing w:line="268" w:lineRule="auto" w:before="1" w:after="0"/>
        <w:ind w:left="226" w:right="1344" w:firstLine="0"/>
        <w:jc w:val="both"/>
        <w:rPr>
          <w:sz w:val="21"/>
        </w:rPr>
      </w:pPr>
      <w:r>
        <w:rPr>
          <w:spacing w:val="-7"/>
          <w:sz w:val="21"/>
        </w:rPr>
        <w:t>中标人不能按本章第 </w:t>
      </w:r>
      <w:r>
        <w:rPr>
          <w:rFonts w:ascii="Calibri" w:eastAsia="Calibri"/>
          <w:sz w:val="21"/>
        </w:rPr>
        <w:t>7.3.1</w:t>
      </w:r>
      <w:r>
        <w:rPr>
          <w:rFonts w:ascii="Calibri" w:eastAsia="Calibri"/>
          <w:spacing w:val="8"/>
          <w:sz w:val="21"/>
        </w:rPr>
        <w:t> </w:t>
      </w:r>
      <w:r>
        <w:rPr>
          <w:spacing w:val="-6"/>
          <w:sz w:val="21"/>
        </w:rPr>
        <w:t>项要求提交履约担保的，视为放弃中标，其投标保证金不予退还，给招标人造成的损失超过投标保证金数额的，中标人还应当对超过部分予以赔偿。</w:t>
      </w:r>
    </w:p>
    <w:p>
      <w:pPr>
        <w:pStyle w:val="ListParagraph"/>
        <w:numPr>
          <w:ilvl w:val="1"/>
          <w:numId w:val="12"/>
        </w:numPr>
        <w:tabs>
          <w:tab w:pos="557" w:val="left" w:leader="none"/>
        </w:tabs>
        <w:spacing w:line="240" w:lineRule="auto" w:before="13" w:after="0"/>
        <w:ind w:left="557" w:right="0" w:hanging="331"/>
        <w:jc w:val="both"/>
        <w:rPr>
          <w:sz w:val="21"/>
        </w:rPr>
      </w:pPr>
      <w:r>
        <w:rPr>
          <w:sz w:val="21"/>
        </w:rPr>
        <w:t>签订合同</w:t>
      </w:r>
    </w:p>
    <w:p>
      <w:pPr>
        <w:pStyle w:val="ListParagraph"/>
        <w:numPr>
          <w:ilvl w:val="2"/>
          <w:numId w:val="12"/>
        </w:numPr>
        <w:tabs>
          <w:tab w:pos="723" w:val="left" w:leader="none"/>
        </w:tabs>
        <w:spacing w:line="280" w:lineRule="auto" w:before="46" w:after="0"/>
        <w:ind w:left="226" w:right="1332" w:firstLine="0"/>
        <w:jc w:val="both"/>
        <w:rPr>
          <w:sz w:val="21"/>
        </w:rPr>
      </w:pPr>
      <w:r>
        <w:rPr>
          <w:spacing w:val="-3"/>
          <w:sz w:val="21"/>
        </w:rPr>
        <w:t>招标人和中标人应当自中标通知书发出之日起 </w:t>
      </w:r>
      <w:r>
        <w:rPr>
          <w:rFonts w:ascii="Calibri" w:eastAsia="Calibri"/>
          <w:spacing w:val="-9"/>
          <w:sz w:val="21"/>
        </w:rPr>
        <w:t>30</w:t>
      </w:r>
      <w:r>
        <w:rPr>
          <w:rFonts w:ascii="Calibri" w:eastAsia="Calibri"/>
          <w:spacing w:val="11"/>
          <w:sz w:val="21"/>
        </w:rPr>
        <w:t> </w:t>
      </w:r>
      <w:r>
        <w:rPr>
          <w:spacing w:val="-9"/>
          <w:sz w:val="21"/>
        </w:rPr>
        <w:t>天内，根据招标文件和中标人的投标文件订立</w:t>
      </w:r>
      <w:r>
        <w:rPr>
          <w:spacing w:val="-5"/>
          <w:sz w:val="21"/>
        </w:rPr>
        <w:t>书面合同。中标人无正当理由拒签合同的，招标人取消其中标资格，其投标保证金不予退还；给招标人的损失超过投标保证金数额的，中标人还应当对超过部分予以赔偿。</w:t>
      </w:r>
    </w:p>
    <w:p>
      <w:pPr>
        <w:pStyle w:val="ListParagraph"/>
        <w:numPr>
          <w:ilvl w:val="2"/>
          <w:numId w:val="12"/>
        </w:numPr>
        <w:tabs>
          <w:tab w:pos="753" w:val="left" w:leader="none"/>
        </w:tabs>
        <w:spacing w:line="256" w:lineRule="exact" w:before="0" w:after="0"/>
        <w:ind w:left="752" w:right="0" w:hanging="527"/>
        <w:jc w:val="both"/>
        <w:rPr>
          <w:sz w:val="21"/>
        </w:rPr>
      </w:pPr>
      <w:r>
        <w:rPr>
          <w:sz w:val="21"/>
        </w:rPr>
        <w:t>发出中标通知书后，招标人无正当理由拒签合同的，招标人向中标人退还投标保证金；给中标</w:t>
      </w:r>
    </w:p>
    <w:p>
      <w:pPr>
        <w:spacing w:before="46"/>
        <w:ind w:left="226" w:right="0" w:firstLine="0"/>
        <w:jc w:val="left"/>
        <w:rPr>
          <w:sz w:val="21"/>
        </w:rPr>
      </w:pPr>
      <w:r>
        <w:rPr>
          <w:sz w:val="21"/>
        </w:rPr>
        <w:t>人造成损失的，还应当赔偿损失。</w:t>
      </w:r>
    </w:p>
    <w:p>
      <w:pPr>
        <w:pStyle w:val="BodyText"/>
        <w:rPr>
          <w:sz w:val="20"/>
        </w:rPr>
      </w:pPr>
    </w:p>
    <w:p>
      <w:pPr>
        <w:pStyle w:val="BodyText"/>
        <w:rPr>
          <w:sz w:val="20"/>
        </w:rPr>
      </w:pPr>
    </w:p>
    <w:p>
      <w:pPr>
        <w:pStyle w:val="BodyText"/>
        <w:spacing w:before="11"/>
        <w:rPr>
          <w:sz w:val="17"/>
        </w:rPr>
      </w:pPr>
    </w:p>
    <w:p>
      <w:pPr>
        <w:pStyle w:val="Heading7"/>
        <w:numPr>
          <w:ilvl w:val="0"/>
          <w:numId w:val="12"/>
        </w:numPr>
        <w:tabs>
          <w:tab w:pos="512" w:val="left" w:leader="none"/>
        </w:tabs>
        <w:spacing w:line="240" w:lineRule="auto" w:before="1" w:after="0"/>
        <w:ind w:left="512" w:right="0" w:hanging="286"/>
        <w:jc w:val="left"/>
        <w:rPr>
          <w:rFonts w:ascii="黑体" w:eastAsia="黑体" w:hint="eastAsia"/>
        </w:rPr>
      </w:pPr>
      <w:bookmarkStart w:name="8 重新招标和不再招标" w:id="32"/>
      <w:bookmarkEnd w:id="32"/>
      <w:r>
        <w:rPr/>
      </w:r>
      <w:bookmarkStart w:name="_bookmark12" w:id="33"/>
      <w:bookmarkEnd w:id="33"/>
      <w:r>
        <w:rPr/>
      </w:r>
      <w:bookmarkStart w:name="_bookmark12" w:id="34"/>
      <w:bookmarkEnd w:id="34"/>
      <w:r>
        <w:rPr>
          <w:rFonts w:ascii="黑体" w:eastAsia="黑体" w:hint="eastAsia"/>
          <w:spacing w:val="-2"/>
        </w:rPr>
        <w:t>重新招标和不再招标</w:t>
      </w:r>
    </w:p>
    <w:p>
      <w:pPr>
        <w:pStyle w:val="BodyText"/>
        <w:spacing w:before="4"/>
        <w:rPr>
          <w:rFonts w:ascii="黑体"/>
          <w:sz w:val="31"/>
        </w:rPr>
      </w:pPr>
    </w:p>
    <w:p>
      <w:pPr>
        <w:pStyle w:val="ListParagraph"/>
        <w:numPr>
          <w:ilvl w:val="1"/>
          <w:numId w:val="12"/>
        </w:numPr>
        <w:tabs>
          <w:tab w:pos="557" w:val="left" w:leader="none"/>
        </w:tabs>
        <w:spacing w:line="240" w:lineRule="auto" w:before="0" w:after="0"/>
        <w:ind w:left="557" w:right="0" w:hanging="331"/>
        <w:jc w:val="left"/>
        <w:rPr>
          <w:sz w:val="21"/>
        </w:rPr>
      </w:pPr>
      <w:r>
        <w:rPr>
          <w:sz w:val="21"/>
        </w:rPr>
        <w:t>重新招标</w:t>
      </w:r>
    </w:p>
    <w:p>
      <w:pPr>
        <w:spacing w:line="280" w:lineRule="auto" w:before="47"/>
        <w:ind w:left="226" w:right="6528" w:firstLine="0"/>
        <w:jc w:val="left"/>
        <w:rPr>
          <w:sz w:val="21"/>
        </w:rPr>
      </w:pPr>
      <w:r>
        <w:rPr>
          <w:sz w:val="21"/>
        </w:rPr>
        <w:t>有下列情形之一的，招标人将重新招标： </w:t>
      </w:r>
      <w:r>
        <w:rPr>
          <w:rFonts w:ascii="Calibri" w:eastAsia="Calibri"/>
          <w:sz w:val="21"/>
        </w:rPr>
        <w:t>(l</w:t>
      </w:r>
      <w:r>
        <w:rPr>
          <w:sz w:val="21"/>
        </w:rPr>
        <w:t>）投标截止时间止，投标人少于 </w:t>
      </w:r>
      <w:r>
        <w:rPr>
          <w:rFonts w:ascii="Calibri" w:eastAsia="Calibri"/>
          <w:sz w:val="21"/>
        </w:rPr>
        <w:t>3 </w:t>
      </w:r>
      <w:r>
        <w:rPr>
          <w:sz w:val="21"/>
        </w:rPr>
        <w:t>个的； </w:t>
      </w:r>
      <w:r>
        <w:rPr>
          <w:rFonts w:ascii="Calibri" w:eastAsia="Calibri"/>
          <w:sz w:val="21"/>
        </w:rPr>
        <w:t>(2</w:t>
      </w:r>
      <w:r>
        <w:rPr>
          <w:sz w:val="21"/>
        </w:rPr>
        <w:t>）经评标委员会评审后否决所有投标的。</w:t>
      </w:r>
    </w:p>
    <w:p>
      <w:pPr>
        <w:pStyle w:val="ListParagraph"/>
        <w:numPr>
          <w:ilvl w:val="0"/>
          <w:numId w:val="20"/>
        </w:numPr>
        <w:tabs>
          <w:tab w:pos="753" w:val="left" w:leader="none"/>
        </w:tabs>
        <w:spacing w:line="255" w:lineRule="exact" w:before="0" w:after="0"/>
        <w:ind w:left="753" w:right="0" w:hanging="527"/>
        <w:jc w:val="left"/>
        <w:rPr>
          <w:sz w:val="21"/>
        </w:rPr>
      </w:pPr>
      <w:r>
        <w:rPr>
          <w:spacing w:val="-2"/>
          <w:sz w:val="21"/>
        </w:rPr>
        <w:t>评标委员会否决不合格投标或者界定为废标后因有效投标不足 </w:t>
      </w:r>
      <w:r>
        <w:rPr>
          <w:rFonts w:ascii="Calibri" w:eastAsia="Calibri"/>
          <w:sz w:val="21"/>
        </w:rPr>
        <w:t>3</w:t>
      </w:r>
      <w:r>
        <w:rPr>
          <w:rFonts w:ascii="Calibri" w:eastAsia="Calibri"/>
          <w:spacing w:val="11"/>
          <w:sz w:val="21"/>
        </w:rPr>
        <w:t> </w:t>
      </w:r>
      <w:r>
        <w:rPr>
          <w:sz w:val="21"/>
        </w:rPr>
        <w:t>个使得投标明显缺乏竞争，评</w:t>
      </w:r>
    </w:p>
    <w:p>
      <w:pPr>
        <w:spacing w:before="46"/>
        <w:ind w:left="226" w:right="0" w:firstLine="0"/>
        <w:jc w:val="left"/>
        <w:rPr>
          <w:sz w:val="21"/>
        </w:rPr>
      </w:pPr>
      <w:r>
        <w:rPr>
          <w:sz w:val="21"/>
        </w:rPr>
        <w:t>标委员会决定否决全部投标的；</w:t>
      </w:r>
    </w:p>
    <w:p>
      <w:pPr>
        <w:pStyle w:val="ListParagraph"/>
        <w:numPr>
          <w:ilvl w:val="0"/>
          <w:numId w:val="20"/>
        </w:numPr>
        <w:tabs>
          <w:tab w:pos="753" w:val="left" w:leader="none"/>
        </w:tabs>
        <w:spacing w:line="240" w:lineRule="auto" w:before="46" w:after="0"/>
        <w:ind w:left="753" w:right="0" w:hanging="527"/>
        <w:jc w:val="left"/>
        <w:rPr>
          <w:sz w:val="21"/>
        </w:rPr>
      </w:pPr>
      <w:r>
        <w:rPr>
          <w:spacing w:val="-3"/>
          <w:sz w:val="21"/>
        </w:rPr>
        <w:t>同意延长投标有效期的投标人少于 </w:t>
      </w:r>
      <w:r>
        <w:rPr>
          <w:rFonts w:ascii="Calibri" w:eastAsia="Calibri"/>
          <w:sz w:val="21"/>
        </w:rPr>
        <w:t>3</w:t>
      </w:r>
      <w:r>
        <w:rPr>
          <w:rFonts w:ascii="Calibri" w:eastAsia="Calibri"/>
          <w:spacing w:val="11"/>
          <w:sz w:val="21"/>
        </w:rPr>
        <w:t> </w:t>
      </w:r>
      <w:r>
        <w:rPr>
          <w:sz w:val="21"/>
        </w:rPr>
        <w:t>个的；</w:t>
      </w:r>
    </w:p>
    <w:p>
      <w:pPr>
        <w:pStyle w:val="ListParagraph"/>
        <w:numPr>
          <w:ilvl w:val="0"/>
          <w:numId w:val="20"/>
        </w:numPr>
        <w:tabs>
          <w:tab w:pos="753" w:val="left" w:leader="none"/>
        </w:tabs>
        <w:spacing w:line="240" w:lineRule="auto" w:before="46" w:after="0"/>
        <w:ind w:left="753" w:right="0" w:hanging="527"/>
        <w:jc w:val="left"/>
        <w:rPr>
          <w:sz w:val="21"/>
        </w:rPr>
      </w:pPr>
      <w:r>
        <w:rPr>
          <w:sz w:val="21"/>
        </w:rPr>
        <w:t>中标候选人均未与招标人签订合同的。</w:t>
      </w:r>
    </w:p>
    <w:p>
      <w:pPr>
        <w:pStyle w:val="ListParagraph"/>
        <w:numPr>
          <w:ilvl w:val="1"/>
          <w:numId w:val="12"/>
        </w:numPr>
        <w:tabs>
          <w:tab w:pos="557" w:val="left" w:leader="none"/>
        </w:tabs>
        <w:spacing w:line="240" w:lineRule="auto" w:before="47" w:after="0"/>
        <w:ind w:left="557" w:right="0" w:hanging="331"/>
        <w:jc w:val="left"/>
        <w:rPr>
          <w:sz w:val="21"/>
        </w:rPr>
      </w:pPr>
      <w:r>
        <w:rPr>
          <w:sz w:val="21"/>
        </w:rPr>
        <w:t>不再招标</w:t>
      </w:r>
    </w:p>
    <w:p>
      <w:pPr>
        <w:spacing w:line="280" w:lineRule="auto" w:before="31"/>
        <w:ind w:left="226" w:right="1239" w:firstLine="0"/>
        <w:jc w:val="left"/>
        <w:rPr>
          <w:sz w:val="21"/>
        </w:rPr>
      </w:pPr>
      <w:r>
        <w:rPr>
          <w:sz w:val="21"/>
        </w:rPr>
        <w:t>重新招标后，仍出现本章 </w:t>
      </w:r>
      <w:r>
        <w:rPr>
          <w:rFonts w:ascii="Calibri" w:eastAsia="Calibri"/>
          <w:sz w:val="21"/>
        </w:rPr>
        <w:t>8.1 </w:t>
      </w:r>
      <w:r>
        <w:rPr>
          <w:sz w:val="21"/>
        </w:rPr>
        <w:t>条规定情形之一的，属于必须审批的水利工程建设项目，经行政监督部门批准后不再进行招标。</w:t>
      </w:r>
    </w:p>
    <w:p>
      <w:pPr>
        <w:pStyle w:val="BodyText"/>
        <w:rPr>
          <w:sz w:val="20"/>
        </w:rPr>
      </w:pPr>
    </w:p>
    <w:p>
      <w:pPr>
        <w:pStyle w:val="BodyText"/>
        <w:spacing w:before="4"/>
        <w:rPr>
          <w:sz w:val="29"/>
        </w:rPr>
      </w:pPr>
    </w:p>
    <w:p>
      <w:pPr>
        <w:pStyle w:val="Heading7"/>
        <w:numPr>
          <w:ilvl w:val="0"/>
          <w:numId w:val="12"/>
        </w:numPr>
        <w:tabs>
          <w:tab w:pos="512" w:val="left" w:leader="none"/>
        </w:tabs>
        <w:spacing w:line="240" w:lineRule="auto" w:before="65" w:after="0"/>
        <w:ind w:left="512" w:right="0" w:hanging="286"/>
        <w:jc w:val="left"/>
        <w:rPr>
          <w:rFonts w:ascii="黑体" w:eastAsia="黑体" w:hint="eastAsia"/>
        </w:rPr>
      </w:pPr>
      <w:bookmarkStart w:name="9 纪律和监督" w:id="35"/>
      <w:bookmarkEnd w:id="35"/>
      <w:r>
        <w:rPr/>
      </w:r>
      <w:bookmarkStart w:name="_bookmark13" w:id="36"/>
      <w:bookmarkEnd w:id="36"/>
      <w:r>
        <w:rPr/>
      </w:r>
      <w:bookmarkStart w:name="_bookmark13" w:id="37"/>
      <w:bookmarkEnd w:id="37"/>
      <w:r>
        <w:rPr>
          <w:rFonts w:ascii="黑体" w:eastAsia="黑体" w:hint="eastAsia"/>
          <w:spacing w:val="5"/>
        </w:rPr>
        <w:t>纪律和监督</w:t>
      </w:r>
    </w:p>
    <w:p>
      <w:pPr>
        <w:pStyle w:val="BodyText"/>
        <w:spacing w:before="4"/>
        <w:rPr>
          <w:rFonts w:ascii="黑体"/>
          <w:sz w:val="31"/>
        </w:rPr>
      </w:pPr>
    </w:p>
    <w:p>
      <w:pPr>
        <w:pStyle w:val="ListParagraph"/>
        <w:numPr>
          <w:ilvl w:val="1"/>
          <w:numId w:val="12"/>
        </w:numPr>
        <w:tabs>
          <w:tab w:pos="557" w:val="left" w:leader="none"/>
        </w:tabs>
        <w:spacing w:line="240" w:lineRule="auto" w:before="0" w:after="0"/>
        <w:ind w:left="557" w:right="0" w:hanging="331"/>
        <w:jc w:val="left"/>
        <w:rPr>
          <w:sz w:val="21"/>
        </w:rPr>
      </w:pPr>
      <w:r>
        <w:rPr>
          <w:sz w:val="21"/>
        </w:rPr>
        <w:t>对招标人的纪律要求</w:t>
      </w:r>
    </w:p>
    <w:p>
      <w:pPr>
        <w:spacing w:line="280" w:lineRule="auto" w:before="46"/>
        <w:ind w:left="226" w:right="1341" w:firstLine="0"/>
        <w:jc w:val="left"/>
        <w:rPr>
          <w:sz w:val="21"/>
        </w:rPr>
      </w:pPr>
      <w:r>
        <w:rPr>
          <w:sz w:val="21"/>
        </w:rPr>
        <w:t>招标人不得泄漏招标投标活动中应当保密的情况和资料，不得与投标人串通损害国家利益、社会公共利益或者他人合法权益。下列行为均属招标人与投标人串通投标：</w:t>
      </w:r>
    </w:p>
    <w:p>
      <w:pPr>
        <w:spacing w:line="255" w:lineRule="exact" w:before="0"/>
        <w:ind w:left="226" w:right="0" w:firstLine="0"/>
        <w:jc w:val="left"/>
        <w:rPr>
          <w:sz w:val="21"/>
        </w:rPr>
      </w:pPr>
      <w:r>
        <w:rPr>
          <w:sz w:val="21"/>
        </w:rPr>
        <w:t>（</w:t>
      </w:r>
      <w:r>
        <w:rPr>
          <w:rFonts w:ascii="Calibri" w:eastAsia="Calibri"/>
          <w:sz w:val="21"/>
        </w:rPr>
        <w:t>l</w:t>
      </w:r>
      <w:r>
        <w:rPr>
          <w:sz w:val="21"/>
        </w:rPr>
        <w:t>）招标人在开标前开启投标文件，并将投标情况告知其它投标人，或者协助投标人撤换投标文件，</w:t>
      </w:r>
    </w:p>
    <w:p>
      <w:pPr>
        <w:spacing w:after="0" w:line="255" w:lineRule="exact"/>
        <w:jc w:val="left"/>
        <w:rPr>
          <w:sz w:val="21"/>
        </w:rPr>
        <w:sectPr>
          <w:pgSz w:w="11910" w:h="16850"/>
          <w:pgMar w:header="911" w:footer="0" w:top="1380" w:bottom="280" w:left="1200" w:right="0"/>
        </w:sectPr>
      </w:pPr>
    </w:p>
    <w:p>
      <w:pPr>
        <w:spacing w:before="60"/>
        <w:ind w:left="226" w:right="0" w:firstLine="0"/>
        <w:jc w:val="left"/>
        <w:rPr>
          <w:sz w:val="21"/>
        </w:rPr>
      </w:pPr>
      <w:r>
        <w:rPr>
          <w:sz w:val="21"/>
        </w:rPr>
        <w:t>更改报价；</w:t>
      </w:r>
    </w:p>
    <w:p>
      <w:pPr>
        <w:pStyle w:val="ListParagraph"/>
        <w:numPr>
          <w:ilvl w:val="0"/>
          <w:numId w:val="21"/>
        </w:numPr>
        <w:tabs>
          <w:tab w:pos="753" w:val="left" w:leader="none"/>
        </w:tabs>
        <w:spacing w:line="240" w:lineRule="auto" w:before="31" w:after="0"/>
        <w:ind w:left="753" w:right="0" w:hanging="527"/>
        <w:jc w:val="left"/>
        <w:rPr>
          <w:sz w:val="21"/>
        </w:rPr>
      </w:pPr>
      <w:r>
        <w:rPr>
          <w:sz w:val="21"/>
        </w:rPr>
        <w:t>招标人向投标人泄露标底；</w:t>
      </w:r>
    </w:p>
    <w:p>
      <w:pPr>
        <w:pStyle w:val="ListParagraph"/>
        <w:numPr>
          <w:ilvl w:val="0"/>
          <w:numId w:val="21"/>
        </w:numPr>
        <w:tabs>
          <w:tab w:pos="753" w:val="left" w:leader="none"/>
        </w:tabs>
        <w:spacing w:line="240" w:lineRule="auto" w:before="46" w:after="0"/>
        <w:ind w:left="753" w:right="0" w:hanging="527"/>
        <w:jc w:val="left"/>
        <w:rPr>
          <w:sz w:val="21"/>
        </w:rPr>
      </w:pPr>
      <w:r>
        <w:rPr>
          <w:sz w:val="21"/>
        </w:rPr>
        <w:t>招标人与投标人商定，投标时压低或抬高标价，中标后再给投标人或招标人额外补偿；</w:t>
      </w:r>
    </w:p>
    <w:p>
      <w:pPr>
        <w:pStyle w:val="ListParagraph"/>
        <w:numPr>
          <w:ilvl w:val="0"/>
          <w:numId w:val="21"/>
        </w:numPr>
        <w:tabs>
          <w:tab w:pos="753" w:val="left" w:leader="none"/>
        </w:tabs>
        <w:spacing w:line="240" w:lineRule="auto" w:before="47" w:after="0"/>
        <w:ind w:left="753" w:right="0" w:hanging="527"/>
        <w:jc w:val="left"/>
        <w:rPr>
          <w:sz w:val="21"/>
        </w:rPr>
      </w:pPr>
      <w:r>
        <w:rPr>
          <w:sz w:val="21"/>
        </w:rPr>
        <w:t>招标人预先内定中标人；</w:t>
      </w:r>
    </w:p>
    <w:p>
      <w:pPr>
        <w:pStyle w:val="ListParagraph"/>
        <w:numPr>
          <w:ilvl w:val="0"/>
          <w:numId w:val="21"/>
        </w:numPr>
        <w:tabs>
          <w:tab w:pos="753" w:val="left" w:leader="none"/>
        </w:tabs>
        <w:spacing w:line="240" w:lineRule="auto" w:before="46" w:after="0"/>
        <w:ind w:left="753" w:right="0" w:hanging="527"/>
        <w:jc w:val="left"/>
        <w:rPr>
          <w:sz w:val="21"/>
        </w:rPr>
      </w:pPr>
      <w:r>
        <w:rPr>
          <w:sz w:val="21"/>
        </w:rPr>
        <w:t>其它串通投标行为。</w:t>
      </w:r>
    </w:p>
    <w:p>
      <w:pPr>
        <w:pStyle w:val="ListParagraph"/>
        <w:numPr>
          <w:ilvl w:val="1"/>
          <w:numId w:val="12"/>
        </w:numPr>
        <w:tabs>
          <w:tab w:pos="557" w:val="left" w:leader="none"/>
        </w:tabs>
        <w:spacing w:line="240" w:lineRule="auto" w:before="46" w:after="0"/>
        <w:ind w:left="557" w:right="0" w:hanging="331"/>
        <w:jc w:val="left"/>
        <w:rPr>
          <w:sz w:val="21"/>
        </w:rPr>
      </w:pPr>
      <w:r>
        <w:rPr>
          <w:sz w:val="21"/>
        </w:rPr>
        <w:t>对投标人的纪律要求</w:t>
      </w:r>
    </w:p>
    <w:p>
      <w:pPr>
        <w:spacing w:line="280" w:lineRule="auto" w:before="31"/>
        <w:ind w:left="226" w:right="1234" w:firstLine="0"/>
        <w:jc w:val="left"/>
        <w:rPr>
          <w:sz w:val="21"/>
        </w:rPr>
      </w:pPr>
      <w:r>
        <w:rPr/>
        <w:pict>
          <v:group style="position:absolute;margin-left:71.349998pt;margin-top:41.380444pt;width:456.6pt;height:432.65pt;mso-position-horizontal-relative:page;mso-position-vertical-relative:paragraph;z-index:-268625920" coordorigin="1427,828" coordsize="9132,8653">
            <v:shape style="position:absolute;left:1563;top:827;width:8786;height:8653" type="#_x0000_t75" stroked="false">
              <v:imagedata r:id="rId6" o:title=""/>
            </v:shape>
            <v:shape style="position:absolute;left:1427;top:1892;width:9132;height:6126" coordorigin="1427,1892" coordsize="9132,6126" path="m3530,7717l1427,7717,1427,8018,3530,8018,3530,7717m4416,6832l1427,6832,1427,7343,4416,7343,4416,6832m5527,5961l1427,5961,1427,6247,5527,6247,5527,5961m6052,5015l1427,5015,1427,5315,6052,5315,6052,5015m7735,5646l1427,5646,1427,5946,7735,5946,7735,5646m8155,5330l1427,5330,1427,5631,8155,5631,8155,5330m8997,1892l1427,1892,1427,2193,8997,2193,8997,1892m10048,4400l1427,4400,1427,4685,10048,4685,10048,4400m10558,2839l1427,2839,1427,3124,10558,3124,10558,2839e" filled="true" fillcolor="#ffffff" stroked="false">
              <v:path arrowok="t"/>
              <v:fill type="solid"/>
            </v:shape>
            <w10:wrap type="none"/>
          </v:group>
        </w:pict>
      </w:r>
      <w:r>
        <w:rPr>
          <w:sz w:val="21"/>
        </w:rPr>
        <w:t>投标人不得相互串通投标或者与招标人串通投标，不得向招标人或者评标委员会成员行贿谋取中标， 不得以他人名义投标或者以其他方式弄虚作假骗取中标；投标人不得以任何方式干扰、影响评标工作。</w:t>
      </w:r>
    </w:p>
    <w:p>
      <w:pPr>
        <w:pStyle w:val="ListParagraph"/>
        <w:numPr>
          <w:ilvl w:val="2"/>
          <w:numId w:val="12"/>
        </w:numPr>
        <w:tabs>
          <w:tab w:pos="753" w:val="left" w:leader="none"/>
        </w:tabs>
        <w:spacing w:line="240" w:lineRule="auto" w:before="2" w:after="0"/>
        <w:ind w:left="752" w:right="0" w:hanging="527"/>
        <w:jc w:val="left"/>
        <w:rPr>
          <w:sz w:val="21"/>
        </w:rPr>
      </w:pPr>
      <w:r>
        <w:rPr>
          <w:sz w:val="21"/>
        </w:rPr>
        <w:t>下列行为均属以他人名义投标：</w:t>
      </w:r>
    </w:p>
    <w:p>
      <w:pPr>
        <w:pStyle w:val="ListParagraph"/>
        <w:numPr>
          <w:ilvl w:val="0"/>
          <w:numId w:val="22"/>
        </w:numPr>
        <w:tabs>
          <w:tab w:pos="753" w:val="left" w:leader="none"/>
        </w:tabs>
        <w:spacing w:line="240" w:lineRule="auto" w:before="46" w:after="0"/>
        <w:ind w:left="753" w:right="0" w:hanging="527"/>
        <w:jc w:val="left"/>
        <w:rPr>
          <w:sz w:val="21"/>
        </w:rPr>
      </w:pPr>
      <w:r>
        <w:rPr>
          <w:sz w:val="21"/>
        </w:rPr>
        <w:t>投标人挂靠其它施工单位；</w:t>
      </w:r>
    </w:p>
    <w:p>
      <w:pPr>
        <w:pStyle w:val="ListParagraph"/>
        <w:numPr>
          <w:ilvl w:val="0"/>
          <w:numId w:val="22"/>
        </w:numPr>
        <w:tabs>
          <w:tab w:pos="753" w:val="left" w:leader="none"/>
        </w:tabs>
        <w:spacing w:line="240" w:lineRule="auto" w:before="31" w:after="0"/>
        <w:ind w:left="753" w:right="0" w:hanging="527"/>
        <w:jc w:val="left"/>
        <w:rPr>
          <w:sz w:val="21"/>
        </w:rPr>
      </w:pPr>
      <w:r>
        <w:rPr>
          <w:sz w:val="21"/>
        </w:rPr>
        <w:t>投标人从其它施工单位通过转让或租借的方式获取资格或资质证书；</w:t>
      </w:r>
    </w:p>
    <w:p>
      <w:pPr>
        <w:pStyle w:val="ListParagraph"/>
        <w:numPr>
          <w:ilvl w:val="0"/>
          <w:numId w:val="22"/>
        </w:numPr>
        <w:tabs>
          <w:tab w:pos="753" w:val="left" w:leader="none"/>
        </w:tabs>
        <w:spacing w:line="240" w:lineRule="auto" w:before="46" w:after="0"/>
        <w:ind w:left="753" w:right="0" w:hanging="527"/>
        <w:jc w:val="left"/>
        <w:rPr>
          <w:sz w:val="21"/>
        </w:rPr>
      </w:pPr>
      <w:r>
        <w:rPr>
          <w:sz w:val="21"/>
        </w:rPr>
        <w:t>由其它单位及法定代表人在自己编制的投标文件上加盖印章或签字的行为。</w:t>
      </w:r>
    </w:p>
    <w:p>
      <w:pPr>
        <w:pStyle w:val="ListParagraph"/>
        <w:numPr>
          <w:ilvl w:val="2"/>
          <w:numId w:val="12"/>
        </w:numPr>
        <w:tabs>
          <w:tab w:pos="753" w:val="left" w:leader="none"/>
        </w:tabs>
        <w:spacing w:line="240" w:lineRule="auto" w:before="47" w:after="0"/>
        <w:ind w:left="752" w:right="0" w:hanging="527"/>
        <w:jc w:val="left"/>
        <w:rPr>
          <w:sz w:val="21"/>
        </w:rPr>
      </w:pPr>
      <w:r>
        <w:rPr>
          <w:sz w:val="21"/>
        </w:rPr>
        <w:t>下列行为，视为允许他人以本单位名义承揽工程：</w:t>
      </w:r>
    </w:p>
    <w:p>
      <w:pPr>
        <w:pStyle w:val="ListParagraph"/>
        <w:numPr>
          <w:ilvl w:val="0"/>
          <w:numId w:val="23"/>
        </w:numPr>
        <w:tabs>
          <w:tab w:pos="753" w:val="left" w:leader="none"/>
        </w:tabs>
        <w:spacing w:line="240" w:lineRule="auto" w:before="46" w:after="0"/>
        <w:ind w:left="753" w:right="0" w:hanging="527"/>
        <w:jc w:val="left"/>
        <w:rPr>
          <w:sz w:val="21"/>
        </w:rPr>
      </w:pPr>
      <w:r>
        <w:rPr>
          <w:sz w:val="21"/>
        </w:rPr>
        <w:t>投标人的法定代表人的委托代理人不是投标人本单位人员；</w:t>
      </w:r>
    </w:p>
    <w:p>
      <w:pPr>
        <w:pStyle w:val="ListParagraph"/>
        <w:numPr>
          <w:ilvl w:val="0"/>
          <w:numId w:val="23"/>
        </w:numPr>
        <w:tabs>
          <w:tab w:pos="753" w:val="left" w:leader="none"/>
        </w:tabs>
        <w:spacing w:line="268" w:lineRule="auto" w:before="46" w:after="0"/>
        <w:ind w:left="226" w:right="1239" w:firstLine="0"/>
        <w:jc w:val="left"/>
        <w:rPr>
          <w:sz w:val="21"/>
        </w:rPr>
      </w:pPr>
      <w:r>
        <w:rPr>
          <w:spacing w:val="-4"/>
          <w:sz w:val="21"/>
        </w:rPr>
        <w:t>投标人拟在施工现场所设项目管理机构的项目经理、技术负责人、财务负责人、质量管理人员、安全管理人员（专职安全生产管理人员）不是本单位人员。</w:t>
      </w:r>
    </w:p>
    <w:p>
      <w:pPr>
        <w:spacing w:before="13"/>
        <w:ind w:left="226" w:right="0" w:firstLine="0"/>
        <w:jc w:val="left"/>
        <w:rPr>
          <w:sz w:val="21"/>
        </w:rPr>
      </w:pPr>
      <w:r>
        <w:rPr>
          <w:sz w:val="21"/>
        </w:rPr>
        <w:t>投标人本单位人员，必须同时满足以下条件：</w:t>
      </w:r>
    </w:p>
    <w:p>
      <w:pPr>
        <w:pStyle w:val="ListParagraph"/>
        <w:numPr>
          <w:ilvl w:val="0"/>
          <w:numId w:val="24"/>
        </w:numPr>
        <w:tabs>
          <w:tab w:pos="753" w:val="left" w:leader="none"/>
        </w:tabs>
        <w:spacing w:line="240" w:lineRule="auto" w:before="46" w:after="0"/>
        <w:ind w:left="753" w:right="0" w:hanging="527"/>
        <w:jc w:val="left"/>
        <w:rPr>
          <w:sz w:val="21"/>
        </w:rPr>
      </w:pPr>
      <w:r>
        <w:rPr>
          <w:sz w:val="21"/>
        </w:rPr>
        <w:t>聘任合同必须由投标人单位与之签订；</w:t>
      </w:r>
    </w:p>
    <w:p>
      <w:pPr>
        <w:pStyle w:val="ListParagraph"/>
        <w:numPr>
          <w:ilvl w:val="0"/>
          <w:numId w:val="24"/>
        </w:numPr>
        <w:tabs>
          <w:tab w:pos="753" w:val="left" w:leader="none"/>
        </w:tabs>
        <w:spacing w:line="240" w:lineRule="auto" w:before="46" w:after="0"/>
        <w:ind w:left="753" w:right="0" w:hanging="527"/>
        <w:jc w:val="left"/>
        <w:rPr>
          <w:sz w:val="21"/>
        </w:rPr>
      </w:pPr>
      <w:r>
        <w:rPr>
          <w:sz w:val="21"/>
        </w:rPr>
        <w:t>与投标人单位有合法的工资关系；</w:t>
      </w:r>
    </w:p>
    <w:p>
      <w:pPr>
        <w:pStyle w:val="ListParagraph"/>
        <w:numPr>
          <w:ilvl w:val="0"/>
          <w:numId w:val="24"/>
        </w:numPr>
        <w:tabs>
          <w:tab w:pos="753" w:val="left" w:leader="none"/>
        </w:tabs>
        <w:spacing w:line="240" w:lineRule="auto" w:before="47" w:after="0"/>
        <w:ind w:left="753" w:right="0" w:hanging="527"/>
        <w:jc w:val="left"/>
        <w:rPr>
          <w:sz w:val="21"/>
        </w:rPr>
      </w:pPr>
      <w:r>
        <w:rPr>
          <w:sz w:val="21"/>
        </w:rPr>
        <w:t>投标人单位为其办理社会保险关系，或具有其它有效证明其为本单位人员身份的文件。</w:t>
      </w:r>
    </w:p>
    <w:p>
      <w:pPr>
        <w:pStyle w:val="ListParagraph"/>
        <w:numPr>
          <w:ilvl w:val="2"/>
          <w:numId w:val="12"/>
        </w:numPr>
        <w:tabs>
          <w:tab w:pos="753" w:val="left" w:leader="none"/>
        </w:tabs>
        <w:spacing w:line="240" w:lineRule="auto" w:before="30" w:after="0"/>
        <w:ind w:left="752" w:right="0" w:hanging="527"/>
        <w:jc w:val="left"/>
        <w:rPr>
          <w:sz w:val="21"/>
        </w:rPr>
      </w:pPr>
      <w:r>
        <w:rPr>
          <w:sz w:val="21"/>
        </w:rPr>
        <w:t>下列行为均属投标人串通投标报价：</w:t>
      </w:r>
    </w:p>
    <w:p>
      <w:pPr>
        <w:pStyle w:val="ListParagraph"/>
        <w:numPr>
          <w:ilvl w:val="0"/>
          <w:numId w:val="25"/>
        </w:numPr>
        <w:tabs>
          <w:tab w:pos="753" w:val="left" w:leader="none"/>
        </w:tabs>
        <w:spacing w:line="240" w:lineRule="auto" w:before="47" w:after="0"/>
        <w:ind w:left="753" w:right="0" w:hanging="527"/>
        <w:jc w:val="left"/>
        <w:rPr>
          <w:sz w:val="21"/>
        </w:rPr>
      </w:pPr>
      <w:r>
        <w:rPr>
          <w:sz w:val="21"/>
        </w:rPr>
        <w:t>投标人之间相互约定抬高或压低投标报价；</w:t>
      </w:r>
    </w:p>
    <w:p>
      <w:pPr>
        <w:pStyle w:val="ListParagraph"/>
        <w:numPr>
          <w:ilvl w:val="0"/>
          <w:numId w:val="25"/>
        </w:numPr>
        <w:tabs>
          <w:tab w:pos="753" w:val="left" w:leader="none"/>
        </w:tabs>
        <w:spacing w:line="240" w:lineRule="auto" w:before="46" w:after="0"/>
        <w:ind w:left="753" w:right="0" w:hanging="527"/>
        <w:jc w:val="left"/>
        <w:rPr>
          <w:sz w:val="21"/>
        </w:rPr>
      </w:pPr>
      <w:r>
        <w:rPr>
          <w:sz w:val="21"/>
        </w:rPr>
        <w:t>投标人之间相互约定，在招标项目中分别以高、中、低价位报价；</w:t>
      </w:r>
    </w:p>
    <w:p>
      <w:pPr>
        <w:pStyle w:val="ListParagraph"/>
        <w:numPr>
          <w:ilvl w:val="0"/>
          <w:numId w:val="25"/>
        </w:numPr>
        <w:tabs>
          <w:tab w:pos="753" w:val="left" w:leader="none"/>
        </w:tabs>
        <w:spacing w:line="240" w:lineRule="auto" w:before="46" w:after="0"/>
        <w:ind w:left="753" w:right="0" w:hanging="527"/>
        <w:jc w:val="left"/>
        <w:rPr>
          <w:sz w:val="21"/>
        </w:rPr>
      </w:pPr>
      <w:r>
        <w:rPr>
          <w:sz w:val="21"/>
        </w:rPr>
        <w:t>投标人之间先进行内部竞价，内定中标人，然后再参加投标；</w:t>
      </w:r>
    </w:p>
    <w:p>
      <w:pPr>
        <w:pStyle w:val="ListParagraph"/>
        <w:numPr>
          <w:ilvl w:val="0"/>
          <w:numId w:val="25"/>
        </w:numPr>
        <w:tabs>
          <w:tab w:pos="753" w:val="left" w:leader="none"/>
        </w:tabs>
        <w:spacing w:line="240" w:lineRule="auto" w:before="47" w:after="0"/>
        <w:ind w:left="753" w:right="0" w:hanging="527"/>
        <w:jc w:val="left"/>
        <w:rPr>
          <w:sz w:val="21"/>
        </w:rPr>
      </w:pPr>
      <w:r>
        <w:rPr>
          <w:sz w:val="21"/>
        </w:rPr>
        <w:t>投标人之间其它串通投标报价的行为。</w:t>
      </w:r>
    </w:p>
    <w:p>
      <w:pPr>
        <w:pStyle w:val="BodyText"/>
        <w:rPr>
          <w:sz w:val="20"/>
        </w:rPr>
      </w:pPr>
    </w:p>
    <w:p>
      <w:pPr>
        <w:pStyle w:val="BodyText"/>
        <w:rPr>
          <w:sz w:val="20"/>
        </w:rPr>
      </w:pPr>
    </w:p>
    <w:p>
      <w:pPr>
        <w:pStyle w:val="Heading7"/>
        <w:numPr>
          <w:ilvl w:val="0"/>
          <w:numId w:val="12"/>
        </w:numPr>
        <w:tabs>
          <w:tab w:pos="648" w:val="left" w:leader="none"/>
        </w:tabs>
        <w:spacing w:line="240" w:lineRule="auto" w:before="214" w:after="0"/>
        <w:ind w:left="647" w:right="0" w:hanging="422"/>
        <w:jc w:val="left"/>
        <w:rPr>
          <w:rFonts w:ascii="黑体" w:eastAsia="黑体" w:hint="eastAsia"/>
        </w:rPr>
      </w:pPr>
      <w:bookmarkStart w:name="10 需要补充的其它内容" w:id="38"/>
      <w:bookmarkEnd w:id="38"/>
      <w:r>
        <w:rPr/>
      </w:r>
      <w:bookmarkStart w:name="_bookmark14" w:id="39"/>
      <w:bookmarkEnd w:id="39"/>
      <w:r>
        <w:rPr/>
      </w:r>
      <w:bookmarkStart w:name="_bookmark14" w:id="40"/>
      <w:bookmarkEnd w:id="40"/>
      <w:r>
        <w:rPr>
          <w:rFonts w:ascii="黑体" w:eastAsia="黑体" w:hint="eastAsia"/>
        </w:rPr>
        <w:t>需要补充的其它内容</w:t>
      </w:r>
    </w:p>
    <w:p>
      <w:pPr>
        <w:pStyle w:val="BodyText"/>
        <w:spacing w:before="11"/>
        <w:rPr>
          <w:rFonts w:ascii="黑体"/>
          <w:sz w:val="25"/>
        </w:rPr>
      </w:pPr>
    </w:p>
    <w:p>
      <w:pPr>
        <w:spacing w:before="71"/>
        <w:ind w:left="226" w:right="0" w:firstLine="0"/>
        <w:jc w:val="left"/>
        <w:rPr>
          <w:sz w:val="21"/>
        </w:rPr>
      </w:pPr>
      <w:r>
        <w:rPr>
          <w:sz w:val="21"/>
        </w:rPr>
        <w:t>见投标人须知前附表。</w:t>
      </w:r>
    </w:p>
    <w:p>
      <w:pPr>
        <w:pStyle w:val="BodyText"/>
        <w:rPr>
          <w:sz w:val="20"/>
        </w:rPr>
      </w:pPr>
    </w:p>
    <w:p>
      <w:pPr>
        <w:pStyle w:val="BodyText"/>
        <w:rPr>
          <w:sz w:val="20"/>
        </w:rPr>
      </w:pPr>
    </w:p>
    <w:p>
      <w:pPr>
        <w:pStyle w:val="BodyText"/>
        <w:rPr>
          <w:sz w:val="20"/>
        </w:rPr>
      </w:pPr>
    </w:p>
    <w:p>
      <w:pPr>
        <w:pStyle w:val="BodyText"/>
        <w:spacing w:before="7"/>
        <w:rPr>
          <w:sz w:val="18"/>
        </w:rPr>
      </w:pPr>
    </w:p>
    <w:p>
      <w:pPr>
        <w:pStyle w:val="Heading9"/>
        <w:spacing w:before="0"/>
      </w:pPr>
      <w:bookmarkStart w:name="附件一：   招标文件澄清申请函" w:id="41"/>
      <w:bookmarkEnd w:id="41"/>
      <w:r>
        <w:rPr>
          <w:b w:val="0"/>
        </w:rPr>
      </w:r>
      <w:bookmarkStart w:name="_bookmark15" w:id="42"/>
      <w:bookmarkEnd w:id="42"/>
      <w:r>
        <w:rPr>
          <w:b w:val="0"/>
        </w:rPr>
      </w:r>
      <w:r>
        <w:rPr/>
        <w:t>附件一： 招标文件澄清申请函</w:t>
      </w:r>
      <w:r>
        <w:rPr>
          <w:w w:val="99"/>
        </w:rPr>
        <w:t> </w:t>
      </w:r>
    </w:p>
    <w:p>
      <w:pPr>
        <w:pStyle w:val="BodyText"/>
        <w:spacing w:before="7"/>
        <w:rPr>
          <w:b/>
          <w:sz w:val="34"/>
        </w:rPr>
      </w:pPr>
    </w:p>
    <w:p>
      <w:pPr>
        <w:spacing w:before="1"/>
        <w:ind w:left="541" w:right="0" w:firstLine="0"/>
        <w:jc w:val="left"/>
        <w:rPr>
          <w:sz w:val="21"/>
        </w:rPr>
      </w:pPr>
      <w:r>
        <w:rPr>
          <w:sz w:val="21"/>
        </w:rPr>
        <w:t>编号：  </w:t>
      </w:r>
    </w:p>
    <w:p>
      <w:pPr>
        <w:pStyle w:val="BodyText"/>
        <w:spacing w:before="4"/>
        <w:rPr>
          <w:sz w:val="15"/>
        </w:rPr>
      </w:pPr>
    </w:p>
    <w:p>
      <w:pPr>
        <w:spacing w:before="0"/>
        <w:ind w:left="541" w:right="0" w:firstLine="0"/>
        <w:jc w:val="left"/>
        <w:rPr>
          <w:sz w:val="21"/>
        </w:rPr>
      </w:pPr>
      <w:r>
        <w:rPr>
          <w:sz w:val="21"/>
        </w:rPr>
        <w:t>           (招标人名称)： </w:t>
      </w:r>
    </w:p>
    <w:p>
      <w:pPr>
        <w:pStyle w:val="BodyText"/>
        <w:spacing w:before="4"/>
        <w:rPr>
          <w:sz w:val="15"/>
        </w:rPr>
      </w:pPr>
    </w:p>
    <w:p>
      <w:pPr>
        <w:spacing w:line="415" w:lineRule="auto" w:before="0"/>
        <w:ind w:left="226" w:right="1348" w:firstLine="315"/>
        <w:jc w:val="left"/>
        <w:rPr>
          <w:sz w:val="21"/>
        </w:rPr>
      </w:pPr>
      <w:r>
        <w:rPr>
          <w:sz w:val="21"/>
        </w:rPr>
        <w:t>经仔细阅读                       （项目名称）    （标段名称） 招标文件后，我方申请对以下问题予以澄清： </w:t>
      </w:r>
    </w:p>
    <w:p>
      <w:pPr>
        <w:spacing w:line="269" w:lineRule="exact" w:before="0"/>
        <w:ind w:left="541" w:right="0" w:firstLine="0"/>
        <w:jc w:val="left"/>
        <w:rPr>
          <w:sz w:val="21"/>
        </w:rPr>
      </w:pPr>
      <w:r>
        <w:rPr>
          <w:sz w:val="21"/>
        </w:rPr>
        <w:t>1</w:t>
      </w:r>
      <w:r>
        <w:rPr>
          <w:spacing w:val="-105"/>
          <w:sz w:val="21"/>
        </w:rPr>
        <w:t>、·····</w:t>
      </w:r>
      <w:r>
        <w:rPr>
          <w:spacing w:val="1"/>
          <w:sz w:val="21"/>
        </w:rPr>
        <w:t>·</w:t>
      </w:r>
      <w:r>
        <w:rPr>
          <w:sz w:val="21"/>
        </w:rPr>
        <w:t> </w:t>
      </w:r>
    </w:p>
    <w:p>
      <w:pPr>
        <w:spacing w:after="0" w:line="269" w:lineRule="exact"/>
        <w:jc w:val="left"/>
        <w:rPr>
          <w:sz w:val="21"/>
        </w:rPr>
        <w:sectPr>
          <w:pgSz w:w="11910" w:h="16850"/>
          <w:pgMar w:header="911" w:footer="0" w:top="1380" w:bottom="280" w:left="1200" w:right="0"/>
        </w:sectPr>
      </w:pPr>
    </w:p>
    <w:p>
      <w:pPr>
        <w:spacing w:before="150"/>
        <w:ind w:left="541" w:right="0" w:firstLine="0"/>
        <w:jc w:val="left"/>
        <w:rPr>
          <w:sz w:val="21"/>
        </w:rPr>
      </w:pPr>
      <w:r>
        <w:rPr>
          <w:sz w:val="21"/>
        </w:rPr>
        <w:t>2</w:t>
      </w:r>
      <w:r>
        <w:rPr>
          <w:spacing w:val="-105"/>
          <w:sz w:val="21"/>
        </w:rPr>
        <w:t>、·····</w:t>
      </w:r>
      <w:r>
        <w:rPr>
          <w:spacing w:val="1"/>
          <w:sz w:val="21"/>
        </w:rPr>
        <w:t>·</w:t>
      </w:r>
      <w:r>
        <w:rPr>
          <w:sz w:val="21"/>
        </w:rPr>
        <w:t> </w:t>
      </w:r>
    </w:p>
    <w:p>
      <w:pPr>
        <w:pStyle w:val="BodyText"/>
        <w:spacing w:before="4"/>
        <w:rPr>
          <w:sz w:val="15"/>
        </w:rPr>
      </w:pPr>
    </w:p>
    <w:p>
      <w:pPr>
        <w:spacing w:before="0"/>
        <w:ind w:left="541" w:right="0" w:firstLine="0"/>
        <w:jc w:val="left"/>
        <w:rPr>
          <w:sz w:val="21"/>
        </w:rPr>
      </w:pPr>
      <w:r>
        <w:rPr>
          <w:sz w:val="21"/>
        </w:rPr>
        <w:t>                     投标人： （单位公章） </w:t>
      </w:r>
    </w:p>
    <w:p>
      <w:pPr>
        <w:pStyle w:val="BodyText"/>
        <w:spacing w:before="4"/>
        <w:rPr>
          <w:sz w:val="15"/>
        </w:rPr>
      </w:pPr>
    </w:p>
    <w:p>
      <w:pPr>
        <w:spacing w:before="0"/>
        <w:ind w:left="541" w:right="0" w:firstLine="0"/>
        <w:jc w:val="left"/>
        <w:rPr>
          <w:sz w:val="21"/>
        </w:rPr>
      </w:pPr>
      <w:r>
        <w:rPr>
          <w:sz w:val="21"/>
        </w:rPr>
        <w:t>                         年 月 日 </w:t>
      </w:r>
    </w:p>
    <w:p>
      <w:pPr>
        <w:pStyle w:val="BodyText"/>
        <w:rPr>
          <w:sz w:val="20"/>
        </w:rPr>
      </w:pPr>
    </w:p>
    <w:p>
      <w:pPr>
        <w:pStyle w:val="BodyText"/>
        <w:rPr>
          <w:sz w:val="20"/>
        </w:rPr>
      </w:pPr>
    </w:p>
    <w:p>
      <w:pPr>
        <w:pStyle w:val="BodyText"/>
        <w:spacing w:before="3"/>
        <w:rPr>
          <w:sz w:val="25"/>
        </w:rPr>
      </w:pPr>
    </w:p>
    <w:p>
      <w:pPr>
        <w:pStyle w:val="Heading9"/>
      </w:pPr>
      <w:bookmarkStart w:name="附件二：招标文件澄清通知" w:id="43"/>
      <w:bookmarkEnd w:id="43"/>
      <w:r>
        <w:rPr>
          <w:b w:val="0"/>
        </w:rPr>
      </w:r>
      <w:bookmarkStart w:name="_bookmark16" w:id="44"/>
      <w:bookmarkEnd w:id="44"/>
      <w:r>
        <w:rPr>
          <w:b w:val="0"/>
        </w:rPr>
      </w:r>
      <w:r>
        <w:rPr/>
        <w:t>附件二：招标文件澄清通知</w:t>
      </w:r>
      <w:r>
        <w:rPr>
          <w:w w:val="99"/>
        </w:rPr>
        <w:t> </w:t>
      </w:r>
    </w:p>
    <w:p>
      <w:pPr>
        <w:pStyle w:val="BodyText"/>
        <w:spacing w:before="4"/>
        <w:rPr>
          <w:b/>
          <w:sz w:val="9"/>
        </w:rPr>
      </w:pPr>
      <w:r>
        <w:rPr/>
        <w:pict>
          <v:group style="position:absolute;margin-left:71.349998pt;margin-top:7.930156pt;width:462.85pt;height:432.65pt;mso-position-horizontal-relative:page;mso-position-vertical-relative:paragraph;z-index:-251591680;mso-wrap-distance-left:0;mso-wrap-distance-right:0" coordorigin="1427,159" coordsize="9257,8653">
            <v:shape style="position:absolute;left:1563;top:158;width:8786;height:8653" type="#_x0000_t75" stroked="false">
              <v:imagedata r:id="rId6" o:title=""/>
            </v:shape>
            <v:shape style="position:absolute;left:1742;top:472;width:8942;height:5840" type="#_x0000_t202" filled="false" stroked="false">
              <v:textbox inset="0,0,0,0">
                <w:txbxContent>
                  <w:p>
                    <w:pPr>
                      <w:spacing w:line="240" w:lineRule="exact" w:before="0"/>
                      <w:ind w:left="0" w:right="0" w:firstLine="0"/>
                      <w:jc w:val="left"/>
                      <w:rPr>
                        <w:sz w:val="21"/>
                      </w:rPr>
                    </w:pPr>
                    <w:r>
                      <w:rPr>
                        <w:sz w:val="21"/>
                      </w:rPr>
                      <w:t>编号：  </w:t>
                    </w:r>
                  </w:p>
                  <w:p>
                    <w:pPr>
                      <w:spacing w:line="240" w:lineRule="auto" w:before="4"/>
                      <w:rPr>
                        <w:b/>
                        <w:sz w:val="15"/>
                      </w:rPr>
                    </w:pPr>
                  </w:p>
                  <w:p>
                    <w:pPr>
                      <w:spacing w:before="0"/>
                      <w:ind w:left="0" w:right="0" w:firstLine="0"/>
                      <w:jc w:val="left"/>
                      <w:rPr>
                        <w:sz w:val="21"/>
                      </w:rPr>
                    </w:pPr>
                    <w:r>
                      <w:rPr>
                        <w:sz w:val="21"/>
                      </w:rPr>
                      <w:t>           (投标人名称)： </w:t>
                    </w:r>
                  </w:p>
                  <w:p>
                    <w:pPr>
                      <w:spacing w:line="240" w:lineRule="auto" w:before="6"/>
                      <w:rPr>
                        <w:b/>
                        <w:sz w:val="16"/>
                      </w:rPr>
                    </w:pPr>
                  </w:p>
                  <w:p>
                    <w:pPr>
                      <w:tabs>
                        <w:tab w:pos="946" w:val="left" w:leader="middleDot"/>
                      </w:tabs>
                      <w:spacing w:line="415" w:lineRule="auto" w:before="0"/>
                      <w:ind w:left="0" w:right="18" w:firstLine="0"/>
                      <w:jc w:val="left"/>
                      <w:rPr>
                        <w:sz w:val="21"/>
                      </w:rPr>
                    </w:pPr>
                    <w:r>
                      <w:rPr>
                        <w:sz w:val="21"/>
                      </w:rPr>
                      <w:t>经研究，对                       </w:t>
                    </w:r>
                    <w:r>
                      <w:rPr>
                        <w:spacing w:val="5"/>
                        <w:sz w:val="21"/>
                      </w:rPr>
                      <w:t> </w:t>
                    </w:r>
                    <w:r>
                      <w:rPr>
                        <w:sz w:val="21"/>
                      </w:rPr>
                      <w:t>（项目名称）   </w:t>
                    </w:r>
                    <w:r>
                      <w:rPr>
                        <w:spacing w:val="5"/>
                        <w:sz w:val="21"/>
                      </w:rPr>
                      <w:t> </w:t>
                    </w:r>
                    <w:r>
                      <w:rPr>
                        <w:sz w:val="21"/>
                      </w:rPr>
                      <w:t>（标段名称）</w:t>
                    </w:r>
                    <w:r>
                      <w:rPr>
                        <w:spacing w:val="6"/>
                        <w:sz w:val="21"/>
                      </w:rPr>
                      <w:t> </w:t>
                    </w:r>
                    <w:r>
                      <w:rPr>
                        <w:sz w:val="21"/>
                      </w:rPr>
                      <w:t>招标文件，作如下澄清</w:t>
                    </w:r>
                    <w:r>
                      <w:rPr>
                        <w:spacing w:val="-122"/>
                        <w:sz w:val="21"/>
                      </w:rPr>
                      <w:t>：</w:t>
                    </w:r>
                    <w:r>
                      <w:rPr>
                        <w:spacing w:val="-103"/>
                        <w:sz w:val="21"/>
                      </w:rPr>
                      <w:t> </w:t>
                    </w:r>
                    <w:r>
                      <w:rPr>
                        <w:sz w:val="21"/>
                      </w:rPr>
                      <w:t>1</w:t>
                    </w:r>
                    <w:r>
                      <w:rPr>
                        <w:spacing w:val="-105"/>
                        <w:sz w:val="21"/>
                      </w:rPr>
                      <w:t>、</w:t>
                    </w:r>
                    <w:r>
                      <w:rPr>
                        <w:rFonts w:ascii="Times New Roman" w:eastAsia="Times New Roman"/>
                        <w:sz w:val="21"/>
                      </w:rPr>
                      <w:t> </w:t>
                      <w:tab/>
                    </w:r>
                    <w:r>
                      <w:rPr>
                        <w:sz w:val="21"/>
                      </w:rPr>
                      <w:t> </w:t>
                    </w:r>
                  </w:p>
                  <w:p>
                    <w:pPr>
                      <w:spacing w:line="269" w:lineRule="exact" w:before="0"/>
                      <w:ind w:left="0" w:right="0" w:firstLine="0"/>
                      <w:jc w:val="left"/>
                      <w:rPr>
                        <w:sz w:val="21"/>
                      </w:rPr>
                    </w:pPr>
                    <w:r>
                      <w:rPr>
                        <w:sz w:val="21"/>
                      </w:rPr>
                      <w:t>2</w:t>
                    </w:r>
                    <w:r>
                      <w:rPr>
                        <w:spacing w:val="-105"/>
                        <w:sz w:val="21"/>
                      </w:rPr>
                      <w:t>、·····</w:t>
                    </w:r>
                    <w:r>
                      <w:rPr>
                        <w:spacing w:val="1"/>
                        <w:sz w:val="21"/>
                      </w:rPr>
                      <w:t>·</w:t>
                    </w:r>
                    <w:r>
                      <w:rPr>
                        <w:sz w:val="21"/>
                      </w:rPr>
                      <w:t> </w:t>
                    </w:r>
                  </w:p>
                  <w:p>
                    <w:pPr>
                      <w:spacing w:line="240" w:lineRule="auto" w:before="4"/>
                      <w:rPr>
                        <w:b/>
                        <w:sz w:val="15"/>
                      </w:rPr>
                    </w:pPr>
                  </w:p>
                  <w:p>
                    <w:pPr>
                      <w:spacing w:before="1"/>
                      <w:ind w:left="0" w:right="0" w:firstLine="0"/>
                      <w:jc w:val="left"/>
                      <w:rPr>
                        <w:sz w:val="21"/>
                      </w:rPr>
                    </w:pPr>
                    <w:r>
                      <w:rPr>
                        <w:sz w:val="21"/>
                      </w:rPr>
                      <w:t>    无论在《青海省电子招投标公共服务平台》下载与否都视为投标人全部知晓本澄清通知。 </w:t>
                    </w:r>
                  </w:p>
                  <w:p>
                    <w:pPr>
                      <w:spacing w:line="240" w:lineRule="auto" w:before="4"/>
                      <w:rPr>
                        <w:b/>
                        <w:sz w:val="15"/>
                      </w:rPr>
                    </w:pPr>
                  </w:p>
                  <w:p>
                    <w:pPr>
                      <w:spacing w:before="0"/>
                      <w:ind w:left="0" w:right="0" w:firstLine="0"/>
                      <w:jc w:val="left"/>
                      <w:rPr>
                        <w:sz w:val="21"/>
                      </w:rPr>
                    </w:pPr>
                    <w:r>
                      <w:rPr>
                        <w:sz w:val="21"/>
                      </w:rPr>
                      <w:t> </w:t>
                    </w:r>
                  </w:p>
                  <w:p>
                    <w:pPr>
                      <w:spacing w:line="240" w:lineRule="auto" w:before="6"/>
                      <w:rPr>
                        <w:b/>
                        <w:sz w:val="16"/>
                      </w:rPr>
                    </w:pPr>
                  </w:p>
                  <w:p>
                    <w:pPr>
                      <w:spacing w:before="0"/>
                      <w:ind w:left="0" w:right="0" w:firstLine="0"/>
                      <w:jc w:val="left"/>
                      <w:rPr>
                        <w:sz w:val="21"/>
                      </w:rPr>
                    </w:pPr>
                    <w:r>
                      <w:rPr>
                        <w:sz w:val="21"/>
                      </w:rPr>
                      <w:t>                     招标人： （单位公章） </w:t>
                    </w:r>
                  </w:p>
                  <w:p>
                    <w:pPr>
                      <w:spacing w:line="240" w:lineRule="auto" w:before="4"/>
                      <w:rPr>
                        <w:b/>
                        <w:sz w:val="15"/>
                      </w:rPr>
                    </w:pPr>
                  </w:p>
                  <w:p>
                    <w:pPr>
                      <w:spacing w:before="0"/>
                      <w:ind w:left="0" w:right="0" w:firstLine="0"/>
                      <w:jc w:val="left"/>
                      <w:rPr>
                        <w:sz w:val="21"/>
                      </w:rPr>
                    </w:pPr>
                    <w:r>
                      <w:rPr>
                        <w:sz w:val="21"/>
                      </w:rPr>
                      <w:t>                         年 月 日 </w:t>
                    </w:r>
                  </w:p>
                  <w:p>
                    <w:pPr>
                      <w:spacing w:line="240" w:lineRule="auto" w:before="4"/>
                      <w:rPr>
                        <w:b/>
                        <w:sz w:val="15"/>
                      </w:rPr>
                    </w:pPr>
                  </w:p>
                  <w:p>
                    <w:pPr>
                      <w:spacing w:before="0"/>
                      <w:ind w:left="0" w:right="0" w:firstLine="0"/>
                      <w:jc w:val="left"/>
                      <w:rPr>
                        <w:sz w:val="21"/>
                      </w:rPr>
                    </w:pPr>
                    <w:r>
                      <w:rPr>
                        <w:sz w:val="21"/>
                      </w:rPr>
                      <w:t> </w:t>
                    </w:r>
                  </w:p>
                  <w:p>
                    <w:pPr>
                      <w:spacing w:line="240" w:lineRule="auto" w:before="4"/>
                      <w:rPr>
                        <w:b/>
                        <w:sz w:val="15"/>
                      </w:rPr>
                    </w:pPr>
                  </w:p>
                  <w:p>
                    <w:pPr>
                      <w:spacing w:before="0"/>
                      <w:ind w:left="0" w:right="0" w:firstLine="0"/>
                      <w:jc w:val="left"/>
                      <w:rPr>
                        <w:sz w:val="21"/>
                      </w:rPr>
                    </w:pPr>
                    <w:r>
                      <w:rPr>
                        <w:sz w:val="21"/>
                      </w:rPr>
                      <w:t> </w:t>
                    </w:r>
                  </w:p>
                  <w:p>
                    <w:pPr>
                      <w:spacing w:line="240" w:lineRule="auto" w:before="4"/>
                      <w:rPr>
                        <w:b/>
                        <w:sz w:val="15"/>
                      </w:rPr>
                    </w:pPr>
                  </w:p>
                  <w:p>
                    <w:pPr>
                      <w:spacing w:before="1"/>
                      <w:ind w:left="0" w:right="0" w:firstLine="0"/>
                      <w:jc w:val="left"/>
                      <w:rPr>
                        <w:sz w:val="21"/>
                      </w:rPr>
                    </w:pPr>
                    <w:r>
                      <w:rPr>
                        <w:sz w:val="21"/>
                      </w:rPr>
                      <w:t> </w:t>
                    </w:r>
                  </w:p>
                  <w:p>
                    <w:pPr>
                      <w:spacing w:line="240" w:lineRule="auto" w:before="6"/>
                      <w:rPr>
                        <w:b/>
                        <w:sz w:val="16"/>
                      </w:rPr>
                    </w:pPr>
                  </w:p>
                  <w:p>
                    <w:pPr>
                      <w:spacing w:line="240" w:lineRule="exact" w:before="0"/>
                      <w:ind w:left="0" w:right="0" w:firstLine="0"/>
                      <w:jc w:val="left"/>
                      <w:rPr>
                        <w:sz w:val="21"/>
                      </w:rPr>
                    </w:pPr>
                    <w:r>
                      <w:rPr>
                        <w:sz w:val="21"/>
                      </w:rPr>
                      <w:t> </w:t>
                    </w:r>
                  </w:p>
                </w:txbxContent>
              </v:textbox>
              <w10:wrap type="none"/>
            </v:shape>
            <v:shape style="position:absolute;left:1427;top:6812;width:3084;height:240" type="#_x0000_t202" filled="false" stroked="false">
              <v:textbox inset="0,0,0,0">
                <w:txbxContent>
                  <w:p>
                    <w:pPr>
                      <w:spacing w:line="240" w:lineRule="exact" w:before="0"/>
                      <w:ind w:left="0" w:right="0" w:firstLine="0"/>
                      <w:jc w:val="left"/>
                      <w:rPr>
                        <w:b/>
                        <w:sz w:val="24"/>
                      </w:rPr>
                    </w:pPr>
                    <w:bookmarkStart w:name="附件三：招标文件修改通知" w:id="45"/>
                    <w:bookmarkEnd w:id="45"/>
                    <w:r>
                      <w:rPr/>
                    </w:r>
                    <w:bookmarkStart w:name="_bookmark17" w:id="46"/>
                    <w:bookmarkEnd w:id="46"/>
                    <w:r>
                      <w:rPr/>
                    </w:r>
                    <w:r>
                      <w:rPr>
                        <w:b/>
                        <w:sz w:val="24"/>
                      </w:rPr>
                      <w:t>附件三：招标文件修改通知</w:t>
                    </w:r>
                    <w:r>
                      <w:rPr>
                        <w:b/>
                        <w:w w:val="99"/>
                        <w:sz w:val="24"/>
                      </w:rPr>
                      <w:t> </w:t>
                    </w:r>
                  </w:p>
                </w:txbxContent>
              </v:textbox>
              <w10:wrap type="none"/>
            </v:shape>
            <v:shape style="position:absolute;left:1742;top:7558;width:8942;height:1141" type="#_x0000_t202" filled="false" stroked="false">
              <v:textbox inset="0,0,0,0">
                <w:txbxContent>
                  <w:p>
                    <w:pPr>
                      <w:spacing w:line="240" w:lineRule="exact" w:before="0"/>
                      <w:ind w:left="0" w:right="0" w:firstLine="0"/>
                      <w:jc w:val="left"/>
                      <w:rPr>
                        <w:sz w:val="21"/>
                      </w:rPr>
                    </w:pPr>
                    <w:r>
                      <w:rPr>
                        <w:sz w:val="21"/>
                      </w:rPr>
                      <w:t>编号: </w:t>
                    </w:r>
                  </w:p>
                  <w:p>
                    <w:pPr>
                      <w:spacing w:line="240" w:lineRule="auto" w:before="4"/>
                      <w:rPr>
                        <w:b/>
                        <w:sz w:val="15"/>
                      </w:rPr>
                    </w:pPr>
                  </w:p>
                  <w:p>
                    <w:pPr>
                      <w:spacing w:before="0"/>
                      <w:ind w:left="0" w:right="0" w:firstLine="0"/>
                      <w:jc w:val="left"/>
                      <w:rPr>
                        <w:sz w:val="21"/>
                      </w:rPr>
                    </w:pPr>
                    <w:r>
                      <w:rPr>
                        <w:sz w:val="21"/>
                      </w:rPr>
                      <w:t>           (投标人名称)： </w:t>
                    </w:r>
                  </w:p>
                  <w:p>
                    <w:pPr>
                      <w:spacing w:line="240" w:lineRule="auto" w:before="4"/>
                      <w:rPr>
                        <w:b/>
                        <w:sz w:val="15"/>
                      </w:rPr>
                    </w:pPr>
                  </w:p>
                  <w:p>
                    <w:pPr>
                      <w:spacing w:line="240" w:lineRule="exact" w:before="0"/>
                      <w:ind w:left="0" w:right="0" w:firstLine="0"/>
                      <w:jc w:val="left"/>
                      <w:rPr>
                        <w:sz w:val="21"/>
                      </w:rPr>
                    </w:pPr>
                    <w:r>
                      <w:rPr>
                        <w:spacing w:val="17"/>
                        <w:sz w:val="21"/>
                      </w:rPr>
                      <w:t>经研究，对 </w:t>
                    </w:r>
                    <w:r>
                      <w:rPr>
                        <w:sz w:val="21"/>
                      </w:rPr>
                      <w:t>（项目名称） （标段名称）招标文件，作如下修改</w:t>
                    </w:r>
                    <w:r>
                      <w:rPr>
                        <w:spacing w:val="-124"/>
                        <w:sz w:val="21"/>
                      </w:rPr>
                      <w:t>：</w:t>
                    </w:r>
                    <w:r>
                      <w:rPr>
                        <w:sz w:val="21"/>
                      </w:rPr>
                      <w:t> </w:t>
                    </w:r>
                  </w:p>
                </w:txbxContent>
              </v:textbox>
              <w10:wrap type="none"/>
            </v:shape>
            <w10:wrap type="topAndBottom"/>
          </v:group>
        </w:pict>
      </w:r>
    </w:p>
    <w:p>
      <w:pPr>
        <w:spacing w:before="86"/>
        <w:ind w:left="541" w:right="0" w:firstLine="0"/>
        <w:jc w:val="left"/>
        <w:rPr>
          <w:sz w:val="21"/>
        </w:rPr>
      </w:pPr>
      <w:r>
        <w:rPr>
          <w:sz w:val="21"/>
        </w:rPr>
        <w:t>1</w:t>
      </w:r>
      <w:r>
        <w:rPr>
          <w:spacing w:val="-105"/>
          <w:sz w:val="21"/>
        </w:rPr>
        <w:t>、·····</w:t>
      </w:r>
      <w:r>
        <w:rPr>
          <w:spacing w:val="1"/>
          <w:sz w:val="21"/>
        </w:rPr>
        <w:t>·</w:t>
      </w:r>
      <w:r>
        <w:rPr>
          <w:sz w:val="21"/>
        </w:rPr>
        <w:t> </w:t>
      </w:r>
    </w:p>
    <w:p>
      <w:pPr>
        <w:pStyle w:val="BodyText"/>
        <w:spacing w:before="3"/>
        <w:rPr>
          <w:sz w:val="15"/>
        </w:rPr>
      </w:pPr>
    </w:p>
    <w:p>
      <w:pPr>
        <w:spacing w:before="1"/>
        <w:ind w:left="541" w:right="0" w:firstLine="0"/>
        <w:jc w:val="left"/>
        <w:rPr>
          <w:sz w:val="21"/>
        </w:rPr>
      </w:pPr>
      <w:r>
        <w:rPr>
          <w:sz w:val="21"/>
        </w:rPr>
        <w:t>2</w:t>
      </w:r>
      <w:r>
        <w:rPr>
          <w:spacing w:val="-105"/>
          <w:sz w:val="21"/>
        </w:rPr>
        <w:t>、·····</w:t>
      </w:r>
      <w:r>
        <w:rPr>
          <w:spacing w:val="1"/>
          <w:sz w:val="21"/>
        </w:rPr>
        <w:t>·</w:t>
      </w:r>
      <w:r>
        <w:rPr>
          <w:sz w:val="21"/>
        </w:rPr>
        <w:t> </w:t>
      </w:r>
    </w:p>
    <w:p>
      <w:pPr>
        <w:pStyle w:val="BodyText"/>
        <w:rPr>
          <w:sz w:val="20"/>
        </w:rPr>
      </w:pPr>
    </w:p>
    <w:p>
      <w:pPr>
        <w:pStyle w:val="BodyText"/>
        <w:spacing w:before="3"/>
        <w:rPr>
          <w:sz w:val="27"/>
        </w:rPr>
      </w:pPr>
    </w:p>
    <w:p>
      <w:pPr>
        <w:spacing w:line="415" w:lineRule="auto" w:before="71"/>
        <w:ind w:left="226" w:right="1326" w:firstLine="315"/>
        <w:jc w:val="left"/>
        <w:rPr>
          <w:sz w:val="21"/>
        </w:rPr>
      </w:pPr>
      <w:r>
        <w:rPr>
          <w:sz w:val="21"/>
        </w:rPr>
        <w:t>注：招标人招标文件修改时，适用于本格式。无论在《青海省电子招投标公共服务平台》下载与否都视为投标人全部知晓本澄清通知。 </w:t>
      </w:r>
    </w:p>
    <w:p>
      <w:pPr>
        <w:spacing w:after="0" w:line="415" w:lineRule="auto"/>
        <w:jc w:val="left"/>
        <w:rPr>
          <w:sz w:val="21"/>
        </w:rPr>
        <w:sectPr>
          <w:pgSz w:w="11910" w:h="16850"/>
          <w:pgMar w:header="911" w:footer="0" w:top="1380" w:bottom="280" w:left="1200" w:right="0"/>
        </w:sectPr>
      </w:pPr>
    </w:p>
    <w:p>
      <w:pPr>
        <w:pStyle w:val="BodyText"/>
        <w:rPr>
          <w:sz w:val="20"/>
        </w:rPr>
      </w:pPr>
    </w:p>
    <w:p>
      <w:pPr>
        <w:pStyle w:val="BodyText"/>
        <w:spacing w:before="7"/>
        <w:rPr>
          <w:sz w:val="22"/>
        </w:rPr>
      </w:pPr>
    </w:p>
    <w:p>
      <w:pPr>
        <w:spacing w:before="70"/>
        <w:ind w:left="541" w:right="0" w:firstLine="0"/>
        <w:jc w:val="left"/>
        <w:rPr>
          <w:sz w:val="21"/>
        </w:rPr>
      </w:pPr>
      <w:r>
        <w:rPr>
          <w:sz w:val="21"/>
        </w:rPr>
        <w:t>                     招标人： （单位公章） </w:t>
      </w:r>
    </w:p>
    <w:p>
      <w:pPr>
        <w:pStyle w:val="BodyText"/>
        <w:spacing w:before="4"/>
        <w:rPr>
          <w:sz w:val="15"/>
        </w:rPr>
      </w:pPr>
    </w:p>
    <w:p>
      <w:pPr>
        <w:spacing w:before="1"/>
        <w:ind w:left="541" w:right="0" w:firstLine="0"/>
        <w:jc w:val="left"/>
        <w:rPr>
          <w:sz w:val="21"/>
        </w:rPr>
      </w:pPr>
      <w:r>
        <w:rPr>
          <w:sz w:val="21"/>
        </w:rPr>
        <w:t>                         年 月 日 </w:t>
      </w:r>
    </w:p>
    <w:p>
      <w:pPr>
        <w:pStyle w:val="BodyText"/>
        <w:rPr>
          <w:sz w:val="20"/>
        </w:rPr>
      </w:pPr>
    </w:p>
    <w:p>
      <w:pPr>
        <w:pStyle w:val="BodyText"/>
        <w:rPr>
          <w:sz w:val="20"/>
        </w:rPr>
      </w:pPr>
    </w:p>
    <w:p>
      <w:pPr>
        <w:pStyle w:val="BodyText"/>
        <w:spacing w:before="2"/>
        <w:rPr>
          <w:sz w:val="25"/>
        </w:rPr>
      </w:pPr>
    </w:p>
    <w:p>
      <w:pPr>
        <w:pStyle w:val="Heading9"/>
      </w:pPr>
      <w:r>
        <w:rPr/>
        <w:pict>
          <v:group style="position:absolute;margin-left:71.349998pt;margin-top:26.660486pt;width:446.15pt;height:432.65pt;mso-position-horizontal-relative:page;mso-position-vertical-relative:paragraph;z-index:-268618752" coordorigin="1427,533" coordsize="8923,8653">
            <v:shape style="position:absolute;left:1563;top:533;width:8786;height:8653" type="#_x0000_t75" stroked="false">
              <v:imagedata r:id="rId6" o:title=""/>
            </v:shape>
            <v:shape style="position:absolute;left:1742;top:821;width:4811;height:702" type="#_x0000_t202" filled="false" stroked="false">
              <v:textbox inset="0,0,0,0">
                <w:txbxContent>
                  <w:p>
                    <w:pPr>
                      <w:spacing w:line="265" w:lineRule="exact" w:before="0"/>
                      <w:ind w:left="45" w:right="0" w:firstLine="0"/>
                      <w:jc w:val="left"/>
                      <w:rPr>
                        <w:sz w:val="21"/>
                      </w:rPr>
                    </w:pPr>
                    <w:r>
                      <w:rPr>
                        <w:sz w:val="24"/>
                        <w:u w:val="single"/>
                      </w:rPr>
                      <w:t> </w:t>
                    </w:r>
                    <w:r>
                      <w:rPr>
                        <w:sz w:val="21"/>
                        <w:u w:val="single"/>
                      </w:rPr>
                      <w:t>             </w:t>
                    </w:r>
                    <w:r>
                      <w:rPr>
                        <w:sz w:val="21"/>
                      </w:rPr>
                      <w:t>（项目名称）</w:t>
                    </w:r>
                    <w:r>
                      <w:rPr>
                        <w:spacing w:val="102"/>
                        <w:sz w:val="21"/>
                      </w:rPr>
                      <w:t> </w:t>
                    </w:r>
                    <w:r>
                      <w:rPr>
                        <w:sz w:val="21"/>
                      </w:rPr>
                      <w:t>（标段名称） </w:t>
                    </w:r>
                  </w:p>
                  <w:p>
                    <w:pPr>
                      <w:spacing w:line="240" w:lineRule="exact" w:before="196"/>
                      <w:ind w:left="0" w:right="0" w:firstLine="0"/>
                      <w:jc w:val="left"/>
                      <w:rPr>
                        <w:sz w:val="21"/>
                      </w:rPr>
                    </w:pPr>
                    <w:r>
                      <w:rPr>
                        <w:sz w:val="21"/>
                      </w:rPr>
                      <w:t>开标时间： 年 月 日 时 分 </w:t>
                    </w:r>
                  </w:p>
                </w:txbxContent>
              </v:textbox>
              <w10:wrap type="none"/>
            </v:shape>
            <v:shape style="position:absolute;left:1427;top:4660;width:2859;height:210" type="#_x0000_t202" filled="false" stroked="false">
              <v:textbox inset="0,0,0,0">
                <w:txbxContent>
                  <w:p>
                    <w:pPr>
                      <w:spacing w:line="210" w:lineRule="exact" w:before="0"/>
                      <w:ind w:left="0" w:right="0" w:firstLine="0"/>
                      <w:jc w:val="left"/>
                      <w:rPr>
                        <w:sz w:val="21"/>
                      </w:rPr>
                    </w:pPr>
                    <w:r>
                      <w:rPr>
                        <w:sz w:val="21"/>
                      </w:rPr>
                      <w:t>注：本表格可结合实际修改。 </w:t>
                    </w:r>
                  </w:p>
                </w:txbxContent>
              </v:textbox>
              <w10:wrap type="none"/>
            </v:shape>
            <w10:wrap type="none"/>
          </v:group>
        </w:pict>
      </w:r>
      <w:bookmarkStart w:name="附件四：开标纪录表" w:id="47"/>
      <w:bookmarkEnd w:id="47"/>
      <w:r>
        <w:rPr>
          <w:b w:val="0"/>
        </w:rPr>
      </w:r>
      <w:bookmarkStart w:name="_bookmark18" w:id="48"/>
      <w:bookmarkEnd w:id="48"/>
      <w:r>
        <w:rPr>
          <w:b w:val="0"/>
        </w:rPr>
      </w:r>
      <w:r>
        <w:rPr/>
        <w:t>附件四：开标纪录表</w:t>
      </w:r>
      <w:r>
        <w:rPr>
          <w:w w:val="99"/>
        </w:rPr>
        <w:t>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0"/>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6"/>
        <w:gridCol w:w="1082"/>
        <w:gridCol w:w="2133"/>
        <w:gridCol w:w="1322"/>
        <w:gridCol w:w="1592"/>
        <w:gridCol w:w="1697"/>
      </w:tblGrid>
      <w:tr>
        <w:trPr>
          <w:trHeight w:val="450" w:hRule="atLeast"/>
        </w:trPr>
        <w:tc>
          <w:tcPr>
            <w:tcW w:w="796" w:type="dxa"/>
          </w:tcPr>
          <w:p>
            <w:pPr>
              <w:pStyle w:val="TableParagraph"/>
              <w:spacing w:before="90"/>
              <w:ind w:left="112"/>
              <w:rPr>
                <w:sz w:val="21"/>
              </w:rPr>
            </w:pPr>
            <w:r>
              <w:rPr>
                <w:sz w:val="21"/>
              </w:rPr>
              <w:t>序号 </w:t>
            </w:r>
          </w:p>
        </w:tc>
        <w:tc>
          <w:tcPr>
            <w:tcW w:w="1082" w:type="dxa"/>
          </w:tcPr>
          <w:p>
            <w:pPr>
              <w:pStyle w:val="TableParagraph"/>
              <w:spacing w:before="90"/>
              <w:ind w:left="147" w:right="250"/>
              <w:jc w:val="center"/>
              <w:rPr>
                <w:sz w:val="21"/>
              </w:rPr>
            </w:pPr>
            <w:r>
              <w:rPr>
                <w:sz w:val="21"/>
              </w:rPr>
              <w:t>投标人 </w:t>
            </w:r>
          </w:p>
        </w:tc>
        <w:tc>
          <w:tcPr>
            <w:tcW w:w="2133" w:type="dxa"/>
            <w:tcBorders>
              <w:right w:val="single" w:sz="8" w:space="0" w:color="000000"/>
            </w:tcBorders>
          </w:tcPr>
          <w:p>
            <w:pPr>
              <w:pStyle w:val="TableParagraph"/>
              <w:spacing w:before="90"/>
              <w:ind w:left="472"/>
              <w:rPr>
                <w:sz w:val="21"/>
              </w:rPr>
            </w:pPr>
            <w:r>
              <w:rPr>
                <w:sz w:val="21"/>
              </w:rPr>
              <w:t>投标报价（元） </w:t>
            </w:r>
          </w:p>
        </w:tc>
        <w:tc>
          <w:tcPr>
            <w:tcW w:w="1322" w:type="dxa"/>
            <w:tcBorders>
              <w:left w:val="single" w:sz="8" w:space="0" w:color="000000"/>
            </w:tcBorders>
          </w:tcPr>
          <w:p>
            <w:pPr>
              <w:pStyle w:val="TableParagraph"/>
              <w:spacing w:before="90"/>
              <w:ind w:left="94"/>
              <w:rPr>
                <w:sz w:val="21"/>
              </w:rPr>
            </w:pPr>
            <w:r>
              <w:rPr>
                <w:sz w:val="21"/>
              </w:rPr>
              <w:t>质量目标 </w:t>
            </w:r>
          </w:p>
        </w:tc>
        <w:tc>
          <w:tcPr>
            <w:tcW w:w="1592" w:type="dxa"/>
          </w:tcPr>
          <w:p>
            <w:pPr>
              <w:pStyle w:val="TableParagraph"/>
              <w:spacing w:before="90"/>
              <w:ind w:left="576"/>
              <w:rPr>
                <w:sz w:val="21"/>
              </w:rPr>
            </w:pPr>
            <w:r>
              <w:rPr>
                <w:sz w:val="21"/>
              </w:rPr>
              <w:t>工期 </w:t>
            </w:r>
          </w:p>
        </w:tc>
        <w:tc>
          <w:tcPr>
            <w:tcW w:w="1697" w:type="dxa"/>
          </w:tcPr>
          <w:p>
            <w:pPr>
              <w:pStyle w:val="TableParagraph"/>
              <w:spacing w:before="90"/>
              <w:ind w:left="96"/>
              <w:rPr>
                <w:sz w:val="21"/>
              </w:rPr>
            </w:pPr>
            <w:r>
              <w:rPr>
                <w:sz w:val="21"/>
              </w:rPr>
              <w:t>投标保证金 </w:t>
            </w:r>
          </w:p>
        </w:tc>
      </w:tr>
      <w:tr>
        <w:trPr>
          <w:trHeight w:val="465" w:hRule="atLeast"/>
        </w:trPr>
        <w:tc>
          <w:tcPr>
            <w:tcW w:w="796" w:type="dxa"/>
          </w:tcPr>
          <w:p>
            <w:pPr>
              <w:pStyle w:val="TableParagraph"/>
              <w:spacing w:before="105"/>
              <w:ind w:left="427"/>
              <w:rPr>
                <w:sz w:val="21"/>
              </w:rPr>
            </w:pPr>
            <w:r>
              <w:rPr>
                <w:sz w:val="21"/>
              </w:rPr>
              <w:t> </w:t>
            </w:r>
          </w:p>
        </w:tc>
        <w:tc>
          <w:tcPr>
            <w:tcW w:w="1082" w:type="dxa"/>
          </w:tcPr>
          <w:p>
            <w:pPr>
              <w:pStyle w:val="TableParagraph"/>
              <w:spacing w:before="105"/>
              <w:ind w:right="105"/>
              <w:jc w:val="center"/>
              <w:rPr>
                <w:sz w:val="21"/>
              </w:rPr>
            </w:pPr>
            <w:r>
              <w:rPr>
                <w:sz w:val="21"/>
              </w:rPr>
              <w:t> </w:t>
            </w:r>
          </w:p>
        </w:tc>
        <w:tc>
          <w:tcPr>
            <w:tcW w:w="2133" w:type="dxa"/>
            <w:tcBorders>
              <w:right w:val="single" w:sz="8" w:space="0" w:color="000000"/>
            </w:tcBorders>
          </w:tcPr>
          <w:p>
            <w:pPr>
              <w:pStyle w:val="TableParagraph"/>
              <w:spacing w:before="105"/>
              <w:ind w:left="412"/>
              <w:rPr>
                <w:sz w:val="21"/>
              </w:rPr>
            </w:pPr>
            <w:r>
              <w:rPr>
                <w:sz w:val="21"/>
              </w:rPr>
              <w:t> </w:t>
            </w:r>
          </w:p>
        </w:tc>
        <w:tc>
          <w:tcPr>
            <w:tcW w:w="1322" w:type="dxa"/>
            <w:tcBorders>
              <w:left w:val="single" w:sz="8" w:space="0" w:color="000000"/>
            </w:tcBorders>
          </w:tcPr>
          <w:p>
            <w:pPr>
              <w:pStyle w:val="TableParagraph"/>
              <w:spacing w:before="105"/>
              <w:ind w:left="410"/>
              <w:rPr>
                <w:sz w:val="21"/>
              </w:rPr>
            </w:pPr>
            <w:r>
              <w:rPr>
                <w:sz w:val="21"/>
              </w:rPr>
              <w:t> </w:t>
            </w:r>
          </w:p>
        </w:tc>
        <w:tc>
          <w:tcPr>
            <w:tcW w:w="1592" w:type="dxa"/>
          </w:tcPr>
          <w:p>
            <w:pPr>
              <w:pStyle w:val="TableParagraph"/>
              <w:spacing w:before="105"/>
              <w:ind w:left="426"/>
              <w:rPr>
                <w:sz w:val="21"/>
              </w:rPr>
            </w:pPr>
            <w:r>
              <w:rPr>
                <w:sz w:val="21"/>
              </w:rPr>
              <w:t> </w:t>
            </w:r>
          </w:p>
        </w:tc>
        <w:tc>
          <w:tcPr>
            <w:tcW w:w="1697" w:type="dxa"/>
          </w:tcPr>
          <w:p>
            <w:pPr>
              <w:pStyle w:val="TableParagraph"/>
              <w:spacing w:before="105"/>
              <w:ind w:left="411"/>
              <w:rPr>
                <w:sz w:val="21"/>
              </w:rPr>
            </w:pPr>
            <w:r>
              <w:rPr>
                <w:sz w:val="21"/>
              </w:rPr>
              <w:t> </w:t>
            </w:r>
          </w:p>
        </w:tc>
      </w:tr>
      <w:tr>
        <w:trPr>
          <w:trHeight w:val="465" w:hRule="atLeast"/>
        </w:trPr>
        <w:tc>
          <w:tcPr>
            <w:tcW w:w="796" w:type="dxa"/>
          </w:tcPr>
          <w:p>
            <w:pPr>
              <w:pStyle w:val="TableParagraph"/>
              <w:spacing w:before="105"/>
              <w:ind w:left="427"/>
              <w:rPr>
                <w:sz w:val="21"/>
              </w:rPr>
            </w:pPr>
            <w:r>
              <w:rPr>
                <w:sz w:val="21"/>
              </w:rPr>
              <w:t> </w:t>
            </w:r>
          </w:p>
        </w:tc>
        <w:tc>
          <w:tcPr>
            <w:tcW w:w="1082" w:type="dxa"/>
          </w:tcPr>
          <w:p>
            <w:pPr>
              <w:pStyle w:val="TableParagraph"/>
              <w:spacing w:before="105"/>
              <w:ind w:right="105"/>
              <w:jc w:val="center"/>
              <w:rPr>
                <w:sz w:val="21"/>
              </w:rPr>
            </w:pPr>
            <w:r>
              <w:rPr>
                <w:sz w:val="21"/>
              </w:rPr>
              <w:t> </w:t>
            </w:r>
          </w:p>
        </w:tc>
        <w:tc>
          <w:tcPr>
            <w:tcW w:w="2133" w:type="dxa"/>
            <w:tcBorders>
              <w:right w:val="single" w:sz="8" w:space="0" w:color="000000"/>
            </w:tcBorders>
          </w:tcPr>
          <w:p>
            <w:pPr>
              <w:pStyle w:val="TableParagraph"/>
              <w:spacing w:before="105"/>
              <w:ind w:left="412"/>
              <w:rPr>
                <w:sz w:val="21"/>
              </w:rPr>
            </w:pPr>
            <w:r>
              <w:rPr>
                <w:sz w:val="21"/>
              </w:rPr>
              <w:t> </w:t>
            </w:r>
          </w:p>
        </w:tc>
        <w:tc>
          <w:tcPr>
            <w:tcW w:w="1322" w:type="dxa"/>
            <w:tcBorders>
              <w:left w:val="single" w:sz="8" w:space="0" w:color="000000"/>
            </w:tcBorders>
          </w:tcPr>
          <w:p>
            <w:pPr>
              <w:pStyle w:val="TableParagraph"/>
              <w:spacing w:before="105"/>
              <w:ind w:left="410"/>
              <w:rPr>
                <w:sz w:val="21"/>
              </w:rPr>
            </w:pPr>
            <w:r>
              <w:rPr>
                <w:sz w:val="21"/>
              </w:rPr>
              <w:t> </w:t>
            </w:r>
          </w:p>
        </w:tc>
        <w:tc>
          <w:tcPr>
            <w:tcW w:w="1592" w:type="dxa"/>
          </w:tcPr>
          <w:p>
            <w:pPr>
              <w:pStyle w:val="TableParagraph"/>
              <w:spacing w:before="105"/>
              <w:ind w:left="426"/>
              <w:rPr>
                <w:sz w:val="21"/>
              </w:rPr>
            </w:pPr>
            <w:r>
              <w:rPr>
                <w:sz w:val="21"/>
              </w:rPr>
              <w:t> </w:t>
            </w:r>
          </w:p>
        </w:tc>
        <w:tc>
          <w:tcPr>
            <w:tcW w:w="1697" w:type="dxa"/>
          </w:tcPr>
          <w:p>
            <w:pPr>
              <w:pStyle w:val="TableParagraph"/>
              <w:spacing w:before="105"/>
              <w:ind w:left="411"/>
              <w:rPr>
                <w:sz w:val="21"/>
              </w:rPr>
            </w:pPr>
            <w:r>
              <w:rPr>
                <w:sz w:val="21"/>
              </w:rPr>
              <w:t> </w:t>
            </w:r>
          </w:p>
        </w:tc>
      </w:tr>
      <w:tr>
        <w:trPr>
          <w:trHeight w:val="462" w:hRule="atLeast"/>
        </w:trPr>
        <w:tc>
          <w:tcPr>
            <w:tcW w:w="796" w:type="dxa"/>
            <w:tcBorders>
              <w:bottom w:val="single" w:sz="8" w:space="0" w:color="000000"/>
            </w:tcBorders>
          </w:tcPr>
          <w:p>
            <w:pPr>
              <w:pStyle w:val="TableParagraph"/>
              <w:spacing w:before="105"/>
              <w:ind w:left="427"/>
              <w:rPr>
                <w:sz w:val="21"/>
              </w:rPr>
            </w:pPr>
            <w:r>
              <w:rPr>
                <w:sz w:val="21"/>
              </w:rPr>
              <w:t> </w:t>
            </w:r>
          </w:p>
        </w:tc>
        <w:tc>
          <w:tcPr>
            <w:tcW w:w="1082" w:type="dxa"/>
            <w:tcBorders>
              <w:bottom w:val="single" w:sz="8" w:space="0" w:color="000000"/>
            </w:tcBorders>
          </w:tcPr>
          <w:p>
            <w:pPr>
              <w:pStyle w:val="TableParagraph"/>
              <w:spacing w:before="105"/>
              <w:ind w:right="105"/>
              <w:jc w:val="center"/>
              <w:rPr>
                <w:sz w:val="21"/>
              </w:rPr>
            </w:pPr>
            <w:r>
              <w:rPr>
                <w:sz w:val="21"/>
              </w:rPr>
              <w:t> </w:t>
            </w:r>
          </w:p>
        </w:tc>
        <w:tc>
          <w:tcPr>
            <w:tcW w:w="2133" w:type="dxa"/>
            <w:tcBorders>
              <w:bottom w:val="single" w:sz="8" w:space="0" w:color="000000"/>
              <w:right w:val="single" w:sz="8" w:space="0" w:color="000000"/>
            </w:tcBorders>
          </w:tcPr>
          <w:p>
            <w:pPr>
              <w:pStyle w:val="TableParagraph"/>
              <w:spacing w:before="105"/>
              <w:ind w:left="412"/>
              <w:rPr>
                <w:sz w:val="21"/>
              </w:rPr>
            </w:pPr>
            <w:r>
              <w:rPr>
                <w:sz w:val="21"/>
              </w:rPr>
              <w:t> </w:t>
            </w:r>
          </w:p>
        </w:tc>
        <w:tc>
          <w:tcPr>
            <w:tcW w:w="1322" w:type="dxa"/>
            <w:tcBorders>
              <w:left w:val="single" w:sz="8" w:space="0" w:color="000000"/>
              <w:bottom w:val="single" w:sz="8" w:space="0" w:color="000000"/>
            </w:tcBorders>
          </w:tcPr>
          <w:p>
            <w:pPr>
              <w:pStyle w:val="TableParagraph"/>
              <w:spacing w:before="105"/>
              <w:ind w:left="410"/>
              <w:rPr>
                <w:sz w:val="21"/>
              </w:rPr>
            </w:pPr>
            <w:r>
              <w:rPr>
                <w:sz w:val="21"/>
              </w:rPr>
              <w:t> </w:t>
            </w:r>
          </w:p>
        </w:tc>
        <w:tc>
          <w:tcPr>
            <w:tcW w:w="1592" w:type="dxa"/>
            <w:tcBorders>
              <w:bottom w:val="single" w:sz="8" w:space="0" w:color="000000"/>
            </w:tcBorders>
          </w:tcPr>
          <w:p>
            <w:pPr>
              <w:pStyle w:val="TableParagraph"/>
              <w:spacing w:before="105"/>
              <w:ind w:left="426"/>
              <w:rPr>
                <w:sz w:val="21"/>
              </w:rPr>
            </w:pPr>
            <w:r>
              <w:rPr>
                <w:sz w:val="21"/>
              </w:rPr>
              <w:t> </w:t>
            </w:r>
          </w:p>
        </w:tc>
        <w:tc>
          <w:tcPr>
            <w:tcW w:w="1697" w:type="dxa"/>
            <w:tcBorders>
              <w:bottom w:val="single" w:sz="8" w:space="0" w:color="000000"/>
            </w:tcBorders>
          </w:tcPr>
          <w:p>
            <w:pPr>
              <w:pStyle w:val="TableParagraph"/>
              <w:spacing w:before="105"/>
              <w:ind w:left="411"/>
              <w:rPr>
                <w:sz w:val="21"/>
              </w:rPr>
            </w:pPr>
            <w:r>
              <w:rPr>
                <w:sz w:val="21"/>
              </w:rPr>
              <w:t> </w:t>
            </w:r>
          </w:p>
        </w:tc>
      </w:tr>
      <w:tr>
        <w:trPr>
          <w:trHeight w:val="462" w:hRule="atLeast"/>
        </w:trPr>
        <w:tc>
          <w:tcPr>
            <w:tcW w:w="796" w:type="dxa"/>
            <w:tcBorders>
              <w:top w:val="single" w:sz="8" w:space="0" w:color="000000"/>
            </w:tcBorders>
          </w:tcPr>
          <w:p>
            <w:pPr>
              <w:pStyle w:val="TableParagraph"/>
              <w:spacing w:before="102"/>
              <w:ind w:left="427"/>
              <w:rPr>
                <w:sz w:val="21"/>
              </w:rPr>
            </w:pPr>
            <w:r>
              <w:rPr>
                <w:sz w:val="21"/>
              </w:rPr>
              <w:t> </w:t>
            </w:r>
          </w:p>
        </w:tc>
        <w:tc>
          <w:tcPr>
            <w:tcW w:w="1082" w:type="dxa"/>
            <w:tcBorders>
              <w:top w:val="single" w:sz="8" w:space="0" w:color="000000"/>
            </w:tcBorders>
          </w:tcPr>
          <w:p>
            <w:pPr>
              <w:pStyle w:val="TableParagraph"/>
              <w:spacing w:before="102"/>
              <w:ind w:right="105"/>
              <w:jc w:val="center"/>
              <w:rPr>
                <w:sz w:val="21"/>
              </w:rPr>
            </w:pPr>
            <w:r>
              <w:rPr>
                <w:sz w:val="21"/>
              </w:rPr>
              <w:t> </w:t>
            </w:r>
          </w:p>
        </w:tc>
        <w:tc>
          <w:tcPr>
            <w:tcW w:w="2133" w:type="dxa"/>
            <w:tcBorders>
              <w:top w:val="single" w:sz="8" w:space="0" w:color="000000"/>
              <w:right w:val="single" w:sz="8" w:space="0" w:color="000000"/>
            </w:tcBorders>
          </w:tcPr>
          <w:p>
            <w:pPr>
              <w:pStyle w:val="TableParagraph"/>
              <w:spacing w:before="102"/>
              <w:ind w:left="412"/>
              <w:rPr>
                <w:sz w:val="21"/>
              </w:rPr>
            </w:pPr>
            <w:r>
              <w:rPr>
                <w:sz w:val="21"/>
              </w:rPr>
              <w:t> </w:t>
            </w:r>
          </w:p>
        </w:tc>
        <w:tc>
          <w:tcPr>
            <w:tcW w:w="1322" w:type="dxa"/>
            <w:tcBorders>
              <w:top w:val="single" w:sz="8" w:space="0" w:color="000000"/>
              <w:left w:val="single" w:sz="8" w:space="0" w:color="000000"/>
            </w:tcBorders>
          </w:tcPr>
          <w:p>
            <w:pPr>
              <w:pStyle w:val="TableParagraph"/>
              <w:spacing w:before="102"/>
              <w:ind w:left="410"/>
              <w:rPr>
                <w:sz w:val="21"/>
              </w:rPr>
            </w:pPr>
            <w:r>
              <w:rPr>
                <w:sz w:val="21"/>
              </w:rPr>
              <w:t> </w:t>
            </w:r>
          </w:p>
        </w:tc>
        <w:tc>
          <w:tcPr>
            <w:tcW w:w="1592" w:type="dxa"/>
            <w:tcBorders>
              <w:top w:val="single" w:sz="8" w:space="0" w:color="000000"/>
            </w:tcBorders>
          </w:tcPr>
          <w:p>
            <w:pPr>
              <w:pStyle w:val="TableParagraph"/>
              <w:spacing w:before="102"/>
              <w:ind w:left="426"/>
              <w:rPr>
                <w:sz w:val="21"/>
              </w:rPr>
            </w:pPr>
            <w:r>
              <w:rPr>
                <w:sz w:val="21"/>
              </w:rPr>
              <w:t> </w:t>
            </w:r>
          </w:p>
        </w:tc>
        <w:tc>
          <w:tcPr>
            <w:tcW w:w="1697" w:type="dxa"/>
            <w:tcBorders>
              <w:top w:val="single" w:sz="8" w:space="0" w:color="000000"/>
            </w:tcBorders>
          </w:tcPr>
          <w:p>
            <w:pPr>
              <w:pStyle w:val="TableParagraph"/>
              <w:spacing w:before="102"/>
              <w:ind w:left="411"/>
              <w:rPr>
                <w:sz w:val="21"/>
              </w:rPr>
            </w:pPr>
            <w:r>
              <w:rPr>
                <w:sz w:val="21"/>
              </w:rPr>
              <w:t> </w:t>
            </w:r>
          </w:p>
        </w:tc>
      </w:tr>
      <w:tr>
        <w:trPr>
          <w:trHeight w:val="450" w:hRule="atLeast"/>
        </w:trPr>
        <w:tc>
          <w:tcPr>
            <w:tcW w:w="1878" w:type="dxa"/>
            <w:gridSpan w:val="2"/>
          </w:tcPr>
          <w:p>
            <w:pPr>
              <w:pStyle w:val="TableParagraph"/>
              <w:spacing w:before="105"/>
              <w:ind w:left="112"/>
              <w:rPr>
                <w:sz w:val="21"/>
              </w:rPr>
            </w:pPr>
            <w:r>
              <w:rPr>
                <w:sz w:val="21"/>
              </w:rPr>
              <w:t>招标人控制价 </w:t>
            </w:r>
          </w:p>
        </w:tc>
        <w:tc>
          <w:tcPr>
            <w:tcW w:w="6744" w:type="dxa"/>
            <w:gridSpan w:val="4"/>
          </w:tcPr>
          <w:p>
            <w:pPr>
              <w:pStyle w:val="TableParagraph"/>
              <w:spacing w:before="105"/>
              <w:ind w:left="412"/>
              <w:rPr>
                <w:sz w:val="21"/>
              </w:rPr>
            </w:pPr>
            <w:r>
              <w:rPr>
                <w:sz w:val="21"/>
              </w:rPr>
              <w:t> </w:t>
            </w:r>
          </w:p>
        </w:tc>
      </w:tr>
    </w:tbl>
    <w:p>
      <w:pPr>
        <w:spacing w:after="0"/>
        <w:rPr>
          <w:sz w:val="21"/>
        </w:rPr>
        <w:sectPr>
          <w:pgSz w:w="11910" w:h="16850"/>
          <w:pgMar w:header="911" w:footer="0" w:top="1380" w:bottom="280" w:left="1200" w:right="0"/>
        </w:sectPr>
      </w:pPr>
    </w:p>
    <w:p>
      <w:pPr>
        <w:pStyle w:val="BodyText"/>
        <w:rPr>
          <w:b/>
          <w:sz w:val="20"/>
        </w:rPr>
      </w:pPr>
    </w:p>
    <w:p>
      <w:pPr>
        <w:pStyle w:val="BodyText"/>
        <w:rPr>
          <w:b/>
          <w:sz w:val="20"/>
        </w:rPr>
      </w:pPr>
    </w:p>
    <w:p>
      <w:pPr>
        <w:pStyle w:val="BodyText"/>
        <w:spacing w:before="7"/>
        <w:rPr>
          <w:b/>
          <w:sz w:val="18"/>
        </w:rPr>
      </w:pPr>
    </w:p>
    <w:p>
      <w:pPr>
        <w:tabs>
          <w:tab w:pos="1081" w:val="left" w:leader="none"/>
        </w:tabs>
        <w:spacing w:before="0"/>
        <w:ind w:left="0" w:right="1122" w:firstLine="0"/>
        <w:jc w:val="center"/>
        <w:rPr>
          <w:rFonts w:ascii="黑体" w:eastAsia="黑体" w:hint="eastAsia"/>
          <w:sz w:val="27"/>
        </w:rPr>
      </w:pPr>
      <w:r>
        <w:rPr/>
        <w:drawing>
          <wp:anchor distT="0" distB="0" distL="0" distR="0" allowOverlap="1" layoutInCell="1" locked="0" behindDoc="1" simplePos="0" relativeHeight="234698752">
            <wp:simplePos x="0" y="0"/>
            <wp:positionH relativeFrom="page">
              <wp:posOffset>992771</wp:posOffset>
            </wp:positionH>
            <wp:positionV relativeFrom="paragraph">
              <wp:posOffset>1249432</wp:posOffset>
            </wp:positionV>
            <wp:extent cx="5575945" cy="5491162"/>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6" cstate="print"/>
                    <a:stretch>
                      <a:fillRect/>
                    </a:stretch>
                  </pic:blipFill>
                  <pic:spPr>
                    <a:xfrm>
                      <a:off x="0" y="0"/>
                      <a:ext cx="5575945" cy="5491162"/>
                    </a:xfrm>
                    <a:prstGeom prst="rect">
                      <a:avLst/>
                    </a:prstGeom>
                  </pic:spPr>
                </pic:pic>
              </a:graphicData>
            </a:graphic>
          </wp:anchor>
        </w:drawing>
      </w:r>
      <w:bookmarkStart w:name="第三章  评标办法" w:id="49"/>
      <w:bookmarkEnd w:id="49"/>
      <w:r>
        <w:rPr/>
      </w:r>
      <w:bookmarkStart w:name="_bookmark19" w:id="50"/>
      <w:bookmarkEnd w:id="50"/>
      <w:r>
        <w:rPr/>
      </w:r>
      <w:r>
        <w:rPr>
          <w:rFonts w:ascii="黑体" w:eastAsia="黑体" w:hint="eastAsia"/>
          <w:sz w:val="27"/>
        </w:rPr>
        <w:t>第三章</w:t>
        <w:tab/>
        <w:t>评标办法</w:t>
      </w:r>
    </w:p>
    <w:p>
      <w:pPr>
        <w:pStyle w:val="BodyText"/>
        <w:rPr>
          <w:rFonts w:ascii="黑体"/>
          <w:sz w:val="20"/>
        </w:rPr>
      </w:pPr>
    </w:p>
    <w:p>
      <w:pPr>
        <w:pStyle w:val="BodyText"/>
        <w:rPr>
          <w:rFonts w:ascii="黑体"/>
          <w:sz w:val="20"/>
        </w:rPr>
      </w:pPr>
    </w:p>
    <w:p>
      <w:pPr>
        <w:pStyle w:val="BodyText"/>
        <w:spacing w:before="8"/>
        <w:rPr>
          <w:rFonts w:ascii="黑体"/>
          <w:sz w:val="25"/>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2"/>
        <w:gridCol w:w="1292"/>
        <w:gridCol w:w="3229"/>
        <w:gridCol w:w="3875"/>
      </w:tblGrid>
      <w:tr>
        <w:trPr>
          <w:trHeight w:val="495" w:hRule="atLeast"/>
        </w:trPr>
        <w:tc>
          <w:tcPr>
            <w:tcW w:w="2254" w:type="dxa"/>
            <w:gridSpan w:val="2"/>
          </w:tcPr>
          <w:p>
            <w:pPr>
              <w:pStyle w:val="TableParagraph"/>
              <w:spacing w:before="105"/>
              <w:ind w:left="818"/>
              <w:rPr>
                <w:sz w:val="21"/>
              </w:rPr>
            </w:pPr>
            <w:r>
              <w:rPr>
                <w:sz w:val="21"/>
              </w:rPr>
              <w:t>条款号 </w:t>
            </w:r>
          </w:p>
        </w:tc>
        <w:tc>
          <w:tcPr>
            <w:tcW w:w="3229" w:type="dxa"/>
          </w:tcPr>
          <w:p>
            <w:pPr>
              <w:pStyle w:val="TableParagraph"/>
              <w:spacing w:before="105"/>
              <w:ind w:left="1226" w:right="1108"/>
              <w:jc w:val="center"/>
              <w:rPr>
                <w:sz w:val="21"/>
              </w:rPr>
            </w:pPr>
            <w:r>
              <w:rPr>
                <w:sz w:val="21"/>
              </w:rPr>
              <w:t>评审因素 </w:t>
            </w:r>
          </w:p>
        </w:tc>
        <w:tc>
          <w:tcPr>
            <w:tcW w:w="3875" w:type="dxa"/>
          </w:tcPr>
          <w:p>
            <w:pPr>
              <w:pStyle w:val="TableParagraph"/>
              <w:spacing w:before="105"/>
              <w:ind w:left="1541" w:right="1438"/>
              <w:jc w:val="center"/>
              <w:rPr>
                <w:sz w:val="21"/>
              </w:rPr>
            </w:pPr>
            <w:r>
              <w:rPr>
                <w:sz w:val="21"/>
              </w:rPr>
              <w:t>评审标准 </w:t>
            </w:r>
          </w:p>
        </w:tc>
      </w:tr>
      <w:tr>
        <w:trPr>
          <w:trHeight w:val="825" w:hRule="atLeast"/>
        </w:trPr>
        <w:tc>
          <w:tcPr>
            <w:tcW w:w="962" w:type="dxa"/>
            <w:vMerge w:val="restart"/>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75"/>
              <w:ind w:left="217"/>
              <w:rPr>
                <w:sz w:val="21"/>
              </w:rPr>
            </w:pPr>
            <w:r>
              <w:rPr>
                <w:sz w:val="21"/>
              </w:rPr>
              <w:t>2.1.2 </w:t>
            </w:r>
          </w:p>
        </w:tc>
        <w:tc>
          <w:tcPr>
            <w:tcW w:w="1292" w:type="dxa"/>
            <w:vMerge w:val="restart"/>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11"/>
              <w:rPr>
                <w:rFonts w:ascii="黑体"/>
                <w:sz w:val="21"/>
              </w:rPr>
            </w:pPr>
          </w:p>
          <w:p>
            <w:pPr>
              <w:pStyle w:val="TableParagraph"/>
              <w:spacing w:line="280" w:lineRule="auto" w:before="1"/>
              <w:ind w:left="547" w:right="95" w:hanging="421"/>
              <w:rPr>
                <w:sz w:val="21"/>
              </w:rPr>
            </w:pPr>
            <w:r>
              <w:rPr>
                <w:sz w:val="21"/>
              </w:rPr>
              <w:t>形式评审标准 </w:t>
            </w:r>
          </w:p>
        </w:tc>
        <w:tc>
          <w:tcPr>
            <w:tcW w:w="3229" w:type="dxa"/>
          </w:tcPr>
          <w:p>
            <w:pPr>
              <w:pStyle w:val="TableParagraph"/>
              <w:spacing w:before="1"/>
              <w:rPr>
                <w:rFonts w:ascii="黑体"/>
                <w:sz w:val="21"/>
              </w:rPr>
            </w:pPr>
          </w:p>
          <w:p>
            <w:pPr>
              <w:pStyle w:val="TableParagraph"/>
              <w:ind w:left="111"/>
              <w:rPr>
                <w:sz w:val="21"/>
              </w:rPr>
            </w:pPr>
            <w:r>
              <w:rPr>
                <w:sz w:val="21"/>
              </w:rPr>
              <w:t>投标人名称 </w:t>
            </w:r>
          </w:p>
        </w:tc>
        <w:tc>
          <w:tcPr>
            <w:tcW w:w="3875" w:type="dxa"/>
          </w:tcPr>
          <w:p>
            <w:pPr>
              <w:pStyle w:val="TableParagraph"/>
              <w:spacing w:line="280" w:lineRule="auto" w:before="105"/>
              <w:ind w:left="111" w:right="167"/>
              <w:rPr>
                <w:sz w:val="21"/>
              </w:rPr>
            </w:pPr>
            <w:r>
              <w:rPr>
                <w:sz w:val="21"/>
              </w:rPr>
              <w:t>与统一社会信用代码证书、资质证书、安全生产许可证名称一致 </w:t>
            </w:r>
          </w:p>
        </w:tc>
      </w:tr>
      <w:tr>
        <w:trPr>
          <w:trHeight w:val="810"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1"/>
              <w:rPr>
                <w:rFonts w:ascii="黑体"/>
                <w:sz w:val="19"/>
              </w:rPr>
            </w:pPr>
          </w:p>
          <w:p>
            <w:pPr>
              <w:pStyle w:val="TableParagraph"/>
              <w:spacing w:before="1"/>
              <w:ind w:left="111"/>
              <w:rPr>
                <w:sz w:val="21"/>
              </w:rPr>
            </w:pPr>
            <w:r>
              <w:rPr>
                <w:sz w:val="21"/>
              </w:rPr>
              <w:t>投标函签字盖章 </w:t>
            </w:r>
          </w:p>
        </w:tc>
        <w:tc>
          <w:tcPr>
            <w:tcW w:w="3875" w:type="dxa"/>
          </w:tcPr>
          <w:p>
            <w:pPr>
              <w:pStyle w:val="TableParagraph"/>
              <w:spacing w:line="266" w:lineRule="auto" w:before="105"/>
              <w:ind w:left="111" w:right="275"/>
              <w:rPr>
                <w:sz w:val="21"/>
              </w:rPr>
            </w:pPr>
            <w:r>
              <w:rPr>
                <w:sz w:val="21"/>
              </w:rPr>
              <w:t>“第八章 投标文件格式”明示处应有法定代表人或投标单位电子印章 </w:t>
            </w:r>
          </w:p>
        </w:tc>
      </w:tr>
      <w:tr>
        <w:trPr>
          <w:trHeight w:val="49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05"/>
              <w:ind w:left="111"/>
              <w:rPr>
                <w:sz w:val="21"/>
              </w:rPr>
            </w:pPr>
            <w:r>
              <w:rPr>
                <w:sz w:val="21"/>
              </w:rPr>
              <w:t>投标文件格式 </w:t>
            </w:r>
          </w:p>
        </w:tc>
        <w:tc>
          <w:tcPr>
            <w:tcW w:w="3875" w:type="dxa"/>
          </w:tcPr>
          <w:p>
            <w:pPr>
              <w:pStyle w:val="TableParagraph"/>
              <w:spacing w:before="105"/>
              <w:ind w:left="111"/>
              <w:rPr>
                <w:sz w:val="21"/>
              </w:rPr>
            </w:pPr>
            <w:r>
              <w:rPr>
                <w:sz w:val="21"/>
              </w:rPr>
              <w:t>符合第八章“投标文件格式”的要求 </w:t>
            </w:r>
          </w:p>
        </w:tc>
      </w:tr>
      <w:tr>
        <w:trPr>
          <w:trHeight w:val="510"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05"/>
              <w:ind w:left="111"/>
              <w:rPr>
                <w:sz w:val="21"/>
              </w:rPr>
            </w:pPr>
            <w:r>
              <w:rPr>
                <w:sz w:val="21"/>
              </w:rPr>
              <w:t>报价唯一 </w:t>
            </w:r>
          </w:p>
        </w:tc>
        <w:tc>
          <w:tcPr>
            <w:tcW w:w="3875" w:type="dxa"/>
          </w:tcPr>
          <w:p>
            <w:pPr>
              <w:pStyle w:val="TableParagraph"/>
              <w:spacing w:before="105"/>
              <w:ind w:left="111"/>
              <w:rPr>
                <w:sz w:val="21"/>
              </w:rPr>
            </w:pPr>
            <w:r>
              <w:rPr>
                <w:sz w:val="21"/>
              </w:rPr>
              <w:t>只能有一个有效报价 </w:t>
            </w:r>
          </w:p>
        </w:tc>
      </w:tr>
      <w:tr>
        <w:trPr>
          <w:trHeight w:val="49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05"/>
              <w:ind w:left="111"/>
              <w:rPr>
                <w:sz w:val="21"/>
              </w:rPr>
            </w:pPr>
            <w:r>
              <w:rPr>
                <w:sz w:val="21"/>
              </w:rPr>
              <w:t>电子投标文件 </w:t>
            </w:r>
          </w:p>
        </w:tc>
        <w:tc>
          <w:tcPr>
            <w:tcW w:w="3875" w:type="dxa"/>
          </w:tcPr>
          <w:p>
            <w:pPr>
              <w:pStyle w:val="TableParagraph"/>
              <w:spacing w:before="105"/>
              <w:ind w:left="111"/>
              <w:rPr>
                <w:sz w:val="21"/>
              </w:rPr>
            </w:pPr>
            <w:r>
              <w:rPr>
                <w:sz w:val="21"/>
              </w:rPr>
              <w:t>按招标文件规定提交电子投标文件。 </w:t>
            </w:r>
          </w:p>
        </w:tc>
      </w:tr>
      <w:tr>
        <w:trPr>
          <w:trHeight w:val="510" w:hRule="atLeast"/>
        </w:trPr>
        <w:tc>
          <w:tcPr>
            <w:tcW w:w="962" w:type="dxa"/>
            <w:vMerge w:val="restart"/>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2"/>
              <w:rPr>
                <w:rFonts w:ascii="黑体"/>
                <w:sz w:val="28"/>
              </w:rPr>
            </w:pPr>
          </w:p>
          <w:p>
            <w:pPr>
              <w:pStyle w:val="TableParagraph"/>
              <w:ind w:left="217"/>
              <w:rPr>
                <w:sz w:val="21"/>
              </w:rPr>
            </w:pPr>
            <w:r>
              <w:rPr>
                <w:sz w:val="21"/>
              </w:rPr>
              <w:t>2.1.1 </w:t>
            </w:r>
          </w:p>
        </w:tc>
        <w:tc>
          <w:tcPr>
            <w:tcW w:w="1292" w:type="dxa"/>
            <w:vMerge w:val="restart"/>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3"/>
              <w:rPr>
                <w:rFonts w:ascii="黑体"/>
                <w:sz w:val="15"/>
              </w:rPr>
            </w:pPr>
          </w:p>
          <w:p>
            <w:pPr>
              <w:pStyle w:val="TableParagraph"/>
              <w:spacing w:line="280" w:lineRule="auto"/>
              <w:ind w:left="547" w:right="95" w:hanging="421"/>
              <w:rPr>
                <w:sz w:val="21"/>
              </w:rPr>
            </w:pPr>
            <w:r>
              <w:rPr>
                <w:sz w:val="21"/>
              </w:rPr>
              <w:t>资格评审标准 </w:t>
            </w:r>
          </w:p>
        </w:tc>
        <w:tc>
          <w:tcPr>
            <w:tcW w:w="3229" w:type="dxa"/>
          </w:tcPr>
          <w:p>
            <w:pPr>
              <w:pStyle w:val="TableParagraph"/>
              <w:spacing w:before="105"/>
              <w:ind w:left="111"/>
              <w:rPr>
                <w:sz w:val="21"/>
              </w:rPr>
            </w:pPr>
            <w:r>
              <w:rPr>
                <w:sz w:val="21"/>
              </w:rPr>
              <w:t>统一社会信用代码证书 </w:t>
            </w:r>
          </w:p>
        </w:tc>
        <w:tc>
          <w:tcPr>
            <w:tcW w:w="3875" w:type="dxa"/>
          </w:tcPr>
          <w:p>
            <w:pPr>
              <w:pStyle w:val="TableParagraph"/>
              <w:spacing w:before="105"/>
              <w:ind w:left="111"/>
              <w:rPr>
                <w:sz w:val="21"/>
              </w:rPr>
            </w:pPr>
            <w:r>
              <w:rPr>
                <w:sz w:val="21"/>
              </w:rPr>
              <w:t>具备有效的统一社会信用代码证书 </w:t>
            </w:r>
          </w:p>
        </w:tc>
      </w:tr>
      <w:tr>
        <w:trPr>
          <w:trHeight w:val="49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05"/>
              <w:ind w:left="111"/>
              <w:rPr>
                <w:sz w:val="21"/>
              </w:rPr>
            </w:pPr>
            <w:r>
              <w:rPr>
                <w:sz w:val="21"/>
              </w:rPr>
              <w:t>安全生产许可证 </w:t>
            </w:r>
          </w:p>
        </w:tc>
        <w:tc>
          <w:tcPr>
            <w:tcW w:w="3875" w:type="dxa"/>
          </w:tcPr>
          <w:p>
            <w:pPr>
              <w:pStyle w:val="TableParagraph"/>
              <w:spacing w:before="105"/>
              <w:ind w:left="111"/>
              <w:rPr>
                <w:sz w:val="21"/>
              </w:rPr>
            </w:pPr>
            <w:r>
              <w:rPr>
                <w:sz w:val="21"/>
              </w:rPr>
              <w:t>具备有效的安全生产许可证 </w:t>
            </w:r>
          </w:p>
        </w:tc>
      </w:tr>
      <w:tr>
        <w:trPr>
          <w:trHeight w:val="82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
              <w:rPr>
                <w:rFonts w:ascii="黑体"/>
                <w:sz w:val="21"/>
              </w:rPr>
            </w:pPr>
          </w:p>
          <w:p>
            <w:pPr>
              <w:pStyle w:val="TableParagraph"/>
              <w:ind w:left="111"/>
              <w:rPr>
                <w:sz w:val="21"/>
              </w:rPr>
            </w:pPr>
            <w:r>
              <w:rPr>
                <w:sz w:val="21"/>
              </w:rPr>
              <w:t>资质等级 </w:t>
            </w:r>
          </w:p>
        </w:tc>
        <w:tc>
          <w:tcPr>
            <w:tcW w:w="3875" w:type="dxa"/>
          </w:tcPr>
          <w:p>
            <w:pPr>
              <w:pStyle w:val="TableParagraph"/>
              <w:spacing w:line="280"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810"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1"/>
              <w:rPr>
                <w:rFonts w:ascii="黑体"/>
                <w:sz w:val="19"/>
              </w:rPr>
            </w:pPr>
          </w:p>
          <w:p>
            <w:pPr>
              <w:pStyle w:val="TableParagraph"/>
              <w:ind w:left="111"/>
              <w:rPr>
                <w:sz w:val="21"/>
              </w:rPr>
            </w:pPr>
            <w:r>
              <w:rPr>
                <w:sz w:val="21"/>
              </w:rPr>
              <w:t>财务要求 </w:t>
            </w:r>
          </w:p>
        </w:tc>
        <w:tc>
          <w:tcPr>
            <w:tcW w:w="3875" w:type="dxa"/>
          </w:tcPr>
          <w:p>
            <w:pPr>
              <w:pStyle w:val="TableParagraph"/>
              <w:spacing w:line="268"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811"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1"/>
              <w:rPr>
                <w:rFonts w:ascii="黑体"/>
                <w:sz w:val="19"/>
              </w:rPr>
            </w:pPr>
          </w:p>
          <w:p>
            <w:pPr>
              <w:pStyle w:val="TableParagraph"/>
              <w:spacing w:before="1"/>
              <w:ind w:left="111"/>
              <w:rPr>
                <w:sz w:val="21"/>
              </w:rPr>
            </w:pPr>
            <w:r>
              <w:rPr>
                <w:sz w:val="21"/>
              </w:rPr>
              <w:t>业绩要求 </w:t>
            </w:r>
          </w:p>
        </w:tc>
        <w:tc>
          <w:tcPr>
            <w:tcW w:w="3875" w:type="dxa"/>
          </w:tcPr>
          <w:p>
            <w:pPr>
              <w:pStyle w:val="TableParagraph"/>
              <w:spacing w:line="280"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810"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1"/>
              <w:rPr>
                <w:rFonts w:ascii="黑体"/>
                <w:sz w:val="19"/>
              </w:rPr>
            </w:pPr>
          </w:p>
          <w:p>
            <w:pPr>
              <w:pStyle w:val="TableParagraph"/>
              <w:ind w:left="111"/>
              <w:rPr>
                <w:sz w:val="21"/>
              </w:rPr>
            </w:pPr>
            <w:r>
              <w:rPr>
                <w:sz w:val="21"/>
              </w:rPr>
              <w:t>信誉要求 </w:t>
            </w:r>
          </w:p>
        </w:tc>
        <w:tc>
          <w:tcPr>
            <w:tcW w:w="3875" w:type="dxa"/>
          </w:tcPr>
          <w:p>
            <w:pPr>
              <w:pStyle w:val="TableParagraph"/>
              <w:spacing w:line="280"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82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
              <w:rPr>
                <w:rFonts w:ascii="黑体"/>
                <w:sz w:val="21"/>
              </w:rPr>
            </w:pPr>
          </w:p>
          <w:p>
            <w:pPr>
              <w:pStyle w:val="TableParagraph"/>
              <w:ind w:left="111"/>
              <w:rPr>
                <w:sz w:val="21"/>
              </w:rPr>
            </w:pPr>
            <w:r>
              <w:rPr>
                <w:sz w:val="21"/>
              </w:rPr>
              <w:t>项目经理 </w:t>
            </w:r>
          </w:p>
        </w:tc>
        <w:tc>
          <w:tcPr>
            <w:tcW w:w="3875" w:type="dxa"/>
          </w:tcPr>
          <w:p>
            <w:pPr>
              <w:pStyle w:val="TableParagraph"/>
              <w:spacing w:line="280"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811"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1"/>
              <w:rPr>
                <w:rFonts w:ascii="黑体"/>
                <w:sz w:val="19"/>
              </w:rPr>
            </w:pPr>
          </w:p>
          <w:p>
            <w:pPr>
              <w:pStyle w:val="TableParagraph"/>
              <w:spacing w:before="1"/>
              <w:ind w:left="111"/>
              <w:rPr>
                <w:sz w:val="21"/>
              </w:rPr>
            </w:pPr>
            <w:r>
              <w:rPr>
                <w:sz w:val="21"/>
              </w:rPr>
              <w:t>联合体投标人 </w:t>
            </w:r>
          </w:p>
        </w:tc>
        <w:tc>
          <w:tcPr>
            <w:tcW w:w="3875" w:type="dxa"/>
          </w:tcPr>
          <w:p>
            <w:pPr>
              <w:pStyle w:val="TableParagraph"/>
              <w:spacing w:line="268" w:lineRule="auto" w:before="105"/>
              <w:ind w:left="111" w:right="158"/>
              <w:rPr>
                <w:sz w:val="21"/>
              </w:rPr>
            </w:pPr>
            <w:r>
              <w:rPr>
                <w:spacing w:val="-4"/>
                <w:sz w:val="21"/>
              </w:rPr>
              <w:t>符合第二章“投标人须知”第 </w:t>
            </w:r>
            <w:r>
              <w:rPr>
                <w:sz w:val="21"/>
              </w:rPr>
              <w:t>1.4.2</w:t>
            </w:r>
            <w:r>
              <w:rPr>
                <w:spacing w:val="-29"/>
                <w:sz w:val="21"/>
              </w:rPr>
              <w:t> 项</w:t>
            </w:r>
            <w:r>
              <w:rPr>
                <w:sz w:val="21"/>
              </w:rPr>
              <w:t>规定 </w:t>
            </w:r>
          </w:p>
        </w:tc>
      </w:tr>
      <w:tr>
        <w:trPr>
          <w:trHeight w:val="49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05"/>
              <w:ind w:left="111"/>
              <w:rPr>
                <w:sz w:val="21"/>
              </w:rPr>
            </w:pPr>
            <w:r>
              <w:rPr>
                <w:sz w:val="21"/>
              </w:rPr>
              <w:t>企业主要负责人 </w:t>
            </w:r>
          </w:p>
        </w:tc>
        <w:tc>
          <w:tcPr>
            <w:tcW w:w="3875" w:type="dxa"/>
          </w:tcPr>
          <w:p>
            <w:pPr>
              <w:pStyle w:val="TableParagraph"/>
              <w:spacing w:before="105"/>
              <w:ind w:left="111"/>
              <w:rPr>
                <w:sz w:val="21"/>
              </w:rPr>
            </w:pPr>
            <w:r>
              <w:rPr>
                <w:sz w:val="21"/>
              </w:rPr>
              <w:t>具备有效的安全生产考核合格证书 </w:t>
            </w:r>
          </w:p>
        </w:tc>
      </w:tr>
      <w:tr>
        <w:trPr>
          <w:trHeight w:val="82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before="1"/>
              <w:rPr>
                <w:rFonts w:ascii="黑体"/>
                <w:sz w:val="21"/>
              </w:rPr>
            </w:pPr>
          </w:p>
          <w:p>
            <w:pPr>
              <w:pStyle w:val="TableParagraph"/>
              <w:ind w:left="111"/>
              <w:rPr>
                <w:sz w:val="21"/>
              </w:rPr>
            </w:pPr>
            <w:r>
              <w:rPr>
                <w:sz w:val="21"/>
              </w:rPr>
              <w:t>技术负责人 </w:t>
            </w:r>
          </w:p>
        </w:tc>
        <w:tc>
          <w:tcPr>
            <w:tcW w:w="3875" w:type="dxa"/>
          </w:tcPr>
          <w:p>
            <w:pPr>
              <w:pStyle w:val="TableParagraph"/>
              <w:spacing w:line="280"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795" w:hRule="atLeast"/>
        </w:trPr>
        <w:tc>
          <w:tcPr>
            <w:tcW w:w="962" w:type="dxa"/>
            <w:vMerge/>
            <w:tcBorders>
              <w:top w:val="nil"/>
            </w:tcBorders>
          </w:tcPr>
          <w:p>
            <w:pPr>
              <w:rPr>
                <w:sz w:val="2"/>
                <w:szCs w:val="2"/>
              </w:rPr>
            </w:pPr>
          </w:p>
        </w:tc>
        <w:tc>
          <w:tcPr>
            <w:tcW w:w="1292" w:type="dxa"/>
            <w:vMerge/>
            <w:tcBorders>
              <w:top w:val="nil"/>
            </w:tcBorders>
          </w:tcPr>
          <w:p>
            <w:pPr>
              <w:rPr>
                <w:sz w:val="2"/>
                <w:szCs w:val="2"/>
              </w:rPr>
            </w:pPr>
          </w:p>
        </w:tc>
        <w:tc>
          <w:tcPr>
            <w:tcW w:w="3229" w:type="dxa"/>
          </w:tcPr>
          <w:p>
            <w:pPr>
              <w:pStyle w:val="TableParagraph"/>
              <w:spacing w:line="266" w:lineRule="auto" w:before="105"/>
              <w:ind w:left="111" w:right="153"/>
              <w:rPr>
                <w:sz w:val="21"/>
              </w:rPr>
            </w:pPr>
            <w:r>
              <w:rPr>
                <w:sz w:val="21"/>
              </w:rPr>
              <w:t>委托代理人、安全管理人员（专职安全生产管理人员）、质量管</w:t>
            </w:r>
          </w:p>
        </w:tc>
        <w:tc>
          <w:tcPr>
            <w:tcW w:w="3875" w:type="dxa"/>
          </w:tcPr>
          <w:p>
            <w:pPr>
              <w:pStyle w:val="TableParagraph"/>
              <w:spacing w:line="266" w:lineRule="auto" w:before="105"/>
              <w:ind w:left="111" w:right="167"/>
              <w:rPr>
                <w:sz w:val="21"/>
              </w:rPr>
            </w:pPr>
            <w:r>
              <w:rPr>
                <w:sz w:val="21"/>
              </w:rPr>
              <w:t>应是投标人本单位人员，其中安全管理人员（专职安全生产管理人员）具备有</w:t>
            </w:r>
          </w:p>
        </w:tc>
      </w:tr>
    </w:tbl>
    <w:p>
      <w:pPr>
        <w:spacing w:after="0" w:line="266" w:lineRule="auto"/>
        <w:rPr>
          <w:sz w:val="21"/>
        </w:rPr>
        <w:sectPr>
          <w:pgSz w:w="11910" w:h="16850"/>
          <w:pgMar w:header="911" w:footer="0" w:top="1380" w:bottom="280" w:left="1200" w:right="0"/>
        </w:sectPr>
      </w:pPr>
    </w:p>
    <w:p>
      <w:pPr>
        <w:pStyle w:val="BodyText"/>
        <w:spacing w:before="10"/>
        <w:rPr>
          <w:rFonts w:ascii="Times New Roman"/>
          <w:sz w:val="3"/>
        </w:rPr>
      </w:pPr>
      <w:r>
        <w:rPr/>
        <w:drawing>
          <wp:anchor distT="0" distB="0" distL="0" distR="0" allowOverlap="1" layoutInCell="1" locked="0" behindDoc="1" simplePos="0" relativeHeight="234699776">
            <wp:simplePos x="0" y="0"/>
            <wp:positionH relativeFrom="page">
              <wp:posOffset>992771</wp:posOffset>
            </wp:positionH>
            <wp:positionV relativeFrom="page">
              <wp:posOffset>2603251</wp:posOffset>
            </wp:positionV>
            <wp:extent cx="5575945" cy="5491162"/>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6" cstate="print"/>
                    <a:stretch>
                      <a:fillRect/>
                    </a:stretch>
                  </pic:blipFill>
                  <pic:spPr>
                    <a:xfrm>
                      <a:off x="0" y="0"/>
                      <a:ext cx="5575945" cy="5491162"/>
                    </a:xfrm>
                    <a:prstGeom prst="rect">
                      <a:avLst/>
                    </a:prstGeom>
                  </pic:spPr>
                </pic:pic>
              </a:graphicData>
            </a:graphic>
          </wp:anchor>
        </w:drawing>
      </w: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2"/>
        <w:gridCol w:w="1292"/>
        <w:gridCol w:w="3229"/>
        <w:gridCol w:w="3875"/>
      </w:tblGrid>
      <w:tr>
        <w:trPr>
          <w:trHeight w:val="492" w:hRule="atLeast"/>
        </w:trPr>
        <w:tc>
          <w:tcPr>
            <w:tcW w:w="962" w:type="dxa"/>
            <w:vMerge w:val="restart"/>
            <w:tcBorders>
              <w:left w:val="single" w:sz="6" w:space="0" w:color="000000"/>
              <w:bottom w:val="single" w:sz="6" w:space="0" w:color="000000"/>
              <w:right w:val="single" w:sz="6" w:space="0" w:color="000000"/>
            </w:tcBorders>
          </w:tcPr>
          <w:p>
            <w:pPr>
              <w:pStyle w:val="TableParagraph"/>
              <w:rPr>
                <w:rFonts w:ascii="Times New Roman"/>
                <w:sz w:val="20"/>
              </w:rPr>
            </w:pPr>
          </w:p>
        </w:tc>
        <w:tc>
          <w:tcPr>
            <w:tcW w:w="1292" w:type="dxa"/>
            <w:vMerge w:val="restart"/>
            <w:tcBorders>
              <w:left w:val="single" w:sz="6" w:space="0" w:color="000000"/>
              <w:bottom w:val="single" w:sz="6" w:space="0" w:color="000000"/>
              <w:right w:val="single" w:sz="6" w:space="0" w:color="000000"/>
            </w:tcBorders>
          </w:tcPr>
          <w:p>
            <w:pPr>
              <w:pStyle w:val="TableParagraph"/>
              <w:rPr>
                <w:rFonts w:ascii="Times New Roman"/>
                <w:sz w:val="20"/>
              </w:rPr>
            </w:pPr>
          </w:p>
        </w:tc>
        <w:tc>
          <w:tcPr>
            <w:tcW w:w="3229" w:type="dxa"/>
            <w:tcBorders>
              <w:left w:val="single" w:sz="6" w:space="0" w:color="000000"/>
              <w:bottom w:val="single" w:sz="6" w:space="0" w:color="000000"/>
              <w:right w:val="single" w:sz="6" w:space="0" w:color="000000"/>
            </w:tcBorders>
          </w:tcPr>
          <w:p>
            <w:pPr>
              <w:pStyle w:val="TableParagraph"/>
              <w:spacing w:before="102"/>
              <w:ind w:left="111"/>
              <w:rPr>
                <w:sz w:val="21"/>
              </w:rPr>
            </w:pPr>
            <w:r>
              <w:rPr>
                <w:sz w:val="21"/>
              </w:rPr>
              <w:t>理员、财务负责人 </w:t>
            </w:r>
          </w:p>
        </w:tc>
        <w:tc>
          <w:tcPr>
            <w:tcW w:w="3875" w:type="dxa"/>
            <w:tcBorders>
              <w:left w:val="single" w:sz="6" w:space="0" w:color="000000"/>
              <w:bottom w:val="single" w:sz="6" w:space="0" w:color="000000"/>
              <w:right w:val="single" w:sz="6" w:space="0" w:color="000000"/>
            </w:tcBorders>
          </w:tcPr>
          <w:p>
            <w:pPr>
              <w:pStyle w:val="TableParagraph"/>
              <w:spacing w:before="102"/>
              <w:ind w:left="111"/>
              <w:rPr>
                <w:sz w:val="21"/>
              </w:rPr>
            </w:pPr>
            <w:r>
              <w:rPr>
                <w:sz w:val="21"/>
              </w:rPr>
              <w:t>效的安全生产考核合格证书 </w:t>
            </w:r>
          </w:p>
        </w:tc>
      </w:tr>
      <w:tr>
        <w:trPr>
          <w:trHeight w:val="810"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其他要求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158"/>
              <w:rPr>
                <w:sz w:val="21"/>
              </w:rPr>
            </w:pPr>
            <w:r>
              <w:rPr>
                <w:spacing w:val="-4"/>
                <w:sz w:val="21"/>
              </w:rPr>
              <w:t>符合第二章“投标人须知”第 </w:t>
            </w:r>
            <w:r>
              <w:rPr>
                <w:sz w:val="21"/>
              </w:rPr>
              <w:t>1.4.1</w:t>
            </w:r>
            <w:r>
              <w:rPr>
                <w:spacing w:val="-29"/>
                <w:sz w:val="21"/>
              </w:rPr>
              <w:t> 项</w:t>
            </w:r>
            <w:r>
              <w:rPr>
                <w:sz w:val="21"/>
              </w:rPr>
              <w:t>规定 </w:t>
            </w:r>
          </w:p>
        </w:tc>
      </w:tr>
      <w:tr>
        <w:trPr>
          <w:trHeight w:val="825" w:hRule="atLeast"/>
        </w:trPr>
        <w:tc>
          <w:tcPr>
            <w:tcW w:w="962"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9"/>
              <w:rPr>
                <w:rFonts w:ascii="Times New Roman"/>
                <w:sz w:val="26"/>
              </w:rPr>
            </w:pPr>
          </w:p>
          <w:p>
            <w:pPr>
              <w:pStyle w:val="TableParagraph"/>
              <w:ind w:left="217"/>
              <w:rPr>
                <w:sz w:val="21"/>
              </w:rPr>
            </w:pPr>
            <w:r>
              <w:rPr>
                <w:sz w:val="21"/>
              </w:rPr>
              <w:t>2.1.3 </w:t>
            </w:r>
          </w:p>
        </w:tc>
        <w:tc>
          <w:tcPr>
            <w:tcW w:w="1292"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line="280" w:lineRule="auto" w:before="158"/>
              <w:ind w:left="442" w:right="95" w:hanging="316"/>
              <w:rPr>
                <w:sz w:val="21"/>
              </w:rPr>
            </w:pPr>
            <w:r>
              <w:rPr>
                <w:sz w:val="21"/>
              </w:rPr>
              <w:t>响应性评审标准 </w:t>
            </w: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6"/>
              <w:rPr>
                <w:rFonts w:ascii="Times New Roman"/>
                <w:sz w:val="23"/>
              </w:rPr>
            </w:pPr>
          </w:p>
          <w:p>
            <w:pPr>
              <w:pStyle w:val="TableParagraph"/>
              <w:ind w:left="111"/>
              <w:rPr>
                <w:sz w:val="21"/>
              </w:rPr>
            </w:pPr>
            <w:r>
              <w:rPr>
                <w:sz w:val="21"/>
              </w:rPr>
              <w:t>投标报价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157"/>
              <w:rPr>
                <w:sz w:val="21"/>
              </w:rPr>
            </w:pPr>
            <w:r>
              <w:rPr>
                <w:spacing w:val="-4"/>
                <w:sz w:val="21"/>
              </w:rPr>
              <w:t>符合第二章“投标人须知”第 </w:t>
            </w:r>
            <w:r>
              <w:rPr>
                <w:sz w:val="21"/>
              </w:rPr>
              <w:t>3.2</w:t>
            </w:r>
            <w:r>
              <w:rPr>
                <w:spacing w:val="-19"/>
                <w:sz w:val="21"/>
              </w:rPr>
              <w:t> 项规</w:t>
            </w:r>
            <w:r>
              <w:rPr>
                <w:sz w:val="21"/>
              </w:rPr>
              <w:t>定 </w:t>
            </w:r>
          </w:p>
        </w:tc>
      </w:tr>
      <w:tr>
        <w:trPr>
          <w:trHeight w:val="811"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投标范围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05"/>
              <w:ind w:left="111" w:right="53"/>
              <w:rPr>
                <w:sz w:val="21"/>
              </w:rPr>
            </w:pPr>
            <w:r>
              <w:rPr>
                <w:sz w:val="21"/>
              </w:rPr>
              <w:t>符合第二章“投标人须知”第 1.3.1 项规定 </w:t>
            </w:r>
          </w:p>
        </w:tc>
      </w:tr>
      <w:tr>
        <w:trPr>
          <w:trHeight w:val="810"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工期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53"/>
              <w:rPr>
                <w:sz w:val="21"/>
              </w:rPr>
            </w:pPr>
            <w:r>
              <w:rPr>
                <w:sz w:val="21"/>
              </w:rPr>
              <w:t>符合第二章“投标人须知”第 1.3.2 项规定 </w:t>
            </w:r>
          </w:p>
        </w:tc>
      </w:tr>
      <w:tr>
        <w:trPr>
          <w:trHeight w:val="811"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工程质量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53"/>
              <w:rPr>
                <w:sz w:val="21"/>
              </w:rPr>
            </w:pPr>
            <w:r>
              <w:rPr>
                <w:sz w:val="21"/>
              </w:rPr>
              <w:t>符合第二章“投标人须知”第 1.3.3 项规定 </w:t>
            </w:r>
          </w:p>
        </w:tc>
      </w:tr>
      <w:tr>
        <w:trPr>
          <w:trHeight w:val="825"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5"/>
              <w:rPr>
                <w:rFonts w:ascii="Times New Roman"/>
                <w:sz w:val="23"/>
              </w:rPr>
            </w:pPr>
          </w:p>
          <w:p>
            <w:pPr>
              <w:pStyle w:val="TableParagraph"/>
              <w:spacing w:before="1"/>
              <w:ind w:left="111"/>
              <w:rPr>
                <w:sz w:val="21"/>
              </w:rPr>
            </w:pPr>
            <w:r>
              <w:rPr>
                <w:sz w:val="21"/>
              </w:rPr>
              <w:t>投标有效期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53"/>
              <w:rPr>
                <w:sz w:val="21"/>
              </w:rPr>
            </w:pPr>
            <w:r>
              <w:rPr>
                <w:sz w:val="21"/>
              </w:rPr>
              <w:t>符合第二章“投标人须知”第 3.3.1 项规定 </w:t>
            </w:r>
          </w:p>
        </w:tc>
      </w:tr>
      <w:tr>
        <w:trPr>
          <w:trHeight w:val="811"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投标保证金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66" w:lineRule="auto" w:before="105"/>
              <w:ind w:left="111" w:right="53"/>
              <w:rPr>
                <w:sz w:val="21"/>
              </w:rPr>
            </w:pPr>
            <w:r>
              <w:rPr>
                <w:sz w:val="21"/>
              </w:rPr>
              <w:t>符合第二章“投标人须知”第 3.4.1 项规定 </w:t>
            </w:r>
          </w:p>
        </w:tc>
      </w:tr>
      <w:tr>
        <w:trPr>
          <w:trHeight w:val="495"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105"/>
              <w:ind w:left="111"/>
              <w:rPr>
                <w:sz w:val="21"/>
              </w:rPr>
            </w:pPr>
            <w:r>
              <w:rPr>
                <w:sz w:val="21"/>
              </w:rPr>
              <w:t>权利义务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before="105"/>
              <w:ind w:left="111"/>
              <w:rPr>
                <w:sz w:val="21"/>
              </w:rPr>
            </w:pPr>
            <w:r>
              <w:rPr>
                <w:sz w:val="21"/>
              </w:rPr>
              <w:t>符合第四章“合同条款及格式”规定 </w:t>
            </w:r>
          </w:p>
        </w:tc>
      </w:tr>
      <w:tr>
        <w:trPr>
          <w:trHeight w:val="825"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5"/>
              <w:rPr>
                <w:rFonts w:ascii="Times New Roman"/>
                <w:sz w:val="23"/>
              </w:rPr>
            </w:pPr>
          </w:p>
          <w:p>
            <w:pPr>
              <w:pStyle w:val="TableParagraph"/>
              <w:spacing w:before="1"/>
              <w:ind w:left="111"/>
              <w:rPr>
                <w:sz w:val="21"/>
              </w:rPr>
            </w:pPr>
            <w:r>
              <w:rPr>
                <w:sz w:val="21"/>
              </w:rPr>
              <w:t>已标价工程量清单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53"/>
              <w:rPr>
                <w:sz w:val="21"/>
              </w:rPr>
            </w:pPr>
            <w:r>
              <w:rPr>
                <w:sz w:val="21"/>
              </w:rPr>
              <w:t>符合第二章“投标人须知”第 3.7.1 项规定 </w:t>
            </w:r>
          </w:p>
        </w:tc>
      </w:tr>
      <w:tr>
        <w:trPr>
          <w:trHeight w:val="495"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105"/>
              <w:ind w:left="111"/>
              <w:rPr>
                <w:sz w:val="21"/>
              </w:rPr>
            </w:pPr>
            <w:r>
              <w:rPr>
                <w:sz w:val="21"/>
              </w:rPr>
              <w:t>技术标准和要求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before="105"/>
              <w:ind w:left="111"/>
              <w:rPr>
                <w:sz w:val="21"/>
              </w:rPr>
            </w:pPr>
            <w:r>
              <w:rPr>
                <w:sz w:val="21"/>
              </w:rPr>
              <w:t>符合第七章“技术标准和要求”规定 </w:t>
            </w:r>
          </w:p>
        </w:tc>
      </w:tr>
      <w:tr>
        <w:trPr>
          <w:trHeight w:val="510"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105"/>
              <w:ind w:left="111"/>
              <w:rPr>
                <w:sz w:val="21"/>
              </w:rPr>
            </w:pPr>
            <w:r>
              <w:rPr>
                <w:sz w:val="21"/>
              </w:rPr>
              <w:t>招标控制价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before="105"/>
              <w:ind w:left="111"/>
              <w:rPr>
                <w:sz w:val="21"/>
              </w:rPr>
            </w:pPr>
            <w:r>
              <w:rPr>
                <w:sz w:val="21"/>
              </w:rPr>
              <w:t>投标人的投标总价不得高于招标控制价 </w:t>
            </w:r>
          </w:p>
        </w:tc>
      </w:tr>
      <w:tr>
        <w:trPr>
          <w:trHeight w:val="495" w:hRule="atLeast"/>
        </w:trPr>
        <w:tc>
          <w:tcPr>
            <w:tcW w:w="962" w:type="dxa"/>
            <w:tcBorders>
              <w:top w:val="single" w:sz="6" w:space="0" w:color="000000"/>
              <w:left w:val="single" w:sz="6" w:space="0" w:color="000000"/>
              <w:bottom w:val="single" w:sz="6" w:space="0" w:color="000000"/>
              <w:right w:val="single" w:sz="6" w:space="0" w:color="000000"/>
            </w:tcBorders>
          </w:tcPr>
          <w:p>
            <w:pPr>
              <w:pStyle w:val="TableParagraph"/>
              <w:spacing w:before="105"/>
              <w:ind w:left="205" w:right="71"/>
              <w:jc w:val="center"/>
              <w:rPr>
                <w:sz w:val="21"/>
              </w:rPr>
            </w:pPr>
            <w:r>
              <w:rPr>
                <w:sz w:val="21"/>
              </w:rPr>
              <w:t>条款号 </w:t>
            </w:r>
          </w:p>
        </w:tc>
        <w:tc>
          <w:tcPr>
            <w:tcW w:w="4521" w:type="dxa"/>
            <w:gridSpan w:val="2"/>
            <w:tcBorders>
              <w:top w:val="single" w:sz="6" w:space="0" w:color="000000"/>
              <w:left w:val="single" w:sz="6" w:space="0" w:color="000000"/>
              <w:bottom w:val="single" w:sz="6" w:space="0" w:color="000000"/>
              <w:right w:val="single" w:sz="6" w:space="0" w:color="000000"/>
            </w:tcBorders>
          </w:tcPr>
          <w:p>
            <w:pPr>
              <w:pStyle w:val="TableParagraph"/>
              <w:spacing w:before="105"/>
              <w:ind w:left="1497" w:right="1379"/>
              <w:jc w:val="center"/>
              <w:rPr>
                <w:sz w:val="21"/>
              </w:rPr>
            </w:pPr>
            <w:r>
              <w:rPr>
                <w:sz w:val="21"/>
              </w:rPr>
              <w:t>条款内容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before="105"/>
              <w:ind w:left="1541" w:right="1438"/>
              <w:jc w:val="center"/>
              <w:rPr>
                <w:sz w:val="21"/>
              </w:rPr>
            </w:pPr>
            <w:r>
              <w:rPr>
                <w:sz w:val="21"/>
              </w:rPr>
              <w:t>编列内容 </w:t>
            </w:r>
          </w:p>
        </w:tc>
      </w:tr>
      <w:tr>
        <w:trPr>
          <w:trHeight w:val="2056" w:hRule="atLeast"/>
        </w:trPr>
        <w:tc>
          <w:tcPr>
            <w:tcW w:w="96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17"/>
              </w:rPr>
            </w:pPr>
          </w:p>
          <w:p>
            <w:pPr>
              <w:pStyle w:val="TableParagraph"/>
              <w:ind w:left="190" w:right="71"/>
              <w:jc w:val="center"/>
              <w:rPr>
                <w:sz w:val="21"/>
              </w:rPr>
            </w:pPr>
            <w:r>
              <w:rPr>
                <w:sz w:val="21"/>
              </w:rPr>
              <w:t>2.2 </w:t>
            </w:r>
          </w:p>
        </w:tc>
        <w:tc>
          <w:tcPr>
            <w:tcW w:w="4521" w:type="dxa"/>
            <w:gridSpan w:val="2"/>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3"/>
              </w:rPr>
            </w:pPr>
          </w:p>
          <w:p>
            <w:pPr>
              <w:pStyle w:val="TableParagraph"/>
              <w:spacing w:before="1"/>
              <w:ind w:left="1497" w:right="1379"/>
              <w:jc w:val="center"/>
              <w:rPr>
                <w:sz w:val="21"/>
              </w:rPr>
            </w:pPr>
            <w:r>
              <w:rPr>
                <w:sz w:val="21"/>
              </w:rPr>
              <w:t>分值构成 </w:t>
            </w:r>
          </w:p>
          <w:p>
            <w:pPr>
              <w:pStyle w:val="TableParagraph"/>
              <w:spacing w:before="31"/>
              <w:ind w:left="1497" w:right="1394"/>
              <w:jc w:val="center"/>
              <w:rPr>
                <w:sz w:val="21"/>
              </w:rPr>
            </w:pPr>
            <w:r>
              <w:rPr>
                <w:sz w:val="21"/>
              </w:rPr>
              <w:t>(总分 100.0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1478"/>
              <w:rPr>
                <w:sz w:val="21"/>
              </w:rPr>
            </w:pPr>
            <w:r>
              <w:rPr>
                <w:sz w:val="21"/>
              </w:rPr>
              <w:t>施工组织设计：35.0</w:t>
            </w:r>
            <w:r>
              <w:rPr>
                <w:spacing w:val="-23"/>
                <w:sz w:val="21"/>
              </w:rPr>
              <w:t> 分项目管理机构：5.0</w:t>
            </w:r>
            <w:r>
              <w:rPr>
                <w:spacing w:val="-14"/>
                <w:sz w:val="21"/>
              </w:rPr>
              <w:t> 分投标报价：54.0</w:t>
            </w:r>
            <w:r>
              <w:rPr>
                <w:spacing w:val="-23"/>
                <w:sz w:val="21"/>
              </w:rPr>
              <w:t> 分 </w:t>
            </w:r>
          </w:p>
          <w:p>
            <w:pPr>
              <w:pStyle w:val="TableParagraph"/>
              <w:spacing w:line="256" w:lineRule="exact"/>
              <w:ind w:left="111"/>
              <w:rPr>
                <w:sz w:val="21"/>
              </w:rPr>
            </w:pPr>
            <w:r>
              <w:rPr>
                <w:sz w:val="21"/>
              </w:rPr>
              <w:t>业绩等其他评分因素：6.0 分 </w:t>
            </w:r>
          </w:p>
          <w:p>
            <w:pPr>
              <w:pStyle w:val="TableParagraph"/>
              <w:spacing w:line="280" w:lineRule="auto" w:before="45"/>
              <w:ind w:left="111" w:right="274"/>
              <w:rPr>
                <w:sz w:val="21"/>
              </w:rPr>
            </w:pPr>
            <w:r>
              <w:rPr>
                <w:sz w:val="21"/>
              </w:rPr>
              <w:t>(本评标原则分值招标人可根据工程实际情况调整) </w:t>
            </w:r>
          </w:p>
        </w:tc>
      </w:tr>
      <w:tr>
        <w:trPr>
          <w:trHeight w:val="2687" w:hRule="atLeast"/>
        </w:trPr>
        <w:tc>
          <w:tcPr>
            <w:tcW w:w="96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4"/>
              </w:rPr>
            </w:pPr>
          </w:p>
          <w:p>
            <w:pPr>
              <w:pStyle w:val="TableParagraph"/>
              <w:ind w:left="190" w:right="71"/>
              <w:jc w:val="center"/>
              <w:rPr>
                <w:sz w:val="21"/>
              </w:rPr>
            </w:pPr>
            <w:r>
              <w:rPr>
                <w:sz w:val="21"/>
              </w:rPr>
              <w:t>3.4.1 </w:t>
            </w:r>
          </w:p>
        </w:tc>
        <w:tc>
          <w:tcPr>
            <w:tcW w:w="12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4"/>
              </w:rPr>
            </w:pPr>
          </w:p>
          <w:p>
            <w:pPr>
              <w:pStyle w:val="TableParagraph"/>
              <w:ind w:left="126" w:right="-15"/>
              <w:rPr>
                <w:sz w:val="21"/>
              </w:rPr>
            </w:pPr>
            <w:r>
              <w:rPr>
                <w:sz w:val="21"/>
              </w:rPr>
              <w:t>商务标评审 </w:t>
            </w: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4"/>
              </w:rPr>
            </w:pPr>
          </w:p>
          <w:p>
            <w:pPr>
              <w:pStyle w:val="TableParagraph"/>
              <w:ind w:left="111"/>
              <w:rPr>
                <w:sz w:val="21"/>
              </w:rPr>
            </w:pPr>
            <w:r>
              <w:rPr>
                <w:sz w:val="21"/>
              </w:rPr>
              <w:t>投标总价（40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94"/>
              <w:rPr>
                <w:sz w:val="21"/>
              </w:rPr>
            </w:pPr>
            <w:r>
              <w:rPr>
                <w:spacing w:val="-1"/>
                <w:sz w:val="21"/>
              </w:rPr>
              <w:t>当有效的投标报价单位有 </w:t>
            </w:r>
            <w:r>
              <w:rPr>
                <w:sz w:val="21"/>
              </w:rPr>
              <w:t>5 个（含 5 个</w:t>
            </w:r>
            <w:r>
              <w:rPr>
                <w:spacing w:val="-30"/>
                <w:sz w:val="21"/>
              </w:rPr>
              <w:t>）</w:t>
            </w:r>
            <w:r>
              <w:rPr>
                <w:spacing w:val="-1"/>
                <w:sz w:val="21"/>
              </w:rPr>
              <w:t>以上时，去掉 </w:t>
            </w:r>
            <w:r>
              <w:rPr>
                <w:sz w:val="21"/>
              </w:rPr>
              <w:t>1 个最高、最低的投标人的报价后计算评标基准价。若小于4（</w:t>
            </w:r>
            <w:r>
              <w:rPr>
                <w:spacing w:val="-1"/>
                <w:sz w:val="21"/>
              </w:rPr>
              <w:t>含 </w:t>
            </w:r>
            <w:r>
              <w:rPr>
                <w:sz w:val="21"/>
              </w:rPr>
              <w:t>4 个）家,则不去。评标基准价</w:t>
            </w:r>
          </w:p>
          <w:p>
            <w:pPr>
              <w:pStyle w:val="TableParagraph"/>
              <w:spacing w:line="276" w:lineRule="auto" w:before="2"/>
              <w:ind w:left="111" w:right="171"/>
              <w:jc w:val="both"/>
              <w:rPr>
                <w:sz w:val="21"/>
              </w:rPr>
            </w:pPr>
            <w:r>
              <w:rPr>
                <w:sz w:val="21"/>
              </w:rPr>
              <w:t>=0.4S+(1-0.4)B，S 为投标人有效报价的平均值,B 为最高限价.投标人的投标报价每高于评标参考价 1%扣 2 分，每低于评标参考价 1%扣 1 分，扣到 0 </w:t>
            </w:r>
          </w:p>
        </w:tc>
      </w:tr>
    </w:tbl>
    <w:p>
      <w:pPr>
        <w:spacing w:after="0" w:line="276" w:lineRule="auto"/>
        <w:jc w:val="both"/>
        <w:rPr>
          <w:sz w:val="21"/>
        </w:rPr>
        <w:sectPr>
          <w:pgSz w:w="11910" w:h="16850"/>
          <w:pgMar w:header="911" w:footer="0" w:top="1380" w:bottom="280" w:left="1200" w:right="0"/>
        </w:sectPr>
      </w:pPr>
    </w:p>
    <w:p>
      <w:pPr>
        <w:pStyle w:val="BodyText"/>
        <w:spacing w:before="10"/>
        <w:rPr>
          <w:rFonts w:ascii="Times New Roman"/>
          <w:sz w:val="3"/>
        </w:rPr>
      </w:pPr>
      <w:r>
        <w:rPr/>
        <w:drawing>
          <wp:anchor distT="0" distB="0" distL="0" distR="0" allowOverlap="1" layoutInCell="1" locked="0" behindDoc="1" simplePos="0" relativeHeight="234700800">
            <wp:simplePos x="0" y="0"/>
            <wp:positionH relativeFrom="page">
              <wp:posOffset>992771</wp:posOffset>
            </wp:positionH>
            <wp:positionV relativeFrom="page">
              <wp:posOffset>2603251</wp:posOffset>
            </wp:positionV>
            <wp:extent cx="5575945" cy="5491162"/>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6" cstate="print"/>
                    <a:stretch>
                      <a:fillRect/>
                    </a:stretch>
                  </pic:blipFill>
                  <pic:spPr>
                    <a:xfrm>
                      <a:off x="0" y="0"/>
                      <a:ext cx="5575945" cy="5491162"/>
                    </a:xfrm>
                    <a:prstGeom prst="rect">
                      <a:avLst/>
                    </a:prstGeom>
                  </pic:spPr>
                </pic:pic>
              </a:graphicData>
            </a:graphic>
          </wp:anchor>
        </w:drawing>
      </w: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2"/>
        <w:gridCol w:w="1292"/>
        <w:gridCol w:w="3229"/>
        <w:gridCol w:w="3875"/>
      </w:tblGrid>
      <w:tr>
        <w:trPr>
          <w:trHeight w:val="492" w:hRule="atLeast"/>
        </w:trPr>
        <w:tc>
          <w:tcPr>
            <w:tcW w:w="962" w:type="dxa"/>
            <w:vMerge w:val="restart"/>
            <w:tcBorders>
              <w:left w:val="single" w:sz="6" w:space="0" w:color="000000"/>
              <w:bottom w:val="single" w:sz="6" w:space="0" w:color="000000"/>
              <w:right w:val="single" w:sz="6" w:space="0" w:color="000000"/>
            </w:tcBorders>
          </w:tcPr>
          <w:p>
            <w:pPr>
              <w:pStyle w:val="TableParagraph"/>
              <w:rPr>
                <w:rFonts w:ascii="Times New Roman"/>
                <w:sz w:val="20"/>
              </w:rPr>
            </w:pPr>
          </w:p>
        </w:tc>
        <w:tc>
          <w:tcPr>
            <w:tcW w:w="1292" w:type="dxa"/>
            <w:vMerge w:val="restart"/>
            <w:tcBorders>
              <w:left w:val="single" w:sz="6" w:space="0" w:color="000000"/>
              <w:bottom w:val="single" w:sz="6" w:space="0" w:color="000000"/>
              <w:right w:val="single" w:sz="6" w:space="0" w:color="000000"/>
            </w:tcBorders>
          </w:tcPr>
          <w:p>
            <w:pPr>
              <w:pStyle w:val="TableParagraph"/>
              <w:rPr>
                <w:rFonts w:ascii="Times New Roman"/>
                <w:sz w:val="20"/>
              </w:rPr>
            </w:pPr>
          </w:p>
        </w:tc>
        <w:tc>
          <w:tcPr>
            <w:tcW w:w="3229"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3875" w:type="dxa"/>
            <w:tcBorders>
              <w:left w:val="single" w:sz="6" w:space="0" w:color="000000"/>
              <w:bottom w:val="single" w:sz="6" w:space="0" w:color="000000"/>
              <w:right w:val="single" w:sz="6" w:space="0" w:color="000000"/>
            </w:tcBorders>
          </w:tcPr>
          <w:p>
            <w:pPr>
              <w:pStyle w:val="TableParagraph"/>
              <w:spacing w:before="102"/>
              <w:ind w:left="111"/>
              <w:rPr>
                <w:sz w:val="21"/>
              </w:rPr>
            </w:pPr>
            <w:r>
              <w:rPr>
                <w:sz w:val="21"/>
              </w:rPr>
              <w:t>分为止 </w:t>
            </w:r>
          </w:p>
        </w:tc>
      </w:tr>
      <w:tr>
        <w:trPr>
          <w:trHeight w:val="3002"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6"/>
              <w:rPr>
                <w:rFonts w:ascii="Times New Roman"/>
                <w:sz w:val="17"/>
              </w:rPr>
            </w:pPr>
          </w:p>
          <w:p>
            <w:pPr>
              <w:pStyle w:val="TableParagraph"/>
              <w:ind w:left="111"/>
              <w:rPr>
                <w:sz w:val="21"/>
              </w:rPr>
            </w:pPr>
            <w:r>
              <w:rPr>
                <w:sz w:val="21"/>
              </w:rPr>
              <w:t>投标报价的合理性（14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277"/>
              <w:rPr>
                <w:sz w:val="21"/>
              </w:rPr>
            </w:pPr>
            <w:r>
              <w:rPr>
                <w:sz w:val="21"/>
              </w:rPr>
              <w:t>1、对招标文件商务条款响应性（0~2 分） </w:t>
            </w:r>
          </w:p>
          <w:p>
            <w:pPr>
              <w:pStyle w:val="TableParagraph"/>
              <w:spacing w:before="1"/>
              <w:ind w:left="111"/>
              <w:rPr>
                <w:sz w:val="21"/>
              </w:rPr>
            </w:pPr>
            <w:r>
              <w:rPr>
                <w:sz w:val="21"/>
              </w:rPr>
              <w:t>2、总报价的完整性（0~3 分） </w:t>
            </w:r>
          </w:p>
          <w:p>
            <w:pPr>
              <w:pStyle w:val="TableParagraph"/>
              <w:spacing w:before="31"/>
              <w:ind w:left="111"/>
              <w:rPr>
                <w:sz w:val="21"/>
              </w:rPr>
            </w:pPr>
            <w:r>
              <w:rPr>
                <w:sz w:val="21"/>
              </w:rPr>
              <w:t>3、分项报价的合理性（0~2</w:t>
            </w:r>
            <w:r>
              <w:rPr>
                <w:spacing w:val="-1"/>
                <w:sz w:val="21"/>
              </w:rPr>
              <w:t> 分</w:t>
            </w:r>
            <w:r>
              <w:rPr>
                <w:sz w:val="21"/>
              </w:rPr>
              <w:t>） </w:t>
            </w:r>
          </w:p>
          <w:p>
            <w:pPr>
              <w:pStyle w:val="TableParagraph"/>
              <w:spacing w:before="46"/>
              <w:ind w:left="111"/>
              <w:rPr>
                <w:sz w:val="21"/>
              </w:rPr>
            </w:pPr>
            <w:r>
              <w:rPr>
                <w:sz w:val="21"/>
              </w:rPr>
              <w:t>4、主要单价的合理性（0~3</w:t>
            </w:r>
            <w:r>
              <w:rPr>
                <w:spacing w:val="-1"/>
                <w:sz w:val="21"/>
              </w:rPr>
              <w:t> 分</w:t>
            </w:r>
            <w:r>
              <w:rPr>
                <w:sz w:val="21"/>
              </w:rPr>
              <w:t>） </w:t>
            </w:r>
          </w:p>
          <w:p>
            <w:pPr>
              <w:pStyle w:val="TableParagraph"/>
              <w:spacing w:before="47"/>
              <w:ind w:left="111"/>
              <w:rPr>
                <w:sz w:val="21"/>
              </w:rPr>
            </w:pPr>
            <w:r>
              <w:rPr>
                <w:sz w:val="21"/>
              </w:rPr>
              <w:t>5、人工、材料、机械价格的合理性</w:t>
            </w:r>
          </w:p>
          <w:p>
            <w:pPr>
              <w:pStyle w:val="TableParagraph"/>
              <w:spacing w:before="46"/>
              <w:ind w:left="111"/>
              <w:rPr>
                <w:sz w:val="21"/>
              </w:rPr>
            </w:pPr>
            <w:r>
              <w:rPr>
                <w:sz w:val="21"/>
              </w:rPr>
              <w:t>（0~2 分） </w:t>
            </w:r>
          </w:p>
          <w:p>
            <w:pPr>
              <w:pStyle w:val="TableParagraph"/>
              <w:spacing w:before="46"/>
              <w:ind w:left="111"/>
              <w:rPr>
                <w:sz w:val="21"/>
              </w:rPr>
            </w:pPr>
            <w:r>
              <w:rPr>
                <w:sz w:val="21"/>
              </w:rPr>
              <w:t>6、取费标准的合理性（0~1 分） </w:t>
            </w:r>
          </w:p>
          <w:p>
            <w:pPr>
              <w:pStyle w:val="TableParagraph"/>
              <w:spacing w:before="31"/>
              <w:ind w:left="111"/>
              <w:rPr>
                <w:sz w:val="21"/>
              </w:rPr>
            </w:pPr>
            <w:r>
              <w:rPr>
                <w:sz w:val="21"/>
              </w:rPr>
              <w:t>7、计算错误及商务偏差（0~1 分） </w:t>
            </w:r>
          </w:p>
        </w:tc>
      </w:tr>
      <w:tr>
        <w:trPr>
          <w:trHeight w:val="3617" w:hRule="atLeast"/>
        </w:trPr>
        <w:tc>
          <w:tcPr>
            <w:tcW w:w="962"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8"/>
              </w:rPr>
            </w:pPr>
          </w:p>
          <w:p>
            <w:pPr>
              <w:pStyle w:val="TableParagraph"/>
              <w:ind w:left="217"/>
              <w:rPr>
                <w:sz w:val="21"/>
              </w:rPr>
            </w:pPr>
            <w:r>
              <w:rPr>
                <w:sz w:val="21"/>
              </w:rPr>
              <w:t>3.4.2 </w:t>
            </w:r>
          </w:p>
        </w:tc>
        <w:tc>
          <w:tcPr>
            <w:tcW w:w="1292"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18"/>
              </w:rPr>
            </w:pPr>
          </w:p>
          <w:p>
            <w:pPr>
              <w:pStyle w:val="TableParagraph"/>
              <w:ind w:left="126" w:right="-15"/>
              <w:rPr>
                <w:sz w:val="21"/>
              </w:rPr>
            </w:pPr>
            <w:r>
              <w:rPr>
                <w:sz w:val="21"/>
              </w:rPr>
              <w:t>技术标评审 </w:t>
            </w: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4"/>
              </w:rPr>
            </w:pPr>
          </w:p>
          <w:p>
            <w:pPr>
              <w:pStyle w:val="TableParagraph"/>
              <w:ind w:left="111"/>
              <w:rPr>
                <w:sz w:val="21"/>
              </w:rPr>
            </w:pPr>
            <w:r>
              <w:rPr>
                <w:sz w:val="21"/>
              </w:rPr>
              <w:t>施工方案与技术措施（10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05"/>
              <w:ind w:left="111" w:right="96"/>
              <w:rPr>
                <w:sz w:val="21"/>
              </w:rPr>
            </w:pPr>
            <w:r>
              <w:rPr>
                <w:sz w:val="21"/>
              </w:rPr>
              <w:t>施工部署合理，施工顺序及方案切实可行、针对性强，各分部工程施工程序、工艺符合有关施工规程规范要求，且与投入的设备、人力相符合；各工序工作历时安排合理。（施工组织方案与措施</w:t>
            </w:r>
            <w:r>
              <w:rPr>
                <w:spacing w:val="5"/>
                <w:sz w:val="21"/>
              </w:rPr>
              <w:t>较好者 </w:t>
            </w:r>
            <w:r>
              <w:rPr>
                <w:sz w:val="21"/>
              </w:rPr>
              <w:t>5.5～2</w:t>
            </w:r>
            <w:r>
              <w:rPr>
                <w:spacing w:val="4"/>
                <w:sz w:val="21"/>
              </w:rPr>
              <w:t> 分，一般者 </w:t>
            </w:r>
            <w:r>
              <w:rPr>
                <w:sz w:val="21"/>
              </w:rPr>
              <w:t>1.9～</w:t>
            </w:r>
            <w:r>
              <w:rPr>
                <w:spacing w:val="21"/>
                <w:sz w:val="21"/>
              </w:rPr>
              <w:t> </w:t>
            </w:r>
            <w:r>
              <w:rPr>
                <w:sz w:val="21"/>
              </w:rPr>
              <w:t>0 分）；</w:t>
            </w:r>
            <w:r>
              <w:rPr>
                <w:spacing w:val="-1"/>
                <w:sz w:val="21"/>
              </w:rPr>
              <w:t>劳动力计划 </w:t>
            </w:r>
            <w:r>
              <w:rPr>
                <w:sz w:val="21"/>
              </w:rPr>
              <w:t>2.5</w:t>
            </w:r>
            <w:r>
              <w:rPr>
                <w:spacing w:val="-1"/>
                <w:sz w:val="21"/>
              </w:rPr>
              <w:t> 分</w:t>
            </w:r>
            <w:r>
              <w:rPr>
                <w:sz w:val="21"/>
              </w:rPr>
              <w:t>（较好者2.5～</w:t>
            </w:r>
            <w:r>
              <w:rPr>
                <w:spacing w:val="-1"/>
                <w:sz w:val="21"/>
              </w:rPr>
              <w:t> </w:t>
            </w:r>
            <w:r>
              <w:rPr>
                <w:sz w:val="21"/>
              </w:rPr>
              <w:t>1 分，一般者 0.9～0 分）；各项交叉作业等是否切合实际、合理可行2</w:t>
            </w:r>
            <w:r>
              <w:rPr>
                <w:spacing w:val="-16"/>
                <w:sz w:val="21"/>
              </w:rPr>
              <w:t> 分</w:t>
            </w:r>
            <w:r>
              <w:rPr>
                <w:sz w:val="21"/>
              </w:rPr>
              <w:t>（较好者 2～1 分，一般者 0.9～0 分） </w:t>
            </w:r>
          </w:p>
        </w:tc>
      </w:tr>
      <w:tr>
        <w:trPr>
          <w:trHeight w:val="1756"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4"/>
              </w:rPr>
            </w:pPr>
          </w:p>
          <w:p>
            <w:pPr>
              <w:pStyle w:val="TableParagraph"/>
              <w:ind w:left="111"/>
              <w:rPr>
                <w:sz w:val="21"/>
              </w:rPr>
            </w:pPr>
            <w:r>
              <w:rPr>
                <w:sz w:val="21"/>
              </w:rPr>
              <w:t>质量管理体系与措施（5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167"/>
              <w:rPr>
                <w:sz w:val="21"/>
              </w:rPr>
            </w:pPr>
            <w:r>
              <w:rPr>
                <w:sz w:val="21"/>
              </w:rPr>
              <w:t>质量管理体系健全、管理人员责任明 确、管理制度健全有效，各项技术措 施、主要分项工程、作业指导书符合现</w:t>
            </w:r>
            <w:r>
              <w:rPr>
                <w:spacing w:val="-1"/>
                <w:sz w:val="21"/>
              </w:rPr>
              <w:t>行国家质量验收标准要求。较好者 </w:t>
            </w:r>
            <w:r>
              <w:rPr>
                <w:sz w:val="21"/>
              </w:rPr>
              <w:t>5～ 2</w:t>
            </w:r>
            <w:r>
              <w:rPr>
                <w:spacing w:val="-1"/>
                <w:sz w:val="21"/>
              </w:rPr>
              <w:t> 分，一般者 </w:t>
            </w:r>
            <w:r>
              <w:rPr>
                <w:sz w:val="21"/>
              </w:rPr>
              <w:t>1.9～0 分 </w:t>
            </w:r>
          </w:p>
        </w:tc>
      </w:tr>
      <w:tr>
        <w:trPr>
          <w:trHeight w:val="1756"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4"/>
              </w:rPr>
            </w:pPr>
          </w:p>
          <w:p>
            <w:pPr>
              <w:pStyle w:val="TableParagraph"/>
              <w:ind w:left="111"/>
              <w:rPr>
                <w:sz w:val="21"/>
              </w:rPr>
            </w:pPr>
            <w:r>
              <w:rPr>
                <w:sz w:val="21"/>
              </w:rPr>
              <w:t>安全管理体系与措施（5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05"/>
              <w:ind w:left="111" w:right="167"/>
              <w:jc w:val="both"/>
              <w:rPr>
                <w:sz w:val="21"/>
              </w:rPr>
            </w:pPr>
            <w:r>
              <w:rPr>
                <w:sz w:val="21"/>
              </w:rPr>
              <w:t>安全管理体系健全、管理人员岗位责任明确、各种安全教育制度健全有效、施工现场安全技术管理及防护、防范措施得力，符合国家安全生产管理规定。较好者 5～2 分，一般 1.9～0 分。 </w:t>
            </w:r>
          </w:p>
        </w:tc>
      </w:tr>
      <w:tr>
        <w:trPr>
          <w:trHeight w:val="1741"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spacing w:before="8"/>
              <w:rPr>
                <w:rFonts w:ascii="Times New Roman"/>
                <w:sz w:val="22"/>
              </w:rPr>
            </w:pPr>
          </w:p>
          <w:p>
            <w:pPr>
              <w:pStyle w:val="TableParagraph"/>
              <w:ind w:left="111" w:right="-15"/>
              <w:rPr>
                <w:sz w:val="21"/>
              </w:rPr>
            </w:pPr>
            <w:r>
              <w:rPr>
                <w:spacing w:val="-9"/>
                <w:sz w:val="21"/>
              </w:rPr>
              <w:t>环境保护管理体系与措施</w:t>
            </w:r>
            <w:r>
              <w:rPr>
                <w:sz w:val="21"/>
              </w:rPr>
              <w:t>（10</w:t>
            </w:r>
            <w:r>
              <w:rPr>
                <w:spacing w:val="-23"/>
                <w:sz w:val="21"/>
              </w:rPr>
              <w:t> 分</w:t>
            </w:r>
            <w:r>
              <w:rPr>
                <w:spacing w:val="-121"/>
                <w:sz w:val="21"/>
              </w:rPr>
              <w:t>）</w:t>
            </w:r>
            <w:r>
              <w:rPr>
                <w:sz w:val="21"/>
              </w:rPr>
              <w:t>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05"/>
              <w:ind w:left="111" w:right="167"/>
              <w:jc w:val="both"/>
              <w:rPr>
                <w:sz w:val="21"/>
              </w:rPr>
            </w:pPr>
            <w:r>
              <w:rPr>
                <w:sz w:val="21"/>
              </w:rPr>
              <w:t>环境保护管理体系健全，管理人员岗位责任明确，环境管理方案切实可行、能有效运行。污物处理与排放符合国家及地方有关环境保护标准。较好者 10～6 分，一般 5.9～0 分 </w:t>
            </w:r>
          </w:p>
        </w:tc>
      </w:tr>
      <w:tr>
        <w:trPr>
          <w:trHeight w:val="1441"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6"/>
              <w:rPr>
                <w:rFonts w:ascii="Times New Roman"/>
                <w:sz w:val="16"/>
              </w:rPr>
            </w:pPr>
          </w:p>
          <w:p>
            <w:pPr>
              <w:pStyle w:val="TableParagraph"/>
              <w:ind w:left="111"/>
              <w:rPr>
                <w:sz w:val="21"/>
              </w:rPr>
            </w:pPr>
            <w:r>
              <w:rPr>
                <w:sz w:val="21"/>
              </w:rPr>
              <w:t>拟投入施工机械设备、工期及保</w:t>
            </w:r>
          </w:p>
          <w:p>
            <w:pPr>
              <w:pStyle w:val="TableParagraph"/>
              <w:spacing w:before="47"/>
              <w:ind w:left="111"/>
              <w:rPr>
                <w:sz w:val="21"/>
              </w:rPr>
            </w:pPr>
            <w:r>
              <w:rPr>
                <w:sz w:val="21"/>
              </w:rPr>
              <w:t>（5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66"/>
              <w:rPr>
                <w:sz w:val="21"/>
              </w:rPr>
            </w:pPr>
            <w:r>
              <w:rPr>
                <w:sz w:val="21"/>
              </w:rPr>
              <w:t>施工机械设备满足施工要求，施工进度安排合理，工期保证措施可靠，且有详细的施工进度横道图和网络图，各工序的逻辑关系、关键线路明确。其中：投</w:t>
            </w:r>
          </w:p>
        </w:tc>
      </w:tr>
    </w:tbl>
    <w:p>
      <w:pPr>
        <w:spacing w:after="0" w:line="280" w:lineRule="auto"/>
        <w:rPr>
          <w:sz w:val="21"/>
        </w:rPr>
        <w:sectPr>
          <w:pgSz w:w="11910" w:h="16850"/>
          <w:pgMar w:header="911" w:footer="0" w:top="1380" w:bottom="280" w:left="1200" w:right="0"/>
        </w:sectPr>
      </w:pPr>
    </w:p>
    <w:p>
      <w:pPr>
        <w:pStyle w:val="BodyText"/>
        <w:spacing w:before="10"/>
        <w:rPr>
          <w:rFonts w:ascii="Times New Roman"/>
          <w:sz w:val="3"/>
        </w:rPr>
      </w:pPr>
    </w:p>
    <w:tbl>
      <w:tblPr>
        <w:tblW w:w="0" w:type="auto"/>
        <w:jc w:val="left"/>
        <w:tblInd w:w="1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62"/>
        <w:gridCol w:w="1292"/>
        <w:gridCol w:w="3229"/>
        <w:gridCol w:w="3875"/>
      </w:tblGrid>
      <w:tr>
        <w:trPr>
          <w:trHeight w:val="2054" w:hRule="atLeast"/>
        </w:trPr>
        <w:tc>
          <w:tcPr>
            <w:tcW w:w="962"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1292"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3229" w:type="dxa"/>
            <w:tcBorders>
              <w:left w:val="single" w:sz="6" w:space="0" w:color="000000"/>
              <w:bottom w:val="single" w:sz="6" w:space="0" w:color="000000"/>
              <w:right w:val="single" w:sz="6" w:space="0" w:color="000000"/>
            </w:tcBorders>
          </w:tcPr>
          <w:p>
            <w:pPr>
              <w:pStyle w:val="TableParagraph"/>
              <w:rPr>
                <w:rFonts w:ascii="Times New Roman"/>
                <w:sz w:val="20"/>
              </w:rPr>
            </w:pPr>
          </w:p>
        </w:tc>
        <w:tc>
          <w:tcPr>
            <w:tcW w:w="3875" w:type="dxa"/>
            <w:tcBorders>
              <w:left w:val="single" w:sz="6" w:space="0" w:color="000000"/>
              <w:bottom w:val="single" w:sz="6" w:space="0" w:color="000000"/>
              <w:right w:val="single" w:sz="6" w:space="0" w:color="000000"/>
            </w:tcBorders>
          </w:tcPr>
          <w:p>
            <w:pPr>
              <w:pStyle w:val="TableParagraph"/>
              <w:spacing w:line="276" w:lineRule="auto" w:before="102"/>
              <w:ind w:left="111" w:right="45"/>
              <w:rPr>
                <w:sz w:val="21"/>
              </w:rPr>
            </w:pPr>
            <w:r>
              <w:rPr>
                <w:sz w:val="21"/>
              </w:rPr>
              <w:t>入的机械设备优劣性满分 2.5 分（较好者 2.5～1 分，一般者 0.9～0 分）； 施工总进度计划合理性满分 1.5 分（较好者 1.5～1 分，一般者 0.9～0 </w:t>
            </w:r>
          </w:p>
          <w:p>
            <w:pPr>
              <w:pStyle w:val="TableParagraph"/>
              <w:spacing w:line="280" w:lineRule="auto" w:before="9"/>
              <w:ind w:left="111" w:right="66"/>
              <w:rPr>
                <w:sz w:val="21"/>
              </w:rPr>
            </w:pPr>
            <w:r>
              <w:rPr>
                <w:sz w:val="21"/>
              </w:rPr>
              <w:t>分）；工期保证措施可靠性 1 分（较好者 1～0.6 分，一般者 0.5～0 分）。 </w:t>
            </w:r>
          </w:p>
        </w:tc>
      </w:tr>
      <w:tr>
        <w:trPr>
          <w:trHeight w:val="811" w:hRule="atLeast"/>
        </w:trPr>
        <w:tc>
          <w:tcPr>
            <w:tcW w:w="962"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5"/>
              </w:rPr>
            </w:pPr>
          </w:p>
          <w:p>
            <w:pPr>
              <w:pStyle w:val="TableParagraph"/>
              <w:ind w:left="217"/>
              <w:rPr>
                <w:sz w:val="21"/>
              </w:rPr>
            </w:pPr>
            <w:r>
              <w:rPr>
                <w:sz w:val="21"/>
              </w:rPr>
              <w:t>3.4.3 </w:t>
            </w:r>
          </w:p>
        </w:tc>
        <w:tc>
          <w:tcPr>
            <w:tcW w:w="1292" w:type="dxa"/>
            <w:vMerge w:val="restart"/>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rPr>
                <w:rFonts w:ascii="Times New Roman"/>
                <w:sz w:val="20"/>
              </w:rPr>
            </w:pPr>
          </w:p>
          <w:p>
            <w:pPr>
              <w:pStyle w:val="TableParagraph"/>
              <w:spacing w:before="4"/>
              <w:rPr>
                <w:rFonts w:ascii="Times New Roman"/>
                <w:sz w:val="25"/>
              </w:rPr>
            </w:pPr>
          </w:p>
          <w:p>
            <w:pPr>
              <w:pStyle w:val="TableParagraph"/>
              <w:ind w:left="126" w:right="-15"/>
              <w:rPr>
                <w:sz w:val="21"/>
              </w:rPr>
            </w:pPr>
            <w:r>
              <w:rPr>
                <w:sz w:val="21"/>
              </w:rPr>
              <w:t>综合标评审 </w:t>
            </w: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项目经理任职资格（2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15"/>
              <w:rPr>
                <w:sz w:val="21"/>
              </w:rPr>
            </w:pPr>
            <w:r>
              <w:rPr>
                <w:spacing w:val="-2"/>
                <w:sz w:val="21"/>
              </w:rPr>
              <w:t>符合本工程基本要求</w:t>
            </w:r>
            <w:r>
              <w:rPr>
                <w:sz w:val="21"/>
              </w:rPr>
              <w:t>（二级建造师</w:t>
            </w:r>
            <w:r>
              <w:rPr>
                <w:spacing w:val="-18"/>
                <w:sz w:val="21"/>
              </w:rPr>
              <w:t>）</w:t>
            </w:r>
            <w:r>
              <w:rPr>
                <w:spacing w:val="9"/>
                <w:sz w:val="21"/>
              </w:rPr>
              <w:t> 得</w:t>
            </w:r>
            <w:r>
              <w:rPr>
                <w:sz w:val="21"/>
              </w:rPr>
              <w:t>2 分 </w:t>
            </w:r>
          </w:p>
        </w:tc>
      </w:tr>
      <w:tr>
        <w:trPr>
          <w:trHeight w:val="1756"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3"/>
              </w:rPr>
            </w:pPr>
          </w:p>
          <w:p>
            <w:pPr>
              <w:pStyle w:val="TableParagraph"/>
              <w:spacing w:before="1"/>
              <w:ind w:left="111"/>
              <w:rPr>
                <w:sz w:val="21"/>
              </w:rPr>
            </w:pPr>
            <w:r>
              <w:rPr>
                <w:sz w:val="21"/>
              </w:rPr>
              <w:t>项目经理业绩（1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78" w:lineRule="auto" w:before="105"/>
              <w:ind w:left="111" w:right="95"/>
              <w:jc w:val="both"/>
              <w:rPr>
                <w:sz w:val="21"/>
              </w:rPr>
            </w:pPr>
            <w:r>
              <w:rPr>
                <w:sz w:val="21"/>
              </w:rPr>
              <w:t>近 3</w:t>
            </w:r>
            <w:r>
              <w:rPr>
                <w:spacing w:val="-3"/>
                <w:sz w:val="21"/>
              </w:rPr>
              <w:t> 年参建项目</w:t>
            </w:r>
            <w:r>
              <w:rPr>
                <w:sz w:val="21"/>
              </w:rPr>
              <w:t>（附有关证明材料</w:t>
            </w:r>
            <w:r>
              <w:rPr>
                <w:spacing w:val="-14"/>
                <w:sz w:val="21"/>
              </w:rPr>
              <w:t>）， </w:t>
            </w:r>
            <w:r>
              <w:rPr>
                <w:spacing w:val="-1"/>
                <w:sz w:val="21"/>
              </w:rPr>
              <w:t>一项得 </w:t>
            </w:r>
            <w:r>
              <w:rPr>
                <w:sz w:val="21"/>
              </w:rPr>
              <w:t>0.5</w:t>
            </w:r>
            <w:r>
              <w:rPr>
                <w:spacing w:val="-3"/>
                <w:sz w:val="21"/>
              </w:rPr>
              <w:t> 分，二项以上</w:t>
            </w:r>
            <w:r>
              <w:rPr>
                <w:sz w:val="21"/>
              </w:rPr>
              <w:t>（含两项</w:t>
            </w:r>
            <w:r>
              <w:rPr>
                <w:spacing w:val="-15"/>
                <w:sz w:val="21"/>
              </w:rPr>
              <w:t>）</w:t>
            </w:r>
            <w:r>
              <w:rPr>
                <w:sz w:val="21"/>
              </w:rPr>
              <w:t>得1 分。近 3</w:t>
            </w:r>
            <w:r>
              <w:rPr>
                <w:spacing w:val="-6"/>
                <w:sz w:val="21"/>
              </w:rPr>
              <w:t> 年参建项目</w:t>
            </w:r>
            <w:r>
              <w:rPr>
                <w:sz w:val="21"/>
              </w:rPr>
              <w:t>（附有关证明材料</w:t>
            </w:r>
            <w:r>
              <w:rPr>
                <w:spacing w:val="-8"/>
                <w:sz w:val="21"/>
              </w:rPr>
              <w:t>）</w:t>
            </w:r>
            <w:r>
              <w:rPr>
                <w:spacing w:val="-3"/>
                <w:sz w:val="21"/>
              </w:rPr>
              <w:t>，一项得 </w:t>
            </w:r>
            <w:r>
              <w:rPr>
                <w:sz w:val="21"/>
              </w:rPr>
              <w:t>0.5</w:t>
            </w:r>
            <w:r>
              <w:rPr>
                <w:spacing w:val="-3"/>
                <w:sz w:val="21"/>
              </w:rPr>
              <w:t> 分，二项以上</w:t>
            </w:r>
            <w:r>
              <w:rPr>
                <w:sz w:val="21"/>
              </w:rPr>
              <w:t>（</w:t>
            </w:r>
            <w:r>
              <w:rPr>
                <w:spacing w:val="-6"/>
                <w:sz w:val="21"/>
              </w:rPr>
              <w:t>含两</w:t>
            </w:r>
            <w:r>
              <w:rPr>
                <w:sz w:val="21"/>
              </w:rPr>
              <w:t>项）</w:t>
            </w:r>
            <w:r>
              <w:rPr>
                <w:spacing w:val="-1"/>
                <w:sz w:val="21"/>
              </w:rPr>
              <w:t>得 </w:t>
            </w:r>
            <w:r>
              <w:rPr>
                <w:sz w:val="21"/>
              </w:rPr>
              <w:t>1 分。 </w:t>
            </w:r>
          </w:p>
        </w:tc>
      </w:tr>
      <w:tr>
        <w:trPr>
          <w:trHeight w:val="810"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spacing w:before="2"/>
              <w:rPr>
                <w:rFonts w:ascii="Times New Roman"/>
                <w:sz w:val="22"/>
              </w:rPr>
            </w:pPr>
          </w:p>
          <w:p>
            <w:pPr>
              <w:pStyle w:val="TableParagraph"/>
              <w:ind w:left="111"/>
              <w:rPr>
                <w:sz w:val="21"/>
              </w:rPr>
            </w:pPr>
            <w:r>
              <w:rPr>
                <w:sz w:val="21"/>
              </w:rPr>
              <w:t>技术负责人（1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15"/>
              <w:rPr>
                <w:sz w:val="21"/>
              </w:rPr>
            </w:pPr>
            <w:r>
              <w:rPr>
                <w:spacing w:val="-7"/>
                <w:sz w:val="21"/>
              </w:rPr>
              <w:t>符合本工程基本要求</w:t>
            </w:r>
            <w:r>
              <w:rPr>
                <w:sz w:val="21"/>
              </w:rPr>
              <w:t>（中级职称</w:t>
            </w:r>
            <w:r>
              <w:rPr>
                <w:spacing w:val="-60"/>
                <w:sz w:val="21"/>
              </w:rPr>
              <w:t>）</w:t>
            </w:r>
            <w:r>
              <w:rPr>
                <w:spacing w:val="-2"/>
                <w:sz w:val="21"/>
              </w:rPr>
              <w:t>得 </w:t>
            </w:r>
            <w:r>
              <w:rPr>
                <w:spacing w:val="-5"/>
                <w:sz w:val="21"/>
              </w:rPr>
              <w:t>0.5 </w:t>
            </w:r>
            <w:r>
              <w:rPr>
                <w:spacing w:val="-1"/>
                <w:sz w:val="21"/>
              </w:rPr>
              <w:t>分，高于基本要求得 </w:t>
            </w:r>
            <w:r>
              <w:rPr>
                <w:sz w:val="21"/>
              </w:rPr>
              <w:t>1 分。 </w:t>
            </w:r>
          </w:p>
        </w:tc>
      </w:tr>
      <w:tr>
        <w:trPr>
          <w:trHeight w:val="1126" w:hRule="atLeast"/>
        </w:trPr>
        <w:tc>
          <w:tcPr>
            <w:tcW w:w="962" w:type="dxa"/>
            <w:vMerge/>
            <w:tcBorders>
              <w:top w:val="nil"/>
              <w:left w:val="single" w:sz="6" w:space="0" w:color="000000"/>
              <w:bottom w:val="single" w:sz="6" w:space="0" w:color="000000"/>
              <w:right w:val="single" w:sz="6" w:space="0" w:color="000000"/>
            </w:tcBorders>
          </w:tcPr>
          <w:p>
            <w:pPr>
              <w:rPr>
                <w:sz w:val="2"/>
                <w:szCs w:val="2"/>
              </w:rPr>
            </w:pPr>
          </w:p>
        </w:tc>
        <w:tc>
          <w:tcPr>
            <w:tcW w:w="1292" w:type="dxa"/>
            <w:vMerge/>
            <w:tcBorders>
              <w:top w:val="nil"/>
              <w:left w:val="single" w:sz="6" w:space="0" w:color="000000"/>
              <w:bottom w:val="single" w:sz="6" w:space="0" w:color="000000"/>
              <w:right w:val="single" w:sz="6" w:space="0" w:color="000000"/>
            </w:tcBorders>
          </w:tcPr>
          <w:p>
            <w:pPr>
              <w:rPr>
                <w:sz w:val="2"/>
                <w:szCs w:val="2"/>
              </w:rPr>
            </w:pP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6"/>
              <w:rPr>
                <w:rFonts w:ascii="Times New Roman"/>
                <w:sz w:val="16"/>
              </w:rPr>
            </w:pPr>
          </w:p>
          <w:p>
            <w:pPr>
              <w:pStyle w:val="TableParagraph"/>
              <w:ind w:left="111"/>
              <w:rPr>
                <w:sz w:val="21"/>
              </w:rPr>
            </w:pPr>
            <w:r>
              <w:rPr>
                <w:sz w:val="21"/>
              </w:rPr>
              <w:t>项目班子组成（1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6"/>
              <w:jc w:val="both"/>
              <w:rPr>
                <w:sz w:val="21"/>
              </w:rPr>
            </w:pPr>
            <w:r>
              <w:rPr>
                <w:sz w:val="21"/>
              </w:rPr>
              <w:t>配置安全员 1 名（具有安全考核证书 C 证）、质量员 1 名、施工员 1 名， 并且各岗证件齐全得 1 分，否 则得 0 分 </w:t>
            </w:r>
          </w:p>
        </w:tc>
      </w:tr>
      <w:tr>
        <w:trPr>
          <w:trHeight w:val="1125" w:hRule="atLeast"/>
        </w:trPr>
        <w:tc>
          <w:tcPr>
            <w:tcW w:w="96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6"/>
              <w:rPr>
                <w:rFonts w:ascii="Times New Roman"/>
                <w:sz w:val="16"/>
              </w:rPr>
            </w:pPr>
          </w:p>
          <w:p>
            <w:pPr>
              <w:pStyle w:val="TableParagraph"/>
              <w:ind w:left="217"/>
              <w:rPr>
                <w:sz w:val="21"/>
              </w:rPr>
            </w:pPr>
            <w:r>
              <w:rPr>
                <w:sz w:val="21"/>
              </w:rPr>
              <w:t>3.4.4 </w:t>
            </w:r>
          </w:p>
        </w:tc>
        <w:tc>
          <w:tcPr>
            <w:tcW w:w="129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6"/>
              <w:rPr>
                <w:rFonts w:ascii="Times New Roman"/>
                <w:sz w:val="16"/>
              </w:rPr>
            </w:pPr>
          </w:p>
          <w:p>
            <w:pPr>
              <w:pStyle w:val="TableParagraph"/>
              <w:ind w:left="126" w:right="-15"/>
              <w:rPr>
                <w:sz w:val="21"/>
              </w:rPr>
            </w:pPr>
            <w:r>
              <w:rPr>
                <w:sz w:val="21"/>
              </w:rPr>
              <w:t>其他标评审 </w:t>
            </w:r>
          </w:p>
        </w:tc>
        <w:tc>
          <w:tcPr>
            <w:tcW w:w="3229"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0"/>
              </w:rPr>
            </w:pPr>
          </w:p>
          <w:p>
            <w:pPr>
              <w:pStyle w:val="TableParagraph"/>
              <w:spacing w:before="6"/>
              <w:rPr>
                <w:rFonts w:ascii="Times New Roman"/>
                <w:sz w:val="16"/>
              </w:rPr>
            </w:pPr>
          </w:p>
          <w:p>
            <w:pPr>
              <w:pStyle w:val="TableParagraph"/>
              <w:ind w:left="111"/>
              <w:rPr>
                <w:sz w:val="21"/>
              </w:rPr>
            </w:pPr>
            <w:r>
              <w:rPr>
                <w:sz w:val="21"/>
              </w:rPr>
              <w:t>投标人的业绩（6 分） </w:t>
            </w:r>
          </w:p>
        </w:tc>
        <w:tc>
          <w:tcPr>
            <w:tcW w:w="3875" w:type="dxa"/>
            <w:tcBorders>
              <w:top w:val="single" w:sz="6" w:space="0" w:color="000000"/>
              <w:left w:val="single" w:sz="6" w:space="0" w:color="000000"/>
              <w:bottom w:val="single" w:sz="6" w:space="0" w:color="000000"/>
              <w:right w:val="single" w:sz="6" w:space="0" w:color="000000"/>
            </w:tcBorders>
          </w:tcPr>
          <w:p>
            <w:pPr>
              <w:pStyle w:val="TableParagraph"/>
              <w:spacing w:line="280" w:lineRule="auto" w:before="105"/>
              <w:ind w:left="111" w:right="83"/>
              <w:rPr>
                <w:sz w:val="21"/>
              </w:rPr>
            </w:pPr>
            <w:r>
              <w:rPr>
                <w:spacing w:val="-10"/>
                <w:sz w:val="21"/>
              </w:rPr>
              <w:t>类似工程业绩</w:t>
            </w:r>
            <w:r>
              <w:rPr>
                <w:sz w:val="21"/>
              </w:rPr>
              <w:t>（</w:t>
            </w:r>
            <w:r>
              <w:rPr>
                <w:spacing w:val="-1"/>
                <w:sz w:val="21"/>
              </w:rPr>
              <w:t>满分 </w:t>
            </w:r>
            <w:r>
              <w:rPr>
                <w:sz w:val="21"/>
              </w:rPr>
              <w:t>6</w:t>
            </w:r>
            <w:r>
              <w:rPr>
                <w:spacing w:val="-1"/>
                <w:sz w:val="21"/>
              </w:rPr>
              <w:t> 分</w:t>
            </w:r>
            <w:r>
              <w:rPr>
                <w:spacing w:val="-60"/>
                <w:sz w:val="21"/>
              </w:rPr>
              <w:t>）</w:t>
            </w:r>
            <w:r>
              <w:rPr>
                <w:spacing w:val="-3"/>
                <w:sz w:val="21"/>
              </w:rPr>
              <w:t>。其中： 二</w:t>
            </w:r>
            <w:r>
              <w:rPr>
                <w:spacing w:val="-1"/>
                <w:sz w:val="21"/>
              </w:rPr>
              <w:t>项得 </w:t>
            </w:r>
            <w:r>
              <w:rPr>
                <w:sz w:val="21"/>
              </w:rPr>
              <w:t>2 分、三项得 4 分、三项以上得6 分 </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79"/>
        <w:ind w:left="226" w:right="0" w:firstLine="0"/>
        <w:jc w:val="left"/>
        <w:rPr>
          <w:sz w:val="27"/>
        </w:rPr>
      </w:pPr>
      <w:r>
        <w:rPr/>
        <w:pict>
          <v:group style="position:absolute;margin-left:71.349998pt;margin-top:-439.899536pt;width:446.15pt;height:432.65pt;mso-position-horizontal-relative:page;mso-position-vertical-relative:paragraph;z-index:-268612608" coordorigin="1427,-8798" coordsize="8923,8653">
            <v:shape style="position:absolute;left:1563;top:-8798;width:8786;height:8653" type="#_x0000_t75" stroked="false">
              <v:imagedata r:id="rId6" o:title=""/>
            </v:shape>
            <v:shape style="position:absolute;left:1427;top:-2104;width:8411;height:1787" coordorigin="1427,-2103" coordsize="8411,1787" path="m5842,-692l1427,-692,1427,-317,5842,-317,5842,-692m9837,-1157l1427,-1157,1427,-782,9837,-782,9837,-1157m9837,-1638l1427,-1638,1427,-1248,9837,-1248,9837,-1638m9838,-2103l1848,-2103,1848,-1728,9838,-1728,9838,-2103e" filled="true" fillcolor="#ffffff" stroked="false">
              <v:path arrowok="t"/>
              <v:fill type="solid"/>
            </v:shape>
            <v:shape style="position:absolute;left:1427;top:-2801;width:1642;height:270" type="#_x0000_t202" filled="false" stroked="false">
              <v:textbox inset="0,0,0,0">
                <w:txbxContent>
                  <w:p>
                    <w:pPr>
                      <w:spacing w:line="270" w:lineRule="exact" w:before="0"/>
                      <w:ind w:left="0" w:right="0" w:firstLine="0"/>
                      <w:jc w:val="left"/>
                      <w:rPr>
                        <w:sz w:val="27"/>
                      </w:rPr>
                    </w:pPr>
                    <w:r>
                      <w:rPr>
                        <w:sz w:val="27"/>
                      </w:rPr>
                      <w:t>1</w:t>
                    </w:r>
                    <w:r>
                      <w:rPr>
                        <w:rFonts w:ascii="黑体" w:eastAsia="黑体" w:hint="eastAsia"/>
                        <w:sz w:val="27"/>
                      </w:rPr>
                      <w:t>、评标方法</w:t>
                    </w:r>
                    <w:r>
                      <w:rPr>
                        <w:sz w:val="27"/>
                      </w:rPr>
                      <w:t> </w:t>
                    </w:r>
                  </w:p>
                </w:txbxContent>
              </v:textbox>
              <w10:wrap type="none"/>
            </v:shape>
            <v:shape style="position:absolute;left:1427;top:-1969;width:8536;height:1622" type="#_x0000_t202" filled="false" stroked="false">
              <v:textbox inset="0,0,0,0">
                <w:txbxContent>
                  <w:p>
                    <w:pPr>
                      <w:spacing w:line="240" w:lineRule="exact" w:before="0"/>
                      <w:ind w:left="420" w:right="0" w:firstLine="0"/>
                      <w:jc w:val="left"/>
                      <w:rPr>
                        <w:sz w:val="21"/>
                      </w:rPr>
                    </w:pPr>
                    <w:r>
                      <w:rPr>
                        <w:spacing w:val="-2"/>
                        <w:sz w:val="21"/>
                      </w:rPr>
                      <w:t>本次评标采用综合评估法。评标委员会对满足招标文件实质性要求的投标文件，按照本</w:t>
                    </w:r>
                    <w:r>
                      <w:rPr>
                        <w:sz w:val="21"/>
                      </w:rPr>
                      <w:t> </w:t>
                    </w:r>
                  </w:p>
                  <w:p>
                    <w:pPr>
                      <w:spacing w:line="240" w:lineRule="auto" w:before="4"/>
                      <w:rPr>
                        <w:sz w:val="15"/>
                      </w:rPr>
                    </w:pPr>
                  </w:p>
                  <w:p>
                    <w:pPr>
                      <w:spacing w:before="0"/>
                      <w:ind w:left="0" w:right="0" w:firstLine="0"/>
                      <w:jc w:val="left"/>
                      <w:rPr>
                        <w:sz w:val="21"/>
                      </w:rPr>
                    </w:pPr>
                    <w:r>
                      <w:rPr>
                        <w:sz w:val="21"/>
                      </w:rPr>
                      <w:t>章第2.2</w:t>
                    </w:r>
                    <w:r>
                      <w:rPr>
                        <w:spacing w:val="-1"/>
                        <w:sz w:val="21"/>
                      </w:rPr>
                      <w:t> 款规定的评分标准进行打分，并按得分由高到低顺序推荐中标候选人，或根据招标</w:t>
                    </w:r>
                    <w:r>
                      <w:rPr>
                        <w:sz w:val="21"/>
                      </w:rPr>
                      <w:t> </w:t>
                    </w:r>
                  </w:p>
                  <w:p>
                    <w:pPr>
                      <w:spacing w:line="460" w:lineRule="atLeast" w:before="21"/>
                      <w:ind w:left="0" w:right="18" w:firstLine="0"/>
                      <w:jc w:val="left"/>
                      <w:rPr>
                        <w:sz w:val="21"/>
                      </w:rPr>
                    </w:pPr>
                    <w:r>
                      <w:rPr>
                        <w:sz w:val="21"/>
                      </w:rPr>
                      <w:t>人授权直接确定中标人，但投标报价低于其成本的除外。综合评分相等时，以投标报价低的优先；投标报价也相等的，由招标人自行确定。 </w:t>
                    </w:r>
                  </w:p>
                </w:txbxContent>
              </v:textbox>
              <w10:wrap type="none"/>
            </v:shape>
            <w10:wrap type="none"/>
          </v:group>
        </w:pict>
      </w:r>
      <w:bookmarkStart w:name="1、评标方法" w:id="51"/>
      <w:bookmarkEnd w:id="51"/>
      <w:r>
        <w:rPr/>
      </w:r>
      <w:bookmarkStart w:name="2 评审标准" w:id="52"/>
      <w:bookmarkEnd w:id="52"/>
      <w:r>
        <w:rPr/>
      </w:r>
      <w:bookmarkStart w:name="_bookmark20" w:id="53"/>
      <w:bookmarkEnd w:id="53"/>
      <w:r>
        <w:rPr/>
      </w:r>
      <w:bookmarkStart w:name="_bookmark21" w:id="54"/>
      <w:bookmarkEnd w:id="54"/>
      <w:r>
        <w:rPr/>
      </w:r>
      <w:r>
        <w:rPr>
          <w:sz w:val="27"/>
        </w:rPr>
        <w:t>2 </w:t>
      </w:r>
      <w:r>
        <w:rPr>
          <w:rFonts w:ascii="黑体" w:eastAsia="黑体" w:hint="eastAsia"/>
          <w:sz w:val="27"/>
        </w:rPr>
        <w:t>评审标准</w:t>
      </w:r>
      <w:r>
        <w:rPr>
          <w:sz w:val="27"/>
        </w:rPr>
        <w:t> </w:t>
      </w:r>
    </w:p>
    <w:p>
      <w:pPr>
        <w:pStyle w:val="BodyText"/>
        <w:spacing w:before="8"/>
        <w:rPr>
          <w:sz w:val="38"/>
        </w:rPr>
      </w:pPr>
    </w:p>
    <w:p>
      <w:pPr>
        <w:pStyle w:val="ListParagraph"/>
        <w:numPr>
          <w:ilvl w:val="1"/>
          <w:numId w:val="26"/>
        </w:numPr>
        <w:tabs>
          <w:tab w:pos="1008" w:val="left" w:leader="none"/>
        </w:tabs>
        <w:spacing w:line="240" w:lineRule="auto" w:before="0" w:after="0"/>
        <w:ind w:left="1007" w:right="0" w:hanging="361"/>
        <w:jc w:val="left"/>
        <w:rPr>
          <w:b/>
          <w:sz w:val="21"/>
        </w:rPr>
      </w:pPr>
      <w:r>
        <w:rPr>
          <w:b/>
          <w:spacing w:val="6"/>
          <w:sz w:val="21"/>
        </w:rPr>
        <w:t>初步评审标准</w:t>
      </w:r>
      <w:r>
        <w:rPr>
          <w:b/>
          <w:spacing w:val="6"/>
          <w:w w:val="99"/>
          <w:sz w:val="21"/>
        </w:rPr>
        <w:t> </w:t>
      </w:r>
    </w:p>
    <w:p>
      <w:pPr>
        <w:pStyle w:val="BodyText"/>
        <w:spacing w:before="6"/>
        <w:rPr>
          <w:b/>
          <w:sz w:val="16"/>
        </w:rPr>
      </w:pPr>
    </w:p>
    <w:p>
      <w:pPr>
        <w:pStyle w:val="ListParagraph"/>
        <w:numPr>
          <w:ilvl w:val="2"/>
          <w:numId w:val="26"/>
        </w:numPr>
        <w:tabs>
          <w:tab w:pos="1174" w:val="left" w:leader="none"/>
        </w:tabs>
        <w:spacing w:line="240" w:lineRule="auto" w:before="1" w:after="0"/>
        <w:ind w:left="1173" w:right="0" w:hanging="527"/>
        <w:jc w:val="left"/>
        <w:rPr>
          <w:sz w:val="21"/>
        </w:rPr>
      </w:pPr>
      <w:r>
        <w:rPr>
          <w:spacing w:val="-1"/>
          <w:sz w:val="21"/>
        </w:rPr>
        <w:t>形式评审标准：见评标办法前附表。</w:t>
      </w:r>
      <w:r>
        <w:rPr>
          <w:sz w:val="21"/>
        </w:rPr>
        <w:t> </w:t>
      </w:r>
    </w:p>
    <w:p>
      <w:pPr>
        <w:pStyle w:val="BodyText"/>
        <w:spacing w:before="3"/>
        <w:rPr>
          <w:sz w:val="15"/>
        </w:rPr>
      </w:pPr>
    </w:p>
    <w:p>
      <w:pPr>
        <w:pStyle w:val="ListParagraph"/>
        <w:numPr>
          <w:ilvl w:val="2"/>
          <w:numId w:val="26"/>
        </w:numPr>
        <w:tabs>
          <w:tab w:pos="1174" w:val="left" w:leader="none"/>
        </w:tabs>
        <w:spacing w:line="240" w:lineRule="auto" w:before="0" w:after="0"/>
        <w:ind w:left="1173" w:right="0" w:hanging="527"/>
        <w:jc w:val="left"/>
        <w:rPr>
          <w:sz w:val="21"/>
        </w:rPr>
      </w:pPr>
      <w:r>
        <w:rPr>
          <w:spacing w:val="-1"/>
          <w:sz w:val="21"/>
        </w:rPr>
        <w:t>资格评审标准：见评标办法前附表。</w:t>
      </w:r>
      <w:r>
        <w:rPr>
          <w:sz w:val="21"/>
        </w:rPr>
        <w:t> </w:t>
      </w:r>
    </w:p>
    <w:p>
      <w:pPr>
        <w:spacing w:after="0" w:line="240" w:lineRule="auto"/>
        <w:jc w:val="left"/>
        <w:rPr>
          <w:sz w:val="21"/>
        </w:rPr>
        <w:sectPr>
          <w:pgSz w:w="11910" w:h="16850"/>
          <w:pgMar w:header="911" w:footer="0" w:top="1380" w:bottom="280" w:left="1200" w:right="0"/>
        </w:sectPr>
      </w:pPr>
    </w:p>
    <w:p>
      <w:pPr>
        <w:pStyle w:val="ListParagraph"/>
        <w:numPr>
          <w:ilvl w:val="2"/>
          <w:numId w:val="26"/>
        </w:numPr>
        <w:tabs>
          <w:tab w:pos="1174" w:val="left" w:leader="none"/>
        </w:tabs>
        <w:spacing w:line="240" w:lineRule="auto" w:before="150" w:after="0"/>
        <w:ind w:left="1173" w:right="0" w:hanging="527"/>
        <w:jc w:val="left"/>
        <w:rPr>
          <w:sz w:val="21"/>
        </w:rPr>
      </w:pPr>
      <w:r>
        <w:rPr>
          <w:spacing w:val="-1"/>
          <w:sz w:val="21"/>
        </w:rPr>
        <w:t>响应性评审标准：见评标办法前附表。</w:t>
      </w:r>
      <w:r>
        <w:rPr>
          <w:sz w:val="21"/>
        </w:rPr>
        <w:t> </w:t>
      </w:r>
    </w:p>
    <w:p>
      <w:pPr>
        <w:pStyle w:val="BodyText"/>
        <w:spacing w:before="4"/>
        <w:rPr>
          <w:sz w:val="15"/>
        </w:rPr>
      </w:pPr>
    </w:p>
    <w:p>
      <w:pPr>
        <w:pStyle w:val="ListParagraph"/>
        <w:numPr>
          <w:ilvl w:val="2"/>
          <w:numId w:val="26"/>
        </w:numPr>
        <w:tabs>
          <w:tab w:pos="1174" w:val="left" w:leader="none"/>
        </w:tabs>
        <w:spacing w:line="415" w:lineRule="auto" w:before="0" w:after="0"/>
        <w:ind w:left="226" w:right="1341" w:firstLine="420"/>
        <w:jc w:val="both"/>
        <w:rPr>
          <w:sz w:val="21"/>
        </w:rPr>
      </w:pPr>
      <w:r>
        <w:rPr>
          <w:spacing w:val="-5"/>
          <w:sz w:val="21"/>
        </w:rPr>
        <w:t>细微偏差：除本须知第 </w:t>
      </w:r>
      <w:r>
        <w:rPr>
          <w:sz w:val="21"/>
        </w:rPr>
        <w:t>2.1.1</w:t>
      </w:r>
      <w:r>
        <w:rPr>
          <w:spacing w:val="-15"/>
          <w:sz w:val="21"/>
        </w:rPr>
        <w:t> 款、</w:t>
      </w:r>
      <w:r>
        <w:rPr>
          <w:sz w:val="21"/>
        </w:rPr>
        <w:t>2.1.2</w:t>
      </w:r>
      <w:r>
        <w:rPr>
          <w:spacing w:val="-24"/>
          <w:sz w:val="21"/>
        </w:rPr>
        <w:t> 款和 </w:t>
      </w:r>
      <w:r>
        <w:rPr>
          <w:sz w:val="21"/>
        </w:rPr>
        <w:t>2.1.3</w:t>
      </w:r>
      <w:r>
        <w:rPr>
          <w:spacing w:val="-7"/>
          <w:sz w:val="21"/>
        </w:rPr>
        <w:t> 款规定的重大偏差外，投标文件存在</w:t>
      </w:r>
      <w:r>
        <w:rPr>
          <w:spacing w:val="-4"/>
          <w:sz w:val="21"/>
        </w:rPr>
        <w:t>的其它问题应视为细微偏差。投标人的投标文件存在重大偏差时，评标委员会不得允许投标人澄清或补正。 </w:t>
      </w:r>
    </w:p>
    <w:p>
      <w:pPr>
        <w:pStyle w:val="ListParagraph"/>
        <w:numPr>
          <w:ilvl w:val="1"/>
          <w:numId w:val="26"/>
        </w:numPr>
        <w:tabs>
          <w:tab w:pos="1068" w:val="left" w:leader="none"/>
        </w:tabs>
        <w:spacing w:line="429" w:lineRule="auto" w:before="0" w:after="0"/>
        <w:ind w:left="647" w:right="7642" w:firstLine="0"/>
        <w:jc w:val="both"/>
        <w:rPr>
          <w:sz w:val="21"/>
        </w:rPr>
      </w:pPr>
      <w:r>
        <w:rPr/>
        <w:pict>
          <v:group style="position:absolute;margin-left:71.349998pt;margin-top:35.330444pt;width:457.55pt;height:439.1pt;mso-position-horizontal-relative:page;mso-position-vertical-relative:paragraph;z-index:-268604416" coordorigin="1427,707" coordsize="9151,8782">
            <v:shape style="position:absolute;left:1563;top:706;width:8786;height:8653" type="#_x0000_t75" stroked="false">
              <v:imagedata r:id="rId6" o:title=""/>
            </v:shape>
            <v:shape style="position:absolute;left:1847;top:840;width:8711;height:2253" coordorigin="1848,841" coordsize="8711,2253" path="m10558,2718l2057,2718,2057,3093,10558,3093,10558,2718m10559,841l1848,841,1848,1216,10559,1216,10559,841e" filled="true" fillcolor="#ffffff" stroked="false">
              <v:path arrowok="t"/>
              <v:fill type="solid"/>
            </v:shape>
            <v:line style="position:absolute" from="2432,3967" to="4728,3967" stroked="true" strokeweight=".569445pt" strokecolor="#000000">
              <v:stroke dashstyle="solid"/>
            </v:line>
            <v:rect style="position:absolute;left:3935;top:4278;width:2523;height:616" filled="true" fillcolor="#ffffff" stroked="false">
              <v:fill type="solid"/>
            </v:rect>
            <v:line style="position:absolute" from="2432,4597" to="3880,4597" stroked="true" strokeweight=".569445pt" strokecolor="#000000">
              <v:stroke dashstyle="solid"/>
            </v:line>
            <v:shape style="position:absolute;left:1847;top:8647;width:6834;height:842" coordorigin="1848,8647" coordsize="6834,842" path="m5903,8647l1848,8647,1848,9023,5903,9023,5903,8647m8681,9113l1848,9113,1848,9489,8681,9489,8681,9113e" filled="true" fillcolor="#ffffff" stroked="false">
              <v:path arrowok="t"/>
              <v:fill type="solid"/>
            </v:shape>
            <v:shape style="position:absolute;left:1427;top:706;width:9151;height:8782" type="#_x0000_t202" filled="false" stroked="false">
              <v:textbox inset="0,0,0,0">
                <w:txbxContent>
                  <w:p>
                    <w:pPr>
                      <w:spacing w:line="240" w:lineRule="auto" w:before="8"/>
                      <w:rPr>
                        <w:sz w:val="18"/>
                      </w:rPr>
                    </w:pPr>
                  </w:p>
                  <w:p>
                    <w:pPr>
                      <w:spacing w:line="415" w:lineRule="auto" w:before="0"/>
                      <w:ind w:left="0" w:right="0" w:firstLine="420"/>
                      <w:jc w:val="left"/>
                      <w:rPr>
                        <w:sz w:val="21"/>
                      </w:rPr>
                    </w:pPr>
                    <w:r>
                      <w:rPr>
                        <w:sz w:val="21"/>
                      </w:rPr>
                      <w:t>本评标办法规定按百分制评标，满分为 100 分，本评标原则分值招标人可根据工程实际情况设置。 </w:t>
                    </w:r>
                  </w:p>
                  <w:p>
                    <w:pPr>
                      <w:spacing w:line="415" w:lineRule="auto" w:before="1"/>
                      <w:ind w:left="630" w:right="1369" w:firstLine="105"/>
                      <w:jc w:val="left"/>
                      <w:rPr>
                        <w:sz w:val="21"/>
                      </w:rPr>
                    </w:pPr>
                    <w:r>
                      <w:rPr>
                        <w:sz w:val="21"/>
                        <w:shd w:fill="FFFFFF" w:color="auto" w:val="clear"/>
                      </w:rPr>
                      <w:t>投标单位综合得分=施工组织设计+项目管理机构+投标报价+其它评分因素。</w:t>
                    </w:r>
                    <w:r>
                      <w:rPr>
                        <w:sz w:val="21"/>
                      </w:rPr>
                      <w:t>2.2.2 评标基准价计算 </w:t>
                    </w:r>
                  </w:p>
                  <w:p>
                    <w:pPr>
                      <w:spacing w:before="14"/>
                      <w:ind w:left="630" w:right="0" w:firstLine="0"/>
                      <w:jc w:val="left"/>
                      <w:rPr>
                        <w:b/>
                        <w:sz w:val="21"/>
                      </w:rPr>
                    </w:pPr>
                    <w:r>
                      <w:rPr>
                        <w:b/>
                        <w:w w:val="95"/>
                        <w:sz w:val="21"/>
                      </w:rPr>
                      <w:t>2.2.2（A）计算方法一：采用有效报价的平均数确定评标基准价（适应于招标人不提供标底</w:t>
                    </w:r>
                  </w:p>
                  <w:p>
                    <w:pPr>
                      <w:spacing w:line="240" w:lineRule="auto" w:before="4"/>
                      <w:rPr>
                        <w:sz w:val="15"/>
                      </w:rPr>
                    </w:pPr>
                  </w:p>
                  <w:p>
                    <w:pPr>
                      <w:spacing w:before="0"/>
                      <w:ind w:left="0" w:right="0" w:firstLine="0"/>
                      <w:jc w:val="left"/>
                      <w:rPr>
                        <w:b/>
                        <w:sz w:val="21"/>
                      </w:rPr>
                    </w:pPr>
                    <w:r>
                      <w:rPr>
                        <w:b/>
                        <w:spacing w:val="6"/>
                        <w:w w:val="99"/>
                        <w:sz w:val="21"/>
                      </w:rPr>
                      <w:t>或最高的限价</w:t>
                    </w:r>
                    <w:r>
                      <w:rPr>
                        <w:b/>
                        <w:spacing w:val="-106"/>
                        <w:w w:val="99"/>
                        <w:sz w:val="21"/>
                      </w:rPr>
                      <w:t>）</w:t>
                    </w:r>
                    <w:r>
                      <w:rPr>
                        <w:b/>
                        <w:w w:val="99"/>
                        <w:sz w:val="21"/>
                      </w:rPr>
                      <w:t>：</w:t>
                    </w:r>
                    <w:r>
                      <w:rPr>
                        <w:b/>
                        <w:spacing w:val="-30"/>
                        <w:w w:val="99"/>
                        <w:sz w:val="21"/>
                      </w:rPr>
                      <w:t> </w:t>
                    </w:r>
                    <w:r>
                      <w:rPr>
                        <w:b/>
                        <w:w w:val="99"/>
                        <w:sz w:val="21"/>
                      </w:rPr>
                      <w:t> </w:t>
                    </w:r>
                  </w:p>
                  <w:p>
                    <w:pPr>
                      <w:spacing w:line="172" w:lineRule="auto" w:before="101"/>
                      <w:ind w:left="720" w:right="0" w:firstLine="0"/>
                      <w:jc w:val="left"/>
                      <w:rPr>
                        <w:sz w:val="24"/>
                      </w:rPr>
                    </w:pPr>
                    <w:r>
                      <w:rPr>
                        <w:w w:val="105"/>
                        <w:position w:val="-14"/>
                        <w:sz w:val="24"/>
                      </w:rPr>
                      <w:t>S= </w:t>
                    </w:r>
                    <w:r>
                      <w:rPr>
                        <w:rFonts w:ascii="Times New Roman" w:hAnsi="Times New Roman"/>
                        <w:i/>
                        <w:w w:val="105"/>
                        <w:sz w:val="24"/>
                      </w:rPr>
                      <w:t>a</w:t>
                    </w:r>
                    <w:r>
                      <w:rPr>
                        <w:rFonts w:ascii="Times New Roman" w:hAnsi="Times New Roman"/>
                        <w:w w:val="105"/>
                        <w:position w:val="-5"/>
                        <w:sz w:val="13"/>
                      </w:rPr>
                      <w:t>1 </w:t>
                    </w:r>
                    <w:r>
                      <w:rPr>
                        <w:rFonts w:ascii="Symbol" w:hAnsi="Symbol"/>
                        <w:w w:val="105"/>
                        <w:sz w:val="24"/>
                      </w:rPr>
                      <w:t></w:t>
                    </w:r>
                    <w:r>
                      <w:rPr>
                        <w:rFonts w:ascii="Times New Roman" w:hAnsi="Times New Roman"/>
                        <w:w w:val="105"/>
                        <w:sz w:val="24"/>
                      </w:rPr>
                      <w:t> </w:t>
                    </w:r>
                    <w:r>
                      <w:rPr>
                        <w:rFonts w:ascii="Times New Roman" w:hAnsi="Times New Roman"/>
                        <w:i/>
                        <w:w w:val="105"/>
                        <w:sz w:val="24"/>
                      </w:rPr>
                      <w:t>a</w:t>
                    </w:r>
                    <w:r>
                      <w:rPr>
                        <w:rFonts w:ascii="Times New Roman" w:hAnsi="Times New Roman"/>
                        <w:w w:val="105"/>
                        <w:position w:val="-5"/>
                        <w:sz w:val="13"/>
                      </w:rPr>
                      <w:t>2 </w:t>
                    </w:r>
                    <w:r>
                      <w:rPr>
                        <w:rFonts w:ascii="Symbol" w:hAnsi="Symbol"/>
                        <w:w w:val="105"/>
                        <w:sz w:val="24"/>
                      </w:rPr>
                      <w:t></w:t>
                    </w:r>
                    <w:r>
                      <w:rPr>
                        <w:rFonts w:ascii="Times New Roman" w:hAnsi="Times New Roman"/>
                        <w:w w:val="105"/>
                        <w:sz w:val="24"/>
                      </w:rPr>
                      <w:t> ... </w:t>
                    </w:r>
                    <w:r>
                      <w:rPr>
                        <w:rFonts w:ascii="Symbol" w:hAnsi="Symbol"/>
                        <w:w w:val="105"/>
                        <w:sz w:val="24"/>
                      </w:rPr>
                      <w:t></w:t>
                    </w:r>
                    <w:r>
                      <w:rPr>
                        <w:rFonts w:ascii="Times New Roman" w:hAnsi="Times New Roman"/>
                        <w:w w:val="105"/>
                        <w:sz w:val="24"/>
                      </w:rPr>
                      <w:t> </w:t>
                    </w:r>
                    <w:r>
                      <w:rPr>
                        <w:rFonts w:ascii="Times New Roman" w:hAnsi="Times New Roman"/>
                        <w:i/>
                        <w:w w:val="105"/>
                        <w:sz w:val="24"/>
                      </w:rPr>
                      <w:t>a</w:t>
                    </w:r>
                    <w:r>
                      <w:rPr>
                        <w:rFonts w:ascii="Times New Roman" w:hAnsi="Times New Roman"/>
                        <w:i/>
                        <w:w w:val="105"/>
                        <w:position w:val="-5"/>
                        <w:sz w:val="13"/>
                      </w:rPr>
                      <w:t>n </w:t>
                    </w:r>
                    <w:r>
                      <w:rPr>
                        <w:rFonts w:ascii="Symbol" w:hAnsi="Symbol"/>
                        <w:w w:val="105"/>
                        <w:sz w:val="24"/>
                      </w:rPr>
                      <w:t></w:t>
                    </w:r>
                    <w:r>
                      <w:rPr>
                        <w:rFonts w:ascii="Times New Roman" w:hAnsi="Times New Roman"/>
                        <w:w w:val="105"/>
                        <w:sz w:val="24"/>
                      </w:rPr>
                      <w:t> </w:t>
                    </w:r>
                    <w:r>
                      <w:rPr>
                        <w:rFonts w:ascii="Times New Roman" w:hAnsi="Times New Roman"/>
                        <w:i/>
                        <w:w w:val="105"/>
                        <w:sz w:val="24"/>
                      </w:rPr>
                      <w:t>M </w:t>
                    </w:r>
                    <w:r>
                      <w:rPr>
                        <w:rFonts w:ascii="Symbol" w:hAnsi="Symbol"/>
                        <w:w w:val="105"/>
                        <w:sz w:val="24"/>
                      </w:rPr>
                      <w:t></w:t>
                    </w:r>
                    <w:r>
                      <w:rPr>
                        <w:rFonts w:ascii="Times New Roman" w:hAnsi="Times New Roman"/>
                        <w:w w:val="105"/>
                        <w:sz w:val="24"/>
                      </w:rPr>
                      <w:t> </w:t>
                    </w:r>
                    <w:r>
                      <w:rPr>
                        <w:rFonts w:ascii="Times New Roman" w:hAnsi="Times New Roman"/>
                        <w:i/>
                        <w:w w:val="105"/>
                        <w:sz w:val="24"/>
                      </w:rPr>
                      <w:t>N</w:t>
                    </w:r>
                    <w:r>
                      <w:rPr>
                        <w:rFonts w:ascii="Times New Roman" w:hAnsi="Times New Roman"/>
                        <w:i/>
                        <w:w w:val="105"/>
                        <w:position w:val="-14"/>
                        <w:sz w:val="24"/>
                      </w:rPr>
                      <w:t> </w:t>
                    </w:r>
                    <w:r>
                      <w:rPr>
                        <w:w w:val="105"/>
                        <w:position w:val="-14"/>
                        <w:sz w:val="24"/>
                      </w:rPr>
                      <w:t>(n≥5) </w:t>
                    </w:r>
                  </w:p>
                  <w:p>
                    <w:pPr>
                      <w:spacing w:line="234" w:lineRule="exact" w:before="0"/>
                      <w:ind w:left="1931" w:right="0" w:firstLine="0"/>
                      <w:jc w:val="left"/>
                      <w:rPr>
                        <w:rFonts w:ascii="Times New Roman" w:hAnsi="Times New Roman"/>
                        <w:sz w:val="24"/>
                      </w:rPr>
                    </w:pPr>
                    <w:r>
                      <w:rPr>
                        <w:rFonts w:ascii="Times New Roman" w:hAnsi="Times New Roman"/>
                        <w:i/>
                        <w:w w:val="105"/>
                        <w:sz w:val="24"/>
                      </w:rPr>
                      <w:t>n </w:t>
                    </w:r>
                    <w:r>
                      <w:rPr>
                        <w:rFonts w:ascii="Symbol" w:hAnsi="Symbol"/>
                        <w:w w:val="105"/>
                        <w:sz w:val="24"/>
                      </w:rPr>
                      <w:t></w:t>
                    </w:r>
                    <w:r>
                      <w:rPr>
                        <w:rFonts w:ascii="Times New Roman" w:hAnsi="Times New Roman"/>
                        <w:w w:val="105"/>
                        <w:sz w:val="24"/>
                      </w:rPr>
                      <w:t> 2</w:t>
                    </w:r>
                  </w:p>
                  <w:p>
                    <w:pPr>
                      <w:spacing w:line="406" w:lineRule="exact" w:before="0"/>
                      <w:ind w:left="720" w:right="0" w:firstLine="0"/>
                      <w:jc w:val="left"/>
                      <w:rPr>
                        <w:sz w:val="24"/>
                      </w:rPr>
                    </w:pPr>
                    <w:r>
                      <w:rPr>
                        <w:w w:val="105"/>
                        <w:sz w:val="24"/>
                      </w:rPr>
                      <w:t>S= </w:t>
                    </w:r>
                    <w:r>
                      <w:rPr>
                        <w:rFonts w:ascii="Times New Roman" w:hAnsi="Times New Roman"/>
                        <w:i/>
                        <w:w w:val="105"/>
                        <w:position w:val="15"/>
                        <w:sz w:val="24"/>
                      </w:rPr>
                      <w:t>a</w:t>
                    </w:r>
                    <w:r>
                      <w:rPr>
                        <w:rFonts w:ascii="Times New Roman" w:hAnsi="Times New Roman"/>
                        <w:w w:val="105"/>
                        <w:position w:val="9"/>
                        <w:sz w:val="13"/>
                      </w:rPr>
                      <w:t>1 </w:t>
                    </w:r>
                    <w:r>
                      <w:rPr>
                        <w:rFonts w:ascii="Symbol" w:hAnsi="Symbol"/>
                        <w:w w:val="105"/>
                        <w:position w:val="15"/>
                        <w:sz w:val="24"/>
                      </w:rPr>
                      <w:t></w:t>
                    </w:r>
                    <w:r>
                      <w:rPr>
                        <w:rFonts w:ascii="Times New Roman" w:hAnsi="Times New Roman"/>
                        <w:w w:val="105"/>
                        <w:position w:val="15"/>
                        <w:sz w:val="24"/>
                      </w:rPr>
                      <w:t> </w:t>
                    </w:r>
                    <w:r>
                      <w:rPr>
                        <w:rFonts w:ascii="Times New Roman" w:hAnsi="Times New Roman"/>
                        <w:i/>
                        <w:w w:val="105"/>
                        <w:position w:val="15"/>
                        <w:sz w:val="24"/>
                      </w:rPr>
                      <w:t>a</w:t>
                    </w:r>
                    <w:r>
                      <w:rPr>
                        <w:rFonts w:ascii="Times New Roman" w:hAnsi="Times New Roman"/>
                        <w:w w:val="105"/>
                        <w:position w:val="9"/>
                        <w:sz w:val="13"/>
                      </w:rPr>
                      <w:t>2 </w:t>
                    </w:r>
                    <w:r>
                      <w:rPr>
                        <w:rFonts w:ascii="Symbol" w:hAnsi="Symbol"/>
                        <w:w w:val="105"/>
                        <w:position w:val="15"/>
                        <w:sz w:val="24"/>
                      </w:rPr>
                      <w:t></w:t>
                    </w:r>
                    <w:r>
                      <w:rPr>
                        <w:rFonts w:ascii="Times New Roman" w:hAnsi="Times New Roman"/>
                        <w:w w:val="105"/>
                        <w:position w:val="15"/>
                        <w:sz w:val="24"/>
                      </w:rPr>
                      <w:t> ... </w:t>
                    </w:r>
                    <w:r>
                      <w:rPr>
                        <w:rFonts w:ascii="Symbol" w:hAnsi="Symbol"/>
                        <w:w w:val="105"/>
                        <w:position w:val="15"/>
                        <w:sz w:val="24"/>
                      </w:rPr>
                      <w:t></w:t>
                    </w:r>
                    <w:r>
                      <w:rPr>
                        <w:rFonts w:ascii="Times New Roman" w:hAnsi="Times New Roman"/>
                        <w:w w:val="105"/>
                        <w:position w:val="15"/>
                        <w:sz w:val="24"/>
                      </w:rPr>
                      <w:t> </w:t>
                    </w:r>
                    <w:r>
                      <w:rPr>
                        <w:rFonts w:ascii="Times New Roman" w:hAnsi="Times New Roman"/>
                        <w:i/>
                        <w:w w:val="105"/>
                        <w:position w:val="15"/>
                        <w:sz w:val="24"/>
                      </w:rPr>
                      <w:t>a</w:t>
                    </w:r>
                    <w:r>
                      <w:rPr>
                        <w:rFonts w:ascii="Times New Roman" w:hAnsi="Times New Roman"/>
                        <w:i/>
                        <w:w w:val="105"/>
                        <w:position w:val="9"/>
                        <w:sz w:val="13"/>
                      </w:rPr>
                      <w:t>n</w:t>
                    </w:r>
                    <w:r>
                      <w:rPr>
                        <w:rFonts w:ascii="Times New Roman" w:hAnsi="Times New Roman"/>
                        <w:i/>
                        <w:w w:val="105"/>
                        <w:sz w:val="13"/>
                      </w:rPr>
                      <w:t> </w:t>
                    </w:r>
                    <w:r>
                      <w:rPr>
                        <w:w w:val="105"/>
                        <w:sz w:val="24"/>
                      </w:rPr>
                      <w:t>(n≤4)   </w:t>
                    </w:r>
                  </w:p>
                  <w:p>
                    <w:pPr>
                      <w:spacing w:line="225" w:lineRule="exact" w:before="0"/>
                      <w:ind w:left="1671" w:right="0" w:firstLine="0"/>
                      <w:jc w:val="left"/>
                      <w:rPr>
                        <w:rFonts w:ascii="Times New Roman"/>
                        <w:i/>
                        <w:sz w:val="24"/>
                      </w:rPr>
                    </w:pPr>
                    <w:r>
                      <w:rPr>
                        <w:rFonts w:ascii="Times New Roman"/>
                        <w:i/>
                        <w:w w:val="102"/>
                        <w:sz w:val="24"/>
                      </w:rPr>
                      <w:t>n</w:t>
                    </w:r>
                  </w:p>
                  <w:p>
                    <w:pPr>
                      <w:spacing w:before="105"/>
                      <w:ind w:left="315" w:right="0" w:firstLine="0"/>
                      <w:jc w:val="left"/>
                      <w:rPr>
                        <w:sz w:val="21"/>
                      </w:rPr>
                    </w:pPr>
                    <w:r>
                      <w:rPr>
                        <w:sz w:val="21"/>
                      </w:rPr>
                      <w:t>式中：S 一评标基准价； </w:t>
                    </w:r>
                  </w:p>
                  <w:p>
                    <w:pPr>
                      <w:spacing w:line="240" w:lineRule="auto" w:before="4"/>
                      <w:rPr>
                        <w:sz w:val="15"/>
                      </w:rPr>
                    </w:pPr>
                  </w:p>
                  <w:p>
                    <w:pPr>
                      <w:spacing w:before="0"/>
                      <w:ind w:left="745" w:right="0" w:firstLine="0"/>
                      <w:jc w:val="center"/>
                      <w:rPr>
                        <w:sz w:val="21"/>
                      </w:rPr>
                    </w:pPr>
                    <w:r>
                      <w:rPr>
                        <w:sz w:val="21"/>
                      </w:rPr>
                      <w:t> </w:t>
                    </w:r>
                  </w:p>
                  <w:p>
                    <w:pPr>
                      <w:spacing w:line="240" w:lineRule="auto" w:before="6"/>
                      <w:rPr>
                        <w:sz w:val="16"/>
                      </w:rPr>
                    </w:pPr>
                  </w:p>
                  <w:p>
                    <w:pPr>
                      <w:spacing w:before="1"/>
                      <w:ind w:left="0" w:right="2196" w:firstLine="0"/>
                      <w:jc w:val="center"/>
                      <w:rPr>
                        <w:sz w:val="21"/>
                      </w:rPr>
                    </w:pPr>
                    <w:r>
                      <w:rPr>
                        <w:sz w:val="21"/>
                      </w:rPr>
                      <w:t> </w:t>
                    </w:r>
                  </w:p>
                  <w:p>
                    <w:pPr>
                      <w:spacing w:line="240" w:lineRule="auto" w:before="4"/>
                      <w:rPr>
                        <w:sz w:val="15"/>
                      </w:rPr>
                    </w:pPr>
                  </w:p>
                  <w:p>
                    <w:pPr>
                      <w:spacing w:before="0"/>
                      <w:ind w:left="0" w:right="1774" w:firstLine="0"/>
                      <w:jc w:val="center"/>
                      <w:rPr>
                        <w:sz w:val="21"/>
                      </w:rPr>
                    </w:pPr>
                    <w:r>
                      <w:rPr>
                        <w:sz w:val="21"/>
                      </w:rPr>
                      <w:t> </w:t>
                    </w:r>
                  </w:p>
                  <w:p>
                    <w:pPr>
                      <w:spacing w:line="240" w:lineRule="auto" w:before="3"/>
                      <w:rPr>
                        <w:sz w:val="15"/>
                      </w:rPr>
                    </w:pPr>
                  </w:p>
                  <w:p>
                    <w:pPr>
                      <w:spacing w:before="1"/>
                      <w:ind w:left="0" w:right="1774" w:firstLine="0"/>
                      <w:jc w:val="center"/>
                      <w:rPr>
                        <w:sz w:val="21"/>
                      </w:rPr>
                    </w:pPr>
                    <w:r>
                      <w:rPr>
                        <w:sz w:val="21"/>
                      </w:rPr>
                      <w:t> </w:t>
                    </w:r>
                  </w:p>
                  <w:p>
                    <w:pPr>
                      <w:spacing w:line="240" w:lineRule="auto" w:before="4"/>
                      <w:rPr>
                        <w:sz w:val="15"/>
                      </w:rPr>
                    </w:pPr>
                  </w:p>
                  <w:p>
                    <w:pPr>
                      <w:spacing w:before="0"/>
                      <w:ind w:left="0" w:right="302" w:firstLine="0"/>
                      <w:jc w:val="center"/>
                      <w:rPr>
                        <w:b/>
                        <w:sz w:val="21"/>
                      </w:rPr>
                    </w:pPr>
                    <w:r>
                      <w:rPr>
                        <w:b/>
                        <w:w w:val="99"/>
                        <w:sz w:val="21"/>
                      </w:rPr>
                      <w:t> </w:t>
                    </w:r>
                  </w:p>
                  <w:p>
                    <w:pPr>
                      <w:spacing w:line="240" w:lineRule="auto" w:before="4"/>
                      <w:rPr>
                        <w:sz w:val="15"/>
                      </w:rPr>
                    </w:pPr>
                  </w:p>
                  <w:p>
                    <w:pPr>
                      <w:spacing w:before="0"/>
                      <w:ind w:left="2939" w:right="0" w:firstLine="0"/>
                      <w:jc w:val="center"/>
                      <w:rPr>
                        <w:sz w:val="21"/>
                      </w:rPr>
                    </w:pPr>
                    <w:r>
                      <w:rPr>
                        <w:sz w:val="21"/>
                      </w:rPr>
                      <w:t> </w:t>
                    </w:r>
                  </w:p>
                  <w:p>
                    <w:pPr>
                      <w:spacing w:line="240" w:lineRule="auto" w:before="4"/>
                      <w:rPr>
                        <w:sz w:val="15"/>
                      </w:rPr>
                    </w:pPr>
                  </w:p>
                  <w:p>
                    <w:pPr>
                      <w:spacing w:before="0"/>
                      <w:ind w:left="480" w:right="0" w:firstLine="0"/>
                      <w:jc w:val="left"/>
                      <w:rPr>
                        <w:sz w:val="24"/>
                      </w:rPr>
                    </w:pPr>
                    <w:r>
                      <w:rPr>
                        <w:sz w:val="24"/>
                      </w:rPr>
                      <w:t> </w:t>
                    </w:r>
                  </w:p>
                  <w:p>
                    <w:pPr>
                      <w:spacing w:before="173"/>
                      <w:ind w:left="420" w:right="0" w:firstLine="0"/>
                      <w:jc w:val="left"/>
                      <w:rPr>
                        <w:b/>
                        <w:sz w:val="21"/>
                      </w:rPr>
                    </w:pPr>
                    <w:r>
                      <w:rPr>
                        <w:b/>
                        <w:sz w:val="21"/>
                      </w:rPr>
                      <w:t>2.2.2（B）计算方法二：采用评标基准价。</w:t>
                    </w:r>
                    <w:r>
                      <w:rPr>
                        <w:b/>
                        <w:w w:val="99"/>
                        <w:sz w:val="21"/>
                      </w:rPr>
                      <w:t> </w:t>
                    </w:r>
                  </w:p>
                  <w:p>
                    <w:pPr>
                      <w:spacing w:line="240" w:lineRule="auto" w:before="4"/>
                      <w:rPr>
                        <w:sz w:val="15"/>
                      </w:rPr>
                    </w:pPr>
                  </w:p>
                  <w:p>
                    <w:pPr>
                      <w:spacing w:before="0"/>
                      <w:ind w:left="420" w:right="0" w:firstLine="0"/>
                      <w:jc w:val="left"/>
                      <w:rPr>
                        <w:sz w:val="21"/>
                      </w:rPr>
                    </w:pPr>
                    <w:r>
                      <w:rPr>
                        <w:sz w:val="21"/>
                      </w:rPr>
                      <w:t>（1）有效投标人具有三家以上的，投标报价算术平均数作为评标基准价。 </w:t>
                    </w:r>
                  </w:p>
                </w:txbxContent>
              </v:textbox>
              <w10:wrap type="none"/>
            </v:shape>
            <v:shape style="position:absolute;left:1847;top:7701;width:5572;height:391" type="#_x0000_t202" filled="true" fillcolor="#ffffff" stroked="false">
              <v:textbox inset="0,0,0,0">
                <w:txbxContent>
                  <w:p>
                    <w:pPr>
                      <w:spacing w:before="105"/>
                      <w:ind w:left="0" w:right="-15" w:firstLine="0"/>
                      <w:jc w:val="left"/>
                      <w:rPr>
                        <w:sz w:val="21"/>
                      </w:rPr>
                    </w:pPr>
                    <w:r>
                      <w:rPr>
                        <w:sz w:val="21"/>
                      </w:rPr>
                      <w:t>偏差率＝(投标人报价－评标基准价)/评标基准价×１００％</w:t>
                    </w:r>
                  </w:p>
                </w:txbxContent>
              </v:textbox>
              <v:fill type="solid"/>
              <w10:wrap type="none"/>
            </v:shape>
            <v:shape style="position:absolute;left:1847;top:7236;width:3950;height:375" type="#_x0000_t202" filled="true" fillcolor="#ffffff" stroked="false">
              <v:textbox inset="0,0,0,0">
                <w:txbxContent>
                  <w:p>
                    <w:pPr>
                      <w:spacing w:before="105"/>
                      <w:ind w:left="0" w:right="-15" w:firstLine="0"/>
                      <w:jc w:val="left"/>
                      <w:rPr>
                        <w:b/>
                        <w:sz w:val="21"/>
                      </w:rPr>
                    </w:pPr>
                    <w:r>
                      <w:rPr>
                        <w:b/>
                        <w:spacing w:val="8"/>
                        <w:sz w:val="21"/>
                      </w:rPr>
                      <w:t>2.2.3</w:t>
                    </w:r>
                    <w:r>
                      <w:rPr>
                        <w:b/>
                        <w:spacing w:val="-42"/>
                        <w:sz w:val="21"/>
                      </w:rPr>
                      <w:t> </w:t>
                    </w:r>
                    <w:r>
                      <w:rPr>
                        <w:b/>
                        <w:spacing w:val="15"/>
                        <w:sz w:val="21"/>
                      </w:rPr>
                      <w:t>（A）</w:t>
                    </w:r>
                    <w:r>
                      <w:rPr>
                        <w:b/>
                        <w:sz w:val="21"/>
                      </w:rPr>
                      <w:t>投标报价的偏差率计算方法：</w:t>
                    </w:r>
                  </w:p>
                </w:txbxContent>
              </v:textbox>
              <v:fill type="solid"/>
              <w10:wrap type="none"/>
            </v:shape>
            <v:shape style="position:absolute;left:2373;top:6771;width:2689;height:375" type="#_x0000_t202" filled="true" fillcolor="#ffffff" stroked="false">
              <v:textbox inset="0,0,0,0">
                <w:txbxContent>
                  <w:p>
                    <w:pPr>
                      <w:spacing w:before="105"/>
                      <w:ind w:left="0" w:right="-15" w:firstLine="0"/>
                      <w:jc w:val="left"/>
                      <w:rPr>
                        <w:sz w:val="21"/>
                      </w:rPr>
                    </w:pPr>
                    <w:r>
                      <w:rPr>
                        <w:sz w:val="21"/>
                      </w:rPr>
                      <w:t>N</w:t>
                    </w:r>
                    <w:r>
                      <w:rPr>
                        <w:spacing w:val="-7"/>
                        <w:sz w:val="21"/>
                      </w:rPr>
                      <w:t> 一最低的投标人有效报价。</w:t>
                    </w:r>
                  </w:p>
                </w:txbxContent>
              </v:textbox>
              <v:fill type="solid"/>
              <w10:wrap type="none"/>
            </v:shape>
            <v:shape style="position:absolute;left:2373;top:6305;width:2689;height:376" type="#_x0000_t202" filled="true" fillcolor="#ffffff" stroked="false">
              <v:textbox inset="0,0,0,0">
                <w:txbxContent>
                  <w:p>
                    <w:pPr>
                      <w:spacing w:before="105"/>
                      <w:ind w:left="0" w:right="-15" w:firstLine="0"/>
                      <w:jc w:val="left"/>
                      <w:rPr>
                        <w:sz w:val="21"/>
                      </w:rPr>
                    </w:pPr>
                    <w:r>
                      <w:rPr>
                        <w:sz w:val="21"/>
                      </w:rPr>
                      <w:t>M</w:t>
                    </w:r>
                    <w:r>
                      <w:rPr>
                        <w:spacing w:val="-7"/>
                        <w:sz w:val="21"/>
                      </w:rPr>
                      <w:t> 一最高的投标人有效报价；</w:t>
                    </w:r>
                  </w:p>
                </w:txbxContent>
              </v:textbox>
              <v:fill type="solid"/>
              <w10:wrap type="none"/>
            </v:shape>
            <v:shape style="position:absolute;left:2373;top:5840;width:2478;height:376" type="#_x0000_t202" filled="true" fillcolor="#ffffff" stroked="false">
              <v:textbox inset="0,0,0,0">
                <w:txbxContent>
                  <w:p>
                    <w:pPr>
                      <w:spacing w:before="105"/>
                      <w:ind w:left="0" w:right="-15" w:firstLine="0"/>
                      <w:jc w:val="left"/>
                      <w:rPr>
                        <w:sz w:val="21"/>
                      </w:rPr>
                    </w:pPr>
                    <w:r>
                      <w:rPr>
                        <w:sz w:val="21"/>
                      </w:rPr>
                      <w:t>n</w:t>
                    </w:r>
                    <w:r>
                      <w:rPr>
                        <w:spacing w:val="-7"/>
                        <w:sz w:val="21"/>
                      </w:rPr>
                      <w:t> 一有效报价的投标人个数</w:t>
                    </w:r>
                  </w:p>
                </w:txbxContent>
              </v:textbox>
              <v:fill type="solid"/>
              <w10:wrap type="none"/>
            </v:shape>
            <v:shape style="position:absolute;left:1742;top:5359;width:4581;height:391" type="#_x0000_t202" filled="true" fillcolor="#ffffff" stroked="false">
              <v:textbox inset="0,0,0,0">
                <w:txbxContent>
                  <w:p>
                    <w:pPr>
                      <w:spacing w:before="105"/>
                      <w:ind w:left="0" w:right="0" w:firstLine="0"/>
                      <w:jc w:val="left"/>
                      <w:rPr>
                        <w:sz w:val="21"/>
                      </w:rPr>
                    </w:pPr>
                    <w:r>
                      <w:rPr>
                        <w:sz w:val="21"/>
                      </w:rPr>
                      <w:t>     </w:t>
                    </w:r>
                    <w:r>
                      <w:rPr>
                        <w:spacing w:val="1"/>
                        <w:sz w:val="21"/>
                      </w:rPr>
                      <w:t> </w:t>
                    </w:r>
                    <w:r>
                      <w:rPr>
                        <w:sz w:val="21"/>
                      </w:rPr>
                      <w:t>an</w:t>
                    </w:r>
                    <w:r>
                      <w:rPr>
                        <w:spacing w:val="-7"/>
                        <w:sz w:val="21"/>
                      </w:rPr>
                      <w:t> 一投标人的有效报价</w:t>
                    </w:r>
                    <w:r>
                      <w:rPr>
                        <w:spacing w:val="-3"/>
                        <w:sz w:val="21"/>
                      </w:rPr>
                      <w:t>（</w:t>
                    </w:r>
                    <w:r>
                      <w:rPr>
                        <w:sz w:val="21"/>
                      </w:rPr>
                      <w:t>n=1,2，…，n</w:t>
                    </w:r>
                    <w:r>
                      <w:rPr>
                        <w:spacing w:val="-105"/>
                        <w:sz w:val="21"/>
                      </w:rPr>
                      <w:t>），</w:t>
                    </w:r>
                  </w:p>
                </w:txbxContent>
              </v:textbox>
              <v:fill type="solid"/>
              <w10:wrap type="none"/>
            </v:shape>
            <w10:wrap type="none"/>
          </v:group>
        </w:pict>
      </w:r>
      <w:r>
        <w:rPr>
          <w:b/>
          <w:sz w:val="21"/>
        </w:rPr>
        <w:t>分值构成与评分标准</w:t>
      </w:r>
      <w:r>
        <w:rPr>
          <w:sz w:val="21"/>
        </w:rPr>
        <w:t>2.2.1</w:t>
      </w:r>
      <w:r>
        <w:rPr>
          <w:spacing w:val="-1"/>
          <w:sz w:val="21"/>
        </w:rPr>
        <w:t> 分值构成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pStyle w:val="ListParagraph"/>
        <w:numPr>
          <w:ilvl w:val="1"/>
          <w:numId w:val="25"/>
        </w:numPr>
        <w:tabs>
          <w:tab w:pos="1174" w:val="left" w:leader="none"/>
        </w:tabs>
        <w:spacing w:line="415" w:lineRule="auto" w:before="71" w:after="0"/>
        <w:ind w:left="226" w:right="1325" w:firstLine="420"/>
        <w:jc w:val="left"/>
        <w:rPr>
          <w:sz w:val="21"/>
        </w:rPr>
      </w:pPr>
      <w:r>
        <w:rPr>
          <w:sz w:val="21"/>
        </w:rPr>
        <w:t>有效投标人具有七家（含七家）以上的，去掉一个最高报价，去掉一个最低报价，其它投</w:t>
      </w:r>
      <w:r>
        <w:rPr>
          <w:spacing w:val="-1"/>
          <w:sz w:val="21"/>
        </w:rPr>
        <w:t>标报价算术平均数作为评标基准价。</w:t>
      </w:r>
      <w:r>
        <w:rPr>
          <w:sz w:val="21"/>
        </w:rPr>
        <w:t> </w:t>
      </w:r>
    </w:p>
    <w:p>
      <w:pPr>
        <w:pStyle w:val="ListParagraph"/>
        <w:numPr>
          <w:ilvl w:val="1"/>
          <w:numId w:val="25"/>
        </w:numPr>
        <w:tabs>
          <w:tab w:pos="1174" w:val="left" w:leader="none"/>
        </w:tabs>
        <w:spacing w:line="415" w:lineRule="auto" w:before="15" w:after="0"/>
        <w:ind w:left="226" w:right="1325" w:firstLine="420"/>
        <w:jc w:val="left"/>
        <w:rPr>
          <w:sz w:val="21"/>
        </w:rPr>
      </w:pPr>
      <w:r>
        <w:rPr>
          <w:sz w:val="21"/>
        </w:rPr>
        <w:t>有效投标人具有十家以上的，去掉三个最高报价，去掉二个最低报价，其它投标报价算术</w:t>
      </w:r>
      <w:r>
        <w:rPr>
          <w:spacing w:val="-1"/>
          <w:sz w:val="21"/>
        </w:rPr>
        <w:t>平均数作为评标基准价。</w:t>
      </w:r>
      <w:r>
        <w:rPr>
          <w:sz w:val="21"/>
        </w:rPr>
        <w:t> </w:t>
      </w:r>
    </w:p>
    <w:p>
      <w:pPr>
        <w:spacing w:before="0"/>
        <w:ind w:left="647" w:right="0" w:firstLine="0"/>
        <w:jc w:val="left"/>
        <w:rPr>
          <w:sz w:val="21"/>
        </w:rPr>
      </w:pPr>
      <w:r>
        <w:rPr>
          <w:sz w:val="21"/>
        </w:rPr>
        <w:t> </w:t>
      </w:r>
    </w:p>
    <w:p>
      <w:pPr>
        <w:spacing w:after="0"/>
        <w:jc w:val="left"/>
        <w:rPr>
          <w:sz w:val="21"/>
        </w:rPr>
        <w:sectPr>
          <w:pgSz w:w="11910" w:h="16850"/>
          <w:pgMar w:header="911" w:footer="0" w:top="1380" w:bottom="280" w:left="1200" w:right="0"/>
        </w:sectPr>
      </w:pPr>
    </w:p>
    <w:p>
      <w:pPr>
        <w:spacing w:line="415" w:lineRule="auto" w:before="150"/>
        <w:ind w:left="647" w:right="1244" w:hanging="106"/>
        <w:jc w:val="left"/>
        <w:rPr>
          <w:sz w:val="21"/>
        </w:rPr>
      </w:pPr>
      <w:r>
        <w:rPr>
          <w:b/>
          <w:sz w:val="21"/>
        </w:rPr>
        <w:t>2.2.2（C）</w:t>
      </w:r>
      <w:r>
        <w:rPr>
          <w:b/>
          <w:spacing w:val="-1"/>
          <w:sz w:val="21"/>
        </w:rPr>
        <w:t>计算方法三：采用复合标底确定评标基准价</w:t>
      </w:r>
      <w:r>
        <w:rPr>
          <w:b/>
          <w:sz w:val="21"/>
        </w:rPr>
        <w:t>（适应于招标人提供标底或最高的限价</w:t>
      </w:r>
      <w:r>
        <w:rPr>
          <w:b/>
          <w:spacing w:val="-109"/>
          <w:sz w:val="21"/>
        </w:rPr>
        <w:t>）：</w:t>
      </w:r>
      <w:r>
        <w:rPr>
          <w:b/>
          <w:spacing w:val="-104"/>
          <w:sz w:val="21"/>
        </w:rPr>
        <w:t> </w:t>
      </w:r>
      <w:r>
        <w:rPr>
          <w:sz w:val="21"/>
        </w:rPr>
        <w:t>评标基准价＝S×A+B×(1-A)， </w:t>
      </w:r>
    </w:p>
    <w:p>
      <w:pPr>
        <w:spacing w:line="415" w:lineRule="auto" w:before="0"/>
        <w:ind w:left="226" w:right="1312" w:firstLine="420"/>
        <w:jc w:val="left"/>
        <w:rPr>
          <w:sz w:val="21"/>
        </w:rPr>
      </w:pPr>
      <w:r>
        <w:rPr>
          <w:sz w:val="21"/>
        </w:rPr>
        <w:t>B</w:t>
      </w:r>
      <w:r>
        <w:rPr>
          <w:spacing w:val="-7"/>
          <w:sz w:val="21"/>
        </w:rPr>
        <w:t> 为最高限价或标底；</w:t>
      </w:r>
      <w:r>
        <w:rPr>
          <w:sz w:val="21"/>
        </w:rPr>
        <w:t>A</w:t>
      </w:r>
      <w:r>
        <w:rPr>
          <w:spacing w:val="-7"/>
          <w:sz w:val="21"/>
        </w:rPr>
        <w:t> 为招标人标底或最高限价在评标基准价中所占的权重，权重约定见评标办法前附表； </w:t>
      </w:r>
    </w:p>
    <w:p>
      <w:pPr>
        <w:spacing w:before="32"/>
        <w:ind w:left="655" w:right="0" w:firstLine="0"/>
        <w:jc w:val="left"/>
        <w:rPr>
          <w:rFonts w:ascii="Times New Roman" w:hAnsi="Times New Roman"/>
          <w:i/>
          <w:sz w:val="24"/>
        </w:rPr>
      </w:pPr>
      <w:r>
        <w:rPr>
          <w:rFonts w:ascii="Symbol" w:hAnsi="Symbol"/>
          <w:sz w:val="24"/>
        </w:rPr>
        <w:t></w:t>
      </w:r>
      <w:r>
        <w:rPr>
          <w:rFonts w:ascii="Times New Roman" w:hAnsi="Times New Roman"/>
          <w:sz w:val="24"/>
        </w:rPr>
        <w:t> </w:t>
      </w:r>
      <w:r>
        <w:rPr>
          <w:rFonts w:ascii="Times New Roman" w:hAnsi="Times New Roman"/>
          <w:i/>
          <w:position w:val="2"/>
          <w:sz w:val="24"/>
        </w:rPr>
        <w:t>a</w:t>
      </w:r>
      <w:r>
        <w:rPr>
          <w:rFonts w:ascii="Times New Roman" w:hAnsi="Times New Roman"/>
          <w:position w:val="2"/>
          <w:sz w:val="13"/>
        </w:rPr>
        <w:t>1 </w:t>
      </w:r>
      <w:r>
        <w:rPr>
          <w:rFonts w:ascii="Symbol" w:hAnsi="Symbol"/>
          <w:position w:val="2"/>
          <w:sz w:val="24"/>
        </w:rPr>
        <w:t></w:t>
      </w:r>
      <w:r>
        <w:rPr>
          <w:rFonts w:ascii="Times New Roman" w:hAnsi="Times New Roman"/>
          <w:position w:val="2"/>
          <w:sz w:val="24"/>
        </w:rPr>
        <w:t> </w:t>
      </w:r>
      <w:r>
        <w:rPr>
          <w:rFonts w:ascii="Times New Roman" w:hAnsi="Times New Roman"/>
          <w:i/>
          <w:position w:val="2"/>
          <w:sz w:val="24"/>
        </w:rPr>
        <w:t>a</w:t>
      </w:r>
      <w:r>
        <w:rPr>
          <w:rFonts w:ascii="Times New Roman" w:hAnsi="Times New Roman"/>
          <w:position w:val="2"/>
          <w:sz w:val="13"/>
        </w:rPr>
        <w:t>2 </w:t>
      </w:r>
      <w:r>
        <w:rPr>
          <w:rFonts w:ascii="Symbol" w:hAnsi="Symbol"/>
          <w:position w:val="2"/>
          <w:sz w:val="24"/>
        </w:rPr>
        <w:t></w:t>
      </w:r>
      <w:r>
        <w:rPr>
          <w:rFonts w:ascii="Times New Roman" w:hAnsi="Times New Roman"/>
          <w:position w:val="2"/>
          <w:sz w:val="24"/>
        </w:rPr>
        <w:t> ... </w:t>
      </w:r>
      <w:r>
        <w:rPr>
          <w:rFonts w:ascii="Symbol" w:hAnsi="Symbol"/>
          <w:position w:val="2"/>
          <w:sz w:val="24"/>
        </w:rPr>
        <w:t></w:t>
      </w:r>
      <w:r>
        <w:rPr>
          <w:rFonts w:ascii="Times New Roman" w:hAnsi="Times New Roman"/>
          <w:position w:val="2"/>
          <w:sz w:val="24"/>
        </w:rPr>
        <w:t> </w:t>
      </w:r>
      <w:r>
        <w:rPr>
          <w:rFonts w:ascii="Times New Roman" w:hAnsi="Times New Roman"/>
          <w:i/>
          <w:position w:val="2"/>
          <w:sz w:val="24"/>
        </w:rPr>
        <w:t>a</w:t>
      </w:r>
      <w:r>
        <w:rPr>
          <w:rFonts w:ascii="Times New Roman" w:hAnsi="Times New Roman"/>
          <w:i/>
          <w:position w:val="2"/>
          <w:sz w:val="13"/>
        </w:rPr>
        <w:t>n </w:t>
      </w:r>
      <w:r>
        <w:rPr>
          <w:rFonts w:ascii="Symbol" w:hAnsi="Symbol"/>
          <w:position w:val="2"/>
          <w:sz w:val="24"/>
        </w:rPr>
        <w:t></w:t>
      </w:r>
      <w:r>
        <w:rPr>
          <w:rFonts w:ascii="Times New Roman" w:hAnsi="Times New Roman"/>
          <w:position w:val="2"/>
          <w:sz w:val="24"/>
        </w:rPr>
        <w:t> </w:t>
      </w:r>
      <w:r>
        <w:rPr>
          <w:rFonts w:ascii="Times New Roman" w:hAnsi="Times New Roman"/>
          <w:i/>
          <w:position w:val="2"/>
          <w:sz w:val="24"/>
        </w:rPr>
        <w:t>M </w:t>
      </w:r>
      <w:r>
        <w:rPr>
          <w:rFonts w:ascii="Symbol" w:hAnsi="Symbol"/>
          <w:position w:val="2"/>
          <w:sz w:val="24"/>
        </w:rPr>
        <w:t></w:t>
      </w:r>
      <w:r>
        <w:rPr>
          <w:rFonts w:ascii="Times New Roman" w:hAnsi="Times New Roman"/>
          <w:position w:val="2"/>
          <w:sz w:val="24"/>
        </w:rPr>
        <w:t> </w:t>
      </w:r>
      <w:r>
        <w:rPr>
          <w:rFonts w:ascii="Times New Roman" w:hAnsi="Times New Roman"/>
          <w:i/>
          <w:position w:val="2"/>
          <w:sz w:val="24"/>
        </w:rPr>
        <w:t>N</w:t>
      </w:r>
    </w:p>
    <w:p>
      <w:pPr>
        <w:spacing w:after="0"/>
        <w:jc w:val="left"/>
        <w:rPr>
          <w:rFonts w:ascii="Times New Roman" w:hAnsi="Times New Roman"/>
          <w:sz w:val="24"/>
        </w:rPr>
        <w:sectPr>
          <w:pgSz w:w="11910" w:h="16850"/>
          <w:pgMar w:header="911" w:footer="0" w:top="1380" w:bottom="280" w:left="1200" w:right="0"/>
        </w:sectPr>
      </w:pPr>
    </w:p>
    <w:p>
      <w:pPr>
        <w:spacing w:line="411" w:lineRule="exact" w:before="7"/>
        <w:ind w:left="272" w:right="0" w:firstLine="0"/>
        <w:jc w:val="left"/>
        <w:rPr>
          <w:rFonts w:ascii="Symbol" w:hAnsi="Symbol"/>
          <w:b/>
          <w:sz w:val="24"/>
        </w:rPr>
      </w:pPr>
      <w:r>
        <w:rPr/>
        <w:pict>
          <v:group style="position:absolute;margin-left:71.349998pt;margin-top:18.001856pt;width:456.6pt;height:432.65pt;mso-position-horizontal-relative:page;mso-position-vertical-relative:paragraph;z-index:-268602368" coordorigin="1427,360" coordsize="9132,8653">
            <v:shape style="position:absolute;left:1563;top:360;width:8786;height:8653" type="#_x0000_t75" stroked="false">
              <v:imagedata r:id="rId6" o:title=""/>
            </v:shape>
            <v:shape style="position:absolute;left:1427;top:1589;width:9132;height:7402" coordorigin="1427,1590" coordsize="9132,7402" path="m5947,5794l1742,5794,1742,6184,5947,6184,5947,5794m7945,6740l1427,6740,1427,7115,7945,7115,7945,6740m10558,8616l1742,8616,1742,8991,10558,8991,10558,8616m10558,6274l1742,6274,1742,6649,10558,6649,10558,6274m10558,1590l2373,1590,2373,1965,10558,1965,10558,1590e" filled="true" fillcolor="#ffffff" stroked="false">
              <v:path arrowok="t"/>
              <v:fill type="solid"/>
            </v:shape>
            <w10:wrap type="none"/>
          </v:group>
        </w:pict>
      </w:r>
      <w:r>
        <w:rPr/>
        <w:pict>
          <v:line style="position:absolute;mso-position-horizontal-relative:page;mso-position-vertical-relative:paragraph;z-index:251745280" from="99.210312pt,.983962pt" to="212.548786pt,.983962pt" stroked="true" strokeweight=".58665pt" strokecolor="#000000">
            <v:stroke dashstyle="solid"/>
            <w10:wrap type="none"/>
          </v:line>
        </w:pict>
      </w:r>
      <w:r>
        <w:rPr/>
        <w:pict>
          <v:shape style="position:absolute;margin-left:92.781021pt;margin-top:9.475011pt;width:5.95pt;height:14.65pt;mso-position-horizontal-relative:page;mso-position-vertical-relative:paragraph;z-index:-268599296" type="#_x0000_t202" filled="false" stroked="false">
            <v:textbox inset="0,0,0,0">
              <w:txbxContent>
                <w:p>
                  <w:pPr>
                    <w:pStyle w:val="BodyText"/>
                    <w:spacing w:line="292" w:lineRule="exact"/>
                    <w:rPr>
                      <w:rFonts w:ascii="Symbol" w:hAnsi="Symbol"/>
                    </w:rPr>
                  </w:pPr>
                  <w:r>
                    <w:rPr>
                      <w:rFonts w:ascii="Symbol" w:hAnsi="Symbol"/>
                      <w:w w:val="99"/>
                    </w:rPr>
                    <w:t></w:t>
                  </w:r>
                </w:p>
              </w:txbxContent>
            </v:textbox>
            <w10:wrap type="none"/>
          </v:shape>
        </w:pict>
      </w:r>
      <w:r>
        <w:rPr>
          <w:rFonts w:ascii="Times New Roman" w:hAnsi="Times New Roman"/>
          <w:i/>
          <w:sz w:val="24"/>
        </w:rPr>
        <w:t>S </w:t>
      </w:r>
      <w:r>
        <w:rPr>
          <w:rFonts w:ascii="Symbol" w:hAnsi="Symbol"/>
          <w:sz w:val="24"/>
        </w:rPr>
        <w:t></w:t>
      </w:r>
      <w:r>
        <w:rPr>
          <w:rFonts w:ascii="Times New Roman" w:hAnsi="Times New Roman"/>
          <w:sz w:val="24"/>
        </w:rPr>
        <w:t> </w:t>
      </w:r>
      <w:r>
        <w:rPr>
          <w:rFonts w:ascii="Symbol" w:hAnsi="Symbol"/>
          <w:b/>
          <w:position w:val="14"/>
          <w:sz w:val="24"/>
        </w:rPr>
        <w:t></w:t>
      </w:r>
    </w:p>
    <w:p>
      <w:pPr>
        <w:tabs>
          <w:tab w:pos="2901" w:val="left" w:leader="none"/>
        </w:tabs>
        <w:spacing w:line="358" w:lineRule="exact" w:before="27"/>
        <w:ind w:left="698" w:right="0" w:firstLine="0"/>
        <w:jc w:val="left"/>
        <w:rPr>
          <w:rFonts w:ascii="Times New Roman" w:hAnsi="Times New Roman"/>
          <w:sz w:val="24"/>
        </w:rPr>
      </w:pPr>
      <w:r>
        <w:rPr/>
        <w:br w:type="column"/>
      </w:r>
      <w:r>
        <w:rPr>
          <w:rFonts w:ascii="Times New Roman" w:hAnsi="Times New Roman"/>
          <w:i/>
          <w:position w:val="12"/>
          <w:sz w:val="24"/>
        </w:rPr>
        <w:t>n</w:t>
      </w:r>
      <w:r>
        <w:rPr>
          <w:rFonts w:ascii="Times New Roman" w:hAnsi="Times New Roman"/>
          <w:i/>
          <w:spacing w:val="-20"/>
          <w:position w:val="12"/>
          <w:sz w:val="24"/>
        </w:rPr>
        <w:t> </w:t>
      </w:r>
      <w:r>
        <w:rPr>
          <w:rFonts w:ascii="Symbol" w:hAnsi="Symbol"/>
          <w:position w:val="12"/>
          <w:sz w:val="24"/>
        </w:rPr>
        <w:t></w:t>
      </w:r>
      <w:r>
        <w:rPr>
          <w:rFonts w:ascii="Times New Roman" w:hAnsi="Times New Roman"/>
          <w:spacing w:val="-19"/>
          <w:position w:val="12"/>
          <w:sz w:val="24"/>
        </w:rPr>
        <w:t> </w:t>
      </w:r>
      <w:r>
        <w:rPr>
          <w:rFonts w:ascii="Times New Roman" w:hAnsi="Times New Roman"/>
          <w:position w:val="12"/>
          <w:sz w:val="24"/>
        </w:rPr>
        <w:t>2</w:t>
        <w:tab/>
      </w:r>
      <w:r>
        <w:rPr>
          <w:rFonts w:ascii="Times New Roman" w:hAnsi="Times New Roman"/>
          <w:spacing w:val="3"/>
          <w:sz w:val="24"/>
        </w:rPr>
        <w:t>(</w:t>
      </w:r>
      <w:r>
        <w:rPr>
          <w:rFonts w:ascii="Times New Roman" w:hAnsi="Times New Roman"/>
          <w:i/>
          <w:spacing w:val="3"/>
          <w:sz w:val="24"/>
        </w:rPr>
        <w:t>n </w:t>
      </w:r>
      <w:r>
        <w:rPr>
          <w:rFonts w:ascii="Symbol" w:hAnsi="Symbol"/>
          <w:sz w:val="24"/>
        </w:rPr>
        <w:t></w:t>
      </w:r>
      <w:r>
        <w:rPr>
          <w:rFonts w:ascii="Times New Roman" w:hAnsi="Times New Roman"/>
          <w:spacing w:val="-22"/>
          <w:sz w:val="24"/>
        </w:rPr>
        <w:t> </w:t>
      </w:r>
      <w:r>
        <w:rPr>
          <w:rFonts w:ascii="Times New Roman" w:hAnsi="Times New Roman"/>
          <w:sz w:val="24"/>
        </w:rPr>
        <w:t>5)</w:t>
      </w:r>
    </w:p>
    <w:p>
      <w:pPr>
        <w:spacing w:line="33" w:lineRule="exact" w:before="0"/>
        <w:ind w:left="272" w:right="0" w:firstLine="0"/>
        <w:jc w:val="left"/>
        <w:rPr>
          <w:rFonts w:ascii="Times New Roman" w:hAnsi="Times New Roman"/>
          <w:i/>
          <w:sz w:val="13"/>
        </w:rPr>
      </w:pPr>
      <w:r>
        <w:rPr>
          <w:rFonts w:ascii="Times New Roman" w:hAnsi="Times New Roman"/>
          <w:i/>
          <w:sz w:val="24"/>
        </w:rPr>
        <w:t>a</w:t>
      </w:r>
      <w:r>
        <w:rPr>
          <w:rFonts w:ascii="Times New Roman" w:hAnsi="Times New Roman"/>
          <w:sz w:val="13"/>
        </w:rPr>
        <w:t>1 </w:t>
      </w:r>
      <w:r>
        <w:rPr>
          <w:rFonts w:ascii="Symbol" w:hAnsi="Symbol"/>
          <w:sz w:val="24"/>
        </w:rPr>
        <w:t></w:t>
      </w:r>
      <w:r>
        <w:rPr>
          <w:rFonts w:ascii="Times New Roman" w:hAnsi="Times New Roman"/>
          <w:sz w:val="24"/>
        </w:rPr>
        <w:t> </w:t>
      </w:r>
      <w:r>
        <w:rPr>
          <w:rFonts w:ascii="Times New Roman" w:hAnsi="Times New Roman"/>
          <w:i/>
          <w:sz w:val="24"/>
        </w:rPr>
        <w:t>a</w:t>
      </w:r>
      <w:r>
        <w:rPr>
          <w:rFonts w:ascii="Times New Roman" w:hAnsi="Times New Roman"/>
          <w:sz w:val="13"/>
        </w:rPr>
        <w:t>2 </w:t>
      </w:r>
      <w:r>
        <w:rPr>
          <w:rFonts w:ascii="Symbol" w:hAnsi="Symbol"/>
          <w:sz w:val="24"/>
        </w:rPr>
        <w:t></w:t>
      </w:r>
      <w:r>
        <w:rPr>
          <w:rFonts w:ascii="Times New Roman" w:hAnsi="Times New Roman"/>
          <w:sz w:val="24"/>
        </w:rPr>
        <w:t> ... </w:t>
      </w:r>
      <w:r>
        <w:rPr>
          <w:rFonts w:ascii="Symbol" w:hAnsi="Symbol"/>
          <w:sz w:val="24"/>
        </w:rPr>
        <w:t></w:t>
      </w:r>
      <w:r>
        <w:rPr>
          <w:rFonts w:ascii="Times New Roman" w:hAnsi="Times New Roman"/>
          <w:sz w:val="24"/>
        </w:rPr>
        <w:t> </w:t>
      </w:r>
      <w:r>
        <w:rPr>
          <w:rFonts w:ascii="Times New Roman" w:hAnsi="Times New Roman"/>
          <w:i/>
          <w:sz w:val="24"/>
        </w:rPr>
        <w:t>a</w:t>
      </w:r>
      <w:r>
        <w:rPr>
          <w:rFonts w:ascii="Times New Roman" w:hAnsi="Times New Roman"/>
          <w:i/>
          <w:sz w:val="13"/>
        </w:rPr>
        <w:t>n</w:t>
      </w:r>
    </w:p>
    <w:p>
      <w:pPr>
        <w:spacing w:after="0" w:line="33" w:lineRule="exact"/>
        <w:jc w:val="left"/>
        <w:rPr>
          <w:rFonts w:ascii="Times New Roman" w:hAnsi="Times New Roman"/>
          <w:sz w:val="13"/>
        </w:rPr>
        <w:sectPr>
          <w:type w:val="continuous"/>
          <w:pgSz w:w="11910" w:h="16850"/>
          <w:pgMar w:top="1380" w:bottom="280" w:left="1200" w:right="0"/>
          <w:cols w:num="2" w:equalWidth="0">
            <w:col w:w="814" w:space="181"/>
            <w:col w:w="9715"/>
          </w:cols>
        </w:sectPr>
      </w:pPr>
    </w:p>
    <w:p>
      <w:pPr>
        <w:pStyle w:val="BodyText"/>
        <w:tabs>
          <w:tab w:pos="1253" w:val="left" w:leader="none"/>
          <w:tab w:pos="2711" w:val="left" w:leader="none"/>
        </w:tabs>
        <w:spacing w:line="216" w:lineRule="exact" w:before="2"/>
        <w:ind w:left="655"/>
        <w:rPr>
          <w:rFonts w:ascii="Times New Roman" w:hAnsi="Times New Roman"/>
        </w:rPr>
      </w:pPr>
      <w:r>
        <w:rPr>
          <w:rFonts w:ascii="Symbol" w:hAnsi="Symbol"/>
          <w:position w:val="6"/>
        </w:rPr>
        <w:t></w:t>
      </w:r>
      <w:r>
        <w:rPr>
          <w:rFonts w:ascii="Times New Roman" w:hAnsi="Times New Roman"/>
          <w:position w:val="6"/>
        </w:rPr>
        <w:tab/>
      </w:r>
      <w:r>
        <w:rPr>
          <w:rFonts w:ascii="Times New Roman" w:hAnsi="Times New Roman"/>
          <w:position w:val="6"/>
          <w:u w:val="single"/>
        </w:rPr>
        <w:t> </w:t>
        <w:tab/>
      </w:r>
      <w:r>
        <w:rPr>
          <w:rFonts w:ascii="Times New Roman" w:hAnsi="Times New Roman"/>
          <w:spacing w:val="3"/>
        </w:rPr>
        <w:t>(</w:t>
      </w:r>
      <w:r>
        <w:rPr>
          <w:rFonts w:ascii="Times New Roman" w:hAnsi="Times New Roman"/>
          <w:i/>
          <w:spacing w:val="3"/>
        </w:rPr>
        <w:t>n </w:t>
      </w:r>
      <w:r>
        <w:rPr>
          <w:rFonts w:ascii="Symbol" w:hAnsi="Symbol"/>
        </w:rPr>
        <w:t></w:t>
      </w:r>
      <w:r>
        <w:rPr>
          <w:rFonts w:ascii="Times New Roman" w:hAnsi="Times New Roman"/>
          <w:spacing w:val="-16"/>
        </w:rPr>
        <w:t> </w:t>
      </w:r>
      <w:r>
        <w:rPr>
          <w:rFonts w:ascii="Times New Roman" w:hAnsi="Times New Roman"/>
        </w:rPr>
        <w:t>4)</w:t>
      </w:r>
    </w:p>
    <w:p>
      <w:pPr>
        <w:tabs>
          <w:tab w:pos="1896" w:val="left" w:leader="none"/>
        </w:tabs>
        <w:spacing w:line="328" w:lineRule="exact" w:before="0"/>
        <w:ind w:left="655" w:right="0" w:firstLine="0"/>
        <w:jc w:val="left"/>
        <w:rPr>
          <w:rFonts w:ascii="Times New Roman" w:hAnsi="Times New Roman"/>
          <w:i/>
          <w:sz w:val="24"/>
        </w:rPr>
      </w:pPr>
      <w:r>
        <w:rPr>
          <w:rFonts w:ascii="Symbol" w:hAnsi="Symbol"/>
          <w:spacing w:val="-119"/>
          <w:w w:val="99"/>
          <w:sz w:val="24"/>
        </w:rPr>
        <w:t></w:t>
      </w:r>
      <w:r>
        <w:rPr>
          <w:rFonts w:ascii="Symbol" w:hAnsi="Symbol"/>
          <w:w w:val="99"/>
          <w:position w:val="4"/>
          <w:sz w:val="24"/>
        </w:rPr>
        <w:t></w:t>
      </w:r>
      <w:r>
        <w:rPr>
          <w:rFonts w:ascii="Times New Roman" w:hAnsi="Times New Roman"/>
          <w:position w:val="4"/>
          <w:sz w:val="24"/>
        </w:rPr>
        <w:tab/>
      </w:r>
      <w:r>
        <w:rPr>
          <w:rFonts w:ascii="Times New Roman" w:hAnsi="Times New Roman"/>
          <w:i/>
          <w:w w:val="99"/>
          <w:sz w:val="24"/>
        </w:rPr>
        <w:t>n</w:t>
      </w:r>
    </w:p>
    <w:p>
      <w:pPr>
        <w:pStyle w:val="BodyText"/>
        <w:spacing w:before="8"/>
        <w:rPr>
          <w:rFonts w:ascii="Times New Roman"/>
          <w:i/>
          <w:sz w:val="15"/>
        </w:rPr>
      </w:pPr>
    </w:p>
    <w:p>
      <w:pPr>
        <w:spacing w:before="70"/>
        <w:ind w:left="226" w:right="0" w:firstLine="0"/>
        <w:jc w:val="left"/>
        <w:rPr>
          <w:sz w:val="21"/>
        </w:rPr>
      </w:pPr>
      <w:r>
        <w:rPr>
          <w:sz w:val="21"/>
        </w:rPr>
        <w:t>式中 S—投标人有效报价的平均值； </w:t>
      </w:r>
    </w:p>
    <w:p>
      <w:pPr>
        <w:pStyle w:val="BodyText"/>
        <w:rPr>
          <w:sz w:val="11"/>
        </w:rPr>
      </w:pPr>
    </w:p>
    <w:p>
      <w:pPr>
        <w:spacing w:line="415" w:lineRule="auto" w:before="71"/>
        <w:ind w:left="226" w:right="1332" w:firstLine="946"/>
        <w:jc w:val="left"/>
        <w:rPr>
          <w:sz w:val="21"/>
        </w:rPr>
      </w:pPr>
      <w:r>
        <w:rPr>
          <w:sz w:val="21"/>
        </w:rPr>
        <w:t>ai－投标人的有效报价（i=1，2，…，n有效报价的投标人个数)，在控制价范围内的投标报价均属于有效报价； </w:t>
      </w:r>
    </w:p>
    <w:p>
      <w:pPr>
        <w:spacing w:line="415" w:lineRule="auto" w:before="0"/>
        <w:ind w:left="1173" w:right="6591" w:firstLine="0"/>
        <w:jc w:val="left"/>
        <w:rPr>
          <w:sz w:val="21"/>
        </w:rPr>
      </w:pPr>
      <w:r>
        <w:rPr/>
        <w:pict>
          <v:shape style="position:absolute;margin-left:92.375pt;margin-top:65.275009pt;width:197.5pt;height:18.8pt;mso-position-horizontal-relative:page;mso-position-vertical-relative:paragraph;z-index:-268600320" type="#_x0000_t202" filled="true" fillcolor="#ffffff" stroked="false">
            <v:textbox inset="0,0,0,0">
              <w:txbxContent>
                <w:p>
                  <w:pPr>
                    <w:spacing w:before="105"/>
                    <w:ind w:left="0" w:right="-15" w:firstLine="0"/>
                    <w:jc w:val="left"/>
                    <w:rPr>
                      <w:b/>
                      <w:sz w:val="21"/>
                    </w:rPr>
                  </w:pPr>
                  <w:r>
                    <w:rPr>
                      <w:b/>
                      <w:spacing w:val="5"/>
                      <w:sz w:val="21"/>
                    </w:rPr>
                    <w:t>2.2.3（C）</w:t>
                  </w:r>
                  <w:r>
                    <w:rPr>
                      <w:b/>
                      <w:sz w:val="21"/>
                    </w:rPr>
                    <w:t> 投标报价的偏差率计算方法：</w:t>
                  </w:r>
                </w:p>
              </w:txbxContent>
            </v:textbox>
            <v:fill type="solid"/>
            <w10:wrap type="none"/>
          </v:shape>
        </w:pict>
      </w:r>
      <w:r>
        <w:rPr>
          <w:sz w:val="21"/>
        </w:rPr>
        <w:t>n——有效报价的投标人个数M——最高的投标人有效报价； N——最低的投标人有效报价。 </w:t>
      </w:r>
    </w:p>
    <w:p>
      <w:pPr>
        <w:pStyle w:val="BodyText"/>
        <w:spacing w:before="4"/>
        <w:rPr>
          <w:sz w:val="27"/>
        </w:rPr>
      </w:pPr>
      <w:r>
        <w:rPr/>
        <w:pict>
          <v:shape style="position:absolute;margin-left:118.650002pt;margin-top:18.741106pt;width:278.6pt;height:18.8pt;mso-position-horizontal-relative:page;mso-position-vertical-relative:paragraph;z-index:-251573248;mso-wrap-distance-left:0;mso-wrap-distance-right:0" type="#_x0000_t202" filled="true" fillcolor="#ffffff" stroked="false">
            <v:textbox inset="0,0,0,0">
              <w:txbxContent>
                <w:p>
                  <w:pPr>
                    <w:spacing w:before="105"/>
                    <w:ind w:left="0" w:right="-15" w:firstLine="0"/>
                    <w:jc w:val="left"/>
                    <w:rPr>
                      <w:sz w:val="21"/>
                    </w:rPr>
                  </w:pPr>
                  <w:r>
                    <w:rPr>
                      <w:sz w:val="21"/>
                    </w:rPr>
                    <w:t>偏差率＝(投标人报价－评标基准价)/评标基准价×１００％</w:t>
                  </w:r>
                </w:p>
              </w:txbxContent>
            </v:textbox>
            <v:fill type="solid"/>
            <w10:wrap type="topAndBottom"/>
          </v:shape>
        </w:pict>
      </w:r>
    </w:p>
    <w:p>
      <w:pPr>
        <w:pStyle w:val="BodyText"/>
        <w:rPr>
          <w:sz w:val="20"/>
        </w:rPr>
      </w:pPr>
    </w:p>
    <w:p>
      <w:pPr>
        <w:pStyle w:val="BodyText"/>
        <w:spacing w:before="11"/>
      </w:pPr>
    </w:p>
    <w:p>
      <w:pPr>
        <w:spacing w:before="71"/>
        <w:ind w:left="647" w:right="0" w:firstLine="0"/>
        <w:jc w:val="left"/>
        <w:rPr>
          <w:b/>
          <w:sz w:val="21"/>
        </w:rPr>
      </w:pPr>
      <w:r>
        <w:rPr>
          <w:b/>
          <w:sz w:val="21"/>
        </w:rPr>
        <w:t>2.2.4 评分标准</w:t>
      </w:r>
      <w:r>
        <w:rPr>
          <w:b/>
          <w:w w:val="99"/>
          <w:sz w:val="21"/>
        </w:rPr>
        <w:t> </w:t>
      </w:r>
    </w:p>
    <w:p>
      <w:pPr>
        <w:pStyle w:val="BodyText"/>
        <w:spacing w:before="10"/>
        <w:rPr>
          <w:b/>
          <w:sz w:val="9"/>
        </w:rPr>
      </w:pPr>
    </w:p>
    <w:p>
      <w:pPr>
        <w:spacing w:before="71"/>
        <w:ind w:left="541" w:right="0" w:firstLine="0"/>
        <w:jc w:val="left"/>
        <w:rPr>
          <w:sz w:val="21"/>
        </w:rPr>
      </w:pPr>
      <w:r>
        <w:rPr>
          <w:sz w:val="21"/>
        </w:rPr>
        <w:t>施工组织设计评分标准：见评标办法前附表； </w:t>
      </w:r>
    </w:p>
    <w:p>
      <w:pPr>
        <w:pStyle w:val="BodyText"/>
        <w:rPr>
          <w:sz w:val="11"/>
        </w:rPr>
      </w:pPr>
    </w:p>
    <w:p>
      <w:pPr>
        <w:spacing w:before="70"/>
        <w:ind w:left="541" w:right="0" w:firstLine="0"/>
        <w:jc w:val="left"/>
        <w:rPr>
          <w:sz w:val="21"/>
        </w:rPr>
      </w:pPr>
      <w:r>
        <w:rPr>
          <w:sz w:val="21"/>
        </w:rPr>
        <w:t>投标人编制的施工组织设计应按本招标文件施工组织设计建议书编制，其关键工程技术方案可</w:t>
      </w:r>
    </w:p>
    <w:p>
      <w:pPr>
        <w:pStyle w:val="BodyText"/>
        <w:spacing w:before="11"/>
        <w:rPr>
          <w:sz w:val="9"/>
        </w:rPr>
      </w:pPr>
    </w:p>
    <w:p>
      <w:pPr>
        <w:spacing w:before="70"/>
        <w:ind w:left="226" w:right="0" w:firstLine="0"/>
        <w:jc w:val="left"/>
        <w:rPr>
          <w:sz w:val="21"/>
        </w:rPr>
      </w:pPr>
      <w:r>
        <w:rPr>
          <w:sz w:val="21"/>
        </w:rPr>
        <w:t>行，能够满足本工程项目按期、按质实施、保证安全生产等各项要求； </w:t>
      </w:r>
    </w:p>
    <w:tbl>
      <w:tblPr>
        <w:tblW w:w="0" w:type="auto"/>
        <w:jc w:val="left"/>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944"/>
        <w:gridCol w:w="421"/>
      </w:tblGrid>
      <w:tr>
        <w:trPr>
          <w:trHeight w:val="345" w:hRule="atLeast"/>
        </w:trPr>
        <w:tc>
          <w:tcPr>
            <w:tcW w:w="3365" w:type="dxa"/>
            <w:gridSpan w:val="2"/>
            <w:tcBorders>
              <w:top w:val="single" w:sz="48" w:space="0" w:color="FFFFFF"/>
              <w:bottom w:val="single" w:sz="48" w:space="0" w:color="FFFFFF"/>
            </w:tcBorders>
            <w:shd w:val="clear" w:color="auto" w:fill="FFFFFF"/>
          </w:tcPr>
          <w:p>
            <w:pPr>
              <w:pStyle w:val="TableParagraph"/>
              <w:spacing w:line="235" w:lineRule="exact" w:before="90"/>
              <w:ind w:left="45" w:right="-58"/>
              <w:rPr>
                <w:sz w:val="21"/>
              </w:rPr>
            </w:pPr>
            <w:r>
              <w:rPr>
                <w:sz w:val="21"/>
              </w:rPr>
              <w:t>项目管理机构：见评标办法前附表；</w:t>
            </w:r>
          </w:p>
        </w:tc>
      </w:tr>
      <w:tr>
        <w:trPr>
          <w:trHeight w:val="345" w:hRule="atLeast"/>
        </w:trPr>
        <w:tc>
          <w:tcPr>
            <w:tcW w:w="2944" w:type="dxa"/>
            <w:tcBorders>
              <w:top w:val="single" w:sz="48" w:space="0" w:color="FFFFFF"/>
              <w:bottom w:val="single" w:sz="48" w:space="0" w:color="FFFFFF"/>
            </w:tcBorders>
            <w:shd w:val="clear" w:color="auto" w:fill="FFFFFF"/>
          </w:tcPr>
          <w:p>
            <w:pPr>
              <w:pStyle w:val="TableParagraph"/>
              <w:spacing w:line="235" w:lineRule="exact" w:before="90"/>
              <w:ind w:left="45" w:right="-58"/>
              <w:rPr>
                <w:sz w:val="21"/>
              </w:rPr>
            </w:pPr>
            <w:r>
              <w:rPr>
                <w:sz w:val="21"/>
              </w:rPr>
              <w:t>投标报价：见评标办法前附表；</w:t>
            </w:r>
          </w:p>
        </w:tc>
        <w:tc>
          <w:tcPr>
            <w:tcW w:w="421" w:type="dxa"/>
            <w:tcBorders>
              <w:top w:val="single" w:sz="48" w:space="0" w:color="FFFFFF"/>
              <w:bottom w:val="single" w:sz="48" w:space="0" w:color="FFFFFF"/>
            </w:tcBorders>
          </w:tcPr>
          <w:p>
            <w:pPr>
              <w:pStyle w:val="TableParagraph"/>
              <w:spacing w:line="235" w:lineRule="exact" w:before="90"/>
              <w:ind w:left="44"/>
              <w:rPr>
                <w:sz w:val="21"/>
              </w:rPr>
            </w:pPr>
            <w:r>
              <w:rPr>
                <w:sz w:val="21"/>
              </w:rPr>
              <w:t> </w:t>
            </w:r>
          </w:p>
        </w:tc>
      </w:tr>
      <w:tr>
        <w:trPr>
          <w:trHeight w:val="360" w:hRule="atLeast"/>
        </w:trPr>
        <w:tc>
          <w:tcPr>
            <w:tcW w:w="3365" w:type="dxa"/>
            <w:gridSpan w:val="2"/>
            <w:tcBorders>
              <w:top w:val="single" w:sz="48" w:space="0" w:color="FFFFFF"/>
              <w:bottom w:val="single" w:sz="48" w:space="0" w:color="FFFFFF"/>
            </w:tcBorders>
            <w:shd w:val="clear" w:color="auto" w:fill="FFFFFF"/>
          </w:tcPr>
          <w:p>
            <w:pPr>
              <w:pStyle w:val="TableParagraph"/>
              <w:spacing w:line="250" w:lineRule="exact" w:before="90"/>
              <w:ind w:left="45" w:right="-58"/>
              <w:rPr>
                <w:sz w:val="21"/>
              </w:rPr>
            </w:pPr>
            <w:r>
              <w:rPr>
                <w:sz w:val="21"/>
              </w:rPr>
              <w:t>其它评分因素：见评标办法前附表。</w:t>
            </w:r>
          </w:p>
        </w:tc>
      </w:tr>
    </w:tbl>
    <w:p>
      <w:pPr>
        <w:spacing w:line="415" w:lineRule="auto" w:before="105"/>
        <w:ind w:left="226" w:right="1220" w:firstLine="315"/>
        <w:jc w:val="left"/>
        <w:rPr>
          <w:sz w:val="21"/>
        </w:rPr>
      </w:pPr>
      <w:r>
        <w:rPr>
          <w:sz w:val="21"/>
        </w:rPr>
        <w:t>投标报价不允许采用调价函形式，投标报价表中总价必须与工程项目投标报价汇总表、工程量清单报价表、投标预算书中合价一致，如不一致，应说明对《工程量清单》中各项目合价的修正说明， 并补充修正后的工程项目投标报价汇总表和工程量清单报价表，使投标报价表中总价与修正后的工</w:t>
      </w:r>
      <w:r>
        <w:rPr>
          <w:spacing w:val="-6"/>
          <w:sz w:val="21"/>
        </w:rPr>
        <w:t>程项目投标报价汇总表和工程量清单报价表合价一致，否则视为废标。(工程量的确定在合同中约定) 评标专家只对不低于成本的投标报价进行计分。 </w:t>
      </w:r>
    </w:p>
    <w:p>
      <w:pPr>
        <w:spacing w:after="0" w:line="415" w:lineRule="auto"/>
        <w:jc w:val="left"/>
        <w:rPr>
          <w:sz w:val="21"/>
        </w:rPr>
        <w:sectPr>
          <w:type w:val="continuous"/>
          <w:pgSz w:w="11910" w:h="16850"/>
          <w:pgMar w:top="1380" w:bottom="280" w:left="1200" w:right="0"/>
        </w:sectPr>
      </w:pPr>
    </w:p>
    <w:p>
      <w:pPr>
        <w:pStyle w:val="BodyText"/>
        <w:spacing w:before="3"/>
        <w:rPr>
          <w:sz w:val="9"/>
        </w:rPr>
      </w:pPr>
    </w:p>
    <w:p>
      <w:pPr>
        <w:pStyle w:val="ListParagraph"/>
        <w:numPr>
          <w:ilvl w:val="0"/>
          <w:numId w:val="3"/>
        </w:numPr>
        <w:tabs>
          <w:tab w:pos="498" w:val="left" w:leader="none"/>
        </w:tabs>
        <w:spacing w:line="240" w:lineRule="auto" w:before="62" w:after="0"/>
        <w:ind w:left="498" w:right="0" w:hanging="272"/>
        <w:jc w:val="left"/>
        <w:rPr>
          <w:sz w:val="25"/>
        </w:rPr>
      </w:pPr>
      <w:bookmarkStart w:name="3. 评标程序" w:id="55"/>
      <w:bookmarkEnd w:id="55"/>
      <w:r>
        <w:rPr/>
      </w:r>
      <w:bookmarkStart w:name="_bookmark22" w:id="56"/>
      <w:bookmarkEnd w:id="56"/>
      <w:r>
        <w:rPr/>
      </w:r>
      <w:bookmarkStart w:name="_bookmark22" w:id="57"/>
      <w:bookmarkEnd w:id="57"/>
      <w:r>
        <w:rPr>
          <w:rFonts w:ascii="黑体" w:eastAsia="黑体" w:hint="eastAsia"/>
          <w:sz w:val="27"/>
        </w:rPr>
        <w:t>评标程序</w:t>
      </w:r>
      <w:r>
        <w:rPr>
          <w:sz w:val="27"/>
        </w:rPr>
        <w:t> </w:t>
      </w:r>
    </w:p>
    <w:p>
      <w:pPr>
        <w:pStyle w:val="BodyText"/>
        <w:spacing w:before="8"/>
        <w:rPr>
          <w:sz w:val="38"/>
        </w:rPr>
      </w:pPr>
    </w:p>
    <w:p>
      <w:pPr>
        <w:pStyle w:val="ListParagraph"/>
        <w:numPr>
          <w:ilvl w:val="1"/>
          <w:numId w:val="3"/>
        </w:numPr>
        <w:tabs>
          <w:tab w:pos="1008" w:val="left" w:leader="none"/>
        </w:tabs>
        <w:spacing w:line="240" w:lineRule="auto" w:before="0" w:after="0"/>
        <w:ind w:left="1007" w:right="0" w:hanging="361"/>
        <w:jc w:val="left"/>
        <w:rPr>
          <w:b/>
          <w:sz w:val="19"/>
        </w:rPr>
      </w:pPr>
      <w:r>
        <w:rPr>
          <w:b/>
          <w:spacing w:val="7"/>
          <w:sz w:val="21"/>
        </w:rPr>
        <w:t>初步评审</w:t>
      </w:r>
      <w:r>
        <w:rPr>
          <w:b/>
          <w:spacing w:val="7"/>
          <w:w w:val="99"/>
          <w:sz w:val="21"/>
        </w:rPr>
        <w:t> </w:t>
      </w:r>
    </w:p>
    <w:p>
      <w:pPr>
        <w:pStyle w:val="BodyText"/>
        <w:spacing w:before="6"/>
        <w:rPr>
          <w:b/>
          <w:sz w:val="16"/>
        </w:rPr>
      </w:pPr>
    </w:p>
    <w:p>
      <w:pPr>
        <w:pStyle w:val="ListParagraph"/>
        <w:numPr>
          <w:ilvl w:val="2"/>
          <w:numId w:val="3"/>
        </w:numPr>
        <w:tabs>
          <w:tab w:pos="1174" w:val="left" w:leader="none"/>
        </w:tabs>
        <w:spacing w:line="415" w:lineRule="auto" w:before="0" w:after="0"/>
        <w:ind w:left="226" w:right="1433" w:firstLine="420"/>
        <w:jc w:val="left"/>
        <w:rPr>
          <w:sz w:val="21"/>
        </w:rPr>
      </w:pPr>
      <w:r>
        <w:rPr>
          <w:sz w:val="21"/>
        </w:rPr>
        <w:t>评标委员会依据本章第2.1</w:t>
      </w:r>
      <w:r>
        <w:rPr>
          <w:spacing w:val="-1"/>
          <w:sz w:val="21"/>
        </w:rPr>
        <w:t> 款规定的标准对投标文件进行初步评审。有一项不符合评审</w:t>
      </w:r>
      <w:r>
        <w:rPr>
          <w:spacing w:val="-2"/>
          <w:sz w:val="21"/>
        </w:rPr>
        <w:t>标准的，应否决其投标。</w:t>
      </w:r>
      <w:r>
        <w:rPr>
          <w:sz w:val="21"/>
        </w:rPr>
        <w:t> </w:t>
      </w:r>
    </w:p>
    <w:p>
      <w:pPr>
        <w:pStyle w:val="ListParagraph"/>
        <w:numPr>
          <w:ilvl w:val="2"/>
          <w:numId w:val="3"/>
        </w:numPr>
        <w:tabs>
          <w:tab w:pos="1174" w:val="left" w:leader="none"/>
        </w:tabs>
        <w:spacing w:line="240" w:lineRule="auto" w:before="0" w:after="0"/>
        <w:ind w:left="1173" w:right="0" w:hanging="527"/>
        <w:jc w:val="left"/>
        <w:rPr>
          <w:sz w:val="21"/>
        </w:rPr>
      </w:pPr>
      <w:r>
        <w:rPr/>
        <w:pict>
          <v:group style="position:absolute;margin-left:71.349998pt;margin-top:14.310486pt;width:456.6pt;height:441.35pt;mso-position-horizontal-relative:page;mso-position-vertical-relative:paragraph;z-index:-268597248" coordorigin="1427,286" coordsize="9132,8827">
            <v:shape style="position:absolute;left:1563;top:286;width:8786;height:8653" type="#_x0000_t75" stroked="false">
              <v:imagedata r:id="rId6" o:title=""/>
            </v:shape>
            <v:shape style="position:absolute;left:1427;top:3167;width:9132;height:5946" coordorigin="1427,3168" coordsize="9132,5946" path="m8892,8738l1742,8738,1742,9113,8892,9113,8892,8738m10558,5045l1637,5045,1637,5420,10558,5420,10558,5045m10558,4113l1427,4113,1427,4489,10558,4489,10558,4113m10558,3648l1427,3648,1427,4024,10558,4024,10558,3648m10558,3168l1742,3168,1742,3558,10558,3558,10558,3168e" filled="true" fillcolor="#ffffff" stroked="false">
              <v:path arrowok="t"/>
              <v:fill type="solid"/>
            </v:shape>
            <w10:wrap type="none"/>
          </v:group>
        </w:pict>
      </w:r>
      <w:r>
        <w:rPr>
          <w:spacing w:val="-1"/>
          <w:sz w:val="21"/>
        </w:rPr>
        <w:t>投标人有以下情形之一的，应否决其投标：</w:t>
      </w:r>
      <w:r>
        <w:rPr>
          <w:sz w:val="21"/>
        </w:rPr>
        <w:t> </w:t>
      </w:r>
    </w:p>
    <w:p>
      <w:pPr>
        <w:pStyle w:val="BodyText"/>
        <w:spacing w:before="4"/>
        <w:rPr>
          <w:sz w:val="15"/>
        </w:rPr>
      </w:pPr>
    </w:p>
    <w:p>
      <w:pPr>
        <w:pStyle w:val="ListParagraph"/>
        <w:numPr>
          <w:ilvl w:val="0"/>
          <w:numId w:val="27"/>
        </w:numPr>
        <w:tabs>
          <w:tab w:pos="1174" w:val="left" w:leader="none"/>
        </w:tabs>
        <w:spacing w:line="240" w:lineRule="auto" w:before="0" w:after="0"/>
        <w:ind w:left="1173" w:right="0" w:hanging="527"/>
        <w:jc w:val="left"/>
        <w:rPr>
          <w:sz w:val="21"/>
        </w:rPr>
      </w:pPr>
      <w:r>
        <w:rPr>
          <w:sz w:val="21"/>
        </w:rPr>
        <w:t>第二章“投标人须知”第1.4.3</w:t>
      </w:r>
      <w:r>
        <w:rPr>
          <w:spacing w:val="-2"/>
          <w:sz w:val="21"/>
        </w:rPr>
        <w:t> 项规定的任何一种情形的；</w:t>
      </w:r>
      <w:r>
        <w:rPr>
          <w:sz w:val="21"/>
        </w:rPr>
        <w:t> </w:t>
      </w:r>
    </w:p>
    <w:p>
      <w:pPr>
        <w:pStyle w:val="BodyText"/>
        <w:spacing w:before="11"/>
        <w:rPr>
          <w:sz w:val="9"/>
        </w:rPr>
      </w:pPr>
    </w:p>
    <w:p>
      <w:pPr>
        <w:pStyle w:val="ListParagraph"/>
        <w:numPr>
          <w:ilvl w:val="0"/>
          <w:numId w:val="27"/>
        </w:numPr>
        <w:tabs>
          <w:tab w:pos="1174" w:val="left" w:leader="none"/>
        </w:tabs>
        <w:spacing w:line="240" w:lineRule="auto" w:before="70" w:after="0"/>
        <w:ind w:left="1173" w:right="0" w:hanging="527"/>
        <w:jc w:val="left"/>
        <w:rPr>
          <w:sz w:val="21"/>
        </w:rPr>
      </w:pPr>
      <w:r>
        <w:rPr>
          <w:spacing w:val="-2"/>
          <w:sz w:val="21"/>
          <w:shd w:fill="FFFFFF" w:color="auto" w:val="clear"/>
        </w:rPr>
        <w:t>投标人须知前附表规定接受联合体投标的，除应符合本章第 </w:t>
      </w:r>
      <w:r>
        <w:rPr>
          <w:rFonts w:ascii="Calibri" w:eastAsia="Calibri"/>
          <w:sz w:val="21"/>
          <w:shd w:fill="FFFFFF" w:color="auto" w:val="clear"/>
        </w:rPr>
        <w:t>1.4.2</w:t>
      </w:r>
      <w:r>
        <w:rPr>
          <w:rFonts w:ascii="Calibri" w:eastAsia="Calibri"/>
          <w:spacing w:val="11"/>
          <w:sz w:val="21"/>
          <w:shd w:fill="FFFFFF" w:color="auto" w:val="clear"/>
        </w:rPr>
        <w:t> </w:t>
      </w:r>
      <w:r>
        <w:rPr>
          <w:sz w:val="21"/>
          <w:shd w:fill="FFFFFF" w:color="auto" w:val="clear"/>
        </w:rPr>
        <w:t>项规定；</w:t>
      </w:r>
    </w:p>
    <w:p>
      <w:pPr>
        <w:pStyle w:val="BodyText"/>
        <w:spacing w:before="7"/>
        <w:rPr>
          <w:sz w:val="16"/>
        </w:rPr>
      </w:pPr>
    </w:p>
    <w:p>
      <w:pPr>
        <w:pStyle w:val="ListParagraph"/>
        <w:numPr>
          <w:ilvl w:val="0"/>
          <w:numId w:val="27"/>
        </w:numPr>
        <w:tabs>
          <w:tab w:pos="1174" w:val="left" w:leader="none"/>
        </w:tabs>
        <w:spacing w:line="240" w:lineRule="auto" w:before="0" w:after="0"/>
        <w:ind w:left="1173" w:right="0" w:hanging="527"/>
        <w:jc w:val="left"/>
        <w:rPr>
          <w:sz w:val="21"/>
        </w:rPr>
      </w:pPr>
      <w:r>
        <w:rPr>
          <w:spacing w:val="-1"/>
          <w:sz w:val="21"/>
        </w:rPr>
        <w:t>串通投标或弄虚作假或有其他违法行为的；</w:t>
      </w:r>
      <w:r>
        <w:rPr>
          <w:sz w:val="21"/>
        </w:rPr>
        <w:t> </w:t>
      </w:r>
    </w:p>
    <w:p>
      <w:pPr>
        <w:pStyle w:val="BodyText"/>
        <w:spacing w:before="3"/>
        <w:rPr>
          <w:sz w:val="15"/>
        </w:rPr>
      </w:pPr>
    </w:p>
    <w:p>
      <w:pPr>
        <w:pStyle w:val="ListParagraph"/>
        <w:numPr>
          <w:ilvl w:val="0"/>
          <w:numId w:val="27"/>
        </w:numPr>
        <w:tabs>
          <w:tab w:pos="1174" w:val="left" w:leader="none"/>
        </w:tabs>
        <w:spacing w:line="240" w:lineRule="auto" w:before="0" w:after="0"/>
        <w:ind w:left="1173" w:right="0" w:hanging="527"/>
        <w:jc w:val="left"/>
        <w:rPr>
          <w:sz w:val="21"/>
        </w:rPr>
      </w:pPr>
      <w:r>
        <w:rPr>
          <w:spacing w:val="-1"/>
          <w:sz w:val="21"/>
        </w:rPr>
        <w:t>法律法规规定的其它情况。</w:t>
      </w:r>
      <w:r>
        <w:rPr>
          <w:sz w:val="21"/>
        </w:rPr>
        <w:t> </w:t>
      </w:r>
    </w:p>
    <w:p>
      <w:pPr>
        <w:pStyle w:val="BodyText"/>
        <w:spacing w:before="11"/>
        <w:rPr>
          <w:sz w:val="9"/>
        </w:rPr>
      </w:pPr>
    </w:p>
    <w:p>
      <w:pPr>
        <w:pStyle w:val="ListParagraph"/>
        <w:numPr>
          <w:ilvl w:val="2"/>
          <w:numId w:val="3"/>
        </w:numPr>
        <w:tabs>
          <w:tab w:pos="1174" w:val="left" w:leader="none"/>
        </w:tabs>
        <w:spacing w:line="415" w:lineRule="auto" w:before="71" w:after="0"/>
        <w:ind w:left="226" w:right="1965" w:firstLine="420"/>
        <w:jc w:val="left"/>
        <w:rPr>
          <w:sz w:val="21"/>
        </w:rPr>
      </w:pPr>
      <w:r>
        <w:rPr>
          <w:spacing w:val="-1"/>
          <w:sz w:val="21"/>
          <w:shd w:fill="FFFFFF" w:color="auto" w:val="clear"/>
        </w:rPr>
        <w:t>投标报价有算术错误的，评标委员会按以下原则对投标报价进行修正，修正的价</w:t>
      </w:r>
      <w:r>
        <w:rPr>
          <w:spacing w:val="-1"/>
          <w:sz w:val="21"/>
        </w:rPr>
        <w:t> </w:t>
      </w:r>
      <w:r>
        <w:rPr>
          <w:spacing w:val="-2"/>
          <w:sz w:val="21"/>
        </w:rPr>
        <w:t>格经投标人书面确认后具有约束力。</w:t>
      </w:r>
      <w:r>
        <w:rPr>
          <w:sz w:val="21"/>
        </w:rPr>
        <w:t> </w:t>
      </w:r>
    </w:p>
    <w:p>
      <w:pPr>
        <w:spacing w:before="0"/>
        <w:ind w:left="541" w:right="0" w:firstLine="0"/>
        <w:jc w:val="left"/>
        <w:rPr>
          <w:sz w:val="21"/>
        </w:rPr>
      </w:pPr>
      <w:r>
        <w:rPr>
          <w:spacing w:val="-1"/>
          <w:sz w:val="21"/>
        </w:rPr>
        <w:t>（1）投标文件中的大写金额与小写金额不一致的，以大写金额为准；当分项价之和与总价(合计</w:t>
      </w:r>
    </w:p>
    <w:p>
      <w:pPr>
        <w:pStyle w:val="BodyText"/>
        <w:spacing w:before="12"/>
        <w:rPr>
          <w:sz w:val="10"/>
        </w:rPr>
      </w:pPr>
    </w:p>
    <w:p>
      <w:pPr>
        <w:spacing w:before="71"/>
        <w:ind w:left="226" w:right="0" w:firstLine="0"/>
        <w:jc w:val="left"/>
        <w:rPr>
          <w:sz w:val="21"/>
        </w:rPr>
      </w:pPr>
      <w:r>
        <w:rPr>
          <w:sz w:val="21"/>
        </w:rPr>
        <w:t>价格)有出入时，以分项价为准；当单价与数量的乘积与总价不一致时，以单价为准修改总价。除非</w:t>
      </w:r>
    </w:p>
    <w:p>
      <w:pPr>
        <w:pStyle w:val="BodyText"/>
        <w:spacing w:before="10"/>
        <w:rPr>
          <w:sz w:val="9"/>
        </w:rPr>
      </w:pPr>
    </w:p>
    <w:p>
      <w:pPr>
        <w:spacing w:line="415" w:lineRule="auto" w:before="71"/>
        <w:ind w:left="226" w:right="1348" w:firstLine="0"/>
        <w:jc w:val="left"/>
        <w:rPr>
          <w:sz w:val="21"/>
        </w:rPr>
      </w:pPr>
      <w:r>
        <w:rPr>
          <w:sz w:val="21"/>
        </w:rPr>
        <w:t>招标人和投标人共同核对后认为单价有明显的小数点错位，此时应以该行(列)标出的总额为准，并修改单价。 </w:t>
      </w:r>
    </w:p>
    <w:p>
      <w:pPr>
        <w:pStyle w:val="ListParagraph"/>
        <w:numPr>
          <w:ilvl w:val="0"/>
          <w:numId w:val="28"/>
        </w:numPr>
        <w:tabs>
          <w:tab w:pos="964" w:val="left" w:leader="none"/>
        </w:tabs>
        <w:spacing w:line="240" w:lineRule="auto" w:before="0" w:after="0"/>
        <w:ind w:left="963" w:right="0" w:hanging="528"/>
        <w:jc w:val="left"/>
        <w:rPr>
          <w:sz w:val="21"/>
        </w:rPr>
      </w:pPr>
      <w:r>
        <w:rPr>
          <w:sz w:val="21"/>
        </w:rPr>
        <w:t>总价金额与依据单价计算出的结果不一致的，以单价金额为准修正总价，但单价金额小数点</w:t>
      </w:r>
    </w:p>
    <w:p>
      <w:pPr>
        <w:pStyle w:val="BodyText"/>
        <w:spacing w:before="4"/>
        <w:rPr>
          <w:sz w:val="15"/>
        </w:rPr>
      </w:pPr>
    </w:p>
    <w:p>
      <w:pPr>
        <w:spacing w:before="0"/>
        <w:ind w:left="226" w:right="0" w:firstLine="0"/>
        <w:jc w:val="left"/>
        <w:rPr>
          <w:sz w:val="21"/>
        </w:rPr>
      </w:pPr>
      <w:r>
        <w:rPr>
          <w:sz w:val="21"/>
        </w:rPr>
        <w:t>有明显错误的除外。 </w:t>
      </w:r>
    </w:p>
    <w:p>
      <w:pPr>
        <w:pStyle w:val="ListParagraph"/>
        <w:numPr>
          <w:ilvl w:val="2"/>
          <w:numId w:val="3"/>
        </w:numPr>
        <w:tabs>
          <w:tab w:pos="1233" w:val="left" w:leader="none"/>
        </w:tabs>
        <w:spacing w:line="240" w:lineRule="auto" w:before="106" w:after="0"/>
        <w:ind w:left="1233" w:right="0" w:hanging="586"/>
        <w:jc w:val="left"/>
        <w:rPr>
          <w:sz w:val="21"/>
        </w:rPr>
      </w:pPr>
      <w:r>
        <w:rPr>
          <w:spacing w:val="-1"/>
          <w:sz w:val="21"/>
          <w:shd w:fill="FFFFFF" w:color="auto" w:val="clear"/>
        </w:rPr>
        <w:t>投标人得分相同时，应以其报价得分高的排名在前。</w:t>
      </w:r>
      <w:r>
        <w:rPr>
          <w:sz w:val="21"/>
        </w:rPr>
        <w:t> </w:t>
      </w:r>
    </w:p>
    <w:p>
      <w:pPr>
        <w:pStyle w:val="BodyText"/>
        <w:spacing w:before="10"/>
        <w:rPr>
          <w:sz w:val="18"/>
        </w:rPr>
      </w:pPr>
    </w:p>
    <w:p>
      <w:pPr>
        <w:pStyle w:val="ListParagraph"/>
        <w:numPr>
          <w:ilvl w:val="1"/>
          <w:numId w:val="3"/>
        </w:numPr>
        <w:tabs>
          <w:tab w:pos="1008" w:val="left" w:leader="none"/>
        </w:tabs>
        <w:spacing w:line="240" w:lineRule="auto" w:before="1" w:after="0"/>
        <w:ind w:left="1007" w:right="0" w:hanging="361"/>
        <w:jc w:val="left"/>
        <w:rPr>
          <w:b/>
          <w:sz w:val="19"/>
        </w:rPr>
      </w:pPr>
      <w:r>
        <w:rPr>
          <w:b/>
          <w:spacing w:val="7"/>
          <w:sz w:val="21"/>
        </w:rPr>
        <w:t>详细评审</w:t>
      </w:r>
      <w:r>
        <w:rPr>
          <w:b/>
          <w:spacing w:val="7"/>
          <w:w w:val="99"/>
          <w:sz w:val="21"/>
        </w:rPr>
        <w:t> </w:t>
      </w:r>
    </w:p>
    <w:p>
      <w:pPr>
        <w:pStyle w:val="BodyText"/>
        <w:spacing w:before="10"/>
        <w:rPr>
          <w:b/>
          <w:sz w:val="9"/>
        </w:rPr>
      </w:pPr>
    </w:p>
    <w:p>
      <w:pPr>
        <w:pStyle w:val="ListParagraph"/>
        <w:numPr>
          <w:ilvl w:val="2"/>
          <w:numId w:val="3"/>
        </w:numPr>
        <w:tabs>
          <w:tab w:pos="1174" w:val="left" w:leader="none"/>
        </w:tabs>
        <w:spacing w:line="415" w:lineRule="auto" w:before="71" w:after="0"/>
        <w:ind w:left="226" w:right="1965" w:firstLine="420"/>
        <w:jc w:val="left"/>
        <w:rPr>
          <w:sz w:val="21"/>
        </w:rPr>
      </w:pPr>
      <w:r>
        <w:rPr/>
        <w:pict>
          <v:shape style="position:absolute;margin-left:87.099998pt;margin-top:44.834999pt;width:378.5pt;height:19.55pt;mso-position-horizontal-relative:page;mso-position-vertical-relative:paragraph;z-index:-268596224" type="#_x0000_t202" filled="true" fillcolor="#ffffff" stroked="false">
            <v:textbox inset="0,0,0,0">
              <w:txbxContent>
                <w:p>
                  <w:pPr>
                    <w:spacing w:before="105"/>
                    <w:ind w:left="0" w:right="0" w:firstLine="0"/>
                    <w:jc w:val="left"/>
                    <w:rPr>
                      <w:sz w:val="21"/>
                    </w:rPr>
                  </w:pPr>
                  <w:r>
                    <w:rPr>
                      <w:sz w:val="21"/>
                    </w:rPr>
                    <w:t>（1）按本章第2.2.4（1）目规定的评审因素和分值对施工组织设计计算出得分A；</w:t>
                  </w:r>
                </w:p>
              </w:txbxContent>
            </v:textbox>
            <v:fill type="solid"/>
            <w10:wrap type="none"/>
          </v:shape>
        </w:pict>
      </w:r>
      <w:r>
        <w:rPr>
          <w:sz w:val="21"/>
          <w:shd w:fill="FFFFFF" w:color="auto" w:val="clear"/>
        </w:rPr>
        <w:t>评标委员会按本章第2.2</w:t>
      </w:r>
      <w:r>
        <w:rPr>
          <w:spacing w:val="-1"/>
          <w:sz w:val="21"/>
          <w:shd w:fill="FFFFFF" w:color="auto" w:val="clear"/>
        </w:rPr>
        <w:t> 款规定的量化因素和分值进行打分，并计算出综合评估</w:t>
      </w:r>
      <w:r>
        <w:rPr>
          <w:sz w:val="21"/>
        </w:rPr>
        <w:t>得分。 </w:t>
      </w:r>
    </w:p>
    <w:p>
      <w:pPr>
        <w:pStyle w:val="BodyText"/>
        <w:spacing w:before="5"/>
        <w:rPr>
          <w:sz w:val="27"/>
        </w:rPr>
      </w:pPr>
      <w:r>
        <w:rPr/>
        <w:pict>
          <v:shape style="position:absolute;margin-left:87.099998pt;margin-top:18.755312pt;width:378.5pt;height:18.8pt;mso-position-horizontal-relative:page;mso-position-vertical-relative:paragraph;z-index:-251568128;mso-wrap-distance-left:0;mso-wrap-distance-right:0" type="#_x0000_t202" filled="true" fillcolor="#ffffff" stroked="false">
            <v:textbox inset="0,0,0,0">
              <w:txbxContent>
                <w:p>
                  <w:pPr>
                    <w:spacing w:before="105"/>
                    <w:ind w:left="0" w:right="0" w:firstLine="0"/>
                    <w:jc w:val="left"/>
                    <w:rPr>
                      <w:sz w:val="21"/>
                    </w:rPr>
                  </w:pPr>
                  <w:r>
                    <w:rPr>
                      <w:sz w:val="21"/>
                    </w:rPr>
                    <w:t>（2）按本章第2.2.4（2）目规定的评审因素和分值对项目管理机构计算出得分B；</w:t>
                  </w:r>
                </w:p>
              </w:txbxContent>
            </v:textbox>
            <v:fill type="solid"/>
            <w10:wrap type="topAndBottom"/>
          </v:shape>
        </w:pict>
      </w:r>
    </w:p>
    <w:p>
      <w:pPr>
        <w:pStyle w:val="BodyText"/>
        <w:spacing w:before="7"/>
        <w:rPr>
          <w:sz w:val="8"/>
        </w:rPr>
      </w:pPr>
    </w:p>
    <w:p>
      <w:pPr>
        <w:pStyle w:val="ListParagraph"/>
        <w:numPr>
          <w:ilvl w:val="1"/>
          <w:numId w:val="28"/>
        </w:numPr>
        <w:tabs>
          <w:tab w:pos="1069" w:val="left" w:leader="none"/>
        </w:tabs>
        <w:spacing w:line="240" w:lineRule="auto" w:before="71" w:after="0"/>
        <w:ind w:left="1068" w:right="0" w:hanging="528"/>
        <w:jc w:val="left"/>
        <w:rPr>
          <w:sz w:val="21"/>
        </w:rPr>
      </w:pPr>
      <w:r>
        <w:rPr>
          <w:sz w:val="21"/>
        </w:rPr>
        <w:t>按本章第2.2.4（3）</w:t>
      </w:r>
      <w:r>
        <w:rPr>
          <w:spacing w:val="-1"/>
          <w:sz w:val="21"/>
        </w:rPr>
        <w:t>目规定的评审因素和分值对投标报价计算出得分</w:t>
      </w:r>
      <w:r>
        <w:rPr>
          <w:sz w:val="21"/>
        </w:rPr>
        <w:t>C； </w:t>
      </w:r>
    </w:p>
    <w:p>
      <w:pPr>
        <w:pStyle w:val="BodyText"/>
        <w:spacing w:before="3"/>
        <w:rPr>
          <w:sz w:val="15"/>
        </w:rPr>
      </w:pPr>
    </w:p>
    <w:p>
      <w:pPr>
        <w:pStyle w:val="ListParagraph"/>
        <w:numPr>
          <w:ilvl w:val="1"/>
          <w:numId w:val="28"/>
        </w:numPr>
        <w:tabs>
          <w:tab w:pos="1069" w:val="left" w:leader="none"/>
        </w:tabs>
        <w:spacing w:line="415" w:lineRule="auto" w:before="1" w:after="0"/>
        <w:ind w:left="647" w:right="2911" w:hanging="106"/>
        <w:jc w:val="left"/>
        <w:rPr>
          <w:sz w:val="21"/>
        </w:rPr>
      </w:pPr>
      <w:r>
        <w:rPr>
          <w:sz w:val="21"/>
        </w:rPr>
        <w:t>按本章第2.2.4（4）</w:t>
      </w:r>
      <w:r>
        <w:rPr>
          <w:spacing w:val="-1"/>
          <w:sz w:val="21"/>
        </w:rPr>
        <w:t>目规定的评审因素和分值对其他部分计算出得分</w:t>
      </w:r>
      <w:r>
        <w:rPr>
          <w:sz w:val="21"/>
        </w:rPr>
        <w:t>D。3.2.2</w:t>
      </w:r>
      <w:r>
        <w:rPr>
          <w:spacing w:val="-1"/>
          <w:sz w:val="21"/>
        </w:rPr>
        <w:t> 评分分值计算保留小数点后两位，小数点后第三位“四舍五入”。</w:t>
      </w:r>
      <w:r>
        <w:rPr>
          <w:sz w:val="21"/>
        </w:rPr>
        <w:t> </w:t>
      </w:r>
    </w:p>
    <w:p>
      <w:pPr>
        <w:pStyle w:val="ListParagraph"/>
        <w:numPr>
          <w:ilvl w:val="2"/>
          <w:numId w:val="29"/>
        </w:numPr>
        <w:tabs>
          <w:tab w:pos="1174" w:val="left" w:leader="none"/>
        </w:tabs>
        <w:spacing w:line="240" w:lineRule="auto" w:before="0" w:after="0"/>
        <w:ind w:left="1173" w:right="0" w:hanging="527"/>
        <w:jc w:val="left"/>
        <w:rPr>
          <w:sz w:val="21"/>
        </w:rPr>
      </w:pPr>
      <w:r>
        <w:rPr>
          <w:sz w:val="21"/>
        </w:rPr>
        <w:t>投标人得分=A+B+C+D。 </w:t>
      </w:r>
    </w:p>
    <w:p>
      <w:pPr>
        <w:pStyle w:val="BodyText"/>
        <w:spacing w:before="6"/>
        <w:rPr>
          <w:sz w:val="16"/>
        </w:rPr>
      </w:pPr>
    </w:p>
    <w:p>
      <w:pPr>
        <w:pStyle w:val="ListParagraph"/>
        <w:numPr>
          <w:ilvl w:val="2"/>
          <w:numId w:val="29"/>
        </w:numPr>
        <w:tabs>
          <w:tab w:pos="1174" w:val="left" w:leader="none"/>
        </w:tabs>
        <w:spacing w:line="415" w:lineRule="auto" w:before="0" w:after="0"/>
        <w:ind w:left="226" w:right="1341" w:firstLine="420"/>
        <w:jc w:val="left"/>
        <w:rPr>
          <w:sz w:val="21"/>
        </w:rPr>
      </w:pPr>
      <w:r>
        <w:rPr>
          <w:spacing w:val="-1"/>
          <w:sz w:val="21"/>
        </w:rPr>
        <w:t>评标委员会发现投标人的报价明显低于其他投标报价，或者在设有招标控制价时明显低于招标控制价，使得其投标报价可能低于其个别成本的，应当要求该投标人作出书面说明并提供相应</w:t>
      </w:r>
    </w:p>
    <w:p>
      <w:pPr>
        <w:spacing w:after="0" w:line="415" w:lineRule="auto"/>
        <w:jc w:val="left"/>
        <w:rPr>
          <w:sz w:val="21"/>
        </w:rPr>
        <w:sectPr>
          <w:pgSz w:w="11910" w:h="16850"/>
          <w:pgMar w:header="911" w:footer="0" w:top="1380" w:bottom="280" w:left="1200" w:right="0"/>
        </w:sectPr>
      </w:pPr>
    </w:p>
    <w:p>
      <w:pPr>
        <w:spacing w:line="415" w:lineRule="auto" w:before="150"/>
        <w:ind w:left="226" w:right="1429" w:firstLine="0"/>
        <w:jc w:val="left"/>
        <w:rPr>
          <w:sz w:val="21"/>
        </w:rPr>
      </w:pPr>
      <w:r>
        <w:rPr>
          <w:sz w:val="21"/>
        </w:rPr>
        <w:t>的证明材料。投标人不能合理说明或者不能提供相应证明材料的，由评标委员会认定该投标人以低于成本报价竞标，其投标作否决处理。 </w:t>
      </w:r>
    </w:p>
    <w:p>
      <w:pPr>
        <w:pStyle w:val="ListParagraph"/>
        <w:numPr>
          <w:ilvl w:val="1"/>
          <w:numId w:val="3"/>
        </w:numPr>
        <w:tabs>
          <w:tab w:pos="1008" w:val="left" w:leader="none"/>
        </w:tabs>
        <w:spacing w:line="240" w:lineRule="auto" w:before="0" w:after="0"/>
        <w:ind w:left="1007" w:right="0" w:hanging="361"/>
        <w:jc w:val="left"/>
        <w:rPr>
          <w:b/>
          <w:sz w:val="19"/>
        </w:rPr>
      </w:pPr>
      <w:r>
        <w:rPr>
          <w:b/>
          <w:spacing w:val="2"/>
          <w:sz w:val="21"/>
        </w:rPr>
        <w:t>投标文件的澄清和补正</w:t>
      </w:r>
      <w:r>
        <w:rPr>
          <w:b/>
          <w:spacing w:val="2"/>
          <w:w w:val="99"/>
          <w:sz w:val="21"/>
        </w:rPr>
        <w:t> </w:t>
      </w:r>
    </w:p>
    <w:p>
      <w:pPr>
        <w:pStyle w:val="BodyText"/>
        <w:spacing w:before="4"/>
        <w:rPr>
          <w:b/>
          <w:sz w:val="15"/>
        </w:rPr>
      </w:pPr>
    </w:p>
    <w:p>
      <w:pPr>
        <w:pStyle w:val="ListParagraph"/>
        <w:numPr>
          <w:ilvl w:val="2"/>
          <w:numId w:val="3"/>
        </w:numPr>
        <w:tabs>
          <w:tab w:pos="1174" w:val="left" w:leader="none"/>
        </w:tabs>
        <w:spacing w:line="415" w:lineRule="auto" w:before="0" w:after="0"/>
        <w:ind w:left="226" w:right="1346" w:firstLine="420"/>
        <w:jc w:val="left"/>
        <w:rPr>
          <w:sz w:val="21"/>
        </w:rPr>
      </w:pPr>
      <w:r>
        <w:rPr>
          <w:sz w:val="21"/>
        </w:rPr>
        <w:t>在评标过程中，评标委员会可以书面形式通过《青海省电子招投标公共服务平台》电子招投标系统中的投标文件问题提问菜单提出，要求投标人通过《青海省电子招投标公共服务平台》</w:t>
      </w:r>
    </w:p>
    <w:p>
      <w:pPr>
        <w:spacing w:before="15"/>
        <w:ind w:left="226" w:right="0" w:firstLine="0"/>
        <w:jc w:val="left"/>
        <w:rPr>
          <w:sz w:val="21"/>
        </w:rPr>
      </w:pPr>
      <w:r>
        <w:rPr/>
        <w:pict>
          <v:group style="position:absolute;margin-left:71.349998pt;margin-top:-4.499983pt;width:465.6pt;height:449.2pt;mso-position-horizontal-relative:page;mso-position-vertical-relative:paragraph;z-index:-268593152" coordorigin="1427,-90" coordsize="9312,8984">
            <v:shape style="position:absolute;left:1563;top:241;width:8786;height:8653" type="#_x0000_t75" stroked="false">
              <v:imagedata r:id="rId6" o:title=""/>
            </v:shape>
            <v:shape style="position:absolute;left:1427;top:-90;width:9312;height:8498" coordorigin="1427,-90" coordsize="9312,8498" path="m8155,8017l1427,8017,1427,8407,8155,8407,8155,8017m9627,375l1427,375,1427,751,9627,751,9627,375m10558,-90l1427,-90,1427,285,10558,285,10558,-90m10559,3183l1848,3183,1848,3558,10559,3558,10559,3183m10559,1772l1848,1772,1848,2162,10559,2162,10559,1772m10559,841l1848,841,1848,1216,10559,1216,10559,841m10739,7552l2569,7552,2569,7942,10739,7942,10739,7552e" filled="true" fillcolor="#ffffff" stroked="false">
              <v:path arrowok="t"/>
              <v:fill type="solid"/>
            </v:shape>
            <w10:wrap type="none"/>
          </v:group>
        </w:pict>
      </w:r>
      <w:r>
        <w:rPr>
          <w:sz w:val="21"/>
        </w:rPr>
        <w:t>电子招投标系统中的投标文件澄清菜单提出对所提交投标文件中不明确的内容进行书面澄清或说</w:t>
      </w:r>
    </w:p>
    <w:p>
      <w:pPr>
        <w:pStyle w:val="BodyText"/>
        <w:spacing w:before="10"/>
        <w:rPr>
          <w:sz w:val="9"/>
        </w:rPr>
      </w:pPr>
    </w:p>
    <w:p>
      <w:pPr>
        <w:spacing w:before="71"/>
        <w:ind w:left="226" w:right="0" w:firstLine="0"/>
        <w:jc w:val="left"/>
        <w:rPr>
          <w:sz w:val="21"/>
        </w:rPr>
      </w:pPr>
      <w:r>
        <w:rPr>
          <w:sz w:val="21"/>
        </w:rPr>
        <w:t>明，或者对细微偏差进行补正。评标委员会不接受投标人主动提出的澄清、说明或补正。 </w:t>
      </w:r>
    </w:p>
    <w:p>
      <w:pPr>
        <w:pStyle w:val="BodyText"/>
        <w:spacing w:before="10"/>
        <w:rPr>
          <w:sz w:val="9"/>
        </w:rPr>
      </w:pPr>
    </w:p>
    <w:p>
      <w:pPr>
        <w:pStyle w:val="ListParagraph"/>
        <w:numPr>
          <w:ilvl w:val="2"/>
          <w:numId w:val="3"/>
        </w:numPr>
        <w:tabs>
          <w:tab w:pos="1174" w:val="left" w:leader="none"/>
        </w:tabs>
        <w:spacing w:line="415" w:lineRule="auto" w:before="71" w:after="0"/>
        <w:ind w:left="226" w:right="1346" w:firstLine="420"/>
        <w:jc w:val="left"/>
        <w:rPr>
          <w:sz w:val="21"/>
        </w:rPr>
      </w:pPr>
      <w:r>
        <w:rPr>
          <w:sz w:val="21"/>
        </w:rPr>
        <w:t>澄清、说明和补正不得改变投标文件的实质性内容（算术性错误修正的除外）</w:t>
      </w:r>
      <w:r>
        <w:rPr>
          <w:spacing w:val="3"/>
          <w:sz w:val="21"/>
        </w:rPr>
        <w:t>。投标人</w:t>
      </w:r>
      <w:r>
        <w:rPr>
          <w:spacing w:val="2"/>
          <w:sz w:val="21"/>
        </w:rPr>
        <w:t>的书面澄清、说明和补正属于投标文件的组成部分。</w:t>
      </w:r>
      <w:r>
        <w:rPr>
          <w:sz w:val="21"/>
        </w:rPr>
        <w:t> </w:t>
      </w:r>
    </w:p>
    <w:p>
      <w:pPr>
        <w:pStyle w:val="ListParagraph"/>
        <w:numPr>
          <w:ilvl w:val="2"/>
          <w:numId w:val="3"/>
        </w:numPr>
        <w:tabs>
          <w:tab w:pos="1174" w:val="left" w:leader="none"/>
        </w:tabs>
        <w:spacing w:line="429" w:lineRule="auto" w:before="0" w:after="0"/>
        <w:ind w:left="226" w:right="1346" w:firstLine="420"/>
        <w:jc w:val="left"/>
        <w:rPr>
          <w:sz w:val="21"/>
        </w:rPr>
      </w:pPr>
      <w:r>
        <w:rPr>
          <w:sz w:val="21"/>
        </w:rPr>
        <w:t>评标委员会对投标人提交的澄清、说明或补正有疑问的，可以要求投标人进一步澄清、</w:t>
      </w:r>
      <w:r>
        <w:rPr>
          <w:spacing w:val="-1"/>
          <w:sz w:val="21"/>
        </w:rPr>
        <w:t>说明或补正，直至满足评标委员会的要求。</w:t>
      </w:r>
      <w:r>
        <w:rPr>
          <w:sz w:val="21"/>
        </w:rPr>
        <w:t> </w:t>
      </w:r>
    </w:p>
    <w:p>
      <w:pPr>
        <w:pStyle w:val="ListParagraph"/>
        <w:numPr>
          <w:ilvl w:val="1"/>
          <w:numId w:val="3"/>
        </w:numPr>
        <w:tabs>
          <w:tab w:pos="1008" w:val="left" w:leader="none"/>
        </w:tabs>
        <w:spacing w:line="252" w:lineRule="exact" w:before="0" w:after="0"/>
        <w:ind w:left="1007" w:right="0" w:hanging="361"/>
        <w:jc w:val="left"/>
        <w:rPr>
          <w:b/>
          <w:sz w:val="19"/>
        </w:rPr>
      </w:pPr>
      <w:r>
        <w:rPr>
          <w:b/>
          <w:spacing w:val="7"/>
          <w:sz w:val="21"/>
        </w:rPr>
        <w:t>评标结果</w:t>
      </w:r>
      <w:r>
        <w:rPr>
          <w:b/>
          <w:spacing w:val="7"/>
          <w:w w:val="99"/>
          <w:sz w:val="21"/>
        </w:rPr>
        <w:t> </w:t>
      </w:r>
    </w:p>
    <w:p>
      <w:pPr>
        <w:pStyle w:val="BodyText"/>
        <w:spacing w:before="10"/>
        <w:rPr>
          <w:b/>
          <w:sz w:val="9"/>
        </w:rPr>
      </w:pPr>
    </w:p>
    <w:p>
      <w:pPr>
        <w:pStyle w:val="ListParagraph"/>
        <w:numPr>
          <w:ilvl w:val="2"/>
          <w:numId w:val="3"/>
        </w:numPr>
        <w:tabs>
          <w:tab w:pos="1174" w:val="left" w:leader="none"/>
        </w:tabs>
        <w:spacing w:line="415" w:lineRule="auto" w:before="71" w:after="0"/>
        <w:ind w:left="226" w:right="1348" w:firstLine="420"/>
        <w:jc w:val="left"/>
        <w:rPr>
          <w:sz w:val="21"/>
        </w:rPr>
      </w:pPr>
      <w:r>
        <w:rPr>
          <w:sz w:val="21"/>
        </w:rPr>
        <w:t>除第二章“投标人须知”前附表授权直接确定中标人外，评标委员会按照得分由高到低</w:t>
      </w:r>
      <w:r>
        <w:rPr>
          <w:spacing w:val="-1"/>
          <w:sz w:val="21"/>
        </w:rPr>
        <w:t>的顺序推荐中标候选人。</w:t>
      </w:r>
      <w:r>
        <w:rPr>
          <w:sz w:val="21"/>
        </w:rPr>
        <w:t> </w:t>
      </w:r>
    </w:p>
    <w:p>
      <w:pPr>
        <w:pStyle w:val="ListParagraph"/>
        <w:numPr>
          <w:ilvl w:val="2"/>
          <w:numId w:val="3"/>
        </w:numPr>
        <w:tabs>
          <w:tab w:pos="1174" w:val="left" w:leader="none"/>
        </w:tabs>
        <w:spacing w:line="240" w:lineRule="auto" w:before="0" w:after="0"/>
        <w:ind w:left="1173" w:right="0" w:hanging="527"/>
        <w:jc w:val="left"/>
        <w:rPr>
          <w:sz w:val="21"/>
        </w:rPr>
      </w:pPr>
      <w:r>
        <w:rPr>
          <w:spacing w:val="-1"/>
          <w:sz w:val="21"/>
          <w:shd w:fill="FFFFFF" w:color="auto" w:val="clear"/>
        </w:rPr>
        <w:t>评标委员会完成评标后，应当向招标人提交书面评标报告。</w:t>
      </w:r>
      <w:r>
        <w:rPr>
          <w:sz w:val="21"/>
        </w:rPr>
        <w:t> </w:t>
      </w:r>
    </w:p>
    <w:p>
      <w:pPr>
        <w:pStyle w:val="BodyText"/>
        <w:rPr>
          <w:sz w:val="20"/>
        </w:rPr>
      </w:pPr>
    </w:p>
    <w:p>
      <w:pPr>
        <w:pStyle w:val="BodyText"/>
        <w:spacing w:before="1"/>
        <w:rPr>
          <w:sz w:val="19"/>
        </w:rPr>
      </w:pPr>
    </w:p>
    <w:p>
      <w:pPr>
        <w:pStyle w:val="Heading7"/>
        <w:spacing w:before="1"/>
        <w:rPr>
          <w:rFonts w:ascii="黑体" w:eastAsia="黑体" w:hint="eastAsia"/>
        </w:rPr>
      </w:pPr>
      <w:bookmarkStart w:name="附件一：" w:id="58"/>
      <w:bookmarkEnd w:id="58"/>
      <w:r>
        <w:rPr/>
      </w:r>
      <w:bookmarkStart w:name="_bookmark23" w:id="59"/>
      <w:bookmarkEnd w:id="59"/>
      <w:r>
        <w:rPr/>
      </w:r>
      <w:r>
        <w:rPr>
          <w:rFonts w:ascii="黑体" w:eastAsia="黑体" w:hint="eastAsia"/>
        </w:rPr>
        <w:t>附件一：</w:t>
      </w:r>
    </w:p>
    <w:p>
      <w:pPr>
        <w:pStyle w:val="BodyText"/>
        <w:rPr>
          <w:rFonts w:ascii="黑体"/>
          <w:sz w:val="20"/>
        </w:rPr>
      </w:pPr>
    </w:p>
    <w:p>
      <w:pPr>
        <w:spacing w:before="210"/>
        <w:ind w:left="0" w:right="850" w:firstLine="0"/>
        <w:jc w:val="center"/>
        <w:rPr>
          <w:rFonts w:ascii="黑体" w:eastAsia="黑体" w:hint="eastAsia"/>
          <w:sz w:val="28"/>
        </w:rPr>
      </w:pPr>
      <w:r>
        <w:rPr>
          <w:rFonts w:ascii="黑体" w:eastAsia="黑体" w:hint="eastAsia"/>
          <w:sz w:val="28"/>
          <w:shd w:fill="FFFFFF" w:color="auto" w:val="clear"/>
        </w:rPr>
        <w:t>投标文件澄清通知</w:t>
      </w:r>
    </w:p>
    <w:p>
      <w:pPr>
        <w:pStyle w:val="BodyText"/>
        <w:rPr>
          <w:rFonts w:ascii="黑体"/>
          <w:sz w:val="20"/>
        </w:rPr>
      </w:pPr>
    </w:p>
    <w:p>
      <w:pPr>
        <w:pStyle w:val="BodyText"/>
        <w:spacing w:before="11"/>
        <w:rPr>
          <w:rFonts w:ascii="黑体"/>
          <w:sz w:val="11"/>
        </w:rPr>
      </w:pPr>
      <w:r>
        <w:rPr/>
        <w:pict>
          <v:shape style="position:absolute;margin-left:143.429993pt;margin-top:8.80095pt;width:36.050pt;height:20.3pt;mso-position-horizontal-relative:page;mso-position-vertical-relative:paragraph;z-index:-251565056;mso-wrap-distance-left:0;mso-wrap-distance-right:0" type="#_x0000_t202" filled="true" fillcolor="#ffffff" stroked="false">
            <v:textbox inset="0,0,0,0">
              <w:txbxContent>
                <w:p>
                  <w:pPr>
                    <w:pStyle w:val="BodyText"/>
                    <w:spacing w:before="90"/>
                    <w:ind w:right="-15"/>
                  </w:pPr>
                  <w:r>
                    <w:rPr/>
                    <w:t>编号：</w:t>
                  </w:r>
                </w:p>
              </w:txbxContent>
            </v:textbox>
            <v:fill type="solid"/>
            <w10:wrap type="topAndBottom"/>
          </v:shape>
        </w:pict>
      </w:r>
    </w:p>
    <w:p>
      <w:pPr>
        <w:pStyle w:val="BodyText"/>
        <w:spacing w:before="8"/>
        <w:rPr>
          <w:rFonts w:ascii="黑体"/>
          <w:sz w:val="4"/>
        </w:rPr>
      </w:pPr>
    </w:p>
    <w:p>
      <w:pPr>
        <w:pStyle w:val="BodyText"/>
        <w:ind w:left="467"/>
        <w:rPr>
          <w:rFonts w:ascii="黑体"/>
          <w:sz w:val="20"/>
        </w:rPr>
      </w:pPr>
      <w:r>
        <w:rPr>
          <w:rFonts w:ascii="黑体"/>
          <w:sz w:val="20"/>
        </w:rPr>
        <w:pict>
          <v:shape style="width:144.2pt;height:19.55pt;mso-position-horizontal-relative:char;mso-position-vertical-relative:line" type="#_x0000_t202" filled="true" fillcolor="#ffffff" stroked="false">
            <w10:anchorlock/>
            <v:textbox inset="0,0,0,0">
              <w:txbxContent>
                <w:p>
                  <w:pPr>
                    <w:pStyle w:val="BodyText"/>
                    <w:tabs>
                      <w:tab w:pos="1081" w:val="left" w:leader="none"/>
                    </w:tabs>
                    <w:spacing w:line="300" w:lineRule="exact" w:before="90"/>
                  </w:pPr>
                  <w:r>
                    <w:rPr>
                      <w:rFonts w:ascii="Times New Roman" w:eastAsia="Times New Roman"/>
                      <w:u w:val="single"/>
                    </w:rPr>
                    <w:t> </w:t>
                    <w:tab/>
                  </w:r>
                  <w:r>
                    <w:rPr/>
                    <w:t>（投标人名称</w:t>
                  </w:r>
                  <w:r>
                    <w:rPr>
                      <w:spacing w:val="-129"/>
                    </w:rPr>
                    <w:t>）</w:t>
                  </w:r>
                  <w:r>
                    <w:rPr>
                      <w:spacing w:val="-9"/>
                    </w:rPr>
                    <w:t>：</w:t>
                  </w:r>
                </w:p>
              </w:txbxContent>
            </v:textbox>
            <v:fill type="solid"/>
          </v:shape>
        </w:pict>
      </w:r>
      <w:r>
        <w:rPr>
          <w:rFonts w:ascii="黑体"/>
          <w:sz w:val="20"/>
        </w:rPr>
      </w:r>
    </w:p>
    <w:p>
      <w:pPr>
        <w:pStyle w:val="BodyText"/>
        <w:tabs>
          <w:tab w:pos="5212" w:val="left" w:leader="none"/>
        </w:tabs>
        <w:spacing w:line="362" w:lineRule="auto" w:before="136"/>
        <w:ind w:left="226" w:right="1169" w:firstLine="1141"/>
      </w:pPr>
      <w:r>
        <w:rPr/>
        <w:pict>
          <v:shape style="position:absolute;margin-left:83.349998pt;margin-top:48.82pt;width:51.1pt;height:19.5pt;mso-position-horizontal-relative:page;mso-position-vertical-relative:paragraph;z-index:-268592128" type="#_x0000_t202" filled="true" fillcolor="#ffffff" stroked="false">
            <v:textbox inset="0,0,0,0">
              <w:txbxContent>
                <w:p>
                  <w:pPr>
                    <w:pStyle w:val="BodyText"/>
                    <w:spacing w:line="300" w:lineRule="exact" w:before="90"/>
                  </w:pPr>
                  <w:r>
                    <w:rPr>
                      <w:rFonts w:ascii="Times New Roman" w:hAnsi="Times New Roman"/>
                    </w:rPr>
                    <w:t>1.</w:t>
                  </w:r>
                  <w:r>
                    <w:rPr>
                      <w:spacing w:val="-120"/>
                    </w:rPr>
                    <w:t>······</w:t>
                  </w:r>
                </w:p>
              </w:txbxContent>
            </v:textbox>
            <v:fill type="solid"/>
            <w10:wrap type="none"/>
          </v:shape>
        </w:pict>
      </w:r>
      <w:r>
        <w:rPr>
          <w:u w:val="single"/>
        </w:rPr>
        <w:t>       </w:t>
      </w:r>
      <w:r>
        <w:rPr>
          <w:spacing w:val="15"/>
          <w:u w:val="single"/>
        </w:rPr>
        <w:t> </w:t>
      </w:r>
      <w:r>
        <w:rPr>
          <w:u w:val="single"/>
        </w:rPr>
        <w:t>  </w:t>
      </w:r>
      <w:r>
        <w:rPr>
          <w:rFonts w:ascii="Times New Roman" w:eastAsia="Times New Roman"/>
          <w:spacing w:val="10"/>
        </w:rPr>
        <w:t>(</w:t>
      </w:r>
      <w:r>
        <w:rPr/>
        <w:t>项目</w:t>
      </w:r>
      <w:r>
        <w:rPr>
          <w:spacing w:val="15"/>
        </w:rPr>
        <w:t>名</w:t>
      </w:r>
      <w:r>
        <w:rPr/>
        <w:t>称</w:t>
      </w:r>
      <w:r>
        <w:rPr>
          <w:rFonts w:ascii="Times New Roman" w:eastAsia="Times New Roman"/>
          <w:spacing w:val="-5"/>
        </w:rPr>
        <w:t>)</w:t>
      </w:r>
      <w:r>
        <w:rPr>
          <w:rFonts w:ascii="Times New Roman" w:eastAsia="Times New Roman"/>
          <w:spacing w:val="-5"/>
          <w:u w:val="single"/>
        </w:rPr>
        <w:t> </w:t>
        <w:tab/>
      </w:r>
      <w:r>
        <w:rPr>
          <w:rFonts w:ascii="Times New Roman" w:eastAsia="Times New Roman"/>
          <w:spacing w:val="-5"/>
        </w:rPr>
        <w:t>(</w:t>
      </w:r>
      <w:r>
        <w:rPr/>
        <w:t>标</w:t>
      </w:r>
      <w:r>
        <w:rPr>
          <w:spacing w:val="15"/>
        </w:rPr>
        <w:t>段</w:t>
      </w:r>
      <w:r>
        <w:rPr/>
        <w:t>名</w:t>
      </w:r>
      <w:r>
        <w:rPr>
          <w:spacing w:val="15"/>
        </w:rPr>
        <w:t>称</w:t>
      </w:r>
      <w:r>
        <w:rPr>
          <w:rFonts w:ascii="Times New Roman" w:eastAsia="Times New Roman"/>
          <w:spacing w:val="-5"/>
        </w:rPr>
        <w:t>)</w:t>
      </w:r>
      <w:r>
        <w:rPr/>
        <w:t>评</w:t>
      </w:r>
      <w:r>
        <w:rPr>
          <w:spacing w:val="15"/>
        </w:rPr>
        <w:t>标</w:t>
      </w:r>
      <w:r>
        <w:rPr/>
        <w:t>委员</w:t>
      </w:r>
      <w:r>
        <w:rPr>
          <w:spacing w:val="15"/>
        </w:rPr>
        <w:t>会</w:t>
      </w:r>
      <w:r>
        <w:rPr/>
        <w:t>对你</w:t>
      </w:r>
      <w:r>
        <w:rPr>
          <w:spacing w:val="15"/>
        </w:rPr>
        <w:t>方</w:t>
      </w:r>
      <w:r>
        <w:rPr/>
        <w:t>的投</w:t>
      </w:r>
      <w:r>
        <w:rPr>
          <w:spacing w:val="15"/>
        </w:rPr>
        <w:t>标</w:t>
      </w:r>
      <w:r>
        <w:rPr/>
        <w:t>文</w:t>
      </w:r>
      <w:r>
        <w:rPr>
          <w:spacing w:val="-11"/>
        </w:rPr>
        <w:t>件</w:t>
      </w:r>
      <w:r>
        <w:rPr/>
        <w:t>进行了仔细的审查，现需你方对下列问题以书面形式予以澄清：</w:t>
      </w:r>
    </w:p>
    <w:p>
      <w:pPr>
        <w:pStyle w:val="BodyText"/>
        <w:rPr>
          <w:sz w:val="20"/>
        </w:rPr>
      </w:pPr>
    </w:p>
    <w:p>
      <w:pPr>
        <w:pStyle w:val="BodyText"/>
        <w:spacing w:before="212"/>
        <w:ind w:left="466"/>
      </w:pPr>
      <w:r>
        <w:rPr>
          <w:rFonts w:ascii="Times New Roman" w:hAnsi="Times New Roman"/>
        </w:rPr>
        <w:t>2.</w:t>
      </w:r>
      <w:r>
        <w:rPr>
          <w:spacing w:val="-120"/>
        </w:rPr>
        <w:t>······</w:t>
      </w:r>
    </w:p>
    <w:p>
      <w:pPr>
        <w:spacing w:after="0"/>
        <w:sectPr>
          <w:pgSz w:w="11910" w:h="16850"/>
          <w:pgMar w:header="911" w:footer="0" w:top="1380" w:bottom="280" w:left="1200" w:right="0"/>
        </w:sectPr>
      </w:pPr>
    </w:p>
    <w:p>
      <w:pPr>
        <w:pStyle w:val="BodyText"/>
        <w:tabs>
          <w:tab w:pos="1187" w:val="left" w:leader="none"/>
          <w:tab w:pos="3470" w:val="left" w:leader="none"/>
          <w:tab w:pos="3951" w:val="left" w:leader="none"/>
          <w:tab w:pos="4071" w:val="left" w:leader="none"/>
          <w:tab w:pos="5032" w:val="left" w:leader="none"/>
          <w:tab w:pos="7075" w:val="left" w:leader="none"/>
          <w:tab w:pos="8276" w:val="left" w:leader="none"/>
        </w:tabs>
        <w:spacing w:line="362" w:lineRule="auto" w:before="135"/>
        <w:ind w:left="226" w:right="1350" w:firstLine="480"/>
        <w:jc w:val="both"/>
      </w:pPr>
      <w:r>
        <w:rPr/>
        <w:t>请将上述问题的澄清函于</w:t>
      </w:r>
      <w:r>
        <w:rPr>
          <w:u w:val="single"/>
        </w:rPr>
        <w:t> </w:t>
        <w:tab/>
        <w:tab/>
        <w:tab/>
      </w:r>
      <w:r>
        <w:rPr/>
        <w:t>年</w:t>
      </w:r>
      <w:r>
        <w:rPr>
          <w:u w:val="single"/>
        </w:rPr>
        <w:t> </w:t>
        <w:tab/>
      </w:r>
      <w:r>
        <w:rPr/>
        <w:t>月</w:t>
      </w:r>
      <w:r>
        <w:rPr>
          <w:u w:val="single"/>
        </w:rPr>
        <w:t>    </w:t>
      </w:r>
      <w:r>
        <w:rPr>
          <w:spacing w:val="1"/>
          <w:u w:val="single"/>
        </w:rPr>
        <w:t> </w:t>
      </w:r>
      <w:r>
        <w:rPr/>
        <w:t>日</w:t>
      </w:r>
      <w:r>
        <w:rPr>
          <w:u w:val="single"/>
        </w:rPr>
        <w:t> </w:t>
        <w:tab/>
      </w:r>
      <w:r>
        <w:rPr/>
        <w:t>时前递交至</w:t>
      </w:r>
      <w:r>
        <w:rPr>
          <w:u w:val="single"/>
        </w:rPr>
        <w:t> （</w:t>
      </w:r>
      <w:r>
        <w:rPr>
          <w:spacing w:val="-15"/>
        </w:rPr>
        <w:t>详</w:t>
      </w:r>
      <w:r>
        <w:rPr/>
        <w:t>细地址）或传真</w:t>
      </w:r>
      <w:r>
        <w:rPr>
          <w:spacing w:val="-1"/>
        </w:rPr>
        <w:t>至</w:t>
      </w:r>
      <w:r>
        <w:rPr>
          <w:rFonts w:ascii="Times New Roman" w:eastAsia="Times New Roman"/>
          <w:u w:val="single"/>
        </w:rPr>
        <w:t> </w:t>
        <w:tab/>
      </w:r>
      <w:r>
        <w:rPr/>
        <w:t>（传真号码</w:t>
      </w:r>
      <w:r>
        <w:rPr>
          <w:spacing w:val="-120"/>
        </w:rPr>
        <w:t>）</w:t>
      </w:r>
      <w:r>
        <w:rPr/>
        <w:t>，采用传真方式的，应</w:t>
      </w:r>
      <w:r>
        <w:rPr>
          <w:spacing w:val="-1"/>
        </w:rPr>
        <w:t>在</w:t>
      </w:r>
      <w:r>
        <w:rPr>
          <w:rFonts w:ascii="Times New Roman" w:eastAsia="Times New Roman"/>
          <w:u w:val="single"/>
        </w:rPr>
        <w:t> </w:t>
        <w:tab/>
      </w:r>
      <w:r>
        <w:rPr/>
        <w:t>年</w:t>
      </w:r>
      <w:r>
        <w:rPr>
          <w:rFonts w:ascii="Times New Roman" w:eastAsia="Times New Roman"/>
          <w:u w:val="single"/>
        </w:rPr>
        <w:t>          </w:t>
      </w:r>
      <w:r>
        <w:rPr>
          <w:spacing w:val="-16"/>
        </w:rPr>
        <w:t>月</w:t>
      </w:r>
      <w:r>
        <w:rPr/>
        <w:t>日</w:t>
      </w:r>
      <w:r>
        <w:rPr>
          <w:u w:val="single"/>
        </w:rPr>
        <w:t> </w:t>
        <w:tab/>
      </w:r>
      <w:r>
        <w:rPr/>
        <w:t>时前将原件递交至</w:t>
      </w:r>
      <w:r>
        <w:rPr>
          <w:u w:val="single"/>
        </w:rPr>
        <w:t> </w:t>
        <w:tab/>
        <w:tab/>
      </w:r>
      <w:r>
        <w:rPr/>
        <w:t>（详细地址</w:t>
      </w:r>
      <w:r>
        <w:rPr>
          <w:spacing w:val="-120"/>
        </w:rPr>
        <w:t>）</w:t>
      </w:r>
      <w:r>
        <w:rPr/>
        <w:t>。</w:t>
      </w:r>
    </w:p>
    <w:p>
      <w:pPr>
        <w:pStyle w:val="BodyText"/>
        <w:rPr>
          <w:sz w:val="20"/>
        </w:rPr>
      </w:pPr>
    </w:p>
    <w:p>
      <w:pPr>
        <w:pStyle w:val="BodyText"/>
        <w:rPr>
          <w:sz w:val="20"/>
        </w:rPr>
      </w:pPr>
    </w:p>
    <w:p>
      <w:pPr>
        <w:pStyle w:val="BodyText"/>
        <w:rPr>
          <w:sz w:val="20"/>
        </w:rPr>
      </w:pPr>
    </w:p>
    <w:p>
      <w:pPr>
        <w:pStyle w:val="BodyText"/>
        <w:spacing w:before="11"/>
        <w:rPr>
          <w:sz w:val="29"/>
        </w:rPr>
      </w:pPr>
      <w:r>
        <w:rPr/>
        <w:pict>
          <v:group style="position:absolute;margin-left:71.349998pt;margin-top:21.087656pt;width:457.6pt;height:432.65pt;mso-position-horizontal-relative:page;mso-position-vertical-relative:paragraph;z-index:-251555840;mso-wrap-distance-left:0;mso-wrap-distance-right:0" coordorigin="1427,422" coordsize="9152,8653">
            <v:shape style="position:absolute;left:1563;top:421;width:8786;height:8653" type="#_x0000_t75" stroked="false">
              <v:imagedata r:id="rId6" o:title=""/>
            </v:shape>
            <v:rect style="position:absolute;left:6353;top:1021;width:4206;height:391" filled="true" fillcolor="#ffffff" stroked="false">
              <v:fill type="solid"/>
            </v:rect>
            <v:rect style="position:absolute;left:1727;top:1486;width:8772;height:391" filled="true" fillcolor="#ffffff" stroked="false">
              <v:fill type="solid"/>
            </v:rect>
            <v:rect style="position:absolute;left:1427;top:7206;width:3875;height:391" filled="true" fillcolor="#ffffff" stroked="false">
              <v:fill type="solid"/>
            </v:rect>
            <v:rect style="position:absolute;left:2147;top:7672;width:7810;height:391" filled="true" fillcolor="#ffffff" stroked="false">
              <v:fill type="solid"/>
            </v:rect>
            <v:rect style="position:absolute;left:1427;top:8137;width:1021;height:405" filled="true" fillcolor="#ffffff" stroked="false">
              <v:fill type="solid"/>
            </v:rect>
            <v:rect style="position:absolute;left:1427;top:8618;width:1021;height:390" filled="true" fillcolor="#ffffff" stroked="false">
              <v:fill type="solid"/>
            </v:rect>
            <v:shape style="position:absolute;left:6353;top:1137;width:4226;height:732" type="#_x0000_t202" filled="false" stroked="false">
              <v:textbox inset="0,0,0,0">
                <w:txbxContent>
                  <w:p>
                    <w:pPr>
                      <w:tabs>
                        <w:tab w:pos="3243" w:val="left" w:leader="none"/>
                      </w:tabs>
                      <w:spacing w:line="281" w:lineRule="exact" w:before="0"/>
                      <w:ind w:left="0" w:right="0" w:firstLine="0"/>
                      <w:jc w:val="left"/>
                      <w:rPr>
                        <w:sz w:val="24"/>
                      </w:rPr>
                    </w:pPr>
                    <w:r>
                      <w:rPr>
                        <w:sz w:val="24"/>
                      </w:rPr>
                      <w:t>评标委员会负责人：</w:t>
                    </w:r>
                    <w:r>
                      <w:rPr>
                        <w:sz w:val="24"/>
                        <w:u w:val="single"/>
                      </w:rPr>
                      <w:t> </w:t>
                      <w:tab/>
                    </w:r>
                    <w:r>
                      <w:rPr>
                        <w:sz w:val="24"/>
                      </w:rPr>
                      <w:t>（签字）</w:t>
                    </w:r>
                  </w:p>
                  <w:p>
                    <w:pPr>
                      <w:tabs>
                        <w:tab w:pos="1621" w:val="left" w:leader="none"/>
                        <w:tab w:pos="2703" w:val="left" w:leader="none"/>
                        <w:tab w:pos="3904" w:val="left" w:leader="none"/>
                      </w:tabs>
                      <w:spacing w:line="292" w:lineRule="exact" w:before="158"/>
                      <w:ind w:left="781" w:right="0" w:firstLine="0"/>
                      <w:jc w:val="left"/>
                      <w:rPr>
                        <w:sz w:val="24"/>
                      </w:rPr>
                    </w:pPr>
                    <w:r>
                      <w:rPr>
                        <w:rFonts w:ascii="Times New Roman" w:eastAsia="Times New Roman"/>
                        <w:sz w:val="24"/>
                        <w:u w:val="single"/>
                      </w:rPr>
                      <w:t> </w:t>
                      <w:tab/>
                    </w:r>
                    <w:r>
                      <w:rPr>
                        <w:sz w:val="24"/>
                      </w:rPr>
                      <w:t>年</w:t>
                    </w:r>
                    <w:r>
                      <w:rPr>
                        <w:sz w:val="24"/>
                        <w:u w:val="single"/>
                      </w:rPr>
                      <w:t> </w:t>
                      <w:tab/>
                    </w:r>
                    <w:r>
                      <w:rPr>
                        <w:sz w:val="24"/>
                      </w:rPr>
                      <w:t>月</w:t>
                    </w:r>
                    <w:r>
                      <w:rPr>
                        <w:sz w:val="24"/>
                        <w:u w:val="single"/>
                      </w:rPr>
                      <w:t> </w:t>
                      <w:tab/>
                    </w:r>
                    <w:r>
                      <w:rPr>
                        <w:sz w:val="24"/>
                      </w:rPr>
                      <w:t>日</w:t>
                    </w:r>
                  </w:p>
                </w:txbxContent>
              </v:textbox>
              <w10:wrap type="none"/>
            </v:shape>
            <v:shape style="position:absolute;left:1427;top:5400;width:1191;height:285" type="#_x0000_t202" filled="false" stroked="false">
              <v:textbox inset="0,0,0,0">
                <w:txbxContent>
                  <w:p>
                    <w:pPr>
                      <w:spacing w:line="285" w:lineRule="exact" w:before="0"/>
                      <w:ind w:left="0" w:right="0" w:firstLine="0"/>
                      <w:jc w:val="left"/>
                      <w:rPr>
                        <w:rFonts w:ascii="黑体" w:eastAsia="黑体" w:hint="eastAsia"/>
                        <w:sz w:val="28"/>
                      </w:rPr>
                    </w:pPr>
                    <w:bookmarkStart w:name="附件二：" w:id="60"/>
                    <w:bookmarkEnd w:id="60"/>
                    <w:r>
                      <w:rPr/>
                    </w:r>
                    <w:bookmarkStart w:name="_bookmark24" w:id="61"/>
                    <w:bookmarkEnd w:id="61"/>
                    <w:r>
                      <w:rPr/>
                    </w:r>
                    <w:r>
                      <w:rPr>
                        <w:rFonts w:ascii="黑体" w:eastAsia="黑体" w:hint="eastAsia"/>
                        <w:sz w:val="28"/>
                      </w:rPr>
                      <w:t>附件二：</w:t>
                    </w:r>
                  </w:p>
                </w:txbxContent>
              </v:textbox>
              <w10:wrap type="none"/>
            </v:shape>
            <v:shape style="position:absolute;left:5076;top:6271;width:2124;height:285" type="#_x0000_t202" filled="false" stroked="false">
              <v:textbox inset="0,0,0,0">
                <w:txbxContent>
                  <w:p>
                    <w:pPr>
                      <w:spacing w:line="285" w:lineRule="exact" w:before="0"/>
                      <w:ind w:left="0" w:right="0" w:firstLine="0"/>
                      <w:jc w:val="left"/>
                      <w:rPr>
                        <w:rFonts w:ascii="黑体" w:eastAsia="黑体" w:hint="eastAsia"/>
                        <w:sz w:val="28"/>
                      </w:rPr>
                    </w:pPr>
                    <w:r>
                      <w:rPr>
                        <w:rFonts w:ascii="黑体" w:eastAsia="黑体" w:hint="eastAsia"/>
                        <w:sz w:val="28"/>
                        <w:shd w:fill="FFFFFF" w:color="auto" w:val="clear"/>
                      </w:rPr>
                      <w:t>投标文件澄清函</w:t>
                    </w:r>
                  </w:p>
                </w:txbxContent>
              </v:textbox>
              <w10:wrap type="none"/>
            </v:shape>
            <v:shape style="position:absolute;left:1427;top:7323;width:8671;height:1677" type="#_x0000_t202" filled="false" stroked="false">
              <v:textbox inset="0,0,0,0">
                <w:txbxContent>
                  <w:p>
                    <w:pPr>
                      <w:tabs>
                        <w:tab w:pos="1321" w:val="left" w:leader="none"/>
                      </w:tabs>
                      <w:spacing w:line="281" w:lineRule="exact" w:before="0"/>
                      <w:ind w:left="0" w:right="0" w:firstLine="0"/>
                      <w:jc w:val="left"/>
                      <w:rPr>
                        <w:sz w:val="24"/>
                      </w:rPr>
                    </w:pPr>
                    <w:r>
                      <w:rPr>
                        <w:rFonts w:ascii="Times New Roman" w:eastAsia="Times New Roman"/>
                        <w:sz w:val="24"/>
                        <w:u w:val="single"/>
                      </w:rPr>
                      <w:t> </w:t>
                      <w:tab/>
                    </w:r>
                    <w:r>
                      <w:rPr>
                        <w:rFonts w:ascii="Times New Roman" w:eastAsia="Times New Roman"/>
                        <w:spacing w:val="-5"/>
                        <w:sz w:val="24"/>
                      </w:rPr>
                      <w:t>(</w:t>
                    </w:r>
                    <w:r>
                      <w:rPr>
                        <w:sz w:val="24"/>
                      </w:rPr>
                      <w:t>项目名称</w:t>
                    </w:r>
                    <w:r>
                      <w:rPr>
                        <w:rFonts w:ascii="Times New Roman" w:eastAsia="Times New Roman"/>
                        <w:spacing w:val="-5"/>
                        <w:sz w:val="24"/>
                      </w:rPr>
                      <w:t>)</w:t>
                    </w:r>
                    <w:r>
                      <w:rPr>
                        <w:sz w:val="24"/>
                      </w:rPr>
                      <w:t>评标委员会：</w:t>
                    </w:r>
                  </w:p>
                  <w:p>
                    <w:pPr>
                      <w:tabs>
                        <w:tab w:pos="4685" w:val="left" w:leader="none"/>
                      </w:tabs>
                      <w:spacing w:before="157"/>
                      <w:ind w:left="720" w:right="0" w:firstLine="0"/>
                      <w:jc w:val="left"/>
                      <w:rPr>
                        <w:sz w:val="24"/>
                      </w:rPr>
                    </w:pPr>
                    <w:r>
                      <w:rPr>
                        <w:sz w:val="24"/>
                      </w:rPr>
                      <w:t>投标文件澄清通知（编号：</w:t>
                    </w:r>
                    <w:r>
                      <w:rPr>
                        <w:sz w:val="24"/>
                        <w:u w:val="single"/>
                      </w:rPr>
                      <w:t> </w:t>
                      <w:tab/>
                    </w:r>
                    <w:r>
                      <w:rPr>
                        <w:sz w:val="24"/>
                      </w:rPr>
                      <w:t>）已收悉，现就有关问题澄清如下</w:t>
                    </w:r>
                    <w:r>
                      <w:rPr>
                        <w:spacing w:val="-3"/>
                        <w:sz w:val="24"/>
                      </w:rPr>
                      <w:t>：</w:t>
                    </w:r>
                    <w:r>
                      <w:rPr>
                        <w:sz w:val="24"/>
                      </w:rPr>
                      <w:t> </w:t>
                    </w:r>
                  </w:p>
                  <w:p>
                    <w:pPr>
                      <w:spacing w:before="158"/>
                      <w:ind w:left="0" w:right="0" w:firstLine="0"/>
                      <w:jc w:val="left"/>
                      <w:rPr>
                        <w:sz w:val="24"/>
                      </w:rPr>
                    </w:pPr>
                    <w:r>
                      <w:rPr>
                        <w:rFonts w:ascii="Times New Roman" w:hAnsi="Times New Roman"/>
                        <w:sz w:val="24"/>
                      </w:rPr>
                      <w:t>1.</w:t>
                    </w:r>
                    <w:r>
                      <w:rPr>
                        <w:spacing w:val="-120"/>
                        <w:sz w:val="24"/>
                      </w:rPr>
                      <w:t>······</w:t>
                    </w:r>
                  </w:p>
                  <w:p>
                    <w:pPr>
                      <w:spacing w:line="292" w:lineRule="exact" w:before="173"/>
                      <w:ind w:left="0" w:right="0" w:firstLine="0"/>
                      <w:jc w:val="left"/>
                      <w:rPr>
                        <w:sz w:val="24"/>
                      </w:rPr>
                    </w:pPr>
                    <w:r>
                      <w:rPr>
                        <w:rFonts w:ascii="Times New Roman" w:hAnsi="Times New Roman"/>
                        <w:sz w:val="24"/>
                      </w:rPr>
                      <w:t>2.</w:t>
                    </w:r>
                    <w:r>
                      <w:rPr>
                        <w:spacing w:val="-120"/>
                        <w:sz w:val="24"/>
                      </w:rPr>
                      <w:t>······</w:t>
                    </w:r>
                  </w:p>
                </w:txbxContent>
              </v:textbox>
              <w10:wrap type="none"/>
            </v:shape>
            <v:shape style="position:absolute;left:2748;top:6741;width:721;height:391" type="#_x0000_t202" filled="true" fillcolor="#ffffff" stroked="false">
              <v:textbox inset="0,0,0,0">
                <w:txbxContent>
                  <w:p>
                    <w:pPr>
                      <w:spacing w:line="300" w:lineRule="exact" w:before="90"/>
                      <w:ind w:left="0" w:right="-15" w:firstLine="0"/>
                      <w:jc w:val="left"/>
                      <w:rPr>
                        <w:sz w:val="24"/>
                      </w:rPr>
                    </w:pPr>
                    <w:r>
                      <w:rPr>
                        <w:sz w:val="24"/>
                      </w:rPr>
                      <w:t>编号：</w:t>
                    </w:r>
                  </w:p>
                </w:txbxContent>
              </v:textbox>
              <v:fill type="solid"/>
              <w10:wrap type="none"/>
            </v:shape>
            <w10:wrap type="topAndBottom"/>
          </v:group>
        </w:pict>
      </w:r>
    </w:p>
    <w:p>
      <w:pPr>
        <w:pStyle w:val="BodyText"/>
        <w:spacing w:before="71"/>
        <w:ind w:left="226"/>
      </w:pPr>
      <w:r>
        <w:rPr>
          <w:spacing w:val="-120"/>
        </w:rPr>
        <w:t>·······</w:t>
      </w:r>
    </w:p>
    <w:p>
      <w:pPr>
        <w:spacing w:after="0"/>
        <w:sectPr>
          <w:pgSz w:w="11910" w:h="16850"/>
          <w:pgMar w:header="911" w:footer="0" w:top="1380" w:bottom="280" w:left="12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p>
    <w:p>
      <w:pPr>
        <w:pStyle w:val="BodyText"/>
        <w:ind w:left="363"/>
        <w:rPr>
          <w:sz w:val="20"/>
        </w:rPr>
      </w:pPr>
      <w:r>
        <w:rPr>
          <w:sz w:val="20"/>
        </w:rPr>
        <w:pict>
          <v:group style="width:439.3pt;height:432.65pt;mso-position-horizontal-relative:char;mso-position-vertical-relative:line" coordorigin="0,0" coordsize="8786,8653">
            <v:shape style="position:absolute;left:0;top:0;width:8786;height:8653" type="#_x0000_t75" stroked="false">
              <v:imagedata r:id="rId6" o:title=""/>
            </v:shape>
            <v:rect style="position:absolute;left:103;top:599;width:8411;height:391" filled="true" fillcolor="#ffffff" stroked="false">
              <v:fill type="solid"/>
            </v:rect>
            <v:shape style="position:absolute;left:4068;top:715;width:4587;height:266" type="#_x0000_t202" filled="false" stroked="false">
              <v:textbox inset="0,0,0,0">
                <w:txbxContent>
                  <w:p>
                    <w:pPr>
                      <w:tabs>
                        <w:tab w:pos="3604" w:val="left" w:leader="none"/>
                      </w:tabs>
                      <w:spacing w:line="266" w:lineRule="exact" w:before="0"/>
                      <w:ind w:left="0" w:right="0" w:firstLine="0"/>
                      <w:jc w:val="left"/>
                      <w:rPr>
                        <w:sz w:val="24"/>
                      </w:rPr>
                    </w:pPr>
                    <w:r>
                      <w:rPr>
                        <w:sz w:val="24"/>
                      </w:rPr>
                      <w:t>法定代表人或委托代理人：</w:t>
                    </w:r>
                    <w:r>
                      <w:rPr>
                        <w:sz w:val="24"/>
                        <w:u w:val="single"/>
                      </w:rPr>
                      <w:t> </w:t>
                      <w:tab/>
                    </w:r>
                    <w:r>
                      <w:rPr>
                        <w:sz w:val="24"/>
                      </w:rPr>
                      <w:t>（签字）</w:t>
                    </w:r>
                  </w:p>
                </w:txbxContent>
              </v:textbox>
              <w10:wrap type="none"/>
            </v:shape>
            <v:shape style="position:absolute;left:2941;top:7438;width:3130;height:270" type="#_x0000_t202" filled="false" stroked="false">
              <v:textbox inset="0,0,0,0">
                <w:txbxContent>
                  <w:p>
                    <w:pPr>
                      <w:spacing w:line="270" w:lineRule="exact" w:before="0"/>
                      <w:ind w:left="0" w:right="0" w:firstLine="0"/>
                      <w:jc w:val="left"/>
                      <w:rPr>
                        <w:sz w:val="27"/>
                      </w:rPr>
                    </w:pPr>
                    <w:bookmarkStart w:name="第四章  合同条款及格式" w:id="62"/>
                    <w:bookmarkEnd w:id="62"/>
                    <w:r>
                      <w:rPr/>
                    </w:r>
                    <w:bookmarkStart w:name="_bookmark25" w:id="63"/>
                    <w:bookmarkEnd w:id="63"/>
                    <w:r>
                      <w:rPr/>
                    </w:r>
                    <w:r>
                      <w:rPr>
                        <w:rFonts w:ascii="黑体" w:eastAsia="黑体" w:hint="eastAsia"/>
                        <w:sz w:val="27"/>
                      </w:rPr>
                      <w:t>第四章 合同条款及格式</w:t>
                    </w:r>
                    <w:r>
                      <w:rPr>
                        <w:sz w:val="27"/>
                      </w:rPr>
                      <w:t> </w:t>
                    </w:r>
                  </w:p>
                </w:txbxContent>
              </v:textbox>
              <w10:wrap type="none"/>
            </v:shape>
            <v:shape style="position:absolute;left:5510;top:1064;width:3004;height:391" type="#_x0000_t202" filled="true" fillcolor="#ffffff" stroked="false">
              <v:textbox inset="0,0,0,0">
                <w:txbxContent>
                  <w:p>
                    <w:pPr>
                      <w:tabs>
                        <w:tab w:pos="840" w:val="left" w:leader="none"/>
                        <w:tab w:pos="1802" w:val="left" w:leader="none"/>
                        <w:tab w:pos="2763" w:val="left" w:leader="none"/>
                      </w:tabs>
                      <w:spacing w:line="300" w:lineRule="exact" w:before="90"/>
                      <w:ind w:left="0" w:right="0" w:firstLine="0"/>
                      <w:jc w:val="left"/>
                      <w:rPr>
                        <w:sz w:val="24"/>
                      </w:rPr>
                    </w:pPr>
                    <w:r>
                      <w:rPr>
                        <w:rFonts w:ascii="Times New Roman" w:eastAsia="Times New Roman"/>
                        <w:sz w:val="24"/>
                        <w:u w:val="single"/>
                      </w:rPr>
                      <w:t> </w:t>
                      <w:tab/>
                    </w:r>
                    <w:r>
                      <w:rPr>
                        <w:sz w:val="24"/>
                      </w:rPr>
                      <w:t>年</w:t>
                    </w:r>
                    <w:r>
                      <w:rPr>
                        <w:sz w:val="24"/>
                        <w:u w:val="single"/>
                      </w:rPr>
                      <w:t> </w:t>
                      <w:tab/>
                    </w:r>
                    <w:r>
                      <w:rPr>
                        <w:sz w:val="24"/>
                      </w:rPr>
                      <w:t>月</w:t>
                    </w:r>
                    <w:r>
                      <w:rPr>
                        <w:sz w:val="24"/>
                        <w:u w:val="single"/>
                      </w:rPr>
                      <w:t> </w:t>
                      <w:tab/>
                    </w:r>
                    <w:r>
                      <w:rPr>
                        <w:spacing w:val="-19"/>
                        <w:sz w:val="24"/>
                      </w:rPr>
                      <w:t>日</w:t>
                    </w:r>
                  </w:p>
                </w:txbxContent>
              </v:textbox>
              <v:fill type="solid"/>
              <w10:wrap type="none"/>
            </v:shape>
            <v:shape style="position:absolute;left:1996;top:133;width:6519;height:391" type="#_x0000_t202" filled="true" fillcolor="#ffffff" stroked="false">
              <v:textbox inset="0,0,0,0">
                <w:txbxContent>
                  <w:p>
                    <w:pPr>
                      <w:tabs>
                        <w:tab w:pos="5406" w:val="left" w:leader="none"/>
                      </w:tabs>
                      <w:spacing w:line="300" w:lineRule="exact" w:before="90"/>
                      <w:ind w:left="3364" w:right="-15" w:firstLine="0"/>
                      <w:jc w:val="left"/>
                      <w:rPr>
                        <w:rFonts w:ascii="Times New Roman" w:eastAsia="Times New Roman"/>
                        <w:sz w:val="24"/>
                      </w:rPr>
                    </w:pPr>
                    <w:r>
                      <w:rPr>
                        <w:sz w:val="24"/>
                      </w:rPr>
                      <w:t>投标人：</w:t>
                    </w:r>
                    <w:r>
                      <w:rPr>
                        <w:sz w:val="24"/>
                        <w:u w:val="single"/>
                      </w:rPr>
                      <w:t> </w:t>
                      <w:tab/>
                    </w:r>
                    <w:r>
                      <w:rPr>
                        <w:rFonts w:ascii="Times New Roman" w:eastAsia="Times New Roman"/>
                        <w:spacing w:val="-5"/>
                        <w:sz w:val="24"/>
                      </w:rPr>
                      <w:t>(</w:t>
                    </w:r>
                    <w:r>
                      <w:rPr>
                        <w:sz w:val="24"/>
                      </w:rPr>
                      <w:t>盖单位章</w:t>
                    </w:r>
                    <w:r>
                      <w:rPr>
                        <w:rFonts w:ascii="Times New Roman" w:eastAsia="Times New Roman"/>
                        <w:sz w:val="24"/>
                      </w:rPr>
                      <w:t>)</w:t>
                    </w:r>
                  </w:p>
                </w:txbxContent>
              </v:textbox>
              <v:fill type="solid"/>
              <w10:wrap type="none"/>
            </v:shape>
          </v:group>
        </w:pict>
      </w:r>
      <w:r>
        <w:rPr>
          <w:sz w:val="20"/>
        </w:rPr>
      </w:r>
    </w:p>
    <w:p>
      <w:pPr>
        <w:pStyle w:val="BodyText"/>
        <w:spacing w:before="1"/>
        <w:rPr>
          <w:sz w:val="7"/>
        </w:rPr>
      </w:pPr>
    </w:p>
    <w:p>
      <w:pPr>
        <w:pStyle w:val="Heading3"/>
        <w:spacing w:before="61"/>
        <w:ind w:left="226"/>
        <w:rPr>
          <w:rFonts w:ascii="宋体" w:eastAsia="宋体" w:hint="eastAsia"/>
        </w:rPr>
      </w:pPr>
      <w:bookmarkStart w:name="第一节 通用合同条款" w:id="64"/>
      <w:bookmarkEnd w:id="64"/>
      <w:r>
        <w:rPr>
          <w:b w:val="0"/>
        </w:rPr>
      </w:r>
      <w:bookmarkStart w:name="_bookmark26" w:id="65"/>
      <w:bookmarkEnd w:id="65"/>
      <w:r>
        <w:rPr>
          <w:b w:val="0"/>
        </w:rPr>
      </w:r>
      <w:r>
        <w:rPr>
          <w:rFonts w:ascii="宋体" w:eastAsia="宋体" w:hint="eastAsia"/>
        </w:rPr>
        <w:t>第一节 通用合同条款</w:t>
      </w:r>
    </w:p>
    <w:p>
      <w:pPr>
        <w:pStyle w:val="BodyText"/>
        <w:spacing w:before="8"/>
        <w:rPr>
          <w:b/>
          <w:sz w:val="41"/>
        </w:rPr>
      </w:pPr>
    </w:p>
    <w:p>
      <w:pPr>
        <w:pStyle w:val="Heading6"/>
        <w:numPr>
          <w:ilvl w:val="0"/>
          <w:numId w:val="30"/>
        </w:numPr>
        <w:tabs>
          <w:tab w:pos="542" w:val="left" w:leader="none"/>
        </w:tabs>
        <w:spacing w:line="240" w:lineRule="auto" w:before="0" w:after="0"/>
        <w:ind w:left="542" w:right="0" w:hanging="316"/>
        <w:jc w:val="left"/>
      </w:pPr>
      <w:bookmarkStart w:name="1.一般约定" w:id="66"/>
      <w:bookmarkEnd w:id="66"/>
      <w:r>
        <w:rPr>
          <w:b w:val="0"/>
        </w:rPr>
      </w:r>
      <w:bookmarkStart w:name="1.一般约定" w:id="67"/>
      <w:bookmarkEnd w:id="67"/>
      <w:r>
        <w:rPr/>
        <w:t>一般约定</w:t>
      </w:r>
    </w:p>
    <w:p>
      <w:pPr>
        <w:pStyle w:val="BodyText"/>
        <w:spacing w:before="7"/>
        <w:rPr>
          <w:rFonts w:ascii="黑体"/>
          <w:b/>
          <w:sz w:val="39"/>
        </w:rPr>
      </w:pP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词语定义</w:t>
      </w:r>
    </w:p>
    <w:p>
      <w:pPr>
        <w:spacing w:after="0" w:line="240" w:lineRule="auto"/>
        <w:jc w:val="left"/>
        <w:rPr>
          <w:rFonts w:ascii="黑体" w:eastAsia="黑体" w:hint="eastAsia"/>
          <w:sz w:val="24"/>
        </w:rPr>
        <w:sectPr>
          <w:pgSz w:w="11910" w:h="16850"/>
          <w:pgMar w:header="911" w:footer="0" w:top="1380" w:bottom="280" w:left="1200" w:right="0"/>
        </w:sectPr>
      </w:pPr>
    </w:p>
    <w:p>
      <w:pPr>
        <w:pStyle w:val="BodyText"/>
        <w:spacing w:before="135"/>
        <w:ind w:left="707"/>
      </w:pPr>
      <w:r>
        <w:rPr/>
        <w:t>通用合同条款、专用合同条款中的下列词语应具有本款所赋予的含义。</w:t>
      </w:r>
    </w:p>
    <w:p>
      <w:pPr>
        <w:pStyle w:val="ListParagraph"/>
        <w:numPr>
          <w:ilvl w:val="2"/>
          <w:numId w:val="30"/>
        </w:numPr>
        <w:tabs>
          <w:tab w:pos="1248" w:val="left" w:leader="none"/>
        </w:tabs>
        <w:spacing w:line="240" w:lineRule="auto" w:before="158" w:after="0"/>
        <w:ind w:left="1248" w:right="0" w:hanging="541"/>
        <w:jc w:val="both"/>
        <w:rPr>
          <w:sz w:val="24"/>
        </w:rPr>
      </w:pPr>
      <w:r>
        <w:rPr>
          <w:sz w:val="24"/>
        </w:rPr>
        <w:t>合同</w:t>
      </w:r>
    </w:p>
    <w:p>
      <w:pPr>
        <w:pStyle w:val="ListParagraph"/>
        <w:numPr>
          <w:ilvl w:val="3"/>
          <w:numId w:val="30"/>
        </w:numPr>
        <w:tabs>
          <w:tab w:pos="1429" w:val="left" w:leader="none"/>
        </w:tabs>
        <w:spacing w:line="362" w:lineRule="auto" w:before="158" w:after="0"/>
        <w:ind w:left="226" w:right="1343" w:firstLine="480"/>
        <w:jc w:val="both"/>
        <w:rPr>
          <w:sz w:val="24"/>
        </w:rPr>
      </w:pPr>
      <w:r>
        <w:rPr>
          <w:sz w:val="24"/>
        </w:rPr>
        <w:t>合同文件(或称合同)：指合同协议书、中标通知书、投标函及投标函附录、专用合同条款、通用合同条款、技术标准和要求、图纸、己标价工程量清单，以及其他合同文件。</w:t>
      </w:r>
    </w:p>
    <w:p>
      <w:pPr>
        <w:pStyle w:val="ListParagraph"/>
        <w:numPr>
          <w:ilvl w:val="3"/>
          <w:numId w:val="30"/>
        </w:numPr>
        <w:tabs>
          <w:tab w:pos="1429" w:val="left" w:leader="none"/>
        </w:tabs>
        <w:spacing w:line="240" w:lineRule="auto" w:before="18" w:after="0"/>
        <w:ind w:left="1428" w:right="0" w:hanging="722"/>
        <w:jc w:val="both"/>
        <w:rPr>
          <w:sz w:val="24"/>
        </w:rPr>
      </w:pPr>
      <w:r>
        <w:rPr/>
        <w:drawing>
          <wp:anchor distT="0" distB="0" distL="0" distR="0" allowOverlap="1" layoutInCell="1" locked="0" behindDoc="1" simplePos="0" relativeHeight="234736640">
            <wp:simplePos x="0" y="0"/>
            <wp:positionH relativeFrom="page">
              <wp:posOffset>992771</wp:posOffset>
            </wp:positionH>
            <wp:positionV relativeFrom="paragraph">
              <wp:posOffset>164598</wp:posOffset>
            </wp:positionV>
            <wp:extent cx="5578970" cy="5494141"/>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7"/>
          <w:sz w:val="24"/>
        </w:rPr>
        <w:t>合同协议书：指第 </w:t>
      </w:r>
      <w:r>
        <w:rPr>
          <w:rFonts w:ascii="Calibri" w:eastAsia="Calibri"/>
          <w:sz w:val="24"/>
        </w:rPr>
        <w:t>1.5</w:t>
      </w:r>
      <w:r>
        <w:rPr>
          <w:rFonts w:ascii="Calibri" w:eastAsia="Calibri"/>
          <w:spacing w:val="4"/>
          <w:sz w:val="24"/>
        </w:rPr>
        <w:t> </w:t>
      </w:r>
      <w:r>
        <w:rPr>
          <w:sz w:val="24"/>
        </w:rPr>
        <w:t>款所指的合同协议书。</w:t>
      </w:r>
    </w:p>
    <w:p>
      <w:pPr>
        <w:pStyle w:val="ListParagraph"/>
        <w:numPr>
          <w:ilvl w:val="3"/>
          <w:numId w:val="30"/>
        </w:numPr>
        <w:tabs>
          <w:tab w:pos="1429" w:val="left" w:leader="none"/>
        </w:tabs>
        <w:spacing w:line="240" w:lineRule="auto" w:before="158" w:after="0"/>
        <w:ind w:left="1428" w:right="0" w:hanging="722"/>
        <w:jc w:val="both"/>
        <w:rPr>
          <w:sz w:val="24"/>
        </w:rPr>
      </w:pPr>
      <w:r>
        <w:rPr>
          <w:sz w:val="24"/>
        </w:rPr>
        <w:t>中标通知书：指发包人通知承包人中标的函件。</w:t>
      </w:r>
    </w:p>
    <w:p>
      <w:pPr>
        <w:pStyle w:val="ListParagraph"/>
        <w:numPr>
          <w:ilvl w:val="3"/>
          <w:numId w:val="30"/>
        </w:numPr>
        <w:tabs>
          <w:tab w:pos="1429" w:val="left" w:leader="none"/>
        </w:tabs>
        <w:spacing w:line="240" w:lineRule="auto" w:before="158" w:after="0"/>
        <w:ind w:left="1428" w:right="0" w:hanging="722"/>
        <w:jc w:val="both"/>
        <w:rPr>
          <w:sz w:val="24"/>
        </w:rPr>
      </w:pPr>
      <w:r>
        <w:rPr>
          <w:sz w:val="24"/>
        </w:rPr>
        <w:t>投标函：指构成合同文件组成部分的由承包人填写并签署的投标函。</w:t>
      </w:r>
    </w:p>
    <w:p>
      <w:pPr>
        <w:pStyle w:val="ListParagraph"/>
        <w:numPr>
          <w:ilvl w:val="3"/>
          <w:numId w:val="30"/>
        </w:numPr>
        <w:tabs>
          <w:tab w:pos="1429" w:val="left" w:leader="none"/>
        </w:tabs>
        <w:spacing w:line="240" w:lineRule="auto" w:before="158" w:after="0"/>
        <w:ind w:left="1428" w:right="0" w:hanging="722"/>
        <w:jc w:val="both"/>
        <w:rPr>
          <w:sz w:val="24"/>
        </w:rPr>
      </w:pPr>
      <w:r>
        <w:rPr>
          <w:sz w:val="24"/>
        </w:rPr>
        <w:t>投标函附录：指附在投标函后构成合同文件的投标函附录。</w:t>
      </w:r>
    </w:p>
    <w:p>
      <w:pPr>
        <w:pStyle w:val="ListParagraph"/>
        <w:numPr>
          <w:ilvl w:val="3"/>
          <w:numId w:val="30"/>
        </w:numPr>
        <w:tabs>
          <w:tab w:pos="1429" w:val="left" w:leader="none"/>
        </w:tabs>
        <w:spacing w:line="374" w:lineRule="auto" w:before="158" w:after="0"/>
        <w:ind w:left="226" w:right="1350" w:firstLine="480"/>
        <w:jc w:val="both"/>
        <w:rPr>
          <w:sz w:val="24"/>
        </w:rPr>
      </w:pPr>
      <w:r>
        <w:rPr>
          <w:spacing w:val="-9"/>
          <w:sz w:val="24"/>
        </w:rPr>
        <w:t>技术标准和要求：指构成合同文件组成部分的名为技术标准和要求</w:t>
      </w:r>
      <w:r>
        <w:rPr>
          <w:rFonts w:ascii="Calibri" w:eastAsia="Calibri"/>
          <w:sz w:val="24"/>
        </w:rPr>
        <w:t>(</w:t>
      </w:r>
      <w:r>
        <w:rPr>
          <w:sz w:val="24"/>
        </w:rPr>
        <w:t>合同技术条款</w:t>
      </w:r>
      <w:r>
        <w:rPr>
          <w:rFonts w:ascii="Calibri" w:eastAsia="Calibri"/>
          <w:sz w:val="24"/>
        </w:rPr>
        <w:t>)</w:t>
      </w:r>
      <w:r>
        <w:rPr>
          <w:sz w:val="24"/>
        </w:rPr>
        <w:t>的文件，包括合同双方当事人约定对其所作的修改或补充。</w:t>
      </w:r>
    </w:p>
    <w:p>
      <w:pPr>
        <w:pStyle w:val="ListParagraph"/>
        <w:numPr>
          <w:ilvl w:val="3"/>
          <w:numId w:val="30"/>
        </w:numPr>
        <w:tabs>
          <w:tab w:pos="1429" w:val="left" w:leader="none"/>
        </w:tabs>
        <w:spacing w:line="367" w:lineRule="auto" w:before="0" w:after="0"/>
        <w:ind w:left="226" w:right="1343" w:firstLine="480"/>
        <w:jc w:val="both"/>
        <w:rPr>
          <w:sz w:val="24"/>
        </w:rPr>
      </w:pPr>
      <w:r>
        <w:rPr>
          <w:sz w:val="24"/>
        </w:rPr>
        <w:t>图纸：指列入合同的招标图纸、投标图纸和发包人按合同约定向承包人提供的施工图纸和其它图纸(包括配套说明和有关资料)。列入合同的招标图纸已成为合同文</w:t>
      </w:r>
      <w:r>
        <w:rPr>
          <w:spacing w:val="-12"/>
          <w:sz w:val="24"/>
        </w:rPr>
        <w:t>件的 一部分，具有合同效力，主要用于在履行合同中作为衡量变更的依据，但不能直接用于施工。经发包人确认进入合同的投标图纸亦成为合同文件的一部分，用于在履行合同中检验承包人是否按其投标时承诺的条件进行施工的依据，亦不能直接用于施工。</w:t>
      </w:r>
    </w:p>
    <w:p>
      <w:pPr>
        <w:pStyle w:val="ListParagraph"/>
        <w:numPr>
          <w:ilvl w:val="3"/>
          <w:numId w:val="30"/>
        </w:numPr>
        <w:tabs>
          <w:tab w:pos="1429" w:val="left" w:leader="none"/>
        </w:tabs>
        <w:spacing w:line="362" w:lineRule="auto" w:before="0" w:after="0"/>
        <w:ind w:left="226" w:right="1342" w:firstLine="480"/>
        <w:jc w:val="both"/>
        <w:rPr>
          <w:sz w:val="24"/>
        </w:rPr>
      </w:pPr>
      <w:r>
        <w:rPr>
          <w:sz w:val="24"/>
        </w:rPr>
        <w:t>己标价工程量清单：指构成合同文件组成部分的由承包人按照规定的格式和要求填写并标明价格的工程量清单。</w:t>
      </w:r>
    </w:p>
    <w:p>
      <w:pPr>
        <w:pStyle w:val="ListParagraph"/>
        <w:numPr>
          <w:ilvl w:val="3"/>
          <w:numId w:val="30"/>
        </w:numPr>
        <w:tabs>
          <w:tab w:pos="1429" w:val="left" w:leader="none"/>
        </w:tabs>
        <w:spacing w:line="240" w:lineRule="auto" w:before="0" w:after="0"/>
        <w:ind w:left="1428" w:right="0" w:hanging="722"/>
        <w:jc w:val="both"/>
        <w:rPr>
          <w:sz w:val="24"/>
        </w:rPr>
      </w:pPr>
      <w:r>
        <w:rPr>
          <w:sz w:val="24"/>
        </w:rPr>
        <w:t>其他合同文件：指经合同双方当事人确认构成合同文件的其他文件。</w:t>
      </w:r>
    </w:p>
    <w:p>
      <w:pPr>
        <w:pStyle w:val="ListParagraph"/>
        <w:numPr>
          <w:ilvl w:val="2"/>
          <w:numId w:val="30"/>
        </w:numPr>
        <w:tabs>
          <w:tab w:pos="1248" w:val="left" w:leader="none"/>
        </w:tabs>
        <w:spacing w:line="240" w:lineRule="auto" w:before="136" w:after="0"/>
        <w:ind w:left="1248" w:right="0" w:hanging="541"/>
        <w:jc w:val="both"/>
        <w:rPr>
          <w:sz w:val="24"/>
        </w:rPr>
      </w:pPr>
      <w:r>
        <w:rPr>
          <w:sz w:val="24"/>
        </w:rPr>
        <w:t>合同当事人和人员</w:t>
      </w:r>
    </w:p>
    <w:p>
      <w:pPr>
        <w:pStyle w:val="ListParagraph"/>
        <w:numPr>
          <w:ilvl w:val="3"/>
          <w:numId w:val="30"/>
        </w:numPr>
        <w:tabs>
          <w:tab w:pos="1429" w:val="left" w:leader="none"/>
        </w:tabs>
        <w:spacing w:line="240" w:lineRule="auto" w:before="173" w:after="0"/>
        <w:ind w:left="1428" w:right="0" w:hanging="722"/>
        <w:jc w:val="both"/>
        <w:rPr>
          <w:sz w:val="24"/>
        </w:rPr>
      </w:pPr>
      <w:r>
        <w:rPr>
          <w:sz w:val="24"/>
        </w:rPr>
        <w:t>合同当事人：指发包人和(或)承包人。</w:t>
      </w:r>
    </w:p>
    <w:p>
      <w:pPr>
        <w:pStyle w:val="ListParagraph"/>
        <w:numPr>
          <w:ilvl w:val="3"/>
          <w:numId w:val="30"/>
        </w:numPr>
        <w:tabs>
          <w:tab w:pos="1429" w:val="left" w:leader="none"/>
        </w:tabs>
        <w:spacing w:line="240" w:lineRule="auto" w:before="158" w:after="0"/>
        <w:ind w:left="1428" w:right="0" w:hanging="722"/>
        <w:jc w:val="left"/>
        <w:rPr>
          <w:sz w:val="24"/>
        </w:rPr>
      </w:pPr>
      <w:r>
        <w:rPr>
          <w:sz w:val="24"/>
        </w:rPr>
        <w:t>发包人：指专用合同条款中指明并与承包人在合同协议书中签字的当事人。</w:t>
      </w:r>
    </w:p>
    <w:p>
      <w:pPr>
        <w:pStyle w:val="ListParagraph"/>
        <w:numPr>
          <w:ilvl w:val="3"/>
          <w:numId w:val="30"/>
        </w:numPr>
        <w:tabs>
          <w:tab w:pos="1429" w:val="left" w:leader="none"/>
        </w:tabs>
        <w:spacing w:line="240" w:lineRule="auto" w:before="158" w:after="0"/>
        <w:ind w:left="1428" w:right="0" w:hanging="722"/>
        <w:jc w:val="left"/>
        <w:rPr>
          <w:sz w:val="24"/>
        </w:rPr>
      </w:pPr>
      <w:r>
        <w:rPr>
          <w:spacing w:val="-11"/>
          <w:sz w:val="24"/>
        </w:rPr>
        <w:t>承包人：指专用合同条款中指明并与发包人在合同协、议书中签字的当事人。</w:t>
      </w:r>
    </w:p>
    <w:p>
      <w:pPr>
        <w:pStyle w:val="ListParagraph"/>
        <w:numPr>
          <w:ilvl w:val="3"/>
          <w:numId w:val="30"/>
        </w:numPr>
        <w:tabs>
          <w:tab w:pos="1429" w:val="left" w:leader="none"/>
        </w:tabs>
        <w:spacing w:line="240" w:lineRule="auto" w:before="158" w:after="0"/>
        <w:ind w:left="1428" w:right="0" w:hanging="722"/>
        <w:jc w:val="left"/>
        <w:rPr>
          <w:sz w:val="24"/>
        </w:rPr>
      </w:pPr>
      <w:r>
        <w:rPr>
          <w:sz w:val="24"/>
        </w:rPr>
        <w:t>承包人项目经理：指承包人派驻施工场地的全权负责人。</w:t>
      </w:r>
    </w:p>
    <w:p>
      <w:pPr>
        <w:pStyle w:val="ListParagraph"/>
        <w:numPr>
          <w:ilvl w:val="3"/>
          <w:numId w:val="30"/>
        </w:numPr>
        <w:tabs>
          <w:tab w:pos="1429" w:val="left" w:leader="none"/>
        </w:tabs>
        <w:spacing w:line="374" w:lineRule="auto" w:before="158" w:after="0"/>
        <w:ind w:left="226" w:right="1342" w:firstLine="480"/>
        <w:jc w:val="left"/>
        <w:rPr>
          <w:sz w:val="24"/>
        </w:rPr>
      </w:pPr>
      <w:r>
        <w:rPr>
          <w:sz w:val="24"/>
        </w:rPr>
        <w:t>分包人：指专用合同条款中指明的，从承包人处分包合同中某一部分工程， 并与其签订分包合同的分包人。</w:t>
      </w:r>
    </w:p>
    <w:p>
      <w:pPr>
        <w:pStyle w:val="ListParagraph"/>
        <w:numPr>
          <w:ilvl w:val="3"/>
          <w:numId w:val="30"/>
        </w:numPr>
        <w:tabs>
          <w:tab w:pos="1429" w:val="left" w:leader="none"/>
        </w:tabs>
        <w:spacing w:line="362" w:lineRule="auto" w:before="0" w:after="0"/>
        <w:ind w:left="226" w:right="1342" w:firstLine="480"/>
        <w:jc w:val="left"/>
        <w:rPr>
          <w:sz w:val="24"/>
        </w:rPr>
      </w:pPr>
      <w:r>
        <w:rPr>
          <w:sz w:val="24"/>
        </w:rPr>
        <w:t>监理人：指在专用合同条款中指明的，受发包人委托对合同履行实施管理的法人或其他组织。</w:t>
      </w:r>
    </w:p>
    <w:p>
      <w:pPr>
        <w:pStyle w:val="ListParagraph"/>
        <w:numPr>
          <w:ilvl w:val="3"/>
          <w:numId w:val="30"/>
        </w:numPr>
        <w:tabs>
          <w:tab w:pos="1429" w:val="left" w:leader="none"/>
        </w:tabs>
        <w:spacing w:line="362" w:lineRule="auto" w:before="0" w:after="0"/>
        <w:ind w:left="226" w:right="1345" w:firstLine="480"/>
        <w:jc w:val="left"/>
        <w:rPr>
          <w:sz w:val="24"/>
        </w:rPr>
      </w:pPr>
      <w:r>
        <w:rPr>
          <w:sz w:val="24"/>
        </w:rPr>
        <w:t>总监理工程师(总监)：指由监理人委派常驻施工场地对合同履行实施管理的全权负责人。</w:t>
      </w:r>
    </w:p>
    <w:p>
      <w:pPr>
        <w:spacing w:after="0" w:line="362" w:lineRule="auto"/>
        <w:jc w:val="left"/>
        <w:rPr>
          <w:sz w:val="24"/>
        </w:rPr>
        <w:sectPr>
          <w:pgSz w:w="11910" w:h="16850"/>
          <w:pgMar w:header="911" w:footer="0" w:top="1380" w:bottom="280" w:left="1200" w:right="0"/>
        </w:sectPr>
      </w:pPr>
    </w:p>
    <w:p>
      <w:pPr>
        <w:pStyle w:val="ListParagraph"/>
        <w:numPr>
          <w:ilvl w:val="2"/>
          <w:numId w:val="30"/>
        </w:numPr>
        <w:tabs>
          <w:tab w:pos="1248" w:val="left" w:leader="none"/>
        </w:tabs>
        <w:spacing w:line="240" w:lineRule="auto" w:before="135" w:after="0"/>
        <w:ind w:left="1248" w:right="0" w:hanging="541"/>
        <w:jc w:val="left"/>
        <w:rPr>
          <w:sz w:val="24"/>
        </w:rPr>
      </w:pPr>
      <w:r>
        <w:rPr>
          <w:sz w:val="24"/>
        </w:rPr>
        <w:t>工程和设备</w:t>
      </w:r>
    </w:p>
    <w:p>
      <w:pPr>
        <w:pStyle w:val="ListParagraph"/>
        <w:numPr>
          <w:ilvl w:val="3"/>
          <w:numId w:val="30"/>
        </w:numPr>
        <w:tabs>
          <w:tab w:pos="1429" w:val="left" w:leader="none"/>
        </w:tabs>
        <w:spacing w:line="240" w:lineRule="auto" w:before="158" w:after="0"/>
        <w:ind w:left="1428" w:right="0" w:hanging="722"/>
        <w:jc w:val="left"/>
        <w:rPr>
          <w:sz w:val="24"/>
        </w:rPr>
      </w:pPr>
      <w:r>
        <w:rPr>
          <w:sz w:val="24"/>
        </w:rPr>
        <w:t>工程：指永久工程和(或)临时工程。</w:t>
      </w:r>
    </w:p>
    <w:p>
      <w:pPr>
        <w:pStyle w:val="ListParagraph"/>
        <w:numPr>
          <w:ilvl w:val="3"/>
          <w:numId w:val="30"/>
        </w:numPr>
        <w:tabs>
          <w:tab w:pos="1429" w:val="left" w:leader="none"/>
        </w:tabs>
        <w:spacing w:line="240" w:lineRule="auto" w:before="158" w:after="0"/>
        <w:ind w:left="1428" w:right="0" w:hanging="722"/>
        <w:jc w:val="left"/>
        <w:rPr>
          <w:sz w:val="24"/>
        </w:rPr>
      </w:pPr>
      <w:r>
        <w:rPr>
          <w:sz w:val="24"/>
        </w:rPr>
        <w:t>永久工程：指按合同约定建造并移交给发包人的工程，包括工程设备。</w:t>
      </w:r>
    </w:p>
    <w:p>
      <w:pPr>
        <w:pStyle w:val="ListParagraph"/>
        <w:numPr>
          <w:ilvl w:val="3"/>
          <w:numId w:val="30"/>
        </w:numPr>
        <w:tabs>
          <w:tab w:pos="1429" w:val="left" w:leader="none"/>
        </w:tabs>
        <w:spacing w:line="362" w:lineRule="auto" w:before="158" w:after="0"/>
        <w:ind w:left="226" w:right="1342" w:firstLine="480"/>
        <w:jc w:val="left"/>
        <w:rPr>
          <w:sz w:val="24"/>
        </w:rPr>
      </w:pPr>
      <w:r>
        <w:rPr>
          <w:sz w:val="24"/>
        </w:rPr>
        <w:t>临时工程：指为完成合同约定的永久工程所修建的各类临时性工程，不包括施工设备。</w:t>
      </w:r>
    </w:p>
    <w:p>
      <w:pPr>
        <w:pStyle w:val="ListParagraph"/>
        <w:numPr>
          <w:ilvl w:val="3"/>
          <w:numId w:val="30"/>
        </w:numPr>
        <w:tabs>
          <w:tab w:pos="1429" w:val="left" w:leader="none"/>
        </w:tabs>
        <w:spacing w:line="240" w:lineRule="auto" w:before="17" w:after="0"/>
        <w:ind w:left="1428" w:right="0" w:hanging="722"/>
        <w:jc w:val="left"/>
        <w:rPr>
          <w:sz w:val="24"/>
        </w:rPr>
      </w:pPr>
      <w:r>
        <w:rPr/>
        <w:drawing>
          <wp:anchor distT="0" distB="0" distL="0" distR="0" allowOverlap="1" layoutInCell="1" locked="0" behindDoc="1" simplePos="0" relativeHeight="234737664">
            <wp:simplePos x="0" y="0"/>
            <wp:positionH relativeFrom="page">
              <wp:posOffset>992771</wp:posOffset>
            </wp:positionH>
            <wp:positionV relativeFrom="paragraph">
              <wp:posOffset>163963</wp:posOffset>
            </wp:positionV>
            <wp:extent cx="5578970" cy="5494141"/>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单位工程：指专用合同条款中指明特定范围的永久工程。</w:t>
      </w:r>
    </w:p>
    <w:p>
      <w:pPr>
        <w:pStyle w:val="ListParagraph"/>
        <w:numPr>
          <w:ilvl w:val="3"/>
          <w:numId w:val="30"/>
        </w:numPr>
        <w:tabs>
          <w:tab w:pos="1429" w:val="left" w:leader="none"/>
        </w:tabs>
        <w:spacing w:line="362" w:lineRule="auto" w:before="158" w:after="0"/>
        <w:ind w:left="226" w:right="1342" w:firstLine="480"/>
        <w:jc w:val="left"/>
        <w:rPr>
          <w:sz w:val="24"/>
        </w:rPr>
      </w:pPr>
      <w:r>
        <w:rPr>
          <w:sz w:val="24"/>
        </w:rPr>
        <w:t>工程设备：指构成或计划构成永久工程一部分的机电设备、金属结构设备、仪器装置及其他类似的设备和装置。</w:t>
      </w:r>
    </w:p>
    <w:p>
      <w:pPr>
        <w:pStyle w:val="ListParagraph"/>
        <w:numPr>
          <w:ilvl w:val="3"/>
          <w:numId w:val="30"/>
        </w:numPr>
        <w:tabs>
          <w:tab w:pos="1429" w:val="left" w:leader="none"/>
        </w:tabs>
        <w:spacing w:line="362" w:lineRule="auto" w:before="2" w:after="0"/>
        <w:ind w:left="226" w:right="1342" w:firstLine="480"/>
        <w:jc w:val="left"/>
        <w:rPr>
          <w:sz w:val="24"/>
        </w:rPr>
      </w:pPr>
      <w:r>
        <w:rPr>
          <w:sz w:val="24"/>
        </w:rPr>
        <w:t>施工设备：指为完成合同约定的各项工作所需的设备、器具和其他物品，不包括临时工程和材料。</w:t>
      </w:r>
    </w:p>
    <w:p>
      <w:pPr>
        <w:pStyle w:val="ListParagraph"/>
        <w:numPr>
          <w:ilvl w:val="3"/>
          <w:numId w:val="30"/>
        </w:numPr>
        <w:tabs>
          <w:tab w:pos="1429" w:val="left" w:leader="none"/>
        </w:tabs>
        <w:spacing w:line="240" w:lineRule="auto" w:before="17" w:after="0"/>
        <w:ind w:left="1428" w:right="0" w:hanging="722"/>
        <w:jc w:val="left"/>
        <w:rPr>
          <w:sz w:val="24"/>
        </w:rPr>
      </w:pPr>
      <w:r>
        <w:rPr>
          <w:sz w:val="24"/>
        </w:rPr>
        <w:t>临时设施：指为完成合同约定的各项工作所服务的临时性生产和生活设施。</w:t>
      </w:r>
    </w:p>
    <w:p>
      <w:pPr>
        <w:pStyle w:val="ListParagraph"/>
        <w:numPr>
          <w:ilvl w:val="3"/>
          <w:numId w:val="30"/>
        </w:numPr>
        <w:tabs>
          <w:tab w:pos="1429" w:val="left" w:leader="none"/>
        </w:tabs>
        <w:spacing w:line="240" w:lineRule="auto" w:before="158" w:after="0"/>
        <w:ind w:left="1428" w:right="0" w:hanging="722"/>
        <w:jc w:val="left"/>
        <w:rPr>
          <w:sz w:val="24"/>
        </w:rPr>
      </w:pPr>
      <w:r>
        <w:rPr>
          <w:sz w:val="24"/>
        </w:rPr>
        <w:t>承包人设备：指承包人自带的施工设备。</w:t>
      </w:r>
    </w:p>
    <w:p>
      <w:pPr>
        <w:pStyle w:val="ListParagraph"/>
        <w:numPr>
          <w:ilvl w:val="3"/>
          <w:numId w:val="30"/>
        </w:numPr>
        <w:tabs>
          <w:tab w:pos="1429" w:val="left" w:leader="none"/>
        </w:tabs>
        <w:spacing w:line="362" w:lineRule="auto" w:before="158" w:after="0"/>
        <w:ind w:left="226" w:right="1346" w:firstLine="480"/>
        <w:jc w:val="left"/>
        <w:rPr>
          <w:sz w:val="24"/>
        </w:rPr>
      </w:pPr>
      <w:r>
        <w:rPr>
          <w:sz w:val="24"/>
        </w:rPr>
        <w:t>施工场地(或称工地、现场)：指用于合同工程施工的场所，以及在合同中指定作为施工场地组成部分的其他场所，包括永久占地和临时占地。</w:t>
      </w:r>
    </w:p>
    <w:p>
      <w:pPr>
        <w:pStyle w:val="ListParagraph"/>
        <w:numPr>
          <w:ilvl w:val="3"/>
          <w:numId w:val="30"/>
        </w:numPr>
        <w:tabs>
          <w:tab w:pos="1549" w:val="left" w:leader="none"/>
        </w:tabs>
        <w:spacing w:line="240" w:lineRule="auto" w:before="2" w:after="0"/>
        <w:ind w:left="1548" w:right="0" w:hanging="842"/>
        <w:jc w:val="left"/>
        <w:rPr>
          <w:sz w:val="24"/>
        </w:rPr>
      </w:pPr>
      <w:r>
        <w:rPr>
          <w:sz w:val="24"/>
        </w:rPr>
        <w:t>永久占地：指发包人为建设本合同工程临时征用的场地。</w:t>
      </w:r>
    </w:p>
    <w:p>
      <w:pPr>
        <w:pStyle w:val="ListParagraph"/>
        <w:numPr>
          <w:ilvl w:val="3"/>
          <w:numId w:val="30"/>
        </w:numPr>
        <w:tabs>
          <w:tab w:pos="1609" w:val="left" w:leader="none"/>
        </w:tabs>
        <w:spacing w:line="362" w:lineRule="auto" w:before="173" w:after="0"/>
        <w:ind w:left="226" w:right="1347" w:firstLine="480"/>
        <w:jc w:val="left"/>
        <w:rPr>
          <w:sz w:val="24"/>
        </w:rPr>
      </w:pPr>
      <w:r>
        <w:rPr>
          <w:sz w:val="24"/>
        </w:rPr>
        <w:t>临时占地：指发包人为建设本合同工程临时征用，承包人在完工后须按合同要求退还的场地。</w:t>
      </w:r>
    </w:p>
    <w:p>
      <w:pPr>
        <w:pStyle w:val="ListParagraph"/>
        <w:numPr>
          <w:ilvl w:val="2"/>
          <w:numId w:val="30"/>
        </w:numPr>
        <w:tabs>
          <w:tab w:pos="1248" w:val="left" w:leader="none"/>
        </w:tabs>
        <w:spacing w:line="240" w:lineRule="auto" w:before="2" w:after="0"/>
        <w:ind w:left="1248" w:right="0" w:hanging="541"/>
        <w:jc w:val="left"/>
        <w:rPr>
          <w:sz w:val="24"/>
        </w:rPr>
      </w:pPr>
      <w:r>
        <w:rPr>
          <w:sz w:val="24"/>
        </w:rPr>
        <w:t>日期</w:t>
      </w:r>
    </w:p>
    <w:p>
      <w:pPr>
        <w:pStyle w:val="BodyText"/>
        <w:spacing w:before="158"/>
        <w:ind w:left="707"/>
      </w:pPr>
      <w:r>
        <w:rPr>
          <w:rFonts w:ascii="Calibri" w:eastAsia="Calibri"/>
        </w:rPr>
        <w:t>1.1.4.4 </w:t>
      </w:r>
      <w:r>
        <w:rPr/>
        <w:t>开工通知：指监理人按第 </w:t>
      </w:r>
      <w:r>
        <w:rPr>
          <w:rFonts w:ascii="Calibri" w:eastAsia="Calibri"/>
        </w:rPr>
        <w:t>11.1 </w:t>
      </w:r>
      <w:r>
        <w:rPr/>
        <w:t>款通知承包人开工的函件。</w:t>
      </w:r>
    </w:p>
    <w:p>
      <w:pPr>
        <w:pStyle w:val="ListParagraph"/>
        <w:numPr>
          <w:ilvl w:val="3"/>
          <w:numId w:val="31"/>
        </w:numPr>
        <w:tabs>
          <w:tab w:pos="1429" w:val="left" w:leader="none"/>
        </w:tabs>
        <w:spacing w:line="240" w:lineRule="auto" w:before="158" w:after="0"/>
        <w:ind w:left="1428" w:right="0" w:hanging="722"/>
        <w:jc w:val="left"/>
        <w:rPr>
          <w:sz w:val="24"/>
        </w:rPr>
      </w:pPr>
      <w:r>
        <w:rPr>
          <w:spacing w:val="-6"/>
          <w:sz w:val="24"/>
        </w:rPr>
        <w:t>开工日期：指监理人按第 </w:t>
      </w:r>
      <w:r>
        <w:rPr>
          <w:rFonts w:ascii="Calibri" w:eastAsia="Calibri"/>
          <w:sz w:val="24"/>
        </w:rPr>
        <w:t>11.1</w:t>
      </w:r>
      <w:r>
        <w:rPr>
          <w:rFonts w:ascii="Calibri" w:eastAsia="Calibri"/>
          <w:spacing w:val="4"/>
          <w:sz w:val="24"/>
        </w:rPr>
        <w:t> </w:t>
      </w:r>
      <w:r>
        <w:rPr>
          <w:sz w:val="24"/>
        </w:rPr>
        <w:t>款发出的开工通知中写明的开工日期。</w:t>
      </w:r>
    </w:p>
    <w:p>
      <w:pPr>
        <w:pStyle w:val="ListParagraph"/>
        <w:numPr>
          <w:ilvl w:val="3"/>
          <w:numId w:val="31"/>
        </w:numPr>
        <w:tabs>
          <w:tab w:pos="1429" w:val="left" w:leader="none"/>
        </w:tabs>
        <w:spacing w:line="240" w:lineRule="auto" w:before="173" w:after="0"/>
        <w:ind w:left="1428" w:right="0" w:hanging="722"/>
        <w:jc w:val="left"/>
        <w:rPr>
          <w:rFonts w:ascii="Calibri" w:eastAsia="Calibri"/>
          <w:sz w:val="24"/>
        </w:rPr>
      </w:pPr>
      <w:r>
        <w:rPr>
          <w:spacing w:val="-3"/>
          <w:sz w:val="24"/>
        </w:rPr>
        <w:t>工期：指承包人在投标函中承诺的完成合同工程所需的期限，包括按第 </w:t>
      </w:r>
      <w:r>
        <w:rPr>
          <w:rFonts w:ascii="Calibri" w:eastAsia="Calibri"/>
          <w:sz w:val="24"/>
        </w:rPr>
        <w:t>11.3</w:t>
      </w:r>
    </w:p>
    <w:p>
      <w:pPr>
        <w:pStyle w:val="BodyText"/>
        <w:spacing w:before="158"/>
        <w:ind w:left="226"/>
      </w:pPr>
      <w:r>
        <w:rPr/>
        <w:t>款、第 </w:t>
      </w:r>
      <w:r>
        <w:rPr>
          <w:rFonts w:ascii="Calibri" w:eastAsia="Calibri"/>
        </w:rPr>
        <w:t>11.4 </w:t>
      </w:r>
      <w:r>
        <w:rPr/>
        <w:t>款和第 </w:t>
      </w:r>
      <w:r>
        <w:rPr>
          <w:rFonts w:ascii="Calibri" w:eastAsia="Calibri"/>
        </w:rPr>
        <w:t>11.6 </w:t>
      </w:r>
      <w:r>
        <w:rPr/>
        <w:t>款约定所作的变更。</w:t>
      </w:r>
    </w:p>
    <w:p>
      <w:pPr>
        <w:pStyle w:val="ListParagraph"/>
        <w:numPr>
          <w:ilvl w:val="3"/>
          <w:numId w:val="31"/>
        </w:numPr>
        <w:tabs>
          <w:tab w:pos="1429" w:val="left" w:leader="none"/>
        </w:tabs>
        <w:spacing w:line="362" w:lineRule="auto" w:before="158" w:after="0"/>
        <w:ind w:left="226" w:right="1347" w:firstLine="480"/>
        <w:jc w:val="left"/>
        <w:rPr>
          <w:sz w:val="24"/>
        </w:rPr>
      </w:pPr>
      <w:r>
        <w:rPr>
          <w:spacing w:val="-10"/>
          <w:sz w:val="24"/>
        </w:rPr>
        <w:t>竣工日期：即合同工程完工日期，指第 </w:t>
      </w:r>
      <w:r>
        <w:rPr>
          <w:rFonts w:ascii="Calibri" w:eastAsia="Calibri"/>
          <w:sz w:val="24"/>
        </w:rPr>
        <w:t>1.1.4.3 </w:t>
      </w:r>
      <w:r>
        <w:rPr>
          <w:spacing w:val="-2"/>
          <w:sz w:val="24"/>
        </w:rPr>
        <w:t>目约定工期届满时的日期。实际完工日期以合同工程完工证书中写明的日期为准。</w:t>
      </w:r>
    </w:p>
    <w:p>
      <w:pPr>
        <w:pStyle w:val="ListParagraph"/>
        <w:numPr>
          <w:ilvl w:val="3"/>
          <w:numId w:val="31"/>
        </w:numPr>
        <w:tabs>
          <w:tab w:pos="1429" w:val="left" w:leader="none"/>
        </w:tabs>
        <w:spacing w:line="374" w:lineRule="auto" w:before="2" w:after="0"/>
        <w:ind w:left="226" w:right="1288" w:firstLine="480"/>
        <w:jc w:val="left"/>
        <w:rPr>
          <w:sz w:val="24"/>
        </w:rPr>
      </w:pPr>
      <w:r>
        <w:rPr>
          <w:spacing w:val="-4"/>
          <w:sz w:val="24"/>
        </w:rPr>
        <w:t>缺陷责任期：即工程质量保修期，指履行第 </w:t>
      </w:r>
      <w:r>
        <w:rPr>
          <w:rFonts w:ascii="Calibri" w:eastAsia="Calibri"/>
          <w:sz w:val="24"/>
        </w:rPr>
        <w:t>17.2</w:t>
      </w:r>
      <w:r>
        <w:rPr>
          <w:rFonts w:ascii="Calibri" w:eastAsia="Calibri"/>
          <w:spacing w:val="2"/>
          <w:sz w:val="24"/>
        </w:rPr>
        <w:t> </w:t>
      </w:r>
      <w:r>
        <w:rPr>
          <w:sz w:val="24"/>
        </w:rPr>
        <w:t>款约定的缺陷责任的期限， </w:t>
      </w:r>
      <w:r>
        <w:rPr>
          <w:spacing w:val="-11"/>
          <w:sz w:val="24"/>
        </w:rPr>
        <w:t>包括根据第 </w:t>
      </w:r>
      <w:r>
        <w:rPr>
          <w:rFonts w:ascii="Calibri" w:eastAsia="Calibri"/>
          <w:sz w:val="24"/>
        </w:rPr>
        <w:t>17.3</w:t>
      </w:r>
      <w:r>
        <w:rPr>
          <w:rFonts w:ascii="Calibri" w:eastAsia="Calibri"/>
          <w:spacing w:val="4"/>
          <w:sz w:val="24"/>
        </w:rPr>
        <w:t> </w:t>
      </w:r>
      <w:r>
        <w:rPr>
          <w:sz w:val="24"/>
        </w:rPr>
        <w:t>款约定所作的延长，具体期限由专用合同条款约定。</w:t>
      </w:r>
    </w:p>
    <w:p>
      <w:pPr>
        <w:pStyle w:val="ListParagraph"/>
        <w:numPr>
          <w:ilvl w:val="3"/>
          <w:numId w:val="31"/>
        </w:numPr>
        <w:tabs>
          <w:tab w:pos="1429" w:val="left" w:leader="none"/>
        </w:tabs>
        <w:spacing w:line="294" w:lineRule="exact" w:before="0" w:after="0"/>
        <w:ind w:left="1428" w:right="0" w:hanging="722"/>
        <w:jc w:val="left"/>
        <w:rPr>
          <w:sz w:val="24"/>
        </w:rPr>
      </w:pPr>
      <w:r>
        <w:rPr>
          <w:spacing w:val="-5"/>
          <w:sz w:val="24"/>
        </w:rPr>
        <w:t>基准日期：指投标截止时间前 </w:t>
      </w:r>
      <w:r>
        <w:rPr>
          <w:rFonts w:ascii="Calibri" w:eastAsia="Calibri"/>
          <w:sz w:val="24"/>
        </w:rPr>
        <w:t>18</w:t>
      </w:r>
      <w:r>
        <w:rPr>
          <w:rFonts w:ascii="Calibri" w:eastAsia="Calibri"/>
          <w:spacing w:val="4"/>
          <w:sz w:val="24"/>
        </w:rPr>
        <w:t> </w:t>
      </w:r>
      <w:r>
        <w:rPr>
          <w:sz w:val="24"/>
        </w:rPr>
        <w:t>天的日期。</w:t>
      </w:r>
    </w:p>
    <w:p>
      <w:pPr>
        <w:pStyle w:val="ListParagraph"/>
        <w:numPr>
          <w:ilvl w:val="3"/>
          <w:numId w:val="31"/>
        </w:numPr>
        <w:tabs>
          <w:tab w:pos="1429" w:val="left" w:leader="none"/>
        </w:tabs>
        <w:spacing w:line="362" w:lineRule="auto" w:before="158" w:after="0"/>
        <w:ind w:left="226" w:right="1342" w:firstLine="480"/>
        <w:jc w:val="left"/>
        <w:rPr>
          <w:sz w:val="24"/>
        </w:rPr>
      </w:pPr>
      <w:r>
        <w:rPr>
          <w:sz w:val="24"/>
        </w:rPr>
        <w:t>天：除特别指明外，指日历天。合同中按天计算时间的，开始当天不计入， 从次日开始计算。期限最后一天的截止时间为当天。</w:t>
      </w:r>
    </w:p>
    <w:p>
      <w:pPr>
        <w:pStyle w:val="ListParagraph"/>
        <w:numPr>
          <w:ilvl w:val="2"/>
          <w:numId w:val="30"/>
        </w:numPr>
        <w:tabs>
          <w:tab w:pos="1248" w:val="left" w:leader="none"/>
        </w:tabs>
        <w:spacing w:line="240" w:lineRule="auto" w:before="3" w:after="0"/>
        <w:ind w:left="1248" w:right="0" w:hanging="541"/>
        <w:jc w:val="left"/>
        <w:rPr>
          <w:sz w:val="24"/>
        </w:rPr>
      </w:pPr>
      <w:r>
        <w:rPr>
          <w:sz w:val="24"/>
        </w:rPr>
        <w:t>合同价格和费用</w:t>
      </w:r>
    </w:p>
    <w:p>
      <w:pPr>
        <w:spacing w:after="0" w:line="240" w:lineRule="auto"/>
        <w:jc w:val="left"/>
        <w:rPr>
          <w:sz w:val="24"/>
        </w:rPr>
        <w:sectPr>
          <w:pgSz w:w="11910" w:h="16850"/>
          <w:pgMar w:header="911" w:footer="0" w:top="1380" w:bottom="280" w:left="1200" w:right="0"/>
        </w:sectPr>
      </w:pPr>
    </w:p>
    <w:p>
      <w:pPr>
        <w:pStyle w:val="ListParagraph"/>
        <w:numPr>
          <w:ilvl w:val="3"/>
          <w:numId w:val="30"/>
        </w:numPr>
        <w:tabs>
          <w:tab w:pos="1429" w:val="left" w:leader="none"/>
        </w:tabs>
        <w:spacing w:line="240" w:lineRule="auto" w:before="135" w:after="0"/>
        <w:ind w:left="1428" w:right="0" w:hanging="722"/>
        <w:jc w:val="left"/>
        <w:rPr>
          <w:sz w:val="24"/>
        </w:rPr>
      </w:pPr>
      <w:r>
        <w:rPr>
          <w:sz w:val="24"/>
        </w:rPr>
        <w:t>签约合同价：指签定合同时合同协议书中写明的合同总金额。</w:t>
      </w:r>
    </w:p>
    <w:p>
      <w:pPr>
        <w:pStyle w:val="ListParagraph"/>
        <w:numPr>
          <w:ilvl w:val="3"/>
          <w:numId w:val="30"/>
        </w:numPr>
        <w:tabs>
          <w:tab w:pos="1489" w:val="left" w:leader="none"/>
        </w:tabs>
        <w:spacing w:line="362" w:lineRule="auto" w:before="158" w:after="0"/>
        <w:ind w:left="226" w:right="1228" w:firstLine="480"/>
        <w:jc w:val="left"/>
        <w:rPr>
          <w:sz w:val="24"/>
        </w:rPr>
      </w:pPr>
      <w:r>
        <w:rPr>
          <w:sz w:val="24"/>
        </w:rPr>
        <w:t>合同价格：指承 包人按合同约定完成了包括缺陷责任期内的全部承包工作</w:t>
      </w:r>
      <w:r>
        <w:rPr>
          <w:spacing w:val="-12"/>
          <w:sz w:val="24"/>
        </w:rPr>
        <w:t>后，发包人应付给承包人的金额，包括在履行合同过程中按合同约定进行的变更和调整。</w:t>
      </w:r>
    </w:p>
    <w:p>
      <w:pPr>
        <w:pStyle w:val="ListParagraph"/>
        <w:numPr>
          <w:ilvl w:val="3"/>
          <w:numId w:val="30"/>
        </w:numPr>
        <w:tabs>
          <w:tab w:pos="1429" w:val="left" w:leader="none"/>
        </w:tabs>
        <w:spacing w:line="362" w:lineRule="auto" w:before="2" w:after="0"/>
        <w:ind w:left="226" w:right="1342" w:firstLine="480"/>
        <w:jc w:val="left"/>
        <w:rPr>
          <w:sz w:val="24"/>
        </w:rPr>
      </w:pPr>
      <w:r>
        <w:rPr>
          <w:sz w:val="24"/>
        </w:rPr>
        <w:t>费用：指为履行合同所发生的或将要发生的所有合理开支，包括管理费和应分摊的其他费用，但不包括利润。</w:t>
      </w:r>
    </w:p>
    <w:p>
      <w:pPr>
        <w:pStyle w:val="BodyText"/>
        <w:spacing w:line="362" w:lineRule="auto" w:before="17"/>
        <w:ind w:left="226" w:right="1282" w:firstLine="480"/>
      </w:pPr>
      <w:r>
        <w:rPr/>
        <w:drawing>
          <wp:anchor distT="0" distB="0" distL="0" distR="0" allowOverlap="1" layoutInCell="1" locked="0" behindDoc="1" simplePos="0" relativeHeight="234738688">
            <wp:simplePos x="0" y="0"/>
            <wp:positionH relativeFrom="page">
              <wp:posOffset>992771</wp:posOffset>
            </wp:positionH>
            <wp:positionV relativeFrom="paragraph">
              <wp:posOffset>163963</wp:posOffset>
            </wp:positionV>
            <wp:extent cx="5578970" cy="5494141"/>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Calibri" w:eastAsia="Calibri"/>
        </w:rPr>
        <w:t>1.1.5.7 </w:t>
      </w:r>
      <w:r>
        <w:rPr/>
        <w:t>质量保证金(或称保留金)：指按第 </w:t>
      </w:r>
      <w:r>
        <w:rPr>
          <w:rFonts w:ascii="Calibri" w:eastAsia="Calibri"/>
        </w:rPr>
        <w:t>16.4.1 </w:t>
      </w:r>
      <w:r>
        <w:rPr/>
        <w:t>项约定用于保证在缺陷责任期内履行缺陷修复义务的金额。</w:t>
      </w:r>
    </w:p>
    <w:p>
      <w:pPr>
        <w:pStyle w:val="ListParagraph"/>
        <w:numPr>
          <w:ilvl w:val="2"/>
          <w:numId w:val="30"/>
        </w:numPr>
        <w:tabs>
          <w:tab w:pos="1248" w:val="left" w:leader="none"/>
        </w:tabs>
        <w:spacing w:line="240" w:lineRule="auto" w:before="3" w:after="0"/>
        <w:ind w:left="1248" w:right="0" w:hanging="541"/>
        <w:jc w:val="left"/>
        <w:rPr>
          <w:sz w:val="24"/>
        </w:rPr>
      </w:pPr>
      <w:r>
        <w:rPr>
          <w:sz w:val="24"/>
        </w:rPr>
        <w:t>其他</w:t>
      </w:r>
    </w:p>
    <w:p>
      <w:pPr>
        <w:pStyle w:val="ListParagraph"/>
        <w:numPr>
          <w:ilvl w:val="3"/>
          <w:numId w:val="30"/>
        </w:numPr>
        <w:tabs>
          <w:tab w:pos="1399" w:val="left" w:leader="none"/>
        </w:tabs>
        <w:spacing w:line="240" w:lineRule="auto" w:before="158" w:after="0"/>
        <w:ind w:left="1398" w:right="0" w:hanging="707"/>
        <w:jc w:val="left"/>
        <w:rPr>
          <w:sz w:val="24"/>
        </w:rPr>
      </w:pPr>
      <w:r>
        <w:rPr>
          <w:spacing w:val="-15"/>
          <w:sz w:val="24"/>
        </w:rPr>
        <w:t>书面形式：指合同文件、信函、电报、传真等可以有形地表现所载内容的形式。</w:t>
      </w:r>
    </w:p>
    <w:p>
      <w:pPr>
        <w:pStyle w:val="ListParagraph"/>
        <w:numPr>
          <w:ilvl w:val="1"/>
          <w:numId w:val="30"/>
        </w:numPr>
        <w:tabs>
          <w:tab w:pos="648" w:val="left" w:leader="none"/>
        </w:tabs>
        <w:spacing w:line="240" w:lineRule="auto" w:before="157" w:after="0"/>
        <w:ind w:left="647" w:right="0" w:hanging="422"/>
        <w:jc w:val="left"/>
        <w:rPr>
          <w:rFonts w:ascii="黑体" w:eastAsia="黑体" w:hint="eastAsia"/>
          <w:sz w:val="24"/>
        </w:rPr>
      </w:pPr>
      <w:r>
        <w:rPr>
          <w:rFonts w:ascii="黑体" w:eastAsia="黑体" w:hint="eastAsia"/>
          <w:sz w:val="24"/>
        </w:rPr>
        <w:t>语言文字</w:t>
      </w:r>
    </w:p>
    <w:p>
      <w:pPr>
        <w:pStyle w:val="BodyText"/>
        <w:spacing w:before="173"/>
        <w:ind w:left="587"/>
      </w:pPr>
      <w:r>
        <w:rPr/>
        <w:t>除专用术语外，合同使用的语言文字为中文。必要时专用术语应附有中文注释。</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法律</w:t>
      </w:r>
    </w:p>
    <w:p>
      <w:pPr>
        <w:pStyle w:val="BodyText"/>
        <w:spacing w:line="362" w:lineRule="auto" w:before="158"/>
        <w:ind w:left="226" w:right="1342" w:firstLine="480"/>
      </w:pPr>
      <w:r>
        <w:rPr/>
        <w:t>适用于合同的法律包括中华人民共和国法律、行政法规、部门规章，以及工程所在地的地方法规、自治条例、单行条例和地方政府规章。</w:t>
      </w:r>
    </w:p>
    <w:p>
      <w:pPr>
        <w:pStyle w:val="ListParagraph"/>
        <w:numPr>
          <w:ilvl w:val="1"/>
          <w:numId w:val="30"/>
        </w:numPr>
        <w:tabs>
          <w:tab w:pos="648" w:val="left" w:leader="none"/>
        </w:tabs>
        <w:spacing w:line="240" w:lineRule="auto" w:before="2" w:after="0"/>
        <w:ind w:left="647" w:right="0" w:hanging="422"/>
        <w:jc w:val="left"/>
        <w:rPr>
          <w:rFonts w:ascii="黑体" w:eastAsia="黑体" w:hint="eastAsia"/>
          <w:sz w:val="24"/>
        </w:rPr>
      </w:pPr>
      <w:r>
        <w:rPr>
          <w:rFonts w:ascii="黑体" w:eastAsia="黑体" w:hint="eastAsia"/>
          <w:sz w:val="24"/>
        </w:rPr>
        <w:t>合同文件的优先顺序</w:t>
      </w:r>
    </w:p>
    <w:p>
      <w:pPr>
        <w:pStyle w:val="BodyText"/>
        <w:spacing w:line="362" w:lineRule="auto" w:before="173"/>
        <w:ind w:left="226" w:right="1342" w:firstLine="480"/>
      </w:pPr>
      <w:r>
        <w:rPr/>
        <w:t>组成合同的各项文件应互相解释，互为说明。除专用合同条款另有约定外，解释合同文件的优先顺序如下：</w:t>
      </w:r>
    </w:p>
    <w:p>
      <w:pPr>
        <w:pStyle w:val="BodyText"/>
        <w:spacing w:before="2"/>
        <w:ind w:left="707"/>
      </w:pPr>
      <w:r>
        <w:rPr>
          <w:spacing w:val="-1"/>
        </w:rPr>
        <w:t>(1)</w:t>
      </w:r>
      <w:r>
        <w:rPr/>
        <w:t>合同协议书； </w:t>
      </w:r>
    </w:p>
    <w:p>
      <w:pPr>
        <w:pStyle w:val="BodyText"/>
        <w:spacing w:before="158"/>
        <w:ind w:left="707"/>
      </w:pPr>
      <w:r>
        <w:rPr>
          <w:spacing w:val="-1"/>
        </w:rPr>
        <w:t>(2)</w:t>
      </w:r>
      <w:r>
        <w:rPr/>
        <w:t>中标通知书；     </w:t>
      </w:r>
    </w:p>
    <w:p>
      <w:pPr>
        <w:pStyle w:val="BodyText"/>
        <w:spacing w:line="374" w:lineRule="auto" w:before="158"/>
        <w:ind w:left="707" w:right="6998"/>
      </w:pPr>
      <w:r>
        <w:rPr/>
        <w:t>(3)投标函及投标函附录； (4)专用合同条款； </w:t>
      </w:r>
    </w:p>
    <w:p>
      <w:pPr>
        <w:pStyle w:val="BodyText"/>
        <w:spacing w:line="362" w:lineRule="auto"/>
        <w:ind w:left="707" w:right="7603"/>
      </w:pPr>
      <w:r>
        <w:rPr/>
        <w:t>(5)通用合同条款；   (6)技术标准和要求； (7)图纸； </w:t>
      </w:r>
    </w:p>
    <w:p>
      <w:pPr>
        <w:pStyle w:val="BodyText"/>
        <w:spacing w:line="374" w:lineRule="auto"/>
        <w:ind w:left="707" w:right="6998"/>
      </w:pPr>
      <w:r>
        <w:rPr/>
        <w:t>(8)己标价工程量清单；  (9)其他合同文件。 </w:t>
      </w:r>
    </w:p>
    <w:p>
      <w:pPr>
        <w:pStyle w:val="ListParagraph"/>
        <w:numPr>
          <w:ilvl w:val="1"/>
          <w:numId w:val="30"/>
        </w:numPr>
        <w:tabs>
          <w:tab w:pos="648" w:val="left" w:leader="none"/>
        </w:tabs>
        <w:spacing w:line="294" w:lineRule="exact" w:before="0" w:after="0"/>
        <w:ind w:left="647" w:right="0" w:hanging="422"/>
        <w:jc w:val="left"/>
        <w:rPr>
          <w:rFonts w:ascii="黑体" w:eastAsia="黑体" w:hint="eastAsia"/>
          <w:sz w:val="24"/>
        </w:rPr>
      </w:pPr>
      <w:r>
        <w:rPr>
          <w:rFonts w:ascii="黑体" w:eastAsia="黑体" w:hint="eastAsia"/>
          <w:sz w:val="24"/>
        </w:rPr>
        <w:t>合同协议书</w:t>
      </w:r>
    </w:p>
    <w:p>
      <w:pPr>
        <w:pStyle w:val="BodyText"/>
        <w:spacing w:line="362" w:lineRule="auto" w:before="148"/>
        <w:ind w:left="226" w:right="1324" w:firstLine="450"/>
      </w:pPr>
      <w:r>
        <w:rPr>
          <w:spacing w:val="-15"/>
        </w:rPr>
        <w:t>承包人按中标通知书规定的时间与发包人签订合同协议书。除法律另有规定或合同另有约定外，发包人和承包人的法定代表人或其委托代理人在合同协议书上签字并盖单位章。</w:t>
      </w:r>
    </w:p>
    <w:p>
      <w:pPr>
        <w:pStyle w:val="ListParagraph"/>
        <w:numPr>
          <w:ilvl w:val="1"/>
          <w:numId w:val="30"/>
        </w:numPr>
        <w:tabs>
          <w:tab w:pos="648" w:val="left" w:leader="none"/>
        </w:tabs>
        <w:spacing w:line="240" w:lineRule="auto" w:before="2" w:after="0"/>
        <w:ind w:left="647" w:right="0" w:hanging="422"/>
        <w:jc w:val="left"/>
        <w:rPr>
          <w:rFonts w:ascii="黑体" w:eastAsia="黑体" w:hint="eastAsia"/>
          <w:sz w:val="24"/>
        </w:rPr>
      </w:pPr>
      <w:r>
        <w:rPr>
          <w:rFonts w:ascii="黑体" w:eastAsia="黑体" w:hint="eastAsia"/>
          <w:sz w:val="24"/>
        </w:rPr>
        <w:t>图纸和承包人文件</w:t>
      </w:r>
    </w:p>
    <w:p>
      <w:pPr>
        <w:spacing w:after="0" w:line="240" w:lineRule="auto"/>
        <w:jc w:val="left"/>
        <w:rPr>
          <w:rFonts w:ascii="黑体" w:eastAsia="黑体" w:hint="eastAsia"/>
          <w:sz w:val="24"/>
        </w:rPr>
        <w:sectPr>
          <w:pgSz w:w="11910" w:h="16850"/>
          <w:pgMar w:header="911" w:footer="0" w:top="1380" w:bottom="280" w:left="1200" w:right="0"/>
        </w:sectPr>
      </w:pPr>
    </w:p>
    <w:p>
      <w:pPr>
        <w:pStyle w:val="BodyText"/>
        <w:spacing w:line="362" w:lineRule="auto" w:before="135"/>
        <w:ind w:left="226" w:right="1347" w:firstLine="480"/>
        <w:jc w:val="both"/>
      </w:pPr>
      <w:r>
        <w:rPr/>
        <w:t>发包人应按技术标准和要求(合同技术条款)约定的期限和数量将施工图纸以及其它图纸</w:t>
      </w:r>
      <w:r>
        <w:rPr>
          <w:rFonts w:ascii="Calibri" w:eastAsia="Calibri"/>
        </w:rPr>
        <w:t>(</w:t>
      </w:r>
      <w:r>
        <w:rPr/>
        <w:t>包括配套说明和有关资料</w:t>
      </w:r>
      <w:r>
        <w:rPr>
          <w:rFonts w:ascii="Calibri" w:eastAsia="Calibri"/>
        </w:rPr>
        <w:t>)</w:t>
      </w:r>
      <w:r>
        <w:rPr/>
        <w:t>提供给承包人。由于发包人未按时提供图纸造成工期延误的，按第 </w:t>
      </w:r>
      <w:r>
        <w:rPr>
          <w:rFonts w:ascii="Calibri" w:eastAsia="Calibri"/>
        </w:rPr>
        <w:t>11.3 </w:t>
      </w:r>
      <w:r>
        <w:rPr/>
        <w:t>款的约定办理。</w:t>
      </w:r>
    </w:p>
    <w:p>
      <w:pPr>
        <w:pStyle w:val="ListParagraph"/>
        <w:numPr>
          <w:ilvl w:val="2"/>
          <w:numId w:val="30"/>
        </w:numPr>
        <w:tabs>
          <w:tab w:pos="1248" w:val="left" w:leader="none"/>
        </w:tabs>
        <w:spacing w:line="240" w:lineRule="auto" w:before="4" w:after="0"/>
        <w:ind w:left="1248" w:right="0" w:hanging="541"/>
        <w:jc w:val="both"/>
        <w:rPr>
          <w:sz w:val="24"/>
        </w:rPr>
      </w:pPr>
      <w:r>
        <w:rPr>
          <w:sz w:val="24"/>
        </w:rPr>
        <w:t>承包人提供的文件</w:t>
      </w:r>
    </w:p>
    <w:p>
      <w:pPr>
        <w:pStyle w:val="BodyText"/>
        <w:spacing w:line="374" w:lineRule="auto" w:before="157"/>
        <w:ind w:left="226" w:right="1347" w:firstLine="480"/>
      </w:pPr>
      <w:r>
        <w:rPr/>
        <w:drawing>
          <wp:anchor distT="0" distB="0" distL="0" distR="0" allowOverlap="1" layoutInCell="1" locked="0" behindDoc="1" simplePos="0" relativeHeight="234739712">
            <wp:simplePos x="0" y="0"/>
            <wp:positionH relativeFrom="page">
              <wp:posOffset>992771</wp:posOffset>
            </wp:positionH>
            <wp:positionV relativeFrom="paragraph">
              <wp:posOffset>557916</wp:posOffset>
            </wp:positionV>
            <wp:extent cx="5578970" cy="5494141"/>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6" cstate="print"/>
                    <a:stretch>
                      <a:fillRect/>
                    </a:stretch>
                  </pic:blipFill>
                  <pic:spPr>
                    <a:xfrm>
                      <a:off x="0" y="0"/>
                      <a:ext cx="5578970" cy="5494141"/>
                    </a:xfrm>
                    <a:prstGeom prst="rect">
                      <a:avLst/>
                    </a:prstGeom>
                  </pic:spPr>
                </pic:pic>
              </a:graphicData>
            </a:graphic>
          </wp:anchor>
        </w:drawing>
      </w:r>
      <w:r>
        <w:rPr/>
        <w:t>承包人提供的文件应按技术标准和要求(合同技术条款)约定的期限和数量提供给监理人。监理人应按技术标准和要求(合同技术条款)约定的期限批复承包人。 </w:t>
      </w:r>
    </w:p>
    <w:p>
      <w:pPr>
        <w:pStyle w:val="ListParagraph"/>
        <w:numPr>
          <w:ilvl w:val="2"/>
          <w:numId w:val="30"/>
        </w:numPr>
        <w:tabs>
          <w:tab w:pos="1248" w:val="left" w:leader="none"/>
        </w:tabs>
        <w:spacing w:line="294" w:lineRule="exact" w:before="0" w:after="0"/>
        <w:ind w:left="1248" w:right="0" w:hanging="541"/>
        <w:jc w:val="both"/>
        <w:rPr>
          <w:sz w:val="24"/>
        </w:rPr>
      </w:pPr>
      <w:r>
        <w:rPr>
          <w:sz w:val="24"/>
        </w:rPr>
        <w:t>图纸的修改</w:t>
      </w:r>
    </w:p>
    <w:p>
      <w:pPr>
        <w:pStyle w:val="BodyText"/>
        <w:spacing w:line="376" w:lineRule="auto" w:before="158"/>
        <w:ind w:left="226" w:right="1328" w:firstLine="480"/>
        <w:jc w:val="both"/>
        <w:rPr>
          <w:sz w:val="28"/>
        </w:rPr>
      </w:pPr>
      <w:r>
        <w:rPr>
          <w:spacing w:val="-4"/>
        </w:rPr>
        <w:t>设计人需要对已发给承包人的施工图纸进行修改时，监理人应在技术标准和要求</w:t>
      </w:r>
      <w:r>
        <w:rPr>
          <w:rFonts w:ascii="Calibri" w:eastAsia="Calibri"/>
        </w:rPr>
        <w:t>(</w:t>
      </w:r>
      <w:r>
        <w:rPr/>
        <w:t>合同技术条款</w:t>
      </w:r>
      <w:r>
        <w:rPr>
          <w:rFonts w:ascii="Calibri" w:eastAsia="Calibri"/>
        </w:rPr>
        <w:t>)</w:t>
      </w:r>
      <w:r>
        <w:rPr>
          <w:spacing w:val="-3"/>
        </w:rPr>
        <w:t>约定的期限内签发施工图纸的修改图给承包人。承包人应按技术标准和要求(合同技术条款)的约定编制一份承包人实施计划提交监理人批准后执</w:t>
      </w:r>
      <w:r>
        <w:rPr>
          <w:sz w:val="28"/>
        </w:rPr>
        <w:t>行。</w:t>
      </w:r>
    </w:p>
    <w:p>
      <w:pPr>
        <w:pStyle w:val="ListParagraph"/>
        <w:numPr>
          <w:ilvl w:val="2"/>
          <w:numId w:val="30"/>
        </w:numPr>
        <w:tabs>
          <w:tab w:pos="1248" w:val="left" w:leader="none"/>
        </w:tabs>
        <w:spacing w:line="240" w:lineRule="auto" w:before="33" w:after="0"/>
        <w:ind w:left="1248" w:right="0" w:hanging="541"/>
        <w:jc w:val="both"/>
        <w:rPr>
          <w:sz w:val="24"/>
        </w:rPr>
      </w:pPr>
      <w:r>
        <w:rPr>
          <w:sz w:val="24"/>
        </w:rPr>
        <w:t>图纸的错误</w:t>
      </w:r>
    </w:p>
    <w:p>
      <w:pPr>
        <w:pStyle w:val="BodyText"/>
        <w:spacing w:before="157"/>
        <w:ind w:left="707"/>
      </w:pPr>
      <w:r>
        <w:rPr/>
        <w:t>承包人发现发包人提供的图纸存在明显错误或疏忽，应及时通知监理人。</w:t>
      </w:r>
    </w:p>
    <w:p>
      <w:pPr>
        <w:pStyle w:val="ListParagraph"/>
        <w:numPr>
          <w:ilvl w:val="2"/>
          <w:numId w:val="30"/>
        </w:numPr>
        <w:tabs>
          <w:tab w:pos="1248" w:val="left" w:leader="none"/>
        </w:tabs>
        <w:spacing w:line="240" w:lineRule="auto" w:before="158" w:after="0"/>
        <w:ind w:left="1248" w:right="0" w:hanging="541"/>
        <w:jc w:val="both"/>
        <w:rPr>
          <w:sz w:val="24"/>
        </w:rPr>
      </w:pPr>
      <w:r>
        <w:rPr>
          <w:sz w:val="24"/>
        </w:rPr>
        <w:t>图纸和承包人文件的保管</w:t>
      </w:r>
    </w:p>
    <w:p>
      <w:pPr>
        <w:pStyle w:val="BodyText"/>
        <w:spacing w:before="173"/>
        <w:ind w:left="707"/>
      </w:pPr>
      <w:r>
        <w:rPr/>
        <w:t>监理人和承包人均应在施工场地各保存一套完整的包含第 </w:t>
      </w:r>
      <w:r>
        <w:rPr>
          <w:rFonts w:ascii="Calibri" w:eastAsia="Calibri"/>
        </w:rPr>
        <w:t>1.6.1 </w:t>
      </w:r>
      <w:r>
        <w:rPr/>
        <w:t>项、第 </w:t>
      </w:r>
      <w:r>
        <w:rPr>
          <w:rFonts w:ascii="Calibri" w:eastAsia="Calibri"/>
        </w:rPr>
        <w:t>1.6.2 </w:t>
      </w:r>
      <w:r>
        <w:rPr/>
        <w:t>项、第</w:t>
      </w:r>
    </w:p>
    <w:p>
      <w:pPr>
        <w:pStyle w:val="BodyText"/>
        <w:spacing w:before="158"/>
        <w:ind w:left="226"/>
      </w:pPr>
      <w:r>
        <w:rPr>
          <w:rFonts w:ascii="Calibri" w:eastAsia="Calibri"/>
        </w:rPr>
        <w:t>1.6.3 </w:t>
      </w:r>
      <w:r>
        <w:rPr/>
        <w:t>项约定内容的图纸和承包人文件。</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联络</w:t>
      </w:r>
    </w:p>
    <w:p>
      <w:pPr>
        <w:pStyle w:val="ListParagraph"/>
        <w:numPr>
          <w:ilvl w:val="2"/>
          <w:numId w:val="30"/>
        </w:numPr>
        <w:tabs>
          <w:tab w:pos="1248" w:val="left" w:leader="none"/>
        </w:tabs>
        <w:spacing w:line="362" w:lineRule="auto" w:before="158" w:after="0"/>
        <w:ind w:left="226" w:right="1313" w:firstLine="480"/>
        <w:jc w:val="both"/>
        <w:rPr>
          <w:sz w:val="24"/>
        </w:rPr>
      </w:pPr>
      <w:r>
        <w:rPr>
          <w:spacing w:val="-2"/>
          <w:sz w:val="24"/>
        </w:rPr>
        <w:t>与合同有关的通知、批准、证明、证书、指示、要求、请求、同意、意见、确定和决定等，均应采用书面形式。</w:t>
      </w:r>
    </w:p>
    <w:p>
      <w:pPr>
        <w:pStyle w:val="ListParagraph"/>
        <w:numPr>
          <w:ilvl w:val="2"/>
          <w:numId w:val="30"/>
        </w:numPr>
        <w:tabs>
          <w:tab w:pos="1263" w:val="left" w:leader="none"/>
        </w:tabs>
        <w:spacing w:line="362" w:lineRule="auto" w:before="17" w:after="0"/>
        <w:ind w:left="226" w:right="1343" w:firstLine="480"/>
        <w:jc w:val="both"/>
        <w:rPr>
          <w:sz w:val="24"/>
        </w:rPr>
      </w:pPr>
      <w:r>
        <w:rPr>
          <w:spacing w:val="-21"/>
          <w:sz w:val="24"/>
        </w:rPr>
        <w:t>第 </w:t>
      </w:r>
      <w:r>
        <w:rPr>
          <w:rFonts w:ascii="Calibri" w:eastAsia="Calibri"/>
          <w:sz w:val="24"/>
        </w:rPr>
        <w:t>1.7.1</w:t>
      </w:r>
      <w:r>
        <w:rPr>
          <w:rFonts w:ascii="Calibri" w:eastAsia="Calibri"/>
          <w:spacing w:val="24"/>
          <w:sz w:val="24"/>
        </w:rPr>
        <w:t> </w:t>
      </w:r>
      <w:r>
        <w:rPr>
          <w:sz w:val="24"/>
        </w:rPr>
        <w:t>项中的通知、批准、证明、证书、指示、要求、请求、同意、意见、确定和决定等来往函件，均应在合同约定的期限内送达指定地点和接收人，并办理签收</w:t>
      </w:r>
      <w:r>
        <w:rPr>
          <w:spacing w:val="-1"/>
          <w:sz w:val="24"/>
        </w:rPr>
        <w:t>手续。来往函件的送达期限在技术标准和要求</w:t>
      </w:r>
      <w:r>
        <w:rPr>
          <w:rFonts w:ascii="Calibri" w:eastAsia="Calibri"/>
          <w:sz w:val="24"/>
        </w:rPr>
        <w:t>(</w:t>
      </w:r>
      <w:r>
        <w:rPr>
          <w:spacing w:val="1"/>
          <w:sz w:val="24"/>
        </w:rPr>
        <w:t>合同技术条款</w:t>
      </w:r>
      <w:r>
        <w:rPr>
          <w:rFonts w:ascii="Calibri" w:eastAsia="Calibri"/>
          <w:sz w:val="24"/>
        </w:rPr>
        <w:t>)</w:t>
      </w:r>
      <w:r>
        <w:rPr>
          <w:sz w:val="24"/>
        </w:rPr>
        <w:t>中约定，送达地点在专用合同条款中约定。</w:t>
      </w:r>
    </w:p>
    <w:p>
      <w:pPr>
        <w:pStyle w:val="ListParagraph"/>
        <w:numPr>
          <w:ilvl w:val="1"/>
          <w:numId w:val="30"/>
        </w:numPr>
        <w:tabs>
          <w:tab w:pos="648" w:val="left" w:leader="none"/>
        </w:tabs>
        <w:spacing w:line="240" w:lineRule="auto" w:before="4" w:after="0"/>
        <w:ind w:left="647" w:right="0" w:hanging="422"/>
        <w:jc w:val="left"/>
        <w:rPr>
          <w:rFonts w:ascii="黑体" w:eastAsia="黑体" w:hint="eastAsia"/>
          <w:sz w:val="24"/>
        </w:rPr>
      </w:pPr>
      <w:r>
        <w:rPr>
          <w:rFonts w:ascii="黑体" w:eastAsia="黑体" w:hint="eastAsia"/>
          <w:sz w:val="24"/>
        </w:rPr>
        <w:t>转让</w:t>
      </w:r>
    </w:p>
    <w:p>
      <w:pPr>
        <w:pStyle w:val="BodyText"/>
        <w:spacing w:line="362" w:lineRule="auto" w:before="173"/>
        <w:ind w:left="226" w:right="1342" w:firstLine="480"/>
      </w:pPr>
      <w:r>
        <w:rPr/>
        <w:t>除合同另有约定外，未经对方当事人同意，一方当事人不得将合同权利全部或部分转让给第三人，也不得全部或部分转移合同义务。</w:t>
      </w:r>
    </w:p>
    <w:p>
      <w:pPr>
        <w:pStyle w:val="ListParagraph"/>
        <w:numPr>
          <w:ilvl w:val="1"/>
          <w:numId w:val="30"/>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严禁贿赂</w:t>
      </w:r>
    </w:p>
    <w:p>
      <w:pPr>
        <w:pStyle w:val="BodyText"/>
        <w:spacing w:line="362" w:lineRule="auto" w:before="158"/>
        <w:ind w:left="226" w:right="1342" w:firstLine="480"/>
      </w:pPr>
      <w:r>
        <w:rPr/>
        <w:t>合同双方当事人不得以贿赂或变相贿赂的方式，谋取不当利益或损害对方权益。因贿赂造成对方损失的应当赔偿损失。</w:t>
      </w:r>
    </w:p>
    <w:p>
      <w:pPr>
        <w:pStyle w:val="ListParagraph"/>
        <w:numPr>
          <w:ilvl w:val="2"/>
          <w:numId w:val="30"/>
        </w:numPr>
        <w:tabs>
          <w:tab w:pos="1248" w:val="left" w:leader="none"/>
        </w:tabs>
        <w:spacing w:line="240" w:lineRule="auto" w:before="17" w:after="0"/>
        <w:ind w:left="1248" w:right="0" w:hanging="541"/>
        <w:jc w:val="left"/>
        <w:rPr>
          <w:sz w:val="24"/>
        </w:rPr>
      </w:pPr>
      <w:r>
        <w:rPr>
          <w:sz w:val="24"/>
        </w:rPr>
        <w:t>图纸和文件的保密。</w:t>
      </w:r>
    </w:p>
    <w:p>
      <w:pPr>
        <w:spacing w:after="0" w:line="240" w:lineRule="auto"/>
        <w:jc w:val="left"/>
        <w:rPr>
          <w:sz w:val="24"/>
        </w:rPr>
        <w:sectPr>
          <w:pgSz w:w="11910" w:h="16850"/>
          <w:pgMar w:header="911" w:footer="0" w:top="1380" w:bottom="280" w:left="1200" w:right="0"/>
        </w:sectPr>
      </w:pPr>
    </w:p>
    <w:p>
      <w:pPr>
        <w:pStyle w:val="ListParagraph"/>
        <w:numPr>
          <w:ilvl w:val="2"/>
          <w:numId w:val="30"/>
        </w:numPr>
        <w:tabs>
          <w:tab w:pos="1248" w:val="left" w:leader="none"/>
        </w:tabs>
        <w:spacing w:line="362" w:lineRule="auto" w:before="135" w:after="0"/>
        <w:ind w:left="226" w:right="1344" w:firstLine="480"/>
        <w:jc w:val="both"/>
        <w:rPr>
          <w:sz w:val="24"/>
        </w:rPr>
      </w:pPr>
      <w:r>
        <w:rPr>
          <w:spacing w:val="-5"/>
          <w:sz w:val="24"/>
        </w:rPr>
        <w:t>发包人提供的图纸和文件，未经发包人同意，承包人不得为合同以外的目的泄露给他人或公开发表与引用。</w:t>
      </w:r>
    </w:p>
    <w:p>
      <w:pPr>
        <w:pStyle w:val="ListParagraph"/>
        <w:numPr>
          <w:ilvl w:val="2"/>
          <w:numId w:val="30"/>
        </w:numPr>
        <w:tabs>
          <w:tab w:pos="1248" w:val="left" w:leader="none"/>
        </w:tabs>
        <w:spacing w:line="362" w:lineRule="auto" w:before="2" w:after="0"/>
        <w:ind w:left="226" w:right="1344" w:firstLine="480"/>
        <w:jc w:val="both"/>
        <w:rPr>
          <w:sz w:val="24"/>
        </w:rPr>
      </w:pPr>
      <w:r>
        <w:rPr>
          <w:spacing w:val="-6"/>
          <w:sz w:val="24"/>
        </w:rPr>
        <w:t>承包人提供的文件，未经承包人同意，发包人和监理人不得为合同以外的目的泄露给他人或公开发表与引用。</w:t>
      </w:r>
    </w:p>
    <w:p>
      <w:pPr>
        <w:pStyle w:val="ListParagraph"/>
        <w:numPr>
          <w:ilvl w:val="1"/>
          <w:numId w:val="30"/>
        </w:numPr>
        <w:tabs>
          <w:tab w:pos="768" w:val="left" w:leader="none"/>
        </w:tabs>
        <w:spacing w:line="240" w:lineRule="auto" w:before="2" w:after="0"/>
        <w:ind w:left="767" w:right="0" w:hanging="542"/>
        <w:jc w:val="left"/>
        <w:rPr>
          <w:rFonts w:ascii="黑体" w:eastAsia="黑体" w:hint="eastAsia"/>
          <w:sz w:val="24"/>
        </w:rPr>
      </w:pPr>
      <w:r>
        <w:rPr>
          <w:rFonts w:ascii="黑体" w:eastAsia="黑体" w:hint="eastAsia"/>
          <w:sz w:val="24"/>
        </w:rPr>
        <w:t>化石、文物</w:t>
      </w:r>
    </w:p>
    <w:p>
      <w:pPr>
        <w:pStyle w:val="ListParagraph"/>
        <w:numPr>
          <w:ilvl w:val="2"/>
          <w:numId w:val="30"/>
        </w:numPr>
        <w:tabs>
          <w:tab w:pos="1444" w:val="left" w:leader="none"/>
        </w:tabs>
        <w:spacing w:line="362" w:lineRule="auto" w:before="173" w:after="0"/>
        <w:ind w:left="226" w:right="1343" w:firstLine="480"/>
        <w:jc w:val="both"/>
        <w:rPr>
          <w:sz w:val="24"/>
        </w:rPr>
      </w:pPr>
      <w:r>
        <w:rPr/>
        <w:drawing>
          <wp:anchor distT="0" distB="0" distL="0" distR="0" allowOverlap="1" layoutInCell="1" locked="0" behindDoc="1" simplePos="0" relativeHeight="234740736">
            <wp:simplePos x="0" y="0"/>
            <wp:positionH relativeFrom="page">
              <wp:posOffset>992771</wp:posOffset>
            </wp:positionH>
            <wp:positionV relativeFrom="paragraph">
              <wp:posOffset>263023</wp:posOffset>
            </wp:positionV>
            <wp:extent cx="5578970" cy="5494141"/>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在施工场地发掘的所有文物、古迹以及具有地质研究或考古价值的其他遗迹、化石、钱币或物品属于国家所有。一旦发现上述文物，承包人应采取有效合理的保护措施，防止任何人员移动或损坏上述物品，并立即报告当地文物行政部门，同时通知监理人。发包人、监理人和承包人应按文物行政部门要求采取妥善保护措施，由此导致费用增加和（或）工期延误由发包人承担。</w:t>
      </w:r>
    </w:p>
    <w:p>
      <w:pPr>
        <w:pStyle w:val="ListParagraph"/>
        <w:numPr>
          <w:ilvl w:val="2"/>
          <w:numId w:val="30"/>
        </w:numPr>
        <w:tabs>
          <w:tab w:pos="1429" w:val="left" w:leader="none"/>
        </w:tabs>
        <w:spacing w:line="362" w:lineRule="auto" w:before="21" w:after="0"/>
        <w:ind w:left="226" w:right="1342" w:firstLine="480"/>
        <w:jc w:val="both"/>
        <w:rPr>
          <w:sz w:val="24"/>
        </w:rPr>
      </w:pPr>
      <w:r>
        <w:rPr>
          <w:sz w:val="24"/>
        </w:rPr>
        <w:t>承包人发现文物后不及时报告或隐瞒不报，致使文物丢失或损坏的，应赔偿损失，并承担相应的法律责任。</w:t>
      </w:r>
    </w:p>
    <w:p>
      <w:pPr>
        <w:pStyle w:val="ListParagraph"/>
        <w:numPr>
          <w:ilvl w:val="1"/>
          <w:numId w:val="30"/>
        </w:numPr>
        <w:tabs>
          <w:tab w:pos="768" w:val="left" w:leader="none"/>
        </w:tabs>
        <w:spacing w:line="240" w:lineRule="auto" w:before="2" w:after="0"/>
        <w:ind w:left="767" w:right="0" w:hanging="542"/>
        <w:jc w:val="left"/>
        <w:rPr>
          <w:rFonts w:ascii="黑体" w:eastAsia="黑体" w:hint="eastAsia"/>
          <w:sz w:val="24"/>
        </w:rPr>
      </w:pPr>
      <w:r>
        <w:rPr>
          <w:rFonts w:ascii="黑体" w:eastAsia="黑体" w:hint="eastAsia"/>
          <w:sz w:val="24"/>
        </w:rPr>
        <w:t>专利技术</w:t>
      </w:r>
    </w:p>
    <w:p>
      <w:pPr>
        <w:pStyle w:val="ListParagraph"/>
        <w:numPr>
          <w:ilvl w:val="2"/>
          <w:numId w:val="30"/>
        </w:numPr>
        <w:tabs>
          <w:tab w:pos="1429" w:val="left" w:leader="none"/>
        </w:tabs>
        <w:spacing w:line="369" w:lineRule="auto" w:before="158" w:after="0"/>
        <w:ind w:left="226" w:right="1343" w:firstLine="480"/>
        <w:jc w:val="both"/>
        <w:rPr>
          <w:sz w:val="24"/>
        </w:rPr>
      </w:pPr>
      <w:r>
        <w:rPr>
          <w:sz w:val="24"/>
        </w:rPr>
        <w:t>承包人在使用任何材料、承包人设备、工程设备或采用施工工艺时，因侵犯专利权或其他知识产权所引起的责任，由承包人承担，但由于遵照发包人提供的设计或技术标准和要求引起的除外。</w:t>
      </w:r>
    </w:p>
    <w:p>
      <w:pPr>
        <w:pStyle w:val="ListParagraph"/>
        <w:numPr>
          <w:ilvl w:val="2"/>
          <w:numId w:val="30"/>
        </w:numPr>
        <w:tabs>
          <w:tab w:pos="1444" w:val="left" w:leader="none"/>
        </w:tabs>
        <w:spacing w:line="362" w:lineRule="auto" w:before="0" w:after="0"/>
        <w:ind w:left="226" w:right="1346" w:firstLine="480"/>
        <w:jc w:val="both"/>
        <w:rPr>
          <w:sz w:val="24"/>
        </w:rPr>
      </w:pPr>
      <w:r>
        <w:rPr>
          <w:sz w:val="24"/>
        </w:rPr>
        <w:t>承包人在投标文件中采用专利技术的，专利技术的使用费包含在投标报价内。</w:t>
      </w:r>
    </w:p>
    <w:p>
      <w:pPr>
        <w:pStyle w:val="ListParagraph"/>
        <w:numPr>
          <w:ilvl w:val="2"/>
          <w:numId w:val="30"/>
        </w:numPr>
        <w:tabs>
          <w:tab w:pos="1429" w:val="left" w:leader="none"/>
        </w:tabs>
        <w:spacing w:line="362" w:lineRule="auto" w:before="0" w:after="0"/>
        <w:ind w:left="226" w:right="1342" w:firstLine="480"/>
        <w:jc w:val="both"/>
        <w:rPr>
          <w:sz w:val="24"/>
        </w:rPr>
      </w:pPr>
      <w:r>
        <w:rPr>
          <w:sz w:val="24"/>
        </w:rPr>
        <w:t>承包人的技术秘密和声明需要保密的资料和信息，发包人和监理人不得为合同以外的目的泄露给他人。</w:t>
      </w:r>
    </w:p>
    <w:p>
      <w:pPr>
        <w:pStyle w:val="ListParagraph"/>
        <w:numPr>
          <w:ilvl w:val="2"/>
          <w:numId w:val="30"/>
        </w:numPr>
        <w:tabs>
          <w:tab w:pos="1311" w:val="left" w:leader="none"/>
        </w:tabs>
        <w:spacing w:line="362" w:lineRule="auto" w:before="9" w:after="0"/>
        <w:ind w:left="226" w:right="1227" w:firstLine="480"/>
        <w:jc w:val="left"/>
        <w:rPr>
          <w:sz w:val="21"/>
        </w:rPr>
      </w:pPr>
      <w:r>
        <w:rPr>
          <w:sz w:val="24"/>
        </w:rPr>
        <w:t>合同实施过程中，发包人要求承包人采用专利技术的，发包人应办理相应的</w:t>
      </w:r>
      <w:r>
        <w:rPr>
          <w:spacing w:val="-11"/>
          <w:sz w:val="24"/>
        </w:rPr>
        <w:t>使用手续，承包人应按发包人约定的条件使用，并承担使用专利技术的相关试验工作，所需费用由发包人承担。</w:t>
      </w:r>
      <w:r>
        <w:rPr>
          <w:spacing w:val="-11"/>
          <w:sz w:val="21"/>
        </w:rPr>
        <w:t>     </w:t>
      </w:r>
    </w:p>
    <w:p>
      <w:pPr>
        <w:pStyle w:val="ListParagraph"/>
        <w:numPr>
          <w:ilvl w:val="1"/>
          <w:numId w:val="30"/>
        </w:numPr>
        <w:tabs>
          <w:tab w:pos="768" w:val="left" w:leader="none"/>
        </w:tabs>
        <w:spacing w:line="240" w:lineRule="auto" w:before="4" w:after="0"/>
        <w:ind w:left="767" w:right="0" w:hanging="542"/>
        <w:jc w:val="left"/>
        <w:rPr>
          <w:rFonts w:ascii="黑体" w:eastAsia="黑体" w:hint="eastAsia"/>
          <w:sz w:val="24"/>
        </w:rPr>
      </w:pPr>
      <w:r>
        <w:rPr>
          <w:rFonts w:ascii="黑体" w:eastAsia="黑体" w:hint="eastAsia"/>
          <w:sz w:val="24"/>
        </w:rPr>
        <w:t>图纸和文件的保密</w:t>
      </w:r>
    </w:p>
    <w:p>
      <w:pPr>
        <w:pStyle w:val="ListParagraph"/>
        <w:numPr>
          <w:ilvl w:val="2"/>
          <w:numId w:val="30"/>
        </w:numPr>
        <w:tabs>
          <w:tab w:pos="1429" w:val="left" w:leader="none"/>
        </w:tabs>
        <w:spacing w:line="374" w:lineRule="auto" w:before="158" w:after="0"/>
        <w:ind w:left="226" w:right="1342" w:firstLine="480"/>
        <w:jc w:val="both"/>
        <w:rPr>
          <w:sz w:val="24"/>
        </w:rPr>
      </w:pPr>
      <w:r>
        <w:rPr>
          <w:sz w:val="24"/>
        </w:rPr>
        <w:t>发包人提供的图纸和文件，未经发包人同意，承包人不得为合同以外的目的泄露给他人或公开发表与引用。</w:t>
      </w:r>
    </w:p>
    <w:p>
      <w:pPr>
        <w:pStyle w:val="ListParagraph"/>
        <w:numPr>
          <w:ilvl w:val="2"/>
          <w:numId w:val="30"/>
        </w:numPr>
        <w:tabs>
          <w:tab w:pos="1429" w:val="left" w:leader="none"/>
        </w:tabs>
        <w:spacing w:line="362" w:lineRule="auto" w:before="0" w:after="0"/>
        <w:ind w:left="226" w:right="1342" w:firstLine="480"/>
        <w:jc w:val="both"/>
        <w:rPr>
          <w:sz w:val="24"/>
        </w:rPr>
      </w:pPr>
      <w:r>
        <w:rPr>
          <w:sz w:val="24"/>
        </w:rPr>
        <w:t>承包人提供的文件，未经承包人同意，发包人和监理人不得为合同以外的目的泄露给他人或公开发表与引用。</w:t>
      </w:r>
    </w:p>
    <w:p>
      <w:pPr>
        <w:spacing w:after="0" w:line="362" w:lineRule="auto"/>
        <w:jc w:val="both"/>
        <w:rPr>
          <w:sz w:val="24"/>
        </w:rPr>
        <w:sectPr>
          <w:pgSz w:w="11910" w:h="16850"/>
          <w:pgMar w:header="911" w:footer="0" w:top="1380" w:bottom="280" w:left="1200" w:right="0"/>
        </w:sectPr>
      </w:pPr>
    </w:p>
    <w:p>
      <w:pPr>
        <w:pStyle w:val="BodyText"/>
        <w:spacing w:before="3"/>
        <w:rPr>
          <w:sz w:val="8"/>
        </w:rPr>
      </w:pPr>
    </w:p>
    <w:p>
      <w:pPr>
        <w:pStyle w:val="Heading6"/>
        <w:numPr>
          <w:ilvl w:val="0"/>
          <w:numId w:val="30"/>
        </w:numPr>
        <w:tabs>
          <w:tab w:pos="648" w:val="left" w:leader="none"/>
        </w:tabs>
        <w:spacing w:line="240" w:lineRule="auto" w:before="65" w:after="0"/>
        <w:ind w:left="647" w:right="0" w:hanging="422"/>
        <w:jc w:val="left"/>
      </w:pPr>
      <w:bookmarkStart w:name="2. 发包人义务" w:id="68"/>
      <w:bookmarkEnd w:id="68"/>
      <w:r>
        <w:rPr>
          <w:b w:val="0"/>
        </w:rPr>
      </w:r>
      <w:bookmarkStart w:name="2. 发包人义务" w:id="69"/>
      <w:bookmarkEnd w:id="69"/>
      <w:r>
        <w:rPr>
          <w:spacing w:val="5"/>
        </w:rPr>
        <w:t>发包人义务</w:t>
      </w:r>
    </w:p>
    <w:p>
      <w:pPr>
        <w:pStyle w:val="BodyText"/>
        <w:spacing w:before="7"/>
        <w:rPr>
          <w:rFonts w:ascii="黑体"/>
          <w:b/>
          <w:sz w:val="39"/>
        </w:rPr>
      </w:pP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遵守法律</w:t>
      </w:r>
    </w:p>
    <w:p>
      <w:pPr>
        <w:pStyle w:val="BodyText"/>
        <w:spacing w:line="391" w:lineRule="auto" w:before="173"/>
        <w:ind w:left="226" w:right="1342" w:firstLine="480"/>
        <w:rPr>
          <w:sz w:val="28"/>
        </w:rPr>
      </w:pPr>
      <w:r>
        <w:rPr/>
        <w:t>发包人在履行合同过程中应遵守法律，并保证承包人免于承担因发包人违反法律而引起的任何责任</w:t>
      </w:r>
      <w:r>
        <w:rPr>
          <w:sz w:val="28"/>
        </w:rPr>
        <w:t>。</w:t>
      </w:r>
    </w:p>
    <w:p>
      <w:pPr>
        <w:pStyle w:val="ListParagraph"/>
        <w:numPr>
          <w:ilvl w:val="1"/>
          <w:numId w:val="30"/>
        </w:numPr>
        <w:tabs>
          <w:tab w:pos="648" w:val="left" w:leader="none"/>
        </w:tabs>
        <w:spacing w:line="303" w:lineRule="exact" w:before="0" w:after="0"/>
        <w:ind w:left="647" w:right="0" w:hanging="422"/>
        <w:jc w:val="left"/>
        <w:rPr>
          <w:rFonts w:ascii="黑体" w:eastAsia="黑体" w:hint="eastAsia"/>
          <w:sz w:val="24"/>
        </w:rPr>
      </w:pPr>
      <w:r>
        <w:rPr/>
        <w:drawing>
          <wp:anchor distT="0" distB="0" distL="0" distR="0" allowOverlap="1" layoutInCell="1" locked="0" behindDoc="1" simplePos="0" relativeHeight="234741760">
            <wp:simplePos x="0" y="0"/>
            <wp:positionH relativeFrom="page">
              <wp:posOffset>992771</wp:posOffset>
            </wp:positionH>
            <wp:positionV relativeFrom="paragraph">
              <wp:posOffset>73800</wp:posOffset>
            </wp:positionV>
            <wp:extent cx="5578970" cy="5494141"/>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黑体" w:eastAsia="黑体" w:hint="eastAsia"/>
          <w:sz w:val="24"/>
        </w:rPr>
        <w:t>发出开工通知</w:t>
      </w:r>
    </w:p>
    <w:p>
      <w:pPr>
        <w:pStyle w:val="BodyText"/>
        <w:spacing w:before="173"/>
        <w:ind w:left="587"/>
      </w:pPr>
      <w:r>
        <w:rPr/>
        <w:t>发包人应委托监理人按第 </w:t>
      </w:r>
      <w:r>
        <w:rPr>
          <w:rFonts w:ascii="Calibri" w:eastAsia="Calibri"/>
        </w:rPr>
        <w:t>11.1 </w:t>
      </w:r>
      <w:r>
        <w:rPr/>
        <w:t>款的约定向承包人发出开工通知。</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提供施工场地</w:t>
      </w:r>
    </w:p>
    <w:p>
      <w:pPr>
        <w:pStyle w:val="ListParagraph"/>
        <w:numPr>
          <w:ilvl w:val="2"/>
          <w:numId w:val="30"/>
        </w:numPr>
        <w:tabs>
          <w:tab w:pos="1248" w:val="left" w:leader="none"/>
        </w:tabs>
        <w:spacing w:line="362" w:lineRule="auto" w:before="158" w:after="0"/>
        <w:ind w:left="226" w:right="1027" w:firstLine="480"/>
        <w:jc w:val="both"/>
        <w:rPr>
          <w:sz w:val="24"/>
        </w:rPr>
      </w:pPr>
      <w:r>
        <w:rPr>
          <w:spacing w:val="-4"/>
          <w:sz w:val="24"/>
        </w:rPr>
        <w:t>发包人应在合同双方签订合同协议书后的 </w:t>
      </w:r>
      <w:r>
        <w:rPr>
          <w:rFonts w:ascii="Calibri" w:eastAsia="Calibri"/>
          <w:sz w:val="24"/>
        </w:rPr>
        <w:t>14</w:t>
      </w:r>
      <w:r>
        <w:rPr>
          <w:rFonts w:ascii="Calibri" w:eastAsia="Calibri"/>
          <w:spacing w:val="2"/>
          <w:sz w:val="24"/>
        </w:rPr>
        <w:t> </w:t>
      </w:r>
      <w:r>
        <w:rPr>
          <w:spacing w:val="-11"/>
          <w:sz w:val="24"/>
        </w:rPr>
        <w:t>天内，将本合同工程的施工场地范围</w:t>
      </w:r>
      <w:r>
        <w:rPr>
          <w:spacing w:val="-7"/>
          <w:sz w:val="24"/>
        </w:rPr>
        <w:t>图提交给承包人。发包人提供的施工场地范围图应标明场地范围内永久占地与临时占地的范围和界限，以及指明提供给承包人用于施工场地布置的范围和界限及其有关资料。</w:t>
      </w:r>
    </w:p>
    <w:p>
      <w:pPr>
        <w:pStyle w:val="ListParagraph"/>
        <w:numPr>
          <w:ilvl w:val="2"/>
          <w:numId w:val="30"/>
        </w:numPr>
        <w:tabs>
          <w:tab w:pos="1248" w:val="left" w:leader="none"/>
        </w:tabs>
        <w:spacing w:line="240" w:lineRule="auto" w:before="18" w:after="0"/>
        <w:ind w:left="1248" w:right="0" w:hanging="541"/>
        <w:jc w:val="both"/>
        <w:rPr>
          <w:sz w:val="24"/>
        </w:rPr>
      </w:pPr>
      <w:r>
        <w:rPr>
          <w:sz w:val="24"/>
        </w:rPr>
        <w:t>发包人提供的施工用地范围在专用合同条款中约定。</w:t>
      </w:r>
    </w:p>
    <w:p>
      <w:pPr>
        <w:pStyle w:val="ListParagraph"/>
        <w:numPr>
          <w:ilvl w:val="2"/>
          <w:numId w:val="30"/>
        </w:numPr>
        <w:tabs>
          <w:tab w:pos="1248" w:val="left" w:leader="none"/>
        </w:tabs>
        <w:spacing w:line="362" w:lineRule="auto" w:before="158" w:after="0"/>
        <w:ind w:left="226" w:right="913" w:firstLine="480"/>
        <w:jc w:val="left"/>
        <w:rPr>
          <w:sz w:val="24"/>
        </w:rPr>
      </w:pPr>
      <w:r>
        <w:rPr>
          <w:spacing w:val="-9"/>
          <w:sz w:val="24"/>
        </w:rPr>
        <w:t>除专用合同条款另有约定外，发包人应按技术标淮和要求(合同技术条款)的约定， </w:t>
      </w:r>
      <w:r>
        <w:rPr>
          <w:spacing w:val="-6"/>
          <w:sz w:val="24"/>
        </w:rPr>
        <w:t>向承包人提供施工场地内的工程地质图纸和报告，以及地下障碍物图纸等施工场地有关资料，并保证资料的真实、准确、完整。</w:t>
      </w:r>
    </w:p>
    <w:p>
      <w:pPr>
        <w:pStyle w:val="ListParagraph"/>
        <w:numPr>
          <w:ilvl w:val="1"/>
          <w:numId w:val="30"/>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协助承包人办理证件和批件</w:t>
      </w:r>
    </w:p>
    <w:p>
      <w:pPr>
        <w:pStyle w:val="BodyText"/>
        <w:spacing w:before="173"/>
        <w:ind w:left="587"/>
      </w:pPr>
      <w:r>
        <w:rPr/>
        <w:t>发包人应协助承包人办理法律规定的有关施工证件和批件。</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组织设计交底</w:t>
      </w:r>
    </w:p>
    <w:p>
      <w:pPr>
        <w:pStyle w:val="BodyText"/>
        <w:spacing w:before="158"/>
        <w:ind w:left="587"/>
      </w:pPr>
      <w:r>
        <w:rPr/>
        <w:t>发包人应根据合同进度计划，组织设计单位向承包人进行设计交底。</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支付合同价款</w:t>
      </w:r>
    </w:p>
    <w:p>
      <w:pPr>
        <w:pStyle w:val="BodyText"/>
        <w:spacing w:before="158"/>
        <w:ind w:left="587"/>
      </w:pPr>
      <w:r>
        <w:rPr/>
        <w:t>发包人应按合同约定向承包人及时支付合同价款。</w:t>
      </w:r>
    </w:p>
    <w:p>
      <w:pPr>
        <w:pStyle w:val="ListParagraph"/>
        <w:numPr>
          <w:ilvl w:val="1"/>
          <w:numId w:val="30"/>
        </w:numPr>
        <w:tabs>
          <w:tab w:pos="648" w:val="left" w:leader="none"/>
        </w:tabs>
        <w:spacing w:line="240" w:lineRule="auto" w:before="173" w:after="0"/>
        <w:ind w:left="647" w:right="0" w:hanging="422"/>
        <w:jc w:val="left"/>
        <w:rPr>
          <w:rFonts w:ascii="黑体" w:eastAsia="黑体" w:hint="eastAsia"/>
          <w:sz w:val="24"/>
        </w:rPr>
      </w:pPr>
      <w:r>
        <w:rPr>
          <w:rFonts w:ascii="黑体" w:eastAsia="黑体" w:hint="eastAsia"/>
          <w:sz w:val="24"/>
        </w:rPr>
        <w:t>组织竣工验收(组织法人验收)</w:t>
      </w:r>
    </w:p>
    <w:p>
      <w:pPr>
        <w:pStyle w:val="BodyText"/>
        <w:spacing w:before="157"/>
        <w:ind w:left="587"/>
      </w:pPr>
      <w:r>
        <w:rPr/>
        <w:t>发包人应按合同约定及时组织竣工验收。</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其他义务</w:t>
      </w:r>
    </w:p>
    <w:p>
      <w:pPr>
        <w:pStyle w:val="BodyText"/>
        <w:spacing w:before="158"/>
        <w:ind w:left="587"/>
      </w:pPr>
      <w:r>
        <w:rPr/>
        <w:t>其它义务在专用合同条款中补充约定。</w:t>
      </w:r>
    </w:p>
    <w:p>
      <w:pPr>
        <w:pStyle w:val="BodyText"/>
      </w:pPr>
    </w:p>
    <w:p>
      <w:pPr>
        <w:pStyle w:val="Heading6"/>
        <w:numPr>
          <w:ilvl w:val="0"/>
          <w:numId w:val="30"/>
        </w:numPr>
        <w:tabs>
          <w:tab w:pos="542" w:val="left" w:leader="none"/>
        </w:tabs>
        <w:spacing w:line="240" w:lineRule="auto" w:before="171" w:after="0"/>
        <w:ind w:left="542" w:right="0" w:hanging="316"/>
        <w:jc w:val="left"/>
      </w:pPr>
      <w:bookmarkStart w:name="3.监理人" w:id="70"/>
      <w:bookmarkEnd w:id="70"/>
      <w:r>
        <w:rPr>
          <w:b w:val="0"/>
        </w:rPr>
      </w:r>
      <w:bookmarkStart w:name="3.监理人" w:id="71"/>
      <w:bookmarkEnd w:id="71"/>
      <w:r>
        <w:rPr/>
        <w:t>监理人</w:t>
      </w:r>
    </w:p>
    <w:p>
      <w:pPr>
        <w:pStyle w:val="BodyText"/>
        <w:spacing w:before="9"/>
        <w:rPr>
          <w:rFonts w:ascii="黑体"/>
          <w:b/>
          <w:sz w:val="40"/>
        </w:rPr>
      </w:pP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监理人的职责和权力</w:t>
      </w:r>
    </w:p>
    <w:p>
      <w:pPr>
        <w:pStyle w:val="ListParagraph"/>
        <w:numPr>
          <w:ilvl w:val="2"/>
          <w:numId w:val="30"/>
        </w:numPr>
        <w:tabs>
          <w:tab w:pos="1248" w:val="left" w:leader="none"/>
        </w:tabs>
        <w:spacing w:line="240" w:lineRule="auto" w:before="158" w:after="0"/>
        <w:ind w:left="1248" w:right="0" w:hanging="541"/>
        <w:jc w:val="both"/>
        <w:rPr>
          <w:sz w:val="24"/>
        </w:rPr>
      </w:pPr>
      <w:r>
        <w:rPr>
          <w:spacing w:val="-5"/>
          <w:sz w:val="24"/>
        </w:rPr>
        <w:t>监理人受发包人的委托，享有合同约定的权力。监理人的权力范围在专用合同</w:t>
      </w:r>
    </w:p>
    <w:p>
      <w:pPr>
        <w:spacing w:after="0" w:line="240" w:lineRule="auto"/>
        <w:jc w:val="both"/>
        <w:rPr>
          <w:sz w:val="24"/>
        </w:rPr>
        <w:sectPr>
          <w:pgSz w:w="11910" w:h="16850"/>
          <w:pgMar w:header="911" w:footer="0" w:top="1380" w:bottom="280" w:left="1200" w:right="0"/>
        </w:sectPr>
      </w:pPr>
    </w:p>
    <w:p>
      <w:pPr>
        <w:pStyle w:val="BodyText"/>
        <w:spacing w:line="362" w:lineRule="auto" w:before="135"/>
        <w:ind w:left="226" w:right="1343"/>
        <w:jc w:val="both"/>
      </w:pPr>
      <w:r>
        <w:rPr/>
        <w:t>条款中明确。当监理人认为出现了危及生命、工程或毗邻财产等安全的紧急事件时，在不免除合同约定的承包人责任的情况下，监理人可以指示承包人实施为消除或减少这种危险所必须进行的工作，即使没有发包人的事先批准，承包人也应立即遵照执行。监理人应按第 </w:t>
      </w:r>
      <w:r>
        <w:rPr>
          <w:rFonts w:ascii="Calibri" w:eastAsia="Calibri"/>
        </w:rPr>
        <w:t>15 </w:t>
      </w:r>
      <w:r>
        <w:rPr/>
        <w:t>条的约定增加相应的费用，并通知承包人。</w:t>
      </w:r>
    </w:p>
    <w:p>
      <w:pPr>
        <w:pStyle w:val="ListParagraph"/>
        <w:numPr>
          <w:ilvl w:val="2"/>
          <w:numId w:val="30"/>
        </w:numPr>
        <w:tabs>
          <w:tab w:pos="1248" w:val="left" w:leader="none"/>
        </w:tabs>
        <w:spacing w:line="374" w:lineRule="auto" w:before="4" w:after="0"/>
        <w:ind w:left="226" w:right="1343" w:firstLine="480"/>
        <w:jc w:val="both"/>
        <w:rPr>
          <w:sz w:val="24"/>
        </w:rPr>
      </w:pPr>
      <w:r>
        <w:rPr/>
        <w:drawing>
          <wp:anchor distT="0" distB="0" distL="0" distR="0" allowOverlap="1" layoutInCell="1" locked="0" behindDoc="1" simplePos="0" relativeHeight="234742784">
            <wp:simplePos x="0" y="0"/>
            <wp:positionH relativeFrom="page">
              <wp:posOffset>992771</wp:posOffset>
            </wp:positionH>
            <wp:positionV relativeFrom="paragraph">
              <wp:posOffset>460761</wp:posOffset>
            </wp:positionV>
            <wp:extent cx="5578970" cy="5494141"/>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3"/>
          <w:sz w:val="24"/>
        </w:rPr>
        <w:t>监理人发出的任何指示应视为已得到发包人的批准，但监理人无权免除或变更合同约定的发包人和承包人的权利、义务和责任。</w:t>
      </w:r>
    </w:p>
    <w:p>
      <w:pPr>
        <w:pStyle w:val="ListParagraph"/>
        <w:numPr>
          <w:ilvl w:val="2"/>
          <w:numId w:val="30"/>
        </w:numPr>
        <w:tabs>
          <w:tab w:pos="1248" w:val="left" w:leader="none"/>
        </w:tabs>
        <w:spacing w:line="362" w:lineRule="auto" w:before="0" w:after="0"/>
        <w:ind w:left="226" w:right="1343" w:firstLine="480"/>
        <w:jc w:val="both"/>
        <w:rPr>
          <w:sz w:val="24"/>
        </w:rPr>
      </w:pPr>
      <w:r>
        <w:rPr>
          <w:spacing w:val="-4"/>
          <w:sz w:val="24"/>
        </w:rPr>
        <w:t>合同约定应由承包人承担的义务和责任，不因监理人对承包人提交文件的审查或批准，对工程、材料和设备的检查和检验，以及为实施监理作出的指示等职务行为而减轻或解除。</w:t>
      </w: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总监理工程师</w:t>
      </w:r>
    </w:p>
    <w:p>
      <w:pPr>
        <w:pStyle w:val="BodyText"/>
        <w:spacing w:line="362" w:lineRule="auto" w:before="163"/>
        <w:ind w:left="226" w:right="1344" w:firstLine="480"/>
        <w:jc w:val="both"/>
      </w:pPr>
      <w:r>
        <w:rPr>
          <w:spacing w:val="-1"/>
        </w:rPr>
        <w:t>发包人应在发出开工通知前将总监理工程师的任命通知承包人。总监理工程师更换</w:t>
      </w:r>
      <w:r>
        <w:rPr>
          <w:spacing w:val="-17"/>
        </w:rPr>
        <w:t>时，应在调离 </w:t>
      </w:r>
      <w:r>
        <w:rPr>
          <w:rFonts w:ascii="Calibri" w:eastAsia="Calibri"/>
        </w:rPr>
        <w:t>14 </w:t>
      </w:r>
      <w:r>
        <w:rPr>
          <w:spacing w:val="-8"/>
        </w:rPr>
        <w:t>天前通知承包人。总监理工程师短期离开施工场地的，应委派代表代行其职责，并通知承包人。</w:t>
      </w:r>
    </w:p>
    <w:p>
      <w:pPr>
        <w:pStyle w:val="ListParagraph"/>
        <w:numPr>
          <w:ilvl w:val="1"/>
          <w:numId w:val="30"/>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监理人员</w:t>
      </w:r>
    </w:p>
    <w:p>
      <w:pPr>
        <w:pStyle w:val="ListParagraph"/>
        <w:numPr>
          <w:ilvl w:val="2"/>
          <w:numId w:val="30"/>
        </w:numPr>
        <w:tabs>
          <w:tab w:pos="1308" w:val="left" w:leader="none"/>
        </w:tabs>
        <w:spacing w:line="367" w:lineRule="auto" w:before="158" w:after="0"/>
        <w:ind w:left="226" w:right="1313" w:firstLine="480"/>
        <w:jc w:val="both"/>
        <w:rPr>
          <w:sz w:val="24"/>
        </w:rPr>
      </w:pPr>
      <w:r>
        <w:rPr>
          <w:spacing w:val="-7"/>
          <w:sz w:val="24"/>
        </w:rPr>
        <w:t>总监理工程师可以授权其他监理人员负责执行其指派的一项或多项监理工作。</w:t>
      </w:r>
      <w:r>
        <w:rPr>
          <w:spacing w:val="-16"/>
          <w:sz w:val="24"/>
        </w:rPr>
        <w:t>总监理工程师应将被援权监理人员的姓名及其授权范围通知承包人。被授权的监理人员在</w:t>
      </w:r>
      <w:r>
        <w:rPr>
          <w:spacing w:val="-17"/>
          <w:sz w:val="24"/>
        </w:rPr>
        <w:t>授权范围内发出的指示视为己得到总监理工程师的同意，与总监理工程师发出的指示具有</w:t>
      </w:r>
      <w:r>
        <w:rPr>
          <w:spacing w:val="-15"/>
          <w:sz w:val="24"/>
        </w:rPr>
        <w:t>同等效力。总监理工程师撤销某项授权时，应将撤销授权的决定及时通知承包人。</w:t>
      </w:r>
    </w:p>
    <w:p>
      <w:pPr>
        <w:pStyle w:val="ListParagraph"/>
        <w:numPr>
          <w:ilvl w:val="2"/>
          <w:numId w:val="30"/>
        </w:numPr>
        <w:tabs>
          <w:tab w:pos="1248" w:val="left" w:leader="none"/>
        </w:tabs>
        <w:spacing w:line="369" w:lineRule="auto" w:before="0" w:after="0"/>
        <w:ind w:left="226" w:right="1343" w:firstLine="480"/>
        <w:jc w:val="both"/>
        <w:rPr>
          <w:sz w:val="24"/>
        </w:rPr>
      </w:pPr>
      <w:r>
        <w:rPr>
          <w:spacing w:val="-5"/>
          <w:sz w:val="24"/>
        </w:rPr>
        <w:t>监理入员对承包入的任何工作、工程或其采用的材料和工程设备未在约定的或合理的期限内提出否定意见的，视为已获批准，但不影响监理人在以后拒绝该项工作、工程、材料或工程设备的权利。</w:t>
      </w:r>
    </w:p>
    <w:p>
      <w:pPr>
        <w:pStyle w:val="ListParagraph"/>
        <w:numPr>
          <w:ilvl w:val="2"/>
          <w:numId w:val="30"/>
        </w:numPr>
        <w:tabs>
          <w:tab w:pos="1248" w:val="left" w:leader="none"/>
        </w:tabs>
        <w:spacing w:line="362" w:lineRule="auto" w:before="0" w:after="0"/>
        <w:ind w:left="226" w:right="1343" w:firstLine="480"/>
        <w:jc w:val="both"/>
        <w:rPr>
          <w:sz w:val="24"/>
        </w:rPr>
      </w:pPr>
      <w:r>
        <w:rPr>
          <w:spacing w:val="-3"/>
          <w:sz w:val="24"/>
        </w:rPr>
        <w:t>承包人对总监理工程师授权的监理人员发出的指示有疑问的，可向总监理工程</w:t>
      </w:r>
      <w:r>
        <w:rPr>
          <w:spacing w:val="-7"/>
          <w:sz w:val="24"/>
        </w:rPr>
        <w:t>师提出书面异议，总监理工程师应在 </w:t>
      </w:r>
      <w:r>
        <w:rPr>
          <w:rFonts w:ascii="Calibri" w:eastAsia="Calibri"/>
          <w:sz w:val="24"/>
        </w:rPr>
        <w:t>48</w:t>
      </w:r>
      <w:r>
        <w:rPr>
          <w:rFonts w:ascii="Calibri" w:eastAsia="Calibri"/>
          <w:spacing w:val="4"/>
          <w:sz w:val="24"/>
        </w:rPr>
        <w:t> </w:t>
      </w:r>
      <w:r>
        <w:rPr>
          <w:sz w:val="24"/>
        </w:rPr>
        <w:t>小时内对该指示予以确认、更改或撤销。</w:t>
      </w:r>
    </w:p>
    <w:p>
      <w:pPr>
        <w:pStyle w:val="ListParagraph"/>
        <w:numPr>
          <w:ilvl w:val="2"/>
          <w:numId w:val="30"/>
        </w:numPr>
        <w:tabs>
          <w:tab w:pos="1248" w:val="left" w:leader="none"/>
        </w:tabs>
        <w:spacing w:line="362" w:lineRule="auto" w:before="0" w:after="0"/>
        <w:ind w:left="226" w:right="1348" w:firstLine="480"/>
        <w:jc w:val="both"/>
        <w:rPr>
          <w:sz w:val="24"/>
        </w:rPr>
      </w:pPr>
      <w:r>
        <w:rPr>
          <w:spacing w:val="-3"/>
          <w:sz w:val="24"/>
        </w:rPr>
        <w:t>除专用合同条款另有约定外，总监理工程师不应将第 </w:t>
      </w:r>
      <w:r>
        <w:rPr>
          <w:rFonts w:ascii="Calibri" w:eastAsia="Calibri"/>
          <w:sz w:val="24"/>
        </w:rPr>
        <w:t>3.5</w:t>
      </w:r>
      <w:r>
        <w:rPr>
          <w:rFonts w:ascii="Calibri" w:eastAsia="Calibri"/>
          <w:spacing w:val="3"/>
          <w:sz w:val="24"/>
        </w:rPr>
        <w:t> </w:t>
      </w:r>
      <w:r>
        <w:rPr>
          <w:sz w:val="24"/>
        </w:rPr>
        <w:t>款约定应由总监理工程师作出确定的权力授权或委托给其他监理人员。</w:t>
      </w:r>
    </w:p>
    <w:p>
      <w:pPr>
        <w:pStyle w:val="ListParagraph"/>
        <w:numPr>
          <w:ilvl w:val="1"/>
          <w:numId w:val="30"/>
        </w:numPr>
        <w:tabs>
          <w:tab w:pos="648" w:val="left" w:leader="none"/>
        </w:tabs>
        <w:spacing w:line="240" w:lineRule="auto" w:before="5" w:after="0"/>
        <w:ind w:left="647" w:right="0" w:hanging="422"/>
        <w:jc w:val="left"/>
        <w:rPr>
          <w:rFonts w:ascii="黑体" w:eastAsia="黑体" w:hint="eastAsia"/>
          <w:sz w:val="24"/>
        </w:rPr>
      </w:pPr>
      <w:r>
        <w:rPr>
          <w:rFonts w:ascii="黑体" w:eastAsia="黑体" w:hint="eastAsia"/>
          <w:sz w:val="24"/>
        </w:rPr>
        <w:t>监理人的指示</w:t>
      </w:r>
    </w:p>
    <w:p>
      <w:pPr>
        <w:pStyle w:val="ListParagraph"/>
        <w:numPr>
          <w:ilvl w:val="2"/>
          <w:numId w:val="30"/>
        </w:numPr>
        <w:tabs>
          <w:tab w:pos="1248" w:val="left" w:leader="none"/>
        </w:tabs>
        <w:spacing w:line="362" w:lineRule="auto" w:before="158" w:after="0"/>
        <w:ind w:left="226" w:right="1318" w:firstLine="480"/>
        <w:jc w:val="both"/>
        <w:rPr>
          <w:sz w:val="24"/>
        </w:rPr>
      </w:pPr>
      <w:r>
        <w:rPr>
          <w:spacing w:val="-9"/>
          <w:sz w:val="24"/>
        </w:rPr>
        <w:t>监理人应按第 </w:t>
      </w:r>
      <w:r>
        <w:rPr>
          <w:rFonts w:ascii="Calibri" w:eastAsia="Calibri"/>
          <w:sz w:val="24"/>
        </w:rPr>
        <w:t>3.1</w:t>
      </w:r>
      <w:r>
        <w:rPr>
          <w:rFonts w:ascii="Calibri" w:eastAsia="Calibri"/>
          <w:spacing w:val="3"/>
          <w:sz w:val="24"/>
        </w:rPr>
        <w:t> </w:t>
      </w:r>
      <w:r>
        <w:rPr>
          <w:sz w:val="24"/>
        </w:rPr>
        <w:t>款的约定向承包人发出指示，监理入的指示应盖有监理人授</w:t>
      </w:r>
      <w:r>
        <w:rPr>
          <w:spacing w:val="-17"/>
          <w:sz w:val="24"/>
        </w:rPr>
        <w:t>权的施工场地机构章，并由总监理工程师或总监理工程师按第 </w:t>
      </w:r>
      <w:r>
        <w:rPr>
          <w:rFonts w:ascii="Calibri" w:eastAsia="Calibri"/>
          <w:spacing w:val="-5"/>
          <w:sz w:val="24"/>
        </w:rPr>
        <w:t>3.3.1</w:t>
      </w:r>
      <w:r>
        <w:rPr>
          <w:rFonts w:ascii="Calibri" w:eastAsia="Calibri"/>
          <w:spacing w:val="-10"/>
          <w:sz w:val="24"/>
        </w:rPr>
        <w:t> </w:t>
      </w:r>
      <w:r>
        <w:rPr>
          <w:spacing w:val="-8"/>
          <w:sz w:val="24"/>
        </w:rPr>
        <w:t>项约定授权的监理人员签字。</w:t>
      </w:r>
    </w:p>
    <w:p>
      <w:pPr>
        <w:pStyle w:val="ListParagraph"/>
        <w:numPr>
          <w:ilvl w:val="2"/>
          <w:numId w:val="30"/>
        </w:numPr>
        <w:tabs>
          <w:tab w:pos="1263" w:val="left" w:leader="none"/>
        </w:tabs>
        <w:spacing w:line="240" w:lineRule="auto" w:before="3" w:after="0"/>
        <w:ind w:left="1263" w:right="0" w:hanging="556"/>
        <w:jc w:val="both"/>
        <w:rPr>
          <w:sz w:val="24"/>
        </w:rPr>
      </w:pPr>
      <w:r>
        <w:rPr>
          <w:spacing w:val="-5"/>
          <w:sz w:val="24"/>
        </w:rPr>
        <w:t>承包人收到监理人按第 </w:t>
      </w:r>
      <w:r>
        <w:rPr>
          <w:rFonts w:ascii="Calibri" w:eastAsia="Calibri"/>
          <w:sz w:val="24"/>
        </w:rPr>
        <w:t>3.4.1</w:t>
      </w:r>
      <w:r>
        <w:rPr>
          <w:rFonts w:ascii="Calibri" w:eastAsia="Calibri"/>
          <w:spacing w:val="20"/>
          <w:sz w:val="24"/>
        </w:rPr>
        <w:t> </w:t>
      </w:r>
      <w:r>
        <w:rPr>
          <w:sz w:val="24"/>
        </w:rPr>
        <w:t>项作出的指示后应遵照执行。指示构成变更的，</w:t>
      </w:r>
    </w:p>
    <w:p>
      <w:pPr>
        <w:spacing w:after="0" w:line="240" w:lineRule="auto"/>
        <w:jc w:val="both"/>
        <w:rPr>
          <w:sz w:val="24"/>
        </w:rPr>
        <w:sectPr>
          <w:pgSz w:w="11910" w:h="16850"/>
          <w:pgMar w:header="911" w:footer="0" w:top="1380" w:bottom="280" w:left="1200" w:right="0"/>
        </w:sectPr>
      </w:pPr>
    </w:p>
    <w:p>
      <w:pPr>
        <w:pStyle w:val="BodyText"/>
        <w:spacing w:before="135"/>
        <w:ind w:left="226"/>
        <w:jc w:val="both"/>
      </w:pPr>
      <w:r>
        <w:rPr/>
        <w:t>应按第 </w:t>
      </w:r>
      <w:r>
        <w:rPr>
          <w:rFonts w:ascii="Calibri" w:eastAsia="Calibri"/>
        </w:rPr>
        <w:t>23 </w:t>
      </w:r>
      <w:r>
        <w:rPr/>
        <w:t>条处理。</w:t>
      </w:r>
    </w:p>
    <w:p>
      <w:pPr>
        <w:pStyle w:val="ListParagraph"/>
        <w:numPr>
          <w:ilvl w:val="2"/>
          <w:numId w:val="30"/>
        </w:numPr>
        <w:tabs>
          <w:tab w:pos="1308" w:val="left" w:leader="none"/>
        </w:tabs>
        <w:spacing w:line="362" w:lineRule="auto" w:before="158" w:after="0"/>
        <w:ind w:left="226" w:right="1346" w:firstLine="480"/>
        <w:jc w:val="both"/>
        <w:rPr>
          <w:sz w:val="24"/>
        </w:rPr>
      </w:pPr>
      <w:r>
        <w:rPr>
          <w:sz w:val="24"/>
        </w:rPr>
        <w:t>在紧急情况下，总监理工程师或被授权的监理人员可以当场签发临时书面指</w:t>
      </w:r>
      <w:r>
        <w:rPr>
          <w:spacing w:val="-13"/>
          <w:sz w:val="24"/>
        </w:rPr>
        <w:t>示，承包人应遵照执行。承包人应在收到上述临时书面指示后 </w:t>
      </w:r>
      <w:r>
        <w:rPr>
          <w:rFonts w:ascii="Calibri" w:eastAsia="Calibri"/>
          <w:sz w:val="24"/>
        </w:rPr>
        <w:t>24</w:t>
      </w:r>
      <w:r>
        <w:rPr>
          <w:rFonts w:ascii="Calibri" w:eastAsia="Calibri"/>
          <w:spacing w:val="3"/>
          <w:sz w:val="24"/>
        </w:rPr>
        <w:t> </w:t>
      </w:r>
      <w:r>
        <w:rPr>
          <w:spacing w:val="-6"/>
          <w:sz w:val="24"/>
        </w:rPr>
        <w:t>小时内，向监理人发出</w:t>
      </w:r>
      <w:r>
        <w:rPr>
          <w:spacing w:val="-13"/>
          <w:sz w:val="24"/>
        </w:rPr>
        <w:t>书面确认函。监理人在收到书面确认函后 </w:t>
      </w:r>
      <w:r>
        <w:rPr>
          <w:rFonts w:ascii="Calibri" w:eastAsia="Calibri"/>
          <w:sz w:val="24"/>
        </w:rPr>
        <w:t>24</w:t>
      </w:r>
      <w:r>
        <w:rPr>
          <w:rFonts w:ascii="Calibri" w:eastAsia="Calibri"/>
          <w:spacing w:val="3"/>
          <w:sz w:val="24"/>
        </w:rPr>
        <w:t> </w:t>
      </w:r>
      <w:r>
        <w:rPr>
          <w:spacing w:val="-7"/>
          <w:sz w:val="24"/>
        </w:rPr>
        <w:t>小时内未予答复的，该书面确认函应被视为监理人的正式指示。</w:t>
      </w:r>
    </w:p>
    <w:p>
      <w:pPr>
        <w:pStyle w:val="ListParagraph"/>
        <w:numPr>
          <w:ilvl w:val="2"/>
          <w:numId w:val="30"/>
        </w:numPr>
        <w:tabs>
          <w:tab w:pos="1263" w:val="left" w:leader="none"/>
        </w:tabs>
        <w:spacing w:line="362" w:lineRule="auto" w:before="19" w:after="0"/>
        <w:ind w:left="226" w:right="1335" w:firstLine="480"/>
        <w:jc w:val="both"/>
        <w:rPr>
          <w:sz w:val="24"/>
        </w:rPr>
      </w:pPr>
      <w:r>
        <w:rPr/>
        <w:drawing>
          <wp:anchor distT="0" distB="0" distL="0" distR="0" allowOverlap="1" layoutInCell="1" locked="0" behindDoc="1" simplePos="0" relativeHeight="234743808">
            <wp:simplePos x="0" y="0"/>
            <wp:positionH relativeFrom="page">
              <wp:posOffset>992771</wp:posOffset>
            </wp:positionH>
            <wp:positionV relativeFrom="paragraph">
              <wp:posOffset>165233</wp:posOffset>
            </wp:positionV>
            <wp:extent cx="5578970" cy="5494141"/>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3"/>
          <w:sz w:val="24"/>
        </w:rPr>
        <w:t>除合同另有约定外，承包入只从总监理工程师或按第 </w:t>
      </w:r>
      <w:r>
        <w:rPr>
          <w:rFonts w:ascii="Calibri" w:eastAsia="Calibri"/>
          <w:sz w:val="24"/>
        </w:rPr>
        <w:t>3.3..1</w:t>
      </w:r>
      <w:r>
        <w:rPr>
          <w:rFonts w:ascii="Calibri" w:eastAsia="Calibri"/>
          <w:spacing w:val="17"/>
          <w:sz w:val="24"/>
        </w:rPr>
        <w:t> </w:t>
      </w:r>
      <w:r>
        <w:rPr>
          <w:spacing w:val="-8"/>
          <w:sz w:val="24"/>
        </w:rPr>
        <w:t>项被授权的 </w:t>
      </w:r>
      <w:r>
        <w:rPr>
          <w:rFonts w:ascii="Calibri" w:eastAsia="Calibri"/>
          <w:sz w:val="24"/>
        </w:rPr>
        <w:t>l</w:t>
      </w:r>
      <w:r>
        <w:rPr>
          <w:rFonts w:ascii="Calibri" w:eastAsia="Calibri"/>
          <w:spacing w:val="24"/>
          <w:sz w:val="24"/>
        </w:rPr>
        <w:t> </w:t>
      </w:r>
      <w:r>
        <w:rPr>
          <w:sz w:val="24"/>
        </w:rPr>
        <w:t>监理人员处取得指示。</w:t>
      </w:r>
    </w:p>
    <w:p>
      <w:pPr>
        <w:pStyle w:val="ListParagraph"/>
        <w:numPr>
          <w:ilvl w:val="2"/>
          <w:numId w:val="30"/>
        </w:numPr>
        <w:tabs>
          <w:tab w:pos="1248" w:val="left" w:leader="none"/>
        </w:tabs>
        <w:spacing w:line="362" w:lineRule="auto" w:before="3" w:after="0"/>
        <w:ind w:left="226" w:right="1343" w:firstLine="480"/>
        <w:jc w:val="both"/>
        <w:rPr>
          <w:sz w:val="24"/>
        </w:rPr>
      </w:pPr>
      <w:r>
        <w:rPr>
          <w:spacing w:val="-4"/>
          <w:sz w:val="24"/>
        </w:rPr>
        <w:t>由于监理人未能按合同约定发出指示、指示延误或指示错误而导致承包人费用增加和(或)工期延误的，由发包人承担赔偿责任。</w:t>
      </w:r>
    </w:p>
    <w:p>
      <w:pPr>
        <w:pStyle w:val="ListParagraph"/>
        <w:numPr>
          <w:ilvl w:val="1"/>
          <w:numId w:val="30"/>
        </w:numPr>
        <w:tabs>
          <w:tab w:pos="648" w:val="left" w:leader="none"/>
        </w:tabs>
        <w:spacing w:line="240" w:lineRule="auto" w:before="1" w:after="0"/>
        <w:ind w:left="647" w:right="0" w:hanging="422"/>
        <w:jc w:val="left"/>
        <w:rPr>
          <w:rFonts w:ascii="黑体" w:eastAsia="黑体" w:hint="eastAsia"/>
          <w:sz w:val="24"/>
        </w:rPr>
      </w:pPr>
      <w:r>
        <w:rPr>
          <w:rFonts w:ascii="黑体" w:eastAsia="黑体" w:hint="eastAsia"/>
          <w:sz w:val="24"/>
        </w:rPr>
        <w:t>商定或确定</w:t>
      </w:r>
    </w:p>
    <w:p>
      <w:pPr>
        <w:pStyle w:val="ListParagraph"/>
        <w:numPr>
          <w:ilvl w:val="2"/>
          <w:numId w:val="30"/>
        </w:numPr>
        <w:tabs>
          <w:tab w:pos="1248" w:val="left" w:leader="none"/>
        </w:tabs>
        <w:spacing w:line="362" w:lineRule="auto" w:before="174" w:after="0"/>
        <w:ind w:left="226" w:right="1343" w:firstLine="480"/>
        <w:jc w:val="both"/>
        <w:rPr>
          <w:sz w:val="24"/>
        </w:rPr>
      </w:pPr>
      <w:r>
        <w:rPr>
          <w:spacing w:val="-3"/>
          <w:sz w:val="24"/>
        </w:rPr>
        <w:t>合同约定总监理工程师应按照本款对任何事项进行商定或确定时，总监理工程师应与合同当事人协商，尽量达成一致。不能达成一致的，总监理工程师应认真研究后审慎确定。</w:t>
      </w:r>
    </w:p>
    <w:p>
      <w:pPr>
        <w:pStyle w:val="ListParagraph"/>
        <w:numPr>
          <w:ilvl w:val="2"/>
          <w:numId w:val="30"/>
        </w:numPr>
        <w:tabs>
          <w:tab w:pos="1248" w:val="left" w:leader="none"/>
        </w:tabs>
        <w:spacing w:line="367" w:lineRule="auto" w:before="3" w:after="0"/>
        <w:ind w:left="226" w:right="1225" w:firstLine="480"/>
        <w:jc w:val="left"/>
        <w:rPr>
          <w:sz w:val="24"/>
        </w:rPr>
      </w:pPr>
      <w:r>
        <w:rPr>
          <w:spacing w:val="-3"/>
          <w:sz w:val="24"/>
        </w:rPr>
        <w:t>总监理工程币应将商定或确定的事项通知合同当事人，并附详细依据。对总监</w:t>
      </w:r>
      <w:r>
        <w:rPr>
          <w:spacing w:val="-11"/>
          <w:sz w:val="24"/>
        </w:rPr>
        <w:t>理工程师的确定有异议的，构成争议，按照第 </w:t>
      </w:r>
      <w:r>
        <w:rPr>
          <w:rFonts w:ascii="Calibri" w:eastAsia="Calibri"/>
          <w:sz w:val="24"/>
        </w:rPr>
        <w:t>22</w:t>
      </w:r>
      <w:r>
        <w:rPr>
          <w:rFonts w:ascii="Calibri" w:eastAsia="Calibri"/>
          <w:spacing w:val="4"/>
          <w:sz w:val="24"/>
        </w:rPr>
        <w:t> </w:t>
      </w:r>
      <w:r>
        <w:rPr>
          <w:spacing w:val="-7"/>
          <w:sz w:val="24"/>
        </w:rPr>
        <w:t>条的约定处理。在争议解决前，双方应</w:t>
      </w:r>
      <w:r>
        <w:rPr>
          <w:spacing w:val="-11"/>
          <w:sz w:val="24"/>
        </w:rPr>
        <w:t>暂按总监理工程师的确定执行，按照第 </w:t>
      </w:r>
      <w:r>
        <w:rPr>
          <w:rFonts w:ascii="Calibri" w:eastAsia="Calibri"/>
          <w:sz w:val="24"/>
        </w:rPr>
        <w:t>22</w:t>
      </w:r>
      <w:r>
        <w:rPr>
          <w:rFonts w:ascii="Calibri" w:eastAsia="Calibri"/>
          <w:spacing w:val="3"/>
          <w:sz w:val="24"/>
        </w:rPr>
        <w:t> </w:t>
      </w:r>
      <w:r>
        <w:rPr>
          <w:sz w:val="24"/>
        </w:rPr>
        <w:t>条的约定对总监理工程师的确定作出修改的， 按修改后的结果执行。</w:t>
      </w:r>
    </w:p>
    <w:p>
      <w:pPr>
        <w:pStyle w:val="BodyText"/>
        <w:spacing w:before="7"/>
      </w:pPr>
    </w:p>
    <w:p>
      <w:pPr>
        <w:pStyle w:val="Heading6"/>
        <w:numPr>
          <w:ilvl w:val="0"/>
          <w:numId w:val="30"/>
        </w:numPr>
        <w:tabs>
          <w:tab w:pos="542" w:val="left" w:leader="none"/>
        </w:tabs>
        <w:spacing w:line="240" w:lineRule="auto" w:before="1" w:after="0"/>
        <w:ind w:left="542" w:right="0" w:hanging="316"/>
        <w:jc w:val="left"/>
      </w:pPr>
      <w:bookmarkStart w:name="4.承包人" w:id="72"/>
      <w:bookmarkEnd w:id="72"/>
      <w:r>
        <w:rPr>
          <w:b w:val="0"/>
        </w:rPr>
      </w:r>
      <w:bookmarkStart w:name="4.承包人" w:id="73"/>
      <w:bookmarkEnd w:id="73"/>
      <w:r>
        <w:rPr/>
        <w:t>承包人</w:t>
      </w:r>
    </w:p>
    <w:p>
      <w:pPr>
        <w:pStyle w:val="BodyText"/>
        <w:spacing w:before="9"/>
        <w:rPr>
          <w:rFonts w:ascii="黑体"/>
          <w:b/>
          <w:sz w:val="40"/>
        </w:rPr>
      </w:pP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承包人的一般义务</w:t>
      </w:r>
    </w:p>
    <w:p>
      <w:pPr>
        <w:pStyle w:val="ListParagraph"/>
        <w:numPr>
          <w:ilvl w:val="2"/>
          <w:numId w:val="30"/>
        </w:numPr>
        <w:tabs>
          <w:tab w:pos="1248" w:val="left" w:leader="none"/>
        </w:tabs>
        <w:spacing w:line="240" w:lineRule="auto" w:before="158" w:after="0"/>
        <w:ind w:left="1248" w:right="0" w:hanging="541"/>
        <w:jc w:val="left"/>
        <w:rPr>
          <w:sz w:val="24"/>
        </w:rPr>
      </w:pPr>
      <w:r>
        <w:rPr>
          <w:sz w:val="24"/>
        </w:rPr>
        <w:t>遵守法律</w:t>
      </w:r>
    </w:p>
    <w:p>
      <w:pPr>
        <w:pStyle w:val="BodyText"/>
        <w:spacing w:line="362" w:lineRule="auto" w:before="158"/>
        <w:ind w:left="226" w:right="1342" w:firstLine="480"/>
      </w:pPr>
      <w:r>
        <w:rPr/>
        <w:t>承包人在履行合同过程中应遵守法律，并保证发包人免于承担因承包人违反法律而引起的任何责任。</w:t>
      </w:r>
    </w:p>
    <w:p>
      <w:pPr>
        <w:pStyle w:val="ListParagraph"/>
        <w:numPr>
          <w:ilvl w:val="2"/>
          <w:numId w:val="30"/>
        </w:numPr>
        <w:tabs>
          <w:tab w:pos="1248" w:val="left" w:leader="none"/>
        </w:tabs>
        <w:spacing w:line="240" w:lineRule="auto" w:before="2" w:after="0"/>
        <w:ind w:left="1248" w:right="0" w:hanging="541"/>
        <w:jc w:val="left"/>
        <w:rPr>
          <w:sz w:val="24"/>
        </w:rPr>
      </w:pPr>
      <w:r>
        <w:rPr>
          <w:sz w:val="24"/>
        </w:rPr>
        <w:t>依法纳税</w:t>
      </w:r>
    </w:p>
    <w:p>
      <w:pPr>
        <w:pStyle w:val="BodyText"/>
        <w:spacing w:before="173"/>
        <w:ind w:left="707"/>
      </w:pPr>
      <w:r>
        <w:rPr/>
        <w:t>承包人应按有关法律规定纳税，应缴纳的税金包括在合同价格内。</w:t>
      </w:r>
    </w:p>
    <w:p>
      <w:pPr>
        <w:pStyle w:val="ListParagraph"/>
        <w:numPr>
          <w:ilvl w:val="2"/>
          <w:numId w:val="30"/>
        </w:numPr>
        <w:tabs>
          <w:tab w:pos="1248" w:val="left" w:leader="none"/>
        </w:tabs>
        <w:spacing w:line="240" w:lineRule="auto" w:before="158" w:after="0"/>
        <w:ind w:left="1248" w:right="0" w:hanging="541"/>
        <w:jc w:val="left"/>
        <w:rPr>
          <w:sz w:val="24"/>
        </w:rPr>
      </w:pPr>
      <w:r>
        <w:rPr>
          <w:sz w:val="24"/>
        </w:rPr>
        <w:t>完成各项承包工作</w:t>
      </w:r>
    </w:p>
    <w:p>
      <w:pPr>
        <w:pStyle w:val="BodyText"/>
        <w:spacing w:before="158"/>
        <w:ind w:left="707"/>
      </w:pPr>
      <w:r>
        <w:rPr>
          <w:spacing w:val="-4"/>
        </w:rPr>
        <w:t>承包人应按合同约定以及监理人根据第 </w:t>
      </w:r>
      <w:r>
        <w:rPr>
          <w:rFonts w:ascii="Calibri" w:eastAsia="Calibri"/>
        </w:rPr>
        <w:t>3.4</w:t>
      </w:r>
      <w:r>
        <w:rPr>
          <w:rFonts w:ascii="Calibri" w:eastAsia="Calibri"/>
          <w:spacing w:val="3"/>
        </w:rPr>
        <w:t> </w:t>
      </w:r>
      <w:r>
        <w:rPr>
          <w:spacing w:val="-10"/>
        </w:rPr>
        <w:t>款作出的指示，实施、完成全部工程，并修</w:t>
      </w:r>
    </w:p>
    <w:p>
      <w:pPr>
        <w:pStyle w:val="BodyText"/>
        <w:spacing w:line="362" w:lineRule="auto" w:before="158"/>
        <w:ind w:left="226" w:right="1032"/>
        <w:jc w:val="both"/>
      </w:pPr>
      <w:r>
        <w:rPr>
          <w:spacing w:val="-7"/>
        </w:rPr>
        <w:t>补工程中的任何缺陷。除第 </w:t>
      </w:r>
      <w:r>
        <w:rPr>
          <w:rFonts w:ascii="Calibri" w:eastAsia="Calibri"/>
        </w:rPr>
        <w:t>5.2</w:t>
      </w:r>
      <w:r>
        <w:rPr>
          <w:rFonts w:ascii="Calibri" w:eastAsia="Calibri"/>
          <w:spacing w:val="3"/>
        </w:rPr>
        <w:t> </w:t>
      </w:r>
      <w:r>
        <w:rPr>
          <w:spacing w:val="-20"/>
        </w:rPr>
        <w:t>款、第 </w:t>
      </w:r>
      <w:r>
        <w:rPr>
          <w:rFonts w:ascii="Calibri" w:eastAsia="Calibri"/>
        </w:rPr>
        <w:t>6.2</w:t>
      </w:r>
      <w:r>
        <w:rPr>
          <w:rFonts w:ascii="Calibri" w:eastAsia="Calibri"/>
          <w:spacing w:val="3"/>
        </w:rPr>
        <w:t> </w:t>
      </w:r>
      <w:r>
        <w:rPr>
          <w:spacing w:val="-3"/>
        </w:rPr>
        <w:t>款另有约定外，承包人应提供为完成合同工作所</w:t>
      </w:r>
      <w:r>
        <w:rPr>
          <w:spacing w:val="-1"/>
        </w:rPr>
        <w:t>需的劳务、材料、施工设备、工程设备和其它物品，并按合同约定负责临时设施的设计、</w:t>
      </w:r>
    </w:p>
    <w:p>
      <w:pPr>
        <w:spacing w:after="0" w:line="362" w:lineRule="auto"/>
        <w:jc w:val="both"/>
        <w:sectPr>
          <w:pgSz w:w="11910" w:h="16850"/>
          <w:pgMar w:header="911" w:footer="0" w:top="1380" w:bottom="280" w:left="1200" w:right="0"/>
        </w:sectPr>
      </w:pPr>
    </w:p>
    <w:p>
      <w:pPr>
        <w:pStyle w:val="BodyText"/>
        <w:spacing w:before="135"/>
        <w:ind w:left="226"/>
      </w:pPr>
      <w:r>
        <w:rPr/>
        <w:t>建造、运行、维护、管理和拆除。</w:t>
      </w:r>
    </w:p>
    <w:p>
      <w:pPr>
        <w:pStyle w:val="ListParagraph"/>
        <w:numPr>
          <w:ilvl w:val="2"/>
          <w:numId w:val="30"/>
        </w:numPr>
        <w:tabs>
          <w:tab w:pos="1248" w:val="left" w:leader="none"/>
        </w:tabs>
        <w:spacing w:line="240" w:lineRule="auto" w:before="158" w:after="0"/>
        <w:ind w:left="1248" w:right="0" w:hanging="541"/>
        <w:jc w:val="left"/>
        <w:rPr>
          <w:sz w:val="24"/>
        </w:rPr>
      </w:pPr>
      <w:r>
        <w:rPr>
          <w:sz w:val="24"/>
        </w:rPr>
        <w:t>对施工作业和施工方法的完备性负责</w:t>
      </w:r>
    </w:p>
    <w:p>
      <w:pPr>
        <w:pStyle w:val="BodyText"/>
        <w:tabs>
          <w:tab w:pos="6579" w:val="left" w:leader="none"/>
        </w:tabs>
        <w:spacing w:line="362" w:lineRule="auto" w:before="158"/>
        <w:ind w:left="226" w:right="1017" w:firstLine="480"/>
      </w:pPr>
      <w:r>
        <w:rPr/>
        <w:t>承包人应按合同约定的工作内容和工</w:t>
      </w:r>
      <w:r>
        <w:rPr>
          <w:spacing w:val="-3"/>
        </w:rPr>
        <w:t> </w:t>
      </w:r>
      <w:r>
        <w:rPr/>
        <w:t>进度要求</w:t>
      </w:r>
      <w:r>
        <w:rPr>
          <w:spacing w:val="-15"/>
        </w:rPr>
        <w:t>，</w:t>
      </w:r>
      <w:r>
        <w:rPr/>
        <w:t>编制</w:t>
        <w:tab/>
        <w:t>组织设计和施工措施计划</w:t>
      </w:r>
      <w:r>
        <w:rPr>
          <w:spacing w:val="-15"/>
        </w:rPr>
        <w:t>，</w:t>
      </w:r>
      <w:r>
        <w:rPr>
          <w:spacing w:val="-11"/>
        </w:rPr>
        <w:t>并</w:t>
      </w:r>
      <w:r>
        <w:rPr/>
        <w:t>对所有施工作业和施工方法的完备性和安全可靠性负责。</w:t>
      </w:r>
    </w:p>
    <w:p>
      <w:pPr>
        <w:pStyle w:val="ListParagraph"/>
        <w:numPr>
          <w:ilvl w:val="2"/>
          <w:numId w:val="30"/>
        </w:numPr>
        <w:tabs>
          <w:tab w:pos="1248" w:val="left" w:leader="none"/>
        </w:tabs>
        <w:spacing w:line="240" w:lineRule="auto" w:before="2" w:after="0"/>
        <w:ind w:left="1248" w:right="0" w:hanging="541"/>
        <w:jc w:val="left"/>
        <w:rPr>
          <w:sz w:val="24"/>
        </w:rPr>
      </w:pPr>
      <w:r>
        <w:rPr>
          <w:sz w:val="24"/>
        </w:rPr>
        <w:t>保证工程施工和人员的安全</w:t>
      </w:r>
    </w:p>
    <w:p>
      <w:pPr>
        <w:pStyle w:val="BodyText"/>
        <w:spacing w:line="362" w:lineRule="auto" w:before="173"/>
        <w:ind w:left="226" w:right="1014" w:firstLine="480"/>
      </w:pPr>
      <w:r>
        <w:rPr/>
        <w:drawing>
          <wp:anchor distT="0" distB="0" distL="0" distR="0" allowOverlap="1" layoutInCell="1" locked="0" behindDoc="1" simplePos="0" relativeHeight="234744832">
            <wp:simplePos x="0" y="0"/>
            <wp:positionH relativeFrom="page">
              <wp:posOffset>992771</wp:posOffset>
            </wp:positionH>
            <wp:positionV relativeFrom="paragraph">
              <wp:posOffset>263023</wp:posOffset>
            </wp:positionV>
            <wp:extent cx="5578970" cy="5494141"/>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9"/>
        </w:rPr>
        <w:t>承包人应按第 </w:t>
      </w:r>
      <w:r>
        <w:rPr>
          <w:rFonts w:ascii="Calibri" w:eastAsia="Calibri"/>
        </w:rPr>
        <w:t>9.2 </w:t>
      </w:r>
      <w:r>
        <w:rPr>
          <w:spacing w:val="-7"/>
        </w:rPr>
        <w:t>款约定采取施工安全措施，确保工程及其人员、材料、设备和设施的安全，防止因工程施工造成的人身伤害和财产损失。</w:t>
      </w:r>
    </w:p>
    <w:p>
      <w:pPr>
        <w:pStyle w:val="ListParagraph"/>
        <w:numPr>
          <w:ilvl w:val="2"/>
          <w:numId w:val="30"/>
        </w:numPr>
        <w:tabs>
          <w:tab w:pos="1248" w:val="left" w:leader="none"/>
        </w:tabs>
        <w:spacing w:line="240" w:lineRule="auto" w:before="2" w:after="0"/>
        <w:ind w:left="1248" w:right="0" w:hanging="541"/>
        <w:jc w:val="left"/>
        <w:rPr>
          <w:sz w:val="24"/>
        </w:rPr>
      </w:pPr>
      <w:r>
        <w:rPr>
          <w:sz w:val="24"/>
        </w:rPr>
        <w:t>负责施工场地及其周边环境与生态的保护工作</w:t>
      </w:r>
    </w:p>
    <w:p>
      <w:pPr>
        <w:pStyle w:val="BodyText"/>
        <w:spacing w:before="158"/>
        <w:ind w:left="707"/>
      </w:pPr>
      <w:r>
        <w:rPr/>
        <w:t>承包人应按照第 </w:t>
      </w:r>
      <w:r>
        <w:rPr>
          <w:rFonts w:ascii="Calibri" w:eastAsia="Calibri"/>
        </w:rPr>
        <w:t>9.4 </w:t>
      </w:r>
      <w:r>
        <w:rPr/>
        <w:t>款约定负责施工场地及其周边环境与生态的保护工作。</w:t>
      </w:r>
    </w:p>
    <w:p>
      <w:pPr>
        <w:pStyle w:val="ListParagraph"/>
        <w:numPr>
          <w:ilvl w:val="2"/>
          <w:numId w:val="30"/>
        </w:numPr>
        <w:tabs>
          <w:tab w:pos="1248" w:val="left" w:leader="none"/>
        </w:tabs>
        <w:spacing w:line="240" w:lineRule="auto" w:before="158" w:after="0"/>
        <w:ind w:left="1248" w:right="0" w:hanging="541"/>
        <w:jc w:val="both"/>
        <w:rPr>
          <w:sz w:val="24"/>
        </w:rPr>
      </w:pPr>
      <w:r>
        <w:rPr>
          <w:sz w:val="24"/>
        </w:rPr>
        <w:t>避免施工对公众与他人的利益造成损害</w:t>
      </w:r>
    </w:p>
    <w:p>
      <w:pPr>
        <w:pStyle w:val="BodyText"/>
        <w:spacing w:line="362" w:lineRule="auto" w:before="173"/>
        <w:ind w:left="226" w:right="1027" w:firstLine="480"/>
        <w:jc w:val="both"/>
      </w:pPr>
      <w:r>
        <w:rPr/>
        <w:t>承包入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pPr>
        <w:pStyle w:val="ListParagraph"/>
        <w:numPr>
          <w:ilvl w:val="2"/>
          <w:numId w:val="30"/>
        </w:numPr>
        <w:tabs>
          <w:tab w:pos="1248" w:val="left" w:leader="none"/>
        </w:tabs>
        <w:spacing w:line="240" w:lineRule="auto" w:before="3" w:after="0"/>
        <w:ind w:left="1248" w:right="0" w:hanging="541"/>
        <w:jc w:val="both"/>
        <w:rPr>
          <w:sz w:val="24"/>
        </w:rPr>
      </w:pPr>
      <w:r>
        <w:rPr>
          <w:sz w:val="24"/>
        </w:rPr>
        <w:t>为他人提供方便</w:t>
      </w:r>
    </w:p>
    <w:p>
      <w:pPr>
        <w:pStyle w:val="BodyText"/>
        <w:spacing w:line="369" w:lineRule="auto" w:before="158"/>
        <w:ind w:left="226" w:right="1027" w:firstLine="480"/>
        <w:jc w:val="both"/>
      </w:pPr>
      <w:r>
        <w:rPr/>
        <w:t>承包人应按监理人的指示为他人在施工场地或附近实施与工程有关的其他各项工作提供可能的条件。除合同另有约定外，提供有关条件的内容和可能发生的费用，由监理人按第 </w:t>
      </w:r>
      <w:r>
        <w:rPr>
          <w:rFonts w:ascii="Calibri" w:eastAsia="Calibri"/>
        </w:rPr>
        <w:t>3.5 </w:t>
      </w:r>
      <w:r>
        <w:rPr/>
        <w:t>款商定或确定。</w:t>
      </w:r>
    </w:p>
    <w:p>
      <w:pPr>
        <w:pStyle w:val="ListParagraph"/>
        <w:numPr>
          <w:ilvl w:val="2"/>
          <w:numId w:val="30"/>
        </w:numPr>
        <w:tabs>
          <w:tab w:pos="1248" w:val="left" w:leader="none"/>
        </w:tabs>
        <w:spacing w:line="298" w:lineRule="exact" w:before="0" w:after="0"/>
        <w:ind w:left="1248" w:right="0" w:hanging="541"/>
        <w:jc w:val="both"/>
        <w:rPr>
          <w:sz w:val="24"/>
        </w:rPr>
      </w:pPr>
      <w:r>
        <w:rPr>
          <w:sz w:val="24"/>
        </w:rPr>
        <w:t>工程的维护和照管</w:t>
      </w:r>
    </w:p>
    <w:p>
      <w:pPr>
        <w:pStyle w:val="BodyText"/>
        <w:spacing w:line="369" w:lineRule="auto" w:before="158"/>
        <w:ind w:left="226" w:right="906" w:firstLine="480"/>
      </w:pPr>
      <w:r>
        <w:rPr/>
        <w:t>除合同另有约定外，合同工程完工证书颁发前，承包人应负责照管和维护工程。合同</w:t>
      </w:r>
      <w:r>
        <w:rPr>
          <w:spacing w:val="-3"/>
        </w:rPr>
        <w:t>工程完工证书颁发时尚有部分未完工程的，承包人还应负责该未完工程的照管和维护工作， 直至完工后移交给发包人为止。</w:t>
      </w:r>
    </w:p>
    <w:p>
      <w:pPr>
        <w:pStyle w:val="ListParagraph"/>
        <w:numPr>
          <w:ilvl w:val="1"/>
          <w:numId w:val="30"/>
        </w:numPr>
        <w:tabs>
          <w:tab w:pos="648" w:val="left" w:leader="none"/>
        </w:tabs>
        <w:spacing w:line="298" w:lineRule="exact" w:before="0" w:after="0"/>
        <w:ind w:left="647" w:right="0" w:hanging="422"/>
        <w:jc w:val="left"/>
        <w:rPr>
          <w:rFonts w:ascii="黑体" w:eastAsia="黑体" w:hint="eastAsia"/>
          <w:sz w:val="24"/>
        </w:rPr>
      </w:pPr>
      <w:r>
        <w:rPr>
          <w:rFonts w:ascii="黑体" w:eastAsia="黑体" w:hint="eastAsia"/>
          <w:sz w:val="24"/>
        </w:rPr>
        <w:t>履约担保</w:t>
      </w:r>
    </w:p>
    <w:p>
      <w:pPr>
        <w:pStyle w:val="BodyText"/>
        <w:spacing w:line="362" w:lineRule="auto" w:before="158"/>
        <w:ind w:left="226" w:right="1027" w:firstLine="480"/>
        <w:jc w:val="both"/>
      </w:pPr>
      <w:r>
        <w:rPr/>
        <w:t>承包人应保证其履约担保在发包入颁发合同工程完工证书前一直有效发包入应在合同工程完工证书颁发后 </w:t>
      </w:r>
      <w:r>
        <w:rPr>
          <w:rFonts w:ascii="Calibri" w:eastAsia="Calibri"/>
        </w:rPr>
        <w:t>28 </w:t>
      </w:r>
      <w:r>
        <w:rPr/>
        <w:t>天内将履约担保退还给承包人。</w:t>
      </w:r>
    </w:p>
    <w:p>
      <w:pPr>
        <w:pStyle w:val="ListParagraph"/>
        <w:numPr>
          <w:ilvl w:val="1"/>
          <w:numId w:val="30"/>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分包</w:t>
      </w:r>
    </w:p>
    <w:p>
      <w:pPr>
        <w:pStyle w:val="ListParagraph"/>
        <w:numPr>
          <w:ilvl w:val="2"/>
          <w:numId w:val="30"/>
        </w:numPr>
        <w:tabs>
          <w:tab w:pos="1263" w:val="left" w:leader="none"/>
        </w:tabs>
        <w:spacing w:line="362" w:lineRule="auto" w:before="173" w:after="0"/>
        <w:ind w:left="226" w:right="1027" w:firstLine="480"/>
        <w:jc w:val="left"/>
        <w:rPr>
          <w:sz w:val="24"/>
        </w:rPr>
      </w:pPr>
      <w:r>
        <w:rPr>
          <w:sz w:val="24"/>
        </w:rPr>
        <w:t>承包人不得将其承包的全部工程转包给第三人，或将其承包的全部工程肢解后以分包的名义转包给。</w:t>
      </w:r>
    </w:p>
    <w:p>
      <w:pPr>
        <w:pStyle w:val="ListParagraph"/>
        <w:numPr>
          <w:ilvl w:val="2"/>
          <w:numId w:val="30"/>
        </w:numPr>
        <w:tabs>
          <w:tab w:pos="1248" w:val="left" w:leader="none"/>
        </w:tabs>
        <w:spacing w:line="362" w:lineRule="auto" w:before="2" w:after="0"/>
        <w:ind w:left="226" w:right="897" w:firstLine="480"/>
        <w:jc w:val="left"/>
        <w:rPr>
          <w:sz w:val="24"/>
        </w:rPr>
      </w:pPr>
      <w:r>
        <w:rPr>
          <w:spacing w:val="-7"/>
          <w:sz w:val="24"/>
        </w:rPr>
        <w:t>承包人不得将工程主体、关键性工作分包给第三人。除专用合同条款另有约定外， 未经发包人同意，承包人不得将工程的其他部分或工作分包给第三人。</w:t>
      </w:r>
    </w:p>
    <w:p>
      <w:pPr>
        <w:pStyle w:val="ListParagraph"/>
        <w:numPr>
          <w:ilvl w:val="1"/>
          <w:numId w:val="30"/>
        </w:numPr>
        <w:tabs>
          <w:tab w:pos="648" w:val="left" w:leader="none"/>
        </w:tabs>
        <w:spacing w:line="240" w:lineRule="auto" w:before="2" w:after="0"/>
        <w:ind w:left="647" w:right="0" w:hanging="422"/>
        <w:jc w:val="left"/>
        <w:rPr>
          <w:rFonts w:ascii="黑体" w:eastAsia="黑体" w:hint="eastAsia"/>
          <w:sz w:val="24"/>
        </w:rPr>
      </w:pPr>
      <w:r>
        <w:rPr>
          <w:rFonts w:ascii="黑体" w:eastAsia="黑体" w:hint="eastAsia"/>
          <w:sz w:val="24"/>
        </w:rPr>
        <w:t>承包人项目经理</w:t>
      </w:r>
    </w:p>
    <w:p>
      <w:pPr>
        <w:spacing w:after="0" w:line="240" w:lineRule="auto"/>
        <w:jc w:val="left"/>
        <w:rPr>
          <w:rFonts w:ascii="黑体" w:eastAsia="黑体" w:hint="eastAsia"/>
          <w:sz w:val="24"/>
        </w:rPr>
        <w:sectPr>
          <w:pgSz w:w="11910" w:h="16850"/>
          <w:pgMar w:header="911" w:footer="0" w:top="1380" w:bottom="280" w:left="1200" w:right="0"/>
        </w:sectPr>
      </w:pPr>
    </w:p>
    <w:p>
      <w:pPr>
        <w:pStyle w:val="ListParagraph"/>
        <w:numPr>
          <w:ilvl w:val="2"/>
          <w:numId w:val="30"/>
        </w:numPr>
        <w:tabs>
          <w:tab w:pos="1263" w:val="left" w:leader="none"/>
        </w:tabs>
        <w:spacing w:line="362" w:lineRule="auto" w:before="135" w:after="0"/>
        <w:ind w:left="226" w:right="1015" w:firstLine="480"/>
        <w:jc w:val="both"/>
        <w:rPr>
          <w:sz w:val="24"/>
        </w:rPr>
      </w:pPr>
      <w:r>
        <w:rPr>
          <w:sz w:val="24"/>
        </w:rPr>
        <w:t>承包人应按合同约定指派项目经理，并在约定的期限内到位。承包人更换项目经</w:t>
      </w:r>
      <w:r>
        <w:rPr>
          <w:spacing w:val="-6"/>
          <w:sz w:val="24"/>
        </w:rPr>
        <w:t>理应事先征得发包人同意，并应在更换 </w:t>
      </w:r>
      <w:r>
        <w:rPr>
          <w:rFonts w:ascii="Calibri" w:eastAsia="Calibri"/>
          <w:sz w:val="24"/>
        </w:rPr>
        <w:t>14</w:t>
      </w:r>
      <w:r>
        <w:rPr>
          <w:rFonts w:ascii="Calibri" w:eastAsia="Calibri"/>
          <w:spacing w:val="3"/>
          <w:sz w:val="24"/>
        </w:rPr>
        <w:t> </w:t>
      </w:r>
      <w:r>
        <w:rPr>
          <w:spacing w:val="-2"/>
          <w:sz w:val="24"/>
        </w:rPr>
        <w:t>天前通知发包人和监理人。承包人项目经理短期离开施工场地，应事先征得监理人同意，并委派代表代行其职责。</w:t>
      </w:r>
    </w:p>
    <w:p>
      <w:pPr>
        <w:pStyle w:val="ListParagraph"/>
        <w:numPr>
          <w:ilvl w:val="2"/>
          <w:numId w:val="30"/>
        </w:numPr>
        <w:tabs>
          <w:tab w:pos="1278" w:val="left" w:leader="none"/>
        </w:tabs>
        <w:spacing w:line="369" w:lineRule="auto" w:before="4" w:after="0"/>
        <w:ind w:left="226" w:right="1016" w:firstLine="480"/>
        <w:jc w:val="both"/>
        <w:rPr>
          <w:sz w:val="24"/>
        </w:rPr>
      </w:pPr>
      <w:r>
        <w:rPr/>
        <w:drawing>
          <wp:anchor distT="0" distB="0" distL="0" distR="0" allowOverlap="1" layoutInCell="1" locked="0" behindDoc="1" simplePos="0" relativeHeight="234745856">
            <wp:simplePos x="0" y="0"/>
            <wp:positionH relativeFrom="page">
              <wp:posOffset>992771</wp:posOffset>
            </wp:positionH>
            <wp:positionV relativeFrom="paragraph">
              <wp:posOffset>756036</wp:posOffset>
            </wp:positionV>
            <wp:extent cx="5578970" cy="5494141"/>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2"/>
          <w:sz w:val="24"/>
        </w:rPr>
        <w:t>承包人项目经理应按合同约定以及监理人按第 </w:t>
      </w:r>
      <w:r>
        <w:rPr>
          <w:rFonts w:ascii="Calibri" w:eastAsia="Calibri"/>
          <w:sz w:val="24"/>
        </w:rPr>
        <w:t>3.4</w:t>
      </w:r>
      <w:r>
        <w:rPr>
          <w:rFonts w:ascii="Calibri" w:eastAsia="Calibri"/>
          <w:spacing w:val="32"/>
          <w:sz w:val="24"/>
        </w:rPr>
        <w:t> </w:t>
      </w:r>
      <w:r>
        <w:rPr>
          <w:sz w:val="24"/>
        </w:rPr>
        <w:t>款作出的指示，负责组织合同工程的实施。在情况紧急且无法与监理人取得联系时，可采取保证工程和人员生命财产安</w:t>
      </w:r>
      <w:r>
        <w:rPr>
          <w:spacing w:val="-5"/>
          <w:sz w:val="24"/>
        </w:rPr>
        <w:t>全的紧急措施，并在采取措施后 </w:t>
      </w:r>
      <w:r>
        <w:rPr>
          <w:rFonts w:ascii="Calibri" w:eastAsia="Calibri"/>
          <w:sz w:val="24"/>
        </w:rPr>
        <w:t>24</w:t>
      </w:r>
      <w:r>
        <w:rPr>
          <w:rFonts w:ascii="Calibri" w:eastAsia="Calibri"/>
          <w:spacing w:val="4"/>
          <w:sz w:val="24"/>
        </w:rPr>
        <w:t> </w:t>
      </w:r>
      <w:r>
        <w:rPr>
          <w:sz w:val="24"/>
        </w:rPr>
        <w:t>小时内向监理人提交书面报告。</w:t>
      </w:r>
    </w:p>
    <w:p>
      <w:pPr>
        <w:pStyle w:val="ListParagraph"/>
        <w:numPr>
          <w:ilvl w:val="2"/>
          <w:numId w:val="30"/>
        </w:numPr>
        <w:tabs>
          <w:tab w:pos="1263" w:val="left" w:leader="none"/>
        </w:tabs>
        <w:spacing w:line="362" w:lineRule="auto" w:before="0" w:after="0"/>
        <w:ind w:left="226" w:right="1027" w:firstLine="480"/>
        <w:jc w:val="both"/>
        <w:rPr>
          <w:sz w:val="24"/>
        </w:rPr>
      </w:pPr>
      <w:r>
        <w:rPr>
          <w:sz w:val="24"/>
        </w:rPr>
        <w:t>承包人为履行合同发出的一切函件均应盖有承包人授权的施工场地管理机构章， 并由承包人项目经理或其授权代表签字。</w:t>
      </w:r>
    </w:p>
    <w:p>
      <w:pPr>
        <w:pStyle w:val="ListParagraph"/>
        <w:numPr>
          <w:ilvl w:val="2"/>
          <w:numId w:val="30"/>
        </w:numPr>
        <w:tabs>
          <w:tab w:pos="1263" w:val="left" w:leader="none"/>
        </w:tabs>
        <w:spacing w:line="362" w:lineRule="auto" w:before="0" w:after="0"/>
        <w:ind w:left="226" w:right="1027" w:firstLine="480"/>
        <w:jc w:val="both"/>
        <w:rPr>
          <w:sz w:val="24"/>
        </w:rPr>
      </w:pPr>
      <w:r>
        <w:rPr>
          <w:sz w:val="24"/>
        </w:rPr>
        <w:t>承包人项目经理可以授权其下属人员履行其某项职责，但事先应将这些人员的姓名和授权范围通知监理人。</w:t>
      </w:r>
    </w:p>
    <w:p>
      <w:pPr>
        <w:pStyle w:val="ListParagraph"/>
        <w:numPr>
          <w:ilvl w:val="1"/>
          <w:numId w:val="30"/>
        </w:numPr>
        <w:tabs>
          <w:tab w:pos="648" w:val="left" w:leader="none"/>
        </w:tabs>
        <w:spacing w:line="240" w:lineRule="auto" w:before="9" w:after="0"/>
        <w:ind w:left="647" w:right="0" w:hanging="422"/>
        <w:jc w:val="left"/>
        <w:rPr>
          <w:rFonts w:ascii="黑体" w:eastAsia="黑体" w:hint="eastAsia"/>
          <w:sz w:val="24"/>
        </w:rPr>
      </w:pPr>
      <w:r>
        <w:rPr>
          <w:rFonts w:ascii="黑体" w:eastAsia="黑体" w:hint="eastAsia"/>
          <w:sz w:val="24"/>
        </w:rPr>
        <w:t>承包人人员的管理</w:t>
      </w:r>
    </w:p>
    <w:p>
      <w:pPr>
        <w:pStyle w:val="ListParagraph"/>
        <w:numPr>
          <w:ilvl w:val="2"/>
          <w:numId w:val="30"/>
        </w:numPr>
        <w:tabs>
          <w:tab w:pos="1248" w:val="left" w:leader="none"/>
        </w:tabs>
        <w:spacing w:line="362" w:lineRule="auto" w:before="158" w:after="0"/>
        <w:ind w:left="226" w:right="1027" w:firstLine="480"/>
        <w:jc w:val="both"/>
        <w:rPr>
          <w:sz w:val="24"/>
        </w:rPr>
      </w:pPr>
      <w:r>
        <w:rPr>
          <w:spacing w:val="-5"/>
          <w:sz w:val="24"/>
        </w:rPr>
        <w:t>承包入应在接到开工通知后 </w:t>
      </w:r>
      <w:r>
        <w:rPr>
          <w:rFonts w:ascii="Calibri" w:eastAsia="Calibri"/>
          <w:sz w:val="24"/>
        </w:rPr>
        <w:t>28</w:t>
      </w:r>
      <w:r>
        <w:rPr>
          <w:rFonts w:ascii="Calibri" w:eastAsia="Calibri"/>
          <w:spacing w:val="3"/>
          <w:sz w:val="24"/>
        </w:rPr>
        <w:t> </w:t>
      </w:r>
      <w:r>
        <w:rPr>
          <w:spacing w:val="-11"/>
          <w:sz w:val="24"/>
        </w:rPr>
        <w:t>天内，向监理入提交承包人在施工场地的管理机构</w:t>
      </w:r>
      <w:r>
        <w:rPr>
          <w:spacing w:val="-7"/>
          <w:sz w:val="24"/>
        </w:rPr>
        <w:t>以及人员安排的报告，其内容应包括管理机构的设置、各主要岗位的技术和管理人员名单</w:t>
      </w:r>
      <w:r>
        <w:rPr>
          <w:spacing w:val="-4"/>
          <w:sz w:val="24"/>
        </w:rPr>
        <w:t>及其资格，以及各工种技术工人的安排状况。承包人应向监理人提交施工场地人员变动情况的报告。</w:t>
      </w:r>
    </w:p>
    <w:p>
      <w:pPr>
        <w:pStyle w:val="ListParagraph"/>
        <w:numPr>
          <w:ilvl w:val="2"/>
          <w:numId w:val="30"/>
        </w:numPr>
        <w:tabs>
          <w:tab w:pos="1218" w:val="left" w:leader="none"/>
        </w:tabs>
        <w:spacing w:line="362" w:lineRule="auto" w:before="19" w:after="0"/>
        <w:ind w:left="707" w:right="890" w:hanging="15"/>
        <w:jc w:val="left"/>
        <w:rPr>
          <w:sz w:val="24"/>
        </w:rPr>
      </w:pPr>
      <w:r>
        <w:rPr>
          <w:spacing w:val="-15"/>
          <w:sz w:val="24"/>
        </w:rPr>
        <w:t>为完成合同约定的各项工作，承包人应向施工场地派遣或雇佣足够数量的下列人员： </w:t>
      </w:r>
      <w:r>
        <w:rPr>
          <w:sz w:val="24"/>
        </w:rPr>
        <w:t>(1)</w:t>
      </w:r>
      <w:r>
        <w:rPr>
          <w:spacing w:val="-1"/>
          <w:sz w:val="24"/>
        </w:rPr>
        <w:t>具有相应资格的专业技工和合格的普工；</w:t>
      </w:r>
      <w:r>
        <w:rPr>
          <w:sz w:val="24"/>
        </w:rPr>
        <w:t>     </w:t>
      </w:r>
    </w:p>
    <w:p>
      <w:pPr>
        <w:pStyle w:val="ListParagraph"/>
        <w:numPr>
          <w:ilvl w:val="0"/>
          <w:numId w:val="32"/>
        </w:numPr>
        <w:tabs>
          <w:tab w:pos="1069" w:val="left" w:leader="none"/>
        </w:tabs>
        <w:spacing w:line="240" w:lineRule="auto" w:before="3" w:after="0"/>
        <w:ind w:left="1068" w:right="0" w:hanging="362"/>
        <w:jc w:val="left"/>
        <w:rPr>
          <w:sz w:val="24"/>
        </w:rPr>
      </w:pPr>
      <w:r>
        <w:rPr>
          <w:spacing w:val="-1"/>
          <w:sz w:val="24"/>
        </w:rPr>
        <w:t>具有相应施工经验的技术人员；</w:t>
      </w:r>
      <w:r>
        <w:rPr>
          <w:sz w:val="24"/>
        </w:rPr>
        <w:t> </w:t>
      </w:r>
    </w:p>
    <w:p>
      <w:pPr>
        <w:pStyle w:val="ListParagraph"/>
        <w:numPr>
          <w:ilvl w:val="0"/>
          <w:numId w:val="32"/>
        </w:numPr>
        <w:tabs>
          <w:tab w:pos="1069" w:val="left" w:leader="none"/>
        </w:tabs>
        <w:spacing w:line="240" w:lineRule="auto" w:before="158" w:after="0"/>
        <w:ind w:left="1068" w:right="0" w:hanging="362"/>
        <w:jc w:val="left"/>
        <w:rPr>
          <w:sz w:val="24"/>
        </w:rPr>
      </w:pPr>
      <w:r>
        <w:rPr>
          <w:spacing w:val="-1"/>
          <w:sz w:val="24"/>
        </w:rPr>
        <w:t>具有相应岗位资格的各级管理入员。</w:t>
      </w:r>
      <w:r>
        <w:rPr>
          <w:sz w:val="24"/>
        </w:rPr>
        <w:t> </w:t>
      </w:r>
    </w:p>
    <w:p>
      <w:pPr>
        <w:pStyle w:val="ListParagraph"/>
        <w:numPr>
          <w:ilvl w:val="2"/>
          <w:numId w:val="30"/>
        </w:numPr>
        <w:tabs>
          <w:tab w:pos="1263" w:val="left" w:leader="none"/>
        </w:tabs>
        <w:spacing w:line="374" w:lineRule="auto" w:before="158" w:after="0"/>
        <w:ind w:left="226" w:right="1027" w:firstLine="480"/>
        <w:jc w:val="left"/>
        <w:rPr>
          <w:sz w:val="24"/>
        </w:rPr>
      </w:pPr>
      <w:r>
        <w:rPr>
          <w:sz w:val="24"/>
        </w:rPr>
        <w:t>承包人安排在施工场地的主要管理人员和技术骨干应相对稳定。承包人更换主要管理人员和技术骨干时，应取得监理人的同意。</w:t>
      </w:r>
    </w:p>
    <w:p>
      <w:pPr>
        <w:pStyle w:val="ListParagraph"/>
        <w:numPr>
          <w:ilvl w:val="2"/>
          <w:numId w:val="30"/>
        </w:numPr>
        <w:tabs>
          <w:tab w:pos="1263" w:val="left" w:leader="none"/>
        </w:tabs>
        <w:spacing w:line="362" w:lineRule="auto" w:before="0" w:after="0"/>
        <w:ind w:left="226" w:right="1027" w:firstLine="480"/>
        <w:jc w:val="left"/>
        <w:rPr>
          <w:sz w:val="24"/>
        </w:rPr>
      </w:pPr>
      <w:r>
        <w:rPr>
          <w:sz w:val="24"/>
        </w:rPr>
        <w:t>特殊岗位的工作人员均应持有相应的资格证明，监理人有权随时检查。监理人认为有必要时，可进行现场考核。</w:t>
      </w: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撤换承包人项目经理和其他人员</w:t>
      </w:r>
    </w:p>
    <w:p>
      <w:pPr>
        <w:pStyle w:val="BodyText"/>
        <w:spacing w:line="374" w:lineRule="auto" w:before="146"/>
        <w:ind w:left="226" w:right="856" w:firstLine="480"/>
      </w:pPr>
      <w:r>
        <w:rPr/>
        <w:t>承包人应对其项目经理和其他人员进行有效管理。监理人要求撤换不能胜任本职工作、行为不端或玩忽职守的承包人项目经理和其他人员的，承包人应予以撤换。</w:t>
      </w:r>
    </w:p>
    <w:p>
      <w:pPr>
        <w:pStyle w:val="ListParagraph"/>
        <w:numPr>
          <w:ilvl w:val="1"/>
          <w:numId w:val="30"/>
        </w:numPr>
        <w:tabs>
          <w:tab w:pos="648" w:val="left" w:leader="none"/>
        </w:tabs>
        <w:spacing w:line="294" w:lineRule="exact" w:before="0" w:after="0"/>
        <w:ind w:left="647" w:right="0" w:hanging="422"/>
        <w:jc w:val="left"/>
        <w:rPr>
          <w:rFonts w:ascii="黑体" w:eastAsia="黑体" w:hint="eastAsia"/>
          <w:sz w:val="24"/>
        </w:rPr>
      </w:pPr>
      <w:r>
        <w:rPr>
          <w:rFonts w:ascii="黑体" w:eastAsia="黑体" w:hint="eastAsia"/>
          <w:sz w:val="24"/>
        </w:rPr>
        <w:t>保障承包人人员的合法权益</w:t>
      </w:r>
    </w:p>
    <w:p>
      <w:pPr>
        <w:pStyle w:val="ListParagraph"/>
        <w:numPr>
          <w:ilvl w:val="2"/>
          <w:numId w:val="30"/>
        </w:numPr>
        <w:tabs>
          <w:tab w:pos="1248" w:val="left" w:leader="none"/>
        </w:tabs>
        <w:spacing w:line="240" w:lineRule="auto" w:before="158" w:after="0"/>
        <w:ind w:left="1248" w:right="0" w:hanging="541"/>
        <w:jc w:val="left"/>
        <w:rPr>
          <w:sz w:val="24"/>
        </w:rPr>
      </w:pPr>
      <w:r>
        <w:rPr>
          <w:sz w:val="24"/>
        </w:rPr>
        <w:t>承包人应与其雇佣的人员签订劳动合同，并按时发放工资。</w:t>
      </w:r>
    </w:p>
    <w:p>
      <w:pPr>
        <w:pStyle w:val="ListParagraph"/>
        <w:numPr>
          <w:ilvl w:val="2"/>
          <w:numId w:val="30"/>
        </w:numPr>
        <w:tabs>
          <w:tab w:pos="1248" w:val="left" w:leader="none"/>
        </w:tabs>
        <w:spacing w:line="362" w:lineRule="auto" w:before="158" w:after="0"/>
        <w:ind w:left="226" w:right="907" w:firstLine="480"/>
        <w:jc w:val="left"/>
        <w:rPr>
          <w:sz w:val="24"/>
        </w:rPr>
      </w:pPr>
      <w:r>
        <w:rPr>
          <w:spacing w:val="-6"/>
          <w:sz w:val="24"/>
        </w:rPr>
        <w:t>承包人应按劳动法的规定安排工作时间，保证其雇佣人员享有休息和休假的权利。</w:t>
      </w:r>
      <w:r>
        <w:rPr>
          <w:spacing w:val="-3"/>
          <w:sz w:val="24"/>
        </w:rPr>
        <w:t>因工程施工的特殊需要占用休假日或延长工作时间的，应不超过法律规定的限度，并按法</w:t>
      </w:r>
    </w:p>
    <w:p>
      <w:pPr>
        <w:spacing w:after="0" w:line="362" w:lineRule="auto"/>
        <w:jc w:val="left"/>
        <w:rPr>
          <w:sz w:val="24"/>
        </w:rPr>
        <w:sectPr>
          <w:pgSz w:w="11910" w:h="16850"/>
          <w:pgMar w:header="911" w:footer="0" w:top="1380" w:bottom="280" w:left="1200" w:right="0"/>
        </w:sectPr>
      </w:pPr>
    </w:p>
    <w:p>
      <w:pPr>
        <w:pStyle w:val="BodyText"/>
        <w:spacing w:before="135"/>
        <w:ind w:left="226"/>
      </w:pPr>
      <w:r>
        <w:rPr/>
        <w:t>律规定给予补休或付酬。</w:t>
      </w:r>
    </w:p>
    <w:p>
      <w:pPr>
        <w:pStyle w:val="ListParagraph"/>
        <w:numPr>
          <w:ilvl w:val="2"/>
          <w:numId w:val="30"/>
        </w:numPr>
        <w:tabs>
          <w:tab w:pos="1263" w:val="left" w:leader="none"/>
        </w:tabs>
        <w:spacing w:line="362" w:lineRule="auto" w:before="158" w:after="0"/>
        <w:ind w:left="226" w:right="896" w:firstLine="480"/>
        <w:jc w:val="left"/>
        <w:rPr>
          <w:sz w:val="24"/>
        </w:rPr>
      </w:pPr>
      <w:r>
        <w:rPr>
          <w:sz w:val="24"/>
        </w:rPr>
        <w:t>承包人应为其雇佣人员提供必要的食宿条件，以及符合环境保护和卫生要求的生</w:t>
      </w:r>
      <w:r>
        <w:rPr>
          <w:spacing w:val="-5"/>
          <w:sz w:val="24"/>
        </w:rPr>
        <w:t>活环境，在远离城镇的施工场地，还应配备必要的伤病防治和急救的医务人员与医疗设施。</w:t>
      </w:r>
    </w:p>
    <w:p>
      <w:pPr>
        <w:pStyle w:val="ListParagraph"/>
        <w:numPr>
          <w:ilvl w:val="2"/>
          <w:numId w:val="30"/>
        </w:numPr>
        <w:tabs>
          <w:tab w:pos="1263" w:val="left" w:leader="none"/>
        </w:tabs>
        <w:spacing w:line="369" w:lineRule="auto" w:before="2" w:after="0"/>
        <w:ind w:left="226" w:right="1027" w:firstLine="480"/>
        <w:jc w:val="both"/>
        <w:rPr>
          <w:sz w:val="24"/>
        </w:rPr>
      </w:pPr>
      <w:r>
        <w:rPr/>
        <w:drawing>
          <wp:anchor distT="0" distB="0" distL="0" distR="0" allowOverlap="1" layoutInCell="1" locked="0" behindDoc="1" simplePos="0" relativeHeight="234746880">
            <wp:simplePos x="0" y="0"/>
            <wp:positionH relativeFrom="page">
              <wp:posOffset>992771</wp:posOffset>
            </wp:positionH>
            <wp:positionV relativeFrom="paragraph">
              <wp:posOffset>754766</wp:posOffset>
            </wp:positionV>
            <wp:extent cx="5578970" cy="5494141"/>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承包人应按国家有关劳动保护的规定，采取有效的防止粉尘、降低噪声、控制有害气体和保障高温、高寒、高空作业安全等劳动保护措施。其雇佣人员在施工中受到伤害的，承包人应立即采取有效措施进行抢救和治疗。</w:t>
      </w:r>
    </w:p>
    <w:p>
      <w:pPr>
        <w:pStyle w:val="ListParagraph"/>
        <w:numPr>
          <w:ilvl w:val="2"/>
          <w:numId w:val="30"/>
        </w:numPr>
        <w:tabs>
          <w:tab w:pos="1248" w:val="left" w:leader="none"/>
        </w:tabs>
        <w:spacing w:line="298" w:lineRule="exact" w:before="0" w:after="0"/>
        <w:ind w:left="1248" w:right="0" w:hanging="541"/>
        <w:jc w:val="both"/>
        <w:rPr>
          <w:sz w:val="24"/>
        </w:rPr>
      </w:pPr>
      <w:r>
        <w:rPr>
          <w:sz w:val="24"/>
        </w:rPr>
        <w:t>承包人应按有关法律规定和合同约定，为其雇佣人员办理保险。</w:t>
      </w:r>
    </w:p>
    <w:p>
      <w:pPr>
        <w:pStyle w:val="ListParagraph"/>
        <w:numPr>
          <w:ilvl w:val="2"/>
          <w:numId w:val="30"/>
        </w:numPr>
        <w:tabs>
          <w:tab w:pos="1248" w:val="left" w:leader="none"/>
        </w:tabs>
        <w:spacing w:line="240" w:lineRule="auto" w:before="158" w:after="0"/>
        <w:ind w:left="1248" w:right="0" w:hanging="541"/>
        <w:jc w:val="both"/>
        <w:rPr>
          <w:sz w:val="24"/>
        </w:rPr>
      </w:pPr>
      <w:r>
        <w:rPr>
          <w:sz w:val="24"/>
        </w:rPr>
        <w:t>承包人应负责处理其雇佣人员因工伤亡事故的善后事宜。</w:t>
      </w:r>
    </w:p>
    <w:p>
      <w:pPr>
        <w:pStyle w:val="ListParagraph"/>
        <w:numPr>
          <w:ilvl w:val="1"/>
          <w:numId w:val="30"/>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工程价款应专款专用</w:t>
      </w:r>
    </w:p>
    <w:p>
      <w:pPr>
        <w:pStyle w:val="BodyText"/>
        <w:spacing w:before="158"/>
        <w:ind w:left="707"/>
      </w:pPr>
      <w:r>
        <w:rPr/>
        <w:t>发包人按合同约定支付给承包人的各项价款应专用于合同工程。</w:t>
      </w:r>
    </w:p>
    <w:p>
      <w:pPr>
        <w:pStyle w:val="ListParagraph"/>
        <w:numPr>
          <w:ilvl w:val="1"/>
          <w:numId w:val="30"/>
        </w:numPr>
        <w:tabs>
          <w:tab w:pos="648" w:val="left" w:leader="none"/>
        </w:tabs>
        <w:spacing w:line="240" w:lineRule="auto" w:before="173" w:after="0"/>
        <w:ind w:left="647" w:right="0" w:hanging="422"/>
        <w:jc w:val="left"/>
        <w:rPr>
          <w:rFonts w:ascii="黑体" w:eastAsia="黑体" w:hint="eastAsia"/>
          <w:sz w:val="24"/>
        </w:rPr>
      </w:pPr>
      <w:r>
        <w:rPr>
          <w:rFonts w:ascii="黑体" w:eastAsia="黑体" w:hint="eastAsia"/>
          <w:sz w:val="24"/>
        </w:rPr>
        <w:t>承包人现场查勘</w:t>
      </w:r>
    </w:p>
    <w:p>
      <w:pPr>
        <w:pStyle w:val="ListParagraph"/>
        <w:numPr>
          <w:ilvl w:val="2"/>
          <w:numId w:val="33"/>
        </w:numPr>
        <w:tabs>
          <w:tab w:pos="1369" w:val="left" w:leader="none"/>
        </w:tabs>
        <w:spacing w:line="362" w:lineRule="auto" w:before="158" w:after="0"/>
        <w:ind w:left="226" w:right="1033" w:firstLine="480"/>
        <w:jc w:val="left"/>
        <w:rPr>
          <w:sz w:val="24"/>
        </w:rPr>
      </w:pPr>
      <w:r>
        <w:rPr>
          <w:spacing w:val="-7"/>
          <w:sz w:val="24"/>
        </w:rPr>
        <w:t>发包人应将其持有的现场地质勘探资料、水文气象资料提供给承包人并对其准确性负责。但承包人应对其阅读上述有关资料后所作出的解释和推断负责。</w:t>
      </w:r>
    </w:p>
    <w:p>
      <w:pPr>
        <w:pStyle w:val="ListParagraph"/>
        <w:numPr>
          <w:ilvl w:val="2"/>
          <w:numId w:val="33"/>
        </w:numPr>
        <w:tabs>
          <w:tab w:pos="1369" w:val="left" w:leader="none"/>
        </w:tabs>
        <w:spacing w:line="369" w:lineRule="auto" w:before="2" w:after="0"/>
        <w:ind w:left="226" w:right="921" w:firstLine="480"/>
        <w:jc w:val="left"/>
        <w:rPr>
          <w:sz w:val="24"/>
        </w:rPr>
      </w:pPr>
      <w:r>
        <w:rPr>
          <w:sz w:val="24"/>
        </w:rPr>
        <w:t>承包人应对施工场地和周围环境进行查勘，并收集有关地质、水文、气象条件、交通条件、风俗习惯以及其他为完成合同工作有关的当地资料。在全部合同工作中，应视为承包人己充分估计了应承担的责任和风险。</w:t>
      </w:r>
    </w:p>
    <w:p>
      <w:pPr>
        <w:pStyle w:val="ListParagraph"/>
        <w:numPr>
          <w:ilvl w:val="1"/>
          <w:numId w:val="30"/>
        </w:numPr>
        <w:tabs>
          <w:tab w:pos="1067" w:val="left" w:leader="none"/>
          <w:tab w:pos="1068" w:val="left" w:leader="none"/>
        </w:tabs>
        <w:spacing w:line="298" w:lineRule="exact" w:before="0" w:after="0"/>
        <w:ind w:left="1068" w:right="0" w:hanging="842"/>
        <w:jc w:val="left"/>
        <w:rPr>
          <w:rFonts w:ascii="黑体" w:eastAsia="黑体" w:hint="eastAsia"/>
          <w:sz w:val="24"/>
        </w:rPr>
      </w:pPr>
      <w:r>
        <w:rPr>
          <w:rFonts w:ascii="黑体" w:eastAsia="黑体" w:hint="eastAsia"/>
          <w:sz w:val="24"/>
        </w:rPr>
        <w:t>不利物质条件</w:t>
      </w:r>
    </w:p>
    <w:p>
      <w:pPr>
        <w:pStyle w:val="ListParagraph"/>
        <w:numPr>
          <w:ilvl w:val="2"/>
          <w:numId w:val="34"/>
        </w:numPr>
        <w:tabs>
          <w:tab w:pos="1369" w:val="left" w:leader="none"/>
        </w:tabs>
        <w:spacing w:line="362" w:lineRule="auto" w:before="158" w:after="0"/>
        <w:ind w:left="226" w:right="1027" w:firstLine="480"/>
        <w:jc w:val="left"/>
        <w:rPr>
          <w:sz w:val="24"/>
        </w:rPr>
      </w:pPr>
      <w:r>
        <w:rPr>
          <w:spacing w:val="-9"/>
          <w:sz w:val="24"/>
        </w:rPr>
        <w:t>除专用合同条款另有约定外，不利物质条件是指在施工中遭遇不可预见的外界障碍或自然条件造成施工受阻。</w:t>
      </w:r>
    </w:p>
    <w:p>
      <w:pPr>
        <w:pStyle w:val="ListParagraph"/>
        <w:numPr>
          <w:ilvl w:val="2"/>
          <w:numId w:val="34"/>
        </w:numPr>
        <w:tabs>
          <w:tab w:pos="1369" w:val="left" w:leader="none"/>
        </w:tabs>
        <w:spacing w:line="367" w:lineRule="auto" w:before="3" w:after="0"/>
        <w:ind w:left="226" w:right="912" w:firstLine="480"/>
        <w:jc w:val="left"/>
        <w:rPr>
          <w:sz w:val="24"/>
        </w:rPr>
      </w:pPr>
      <w:r>
        <w:rPr>
          <w:spacing w:val="-7"/>
          <w:sz w:val="24"/>
        </w:rPr>
        <w:t>承包人遇到不利物质条件时，应采取适应不利物质条件的合理措施继续施工，并</w:t>
      </w:r>
      <w:r>
        <w:rPr>
          <w:spacing w:val="-13"/>
          <w:sz w:val="24"/>
        </w:rPr>
        <w:t>及时通知监理人。承包人有权根据第 </w:t>
      </w:r>
      <w:r>
        <w:rPr>
          <w:rFonts w:ascii="Calibri" w:eastAsia="Calibri"/>
          <w:sz w:val="24"/>
        </w:rPr>
        <w:t>21.1</w:t>
      </w:r>
      <w:r>
        <w:rPr>
          <w:rFonts w:ascii="Calibri" w:eastAsia="Calibri"/>
          <w:spacing w:val="3"/>
          <w:sz w:val="24"/>
        </w:rPr>
        <w:t> </w:t>
      </w:r>
      <w:r>
        <w:rPr>
          <w:spacing w:val="-14"/>
          <w:sz w:val="24"/>
        </w:rPr>
        <w:t>款的约定，，要求延长工期及增加费用。监理人收</w:t>
      </w:r>
      <w:r>
        <w:rPr>
          <w:spacing w:val="-12"/>
          <w:sz w:val="24"/>
        </w:rPr>
        <w:t>到此类要求后，应在分析上述外界障碍或自然条件是否不可预见及不可预见程度的基础上， </w:t>
      </w:r>
      <w:r>
        <w:rPr>
          <w:spacing w:val="-18"/>
          <w:sz w:val="24"/>
        </w:rPr>
        <w:t>按照通用合同条款第 </w:t>
      </w:r>
      <w:r>
        <w:rPr>
          <w:rFonts w:ascii="Calibri" w:eastAsia="Calibri"/>
          <w:sz w:val="24"/>
        </w:rPr>
        <w:t>15</w:t>
      </w:r>
      <w:r>
        <w:rPr>
          <w:rFonts w:ascii="Calibri" w:eastAsia="Calibri"/>
          <w:spacing w:val="4"/>
          <w:sz w:val="24"/>
        </w:rPr>
        <w:t> </w:t>
      </w:r>
      <w:r>
        <w:rPr>
          <w:sz w:val="24"/>
        </w:rPr>
        <w:t>条的约定办理。</w:t>
      </w:r>
    </w:p>
    <w:p>
      <w:pPr>
        <w:pStyle w:val="BodyText"/>
        <w:spacing w:before="7"/>
      </w:pPr>
    </w:p>
    <w:p>
      <w:pPr>
        <w:pStyle w:val="Heading6"/>
        <w:numPr>
          <w:ilvl w:val="0"/>
          <w:numId w:val="30"/>
        </w:numPr>
        <w:tabs>
          <w:tab w:pos="542" w:val="left" w:leader="none"/>
        </w:tabs>
        <w:spacing w:line="240" w:lineRule="auto" w:before="0" w:after="0"/>
        <w:ind w:left="542" w:right="0" w:hanging="316"/>
        <w:jc w:val="left"/>
      </w:pPr>
      <w:bookmarkStart w:name="5.材料和工程设备" w:id="74"/>
      <w:bookmarkEnd w:id="74"/>
      <w:r>
        <w:rPr>
          <w:b w:val="0"/>
        </w:rPr>
      </w:r>
      <w:bookmarkStart w:name="5.材料和工程设备" w:id="75"/>
      <w:bookmarkEnd w:id="75"/>
      <w:r>
        <w:rPr>
          <w:spacing w:val="-3"/>
        </w:rPr>
        <w:t>材料和工程设备</w:t>
      </w:r>
    </w:p>
    <w:p>
      <w:pPr>
        <w:pStyle w:val="BodyText"/>
        <w:spacing w:before="9"/>
        <w:rPr>
          <w:rFonts w:ascii="黑体"/>
          <w:b/>
          <w:sz w:val="40"/>
        </w:rPr>
      </w:pPr>
    </w:p>
    <w:p>
      <w:pPr>
        <w:pStyle w:val="ListParagraph"/>
        <w:numPr>
          <w:ilvl w:val="1"/>
          <w:numId w:val="30"/>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承包人提供的材料和工程设备</w:t>
      </w:r>
    </w:p>
    <w:p>
      <w:pPr>
        <w:pStyle w:val="ListParagraph"/>
        <w:numPr>
          <w:ilvl w:val="2"/>
          <w:numId w:val="30"/>
        </w:numPr>
        <w:tabs>
          <w:tab w:pos="1233" w:val="left" w:leader="none"/>
        </w:tabs>
        <w:spacing w:line="362" w:lineRule="auto" w:before="158" w:after="0"/>
        <w:ind w:left="226" w:right="1330" w:firstLine="465"/>
        <w:jc w:val="left"/>
        <w:rPr>
          <w:sz w:val="24"/>
        </w:rPr>
      </w:pPr>
      <w:r>
        <w:rPr>
          <w:spacing w:val="-21"/>
          <w:sz w:val="24"/>
        </w:rPr>
        <w:t>除第 </w:t>
      </w:r>
      <w:r>
        <w:rPr>
          <w:rFonts w:ascii="Calibri" w:eastAsia="Calibri"/>
          <w:sz w:val="24"/>
        </w:rPr>
        <w:t>5.2</w:t>
      </w:r>
      <w:r>
        <w:rPr>
          <w:rFonts w:ascii="Calibri" w:eastAsia="Calibri"/>
          <w:spacing w:val="2"/>
          <w:sz w:val="24"/>
        </w:rPr>
        <w:t> </w:t>
      </w:r>
      <w:r>
        <w:rPr>
          <w:spacing w:val="-15"/>
          <w:sz w:val="24"/>
        </w:rPr>
        <w:t>款约定由发包人提供的材料和工程设备外，承包人负责采购、运输和保管完成本合同工作所需的材料和工程设备。承包人应对其采购的材料和工程设备负责。</w:t>
      </w:r>
    </w:p>
    <w:p>
      <w:pPr>
        <w:pStyle w:val="ListParagraph"/>
        <w:numPr>
          <w:ilvl w:val="2"/>
          <w:numId w:val="30"/>
        </w:numPr>
        <w:tabs>
          <w:tab w:pos="1248" w:val="left" w:leader="none"/>
        </w:tabs>
        <w:spacing w:line="240" w:lineRule="auto" w:before="2" w:after="0"/>
        <w:ind w:left="1248" w:right="0" w:hanging="541"/>
        <w:jc w:val="left"/>
        <w:rPr>
          <w:sz w:val="24"/>
        </w:rPr>
      </w:pPr>
      <w:r>
        <w:rPr>
          <w:spacing w:val="-3"/>
          <w:sz w:val="24"/>
        </w:rPr>
        <w:t>承包人应按专用合同条款的约定，将各项材料和工程设备的供货人及品种、规</w:t>
      </w:r>
    </w:p>
    <w:p>
      <w:pPr>
        <w:spacing w:after="0" w:line="240" w:lineRule="auto"/>
        <w:jc w:val="left"/>
        <w:rPr>
          <w:sz w:val="24"/>
        </w:rPr>
        <w:sectPr>
          <w:pgSz w:w="11910" w:h="16850"/>
          <w:pgMar w:header="911" w:footer="0" w:top="1380" w:bottom="280" w:left="1200" w:right="0"/>
        </w:sectPr>
      </w:pPr>
    </w:p>
    <w:p>
      <w:pPr>
        <w:pStyle w:val="BodyText"/>
        <w:spacing w:line="362" w:lineRule="auto" w:before="135"/>
        <w:ind w:left="226" w:right="1343"/>
      </w:pPr>
      <w:r>
        <w:rPr/>
        <w:t>格、数量和供货时间等报送监理人审批。承包人应向监理人提交其负责提供的材料和工程设备的量证明文件，并满足合同约定的质量标准。</w:t>
      </w:r>
    </w:p>
    <w:p>
      <w:pPr>
        <w:pStyle w:val="ListParagraph"/>
        <w:numPr>
          <w:ilvl w:val="2"/>
          <w:numId w:val="30"/>
        </w:numPr>
        <w:tabs>
          <w:tab w:pos="1248" w:val="left" w:leader="none"/>
        </w:tabs>
        <w:spacing w:line="362" w:lineRule="auto" w:before="2" w:after="0"/>
        <w:ind w:left="226" w:right="1284" w:firstLine="480"/>
        <w:jc w:val="both"/>
        <w:rPr>
          <w:sz w:val="24"/>
        </w:rPr>
      </w:pPr>
      <w:r>
        <w:rPr>
          <w:sz w:val="24"/>
        </w:rPr>
        <w:t>对承包人提供的材料和工程设备，承包人应会同监理人进行检验和交货验收， 查验材料合格证明和产品合格证书，并按合同约定和监理人指示，进行材料的抽样检验和工程设备的检验测试，检验和测试结果应提交监理人，所需费用由承包人承担。</w:t>
      </w:r>
    </w:p>
    <w:p>
      <w:pPr>
        <w:pStyle w:val="ListParagraph"/>
        <w:numPr>
          <w:ilvl w:val="1"/>
          <w:numId w:val="30"/>
        </w:numPr>
        <w:tabs>
          <w:tab w:pos="648" w:val="left" w:leader="none"/>
        </w:tabs>
        <w:spacing w:line="240" w:lineRule="auto" w:before="18" w:after="0"/>
        <w:ind w:left="647" w:right="0" w:hanging="422"/>
        <w:jc w:val="left"/>
        <w:rPr>
          <w:rFonts w:ascii="黑体" w:eastAsia="黑体" w:hint="eastAsia"/>
          <w:sz w:val="24"/>
        </w:rPr>
      </w:pPr>
      <w:r>
        <w:rPr/>
        <w:drawing>
          <wp:anchor distT="0" distB="0" distL="0" distR="0" allowOverlap="1" layoutInCell="1" locked="0" behindDoc="1" simplePos="0" relativeHeight="234747904">
            <wp:simplePos x="0" y="0"/>
            <wp:positionH relativeFrom="page">
              <wp:posOffset>992771</wp:posOffset>
            </wp:positionH>
            <wp:positionV relativeFrom="paragraph">
              <wp:posOffset>164598</wp:posOffset>
            </wp:positionV>
            <wp:extent cx="5578970" cy="5494141"/>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黑体" w:eastAsia="黑体" w:hint="eastAsia"/>
          <w:sz w:val="24"/>
        </w:rPr>
        <w:t>禁止使用不合格的材料和工程设备</w:t>
      </w:r>
    </w:p>
    <w:p>
      <w:pPr>
        <w:pStyle w:val="ListParagraph"/>
        <w:numPr>
          <w:ilvl w:val="2"/>
          <w:numId w:val="30"/>
        </w:numPr>
        <w:tabs>
          <w:tab w:pos="1248" w:val="left" w:leader="none"/>
        </w:tabs>
        <w:spacing w:line="362" w:lineRule="auto" w:before="158" w:after="0"/>
        <w:ind w:left="226" w:right="1343" w:firstLine="480"/>
        <w:jc w:val="both"/>
        <w:rPr>
          <w:sz w:val="24"/>
        </w:rPr>
      </w:pPr>
      <w:r>
        <w:rPr>
          <w:spacing w:val="-3"/>
          <w:sz w:val="24"/>
        </w:rPr>
        <w:t>监理人有权拒绝承包人提供的不合格材料或工程设备，并要求承包人立即进行</w:t>
      </w:r>
      <w:r>
        <w:rPr>
          <w:spacing w:val="-4"/>
          <w:sz w:val="24"/>
        </w:rPr>
        <w:t>更换。监理人应在更换后再次进行检查和检验，由此增加的费用和(或)工期延误由承包人承担。</w:t>
      </w:r>
    </w:p>
    <w:p>
      <w:pPr>
        <w:pStyle w:val="ListParagraph"/>
        <w:numPr>
          <w:ilvl w:val="2"/>
          <w:numId w:val="30"/>
        </w:numPr>
        <w:tabs>
          <w:tab w:pos="1248" w:val="left" w:leader="none"/>
        </w:tabs>
        <w:spacing w:line="374" w:lineRule="auto" w:before="3" w:after="0"/>
        <w:ind w:left="226" w:right="1343" w:firstLine="480"/>
        <w:jc w:val="both"/>
        <w:rPr>
          <w:sz w:val="24"/>
        </w:rPr>
      </w:pPr>
      <w:r>
        <w:rPr>
          <w:spacing w:val="-3"/>
          <w:sz w:val="24"/>
        </w:rPr>
        <w:t>监理人发现承包人使用了不合格的材料和工程设备，应即时发出指示要求承包人立即改正，并禁止在工程中继续使用不合格的材料和工程设备。</w:t>
      </w:r>
    </w:p>
    <w:p>
      <w:pPr>
        <w:pStyle w:val="BodyText"/>
      </w:pPr>
    </w:p>
    <w:p>
      <w:pPr>
        <w:pStyle w:val="Heading6"/>
        <w:numPr>
          <w:ilvl w:val="0"/>
          <w:numId w:val="35"/>
        </w:numPr>
        <w:tabs>
          <w:tab w:pos="467" w:val="left" w:leader="none"/>
        </w:tabs>
        <w:spacing w:line="240" w:lineRule="auto" w:before="0" w:after="0"/>
        <w:ind w:left="467" w:right="0" w:hanging="241"/>
        <w:jc w:val="left"/>
      </w:pPr>
      <w:bookmarkStart w:name="6施工设备和临时设施" w:id="76"/>
      <w:bookmarkEnd w:id="76"/>
      <w:r>
        <w:rPr>
          <w:b w:val="0"/>
        </w:rPr>
      </w:r>
      <w:bookmarkStart w:name="6施工设备和临时设施" w:id="77"/>
      <w:bookmarkEnd w:id="77"/>
      <w:r>
        <w:rPr>
          <w:spacing w:val="-2"/>
        </w:rPr>
        <w:t>施工设备和临时设施</w:t>
      </w:r>
    </w:p>
    <w:p>
      <w:pPr>
        <w:pStyle w:val="BodyText"/>
        <w:spacing w:before="7"/>
        <w:rPr>
          <w:rFonts w:ascii="黑体"/>
          <w:b/>
          <w:sz w:val="39"/>
        </w:rPr>
      </w:pPr>
    </w:p>
    <w:p>
      <w:pPr>
        <w:pStyle w:val="ListParagraph"/>
        <w:numPr>
          <w:ilvl w:val="1"/>
          <w:numId w:val="35"/>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承包人提供的施工设备和临时设施</w:t>
      </w:r>
    </w:p>
    <w:p>
      <w:pPr>
        <w:pStyle w:val="ListParagraph"/>
        <w:numPr>
          <w:ilvl w:val="2"/>
          <w:numId w:val="35"/>
        </w:numPr>
        <w:tabs>
          <w:tab w:pos="1248" w:val="left" w:leader="none"/>
        </w:tabs>
        <w:spacing w:line="362" w:lineRule="auto" w:before="173" w:after="0"/>
        <w:ind w:left="226" w:right="1343" w:firstLine="480"/>
        <w:jc w:val="both"/>
        <w:rPr>
          <w:sz w:val="24"/>
        </w:rPr>
      </w:pPr>
      <w:r>
        <w:rPr>
          <w:spacing w:val="-3"/>
          <w:sz w:val="24"/>
        </w:rPr>
        <w:t>承包人应按合同进度计划的要求，及时配置施工设备和修建临时设施。进入施工场地的承包人设备需经监理人核查后才能投入使用。承包人更换合同约定的承包人设备的，立即报监理人批准。</w:t>
      </w:r>
    </w:p>
    <w:p>
      <w:pPr>
        <w:pStyle w:val="ListParagraph"/>
        <w:numPr>
          <w:ilvl w:val="2"/>
          <w:numId w:val="35"/>
        </w:numPr>
        <w:tabs>
          <w:tab w:pos="1248" w:val="left" w:leader="none"/>
        </w:tabs>
        <w:spacing w:line="362" w:lineRule="auto" w:before="3" w:after="0"/>
        <w:ind w:left="226" w:right="1344" w:firstLine="480"/>
        <w:jc w:val="both"/>
        <w:rPr>
          <w:sz w:val="24"/>
        </w:rPr>
      </w:pPr>
      <w:r>
        <w:rPr>
          <w:spacing w:val="-4"/>
          <w:sz w:val="24"/>
        </w:rPr>
        <w:t>除专用合同条款另有约定外，承包人应自行承担修建临时设施的费用，需要临时占地的，应由发包人办理申请手续并承担相应费用。</w:t>
      </w:r>
    </w:p>
    <w:p>
      <w:pPr>
        <w:pStyle w:val="ListParagraph"/>
        <w:numPr>
          <w:ilvl w:val="1"/>
          <w:numId w:val="35"/>
        </w:numPr>
        <w:tabs>
          <w:tab w:pos="648" w:val="left" w:leader="none"/>
        </w:tabs>
        <w:spacing w:line="240" w:lineRule="auto" w:before="17" w:after="0"/>
        <w:ind w:left="647" w:right="0" w:hanging="422"/>
        <w:jc w:val="left"/>
        <w:rPr>
          <w:rFonts w:ascii="黑体" w:eastAsia="黑体" w:hint="eastAsia"/>
          <w:sz w:val="24"/>
        </w:rPr>
      </w:pPr>
      <w:r>
        <w:rPr>
          <w:rFonts w:ascii="黑体" w:eastAsia="黑体" w:hint="eastAsia"/>
          <w:sz w:val="24"/>
        </w:rPr>
        <w:t>要求承包人增加或更换施工设备</w:t>
      </w:r>
    </w:p>
    <w:p>
      <w:pPr>
        <w:pStyle w:val="BodyText"/>
        <w:spacing w:line="362" w:lineRule="auto" w:before="159"/>
        <w:ind w:left="226" w:right="1348" w:firstLine="480"/>
        <w:jc w:val="both"/>
      </w:pPr>
      <w:r>
        <w:rPr/>
        <w:t>承包人使用的施工设备不能满足合同进度计划和</w:t>
      </w:r>
      <w:r>
        <w:rPr>
          <w:rFonts w:ascii="Calibri" w:eastAsia="Calibri"/>
        </w:rPr>
        <w:t>(</w:t>
      </w:r>
      <w:r>
        <w:rPr/>
        <w:t>或</w:t>
      </w:r>
      <w:r>
        <w:rPr>
          <w:rFonts w:ascii="Calibri" w:eastAsia="Calibri"/>
        </w:rPr>
        <w:t>)</w:t>
      </w:r>
      <w:r>
        <w:rPr/>
        <w:t>质量要求时，监理人有权要求承包人增加或更换施工设备，承包人应及时增加或更换，由此增加的费用和</w:t>
      </w:r>
      <w:r>
        <w:rPr>
          <w:rFonts w:ascii="Calibri" w:eastAsia="Calibri"/>
        </w:rPr>
        <w:t>(</w:t>
      </w:r>
      <w:r>
        <w:rPr/>
        <w:t>或</w:t>
      </w:r>
      <w:r>
        <w:rPr>
          <w:rFonts w:ascii="Calibri" w:eastAsia="Calibri"/>
        </w:rPr>
        <w:t>)</w:t>
      </w:r>
      <w:r>
        <w:rPr/>
        <w:t>工期延误由承包人承担。</w:t>
      </w:r>
    </w:p>
    <w:p>
      <w:pPr>
        <w:pStyle w:val="ListParagraph"/>
        <w:numPr>
          <w:ilvl w:val="1"/>
          <w:numId w:val="35"/>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施工设备和临时设施专用于合同工程</w:t>
      </w:r>
    </w:p>
    <w:p>
      <w:pPr>
        <w:pStyle w:val="ListParagraph"/>
        <w:numPr>
          <w:ilvl w:val="2"/>
          <w:numId w:val="36"/>
        </w:numPr>
        <w:tabs>
          <w:tab w:pos="1248" w:val="left" w:leader="none"/>
        </w:tabs>
        <w:spacing w:line="362" w:lineRule="auto" w:before="173" w:after="0"/>
        <w:ind w:left="226" w:right="1343" w:firstLine="480"/>
        <w:jc w:val="both"/>
        <w:rPr>
          <w:sz w:val="24"/>
        </w:rPr>
      </w:pPr>
      <w:r>
        <w:rPr>
          <w:spacing w:val="-7"/>
          <w:sz w:val="24"/>
        </w:rPr>
        <w:t>除合同另有约定外，运入施工场地的所有施工设备以及在施工场地建设的临时设施应专用于合同工程。未经监理人同意，不得将上述施工设备和临时设施中的任何部分运出施工场地或挪作他用。</w:t>
      </w:r>
    </w:p>
    <w:p>
      <w:pPr>
        <w:pStyle w:val="ListParagraph"/>
        <w:numPr>
          <w:ilvl w:val="2"/>
          <w:numId w:val="36"/>
        </w:numPr>
        <w:tabs>
          <w:tab w:pos="1248" w:val="left" w:leader="none"/>
        </w:tabs>
        <w:spacing w:line="240" w:lineRule="auto" w:before="3" w:after="0"/>
        <w:ind w:left="1248" w:right="0" w:hanging="541"/>
        <w:jc w:val="both"/>
        <w:rPr>
          <w:sz w:val="24"/>
        </w:rPr>
      </w:pPr>
      <w:r>
        <w:rPr>
          <w:sz w:val="24"/>
        </w:rPr>
        <w:t>经监理人同意，承包人可根据合同进度计划撤走闲置的施工设备。</w:t>
      </w:r>
    </w:p>
    <w:p>
      <w:pPr>
        <w:spacing w:after="0" w:line="240" w:lineRule="auto"/>
        <w:jc w:val="both"/>
        <w:rPr>
          <w:sz w:val="24"/>
        </w:rPr>
        <w:sectPr>
          <w:pgSz w:w="11910" w:h="16850"/>
          <w:pgMar w:header="911" w:footer="0" w:top="1380" w:bottom="280" w:left="1200" w:right="0"/>
        </w:sectPr>
      </w:pPr>
    </w:p>
    <w:p>
      <w:pPr>
        <w:pStyle w:val="BodyText"/>
        <w:spacing w:before="3"/>
        <w:rPr>
          <w:sz w:val="8"/>
        </w:rPr>
      </w:pPr>
    </w:p>
    <w:p>
      <w:pPr>
        <w:pStyle w:val="Heading6"/>
        <w:numPr>
          <w:ilvl w:val="0"/>
          <w:numId w:val="37"/>
        </w:numPr>
        <w:tabs>
          <w:tab w:pos="542" w:val="left" w:leader="none"/>
        </w:tabs>
        <w:spacing w:line="240" w:lineRule="auto" w:before="65" w:after="0"/>
        <w:ind w:left="542" w:right="0" w:hanging="316"/>
        <w:jc w:val="left"/>
      </w:pPr>
      <w:bookmarkStart w:name="7.交通运输" w:id="78"/>
      <w:bookmarkEnd w:id="78"/>
      <w:r>
        <w:rPr>
          <w:b w:val="0"/>
        </w:rPr>
      </w:r>
      <w:bookmarkStart w:name="7.交通运输" w:id="79"/>
      <w:bookmarkEnd w:id="79"/>
      <w:r>
        <w:rPr/>
        <w:t>交通运输</w:t>
      </w:r>
    </w:p>
    <w:p>
      <w:pPr>
        <w:pStyle w:val="BodyText"/>
        <w:spacing w:before="7"/>
        <w:rPr>
          <w:rFonts w:ascii="黑体"/>
          <w:b/>
          <w:sz w:val="39"/>
        </w:rPr>
      </w:pPr>
    </w:p>
    <w:p>
      <w:pPr>
        <w:pStyle w:val="ListParagraph"/>
        <w:numPr>
          <w:ilvl w:val="1"/>
          <w:numId w:val="37"/>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道路通行权和场外设施</w:t>
      </w:r>
    </w:p>
    <w:p>
      <w:pPr>
        <w:pStyle w:val="BodyText"/>
        <w:spacing w:line="362" w:lineRule="auto" w:before="173"/>
        <w:ind w:left="226" w:right="1221" w:firstLine="480"/>
      </w:pPr>
      <w:r>
        <w:rPr/>
        <w:drawing>
          <wp:anchor distT="0" distB="0" distL="0" distR="0" allowOverlap="1" layoutInCell="1" locked="0" behindDoc="1" simplePos="0" relativeHeight="234748928">
            <wp:simplePos x="0" y="0"/>
            <wp:positionH relativeFrom="page">
              <wp:posOffset>992771</wp:posOffset>
            </wp:positionH>
            <wp:positionV relativeFrom="paragraph">
              <wp:posOffset>873258</wp:posOffset>
            </wp:positionV>
            <wp:extent cx="5578970" cy="5494141"/>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6" cstate="print"/>
                    <a:stretch>
                      <a:fillRect/>
                    </a:stretch>
                  </pic:blipFill>
                  <pic:spPr>
                    <a:xfrm>
                      <a:off x="0" y="0"/>
                      <a:ext cx="5578970" cy="5494141"/>
                    </a:xfrm>
                    <a:prstGeom prst="rect">
                      <a:avLst/>
                    </a:prstGeom>
                  </pic:spPr>
                </pic:pic>
              </a:graphicData>
            </a:graphic>
          </wp:anchor>
        </w:drawing>
      </w:r>
      <w:r>
        <w:rPr/>
        <w:t>除专用合同条款另有约定外，承包人应根据合同工程的施工需要，负责办理取得出</w:t>
      </w:r>
      <w:r>
        <w:rPr>
          <w:spacing w:val="-7"/>
        </w:rPr>
        <w:t>入施工场地的专用和临时道路的通行权，以及取得为工程建设所需修建场外设施的权利， 并承担相关费用。发包人应协助承包人办理上述手续。</w:t>
      </w:r>
    </w:p>
    <w:p>
      <w:pPr>
        <w:pStyle w:val="ListParagraph"/>
        <w:numPr>
          <w:ilvl w:val="1"/>
          <w:numId w:val="37"/>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场内施工道路</w:t>
      </w:r>
    </w:p>
    <w:p>
      <w:pPr>
        <w:pStyle w:val="BodyText"/>
        <w:spacing w:line="374" w:lineRule="auto" w:before="158"/>
        <w:ind w:left="226" w:right="1342" w:firstLine="480"/>
      </w:pPr>
      <w:r>
        <w:rPr/>
        <w:t>承包人修建的临时道路和交通设施，应免费提供发包人、监理人以及与本合同有关的其他承包人使用。</w:t>
      </w:r>
    </w:p>
    <w:p>
      <w:pPr>
        <w:pStyle w:val="ListParagraph"/>
        <w:numPr>
          <w:ilvl w:val="1"/>
          <w:numId w:val="37"/>
        </w:numPr>
        <w:tabs>
          <w:tab w:pos="648" w:val="left" w:leader="none"/>
        </w:tabs>
        <w:spacing w:line="294" w:lineRule="exact" w:before="0" w:after="0"/>
        <w:ind w:left="647" w:right="0" w:hanging="422"/>
        <w:jc w:val="left"/>
        <w:rPr>
          <w:rFonts w:ascii="黑体" w:eastAsia="黑体" w:hint="eastAsia"/>
          <w:sz w:val="24"/>
        </w:rPr>
      </w:pPr>
      <w:r>
        <w:rPr>
          <w:rFonts w:ascii="黑体" w:eastAsia="黑体" w:hint="eastAsia"/>
          <w:sz w:val="24"/>
        </w:rPr>
        <w:t>场外交通</w:t>
      </w:r>
    </w:p>
    <w:p>
      <w:pPr>
        <w:pStyle w:val="ListParagraph"/>
        <w:numPr>
          <w:ilvl w:val="2"/>
          <w:numId w:val="37"/>
        </w:numPr>
        <w:tabs>
          <w:tab w:pos="1233" w:val="left" w:leader="none"/>
        </w:tabs>
        <w:spacing w:line="240" w:lineRule="auto" w:before="158" w:after="0"/>
        <w:ind w:left="1233" w:right="0" w:hanging="541"/>
        <w:jc w:val="left"/>
        <w:rPr>
          <w:sz w:val="24"/>
        </w:rPr>
      </w:pPr>
      <w:r>
        <w:rPr>
          <w:spacing w:val="-25"/>
          <w:sz w:val="24"/>
        </w:rPr>
        <w:t>承包人车辆外出行驶所需的场外公共道路的通行费、养路费和税款等由承包人承担。</w:t>
      </w:r>
    </w:p>
    <w:p>
      <w:pPr>
        <w:pStyle w:val="ListParagraph"/>
        <w:numPr>
          <w:ilvl w:val="2"/>
          <w:numId w:val="37"/>
        </w:numPr>
        <w:tabs>
          <w:tab w:pos="1248" w:val="left" w:leader="none"/>
        </w:tabs>
        <w:spacing w:line="362" w:lineRule="auto" w:before="158" w:after="0"/>
        <w:ind w:left="226" w:right="1349" w:firstLine="480"/>
        <w:jc w:val="left"/>
        <w:rPr>
          <w:sz w:val="24"/>
        </w:rPr>
      </w:pPr>
      <w:r>
        <w:rPr>
          <w:spacing w:val="-5"/>
          <w:sz w:val="24"/>
        </w:rPr>
        <w:t>承包人应遵守有关交通法规，严格按照道路和桥梁的限制荷重安全行驶，并服从交通管理部门的检查和监督。</w:t>
      </w:r>
    </w:p>
    <w:p>
      <w:pPr>
        <w:pStyle w:val="BodyText"/>
        <w:spacing w:before="4"/>
        <w:rPr>
          <w:sz w:val="26"/>
        </w:rPr>
      </w:pPr>
    </w:p>
    <w:p>
      <w:pPr>
        <w:pStyle w:val="Heading6"/>
        <w:numPr>
          <w:ilvl w:val="0"/>
          <w:numId w:val="37"/>
        </w:numPr>
        <w:tabs>
          <w:tab w:pos="542" w:val="left" w:leader="none"/>
        </w:tabs>
        <w:spacing w:line="240" w:lineRule="auto" w:before="0" w:after="0"/>
        <w:ind w:left="542" w:right="0" w:hanging="316"/>
        <w:jc w:val="left"/>
      </w:pPr>
      <w:bookmarkStart w:name="8.测量放线" w:id="80"/>
      <w:bookmarkEnd w:id="80"/>
      <w:r>
        <w:rPr>
          <w:b w:val="0"/>
        </w:rPr>
      </w:r>
      <w:bookmarkStart w:name="8.测量放线" w:id="81"/>
      <w:bookmarkEnd w:id="81"/>
      <w:r>
        <w:rPr/>
        <w:t>测量放线</w:t>
      </w:r>
    </w:p>
    <w:p>
      <w:pPr>
        <w:pStyle w:val="BodyText"/>
        <w:spacing w:before="8"/>
        <w:rPr>
          <w:rFonts w:ascii="黑体"/>
          <w:b/>
          <w:sz w:val="39"/>
        </w:rPr>
      </w:pPr>
    </w:p>
    <w:p>
      <w:pPr>
        <w:pStyle w:val="ListParagraph"/>
        <w:numPr>
          <w:ilvl w:val="1"/>
          <w:numId w:val="37"/>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施工控制网</w:t>
      </w:r>
    </w:p>
    <w:p>
      <w:pPr>
        <w:pStyle w:val="ListParagraph"/>
        <w:numPr>
          <w:ilvl w:val="2"/>
          <w:numId w:val="37"/>
        </w:numPr>
        <w:tabs>
          <w:tab w:pos="1308" w:val="left" w:leader="none"/>
        </w:tabs>
        <w:spacing w:line="367" w:lineRule="auto" w:before="158" w:after="0"/>
        <w:ind w:left="226" w:right="1343" w:firstLine="480"/>
        <w:jc w:val="both"/>
        <w:rPr>
          <w:sz w:val="24"/>
        </w:rPr>
      </w:pPr>
      <w:r>
        <w:rPr>
          <w:sz w:val="24"/>
        </w:rPr>
        <w:t>发包人应在专用合同条款约定的期限内，通过监理人向承包人提供测量基准点、基准线和水准点及其书面资料。除专用合同条款另有约定外，承包人应根据国家测</w:t>
      </w:r>
      <w:r>
        <w:rPr>
          <w:spacing w:val="-1"/>
          <w:sz w:val="24"/>
        </w:rPr>
        <w:t>绘基准、测绘系统和工程测量技术规范，按上述基准点(线)以及合同工程精度要求，测设施工控制网，并在专用合同条款约定的期限内，将施工控制网资料报送监理人审批。</w:t>
      </w:r>
    </w:p>
    <w:p>
      <w:pPr>
        <w:pStyle w:val="ListParagraph"/>
        <w:numPr>
          <w:ilvl w:val="2"/>
          <w:numId w:val="37"/>
        </w:numPr>
        <w:tabs>
          <w:tab w:pos="1248" w:val="left" w:leader="none"/>
        </w:tabs>
        <w:spacing w:line="369" w:lineRule="auto" w:before="0" w:after="0"/>
        <w:ind w:left="226" w:right="1344" w:firstLine="480"/>
        <w:jc w:val="both"/>
        <w:rPr>
          <w:sz w:val="24"/>
        </w:rPr>
      </w:pPr>
      <w:r>
        <w:rPr>
          <w:spacing w:val="-3"/>
          <w:sz w:val="24"/>
        </w:rPr>
        <w:t>承包人应负责管理施工控制网点。施工控制网点丢失或损坏的，承包人应及时</w:t>
      </w:r>
      <w:r>
        <w:rPr>
          <w:spacing w:val="-4"/>
          <w:sz w:val="24"/>
        </w:rPr>
        <w:t>修复。承包人应承担施工控制网点的管理与修复费用，并在工程竣工后将施工控制网点移交发包人。</w:t>
      </w:r>
    </w:p>
    <w:p>
      <w:pPr>
        <w:pStyle w:val="ListParagraph"/>
        <w:numPr>
          <w:ilvl w:val="1"/>
          <w:numId w:val="37"/>
        </w:numPr>
        <w:tabs>
          <w:tab w:pos="648" w:val="left" w:leader="none"/>
        </w:tabs>
        <w:spacing w:line="298" w:lineRule="exact" w:before="0" w:after="0"/>
        <w:ind w:left="647" w:right="0" w:hanging="422"/>
        <w:jc w:val="left"/>
        <w:rPr>
          <w:rFonts w:ascii="黑体" w:eastAsia="黑体" w:hint="eastAsia"/>
          <w:sz w:val="24"/>
        </w:rPr>
      </w:pPr>
      <w:r>
        <w:rPr>
          <w:rFonts w:ascii="黑体" w:eastAsia="黑体" w:hint="eastAsia"/>
          <w:sz w:val="24"/>
        </w:rPr>
        <w:t>施工测量</w:t>
      </w:r>
    </w:p>
    <w:p>
      <w:pPr>
        <w:pStyle w:val="ListParagraph"/>
        <w:numPr>
          <w:ilvl w:val="2"/>
          <w:numId w:val="37"/>
        </w:numPr>
        <w:tabs>
          <w:tab w:pos="1248" w:val="left" w:leader="none"/>
        </w:tabs>
        <w:spacing w:line="362" w:lineRule="auto" w:before="153" w:after="0"/>
        <w:ind w:left="226" w:right="1223" w:firstLine="480"/>
        <w:jc w:val="both"/>
        <w:rPr>
          <w:sz w:val="24"/>
        </w:rPr>
      </w:pPr>
      <w:r>
        <w:rPr>
          <w:spacing w:val="-7"/>
          <w:sz w:val="24"/>
        </w:rPr>
        <w:t>承包人应负责施工过程中的全部施工测量放线工作，并配置合格的人员、仪器、设备和其他物品。</w:t>
      </w:r>
    </w:p>
    <w:p>
      <w:pPr>
        <w:pStyle w:val="ListParagraph"/>
        <w:numPr>
          <w:ilvl w:val="2"/>
          <w:numId w:val="37"/>
        </w:numPr>
        <w:tabs>
          <w:tab w:pos="1248" w:val="left" w:leader="none"/>
        </w:tabs>
        <w:spacing w:line="374" w:lineRule="auto" w:before="2" w:after="0"/>
        <w:ind w:left="226" w:right="1343" w:firstLine="480"/>
        <w:jc w:val="both"/>
        <w:rPr>
          <w:sz w:val="24"/>
        </w:rPr>
      </w:pPr>
      <w:r>
        <w:rPr>
          <w:spacing w:val="-4"/>
          <w:sz w:val="24"/>
        </w:rPr>
        <w:t>监理人可以指示承包人进行抽样复测，当复测中发现错误或出现超过合同约定的误差时，承包人应按监理人指示进行修正或补测，并承担相应的复测费用。</w:t>
      </w:r>
    </w:p>
    <w:p>
      <w:pPr>
        <w:pStyle w:val="ListParagraph"/>
        <w:numPr>
          <w:ilvl w:val="1"/>
          <w:numId w:val="37"/>
        </w:numPr>
        <w:tabs>
          <w:tab w:pos="648" w:val="left" w:leader="none"/>
        </w:tabs>
        <w:spacing w:line="294" w:lineRule="exact" w:before="0" w:after="0"/>
        <w:ind w:left="647" w:right="0" w:hanging="422"/>
        <w:jc w:val="left"/>
        <w:rPr>
          <w:rFonts w:ascii="黑体" w:eastAsia="黑体" w:hint="eastAsia"/>
          <w:sz w:val="24"/>
        </w:rPr>
      </w:pPr>
      <w:r>
        <w:rPr>
          <w:rFonts w:ascii="黑体" w:eastAsia="黑体" w:hint="eastAsia"/>
          <w:sz w:val="24"/>
        </w:rPr>
        <w:t>基准资料错误的责任</w:t>
      </w:r>
    </w:p>
    <w:p>
      <w:pPr>
        <w:spacing w:after="0" w:line="294" w:lineRule="exact"/>
        <w:jc w:val="left"/>
        <w:rPr>
          <w:rFonts w:ascii="黑体" w:eastAsia="黑体" w:hint="eastAsia"/>
          <w:sz w:val="24"/>
        </w:rPr>
        <w:sectPr>
          <w:pgSz w:w="11910" w:h="16850"/>
          <w:pgMar w:header="911" w:footer="0" w:top="1380" w:bottom="280" w:left="1200" w:right="0"/>
        </w:sectPr>
      </w:pPr>
    </w:p>
    <w:p>
      <w:pPr>
        <w:pStyle w:val="BodyText"/>
        <w:spacing w:line="362" w:lineRule="auto" w:before="135"/>
        <w:ind w:left="226" w:right="1227" w:firstLine="480"/>
      </w:pPr>
      <w:r>
        <w:rPr/>
        <w:t>发包人应对其提供的测量基准点、基准线和水准点及其书面资料的真实性、准确性和完整性负责。发包人提供上述基准资料错误导致承包人测量放线工作的返工或造成工</w:t>
      </w:r>
      <w:r>
        <w:rPr>
          <w:spacing w:val="-10"/>
        </w:rPr>
        <w:t>程损失的，发包人应当承担由此增加的费用和(或)工期延误，并向承包人支付合理利润。承包人发现发包人提供的上述基准资料存在明显错误或疏忽的，应及时通知监理人。</w:t>
      </w:r>
    </w:p>
    <w:p>
      <w:pPr>
        <w:pStyle w:val="ListParagraph"/>
        <w:numPr>
          <w:ilvl w:val="1"/>
          <w:numId w:val="37"/>
        </w:numPr>
        <w:tabs>
          <w:tab w:pos="648" w:val="left" w:leader="none"/>
        </w:tabs>
        <w:spacing w:line="240" w:lineRule="auto" w:before="4" w:after="0"/>
        <w:ind w:left="647" w:right="0" w:hanging="422"/>
        <w:jc w:val="left"/>
        <w:rPr>
          <w:rFonts w:ascii="黑体" w:eastAsia="黑体" w:hint="eastAsia"/>
          <w:sz w:val="24"/>
        </w:rPr>
      </w:pPr>
      <w:r>
        <w:rPr>
          <w:rFonts w:ascii="黑体" w:eastAsia="黑体" w:hint="eastAsia"/>
          <w:sz w:val="24"/>
        </w:rPr>
        <w:t>监理人使用施工控制网</w:t>
      </w:r>
    </w:p>
    <w:p>
      <w:pPr>
        <w:pStyle w:val="BodyText"/>
        <w:spacing w:before="173"/>
        <w:ind w:left="692"/>
      </w:pPr>
      <w:r>
        <w:rPr/>
        <w:drawing>
          <wp:anchor distT="0" distB="0" distL="0" distR="0" allowOverlap="1" layoutInCell="1" locked="0" behindDoc="1" simplePos="0" relativeHeight="234749952">
            <wp:simplePos x="0" y="0"/>
            <wp:positionH relativeFrom="page">
              <wp:posOffset>992771</wp:posOffset>
            </wp:positionH>
            <wp:positionV relativeFrom="paragraph">
              <wp:posOffset>263023</wp:posOffset>
            </wp:positionV>
            <wp:extent cx="5578970" cy="5494141"/>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6" cstate="print"/>
                    <a:stretch>
                      <a:fillRect/>
                    </a:stretch>
                  </pic:blipFill>
                  <pic:spPr>
                    <a:xfrm>
                      <a:off x="0" y="0"/>
                      <a:ext cx="5578970" cy="5494141"/>
                    </a:xfrm>
                    <a:prstGeom prst="rect">
                      <a:avLst/>
                    </a:prstGeom>
                  </pic:spPr>
                </pic:pic>
              </a:graphicData>
            </a:graphic>
          </wp:anchor>
        </w:drawing>
      </w:r>
      <w:r>
        <w:rPr/>
        <w:t>监理人需要使用施工控制网的，承包人应提供必要的协助，发包人不再为此支付费用。</w:t>
      </w:r>
    </w:p>
    <w:p>
      <w:pPr>
        <w:pStyle w:val="ListParagraph"/>
        <w:numPr>
          <w:ilvl w:val="1"/>
          <w:numId w:val="37"/>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补充地址勘探</w:t>
      </w:r>
    </w:p>
    <w:p>
      <w:pPr>
        <w:pStyle w:val="BodyText"/>
        <w:spacing w:line="367" w:lineRule="auto" w:before="158"/>
        <w:ind w:left="226" w:right="1222" w:firstLine="480"/>
      </w:pPr>
      <w:r>
        <w:rPr>
          <w:spacing w:val="-11"/>
        </w:rPr>
        <w:t>在合同实施期间，监理人可以指示承包人进行必要的补充地址勘探并提供有关资料。承包人为本合同永久工程的需要进行补充地址勘探时，须经监理人批准，并向监理人提交有关资料，上述补充勘探的费用由发包人承担。承包人为其峰时工程设计及施工的需要进行的补充地质勘探，其费用由承包人承担。</w:t>
      </w:r>
    </w:p>
    <w:p>
      <w:pPr>
        <w:pStyle w:val="BodyText"/>
        <w:spacing w:before="8"/>
      </w:pPr>
    </w:p>
    <w:p>
      <w:pPr>
        <w:pStyle w:val="Heading6"/>
        <w:numPr>
          <w:ilvl w:val="0"/>
          <w:numId w:val="38"/>
        </w:numPr>
        <w:tabs>
          <w:tab w:pos="467" w:val="left" w:leader="none"/>
        </w:tabs>
        <w:spacing w:line="240" w:lineRule="auto" w:before="0" w:after="0"/>
        <w:ind w:left="467" w:right="0" w:hanging="241"/>
        <w:jc w:val="left"/>
      </w:pPr>
      <w:bookmarkStart w:name="9施工安全、治安保卫和环境保护" w:id="82"/>
      <w:bookmarkEnd w:id="82"/>
      <w:r>
        <w:rPr>
          <w:b w:val="0"/>
        </w:rPr>
      </w:r>
      <w:bookmarkStart w:name="9施工安全、治安保卫和环境保护" w:id="83"/>
      <w:bookmarkEnd w:id="83"/>
      <w:r>
        <w:rPr>
          <w:spacing w:val="-4"/>
        </w:rPr>
        <w:t>施工安全、治安保卫和环境保护</w:t>
      </w:r>
    </w:p>
    <w:p>
      <w:pPr>
        <w:pStyle w:val="BodyText"/>
        <w:spacing w:before="7"/>
        <w:rPr>
          <w:rFonts w:ascii="黑体"/>
          <w:b/>
          <w:sz w:val="39"/>
        </w:rPr>
      </w:pPr>
    </w:p>
    <w:p>
      <w:pPr>
        <w:pStyle w:val="ListParagraph"/>
        <w:numPr>
          <w:ilvl w:val="1"/>
          <w:numId w:val="38"/>
        </w:numPr>
        <w:tabs>
          <w:tab w:pos="648" w:val="left" w:leader="none"/>
        </w:tabs>
        <w:spacing w:line="240" w:lineRule="auto" w:before="0" w:after="0"/>
        <w:ind w:left="647" w:right="0" w:hanging="422"/>
        <w:jc w:val="left"/>
        <w:rPr>
          <w:rFonts w:ascii="黑体" w:eastAsia="黑体" w:hint="eastAsia"/>
          <w:sz w:val="24"/>
        </w:rPr>
      </w:pPr>
      <w:r>
        <w:rPr>
          <w:rFonts w:ascii="黑体" w:eastAsia="黑体" w:hint="eastAsia"/>
          <w:sz w:val="24"/>
        </w:rPr>
        <w:t>发包人的施工安全责任</w:t>
      </w:r>
    </w:p>
    <w:p>
      <w:pPr>
        <w:pStyle w:val="ListParagraph"/>
        <w:numPr>
          <w:ilvl w:val="2"/>
          <w:numId w:val="38"/>
        </w:numPr>
        <w:tabs>
          <w:tab w:pos="1248" w:val="left" w:leader="none"/>
        </w:tabs>
        <w:spacing w:line="362" w:lineRule="auto" w:before="173" w:after="0"/>
        <w:ind w:left="226" w:right="1343" w:firstLine="480"/>
        <w:jc w:val="both"/>
        <w:rPr>
          <w:sz w:val="24"/>
        </w:rPr>
      </w:pPr>
      <w:r>
        <w:rPr>
          <w:spacing w:val="-4"/>
          <w:sz w:val="24"/>
        </w:rPr>
        <w:t>发包人应按合同约定履行安全职责。发包人委托代理人根据国家有关安全的法律、法规、强制性标准以及部门规章，对承包人的安全责任履行情况进行监督和检查。监理人的监督检查不减轻承包人应负的安全责任。</w:t>
      </w:r>
    </w:p>
    <w:p>
      <w:pPr>
        <w:pStyle w:val="ListParagraph"/>
        <w:numPr>
          <w:ilvl w:val="2"/>
          <w:numId w:val="38"/>
        </w:numPr>
        <w:tabs>
          <w:tab w:pos="1248" w:val="left" w:leader="none"/>
        </w:tabs>
        <w:spacing w:line="362" w:lineRule="auto" w:before="3" w:after="0"/>
        <w:ind w:left="226" w:right="1343" w:firstLine="480"/>
        <w:jc w:val="both"/>
        <w:rPr>
          <w:sz w:val="24"/>
        </w:rPr>
      </w:pPr>
      <w:r>
        <w:rPr>
          <w:spacing w:val="-3"/>
          <w:sz w:val="24"/>
        </w:rPr>
        <w:t>发包人应对其现场机构雇佣的全部人员的工伤事故承担责任，但由于承包人原因造成发包人人员工伤的，应由承包人承担责任。</w:t>
      </w:r>
    </w:p>
    <w:p>
      <w:pPr>
        <w:pStyle w:val="ListParagraph"/>
        <w:numPr>
          <w:ilvl w:val="2"/>
          <w:numId w:val="38"/>
        </w:numPr>
        <w:tabs>
          <w:tab w:pos="1248" w:val="left" w:leader="none"/>
        </w:tabs>
        <w:spacing w:line="240" w:lineRule="auto" w:before="17" w:after="0"/>
        <w:ind w:left="1248" w:right="0" w:hanging="541"/>
        <w:jc w:val="both"/>
        <w:rPr>
          <w:sz w:val="24"/>
        </w:rPr>
      </w:pPr>
      <w:r>
        <w:rPr>
          <w:sz w:val="24"/>
        </w:rPr>
        <w:t>发包人应负责赔偿以下各种情况造成的第三者人身伤亡和财产损失；</w:t>
      </w:r>
    </w:p>
    <w:p>
      <w:pPr>
        <w:pStyle w:val="ListParagraph"/>
        <w:numPr>
          <w:ilvl w:val="0"/>
          <w:numId w:val="39"/>
        </w:numPr>
        <w:tabs>
          <w:tab w:pos="1189" w:val="left" w:leader="none"/>
        </w:tabs>
        <w:spacing w:line="240" w:lineRule="auto" w:before="158" w:after="0"/>
        <w:ind w:left="1188" w:right="0" w:hanging="602"/>
        <w:jc w:val="left"/>
        <w:rPr>
          <w:sz w:val="24"/>
        </w:rPr>
      </w:pPr>
      <w:r>
        <w:rPr>
          <w:spacing w:val="-1"/>
          <w:sz w:val="24"/>
        </w:rPr>
        <w:t>工程或工程的任何部分对土地的占用所造成的第三者财产损失；</w:t>
      </w:r>
      <w:r>
        <w:rPr>
          <w:sz w:val="24"/>
        </w:rPr>
        <w:t> </w:t>
      </w:r>
    </w:p>
    <w:p>
      <w:pPr>
        <w:pStyle w:val="ListParagraph"/>
        <w:numPr>
          <w:ilvl w:val="0"/>
          <w:numId w:val="39"/>
        </w:numPr>
        <w:tabs>
          <w:tab w:pos="1189" w:val="left" w:leader="none"/>
        </w:tabs>
        <w:spacing w:line="240" w:lineRule="auto" w:before="158" w:after="0"/>
        <w:ind w:left="1188" w:right="0" w:hanging="602"/>
        <w:jc w:val="left"/>
        <w:rPr>
          <w:sz w:val="24"/>
        </w:rPr>
      </w:pPr>
      <w:r>
        <w:rPr>
          <w:spacing w:val="-1"/>
          <w:sz w:val="24"/>
        </w:rPr>
        <w:t>由于发包人原因在施工场及其毗邻地带造成的第三者人身伤亡和财产损失。</w:t>
      </w:r>
    </w:p>
    <w:p>
      <w:pPr>
        <w:pStyle w:val="ListParagraph"/>
        <w:numPr>
          <w:ilvl w:val="2"/>
          <w:numId w:val="38"/>
        </w:numPr>
        <w:tabs>
          <w:tab w:pos="1248" w:val="left" w:leader="none"/>
        </w:tabs>
        <w:spacing w:line="367" w:lineRule="auto" w:before="158" w:after="0"/>
        <w:ind w:left="226" w:right="1343" w:firstLine="480"/>
        <w:jc w:val="both"/>
        <w:rPr>
          <w:sz w:val="24"/>
        </w:rPr>
      </w:pPr>
      <w:r>
        <w:rPr>
          <w:spacing w:val="-5"/>
          <w:sz w:val="24"/>
        </w:rPr>
        <w:t>除专用合同条款另有约定外，发包人负责向承包人提供施工现场及施工可能影响的毗邻区域供水、排水、供电、供气、供热、通信、广播电视等地下管线资料，气象和水文观测资料，拟建工程可能影响的相邻建筑物地下工程的有关资料，并保证有关资料在真实、准确、完整，满足有关技术规程的要求。</w:t>
      </w:r>
    </w:p>
    <w:p>
      <w:pPr>
        <w:pStyle w:val="ListParagraph"/>
        <w:numPr>
          <w:ilvl w:val="2"/>
          <w:numId w:val="38"/>
        </w:numPr>
        <w:tabs>
          <w:tab w:pos="1248" w:val="left" w:leader="none"/>
        </w:tabs>
        <w:spacing w:line="362" w:lineRule="auto" w:before="0" w:after="0"/>
        <w:ind w:left="226" w:right="1343" w:firstLine="480"/>
        <w:jc w:val="both"/>
        <w:rPr>
          <w:sz w:val="24"/>
        </w:rPr>
      </w:pPr>
      <w:r>
        <w:rPr>
          <w:spacing w:val="-2"/>
          <w:sz w:val="24"/>
        </w:rPr>
        <w:t>发包人按照已标价工程量清单所列金额和合同约定的计量支付规定，支付安全作业环境及安全施工措施所有费用。</w:t>
      </w:r>
    </w:p>
    <w:p>
      <w:pPr>
        <w:pStyle w:val="ListParagraph"/>
        <w:numPr>
          <w:ilvl w:val="2"/>
          <w:numId w:val="38"/>
        </w:numPr>
        <w:tabs>
          <w:tab w:pos="1248" w:val="left" w:leader="none"/>
        </w:tabs>
        <w:spacing w:line="240" w:lineRule="auto" w:before="0" w:after="0"/>
        <w:ind w:left="1248" w:right="0" w:hanging="541"/>
        <w:jc w:val="both"/>
        <w:rPr>
          <w:sz w:val="24"/>
        </w:rPr>
      </w:pPr>
      <w:r>
        <w:rPr>
          <w:spacing w:val="-4"/>
          <w:sz w:val="24"/>
        </w:rPr>
        <w:t>发包人负责组织工程参建单位编制保证安全生产的措施方案。工程开工前，就</w:t>
      </w:r>
    </w:p>
    <w:p>
      <w:pPr>
        <w:spacing w:after="0" w:line="240" w:lineRule="auto"/>
        <w:jc w:val="both"/>
        <w:rPr>
          <w:sz w:val="24"/>
        </w:rPr>
        <w:sectPr>
          <w:pgSz w:w="11910" w:h="16850"/>
          <w:pgMar w:header="911" w:footer="0" w:top="1380" w:bottom="280" w:left="1200" w:right="0"/>
        </w:sectPr>
      </w:pPr>
    </w:p>
    <w:p>
      <w:pPr>
        <w:pStyle w:val="BodyText"/>
        <w:spacing w:before="135"/>
        <w:ind w:left="226"/>
      </w:pPr>
      <w:r>
        <w:rPr/>
        <w:t>落实保证安全生产的措施进行全面系统的布置，进一步明确承包人的安全生产责任。</w:t>
      </w:r>
    </w:p>
    <w:p>
      <w:pPr>
        <w:pStyle w:val="ListParagraph"/>
        <w:numPr>
          <w:ilvl w:val="2"/>
          <w:numId w:val="38"/>
        </w:numPr>
        <w:tabs>
          <w:tab w:pos="1293" w:val="left" w:leader="none"/>
        </w:tabs>
        <w:spacing w:line="240" w:lineRule="auto" w:before="158" w:after="0"/>
        <w:ind w:left="1293" w:right="0" w:hanging="601"/>
        <w:jc w:val="left"/>
        <w:rPr>
          <w:sz w:val="24"/>
        </w:rPr>
      </w:pPr>
      <w:r>
        <w:rPr>
          <w:spacing w:val="-21"/>
          <w:sz w:val="24"/>
        </w:rPr>
        <w:t>发包人负责在拆除工程和爆破工程施工 </w:t>
      </w:r>
      <w:r>
        <w:rPr>
          <w:rFonts w:ascii="Calibri" w:eastAsia="Calibri"/>
          <w:sz w:val="24"/>
        </w:rPr>
        <w:t>14</w:t>
      </w:r>
      <w:r>
        <w:rPr>
          <w:rFonts w:ascii="Calibri" w:eastAsia="Calibri"/>
          <w:spacing w:val="50"/>
          <w:sz w:val="24"/>
        </w:rPr>
        <w:t> </w:t>
      </w:r>
      <w:r>
        <w:rPr>
          <w:spacing w:val="-15"/>
          <w:sz w:val="24"/>
        </w:rPr>
        <w:t>天前向有关部门或机构报送相关备案资</w:t>
      </w:r>
    </w:p>
    <w:p>
      <w:pPr>
        <w:pStyle w:val="BodyText"/>
        <w:spacing w:before="158"/>
        <w:ind w:left="226"/>
      </w:pPr>
      <w:r>
        <w:rPr/>
        <w:t>料。</w:t>
      </w:r>
    </w:p>
    <w:p>
      <w:pPr>
        <w:pStyle w:val="ListParagraph"/>
        <w:numPr>
          <w:ilvl w:val="1"/>
          <w:numId w:val="38"/>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承包人的施工安全责任</w:t>
      </w:r>
    </w:p>
    <w:p>
      <w:pPr>
        <w:pStyle w:val="ListParagraph"/>
        <w:numPr>
          <w:ilvl w:val="2"/>
          <w:numId w:val="38"/>
        </w:numPr>
        <w:tabs>
          <w:tab w:pos="1248" w:val="left" w:leader="none"/>
        </w:tabs>
        <w:spacing w:line="367" w:lineRule="auto" w:before="158" w:after="0"/>
        <w:ind w:left="226" w:right="1343" w:firstLine="480"/>
        <w:jc w:val="both"/>
        <w:rPr>
          <w:sz w:val="24"/>
        </w:rPr>
      </w:pPr>
      <w:r>
        <w:rPr/>
        <w:drawing>
          <wp:anchor distT="0" distB="0" distL="0" distR="0" allowOverlap="1" layoutInCell="1" locked="0" behindDoc="1" simplePos="0" relativeHeight="234750976">
            <wp:simplePos x="0" y="0"/>
            <wp:positionH relativeFrom="page">
              <wp:posOffset>992771</wp:posOffset>
            </wp:positionH>
            <wp:positionV relativeFrom="paragraph">
              <wp:posOffset>558551</wp:posOffset>
            </wp:positionV>
            <wp:extent cx="5578970" cy="5494141"/>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3"/>
          <w:sz w:val="24"/>
        </w:rPr>
        <w:t>承包人应按合同约定履行安全职责，执行监理人有关安全工作指示。承包人应按技术标准和要求（合同技术条款）约定的内容和期限，以及监理人的指示，编制施工安全技术措施提交监理人审批。监理人应在技术标准和要求（合同技术条款）约定的期限内批复承包人。</w:t>
      </w:r>
    </w:p>
    <w:p>
      <w:pPr>
        <w:pStyle w:val="ListParagraph"/>
        <w:numPr>
          <w:ilvl w:val="2"/>
          <w:numId w:val="38"/>
        </w:numPr>
        <w:tabs>
          <w:tab w:pos="1248" w:val="left" w:leader="none"/>
        </w:tabs>
        <w:spacing w:line="362" w:lineRule="auto" w:before="0" w:after="0"/>
        <w:ind w:left="226" w:right="1348" w:firstLine="480"/>
        <w:jc w:val="both"/>
        <w:rPr>
          <w:sz w:val="24"/>
        </w:rPr>
      </w:pPr>
      <w:r>
        <w:rPr>
          <w:spacing w:val="-5"/>
          <w:sz w:val="24"/>
        </w:rPr>
        <w:t>承包人应加强施工作业安全管理，特别应加强易爆、易爆材料、火工器材、有毒与腐蚀材料和其他危险品管理，以及对爆破作业和地下工程施工危险作业的管理。</w:t>
      </w:r>
    </w:p>
    <w:p>
      <w:pPr>
        <w:pStyle w:val="ListParagraph"/>
        <w:numPr>
          <w:ilvl w:val="2"/>
          <w:numId w:val="38"/>
        </w:numPr>
        <w:tabs>
          <w:tab w:pos="1248" w:val="left" w:leader="none"/>
        </w:tabs>
        <w:spacing w:line="362" w:lineRule="auto" w:before="12" w:after="0"/>
        <w:ind w:left="226" w:right="1222" w:firstLine="480"/>
        <w:jc w:val="both"/>
        <w:rPr>
          <w:sz w:val="24"/>
        </w:rPr>
      </w:pPr>
      <w:r>
        <w:rPr>
          <w:spacing w:val="-3"/>
          <w:sz w:val="24"/>
        </w:rPr>
        <w:t>承包人应严格按照国家安全标准制定施工安全操作规程，配备必要的安全生产</w:t>
      </w:r>
      <w:r>
        <w:rPr>
          <w:spacing w:val="-12"/>
          <w:sz w:val="24"/>
        </w:rPr>
        <w:t>和劳动保护设施，加强对承包人人员的安全教育，并发放安全工作手册和劳动保护用具。</w:t>
      </w:r>
    </w:p>
    <w:p>
      <w:pPr>
        <w:pStyle w:val="ListParagraph"/>
        <w:numPr>
          <w:ilvl w:val="2"/>
          <w:numId w:val="38"/>
        </w:numPr>
        <w:tabs>
          <w:tab w:pos="1248" w:val="left" w:leader="none"/>
        </w:tabs>
        <w:spacing w:line="362" w:lineRule="auto" w:before="2" w:after="0"/>
        <w:ind w:left="226" w:right="1343" w:firstLine="480"/>
        <w:jc w:val="both"/>
        <w:rPr>
          <w:sz w:val="24"/>
        </w:rPr>
      </w:pPr>
      <w:r>
        <w:rPr>
          <w:spacing w:val="-3"/>
          <w:sz w:val="24"/>
        </w:rPr>
        <w:t>承包人应按监理人的指示制定应对灾害的紧急预案，报送监理人审批。承包人还应按预案做好安全监察，配置必要的救助物资和器材，切实保护好有关人员的人身和财产安全。</w:t>
      </w:r>
    </w:p>
    <w:p>
      <w:pPr>
        <w:pStyle w:val="ListParagraph"/>
        <w:numPr>
          <w:ilvl w:val="2"/>
          <w:numId w:val="38"/>
        </w:numPr>
        <w:tabs>
          <w:tab w:pos="1248" w:val="left" w:leader="none"/>
        </w:tabs>
        <w:spacing w:line="362" w:lineRule="auto" w:before="18" w:after="0"/>
        <w:ind w:left="226" w:right="1343" w:firstLine="480"/>
        <w:jc w:val="both"/>
        <w:rPr>
          <w:sz w:val="24"/>
        </w:rPr>
      </w:pPr>
      <w:r>
        <w:rPr>
          <w:spacing w:val="-2"/>
          <w:sz w:val="24"/>
        </w:rPr>
        <w:t>合同约定的安全作业环境及安全施工措施所需费用应遵守有关规定，并包括在相关工作合同价格中。因采取合同未约定的安全作业环境及安全施工措施增加的费用， </w:t>
      </w:r>
      <w:r>
        <w:rPr>
          <w:spacing w:val="-11"/>
          <w:sz w:val="24"/>
        </w:rPr>
        <w:t>由监理人按第 </w:t>
      </w:r>
      <w:r>
        <w:rPr>
          <w:rFonts w:ascii="Calibri" w:eastAsia="Calibri"/>
          <w:sz w:val="24"/>
        </w:rPr>
        <w:t>3.5</w:t>
      </w:r>
      <w:r>
        <w:rPr>
          <w:rFonts w:ascii="Calibri" w:eastAsia="Calibri"/>
          <w:spacing w:val="4"/>
          <w:sz w:val="24"/>
        </w:rPr>
        <w:t> </w:t>
      </w:r>
      <w:r>
        <w:rPr>
          <w:sz w:val="24"/>
        </w:rPr>
        <w:t>款商定或确定</w:t>
      </w:r>
    </w:p>
    <w:p>
      <w:pPr>
        <w:pStyle w:val="ListParagraph"/>
        <w:numPr>
          <w:ilvl w:val="2"/>
          <w:numId w:val="38"/>
        </w:numPr>
        <w:tabs>
          <w:tab w:pos="1248" w:val="left" w:leader="none"/>
        </w:tabs>
        <w:spacing w:line="362" w:lineRule="auto" w:before="3" w:after="0"/>
        <w:ind w:left="226" w:right="1343" w:firstLine="480"/>
        <w:jc w:val="both"/>
        <w:rPr>
          <w:sz w:val="24"/>
        </w:rPr>
      </w:pPr>
      <w:r>
        <w:rPr>
          <w:spacing w:val="-4"/>
          <w:sz w:val="24"/>
        </w:rPr>
        <w:t>承包人应对其履行合同所雇用的全部人员，包括分包人人员的工伤事故承担责任，但由于发包人原因造成承包人人员工伤事故的，应由发包人承担责任。</w:t>
      </w:r>
    </w:p>
    <w:p>
      <w:pPr>
        <w:pStyle w:val="ListParagraph"/>
        <w:numPr>
          <w:ilvl w:val="2"/>
          <w:numId w:val="38"/>
        </w:numPr>
        <w:tabs>
          <w:tab w:pos="1248" w:val="left" w:leader="none"/>
        </w:tabs>
        <w:spacing w:line="362" w:lineRule="auto" w:before="17" w:after="0"/>
        <w:ind w:left="226" w:right="1284" w:firstLine="480"/>
        <w:jc w:val="both"/>
        <w:rPr>
          <w:sz w:val="24"/>
        </w:rPr>
      </w:pPr>
      <w:r>
        <w:rPr>
          <w:sz w:val="24"/>
        </w:rPr>
        <w:t>由于承包人原因在施工地内及其毗邻地带造成的第三者人员伤亡和财产损失， 由承包人负责赔偿。</w:t>
      </w:r>
    </w:p>
    <w:p>
      <w:pPr>
        <w:pStyle w:val="ListParagraph"/>
        <w:numPr>
          <w:ilvl w:val="1"/>
          <w:numId w:val="38"/>
        </w:numPr>
        <w:tabs>
          <w:tab w:pos="648" w:val="left" w:leader="none"/>
        </w:tabs>
        <w:spacing w:line="240" w:lineRule="auto" w:before="3" w:after="0"/>
        <w:ind w:left="647" w:right="0" w:hanging="422"/>
        <w:jc w:val="left"/>
        <w:rPr>
          <w:rFonts w:ascii="黑体" w:eastAsia="黑体" w:hint="eastAsia"/>
          <w:sz w:val="24"/>
        </w:rPr>
      </w:pPr>
      <w:r>
        <w:rPr>
          <w:rFonts w:ascii="黑体" w:eastAsia="黑体" w:hint="eastAsia"/>
          <w:sz w:val="24"/>
        </w:rPr>
        <w:t>治安保卫</w:t>
      </w:r>
    </w:p>
    <w:p>
      <w:pPr>
        <w:pStyle w:val="ListParagraph"/>
        <w:numPr>
          <w:ilvl w:val="2"/>
          <w:numId w:val="38"/>
        </w:numPr>
        <w:tabs>
          <w:tab w:pos="1248" w:val="left" w:leader="none"/>
        </w:tabs>
        <w:spacing w:line="362" w:lineRule="auto" w:before="158" w:after="0"/>
        <w:ind w:left="226" w:right="1344" w:firstLine="480"/>
        <w:jc w:val="both"/>
        <w:rPr>
          <w:sz w:val="24"/>
        </w:rPr>
      </w:pPr>
      <w:r>
        <w:rPr>
          <w:spacing w:val="-6"/>
          <w:sz w:val="24"/>
        </w:rPr>
        <w:t>除合同另有约定外，发包人应与当地公安部门协商，在现场建立治安管理机构或联络组织，统一管理施工场地的治安保卫事项，履行合同工程的治安保卫职责。</w:t>
      </w:r>
    </w:p>
    <w:p>
      <w:pPr>
        <w:pStyle w:val="ListParagraph"/>
        <w:numPr>
          <w:ilvl w:val="2"/>
          <w:numId w:val="38"/>
        </w:numPr>
        <w:tabs>
          <w:tab w:pos="1308" w:val="left" w:leader="none"/>
        </w:tabs>
        <w:spacing w:line="362" w:lineRule="auto" w:before="17" w:after="0"/>
        <w:ind w:left="226" w:right="1347" w:firstLine="480"/>
        <w:jc w:val="both"/>
        <w:rPr>
          <w:sz w:val="24"/>
        </w:rPr>
      </w:pPr>
      <w:r>
        <w:rPr>
          <w:sz w:val="24"/>
        </w:rPr>
        <w:t>发包人和承包人除应协助现场治安管理机构联络组织维护施工场地的社会治安外，还应做好包括生活区在内的各自管辖区的治安保卫工作。</w:t>
      </w:r>
    </w:p>
    <w:p>
      <w:pPr>
        <w:pStyle w:val="ListParagraph"/>
        <w:numPr>
          <w:ilvl w:val="2"/>
          <w:numId w:val="38"/>
        </w:numPr>
        <w:tabs>
          <w:tab w:pos="1248" w:val="left" w:leader="none"/>
        </w:tabs>
        <w:spacing w:line="362" w:lineRule="auto" w:before="2" w:after="0"/>
        <w:ind w:left="226" w:right="1343" w:firstLine="480"/>
        <w:jc w:val="both"/>
        <w:rPr>
          <w:sz w:val="24"/>
        </w:rPr>
      </w:pPr>
      <w:r>
        <w:rPr>
          <w:spacing w:val="-6"/>
          <w:sz w:val="24"/>
        </w:rPr>
        <w:t>除合同另有约定外，发包人金额承包人应在工程开工后，共同编制施工场地治安管理计划，并制定应对突发治安事件的紧急预案。在工程施工过程中，发生暴乱、爆炸等恐怖事件，以及群殴、械斗等群体性突发治安事件的，发包人和承包人应在立即向</w:t>
      </w:r>
    </w:p>
    <w:p>
      <w:pPr>
        <w:spacing w:after="0" w:line="362" w:lineRule="auto"/>
        <w:jc w:val="both"/>
        <w:rPr>
          <w:sz w:val="24"/>
        </w:rPr>
        <w:sectPr>
          <w:pgSz w:w="11910" w:h="16850"/>
          <w:pgMar w:header="911" w:footer="0" w:top="1380" w:bottom="280" w:left="1200" w:right="0"/>
        </w:sectPr>
      </w:pPr>
    </w:p>
    <w:p>
      <w:pPr>
        <w:pStyle w:val="BodyText"/>
        <w:spacing w:line="362" w:lineRule="auto" w:before="135"/>
        <w:ind w:left="226" w:right="1343"/>
      </w:pPr>
      <w:r>
        <w:rPr/>
        <w:t>当地政府报告。发包人和承包人应积极协助当地协助当地有关部门采取措施平息事态， 防止事态扩大，尽量减少财产损失和避免人员伤亡。</w:t>
      </w:r>
    </w:p>
    <w:p>
      <w:pPr>
        <w:pStyle w:val="ListParagraph"/>
        <w:numPr>
          <w:ilvl w:val="1"/>
          <w:numId w:val="38"/>
        </w:numPr>
        <w:tabs>
          <w:tab w:pos="648" w:val="left" w:leader="none"/>
        </w:tabs>
        <w:spacing w:line="240" w:lineRule="auto" w:before="2" w:after="0"/>
        <w:ind w:left="647" w:right="0" w:hanging="422"/>
        <w:jc w:val="left"/>
        <w:rPr>
          <w:rFonts w:ascii="黑体" w:eastAsia="黑体" w:hint="eastAsia"/>
          <w:sz w:val="24"/>
        </w:rPr>
      </w:pPr>
      <w:r>
        <w:rPr>
          <w:rFonts w:ascii="黑体" w:eastAsia="黑体" w:hint="eastAsia"/>
          <w:sz w:val="24"/>
        </w:rPr>
        <w:t>环境保护</w:t>
      </w:r>
    </w:p>
    <w:p>
      <w:pPr>
        <w:pStyle w:val="ListParagraph"/>
        <w:numPr>
          <w:ilvl w:val="2"/>
          <w:numId w:val="38"/>
        </w:numPr>
        <w:tabs>
          <w:tab w:pos="1248" w:val="left" w:leader="none"/>
        </w:tabs>
        <w:spacing w:line="362" w:lineRule="auto" w:before="158" w:after="0"/>
        <w:ind w:left="226" w:right="1348" w:firstLine="480"/>
        <w:jc w:val="left"/>
        <w:rPr>
          <w:sz w:val="24"/>
        </w:rPr>
      </w:pPr>
      <w:r>
        <w:rPr>
          <w:spacing w:val="-5"/>
          <w:sz w:val="24"/>
        </w:rPr>
        <w:t>承包人在施工过程中，应遵守有关环境保护的法律，履行合同约定的环境保护义务，并对违反法律和合同约定义务所造成的环境破坏、人身伤害和财产损失负责。</w:t>
      </w:r>
    </w:p>
    <w:p>
      <w:pPr>
        <w:pStyle w:val="ListParagraph"/>
        <w:numPr>
          <w:ilvl w:val="2"/>
          <w:numId w:val="38"/>
        </w:numPr>
        <w:tabs>
          <w:tab w:pos="1218" w:val="left" w:leader="none"/>
        </w:tabs>
        <w:spacing w:line="240" w:lineRule="auto" w:before="17" w:after="0"/>
        <w:ind w:left="1218" w:right="0" w:hanging="526"/>
        <w:jc w:val="left"/>
        <w:rPr>
          <w:sz w:val="24"/>
        </w:rPr>
      </w:pPr>
      <w:r>
        <w:rPr/>
        <w:drawing>
          <wp:anchor distT="0" distB="0" distL="0" distR="0" allowOverlap="1" layoutInCell="1" locked="0" behindDoc="1" simplePos="0" relativeHeight="234752000">
            <wp:simplePos x="0" y="0"/>
            <wp:positionH relativeFrom="page">
              <wp:posOffset>992771</wp:posOffset>
            </wp:positionH>
            <wp:positionV relativeFrom="paragraph">
              <wp:posOffset>163963</wp:posOffset>
            </wp:positionV>
            <wp:extent cx="5578970" cy="5494141"/>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17"/>
          <w:sz w:val="24"/>
        </w:rPr>
        <w:t>承包人应按合同约定的环保工作内容，编制施工环保措施计划，报送监理人审批。</w:t>
      </w:r>
    </w:p>
    <w:p>
      <w:pPr>
        <w:pStyle w:val="ListParagraph"/>
        <w:numPr>
          <w:ilvl w:val="2"/>
          <w:numId w:val="38"/>
        </w:numPr>
        <w:tabs>
          <w:tab w:pos="1248" w:val="left" w:leader="none"/>
        </w:tabs>
        <w:spacing w:line="362" w:lineRule="auto" w:before="158" w:after="0"/>
        <w:ind w:left="226" w:right="1343" w:firstLine="480"/>
        <w:jc w:val="both"/>
        <w:rPr>
          <w:sz w:val="24"/>
        </w:rPr>
      </w:pPr>
      <w:r>
        <w:rPr>
          <w:spacing w:val="-2"/>
          <w:sz w:val="24"/>
        </w:rPr>
        <w:t>承包人应按照批准的施工环保工作措施计划有序地堆放和处理施工废弃物，避免对环境造成破坏。因承包人任意堆放或弃置施工废弃物造成妨碍公共交通、影响城镇居民生活、降低河流排洪能力、危机居民安全、破坏周边环境，或者影响其他承包人施工等后果的，承包人承担责任。</w:t>
      </w:r>
    </w:p>
    <w:p>
      <w:pPr>
        <w:pStyle w:val="ListParagraph"/>
        <w:numPr>
          <w:ilvl w:val="2"/>
          <w:numId w:val="38"/>
        </w:numPr>
        <w:tabs>
          <w:tab w:pos="1248" w:val="left" w:leader="none"/>
        </w:tabs>
        <w:spacing w:line="362" w:lineRule="auto" w:before="20" w:after="0"/>
        <w:ind w:left="226" w:right="1345" w:firstLine="480"/>
        <w:jc w:val="both"/>
        <w:rPr>
          <w:sz w:val="24"/>
        </w:rPr>
      </w:pPr>
      <w:r>
        <w:rPr>
          <w:spacing w:val="-4"/>
          <w:sz w:val="24"/>
        </w:rPr>
        <w:t>承包人应按合同约定采取措施，对施工开挖的边坡及时进行支护，维护排水设施，并进行水土保护，避免应施工造成的地质灾害。</w:t>
      </w:r>
    </w:p>
    <w:p>
      <w:pPr>
        <w:pStyle w:val="ListParagraph"/>
        <w:numPr>
          <w:ilvl w:val="2"/>
          <w:numId w:val="38"/>
        </w:numPr>
        <w:tabs>
          <w:tab w:pos="1248" w:val="left" w:leader="none"/>
        </w:tabs>
        <w:spacing w:line="240" w:lineRule="auto" w:before="2" w:after="0"/>
        <w:ind w:left="1248" w:right="0" w:hanging="541"/>
        <w:jc w:val="both"/>
        <w:rPr>
          <w:sz w:val="24"/>
        </w:rPr>
      </w:pPr>
      <w:r>
        <w:rPr>
          <w:spacing w:val="-21"/>
          <w:sz w:val="24"/>
        </w:rPr>
        <w:t>承包人应按国家饮用水管理标准定期对饮用进行检测，防止施工活动污染饮用水源。</w:t>
      </w:r>
    </w:p>
    <w:p>
      <w:pPr>
        <w:pStyle w:val="ListParagraph"/>
        <w:numPr>
          <w:ilvl w:val="2"/>
          <w:numId w:val="38"/>
        </w:numPr>
        <w:tabs>
          <w:tab w:pos="1248" w:val="left" w:leader="none"/>
        </w:tabs>
        <w:spacing w:line="362" w:lineRule="auto" w:before="158" w:after="0"/>
        <w:ind w:left="226" w:right="1343" w:firstLine="480"/>
        <w:jc w:val="both"/>
        <w:rPr>
          <w:sz w:val="24"/>
        </w:rPr>
      </w:pPr>
      <w:r>
        <w:rPr>
          <w:spacing w:val="-6"/>
          <w:sz w:val="24"/>
        </w:rPr>
        <w:t>承包人应按合同约定，加强对嗓声、粉尘、废弃、废水和废油的控制，努力降低嗓声，控制粉尘和废气浓度，做好废水和废油的治理和排放。</w:t>
      </w:r>
    </w:p>
    <w:p>
      <w:pPr>
        <w:pStyle w:val="ListParagraph"/>
        <w:numPr>
          <w:ilvl w:val="1"/>
          <w:numId w:val="38"/>
        </w:numPr>
        <w:tabs>
          <w:tab w:pos="648" w:val="left" w:leader="none"/>
        </w:tabs>
        <w:spacing w:line="240" w:lineRule="auto" w:before="17" w:after="0"/>
        <w:ind w:left="647" w:right="0" w:hanging="422"/>
        <w:jc w:val="left"/>
        <w:rPr>
          <w:rFonts w:ascii="黑体" w:eastAsia="黑体" w:hint="eastAsia"/>
          <w:sz w:val="24"/>
        </w:rPr>
      </w:pPr>
      <w:r>
        <w:rPr>
          <w:rFonts w:ascii="黑体" w:eastAsia="黑体" w:hint="eastAsia"/>
          <w:sz w:val="24"/>
        </w:rPr>
        <w:t>事故处理</w:t>
      </w:r>
    </w:p>
    <w:p>
      <w:pPr>
        <w:pStyle w:val="ListParagraph"/>
        <w:numPr>
          <w:ilvl w:val="2"/>
          <w:numId w:val="38"/>
        </w:numPr>
        <w:tabs>
          <w:tab w:pos="1248" w:val="left" w:leader="none"/>
        </w:tabs>
        <w:spacing w:line="362" w:lineRule="auto" w:before="158" w:after="0"/>
        <w:ind w:left="226" w:right="1343" w:firstLine="480"/>
        <w:jc w:val="left"/>
        <w:rPr>
          <w:sz w:val="24"/>
        </w:rPr>
      </w:pPr>
      <w:r>
        <w:rPr>
          <w:spacing w:val="-3"/>
          <w:sz w:val="24"/>
        </w:rPr>
        <w:t>发包人负责组织参建单位制定本工程的质量与安全事故应急预案，建立质量与安全事故应急处置指挥部。</w:t>
      </w:r>
    </w:p>
    <w:p>
      <w:pPr>
        <w:pStyle w:val="ListParagraph"/>
        <w:numPr>
          <w:ilvl w:val="2"/>
          <w:numId w:val="38"/>
        </w:numPr>
        <w:tabs>
          <w:tab w:pos="1248" w:val="left" w:leader="none"/>
        </w:tabs>
        <w:spacing w:line="362" w:lineRule="auto" w:before="2" w:after="0"/>
        <w:ind w:left="226" w:right="1284" w:firstLine="480"/>
        <w:jc w:val="left"/>
        <w:rPr>
          <w:sz w:val="24"/>
        </w:rPr>
      </w:pPr>
      <w:r>
        <w:rPr>
          <w:sz w:val="24"/>
        </w:rPr>
        <w:t>承包人应对施工现场易发生重大事故的部位、环节进行监控，配备救援器材、设备，并定期组织检查。</w:t>
      </w:r>
    </w:p>
    <w:p>
      <w:pPr>
        <w:pStyle w:val="ListParagraph"/>
        <w:numPr>
          <w:ilvl w:val="2"/>
          <w:numId w:val="38"/>
        </w:numPr>
        <w:tabs>
          <w:tab w:pos="1248" w:val="left" w:leader="none"/>
        </w:tabs>
        <w:spacing w:line="362" w:lineRule="auto" w:before="17" w:after="0"/>
        <w:ind w:left="226" w:right="1348" w:firstLine="480"/>
        <w:jc w:val="left"/>
        <w:rPr>
          <w:sz w:val="24"/>
        </w:rPr>
      </w:pPr>
      <w:r>
        <w:rPr>
          <w:spacing w:val="-8"/>
          <w:sz w:val="24"/>
        </w:rPr>
        <w:t>工程开工前，承包人应根据本工程的特点制定施工现场施工质量与安全事故应急预案，并报发包人备案。</w:t>
      </w:r>
    </w:p>
    <w:p>
      <w:pPr>
        <w:pStyle w:val="ListParagraph"/>
        <w:numPr>
          <w:ilvl w:val="2"/>
          <w:numId w:val="38"/>
        </w:numPr>
        <w:tabs>
          <w:tab w:pos="1248" w:val="left" w:leader="none"/>
        </w:tabs>
        <w:spacing w:line="240" w:lineRule="auto" w:before="2" w:after="0"/>
        <w:ind w:left="1248" w:right="0" w:hanging="541"/>
        <w:jc w:val="left"/>
        <w:rPr>
          <w:sz w:val="24"/>
        </w:rPr>
      </w:pPr>
      <w:r>
        <w:rPr>
          <w:sz w:val="24"/>
        </w:rPr>
        <w:t>施工过程中发生事故时，发包人、承包人应立即启动应急预案。</w:t>
      </w:r>
    </w:p>
    <w:p>
      <w:pPr>
        <w:pStyle w:val="ListParagraph"/>
        <w:numPr>
          <w:ilvl w:val="2"/>
          <w:numId w:val="38"/>
        </w:numPr>
        <w:tabs>
          <w:tab w:pos="1248" w:val="left" w:leader="none"/>
        </w:tabs>
        <w:spacing w:line="240" w:lineRule="auto" w:before="158" w:after="0"/>
        <w:ind w:left="1248" w:right="0" w:hanging="541"/>
        <w:jc w:val="both"/>
        <w:rPr>
          <w:sz w:val="24"/>
        </w:rPr>
      </w:pPr>
      <w:r>
        <w:rPr>
          <w:sz w:val="24"/>
        </w:rPr>
        <w:t>事故调查处理理由发包人按相关规定履行手续，承包人应配合。</w:t>
      </w:r>
    </w:p>
    <w:p>
      <w:pPr>
        <w:pStyle w:val="ListParagraph"/>
        <w:numPr>
          <w:ilvl w:val="1"/>
          <w:numId w:val="38"/>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水土保持</w:t>
      </w:r>
    </w:p>
    <w:p>
      <w:pPr>
        <w:pStyle w:val="ListParagraph"/>
        <w:numPr>
          <w:ilvl w:val="2"/>
          <w:numId w:val="38"/>
        </w:numPr>
        <w:tabs>
          <w:tab w:pos="1248" w:val="left" w:leader="none"/>
        </w:tabs>
        <w:spacing w:line="240" w:lineRule="auto" w:before="173" w:after="0"/>
        <w:ind w:left="1248" w:right="0" w:hanging="541"/>
        <w:jc w:val="both"/>
        <w:rPr>
          <w:sz w:val="24"/>
        </w:rPr>
      </w:pPr>
      <w:r>
        <w:rPr>
          <w:sz w:val="24"/>
        </w:rPr>
        <w:t>发包人应及时向承包人提供水土保持方案。</w:t>
      </w:r>
    </w:p>
    <w:p>
      <w:pPr>
        <w:pStyle w:val="ListParagraph"/>
        <w:numPr>
          <w:ilvl w:val="2"/>
          <w:numId w:val="38"/>
        </w:numPr>
        <w:tabs>
          <w:tab w:pos="1248" w:val="left" w:leader="none"/>
        </w:tabs>
        <w:spacing w:line="362" w:lineRule="auto" w:before="158" w:after="0"/>
        <w:ind w:left="226" w:right="1343" w:firstLine="480"/>
        <w:jc w:val="both"/>
        <w:rPr>
          <w:sz w:val="24"/>
        </w:rPr>
      </w:pPr>
      <w:r>
        <w:rPr>
          <w:spacing w:val="-4"/>
          <w:sz w:val="24"/>
        </w:rPr>
        <w:t>承包人在施工过程中，应遵守有关水土保持的法律法规和规章，履行合同约定的水土保持义务，并对其违反法律和合同约定义务所造成的水土流失灾害、人身伤害和财产损失负责。</w:t>
      </w:r>
    </w:p>
    <w:p>
      <w:pPr>
        <w:pStyle w:val="ListParagraph"/>
        <w:numPr>
          <w:ilvl w:val="2"/>
          <w:numId w:val="38"/>
        </w:numPr>
        <w:tabs>
          <w:tab w:pos="1248" w:val="left" w:leader="none"/>
        </w:tabs>
        <w:spacing w:line="240" w:lineRule="auto" w:before="3" w:after="0"/>
        <w:ind w:left="1248" w:right="0" w:hanging="556"/>
        <w:jc w:val="both"/>
        <w:rPr>
          <w:sz w:val="24"/>
        </w:rPr>
      </w:pPr>
      <w:r>
        <w:rPr>
          <w:spacing w:val="-14"/>
          <w:sz w:val="24"/>
        </w:rPr>
        <w:t>承包人的水土保持措施计划，应满足技术标准和要求（</w:t>
      </w:r>
      <w:r>
        <w:rPr>
          <w:spacing w:val="-9"/>
          <w:sz w:val="24"/>
        </w:rPr>
        <w:t>合同技术条款</w:t>
      </w:r>
      <w:r>
        <w:rPr>
          <w:spacing w:val="-14"/>
          <w:sz w:val="24"/>
        </w:rPr>
        <w:t>）</w:t>
      </w:r>
      <w:r>
        <w:rPr>
          <w:spacing w:val="-4"/>
          <w:sz w:val="24"/>
        </w:rPr>
        <w:t>约定的要</w:t>
      </w:r>
    </w:p>
    <w:p>
      <w:pPr>
        <w:spacing w:after="0" w:line="240" w:lineRule="auto"/>
        <w:jc w:val="both"/>
        <w:rPr>
          <w:sz w:val="24"/>
        </w:rPr>
        <w:sectPr>
          <w:pgSz w:w="11910" w:h="16850"/>
          <w:pgMar w:header="911" w:footer="0" w:top="1380" w:bottom="280" w:left="1200" w:right="0"/>
        </w:sectPr>
      </w:pPr>
    </w:p>
    <w:p>
      <w:pPr>
        <w:pStyle w:val="BodyText"/>
        <w:spacing w:before="135"/>
        <w:ind w:left="226"/>
      </w:pPr>
      <w:r>
        <w:rPr/>
        <w:t>求。</w:t>
      </w:r>
    </w:p>
    <w:p>
      <w:pPr>
        <w:pStyle w:val="ListParagraph"/>
        <w:numPr>
          <w:ilvl w:val="1"/>
          <w:numId w:val="38"/>
        </w:numPr>
        <w:tabs>
          <w:tab w:pos="648" w:val="left" w:leader="none"/>
        </w:tabs>
        <w:spacing w:line="240" w:lineRule="auto" w:before="158" w:after="0"/>
        <w:ind w:left="647" w:right="0" w:hanging="422"/>
        <w:jc w:val="left"/>
        <w:rPr>
          <w:rFonts w:ascii="黑体" w:eastAsia="黑体" w:hint="eastAsia"/>
          <w:sz w:val="24"/>
        </w:rPr>
      </w:pPr>
      <w:r>
        <w:rPr>
          <w:rFonts w:ascii="黑体" w:eastAsia="黑体" w:hint="eastAsia"/>
          <w:sz w:val="24"/>
        </w:rPr>
        <w:t>文明工地</w:t>
      </w:r>
    </w:p>
    <w:p>
      <w:pPr>
        <w:pStyle w:val="ListParagraph"/>
        <w:numPr>
          <w:ilvl w:val="2"/>
          <w:numId w:val="38"/>
        </w:numPr>
        <w:tabs>
          <w:tab w:pos="1248" w:val="left" w:leader="none"/>
        </w:tabs>
        <w:spacing w:line="362" w:lineRule="auto" w:before="158" w:after="0"/>
        <w:ind w:left="226" w:right="1343" w:firstLine="480"/>
        <w:jc w:val="left"/>
        <w:rPr>
          <w:sz w:val="24"/>
        </w:rPr>
      </w:pPr>
      <w:r>
        <w:rPr>
          <w:spacing w:val="-3"/>
          <w:sz w:val="24"/>
        </w:rPr>
        <w:t>发包人应按专用合同条款的约定，负责建立创建文明建设工地的组织机构，制定创建文明建设工地的规划和办法。</w:t>
      </w:r>
    </w:p>
    <w:p>
      <w:pPr>
        <w:pStyle w:val="ListParagraph"/>
        <w:numPr>
          <w:ilvl w:val="2"/>
          <w:numId w:val="38"/>
        </w:numPr>
        <w:tabs>
          <w:tab w:pos="1248" w:val="left" w:leader="none"/>
        </w:tabs>
        <w:spacing w:line="374" w:lineRule="auto" w:before="2" w:after="0"/>
        <w:ind w:left="226" w:right="1328" w:firstLine="480"/>
        <w:jc w:val="left"/>
        <w:rPr>
          <w:sz w:val="24"/>
        </w:rPr>
      </w:pPr>
      <w:r>
        <w:rPr/>
        <w:drawing>
          <wp:anchor distT="0" distB="0" distL="0" distR="0" allowOverlap="1" layoutInCell="1" locked="0" behindDoc="1" simplePos="0" relativeHeight="234753024">
            <wp:simplePos x="0" y="0"/>
            <wp:positionH relativeFrom="page">
              <wp:posOffset>992771</wp:posOffset>
            </wp:positionH>
            <wp:positionV relativeFrom="paragraph">
              <wp:posOffset>459491</wp:posOffset>
            </wp:positionV>
            <wp:extent cx="5578970" cy="5494141"/>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3"/>
          <w:sz w:val="24"/>
        </w:rPr>
        <w:t>承包人应按创建文明建设工地的规划和办法，履行职责，一承担相应责任。所需费用应含在已标价工程量清单中。</w:t>
      </w:r>
    </w:p>
    <w:p>
      <w:pPr>
        <w:pStyle w:val="ListParagraph"/>
        <w:numPr>
          <w:ilvl w:val="1"/>
          <w:numId w:val="38"/>
        </w:numPr>
        <w:tabs>
          <w:tab w:pos="648" w:val="left" w:leader="none"/>
        </w:tabs>
        <w:spacing w:line="294" w:lineRule="exact" w:before="0" w:after="0"/>
        <w:ind w:left="647" w:right="0" w:hanging="422"/>
        <w:jc w:val="left"/>
        <w:rPr>
          <w:rFonts w:ascii="黑体" w:eastAsia="黑体" w:hint="eastAsia"/>
          <w:sz w:val="24"/>
        </w:rPr>
      </w:pPr>
      <w:r>
        <w:rPr>
          <w:rFonts w:ascii="黑体" w:eastAsia="黑体" w:hint="eastAsia"/>
          <w:sz w:val="24"/>
        </w:rPr>
        <w:t>防汛度汛</w:t>
      </w:r>
    </w:p>
    <w:p>
      <w:pPr>
        <w:pStyle w:val="ListParagraph"/>
        <w:numPr>
          <w:ilvl w:val="2"/>
          <w:numId w:val="38"/>
        </w:numPr>
        <w:tabs>
          <w:tab w:pos="1248" w:val="left" w:leader="none"/>
        </w:tabs>
        <w:spacing w:line="240" w:lineRule="auto" w:before="158" w:after="0"/>
        <w:ind w:left="1248" w:right="0" w:hanging="541"/>
        <w:jc w:val="left"/>
        <w:rPr>
          <w:sz w:val="24"/>
        </w:rPr>
      </w:pPr>
      <w:r>
        <w:rPr>
          <w:sz w:val="24"/>
        </w:rPr>
        <w:t>发包人负责组织工程参建单位编制本工程的防讯有案和措施。</w:t>
      </w:r>
    </w:p>
    <w:p>
      <w:pPr>
        <w:pStyle w:val="ListParagraph"/>
        <w:numPr>
          <w:ilvl w:val="2"/>
          <w:numId w:val="38"/>
        </w:numPr>
        <w:tabs>
          <w:tab w:pos="1248" w:val="left" w:leader="none"/>
        </w:tabs>
        <w:spacing w:line="362" w:lineRule="auto" w:before="158" w:after="0"/>
        <w:ind w:left="226" w:right="1343" w:firstLine="480"/>
        <w:jc w:val="left"/>
        <w:rPr>
          <w:sz w:val="24"/>
        </w:rPr>
      </w:pPr>
      <w:r>
        <w:rPr>
          <w:spacing w:val="-3"/>
          <w:sz w:val="24"/>
        </w:rPr>
        <w:t>承包人应根据发包人编制的本工程度汛方案和措施，制定相应的度汛方案，报发包人批准后实施。</w:t>
      </w:r>
    </w:p>
    <w:p>
      <w:pPr>
        <w:pStyle w:val="BodyText"/>
        <w:spacing w:before="4"/>
        <w:rPr>
          <w:sz w:val="26"/>
        </w:rPr>
      </w:pPr>
    </w:p>
    <w:p>
      <w:pPr>
        <w:pStyle w:val="Heading6"/>
        <w:numPr>
          <w:ilvl w:val="0"/>
          <w:numId w:val="38"/>
        </w:numPr>
        <w:tabs>
          <w:tab w:pos="618" w:val="left" w:leader="none"/>
        </w:tabs>
        <w:spacing w:line="240" w:lineRule="auto" w:before="0" w:after="0"/>
        <w:ind w:left="617" w:right="0" w:hanging="392"/>
        <w:jc w:val="left"/>
      </w:pPr>
      <w:bookmarkStart w:name="10进度计划" w:id="84"/>
      <w:bookmarkEnd w:id="84"/>
      <w:r>
        <w:rPr>
          <w:b w:val="0"/>
        </w:rPr>
      </w:r>
      <w:bookmarkStart w:name="10进度计划" w:id="85"/>
      <w:bookmarkEnd w:id="85"/>
      <w:r>
        <w:rPr/>
        <w:t>进度计划</w:t>
      </w:r>
    </w:p>
    <w:p>
      <w:pPr>
        <w:pStyle w:val="BodyText"/>
        <w:spacing w:before="7"/>
        <w:rPr>
          <w:rFonts w:ascii="黑体"/>
          <w:b/>
          <w:sz w:val="39"/>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合同进度计划</w:t>
      </w:r>
    </w:p>
    <w:p>
      <w:pPr>
        <w:pStyle w:val="BodyText"/>
        <w:spacing w:line="367" w:lineRule="auto" w:before="158"/>
        <w:ind w:left="226" w:right="1343" w:firstLine="480"/>
        <w:jc w:val="both"/>
      </w:pPr>
      <w:r>
        <w:rPr/>
        <w:t>承包人应按技术标准和要求(合同技术条款)约定的内容和期限以及监理人的指示， </w:t>
      </w:r>
      <w:r>
        <w:rPr>
          <w:spacing w:val="-6"/>
        </w:rPr>
        <w:t>编制详细的施工总进度计划及其说明提交监理人审批。监理人应在技术标准和要求(合同</w:t>
      </w:r>
      <w:r>
        <w:rPr>
          <w:spacing w:val="-12"/>
        </w:rPr>
        <w:t>技术条款)约定的期限内批复承包人，否则该进度计划视为已得到批准。经监理人批准的施工进度计划称为合同进度计划，是控制合同工程进度的依据。承包人还应根据合同进度计划，编制更为详细的分阶段或单位工程或分部工程进度计划，报监理人审批。</w:t>
      </w:r>
    </w:p>
    <w:p>
      <w:pPr>
        <w:pStyle w:val="ListParagraph"/>
        <w:numPr>
          <w:ilvl w:val="1"/>
          <w:numId w:val="38"/>
        </w:numPr>
        <w:tabs>
          <w:tab w:pos="1067" w:val="left" w:leader="none"/>
          <w:tab w:pos="1068" w:val="left" w:leader="none"/>
        </w:tabs>
        <w:spacing w:line="297" w:lineRule="exact" w:before="0" w:after="0"/>
        <w:ind w:left="1068" w:right="0" w:hanging="842"/>
        <w:jc w:val="left"/>
        <w:rPr>
          <w:rFonts w:ascii="黑体" w:eastAsia="黑体" w:hint="eastAsia"/>
          <w:sz w:val="24"/>
        </w:rPr>
      </w:pPr>
      <w:r>
        <w:rPr>
          <w:rFonts w:ascii="黑体" w:eastAsia="黑体" w:hint="eastAsia"/>
          <w:sz w:val="24"/>
        </w:rPr>
        <w:t>合同进度计划的修订</w:t>
      </w:r>
    </w:p>
    <w:p>
      <w:pPr>
        <w:pStyle w:val="BodyText"/>
        <w:spacing w:before="173"/>
        <w:ind w:right="1346"/>
        <w:jc w:val="right"/>
      </w:pPr>
      <w:r>
        <w:rPr>
          <w:spacing w:val="-4"/>
        </w:rPr>
        <w:t>不论何种原因造成工程的实际进度与第 </w:t>
      </w:r>
      <w:r>
        <w:rPr>
          <w:rFonts w:ascii="Calibri" w:eastAsia="Calibri"/>
        </w:rPr>
        <w:t>10.1</w:t>
      </w:r>
      <w:r>
        <w:rPr>
          <w:rFonts w:ascii="Calibri" w:eastAsia="Calibri"/>
          <w:spacing w:val="2"/>
        </w:rPr>
        <w:t> </w:t>
      </w:r>
      <w:r>
        <w:rPr>
          <w:spacing w:val="-5"/>
        </w:rPr>
        <w:t>款的合同进度计划不符时，承包人均应</w:t>
      </w:r>
    </w:p>
    <w:p>
      <w:pPr>
        <w:pStyle w:val="BodyText"/>
        <w:spacing w:before="158"/>
        <w:ind w:right="1347"/>
        <w:jc w:val="right"/>
      </w:pPr>
      <w:r>
        <w:rPr>
          <w:spacing w:val="-31"/>
        </w:rPr>
        <w:t>在 </w:t>
      </w:r>
      <w:r>
        <w:rPr>
          <w:rFonts w:ascii="Calibri" w:eastAsia="Calibri"/>
        </w:rPr>
        <w:t>14</w:t>
      </w:r>
      <w:r>
        <w:rPr>
          <w:rFonts w:ascii="Calibri" w:eastAsia="Calibri"/>
          <w:spacing w:val="4"/>
        </w:rPr>
        <w:t> </w:t>
      </w:r>
      <w:r>
        <w:rPr>
          <w:spacing w:val="-6"/>
        </w:rPr>
        <w:t>天内向监理人提交修订合同进度计划的申请报告，并附有关措施和相关资料，报监</w:t>
      </w:r>
    </w:p>
    <w:p>
      <w:pPr>
        <w:pStyle w:val="BodyText"/>
        <w:spacing w:before="158"/>
        <w:ind w:right="1349"/>
        <w:jc w:val="right"/>
      </w:pPr>
      <w:r>
        <w:rPr>
          <w:spacing w:val="-11"/>
        </w:rPr>
        <w:t>理人审批，监理人应在收到申请报告后的 </w:t>
      </w:r>
      <w:r>
        <w:rPr>
          <w:rFonts w:ascii="Calibri" w:eastAsia="Calibri"/>
        </w:rPr>
        <w:t>14</w:t>
      </w:r>
      <w:r>
        <w:rPr>
          <w:rFonts w:ascii="Calibri" w:eastAsia="Calibri"/>
          <w:spacing w:val="3"/>
        </w:rPr>
        <w:t> </w:t>
      </w:r>
      <w:r>
        <w:rPr>
          <w:spacing w:val="-8"/>
        </w:rPr>
        <w:t>天内批复。当监理人认为需要修订合同进度</w:t>
      </w:r>
    </w:p>
    <w:p>
      <w:pPr>
        <w:pStyle w:val="BodyText"/>
        <w:spacing w:before="158"/>
        <w:ind w:left="226"/>
        <w:jc w:val="both"/>
      </w:pPr>
      <w:r>
        <w:rPr>
          <w:spacing w:val="-13"/>
        </w:rPr>
        <w:t>计划时，承包人应按监理人的指示，在 </w:t>
      </w:r>
      <w:r>
        <w:rPr>
          <w:rFonts w:ascii="Calibri" w:eastAsia="Calibri"/>
        </w:rPr>
        <w:t>14</w:t>
      </w:r>
      <w:r>
        <w:rPr>
          <w:rFonts w:ascii="Calibri" w:eastAsia="Calibri"/>
          <w:spacing w:val="3"/>
        </w:rPr>
        <w:t> </w:t>
      </w:r>
      <w:r>
        <w:rPr>
          <w:spacing w:val="-3"/>
        </w:rPr>
        <w:t>天内向监理人提交修订的合同进度计划，并附</w:t>
      </w:r>
    </w:p>
    <w:p>
      <w:pPr>
        <w:pStyle w:val="BodyText"/>
        <w:spacing w:line="367" w:lineRule="auto" w:before="158"/>
        <w:ind w:left="226" w:right="1334"/>
        <w:jc w:val="both"/>
      </w:pPr>
      <w:r>
        <w:rPr>
          <w:spacing w:val="-10"/>
        </w:rPr>
        <w:t>调整计划的相关资料，提交监理人审批。监理人应在收到进度计划后的 </w:t>
      </w:r>
      <w:r>
        <w:rPr>
          <w:rFonts w:ascii="Calibri" w:eastAsia="Calibri"/>
        </w:rPr>
        <w:t>14</w:t>
      </w:r>
      <w:r>
        <w:rPr>
          <w:rFonts w:ascii="Calibri" w:eastAsia="Calibri"/>
          <w:spacing w:val="3"/>
        </w:rPr>
        <w:t> </w:t>
      </w:r>
      <w:r>
        <w:rPr>
          <w:spacing w:val="-6"/>
        </w:rPr>
        <w:t>天内批复。不论何种原因造成施工进度延迟，承包人均应按监理人的指示，采取有效措施赶上进度。承包人应在向监理人提交修订合同进度计划的同时，编制一份赶工措施报告提交监理人</w:t>
      </w:r>
      <w:r>
        <w:rPr>
          <w:spacing w:val="-9"/>
        </w:rPr>
        <w:t>审批。由于发包人原因造成施工进度延迟，应按第 </w:t>
      </w:r>
      <w:r>
        <w:rPr>
          <w:rFonts w:ascii="Calibri" w:eastAsia="Calibri"/>
        </w:rPr>
        <w:t>11.3</w:t>
      </w:r>
      <w:r>
        <w:rPr>
          <w:rFonts w:ascii="Calibri" w:eastAsia="Calibri"/>
          <w:spacing w:val="2"/>
        </w:rPr>
        <w:t> </w:t>
      </w:r>
      <w:r>
        <w:rPr>
          <w:spacing w:val="-3"/>
        </w:rPr>
        <w:t>款的约定办理；由于承包人原因</w:t>
      </w:r>
    </w:p>
    <w:p>
      <w:pPr>
        <w:pStyle w:val="BodyText"/>
        <w:spacing w:line="303" w:lineRule="exact"/>
        <w:ind w:left="226"/>
        <w:jc w:val="both"/>
      </w:pPr>
      <w:r>
        <w:rPr/>
        <w:t>造成施工进度延迟，应按第 </w:t>
      </w:r>
      <w:r>
        <w:rPr>
          <w:rFonts w:ascii="Calibri" w:eastAsia="Calibri"/>
        </w:rPr>
        <w:t>11.5 </w:t>
      </w:r>
      <w:r>
        <w:rPr/>
        <w:t>款的约定办理。</w:t>
      </w:r>
    </w:p>
    <w:p>
      <w:pPr>
        <w:pStyle w:val="ListParagraph"/>
        <w:numPr>
          <w:ilvl w:val="1"/>
          <w:numId w:val="38"/>
        </w:numPr>
        <w:tabs>
          <w:tab w:pos="1067" w:val="left" w:leader="none"/>
          <w:tab w:pos="1068" w:val="left" w:leader="none"/>
        </w:tabs>
        <w:spacing w:line="240" w:lineRule="auto" w:before="157" w:after="0"/>
        <w:ind w:left="1068" w:right="0" w:hanging="842"/>
        <w:jc w:val="left"/>
        <w:rPr>
          <w:rFonts w:ascii="黑体" w:eastAsia="黑体" w:hint="eastAsia"/>
          <w:sz w:val="24"/>
        </w:rPr>
      </w:pPr>
      <w:r>
        <w:rPr>
          <w:rFonts w:ascii="黑体" w:eastAsia="黑体" w:hint="eastAsia"/>
          <w:sz w:val="24"/>
        </w:rPr>
        <w:t>单位工程进度计划</w:t>
      </w:r>
    </w:p>
    <w:p>
      <w:pPr>
        <w:spacing w:after="0" w:line="240" w:lineRule="auto"/>
        <w:jc w:val="left"/>
        <w:rPr>
          <w:rFonts w:ascii="黑体" w:eastAsia="黑体" w:hint="eastAsia"/>
          <w:sz w:val="24"/>
        </w:rPr>
        <w:sectPr>
          <w:pgSz w:w="11910" w:h="16850"/>
          <w:pgMar w:header="911" w:footer="0" w:top="1380" w:bottom="280" w:left="1200" w:right="0"/>
        </w:sectPr>
      </w:pPr>
    </w:p>
    <w:p>
      <w:pPr>
        <w:pStyle w:val="BodyText"/>
        <w:spacing w:line="362" w:lineRule="auto" w:before="135"/>
        <w:ind w:left="226" w:right="1342" w:firstLine="480"/>
      </w:pPr>
      <w:r>
        <w:rPr/>
        <w:t>监理人认为有必要时，承包人应按监理人指示的内容和期限，并根据合同进度计划的进度控制要求，编制单位工程进度计划，提交监理人审批。</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提交资金流估算表</w:t>
      </w:r>
    </w:p>
    <w:p>
      <w:pPr>
        <w:pStyle w:val="BodyText"/>
        <w:spacing w:line="367" w:lineRule="auto" w:before="158"/>
        <w:ind w:left="226" w:right="1343" w:firstLine="480"/>
        <w:jc w:val="both"/>
      </w:pPr>
      <w:r>
        <w:rPr/>
        <w:drawing>
          <wp:anchor distT="0" distB="0" distL="0" distR="0" allowOverlap="1" layoutInCell="1" locked="0" behindDoc="1" simplePos="0" relativeHeight="234754048">
            <wp:simplePos x="0" y="0"/>
            <wp:positionH relativeFrom="page">
              <wp:posOffset>992771</wp:posOffset>
            </wp:positionH>
            <wp:positionV relativeFrom="paragraph">
              <wp:posOffset>853826</wp:posOffset>
            </wp:positionV>
            <wp:extent cx="5578970" cy="5494141"/>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8"/>
        </w:rPr>
        <w:t>承包人应在按第 </w:t>
      </w:r>
      <w:r>
        <w:rPr>
          <w:rFonts w:ascii="Calibri" w:eastAsia="Calibri"/>
        </w:rPr>
        <w:t>10.1 </w:t>
      </w:r>
      <w:r>
        <w:rPr>
          <w:spacing w:val="-3"/>
        </w:rPr>
        <w:t>款约定向监理人提交施工总进度计划的同时，按下表约定的格式，向监理人提交按月的资金流估算表。估算表应包括承包人计划可从发包人处得到的全部款额，以供发包人参考。此后，当监理人提出要求时，承包人应在监理人指定的期限内提交修订的资金流估算表。</w:t>
      </w:r>
    </w:p>
    <w:p>
      <w:pPr>
        <w:pStyle w:val="BodyText"/>
        <w:tabs>
          <w:tab w:pos="7946" w:val="left" w:leader="none"/>
        </w:tabs>
        <w:spacing w:line="302" w:lineRule="exact"/>
        <w:ind w:left="2765"/>
        <w:rPr>
          <w:rFonts w:ascii="黑体" w:eastAsia="黑体" w:hint="eastAsia"/>
        </w:rPr>
      </w:pPr>
      <w:r>
        <w:rPr>
          <w:rFonts w:ascii="黑体" w:eastAsia="黑体" w:hint="eastAsia"/>
        </w:rPr>
        <w:t>资金流估算表(参考格式)</w:t>
        <w:tab/>
        <w:t>金额单位</w:t>
      </w:r>
    </w:p>
    <w:p>
      <w:pPr>
        <w:pStyle w:val="BodyText"/>
        <w:spacing w:before="4"/>
        <w:rPr>
          <w:rFonts w:ascii="黑体"/>
          <w:sz w:val="5"/>
        </w:rPr>
      </w:pPr>
    </w:p>
    <w:tbl>
      <w:tblPr>
        <w:tblW w:w="0" w:type="auto"/>
        <w:jc w:val="left"/>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66"/>
        <w:gridCol w:w="481"/>
        <w:gridCol w:w="1262"/>
        <w:gridCol w:w="1412"/>
        <w:gridCol w:w="1411"/>
        <w:gridCol w:w="1111"/>
        <w:gridCol w:w="945"/>
        <w:gridCol w:w="465"/>
        <w:gridCol w:w="841"/>
        <w:gridCol w:w="1051"/>
      </w:tblGrid>
      <w:tr>
        <w:trPr>
          <w:trHeight w:val="931" w:hRule="atLeast"/>
        </w:trPr>
        <w:tc>
          <w:tcPr>
            <w:tcW w:w="466" w:type="dxa"/>
            <w:tcBorders>
              <w:right w:val="single" w:sz="8" w:space="0" w:color="000000"/>
            </w:tcBorders>
          </w:tcPr>
          <w:p>
            <w:pPr>
              <w:pStyle w:val="TableParagraph"/>
              <w:spacing w:before="12"/>
              <w:rPr>
                <w:rFonts w:ascii="黑体"/>
                <w:sz w:val="26"/>
              </w:rPr>
            </w:pPr>
          </w:p>
          <w:p>
            <w:pPr>
              <w:pStyle w:val="TableParagraph"/>
              <w:ind w:left="142"/>
              <w:rPr>
                <w:sz w:val="18"/>
              </w:rPr>
            </w:pPr>
            <w:r>
              <w:rPr>
                <w:sz w:val="18"/>
              </w:rPr>
              <w:t>年</w:t>
            </w:r>
          </w:p>
        </w:tc>
        <w:tc>
          <w:tcPr>
            <w:tcW w:w="481" w:type="dxa"/>
            <w:tcBorders>
              <w:left w:val="single" w:sz="8" w:space="0" w:color="000000"/>
            </w:tcBorders>
          </w:tcPr>
          <w:p>
            <w:pPr>
              <w:pStyle w:val="TableParagraph"/>
              <w:spacing w:before="12"/>
              <w:rPr>
                <w:rFonts w:ascii="黑体"/>
                <w:sz w:val="26"/>
              </w:rPr>
            </w:pPr>
          </w:p>
          <w:p>
            <w:pPr>
              <w:pStyle w:val="TableParagraph"/>
              <w:ind w:left="140"/>
              <w:rPr>
                <w:sz w:val="18"/>
              </w:rPr>
            </w:pPr>
            <w:r>
              <w:rPr>
                <w:sz w:val="18"/>
              </w:rPr>
              <w:t>月</w:t>
            </w:r>
          </w:p>
        </w:tc>
        <w:tc>
          <w:tcPr>
            <w:tcW w:w="1262" w:type="dxa"/>
          </w:tcPr>
          <w:p>
            <w:pPr>
              <w:pStyle w:val="TableParagraph"/>
              <w:spacing w:before="120"/>
              <w:ind w:left="242" w:right="244"/>
              <w:jc w:val="center"/>
              <w:rPr>
                <w:sz w:val="18"/>
              </w:rPr>
            </w:pPr>
            <w:r>
              <w:rPr>
                <w:sz w:val="18"/>
              </w:rPr>
              <w:t>工程工作</w:t>
            </w:r>
          </w:p>
          <w:p>
            <w:pPr>
              <w:pStyle w:val="TableParagraph"/>
              <w:spacing w:before="4"/>
              <w:rPr>
                <w:rFonts w:ascii="黑体"/>
                <w:sz w:val="18"/>
              </w:rPr>
            </w:pPr>
          </w:p>
          <w:p>
            <w:pPr>
              <w:pStyle w:val="TableParagraph"/>
              <w:ind w:left="242" w:right="243"/>
              <w:jc w:val="center"/>
              <w:rPr>
                <w:sz w:val="18"/>
              </w:rPr>
            </w:pPr>
            <w:r>
              <w:rPr>
                <w:sz w:val="18"/>
              </w:rPr>
              <w:t>付款</w:t>
            </w:r>
          </w:p>
        </w:tc>
        <w:tc>
          <w:tcPr>
            <w:tcW w:w="1412" w:type="dxa"/>
          </w:tcPr>
          <w:p>
            <w:pPr>
              <w:pStyle w:val="TableParagraph"/>
              <w:spacing w:before="120"/>
              <w:ind w:left="227" w:right="229"/>
              <w:jc w:val="center"/>
              <w:rPr>
                <w:sz w:val="18"/>
              </w:rPr>
            </w:pPr>
            <w:r>
              <w:rPr>
                <w:sz w:val="18"/>
              </w:rPr>
              <w:t>完成工作量</w:t>
            </w:r>
          </w:p>
          <w:p>
            <w:pPr>
              <w:pStyle w:val="TableParagraph"/>
              <w:spacing w:before="4"/>
              <w:rPr>
                <w:rFonts w:ascii="黑体"/>
                <w:sz w:val="18"/>
              </w:rPr>
            </w:pPr>
          </w:p>
          <w:p>
            <w:pPr>
              <w:pStyle w:val="TableParagraph"/>
              <w:ind w:left="227" w:right="229"/>
              <w:jc w:val="center"/>
              <w:rPr>
                <w:sz w:val="18"/>
              </w:rPr>
            </w:pPr>
            <w:r>
              <w:rPr>
                <w:sz w:val="18"/>
              </w:rPr>
              <w:t>付款</w:t>
            </w:r>
          </w:p>
        </w:tc>
        <w:tc>
          <w:tcPr>
            <w:tcW w:w="1411" w:type="dxa"/>
          </w:tcPr>
          <w:p>
            <w:pPr>
              <w:pStyle w:val="TableParagraph"/>
              <w:spacing w:before="120"/>
              <w:ind w:left="241" w:right="214"/>
              <w:jc w:val="center"/>
              <w:rPr>
                <w:sz w:val="18"/>
              </w:rPr>
            </w:pPr>
            <w:r>
              <w:rPr>
                <w:sz w:val="18"/>
              </w:rPr>
              <w:t>质量保证金</w:t>
            </w:r>
          </w:p>
          <w:p>
            <w:pPr>
              <w:pStyle w:val="TableParagraph"/>
              <w:spacing w:before="4"/>
              <w:rPr>
                <w:rFonts w:ascii="黑体"/>
                <w:sz w:val="18"/>
              </w:rPr>
            </w:pPr>
          </w:p>
          <w:p>
            <w:pPr>
              <w:pStyle w:val="TableParagraph"/>
              <w:ind w:left="241" w:right="213"/>
              <w:jc w:val="center"/>
              <w:rPr>
                <w:sz w:val="18"/>
              </w:rPr>
            </w:pPr>
            <w:r>
              <w:rPr>
                <w:sz w:val="18"/>
              </w:rPr>
              <w:t>扣留</w:t>
            </w:r>
          </w:p>
        </w:tc>
        <w:tc>
          <w:tcPr>
            <w:tcW w:w="1111" w:type="dxa"/>
          </w:tcPr>
          <w:p>
            <w:pPr>
              <w:pStyle w:val="TableParagraph"/>
              <w:spacing w:before="120"/>
              <w:ind w:left="257" w:right="258"/>
              <w:jc w:val="center"/>
              <w:rPr>
                <w:sz w:val="18"/>
              </w:rPr>
            </w:pPr>
            <w:r>
              <w:rPr>
                <w:sz w:val="18"/>
              </w:rPr>
              <w:t>材料款</w:t>
            </w:r>
          </w:p>
          <w:p>
            <w:pPr>
              <w:pStyle w:val="TableParagraph"/>
              <w:spacing w:before="4"/>
              <w:rPr>
                <w:rFonts w:ascii="黑体"/>
                <w:sz w:val="18"/>
              </w:rPr>
            </w:pPr>
          </w:p>
          <w:p>
            <w:pPr>
              <w:pStyle w:val="TableParagraph"/>
              <w:ind w:left="257" w:right="258"/>
              <w:jc w:val="center"/>
              <w:rPr>
                <w:sz w:val="18"/>
              </w:rPr>
            </w:pPr>
            <w:r>
              <w:rPr>
                <w:sz w:val="18"/>
              </w:rPr>
              <w:t>扣除</w:t>
            </w:r>
          </w:p>
        </w:tc>
        <w:tc>
          <w:tcPr>
            <w:tcW w:w="945" w:type="dxa"/>
          </w:tcPr>
          <w:p>
            <w:pPr>
              <w:pStyle w:val="TableParagraph"/>
              <w:spacing w:before="12"/>
              <w:rPr>
                <w:rFonts w:ascii="黑体"/>
                <w:sz w:val="26"/>
              </w:rPr>
            </w:pPr>
          </w:p>
          <w:p>
            <w:pPr>
              <w:pStyle w:val="TableParagraph"/>
              <w:ind w:left="112"/>
              <w:rPr>
                <w:sz w:val="18"/>
              </w:rPr>
            </w:pPr>
            <w:r>
              <w:rPr>
                <w:sz w:val="18"/>
              </w:rPr>
              <w:t>预款扣还</w:t>
            </w:r>
          </w:p>
        </w:tc>
        <w:tc>
          <w:tcPr>
            <w:tcW w:w="465" w:type="dxa"/>
            <w:tcBorders>
              <w:right w:val="single" w:sz="8" w:space="0" w:color="000000"/>
            </w:tcBorders>
          </w:tcPr>
          <w:p>
            <w:pPr>
              <w:pStyle w:val="TableParagraph"/>
              <w:spacing w:before="120"/>
              <w:ind w:left="143"/>
              <w:rPr>
                <w:sz w:val="18"/>
              </w:rPr>
            </w:pPr>
            <w:r>
              <w:rPr>
                <w:sz w:val="18"/>
              </w:rPr>
              <w:t>其</w:t>
            </w:r>
          </w:p>
          <w:p>
            <w:pPr>
              <w:pStyle w:val="TableParagraph"/>
              <w:spacing w:before="4"/>
              <w:rPr>
                <w:rFonts w:ascii="黑体"/>
                <w:sz w:val="18"/>
              </w:rPr>
            </w:pPr>
          </w:p>
          <w:p>
            <w:pPr>
              <w:pStyle w:val="TableParagraph"/>
              <w:ind w:left="143"/>
              <w:rPr>
                <w:sz w:val="18"/>
              </w:rPr>
            </w:pPr>
            <w:r>
              <w:rPr>
                <w:sz w:val="18"/>
              </w:rPr>
              <w:t>它</w:t>
            </w:r>
          </w:p>
        </w:tc>
        <w:tc>
          <w:tcPr>
            <w:tcW w:w="841" w:type="dxa"/>
            <w:tcBorders>
              <w:left w:val="single" w:sz="8" w:space="0" w:color="000000"/>
            </w:tcBorders>
          </w:tcPr>
          <w:p>
            <w:pPr>
              <w:pStyle w:val="TableParagraph"/>
              <w:spacing w:before="12"/>
              <w:rPr>
                <w:rFonts w:ascii="黑体"/>
                <w:sz w:val="26"/>
              </w:rPr>
            </w:pPr>
          </w:p>
          <w:p>
            <w:pPr>
              <w:pStyle w:val="TableParagraph"/>
              <w:ind w:left="142"/>
              <w:rPr>
                <w:sz w:val="18"/>
              </w:rPr>
            </w:pPr>
            <w:r>
              <w:rPr>
                <w:sz w:val="18"/>
              </w:rPr>
              <w:t>应收款</w:t>
            </w:r>
          </w:p>
        </w:tc>
        <w:tc>
          <w:tcPr>
            <w:tcW w:w="1051" w:type="dxa"/>
          </w:tcPr>
          <w:p>
            <w:pPr>
              <w:pStyle w:val="TableParagraph"/>
              <w:spacing w:before="120"/>
              <w:ind w:left="264"/>
              <w:rPr>
                <w:sz w:val="18"/>
              </w:rPr>
            </w:pPr>
            <w:r>
              <w:rPr>
                <w:sz w:val="18"/>
              </w:rPr>
              <w:t>累计应</w:t>
            </w:r>
          </w:p>
          <w:p>
            <w:pPr>
              <w:pStyle w:val="TableParagraph"/>
              <w:spacing w:before="4"/>
              <w:rPr>
                <w:rFonts w:ascii="黑体"/>
                <w:sz w:val="18"/>
              </w:rPr>
            </w:pPr>
          </w:p>
          <w:p>
            <w:pPr>
              <w:pStyle w:val="TableParagraph"/>
              <w:ind w:left="354"/>
              <w:rPr>
                <w:sz w:val="18"/>
              </w:rPr>
            </w:pPr>
            <w:r>
              <w:rPr>
                <w:sz w:val="18"/>
              </w:rPr>
              <w:t>收款</w:t>
            </w:r>
          </w:p>
        </w:tc>
      </w:tr>
      <w:tr>
        <w:trPr>
          <w:trHeight w:val="570" w:hRule="atLeast"/>
        </w:trPr>
        <w:tc>
          <w:tcPr>
            <w:tcW w:w="466" w:type="dxa"/>
            <w:tcBorders>
              <w:right w:val="single" w:sz="8" w:space="0" w:color="000000"/>
            </w:tcBorders>
          </w:tcPr>
          <w:p>
            <w:pPr>
              <w:pStyle w:val="TableParagraph"/>
              <w:rPr>
                <w:rFonts w:ascii="Times New Roman"/>
                <w:sz w:val="22"/>
              </w:rPr>
            </w:pPr>
          </w:p>
        </w:tc>
        <w:tc>
          <w:tcPr>
            <w:tcW w:w="481" w:type="dxa"/>
            <w:tcBorders>
              <w:left w:val="single" w:sz="8" w:space="0" w:color="000000"/>
            </w:tcBorders>
          </w:tcPr>
          <w:p>
            <w:pPr>
              <w:pStyle w:val="TableParagraph"/>
              <w:rPr>
                <w:rFonts w:ascii="Times New Roman"/>
                <w:sz w:val="22"/>
              </w:rPr>
            </w:pPr>
          </w:p>
        </w:tc>
        <w:tc>
          <w:tcPr>
            <w:tcW w:w="1262" w:type="dxa"/>
          </w:tcPr>
          <w:p>
            <w:pPr>
              <w:pStyle w:val="TableParagraph"/>
              <w:rPr>
                <w:rFonts w:ascii="Times New Roman"/>
                <w:sz w:val="22"/>
              </w:rPr>
            </w:pPr>
          </w:p>
        </w:tc>
        <w:tc>
          <w:tcPr>
            <w:tcW w:w="1412" w:type="dxa"/>
          </w:tcPr>
          <w:p>
            <w:pPr>
              <w:pStyle w:val="TableParagraph"/>
              <w:rPr>
                <w:rFonts w:ascii="Times New Roman"/>
                <w:sz w:val="22"/>
              </w:rPr>
            </w:pPr>
          </w:p>
        </w:tc>
        <w:tc>
          <w:tcPr>
            <w:tcW w:w="1411" w:type="dxa"/>
          </w:tcPr>
          <w:p>
            <w:pPr>
              <w:pStyle w:val="TableParagraph"/>
              <w:rPr>
                <w:rFonts w:ascii="Times New Roman"/>
                <w:sz w:val="22"/>
              </w:rPr>
            </w:pPr>
          </w:p>
        </w:tc>
        <w:tc>
          <w:tcPr>
            <w:tcW w:w="1111" w:type="dxa"/>
          </w:tcPr>
          <w:p>
            <w:pPr>
              <w:pStyle w:val="TableParagraph"/>
              <w:rPr>
                <w:rFonts w:ascii="Times New Roman"/>
                <w:sz w:val="22"/>
              </w:rPr>
            </w:pPr>
          </w:p>
        </w:tc>
        <w:tc>
          <w:tcPr>
            <w:tcW w:w="945" w:type="dxa"/>
          </w:tcPr>
          <w:p>
            <w:pPr>
              <w:pStyle w:val="TableParagraph"/>
              <w:rPr>
                <w:rFonts w:ascii="Times New Roman"/>
                <w:sz w:val="22"/>
              </w:rPr>
            </w:pPr>
          </w:p>
        </w:tc>
        <w:tc>
          <w:tcPr>
            <w:tcW w:w="465" w:type="dxa"/>
            <w:tcBorders>
              <w:right w:val="single" w:sz="8" w:space="0" w:color="000000"/>
            </w:tcBorders>
          </w:tcPr>
          <w:p>
            <w:pPr>
              <w:pStyle w:val="TableParagraph"/>
              <w:rPr>
                <w:rFonts w:ascii="Times New Roman"/>
                <w:sz w:val="22"/>
              </w:rPr>
            </w:pPr>
          </w:p>
        </w:tc>
        <w:tc>
          <w:tcPr>
            <w:tcW w:w="841" w:type="dxa"/>
            <w:tcBorders>
              <w:left w:val="single" w:sz="8" w:space="0" w:color="000000"/>
            </w:tcBorders>
          </w:tcPr>
          <w:p>
            <w:pPr>
              <w:pStyle w:val="TableParagraph"/>
              <w:rPr>
                <w:rFonts w:ascii="Times New Roman"/>
                <w:sz w:val="22"/>
              </w:rPr>
            </w:pPr>
          </w:p>
        </w:tc>
        <w:tc>
          <w:tcPr>
            <w:tcW w:w="1051" w:type="dxa"/>
          </w:tcPr>
          <w:p>
            <w:pPr>
              <w:pStyle w:val="TableParagraph"/>
              <w:rPr>
                <w:rFonts w:ascii="Times New Roman"/>
                <w:sz w:val="22"/>
              </w:rPr>
            </w:pPr>
          </w:p>
        </w:tc>
      </w:tr>
      <w:tr>
        <w:trPr>
          <w:trHeight w:val="570" w:hRule="atLeast"/>
        </w:trPr>
        <w:tc>
          <w:tcPr>
            <w:tcW w:w="466" w:type="dxa"/>
            <w:tcBorders>
              <w:right w:val="single" w:sz="8" w:space="0" w:color="000000"/>
            </w:tcBorders>
          </w:tcPr>
          <w:p>
            <w:pPr>
              <w:pStyle w:val="TableParagraph"/>
              <w:rPr>
                <w:rFonts w:ascii="Times New Roman"/>
                <w:sz w:val="22"/>
              </w:rPr>
            </w:pPr>
          </w:p>
        </w:tc>
        <w:tc>
          <w:tcPr>
            <w:tcW w:w="481" w:type="dxa"/>
            <w:tcBorders>
              <w:left w:val="single" w:sz="8" w:space="0" w:color="000000"/>
            </w:tcBorders>
          </w:tcPr>
          <w:p>
            <w:pPr>
              <w:pStyle w:val="TableParagraph"/>
              <w:rPr>
                <w:rFonts w:ascii="Times New Roman"/>
                <w:sz w:val="22"/>
              </w:rPr>
            </w:pPr>
          </w:p>
        </w:tc>
        <w:tc>
          <w:tcPr>
            <w:tcW w:w="1262" w:type="dxa"/>
          </w:tcPr>
          <w:p>
            <w:pPr>
              <w:pStyle w:val="TableParagraph"/>
              <w:rPr>
                <w:rFonts w:ascii="Times New Roman"/>
                <w:sz w:val="22"/>
              </w:rPr>
            </w:pPr>
          </w:p>
        </w:tc>
        <w:tc>
          <w:tcPr>
            <w:tcW w:w="1412" w:type="dxa"/>
          </w:tcPr>
          <w:p>
            <w:pPr>
              <w:pStyle w:val="TableParagraph"/>
              <w:rPr>
                <w:rFonts w:ascii="Times New Roman"/>
                <w:sz w:val="22"/>
              </w:rPr>
            </w:pPr>
          </w:p>
        </w:tc>
        <w:tc>
          <w:tcPr>
            <w:tcW w:w="1411" w:type="dxa"/>
          </w:tcPr>
          <w:p>
            <w:pPr>
              <w:pStyle w:val="TableParagraph"/>
              <w:rPr>
                <w:rFonts w:ascii="Times New Roman"/>
                <w:sz w:val="22"/>
              </w:rPr>
            </w:pPr>
          </w:p>
        </w:tc>
        <w:tc>
          <w:tcPr>
            <w:tcW w:w="1111" w:type="dxa"/>
          </w:tcPr>
          <w:p>
            <w:pPr>
              <w:pStyle w:val="TableParagraph"/>
              <w:rPr>
                <w:rFonts w:ascii="Times New Roman"/>
                <w:sz w:val="22"/>
              </w:rPr>
            </w:pPr>
          </w:p>
        </w:tc>
        <w:tc>
          <w:tcPr>
            <w:tcW w:w="945" w:type="dxa"/>
          </w:tcPr>
          <w:p>
            <w:pPr>
              <w:pStyle w:val="TableParagraph"/>
              <w:rPr>
                <w:rFonts w:ascii="Times New Roman"/>
                <w:sz w:val="22"/>
              </w:rPr>
            </w:pPr>
          </w:p>
        </w:tc>
        <w:tc>
          <w:tcPr>
            <w:tcW w:w="465" w:type="dxa"/>
            <w:tcBorders>
              <w:right w:val="single" w:sz="8" w:space="0" w:color="000000"/>
            </w:tcBorders>
          </w:tcPr>
          <w:p>
            <w:pPr>
              <w:pStyle w:val="TableParagraph"/>
              <w:rPr>
                <w:rFonts w:ascii="Times New Roman"/>
                <w:sz w:val="22"/>
              </w:rPr>
            </w:pPr>
          </w:p>
        </w:tc>
        <w:tc>
          <w:tcPr>
            <w:tcW w:w="841" w:type="dxa"/>
            <w:tcBorders>
              <w:left w:val="single" w:sz="8" w:space="0" w:color="000000"/>
            </w:tcBorders>
          </w:tcPr>
          <w:p>
            <w:pPr>
              <w:pStyle w:val="TableParagraph"/>
              <w:rPr>
                <w:rFonts w:ascii="Times New Roman"/>
                <w:sz w:val="22"/>
              </w:rPr>
            </w:pPr>
          </w:p>
        </w:tc>
        <w:tc>
          <w:tcPr>
            <w:tcW w:w="1051" w:type="dxa"/>
          </w:tcPr>
          <w:p>
            <w:pPr>
              <w:pStyle w:val="TableParagraph"/>
              <w:rPr>
                <w:rFonts w:ascii="Times New Roman"/>
                <w:sz w:val="22"/>
              </w:rPr>
            </w:pPr>
          </w:p>
        </w:tc>
      </w:tr>
      <w:tr>
        <w:trPr>
          <w:trHeight w:val="585" w:hRule="atLeast"/>
        </w:trPr>
        <w:tc>
          <w:tcPr>
            <w:tcW w:w="466" w:type="dxa"/>
            <w:tcBorders>
              <w:right w:val="single" w:sz="8" w:space="0" w:color="000000"/>
            </w:tcBorders>
          </w:tcPr>
          <w:p>
            <w:pPr>
              <w:pStyle w:val="TableParagraph"/>
              <w:rPr>
                <w:rFonts w:ascii="Times New Roman"/>
                <w:sz w:val="22"/>
              </w:rPr>
            </w:pPr>
          </w:p>
        </w:tc>
        <w:tc>
          <w:tcPr>
            <w:tcW w:w="481" w:type="dxa"/>
            <w:tcBorders>
              <w:left w:val="single" w:sz="8" w:space="0" w:color="000000"/>
            </w:tcBorders>
          </w:tcPr>
          <w:p>
            <w:pPr>
              <w:pStyle w:val="TableParagraph"/>
              <w:rPr>
                <w:rFonts w:ascii="Times New Roman"/>
                <w:sz w:val="22"/>
              </w:rPr>
            </w:pPr>
          </w:p>
        </w:tc>
        <w:tc>
          <w:tcPr>
            <w:tcW w:w="1262" w:type="dxa"/>
          </w:tcPr>
          <w:p>
            <w:pPr>
              <w:pStyle w:val="TableParagraph"/>
              <w:rPr>
                <w:rFonts w:ascii="Times New Roman"/>
                <w:sz w:val="22"/>
              </w:rPr>
            </w:pPr>
          </w:p>
        </w:tc>
        <w:tc>
          <w:tcPr>
            <w:tcW w:w="1412" w:type="dxa"/>
          </w:tcPr>
          <w:p>
            <w:pPr>
              <w:pStyle w:val="TableParagraph"/>
              <w:rPr>
                <w:rFonts w:ascii="Times New Roman"/>
                <w:sz w:val="22"/>
              </w:rPr>
            </w:pPr>
          </w:p>
        </w:tc>
        <w:tc>
          <w:tcPr>
            <w:tcW w:w="1411" w:type="dxa"/>
          </w:tcPr>
          <w:p>
            <w:pPr>
              <w:pStyle w:val="TableParagraph"/>
              <w:rPr>
                <w:rFonts w:ascii="Times New Roman"/>
                <w:sz w:val="22"/>
              </w:rPr>
            </w:pPr>
          </w:p>
        </w:tc>
        <w:tc>
          <w:tcPr>
            <w:tcW w:w="1111" w:type="dxa"/>
          </w:tcPr>
          <w:p>
            <w:pPr>
              <w:pStyle w:val="TableParagraph"/>
              <w:rPr>
                <w:rFonts w:ascii="Times New Roman"/>
                <w:sz w:val="22"/>
              </w:rPr>
            </w:pPr>
          </w:p>
        </w:tc>
        <w:tc>
          <w:tcPr>
            <w:tcW w:w="945" w:type="dxa"/>
          </w:tcPr>
          <w:p>
            <w:pPr>
              <w:pStyle w:val="TableParagraph"/>
              <w:rPr>
                <w:rFonts w:ascii="Times New Roman"/>
                <w:sz w:val="22"/>
              </w:rPr>
            </w:pPr>
          </w:p>
        </w:tc>
        <w:tc>
          <w:tcPr>
            <w:tcW w:w="465" w:type="dxa"/>
            <w:tcBorders>
              <w:right w:val="single" w:sz="8" w:space="0" w:color="000000"/>
            </w:tcBorders>
          </w:tcPr>
          <w:p>
            <w:pPr>
              <w:pStyle w:val="TableParagraph"/>
              <w:rPr>
                <w:rFonts w:ascii="Times New Roman"/>
                <w:sz w:val="22"/>
              </w:rPr>
            </w:pPr>
          </w:p>
        </w:tc>
        <w:tc>
          <w:tcPr>
            <w:tcW w:w="841" w:type="dxa"/>
            <w:tcBorders>
              <w:left w:val="single" w:sz="8" w:space="0" w:color="000000"/>
            </w:tcBorders>
          </w:tcPr>
          <w:p>
            <w:pPr>
              <w:pStyle w:val="TableParagraph"/>
              <w:rPr>
                <w:rFonts w:ascii="Times New Roman"/>
                <w:sz w:val="22"/>
              </w:rPr>
            </w:pPr>
          </w:p>
        </w:tc>
        <w:tc>
          <w:tcPr>
            <w:tcW w:w="1051" w:type="dxa"/>
          </w:tcPr>
          <w:p>
            <w:pPr>
              <w:pStyle w:val="TableParagraph"/>
              <w:rPr>
                <w:rFonts w:ascii="Times New Roman"/>
                <w:sz w:val="22"/>
              </w:rPr>
            </w:pPr>
          </w:p>
        </w:tc>
      </w:tr>
    </w:tbl>
    <w:p>
      <w:pPr>
        <w:pStyle w:val="BodyText"/>
        <w:rPr>
          <w:rFonts w:ascii="黑体"/>
          <w:sz w:val="32"/>
        </w:rPr>
      </w:pPr>
    </w:p>
    <w:p>
      <w:pPr>
        <w:pStyle w:val="Heading6"/>
        <w:numPr>
          <w:ilvl w:val="0"/>
          <w:numId w:val="38"/>
        </w:numPr>
        <w:tabs>
          <w:tab w:pos="618" w:val="left" w:leader="none"/>
        </w:tabs>
        <w:spacing w:line="240" w:lineRule="auto" w:before="0" w:after="0"/>
        <w:ind w:left="617" w:right="0" w:hanging="392"/>
        <w:jc w:val="left"/>
      </w:pPr>
      <w:bookmarkStart w:name="11开工和竣工" w:id="86"/>
      <w:bookmarkEnd w:id="86"/>
      <w:r>
        <w:rPr>
          <w:b w:val="0"/>
        </w:rPr>
      </w:r>
      <w:bookmarkStart w:name="11开工和竣工" w:id="87"/>
      <w:bookmarkEnd w:id="87"/>
      <w:r>
        <w:rPr/>
        <w:t>开工和竣工</w:t>
      </w:r>
    </w:p>
    <w:p>
      <w:pPr>
        <w:pStyle w:val="BodyText"/>
        <w:spacing w:before="10"/>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开工</w:t>
      </w:r>
    </w:p>
    <w:p>
      <w:pPr>
        <w:pStyle w:val="ListParagraph"/>
        <w:numPr>
          <w:ilvl w:val="2"/>
          <w:numId w:val="38"/>
        </w:numPr>
        <w:tabs>
          <w:tab w:pos="1384" w:val="left" w:leader="none"/>
        </w:tabs>
        <w:spacing w:line="362" w:lineRule="auto" w:before="158" w:after="0"/>
        <w:ind w:left="226" w:right="1343" w:firstLine="480"/>
        <w:jc w:val="both"/>
        <w:rPr>
          <w:sz w:val="24"/>
        </w:rPr>
      </w:pPr>
      <w:r>
        <w:rPr>
          <w:spacing w:val="-4"/>
          <w:sz w:val="24"/>
        </w:rPr>
        <w:t>监理人应在开工日期 </w:t>
      </w:r>
      <w:r>
        <w:rPr>
          <w:rFonts w:ascii="Calibri" w:eastAsia="Calibri"/>
          <w:sz w:val="24"/>
        </w:rPr>
        <w:t>7</w:t>
      </w:r>
      <w:r>
        <w:rPr>
          <w:rFonts w:ascii="Calibri" w:eastAsia="Calibri"/>
          <w:spacing w:val="19"/>
          <w:sz w:val="24"/>
        </w:rPr>
        <w:t> </w:t>
      </w:r>
      <w:r>
        <w:rPr>
          <w:sz w:val="24"/>
        </w:rPr>
        <w:t>天前向承包人发出开工通知。监理人在发出开工通知前应获得发包人同意。工期自监理人发出的开工通知中载明的开工日期起计算。承包人应在开工日期后尽快施工。</w:t>
      </w:r>
    </w:p>
    <w:p>
      <w:pPr>
        <w:pStyle w:val="ListParagraph"/>
        <w:numPr>
          <w:ilvl w:val="2"/>
          <w:numId w:val="38"/>
        </w:numPr>
        <w:tabs>
          <w:tab w:pos="1369" w:val="left" w:leader="none"/>
        </w:tabs>
        <w:spacing w:line="362" w:lineRule="auto" w:before="18" w:after="0"/>
        <w:ind w:left="226" w:right="1221" w:firstLine="480"/>
        <w:jc w:val="left"/>
        <w:rPr>
          <w:sz w:val="24"/>
        </w:rPr>
      </w:pPr>
      <w:r>
        <w:rPr>
          <w:spacing w:val="-10"/>
          <w:sz w:val="24"/>
        </w:rPr>
        <w:t>承包人应按第 </w:t>
      </w:r>
      <w:r>
        <w:rPr>
          <w:rFonts w:ascii="Calibri" w:eastAsia="Calibri"/>
          <w:sz w:val="24"/>
        </w:rPr>
        <w:t>10.1</w:t>
      </w:r>
      <w:r>
        <w:rPr>
          <w:rFonts w:ascii="Calibri" w:eastAsia="Calibri"/>
          <w:spacing w:val="3"/>
          <w:sz w:val="24"/>
        </w:rPr>
        <w:t> </w:t>
      </w:r>
      <w:r>
        <w:rPr>
          <w:spacing w:val="-1"/>
          <w:sz w:val="24"/>
        </w:rPr>
        <w:t>款约定的合同进度计划，向监理人提交工程开工报审表， </w:t>
      </w:r>
      <w:r>
        <w:rPr>
          <w:spacing w:val="-11"/>
          <w:sz w:val="24"/>
        </w:rPr>
        <w:t>经监理人审批后执行。开工报审表应详细说明按合同进度计划正常施工所需的施工道路、临时设施、材料设备、施工人员等施工组织措施的落实情况以及工程的进度安排。</w:t>
      </w:r>
    </w:p>
    <w:p>
      <w:pPr>
        <w:pStyle w:val="ListParagraph"/>
        <w:numPr>
          <w:ilvl w:val="2"/>
          <w:numId w:val="38"/>
        </w:numPr>
        <w:tabs>
          <w:tab w:pos="1429" w:val="left" w:leader="none"/>
        </w:tabs>
        <w:spacing w:line="369" w:lineRule="auto" w:before="3" w:after="0"/>
        <w:ind w:left="226" w:right="1342" w:firstLine="480"/>
        <w:jc w:val="both"/>
        <w:rPr>
          <w:sz w:val="24"/>
        </w:rPr>
      </w:pPr>
      <w:r>
        <w:rPr>
          <w:sz w:val="24"/>
        </w:rPr>
        <w:t>若发包人未能按合同约定向承包人提供开工的必要条件，承包人有权要求延</w:t>
      </w:r>
      <w:r>
        <w:rPr>
          <w:spacing w:val="-2"/>
          <w:sz w:val="24"/>
        </w:rPr>
        <w:t>长工期。监理人应在收到承包人的书面要求后，按第 </w:t>
      </w:r>
      <w:r>
        <w:rPr>
          <w:rFonts w:ascii="Calibri" w:eastAsia="Calibri"/>
          <w:sz w:val="24"/>
        </w:rPr>
        <w:t>3.5</w:t>
      </w:r>
      <w:r>
        <w:rPr>
          <w:rFonts w:ascii="Calibri" w:eastAsia="Calibri"/>
          <w:spacing w:val="32"/>
          <w:sz w:val="24"/>
        </w:rPr>
        <w:t> </w:t>
      </w:r>
      <w:r>
        <w:rPr>
          <w:sz w:val="24"/>
        </w:rPr>
        <w:t>款的约定，与合同双方商定或确定增加的费用和延长的工期。</w:t>
      </w:r>
    </w:p>
    <w:p>
      <w:pPr>
        <w:pStyle w:val="ListParagraph"/>
        <w:numPr>
          <w:ilvl w:val="2"/>
          <w:numId w:val="38"/>
        </w:numPr>
        <w:tabs>
          <w:tab w:pos="1369" w:val="left" w:leader="none"/>
        </w:tabs>
        <w:spacing w:line="362" w:lineRule="auto" w:before="0" w:after="0"/>
        <w:ind w:left="226" w:right="1228" w:firstLine="480"/>
        <w:jc w:val="left"/>
        <w:rPr>
          <w:sz w:val="24"/>
        </w:rPr>
      </w:pPr>
      <w:r>
        <w:rPr>
          <w:spacing w:val="-6"/>
          <w:sz w:val="24"/>
        </w:rPr>
        <w:t>承包人在接到开工通知后 </w:t>
      </w:r>
      <w:r>
        <w:rPr>
          <w:rFonts w:ascii="Calibri" w:eastAsia="Calibri"/>
          <w:sz w:val="24"/>
        </w:rPr>
        <w:t>14</w:t>
      </w:r>
      <w:r>
        <w:rPr>
          <w:rFonts w:ascii="Calibri" w:eastAsia="Calibri"/>
          <w:spacing w:val="4"/>
          <w:sz w:val="24"/>
        </w:rPr>
        <w:t> </w:t>
      </w:r>
      <w:r>
        <w:rPr>
          <w:spacing w:val="-4"/>
          <w:sz w:val="24"/>
        </w:rPr>
        <w:t>天内未按进度计划要求及时进场组织施工，监理</w:t>
      </w:r>
      <w:r>
        <w:rPr>
          <w:spacing w:val="-9"/>
          <w:sz w:val="24"/>
        </w:rPr>
        <w:t>人可通知承包人在接到通知后 </w:t>
      </w:r>
      <w:r>
        <w:rPr>
          <w:rFonts w:ascii="Calibri" w:eastAsia="Calibri"/>
          <w:sz w:val="24"/>
        </w:rPr>
        <w:t>7</w:t>
      </w:r>
      <w:r>
        <w:rPr>
          <w:rFonts w:ascii="Calibri" w:eastAsia="Calibri"/>
          <w:spacing w:val="4"/>
          <w:sz w:val="24"/>
        </w:rPr>
        <w:t> </w:t>
      </w:r>
      <w:r>
        <w:rPr>
          <w:spacing w:val="-7"/>
          <w:sz w:val="24"/>
        </w:rPr>
        <w:t>天内提交一份说明其进场延误的书面报告，报送监理人。书面报告应说明不能及时进场的原因和补救措施，由此增加的费用和工期延误责任由承</w:t>
      </w:r>
    </w:p>
    <w:p>
      <w:pPr>
        <w:spacing w:after="0" w:line="362" w:lineRule="auto"/>
        <w:jc w:val="left"/>
        <w:rPr>
          <w:sz w:val="24"/>
        </w:rPr>
        <w:sectPr>
          <w:pgSz w:w="11910" w:h="16850"/>
          <w:pgMar w:header="911" w:footer="0" w:top="1380" w:bottom="280" w:left="1200" w:right="0"/>
        </w:sectPr>
      </w:pPr>
    </w:p>
    <w:p>
      <w:pPr>
        <w:pStyle w:val="BodyText"/>
        <w:spacing w:before="135"/>
        <w:ind w:left="226"/>
      </w:pPr>
      <w:r>
        <w:rPr/>
        <w:t>包人承担。</w:t>
      </w:r>
    </w:p>
    <w:p>
      <w:pPr>
        <w:pStyle w:val="ListParagraph"/>
        <w:numPr>
          <w:ilvl w:val="1"/>
          <w:numId w:val="38"/>
        </w:numPr>
        <w:tabs>
          <w:tab w:pos="1067" w:val="left" w:leader="none"/>
          <w:tab w:pos="1068" w:val="left" w:leader="none"/>
        </w:tabs>
        <w:spacing w:line="240" w:lineRule="auto" w:before="158" w:after="0"/>
        <w:ind w:left="1068" w:right="0" w:hanging="842"/>
        <w:jc w:val="left"/>
        <w:rPr>
          <w:rFonts w:ascii="黑体" w:eastAsia="黑体" w:hint="eastAsia"/>
          <w:sz w:val="24"/>
        </w:rPr>
      </w:pPr>
      <w:r>
        <w:rPr>
          <w:rFonts w:ascii="黑体" w:eastAsia="黑体" w:hint="eastAsia"/>
          <w:sz w:val="24"/>
        </w:rPr>
        <w:t>竣工(完工)</w:t>
      </w:r>
    </w:p>
    <w:p>
      <w:pPr>
        <w:pStyle w:val="BodyText"/>
        <w:spacing w:line="362" w:lineRule="auto" w:before="158"/>
        <w:ind w:left="226" w:right="1344" w:firstLine="480"/>
        <w:jc w:val="both"/>
      </w:pPr>
      <w:r>
        <w:rPr>
          <w:spacing w:val="-10"/>
        </w:rPr>
        <w:t>承包人应在第 </w:t>
      </w:r>
      <w:r>
        <w:rPr>
          <w:rFonts w:ascii="Calibri" w:eastAsia="Calibri"/>
        </w:rPr>
        <w:t>1.1.4.3 </w:t>
      </w:r>
      <w:r>
        <w:rPr>
          <w:spacing w:val="-5"/>
        </w:rPr>
        <w:t>目约定的期限内完成合同工程。合同工程实际完工日期在合同工程完工证书中明确。</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发包人的工期延误</w:t>
      </w:r>
    </w:p>
    <w:p>
      <w:pPr>
        <w:pStyle w:val="BodyText"/>
        <w:spacing w:line="362" w:lineRule="auto" w:before="173"/>
        <w:ind w:left="226" w:right="1342" w:firstLine="480"/>
        <w:jc w:val="both"/>
      </w:pPr>
      <w:r>
        <w:rPr/>
        <w:drawing>
          <wp:anchor distT="0" distB="0" distL="0" distR="0" allowOverlap="1" layoutInCell="1" locked="0" behindDoc="1" simplePos="0" relativeHeight="234755072">
            <wp:simplePos x="0" y="0"/>
            <wp:positionH relativeFrom="page">
              <wp:posOffset>992771</wp:posOffset>
            </wp:positionH>
            <wp:positionV relativeFrom="paragraph">
              <wp:posOffset>263023</wp:posOffset>
            </wp:positionV>
            <wp:extent cx="5578970" cy="5494141"/>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6" cstate="print"/>
                    <a:stretch>
                      <a:fillRect/>
                    </a:stretch>
                  </pic:blipFill>
                  <pic:spPr>
                    <a:xfrm>
                      <a:off x="0" y="0"/>
                      <a:ext cx="5578970" cy="5494141"/>
                    </a:xfrm>
                    <a:prstGeom prst="rect">
                      <a:avLst/>
                    </a:prstGeom>
                  </pic:spPr>
                </pic:pic>
              </a:graphicData>
            </a:graphic>
          </wp:anchor>
        </w:drawing>
      </w:r>
      <w:r>
        <w:rPr/>
        <w:t>在履行合同过程中，由于发包人的下列原因造成工期延误的，承包人有权要求发包</w:t>
      </w:r>
      <w:r>
        <w:rPr>
          <w:spacing w:val="-2"/>
        </w:rPr>
        <w:t>人延长工期和(或)增加费用，并支付合理利润。需要修订合同进度计划的，按照第 </w:t>
      </w:r>
      <w:r>
        <w:rPr>
          <w:rFonts w:ascii="Calibri" w:eastAsia="Calibri"/>
        </w:rPr>
        <w:t>10.2 </w:t>
      </w:r>
      <w:r>
        <w:rPr/>
        <w:t>款的约定办理。</w:t>
      </w:r>
    </w:p>
    <w:p>
      <w:pPr>
        <w:pStyle w:val="ListParagraph"/>
        <w:numPr>
          <w:ilvl w:val="0"/>
          <w:numId w:val="40"/>
        </w:numPr>
        <w:tabs>
          <w:tab w:pos="1069" w:val="left" w:leader="none"/>
        </w:tabs>
        <w:spacing w:line="240" w:lineRule="auto" w:before="3" w:after="0"/>
        <w:ind w:left="1068" w:right="0" w:hanging="362"/>
        <w:jc w:val="left"/>
        <w:rPr>
          <w:sz w:val="24"/>
        </w:rPr>
      </w:pPr>
      <w:r>
        <w:rPr>
          <w:sz w:val="24"/>
        </w:rPr>
        <w:t>增加合同工作内容； </w:t>
      </w:r>
    </w:p>
    <w:p>
      <w:pPr>
        <w:pStyle w:val="ListParagraph"/>
        <w:numPr>
          <w:ilvl w:val="0"/>
          <w:numId w:val="40"/>
        </w:numPr>
        <w:tabs>
          <w:tab w:pos="1069" w:val="left" w:leader="none"/>
        </w:tabs>
        <w:spacing w:line="369" w:lineRule="auto" w:before="158" w:after="0"/>
        <w:ind w:left="707" w:right="3994" w:firstLine="0"/>
        <w:jc w:val="left"/>
        <w:rPr>
          <w:sz w:val="24"/>
        </w:rPr>
      </w:pPr>
      <w:r>
        <w:rPr>
          <w:spacing w:val="-1"/>
          <w:sz w:val="24"/>
        </w:rPr>
        <w:t>改变合同中任何一项工作的质量要求或其他特性； </w:t>
      </w:r>
      <w:r>
        <w:rPr>
          <w:sz w:val="24"/>
        </w:rPr>
        <w:t>(3)发包人迟延提供材料、工程设备或变更交货地点的； (4)</w:t>
      </w:r>
      <w:r>
        <w:rPr>
          <w:spacing w:val="-1"/>
          <w:sz w:val="24"/>
        </w:rPr>
        <w:t>因发包人原因导致的暂停施工；</w:t>
      </w:r>
      <w:r>
        <w:rPr>
          <w:sz w:val="24"/>
        </w:rPr>
        <w:t> </w:t>
      </w:r>
    </w:p>
    <w:p>
      <w:pPr>
        <w:pStyle w:val="ListParagraph"/>
        <w:numPr>
          <w:ilvl w:val="0"/>
          <w:numId w:val="41"/>
        </w:numPr>
        <w:tabs>
          <w:tab w:pos="1069" w:val="left" w:leader="none"/>
        </w:tabs>
        <w:spacing w:line="298" w:lineRule="exact" w:before="0" w:after="0"/>
        <w:ind w:left="1068" w:right="0" w:hanging="362"/>
        <w:jc w:val="left"/>
        <w:rPr>
          <w:sz w:val="24"/>
        </w:rPr>
      </w:pPr>
      <w:r>
        <w:rPr>
          <w:sz w:val="24"/>
        </w:rPr>
        <w:t>提供图纸延误； </w:t>
      </w:r>
    </w:p>
    <w:p>
      <w:pPr>
        <w:pStyle w:val="ListParagraph"/>
        <w:numPr>
          <w:ilvl w:val="0"/>
          <w:numId w:val="41"/>
        </w:numPr>
        <w:tabs>
          <w:tab w:pos="1069" w:val="left" w:leader="none"/>
        </w:tabs>
        <w:spacing w:line="362" w:lineRule="auto" w:before="158" w:after="0"/>
        <w:ind w:left="707" w:right="5194" w:firstLine="0"/>
        <w:jc w:val="left"/>
        <w:rPr>
          <w:sz w:val="24"/>
        </w:rPr>
      </w:pPr>
      <w:r>
        <w:rPr>
          <w:spacing w:val="-1"/>
          <w:sz w:val="24"/>
        </w:rPr>
        <w:t>未按合同约定及时支付预付款、进度款； </w:t>
      </w:r>
      <w:r>
        <w:rPr>
          <w:sz w:val="24"/>
        </w:rPr>
        <w:t>(7)</w:t>
      </w:r>
      <w:r>
        <w:rPr>
          <w:spacing w:val="-1"/>
          <w:sz w:val="24"/>
        </w:rPr>
        <w:t>发包人造成工期延误的其他原因。</w:t>
      </w:r>
      <w:r>
        <w:rPr>
          <w:sz w:val="24"/>
        </w:rPr>
        <w:t> </w:t>
      </w:r>
    </w:p>
    <w:p>
      <w:pPr>
        <w:pStyle w:val="ListParagraph"/>
        <w:numPr>
          <w:ilvl w:val="1"/>
          <w:numId w:val="38"/>
        </w:numPr>
        <w:tabs>
          <w:tab w:pos="1067" w:val="left" w:leader="none"/>
          <w:tab w:pos="1068" w:val="left" w:leader="none"/>
        </w:tabs>
        <w:spacing w:line="240" w:lineRule="auto" w:before="17" w:after="0"/>
        <w:ind w:left="1068" w:right="0" w:hanging="842"/>
        <w:jc w:val="left"/>
        <w:rPr>
          <w:rFonts w:ascii="黑体" w:eastAsia="黑体" w:hint="eastAsia"/>
          <w:sz w:val="24"/>
        </w:rPr>
      </w:pPr>
      <w:r>
        <w:rPr>
          <w:rFonts w:ascii="黑体" w:eastAsia="黑体" w:hint="eastAsia"/>
          <w:sz w:val="24"/>
        </w:rPr>
        <w:t>异常恶劣的气候条件</w:t>
      </w:r>
    </w:p>
    <w:p>
      <w:pPr>
        <w:pStyle w:val="ListParagraph"/>
        <w:numPr>
          <w:ilvl w:val="2"/>
          <w:numId w:val="38"/>
        </w:numPr>
        <w:tabs>
          <w:tab w:pos="1429" w:val="left" w:leader="none"/>
        </w:tabs>
        <w:spacing w:line="362" w:lineRule="auto" w:before="158" w:after="0"/>
        <w:ind w:left="226" w:right="1342" w:firstLine="480"/>
        <w:jc w:val="both"/>
        <w:rPr>
          <w:sz w:val="24"/>
        </w:rPr>
      </w:pPr>
      <w:r>
        <w:rPr>
          <w:sz w:val="24"/>
        </w:rPr>
        <w:t>当工程所在地发生危及施工安全的异常恶劣气候时，发包人和承包人应按本</w:t>
      </w:r>
      <w:r>
        <w:rPr>
          <w:spacing w:val="-7"/>
          <w:sz w:val="24"/>
        </w:rPr>
        <w:t>合同通用合同条款第 </w:t>
      </w:r>
      <w:r>
        <w:rPr>
          <w:rFonts w:ascii="Calibri" w:eastAsia="Calibri"/>
          <w:sz w:val="24"/>
        </w:rPr>
        <w:t>12</w:t>
      </w:r>
      <w:r>
        <w:rPr>
          <w:rFonts w:ascii="Calibri" w:eastAsia="Calibri"/>
          <w:spacing w:val="3"/>
          <w:sz w:val="24"/>
        </w:rPr>
        <w:t> </w:t>
      </w:r>
      <w:r>
        <w:rPr>
          <w:spacing w:val="-11"/>
          <w:sz w:val="24"/>
        </w:rPr>
        <w:t>条的约定，及时采取暂停施工或部分暂停施工措施。异常恶劣气候条件解除后，承包人应及时安排复工。</w:t>
      </w:r>
    </w:p>
    <w:p>
      <w:pPr>
        <w:pStyle w:val="ListParagraph"/>
        <w:numPr>
          <w:ilvl w:val="2"/>
          <w:numId w:val="38"/>
        </w:numPr>
        <w:tabs>
          <w:tab w:pos="1429" w:val="left" w:leader="none"/>
        </w:tabs>
        <w:spacing w:line="374" w:lineRule="auto" w:before="3" w:after="0"/>
        <w:ind w:left="226" w:right="1342" w:firstLine="480"/>
        <w:jc w:val="both"/>
        <w:rPr>
          <w:sz w:val="24"/>
        </w:rPr>
      </w:pPr>
      <w:r>
        <w:rPr>
          <w:sz w:val="24"/>
        </w:rPr>
        <w:t>异常恶劣气候条件造成的工期延误和工程损坏，应由发包人与承包人参照本</w:t>
      </w:r>
      <w:r>
        <w:rPr>
          <w:spacing w:val="-7"/>
          <w:sz w:val="24"/>
        </w:rPr>
        <w:t>合同通用合同条款第 </w:t>
      </w:r>
      <w:r>
        <w:rPr>
          <w:rFonts w:ascii="Calibri" w:eastAsia="Calibri"/>
          <w:sz w:val="24"/>
        </w:rPr>
        <w:t>21.3</w:t>
      </w:r>
      <w:r>
        <w:rPr>
          <w:rFonts w:ascii="Calibri" w:eastAsia="Calibri"/>
          <w:spacing w:val="4"/>
          <w:sz w:val="24"/>
        </w:rPr>
        <w:t> </w:t>
      </w:r>
      <w:r>
        <w:rPr>
          <w:sz w:val="24"/>
        </w:rPr>
        <w:t>款的约定协商处理。</w:t>
      </w:r>
    </w:p>
    <w:p>
      <w:pPr>
        <w:pStyle w:val="ListParagraph"/>
        <w:numPr>
          <w:ilvl w:val="2"/>
          <w:numId w:val="38"/>
        </w:numPr>
        <w:tabs>
          <w:tab w:pos="1369" w:val="left" w:leader="none"/>
        </w:tabs>
        <w:spacing w:line="294" w:lineRule="exact" w:before="0" w:after="0"/>
        <w:ind w:left="1368" w:right="0" w:hanging="662"/>
        <w:jc w:val="both"/>
        <w:rPr>
          <w:sz w:val="24"/>
        </w:rPr>
      </w:pPr>
      <w:r>
        <w:rPr>
          <w:sz w:val="24"/>
        </w:rPr>
        <w:t>本合同工程界定异常恶劣气候条件的范围在专用合同条款中约定。</w:t>
      </w:r>
    </w:p>
    <w:p>
      <w:pPr>
        <w:pStyle w:val="ListParagraph"/>
        <w:numPr>
          <w:ilvl w:val="1"/>
          <w:numId w:val="38"/>
        </w:numPr>
        <w:tabs>
          <w:tab w:pos="1067" w:val="left" w:leader="none"/>
          <w:tab w:pos="1068" w:val="left" w:leader="none"/>
        </w:tabs>
        <w:spacing w:line="240" w:lineRule="auto" w:before="158" w:after="0"/>
        <w:ind w:left="1068" w:right="0" w:hanging="842"/>
        <w:jc w:val="left"/>
        <w:rPr>
          <w:rFonts w:ascii="黑体" w:eastAsia="黑体" w:hint="eastAsia"/>
          <w:sz w:val="24"/>
        </w:rPr>
      </w:pPr>
      <w:r>
        <w:rPr>
          <w:rFonts w:ascii="黑体" w:eastAsia="黑体" w:hint="eastAsia"/>
          <w:sz w:val="24"/>
        </w:rPr>
        <w:t>承包人的工期延误</w:t>
      </w:r>
    </w:p>
    <w:p>
      <w:pPr>
        <w:pStyle w:val="BodyText"/>
        <w:spacing w:line="367" w:lineRule="auto" w:before="158"/>
        <w:ind w:left="226" w:right="1343" w:firstLine="480"/>
        <w:jc w:val="both"/>
      </w:pPr>
      <w:r>
        <w:rPr/>
        <w:t>由于承包人原因，未能按合同进度计划完成工作，或监理人认为承包人施工进度不能满足合同工期要求的，承包人应采取措施加快进度，并承担加快进度所增加的费用。由于承包人原因造成工期延误，承包人应支付逾期竣工违约金。逾期竣工违约金的计算方法在专用合同条款中约定。承包人支付逾期竣工违约金，不免除承包人完成工程及修补缺陷的义务。</w:t>
      </w:r>
    </w:p>
    <w:p>
      <w:pPr>
        <w:spacing w:after="0" w:line="367" w:lineRule="auto"/>
        <w:jc w:val="both"/>
        <w:sectPr>
          <w:pgSz w:w="11910" w:h="16850"/>
          <w:pgMar w:header="911" w:footer="0" w:top="1380" w:bottom="280" w:left="1200" w:right="0"/>
        </w:sectPr>
      </w:pPr>
    </w:p>
    <w:p>
      <w:pPr>
        <w:pStyle w:val="BodyText"/>
        <w:spacing w:before="3"/>
        <w:rPr>
          <w:sz w:val="8"/>
        </w:rPr>
      </w:pPr>
    </w:p>
    <w:p>
      <w:pPr>
        <w:pStyle w:val="Heading6"/>
        <w:numPr>
          <w:ilvl w:val="0"/>
          <w:numId w:val="38"/>
        </w:numPr>
        <w:tabs>
          <w:tab w:pos="618" w:val="left" w:leader="none"/>
        </w:tabs>
        <w:spacing w:line="240" w:lineRule="auto" w:before="65" w:after="0"/>
        <w:ind w:left="617" w:right="0" w:hanging="392"/>
        <w:jc w:val="left"/>
      </w:pPr>
      <w:bookmarkStart w:name="12暂停施工" w:id="88"/>
      <w:bookmarkEnd w:id="88"/>
      <w:r>
        <w:rPr>
          <w:b w:val="0"/>
        </w:rPr>
      </w:r>
      <w:bookmarkStart w:name="12暂停施工" w:id="89"/>
      <w:bookmarkEnd w:id="89"/>
      <w:r>
        <w:rPr/>
        <w:t>暂停施工</w:t>
      </w:r>
    </w:p>
    <w:p>
      <w:pPr>
        <w:pStyle w:val="BodyText"/>
        <w:spacing w:before="7"/>
        <w:rPr>
          <w:rFonts w:ascii="黑体"/>
          <w:b/>
          <w:sz w:val="39"/>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承包人暂停施工的责任</w:t>
      </w:r>
    </w:p>
    <w:p>
      <w:pPr>
        <w:pStyle w:val="BodyText"/>
        <w:spacing w:before="173"/>
        <w:ind w:left="707"/>
      </w:pPr>
      <w:r>
        <w:rPr/>
        <w:t>因下列暂停施工增加的费用和(或)工期延误由承包人承担：</w:t>
      </w:r>
    </w:p>
    <w:p>
      <w:pPr>
        <w:pStyle w:val="ListParagraph"/>
        <w:numPr>
          <w:ilvl w:val="0"/>
          <w:numId w:val="42"/>
        </w:numPr>
        <w:tabs>
          <w:tab w:pos="978" w:val="left" w:leader="none"/>
        </w:tabs>
        <w:spacing w:line="240" w:lineRule="auto" w:before="158" w:after="0"/>
        <w:ind w:left="978" w:right="0" w:hanging="271"/>
        <w:jc w:val="left"/>
        <w:rPr>
          <w:sz w:val="24"/>
        </w:rPr>
      </w:pPr>
      <w:r>
        <w:rPr>
          <w:sz w:val="24"/>
        </w:rPr>
        <w:t>承包人违约引起的暂停施工；</w:t>
      </w:r>
    </w:p>
    <w:p>
      <w:pPr>
        <w:pStyle w:val="ListParagraph"/>
        <w:numPr>
          <w:ilvl w:val="0"/>
          <w:numId w:val="42"/>
        </w:numPr>
        <w:tabs>
          <w:tab w:pos="978" w:val="left" w:leader="none"/>
        </w:tabs>
        <w:spacing w:line="362" w:lineRule="auto" w:before="158" w:after="0"/>
        <w:ind w:left="707" w:right="2997" w:firstLine="0"/>
        <w:jc w:val="left"/>
        <w:rPr>
          <w:sz w:val="24"/>
        </w:rPr>
      </w:pPr>
      <w:r>
        <w:rPr/>
        <w:drawing>
          <wp:anchor distT="0" distB="0" distL="0" distR="0" allowOverlap="1" layoutInCell="1" locked="0" behindDoc="1" simplePos="0" relativeHeight="234756096">
            <wp:simplePos x="0" y="0"/>
            <wp:positionH relativeFrom="page">
              <wp:posOffset>992771</wp:posOffset>
            </wp:positionH>
            <wp:positionV relativeFrom="paragraph">
              <wp:posOffset>272548</wp:posOffset>
            </wp:positionV>
            <wp:extent cx="5578970" cy="5494141"/>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由于承包人原因为工程合理施工和安全保障所必需的暂停施工； </w:t>
      </w:r>
      <w:r>
        <w:rPr>
          <w:rFonts w:ascii="Calibri" w:eastAsia="Calibri"/>
          <w:sz w:val="24"/>
        </w:rPr>
        <w:t>(3)</w:t>
      </w:r>
      <w:r>
        <w:rPr>
          <w:sz w:val="24"/>
        </w:rPr>
        <w:t>承包人擅自暂停施工；</w:t>
      </w:r>
    </w:p>
    <w:p>
      <w:pPr>
        <w:pStyle w:val="ListParagraph"/>
        <w:numPr>
          <w:ilvl w:val="0"/>
          <w:numId w:val="43"/>
        </w:numPr>
        <w:tabs>
          <w:tab w:pos="978" w:val="left" w:leader="none"/>
        </w:tabs>
        <w:spacing w:line="240" w:lineRule="auto" w:before="2" w:after="0"/>
        <w:ind w:left="978" w:right="0" w:hanging="271"/>
        <w:jc w:val="left"/>
        <w:rPr>
          <w:sz w:val="24"/>
        </w:rPr>
      </w:pPr>
      <w:r>
        <w:rPr>
          <w:sz w:val="24"/>
        </w:rPr>
        <w:t>承包人其他原因引起的暂停施工；</w:t>
      </w:r>
    </w:p>
    <w:p>
      <w:pPr>
        <w:pStyle w:val="ListParagraph"/>
        <w:numPr>
          <w:ilvl w:val="0"/>
          <w:numId w:val="43"/>
        </w:numPr>
        <w:tabs>
          <w:tab w:pos="978" w:val="left" w:leader="none"/>
        </w:tabs>
        <w:spacing w:line="240" w:lineRule="auto" w:before="173" w:after="0"/>
        <w:ind w:left="978" w:right="0" w:hanging="271"/>
        <w:jc w:val="left"/>
        <w:rPr>
          <w:sz w:val="24"/>
        </w:rPr>
      </w:pPr>
      <w:r>
        <w:rPr>
          <w:sz w:val="24"/>
        </w:rPr>
        <w:t>专用合同条款约定由承包人承担的其他暂停施工。</w:t>
      </w:r>
    </w:p>
    <w:p>
      <w:pPr>
        <w:pStyle w:val="ListParagraph"/>
        <w:numPr>
          <w:ilvl w:val="1"/>
          <w:numId w:val="38"/>
        </w:numPr>
        <w:tabs>
          <w:tab w:pos="1067" w:val="left" w:leader="none"/>
          <w:tab w:pos="1068" w:val="left" w:leader="none"/>
        </w:tabs>
        <w:spacing w:line="240" w:lineRule="auto" w:before="157" w:after="0"/>
        <w:ind w:left="1068" w:right="0" w:hanging="842"/>
        <w:jc w:val="left"/>
        <w:rPr>
          <w:rFonts w:ascii="黑体" w:eastAsia="黑体" w:hint="eastAsia"/>
          <w:sz w:val="24"/>
        </w:rPr>
      </w:pPr>
      <w:r>
        <w:rPr>
          <w:rFonts w:ascii="黑体" w:eastAsia="黑体" w:hint="eastAsia"/>
          <w:sz w:val="24"/>
        </w:rPr>
        <w:t>发包人暂停施工的责任</w:t>
      </w:r>
    </w:p>
    <w:p>
      <w:pPr>
        <w:pStyle w:val="BodyText"/>
        <w:spacing w:line="362" w:lineRule="auto" w:before="159"/>
        <w:ind w:left="226" w:right="1342" w:firstLine="600"/>
        <w:jc w:val="both"/>
      </w:pPr>
      <w:r>
        <w:rPr>
          <w:spacing w:val="-6"/>
        </w:rPr>
        <w:t>由于发包人原因引起的暂停施工造成工期延误的，承包人有权要求发包人延长工期和(或)增加费用，并支付合理利润。属于下列任何一种情况引起的暂停施工，均为发包人的责任：</w:t>
      </w:r>
    </w:p>
    <w:p>
      <w:pPr>
        <w:pStyle w:val="ListParagraph"/>
        <w:numPr>
          <w:ilvl w:val="0"/>
          <w:numId w:val="44"/>
        </w:numPr>
        <w:tabs>
          <w:tab w:pos="1069" w:val="left" w:leader="none"/>
        </w:tabs>
        <w:spacing w:line="240" w:lineRule="auto" w:before="18" w:after="0"/>
        <w:ind w:left="1068" w:right="0" w:hanging="362"/>
        <w:jc w:val="left"/>
        <w:rPr>
          <w:sz w:val="24"/>
        </w:rPr>
      </w:pPr>
      <w:r>
        <w:rPr>
          <w:spacing w:val="-1"/>
          <w:sz w:val="24"/>
        </w:rPr>
        <w:t>由于发包人违约引起的暂停施工；</w:t>
      </w:r>
      <w:r>
        <w:rPr>
          <w:sz w:val="24"/>
        </w:rPr>
        <w:t> </w:t>
      </w:r>
    </w:p>
    <w:p>
      <w:pPr>
        <w:pStyle w:val="ListParagraph"/>
        <w:numPr>
          <w:ilvl w:val="0"/>
          <w:numId w:val="44"/>
        </w:numPr>
        <w:tabs>
          <w:tab w:pos="1069" w:val="left" w:leader="none"/>
        </w:tabs>
        <w:spacing w:line="240" w:lineRule="auto" w:before="158" w:after="0"/>
        <w:ind w:left="1068" w:right="0" w:hanging="362"/>
        <w:jc w:val="left"/>
        <w:rPr>
          <w:sz w:val="24"/>
        </w:rPr>
      </w:pPr>
      <w:r>
        <w:rPr>
          <w:spacing w:val="-1"/>
          <w:sz w:val="24"/>
        </w:rPr>
        <w:t>由于不可抗力的自然或社会因素引起的暂停施工；</w:t>
      </w:r>
      <w:r>
        <w:rPr>
          <w:sz w:val="24"/>
        </w:rPr>
        <w:t> </w:t>
      </w:r>
    </w:p>
    <w:p>
      <w:pPr>
        <w:pStyle w:val="ListParagraph"/>
        <w:numPr>
          <w:ilvl w:val="0"/>
          <w:numId w:val="44"/>
        </w:numPr>
        <w:tabs>
          <w:tab w:pos="1069" w:val="left" w:leader="none"/>
        </w:tabs>
        <w:spacing w:line="240" w:lineRule="auto" w:before="157" w:after="0"/>
        <w:ind w:left="1068" w:right="0" w:hanging="362"/>
        <w:jc w:val="left"/>
        <w:rPr>
          <w:sz w:val="24"/>
        </w:rPr>
      </w:pPr>
      <w:r>
        <w:rPr>
          <w:spacing w:val="-1"/>
          <w:sz w:val="24"/>
        </w:rPr>
        <w:t>专用合同条款中约定的其它由于发包人原因引起的暂停施工。</w:t>
      </w:r>
    </w:p>
    <w:p>
      <w:pPr>
        <w:pStyle w:val="ListParagraph"/>
        <w:numPr>
          <w:ilvl w:val="1"/>
          <w:numId w:val="38"/>
        </w:numPr>
        <w:tabs>
          <w:tab w:pos="1067" w:val="left" w:leader="none"/>
          <w:tab w:pos="1068" w:val="left" w:leader="none"/>
        </w:tabs>
        <w:spacing w:line="240" w:lineRule="auto" w:before="159" w:after="0"/>
        <w:ind w:left="1068" w:right="0" w:hanging="842"/>
        <w:jc w:val="left"/>
        <w:rPr>
          <w:rFonts w:ascii="黑体" w:eastAsia="黑体" w:hint="eastAsia"/>
          <w:sz w:val="24"/>
        </w:rPr>
      </w:pPr>
      <w:r>
        <w:rPr>
          <w:rFonts w:ascii="黑体" w:eastAsia="黑体" w:hint="eastAsia"/>
          <w:sz w:val="24"/>
        </w:rPr>
        <w:t>监理人暂停施工指示</w:t>
      </w:r>
    </w:p>
    <w:p>
      <w:pPr>
        <w:pStyle w:val="ListParagraph"/>
        <w:numPr>
          <w:ilvl w:val="2"/>
          <w:numId w:val="38"/>
        </w:numPr>
        <w:tabs>
          <w:tab w:pos="1429" w:val="left" w:leader="none"/>
        </w:tabs>
        <w:spacing w:line="369" w:lineRule="auto" w:before="157" w:after="0"/>
        <w:ind w:left="226" w:right="1343" w:firstLine="480"/>
        <w:jc w:val="both"/>
        <w:rPr>
          <w:sz w:val="24"/>
        </w:rPr>
      </w:pPr>
      <w:r>
        <w:rPr>
          <w:sz w:val="24"/>
        </w:rPr>
        <w:t>监理人认为有必要时，可向承包人作出暂停施工的指示，承包人应按监理人指示暂停施工。不论由于何种原因引起的暂停施工，暂停施工期间承包人应负责妥善保护工程并提供安全保障。</w:t>
      </w:r>
    </w:p>
    <w:p>
      <w:pPr>
        <w:pStyle w:val="ListParagraph"/>
        <w:numPr>
          <w:ilvl w:val="2"/>
          <w:numId w:val="38"/>
        </w:numPr>
        <w:tabs>
          <w:tab w:pos="1429" w:val="left" w:leader="none"/>
        </w:tabs>
        <w:spacing w:line="362" w:lineRule="auto" w:before="0" w:after="0"/>
        <w:ind w:left="226" w:right="1343" w:firstLine="480"/>
        <w:jc w:val="both"/>
        <w:rPr>
          <w:sz w:val="24"/>
        </w:rPr>
      </w:pPr>
      <w:r>
        <w:rPr>
          <w:sz w:val="24"/>
        </w:rPr>
        <w:t>由于发包人的原因发生暂停施工的紧急倩况，且监理人未及时下达暂停工示的，承包人可先暂停旅工，并及时向监理人提出暂停施工的书面请求。监理人应在接到</w:t>
      </w:r>
      <w:r>
        <w:rPr>
          <w:spacing w:val="-9"/>
          <w:sz w:val="24"/>
        </w:rPr>
        <w:t>书面请求后的 </w:t>
      </w:r>
      <w:r>
        <w:rPr>
          <w:rFonts w:ascii="Calibri" w:eastAsia="Calibri"/>
          <w:sz w:val="24"/>
        </w:rPr>
        <w:t>24</w:t>
      </w:r>
      <w:r>
        <w:rPr>
          <w:rFonts w:ascii="Calibri" w:eastAsia="Calibri"/>
          <w:spacing w:val="4"/>
          <w:sz w:val="24"/>
        </w:rPr>
        <w:t> </w:t>
      </w:r>
      <w:r>
        <w:rPr>
          <w:sz w:val="24"/>
        </w:rPr>
        <w:t>小时内予以答复，逾期未答复的，视为同意承包人的暂停施工请求。</w:t>
      </w:r>
    </w:p>
    <w:p>
      <w:pPr>
        <w:pStyle w:val="ListParagraph"/>
        <w:numPr>
          <w:ilvl w:val="1"/>
          <w:numId w:val="38"/>
        </w:numPr>
        <w:tabs>
          <w:tab w:pos="1067" w:val="left" w:leader="none"/>
          <w:tab w:pos="1068" w:val="left" w:leader="none"/>
        </w:tabs>
        <w:spacing w:line="240" w:lineRule="auto" w:before="9" w:after="0"/>
        <w:ind w:left="1068" w:right="0" w:hanging="842"/>
        <w:jc w:val="left"/>
        <w:rPr>
          <w:rFonts w:ascii="黑体" w:eastAsia="黑体" w:hint="eastAsia"/>
          <w:sz w:val="24"/>
        </w:rPr>
      </w:pPr>
      <w:r>
        <w:rPr>
          <w:rFonts w:ascii="黑体" w:eastAsia="黑体" w:hint="eastAsia"/>
          <w:sz w:val="24"/>
        </w:rPr>
        <w:t>暂停施工后的复工</w:t>
      </w:r>
    </w:p>
    <w:p>
      <w:pPr>
        <w:pStyle w:val="ListParagraph"/>
        <w:numPr>
          <w:ilvl w:val="2"/>
          <w:numId w:val="38"/>
        </w:numPr>
        <w:tabs>
          <w:tab w:pos="1429" w:val="left" w:leader="none"/>
        </w:tabs>
        <w:spacing w:line="362" w:lineRule="auto" w:before="158" w:after="0"/>
        <w:ind w:left="226" w:right="1343" w:firstLine="480"/>
        <w:jc w:val="both"/>
        <w:rPr>
          <w:sz w:val="24"/>
        </w:rPr>
      </w:pPr>
      <w:r>
        <w:rPr>
          <w:sz w:val="24"/>
        </w:rPr>
        <w:t>暂停施工后，监理人应与发包人和承包人协商，采取有效措施积极消除暂停施工的影响。当工程具备复工条件时，监理人应立即向承包人发出复工通知。承包人收到复工通知后，应在监理人指定的期限内复工。</w:t>
      </w:r>
    </w:p>
    <w:p>
      <w:pPr>
        <w:pStyle w:val="ListParagraph"/>
        <w:numPr>
          <w:ilvl w:val="2"/>
          <w:numId w:val="38"/>
        </w:numPr>
        <w:tabs>
          <w:tab w:pos="1429" w:val="left" w:leader="none"/>
        </w:tabs>
        <w:spacing w:line="369" w:lineRule="auto" w:before="4" w:after="0"/>
        <w:ind w:left="226" w:right="1342" w:firstLine="480"/>
        <w:jc w:val="both"/>
        <w:rPr>
          <w:sz w:val="24"/>
        </w:rPr>
      </w:pPr>
      <w:r>
        <w:rPr>
          <w:sz w:val="24"/>
        </w:rPr>
        <w:t>承包人无故拖延和拒绝复工的，由此增加的费用和工期延误由承包人承担； </w:t>
      </w:r>
      <w:r>
        <w:rPr>
          <w:spacing w:val="-1"/>
          <w:sz w:val="24"/>
        </w:rPr>
        <w:t>因发包人原因无法按时复工的，承包人有权要求发包人延长工期和(或)增加费用，并支付合理利润。</w:t>
      </w:r>
    </w:p>
    <w:p>
      <w:pPr>
        <w:spacing w:after="0" w:line="369" w:lineRule="auto"/>
        <w:jc w:val="both"/>
        <w:rPr>
          <w:sz w:val="24"/>
        </w:rPr>
        <w:sectPr>
          <w:pgSz w:w="11910" w:h="16850"/>
          <w:pgMar w:header="911" w:footer="0" w:top="1380" w:bottom="280" w:left="1200" w:right="0"/>
        </w:sectPr>
      </w:pPr>
    </w:p>
    <w:p>
      <w:pPr>
        <w:pStyle w:val="ListParagraph"/>
        <w:numPr>
          <w:ilvl w:val="1"/>
          <w:numId w:val="38"/>
        </w:numPr>
        <w:tabs>
          <w:tab w:pos="1067" w:val="left" w:leader="none"/>
          <w:tab w:pos="1068" w:val="left" w:leader="none"/>
        </w:tabs>
        <w:spacing w:line="240" w:lineRule="auto" w:before="135" w:after="0"/>
        <w:ind w:left="1068" w:right="0" w:hanging="842"/>
        <w:jc w:val="left"/>
        <w:rPr>
          <w:rFonts w:ascii="黑体" w:eastAsia="黑体" w:hint="eastAsia"/>
          <w:sz w:val="24"/>
        </w:rPr>
      </w:pPr>
      <w:r>
        <w:rPr>
          <w:rFonts w:ascii="黑体" w:eastAsia="黑体" w:hint="eastAsia"/>
          <w:spacing w:val="-9"/>
          <w:sz w:val="24"/>
        </w:rPr>
        <w:t>暂停施工持续 </w:t>
      </w:r>
      <w:r>
        <w:rPr>
          <w:rFonts w:ascii="黑体" w:eastAsia="黑体" w:hint="eastAsia"/>
          <w:sz w:val="24"/>
        </w:rPr>
        <w:t>56</w:t>
      </w:r>
      <w:r>
        <w:rPr>
          <w:rFonts w:ascii="黑体" w:eastAsia="黑体" w:hint="eastAsia"/>
          <w:spacing w:val="-15"/>
          <w:sz w:val="24"/>
        </w:rPr>
        <w:t> 天以上</w:t>
      </w:r>
    </w:p>
    <w:p>
      <w:pPr>
        <w:pStyle w:val="ListParagraph"/>
        <w:numPr>
          <w:ilvl w:val="2"/>
          <w:numId w:val="38"/>
        </w:numPr>
        <w:tabs>
          <w:tab w:pos="1369" w:val="left" w:leader="none"/>
        </w:tabs>
        <w:spacing w:line="367" w:lineRule="auto" w:before="158" w:after="0"/>
        <w:ind w:left="226" w:right="1222" w:firstLine="480"/>
        <w:jc w:val="left"/>
        <w:rPr>
          <w:sz w:val="24"/>
        </w:rPr>
      </w:pPr>
      <w:r>
        <w:rPr/>
        <w:drawing>
          <wp:anchor distT="0" distB="0" distL="0" distR="0" allowOverlap="1" layoutInCell="1" locked="0" behindDoc="1" simplePos="0" relativeHeight="234757120">
            <wp:simplePos x="0" y="0"/>
            <wp:positionH relativeFrom="page">
              <wp:posOffset>992771</wp:posOffset>
            </wp:positionH>
            <wp:positionV relativeFrom="paragraph">
              <wp:posOffset>1445012</wp:posOffset>
            </wp:positionV>
            <wp:extent cx="5578970" cy="5494141"/>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5"/>
          <w:sz w:val="24"/>
        </w:rPr>
        <w:t>监理人发出暂停施工指示后 </w:t>
      </w:r>
      <w:r>
        <w:rPr>
          <w:rFonts w:ascii="Calibri" w:eastAsia="Calibri"/>
          <w:sz w:val="24"/>
        </w:rPr>
        <w:t>56</w:t>
      </w:r>
      <w:r>
        <w:rPr>
          <w:rFonts w:ascii="Calibri" w:eastAsia="Calibri"/>
          <w:spacing w:val="4"/>
          <w:sz w:val="24"/>
        </w:rPr>
        <w:t> </w:t>
      </w:r>
      <w:r>
        <w:rPr>
          <w:spacing w:val="-5"/>
          <w:sz w:val="24"/>
        </w:rPr>
        <w:t>天内未向承包人发出复工通知，除了该项停工</w:t>
      </w:r>
      <w:r>
        <w:rPr>
          <w:spacing w:val="-20"/>
          <w:sz w:val="24"/>
        </w:rPr>
        <w:t>属于第 </w:t>
      </w:r>
      <w:r>
        <w:rPr>
          <w:rFonts w:ascii="Calibri" w:eastAsia="Calibri"/>
          <w:sz w:val="24"/>
        </w:rPr>
        <w:t>12.1</w:t>
      </w:r>
      <w:r>
        <w:rPr>
          <w:rFonts w:ascii="Calibri" w:eastAsia="Calibri"/>
          <w:spacing w:val="3"/>
          <w:sz w:val="24"/>
        </w:rPr>
        <w:t> </w:t>
      </w:r>
      <w:r>
        <w:rPr>
          <w:spacing w:val="-7"/>
          <w:sz w:val="24"/>
        </w:rPr>
        <w:t>款的情况外，承包人可向监理人提交书面通知，要求监理人在收到书面通知</w:t>
      </w:r>
      <w:r>
        <w:rPr>
          <w:spacing w:val="-34"/>
          <w:sz w:val="24"/>
        </w:rPr>
        <w:t>后 </w:t>
      </w:r>
      <w:r>
        <w:rPr>
          <w:rFonts w:ascii="Calibri" w:eastAsia="Calibri"/>
          <w:sz w:val="24"/>
        </w:rPr>
        <w:t>28</w:t>
      </w:r>
      <w:r>
        <w:rPr>
          <w:rFonts w:ascii="Calibri" w:eastAsia="Calibri"/>
          <w:spacing w:val="3"/>
          <w:sz w:val="24"/>
        </w:rPr>
        <w:t> </w:t>
      </w:r>
      <w:r>
        <w:rPr>
          <w:sz w:val="24"/>
        </w:rPr>
        <w:t>天内准许已暂停施工的工程或其中一部分工程继续施工。如监理人逾期不予批准， </w:t>
      </w:r>
      <w:r>
        <w:rPr>
          <w:spacing w:val="-1"/>
          <w:sz w:val="24"/>
        </w:rPr>
        <w:t>则承包人可以通知监理人，将工程受影响的部分视为按第 </w:t>
      </w:r>
      <w:r>
        <w:rPr>
          <w:rFonts w:ascii="Calibri" w:eastAsia="Calibri"/>
          <w:sz w:val="24"/>
        </w:rPr>
        <w:t>15.1</w:t>
      </w:r>
      <w:r>
        <w:rPr>
          <w:sz w:val="24"/>
        </w:rPr>
        <w:t>(</w:t>
      </w:r>
      <w:r>
        <w:rPr>
          <w:rFonts w:ascii="Calibri" w:eastAsia="Calibri"/>
          <w:sz w:val="24"/>
        </w:rPr>
        <w:t>1</w:t>
      </w:r>
      <w:r>
        <w:rPr>
          <w:sz w:val="24"/>
        </w:rPr>
        <w:t>)项的可取消工作。如</w:t>
      </w:r>
      <w:r>
        <w:rPr>
          <w:spacing w:val="-3"/>
          <w:sz w:val="24"/>
        </w:rPr>
        <w:t>暂停施工影响到整个工程，可视为发包人违约，应按第 </w:t>
      </w:r>
      <w:r>
        <w:rPr>
          <w:rFonts w:ascii="Calibri" w:eastAsia="Calibri"/>
          <w:sz w:val="24"/>
        </w:rPr>
        <w:t>20.2</w:t>
      </w:r>
      <w:r>
        <w:rPr>
          <w:rFonts w:ascii="Calibri" w:eastAsia="Calibri"/>
          <w:spacing w:val="4"/>
          <w:sz w:val="24"/>
        </w:rPr>
        <w:t> </w:t>
      </w:r>
      <w:r>
        <w:rPr>
          <w:sz w:val="24"/>
        </w:rPr>
        <w:t>款的规定办理。</w:t>
      </w:r>
    </w:p>
    <w:p>
      <w:pPr>
        <w:pStyle w:val="ListParagraph"/>
        <w:numPr>
          <w:ilvl w:val="2"/>
          <w:numId w:val="38"/>
        </w:numPr>
        <w:tabs>
          <w:tab w:pos="1369" w:val="left" w:leader="none"/>
        </w:tabs>
        <w:spacing w:line="362" w:lineRule="auto" w:before="0" w:after="0"/>
        <w:ind w:left="226" w:right="1335" w:firstLine="480"/>
        <w:jc w:val="both"/>
        <w:rPr>
          <w:sz w:val="24"/>
        </w:rPr>
      </w:pPr>
      <w:r>
        <w:rPr>
          <w:spacing w:val="-3"/>
          <w:sz w:val="24"/>
        </w:rPr>
        <w:t>由于承包人责任引起的暂停施工，如承包人在收到监理人暂停施工指示后 </w:t>
      </w:r>
      <w:r>
        <w:rPr>
          <w:rFonts w:ascii="Calibri" w:eastAsia="Calibri"/>
          <w:sz w:val="24"/>
        </w:rPr>
        <w:t>56 </w:t>
      </w:r>
      <w:r>
        <w:rPr>
          <w:spacing w:val="-5"/>
          <w:sz w:val="24"/>
        </w:rPr>
        <w:t>天内不认真采取有效的复工措施，造成工期延误，可视为承包人违约，应按第 </w:t>
      </w:r>
      <w:r>
        <w:rPr>
          <w:rFonts w:ascii="Calibri" w:eastAsia="Calibri"/>
          <w:sz w:val="24"/>
        </w:rPr>
        <w:t>20.1</w:t>
      </w:r>
      <w:r>
        <w:rPr>
          <w:rFonts w:ascii="Calibri" w:eastAsia="Calibri"/>
          <w:spacing w:val="1"/>
          <w:sz w:val="24"/>
        </w:rPr>
        <w:t> </w:t>
      </w:r>
      <w:r>
        <w:rPr>
          <w:sz w:val="24"/>
        </w:rPr>
        <w:t>款的规定办理。</w:t>
      </w:r>
    </w:p>
    <w:p>
      <w:pPr>
        <w:pStyle w:val="BodyText"/>
        <w:spacing w:before="6"/>
      </w:pPr>
    </w:p>
    <w:p>
      <w:pPr>
        <w:pStyle w:val="Heading6"/>
        <w:numPr>
          <w:ilvl w:val="0"/>
          <w:numId w:val="38"/>
        </w:numPr>
        <w:tabs>
          <w:tab w:pos="618" w:val="left" w:leader="none"/>
        </w:tabs>
        <w:spacing w:line="240" w:lineRule="auto" w:before="0" w:after="0"/>
        <w:ind w:left="617" w:right="0" w:hanging="392"/>
        <w:jc w:val="left"/>
      </w:pPr>
      <w:bookmarkStart w:name="13工程质量" w:id="90"/>
      <w:bookmarkEnd w:id="90"/>
      <w:r>
        <w:rPr>
          <w:b w:val="0"/>
        </w:rPr>
      </w:r>
      <w:bookmarkStart w:name="13工程质量" w:id="91"/>
      <w:bookmarkEnd w:id="91"/>
      <w:r>
        <w:rPr/>
        <w:t>工程质量</w:t>
      </w:r>
    </w:p>
    <w:p>
      <w:pPr>
        <w:pStyle w:val="BodyText"/>
        <w:spacing w:before="9"/>
        <w:rPr>
          <w:rFonts w:ascii="黑体"/>
          <w:b/>
          <w:sz w:val="40"/>
        </w:rPr>
      </w:pPr>
    </w:p>
    <w:p>
      <w:pPr>
        <w:pStyle w:val="ListParagraph"/>
        <w:numPr>
          <w:ilvl w:val="1"/>
          <w:numId w:val="38"/>
        </w:numPr>
        <w:tabs>
          <w:tab w:pos="1067" w:val="left" w:leader="none"/>
          <w:tab w:pos="1068" w:val="left" w:leader="none"/>
        </w:tabs>
        <w:spacing w:line="240" w:lineRule="auto" w:before="1" w:after="0"/>
        <w:ind w:left="1068" w:right="0" w:hanging="842"/>
        <w:jc w:val="left"/>
        <w:rPr>
          <w:rFonts w:ascii="黑体" w:eastAsia="黑体" w:hint="eastAsia"/>
          <w:sz w:val="24"/>
        </w:rPr>
      </w:pPr>
      <w:r>
        <w:rPr>
          <w:rFonts w:ascii="黑体" w:eastAsia="黑体" w:hint="eastAsia"/>
          <w:sz w:val="24"/>
        </w:rPr>
        <w:t>工程质量要求</w:t>
      </w:r>
    </w:p>
    <w:p>
      <w:pPr>
        <w:pStyle w:val="ListParagraph"/>
        <w:numPr>
          <w:ilvl w:val="2"/>
          <w:numId w:val="38"/>
        </w:numPr>
        <w:tabs>
          <w:tab w:pos="1353" w:val="left" w:leader="none"/>
        </w:tabs>
        <w:spacing w:line="240" w:lineRule="auto" w:before="157" w:after="0"/>
        <w:ind w:left="1353" w:right="0" w:hanging="661"/>
        <w:jc w:val="left"/>
        <w:rPr>
          <w:sz w:val="24"/>
        </w:rPr>
      </w:pPr>
      <w:r>
        <w:rPr>
          <w:sz w:val="24"/>
        </w:rPr>
        <w:t>工程质量验收按合同约定验收标准执行。</w:t>
      </w:r>
    </w:p>
    <w:p>
      <w:pPr>
        <w:pStyle w:val="ListParagraph"/>
        <w:numPr>
          <w:ilvl w:val="2"/>
          <w:numId w:val="38"/>
        </w:numPr>
        <w:tabs>
          <w:tab w:pos="1414" w:val="left" w:leader="none"/>
        </w:tabs>
        <w:spacing w:line="374" w:lineRule="auto" w:before="158" w:after="0"/>
        <w:ind w:left="226" w:right="1344" w:firstLine="465"/>
        <w:jc w:val="left"/>
        <w:rPr>
          <w:sz w:val="24"/>
        </w:rPr>
      </w:pPr>
      <w:r>
        <w:rPr>
          <w:sz w:val="24"/>
        </w:rPr>
        <w:t>因承包人原因造成工程质量达不到合同约定验收标准的，监理人有权要求承</w:t>
      </w:r>
      <w:r>
        <w:rPr>
          <w:spacing w:val="-1"/>
          <w:sz w:val="24"/>
        </w:rPr>
        <w:t>包人返工直至符合合同要求为止．由此造成的费用增加和(或)工期延误由承包人承担。</w:t>
      </w:r>
    </w:p>
    <w:p>
      <w:pPr>
        <w:pStyle w:val="ListParagraph"/>
        <w:numPr>
          <w:ilvl w:val="2"/>
          <w:numId w:val="38"/>
        </w:numPr>
        <w:tabs>
          <w:tab w:pos="1414" w:val="left" w:leader="none"/>
        </w:tabs>
        <w:spacing w:line="362" w:lineRule="auto" w:before="0" w:after="0"/>
        <w:ind w:left="226" w:right="1343" w:firstLine="465"/>
        <w:jc w:val="left"/>
        <w:rPr>
          <w:sz w:val="24"/>
        </w:rPr>
      </w:pPr>
      <w:r>
        <w:rPr>
          <w:sz w:val="24"/>
        </w:rPr>
        <w:t>因发包人原因造成工程质量达不到合同约定验收标准的，发包人应承担由于承包人返工造成的费用增加和(或)工期延误，并支付承包人合理利润。</w:t>
      </w: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承包人的质量管理</w:t>
      </w:r>
    </w:p>
    <w:p>
      <w:pPr>
        <w:pStyle w:val="ListParagraph"/>
        <w:numPr>
          <w:ilvl w:val="2"/>
          <w:numId w:val="38"/>
        </w:numPr>
        <w:tabs>
          <w:tab w:pos="1429" w:val="left" w:leader="none"/>
        </w:tabs>
        <w:spacing w:line="367" w:lineRule="auto" w:before="146" w:after="0"/>
        <w:ind w:left="226" w:right="1227" w:firstLine="480"/>
        <w:jc w:val="left"/>
        <w:rPr>
          <w:sz w:val="24"/>
        </w:rPr>
      </w:pPr>
      <w:r>
        <w:rPr>
          <w:sz w:val="24"/>
        </w:rPr>
        <w:t>承包人应在施工场地设置专门的质量检查机构，配备专职质量检查人员，建</w:t>
      </w:r>
      <w:r>
        <w:rPr>
          <w:spacing w:val="-11"/>
          <w:sz w:val="24"/>
        </w:rPr>
        <w:t>立完善的质量检查制度。承包人应按技术标准和要求(合同技术条款)约定的内容和期限， 编制工程质量保证措施文件，包括质量检查机构的组织和岗位责任、质量检查人员的组</w:t>
      </w:r>
      <w:r>
        <w:rPr>
          <w:spacing w:val="-12"/>
          <w:sz w:val="24"/>
        </w:rPr>
        <w:t>成、质量检查程序和实施细则等，提交监理人审批。监理人应在技术标准和要求(合同技术条款)规定的期限内批复承包人。</w:t>
      </w:r>
    </w:p>
    <w:p>
      <w:pPr>
        <w:pStyle w:val="ListParagraph"/>
        <w:numPr>
          <w:ilvl w:val="2"/>
          <w:numId w:val="38"/>
        </w:numPr>
        <w:tabs>
          <w:tab w:pos="1429" w:val="left" w:leader="none"/>
        </w:tabs>
        <w:spacing w:line="374" w:lineRule="auto" w:before="0" w:after="0"/>
        <w:ind w:left="226" w:right="1342" w:firstLine="480"/>
        <w:jc w:val="left"/>
        <w:rPr>
          <w:sz w:val="24"/>
        </w:rPr>
      </w:pPr>
      <w:r>
        <w:rPr>
          <w:sz w:val="24"/>
        </w:rPr>
        <w:t>承包人应加强对施工人员的质量教育和技术培训，定期考核施工人员的劳动技能严格执行规范和操作规程。</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承包人的质量检查</w:t>
      </w:r>
    </w:p>
    <w:p>
      <w:pPr>
        <w:pStyle w:val="BodyText"/>
        <w:spacing w:line="362" w:lineRule="auto" w:before="148"/>
        <w:ind w:left="226" w:right="1342" w:firstLine="480"/>
      </w:pPr>
      <w:r>
        <w:rPr/>
        <w:t>承包人应按合同约定对材料、工程设备以及工程的所有部位及其施工工艺进行全过程的质量检查和检验，并作详细记录，编制工程质量报表，报送监理人审查。</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监理人的质量检查</w:t>
      </w:r>
    </w:p>
    <w:p>
      <w:pPr>
        <w:spacing w:after="0" w:line="240" w:lineRule="auto"/>
        <w:jc w:val="left"/>
        <w:rPr>
          <w:rFonts w:ascii="黑体" w:eastAsia="黑体" w:hint="eastAsia"/>
          <w:sz w:val="24"/>
        </w:rPr>
        <w:sectPr>
          <w:pgSz w:w="11910" w:h="16850"/>
          <w:pgMar w:header="911" w:footer="0" w:top="1380" w:bottom="280" w:left="1200" w:right="0"/>
        </w:sectPr>
      </w:pPr>
    </w:p>
    <w:p>
      <w:pPr>
        <w:pStyle w:val="BodyText"/>
        <w:spacing w:line="364" w:lineRule="auto" w:before="135"/>
        <w:ind w:left="226" w:right="1313" w:firstLine="480"/>
        <w:jc w:val="both"/>
      </w:pPr>
      <w:r>
        <w:rPr/>
        <w:drawing>
          <wp:anchor distT="0" distB="0" distL="0" distR="0" allowOverlap="1" layoutInCell="1" locked="0" behindDoc="1" simplePos="0" relativeHeight="234758144">
            <wp:simplePos x="0" y="0"/>
            <wp:positionH relativeFrom="page">
              <wp:posOffset>992771</wp:posOffset>
            </wp:positionH>
            <wp:positionV relativeFrom="paragraph">
              <wp:posOffset>1725935</wp:posOffset>
            </wp:positionV>
            <wp:extent cx="5578970" cy="5494141"/>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6" cstate="print"/>
                    <a:stretch>
                      <a:fillRect/>
                    </a:stretch>
                  </pic:blipFill>
                  <pic:spPr>
                    <a:xfrm>
                      <a:off x="0" y="0"/>
                      <a:ext cx="5578970" cy="5494141"/>
                    </a:xfrm>
                    <a:prstGeom prst="rect">
                      <a:avLst/>
                    </a:prstGeom>
                  </pic:spPr>
                </pic:pic>
              </a:graphicData>
            </a:graphic>
          </wp:anchor>
        </w:drawing>
      </w:r>
      <w:r>
        <w:rPr/>
        <w:t>监理人有权对工程的所有部位及其施工工艺、材料和工程设备进行检查和检验。承包人应为监理人的检查和检验提供方便，包括监理人到施工场地，或制造、加工地点， 或合同约定的其他地方进行察看和查阅施工原始记录。承包人还应按监理人指示，进行施工场地取样实验、工程复核测量和设备性能检测，提供试验样品、提交试验报告和测</w:t>
      </w:r>
      <w:r>
        <w:rPr>
          <w:spacing w:val="-14"/>
        </w:rPr>
        <w:t>量成果以及监理人要求进行的其他工作。监理人的检查和检验，不免除承包人按合同约定应负的责任。</w:t>
      </w:r>
    </w:p>
    <w:p>
      <w:pPr>
        <w:pStyle w:val="ListParagraph"/>
        <w:numPr>
          <w:ilvl w:val="1"/>
          <w:numId w:val="38"/>
        </w:numPr>
        <w:tabs>
          <w:tab w:pos="1067" w:val="left" w:leader="none"/>
          <w:tab w:pos="1068" w:val="left" w:leader="none"/>
        </w:tabs>
        <w:spacing w:line="240" w:lineRule="auto" w:before="3" w:after="0"/>
        <w:ind w:left="1068" w:right="0" w:hanging="842"/>
        <w:jc w:val="left"/>
        <w:rPr>
          <w:rFonts w:ascii="黑体" w:eastAsia="黑体" w:hint="eastAsia"/>
          <w:sz w:val="24"/>
        </w:rPr>
      </w:pPr>
      <w:r>
        <w:rPr>
          <w:rFonts w:ascii="黑体" w:eastAsia="黑体" w:hint="eastAsia"/>
          <w:sz w:val="24"/>
        </w:rPr>
        <w:t>工程隐蔽部位覆盖前的检查</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通知监理人检查</w:t>
      </w:r>
    </w:p>
    <w:p>
      <w:pPr>
        <w:pStyle w:val="BodyText"/>
        <w:spacing w:line="367" w:lineRule="auto" w:before="158"/>
        <w:ind w:left="226" w:right="1228" w:firstLine="480"/>
      </w:pPr>
      <w:r>
        <w:rPr/>
        <w:t>经承包人自检确认的工程隐蔽部位具备覆盖条件后，承包人应通知监理人在约定的</w:t>
      </w:r>
      <w:r>
        <w:rPr>
          <w:spacing w:val="-10"/>
        </w:rPr>
        <w:t>期限的检查。承包人的通知应附有自检记录和必要的检查资料。监理人应按时到场检查。经监理人检查确认质量符合隐蔽要求，并在检查记录上签字后，承包人才能进行覆盖。</w:t>
      </w:r>
      <w:r>
        <w:rPr>
          <w:spacing w:val="-15"/>
        </w:rPr>
        <w:t>监理人检查确认质量不合格的，承包人应在监理人指示的时间内修整返工后，由监理人重新检查。</w:t>
      </w:r>
    </w:p>
    <w:p>
      <w:pPr>
        <w:pStyle w:val="ListParagraph"/>
        <w:numPr>
          <w:ilvl w:val="2"/>
          <w:numId w:val="38"/>
        </w:numPr>
        <w:tabs>
          <w:tab w:pos="1369" w:val="left" w:leader="none"/>
        </w:tabs>
        <w:spacing w:line="297" w:lineRule="exact" w:before="0" w:after="0"/>
        <w:ind w:left="1368" w:right="0" w:hanging="662"/>
        <w:jc w:val="left"/>
        <w:rPr>
          <w:sz w:val="24"/>
        </w:rPr>
      </w:pPr>
      <w:r>
        <w:rPr>
          <w:sz w:val="24"/>
        </w:rPr>
        <w:t>监理人未到场检查</w:t>
      </w:r>
    </w:p>
    <w:p>
      <w:pPr>
        <w:pStyle w:val="BodyText"/>
        <w:spacing w:line="369" w:lineRule="auto" w:before="158"/>
        <w:ind w:left="226" w:right="1343" w:firstLine="480"/>
        <w:jc w:val="both"/>
      </w:pPr>
      <w:r>
        <w:rPr>
          <w:spacing w:val="-10"/>
        </w:rPr>
        <w:t>监理人未按第 </w:t>
      </w:r>
      <w:r>
        <w:rPr>
          <w:rFonts w:ascii="Calibri" w:eastAsia="Calibri"/>
        </w:rPr>
        <w:t>13.5.1 </w:t>
      </w:r>
      <w:r>
        <w:rPr/>
        <w:t>项约定的时间进行检查的，除监理人另有指示外，承包人可自行完成覆盖工作，并作相应记录报送监理人，监理人应签字确认。监理人事后对检查记</w:t>
      </w:r>
      <w:r>
        <w:rPr>
          <w:spacing w:val="-7"/>
        </w:rPr>
        <w:t>录有疑问的，可按第 </w:t>
      </w:r>
      <w:r>
        <w:rPr>
          <w:rFonts w:ascii="Calibri" w:eastAsia="Calibri"/>
        </w:rPr>
        <w:t>13.5.3 </w:t>
      </w:r>
      <w:r>
        <w:rPr/>
        <w:t>项的约定重新检查。</w:t>
      </w:r>
    </w:p>
    <w:p>
      <w:pPr>
        <w:pStyle w:val="ListParagraph"/>
        <w:numPr>
          <w:ilvl w:val="2"/>
          <w:numId w:val="38"/>
        </w:numPr>
        <w:tabs>
          <w:tab w:pos="1369" w:val="left" w:leader="none"/>
        </w:tabs>
        <w:spacing w:line="298" w:lineRule="exact" w:before="0" w:after="0"/>
        <w:ind w:left="1368" w:right="0" w:hanging="662"/>
        <w:jc w:val="both"/>
        <w:rPr>
          <w:sz w:val="24"/>
        </w:rPr>
      </w:pPr>
      <w:r>
        <w:rPr>
          <w:sz w:val="24"/>
        </w:rPr>
        <w:t>监理人重新检查</w:t>
      </w:r>
    </w:p>
    <w:p>
      <w:pPr>
        <w:pStyle w:val="BodyText"/>
        <w:spacing w:line="367" w:lineRule="auto" w:before="158"/>
        <w:ind w:left="226" w:right="1334" w:firstLine="480"/>
        <w:jc w:val="both"/>
      </w:pPr>
      <w:r>
        <w:rPr>
          <w:spacing w:val="-11"/>
        </w:rPr>
        <w:t>承包人按第 </w:t>
      </w:r>
      <w:r>
        <w:rPr>
          <w:rFonts w:ascii="Calibri" w:eastAsia="Calibri"/>
        </w:rPr>
        <w:t>13.5.1 </w:t>
      </w:r>
      <w:r>
        <w:rPr>
          <w:spacing w:val="-16"/>
        </w:rPr>
        <w:t>项或第 </w:t>
      </w:r>
      <w:r>
        <w:rPr>
          <w:rFonts w:ascii="Calibri" w:eastAsia="Calibri"/>
        </w:rPr>
        <w:t>13.5.2 </w:t>
      </w:r>
      <w:r>
        <w:rPr>
          <w:spacing w:val="-1"/>
        </w:rPr>
        <w:t>项覆盖工程隐蔽部位后，监理人对质量有疑问的， 可要求承包人对已覆盖的部位进行钻孔探测或揭开重新检验，承包人应遵照执行，并在检验后重新覆盖恢复原状。经检验证明工程质量符合合同要求的，由发包人承担由此增加的费用和(或)工期延误，并支付承包人合理利润；经检验证明工程质量不符合合同要求的，由此增加的费用和(或)工期延误由承包人承担。</w:t>
      </w:r>
    </w:p>
    <w:p>
      <w:pPr>
        <w:pStyle w:val="ListParagraph"/>
        <w:numPr>
          <w:ilvl w:val="2"/>
          <w:numId w:val="38"/>
        </w:numPr>
        <w:tabs>
          <w:tab w:pos="1369" w:val="left" w:leader="none"/>
        </w:tabs>
        <w:spacing w:line="297" w:lineRule="exact" w:before="0" w:after="0"/>
        <w:ind w:left="1368" w:right="0" w:hanging="662"/>
        <w:jc w:val="both"/>
        <w:rPr>
          <w:sz w:val="24"/>
        </w:rPr>
      </w:pPr>
      <w:r>
        <w:rPr>
          <w:sz w:val="24"/>
        </w:rPr>
        <w:t>承包人私自覆盖</w:t>
      </w:r>
    </w:p>
    <w:p>
      <w:pPr>
        <w:pStyle w:val="BodyText"/>
        <w:spacing w:line="374" w:lineRule="auto" w:before="158"/>
        <w:ind w:left="226" w:right="1342" w:firstLine="480"/>
      </w:pPr>
      <w:r>
        <w:rPr/>
        <w:t>承包人未通知监理人到场检查，私自将工程隐蔽部位覆盖的，监理人有权指示承包人钻孔探测或揭开检查，由此增加的费用和(或)工期延误由承包人承担。</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清除不合格工程</w:t>
      </w:r>
    </w:p>
    <w:p>
      <w:pPr>
        <w:pStyle w:val="BodyText"/>
        <w:spacing w:line="362" w:lineRule="auto" w:before="158"/>
        <w:ind w:left="226" w:right="1343" w:firstLine="480"/>
        <w:jc w:val="both"/>
      </w:pPr>
      <w:r>
        <w:rPr/>
        <w:t>承包人使用不合格材料、工程设备，或采用不适当的施工工艺，或施工不当，造成工程不合格的，监理人可以随时发出指示，要求承包人立即采取措施进行补救，直至达到合同要求的质量标准，由此增加的费用和(或)工期延误由承包人承担。</w:t>
      </w:r>
    </w:p>
    <w:p>
      <w:pPr>
        <w:spacing w:after="0" w:line="362" w:lineRule="auto"/>
        <w:jc w:val="both"/>
        <w:sectPr>
          <w:pgSz w:w="11910" w:h="16850"/>
          <w:pgMar w:header="911" w:footer="0" w:top="1380" w:bottom="280" w:left="1200" w:right="0"/>
        </w:sectPr>
      </w:pPr>
    </w:p>
    <w:p>
      <w:pPr>
        <w:pStyle w:val="ListParagraph"/>
        <w:numPr>
          <w:ilvl w:val="1"/>
          <w:numId w:val="38"/>
        </w:numPr>
        <w:tabs>
          <w:tab w:pos="1067" w:val="left" w:leader="none"/>
          <w:tab w:pos="1068" w:val="left" w:leader="none"/>
        </w:tabs>
        <w:spacing w:line="240" w:lineRule="auto" w:before="135" w:after="0"/>
        <w:ind w:left="1068" w:right="0" w:hanging="842"/>
        <w:jc w:val="left"/>
        <w:rPr>
          <w:rFonts w:ascii="黑体" w:eastAsia="黑体" w:hint="eastAsia"/>
          <w:sz w:val="24"/>
        </w:rPr>
      </w:pPr>
      <w:r>
        <w:rPr>
          <w:rFonts w:ascii="黑体" w:eastAsia="黑体" w:hint="eastAsia"/>
          <w:sz w:val="24"/>
        </w:rPr>
        <w:t>质量评定</w:t>
      </w:r>
    </w:p>
    <w:p>
      <w:pPr>
        <w:pStyle w:val="ListParagraph"/>
        <w:numPr>
          <w:ilvl w:val="2"/>
          <w:numId w:val="38"/>
        </w:numPr>
        <w:tabs>
          <w:tab w:pos="1429" w:val="left" w:leader="none"/>
        </w:tabs>
        <w:spacing w:line="362" w:lineRule="auto" w:before="158" w:after="0"/>
        <w:ind w:left="226" w:right="1342" w:firstLine="480"/>
        <w:jc w:val="both"/>
        <w:rPr>
          <w:sz w:val="24"/>
        </w:rPr>
      </w:pPr>
      <w:r>
        <w:rPr>
          <w:sz w:val="24"/>
        </w:rPr>
        <w:t>发包人应组织承包人进行工程项目划分，并确定单位工程、主要分部工程、重要隐蔽单元工程和关键部位单元工程。</w:t>
      </w:r>
    </w:p>
    <w:p>
      <w:pPr>
        <w:pStyle w:val="ListParagraph"/>
        <w:numPr>
          <w:ilvl w:val="2"/>
          <w:numId w:val="38"/>
        </w:numPr>
        <w:tabs>
          <w:tab w:pos="1429" w:val="left" w:leader="none"/>
        </w:tabs>
        <w:spacing w:line="362" w:lineRule="auto" w:before="2" w:after="0"/>
        <w:ind w:left="226" w:right="1342" w:firstLine="480"/>
        <w:jc w:val="both"/>
        <w:rPr>
          <w:sz w:val="24"/>
        </w:rPr>
      </w:pPr>
      <w:r>
        <w:rPr>
          <w:sz w:val="24"/>
        </w:rPr>
        <w:t>工程实施过程中，单位工程、主要分部工程、重要隐蔽单元工程和关键部位单元工程的项目划分需要调整时，承包人应报发包人确认。</w:t>
      </w:r>
    </w:p>
    <w:p>
      <w:pPr>
        <w:pStyle w:val="ListParagraph"/>
        <w:numPr>
          <w:ilvl w:val="2"/>
          <w:numId w:val="38"/>
        </w:numPr>
        <w:tabs>
          <w:tab w:pos="1399" w:val="left" w:leader="none"/>
        </w:tabs>
        <w:spacing w:line="362" w:lineRule="auto" w:before="17" w:after="0"/>
        <w:ind w:left="226" w:right="1318" w:firstLine="465"/>
        <w:jc w:val="both"/>
        <w:rPr>
          <w:sz w:val="24"/>
        </w:rPr>
      </w:pPr>
      <w:r>
        <w:rPr/>
        <w:drawing>
          <wp:anchor distT="0" distB="0" distL="0" distR="0" allowOverlap="1" layoutInCell="1" locked="0" behindDoc="1" simplePos="0" relativeHeight="234759168">
            <wp:simplePos x="0" y="0"/>
            <wp:positionH relativeFrom="page">
              <wp:posOffset>992771</wp:posOffset>
            </wp:positionH>
            <wp:positionV relativeFrom="paragraph">
              <wp:posOffset>163963</wp:posOffset>
            </wp:positionV>
            <wp:extent cx="5578970" cy="5494141"/>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15"/>
          <w:sz w:val="24"/>
        </w:rPr>
        <w:t>承包人应在单元(工序)工程质量自评合格后，报监理人核定质量等级并签证认可。</w:t>
      </w:r>
    </w:p>
    <w:p>
      <w:pPr>
        <w:pStyle w:val="ListParagraph"/>
        <w:numPr>
          <w:ilvl w:val="2"/>
          <w:numId w:val="38"/>
        </w:numPr>
        <w:tabs>
          <w:tab w:pos="1429" w:val="left" w:leader="none"/>
        </w:tabs>
        <w:spacing w:line="367" w:lineRule="auto" w:before="3" w:after="0"/>
        <w:ind w:left="226" w:right="1343" w:firstLine="480"/>
        <w:jc w:val="both"/>
        <w:rPr>
          <w:sz w:val="24"/>
        </w:rPr>
      </w:pPr>
      <w:r>
        <w:rPr>
          <w:sz w:val="24"/>
        </w:rPr>
        <w:t>除专用合同条款另有约定外，承包人应在重要隐蔽单元工程和关键部位单元工程质量自评合格以及监理人抽检后，由监理人组织承包人等单位组成的联合小组，共同检查核定其质量等级并填写签证表。发包人按有关规定完成质量结论报工程质量监督机构核备手续。</w:t>
      </w:r>
    </w:p>
    <w:p>
      <w:pPr>
        <w:pStyle w:val="ListParagraph"/>
        <w:numPr>
          <w:ilvl w:val="2"/>
          <w:numId w:val="38"/>
        </w:numPr>
        <w:tabs>
          <w:tab w:pos="1429" w:val="left" w:leader="none"/>
        </w:tabs>
        <w:spacing w:line="362" w:lineRule="auto" w:before="0" w:after="0"/>
        <w:ind w:left="226" w:right="1342" w:firstLine="480"/>
        <w:jc w:val="both"/>
        <w:rPr>
          <w:sz w:val="24"/>
        </w:rPr>
      </w:pPr>
      <w:r>
        <w:rPr>
          <w:sz w:val="24"/>
        </w:rPr>
        <w:t>承包人应在分部工程质量自评合格后，报监理人复核和发包人认定。发包人</w:t>
      </w:r>
      <w:r>
        <w:rPr>
          <w:spacing w:val="-1"/>
          <w:sz w:val="24"/>
        </w:rPr>
        <w:t>负责按有关规定完成分部工程质量结论报工程质量监督机构核备(核定)手续。</w:t>
      </w:r>
    </w:p>
    <w:p>
      <w:pPr>
        <w:pStyle w:val="ListParagraph"/>
        <w:numPr>
          <w:ilvl w:val="2"/>
          <w:numId w:val="38"/>
        </w:numPr>
        <w:tabs>
          <w:tab w:pos="1429" w:val="left" w:leader="none"/>
        </w:tabs>
        <w:spacing w:line="362" w:lineRule="auto" w:before="0" w:after="0"/>
        <w:ind w:left="226" w:right="1342" w:firstLine="480"/>
        <w:jc w:val="both"/>
        <w:rPr>
          <w:sz w:val="24"/>
        </w:rPr>
      </w:pPr>
      <w:r>
        <w:rPr>
          <w:sz w:val="24"/>
        </w:rPr>
        <w:t>承包人应在单位工程质量自评合格后，报监理人复核和发包人认定。发包人负责按有关规定完成单位工程质量结论报工程质量监督机构核定手续。</w:t>
      </w:r>
    </w:p>
    <w:p>
      <w:pPr>
        <w:pStyle w:val="ListParagraph"/>
        <w:numPr>
          <w:ilvl w:val="2"/>
          <w:numId w:val="38"/>
        </w:numPr>
        <w:tabs>
          <w:tab w:pos="1429" w:val="left" w:leader="none"/>
        </w:tabs>
        <w:spacing w:line="362" w:lineRule="auto" w:before="13" w:after="0"/>
        <w:ind w:left="226" w:right="1342" w:firstLine="480"/>
        <w:jc w:val="both"/>
        <w:rPr>
          <w:sz w:val="24"/>
        </w:rPr>
      </w:pPr>
      <w:r>
        <w:rPr>
          <w:sz w:val="24"/>
        </w:rPr>
        <w:t>除专用合同条款另有约定外，工程质量等级分为合格和优良，应分别达到约定的标准。</w:t>
      </w:r>
    </w:p>
    <w:p>
      <w:pPr>
        <w:pStyle w:val="ListParagraph"/>
        <w:numPr>
          <w:ilvl w:val="1"/>
          <w:numId w:val="38"/>
        </w:numPr>
        <w:tabs>
          <w:tab w:pos="1067" w:val="left" w:leader="none"/>
          <w:tab w:pos="1068" w:val="left" w:leader="none"/>
        </w:tabs>
        <w:spacing w:line="240" w:lineRule="auto" w:before="3" w:after="0"/>
        <w:ind w:left="1068" w:right="0" w:hanging="842"/>
        <w:jc w:val="left"/>
        <w:rPr>
          <w:rFonts w:ascii="黑体" w:eastAsia="黑体" w:hint="eastAsia"/>
          <w:sz w:val="24"/>
        </w:rPr>
      </w:pPr>
      <w:r>
        <w:rPr>
          <w:rFonts w:ascii="黑体" w:eastAsia="黑体" w:hint="eastAsia"/>
          <w:sz w:val="24"/>
        </w:rPr>
        <w:t>质量事故处理</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发生质量事故时，承包人应及时向发包人和监理人报告。</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质量事故调查处理由发包人按相关规定履行手续，承包人应配合。</w:t>
      </w:r>
    </w:p>
    <w:p>
      <w:pPr>
        <w:pStyle w:val="ListParagraph"/>
        <w:numPr>
          <w:ilvl w:val="2"/>
          <w:numId w:val="38"/>
        </w:numPr>
        <w:tabs>
          <w:tab w:pos="1429" w:val="left" w:leader="none"/>
        </w:tabs>
        <w:spacing w:line="362" w:lineRule="auto" w:before="172" w:after="0"/>
        <w:ind w:left="226" w:right="1342" w:firstLine="480"/>
        <w:jc w:val="left"/>
        <w:rPr>
          <w:sz w:val="24"/>
        </w:rPr>
      </w:pPr>
      <w:r>
        <w:rPr>
          <w:sz w:val="24"/>
        </w:rPr>
        <w:t>承包人应对质量缺陷进行备案。发包人委托监理人对质量缺陷备案情况进行监督检查并履行相关手续。</w:t>
      </w:r>
    </w:p>
    <w:p>
      <w:pPr>
        <w:pStyle w:val="ListParagraph"/>
        <w:numPr>
          <w:ilvl w:val="2"/>
          <w:numId w:val="38"/>
        </w:numPr>
        <w:tabs>
          <w:tab w:pos="1429" w:val="left" w:leader="none"/>
        </w:tabs>
        <w:spacing w:line="362" w:lineRule="auto" w:before="3" w:after="0"/>
        <w:ind w:left="226" w:right="1342" w:firstLine="480"/>
        <w:jc w:val="left"/>
        <w:rPr>
          <w:sz w:val="24"/>
        </w:rPr>
      </w:pPr>
      <w:r>
        <w:rPr>
          <w:sz w:val="24"/>
        </w:rPr>
        <w:t>除专用合同条款另有约定外，工程竣工验收时，发包人负责向竣工验收委员会汇报并提交历次质量缺陷处理的备案资料。</w:t>
      </w:r>
    </w:p>
    <w:p>
      <w:pPr>
        <w:pStyle w:val="BodyText"/>
        <w:spacing w:before="2"/>
        <w:rPr>
          <w:sz w:val="25"/>
        </w:rPr>
      </w:pPr>
    </w:p>
    <w:p>
      <w:pPr>
        <w:pStyle w:val="Heading6"/>
        <w:numPr>
          <w:ilvl w:val="0"/>
          <w:numId w:val="38"/>
        </w:numPr>
        <w:tabs>
          <w:tab w:pos="618" w:val="left" w:leader="none"/>
        </w:tabs>
        <w:spacing w:line="240" w:lineRule="auto" w:before="0" w:after="0"/>
        <w:ind w:left="617" w:right="0" w:hanging="392"/>
        <w:jc w:val="left"/>
      </w:pPr>
      <w:bookmarkStart w:name="14试验和检验" w:id="92"/>
      <w:bookmarkEnd w:id="92"/>
      <w:r>
        <w:rPr>
          <w:b w:val="0"/>
        </w:rPr>
      </w:r>
      <w:bookmarkStart w:name="14试验和检验" w:id="93"/>
      <w:bookmarkEnd w:id="93"/>
      <w:r>
        <w:rPr/>
        <w:t>试验和检验</w:t>
      </w:r>
    </w:p>
    <w:p>
      <w:pPr>
        <w:pStyle w:val="BodyText"/>
        <w:spacing w:before="9"/>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材料、工程设备和工程的试验和检验</w:t>
      </w:r>
    </w:p>
    <w:p>
      <w:pPr>
        <w:pStyle w:val="ListParagraph"/>
        <w:numPr>
          <w:ilvl w:val="2"/>
          <w:numId w:val="38"/>
        </w:numPr>
        <w:tabs>
          <w:tab w:pos="1429" w:val="left" w:leader="none"/>
        </w:tabs>
        <w:spacing w:line="362" w:lineRule="auto" w:before="158" w:after="0"/>
        <w:ind w:left="226" w:right="1313" w:firstLine="480"/>
        <w:jc w:val="left"/>
        <w:rPr>
          <w:sz w:val="24"/>
        </w:rPr>
      </w:pPr>
      <w:r>
        <w:rPr>
          <w:spacing w:val="-15"/>
          <w:sz w:val="24"/>
        </w:rPr>
        <w:t>承包人应按合同约定进行材料、工程设备和工程的试验和检查，并为监理人对上述材料、工程设备和工程的质量检查提供必要的试验资料和原始记录。按合同约定应由</w:t>
      </w:r>
    </w:p>
    <w:p>
      <w:pPr>
        <w:spacing w:after="0" w:line="362" w:lineRule="auto"/>
        <w:jc w:val="left"/>
        <w:rPr>
          <w:sz w:val="24"/>
        </w:rPr>
        <w:sectPr>
          <w:pgSz w:w="11910" w:h="16850"/>
          <w:pgMar w:header="911" w:footer="0" w:top="1380" w:bottom="280" w:left="1200" w:right="0"/>
        </w:sectPr>
      </w:pPr>
    </w:p>
    <w:p>
      <w:pPr>
        <w:pStyle w:val="BodyText"/>
        <w:spacing w:before="135"/>
        <w:ind w:left="226"/>
      </w:pPr>
      <w:r>
        <w:rPr/>
        <w:t>监理人与承包人共同进行试验和检验的，由承包人负责提供必要的试验资料和原始记录。</w:t>
      </w:r>
    </w:p>
    <w:p>
      <w:pPr>
        <w:pStyle w:val="ListParagraph"/>
        <w:numPr>
          <w:ilvl w:val="2"/>
          <w:numId w:val="38"/>
        </w:numPr>
        <w:tabs>
          <w:tab w:pos="1429" w:val="left" w:leader="none"/>
        </w:tabs>
        <w:spacing w:line="362" w:lineRule="auto" w:before="158" w:after="0"/>
        <w:ind w:left="226" w:right="1342" w:firstLine="480"/>
        <w:jc w:val="both"/>
        <w:rPr>
          <w:sz w:val="24"/>
        </w:rPr>
      </w:pPr>
      <w:r>
        <w:rPr>
          <w:sz w:val="24"/>
        </w:rPr>
        <w:t>监理人为按合同约定派员参加试验和检验的，除监理人另有指示外，承包人可自行试验和检验，并应立即将试验和检验结果报送监理人，监理人应等签字确认。</w:t>
      </w:r>
    </w:p>
    <w:p>
      <w:pPr>
        <w:pStyle w:val="ListParagraph"/>
        <w:numPr>
          <w:ilvl w:val="2"/>
          <w:numId w:val="38"/>
        </w:numPr>
        <w:tabs>
          <w:tab w:pos="1429" w:val="left" w:leader="none"/>
        </w:tabs>
        <w:spacing w:line="364" w:lineRule="auto" w:before="2" w:after="0"/>
        <w:ind w:left="226" w:right="1343" w:firstLine="480"/>
        <w:jc w:val="both"/>
        <w:rPr>
          <w:sz w:val="24"/>
        </w:rPr>
      </w:pPr>
      <w:r>
        <w:rPr/>
        <w:drawing>
          <wp:anchor distT="0" distB="0" distL="0" distR="0" allowOverlap="1" layoutInCell="1" locked="0" behindDoc="1" simplePos="0" relativeHeight="234760192">
            <wp:simplePos x="0" y="0"/>
            <wp:positionH relativeFrom="page">
              <wp:posOffset>992771</wp:posOffset>
            </wp:positionH>
            <wp:positionV relativeFrom="paragraph">
              <wp:posOffset>754766</wp:posOffset>
            </wp:positionV>
            <wp:extent cx="5578970" cy="5494141"/>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监理人对承包人的试验和检验结果有疑问的，或为查清承包人试验和检验成果的可靠性要求承包人重新试验和检验的可按合同约定由监理人与承包人共同进行，重新试验和检验的结果证明该项材料、工程设备或工程的质量不符合合同要求的由此增加的费用和（或）工期延误由承包人承担；重新试验和检验结果证明该项材料、工程设备和工程符合合同要求，由发包人承担由此增加的费用和（或）工期延误，并支付承包人合同利润。</w:t>
      </w:r>
    </w:p>
    <w:p>
      <w:pPr>
        <w:pStyle w:val="ListParagraph"/>
        <w:numPr>
          <w:ilvl w:val="2"/>
          <w:numId w:val="38"/>
        </w:numPr>
        <w:tabs>
          <w:tab w:pos="1429" w:val="left" w:leader="none"/>
        </w:tabs>
        <w:spacing w:line="374" w:lineRule="auto" w:before="3" w:after="0"/>
        <w:ind w:left="226" w:right="1342" w:firstLine="480"/>
        <w:jc w:val="both"/>
        <w:rPr>
          <w:sz w:val="24"/>
        </w:rPr>
      </w:pPr>
      <w:r>
        <w:rPr>
          <w:sz w:val="24"/>
        </w:rPr>
        <w:t>承包人应按相关规定和标准对水泥、水工金属结构、启闭机及机电产品进场后，监理人组织发包人按合同进行检验，并报监理人复核。</w:t>
      </w:r>
    </w:p>
    <w:p>
      <w:pPr>
        <w:pStyle w:val="ListParagraph"/>
        <w:numPr>
          <w:ilvl w:val="2"/>
          <w:numId w:val="38"/>
        </w:numPr>
        <w:tabs>
          <w:tab w:pos="1429" w:val="left" w:leader="none"/>
        </w:tabs>
        <w:spacing w:line="362" w:lineRule="auto" w:before="0" w:after="0"/>
        <w:ind w:left="226" w:right="1343" w:firstLine="480"/>
        <w:jc w:val="both"/>
        <w:rPr>
          <w:sz w:val="24"/>
        </w:rPr>
      </w:pPr>
      <w:r>
        <w:rPr>
          <w:sz w:val="24"/>
        </w:rPr>
        <w:t>除专用合同条款另有约定外，水工金属结构、启闭机及机电产品进场后，监理人组织发包人按合同进行交货检查和验收。安装前，承包人验检查产品是否有出厂合格证、设备安装说明书及有关技术文件，对在运输和存放过程中发生的变形、受潮、损坏等问题应作好记录，并进行妥善处理。</w:t>
      </w:r>
    </w:p>
    <w:p>
      <w:pPr>
        <w:pStyle w:val="ListParagraph"/>
        <w:numPr>
          <w:ilvl w:val="2"/>
          <w:numId w:val="38"/>
        </w:numPr>
        <w:tabs>
          <w:tab w:pos="1429" w:val="left" w:leader="none"/>
        </w:tabs>
        <w:spacing w:line="362" w:lineRule="auto" w:before="6" w:after="0"/>
        <w:ind w:left="226" w:right="1343" w:firstLine="480"/>
        <w:jc w:val="both"/>
        <w:rPr>
          <w:sz w:val="24"/>
        </w:rPr>
      </w:pPr>
      <w:r>
        <w:rPr>
          <w:sz w:val="24"/>
        </w:rPr>
        <w:t>对专用合同条款约定的试块、试件及有关材料，监理人实行见证取样。见证取样资料由承包人制备，记录应真实齐全，监理人、承包人等参与见证取样人员均应在相关文件上签字。</w:t>
      </w:r>
    </w:p>
    <w:p>
      <w:pPr>
        <w:pStyle w:val="ListParagraph"/>
        <w:numPr>
          <w:ilvl w:val="1"/>
          <w:numId w:val="38"/>
        </w:numPr>
        <w:tabs>
          <w:tab w:pos="1067" w:val="left" w:leader="none"/>
          <w:tab w:pos="1068" w:val="left" w:leader="none"/>
        </w:tabs>
        <w:spacing w:line="240" w:lineRule="auto" w:before="3" w:after="0"/>
        <w:ind w:left="1068" w:right="0" w:hanging="842"/>
        <w:jc w:val="left"/>
        <w:rPr>
          <w:rFonts w:ascii="黑体" w:eastAsia="黑体" w:hint="eastAsia"/>
          <w:sz w:val="24"/>
        </w:rPr>
      </w:pPr>
      <w:r>
        <w:rPr>
          <w:rFonts w:ascii="黑体" w:eastAsia="黑体" w:hint="eastAsia"/>
          <w:sz w:val="24"/>
        </w:rPr>
        <w:t>现场材料试验</w:t>
      </w:r>
    </w:p>
    <w:p>
      <w:pPr>
        <w:pStyle w:val="ListParagraph"/>
        <w:numPr>
          <w:ilvl w:val="2"/>
          <w:numId w:val="38"/>
        </w:numPr>
        <w:tabs>
          <w:tab w:pos="1429" w:val="left" w:leader="none"/>
        </w:tabs>
        <w:spacing w:line="374" w:lineRule="auto" w:before="158" w:after="0"/>
        <w:ind w:left="226" w:right="1351" w:firstLine="480"/>
        <w:jc w:val="both"/>
        <w:rPr>
          <w:sz w:val="24"/>
        </w:rPr>
      </w:pPr>
      <w:r>
        <w:rPr>
          <w:spacing w:val="-1"/>
          <w:sz w:val="24"/>
        </w:rPr>
        <w:t>承包人根据合同约定或监理人指示进行的现场材料试验，应由承包人提供试验场所、试验人员、试验设备器材以及其他必要的试验条件。</w:t>
      </w:r>
    </w:p>
    <w:p>
      <w:pPr>
        <w:pStyle w:val="ListParagraph"/>
        <w:numPr>
          <w:ilvl w:val="2"/>
          <w:numId w:val="38"/>
        </w:numPr>
        <w:tabs>
          <w:tab w:pos="1429" w:val="left" w:leader="none"/>
        </w:tabs>
        <w:spacing w:line="362" w:lineRule="auto" w:before="0" w:after="0"/>
        <w:ind w:left="226" w:right="1342" w:firstLine="480"/>
        <w:jc w:val="both"/>
        <w:rPr>
          <w:sz w:val="24"/>
        </w:rPr>
      </w:pPr>
      <w:r>
        <w:rPr>
          <w:sz w:val="24"/>
        </w:rPr>
        <w:t>监理人在必要时可以使用人的试验场所、试验设备器材以及其他试验条件， 进行以工程质量检查为目的的复核性材料试验，承包人应予以协助。</w:t>
      </w:r>
    </w:p>
    <w:p>
      <w:pPr>
        <w:pStyle w:val="BodyText"/>
        <w:spacing w:before="2"/>
      </w:pPr>
    </w:p>
    <w:p>
      <w:pPr>
        <w:pStyle w:val="Heading6"/>
        <w:numPr>
          <w:ilvl w:val="0"/>
          <w:numId w:val="38"/>
        </w:numPr>
        <w:tabs>
          <w:tab w:pos="618" w:val="left" w:leader="none"/>
        </w:tabs>
        <w:spacing w:line="240" w:lineRule="auto" w:before="0" w:after="0"/>
        <w:ind w:left="617" w:right="0" w:hanging="392"/>
        <w:jc w:val="left"/>
      </w:pPr>
      <w:bookmarkStart w:name="15变更" w:id="94"/>
      <w:bookmarkEnd w:id="94"/>
      <w:r>
        <w:rPr>
          <w:b w:val="0"/>
        </w:rPr>
      </w:r>
      <w:bookmarkStart w:name="15变更" w:id="95"/>
      <w:bookmarkEnd w:id="95"/>
      <w:r>
        <w:rPr/>
        <w:t>变更</w:t>
      </w:r>
    </w:p>
    <w:p>
      <w:pPr>
        <w:pStyle w:val="BodyText"/>
        <w:spacing w:before="9"/>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变更的范围和内容</w:t>
      </w:r>
    </w:p>
    <w:p>
      <w:pPr>
        <w:pStyle w:val="BodyText"/>
        <w:spacing w:before="158"/>
        <w:ind w:left="707"/>
      </w:pPr>
      <w:r>
        <w:rPr/>
        <w:t>在履行合同发生以下情形之一，应按照本款规定进行变更。</w:t>
      </w:r>
    </w:p>
    <w:p>
      <w:pPr>
        <w:pStyle w:val="ListParagraph"/>
        <w:numPr>
          <w:ilvl w:val="0"/>
          <w:numId w:val="45"/>
        </w:numPr>
        <w:tabs>
          <w:tab w:pos="1189" w:val="left" w:leader="none"/>
        </w:tabs>
        <w:spacing w:line="240" w:lineRule="auto" w:before="158" w:after="0"/>
        <w:ind w:left="1188" w:right="0" w:hanging="602"/>
        <w:jc w:val="left"/>
        <w:rPr>
          <w:sz w:val="24"/>
        </w:rPr>
      </w:pPr>
      <w:r>
        <w:rPr>
          <w:spacing w:val="-1"/>
          <w:sz w:val="24"/>
        </w:rPr>
        <w:t>取消合同中任何一项工作，但被取消的工作不能转由发包人或其它人实施： </w:t>
      </w:r>
    </w:p>
    <w:p>
      <w:pPr>
        <w:pStyle w:val="ListParagraph"/>
        <w:numPr>
          <w:ilvl w:val="0"/>
          <w:numId w:val="45"/>
        </w:numPr>
        <w:tabs>
          <w:tab w:pos="1189" w:val="left" w:leader="none"/>
        </w:tabs>
        <w:spacing w:line="240" w:lineRule="auto" w:before="158" w:after="0"/>
        <w:ind w:left="1188" w:right="0" w:hanging="602"/>
        <w:jc w:val="left"/>
        <w:rPr>
          <w:sz w:val="24"/>
        </w:rPr>
      </w:pPr>
      <w:r>
        <w:rPr>
          <w:spacing w:val="-1"/>
          <w:sz w:val="24"/>
        </w:rPr>
        <w:t>改变合同任何一项工作的质量或其它特性；</w:t>
      </w:r>
      <w:r>
        <w:rPr>
          <w:sz w:val="24"/>
        </w:rPr>
        <w:t> </w:t>
      </w:r>
    </w:p>
    <w:p>
      <w:pPr>
        <w:spacing w:after="0" w:line="240" w:lineRule="auto"/>
        <w:jc w:val="left"/>
        <w:rPr>
          <w:sz w:val="24"/>
        </w:rPr>
        <w:sectPr>
          <w:pgSz w:w="11910" w:h="16850"/>
          <w:pgMar w:header="911" w:footer="0" w:top="1380" w:bottom="280" w:left="1200" w:right="0"/>
        </w:sectPr>
      </w:pPr>
    </w:p>
    <w:p>
      <w:pPr>
        <w:pStyle w:val="ListParagraph"/>
        <w:numPr>
          <w:ilvl w:val="0"/>
          <w:numId w:val="45"/>
        </w:numPr>
        <w:tabs>
          <w:tab w:pos="1189" w:val="left" w:leader="none"/>
        </w:tabs>
        <w:spacing w:line="240" w:lineRule="auto" w:before="135" w:after="0"/>
        <w:ind w:left="1188" w:right="0" w:hanging="602"/>
        <w:jc w:val="left"/>
        <w:rPr>
          <w:sz w:val="24"/>
        </w:rPr>
      </w:pPr>
      <w:r>
        <w:rPr>
          <w:spacing w:val="-1"/>
          <w:sz w:val="24"/>
        </w:rPr>
        <w:t>改变合同工程的基线、标高、位置或尺寸；</w:t>
      </w:r>
      <w:r>
        <w:rPr>
          <w:sz w:val="24"/>
        </w:rPr>
        <w:t> </w:t>
      </w:r>
    </w:p>
    <w:p>
      <w:pPr>
        <w:pStyle w:val="ListParagraph"/>
        <w:numPr>
          <w:ilvl w:val="0"/>
          <w:numId w:val="45"/>
        </w:numPr>
        <w:tabs>
          <w:tab w:pos="1189" w:val="left" w:leader="none"/>
        </w:tabs>
        <w:spacing w:line="240" w:lineRule="auto" w:before="158" w:after="0"/>
        <w:ind w:left="1188" w:right="0" w:hanging="602"/>
        <w:jc w:val="left"/>
        <w:rPr>
          <w:sz w:val="24"/>
        </w:rPr>
      </w:pPr>
      <w:r>
        <w:rPr>
          <w:spacing w:val="-1"/>
          <w:sz w:val="24"/>
        </w:rPr>
        <w:t>改变合同任何一项工作的施工时间或改变已批准的施工工艺或顺序；</w:t>
      </w:r>
      <w:r>
        <w:rPr>
          <w:sz w:val="24"/>
        </w:rPr>
        <w:t> </w:t>
      </w:r>
    </w:p>
    <w:p>
      <w:pPr>
        <w:pStyle w:val="ListParagraph"/>
        <w:numPr>
          <w:ilvl w:val="0"/>
          <w:numId w:val="45"/>
        </w:numPr>
        <w:tabs>
          <w:tab w:pos="1189" w:val="left" w:leader="none"/>
        </w:tabs>
        <w:spacing w:line="240" w:lineRule="auto" w:before="158" w:after="0"/>
        <w:ind w:left="1188" w:right="0" w:hanging="602"/>
        <w:jc w:val="left"/>
        <w:rPr>
          <w:sz w:val="24"/>
        </w:rPr>
      </w:pPr>
      <w:r>
        <w:rPr>
          <w:spacing w:val="-1"/>
          <w:sz w:val="24"/>
        </w:rPr>
        <w:t>为完成工程需要追加的额外工作；</w:t>
      </w:r>
      <w:r>
        <w:rPr>
          <w:sz w:val="24"/>
        </w:rPr>
        <w:t> </w:t>
      </w:r>
    </w:p>
    <w:p>
      <w:pPr>
        <w:pStyle w:val="ListParagraph"/>
        <w:numPr>
          <w:ilvl w:val="0"/>
          <w:numId w:val="45"/>
        </w:numPr>
        <w:tabs>
          <w:tab w:pos="1159" w:val="left" w:leader="none"/>
        </w:tabs>
        <w:spacing w:line="362" w:lineRule="auto" w:before="158" w:after="0"/>
        <w:ind w:left="707" w:right="1229" w:hanging="136"/>
        <w:jc w:val="left"/>
        <w:rPr>
          <w:sz w:val="24"/>
        </w:rPr>
      </w:pPr>
      <w:r>
        <w:rPr>
          <w:spacing w:val="-15"/>
          <w:sz w:val="24"/>
        </w:rPr>
        <w:t>增加或减少专用条款中约定的关键项目工程量超过其工程总量的一定数量百分比</w:t>
      </w:r>
      <w:r>
        <w:rPr>
          <w:spacing w:val="-144"/>
          <w:sz w:val="24"/>
        </w:rPr>
        <w:t>。</w:t>
      </w:r>
      <w:r>
        <w:rPr>
          <w:sz w:val="24"/>
        </w:rPr>
        <w:t>上述第（1）～（6）目的变更内容引起工程施工组织和进度计划发生实质性变动和</w:t>
      </w:r>
    </w:p>
    <w:p>
      <w:pPr>
        <w:pStyle w:val="BodyText"/>
        <w:spacing w:line="362" w:lineRule="auto" w:before="17"/>
        <w:ind w:left="226" w:right="1349"/>
      </w:pPr>
      <w:r>
        <w:rPr/>
        <w:drawing>
          <wp:anchor distT="0" distB="0" distL="0" distR="0" allowOverlap="1" layoutInCell="1" locked="0" behindDoc="1" simplePos="0" relativeHeight="234761216">
            <wp:simplePos x="0" y="0"/>
            <wp:positionH relativeFrom="page">
              <wp:posOffset>992771</wp:posOffset>
            </wp:positionH>
            <wp:positionV relativeFrom="paragraph">
              <wp:posOffset>163963</wp:posOffset>
            </wp:positionV>
            <wp:extent cx="5578970" cy="5494141"/>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7"/>
        </w:rPr>
        <w:t>影响其原定的价格时，才予调整该项目的单价。第</w:t>
      </w:r>
      <w:r>
        <w:rPr>
          <w:spacing w:val="-12"/>
        </w:rPr>
        <w:t>（6）</w:t>
      </w:r>
      <w:r>
        <w:rPr/>
        <w:t>目的情形下单价调整方式在专用合同条款中约定。 </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变更权</w:t>
      </w:r>
    </w:p>
    <w:p>
      <w:pPr>
        <w:pStyle w:val="BodyText"/>
        <w:spacing w:line="362" w:lineRule="auto" w:before="158"/>
        <w:ind w:left="226" w:right="1347" w:firstLine="480"/>
        <w:jc w:val="both"/>
      </w:pPr>
      <w:r>
        <w:rPr>
          <w:spacing w:val="-9"/>
        </w:rPr>
        <w:t>在履行合同过程中，经发包人同意，监理人可按第 </w:t>
      </w:r>
      <w:r>
        <w:rPr>
          <w:rFonts w:ascii="Calibri" w:eastAsia="Calibri"/>
        </w:rPr>
        <w:t>15.3 </w:t>
      </w:r>
      <w:r>
        <w:rPr/>
        <w:t>款约定变更程序向承包人作出变更指示，承包人应遵照执行。没有监理人的变更指示，承包人不得擅自变更。</w:t>
      </w:r>
    </w:p>
    <w:p>
      <w:pPr>
        <w:pStyle w:val="ListParagraph"/>
        <w:numPr>
          <w:ilvl w:val="1"/>
          <w:numId w:val="38"/>
        </w:numPr>
        <w:tabs>
          <w:tab w:pos="1067" w:val="left" w:leader="none"/>
          <w:tab w:pos="1068" w:val="left" w:leader="none"/>
        </w:tabs>
        <w:spacing w:line="240" w:lineRule="auto" w:before="17" w:after="0"/>
        <w:ind w:left="1068" w:right="0" w:hanging="842"/>
        <w:jc w:val="left"/>
        <w:rPr>
          <w:rFonts w:ascii="黑体" w:eastAsia="黑体" w:hint="eastAsia"/>
          <w:sz w:val="24"/>
        </w:rPr>
      </w:pPr>
      <w:r>
        <w:rPr>
          <w:rFonts w:ascii="黑体" w:eastAsia="黑体" w:hint="eastAsia"/>
          <w:sz w:val="24"/>
        </w:rPr>
        <w:t>变更程序</w:t>
      </w:r>
    </w:p>
    <w:p>
      <w:pPr>
        <w:pStyle w:val="ListParagraph"/>
        <w:numPr>
          <w:ilvl w:val="2"/>
          <w:numId w:val="38"/>
        </w:numPr>
        <w:tabs>
          <w:tab w:pos="1429" w:val="left" w:leader="none"/>
        </w:tabs>
        <w:spacing w:line="240" w:lineRule="auto" w:before="158" w:after="0"/>
        <w:ind w:left="1428" w:right="0" w:hanging="662"/>
        <w:jc w:val="left"/>
        <w:rPr>
          <w:sz w:val="24"/>
        </w:rPr>
      </w:pPr>
      <w:r>
        <w:rPr>
          <w:sz w:val="24"/>
        </w:rPr>
        <w:t>变更的提出</w:t>
      </w:r>
    </w:p>
    <w:p>
      <w:pPr>
        <w:pStyle w:val="ListParagraph"/>
        <w:numPr>
          <w:ilvl w:val="0"/>
          <w:numId w:val="46"/>
        </w:numPr>
        <w:tabs>
          <w:tab w:pos="1189" w:val="left" w:leader="none"/>
        </w:tabs>
        <w:spacing w:line="367" w:lineRule="auto" w:before="158" w:after="0"/>
        <w:ind w:left="226" w:right="1333" w:firstLine="360"/>
        <w:jc w:val="both"/>
        <w:rPr>
          <w:sz w:val="24"/>
        </w:rPr>
      </w:pPr>
      <w:r>
        <w:rPr>
          <w:spacing w:val="-7"/>
          <w:sz w:val="24"/>
        </w:rPr>
        <w:t>在合同履行过程中，可能发生地 </w:t>
      </w:r>
      <w:r>
        <w:rPr>
          <w:rFonts w:ascii="Calibri" w:eastAsia="Calibri"/>
          <w:sz w:val="24"/>
        </w:rPr>
        <w:t>15.1</w:t>
      </w:r>
      <w:r>
        <w:rPr>
          <w:rFonts w:ascii="Calibri" w:eastAsia="Calibri"/>
          <w:spacing w:val="2"/>
          <w:sz w:val="24"/>
        </w:rPr>
        <w:t> </w:t>
      </w:r>
      <w:r>
        <w:rPr>
          <w:spacing w:val="-3"/>
          <w:sz w:val="24"/>
        </w:rPr>
        <w:t>款约定情形的，监理人可乡承包人发出变更意向书。变更意向书应说明变更的具体内容和发包人对变更的时间要求，并附必要的图纸和相关资料。变更意向书应要求承包人提交包括拟实施变更工作的计划、措施和竣工时间等内容的实施方案。发包人同意承包人更具变更意向书要求提交的变更实施方案</w:t>
      </w:r>
      <w:r>
        <w:rPr>
          <w:spacing w:val="-10"/>
          <w:sz w:val="24"/>
        </w:rPr>
        <w:t>的，由监理人按第 </w:t>
      </w:r>
      <w:r>
        <w:rPr>
          <w:rFonts w:ascii="Calibri" w:eastAsia="Calibri"/>
          <w:sz w:val="24"/>
        </w:rPr>
        <w:t>15.3.3</w:t>
      </w:r>
      <w:r>
        <w:rPr>
          <w:rFonts w:ascii="Calibri" w:eastAsia="Calibri"/>
          <w:spacing w:val="4"/>
          <w:sz w:val="24"/>
        </w:rPr>
        <w:t> </w:t>
      </w:r>
      <w:r>
        <w:rPr>
          <w:sz w:val="24"/>
        </w:rPr>
        <w:t>相约发出变更指示。</w:t>
      </w:r>
    </w:p>
    <w:p>
      <w:pPr>
        <w:pStyle w:val="ListParagraph"/>
        <w:numPr>
          <w:ilvl w:val="0"/>
          <w:numId w:val="46"/>
        </w:numPr>
        <w:tabs>
          <w:tab w:pos="1189" w:val="left" w:leader="none"/>
        </w:tabs>
        <w:spacing w:line="362" w:lineRule="auto" w:before="0" w:after="0"/>
        <w:ind w:left="226" w:right="1333" w:firstLine="360"/>
        <w:jc w:val="both"/>
        <w:rPr>
          <w:sz w:val="24"/>
        </w:rPr>
      </w:pPr>
      <w:r>
        <w:rPr>
          <w:spacing w:val="-7"/>
          <w:sz w:val="24"/>
        </w:rPr>
        <w:t>在合同履行过程中，发生地 </w:t>
      </w:r>
      <w:r>
        <w:rPr>
          <w:rFonts w:ascii="Calibri" w:eastAsia="Calibri"/>
          <w:sz w:val="24"/>
        </w:rPr>
        <w:t>15.1</w:t>
      </w:r>
      <w:r>
        <w:rPr>
          <w:rFonts w:ascii="Calibri" w:eastAsia="Calibri"/>
          <w:spacing w:val="1"/>
          <w:sz w:val="24"/>
        </w:rPr>
        <w:t> </w:t>
      </w:r>
      <w:r>
        <w:rPr>
          <w:spacing w:val="-8"/>
          <w:sz w:val="24"/>
        </w:rPr>
        <w:t>款约定定情的，监理人应按照第 </w:t>
      </w:r>
      <w:r>
        <w:rPr>
          <w:rFonts w:ascii="Calibri" w:eastAsia="Calibri"/>
          <w:sz w:val="24"/>
        </w:rPr>
        <w:t>15.3.3</w:t>
      </w:r>
      <w:r>
        <w:rPr>
          <w:rFonts w:ascii="Calibri" w:eastAsia="Calibri"/>
          <w:spacing w:val="1"/>
          <w:sz w:val="24"/>
        </w:rPr>
        <w:t> </w:t>
      </w:r>
      <w:r>
        <w:rPr>
          <w:sz w:val="24"/>
        </w:rPr>
        <w:t>项约定向承包人发出变更指示。</w:t>
      </w:r>
    </w:p>
    <w:p>
      <w:pPr>
        <w:pStyle w:val="ListParagraph"/>
        <w:numPr>
          <w:ilvl w:val="0"/>
          <w:numId w:val="46"/>
        </w:numPr>
        <w:tabs>
          <w:tab w:pos="1189" w:val="left" w:leader="none"/>
        </w:tabs>
        <w:spacing w:line="367" w:lineRule="auto" w:before="0" w:after="0"/>
        <w:ind w:left="226" w:right="1228" w:firstLine="360"/>
        <w:jc w:val="left"/>
        <w:rPr>
          <w:sz w:val="24"/>
        </w:rPr>
      </w:pPr>
      <w:r>
        <w:rPr>
          <w:spacing w:val="-3"/>
          <w:sz w:val="24"/>
        </w:rPr>
        <w:t>承包人收到监理人按合同约定发出的图纸和文件，经检查认为其中存在第 </w:t>
      </w:r>
      <w:r>
        <w:rPr>
          <w:rFonts w:ascii="Calibri" w:eastAsia="Calibri"/>
          <w:sz w:val="24"/>
        </w:rPr>
        <w:t>15.1 </w:t>
      </w:r>
      <w:r>
        <w:rPr>
          <w:sz w:val="24"/>
        </w:rPr>
        <w:t>款约定情形的，可向监理人提出书面变更建议，变更建议应阐明要求的依据，并附必要</w:t>
      </w:r>
      <w:r>
        <w:rPr>
          <w:spacing w:val="-11"/>
          <w:sz w:val="24"/>
        </w:rPr>
        <w:t>的图纸和说明。监理人收到承包人书面建议后，应先发包人共同研究，确认存在变更的， </w:t>
      </w:r>
      <w:r>
        <w:rPr>
          <w:spacing w:val="-15"/>
          <w:sz w:val="24"/>
        </w:rPr>
        <w:t>应在收到承包人书面建议后的 </w:t>
      </w:r>
      <w:r>
        <w:rPr>
          <w:rFonts w:ascii="Calibri" w:eastAsia="Calibri"/>
          <w:sz w:val="24"/>
        </w:rPr>
        <w:t>14</w:t>
      </w:r>
      <w:r>
        <w:rPr>
          <w:rFonts w:ascii="Calibri" w:eastAsia="Calibri"/>
          <w:spacing w:val="4"/>
          <w:sz w:val="24"/>
        </w:rPr>
        <w:t> </w:t>
      </w:r>
      <w:r>
        <w:rPr>
          <w:spacing w:val="-11"/>
          <w:sz w:val="24"/>
        </w:rPr>
        <w:t>天内作出变更指示。经研究后不同意作为变更的应由监理人书面答复承包人。</w:t>
      </w:r>
    </w:p>
    <w:p>
      <w:pPr>
        <w:pStyle w:val="ListParagraph"/>
        <w:numPr>
          <w:ilvl w:val="0"/>
          <w:numId w:val="46"/>
        </w:numPr>
        <w:tabs>
          <w:tab w:pos="1189" w:val="left" w:leader="none"/>
        </w:tabs>
        <w:spacing w:line="369" w:lineRule="auto" w:before="0" w:after="0"/>
        <w:ind w:left="226" w:right="1343" w:firstLine="360"/>
        <w:jc w:val="both"/>
        <w:rPr>
          <w:sz w:val="24"/>
        </w:rPr>
      </w:pPr>
      <w:r>
        <w:rPr>
          <w:sz w:val="24"/>
        </w:rPr>
        <w:t>若承包人收到监理人的变更意向书后认为难以实施此项变更，应以即通知监理人，说明原因并附详细依据。监理人与承包人和发包人协商后确定撤销、改变或不改变原变更意向书。</w:t>
      </w:r>
    </w:p>
    <w:p>
      <w:pPr>
        <w:pStyle w:val="ListParagraph"/>
        <w:numPr>
          <w:ilvl w:val="2"/>
          <w:numId w:val="38"/>
        </w:numPr>
        <w:tabs>
          <w:tab w:pos="1369" w:val="left" w:leader="none"/>
        </w:tabs>
        <w:spacing w:line="298" w:lineRule="exact" w:before="0" w:after="0"/>
        <w:ind w:left="1368" w:right="0" w:hanging="662"/>
        <w:jc w:val="left"/>
        <w:rPr>
          <w:sz w:val="24"/>
        </w:rPr>
      </w:pPr>
      <w:r>
        <w:rPr>
          <w:sz w:val="24"/>
        </w:rPr>
        <w:t>变更估价</w:t>
      </w:r>
    </w:p>
    <w:p>
      <w:pPr>
        <w:pStyle w:val="ListParagraph"/>
        <w:numPr>
          <w:ilvl w:val="0"/>
          <w:numId w:val="47"/>
        </w:numPr>
        <w:tabs>
          <w:tab w:pos="1189" w:val="left" w:leader="none"/>
        </w:tabs>
        <w:spacing w:line="362" w:lineRule="auto" w:before="140" w:after="0"/>
        <w:ind w:left="226" w:right="1347" w:firstLine="360"/>
        <w:jc w:val="both"/>
        <w:rPr>
          <w:sz w:val="24"/>
        </w:rPr>
      </w:pPr>
      <w:r>
        <w:rPr>
          <w:spacing w:val="-1"/>
          <w:sz w:val="24"/>
        </w:rPr>
        <w:t>除专用合同条款对期限另有约定外，承包人应在收到变更指示或变更意向书后</w:t>
      </w:r>
      <w:r>
        <w:rPr>
          <w:spacing w:val="-25"/>
          <w:sz w:val="24"/>
        </w:rPr>
        <w:t>的 </w:t>
      </w:r>
      <w:r>
        <w:rPr>
          <w:rFonts w:ascii="Calibri" w:eastAsia="Calibri"/>
          <w:sz w:val="24"/>
        </w:rPr>
        <w:t>14</w:t>
      </w:r>
      <w:r>
        <w:rPr>
          <w:rFonts w:ascii="Calibri" w:eastAsia="Calibri"/>
          <w:spacing w:val="17"/>
          <w:sz w:val="24"/>
        </w:rPr>
        <w:t> </w:t>
      </w:r>
      <w:r>
        <w:rPr>
          <w:spacing w:val="-3"/>
          <w:sz w:val="24"/>
        </w:rPr>
        <w:t>天内，向监理人提交变更标价书，报价内应根据第 </w:t>
      </w:r>
      <w:r>
        <w:rPr>
          <w:rFonts w:ascii="Calibri" w:eastAsia="Calibri"/>
          <w:sz w:val="24"/>
        </w:rPr>
        <w:t>15.4</w:t>
      </w:r>
      <w:r>
        <w:rPr>
          <w:rFonts w:ascii="Calibri" w:eastAsia="Calibri"/>
          <w:spacing w:val="17"/>
          <w:sz w:val="24"/>
        </w:rPr>
        <w:t> </w:t>
      </w:r>
      <w:r>
        <w:rPr>
          <w:sz w:val="24"/>
        </w:rPr>
        <w:t>款约定的估价原则，详细</w:t>
      </w:r>
    </w:p>
    <w:p>
      <w:pPr>
        <w:spacing w:after="0" w:line="362" w:lineRule="auto"/>
        <w:jc w:val="both"/>
        <w:rPr>
          <w:sz w:val="24"/>
        </w:rPr>
        <w:sectPr>
          <w:pgSz w:w="11910" w:h="16850"/>
          <w:pgMar w:header="911" w:footer="0" w:top="1380" w:bottom="280" w:left="1200" w:right="0"/>
        </w:sectPr>
      </w:pPr>
    </w:p>
    <w:p>
      <w:pPr>
        <w:pStyle w:val="BodyText"/>
        <w:spacing w:before="135"/>
        <w:ind w:left="226"/>
      </w:pPr>
      <w:r>
        <w:rPr/>
        <w:t>开列变更工作的价格组成其依据，并附必要的施工方法说明和有关图纸。</w:t>
      </w:r>
    </w:p>
    <w:p>
      <w:pPr>
        <w:pStyle w:val="ListParagraph"/>
        <w:numPr>
          <w:ilvl w:val="0"/>
          <w:numId w:val="47"/>
        </w:numPr>
        <w:tabs>
          <w:tab w:pos="1189" w:val="left" w:leader="none"/>
        </w:tabs>
        <w:spacing w:line="362" w:lineRule="auto" w:before="158" w:after="0"/>
        <w:ind w:left="226" w:right="1227" w:firstLine="360"/>
        <w:jc w:val="left"/>
        <w:rPr>
          <w:sz w:val="24"/>
        </w:rPr>
      </w:pPr>
      <w:r>
        <w:rPr>
          <w:sz w:val="24"/>
        </w:rPr>
        <w:t>变更工作影响工期的，承包人应提出调整工期的具体细节。监理人认为有必要</w:t>
      </w:r>
      <w:r>
        <w:rPr>
          <w:spacing w:val="-12"/>
          <w:sz w:val="24"/>
        </w:rPr>
        <w:t>时，可要求承包人提交要求提前或延长工期的施工进度计划及相应施工措施等详细资料。</w:t>
      </w:r>
    </w:p>
    <w:p>
      <w:pPr>
        <w:pStyle w:val="ListParagraph"/>
        <w:numPr>
          <w:ilvl w:val="0"/>
          <w:numId w:val="47"/>
        </w:numPr>
        <w:tabs>
          <w:tab w:pos="1189" w:val="left" w:leader="none"/>
        </w:tabs>
        <w:spacing w:line="240" w:lineRule="auto" w:before="2" w:after="0"/>
        <w:ind w:left="1188" w:right="0" w:hanging="602"/>
        <w:jc w:val="left"/>
        <w:rPr>
          <w:sz w:val="24"/>
        </w:rPr>
      </w:pPr>
      <w:r>
        <w:rPr>
          <w:spacing w:val="-10"/>
          <w:sz w:val="24"/>
        </w:rPr>
        <w:t>除专用合同条款对期限另有约定外，监理人收到承包人变更报价书后的 </w:t>
      </w:r>
      <w:r>
        <w:rPr>
          <w:rFonts w:ascii="Calibri" w:eastAsia="Calibri"/>
          <w:sz w:val="24"/>
        </w:rPr>
        <w:t>14</w:t>
      </w:r>
      <w:r>
        <w:rPr>
          <w:rFonts w:ascii="Calibri" w:eastAsia="Calibri"/>
          <w:spacing w:val="4"/>
          <w:sz w:val="24"/>
        </w:rPr>
        <w:t> </w:t>
      </w:r>
      <w:r>
        <w:rPr>
          <w:sz w:val="24"/>
        </w:rPr>
        <w:t>天内，</w:t>
      </w:r>
    </w:p>
    <w:p>
      <w:pPr>
        <w:pStyle w:val="BodyText"/>
        <w:spacing w:before="158"/>
        <w:ind w:left="226"/>
      </w:pPr>
      <w:r>
        <w:rPr/>
        <w:t>根据第 </w:t>
      </w:r>
      <w:r>
        <w:rPr>
          <w:rFonts w:ascii="Calibri" w:eastAsia="Calibri"/>
        </w:rPr>
        <w:t>15.4 </w:t>
      </w:r>
      <w:r>
        <w:rPr/>
        <w:t>款约定的估价原则，按照第 </w:t>
      </w:r>
      <w:r>
        <w:rPr>
          <w:rFonts w:ascii="Calibri" w:eastAsia="Calibri"/>
        </w:rPr>
        <w:t>3.5 </w:t>
      </w:r>
      <w:r>
        <w:rPr/>
        <w:t>款商定或确定变更价格。</w:t>
      </w:r>
    </w:p>
    <w:p>
      <w:pPr>
        <w:pStyle w:val="ListParagraph"/>
        <w:numPr>
          <w:ilvl w:val="2"/>
          <w:numId w:val="38"/>
        </w:numPr>
        <w:tabs>
          <w:tab w:pos="888" w:val="left" w:leader="none"/>
        </w:tabs>
        <w:spacing w:line="240" w:lineRule="auto" w:before="173" w:after="0"/>
        <w:ind w:left="887" w:right="0" w:hanging="662"/>
        <w:jc w:val="left"/>
        <w:rPr>
          <w:sz w:val="24"/>
        </w:rPr>
      </w:pPr>
      <w:r>
        <w:rPr/>
        <w:drawing>
          <wp:anchor distT="0" distB="0" distL="0" distR="0" allowOverlap="1" layoutInCell="1" locked="0" behindDoc="1" simplePos="0" relativeHeight="234762240">
            <wp:simplePos x="0" y="0"/>
            <wp:positionH relativeFrom="page">
              <wp:posOffset>992771</wp:posOffset>
            </wp:positionH>
            <wp:positionV relativeFrom="paragraph">
              <wp:posOffset>263023</wp:posOffset>
            </wp:positionV>
            <wp:extent cx="5578970" cy="5494141"/>
            <wp:effectExtent l="0" t="0" r="0" b="0"/>
            <wp:wrapNone/>
            <wp:docPr id="69" name="image1.png"/>
            <wp:cNvGraphicFramePr>
              <a:graphicFrameLocks noChangeAspect="1"/>
            </wp:cNvGraphicFramePr>
            <a:graphic>
              <a:graphicData uri="http://schemas.openxmlformats.org/drawingml/2006/picture">
                <pic:pic>
                  <pic:nvPicPr>
                    <pic:cNvPr id="7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变更指示</w:t>
      </w:r>
    </w:p>
    <w:p>
      <w:pPr>
        <w:pStyle w:val="ListParagraph"/>
        <w:numPr>
          <w:ilvl w:val="3"/>
          <w:numId w:val="38"/>
        </w:numPr>
        <w:tabs>
          <w:tab w:pos="1189" w:val="left" w:leader="none"/>
        </w:tabs>
        <w:spacing w:line="240" w:lineRule="auto" w:before="158" w:after="0"/>
        <w:ind w:left="1188" w:right="0" w:hanging="602"/>
        <w:jc w:val="left"/>
        <w:rPr>
          <w:sz w:val="24"/>
        </w:rPr>
      </w:pPr>
      <w:r>
        <w:rPr>
          <w:sz w:val="24"/>
        </w:rPr>
        <w:t>变更指示只能由监理人发出。 </w:t>
      </w:r>
    </w:p>
    <w:p>
      <w:pPr>
        <w:pStyle w:val="ListParagraph"/>
        <w:numPr>
          <w:ilvl w:val="3"/>
          <w:numId w:val="38"/>
        </w:numPr>
        <w:tabs>
          <w:tab w:pos="1189" w:val="left" w:leader="none"/>
        </w:tabs>
        <w:spacing w:line="362" w:lineRule="auto" w:before="158" w:after="0"/>
        <w:ind w:left="226" w:right="1346" w:firstLine="360"/>
        <w:jc w:val="left"/>
        <w:rPr>
          <w:sz w:val="24"/>
        </w:rPr>
      </w:pPr>
      <w:r>
        <w:rPr>
          <w:spacing w:val="-1"/>
          <w:sz w:val="24"/>
        </w:rPr>
        <w:t>变更指示应说变更的目的、范围、变更内容以及变更的工程量及其进度和技术要求，并附有关图纸和文件。承包人收到变更指示后，应按变更指示进行变更工作。</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变更的估价原则</w:t>
      </w:r>
    </w:p>
    <w:p>
      <w:pPr>
        <w:pStyle w:val="BodyText"/>
        <w:spacing w:before="173"/>
        <w:ind w:left="707"/>
      </w:pPr>
      <w:r>
        <w:rPr/>
        <w:t>除专用合同条款另有约定外，因变更引起的价格调整按照本款约定处理。</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己标价工程量清单中有适用于变更工作的子目的，采用该子目的单价。</w:t>
      </w:r>
    </w:p>
    <w:p>
      <w:pPr>
        <w:pStyle w:val="ListParagraph"/>
        <w:numPr>
          <w:ilvl w:val="2"/>
          <w:numId w:val="38"/>
        </w:numPr>
        <w:tabs>
          <w:tab w:pos="1429" w:val="left" w:leader="none"/>
        </w:tabs>
        <w:spacing w:line="362" w:lineRule="auto" w:before="158" w:after="0"/>
        <w:ind w:left="226" w:right="1342" w:firstLine="480"/>
        <w:jc w:val="left"/>
        <w:rPr>
          <w:sz w:val="24"/>
        </w:rPr>
      </w:pPr>
      <w:r>
        <w:rPr>
          <w:sz w:val="24"/>
        </w:rPr>
        <w:t>己标价工程量清单中无适用于变更工作的子目，但有类似子目的，可在合理</w:t>
      </w:r>
      <w:r>
        <w:rPr>
          <w:spacing w:val="-4"/>
          <w:sz w:val="24"/>
        </w:rPr>
        <w:t>范围内参照类似子目的单价，由监理人按第 </w:t>
      </w:r>
      <w:r>
        <w:rPr>
          <w:rFonts w:ascii="Calibri" w:eastAsia="Calibri"/>
          <w:sz w:val="24"/>
        </w:rPr>
        <w:t>3.5</w:t>
      </w:r>
      <w:r>
        <w:rPr>
          <w:rFonts w:ascii="Calibri" w:eastAsia="Calibri"/>
          <w:spacing w:val="4"/>
          <w:sz w:val="24"/>
        </w:rPr>
        <w:t> </w:t>
      </w:r>
      <w:r>
        <w:rPr>
          <w:sz w:val="24"/>
        </w:rPr>
        <w:t>款商定或确定变更工作的单价。</w:t>
      </w:r>
    </w:p>
    <w:p>
      <w:pPr>
        <w:pStyle w:val="ListParagraph"/>
        <w:numPr>
          <w:ilvl w:val="2"/>
          <w:numId w:val="38"/>
        </w:numPr>
        <w:tabs>
          <w:tab w:pos="1429" w:val="left" w:leader="none"/>
        </w:tabs>
        <w:spacing w:line="374" w:lineRule="auto" w:before="2" w:after="0"/>
        <w:ind w:left="226" w:right="1346" w:firstLine="480"/>
        <w:jc w:val="left"/>
        <w:rPr>
          <w:sz w:val="24"/>
        </w:rPr>
      </w:pPr>
      <w:r>
        <w:rPr>
          <w:spacing w:val="-1"/>
          <w:sz w:val="24"/>
        </w:rPr>
        <w:t>己标价工程量清单中无适用或类似子目的单价，可按照成本加利润的原则， </w:t>
      </w:r>
      <w:r>
        <w:rPr>
          <w:spacing w:val="-10"/>
          <w:sz w:val="24"/>
        </w:rPr>
        <w:t>由监理人按第 </w:t>
      </w:r>
      <w:r>
        <w:rPr>
          <w:rFonts w:ascii="Calibri" w:eastAsia="Calibri"/>
          <w:sz w:val="24"/>
        </w:rPr>
        <w:t>3.5</w:t>
      </w:r>
      <w:r>
        <w:rPr>
          <w:rFonts w:ascii="Calibri" w:eastAsia="Calibri"/>
          <w:spacing w:val="4"/>
          <w:sz w:val="24"/>
        </w:rPr>
        <w:t> </w:t>
      </w:r>
      <w:r>
        <w:rPr>
          <w:sz w:val="24"/>
        </w:rPr>
        <w:t>款商定或确定变更工作的单价。</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承包人的合理化建议</w:t>
      </w:r>
    </w:p>
    <w:p>
      <w:pPr>
        <w:pStyle w:val="ListParagraph"/>
        <w:numPr>
          <w:ilvl w:val="2"/>
          <w:numId w:val="38"/>
        </w:numPr>
        <w:tabs>
          <w:tab w:pos="1429" w:val="left" w:leader="none"/>
        </w:tabs>
        <w:spacing w:line="367" w:lineRule="auto" w:before="158" w:after="0"/>
        <w:ind w:left="226" w:right="1343" w:firstLine="480"/>
        <w:jc w:val="both"/>
        <w:rPr>
          <w:sz w:val="24"/>
        </w:rPr>
      </w:pPr>
      <w:r>
        <w:rPr>
          <w:sz w:val="24"/>
        </w:rPr>
        <w:t>在履行合同过程中，承包人对发包人提供的图纸、技术要求以及其他方面提出的合理化建议，均应以书面形式提交监理人。合理化建议书的内容应包括建议工作的详细说明、进度计划和效益以及与其他工作的协调等，并附必要的设计文件。监理人应</w:t>
      </w:r>
      <w:r>
        <w:rPr>
          <w:spacing w:val="-3"/>
          <w:sz w:val="24"/>
        </w:rPr>
        <w:t>与发包人协商是否采纳建议。建议被采纳并构成变更的，应按第 </w:t>
      </w:r>
      <w:r>
        <w:rPr>
          <w:rFonts w:ascii="Calibri" w:eastAsia="Calibri"/>
          <w:sz w:val="24"/>
        </w:rPr>
        <w:t>15.3.3 </w:t>
      </w:r>
      <w:r>
        <w:rPr>
          <w:sz w:val="24"/>
        </w:rPr>
        <w:t>项约定向承包人发出变更指示。</w:t>
      </w:r>
    </w:p>
    <w:p>
      <w:pPr>
        <w:pStyle w:val="ListParagraph"/>
        <w:numPr>
          <w:ilvl w:val="2"/>
          <w:numId w:val="38"/>
        </w:numPr>
        <w:tabs>
          <w:tab w:pos="1429" w:val="left" w:leader="none"/>
        </w:tabs>
        <w:spacing w:line="362" w:lineRule="auto" w:before="0" w:after="0"/>
        <w:ind w:left="226" w:right="1342" w:firstLine="480"/>
        <w:jc w:val="both"/>
        <w:rPr>
          <w:sz w:val="24"/>
        </w:rPr>
      </w:pPr>
      <w:r>
        <w:rPr>
          <w:sz w:val="24"/>
        </w:rPr>
        <w:t>承包人提出的合理化建议降低了合同价格、缩短了工期或者提高了工程经济效益的，发包人可按国家有关规定在专用合同条款中约定给予奖励。</w:t>
      </w:r>
    </w:p>
    <w:p>
      <w:pPr>
        <w:pStyle w:val="BodyText"/>
        <w:spacing w:before="4"/>
      </w:pPr>
    </w:p>
    <w:p>
      <w:pPr>
        <w:pStyle w:val="Heading6"/>
        <w:numPr>
          <w:ilvl w:val="0"/>
          <w:numId w:val="38"/>
        </w:numPr>
        <w:tabs>
          <w:tab w:pos="618" w:val="left" w:leader="none"/>
        </w:tabs>
        <w:spacing w:line="240" w:lineRule="auto" w:before="1" w:after="0"/>
        <w:ind w:left="617" w:right="0" w:hanging="392"/>
        <w:jc w:val="left"/>
      </w:pPr>
      <w:bookmarkStart w:name="16价格调整" w:id="96"/>
      <w:bookmarkEnd w:id="96"/>
      <w:r>
        <w:rPr>
          <w:b w:val="0"/>
        </w:rPr>
      </w:r>
      <w:bookmarkStart w:name="16价格调整" w:id="97"/>
      <w:bookmarkEnd w:id="97"/>
      <w:r>
        <w:rPr/>
        <w:t>价格调整</w:t>
      </w:r>
    </w:p>
    <w:p>
      <w:pPr>
        <w:pStyle w:val="BodyText"/>
        <w:spacing w:before="9"/>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物价波动引起的价格调整</w:t>
      </w:r>
    </w:p>
    <w:p>
      <w:pPr>
        <w:pStyle w:val="BodyText"/>
        <w:spacing w:line="362" w:lineRule="auto" w:before="158"/>
        <w:ind w:left="226" w:right="1342" w:firstLine="480"/>
      </w:pPr>
      <w:r>
        <w:rPr/>
        <w:t>由于物价波动原因引起合同价格需要调整的，其价格调整方式在专用合同条款中约定。除专用合同条款另有约定外，因物价波动引起的价格调整按照本款约定处理。</w:t>
      </w:r>
    </w:p>
    <w:p>
      <w:pPr>
        <w:spacing w:after="0" w:line="362" w:lineRule="auto"/>
        <w:sectPr>
          <w:pgSz w:w="11910" w:h="16850"/>
          <w:pgMar w:header="911" w:footer="0" w:top="1380" w:bottom="280" w:left="1200" w:right="0"/>
        </w:sectPr>
      </w:pPr>
    </w:p>
    <w:p>
      <w:pPr>
        <w:pStyle w:val="ListParagraph"/>
        <w:numPr>
          <w:ilvl w:val="2"/>
          <w:numId w:val="38"/>
        </w:numPr>
        <w:tabs>
          <w:tab w:pos="1444" w:val="left" w:leader="none"/>
        </w:tabs>
        <w:spacing w:line="240" w:lineRule="auto" w:before="135" w:after="0"/>
        <w:ind w:left="1443" w:right="0" w:hanging="737"/>
        <w:jc w:val="left"/>
        <w:rPr>
          <w:sz w:val="24"/>
        </w:rPr>
      </w:pPr>
      <w:r>
        <w:rPr>
          <w:sz w:val="24"/>
        </w:rPr>
        <w:t>采用价格指数调整价格差额</w:t>
      </w:r>
    </w:p>
    <w:p>
      <w:pPr>
        <w:pStyle w:val="ListParagraph"/>
        <w:numPr>
          <w:ilvl w:val="3"/>
          <w:numId w:val="48"/>
        </w:numPr>
        <w:tabs>
          <w:tab w:pos="1624" w:val="left" w:leader="none"/>
        </w:tabs>
        <w:spacing w:line="240" w:lineRule="auto" w:before="158" w:after="0"/>
        <w:ind w:left="1623" w:right="0" w:hanging="917"/>
        <w:jc w:val="left"/>
        <w:rPr>
          <w:sz w:val="24"/>
        </w:rPr>
      </w:pPr>
      <w:r>
        <w:rPr>
          <w:sz w:val="24"/>
        </w:rPr>
        <w:t>价格调整公式</w:t>
      </w:r>
    </w:p>
    <w:p>
      <w:pPr>
        <w:pStyle w:val="BodyText"/>
        <w:spacing w:line="362" w:lineRule="auto" w:before="158"/>
        <w:ind w:left="226" w:right="1342" w:firstLine="480"/>
      </w:pPr>
      <w:r>
        <w:rPr/>
        <w:t>因人工、材料和设备等价格波动影响合同价格时，根据投标函附录中的价格指数和权重表约定的数据，按以下公式计算差额并调整合同价格。</w:t>
      </w:r>
    </w:p>
    <w:p>
      <w:pPr>
        <w:pStyle w:val="BodyText"/>
        <w:tabs>
          <w:tab w:pos="4142" w:val="left" w:leader="none"/>
          <w:tab w:pos="5535" w:val="left" w:leader="none"/>
          <w:tab w:pos="7901" w:val="left" w:leader="none"/>
        </w:tabs>
        <w:spacing w:line="291" w:lineRule="exact"/>
        <w:ind w:left="2750"/>
        <w:rPr>
          <w:rFonts w:ascii="Calibri"/>
        </w:rPr>
      </w:pPr>
      <w:r>
        <w:rPr>
          <w:rFonts w:ascii="Calibri"/>
          <w:spacing w:val="-4"/>
        </w:rPr>
        <w:t>Ft1</w:t>
        <w:tab/>
        <w:t>Ft2</w:t>
        <w:tab/>
        <w:t>Ft3</w:t>
        <w:tab/>
        <w:t>Ftn</w:t>
      </w:r>
    </w:p>
    <w:p>
      <w:pPr>
        <w:pStyle w:val="BodyText"/>
        <w:spacing w:before="191"/>
        <w:ind w:left="647"/>
      </w:pPr>
      <w:r>
        <w:rPr/>
        <w:drawing>
          <wp:anchor distT="0" distB="0" distL="0" distR="0" allowOverlap="1" layoutInCell="1" locked="0" behindDoc="1" simplePos="0" relativeHeight="234763264">
            <wp:simplePos x="0" y="0"/>
            <wp:positionH relativeFrom="page">
              <wp:posOffset>992771</wp:posOffset>
            </wp:positionH>
            <wp:positionV relativeFrom="paragraph">
              <wp:posOffset>274453</wp:posOffset>
            </wp:positionV>
            <wp:extent cx="5578970" cy="5494141"/>
            <wp:effectExtent l="0" t="0" r="0" b="0"/>
            <wp:wrapNone/>
            <wp:docPr id="71" name="image1.png"/>
            <wp:cNvGraphicFramePr>
              <a:graphicFrameLocks noChangeAspect="1"/>
            </wp:cNvGraphicFramePr>
            <a:graphic>
              <a:graphicData uri="http://schemas.openxmlformats.org/drawingml/2006/picture">
                <pic:pic>
                  <pic:nvPicPr>
                    <pic:cNvPr id="72" name="image1.png"/>
                    <pic:cNvPicPr/>
                  </pic:nvPicPr>
                  <pic:blipFill>
                    <a:blip r:embed="rId6" cstate="print"/>
                    <a:stretch>
                      <a:fillRect/>
                    </a:stretch>
                  </pic:blipFill>
                  <pic:spPr>
                    <a:xfrm>
                      <a:off x="0" y="0"/>
                      <a:ext cx="5578970" cy="5494141"/>
                    </a:xfrm>
                    <a:prstGeom prst="rect">
                      <a:avLst/>
                    </a:prstGeom>
                  </pic:spPr>
                </pic:pic>
              </a:graphicData>
            </a:graphic>
          </wp:anchor>
        </w:drawing>
      </w:r>
      <w:r>
        <w:rPr/>
        <w:t>△ </w:t>
      </w:r>
      <w:r>
        <w:rPr>
          <w:rFonts w:ascii="Calibri" w:hAnsi="Calibri" w:eastAsia="Calibri"/>
        </w:rPr>
        <w:t>P=PO</w:t>
      </w:r>
      <w:r>
        <w:rPr/>
        <w:t>［</w:t>
      </w:r>
      <w:r>
        <w:rPr>
          <w:rFonts w:ascii="Calibri" w:hAnsi="Calibri" w:eastAsia="Calibri"/>
        </w:rPr>
        <w:t>A+</w:t>
      </w:r>
      <w:r>
        <w:rPr/>
        <w:t>｛</w:t>
      </w:r>
      <w:r>
        <w:rPr>
          <w:rFonts w:ascii="Calibri" w:hAnsi="Calibri" w:eastAsia="Calibri"/>
        </w:rPr>
        <w:t>B1</w:t>
      </w:r>
      <w:r>
        <w:rPr/>
        <w:t>×—＋</w:t>
      </w:r>
      <w:r>
        <w:rPr>
          <w:rFonts w:ascii="Calibri" w:hAnsi="Calibri" w:eastAsia="Calibri"/>
        </w:rPr>
        <w:t>B2</w:t>
      </w:r>
      <w:r>
        <w:rPr/>
        <w:t>×—＋</w:t>
      </w:r>
      <w:r>
        <w:rPr>
          <w:rFonts w:ascii="Calibri" w:hAnsi="Calibri" w:eastAsia="Calibri"/>
        </w:rPr>
        <w:t>B3</w:t>
      </w:r>
      <w:r>
        <w:rPr/>
        <w:t>×—＋…＋</w:t>
      </w:r>
      <w:r>
        <w:rPr>
          <w:rFonts w:ascii="Calibri" w:hAnsi="Calibri" w:eastAsia="Calibri"/>
        </w:rPr>
        <w:t>Bn</w:t>
      </w:r>
      <w:r>
        <w:rPr/>
        <w:t>×—｝－</w:t>
      </w:r>
      <w:r>
        <w:rPr>
          <w:rFonts w:ascii="Calibri" w:hAnsi="Calibri" w:eastAsia="Calibri"/>
        </w:rPr>
        <w:t>1</w:t>
      </w:r>
      <w:r>
        <w:rPr/>
        <w:t>］</w:t>
      </w:r>
    </w:p>
    <w:p>
      <w:pPr>
        <w:pStyle w:val="BodyText"/>
        <w:tabs>
          <w:tab w:pos="4008" w:val="left" w:leader="none"/>
          <w:tab w:pos="5191" w:val="left" w:leader="none"/>
          <w:tab w:pos="7228" w:val="left" w:leader="none"/>
        </w:tabs>
        <w:spacing w:before="154"/>
        <w:ind w:left="2690"/>
        <w:rPr>
          <w:rFonts w:ascii="Calibri"/>
        </w:rPr>
      </w:pPr>
      <w:r>
        <w:rPr>
          <w:rFonts w:ascii="Calibri"/>
          <w:spacing w:val="-3"/>
        </w:rPr>
        <w:t>F01</w:t>
        <w:tab/>
        <w:t>F02</w:t>
        <w:tab/>
        <w:t>F03</w:t>
        <w:tab/>
        <w:t>F04</w:t>
      </w:r>
    </w:p>
    <w:p>
      <w:pPr>
        <w:pStyle w:val="BodyText"/>
        <w:spacing w:before="176"/>
        <w:ind w:left="707"/>
        <w:jc w:val="both"/>
      </w:pPr>
      <w:r>
        <w:rPr/>
        <w:t>式中：△ </w:t>
      </w:r>
      <w:r>
        <w:rPr>
          <w:rFonts w:ascii="Calibri" w:hAnsi="Calibri" w:eastAsia="Calibri"/>
        </w:rPr>
        <w:t>P </w:t>
      </w:r>
      <w:r>
        <w:rPr/>
        <w:t>一需调整的价格差额；</w:t>
      </w:r>
    </w:p>
    <w:p>
      <w:pPr>
        <w:pStyle w:val="BodyText"/>
        <w:spacing w:line="369" w:lineRule="auto" w:before="159"/>
        <w:ind w:left="226" w:right="1343"/>
        <w:jc w:val="both"/>
      </w:pPr>
      <w:r>
        <w:rPr>
          <w:rFonts w:ascii="Calibri" w:eastAsia="Calibri"/>
        </w:rPr>
        <w:t>PO </w:t>
      </w:r>
      <w:r>
        <w:rPr>
          <w:spacing w:val="-21"/>
        </w:rPr>
        <w:t>一第 </w:t>
      </w:r>
      <w:r>
        <w:rPr>
          <w:rFonts w:ascii="Calibri" w:eastAsia="Calibri"/>
        </w:rPr>
        <w:t>17.3.3 </w:t>
      </w:r>
      <w:r>
        <w:rPr>
          <w:spacing w:val="-43"/>
        </w:rPr>
        <w:t>项、第 </w:t>
      </w:r>
      <w:r>
        <w:rPr>
          <w:rFonts w:ascii="Calibri" w:eastAsia="Calibri"/>
        </w:rPr>
        <w:t>17.5 .2 </w:t>
      </w:r>
      <w:r>
        <w:rPr>
          <w:spacing w:val="-16"/>
        </w:rPr>
        <w:t>项和第 </w:t>
      </w:r>
      <w:r>
        <w:rPr>
          <w:rFonts w:ascii="Calibri" w:eastAsia="Calibri"/>
        </w:rPr>
        <w:t>17.6.2 </w:t>
      </w:r>
      <w:r>
        <w:rPr/>
        <w:t>项约定的付款证书中承包人应得到的己完成工程量的金额。此项金额应不包括价格调整、不计质量保证金的扣留和支付、预付款的</w:t>
      </w:r>
      <w:r>
        <w:rPr>
          <w:spacing w:val="-8"/>
        </w:rPr>
        <w:t>支付和扣回。第 </w:t>
      </w:r>
      <w:r>
        <w:rPr>
          <w:sz w:val="21"/>
        </w:rPr>
        <w:t>1</w:t>
      </w:r>
      <w:r>
        <w:rPr>
          <w:rFonts w:ascii="Calibri" w:eastAsia="Calibri"/>
        </w:rPr>
        <w:t>5 </w:t>
      </w:r>
      <w:r>
        <w:rPr/>
        <w:t>条约定的变更及其他金额已按现行价格计价的，也不计在内；</w:t>
      </w:r>
    </w:p>
    <w:p>
      <w:pPr>
        <w:pStyle w:val="BodyText"/>
        <w:spacing w:line="298" w:lineRule="exact"/>
        <w:ind w:left="226"/>
        <w:jc w:val="both"/>
      </w:pPr>
      <w:r>
        <w:rPr>
          <w:rFonts w:ascii="Calibri" w:eastAsia="Calibri"/>
        </w:rPr>
        <w:t>A</w:t>
      </w:r>
      <w:r>
        <w:rPr>
          <w:rFonts w:ascii="Calibri" w:eastAsia="Calibri"/>
          <w:spacing w:val="1"/>
        </w:rPr>
        <w:t> ---</w:t>
      </w:r>
      <w:r>
        <w:rPr/>
        <w:t>定值权重（即不调部分的权重</w:t>
      </w:r>
      <w:r>
        <w:rPr>
          <w:spacing w:val="-120"/>
        </w:rPr>
        <w:t>）</w:t>
      </w:r>
      <w:r>
        <w:rPr/>
        <w:t>；</w:t>
      </w:r>
    </w:p>
    <w:p>
      <w:pPr>
        <w:pStyle w:val="BodyText"/>
        <w:spacing w:line="362" w:lineRule="auto" w:before="158"/>
        <w:ind w:left="226" w:right="1315"/>
      </w:pPr>
      <w:r>
        <w:rPr>
          <w:rFonts w:ascii="Calibri" w:hAnsi="Calibri" w:eastAsia="Calibri"/>
        </w:rPr>
        <w:t>B1</w:t>
      </w:r>
      <w:r>
        <w:rPr/>
        <w:t>；</w:t>
      </w:r>
      <w:r>
        <w:rPr>
          <w:rFonts w:ascii="Calibri" w:hAnsi="Calibri" w:eastAsia="Calibri"/>
        </w:rPr>
        <w:t>B2</w:t>
      </w:r>
      <w:r>
        <w:rPr/>
        <w:t>；</w:t>
      </w:r>
      <w:r>
        <w:rPr>
          <w:rFonts w:ascii="Calibri" w:hAnsi="Calibri" w:eastAsia="Calibri"/>
        </w:rPr>
        <w:t>B3</w:t>
      </w:r>
      <w:r>
        <w:rPr/>
        <w:t>；……</w:t>
      </w:r>
      <w:r>
        <w:rPr>
          <w:rFonts w:ascii="Calibri" w:hAnsi="Calibri" w:eastAsia="Calibri"/>
        </w:rPr>
        <w:t>Bn---</w:t>
      </w:r>
      <w:r>
        <w:rPr/>
        <w:t>各可调因子的变值权重（即可调部分的权重）为各可调因子在投标函投标总报价中所占的比例；</w:t>
      </w:r>
    </w:p>
    <w:p>
      <w:pPr>
        <w:pStyle w:val="BodyText"/>
        <w:spacing w:before="2"/>
        <w:ind w:left="226"/>
      </w:pPr>
      <w:r>
        <w:rPr>
          <w:rFonts w:ascii="Calibri" w:hAnsi="Calibri" w:eastAsia="Calibri"/>
        </w:rPr>
        <w:t>Ft1</w:t>
      </w:r>
      <w:r>
        <w:rPr/>
        <w:t>；</w:t>
      </w:r>
      <w:r>
        <w:rPr>
          <w:rFonts w:ascii="Calibri" w:hAnsi="Calibri" w:eastAsia="Calibri"/>
        </w:rPr>
        <w:t>Ft2</w:t>
      </w:r>
      <w:r>
        <w:rPr/>
        <w:t>；</w:t>
      </w:r>
      <w:r>
        <w:rPr>
          <w:rFonts w:ascii="Calibri" w:hAnsi="Calibri" w:eastAsia="Calibri"/>
        </w:rPr>
        <w:t>Ft3</w:t>
      </w:r>
      <w:r>
        <w:rPr/>
        <w:t>；……</w:t>
      </w:r>
      <w:r>
        <w:rPr>
          <w:rFonts w:ascii="Calibri" w:hAnsi="Calibri" w:eastAsia="Calibri"/>
        </w:rPr>
        <w:t>Ftn---</w:t>
      </w:r>
      <w:r>
        <w:rPr/>
        <w:t>各可调因子的现行价格指数，指第 </w:t>
      </w:r>
      <w:r>
        <w:rPr>
          <w:rFonts w:ascii="Calibri" w:hAnsi="Calibri" w:eastAsia="Calibri"/>
        </w:rPr>
        <w:t>17.3.3 </w:t>
      </w:r>
      <w:r>
        <w:rPr/>
        <w:t>项、第 </w:t>
      </w:r>
      <w:r>
        <w:rPr>
          <w:rFonts w:ascii="Calibri" w:hAnsi="Calibri" w:eastAsia="Calibri"/>
        </w:rPr>
        <w:t>17.5.2 </w:t>
      </w:r>
      <w:r>
        <w:rPr/>
        <w:t>项和</w:t>
      </w:r>
    </w:p>
    <w:p>
      <w:pPr>
        <w:pStyle w:val="BodyText"/>
        <w:spacing w:line="362" w:lineRule="auto" w:before="172"/>
        <w:ind w:left="226" w:right="1348"/>
      </w:pPr>
      <w:r>
        <w:rPr/>
        <w:t>第 </w:t>
      </w:r>
      <w:r>
        <w:rPr>
          <w:rFonts w:ascii="Calibri" w:hAnsi="Calibri" w:eastAsia="Calibri"/>
        </w:rPr>
        <w:t>17.6.2 </w:t>
      </w:r>
      <w:r>
        <w:rPr/>
        <w:t>项约定的付款证书相关周期最后一天的前 </w:t>
      </w:r>
      <w:r>
        <w:rPr>
          <w:rFonts w:ascii="Calibri" w:hAnsi="Calibri" w:eastAsia="Calibri"/>
        </w:rPr>
        <w:t>42 </w:t>
      </w:r>
      <w:r>
        <w:rPr/>
        <w:t>天的各可调因子的价格指数； </w:t>
      </w:r>
      <w:r>
        <w:rPr>
          <w:rFonts w:ascii="Calibri" w:hAnsi="Calibri" w:eastAsia="Calibri"/>
        </w:rPr>
        <w:t>F01</w:t>
      </w:r>
      <w:r>
        <w:rPr/>
        <w:t>；</w:t>
      </w:r>
      <w:r>
        <w:rPr>
          <w:rFonts w:ascii="Calibri" w:hAnsi="Calibri" w:eastAsia="Calibri"/>
        </w:rPr>
        <w:t>F02</w:t>
      </w:r>
      <w:r>
        <w:rPr/>
        <w:t>；</w:t>
      </w:r>
      <w:r>
        <w:rPr>
          <w:rFonts w:ascii="Calibri" w:hAnsi="Calibri" w:eastAsia="Calibri"/>
        </w:rPr>
        <w:t>F03</w:t>
      </w:r>
      <w:r>
        <w:rPr/>
        <w:t>；……</w:t>
      </w:r>
      <w:r>
        <w:rPr>
          <w:rFonts w:ascii="Calibri" w:hAnsi="Calibri" w:eastAsia="Calibri"/>
        </w:rPr>
        <w:t>F0n---</w:t>
      </w:r>
      <w:r>
        <w:rPr/>
        <w:t>各可调因子的基本价格指数，指基准日期的各可调因子的价格指数。</w:t>
      </w:r>
    </w:p>
    <w:p>
      <w:pPr>
        <w:pStyle w:val="BodyText"/>
        <w:spacing w:line="369" w:lineRule="auto" w:before="4"/>
        <w:ind w:left="226" w:right="1343"/>
        <w:jc w:val="both"/>
      </w:pPr>
      <w:r>
        <w:rPr/>
        <w:t>以上价格调整公式中的各可调因子、定值和变值权重，以及基本价格指数及其来源在投标函附录价格指数和权重表中约定。价格指数应首先采用有关部门提供的价格指数，缺乏上述价格指数时，可采用有关部门提供的价格代替。</w:t>
      </w:r>
    </w:p>
    <w:p>
      <w:pPr>
        <w:pStyle w:val="ListParagraph"/>
        <w:numPr>
          <w:ilvl w:val="3"/>
          <w:numId w:val="48"/>
        </w:numPr>
        <w:tabs>
          <w:tab w:pos="1624" w:val="left" w:leader="none"/>
        </w:tabs>
        <w:spacing w:line="298" w:lineRule="exact" w:before="0" w:after="0"/>
        <w:ind w:left="1623" w:right="0" w:hanging="917"/>
        <w:jc w:val="left"/>
        <w:rPr>
          <w:sz w:val="24"/>
        </w:rPr>
      </w:pPr>
      <w:r>
        <w:rPr>
          <w:sz w:val="24"/>
        </w:rPr>
        <w:t>暂时确定调整差额</w:t>
      </w:r>
    </w:p>
    <w:p>
      <w:pPr>
        <w:pStyle w:val="BodyText"/>
        <w:spacing w:line="362" w:lineRule="auto" w:before="158"/>
        <w:ind w:left="226" w:right="1343"/>
      </w:pPr>
      <w:r>
        <w:rPr/>
        <w:t>在计算调整差额时得不到现行价格指数的，可暂用上一次价格指数计算，并在以后的付款中再按实际价格指数进行调整。</w:t>
      </w:r>
    </w:p>
    <w:p>
      <w:pPr>
        <w:pStyle w:val="ListParagraph"/>
        <w:numPr>
          <w:ilvl w:val="3"/>
          <w:numId w:val="48"/>
        </w:numPr>
        <w:tabs>
          <w:tab w:pos="1624" w:val="left" w:leader="none"/>
        </w:tabs>
        <w:spacing w:line="240" w:lineRule="auto" w:before="2" w:after="0"/>
        <w:ind w:left="1623" w:right="0" w:hanging="917"/>
        <w:jc w:val="left"/>
        <w:rPr>
          <w:sz w:val="24"/>
        </w:rPr>
      </w:pPr>
      <w:r>
        <w:rPr>
          <w:sz w:val="24"/>
        </w:rPr>
        <w:t>权重的调整</w:t>
      </w:r>
    </w:p>
    <w:p>
      <w:pPr>
        <w:pStyle w:val="BodyText"/>
        <w:spacing w:line="362" w:lineRule="auto" w:before="173"/>
        <w:ind w:left="226" w:right="1343"/>
      </w:pPr>
      <w:r>
        <w:rPr>
          <w:spacing w:val="-21"/>
        </w:rPr>
        <w:t>按第 </w:t>
      </w:r>
      <w:r>
        <w:rPr>
          <w:rFonts w:ascii="Calibri" w:eastAsia="Calibri"/>
        </w:rPr>
        <w:t>15.1 </w:t>
      </w:r>
      <w:r>
        <w:rPr>
          <w:spacing w:val="-6"/>
        </w:rPr>
        <w:t>款约定的变更导致原定合同中的权重不合理时，由监理人与承包人和发包人协商后进行调整。</w:t>
      </w:r>
    </w:p>
    <w:p>
      <w:pPr>
        <w:pStyle w:val="ListParagraph"/>
        <w:numPr>
          <w:ilvl w:val="3"/>
          <w:numId w:val="48"/>
        </w:numPr>
        <w:tabs>
          <w:tab w:pos="1624" w:val="left" w:leader="none"/>
        </w:tabs>
        <w:spacing w:line="240" w:lineRule="auto" w:before="2" w:after="0"/>
        <w:ind w:left="1623" w:right="0" w:hanging="917"/>
        <w:jc w:val="left"/>
        <w:rPr>
          <w:sz w:val="24"/>
        </w:rPr>
      </w:pPr>
      <w:r>
        <w:rPr>
          <w:sz w:val="24"/>
        </w:rPr>
        <w:t>承包人工期延误后的价格调整</w:t>
      </w:r>
    </w:p>
    <w:p>
      <w:pPr>
        <w:pStyle w:val="BodyText"/>
        <w:spacing w:line="362" w:lineRule="auto" w:before="158"/>
        <w:ind w:left="226" w:right="1284"/>
      </w:pPr>
      <w:r>
        <w:rPr/>
        <w:t>由于承包人原因未在约定的工期内竣工的，则对原约定竣工日期后继续施工的工程，在使用第 </w:t>
      </w:r>
      <w:r>
        <w:rPr>
          <w:rFonts w:ascii="Calibri" w:eastAsia="Calibri"/>
        </w:rPr>
        <w:t>16.1.1. 1 </w:t>
      </w:r>
      <w:r>
        <w:rPr/>
        <w:t>目价格调整公式时，应采用原约定竣工日期与实际竣工日期的两个价格</w:t>
      </w:r>
    </w:p>
    <w:p>
      <w:pPr>
        <w:spacing w:after="0" w:line="362" w:lineRule="auto"/>
        <w:sectPr>
          <w:pgSz w:w="11910" w:h="16850"/>
          <w:pgMar w:header="911" w:footer="0" w:top="1380" w:bottom="280" w:left="1200" w:right="0"/>
        </w:sectPr>
      </w:pPr>
    </w:p>
    <w:p>
      <w:pPr>
        <w:pStyle w:val="BodyText"/>
        <w:spacing w:line="364" w:lineRule="auto" w:before="135"/>
        <w:ind w:left="226" w:right="1343"/>
        <w:jc w:val="both"/>
      </w:pPr>
      <w:r>
        <w:rPr/>
        <w:drawing>
          <wp:anchor distT="0" distB="0" distL="0" distR="0" allowOverlap="1" layoutInCell="1" locked="0" behindDoc="1" simplePos="0" relativeHeight="234764288">
            <wp:simplePos x="0" y="0"/>
            <wp:positionH relativeFrom="page">
              <wp:posOffset>992771</wp:posOffset>
            </wp:positionH>
            <wp:positionV relativeFrom="paragraph">
              <wp:posOffset>1725935</wp:posOffset>
            </wp:positionV>
            <wp:extent cx="5578970" cy="5494141"/>
            <wp:effectExtent l="0" t="0" r="0" b="0"/>
            <wp:wrapNone/>
            <wp:docPr id="73" name="image1.png"/>
            <wp:cNvGraphicFramePr>
              <a:graphicFrameLocks noChangeAspect="1"/>
            </wp:cNvGraphicFramePr>
            <a:graphic>
              <a:graphicData uri="http://schemas.openxmlformats.org/drawingml/2006/picture">
                <pic:pic>
                  <pic:nvPicPr>
                    <pic:cNvPr id="74" name="image1.png"/>
                    <pic:cNvPicPr/>
                  </pic:nvPicPr>
                  <pic:blipFill>
                    <a:blip r:embed="rId6" cstate="print"/>
                    <a:stretch>
                      <a:fillRect/>
                    </a:stretch>
                  </pic:blipFill>
                  <pic:spPr>
                    <a:xfrm>
                      <a:off x="0" y="0"/>
                      <a:ext cx="5578970" cy="5494141"/>
                    </a:xfrm>
                    <a:prstGeom prst="rect">
                      <a:avLst/>
                    </a:prstGeom>
                  </pic:spPr>
                </pic:pic>
              </a:graphicData>
            </a:graphic>
          </wp:anchor>
        </w:drawing>
      </w:r>
      <w:r>
        <w:rPr/>
        <w:t>指数中较低的一个作为现行价格指数。</w:t>
      </w:r>
      <w:r>
        <w:rPr>
          <w:rFonts w:ascii="Calibri" w:eastAsia="Calibri"/>
        </w:rPr>
        <w:t>16.1.2 </w:t>
      </w:r>
      <w:r>
        <w:rPr/>
        <w:t>采用造价信息调整价格差额施工期内，因人工、材料、设备和机械台班价格波动影响合同价格时，人工、机械使用费按照国家或省、自治区、直辖市建设行政管理部门、行业建设管理部门或其授权的工程造价管理机构发布的人工成本信息、机械台班单价或机械使用费系数进行调整；需要进行价格调整的材料，其单价和采购数应由监理人复核，监理人确认需调整的材料单价及数量，作为调整工程合同价格差额的依据。工程造价信息的来源以及价格调整的项目和系数在专用合同条款中约定。</w:t>
      </w:r>
    </w:p>
    <w:p>
      <w:pPr>
        <w:pStyle w:val="ListParagraph"/>
        <w:numPr>
          <w:ilvl w:val="1"/>
          <w:numId w:val="38"/>
        </w:numPr>
        <w:tabs>
          <w:tab w:pos="1067" w:val="left" w:leader="none"/>
          <w:tab w:pos="1068" w:val="left" w:leader="none"/>
        </w:tabs>
        <w:spacing w:line="240" w:lineRule="auto" w:before="1" w:after="0"/>
        <w:ind w:left="1068" w:right="0" w:hanging="842"/>
        <w:jc w:val="left"/>
        <w:rPr>
          <w:rFonts w:ascii="黑体" w:eastAsia="黑体" w:hint="eastAsia"/>
          <w:sz w:val="24"/>
        </w:rPr>
      </w:pPr>
      <w:r>
        <w:rPr>
          <w:rFonts w:ascii="黑体" w:eastAsia="黑体" w:hint="eastAsia"/>
          <w:sz w:val="24"/>
        </w:rPr>
        <w:t>法律变化引起的价格调整</w:t>
      </w:r>
    </w:p>
    <w:p>
      <w:pPr>
        <w:pStyle w:val="BodyText"/>
        <w:spacing w:line="369" w:lineRule="auto" w:before="158"/>
        <w:ind w:left="226" w:right="1221" w:firstLine="480"/>
      </w:pPr>
      <w:r>
        <w:rPr>
          <w:spacing w:val="-2"/>
        </w:rPr>
        <w:t>在基准日后，因法律变化导致承包人在合同履行中所需要的工程费用发生除第 </w:t>
      </w:r>
      <w:r>
        <w:rPr>
          <w:rFonts w:ascii="Calibri" w:eastAsia="Calibri"/>
        </w:rPr>
        <w:t>16.1 </w:t>
      </w:r>
      <w:r>
        <w:rPr>
          <w:spacing w:val="-8"/>
        </w:rPr>
        <w:t>款约定以外的增减时，监理人应根据法律、国家或省、自治区、直辖市有关部门的规定， </w:t>
      </w:r>
      <w:r>
        <w:rPr>
          <w:spacing w:val="-26"/>
        </w:rPr>
        <w:t>按第 </w:t>
      </w:r>
      <w:r>
        <w:rPr>
          <w:rFonts w:ascii="Calibri" w:eastAsia="Calibri"/>
        </w:rPr>
        <w:t>3.5</w:t>
      </w:r>
      <w:r>
        <w:rPr>
          <w:rFonts w:ascii="Calibri" w:eastAsia="Calibri"/>
          <w:spacing w:val="9"/>
        </w:rPr>
        <w:t> </w:t>
      </w:r>
      <w:r>
        <w:rPr/>
        <w:t>款商定或确定需调整的合同价款。</w:t>
      </w:r>
    </w:p>
    <w:p>
      <w:pPr>
        <w:pStyle w:val="BodyText"/>
        <w:spacing w:before="4"/>
      </w:pPr>
    </w:p>
    <w:p>
      <w:pPr>
        <w:pStyle w:val="Heading6"/>
        <w:numPr>
          <w:ilvl w:val="0"/>
          <w:numId w:val="38"/>
        </w:numPr>
        <w:tabs>
          <w:tab w:pos="618" w:val="left" w:leader="none"/>
        </w:tabs>
        <w:spacing w:line="240" w:lineRule="auto" w:before="0" w:after="0"/>
        <w:ind w:left="617" w:right="0" w:hanging="392"/>
        <w:jc w:val="both"/>
      </w:pPr>
      <w:bookmarkStart w:name="17计量与支付" w:id="98"/>
      <w:bookmarkEnd w:id="98"/>
      <w:r>
        <w:rPr>
          <w:b w:val="0"/>
        </w:rPr>
      </w:r>
      <w:bookmarkStart w:name="17计量与支付" w:id="99"/>
      <w:bookmarkEnd w:id="99"/>
      <w:r>
        <w:rPr/>
        <w:t>计量与支付</w:t>
      </w:r>
    </w:p>
    <w:p>
      <w:pPr>
        <w:pStyle w:val="BodyText"/>
        <w:spacing w:before="6"/>
        <w:rPr>
          <w:rFonts w:ascii="黑体"/>
          <w:b/>
          <w:sz w:val="39"/>
        </w:rPr>
      </w:pPr>
    </w:p>
    <w:p>
      <w:pPr>
        <w:pStyle w:val="ListParagraph"/>
        <w:numPr>
          <w:ilvl w:val="1"/>
          <w:numId w:val="38"/>
        </w:numPr>
        <w:tabs>
          <w:tab w:pos="1067" w:val="left" w:leader="none"/>
          <w:tab w:pos="1068" w:val="left" w:leader="none"/>
        </w:tabs>
        <w:spacing w:line="240" w:lineRule="auto" w:before="1" w:after="0"/>
        <w:ind w:left="1068" w:right="0" w:hanging="842"/>
        <w:jc w:val="left"/>
        <w:rPr>
          <w:rFonts w:ascii="黑体" w:eastAsia="黑体" w:hint="eastAsia"/>
          <w:sz w:val="24"/>
        </w:rPr>
      </w:pPr>
      <w:r>
        <w:rPr>
          <w:rFonts w:ascii="黑体" w:eastAsia="黑体" w:hint="eastAsia"/>
          <w:sz w:val="24"/>
        </w:rPr>
        <w:t>计量</w:t>
      </w:r>
    </w:p>
    <w:p>
      <w:pPr>
        <w:pStyle w:val="ListParagraph"/>
        <w:numPr>
          <w:ilvl w:val="2"/>
          <w:numId w:val="38"/>
        </w:numPr>
        <w:tabs>
          <w:tab w:pos="1369" w:val="left" w:leader="none"/>
        </w:tabs>
        <w:spacing w:line="240" w:lineRule="auto" w:before="173" w:after="0"/>
        <w:ind w:left="1368" w:right="0" w:hanging="662"/>
        <w:jc w:val="left"/>
        <w:rPr>
          <w:sz w:val="24"/>
        </w:rPr>
      </w:pPr>
      <w:r>
        <w:rPr>
          <w:sz w:val="24"/>
        </w:rPr>
        <w:t>计量单位：计量采用国家法定的计量单位。</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计量方法</w:t>
      </w:r>
    </w:p>
    <w:p>
      <w:pPr>
        <w:pStyle w:val="BodyText"/>
        <w:spacing w:before="158"/>
        <w:ind w:left="707"/>
      </w:pPr>
      <w:r>
        <w:rPr/>
        <w:t>结算工程量应按工程量清单中约定的方法计量。</w:t>
      </w:r>
    </w:p>
    <w:p>
      <w:pPr>
        <w:pStyle w:val="ListParagraph"/>
        <w:numPr>
          <w:ilvl w:val="2"/>
          <w:numId w:val="38"/>
        </w:numPr>
        <w:tabs>
          <w:tab w:pos="1369" w:val="left" w:leader="none"/>
        </w:tabs>
        <w:spacing w:line="240" w:lineRule="auto" w:before="157" w:after="0"/>
        <w:ind w:left="1368" w:right="0" w:hanging="662"/>
        <w:jc w:val="left"/>
        <w:rPr>
          <w:sz w:val="24"/>
        </w:rPr>
      </w:pPr>
      <w:r>
        <w:rPr>
          <w:sz w:val="24"/>
        </w:rPr>
        <w:t>计量周期</w:t>
      </w:r>
    </w:p>
    <w:p>
      <w:pPr>
        <w:pStyle w:val="BodyText"/>
        <w:spacing w:line="374" w:lineRule="auto" w:before="158"/>
        <w:ind w:left="226" w:right="1342" w:firstLine="480"/>
      </w:pPr>
      <w:r>
        <w:rPr/>
        <w:t>除专用合同条款另有约定外，单价子目已完成工程量按月计量，总价子目的计量周期按批准的支付分解报告确定。</w:t>
      </w:r>
    </w:p>
    <w:p>
      <w:pPr>
        <w:pStyle w:val="ListParagraph"/>
        <w:numPr>
          <w:ilvl w:val="2"/>
          <w:numId w:val="38"/>
        </w:numPr>
        <w:tabs>
          <w:tab w:pos="1369" w:val="left" w:leader="none"/>
        </w:tabs>
        <w:spacing w:line="294" w:lineRule="exact" w:before="0" w:after="0"/>
        <w:ind w:left="1368" w:right="0" w:hanging="662"/>
        <w:jc w:val="left"/>
        <w:rPr>
          <w:sz w:val="24"/>
        </w:rPr>
      </w:pPr>
      <w:r>
        <w:rPr>
          <w:sz w:val="24"/>
        </w:rPr>
        <w:t>单价子目的计量</w:t>
      </w:r>
    </w:p>
    <w:p>
      <w:pPr>
        <w:pStyle w:val="ListParagraph"/>
        <w:numPr>
          <w:ilvl w:val="0"/>
          <w:numId w:val="49"/>
        </w:numPr>
        <w:tabs>
          <w:tab w:pos="1069" w:val="left" w:leader="none"/>
        </w:tabs>
        <w:spacing w:line="362" w:lineRule="auto" w:before="158" w:after="0"/>
        <w:ind w:left="226" w:right="1344" w:firstLine="480"/>
        <w:jc w:val="left"/>
        <w:rPr>
          <w:sz w:val="24"/>
        </w:rPr>
      </w:pPr>
      <w:r>
        <w:rPr>
          <w:spacing w:val="-5"/>
          <w:sz w:val="24"/>
        </w:rPr>
        <w:t>已标价工程量清单中的单价子目工程量为估算工程量。结算工程量是承包人实际完成的，并按合同约定的计量方法进行计量的工程量。</w:t>
      </w:r>
    </w:p>
    <w:p>
      <w:pPr>
        <w:pStyle w:val="ListParagraph"/>
        <w:numPr>
          <w:ilvl w:val="0"/>
          <w:numId w:val="49"/>
        </w:numPr>
        <w:tabs>
          <w:tab w:pos="1069" w:val="left" w:leader="none"/>
        </w:tabs>
        <w:spacing w:line="374" w:lineRule="auto" w:before="2" w:after="0"/>
        <w:ind w:left="226" w:right="1349" w:firstLine="480"/>
        <w:jc w:val="left"/>
        <w:rPr>
          <w:sz w:val="24"/>
        </w:rPr>
      </w:pPr>
      <w:r>
        <w:rPr>
          <w:spacing w:val="-6"/>
          <w:sz w:val="24"/>
        </w:rPr>
        <w:t>承包人对己完成的工程进行计量，向监理人提交进度付款申请单、己完成工程量报表和有关计量资料。</w:t>
      </w:r>
    </w:p>
    <w:p>
      <w:pPr>
        <w:pStyle w:val="ListParagraph"/>
        <w:numPr>
          <w:ilvl w:val="0"/>
          <w:numId w:val="49"/>
        </w:numPr>
        <w:tabs>
          <w:tab w:pos="1069" w:val="left" w:leader="none"/>
        </w:tabs>
        <w:spacing w:line="362" w:lineRule="auto" w:before="0" w:after="0"/>
        <w:ind w:left="226" w:right="1343" w:firstLine="480"/>
        <w:jc w:val="both"/>
        <w:rPr>
          <w:sz w:val="24"/>
        </w:rPr>
      </w:pPr>
      <w:r>
        <w:rPr>
          <w:spacing w:val="-5"/>
          <w:sz w:val="24"/>
        </w:rPr>
        <w:t>监理人对承包人提交的工程量报表进行复核，以确定实际完成的工程量。对数量</w:t>
      </w:r>
      <w:r>
        <w:rPr>
          <w:spacing w:val="-8"/>
          <w:sz w:val="24"/>
        </w:rPr>
        <w:t>有异议的，可要求承包人按第 </w:t>
      </w:r>
      <w:r>
        <w:rPr>
          <w:rFonts w:ascii="Calibri" w:eastAsia="Calibri"/>
          <w:sz w:val="24"/>
        </w:rPr>
        <w:t>8.2</w:t>
      </w:r>
      <w:r>
        <w:rPr>
          <w:rFonts w:ascii="Calibri" w:eastAsia="Calibri"/>
          <w:spacing w:val="31"/>
          <w:sz w:val="24"/>
        </w:rPr>
        <w:t> </w:t>
      </w:r>
      <w:r>
        <w:rPr>
          <w:sz w:val="24"/>
        </w:rPr>
        <w:t>款约定进行共同复核和抽样复测。承包人应协助监理人进行复核并按监理人要求提供补充计量资料。承包人未按监理人要求参加复核，监理人复核或修正的工程量视为承包人实际完成的工程量。</w:t>
      </w:r>
    </w:p>
    <w:p>
      <w:pPr>
        <w:spacing w:after="0" w:line="362" w:lineRule="auto"/>
        <w:jc w:val="both"/>
        <w:rPr>
          <w:sz w:val="24"/>
        </w:rPr>
        <w:sectPr>
          <w:pgSz w:w="11910" w:h="16850"/>
          <w:pgMar w:header="911" w:footer="0" w:top="1380" w:bottom="280" w:left="1200" w:right="0"/>
        </w:sectPr>
      </w:pPr>
    </w:p>
    <w:p>
      <w:pPr>
        <w:pStyle w:val="ListParagraph"/>
        <w:numPr>
          <w:ilvl w:val="0"/>
          <w:numId w:val="49"/>
        </w:numPr>
        <w:tabs>
          <w:tab w:pos="1054" w:val="left" w:leader="none"/>
        </w:tabs>
        <w:spacing w:line="362" w:lineRule="auto" w:before="135" w:after="0"/>
        <w:ind w:left="707" w:right="1208" w:hanging="15"/>
        <w:jc w:val="left"/>
        <w:rPr>
          <w:sz w:val="24"/>
        </w:rPr>
      </w:pPr>
      <w:r>
        <w:rPr>
          <w:spacing w:val="-19"/>
          <w:sz w:val="24"/>
        </w:rPr>
        <w:t>监理人认为有必要时，可通知承包人共同进行联合测量、计量，承包人应遵照执行。(5)</w:t>
      </w:r>
      <w:r>
        <w:rPr>
          <w:spacing w:val="-22"/>
          <w:sz w:val="24"/>
        </w:rPr>
        <w:t>承包人完成工程量清单中每个子目的工程量后，监理人应要求承包人派员共同对</w:t>
      </w:r>
    </w:p>
    <w:p>
      <w:pPr>
        <w:pStyle w:val="BodyText"/>
        <w:spacing w:line="362" w:lineRule="auto" w:before="2"/>
        <w:ind w:left="226" w:right="1343"/>
        <w:jc w:val="both"/>
      </w:pPr>
      <w:r>
        <w:rPr/>
        <w:t>每个子目的历次计量报表进行汇总，以核实最终结算工程量。监理人可要求承包人提供补充计量资料，以确定最后一次进度付款的准确工程量。承包人未按监理人要求派员参加的，监理人最终核实的工程量视为承包人完成该子目的准确工程量。</w:t>
      </w:r>
    </w:p>
    <w:p>
      <w:pPr>
        <w:pStyle w:val="BodyText"/>
        <w:spacing w:line="362" w:lineRule="auto" w:before="18"/>
        <w:ind w:left="226" w:right="1343" w:firstLine="480"/>
        <w:jc w:val="both"/>
      </w:pPr>
      <w:r>
        <w:rPr/>
        <w:drawing>
          <wp:anchor distT="0" distB="0" distL="0" distR="0" allowOverlap="1" layoutInCell="1" locked="0" behindDoc="1" simplePos="0" relativeHeight="234765312">
            <wp:simplePos x="0" y="0"/>
            <wp:positionH relativeFrom="page">
              <wp:posOffset>992771</wp:posOffset>
            </wp:positionH>
            <wp:positionV relativeFrom="paragraph">
              <wp:posOffset>164598</wp:posOffset>
            </wp:positionV>
            <wp:extent cx="5578970" cy="5494141"/>
            <wp:effectExtent l="0" t="0" r="0" b="0"/>
            <wp:wrapNone/>
            <wp:docPr id="75" name="image1.png"/>
            <wp:cNvGraphicFramePr>
              <a:graphicFrameLocks noChangeAspect="1"/>
            </wp:cNvGraphicFramePr>
            <a:graphic>
              <a:graphicData uri="http://schemas.openxmlformats.org/drawingml/2006/picture">
                <pic:pic>
                  <pic:nvPicPr>
                    <pic:cNvPr id="76" name="image1.png"/>
                    <pic:cNvPicPr/>
                  </pic:nvPicPr>
                  <pic:blipFill>
                    <a:blip r:embed="rId6" cstate="print"/>
                    <a:stretch>
                      <a:fillRect/>
                    </a:stretch>
                  </pic:blipFill>
                  <pic:spPr>
                    <a:xfrm>
                      <a:off x="0" y="0"/>
                      <a:ext cx="5578970" cy="5494141"/>
                    </a:xfrm>
                    <a:prstGeom prst="rect">
                      <a:avLst/>
                    </a:prstGeom>
                  </pic:spPr>
                </pic:pic>
              </a:graphicData>
            </a:graphic>
          </wp:anchor>
        </w:drawing>
      </w:r>
      <w:r>
        <w:rPr/>
        <w:t>(6)</w:t>
      </w:r>
      <w:r>
        <w:rPr>
          <w:spacing w:val="-3"/>
        </w:rPr>
        <w:t>监理人应在收到承包人提交的工程量报表后的 </w:t>
      </w:r>
      <w:r>
        <w:rPr>
          <w:rFonts w:ascii="Calibri" w:eastAsia="Calibri"/>
        </w:rPr>
        <w:t>7 </w:t>
      </w:r>
      <w:r>
        <w:rPr>
          <w:spacing w:val="-12"/>
        </w:rPr>
        <w:t>天内进行复核，监理人未在约定时间内复核的，承包人提交的工程量报表中的工程量视为承包人实际完成的工程量，据此计算工程价款。</w:t>
      </w:r>
    </w:p>
    <w:p>
      <w:pPr>
        <w:pStyle w:val="ListParagraph"/>
        <w:numPr>
          <w:ilvl w:val="2"/>
          <w:numId w:val="38"/>
        </w:numPr>
        <w:tabs>
          <w:tab w:pos="1369" w:val="left" w:leader="none"/>
        </w:tabs>
        <w:spacing w:line="240" w:lineRule="auto" w:before="4" w:after="0"/>
        <w:ind w:left="1368" w:right="0" w:hanging="662"/>
        <w:jc w:val="both"/>
        <w:rPr>
          <w:sz w:val="24"/>
        </w:rPr>
      </w:pPr>
      <w:r>
        <w:rPr>
          <w:sz w:val="24"/>
        </w:rPr>
        <w:t>总价子目的计量总价子目的分解和计量按照下述约定进行。</w:t>
      </w:r>
    </w:p>
    <w:p>
      <w:pPr>
        <w:pStyle w:val="ListParagraph"/>
        <w:numPr>
          <w:ilvl w:val="0"/>
          <w:numId w:val="50"/>
        </w:numPr>
        <w:tabs>
          <w:tab w:pos="1069" w:val="left" w:leader="none"/>
        </w:tabs>
        <w:spacing w:line="374" w:lineRule="auto" w:before="157" w:after="0"/>
        <w:ind w:left="226" w:right="1347" w:firstLine="480"/>
        <w:jc w:val="both"/>
        <w:rPr>
          <w:sz w:val="24"/>
        </w:rPr>
      </w:pPr>
      <w:r>
        <w:rPr>
          <w:spacing w:val="-2"/>
          <w:sz w:val="24"/>
        </w:rPr>
        <w:t>总价子目的计量和支付应以总价为基础，不因第 </w:t>
      </w:r>
      <w:r>
        <w:rPr>
          <w:rFonts w:ascii="Calibri" w:eastAsia="Calibri"/>
          <w:sz w:val="24"/>
        </w:rPr>
        <w:t>16.1</w:t>
      </w:r>
      <w:r>
        <w:rPr>
          <w:rFonts w:ascii="Calibri" w:eastAsia="Calibri"/>
          <w:spacing w:val="31"/>
          <w:sz w:val="24"/>
        </w:rPr>
        <w:t> </w:t>
      </w:r>
      <w:r>
        <w:rPr>
          <w:sz w:val="24"/>
        </w:rPr>
        <w:t>款中的因素而进行调整。承包人实际完成的工程量，是进行工程目标管理和控制进度支付的依据。</w:t>
      </w:r>
    </w:p>
    <w:p>
      <w:pPr>
        <w:pStyle w:val="ListParagraph"/>
        <w:numPr>
          <w:ilvl w:val="0"/>
          <w:numId w:val="50"/>
        </w:numPr>
        <w:tabs>
          <w:tab w:pos="1069" w:val="left" w:leader="none"/>
        </w:tabs>
        <w:spacing w:line="362" w:lineRule="auto" w:before="0" w:after="0"/>
        <w:ind w:left="226" w:right="1343" w:firstLine="480"/>
        <w:jc w:val="both"/>
        <w:rPr>
          <w:sz w:val="24"/>
        </w:rPr>
      </w:pPr>
      <w:r>
        <w:rPr>
          <w:spacing w:val="-3"/>
          <w:sz w:val="24"/>
        </w:rPr>
        <w:t>承包人应按工程量清单的要求对总价子目进行分解，并在签订协议书后的 </w:t>
      </w:r>
      <w:r>
        <w:rPr>
          <w:rFonts w:ascii="Calibri" w:eastAsia="Calibri"/>
          <w:sz w:val="24"/>
        </w:rPr>
        <w:t>28</w:t>
      </w:r>
      <w:r>
        <w:rPr>
          <w:rFonts w:ascii="Calibri" w:eastAsia="Calibri"/>
          <w:spacing w:val="2"/>
          <w:sz w:val="24"/>
        </w:rPr>
        <w:t> </w:t>
      </w:r>
      <w:r>
        <w:rPr>
          <w:sz w:val="24"/>
        </w:rPr>
        <w:t>天内将各子目的总价支付分解表提交监理人审批。分解表应标明其所属子目和分阶段需支</w:t>
      </w:r>
      <w:r>
        <w:rPr>
          <w:spacing w:val="-1"/>
          <w:sz w:val="24"/>
        </w:rPr>
        <w:t>付的金额。承包人应按批准的各总价子目支付周期，对已完成的总价子目进行计量，确定分项的应付金额列入进度付款申请单中。</w:t>
      </w:r>
    </w:p>
    <w:p>
      <w:pPr>
        <w:pStyle w:val="ListParagraph"/>
        <w:numPr>
          <w:ilvl w:val="0"/>
          <w:numId w:val="50"/>
        </w:numPr>
        <w:tabs>
          <w:tab w:pos="1069" w:val="left" w:leader="none"/>
        </w:tabs>
        <w:spacing w:line="362" w:lineRule="auto" w:before="6" w:after="0"/>
        <w:ind w:left="226" w:right="1344" w:firstLine="480"/>
        <w:jc w:val="both"/>
        <w:rPr>
          <w:sz w:val="24"/>
        </w:rPr>
      </w:pPr>
      <w:r>
        <w:rPr>
          <w:spacing w:val="-7"/>
          <w:sz w:val="24"/>
        </w:rPr>
        <w:t>监理人对承包人提交的上述资料进行复核，以确定分阶段实际完成的工程量和工</w:t>
      </w:r>
      <w:r>
        <w:rPr>
          <w:spacing w:val="-10"/>
          <w:sz w:val="24"/>
        </w:rPr>
        <w:t>程形象目标。对其有异议的，可要求承包人按第 </w:t>
      </w:r>
      <w:r>
        <w:rPr>
          <w:rFonts w:ascii="Calibri" w:eastAsia="Calibri"/>
          <w:sz w:val="24"/>
        </w:rPr>
        <w:t>8.2</w:t>
      </w:r>
      <w:r>
        <w:rPr>
          <w:rFonts w:ascii="Calibri" w:eastAsia="Calibri"/>
          <w:spacing w:val="3"/>
          <w:sz w:val="24"/>
        </w:rPr>
        <w:t> </w:t>
      </w:r>
      <w:r>
        <w:rPr>
          <w:sz w:val="24"/>
        </w:rPr>
        <w:t>款约定进行共同复核和抽样复测。</w:t>
      </w:r>
    </w:p>
    <w:p>
      <w:pPr>
        <w:pStyle w:val="ListParagraph"/>
        <w:numPr>
          <w:ilvl w:val="0"/>
          <w:numId w:val="50"/>
        </w:numPr>
        <w:tabs>
          <w:tab w:pos="1054" w:val="left" w:leader="none"/>
        </w:tabs>
        <w:spacing w:line="240" w:lineRule="auto" w:before="3" w:after="0"/>
        <w:ind w:left="1053" w:right="0" w:hanging="362"/>
        <w:jc w:val="both"/>
        <w:rPr>
          <w:sz w:val="24"/>
        </w:rPr>
      </w:pPr>
      <w:r>
        <w:rPr>
          <w:spacing w:val="-20"/>
          <w:sz w:val="24"/>
        </w:rPr>
        <w:t>除按照第 </w:t>
      </w:r>
      <w:r>
        <w:rPr>
          <w:rFonts w:ascii="Calibri" w:eastAsia="Calibri"/>
          <w:sz w:val="24"/>
        </w:rPr>
        <w:t>15</w:t>
      </w:r>
      <w:r>
        <w:rPr>
          <w:rFonts w:ascii="Calibri" w:eastAsia="Calibri"/>
          <w:spacing w:val="-11"/>
          <w:sz w:val="24"/>
        </w:rPr>
        <w:t> </w:t>
      </w:r>
      <w:r>
        <w:rPr>
          <w:spacing w:val="-15"/>
          <w:sz w:val="24"/>
        </w:rPr>
        <w:t>条约定的变更外，总价子目的工程量是承包人用于结算的最终工程量。</w:t>
      </w:r>
    </w:p>
    <w:p>
      <w:pPr>
        <w:pStyle w:val="ListParagraph"/>
        <w:numPr>
          <w:ilvl w:val="1"/>
          <w:numId w:val="38"/>
        </w:numPr>
        <w:tabs>
          <w:tab w:pos="1067" w:val="left" w:leader="none"/>
          <w:tab w:pos="1068" w:val="left" w:leader="none"/>
        </w:tabs>
        <w:spacing w:line="240" w:lineRule="auto" w:before="158" w:after="0"/>
        <w:ind w:left="1068" w:right="0" w:hanging="842"/>
        <w:jc w:val="left"/>
        <w:rPr>
          <w:rFonts w:ascii="黑体" w:eastAsia="黑体" w:hint="eastAsia"/>
          <w:sz w:val="24"/>
        </w:rPr>
      </w:pPr>
      <w:r>
        <w:rPr>
          <w:rFonts w:ascii="黑体" w:eastAsia="黑体" w:hint="eastAsia"/>
          <w:sz w:val="24"/>
        </w:rPr>
        <w:t>预付款</w:t>
      </w:r>
    </w:p>
    <w:p>
      <w:pPr>
        <w:pStyle w:val="ListParagraph"/>
        <w:numPr>
          <w:ilvl w:val="2"/>
          <w:numId w:val="38"/>
        </w:numPr>
        <w:tabs>
          <w:tab w:pos="1429" w:val="left" w:leader="none"/>
        </w:tabs>
        <w:spacing w:line="240" w:lineRule="auto" w:before="158" w:after="0"/>
        <w:ind w:left="1428" w:right="0" w:hanging="662"/>
        <w:jc w:val="both"/>
        <w:rPr>
          <w:sz w:val="24"/>
        </w:rPr>
      </w:pPr>
      <w:r>
        <w:rPr>
          <w:sz w:val="24"/>
        </w:rPr>
        <w:t>预付款</w:t>
      </w:r>
    </w:p>
    <w:p>
      <w:pPr>
        <w:pStyle w:val="BodyText"/>
        <w:spacing w:line="362" w:lineRule="auto" w:before="172"/>
        <w:ind w:left="226" w:right="1327" w:firstLine="540"/>
        <w:jc w:val="both"/>
      </w:pPr>
      <w:r>
        <w:rPr>
          <w:spacing w:val="-3"/>
        </w:rPr>
        <w:t>预付款用于承包人为合同工程施工购置材料、工程设备、施工设备、修建临时设施以及组织施工队伍进场等，分为工程预付款和工程材料预付款。预付款必须专用于合同工程。预付款的额度和预付办法在专用合同条款中约定。</w:t>
      </w:r>
    </w:p>
    <w:p>
      <w:pPr>
        <w:pStyle w:val="ListParagraph"/>
        <w:numPr>
          <w:ilvl w:val="2"/>
          <w:numId w:val="38"/>
        </w:numPr>
        <w:tabs>
          <w:tab w:pos="1429" w:val="left" w:leader="none"/>
        </w:tabs>
        <w:spacing w:line="240" w:lineRule="auto" w:before="4" w:after="0"/>
        <w:ind w:left="1428" w:right="0" w:hanging="662"/>
        <w:jc w:val="both"/>
        <w:rPr>
          <w:sz w:val="24"/>
        </w:rPr>
      </w:pPr>
      <w:r>
        <w:rPr>
          <w:sz w:val="24"/>
        </w:rPr>
        <w:t>预付款保函(担保)</w:t>
      </w:r>
    </w:p>
    <w:p>
      <w:pPr>
        <w:pStyle w:val="ListParagraph"/>
        <w:numPr>
          <w:ilvl w:val="0"/>
          <w:numId w:val="51"/>
        </w:numPr>
        <w:tabs>
          <w:tab w:pos="1069" w:val="left" w:leader="none"/>
        </w:tabs>
        <w:spacing w:line="369" w:lineRule="auto" w:before="158" w:after="0"/>
        <w:ind w:left="226" w:right="1343" w:firstLine="480"/>
        <w:jc w:val="both"/>
        <w:rPr>
          <w:sz w:val="24"/>
        </w:rPr>
      </w:pPr>
      <w:r>
        <w:rPr>
          <w:spacing w:val="-4"/>
          <w:sz w:val="24"/>
        </w:rPr>
        <w:t>承包人应在收到第一次工程预付款的同时向发包人提交工程预付款担保，担保金额应与第一次工程预付款金额相同，工程预付款担保在第一次工程预付款被发包人扣回前一直有效。</w:t>
      </w:r>
    </w:p>
    <w:p>
      <w:pPr>
        <w:pStyle w:val="ListParagraph"/>
        <w:numPr>
          <w:ilvl w:val="0"/>
          <w:numId w:val="51"/>
        </w:numPr>
        <w:tabs>
          <w:tab w:pos="1069" w:val="left" w:leader="none"/>
        </w:tabs>
        <w:spacing w:line="298" w:lineRule="exact" w:before="0" w:after="0"/>
        <w:ind w:left="1068" w:right="0" w:hanging="362"/>
        <w:jc w:val="left"/>
        <w:rPr>
          <w:sz w:val="24"/>
        </w:rPr>
      </w:pPr>
      <w:r>
        <w:rPr>
          <w:spacing w:val="-1"/>
          <w:sz w:val="24"/>
        </w:rPr>
        <w:t>工程材料预付款的担保在专用合同条款中约定。</w:t>
      </w:r>
      <w:r>
        <w:rPr>
          <w:sz w:val="24"/>
        </w:rPr>
        <w:t> </w:t>
      </w:r>
    </w:p>
    <w:p>
      <w:pPr>
        <w:pStyle w:val="ListParagraph"/>
        <w:numPr>
          <w:ilvl w:val="0"/>
          <w:numId w:val="51"/>
        </w:numPr>
        <w:tabs>
          <w:tab w:pos="1069" w:val="left" w:leader="none"/>
        </w:tabs>
        <w:spacing w:line="240" w:lineRule="auto" w:before="158" w:after="0"/>
        <w:ind w:left="1068" w:right="0" w:hanging="362"/>
        <w:jc w:val="left"/>
        <w:rPr>
          <w:sz w:val="24"/>
        </w:rPr>
      </w:pPr>
      <w:r>
        <w:rPr>
          <w:spacing w:val="-1"/>
          <w:sz w:val="24"/>
        </w:rPr>
        <w:t>预付款担保的担保金额可根据预付款扣回的金额相应递减。</w:t>
      </w:r>
    </w:p>
    <w:p>
      <w:pPr>
        <w:pStyle w:val="ListParagraph"/>
        <w:numPr>
          <w:ilvl w:val="2"/>
          <w:numId w:val="38"/>
        </w:numPr>
        <w:tabs>
          <w:tab w:pos="1429" w:val="left" w:leader="none"/>
        </w:tabs>
        <w:spacing w:line="240" w:lineRule="auto" w:before="158" w:after="0"/>
        <w:ind w:left="1428" w:right="0" w:hanging="722"/>
        <w:jc w:val="left"/>
        <w:rPr>
          <w:sz w:val="24"/>
        </w:rPr>
      </w:pPr>
      <w:r>
        <w:rPr>
          <w:sz w:val="24"/>
        </w:rPr>
        <w:t>预付款的扣回与还清预付款在进度付款中扣回，扣回与还清办法在专用合同</w:t>
      </w:r>
    </w:p>
    <w:p>
      <w:pPr>
        <w:spacing w:after="0" w:line="240" w:lineRule="auto"/>
        <w:jc w:val="left"/>
        <w:rPr>
          <w:sz w:val="24"/>
        </w:rPr>
        <w:sectPr>
          <w:pgSz w:w="11910" w:h="16850"/>
          <w:pgMar w:header="911" w:footer="0" w:top="1380" w:bottom="280" w:left="1200" w:right="0"/>
        </w:sectPr>
      </w:pPr>
    </w:p>
    <w:p>
      <w:pPr>
        <w:pStyle w:val="BodyText"/>
        <w:spacing w:line="362" w:lineRule="auto" w:before="135"/>
        <w:ind w:left="226" w:right="1348"/>
      </w:pPr>
      <w:r>
        <w:rPr/>
        <w:t>条款中约定，由于不可抗力或其它原因解除合同时，预付款尚未扣清的，金额应作为承包人的到期应付款。</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工程进度付款</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付款周期</w:t>
      </w:r>
    </w:p>
    <w:p>
      <w:pPr>
        <w:pStyle w:val="BodyText"/>
        <w:spacing w:before="158"/>
        <w:ind w:left="707"/>
      </w:pPr>
      <w:r>
        <w:rPr/>
        <w:t>付款周期同计量周期。</w:t>
      </w:r>
    </w:p>
    <w:p>
      <w:pPr>
        <w:pStyle w:val="ListParagraph"/>
        <w:numPr>
          <w:ilvl w:val="2"/>
          <w:numId w:val="38"/>
        </w:numPr>
        <w:tabs>
          <w:tab w:pos="1369" w:val="left" w:leader="none"/>
        </w:tabs>
        <w:spacing w:line="240" w:lineRule="auto" w:before="173" w:after="0"/>
        <w:ind w:left="1368" w:right="0" w:hanging="662"/>
        <w:jc w:val="left"/>
        <w:rPr>
          <w:sz w:val="24"/>
        </w:rPr>
      </w:pPr>
      <w:r>
        <w:rPr/>
        <w:drawing>
          <wp:anchor distT="0" distB="0" distL="0" distR="0" allowOverlap="1" layoutInCell="1" locked="0" behindDoc="1" simplePos="0" relativeHeight="234766336">
            <wp:simplePos x="0" y="0"/>
            <wp:positionH relativeFrom="page">
              <wp:posOffset>992771</wp:posOffset>
            </wp:positionH>
            <wp:positionV relativeFrom="paragraph">
              <wp:posOffset>263023</wp:posOffset>
            </wp:positionV>
            <wp:extent cx="5578970" cy="5494141"/>
            <wp:effectExtent l="0" t="0" r="0" b="0"/>
            <wp:wrapNone/>
            <wp:docPr id="77" name="image1.png"/>
            <wp:cNvGraphicFramePr>
              <a:graphicFrameLocks noChangeAspect="1"/>
            </wp:cNvGraphicFramePr>
            <a:graphic>
              <a:graphicData uri="http://schemas.openxmlformats.org/drawingml/2006/picture">
                <pic:pic>
                  <pic:nvPicPr>
                    <pic:cNvPr id="78"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进度付款申请单</w:t>
      </w:r>
    </w:p>
    <w:p>
      <w:pPr>
        <w:pStyle w:val="BodyText"/>
        <w:spacing w:line="362" w:lineRule="auto" w:before="158"/>
        <w:ind w:left="226" w:right="1229" w:firstLine="480"/>
      </w:pPr>
      <w:r>
        <w:rPr/>
        <w:t>承包人应在每个付款周期末，按监理人批准的格式和专用合同条款约定的份数，向</w:t>
      </w:r>
      <w:r>
        <w:rPr>
          <w:spacing w:val="-8"/>
        </w:rPr>
        <w:t>监理人提交进度付款申请单，并附相应的支持性证明文件。除专用合同条款另有约定外， 进度付款申请单应包括下列内容：</w:t>
      </w:r>
    </w:p>
    <w:p>
      <w:pPr>
        <w:pStyle w:val="BodyText"/>
        <w:spacing w:line="369" w:lineRule="auto" w:before="3"/>
        <w:ind w:left="707" w:right="5223"/>
      </w:pPr>
      <w:r>
        <w:rPr/>
        <w:t>(1)</w:t>
      </w:r>
      <w:r>
        <w:rPr>
          <w:spacing w:val="-1"/>
        </w:rPr>
        <w:t>截至本次付款周期末已实施工程的价款； </w:t>
      </w:r>
      <w:r>
        <w:rPr/>
        <w:t>(2)</w:t>
      </w:r>
      <w:r>
        <w:rPr>
          <w:spacing w:val="-1"/>
        </w:rPr>
        <w:t>根据第巧条应增加和扣减的变更金额； (3)</w:t>
      </w:r>
      <w:r>
        <w:rPr>
          <w:spacing w:val="-16"/>
        </w:rPr>
        <w:t>根据第 </w:t>
      </w:r>
      <w:r>
        <w:rPr>
          <w:rFonts w:ascii="Calibri" w:eastAsia="Calibri"/>
        </w:rPr>
        <w:t>21</w:t>
      </w:r>
      <w:r>
        <w:rPr>
          <w:rFonts w:ascii="Calibri" w:eastAsia="Calibri"/>
          <w:spacing w:val="4"/>
        </w:rPr>
        <w:t> </w:t>
      </w:r>
      <w:r>
        <w:rPr/>
        <w:t>条应增加和扣减的索赔金额；</w:t>
      </w:r>
    </w:p>
    <w:p>
      <w:pPr>
        <w:pStyle w:val="ListParagraph"/>
        <w:numPr>
          <w:ilvl w:val="0"/>
          <w:numId w:val="52"/>
        </w:numPr>
        <w:tabs>
          <w:tab w:pos="1069" w:val="left" w:leader="none"/>
        </w:tabs>
        <w:spacing w:line="298" w:lineRule="exact" w:before="0" w:after="0"/>
        <w:ind w:left="1068" w:right="0" w:hanging="362"/>
        <w:jc w:val="left"/>
        <w:rPr>
          <w:sz w:val="24"/>
        </w:rPr>
      </w:pPr>
      <w:r>
        <w:rPr>
          <w:spacing w:val="-16"/>
          <w:sz w:val="24"/>
        </w:rPr>
        <w:t>根据第 </w:t>
      </w:r>
      <w:r>
        <w:rPr>
          <w:rFonts w:ascii="Calibri" w:eastAsia="Calibri"/>
          <w:sz w:val="24"/>
        </w:rPr>
        <w:t>17.2</w:t>
      </w:r>
      <w:r>
        <w:rPr>
          <w:rFonts w:ascii="Calibri" w:eastAsia="Calibri"/>
          <w:spacing w:val="4"/>
          <w:sz w:val="24"/>
        </w:rPr>
        <w:t> </w:t>
      </w:r>
      <w:r>
        <w:rPr>
          <w:sz w:val="24"/>
        </w:rPr>
        <w:t>款约定应支付的预付款和扣减的返还预付款；</w:t>
      </w:r>
    </w:p>
    <w:p>
      <w:pPr>
        <w:pStyle w:val="ListParagraph"/>
        <w:numPr>
          <w:ilvl w:val="0"/>
          <w:numId w:val="52"/>
        </w:numPr>
        <w:tabs>
          <w:tab w:pos="1069" w:val="left" w:leader="none"/>
        </w:tabs>
        <w:spacing w:line="362" w:lineRule="auto" w:before="158" w:after="0"/>
        <w:ind w:left="707" w:right="5071" w:firstLine="0"/>
        <w:jc w:val="left"/>
        <w:rPr>
          <w:sz w:val="24"/>
        </w:rPr>
      </w:pPr>
      <w:r>
        <w:rPr>
          <w:spacing w:val="-17"/>
          <w:sz w:val="24"/>
        </w:rPr>
        <w:t>根据第 </w:t>
      </w:r>
      <w:r>
        <w:rPr>
          <w:rFonts w:ascii="Calibri" w:eastAsia="Calibri"/>
          <w:sz w:val="24"/>
        </w:rPr>
        <w:t>17.4.1 </w:t>
      </w:r>
      <w:r>
        <w:rPr>
          <w:sz w:val="24"/>
        </w:rPr>
        <w:t>项约定应扣减的质量保证金； (6)根据合同应增加和扣减的其他金额。</w:t>
      </w:r>
    </w:p>
    <w:p>
      <w:pPr>
        <w:pStyle w:val="ListParagraph"/>
        <w:numPr>
          <w:ilvl w:val="2"/>
          <w:numId w:val="38"/>
        </w:numPr>
        <w:tabs>
          <w:tab w:pos="1369" w:val="left" w:leader="none"/>
        </w:tabs>
        <w:spacing w:line="240" w:lineRule="auto" w:before="17" w:after="0"/>
        <w:ind w:left="1368" w:right="0" w:hanging="662"/>
        <w:jc w:val="left"/>
        <w:rPr>
          <w:sz w:val="24"/>
        </w:rPr>
      </w:pPr>
      <w:r>
        <w:rPr>
          <w:sz w:val="24"/>
        </w:rPr>
        <w:t>进度付款证书和支付时间</w:t>
      </w:r>
    </w:p>
    <w:p>
      <w:pPr>
        <w:pStyle w:val="ListParagraph"/>
        <w:numPr>
          <w:ilvl w:val="0"/>
          <w:numId w:val="53"/>
        </w:numPr>
        <w:tabs>
          <w:tab w:pos="1069" w:val="left" w:leader="none"/>
        </w:tabs>
        <w:spacing w:line="362" w:lineRule="auto" w:before="158" w:after="0"/>
        <w:ind w:left="226" w:right="1343" w:firstLine="480"/>
        <w:jc w:val="both"/>
        <w:rPr>
          <w:sz w:val="24"/>
        </w:rPr>
      </w:pPr>
      <w:r>
        <w:rPr>
          <w:spacing w:val="-3"/>
          <w:sz w:val="24"/>
        </w:rPr>
        <w:t>监理人在收到承包人进度付款申请单以及相应的支持性证明文件后的 </w:t>
      </w:r>
      <w:r>
        <w:rPr>
          <w:rFonts w:ascii="Calibri" w:eastAsia="Calibri"/>
          <w:sz w:val="24"/>
        </w:rPr>
        <w:t>14</w:t>
      </w:r>
      <w:r>
        <w:rPr>
          <w:rFonts w:ascii="Calibri" w:eastAsia="Calibri"/>
          <w:spacing w:val="2"/>
          <w:sz w:val="24"/>
        </w:rPr>
        <w:t> </w:t>
      </w:r>
      <w:r>
        <w:rPr>
          <w:sz w:val="24"/>
        </w:rPr>
        <w:t>天内完成核查，提出发包人到期应支付给承包人的金额以及相应的支持性材料，经发包人审查同意后，由监理人向承包人出具经发包人签认的进度付款证书。监理人有权扣发承包人未能按照合同要求履行任何工作或义务的相应金额。</w:t>
      </w:r>
    </w:p>
    <w:p>
      <w:pPr>
        <w:pStyle w:val="ListParagraph"/>
        <w:numPr>
          <w:ilvl w:val="0"/>
          <w:numId w:val="53"/>
        </w:numPr>
        <w:tabs>
          <w:tab w:pos="1069" w:val="left" w:leader="none"/>
        </w:tabs>
        <w:spacing w:line="362" w:lineRule="auto" w:before="19" w:after="0"/>
        <w:ind w:left="226" w:right="1348" w:firstLine="480"/>
        <w:jc w:val="both"/>
        <w:rPr>
          <w:sz w:val="24"/>
        </w:rPr>
      </w:pPr>
      <w:r>
        <w:rPr>
          <w:spacing w:val="-4"/>
          <w:sz w:val="24"/>
        </w:rPr>
        <w:t>发包人应在监理人收到进度付款申请单后的 </w:t>
      </w:r>
      <w:r>
        <w:rPr>
          <w:rFonts w:ascii="Calibri" w:eastAsia="Calibri"/>
          <w:sz w:val="24"/>
        </w:rPr>
        <w:t>28</w:t>
      </w:r>
      <w:r>
        <w:rPr>
          <w:rFonts w:ascii="Calibri" w:eastAsia="Calibri"/>
          <w:spacing w:val="3"/>
          <w:sz w:val="24"/>
        </w:rPr>
        <w:t> </w:t>
      </w:r>
      <w:r>
        <w:rPr>
          <w:sz w:val="24"/>
        </w:rPr>
        <w:t>天内，将进度应付款支付给承包</w:t>
      </w:r>
      <w:r>
        <w:rPr>
          <w:spacing w:val="-1"/>
          <w:sz w:val="24"/>
        </w:rPr>
        <w:t>人。发包人不按期支付的，按专用合同条款的约定支付逾期付款违约金。</w:t>
      </w:r>
    </w:p>
    <w:p>
      <w:pPr>
        <w:pStyle w:val="ListParagraph"/>
        <w:numPr>
          <w:ilvl w:val="0"/>
          <w:numId w:val="53"/>
        </w:numPr>
        <w:tabs>
          <w:tab w:pos="1069" w:val="left" w:leader="none"/>
        </w:tabs>
        <w:spacing w:line="362" w:lineRule="auto" w:before="2" w:after="0"/>
        <w:ind w:left="226" w:right="1343" w:firstLine="480"/>
        <w:jc w:val="left"/>
        <w:rPr>
          <w:sz w:val="24"/>
        </w:rPr>
      </w:pPr>
      <w:r>
        <w:rPr>
          <w:spacing w:val="-8"/>
          <w:sz w:val="24"/>
        </w:rPr>
        <w:t>监理人出具进度付款证书，不应视为监理人已同意、批准或接受了承包人完成的该部分工作。   </w:t>
      </w:r>
      <w:r>
        <w:rPr>
          <w:spacing w:val="1"/>
          <w:sz w:val="24"/>
        </w:rPr>
        <w:t> </w:t>
      </w:r>
      <w:r>
        <w:rPr>
          <w:sz w:val="24"/>
        </w:rPr>
        <w:t> </w:t>
      </w:r>
    </w:p>
    <w:p>
      <w:pPr>
        <w:pStyle w:val="ListParagraph"/>
        <w:numPr>
          <w:ilvl w:val="0"/>
          <w:numId w:val="53"/>
        </w:numPr>
        <w:tabs>
          <w:tab w:pos="1069" w:val="left" w:leader="none"/>
        </w:tabs>
        <w:spacing w:line="374" w:lineRule="auto" w:before="3" w:after="0"/>
        <w:ind w:left="226" w:right="1349" w:firstLine="480"/>
        <w:jc w:val="left"/>
        <w:rPr>
          <w:sz w:val="24"/>
        </w:rPr>
      </w:pPr>
      <w:r>
        <w:rPr>
          <w:spacing w:val="-9"/>
          <w:sz w:val="24"/>
        </w:rPr>
        <w:t>进度付款涉及政府投资资金的，按照国库集中支付等国家相关规定和专用合同条款的约定办理。</w:t>
      </w:r>
    </w:p>
    <w:p>
      <w:pPr>
        <w:pStyle w:val="ListParagraph"/>
        <w:numPr>
          <w:ilvl w:val="2"/>
          <w:numId w:val="38"/>
        </w:numPr>
        <w:tabs>
          <w:tab w:pos="1369" w:val="left" w:leader="none"/>
        </w:tabs>
        <w:spacing w:line="294" w:lineRule="exact" w:before="0" w:after="0"/>
        <w:ind w:left="1368" w:right="0" w:hanging="662"/>
        <w:jc w:val="left"/>
        <w:rPr>
          <w:sz w:val="24"/>
        </w:rPr>
      </w:pPr>
      <w:r>
        <w:rPr>
          <w:sz w:val="24"/>
        </w:rPr>
        <w:t>工程进度付款的修正</w:t>
      </w:r>
    </w:p>
    <w:p>
      <w:pPr>
        <w:pStyle w:val="BodyText"/>
        <w:spacing w:line="362" w:lineRule="auto" w:before="158"/>
        <w:ind w:left="226" w:right="1343" w:firstLine="480"/>
        <w:jc w:val="both"/>
      </w:pPr>
      <w:r>
        <w:rPr/>
        <w:t>在对以往历次已签发的进度付款证书进行汇总和复核中发现错、漏或重复的，监理人有权予以修正，承包人也有权提出修正申请。经双方复核同意的修正，应在本次进度付款中支付或扣除。</w:t>
      </w:r>
    </w:p>
    <w:p>
      <w:pPr>
        <w:spacing w:after="0" w:line="362" w:lineRule="auto"/>
        <w:jc w:val="both"/>
        <w:sectPr>
          <w:pgSz w:w="11910" w:h="16850"/>
          <w:pgMar w:header="911" w:footer="0" w:top="1380" w:bottom="280" w:left="1200" w:right="0"/>
        </w:sectPr>
      </w:pPr>
    </w:p>
    <w:p>
      <w:pPr>
        <w:pStyle w:val="ListParagraph"/>
        <w:numPr>
          <w:ilvl w:val="1"/>
          <w:numId w:val="38"/>
        </w:numPr>
        <w:tabs>
          <w:tab w:pos="1067" w:val="left" w:leader="none"/>
          <w:tab w:pos="1068" w:val="left" w:leader="none"/>
        </w:tabs>
        <w:spacing w:line="240" w:lineRule="auto" w:before="135" w:after="0"/>
        <w:ind w:left="1068" w:right="0" w:hanging="842"/>
        <w:jc w:val="left"/>
        <w:rPr>
          <w:rFonts w:ascii="黑体" w:eastAsia="黑体" w:hint="eastAsia"/>
          <w:sz w:val="24"/>
        </w:rPr>
      </w:pPr>
      <w:r>
        <w:rPr>
          <w:rFonts w:ascii="黑体" w:eastAsia="黑体" w:hint="eastAsia"/>
          <w:sz w:val="24"/>
        </w:rPr>
        <w:t>质量保证金</w:t>
      </w:r>
    </w:p>
    <w:p>
      <w:pPr>
        <w:pStyle w:val="ListParagraph"/>
        <w:numPr>
          <w:ilvl w:val="2"/>
          <w:numId w:val="38"/>
        </w:numPr>
        <w:tabs>
          <w:tab w:pos="1429" w:val="left" w:leader="none"/>
        </w:tabs>
        <w:spacing w:line="362" w:lineRule="auto" w:before="158" w:after="0"/>
        <w:ind w:left="226" w:right="1343" w:firstLine="480"/>
        <w:jc w:val="both"/>
        <w:rPr>
          <w:sz w:val="24"/>
        </w:rPr>
      </w:pPr>
      <w:r>
        <w:rPr>
          <w:spacing w:val="-1"/>
          <w:sz w:val="24"/>
        </w:rPr>
        <w:t>监理人应从第一个工程进度付款周期开始，在发包人的进度付款中，按专用合同条款的约定扣留质量保证金，直至扣留的质量保证金总额达到专用合同条款约定的金额或比例为止。质量保证金的计算额度不包括预付款的支付与扣回金额。</w:t>
      </w:r>
    </w:p>
    <w:p>
      <w:pPr>
        <w:pStyle w:val="ListParagraph"/>
        <w:numPr>
          <w:ilvl w:val="2"/>
          <w:numId w:val="38"/>
        </w:numPr>
        <w:tabs>
          <w:tab w:pos="1369" w:val="left" w:leader="none"/>
        </w:tabs>
        <w:spacing w:line="367" w:lineRule="auto" w:before="3" w:after="0"/>
        <w:ind w:left="226" w:right="1343" w:firstLine="480"/>
        <w:jc w:val="both"/>
        <w:rPr>
          <w:sz w:val="24"/>
        </w:rPr>
      </w:pPr>
      <w:r>
        <w:rPr/>
        <w:drawing>
          <wp:anchor distT="0" distB="0" distL="0" distR="0" allowOverlap="1" layoutInCell="1" locked="0" behindDoc="1" simplePos="0" relativeHeight="234767360">
            <wp:simplePos x="0" y="0"/>
            <wp:positionH relativeFrom="page">
              <wp:posOffset>992771</wp:posOffset>
            </wp:positionH>
            <wp:positionV relativeFrom="paragraph">
              <wp:posOffset>460126</wp:posOffset>
            </wp:positionV>
            <wp:extent cx="5578970" cy="5494141"/>
            <wp:effectExtent l="0" t="0" r="0" b="0"/>
            <wp:wrapNone/>
            <wp:docPr id="79" name="image1.png"/>
            <wp:cNvGraphicFramePr>
              <a:graphicFrameLocks noChangeAspect="1"/>
            </wp:cNvGraphicFramePr>
            <a:graphic>
              <a:graphicData uri="http://schemas.openxmlformats.org/drawingml/2006/picture">
                <pic:pic>
                  <pic:nvPicPr>
                    <pic:cNvPr id="8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6"/>
          <w:sz w:val="24"/>
        </w:rPr>
        <w:t>合同工程完工证书颁发后 </w:t>
      </w:r>
      <w:r>
        <w:rPr>
          <w:rFonts w:ascii="Calibri" w:eastAsia="Calibri"/>
          <w:sz w:val="24"/>
        </w:rPr>
        <w:t>14</w:t>
      </w:r>
      <w:r>
        <w:rPr>
          <w:rFonts w:ascii="Calibri" w:eastAsia="Calibri"/>
          <w:spacing w:val="3"/>
          <w:sz w:val="24"/>
        </w:rPr>
        <w:t> </w:t>
      </w:r>
      <w:r>
        <w:rPr>
          <w:spacing w:val="-8"/>
          <w:sz w:val="24"/>
        </w:rPr>
        <w:t>天内，发包人将质量保证金总额的一半支付给承</w:t>
      </w:r>
      <w:r>
        <w:rPr>
          <w:spacing w:val="-15"/>
          <w:sz w:val="24"/>
        </w:rPr>
        <w:t>包人。在第 </w:t>
      </w:r>
      <w:r>
        <w:rPr>
          <w:rFonts w:ascii="Calibri" w:eastAsia="Calibri"/>
          <w:sz w:val="24"/>
        </w:rPr>
        <w:t>1.1.4.5</w:t>
      </w:r>
      <w:r>
        <w:rPr>
          <w:rFonts w:ascii="Calibri" w:eastAsia="Calibri"/>
          <w:spacing w:val="15"/>
          <w:sz w:val="24"/>
        </w:rPr>
        <w:t> </w:t>
      </w:r>
      <w:r>
        <w:rPr>
          <w:spacing w:val="-2"/>
          <w:sz w:val="24"/>
        </w:rPr>
        <w:t>目约定的缺陷责任期(工程质量保修期)满时，发包人将在 </w:t>
      </w:r>
      <w:r>
        <w:rPr>
          <w:rFonts w:ascii="Calibri" w:eastAsia="Calibri"/>
          <w:sz w:val="24"/>
        </w:rPr>
        <w:t>30</w:t>
      </w:r>
      <w:r>
        <w:rPr>
          <w:rFonts w:ascii="Calibri" w:eastAsia="Calibri"/>
          <w:spacing w:val="15"/>
          <w:sz w:val="24"/>
        </w:rPr>
        <w:t> </w:t>
      </w:r>
      <w:r>
        <w:rPr>
          <w:sz w:val="24"/>
        </w:rPr>
        <w:t>个工作日内会同承包人按照合同约定的内容核实承包人是否完成保修责任。如无异议，发包人应当在核实后将剩余的质量保证金支付给承包人。</w:t>
      </w:r>
    </w:p>
    <w:p>
      <w:pPr>
        <w:pStyle w:val="ListParagraph"/>
        <w:numPr>
          <w:ilvl w:val="2"/>
          <w:numId w:val="38"/>
        </w:numPr>
        <w:tabs>
          <w:tab w:pos="1293" w:val="left" w:leader="none"/>
        </w:tabs>
        <w:spacing w:line="369" w:lineRule="auto" w:before="0" w:after="0"/>
        <w:ind w:left="226" w:right="1334" w:firstLine="360"/>
        <w:jc w:val="both"/>
        <w:rPr>
          <w:sz w:val="24"/>
        </w:rPr>
      </w:pPr>
      <w:r>
        <w:rPr>
          <w:spacing w:val="-8"/>
          <w:sz w:val="24"/>
        </w:rPr>
        <w:t>在第 </w:t>
      </w:r>
      <w:r>
        <w:rPr>
          <w:rFonts w:ascii="Calibri" w:eastAsia="Calibri"/>
          <w:sz w:val="24"/>
        </w:rPr>
        <w:t>1.1.4.5</w:t>
      </w:r>
      <w:r>
        <w:rPr>
          <w:rFonts w:ascii="Calibri" w:eastAsia="Calibri"/>
          <w:spacing w:val="45"/>
          <w:sz w:val="24"/>
        </w:rPr>
        <w:t> </w:t>
      </w:r>
      <w:r>
        <w:rPr>
          <w:spacing w:val="-1"/>
          <w:sz w:val="24"/>
        </w:rPr>
        <w:t>目约定的缺陷责任期满时，承包人没有完成缺陷责任的，发包人</w:t>
      </w:r>
      <w:r>
        <w:rPr>
          <w:spacing w:val="-6"/>
          <w:sz w:val="24"/>
        </w:rPr>
        <w:t>有权扣留与未履行责任剩余工作所需金额相应的质量保证金余额，并有权根据第 </w:t>
      </w:r>
      <w:r>
        <w:rPr>
          <w:rFonts w:ascii="Calibri" w:eastAsia="Calibri"/>
          <w:sz w:val="24"/>
        </w:rPr>
        <w:t>19.3</w:t>
      </w:r>
      <w:r>
        <w:rPr>
          <w:rFonts w:ascii="Calibri" w:eastAsia="Calibri"/>
          <w:spacing w:val="2"/>
          <w:sz w:val="24"/>
        </w:rPr>
        <w:t> </w:t>
      </w:r>
      <w:r>
        <w:rPr>
          <w:sz w:val="24"/>
        </w:rPr>
        <w:t>款约定要求延长缺陷责任期，直至完成剩余工作为止。</w:t>
      </w:r>
    </w:p>
    <w:p>
      <w:pPr>
        <w:pStyle w:val="ListParagraph"/>
        <w:numPr>
          <w:ilvl w:val="1"/>
          <w:numId w:val="38"/>
        </w:numPr>
        <w:tabs>
          <w:tab w:pos="1067" w:val="left" w:leader="none"/>
          <w:tab w:pos="1068" w:val="left" w:leader="none"/>
        </w:tabs>
        <w:spacing w:line="298" w:lineRule="exact" w:before="0" w:after="0"/>
        <w:ind w:left="1068" w:right="0" w:hanging="842"/>
        <w:jc w:val="left"/>
        <w:rPr>
          <w:rFonts w:ascii="黑体" w:eastAsia="黑体" w:hint="eastAsia"/>
          <w:sz w:val="24"/>
        </w:rPr>
      </w:pPr>
      <w:r>
        <w:rPr>
          <w:rFonts w:ascii="黑体" w:eastAsia="黑体" w:hint="eastAsia"/>
          <w:sz w:val="24"/>
        </w:rPr>
        <w:t>竣工结算</w:t>
      </w:r>
    </w:p>
    <w:p>
      <w:pPr>
        <w:pStyle w:val="ListParagraph"/>
        <w:numPr>
          <w:ilvl w:val="2"/>
          <w:numId w:val="38"/>
        </w:numPr>
        <w:tabs>
          <w:tab w:pos="1369" w:val="left" w:leader="none"/>
        </w:tabs>
        <w:spacing w:line="240" w:lineRule="auto" w:before="153" w:after="0"/>
        <w:ind w:left="1368" w:right="0" w:hanging="662"/>
        <w:jc w:val="both"/>
        <w:rPr>
          <w:sz w:val="24"/>
        </w:rPr>
      </w:pPr>
      <w:r>
        <w:rPr>
          <w:sz w:val="24"/>
        </w:rPr>
        <w:t>竣工付款申请单</w:t>
      </w:r>
    </w:p>
    <w:p>
      <w:pPr>
        <w:pStyle w:val="ListParagraph"/>
        <w:numPr>
          <w:ilvl w:val="0"/>
          <w:numId w:val="54"/>
        </w:numPr>
        <w:tabs>
          <w:tab w:pos="1069" w:val="left" w:leader="none"/>
        </w:tabs>
        <w:spacing w:line="367" w:lineRule="auto" w:before="158" w:after="0"/>
        <w:ind w:left="226" w:right="1343" w:firstLine="480"/>
        <w:jc w:val="both"/>
        <w:rPr>
          <w:sz w:val="24"/>
        </w:rPr>
      </w:pPr>
      <w:r>
        <w:rPr>
          <w:spacing w:val="-4"/>
          <w:sz w:val="24"/>
        </w:rPr>
        <w:t>承包人应在合同工程完工证书颁发后 </w:t>
      </w:r>
      <w:r>
        <w:rPr>
          <w:rFonts w:ascii="Calibri" w:eastAsia="Calibri"/>
          <w:sz w:val="24"/>
        </w:rPr>
        <w:t>28</w:t>
      </w:r>
      <w:r>
        <w:rPr>
          <w:rFonts w:ascii="Calibri" w:eastAsia="Calibri"/>
          <w:spacing w:val="3"/>
          <w:sz w:val="24"/>
        </w:rPr>
        <w:t> </w:t>
      </w:r>
      <w:r>
        <w:rPr>
          <w:sz w:val="24"/>
        </w:rPr>
        <w:t>天内，按专用合同条款约定的份数向监理人提交完工付款申请单，并提供相关证明材料。完工付款申请单应包括下列内容：完工结算合同总价、发包人已支付承包人的工程价款、应扣留的质量保证金、应支付的完工付款金额。</w:t>
      </w:r>
    </w:p>
    <w:p>
      <w:pPr>
        <w:pStyle w:val="ListParagraph"/>
        <w:numPr>
          <w:ilvl w:val="0"/>
          <w:numId w:val="54"/>
        </w:numPr>
        <w:tabs>
          <w:tab w:pos="1069" w:val="left" w:leader="none"/>
        </w:tabs>
        <w:spacing w:line="362" w:lineRule="auto" w:before="0" w:after="0"/>
        <w:ind w:left="226" w:right="1222" w:firstLine="480"/>
        <w:jc w:val="left"/>
        <w:rPr>
          <w:sz w:val="24"/>
        </w:rPr>
      </w:pPr>
      <w:r>
        <w:rPr>
          <w:sz w:val="24"/>
        </w:rPr>
        <w:t>监理人对完工付款申请单有异议的，有权要求承包人进行修正和提供补充资料。经监理人和承包人协商后，由承包人向监理人提交修正后的完工付款申请单。</w:t>
      </w:r>
    </w:p>
    <w:p>
      <w:pPr>
        <w:pStyle w:val="ListParagraph"/>
        <w:numPr>
          <w:ilvl w:val="2"/>
          <w:numId w:val="38"/>
        </w:numPr>
        <w:tabs>
          <w:tab w:pos="1369" w:val="left" w:leader="none"/>
        </w:tabs>
        <w:spacing w:line="240" w:lineRule="auto" w:before="0" w:after="0"/>
        <w:ind w:left="1368" w:right="0" w:hanging="662"/>
        <w:jc w:val="left"/>
        <w:rPr>
          <w:sz w:val="24"/>
        </w:rPr>
      </w:pPr>
      <w:r>
        <w:rPr>
          <w:sz w:val="24"/>
        </w:rPr>
        <w:t>竣工(完工)付款证书及支付时间</w:t>
      </w:r>
    </w:p>
    <w:p>
      <w:pPr>
        <w:pStyle w:val="ListParagraph"/>
        <w:numPr>
          <w:ilvl w:val="0"/>
          <w:numId w:val="55"/>
        </w:numPr>
        <w:tabs>
          <w:tab w:pos="1069" w:val="left" w:leader="none"/>
        </w:tabs>
        <w:spacing w:line="240" w:lineRule="auto" w:before="170" w:after="0"/>
        <w:ind w:left="1068" w:right="0" w:hanging="362"/>
        <w:jc w:val="both"/>
        <w:rPr>
          <w:sz w:val="24"/>
        </w:rPr>
      </w:pPr>
      <w:r>
        <w:rPr>
          <w:spacing w:val="-3"/>
          <w:sz w:val="24"/>
        </w:rPr>
        <w:t>监理人在收到承包人提交的完工付款申请单后的 </w:t>
      </w:r>
      <w:r>
        <w:rPr>
          <w:rFonts w:ascii="Calibri" w:eastAsia="Calibri"/>
          <w:sz w:val="24"/>
        </w:rPr>
        <w:t>14</w:t>
      </w:r>
      <w:r>
        <w:rPr>
          <w:rFonts w:ascii="Calibri" w:eastAsia="Calibri"/>
          <w:spacing w:val="4"/>
          <w:sz w:val="24"/>
        </w:rPr>
        <w:t> </w:t>
      </w:r>
      <w:r>
        <w:rPr>
          <w:sz w:val="24"/>
        </w:rPr>
        <w:t>天内完成核查，提出发包人</w:t>
      </w:r>
    </w:p>
    <w:p>
      <w:pPr>
        <w:pStyle w:val="BodyText"/>
        <w:spacing w:line="367" w:lineRule="auto" w:before="158"/>
        <w:ind w:left="226" w:right="1343"/>
        <w:jc w:val="both"/>
      </w:pPr>
      <w:r>
        <w:rPr>
          <w:spacing w:val="-7"/>
        </w:rPr>
        <w:t>到期应支付给承包人的价款送发包人审核并抄送承包人。发包人应在收到后 </w:t>
      </w:r>
      <w:r>
        <w:rPr>
          <w:rFonts w:ascii="Calibri" w:eastAsia="Calibri"/>
        </w:rPr>
        <w:t>14 </w:t>
      </w:r>
      <w:r>
        <w:rPr/>
        <w:t>天内审核完毕，由监理人向承包人出具经发包人签认的完工付款证书。监理人未在约定时间内核查，又未提出具体意见的，视为承包人提交的完工付款申请单已经监理人核查同意。发包人未在约定时间内审核又未提出具体意见的，监理人提出发包人到期应支付给承包人的价款视为已经发包人同意。</w:t>
      </w:r>
    </w:p>
    <w:p>
      <w:pPr>
        <w:pStyle w:val="ListParagraph"/>
        <w:numPr>
          <w:ilvl w:val="0"/>
          <w:numId w:val="55"/>
        </w:numPr>
        <w:tabs>
          <w:tab w:pos="1069" w:val="left" w:leader="none"/>
        </w:tabs>
        <w:spacing w:line="297" w:lineRule="exact" w:before="0" w:after="0"/>
        <w:ind w:left="1068" w:right="0" w:hanging="362"/>
        <w:jc w:val="both"/>
        <w:rPr>
          <w:sz w:val="24"/>
        </w:rPr>
      </w:pPr>
      <w:r>
        <w:rPr>
          <w:spacing w:val="-4"/>
          <w:sz w:val="24"/>
        </w:rPr>
        <w:t>发包人应在监理人出具完工付款证书后的 </w:t>
      </w:r>
      <w:r>
        <w:rPr>
          <w:rFonts w:ascii="Calibri" w:eastAsia="Calibri"/>
          <w:sz w:val="24"/>
        </w:rPr>
        <w:t>14</w:t>
      </w:r>
      <w:r>
        <w:rPr>
          <w:rFonts w:ascii="Calibri" w:eastAsia="Calibri"/>
          <w:spacing w:val="4"/>
          <w:sz w:val="24"/>
        </w:rPr>
        <w:t> </w:t>
      </w:r>
      <w:r>
        <w:rPr>
          <w:sz w:val="24"/>
        </w:rPr>
        <w:t>天内，将应支付款支付给承包人。</w:t>
      </w:r>
    </w:p>
    <w:p>
      <w:pPr>
        <w:pStyle w:val="BodyText"/>
        <w:spacing w:line="362" w:lineRule="auto" w:before="158"/>
        <w:ind w:left="707" w:right="1343" w:hanging="481"/>
        <w:jc w:val="both"/>
      </w:pPr>
      <w:r>
        <w:rPr>
          <w:spacing w:val="-1"/>
        </w:rPr>
        <w:t>发包人不按期支付的，按第 </w:t>
      </w:r>
      <w:r>
        <w:rPr>
          <w:rFonts w:ascii="Calibri" w:eastAsia="Calibri"/>
        </w:rPr>
        <w:t>16.3.3</w:t>
      </w:r>
      <w:r>
        <w:rPr>
          <w:rFonts w:ascii="Calibri" w:eastAsia="Calibri"/>
          <w:spacing w:val="1"/>
        </w:rPr>
        <w:t>  (</w:t>
      </w:r>
      <w:r>
        <w:rPr>
          <w:rFonts w:ascii="Calibri" w:eastAsia="Calibri"/>
        </w:rPr>
        <w:t>2)</w:t>
      </w:r>
      <w:r>
        <w:rPr/>
        <w:t>目的约定，将逾期付款违约金支付给承包人。(3)</w:t>
      </w:r>
      <w:r>
        <w:rPr>
          <w:spacing w:val="-6"/>
        </w:rPr>
        <w:t>承包人对发包人签认的完工付款证书有异议的，发包人可出具完工付款申请单中</w:t>
      </w:r>
    </w:p>
    <w:p>
      <w:pPr>
        <w:pStyle w:val="BodyText"/>
        <w:spacing w:before="2"/>
        <w:ind w:left="226"/>
        <w:jc w:val="both"/>
      </w:pPr>
      <w:r>
        <w:rPr/>
        <w:t>承包人已同意部分的临时付款证书。存在争议的部分，按第 </w:t>
      </w:r>
      <w:r>
        <w:rPr>
          <w:rFonts w:ascii="Calibri" w:eastAsia="Calibri"/>
        </w:rPr>
        <w:t>22 </w:t>
      </w:r>
      <w:r>
        <w:rPr/>
        <w:t>条的约定办理。</w:t>
      </w:r>
    </w:p>
    <w:p>
      <w:pPr>
        <w:spacing w:after="0"/>
        <w:jc w:val="both"/>
        <w:sectPr>
          <w:pgSz w:w="11910" w:h="16850"/>
          <w:pgMar w:header="911" w:footer="0" w:top="1380" w:bottom="280" w:left="1200" w:right="0"/>
        </w:sectPr>
      </w:pPr>
    </w:p>
    <w:p>
      <w:pPr>
        <w:pStyle w:val="BodyText"/>
        <w:spacing w:before="135"/>
        <w:ind w:left="707"/>
      </w:pPr>
      <w:r>
        <w:rPr/>
        <w:t>(4)完工付款涉及政府投资资金的，按第 </w:t>
      </w:r>
      <w:r>
        <w:rPr>
          <w:rFonts w:ascii="Calibri" w:eastAsia="Calibri"/>
        </w:rPr>
        <w:t>16.3.3(4)</w:t>
      </w:r>
      <w:r>
        <w:rPr/>
        <w:t>目的约定办理。</w:t>
      </w:r>
    </w:p>
    <w:p>
      <w:pPr>
        <w:pStyle w:val="ListParagraph"/>
        <w:numPr>
          <w:ilvl w:val="1"/>
          <w:numId w:val="38"/>
        </w:numPr>
        <w:tabs>
          <w:tab w:pos="1067" w:val="left" w:leader="none"/>
          <w:tab w:pos="1068" w:val="left" w:leader="none"/>
        </w:tabs>
        <w:spacing w:line="240" w:lineRule="auto" w:before="158" w:after="0"/>
        <w:ind w:left="1068" w:right="0" w:hanging="842"/>
        <w:jc w:val="left"/>
        <w:rPr>
          <w:rFonts w:ascii="黑体" w:eastAsia="黑体" w:hint="eastAsia"/>
          <w:sz w:val="24"/>
        </w:rPr>
      </w:pPr>
      <w:r>
        <w:rPr>
          <w:rFonts w:ascii="黑体" w:eastAsia="黑体" w:hint="eastAsia"/>
          <w:sz w:val="24"/>
        </w:rPr>
        <w:t>最终结清</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最终结清申请单</w:t>
      </w:r>
    </w:p>
    <w:p>
      <w:pPr>
        <w:pStyle w:val="ListParagraph"/>
        <w:numPr>
          <w:ilvl w:val="0"/>
          <w:numId w:val="56"/>
        </w:numPr>
        <w:tabs>
          <w:tab w:pos="1069" w:val="left" w:leader="none"/>
        </w:tabs>
        <w:spacing w:line="362" w:lineRule="auto" w:before="158" w:after="0"/>
        <w:ind w:left="226" w:right="1342" w:firstLine="480"/>
        <w:jc w:val="left"/>
        <w:rPr>
          <w:sz w:val="24"/>
        </w:rPr>
      </w:pPr>
      <w:r>
        <w:rPr>
          <w:spacing w:val="-8"/>
          <w:sz w:val="24"/>
        </w:rPr>
        <w:t>工程质量保修责任终止证书签发后，承包人应按监理人批准的格式提交最终结清申请单。提交最终结清申请单的份数在专用合同条款中约定。</w:t>
      </w:r>
      <w:r>
        <w:rPr>
          <w:sz w:val="24"/>
        </w:rPr>
        <w:t> </w:t>
      </w:r>
    </w:p>
    <w:p>
      <w:pPr>
        <w:pStyle w:val="ListParagraph"/>
        <w:numPr>
          <w:ilvl w:val="0"/>
          <w:numId w:val="56"/>
        </w:numPr>
        <w:tabs>
          <w:tab w:pos="1069" w:val="left" w:leader="none"/>
        </w:tabs>
        <w:spacing w:line="362" w:lineRule="auto" w:before="17" w:after="0"/>
        <w:ind w:left="226" w:right="1342" w:firstLine="480"/>
        <w:jc w:val="left"/>
        <w:rPr>
          <w:sz w:val="24"/>
        </w:rPr>
      </w:pPr>
      <w:r>
        <w:rPr/>
        <w:drawing>
          <wp:anchor distT="0" distB="0" distL="0" distR="0" allowOverlap="1" layoutInCell="1" locked="0" behindDoc="1" simplePos="0" relativeHeight="234768384">
            <wp:simplePos x="0" y="0"/>
            <wp:positionH relativeFrom="page">
              <wp:posOffset>992771</wp:posOffset>
            </wp:positionH>
            <wp:positionV relativeFrom="paragraph">
              <wp:posOffset>163963</wp:posOffset>
            </wp:positionV>
            <wp:extent cx="5578970" cy="5494141"/>
            <wp:effectExtent l="0" t="0" r="0" b="0"/>
            <wp:wrapNone/>
            <wp:docPr id="81" name="image1.png"/>
            <wp:cNvGraphicFramePr>
              <a:graphicFrameLocks noChangeAspect="1"/>
            </wp:cNvGraphicFramePr>
            <a:graphic>
              <a:graphicData uri="http://schemas.openxmlformats.org/drawingml/2006/picture">
                <pic:pic>
                  <pic:nvPicPr>
                    <pic:cNvPr id="8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7"/>
          <w:sz w:val="24"/>
        </w:rPr>
        <w:t>发包人对最终结清申请单内容有异议的，有权要求承包人进行修正和提供补充资料，由承包人向监理人提交修正后的最终结清申请单。</w:t>
      </w:r>
    </w:p>
    <w:p>
      <w:pPr>
        <w:pStyle w:val="ListParagraph"/>
        <w:numPr>
          <w:ilvl w:val="2"/>
          <w:numId w:val="38"/>
        </w:numPr>
        <w:tabs>
          <w:tab w:pos="1369" w:val="left" w:leader="none"/>
        </w:tabs>
        <w:spacing w:line="240" w:lineRule="auto" w:before="2" w:after="0"/>
        <w:ind w:left="1368" w:right="0" w:hanging="662"/>
        <w:jc w:val="left"/>
        <w:rPr>
          <w:sz w:val="24"/>
        </w:rPr>
      </w:pPr>
      <w:r>
        <w:rPr>
          <w:sz w:val="24"/>
        </w:rPr>
        <w:t>最终结清证书和支付时间</w:t>
      </w:r>
    </w:p>
    <w:p>
      <w:pPr>
        <w:pStyle w:val="BodyText"/>
        <w:spacing w:before="158"/>
        <w:ind w:right="1346"/>
        <w:jc w:val="right"/>
      </w:pPr>
      <w:r>
        <w:rPr/>
        <w:t>(1)</w:t>
      </w:r>
      <w:r>
        <w:rPr>
          <w:spacing w:val="-4"/>
        </w:rPr>
        <w:t>监理人收到承包人提交的最终结清申请单后的 </w:t>
      </w:r>
      <w:r>
        <w:rPr>
          <w:rFonts w:ascii="Calibri" w:eastAsia="Calibri"/>
        </w:rPr>
        <w:t>14</w:t>
      </w:r>
      <w:r>
        <w:rPr>
          <w:rFonts w:ascii="Calibri" w:eastAsia="Calibri"/>
          <w:spacing w:val="3"/>
        </w:rPr>
        <w:t> </w:t>
      </w:r>
      <w:r>
        <w:rPr/>
        <w:t>天内，提出发包人应支付给承</w:t>
      </w:r>
    </w:p>
    <w:p>
      <w:pPr>
        <w:pStyle w:val="BodyText"/>
        <w:spacing w:line="367" w:lineRule="auto" w:before="158"/>
        <w:ind w:left="226" w:right="1343"/>
        <w:jc w:val="right"/>
      </w:pPr>
      <w:r>
        <w:rPr>
          <w:spacing w:val="-7"/>
        </w:rPr>
        <w:t>包人的价款送发包人审核并抄送承包人。发包人应在收到后 </w:t>
      </w:r>
      <w:r>
        <w:rPr>
          <w:rFonts w:ascii="Calibri" w:eastAsia="Calibri"/>
        </w:rPr>
        <w:t>14</w:t>
      </w:r>
      <w:r>
        <w:rPr>
          <w:rFonts w:ascii="Calibri" w:eastAsia="Calibri"/>
          <w:spacing w:val="3"/>
        </w:rPr>
        <w:t> </w:t>
      </w:r>
      <w:r>
        <w:rPr>
          <w:spacing w:val="-8"/>
        </w:rPr>
        <w:t>天内审核完毕，由监理人向承包人出具经发包人签认的最终结清证书。监理人未在约定时间内核查，又未提出具体意见的，视为承包人提交的最终结清申请己经监理人核查同意；发包人未在约定时间内审核又未提出具体意见的，监理人提出应支付给承包人的价款视为已经发包人同意。 (2)</w:t>
      </w:r>
      <w:r>
        <w:rPr>
          <w:spacing w:val="-11"/>
        </w:rPr>
        <w:t>发包人应在监理人出具最终结清证书后的 </w:t>
      </w:r>
      <w:r>
        <w:rPr>
          <w:rFonts w:ascii="Calibri" w:eastAsia="Calibri"/>
        </w:rPr>
        <w:t>14</w:t>
      </w:r>
      <w:r>
        <w:rPr>
          <w:rFonts w:ascii="Calibri" w:eastAsia="Calibri"/>
          <w:spacing w:val="3"/>
        </w:rPr>
        <w:t> </w:t>
      </w:r>
      <w:r>
        <w:rPr/>
        <w:t>天内，将应支付款支付给承包人。</w:t>
      </w:r>
    </w:p>
    <w:p>
      <w:pPr>
        <w:pStyle w:val="BodyText"/>
        <w:spacing w:line="369" w:lineRule="auto"/>
        <w:ind w:left="707" w:right="1792" w:hanging="481"/>
      </w:pPr>
      <w:r>
        <w:rPr/>
        <w:t>发包人不按期支付的，按第 </w:t>
      </w:r>
      <w:r>
        <w:rPr>
          <w:rFonts w:ascii="Calibri" w:eastAsia="Calibri"/>
        </w:rPr>
        <w:t>16.3.3(2)</w:t>
      </w:r>
      <w:r>
        <w:rPr/>
        <w:t>目的约定，将逾期付款违约金支付给承包人。(3)承包人对发包人签认的最终结清证书有异议的，按第 </w:t>
      </w:r>
      <w:r>
        <w:rPr>
          <w:rFonts w:ascii="Calibri" w:eastAsia="Calibri"/>
        </w:rPr>
        <w:t>22 </w:t>
      </w:r>
      <w:r>
        <w:rPr/>
        <w:t>条的约定办理。(4)最终结清付款涉及政府投资资金的，按第 </w:t>
      </w:r>
      <w:r>
        <w:rPr>
          <w:rFonts w:ascii="Calibri" w:eastAsia="Calibri"/>
        </w:rPr>
        <w:t>16.3.3(4)</w:t>
      </w:r>
      <w:r>
        <w:rPr/>
        <w:t>目的约定办理。</w:t>
      </w:r>
    </w:p>
    <w:p>
      <w:pPr>
        <w:pStyle w:val="ListParagraph"/>
        <w:numPr>
          <w:ilvl w:val="1"/>
          <w:numId w:val="38"/>
        </w:numPr>
        <w:tabs>
          <w:tab w:pos="1067" w:val="left" w:leader="none"/>
          <w:tab w:pos="1068" w:val="left" w:leader="none"/>
        </w:tabs>
        <w:spacing w:line="298" w:lineRule="exact" w:before="0" w:after="0"/>
        <w:ind w:left="1068" w:right="0" w:hanging="842"/>
        <w:jc w:val="left"/>
        <w:rPr>
          <w:rFonts w:ascii="黑体" w:eastAsia="黑体" w:hint="eastAsia"/>
          <w:sz w:val="24"/>
        </w:rPr>
      </w:pPr>
      <w:r>
        <w:rPr>
          <w:rFonts w:ascii="黑体" w:eastAsia="黑体" w:hint="eastAsia"/>
          <w:sz w:val="24"/>
        </w:rPr>
        <w:t>竣工财务决算</w:t>
      </w:r>
    </w:p>
    <w:p>
      <w:pPr>
        <w:pStyle w:val="BodyText"/>
        <w:spacing w:line="362" w:lineRule="auto" w:before="148"/>
        <w:ind w:left="226" w:right="1342" w:firstLine="480"/>
      </w:pPr>
      <w:r>
        <w:rPr/>
        <w:t>发包人负责编制本工程项目竣工财务决算，承包人应按专用合同条款的约定提供竣工财务决算编制所需的相关材料。</w:t>
      </w:r>
    </w:p>
    <w:p>
      <w:pPr>
        <w:pStyle w:val="ListParagraph"/>
        <w:numPr>
          <w:ilvl w:val="1"/>
          <w:numId w:val="38"/>
        </w:numPr>
        <w:tabs>
          <w:tab w:pos="1067" w:val="left" w:leader="none"/>
          <w:tab w:pos="1068" w:val="left" w:leader="none"/>
        </w:tabs>
        <w:spacing w:line="240" w:lineRule="auto" w:before="17" w:after="0"/>
        <w:ind w:left="1068" w:right="0" w:hanging="842"/>
        <w:jc w:val="left"/>
        <w:rPr>
          <w:rFonts w:ascii="黑体" w:eastAsia="黑体" w:hint="eastAsia"/>
          <w:sz w:val="24"/>
        </w:rPr>
      </w:pPr>
      <w:r>
        <w:rPr>
          <w:rFonts w:ascii="黑体" w:eastAsia="黑体" w:hint="eastAsia"/>
          <w:sz w:val="24"/>
        </w:rPr>
        <w:t>竣工审计</w:t>
      </w:r>
    </w:p>
    <w:p>
      <w:pPr>
        <w:pStyle w:val="BodyText"/>
        <w:spacing w:before="158"/>
        <w:ind w:left="707"/>
      </w:pPr>
      <w:r>
        <w:rPr/>
        <w:t>发包人负责完成本工程竣工审计手续，承包人应完成相关配合工作。</w:t>
      </w:r>
    </w:p>
    <w:p>
      <w:pPr>
        <w:pStyle w:val="BodyText"/>
      </w:pPr>
    </w:p>
    <w:p>
      <w:pPr>
        <w:pStyle w:val="BodyText"/>
      </w:pPr>
    </w:p>
    <w:p>
      <w:pPr>
        <w:pStyle w:val="BodyText"/>
        <w:spacing w:before="8"/>
        <w:rPr>
          <w:sz w:val="25"/>
        </w:rPr>
      </w:pPr>
    </w:p>
    <w:p>
      <w:pPr>
        <w:pStyle w:val="Heading6"/>
        <w:numPr>
          <w:ilvl w:val="0"/>
          <w:numId w:val="38"/>
        </w:numPr>
        <w:tabs>
          <w:tab w:pos="618" w:val="left" w:leader="none"/>
        </w:tabs>
        <w:spacing w:line="240" w:lineRule="auto" w:before="1" w:after="0"/>
        <w:ind w:left="617" w:right="0" w:hanging="392"/>
        <w:jc w:val="left"/>
      </w:pPr>
      <w:bookmarkStart w:name="18竣工验收" w:id="100"/>
      <w:bookmarkEnd w:id="100"/>
      <w:r>
        <w:rPr>
          <w:b w:val="0"/>
        </w:rPr>
      </w:r>
      <w:bookmarkStart w:name="18竣工验收" w:id="101"/>
      <w:bookmarkEnd w:id="101"/>
      <w:r>
        <w:rPr/>
        <w:t>竣工验收</w:t>
      </w:r>
    </w:p>
    <w:p>
      <w:pPr>
        <w:pStyle w:val="BodyText"/>
        <w:spacing w:before="8"/>
        <w:rPr>
          <w:rFonts w:ascii="黑体"/>
          <w:b/>
          <w:sz w:val="40"/>
        </w:rPr>
      </w:pPr>
    </w:p>
    <w:p>
      <w:pPr>
        <w:pStyle w:val="BodyText"/>
        <w:spacing w:before="1"/>
        <w:ind w:right="1393"/>
        <w:jc w:val="right"/>
      </w:pPr>
      <w:r>
        <w:rPr/>
        <w:t>竣工验收</w:t>
      </w:r>
      <w:r>
        <w:rPr>
          <w:rFonts w:ascii="Calibri" w:hAnsi="Calibri" w:eastAsia="Calibri"/>
        </w:rPr>
        <w:t>(</w:t>
      </w:r>
      <w:r>
        <w:rPr/>
        <w:t>验收</w:t>
      </w:r>
      <w:r>
        <w:rPr>
          <w:rFonts w:ascii="Calibri" w:hAnsi="Calibri" w:eastAsia="Calibri"/>
        </w:rPr>
        <w:t>)</w:t>
      </w:r>
      <w:r>
        <w:rPr/>
        <w:t>竣工验收按照《水利水电建设工程验收规程》</w:t>
      </w:r>
      <w:r>
        <w:rPr>
          <w:rFonts w:ascii="Calibri" w:hAnsi="Calibri" w:eastAsia="Calibri"/>
        </w:rPr>
        <w:t>(SL 223</w:t>
      </w:r>
      <w:r>
        <w:rPr/>
        <w:t>—</w:t>
      </w:r>
      <w:r>
        <w:rPr>
          <w:rFonts w:ascii="Calibri" w:hAnsi="Calibri" w:eastAsia="Calibri"/>
        </w:rPr>
        <w:t>2008)</w:t>
      </w:r>
      <w:r>
        <w:rPr/>
        <w:t>执行。</w:t>
      </w:r>
    </w:p>
    <w:p>
      <w:pPr>
        <w:spacing w:after="0"/>
        <w:jc w:val="right"/>
        <w:sectPr>
          <w:pgSz w:w="11910" w:h="16850"/>
          <w:pgMar w:header="911" w:footer="0" w:top="1380" w:bottom="280" w:left="1200" w:right="0"/>
        </w:sectPr>
      </w:pPr>
    </w:p>
    <w:p>
      <w:pPr>
        <w:pStyle w:val="BodyText"/>
        <w:spacing w:before="3"/>
        <w:rPr>
          <w:sz w:val="8"/>
        </w:rPr>
      </w:pPr>
    </w:p>
    <w:p>
      <w:pPr>
        <w:pStyle w:val="Heading6"/>
        <w:numPr>
          <w:ilvl w:val="0"/>
          <w:numId w:val="38"/>
        </w:numPr>
        <w:tabs>
          <w:tab w:pos="618" w:val="left" w:leader="none"/>
        </w:tabs>
        <w:spacing w:line="240" w:lineRule="auto" w:before="65" w:after="0"/>
        <w:ind w:left="617" w:right="0" w:hanging="392"/>
        <w:jc w:val="left"/>
      </w:pPr>
      <w:bookmarkStart w:name="19缺陷责任与保修责任" w:id="102"/>
      <w:bookmarkEnd w:id="102"/>
      <w:r>
        <w:rPr>
          <w:b w:val="0"/>
        </w:rPr>
      </w:r>
      <w:bookmarkStart w:name="19缺陷责任与保修责任" w:id="103"/>
      <w:bookmarkEnd w:id="103"/>
      <w:r>
        <w:rPr>
          <w:spacing w:val="-5"/>
        </w:rPr>
        <w:t>缺陷责任与保修责任</w:t>
      </w:r>
    </w:p>
    <w:p>
      <w:pPr>
        <w:pStyle w:val="BodyText"/>
        <w:spacing w:before="7"/>
        <w:rPr>
          <w:rFonts w:ascii="黑体"/>
          <w:b/>
          <w:sz w:val="39"/>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缺陷责任期的起算时间</w:t>
      </w:r>
    </w:p>
    <w:p>
      <w:pPr>
        <w:pStyle w:val="BodyText"/>
        <w:spacing w:line="362" w:lineRule="auto" w:before="173"/>
        <w:ind w:left="226" w:right="1228" w:firstLine="480"/>
        <w:jc w:val="both"/>
      </w:pPr>
      <w:r>
        <w:rPr/>
        <w:drawing>
          <wp:anchor distT="0" distB="0" distL="0" distR="0" allowOverlap="1" layoutInCell="1" locked="0" behindDoc="1" simplePos="0" relativeHeight="234769408">
            <wp:simplePos x="0" y="0"/>
            <wp:positionH relativeFrom="page">
              <wp:posOffset>992771</wp:posOffset>
            </wp:positionH>
            <wp:positionV relativeFrom="paragraph">
              <wp:posOffset>873258</wp:posOffset>
            </wp:positionV>
            <wp:extent cx="5578970" cy="5494141"/>
            <wp:effectExtent l="0" t="0" r="0" b="0"/>
            <wp:wrapNone/>
            <wp:docPr id="83" name="image1.png"/>
            <wp:cNvGraphicFramePr>
              <a:graphicFrameLocks noChangeAspect="1"/>
            </wp:cNvGraphicFramePr>
            <a:graphic>
              <a:graphicData uri="http://schemas.openxmlformats.org/drawingml/2006/picture">
                <pic:pic>
                  <pic:nvPicPr>
                    <pic:cNvPr id="84"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1"/>
        </w:rPr>
        <w:t>除专用合同条款另有约定外，缺陷责任期(工程质量保修期)从工程通过合同工程完工验收后开始计算。在合同工程完工验收前，已经发包人提前验收的单位工程或部分工程，若未投入使用，其缺陷责任期(工程质量保修期)亦从工程通过合同工程完工验收后</w:t>
      </w:r>
      <w:r>
        <w:rPr>
          <w:spacing w:val="-2"/>
        </w:rPr>
        <w:t>开始计算；若已投入使用，其缺陷责任期(工程质量保修期)从通过单位工程或部分工程</w:t>
      </w:r>
      <w:r>
        <w:rPr>
          <w:spacing w:val="-12"/>
        </w:rPr>
        <w:t>投入使用验收后开始计算。缺陷责任期(工程质量保修期)的期限在专用合同条款中约定。</w:t>
      </w:r>
    </w:p>
    <w:p>
      <w:pPr>
        <w:pStyle w:val="ListParagraph"/>
        <w:numPr>
          <w:ilvl w:val="1"/>
          <w:numId w:val="38"/>
        </w:numPr>
        <w:tabs>
          <w:tab w:pos="1067" w:val="left" w:leader="none"/>
          <w:tab w:pos="1068" w:val="left" w:leader="none"/>
        </w:tabs>
        <w:spacing w:line="240" w:lineRule="auto" w:before="21" w:after="0"/>
        <w:ind w:left="1068" w:right="0" w:hanging="842"/>
        <w:jc w:val="left"/>
        <w:rPr>
          <w:rFonts w:ascii="黑体" w:eastAsia="黑体" w:hint="eastAsia"/>
          <w:sz w:val="24"/>
        </w:rPr>
      </w:pPr>
      <w:r>
        <w:rPr>
          <w:rFonts w:ascii="黑体" w:eastAsia="黑体" w:hint="eastAsia"/>
          <w:sz w:val="24"/>
        </w:rPr>
        <w:t>缺陷责任</w:t>
      </w:r>
    </w:p>
    <w:p>
      <w:pPr>
        <w:pStyle w:val="ListParagraph"/>
        <w:numPr>
          <w:ilvl w:val="2"/>
          <w:numId w:val="38"/>
        </w:numPr>
        <w:tabs>
          <w:tab w:pos="1369" w:val="left" w:leader="none"/>
        </w:tabs>
        <w:spacing w:line="240" w:lineRule="auto" w:before="157" w:after="0"/>
        <w:ind w:left="1368" w:right="0" w:hanging="662"/>
        <w:jc w:val="both"/>
        <w:rPr>
          <w:sz w:val="24"/>
        </w:rPr>
      </w:pPr>
      <w:r>
        <w:rPr>
          <w:sz w:val="24"/>
        </w:rPr>
        <w:t>承包人应在缺陷责任期内对己交付使用的工程承担缺陷责任。</w:t>
      </w:r>
    </w:p>
    <w:p>
      <w:pPr>
        <w:pStyle w:val="ListParagraph"/>
        <w:numPr>
          <w:ilvl w:val="2"/>
          <w:numId w:val="38"/>
        </w:numPr>
        <w:tabs>
          <w:tab w:pos="1429" w:val="left" w:leader="none"/>
        </w:tabs>
        <w:spacing w:line="362" w:lineRule="auto" w:before="158" w:after="0"/>
        <w:ind w:left="226" w:right="1343" w:firstLine="480"/>
        <w:jc w:val="both"/>
        <w:rPr>
          <w:sz w:val="24"/>
        </w:rPr>
      </w:pPr>
      <w:r>
        <w:rPr>
          <w:sz w:val="24"/>
        </w:rPr>
        <w:t>缺陷责任期内，发包人对己接收使用的工程负责日常维护工作。发包人在使用过程中，发现已接收的工程存在新的缺陷或已修复的缺陷部位或部件又遭损坏的，承包人应负责修复，直至检验合格为止。</w:t>
      </w:r>
    </w:p>
    <w:p>
      <w:pPr>
        <w:pStyle w:val="ListParagraph"/>
        <w:numPr>
          <w:ilvl w:val="2"/>
          <w:numId w:val="38"/>
        </w:numPr>
        <w:tabs>
          <w:tab w:pos="1429" w:val="left" w:leader="none"/>
        </w:tabs>
        <w:spacing w:line="362" w:lineRule="auto" w:before="19" w:after="0"/>
        <w:ind w:left="226" w:right="1346" w:firstLine="480"/>
        <w:jc w:val="both"/>
        <w:rPr>
          <w:sz w:val="24"/>
        </w:rPr>
      </w:pPr>
      <w:r>
        <w:rPr>
          <w:sz w:val="24"/>
        </w:rPr>
        <w:t>监理人和承包人应共同查清缺陷和(或)损坏的原因。经查明属承包人原因造</w:t>
      </w:r>
      <w:r>
        <w:rPr>
          <w:spacing w:val="-1"/>
          <w:sz w:val="24"/>
        </w:rPr>
        <w:t>成的，应由承包人承担修复和查验的费用。经查验属发包人原因造成的，发包人应承担修复和查验的费用，并支付承包人合理利润。</w:t>
      </w:r>
    </w:p>
    <w:p>
      <w:pPr>
        <w:pStyle w:val="ListParagraph"/>
        <w:numPr>
          <w:ilvl w:val="2"/>
          <w:numId w:val="38"/>
        </w:numPr>
        <w:tabs>
          <w:tab w:pos="1369" w:val="left" w:leader="none"/>
        </w:tabs>
        <w:spacing w:line="362" w:lineRule="auto" w:before="3" w:after="0"/>
        <w:ind w:left="226" w:right="1222" w:firstLine="480"/>
        <w:jc w:val="both"/>
        <w:rPr>
          <w:sz w:val="24"/>
        </w:rPr>
      </w:pPr>
      <w:r>
        <w:rPr>
          <w:spacing w:val="-4"/>
          <w:sz w:val="24"/>
        </w:rPr>
        <w:t>承包人不能在合理时间内修复缺陷的，发包人可自行修复或委托其他人修复， </w:t>
      </w:r>
      <w:r>
        <w:rPr>
          <w:spacing w:val="-9"/>
          <w:sz w:val="24"/>
        </w:rPr>
        <w:t>所需费用和利润的承担，按第 </w:t>
      </w:r>
      <w:r>
        <w:rPr>
          <w:rFonts w:ascii="Calibri" w:eastAsia="Calibri"/>
          <w:sz w:val="24"/>
        </w:rPr>
        <w:t>17.2.3</w:t>
      </w:r>
      <w:r>
        <w:rPr>
          <w:rFonts w:ascii="Calibri" w:eastAsia="Calibri"/>
          <w:spacing w:val="4"/>
          <w:sz w:val="24"/>
        </w:rPr>
        <w:t> </w:t>
      </w:r>
      <w:r>
        <w:rPr>
          <w:sz w:val="24"/>
        </w:rPr>
        <w:t>项约定办理。</w:t>
      </w:r>
    </w:p>
    <w:p>
      <w:pPr>
        <w:pStyle w:val="ListParagraph"/>
        <w:numPr>
          <w:ilvl w:val="1"/>
          <w:numId w:val="38"/>
        </w:numPr>
        <w:tabs>
          <w:tab w:pos="1067" w:val="left" w:leader="none"/>
          <w:tab w:pos="1068" w:val="left" w:leader="none"/>
        </w:tabs>
        <w:spacing w:line="240" w:lineRule="auto" w:before="17" w:after="0"/>
        <w:ind w:left="1068" w:right="0" w:hanging="842"/>
        <w:jc w:val="left"/>
        <w:rPr>
          <w:rFonts w:ascii="黑体" w:eastAsia="黑体" w:hint="eastAsia"/>
          <w:sz w:val="24"/>
        </w:rPr>
      </w:pPr>
      <w:r>
        <w:rPr>
          <w:rFonts w:ascii="黑体" w:eastAsia="黑体" w:hint="eastAsia"/>
          <w:sz w:val="24"/>
        </w:rPr>
        <w:t>缺陷责任期的延长</w:t>
      </w:r>
    </w:p>
    <w:p>
      <w:pPr>
        <w:pStyle w:val="BodyText"/>
        <w:spacing w:line="362" w:lineRule="auto" w:before="158"/>
        <w:ind w:left="226" w:right="1343" w:firstLine="480"/>
        <w:jc w:val="both"/>
      </w:pPr>
      <w:r>
        <w:rPr/>
        <w:t>由于承包人原因造成某项缺陷或损坏使某项工程或工程设备不能按原定目标使用而需要再次检查、检验和修复的，发包人有权要求承包人相应延长缺陷责任期，但缺陷责任期最长不超过 </w:t>
      </w:r>
      <w:r>
        <w:rPr>
          <w:rFonts w:ascii="Calibri" w:eastAsia="Calibri"/>
        </w:rPr>
        <w:t>2 </w:t>
      </w:r>
      <w:r>
        <w:rPr/>
        <w:t>年。</w:t>
      </w:r>
    </w:p>
    <w:p>
      <w:pPr>
        <w:pStyle w:val="ListParagraph"/>
        <w:numPr>
          <w:ilvl w:val="1"/>
          <w:numId w:val="38"/>
        </w:numPr>
        <w:tabs>
          <w:tab w:pos="1067" w:val="left" w:leader="none"/>
          <w:tab w:pos="1068" w:val="left" w:leader="none"/>
        </w:tabs>
        <w:spacing w:line="240" w:lineRule="auto" w:before="3" w:after="0"/>
        <w:ind w:left="1068" w:right="0" w:hanging="842"/>
        <w:jc w:val="left"/>
        <w:rPr>
          <w:rFonts w:ascii="黑体" w:eastAsia="黑体" w:hint="eastAsia"/>
          <w:sz w:val="24"/>
        </w:rPr>
      </w:pPr>
      <w:r>
        <w:rPr>
          <w:rFonts w:ascii="黑体" w:eastAsia="黑体" w:hint="eastAsia"/>
          <w:sz w:val="24"/>
        </w:rPr>
        <w:t>进一步试验和试运行</w:t>
      </w:r>
    </w:p>
    <w:p>
      <w:pPr>
        <w:pStyle w:val="BodyText"/>
        <w:spacing w:line="362" w:lineRule="auto" w:before="173"/>
        <w:ind w:left="226" w:right="1342" w:firstLine="480"/>
      </w:pPr>
      <w:r>
        <w:rPr/>
        <w:t>任何一项缺陷或损坏修复后，经检查证明其影响了工程或工程设备的使用性能，承包人应重新进行合同约定的试验和试运行，试验和试运行的全部费用应由责任方承担。</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承包人的进入权</w:t>
      </w:r>
    </w:p>
    <w:p>
      <w:pPr>
        <w:pStyle w:val="BodyText"/>
        <w:spacing w:line="362" w:lineRule="auto" w:before="158"/>
        <w:ind w:left="226" w:right="1342" w:firstLine="480"/>
      </w:pPr>
      <w:r>
        <w:rPr/>
        <w:t>缺陷责任期内承包人为缺陷修复工作需要，有权进入工程现场，但应遵守发包人的保安和保密规定。</w:t>
      </w:r>
    </w:p>
    <w:p>
      <w:pPr>
        <w:pStyle w:val="ListParagraph"/>
        <w:numPr>
          <w:ilvl w:val="1"/>
          <w:numId w:val="38"/>
        </w:numPr>
        <w:tabs>
          <w:tab w:pos="1067" w:val="left" w:leader="none"/>
          <w:tab w:pos="1068" w:val="left" w:leader="none"/>
        </w:tabs>
        <w:spacing w:line="240" w:lineRule="auto" w:before="17" w:after="0"/>
        <w:ind w:left="1068" w:right="0" w:hanging="842"/>
        <w:jc w:val="left"/>
        <w:rPr>
          <w:rFonts w:ascii="黑体" w:eastAsia="黑体" w:hint="eastAsia"/>
          <w:sz w:val="24"/>
        </w:rPr>
      </w:pPr>
      <w:r>
        <w:rPr>
          <w:rFonts w:ascii="黑体" w:eastAsia="黑体" w:hint="eastAsia"/>
          <w:sz w:val="24"/>
        </w:rPr>
        <w:t>缺陷责任期终止证书(工程质量保修责任终止证书)</w:t>
      </w:r>
    </w:p>
    <w:p>
      <w:pPr>
        <w:pStyle w:val="BodyText"/>
        <w:spacing w:before="158"/>
        <w:ind w:left="707"/>
      </w:pPr>
      <w:r>
        <w:rPr/>
        <w:t>合同工程完工验收或投入使用验收后，发包人与承包人应办理工程交接手续，承包</w:t>
      </w:r>
    </w:p>
    <w:p>
      <w:pPr>
        <w:spacing w:after="0"/>
        <w:sectPr>
          <w:pgSz w:w="11910" w:h="16850"/>
          <w:pgMar w:header="911" w:footer="0" w:top="1380" w:bottom="280" w:left="1200" w:right="0"/>
        </w:sectPr>
      </w:pPr>
    </w:p>
    <w:p>
      <w:pPr>
        <w:pStyle w:val="BodyText"/>
        <w:spacing w:line="362" w:lineRule="auto" w:before="135"/>
        <w:ind w:left="226" w:right="1167"/>
      </w:pPr>
      <w:r>
        <w:rPr/>
        <w:t>人应向发包人递交工程质量保修书。缺陷责任期(工程质量保修期)满后 </w:t>
      </w:r>
      <w:r>
        <w:rPr>
          <w:rFonts w:ascii="Calibri" w:eastAsia="Calibri"/>
        </w:rPr>
        <w:t>30 </w:t>
      </w:r>
      <w:r>
        <w:rPr/>
        <w:t>个工作日内， 发包人应向承包人颁发工程质量保修责任终止证书，并退还剩余的质量保证金，但保修责任范围内的质量缺陷未处理完成的应除外。</w:t>
      </w:r>
    </w:p>
    <w:p>
      <w:pPr>
        <w:pStyle w:val="ListParagraph"/>
        <w:numPr>
          <w:ilvl w:val="1"/>
          <w:numId w:val="38"/>
        </w:numPr>
        <w:tabs>
          <w:tab w:pos="1067" w:val="left" w:leader="none"/>
          <w:tab w:pos="1068" w:val="left" w:leader="none"/>
        </w:tabs>
        <w:spacing w:line="240" w:lineRule="auto" w:before="4" w:after="0"/>
        <w:ind w:left="1068" w:right="0" w:hanging="842"/>
        <w:jc w:val="left"/>
        <w:rPr>
          <w:rFonts w:ascii="黑体" w:eastAsia="黑体" w:hint="eastAsia"/>
          <w:sz w:val="24"/>
        </w:rPr>
      </w:pPr>
      <w:r>
        <w:rPr>
          <w:rFonts w:ascii="黑体" w:eastAsia="黑体" w:hint="eastAsia"/>
          <w:sz w:val="24"/>
        </w:rPr>
        <w:t>保修责任</w:t>
      </w:r>
    </w:p>
    <w:p>
      <w:pPr>
        <w:pStyle w:val="BodyText"/>
        <w:spacing w:line="369" w:lineRule="auto" w:before="157"/>
        <w:ind w:left="226" w:right="1343" w:firstLine="480"/>
        <w:jc w:val="both"/>
      </w:pPr>
      <w:r>
        <w:rPr/>
        <w:drawing>
          <wp:anchor distT="0" distB="0" distL="0" distR="0" allowOverlap="1" layoutInCell="1" locked="0" behindDoc="1" simplePos="0" relativeHeight="234770432">
            <wp:simplePos x="0" y="0"/>
            <wp:positionH relativeFrom="page">
              <wp:posOffset>992771</wp:posOffset>
            </wp:positionH>
            <wp:positionV relativeFrom="paragraph">
              <wp:posOffset>557916</wp:posOffset>
            </wp:positionV>
            <wp:extent cx="5578970" cy="5494141"/>
            <wp:effectExtent l="0" t="0" r="0" b="0"/>
            <wp:wrapNone/>
            <wp:docPr id="85" name="image1.png"/>
            <wp:cNvGraphicFramePr>
              <a:graphicFrameLocks noChangeAspect="1"/>
            </wp:cNvGraphicFramePr>
            <a:graphic>
              <a:graphicData uri="http://schemas.openxmlformats.org/drawingml/2006/picture">
                <pic:pic>
                  <pic:nvPicPr>
                    <pic:cNvPr id="86" name="image1.png"/>
                    <pic:cNvPicPr/>
                  </pic:nvPicPr>
                  <pic:blipFill>
                    <a:blip r:embed="rId6" cstate="print"/>
                    <a:stretch>
                      <a:fillRect/>
                    </a:stretch>
                  </pic:blipFill>
                  <pic:spPr>
                    <a:xfrm>
                      <a:off x="0" y="0"/>
                      <a:ext cx="5578970" cy="5494141"/>
                    </a:xfrm>
                    <a:prstGeom prst="rect">
                      <a:avLst/>
                    </a:prstGeom>
                  </pic:spPr>
                </pic:pic>
              </a:graphicData>
            </a:graphic>
          </wp:anchor>
        </w:drawing>
      </w:r>
      <w:r>
        <w:rPr/>
        <w:t>合同当事人根据有关法律规定，在专用合同条款中约定工程质量保修范围、期限和责任。保修期自实际竣工日期起计算。在全部工程竣工验收前，已经发包人提前验收的单位工程，其保修期的起算日期相应提前。</w:t>
      </w:r>
    </w:p>
    <w:p>
      <w:pPr>
        <w:pStyle w:val="BodyText"/>
        <w:spacing w:before="3"/>
      </w:pPr>
    </w:p>
    <w:p>
      <w:pPr>
        <w:pStyle w:val="Heading6"/>
        <w:numPr>
          <w:ilvl w:val="0"/>
          <w:numId w:val="38"/>
        </w:numPr>
        <w:tabs>
          <w:tab w:pos="618" w:val="left" w:leader="none"/>
        </w:tabs>
        <w:spacing w:line="240" w:lineRule="auto" w:before="0" w:after="0"/>
        <w:ind w:left="617" w:right="0" w:hanging="392"/>
        <w:jc w:val="left"/>
      </w:pPr>
      <w:bookmarkStart w:name="20保险" w:id="104"/>
      <w:bookmarkEnd w:id="104"/>
      <w:r>
        <w:rPr>
          <w:b w:val="0"/>
        </w:rPr>
      </w:r>
      <w:bookmarkStart w:name="20保险" w:id="105"/>
      <w:bookmarkEnd w:id="105"/>
      <w:r>
        <w:rPr/>
        <w:t>保险</w:t>
      </w:r>
    </w:p>
    <w:p>
      <w:pPr>
        <w:pStyle w:val="BodyText"/>
        <w:spacing w:before="10"/>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工程保险</w:t>
      </w:r>
    </w:p>
    <w:p>
      <w:pPr>
        <w:pStyle w:val="BodyText"/>
        <w:spacing w:line="362" w:lineRule="auto" w:before="158"/>
        <w:ind w:left="226" w:right="1343" w:firstLine="480"/>
        <w:jc w:val="both"/>
      </w:pPr>
      <w:r>
        <w:rPr/>
        <w:t>除专用合同条款另有约定外，承包人应以发包人和承包人的共同名义向双方同意的保险人投保建筑工程一切险、安装工程一切险。其具体的投保内容、保险金额、保险费率、保险期限等有关内容在专用合同条款中约定。</w:t>
      </w:r>
    </w:p>
    <w:p>
      <w:pPr>
        <w:pStyle w:val="ListParagraph"/>
        <w:numPr>
          <w:ilvl w:val="1"/>
          <w:numId w:val="38"/>
        </w:numPr>
        <w:tabs>
          <w:tab w:pos="1067" w:val="left" w:leader="none"/>
          <w:tab w:pos="1068" w:val="left" w:leader="none"/>
        </w:tabs>
        <w:spacing w:line="240" w:lineRule="auto" w:before="3" w:after="0"/>
        <w:ind w:left="1068" w:right="0" w:hanging="842"/>
        <w:jc w:val="left"/>
        <w:rPr>
          <w:rFonts w:ascii="黑体" w:eastAsia="黑体" w:hint="eastAsia"/>
          <w:sz w:val="24"/>
        </w:rPr>
      </w:pPr>
      <w:r>
        <w:rPr>
          <w:rFonts w:ascii="黑体" w:eastAsia="黑体" w:hint="eastAsia"/>
          <w:sz w:val="24"/>
        </w:rPr>
        <w:t>人员工伤事故的保险</w:t>
      </w:r>
    </w:p>
    <w:p>
      <w:pPr>
        <w:pStyle w:val="ListParagraph"/>
        <w:numPr>
          <w:ilvl w:val="2"/>
          <w:numId w:val="38"/>
        </w:numPr>
        <w:tabs>
          <w:tab w:pos="1369" w:val="left" w:leader="none"/>
        </w:tabs>
        <w:spacing w:line="240" w:lineRule="auto" w:before="173" w:after="0"/>
        <w:ind w:left="1368" w:right="0" w:hanging="662"/>
        <w:jc w:val="left"/>
        <w:rPr>
          <w:sz w:val="24"/>
        </w:rPr>
      </w:pPr>
      <w:r>
        <w:rPr>
          <w:sz w:val="24"/>
        </w:rPr>
        <w:t>承包人员工伤事故的保险</w:t>
      </w:r>
    </w:p>
    <w:p>
      <w:pPr>
        <w:pStyle w:val="BodyText"/>
        <w:spacing w:line="362" w:lineRule="auto" w:before="158"/>
        <w:ind w:left="226" w:right="1350" w:firstLine="480"/>
      </w:pPr>
      <w:r>
        <w:rPr/>
        <w:t>承包人应依照有关法律规定参加工伤保险，为其履行合同所雇佣的全部人员，缴纳工伤保险费，并要求其分包人也进行此项保险。</w:t>
      </w:r>
    </w:p>
    <w:p>
      <w:pPr>
        <w:pStyle w:val="ListParagraph"/>
        <w:numPr>
          <w:ilvl w:val="2"/>
          <w:numId w:val="38"/>
        </w:numPr>
        <w:tabs>
          <w:tab w:pos="1369" w:val="left" w:leader="none"/>
        </w:tabs>
        <w:spacing w:line="240" w:lineRule="auto" w:before="2" w:after="0"/>
        <w:ind w:left="1368" w:right="0" w:hanging="662"/>
        <w:jc w:val="left"/>
        <w:rPr>
          <w:sz w:val="24"/>
        </w:rPr>
      </w:pPr>
      <w:r>
        <w:rPr>
          <w:sz w:val="24"/>
        </w:rPr>
        <w:t>发包人员工伤事故的保险</w:t>
      </w:r>
    </w:p>
    <w:p>
      <w:pPr>
        <w:pStyle w:val="BodyText"/>
        <w:spacing w:line="374" w:lineRule="auto" w:before="158"/>
        <w:ind w:left="226" w:right="1342" w:firstLine="480"/>
      </w:pPr>
      <w:r>
        <w:rPr/>
        <w:t>发包人应依照有关法律规定参加工伤保险，为其现场机构雇佣的全部人员，缴纳工伤保险费，并要求其监理人也进行此项保险。</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人身意外伤害险</w:t>
      </w:r>
    </w:p>
    <w:p>
      <w:pPr>
        <w:pStyle w:val="ListParagraph"/>
        <w:numPr>
          <w:ilvl w:val="2"/>
          <w:numId w:val="38"/>
        </w:numPr>
        <w:tabs>
          <w:tab w:pos="1429" w:val="left" w:leader="none"/>
        </w:tabs>
        <w:spacing w:line="362" w:lineRule="auto" w:before="158" w:after="0"/>
        <w:ind w:left="226" w:right="1342" w:firstLine="480"/>
        <w:jc w:val="both"/>
        <w:rPr>
          <w:sz w:val="24"/>
        </w:rPr>
      </w:pPr>
      <w:r>
        <w:rPr>
          <w:sz w:val="24"/>
        </w:rPr>
        <w:t>发包人应在整个施工期间为其现场机构雇用的全部人员，投保人身意外伤害险，缴纳保险费，并要求其监理人也进行此项保险。</w:t>
      </w:r>
    </w:p>
    <w:p>
      <w:pPr>
        <w:pStyle w:val="ListParagraph"/>
        <w:numPr>
          <w:ilvl w:val="2"/>
          <w:numId w:val="38"/>
        </w:numPr>
        <w:tabs>
          <w:tab w:pos="1429" w:val="left" w:leader="none"/>
        </w:tabs>
        <w:spacing w:line="374" w:lineRule="auto" w:before="2" w:after="0"/>
        <w:ind w:left="226" w:right="1342" w:firstLine="480"/>
        <w:jc w:val="both"/>
        <w:rPr>
          <w:sz w:val="24"/>
        </w:rPr>
      </w:pPr>
      <w:r>
        <w:rPr>
          <w:sz w:val="24"/>
        </w:rPr>
        <w:t>承包人应在整个施工期间为其现场机构雇用的全部人员，投保人身意外伤害险，缴纳保险费，并要求其分包人也进行此项保险。</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第三者责任险</w:t>
      </w:r>
    </w:p>
    <w:p>
      <w:pPr>
        <w:pStyle w:val="ListParagraph"/>
        <w:numPr>
          <w:ilvl w:val="2"/>
          <w:numId w:val="38"/>
        </w:numPr>
        <w:tabs>
          <w:tab w:pos="1429" w:val="left" w:leader="none"/>
        </w:tabs>
        <w:spacing w:line="362" w:lineRule="auto" w:before="158" w:after="0"/>
        <w:ind w:left="226" w:right="1344" w:firstLine="480"/>
        <w:jc w:val="both"/>
        <w:rPr>
          <w:sz w:val="24"/>
        </w:rPr>
      </w:pPr>
      <w:r>
        <w:rPr>
          <w:sz w:val="24"/>
        </w:rPr>
        <w:t>第三者责任系指在保险期内，对因工程意外事故造成的、依法应由被保险人</w:t>
      </w:r>
      <w:r>
        <w:rPr>
          <w:spacing w:val="-1"/>
          <w:sz w:val="24"/>
        </w:rPr>
        <w:t>负责的工地上及毗邻地区的第三者人身伤亡、疾病或财产损失(本工程除外)，以及被保险人因此而支付的诉讼费用和事先经保险人书面同意支付的其他费用等赔偿责任。</w:t>
      </w:r>
    </w:p>
    <w:p>
      <w:pPr>
        <w:spacing w:after="0" w:line="362" w:lineRule="auto"/>
        <w:jc w:val="both"/>
        <w:rPr>
          <w:sz w:val="24"/>
        </w:rPr>
        <w:sectPr>
          <w:pgSz w:w="11910" w:h="16850"/>
          <w:pgMar w:header="911" w:footer="0" w:top="1380" w:bottom="280" w:left="1200" w:right="0"/>
        </w:sectPr>
      </w:pPr>
    </w:p>
    <w:p>
      <w:pPr>
        <w:pStyle w:val="ListParagraph"/>
        <w:numPr>
          <w:ilvl w:val="2"/>
          <w:numId w:val="38"/>
        </w:numPr>
        <w:tabs>
          <w:tab w:pos="1429" w:val="left" w:leader="none"/>
        </w:tabs>
        <w:spacing w:line="362" w:lineRule="auto" w:before="135" w:after="0"/>
        <w:ind w:left="226" w:right="1342" w:firstLine="480"/>
        <w:jc w:val="both"/>
        <w:rPr>
          <w:sz w:val="24"/>
        </w:rPr>
      </w:pPr>
      <w:r>
        <w:rPr>
          <w:sz w:val="24"/>
        </w:rPr>
        <w:t>在缺陷责任期终止证书颁发前，承包人应以承包人和发包人的共同名义，投</w:t>
      </w:r>
      <w:r>
        <w:rPr>
          <w:spacing w:val="-22"/>
          <w:sz w:val="24"/>
        </w:rPr>
        <w:t>保第 </w:t>
      </w:r>
      <w:r>
        <w:rPr>
          <w:rFonts w:ascii="Calibri" w:eastAsia="Calibri"/>
          <w:sz w:val="24"/>
        </w:rPr>
        <w:t>20.4.1 </w:t>
      </w:r>
      <w:r>
        <w:rPr>
          <w:sz w:val="24"/>
        </w:rPr>
        <w:t>项约定的第三者责任险，其保险费率、保险金额等有关内容在专用合同条款中约定。</w:t>
      </w:r>
    </w:p>
    <w:p>
      <w:pPr>
        <w:pStyle w:val="ListParagraph"/>
        <w:numPr>
          <w:ilvl w:val="1"/>
          <w:numId w:val="38"/>
        </w:numPr>
        <w:tabs>
          <w:tab w:pos="1067" w:val="left" w:leader="none"/>
          <w:tab w:pos="1068" w:val="left" w:leader="none"/>
        </w:tabs>
        <w:spacing w:line="240" w:lineRule="auto" w:before="4" w:after="0"/>
        <w:ind w:left="1068" w:right="0" w:hanging="842"/>
        <w:jc w:val="left"/>
        <w:rPr>
          <w:rFonts w:ascii="黑体" w:eastAsia="黑体" w:hint="eastAsia"/>
          <w:sz w:val="24"/>
        </w:rPr>
      </w:pPr>
      <w:r>
        <w:rPr>
          <w:rFonts w:ascii="黑体" w:eastAsia="黑体" w:hint="eastAsia"/>
          <w:sz w:val="24"/>
        </w:rPr>
        <w:t>其他保险</w:t>
      </w:r>
    </w:p>
    <w:p>
      <w:pPr>
        <w:pStyle w:val="BodyText"/>
        <w:spacing w:line="374" w:lineRule="auto" w:before="157"/>
        <w:ind w:left="226" w:right="1342" w:firstLine="480"/>
      </w:pPr>
      <w:r>
        <w:rPr/>
        <w:drawing>
          <wp:anchor distT="0" distB="0" distL="0" distR="0" allowOverlap="1" layoutInCell="1" locked="0" behindDoc="1" simplePos="0" relativeHeight="234771456">
            <wp:simplePos x="0" y="0"/>
            <wp:positionH relativeFrom="page">
              <wp:posOffset>992771</wp:posOffset>
            </wp:positionH>
            <wp:positionV relativeFrom="paragraph">
              <wp:posOffset>557916</wp:posOffset>
            </wp:positionV>
            <wp:extent cx="5578970" cy="5494141"/>
            <wp:effectExtent l="0" t="0" r="0" b="0"/>
            <wp:wrapNone/>
            <wp:docPr id="87" name="image1.png"/>
            <wp:cNvGraphicFramePr>
              <a:graphicFrameLocks noChangeAspect="1"/>
            </wp:cNvGraphicFramePr>
            <a:graphic>
              <a:graphicData uri="http://schemas.openxmlformats.org/drawingml/2006/picture">
                <pic:pic>
                  <pic:nvPicPr>
                    <pic:cNvPr id="88" name="image1.png"/>
                    <pic:cNvPicPr/>
                  </pic:nvPicPr>
                  <pic:blipFill>
                    <a:blip r:embed="rId6" cstate="print"/>
                    <a:stretch>
                      <a:fillRect/>
                    </a:stretch>
                  </pic:blipFill>
                  <pic:spPr>
                    <a:xfrm>
                      <a:off x="0" y="0"/>
                      <a:ext cx="5578970" cy="5494141"/>
                    </a:xfrm>
                    <a:prstGeom prst="rect">
                      <a:avLst/>
                    </a:prstGeom>
                  </pic:spPr>
                </pic:pic>
              </a:graphicData>
            </a:graphic>
          </wp:anchor>
        </w:drawing>
      </w:r>
      <w:r>
        <w:rPr/>
        <w:t>除专用合同条款另有约定外，承包人应为其施工设备、进场的材料和工程设备等办理保险。</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对各项保险的一般要求</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保险凭证</w:t>
      </w:r>
    </w:p>
    <w:p>
      <w:pPr>
        <w:pStyle w:val="BodyText"/>
        <w:spacing w:line="362" w:lineRule="auto" w:before="158"/>
        <w:ind w:left="226" w:right="1342" w:firstLine="480"/>
      </w:pPr>
      <w:r>
        <w:rPr/>
        <w:t>承包人应在专用合同条款约定的期限内向发包人提交各项保险生效的证据和保险单副本，保险单必须与专用合同条款约定的条件保持一致。</w:t>
      </w:r>
    </w:p>
    <w:p>
      <w:pPr>
        <w:pStyle w:val="ListParagraph"/>
        <w:numPr>
          <w:ilvl w:val="2"/>
          <w:numId w:val="38"/>
        </w:numPr>
        <w:tabs>
          <w:tab w:pos="1369" w:val="left" w:leader="none"/>
        </w:tabs>
        <w:spacing w:line="240" w:lineRule="auto" w:before="17" w:after="0"/>
        <w:ind w:left="1368" w:right="0" w:hanging="662"/>
        <w:jc w:val="left"/>
        <w:rPr>
          <w:sz w:val="24"/>
        </w:rPr>
      </w:pPr>
      <w:r>
        <w:rPr>
          <w:sz w:val="24"/>
        </w:rPr>
        <w:t>保险合同条款的变动</w:t>
      </w:r>
    </w:p>
    <w:p>
      <w:pPr>
        <w:pStyle w:val="BodyText"/>
        <w:spacing w:line="362" w:lineRule="auto" w:before="158"/>
        <w:ind w:left="226" w:right="1342" w:firstLine="480"/>
      </w:pPr>
      <w:r>
        <w:rPr/>
        <w:t>承包人需要变动保险合同条款时，应事先征得发包人同意，并通知监理人。保险人作出变动的，承包人应在收到保险人通知后立即通知发包人和监理人。</w:t>
      </w:r>
    </w:p>
    <w:p>
      <w:pPr>
        <w:pStyle w:val="ListParagraph"/>
        <w:numPr>
          <w:ilvl w:val="2"/>
          <w:numId w:val="38"/>
        </w:numPr>
        <w:tabs>
          <w:tab w:pos="1369" w:val="left" w:leader="none"/>
        </w:tabs>
        <w:spacing w:line="240" w:lineRule="auto" w:before="2" w:after="0"/>
        <w:ind w:left="1368" w:right="0" w:hanging="662"/>
        <w:jc w:val="left"/>
        <w:rPr>
          <w:sz w:val="24"/>
        </w:rPr>
      </w:pPr>
      <w:r>
        <w:rPr>
          <w:sz w:val="24"/>
        </w:rPr>
        <w:t>持续保险</w:t>
      </w:r>
    </w:p>
    <w:p>
      <w:pPr>
        <w:pStyle w:val="BodyText"/>
        <w:spacing w:line="374" w:lineRule="auto" w:before="158"/>
        <w:ind w:left="226" w:right="1342" w:firstLine="480"/>
      </w:pPr>
      <w:r>
        <w:rPr/>
        <w:t>承包人应与保险人保持联系，使保险人能够随时了解工程实施中的变动，并确保按保险合同条款要求持续保险。</w:t>
      </w:r>
    </w:p>
    <w:p>
      <w:pPr>
        <w:pStyle w:val="ListParagraph"/>
        <w:numPr>
          <w:ilvl w:val="2"/>
          <w:numId w:val="38"/>
        </w:numPr>
        <w:tabs>
          <w:tab w:pos="1369" w:val="left" w:leader="none"/>
        </w:tabs>
        <w:spacing w:line="294" w:lineRule="exact" w:before="0" w:after="0"/>
        <w:ind w:left="1368" w:right="0" w:hanging="662"/>
        <w:jc w:val="left"/>
        <w:rPr>
          <w:sz w:val="24"/>
        </w:rPr>
      </w:pPr>
      <w:r>
        <w:rPr>
          <w:sz w:val="24"/>
        </w:rPr>
        <w:t>保险金不足的补偿</w:t>
      </w:r>
    </w:p>
    <w:p>
      <w:pPr>
        <w:pStyle w:val="BodyText"/>
        <w:spacing w:line="362" w:lineRule="auto" w:before="158"/>
        <w:ind w:left="226" w:right="1350" w:firstLine="480"/>
      </w:pPr>
      <w:r>
        <w:rPr/>
        <w:t>保险金不足以补偿损失时，应由承包人和发包人各自负责补偿的范围和金额在专用合同条款中约定。</w:t>
      </w:r>
    </w:p>
    <w:p>
      <w:pPr>
        <w:pStyle w:val="ListParagraph"/>
        <w:numPr>
          <w:ilvl w:val="2"/>
          <w:numId w:val="38"/>
        </w:numPr>
        <w:tabs>
          <w:tab w:pos="1369" w:val="left" w:leader="none"/>
        </w:tabs>
        <w:spacing w:line="240" w:lineRule="auto" w:before="2" w:after="0"/>
        <w:ind w:left="1368" w:right="0" w:hanging="662"/>
        <w:jc w:val="left"/>
        <w:rPr>
          <w:sz w:val="24"/>
        </w:rPr>
      </w:pPr>
      <w:r>
        <w:rPr>
          <w:sz w:val="24"/>
        </w:rPr>
        <w:t>未按约定投保的补救</w:t>
      </w:r>
    </w:p>
    <w:p>
      <w:pPr>
        <w:pStyle w:val="ListParagraph"/>
        <w:numPr>
          <w:ilvl w:val="0"/>
          <w:numId w:val="57"/>
        </w:numPr>
        <w:tabs>
          <w:tab w:pos="1069" w:val="left" w:leader="none"/>
        </w:tabs>
        <w:spacing w:line="362" w:lineRule="auto" w:before="173" w:after="0"/>
        <w:ind w:left="226" w:right="1342" w:firstLine="480"/>
        <w:jc w:val="left"/>
        <w:rPr>
          <w:sz w:val="24"/>
        </w:rPr>
      </w:pPr>
      <w:r>
        <w:rPr>
          <w:spacing w:val="-5"/>
          <w:sz w:val="24"/>
        </w:rPr>
        <w:t>由于负有投保义务的一方当事人未按合同约定办理保险，或未能使保险持续有效的，另一方当事人可代为办理，所需费用由对方当事人承担。</w:t>
      </w:r>
      <w:r>
        <w:rPr>
          <w:sz w:val="24"/>
        </w:rPr>
        <w:t> </w:t>
      </w:r>
    </w:p>
    <w:p>
      <w:pPr>
        <w:pStyle w:val="ListParagraph"/>
        <w:numPr>
          <w:ilvl w:val="0"/>
          <w:numId w:val="57"/>
        </w:numPr>
        <w:tabs>
          <w:tab w:pos="1069" w:val="left" w:leader="none"/>
        </w:tabs>
        <w:spacing w:line="362" w:lineRule="auto" w:before="2" w:after="0"/>
        <w:ind w:left="226" w:right="1342" w:firstLine="480"/>
        <w:jc w:val="left"/>
        <w:rPr>
          <w:sz w:val="24"/>
        </w:rPr>
      </w:pPr>
      <w:r>
        <w:rPr>
          <w:spacing w:val="-5"/>
          <w:sz w:val="24"/>
        </w:rPr>
        <w:t>由于负有投保义务的一方当事人未按合同约定办理某项保险，导致受益人未能得到保险人的赔偿，原应从该项保险得到的保险金应由负有投保义务的一方当事人支付。</w:t>
      </w:r>
    </w:p>
    <w:p>
      <w:pPr>
        <w:pStyle w:val="ListParagraph"/>
        <w:numPr>
          <w:ilvl w:val="2"/>
          <w:numId w:val="38"/>
        </w:numPr>
        <w:tabs>
          <w:tab w:pos="1369" w:val="left" w:leader="none"/>
        </w:tabs>
        <w:spacing w:line="240" w:lineRule="auto" w:before="3" w:after="0"/>
        <w:ind w:left="1368" w:right="0" w:hanging="662"/>
        <w:jc w:val="left"/>
        <w:rPr>
          <w:sz w:val="24"/>
        </w:rPr>
      </w:pPr>
      <w:r>
        <w:rPr>
          <w:sz w:val="24"/>
        </w:rPr>
        <w:t>报告义务</w:t>
      </w:r>
    </w:p>
    <w:p>
      <w:pPr>
        <w:pStyle w:val="BodyText"/>
        <w:spacing w:before="173"/>
        <w:ind w:left="707"/>
      </w:pPr>
      <w:r>
        <w:rPr/>
        <w:t>当保险事故发生时，投保人应按照保险单规定的条件和期限及时向保险人报告。</w:t>
      </w:r>
    </w:p>
    <w:p>
      <w:pPr>
        <w:pStyle w:val="ListParagraph"/>
        <w:numPr>
          <w:ilvl w:val="1"/>
          <w:numId w:val="38"/>
        </w:numPr>
        <w:tabs>
          <w:tab w:pos="1067" w:val="left" w:leader="none"/>
          <w:tab w:pos="1068" w:val="left" w:leader="none"/>
        </w:tabs>
        <w:spacing w:line="240" w:lineRule="auto" w:before="157" w:after="0"/>
        <w:ind w:left="1068" w:right="0" w:hanging="842"/>
        <w:jc w:val="left"/>
        <w:rPr>
          <w:rFonts w:ascii="黑体" w:eastAsia="黑体" w:hint="eastAsia"/>
          <w:sz w:val="24"/>
        </w:rPr>
      </w:pPr>
      <w:r>
        <w:rPr>
          <w:rFonts w:ascii="黑体" w:eastAsia="黑体" w:hint="eastAsia"/>
          <w:sz w:val="24"/>
        </w:rPr>
        <w:t>风险责任的转移</w:t>
      </w:r>
    </w:p>
    <w:p>
      <w:pPr>
        <w:pStyle w:val="BodyText"/>
        <w:spacing w:line="362" w:lineRule="auto" w:before="158"/>
        <w:ind w:left="226" w:right="1348" w:firstLine="480"/>
        <w:jc w:val="both"/>
      </w:pPr>
      <w:r>
        <w:rPr>
          <w:spacing w:val="-1"/>
        </w:rPr>
        <w:t>工程通过合同工程完工验收并移交给发包人后，原由承包人应承担的风险责任，以</w:t>
      </w:r>
      <w:r>
        <w:rPr>
          <w:spacing w:val="-13"/>
        </w:rPr>
        <w:t>及保险的责任、权利和义务同时转移给发包人，但承包人在缺陷责任期</w:t>
      </w:r>
      <w:r>
        <w:rPr>
          <w:rFonts w:ascii="Calibri" w:eastAsia="Calibri"/>
        </w:rPr>
        <w:t>(</w:t>
      </w:r>
      <w:r>
        <w:rPr/>
        <w:t>工程质量保修期</w:t>
      </w:r>
      <w:r>
        <w:rPr>
          <w:rFonts w:ascii="Calibri" w:eastAsia="Calibri"/>
        </w:rPr>
        <w:t>) </w:t>
      </w:r>
      <w:r>
        <w:rPr/>
        <w:t>前造成损失和损坏情形除外。</w:t>
      </w:r>
    </w:p>
    <w:p>
      <w:pPr>
        <w:spacing w:after="0" w:line="362" w:lineRule="auto"/>
        <w:jc w:val="both"/>
        <w:sectPr>
          <w:pgSz w:w="11910" w:h="16850"/>
          <w:pgMar w:header="911" w:footer="0" w:top="1380" w:bottom="280" w:left="1200" w:right="0"/>
        </w:sectPr>
      </w:pPr>
    </w:p>
    <w:p>
      <w:pPr>
        <w:pStyle w:val="BodyText"/>
        <w:spacing w:before="3"/>
        <w:rPr>
          <w:sz w:val="8"/>
        </w:rPr>
      </w:pPr>
    </w:p>
    <w:p>
      <w:pPr>
        <w:pStyle w:val="Heading6"/>
        <w:numPr>
          <w:ilvl w:val="0"/>
          <w:numId w:val="38"/>
        </w:numPr>
        <w:tabs>
          <w:tab w:pos="618" w:val="left" w:leader="none"/>
        </w:tabs>
        <w:spacing w:line="240" w:lineRule="auto" w:before="65" w:after="0"/>
        <w:ind w:left="617" w:right="0" w:hanging="392"/>
        <w:jc w:val="left"/>
      </w:pPr>
      <w:bookmarkStart w:name="21不可抗力" w:id="106"/>
      <w:bookmarkEnd w:id="106"/>
      <w:r>
        <w:rPr>
          <w:b w:val="0"/>
        </w:rPr>
      </w:r>
      <w:bookmarkStart w:name="21不可抗力" w:id="107"/>
      <w:bookmarkEnd w:id="107"/>
      <w:r>
        <w:rPr/>
        <w:t>不可抗力</w:t>
      </w:r>
    </w:p>
    <w:p>
      <w:pPr>
        <w:pStyle w:val="BodyText"/>
        <w:spacing w:before="7"/>
        <w:rPr>
          <w:rFonts w:ascii="黑体"/>
          <w:b/>
          <w:sz w:val="39"/>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不可抗力的确认</w:t>
      </w:r>
    </w:p>
    <w:p>
      <w:pPr>
        <w:pStyle w:val="ListParagraph"/>
        <w:numPr>
          <w:ilvl w:val="2"/>
          <w:numId w:val="38"/>
        </w:numPr>
        <w:tabs>
          <w:tab w:pos="1429" w:val="left" w:leader="none"/>
        </w:tabs>
        <w:spacing w:line="362" w:lineRule="auto" w:before="173" w:after="0"/>
        <w:ind w:left="226" w:right="1343" w:firstLine="480"/>
        <w:jc w:val="both"/>
        <w:rPr>
          <w:sz w:val="24"/>
        </w:rPr>
      </w:pPr>
      <w:r>
        <w:rPr/>
        <w:drawing>
          <wp:anchor distT="0" distB="0" distL="0" distR="0" allowOverlap="1" layoutInCell="1" locked="0" behindDoc="1" simplePos="0" relativeHeight="234772480">
            <wp:simplePos x="0" y="0"/>
            <wp:positionH relativeFrom="page">
              <wp:posOffset>992771</wp:posOffset>
            </wp:positionH>
            <wp:positionV relativeFrom="paragraph">
              <wp:posOffset>873258</wp:posOffset>
            </wp:positionV>
            <wp:extent cx="5578970" cy="5494141"/>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不可抗力是指承包人和发包人在订立合同时不可预见，在工程施工过程中不可避免发生并不能克服的自然灾害和社会性突发事件，如地震、海啸、瘟疫、水灾、骚乱、暴动、战争和专用合同条款约定的其他情形。</w:t>
      </w:r>
    </w:p>
    <w:p>
      <w:pPr>
        <w:pStyle w:val="ListParagraph"/>
        <w:numPr>
          <w:ilvl w:val="2"/>
          <w:numId w:val="38"/>
        </w:numPr>
        <w:tabs>
          <w:tab w:pos="1429" w:val="left" w:leader="none"/>
        </w:tabs>
        <w:spacing w:line="369" w:lineRule="auto" w:before="3" w:after="0"/>
        <w:ind w:left="226" w:right="1342" w:firstLine="480"/>
        <w:jc w:val="both"/>
        <w:rPr>
          <w:sz w:val="24"/>
        </w:rPr>
      </w:pPr>
      <w:r>
        <w:rPr>
          <w:sz w:val="24"/>
        </w:rPr>
        <w:t>不可抗力发生后，发包人和承包人应及时认真统计所造成的损失，收集不可</w:t>
      </w:r>
      <w:r>
        <w:rPr>
          <w:spacing w:val="-1"/>
          <w:sz w:val="24"/>
        </w:rPr>
        <w:t>抗力造成损失的证据。合同双方对是否属于不可抗力或其损失的意见不一致的，由监理</w:t>
      </w:r>
      <w:r>
        <w:rPr>
          <w:spacing w:val="-16"/>
          <w:sz w:val="24"/>
        </w:rPr>
        <w:t>人按第 </w:t>
      </w:r>
      <w:r>
        <w:rPr>
          <w:rFonts w:ascii="Calibri" w:eastAsia="Calibri"/>
          <w:sz w:val="24"/>
        </w:rPr>
        <w:t>3.5</w:t>
      </w:r>
      <w:r>
        <w:rPr>
          <w:rFonts w:ascii="Calibri" w:eastAsia="Calibri"/>
          <w:spacing w:val="4"/>
          <w:sz w:val="24"/>
        </w:rPr>
        <w:t> </w:t>
      </w:r>
      <w:r>
        <w:rPr>
          <w:spacing w:val="-4"/>
          <w:sz w:val="24"/>
        </w:rPr>
        <w:t>款商定或确定。发生争议时，按第 </w:t>
      </w:r>
      <w:r>
        <w:rPr>
          <w:rFonts w:ascii="Calibri" w:eastAsia="Calibri"/>
          <w:sz w:val="24"/>
        </w:rPr>
        <w:t>22</w:t>
      </w:r>
      <w:r>
        <w:rPr>
          <w:rFonts w:ascii="Calibri" w:eastAsia="Calibri"/>
          <w:spacing w:val="4"/>
          <w:sz w:val="24"/>
        </w:rPr>
        <w:t> </w:t>
      </w:r>
      <w:r>
        <w:rPr>
          <w:sz w:val="24"/>
        </w:rPr>
        <w:t>条的约定办理。</w:t>
      </w:r>
    </w:p>
    <w:p>
      <w:pPr>
        <w:pStyle w:val="ListParagraph"/>
        <w:numPr>
          <w:ilvl w:val="1"/>
          <w:numId w:val="38"/>
        </w:numPr>
        <w:tabs>
          <w:tab w:pos="1067" w:val="left" w:leader="none"/>
          <w:tab w:pos="1068" w:val="left" w:leader="none"/>
        </w:tabs>
        <w:spacing w:line="298" w:lineRule="exact" w:before="0" w:after="0"/>
        <w:ind w:left="1068" w:right="0" w:hanging="842"/>
        <w:jc w:val="left"/>
        <w:rPr>
          <w:rFonts w:ascii="黑体" w:eastAsia="黑体" w:hint="eastAsia"/>
          <w:sz w:val="24"/>
        </w:rPr>
      </w:pPr>
      <w:r>
        <w:rPr>
          <w:rFonts w:ascii="黑体" w:eastAsia="黑体" w:hint="eastAsia"/>
          <w:sz w:val="24"/>
        </w:rPr>
        <w:t>不可抗力的通知</w:t>
      </w:r>
    </w:p>
    <w:p>
      <w:pPr>
        <w:pStyle w:val="ListParagraph"/>
        <w:numPr>
          <w:ilvl w:val="2"/>
          <w:numId w:val="38"/>
        </w:numPr>
        <w:tabs>
          <w:tab w:pos="1429" w:val="left" w:leader="none"/>
        </w:tabs>
        <w:spacing w:line="362" w:lineRule="auto" w:before="158" w:after="0"/>
        <w:ind w:left="226" w:right="1343" w:firstLine="480"/>
        <w:jc w:val="both"/>
        <w:rPr>
          <w:sz w:val="24"/>
        </w:rPr>
      </w:pPr>
      <w:r>
        <w:rPr>
          <w:sz w:val="24"/>
        </w:rPr>
        <w:t>合同一方当事人遇到不可抗力事件，使其履行合同义务受到阻碍时，应立即通知合同另一方当事人和监理人，书面说明不可抗力和受阻碍的详细情况，并提供必要的证明。</w:t>
      </w:r>
    </w:p>
    <w:p>
      <w:pPr>
        <w:pStyle w:val="ListParagraph"/>
        <w:numPr>
          <w:ilvl w:val="2"/>
          <w:numId w:val="38"/>
        </w:numPr>
        <w:tabs>
          <w:tab w:pos="1429" w:val="left" w:leader="none"/>
        </w:tabs>
        <w:spacing w:line="362" w:lineRule="auto" w:before="19" w:after="0"/>
        <w:ind w:left="226" w:right="1228" w:firstLine="480"/>
        <w:jc w:val="left"/>
        <w:rPr>
          <w:sz w:val="24"/>
        </w:rPr>
      </w:pPr>
      <w:r>
        <w:rPr>
          <w:sz w:val="24"/>
        </w:rPr>
        <w:t>如不可抗力持续发生，合同一方当事人应及时向合同另一方当事人和监理人</w:t>
      </w:r>
      <w:r>
        <w:rPr>
          <w:spacing w:val="-19"/>
          <w:sz w:val="24"/>
        </w:rPr>
        <w:t>提交中间报告，说明不可抗力和履行合同受阻的情况，并于不可抗力事件结束后 </w:t>
      </w:r>
      <w:r>
        <w:rPr>
          <w:rFonts w:ascii="Calibri" w:eastAsia="Calibri"/>
          <w:sz w:val="24"/>
        </w:rPr>
        <w:t>28</w:t>
      </w:r>
      <w:r>
        <w:rPr>
          <w:rFonts w:ascii="Calibri" w:eastAsia="Calibri"/>
          <w:spacing w:val="3"/>
          <w:sz w:val="24"/>
        </w:rPr>
        <w:t> </w:t>
      </w:r>
      <w:r>
        <w:rPr>
          <w:sz w:val="24"/>
        </w:rPr>
        <w:t>天内。提交最终报告及有关资料。</w:t>
      </w:r>
    </w:p>
    <w:p>
      <w:pPr>
        <w:pStyle w:val="ListParagraph"/>
        <w:numPr>
          <w:ilvl w:val="1"/>
          <w:numId w:val="38"/>
        </w:numPr>
        <w:tabs>
          <w:tab w:pos="1067" w:val="left" w:leader="none"/>
          <w:tab w:pos="1068" w:val="left" w:leader="none"/>
        </w:tabs>
        <w:spacing w:line="240" w:lineRule="auto" w:before="3" w:after="0"/>
        <w:ind w:left="1068" w:right="0" w:hanging="842"/>
        <w:jc w:val="left"/>
        <w:rPr>
          <w:rFonts w:ascii="黑体" w:eastAsia="黑体" w:hint="eastAsia"/>
          <w:sz w:val="24"/>
        </w:rPr>
      </w:pPr>
      <w:r>
        <w:rPr>
          <w:rFonts w:ascii="黑体" w:eastAsia="黑体" w:hint="eastAsia"/>
          <w:sz w:val="24"/>
        </w:rPr>
        <w:t>不可抗力后果及其处理</w:t>
      </w:r>
    </w:p>
    <w:p>
      <w:pPr>
        <w:pStyle w:val="ListParagraph"/>
        <w:numPr>
          <w:ilvl w:val="2"/>
          <w:numId w:val="38"/>
        </w:numPr>
        <w:tabs>
          <w:tab w:pos="1369" w:val="left" w:leader="none"/>
        </w:tabs>
        <w:spacing w:line="240" w:lineRule="auto" w:before="158" w:after="0"/>
        <w:ind w:left="1368" w:right="0" w:hanging="662"/>
        <w:jc w:val="left"/>
        <w:rPr>
          <w:sz w:val="24"/>
        </w:rPr>
      </w:pPr>
      <w:r>
        <w:rPr>
          <w:sz w:val="24"/>
        </w:rPr>
        <w:t>不可抗力造成损害的责任</w:t>
      </w:r>
    </w:p>
    <w:p>
      <w:pPr>
        <w:pStyle w:val="BodyText"/>
        <w:spacing w:line="362" w:lineRule="auto" w:before="173"/>
        <w:ind w:left="226" w:right="1334" w:firstLine="480"/>
      </w:pPr>
      <w:r>
        <w:rPr>
          <w:spacing w:val="-12"/>
        </w:rPr>
        <w:t>除专用合同条款另有约定外，不可抗力导致的人员伤亡、财产损失、费用增加和(或) 工期延误等后果，由合同双方按以下原则承担：</w:t>
      </w:r>
    </w:p>
    <w:p>
      <w:pPr>
        <w:pStyle w:val="ListParagraph"/>
        <w:numPr>
          <w:ilvl w:val="0"/>
          <w:numId w:val="58"/>
        </w:numPr>
        <w:tabs>
          <w:tab w:pos="1069" w:val="left" w:leader="none"/>
        </w:tabs>
        <w:spacing w:line="362" w:lineRule="auto" w:before="1" w:after="0"/>
        <w:ind w:left="226" w:right="1348" w:firstLine="480"/>
        <w:jc w:val="left"/>
        <w:rPr>
          <w:sz w:val="24"/>
        </w:rPr>
      </w:pPr>
      <w:r>
        <w:rPr>
          <w:spacing w:val="-10"/>
          <w:sz w:val="24"/>
        </w:rPr>
        <w:t>永久工程，包括己运至施工场地的材料和工程设备的损害，以及因工程损害造成的第三者人员伤亡和财产损失由发包人承担；</w:t>
      </w:r>
      <w:r>
        <w:rPr>
          <w:sz w:val="24"/>
        </w:rPr>
        <w:t> </w:t>
      </w:r>
    </w:p>
    <w:p>
      <w:pPr>
        <w:pStyle w:val="ListParagraph"/>
        <w:numPr>
          <w:ilvl w:val="0"/>
          <w:numId w:val="58"/>
        </w:numPr>
        <w:tabs>
          <w:tab w:pos="1069" w:val="left" w:leader="none"/>
        </w:tabs>
        <w:spacing w:line="240" w:lineRule="auto" w:before="3" w:after="0"/>
        <w:ind w:left="1068" w:right="0" w:hanging="362"/>
        <w:jc w:val="left"/>
        <w:rPr>
          <w:sz w:val="24"/>
        </w:rPr>
      </w:pPr>
      <w:r>
        <w:rPr>
          <w:spacing w:val="-1"/>
          <w:sz w:val="24"/>
        </w:rPr>
        <w:t>承包人设备的损坏由承包人承担；</w:t>
      </w:r>
      <w:r>
        <w:rPr>
          <w:sz w:val="24"/>
        </w:rPr>
        <w:t> </w:t>
      </w:r>
    </w:p>
    <w:p>
      <w:pPr>
        <w:pStyle w:val="ListParagraph"/>
        <w:numPr>
          <w:ilvl w:val="0"/>
          <w:numId w:val="58"/>
        </w:numPr>
        <w:tabs>
          <w:tab w:pos="1069" w:val="left" w:leader="none"/>
        </w:tabs>
        <w:spacing w:line="240" w:lineRule="auto" w:before="173" w:after="0"/>
        <w:ind w:left="1068" w:right="0" w:hanging="362"/>
        <w:jc w:val="left"/>
        <w:rPr>
          <w:sz w:val="24"/>
        </w:rPr>
      </w:pPr>
      <w:r>
        <w:rPr>
          <w:spacing w:val="-1"/>
          <w:sz w:val="24"/>
        </w:rPr>
        <w:t>发包人和承包人各自承担其人员伤亡和其他财产损失及其相关费用；</w:t>
      </w:r>
      <w:r>
        <w:rPr>
          <w:sz w:val="24"/>
        </w:rPr>
        <w:t> </w:t>
      </w:r>
    </w:p>
    <w:p>
      <w:pPr>
        <w:pStyle w:val="ListParagraph"/>
        <w:numPr>
          <w:ilvl w:val="0"/>
          <w:numId w:val="58"/>
        </w:numPr>
        <w:tabs>
          <w:tab w:pos="1069" w:val="left" w:leader="none"/>
        </w:tabs>
        <w:spacing w:line="362" w:lineRule="auto" w:before="158" w:after="0"/>
        <w:ind w:left="226" w:right="1351" w:firstLine="480"/>
        <w:jc w:val="left"/>
        <w:rPr>
          <w:sz w:val="24"/>
        </w:rPr>
      </w:pPr>
      <w:r>
        <w:rPr>
          <w:spacing w:val="-6"/>
          <w:sz w:val="24"/>
        </w:rPr>
        <w:t>承包人的停工损失由承包人承担，但停工期间应监理人要求照管工程和清理、修复工程的金额由发包人承担；</w:t>
      </w:r>
    </w:p>
    <w:p>
      <w:pPr>
        <w:pStyle w:val="ListParagraph"/>
        <w:numPr>
          <w:ilvl w:val="0"/>
          <w:numId w:val="58"/>
        </w:numPr>
        <w:tabs>
          <w:tab w:pos="1129" w:val="left" w:leader="none"/>
        </w:tabs>
        <w:spacing w:line="362" w:lineRule="auto" w:before="2" w:after="0"/>
        <w:ind w:left="226" w:right="1348" w:firstLine="540"/>
        <w:jc w:val="left"/>
        <w:rPr>
          <w:sz w:val="24"/>
        </w:rPr>
      </w:pPr>
      <w:r>
        <w:rPr>
          <w:sz w:val="24"/>
        </w:rPr>
        <w:t>不能按期竣工的，应合理延长工期，承包人不需支付逾期竣工违约金。发包人要求赶工的，承包人应采取赶工措施，赶工费用由发包人承担。</w:t>
      </w:r>
    </w:p>
    <w:p>
      <w:pPr>
        <w:pStyle w:val="ListParagraph"/>
        <w:numPr>
          <w:ilvl w:val="2"/>
          <w:numId w:val="38"/>
        </w:numPr>
        <w:tabs>
          <w:tab w:pos="1429" w:val="left" w:leader="none"/>
        </w:tabs>
        <w:spacing w:line="240" w:lineRule="auto" w:before="17" w:after="0"/>
        <w:ind w:left="1428" w:right="0" w:hanging="662"/>
        <w:jc w:val="left"/>
        <w:rPr>
          <w:sz w:val="24"/>
        </w:rPr>
      </w:pPr>
      <w:r>
        <w:rPr>
          <w:sz w:val="24"/>
        </w:rPr>
        <w:t>延迟履行期间发生的不可抗力</w:t>
      </w:r>
    </w:p>
    <w:p>
      <w:pPr>
        <w:pStyle w:val="BodyText"/>
        <w:spacing w:before="158"/>
        <w:ind w:left="767"/>
      </w:pPr>
      <w:r>
        <w:rPr/>
        <w:t>合同一方当事人延迟履行，在延迟履行期间发生不可抗力的，不免除其责任。</w:t>
      </w:r>
    </w:p>
    <w:p>
      <w:pPr>
        <w:spacing w:after="0"/>
        <w:sectPr>
          <w:pgSz w:w="11910" w:h="16850"/>
          <w:pgMar w:header="911" w:footer="0" w:top="1380" w:bottom="280" w:left="1200" w:right="0"/>
        </w:sectPr>
      </w:pPr>
    </w:p>
    <w:p>
      <w:pPr>
        <w:pStyle w:val="ListParagraph"/>
        <w:numPr>
          <w:ilvl w:val="2"/>
          <w:numId w:val="38"/>
        </w:numPr>
        <w:tabs>
          <w:tab w:pos="1429" w:val="left" w:leader="none"/>
        </w:tabs>
        <w:spacing w:line="240" w:lineRule="auto" w:before="135" w:after="0"/>
        <w:ind w:left="1428" w:right="0" w:hanging="662"/>
        <w:jc w:val="left"/>
        <w:rPr>
          <w:sz w:val="24"/>
        </w:rPr>
      </w:pPr>
      <w:r>
        <w:rPr>
          <w:sz w:val="24"/>
        </w:rPr>
        <w:t>避免和减少不可抗力损失</w:t>
      </w:r>
    </w:p>
    <w:p>
      <w:pPr>
        <w:pStyle w:val="BodyText"/>
        <w:spacing w:line="362" w:lineRule="auto" w:before="158"/>
        <w:ind w:left="226" w:right="1283" w:firstLine="540"/>
      </w:pPr>
      <w:r>
        <w:rPr/>
        <w:t>不可抗力发生后，发包人和承包人均应采取措施尽量避免和减少损失的扩大，任何一方没有采取有效措施导致损失扩大的，应对扩大的损失承担责任。</w:t>
      </w:r>
    </w:p>
    <w:p>
      <w:pPr>
        <w:pStyle w:val="ListParagraph"/>
        <w:numPr>
          <w:ilvl w:val="2"/>
          <w:numId w:val="38"/>
        </w:numPr>
        <w:tabs>
          <w:tab w:pos="1429" w:val="left" w:leader="none"/>
        </w:tabs>
        <w:spacing w:line="240" w:lineRule="auto" w:before="2" w:after="0"/>
        <w:ind w:left="1428" w:right="0" w:hanging="662"/>
        <w:jc w:val="left"/>
        <w:rPr>
          <w:sz w:val="24"/>
        </w:rPr>
      </w:pPr>
      <w:r>
        <w:rPr>
          <w:sz w:val="24"/>
        </w:rPr>
        <w:t>因不可抗力解除合同</w:t>
      </w:r>
    </w:p>
    <w:p>
      <w:pPr>
        <w:pStyle w:val="BodyText"/>
        <w:spacing w:line="367" w:lineRule="auto" w:before="158"/>
        <w:ind w:left="226" w:right="1343" w:firstLine="540"/>
        <w:jc w:val="both"/>
      </w:pPr>
      <w:r>
        <w:rPr/>
        <w:drawing>
          <wp:anchor distT="0" distB="0" distL="0" distR="0" allowOverlap="1" layoutInCell="1" locked="0" behindDoc="1" simplePos="0" relativeHeight="234773504">
            <wp:simplePos x="0" y="0"/>
            <wp:positionH relativeFrom="page">
              <wp:posOffset>992771</wp:posOffset>
            </wp:positionH>
            <wp:positionV relativeFrom="paragraph">
              <wp:posOffset>558551</wp:posOffset>
            </wp:positionV>
            <wp:extent cx="5578970" cy="5494141"/>
            <wp:effectExtent l="0" t="0" r="0" b="0"/>
            <wp:wrapNone/>
            <wp:docPr id="91" name="image1.png"/>
            <wp:cNvGraphicFramePr>
              <a:graphicFrameLocks noChangeAspect="1"/>
            </wp:cNvGraphicFramePr>
            <a:graphic>
              <a:graphicData uri="http://schemas.openxmlformats.org/drawingml/2006/picture">
                <pic:pic>
                  <pic:nvPicPr>
                    <pic:cNvPr id="9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3"/>
        </w:rPr>
        <w:t>合同一方当事人因不可抗力不能履行合同的，应当及时通知对方解除合同。合同解</w:t>
      </w:r>
      <w:r>
        <w:rPr>
          <w:spacing w:val="-9"/>
        </w:rPr>
        <w:t>除后，承包人应按照第 </w:t>
      </w:r>
      <w:r>
        <w:rPr>
          <w:rFonts w:ascii="Calibri" w:eastAsia="Calibri"/>
        </w:rPr>
        <w:t>20.2.5 </w:t>
      </w:r>
      <w:r>
        <w:rPr>
          <w:spacing w:val="-1"/>
        </w:rPr>
        <w:t>项约定撤离施工场地。已经订货的材料、设备由订货方负责退货或解除订货合同，不能退还的货款和因退货、解除订货合同发生的费用，由发包</w:t>
      </w:r>
      <w:r>
        <w:rPr>
          <w:spacing w:val="-3"/>
        </w:rPr>
        <w:t>人承担，因未及时退货造成的损失由责任方承担。合同解除后的付款，参照第 </w:t>
      </w:r>
      <w:r>
        <w:rPr>
          <w:rFonts w:ascii="Calibri" w:eastAsia="Calibri"/>
        </w:rPr>
        <w:t>20.2.4 </w:t>
      </w:r>
      <w:r>
        <w:rPr/>
        <w:t>项</w:t>
      </w:r>
    </w:p>
    <w:p>
      <w:pPr>
        <w:pStyle w:val="BodyText"/>
        <w:spacing w:line="303" w:lineRule="exact"/>
        <w:ind w:left="226"/>
        <w:jc w:val="both"/>
      </w:pPr>
      <w:r>
        <w:rPr/>
        <w:t>约定，由监理人按第 </w:t>
      </w:r>
      <w:r>
        <w:rPr>
          <w:rFonts w:ascii="Calibri" w:eastAsia="Calibri"/>
        </w:rPr>
        <w:t>3.5 </w:t>
      </w:r>
      <w:r>
        <w:rPr/>
        <w:t>款商定或确定。</w:t>
      </w:r>
    </w:p>
    <w:p>
      <w:pPr>
        <w:pStyle w:val="BodyText"/>
        <w:spacing w:before="4"/>
        <w:rPr>
          <w:sz w:val="37"/>
        </w:rPr>
      </w:pPr>
    </w:p>
    <w:p>
      <w:pPr>
        <w:pStyle w:val="Heading6"/>
        <w:numPr>
          <w:ilvl w:val="0"/>
          <w:numId w:val="38"/>
        </w:numPr>
        <w:tabs>
          <w:tab w:pos="618" w:val="left" w:leader="none"/>
        </w:tabs>
        <w:spacing w:line="240" w:lineRule="auto" w:before="0" w:after="0"/>
        <w:ind w:left="617" w:right="0" w:hanging="392"/>
        <w:jc w:val="both"/>
      </w:pPr>
      <w:bookmarkStart w:name="22违约" w:id="108"/>
      <w:bookmarkEnd w:id="108"/>
      <w:r>
        <w:rPr>
          <w:b w:val="0"/>
        </w:rPr>
      </w:r>
      <w:bookmarkStart w:name="22违约" w:id="109"/>
      <w:bookmarkEnd w:id="109"/>
      <w:r>
        <w:rPr/>
        <w:t>违约</w:t>
      </w:r>
    </w:p>
    <w:p>
      <w:pPr>
        <w:pStyle w:val="BodyText"/>
        <w:spacing w:before="10"/>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承包人违约</w:t>
      </w:r>
    </w:p>
    <w:p>
      <w:pPr>
        <w:pStyle w:val="ListParagraph"/>
        <w:numPr>
          <w:ilvl w:val="2"/>
          <w:numId w:val="38"/>
        </w:numPr>
        <w:tabs>
          <w:tab w:pos="1369" w:val="left" w:leader="none"/>
        </w:tabs>
        <w:spacing w:line="240" w:lineRule="auto" w:before="157" w:after="0"/>
        <w:ind w:left="1368" w:right="0" w:hanging="662"/>
        <w:jc w:val="left"/>
        <w:rPr>
          <w:sz w:val="24"/>
        </w:rPr>
      </w:pPr>
      <w:r>
        <w:rPr>
          <w:sz w:val="24"/>
        </w:rPr>
        <w:t>承包人违约的情形</w:t>
      </w:r>
    </w:p>
    <w:p>
      <w:pPr>
        <w:pStyle w:val="BodyText"/>
        <w:spacing w:before="158"/>
        <w:ind w:left="707"/>
      </w:pPr>
      <w:r>
        <w:rPr/>
        <w:t>在履行合同过程中发生的下列情况属承包人违约：</w:t>
      </w:r>
    </w:p>
    <w:p>
      <w:pPr>
        <w:pStyle w:val="ListParagraph"/>
        <w:numPr>
          <w:ilvl w:val="0"/>
          <w:numId w:val="59"/>
        </w:numPr>
        <w:tabs>
          <w:tab w:pos="1069" w:val="left" w:leader="none"/>
        </w:tabs>
        <w:spacing w:line="362" w:lineRule="auto" w:before="173" w:after="0"/>
        <w:ind w:left="226" w:right="1345" w:firstLine="480"/>
        <w:jc w:val="left"/>
        <w:rPr>
          <w:sz w:val="24"/>
        </w:rPr>
      </w:pPr>
      <w:r>
        <w:rPr>
          <w:spacing w:val="-9"/>
          <w:sz w:val="24"/>
        </w:rPr>
        <w:t>承包人违反第 </w:t>
      </w:r>
      <w:r>
        <w:rPr>
          <w:rFonts w:ascii="Calibri" w:eastAsia="Calibri"/>
          <w:sz w:val="24"/>
        </w:rPr>
        <w:t>1.8</w:t>
      </w:r>
      <w:r>
        <w:rPr>
          <w:rFonts w:ascii="Calibri" w:eastAsia="Calibri"/>
          <w:spacing w:val="2"/>
          <w:sz w:val="24"/>
        </w:rPr>
        <w:t> </w:t>
      </w:r>
      <w:r>
        <w:rPr>
          <w:spacing w:val="-16"/>
          <w:sz w:val="24"/>
        </w:rPr>
        <w:t>款或第 </w:t>
      </w:r>
      <w:r>
        <w:rPr>
          <w:rFonts w:ascii="Calibri" w:eastAsia="Calibri"/>
          <w:sz w:val="24"/>
        </w:rPr>
        <w:t>4.3</w:t>
      </w:r>
      <w:r>
        <w:rPr>
          <w:rFonts w:ascii="Calibri" w:eastAsia="Calibri"/>
          <w:spacing w:val="3"/>
          <w:sz w:val="24"/>
        </w:rPr>
        <w:t> </w:t>
      </w:r>
      <w:r>
        <w:rPr>
          <w:sz w:val="24"/>
        </w:rPr>
        <w:t>款的约定，私自将合同的全部或部分权利转让给其他人，或私自将合同的全部或部分义务转移给其他人；</w:t>
      </w:r>
    </w:p>
    <w:p>
      <w:pPr>
        <w:pStyle w:val="ListParagraph"/>
        <w:numPr>
          <w:ilvl w:val="0"/>
          <w:numId w:val="59"/>
        </w:numPr>
        <w:tabs>
          <w:tab w:pos="1069" w:val="left" w:leader="none"/>
        </w:tabs>
        <w:spacing w:line="362" w:lineRule="auto" w:before="2" w:after="0"/>
        <w:ind w:left="226" w:right="1347" w:firstLine="480"/>
        <w:jc w:val="left"/>
        <w:rPr>
          <w:sz w:val="24"/>
        </w:rPr>
      </w:pPr>
      <w:r>
        <w:rPr>
          <w:spacing w:val="-9"/>
          <w:sz w:val="24"/>
        </w:rPr>
        <w:t>承包人违反第 </w:t>
      </w:r>
      <w:r>
        <w:rPr>
          <w:rFonts w:ascii="Calibri" w:eastAsia="Calibri"/>
          <w:sz w:val="24"/>
        </w:rPr>
        <w:t>5.3</w:t>
      </w:r>
      <w:r>
        <w:rPr>
          <w:rFonts w:ascii="Calibri" w:eastAsia="Calibri"/>
          <w:spacing w:val="1"/>
          <w:sz w:val="24"/>
        </w:rPr>
        <w:t> </w:t>
      </w:r>
      <w:r>
        <w:rPr>
          <w:spacing w:val="-16"/>
          <w:sz w:val="24"/>
        </w:rPr>
        <w:t>款或第 </w:t>
      </w:r>
      <w:r>
        <w:rPr>
          <w:rFonts w:ascii="Calibri" w:eastAsia="Calibri"/>
          <w:sz w:val="24"/>
        </w:rPr>
        <w:t>6.4</w:t>
      </w:r>
      <w:r>
        <w:rPr>
          <w:rFonts w:ascii="Calibri" w:eastAsia="Calibri"/>
          <w:spacing w:val="2"/>
          <w:sz w:val="24"/>
        </w:rPr>
        <w:t> </w:t>
      </w:r>
      <w:r>
        <w:rPr>
          <w:sz w:val="24"/>
        </w:rPr>
        <w:t>款的约定，未经监理人批准，私自将已按合同约定进入施工场地的施工设备、临时设施或材料撤离施工场地；</w:t>
      </w:r>
    </w:p>
    <w:p>
      <w:pPr>
        <w:pStyle w:val="ListParagraph"/>
        <w:numPr>
          <w:ilvl w:val="0"/>
          <w:numId w:val="59"/>
        </w:numPr>
        <w:tabs>
          <w:tab w:pos="1069" w:val="left" w:leader="none"/>
        </w:tabs>
        <w:spacing w:line="374" w:lineRule="auto" w:before="2" w:after="0"/>
        <w:ind w:left="226" w:right="1344" w:firstLine="480"/>
        <w:jc w:val="left"/>
        <w:rPr>
          <w:sz w:val="24"/>
        </w:rPr>
      </w:pPr>
      <w:r>
        <w:rPr>
          <w:spacing w:val="-9"/>
          <w:sz w:val="24"/>
        </w:rPr>
        <w:t>承包人违反第 </w:t>
      </w:r>
      <w:r>
        <w:rPr>
          <w:rFonts w:ascii="Calibri" w:eastAsia="Calibri"/>
          <w:sz w:val="24"/>
        </w:rPr>
        <w:t>5.4</w:t>
      </w:r>
      <w:r>
        <w:rPr>
          <w:rFonts w:ascii="Calibri" w:eastAsia="Calibri"/>
          <w:spacing w:val="1"/>
          <w:sz w:val="24"/>
        </w:rPr>
        <w:t> </w:t>
      </w:r>
      <w:r>
        <w:rPr>
          <w:spacing w:val="-4"/>
          <w:sz w:val="24"/>
        </w:rPr>
        <w:t>款的约定使用了不合格材料或工程设备，工程质量达不到标准要求，又拒绝清除不合格工程；</w:t>
      </w:r>
    </w:p>
    <w:p>
      <w:pPr>
        <w:pStyle w:val="ListParagraph"/>
        <w:numPr>
          <w:ilvl w:val="0"/>
          <w:numId w:val="59"/>
        </w:numPr>
        <w:tabs>
          <w:tab w:pos="1069" w:val="left" w:leader="none"/>
        </w:tabs>
        <w:spacing w:line="362" w:lineRule="auto" w:before="0" w:after="0"/>
        <w:ind w:left="226" w:right="1342" w:firstLine="480"/>
        <w:jc w:val="left"/>
        <w:rPr>
          <w:sz w:val="24"/>
        </w:rPr>
      </w:pPr>
      <w:r>
        <w:rPr>
          <w:spacing w:val="-5"/>
          <w:sz w:val="24"/>
        </w:rPr>
        <w:t>承包人未能按合同进度计划及时完成合同约定的工作，已造成或预期造成工期延误；</w:t>
      </w:r>
      <w:r>
        <w:rPr>
          <w:spacing w:val="-1"/>
          <w:sz w:val="24"/>
        </w:rPr>
        <w:t> </w:t>
      </w:r>
      <w:r>
        <w:rPr>
          <w:sz w:val="24"/>
        </w:rPr>
        <w:t> </w:t>
      </w:r>
    </w:p>
    <w:p>
      <w:pPr>
        <w:pStyle w:val="ListParagraph"/>
        <w:numPr>
          <w:ilvl w:val="0"/>
          <w:numId w:val="59"/>
        </w:numPr>
        <w:tabs>
          <w:tab w:pos="1069" w:val="left" w:leader="none"/>
        </w:tabs>
        <w:spacing w:line="369" w:lineRule="auto" w:before="0" w:after="0"/>
        <w:ind w:left="226" w:right="1348" w:firstLine="480"/>
        <w:jc w:val="both"/>
        <w:rPr>
          <w:sz w:val="24"/>
        </w:rPr>
      </w:pPr>
      <w:r>
        <w:rPr>
          <w:spacing w:val="-6"/>
          <w:sz w:val="24"/>
        </w:rPr>
        <w:t>承包人在缺陷责任期(工程质量保修期)内，未能对合同工程完工验收鉴定书所列的缺陷清单的内容或缺陷责任期(工程质量保修期)内发生的缺陷进行修复，而又拒绝按监理人指示再进行修补；</w:t>
      </w:r>
    </w:p>
    <w:p>
      <w:pPr>
        <w:pStyle w:val="ListParagraph"/>
        <w:numPr>
          <w:ilvl w:val="0"/>
          <w:numId w:val="59"/>
        </w:numPr>
        <w:tabs>
          <w:tab w:pos="1069" w:val="left" w:leader="none"/>
        </w:tabs>
        <w:spacing w:line="362" w:lineRule="auto" w:before="0" w:after="0"/>
        <w:ind w:left="707" w:right="2551" w:firstLine="0"/>
        <w:jc w:val="left"/>
        <w:rPr>
          <w:sz w:val="24"/>
        </w:rPr>
      </w:pPr>
      <w:r>
        <w:rPr>
          <w:spacing w:val="-1"/>
          <w:sz w:val="24"/>
        </w:rPr>
        <w:t>承包人无法继续履行或明确表示不履行或实质上已停止履行合同； (7)承包人不按合同约定履行义务的其它情况。</w:t>
      </w:r>
    </w:p>
    <w:p>
      <w:pPr>
        <w:pStyle w:val="ListParagraph"/>
        <w:numPr>
          <w:ilvl w:val="2"/>
          <w:numId w:val="38"/>
        </w:numPr>
        <w:tabs>
          <w:tab w:pos="1369" w:val="left" w:leader="none"/>
        </w:tabs>
        <w:spacing w:line="240" w:lineRule="auto" w:before="0" w:after="0"/>
        <w:ind w:left="1368" w:right="0" w:hanging="662"/>
        <w:jc w:val="left"/>
        <w:rPr>
          <w:sz w:val="24"/>
        </w:rPr>
      </w:pPr>
      <w:r>
        <w:rPr>
          <w:sz w:val="24"/>
        </w:rPr>
        <w:t>对承包人违约的处理</w:t>
      </w:r>
    </w:p>
    <w:p>
      <w:pPr>
        <w:pStyle w:val="ListParagraph"/>
        <w:numPr>
          <w:ilvl w:val="0"/>
          <w:numId w:val="60"/>
        </w:numPr>
        <w:tabs>
          <w:tab w:pos="1069" w:val="left" w:leader="none"/>
        </w:tabs>
        <w:spacing w:line="240" w:lineRule="auto" w:before="139" w:after="0"/>
        <w:ind w:left="1068" w:right="0" w:hanging="362"/>
        <w:jc w:val="left"/>
        <w:rPr>
          <w:sz w:val="24"/>
        </w:rPr>
      </w:pPr>
      <w:r>
        <w:rPr>
          <w:spacing w:val="-1"/>
          <w:sz w:val="24"/>
        </w:rPr>
        <w:t>承包人发生第 </w:t>
      </w:r>
      <w:r>
        <w:rPr>
          <w:rFonts w:ascii="Calibri" w:eastAsia="Calibri"/>
          <w:sz w:val="24"/>
        </w:rPr>
        <w:t>20.1.1</w:t>
      </w:r>
      <w:r>
        <w:rPr>
          <w:sz w:val="24"/>
        </w:rPr>
        <w:t>(6)目约定的违约情况时，发包人可通知承包人立即解除合</w:t>
      </w:r>
    </w:p>
    <w:p>
      <w:pPr>
        <w:spacing w:after="0" w:line="240" w:lineRule="auto"/>
        <w:jc w:val="left"/>
        <w:rPr>
          <w:sz w:val="24"/>
        </w:rPr>
        <w:sectPr>
          <w:pgSz w:w="11910" w:h="16850"/>
          <w:pgMar w:header="911" w:footer="0" w:top="1380" w:bottom="280" w:left="1200" w:right="0"/>
        </w:sectPr>
      </w:pPr>
    </w:p>
    <w:p>
      <w:pPr>
        <w:pStyle w:val="BodyText"/>
        <w:spacing w:before="135"/>
        <w:ind w:left="226"/>
      </w:pPr>
      <w:r>
        <w:rPr/>
        <w:t>同，并按有关法律处理。</w:t>
      </w:r>
    </w:p>
    <w:p>
      <w:pPr>
        <w:pStyle w:val="ListParagraph"/>
        <w:numPr>
          <w:ilvl w:val="0"/>
          <w:numId w:val="60"/>
        </w:numPr>
        <w:tabs>
          <w:tab w:pos="1069" w:val="left" w:leader="none"/>
        </w:tabs>
        <w:spacing w:line="362" w:lineRule="auto" w:before="158" w:after="0"/>
        <w:ind w:left="226" w:right="1345" w:firstLine="480"/>
        <w:jc w:val="both"/>
        <w:rPr>
          <w:sz w:val="24"/>
        </w:rPr>
      </w:pPr>
      <w:r>
        <w:rPr>
          <w:spacing w:val="-2"/>
          <w:sz w:val="24"/>
        </w:rPr>
        <w:t>承包人发生除第 </w:t>
      </w:r>
      <w:r>
        <w:rPr>
          <w:rFonts w:ascii="Calibri" w:eastAsia="Calibri"/>
          <w:sz w:val="24"/>
        </w:rPr>
        <w:t>20.1.1</w:t>
      </w:r>
      <w:r>
        <w:rPr>
          <w:sz w:val="24"/>
        </w:rPr>
        <w:t>(6)目约定以外的其他违约情况时，监理人可向承包人发</w:t>
      </w:r>
      <w:r>
        <w:rPr>
          <w:spacing w:val="-18"/>
          <w:sz w:val="24"/>
        </w:rPr>
        <w:t>出整改通知，要求其在指定的期限内改正。承包人应承担其违约所引起的费用增加和(或) 工期延误。 </w:t>
      </w:r>
    </w:p>
    <w:p>
      <w:pPr>
        <w:pStyle w:val="ListParagraph"/>
        <w:numPr>
          <w:ilvl w:val="0"/>
          <w:numId w:val="60"/>
        </w:numPr>
        <w:tabs>
          <w:tab w:pos="1069" w:val="left" w:leader="none"/>
        </w:tabs>
        <w:spacing w:line="374" w:lineRule="auto" w:before="3" w:after="0"/>
        <w:ind w:left="226" w:right="1343" w:firstLine="480"/>
        <w:jc w:val="left"/>
        <w:rPr>
          <w:sz w:val="24"/>
        </w:rPr>
      </w:pPr>
      <w:r>
        <w:rPr/>
        <w:drawing>
          <wp:anchor distT="0" distB="0" distL="0" distR="0" allowOverlap="1" layoutInCell="1" locked="0" behindDoc="1" simplePos="0" relativeHeight="234774528">
            <wp:simplePos x="0" y="0"/>
            <wp:positionH relativeFrom="page">
              <wp:posOffset>992771</wp:posOffset>
            </wp:positionH>
            <wp:positionV relativeFrom="paragraph">
              <wp:posOffset>460126</wp:posOffset>
            </wp:positionV>
            <wp:extent cx="5578970" cy="5494141"/>
            <wp:effectExtent l="0" t="0" r="0" b="0"/>
            <wp:wrapNone/>
            <wp:docPr id="93" name="image1.png"/>
            <wp:cNvGraphicFramePr>
              <a:graphicFrameLocks noChangeAspect="1"/>
            </wp:cNvGraphicFramePr>
            <a:graphic>
              <a:graphicData uri="http://schemas.openxmlformats.org/drawingml/2006/picture">
                <pic:pic>
                  <pic:nvPicPr>
                    <pic:cNvPr id="94"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5"/>
          <w:sz w:val="24"/>
        </w:rPr>
        <w:t>经检查证明承包人已采取了有效措施纠正违约行为，具备复工条件的，可由监理人签发复工通知复工。     </w:t>
      </w:r>
    </w:p>
    <w:p>
      <w:pPr>
        <w:pStyle w:val="ListParagraph"/>
        <w:numPr>
          <w:ilvl w:val="2"/>
          <w:numId w:val="38"/>
        </w:numPr>
        <w:tabs>
          <w:tab w:pos="1369" w:val="left" w:leader="none"/>
        </w:tabs>
        <w:spacing w:line="294" w:lineRule="exact" w:before="0" w:after="0"/>
        <w:ind w:left="1368" w:right="0" w:hanging="662"/>
        <w:jc w:val="left"/>
        <w:rPr>
          <w:sz w:val="24"/>
        </w:rPr>
      </w:pPr>
      <w:r>
        <w:rPr>
          <w:sz w:val="24"/>
        </w:rPr>
        <w:t>承包人违约解除合同</w:t>
      </w:r>
    </w:p>
    <w:p>
      <w:pPr>
        <w:pStyle w:val="BodyText"/>
        <w:spacing w:line="367" w:lineRule="auto" w:before="158"/>
        <w:ind w:left="226" w:right="1343" w:firstLine="480"/>
        <w:jc w:val="both"/>
      </w:pPr>
      <w:r>
        <w:rPr>
          <w:spacing w:val="-7"/>
        </w:rPr>
        <w:t>监理人发出整改通知 </w:t>
      </w:r>
      <w:r>
        <w:rPr>
          <w:rFonts w:ascii="Calibri" w:eastAsia="Calibri"/>
        </w:rPr>
        <w:t>28 </w:t>
      </w:r>
      <w:r>
        <w:rPr>
          <w:spacing w:val="-12"/>
        </w:rPr>
        <w:t>天后，承包人仍不纠正违约行为的，发包人可向承包人发出解除合同通知。合同解除后，发包人可派员进驻施工场地，另行组织人员或委托其他承包人施工。发包人因继续完成该工程的需要，有权扣留使用承包人在现场的材料、设备和临时设施。但发包人的这一行动不免除承包人应承担的违约责任，也不影响发包人根据合同约定享有的索赔权利。</w:t>
      </w:r>
    </w:p>
    <w:p>
      <w:pPr>
        <w:pStyle w:val="ListParagraph"/>
        <w:numPr>
          <w:ilvl w:val="2"/>
          <w:numId w:val="38"/>
        </w:numPr>
        <w:tabs>
          <w:tab w:pos="1369" w:val="left" w:leader="none"/>
        </w:tabs>
        <w:spacing w:line="297" w:lineRule="exact" w:before="0" w:after="0"/>
        <w:ind w:left="1368" w:right="0" w:hanging="662"/>
        <w:jc w:val="both"/>
        <w:rPr>
          <w:sz w:val="24"/>
        </w:rPr>
      </w:pPr>
      <w:r>
        <w:rPr>
          <w:sz w:val="24"/>
        </w:rPr>
        <w:t>合同解除后的估价、付款和结清</w:t>
      </w:r>
    </w:p>
    <w:p>
      <w:pPr>
        <w:pStyle w:val="ListParagraph"/>
        <w:numPr>
          <w:ilvl w:val="0"/>
          <w:numId w:val="61"/>
        </w:numPr>
        <w:tabs>
          <w:tab w:pos="1069" w:val="left" w:leader="none"/>
        </w:tabs>
        <w:spacing w:line="362" w:lineRule="auto" w:before="158" w:after="0"/>
        <w:ind w:left="226" w:right="1345" w:firstLine="480"/>
        <w:jc w:val="left"/>
        <w:rPr>
          <w:sz w:val="24"/>
        </w:rPr>
      </w:pPr>
      <w:r>
        <w:rPr>
          <w:spacing w:val="-10"/>
          <w:sz w:val="24"/>
        </w:rPr>
        <w:t>合同解除后，监理人按第 </w:t>
      </w:r>
      <w:r>
        <w:rPr>
          <w:rFonts w:ascii="Calibri" w:eastAsia="Calibri"/>
          <w:sz w:val="24"/>
        </w:rPr>
        <w:t>3.5</w:t>
      </w:r>
      <w:r>
        <w:rPr>
          <w:rFonts w:ascii="Calibri" w:eastAsia="Calibri"/>
          <w:spacing w:val="2"/>
          <w:sz w:val="24"/>
        </w:rPr>
        <w:t> </w:t>
      </w:r>
      <w:r>
        <w:rPr>
          <w:spacing w:val="-2"/>
          <w:sz w:val="24"/>
        </w:rPr>
        <w:t>款商定或确定承包人实际完成工作的价值，以及承</w:t>
      </w:r>
      <w:r>
        <w:rPr>
          <w:spacing w:val="-3"/>
          <w:sz w:val="24"/>
        </w:rPr>
        <w:t>包人己提供的材料、施工设备、工程设备和临时工程等的价值。</w:t>
      </w:r>
    </w:p>
    <w:p>
      <w:pPr>
        <w:pStyle w:val="ListParagraph"/>
        <w:numPr>
          <w:ilvl w:val="0"/>
          <w:numId w:val="61"/>
        </w:numPr>
        <w:tabs>
          <w:tab w:pos="1069" w:val="left" w:leader="none"/>
        </w:tabs>
        <w:spacing w:line="362" w:lineRule="auto" w:before="17" w:after="0"/>
        <w:ind w:left="226" w:right="1223" w:firstLine="480"/>
        <w:jc w:val="left"/>
        <w:rPr>
          <w:sz w:val="24"/>
        </w:rPr>
      </w:pPr>
      <w:r>
        <w:rPr>
          <w:sz w:val="24"/>
        </w:rPr>
        <w:t>合同解除后，发包人应暂停对承包人的一切付款，查清各项付款和已扣款金额， 包括承包人应支付的违约金。</w:t>
      </w:r>
    </w:p>
    <w:p>
      <w:pPr>
        <w:pStyle w:val="ListParagraph"/>
        <w:numPr>
          <w:ilvl w:val="0"/>
          <w:numId w:val="61"/>
        </w:numPr>
        <w:tabs>
          <w:tab w:pos="1069" w:val="left" w:leader="none"/>
        </w:tabs>
        <w:spacing w:line="362" w:lineRule="auto" w:before="2" w:after="0"/>
        <w:ind w:left="226" w:right="1345" w:firstLine="480"/>
        <w:jc w:val="left"/>
        <w:rPr>
          <w:sz w:val="24"/>
        </w:rPr>
      </w:pPr>
      <w:r>
        <w:rPr>
          <w:spacing w:val="-3"/>
          <w:sz w:val="24"/>
        </w:rPr>
        <w:t>合同解除后，发包人应按第 </w:t>
      </w:r>
      <w:r>
        <w:rPr>
          <w:rFonts w:ascii="Calibri" w:eastAsia="Calibri"/>
          <w:sz w:val="24"/>
        </w:rPr>
        <w:t>21.4</w:t>
      </w:r>
      <w:r>
        <w:rPr>
          <w:rFonts w:ascii="Calibri" w:eastAsia="Calibri"/>
          <w:spacing w:val="32"/>
          <w:sz w:val="24"/>
        </w:rPr>
        <w:t> </w:t>
      </w:r>
      <w:r>
        <w:rPr>
          <w:sz w:val="24"/>
        </w:rPr>
        <w:t>款的约定向承包人索赔由于解除合同给发包人造成的损失。</w:t>
      </w:r>
    </w:p>
    <w:p>
      <w:pPr>
        <w:pStyle w:val="ListParagraph"/>
        <w:numPr>
          <w:ilvl w:val="0"/>
          <w:numId w:val="61"/>
        </w:numPr>
        <w:tabs>
          <w:tab w:pos="1069" w:val="left" w:leader="none"/>
        </w:tabs>
        <w:spacing w:line="374" w:lineRule="auto" w:before="2" w:after="0"/>
        <w:ind w:left="707" w:right="1350" w:firstLine="0"/>
        <w:jc w:val="left"/>
        <w:rPr>
          <w:sz w:val="24"/>
        </w:rPr>
      </w:pPr>
      <w:r>
        <w:rPr>
          <w:sz w:val="24"/>
        </w:rPr>
        <w:t>合同双方确认上述往来款项后，出具最终结清付款证书，结清全部合同款项。(5)</w:t>
      </w:r>
      <w:r>
        <w:rPr>
          <w:spacing w:val="-3"/>
          <w:sz w:val="24"/>
        </w:rPr>
        <w:t>发包人和承包人未能就解除合同后的结清达成一致而形成争议的，按第 </w:t>
      </w:r>
      <w:r>
        <w:rPr>
          <w:rFonts w:ascii="Calibri" w:eastAsia="Calibri"/>
          <w:sz w:val="24"/>
        </w:rPr>
        <w:t>22</w:t>
      </w:r>
      <w:r>
        <w:rPr>
          <w:rFonts w:ascii="Calibri" w:eastAsia="Calibri"/>
          <w:spacing w:val="2"/>
          <w:sz w:val="24"/>
        </w:rPr>
        <w:t> </w:t>
      </w:r>
      <w:r>
        <w:rPr>
          <w:sz w:val="24"/>
        </w:rPr>
        <w:t>条的</w:t>
      </w:r>
    </w:p>
    <w:p>
      <w:pPr>
        <w:pStyle w:val="BodyText"/>
        <w:spacing w:line="294" w:lineRule="exact"/>
        <w:ind w:left="226"/>
      </w:pPr>
      <w:r>
        <w:rPr/>
        <w:t>约定办理。</w:t>
      </w:r>
    </w:p>
    <w:p>
      <w:pPr>
        <w:pStyle w:val="ListParagraph"/>
        <w:numPr>
          <w:ilvl w:val="2"/>
          <w:numId w:val="38"/>
        </w:numPr>
        <w:tabs>
          <w:tab w:pos="1369" w:val="left" w:leader="none"/>
        </w:tabs>
        <w:spacing w:line="240" w:lineRule="auto" w:before="158" w:after="0"/>
        <w:ind w:left="1368" w:right="0" w:hanging="662"/>
        <w:jc w:val="both"/>
        <w:rPr>
          <w:sz w:val="24"/>
        </w:rPr>
      </w:pPr>
      <w:r>
        <w:rPr>
          <w:sz w:val="24"/>
        </w:rPr>
        <w:t>协议利益的转让</w:t>
      </w:r>
    </w:p>
    <w:p>
      <w:pPr>
        <w:pStyle w:val="BodyText"/>
        <w:spacing w:line="369" w:lineRule="auto" w:before="158"/>
        <w:ind w:left="226" w:right="1342" w:firstLine="480"/>
        <w:jc w:val="both"/>
      </w:pPr>
      <w:r>
        <w:rPr/>
        <w:t>因承包人违约解除合同的，发包人有权要求承包人将其为实施合同而签订的材料和</w:t>
      </w:r>
      <w:r>
        <w:rPr>
          <w:spacing w:val="-6"/>
        </w:rPr>
        <w:t>设备的订货访议或任何服务协议利益转让给发包人，并在解除合同后的 </w:t>
      </w:r>
      <w:r>
        <w:rPr>
          <w:rFonts w:ascii="Calibri" w:eastAsia="Calibri"/>
        </w:rPr>
        <w:t>14 </w:t>
      </w:r>
      <w:r>
        <w:rPr>
          <w:spacing w:val="-10"/>
        </w:rPr>
        <w:t>天内，依法办理转让手续。</w:t>
      </w:r>
    </w:p>
    <w:p>
      <w:pPr>
        <w:pStyle w:val="ListParagraph"/>
        <w:numPr>
          <w:ilvl w:val="2"/>
          <w:numId w:val="38"/>
        </w:numPr>
        <w:tabs>
          <w:tab w:pos="1248" w:val="left" w:leader="none"/>
        </w:tabs>
        <w:spacing w:line="298" w:lineRule="exact" w:before="0" w:after="0"/>
        <w:ind w:left="1248" w:right="0" w:hanging="661"/>
        <w:jc w:val="both"/>
        <w:rPr>
          <w:sz w:val="24"/>
        </w:rPr>
      </w:pPr>
      <w:r>
        <w:rPr>
          <w:sz w:val="24"/>
        </w:rPr>
        <w:t>紧急情况下无能力或不愿进行抢救</w:t>
      </w:r>
    </w:p>
    <w:p>
      <w:pPr>
        <w:pStyle w:val="BodyText"/>
        <w:spacing w:line="362" w:lineRule="auto" w:before="158"/>
        <w:ind w:left="226" w:right="1343" w:firstLine="360"/>
        <w:jc w:val="both"/>
      </w:pPr>
      <w:r>
        <w:rPr>
          <w:spacing w:val="-5"/>
        </w:rPr>
        <w:t>在工程实施期间或缺陷责任期内发生危及工程安全的事件，监理人通知承包人进行抢救，承包人声明无能力或不愿立即执行的，发包人有权雇佣其他人员进行抢救。此类抢救按合同约定属于承包人义务的，由此发生的金额和</w:t>
      </w:r>
      <w:r>
        <w:rPr>
          <w:rFonts w:ascii="Calibri" w:eastAsia="Calibri"/>
        </w:rPr>
        <w:t>(</w:t>
      </w:r>
      <w:r>
        <w:rPr/>
        <w:t>或</w:t>
      </w:r>
      <w:r>
        <w:rPr>
          <w:rFonts w:ascii="Calibri" w:eastAsia="Calibri"/>
        </w:rPr>
        <w:t>)</w:t>
      </w:r>
      <w:r>
        <w:rPr/>
        <w:t>工期延误由承包人承担。</w:t>
      </w:r>
    </w:p>
    <w:p>
      <w:pPr>
        <w:spacing w:after="0" w:line="362" w:lineRule="auto"/>
        <w:jc w:val="both"/>
        <w:sectPr>
          <w:pgSz w:w="11910" w:h="16850"/>
          <w:pgMar w:header="911" w:footer="0" w:top="1380" w:bottom="280" w:left="1200" w:right="0"/>
        </w:sectPr>
      </w:pPr>
    </w:p>
    <w:p>
      <w:pPr>
        <w:pStyle w:val="ListParagraph"/>
        <w:numPr>
          <w:ilvl w:val="1"/>
          <w:numId w:val="38"/>
        </w:numPr>
        <w:tabs>
          <w:tab w:pos="1067" w:val="left" w:leader="none"/>
          <w:tab w:pos="1068" w:val="left" w:leader="none"/>
        </w:tabs>
        <w:spacing w:line="240" w:lineRule="auto" w:before="135" w:after="0"/>
        <w:ind w:left="1068" w:right="0" w:hanging="842"/>
        <w:jc w:val="left"/>
        <w:rPr>
          <w:rFonts w:ascii="黑体" w:eastAsia="黑体" w:hint="eastAsia"/>
          <w:sz w:val="24"/>
        </w:rPr>
      </w:pPr>
      <w:r>
        <w:rPr>
          <w:rFonts w:ascii="黑体" w:eastAsia="黑体" w:hint="eastAsia"/>
          <w:sz w:val="24"/>
        </w:rPr>
        <w:t>发包人违约</w:t>
      </w:r>
    </w:p>
    <w:p>
      <w:pPr>
        <w:pStyle w:val="ListParagraph"/>
        <w:numPr>
          <w:ilvl w:val="2"/>
          <w:numId w:val="38"/>
        </w:numPr>
        <w:tabs>
          <w:tab w:pos="1369" w:val="left" w:leader="none"/>
        </w:tabs>
        <w:spacing w:line="240" w:lineRule="auto" w:before="158" w:after="0"/>
        <w:ind w:left="1368" w:right="0" w:hanging="662"/>
        <w:jc w:val="both"/>
        <w:rPr>
          <w:sz w:val="24"/>
        </w:rPr>
      </w:pPr>
      <w:r>
        <w:rPr>
          <w:sz w:val="24"/>
        </w:rPr>
        <w:t>发包人违约的情形</w:t>
      </w:r>
    </w:p>
    <w:p>
      <w:pPr>
        <w:pStyle w:val="BodyText"/>
        <w:spacing w:before="158"/>
        <w:ind w:left="707"/>
      </w:pPr>
      <w:r>
        <w:rPr/>
        <w:t>在履行合同过程中发生的下列情形，属发包人违约：</w:t>
      </w:r>
    </w:p>
    <w:p>
      <w:pPr>
        <w:pStyle w:val="ListParagraph"/>
        <w:numPr>
          <w:ilvl w:val="0"/>
          <w:numId w:val="62"/>
        </w:numPr>
        <w:tabs>
          <w:tab w:pos="1069" w:val="left" w:leader="none"/>
        </w:tabs>
        <w:spacing w:line="362" w:lineRule="auto" w:before="158" w:after="0"/>
        <w:ind w:left="226" w:right="1343" w:firstLine="480"/>
        <w:jc w:val="left"/>
        <w:rPr>
          <w:sz w:val="24"/>
        </w:rPr>
      </w:pPr>
      <w:r>
        <w:rPr>
          <w:spacing w:val="-6"/>
          <w:sz w:val="24"/>
        </w:rPr>
        <w:t>发包人未能按合同约定支付预付款或合同价款，或拖延、拒绝批准付款申请和支付凭证，导致付款延误的； </w:t>
      </w:r>
    </w:p>
    <w:p>
      <w:pPr>
        <w:pStyle w:val="ListParagraph"/>
        <w:numPr>
          <w:ilvl w:val="0"/>
          <w:numId w:val="62"/>
        </w:numPr>
        <w:tabs>
          <w:tab w:pos="1069" w:val="left" w:leader="none"/>
        </w:tabs>
        <w:spacing w:line="240" w:lineRule="auto" w:before="17" w:after="0"/>
        <w:ind w:left="1068" w:right="0" w:hanging="362"/>
        <w:jc w:val="left"/>
        <w:rPr>
          <w:sz w:val="24"/>
        </w:rPr>
      </w:pPr>
      <w:r>
        <w:rPr/>
        <w:drawing>
          <wp:anchor distT="0" distB="0" distL="0" distR="0" allowOverlap="1" layoutInCell="1" locked="0" behindDoc="1" simplePos="0" relativeHeight="234775552">
            <wp:simplePos x="0" y="0"/>
            <wp:positionH relativeFrom="page">
              <wp:posOffset>992771</wp:posOffset>
            </wp:positionH>
            <wp:positionV relativeFrom="paragraph">
              <wp:posOffset>163963</wp:posOffset>
            </wp:positionV>
            <wp:extent cx="5578970" cy="5494141"/>
            <wp:effectExtent l="0" t="0" r="0" b="0"/>
            <wp:wrapNone/>
            <wp:docPr id="95" name="image1.png"/>
            <wp:cNvGraphicFramePr>
              <a:graphicFrameLocks noChangeAspect="1"/>
            </wp:cNvGraphicFramePr>
            <a:graphic>
              <a:graphicData uri="http://schemas.openxmlformats.org/drawingml/2006/picture">
                <pic:pic>
                  <pic:nvPicPr>
                    <pic:cNvPr id="96"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发包人原因造成停工的；    </w:t>
      </w:r>
    </w:p>
    <w:p>
      <w:pPr>
        <w:pStyle w:val="ListParagraph"/>
        <w:numPr>
          <w:ilvl w:val="0"/>
          <w:numId w:val="62"/>
        </w:numPr>
        <w:tabs>
          <w:tab w:pos="1069" w:val="left" w:leader="none"/>
        </w:tabs>
        <w:spacing w:line="362" w:lineRule="auto" w:before="158" w:after="0"/>
        <w:ind w:left="707" w:right="1349" w:firstLine="0"/>
        <w:jc w:val="left"/>
        <w:rPr>
          <w:sz w:val="24"/>
        </w:rPr>
      </w:pPr>
      <w:r>
        <w:rPr>
          <w:spacing w:val="-1"/>
          <w:sz w:val="24"/>
        </w:rPr>
        <w:t>监理人无正当理由没有在约定期限内发出复工指示，导致承包人无法复工的； </w:t>
      </w:r>
      <w:r>
        <w:rPr>
          <w:sz w:val="24"/>
        </w:rPr>
        <w:t>(4)</w:t>
      </w:r>
      <w:r>
        <w:rPr>
          <w:spacing w:val="-1"/>
          <w:sz w:val="24"/>
        </w:rPr>
        <w:t>发包人无法继续履行或明确表示不履行或实质上已停止履行合同的；</w:t>
      </w:r>
      <w:r>
        <w:rPr>
          <w:sz w:val="24"/>
        </w:rPr>
        <w:t> </w:t>
      </w:r>
    </w:p>
    <w:p>
      <w:pPr>
        <w:pStyle w:val="BodyText"/>
        <w:spacing w:before="2"/>
        <w:ind w:left="707"/>
      </w:pPr>
      <w:r>
        <w:rPr/>
        <w:t>(5)发包人不履行合同约定其他义务的。 </w:t>
      </w:r>
    </w:p>
    <w:p>
      <w:pPr>
        <w:pStyle w:val="ListParagraph"/>
        <w:numPr>
          <w:ilvl w:val="2"/>
          <w:numId w:val="38"/>
        </w:numPr>
        <w:tabs>
          <w:tab w:pos="1369" w:val="left" w:leader="none"/>
        </w:tabs>
        <w:spacing w:line="240" w:lineRule="auto" w:before="158" w:after="0"/>
        <w:ind w:left="1368" w:right="0" w:hanging="662"/>
        <w:jc w:val="both"/>
        <w:rPr>
          <w:sz w:val="24"/>
        </w:rPr>
      </w:pPr>
      <w:r>
        <w:rPr>
          <w:sz w:val="24"/>
        </w:rPr>
        <w:t>承包人有权暂停施工</w:t>
      </w:r>
    </w:p>
    <w:p>
      <w:pPr>
        <w:pStyle w:val="BodyText"/>
        <w:spacing w:line="362" w:lineRule="auto" w:before="173"/>
        <w:ind w:left="226" w:right="1344" w:firstLine="480"/>
        <w:jc w:val="both"/>
      </w:pPr>
      <w:r>
        <w:rPr>
          <w:spacing w:val="-9"/>
        </w:rPr>
        <w:t>发包人发生除第 </w:t>
      </w:r>
      <w:r>
        <w:rPr>
          <w:rFonts w:ascii="Calibri" w:eastAsia="Calibri"/>
        </w:rPr>
        <w:t>22.2.1</w:t>
      </w:r>
      <w:r>
        <w:rPr/>
        <w:t>(4)</w:t>
      </w:r>
      <w:r>
        <w:rPr>
          <w:spacing w:val="-5"/>
        </w:rPr>
        <w:t>目以外的违约情况时，承包人可向发包人发出通知，要求</w:t>
      </w:r>
      <w:r>
        <w:rPr>
          <w:spacing w:val="-15"/>
        </w:rPr>
        <w:t>发包人采取有效措施纠正违约行为。发包人收到承包人通知后的 </w:t>
      </w:r>
      <w:r>
        <w:rPr>
          <w:rFonts w:ascii="Calibri" w:eastAsia="Calibri"/>
        </w:rPr>
        <w:t>28 </w:t>
      </w:r>
      <w:r>
        <w:rPr/>
        <w:t>天内仍不履行合同义</w:t>
      </w:r>
      <w:r>
        <w:rPr>
          <w:spacing w:val="-1"/>
        </w:rPr>
        <w:t>务，承包人有权暂停施工，并通知监理人，发包人应承担由此增加的费用和</w:t>
      </w:r>
      <w:r>
        <w:rPr>
          <w:rFonts w:ascii="Calibri" w:eastAsia="Calibri"/>
        </w:rPr>
        <w:t>(</w:t>
      </w:r>
      <w:r>
        <w:rPr/>
        <w:t>或</w:t>
      </w:r>
      <w:r>
        <w:rPr>
          <w:rFonts w:ascii="Calibri" w:eastAsia="Calibri"/>
          <w:spacing w:val="17"/>
        </w:rPr>
        <w:t>)</w:t>
      </w:r>
      <w:r>
        <w:rPr/>
        <w:t>工期延误，并支付承包人合理利润。</w:t>
      </w:r>
    </w:p>
    <w:p>
      <w:pPr>
        <w:pStyle w:val="ListParagraph"/>
        <w:numPr>
          <w:ilvl w:val="2"/>
          <w:numId w:val="38"/>
        </w:numPr>
        <w:tabs>
          <w:tab w:pos="1369" w:val="left" w:leader="none"/>
        </w:tabs>
        <w:spacing w:line="240" w:lineRule="auto" w:before="4" w:after="0"/>
        <w:ind w:left="1368" w:right="0" w:hanging="662"/>
        <w:jc w:val="both"/>
        <w:rPr>
          <w:sz w:val="24"/>
        </w:rPr>
      </w:pPr>
      <w:r>
        <w:rPr>
          <w:sz w:val="24"/>
        </w:rPr>
        <w:t>发包人违约解除合同</w:t>
      </w:r>
    </w:p>
    <w:p>
      <w:pPr>
        <w:pStyle w:val="ListParagraph"/>
        <w:numPr>
          <w:ilvl w:val="0"/>
          <w:numId w:val="63"/>
        </w:numPr>
        <w:tabs>
          <w:tab w:pos="1069" w:val="left" w:leader="none"/>
        </w:tabs>
        <w:spacing w:line="240" w:lineRule="auto" w:before="173" w:after="0"/>
        <w:ind w:left="1068" w:right="0" w:hanging="362"/>
        <w:jc w:val="both"/>
        <w:rPr>
          <w:sz w:val="24"/>
        </w:rPr>
      </w:pPr>
      <w:r>
        <w:rPr>
          <w:spacing w:val="-16"/>
          <w:sz w:val="24"/>
        </w:rPr>
        <w:t>发生第 </w:t>
      </w:r>
      <w:r>
        <w:rPr>
          <w:rFonts w:ascii="Calibri" w:eastAsia="Calibri"/>
          <w:sz w:val="24"/>
        </w:rPr>
        <w:t>22.2.1</w:t>
      </w:r>
      <w:r>
        <w:rPr>
          <w:sz w:val="24"/>
        </w:rPr>
        <w:t>(4)目的违约情况时，承包人可书面通知发包人解除合同。</w:t>
      </w:r>
    </w:p>
    <w:p>
      <w:pPr>
        <w:pStyle w:val="ListParagraph"/>
        <w:numPr>
          <w:ilvl w:val="0"/>
          <w:numId w:val="63"/>
        </w:numPr>
        <w:tabs>
          <w:tab w:pos="1069" w:val="left" w:leader="none"/>
        </w:tabs>
        <w:spacing w:line="362" w:lineRule="auto" w:before="158" w:after="0"/>
        <w:ind w:left="226" w:right="1343" w:firstLine="480"/>
        <w:jc w:val="both"/>
        <w:rPr>
          <w:sz w:val="24"/>
        </w:rPr>
      </w:pPr>
      <w:r>
        <w:rPr>
          <w:spacing w:val="-13"/>
          <w:sz w:val="24"/>
        </w:rPr>
        <w:t>承包人按 </w:t>
      </w:r>
      <w:r>
        <w:rPr>
          <w:rFonts w:ascii="Calibri" w:eastAsia="Calibri"/>
          <w:sz w:val="24"/>
        </w:rPr>
        <w:t>22.2.2</w:t>
      </w:r>
      <w:r>
        <w:rPr>
          <w:rFonts w:ascii="Calibri" w:eastAsia="Calibri"/>
          <w:spacing w:val="2"/>
          <w:sz w:val="24"/>
        </w:rPr>
        <w:t> </w:t>
      </w:r>
      <w:r>
        <w:rPr>
          <w:spacing w:val="-11"/>
          <w:sz w:val="24"/>
        </w:rPr>
        <w:t>项暂停施工 </w:t>
      </w:r>
      <w:r>
        <w:rPr>
          <w:rFonts w:ascii="Calibri" w:eastAsia="Calibri"/>
          <w:sz w:val="24"/>
        </w:rPr>
        <w:t>28</w:t>
      </w:r>
      <w:r>
        <w:rPr>
          <w:rFonts w:ascii="Calibri" w:eastAsia="Calibri"/>
          <w:spacing w:val="2"/>
          <w:sz w:val="24"/>
        </w:rPr>
        <w:t> </w:t>
      </w:r>
      <w:r>
        <w:rPr>
          <w:sz w:val="24"/>
        </w:rPr>
        <w:t>天后，发包人仍不纠正违约行为的，承包人可向发包人发出解除合同通知。但承包人的这一行动不免除发包人承担的违约责任，也不影响承包人根据合同约定享有的索赔权利。</w:t>
      </w:r>
    </w:p>
    <w:p>
      <w:pPr>
        <w:pStyle w:val="ListParagraph"/>
        <w:numPr>
          <w:ilvl w:val="2"/>
          <w:numId w:val="38"/>
        </w:numPr>
        <w:tabs>
          <w:tab w:pos="1369" w:val="left" w:leader="none"/>
        </w:tabs>
        <w:spacing w:line="240" w:lineRule="auto" w:before="3" w:after="0"/>
        <w:ind w:left="1368" w:right="0" w:hanging="662"/>
        <w:jc w:val="both"/>
        <w:rPr>
          <w:sz w:val="24"/>
        </w:rPr>
      </w:pPr>
      <w:r>
        <w:rPr>
          <w:sz w:val="24"/>
        </w:rPr>
        <w:t>解除合同后的付款</w:t>
      </w:r>
    </w:p>
    <w:p>
      <w:pPr>
        <w:pStyle w:val="BodyText"/>
        <w:spacing w:line="362" w:lineRule="auto" w:before="173"/>
        <w:ind w:left="226" w:right="1166" w:firstLine="480"/>
      </w:pPr>
      <w:r>
        <w:rPr/>
        <w:t>因发包人违约解除合同的，发包人应在解除合同后 </w:t>
      </w:r>
      <w:r>
        <w:rPr>
          <w:rFonts w:ascii="Calibri" w:eastAsia="Calibri"/>
        </w:rPr>
        <w:t>28 </w:t>
      </w:r>
      <w:r>
        <w:rPr/>
        <w:t>天内向承包人支付下列金额， 承包人应在此期限内及时向发包人提交要求支付下列金额的有关资料和凭证：</w:t>
      </w:r>
    </w:p>
    <w:p>
      <w:pPr>
        <w:pStyle w:val="ListParagraph"/>
        <w:numPr>
          <w:ilvl w:val="0"/>
          <w:numId w:val="64"/>
        </w:numPr>
        <w:tabs>
          <w:tab w:pos="1069" w:val="left" w:leader="none"/>
        </w:tabs>
        <w:spacing w:line="240" w:lineRule="auto" w:before="2" w:after="0"/>
        <w:ind w:left="1068" w:right="0" w:hanging="362"/>
        <w:jc w:val="left"/>
        <w:rPr>
          <w:sz w:val="24"/>
        </w:rPr>
      </w:pPr>
      <w:r>
        <w:rPr>
          <w:sz w:val="24"/>
        </w:rPr>
        <w:t>合同解除日以前所完成工作的价款； </w:t>
      </w:r>
    </w:p>
    <w:p>
      <w:pPr>
        <w:pStyle w:val="ListParagraph"/>
        <w:numPr>
          <w:ilvl w:val="0"/>
          <w:numId w:val="64"/>
        </w:numPr>
        <w:tabs>
          <w:tab w:pos="1069" w:val="left" w:leader="none"/>
        </w:tabs>
        <w:spacing w:line="362" w:lineRule="auto" w:before="158" w:after="0"/>
        <w:ind w:left="226" w:right="1349" w:firstLine="480"/>
        <w:jc w:val="left"/>
        <w:rPr>
          <w:sz w:val="24"/>
        </w:rPr>
      </w:pPr>
      <w:r>
        <w:rPr>
          <w:spacing w:val="-7"/>
          <w:sz w:val="24"/>
        </w:rPr>
        <w:t>承包人为该工程施工订购并己付款的材料、工程设备和其他物品的金额。发包人付还后，该材料、工程设备和其他物品归发包人所有；</w:t>
      </w:r>
    </w:p>
    <w:p>
      <w:pPr>
        <w:pStyle w:val="ListParagraph"/>
        <w:numPr>
          <w:ilvl w:val="0"/>
          <w:numId w:val="64"/>
        </w:numPr>
        <w:tabs>
          <w:tab w:pos="1069" w:val="left" w:leader="none"/>
        </w:tabs>
        <w:spacing w:line="362" w:lineRule="auto" w:before="18" w:after="0"/>
        <w:ind w:left="707" w:right="3754" w:firstLine="0"/>
        <w:jc w:val="left"/>
        <w:rPr>
          <w:sz w:val="24"/>
        </w:rPr>
      </w:pPr>
      <w:r>
        <w:rPr>
          <w:spacing w:val="-1"/>
          <w:sz w:val="24"/>
        </w:rPr>
        <w:t>承包人为完成工程所发生的，而发包人未支付的金额； </w:t>
      </w:r>
      <w:r>
        <w:rPr>
          <w:sz w:val="24"/>
        </w:rPr>
        <w:t>(4)</w:t>
      </w:r>
      <w:r>
        <w:rPr>
          <w:spacing w:val="-1"/>
          <w:sz w:val="24"/>
        </w:rPr>
        <w:t>承包人撤离施工场地以及遣散承包人人员的金额；</w:t>
      </w:r>
      <w:r>
        <w:rPr>
          <w:sz w:val="24"/>
        </w:rPr>
        <w:t> </w:t>
      </w:r>
    </w:p>
    <w:p>
      <w:pPr>
        <w:pStyle w:val="ListParagraph"/>
        <w:numPr>
          <w:ilvl w:val="0"/>
          <w:numId w:val="65"/>
        </w:numPr>
        <w:tabs>
          <w:tab w:pos="1069" w:val="left" w:leader="none"/>
        </w:tabs>
        <w:spacing w:line="240" w:lineRule="auto" w:before="2" w:after="0"/>
        <w:ind w:left="1068" w:right="0" w:hanging="362"/>
        <w:jc w:val="left"/>
        <w:rPr>
          <w:sz w:val="24"/>
        </w:rPr>
      </w:pPr>
      <w:r>
        <w:rPr>
          <w:spacing w:val="-1"/>
          <w:sz w:val="24"/>
        </w:rPr>
        <w:t>由于解除合同应赔偿的承包人损失；</w:t>
      </w:r>
      <w:r>
        <w:rPr>
          <w:sz w:val="24"/>
        </w:rPr>
        <w:t> </w:t>
      </w:r>
    </w:p>
    <w:p>
      <w:pPr>
        <w:pStyle w:val="ListParagraph"/>
        <w:numPr>
          <w:ilvl w:val="0"/>
          <w:numId w:val="65"/>
        </w:numPr>
        <w:tabs>
          <w:tab w:pos="1069" w:val="left" w:leader="none"/>
        </w:tabs>
        <w:spacing w:line="240" w:lineRule="auto" w:before="158" w:after="0"/>
        <w:ind w:left="1068" w:right="0" w:hanging="362"/>
        <w:jc w:val="left"/>
        <w:rPr>
          <w:sz w:val="24"/>
        </w:rPr>
      </w:pPr>
      <w:r>
        <w:rPr>
          <w:spacing w:val="-1"/>
          <w:sz w:val="24"/>
        </w:rPr>
        <w:t>按合同约定在合同解除日前应支付给承包人的其他金额。</w:t>
      </w:r>
    </w:p>
    <w:p>
      <w:pPr>
        <w:pStyle w:val="BodyText"/>
        <w:spacing w:before="158"/>
        <w:ind w:left="707"/>
      </w:pPr>
      <w:r>
        <w:rPr/>
        <w:t>发包人应按本项约定支付上述金额并退还质量保证金和履约担保，但有权要求承包</w:t>
      </w:r>
    </w:p>
    <w:p>
      <w:pPr>
        <w:spacing w:after="0"/>
        <w:sectPr>
          <w:pgSz w:w="11910" w:h="16850"/>
          <w:pgMar w:header="911" w:footer="0" w:top="1380" w:bottom="280" w:left="1200" w:right="0"/>
        </w:sectPr>
      </w:pPr>
    </w:p>
    <w:p>
      <w:pPr>
        <w:pStyle w:val="BodyText"/>
        <w:spacing w:before="135"/>
        <w:ind w:left="226"/>
      </w:pPr>
      <w:r>
        <w:rPr/>
        <w:t>人支付应偿还给发包人的各项金额。</w:t>
      </w:r>
    </w:p>
    <w:p>
      <w:pPr>
        <w:pStyle w:val="ListParagraph"/>
        <w:numPr>
          <w:ilvl w:val="2"/>
          <w:numId w:val="38"/>
        </w:numPr>
        <w:tabs>
          <w:tab w:pos="1429" w:val="left" w:leader="none"/>
        </w:tabs>
        <w:spacing w:line="240" w:lineRule="auto" w:before="158" w:after="0"/>
        <w:ind w:left="1428" w:right="0" w:hanging="662"/>
        <w:jc w:val="both"/>
        <w:rPr>
          <w:sz w:val="24"/>
        </w:rPr>
      </w:pPr>
      <w:r>
        <w:rPr>
          <w:sz w:val="24"/>
        </w:rPr>
        <w:t>解除合同后的承包人撤离</w:t>
      </w:r>
    </w:p>
    <w:p>
      <w:pPr>
        <w:pStyle w:val="BodyText"/>
        <w:spacing w:line="362" w:lineRule="auto" w:before="158"/>
        <w:ind w:left="226" w:right="1343" w:firstLine="540"/>
        <w:jc w:val="both"/>
      </w:pPr>
      <w:r>
        <w:rPr>
          <w:spacing w:val="-4"/>
        </w:rPr>
        <w:t>因发包人违约而解除合同后，承包人应妥善做好已竣工工程和己购材料、设备的保护和移交工作，按发包人要求将承包人设备和人员撤出施工场地。承包人撤出施工场地</w:t>
      </w:r>
      <w:r>
        <w:rPr>
          <w:spacing w:val="-16"/>
        </w:rPr>
        <w:t>应遵守第 </w:t>
      </w:r>
      <w:r>
        <w:rPr>
          <w:rFonts w:ascii="Calibri" w:eastAsia="Calibri"/>
        </w:rPr>
        <w:t>18.7.1 </w:t>
      </w:r>
      <w:r>
        <w:rPr/>
        <w:t>项的约定，发包人应为承包人撤出提供必要条件。</w:t>
      </w:r>
    </w:p>
    <w:p>
      <w:pPr>
        <w:pStyle w:val="ListParagraph"/>
        <w:numPr>
          <w:ilvl w:val="1"/>
          <w:numId w:val="38"/>
        </w:numPr>
        <w:tabs>
          <w:tab w:pos="1067" w:val="left" w:leader="none"/>
          <w:tab w:pos="1068" w:val="left" w:leader="none"/>
        </w:tabs>
        <w:spacing w:line="240" w:lineRule="auto" w:before="18" w:after="0"/>
        <w:ind w:left="1068" w:right="0" w:hanging="842"/>
        <w:jc w:val="left"/>
        <w:rPr>
          <w:rFonts w:ascii="黑体" w:eastAsia="黑体" w:hint="eastAsia"/>
          <w:sz w:val="24"/>
        </w:rPr>
      </w:pPr>
      <w:r>
        <w:rPr/>
        <w:drawing>
          <wp:anchor distT="0" distB="0" distL="0" distR="0" allowOverlap="1" layoutInCell="1" locked="0" behindDoc="1" simplePos="0" relativeHeight="234776576">
            <wp:simplePos x="0" y="0"/>
            <wp:positionH relativeFrom="page">
              <wp:posOffset>992771</wp:posOffset>
            </wp:positionH>
            <wp:positionV relativeFrom="paragraph">
              <wp:posOffset>164598</wp:posOffset>
            </wp:positionV>
            <wp:extent cx="5578970" cy="5494141"/>
            <wp:effectExtent l="0" t="0" r="0" b="0"/>
            <wp:wrapNone/>
            <wp:docPr id="97" name="image1.png"/>
            <wp:cNvGraphicFramePr>
              <a:graphicFrameLocks noChangeAspect="1"/>
            </wp:cNvGraphicFramePr>
            <a:graphic>
              <a:graphicData uri="http://schemas.openxmlformats.org/drawingml/2006/picture">
                <pic:pic>
                  <pic:nvPicPr>
                    <pic:cNvPr id="98"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黑体" w:eastAsia="黑体" w:hint="eastAsia"/>
          <w:sz w:val="24"/>
        </w:rPr>
        <w:t>第三人造成的违约</w:t>
      </w:r>
    </w:p>
    <w:p>
      <w:pPr>
        <w:pStyle w:val="BodyText"/>
        <w:spacing w:line="362" w:lineRule="auto" w:before="158"/>
        <w:ind w:left="226" w:right="1342" w:firstLine="480"/>
      </w:pPr>
      <w:r>
        <w:rPr/>
        <w:t>在履行合同过程中，一方当事人因第三人的原因造成违约的，应当向对方当事人承担违约责任。一方当事人和第三人之间的纠纷，依照法律规定或者按照约定解决。</w:t>
      </w:r>
    </w:p>
    <w:p>
      <w:pPr>
        <w:pStyle w:val="BodyText"/>
        <w:spacing w:before="2"/>
        <w:rPr>
          <w:sz w:val="25"/>
        </w:rPr>
      </w:pPr>
    </w:p>
    <w:p>
      <w:pPr>
        <w:pStyle w:val="Heading6"/>
        <w:numPr>
          <w:ilvl w:val="0"/>
          <w:numId w:val="38"/>
        </w:numPr>
        <w:tabs>
          <w:tab w:pos="618" w:val="left" w:leader="none"/>
        </w:tabs>
        <w:spacing w:line="240" w:lineRule="auto" w:before="0" w:after="0"/>
        <w:ind w:left="617" w:right="0" w:hanging="392"/>
        <w:jc w:val="left"/>
      </w:pPr>
      <w:bookmarkStart w:name="23索赔" w:id="110"/>
      <w:bookmarkEnd w:id="110"/>
      <w:r>
        <w:rPr>
          <w:b w:val="0"/>
        </w:rPr>
      </w:r>
      <w:bookmarkStart w:name="23索赔" w:id="111"/>
      <w:bookmarkEnd w:id="111"/>
      <w:r>
        <w:rPr/>
        <w:t>索赔</w:t>
      </w:r>
    </w:p>
    <w:p>
      <w:pPr>
        <w:pStyle w:val="BodyText"/>
        <w:spacing w:before="10"/>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承包人索赔的提出</w:t>
      </w:r>
    </w:p>
    <w:p>
      <w:pPr>
        <w:pStyle w:val="BodyText"/>
        <w:spacing w:line="362" w:lineRule="auto" w:before="158"/>
        <w:ind w:left="226" w:right="1347" w:firstLine="480"/>
      </w:pPr>
      <w:r>
        <w:rPr/>
        <w:t>根据合同约定，承包人认为有权得到追加付款和(或)延长工期的，应按以下程序向发包人提出索赔：</w:t>
      </w:r>
    </w:p>
    <w:p>
      <w:pPr>
        <w:pStyle w:val="ListParagraph"/>
        <w:numPr>
          <w:ilvl w:val="0"/>
          <w:numId w:val="66"/>
        </w:numPr>
        <w:tabs>
          <w:tab w:pos="1069" w:val="left" w:leader="none"/>
        </w:tabs>
        <w:spacing w:line="240" w:lineRule="auto" w:before="2" w:after="0"/>
        <w:ind w:left="1068" w:right="0" w:hanging="362"/>
        <w:jc w:val="left"/>
        <w:rPr>
          <w:sz w:val="24"/>
        </w:rPr>
      </w:pPr>
      <w:r>
        <w:rPr>
          <w:spacing w:val="-4"/>
          <w:sz w:val="24"/>
        </w:rPr>
        <w:t>承包人应在知道或应当知道索赔事件发生后 </w:t>
      </w:r>
      <w:r>
        <w:rPr>
          <w:rFonts w:ascii="Calibri" w:eastAsia="Calibri"/>
          <w:sz w:val="24"/>
        </w:rPr>
        <w:t>28</w:t>
      </w:r>
      <w:r>
        <w:rPr>
          <w:rFonts w:ascii="Calibri" w:eastAsia="Calibri"/>
          <w:spacing w:val="4"/>
          <w:sz w:val="24"/>
        </w:rPr>
        <w:t> </w:t>
      </w:r>
      <w:r>
        <w:rPr>
          <w:sz w:val="24"/>
        </w:rPr>
        <w:t>天内，向监理人递交索赔意向通</w:t>
      </w:r>
    </w:p>
    <w:p>
      <w:pPr>
        <w:pStyle w:val="BodyText"/>
        <w:spacing w:line="362" w:lineRule="auto" w:before="173"/>
        <w:ind w:left="226" w:right="1348"/>
      </w:pPr>
      <w:r>
        <w:rPr>
          <w:spacing w:val="-13"/>
        </w:rPr>
        <w:t>知书，并说明发生索赔事件的事由。承包人未在前述 </w:t>
      </w:r>
      <w:r>
        <w:rPr>
          <w:rFonts w:ascii="Calibri" w:eastAsia="Calibri"/>
        </w:rPr>
        <w:t>28 </w:t>
      </w:r>
      <w:r>
        <w:rPr>
          <w:spacing w:val="-3"/>
        </w:rPr>
        <w:t>天内发出索赔意向通知书的，丧失要求追加付款和(或)延长工期的权利：</w:t>
      </w:r>
    </w:p>
    <w:p>
      <w:pPr>
        <w:pStyle w:val="ListParagraph"/>
        <w:numPr>
          <w:ilvl w:val="0"/>
          <w:numId w:val="66"/>
        </w:numPr>
        <w:tabs>
          <w:tab w:pos="1069" w:val="left" w:leader="none"/>
        </w:tabs>
        <w:spacing w:line="362" w:lineRule="auto" w:before="2" w:after="0"/>
        <w:ind w:left="226" w:right="1347" w:firstLine="480"/>
        <w:jc w:val="both"/>
        <w:rPr>
          <w:sz w:val="24"/>
        </w:rPr>
      </w:pPr>
      <w:r>
        <w:rPr>
          <w:spacing w:val="-4"/>
          <w:sz w:val="24"/>
        </w:rPr>
        <w:t>承包人应在发出索赔意向通知书后 </w:t>
      </w:r>
      <w:r>
        <w:rPr>
          <w:rFonts w:ascii="Calibri" w:eastAsia="Calibri"/>
          <w:sz w:val="24"/>
        </w:rPr>
        <w:t>28</w:t>
      </w:r>
      <w:r>
        <w:rPr>
          <w:rFonts w:ascii="Calibri" w:eastAsia="Calibri"/>
          <w:spacing w:val="3"/>
          <w:sz w:val="24"/>
        </w:rPr>
        <w:t> </w:t>
      </w:r>
      <w:r>
        <w:rPr>
          <w:sz w:val="24"/>
        </w:rPr>
        <w:t>天内，向监理人正式递交索赔通知书。索</w:t>
      </w:r>
      <w:r>
        <w:rPr>
          <w:spacing w:val="-1"/>
          <w:sz w:val="24"/>
        </w:rPr>
        <w:t>赔通知书应详细说明索赔理由以及要求追加的付款金额和(或)延长的工期，并附必要的记录和证明材料；</w:t>
      </w:r>
    </w:p>
    <w:p>
      <w:pPr>
        <w:pStyle w:val="ListParagraph"/>
        <w:numPr>
          <w:ilvl w:val="0"/>
          <w:numId w:val="66"/>
        </w:numPr>
        <w:tabs>
          <w:tab w:pos="1069" w:val="left" w:leader="none"/>
        </w:tabs>
        <w:spacing w:line="362" w:lineRule="auto" w:before="18" w:after="0"/>
        <w:ind w:left="226" w:right="1349" w:firstLine="480"/>
        <w:jc w:val="left"/>
        <w:rPr>
          <w:sz w:val="24"/>
        </w:rPr>
      </w:pPr>
      <w:r>
        <w:rPr>
          <w:spacing w:val="-7"/>
          <w:sz w:val="24"/>
        </w:rPr>
        <w:t>索赔事件具有连续影响的，承包人应按合理时间间隔继续递交延续索赔通知，说明连续影响的实际情况和记录，列出累计的追加付款金额和(或)工期延长天数；</w:t>
      </w:r>
    </w:p>
    <w:p>
      <w:pPr>
        <w:pStyle w:val="ListParagraph"/>
        <w:numPr>
          <w:ilvl w:val="0"/>
          <w:numId w:val="66"/>
        </w:numPr>
        <w:tabs>
          <w:tab w:pos="1069" w:val="left" w:leader="none"/>
        </w:tabs>
        <w:spacing w:line="362" w:lineRule="auto" w:before="3" w:after="0"/>
        <w:ind w:left="226" w:right="1345" w:firstLine="480"/>
        <w:jc w:val="left"/>
        <w:rPr>
          <w:sz w:val="24"/>
        </w:rPr>
      </w:pPr>
      <w:r>
        <w:rPr>
          <w:spacing w:val="-6"/>
          <w:sz w:val="24"/>
        </w:rPr>
        <w:t>在索赔事件影响结束后的 </w:t>
      </w:r>
      <w:r>
        <w:rPr>
          <w:rFonts w:ascii="Calibri" w:eastAsia="Calibri"/>
          <w:sz w:val="24"/>
        </w:rPr>
        <w:t>28</w:t>
      </w:r>
      <w:r>
        <w:rPr>
          <w:rFonts w:ascii="Calibri" w:eastAsia="Calibri"/>
          <w:spacing w:val="3"/>
          <w:sz w:val="24"/>
        </w:rPr>
        <w:t> </w:t>
      </w:r>
      <w:r>
        <w:rPr>
          <w:sz w:val="24"/>
        </w:rPr>
        <w:t>天内，承包人应向监理人递交最终索赔通知书，说明最终要求索赔的追加付款金额和延长的工期，并附必要的记录和证明材料。</w:t>
      </w:r>
    </w:p>
    <w:p>
      <w:pPr>
        <w:pStyle w:val="ListParagraph"/>
        <w:numPr>
          <w:ilvl w:val="1"/>
          <w:numId w:val="38"/>
        </w:numPr>
        <w:tabs>
          <w:tab w:pos="1067" w:val="left" w:leader="none"/>
          <w:tab w:pos="1068" w:val="left" w:leader="none"/>
        </w:tabs>
        <w:spacing w:line="240" w:lineRule="auto" w:before="1" w:after="0"/>
        <w:ind w:left="1068" w:right="0" w:hanging="842"/>
        <w:jc w:val="left"/>
        <w:rPr>
          <w:rFonts w:ascii="黑体" w:eastAsia="黑体" w:hint="eastAsia"/>
          <w:sz w:val="24"/>
        </w:rPr>
      </w:pPr>
      <w:r>
        <w:rPr>
          <w:rFonts w:ascii="黑体" w:eastAsia="黑体" w:hint="eastAsia"/>
          <w:sz w:val="24"/>
        </w:rPr>
        <w:t>承包人索赔处理程序</w:t>
      </w:r>
    </w:p>
    <w:p>
      <w:pPr>
        <w:pStyle w:val="ListParagraph"/>
        <w:numPr>
          <w:ilvl w:val="0"/>
          <w:numId w:val="67"/>
        </w:numPr>
        <w:tabs>
          <w:tab w:pos="1069" w:val="left" w:leader="none"/>
        </w:tabs>
        <w:spacing w:line="362" w:lineRule="auto" w:before="173" w:after="0"/>
        <w:ind w:left="226" w:right="1343" w:firstLine="480"/>
        <w:jc w:val="left"/>
        <w:rPr>
          <w:sz w:val="24"/>
        </w:rPr>
      </w:pPr>
      <w:r>
        <w:rPr>
          <w:spacing w:val="-6"/>
          <w:sz w:val="24"/>
        </w:rPr>
        <w:t>监理人收到承包人提交的索赔通知书后，应及时审查索赔通知书的内容、杳验承</w:t>
      </w:r>
      <w:r>
        <w:rPr>
          <w:spacing w:val="-7"/>
          <w:sz w:val="24"/>
        </w:rPr>
        <w:t>包人的记录和证明材料，必要时监理人可要求承包人提交全部原始记录副本。</w:t>
      </w:r>
      <w:r>
        <w:rPr>
          <w:sz w:val="24"/>
        </w:rPr>
        <w:t> </w:t>
      </w:r>
    </w:p>
    <w:p>
      <w:pPr>
        <w:pStyle w:val="ListParagraph"/>
        <w:numPr>
          <w:ilvl w:val="0"/>
          <w:numId w:val="67"/>
        </w:numPr>
        <w:tabs>
          <w:tab w:pos="1069" w:val="left" w:leader="none"/>
        </w:tabs>
        <w:spacing w:line="240" w:lineRule="auto" w:before="3" w:after="0"/>
        <w:ind w:left="1068" w:right="0" w:hanging="362"/>
        <w:jc w:val="left"/>
        <w:rPr>
          <w:sz w:val="24"/>
        </w:rPr>
      </w:pPr>
      <w:r>
        <w:rPr>
          <w:spacing w:val="-9"/>
          <w:sz w:val="24"/>
        </w:rPr>
        <w:t>监理人应按第 </w:t>
      </w:r>
      <w:r>
        <w:rPr>
          <w:rFonts w:ascii="Calibri" w:eastAsia="Calibri"/>
          <w:sz w:val="24"/>
        </w:rPr>
        <w:t>3.5</w:t>
      </w:r>
      <w:r>
        <w:rPr>
          <w:rFonts w:ascii="Calibri" w:eastAsia="Calibri"/>
          <w:spacing w:val="3"/>
          <w:sz w:val="24"/>
        </w:rPr>
        <w:t> </w:t>
      </w:r>
      <w:r>
        <w:rPr>
          <w:spacing w:val="-3"/>
          <w:sz w:val="24"/>
        </w:rPr>
        <w:t>款商定或确定追加的付款和(或)延长的工期，并在收到上述索</w:t>
      </w:r>
    </w:p>
    <w:p>
      <w:pPr>
        <w:pStyle w:val="BodyText"/>
        <w:spacing w:before="158"/>
        <w:ind w:left="226"/>
      </w:pPr>
      <w:r>
        <w:rPr/>
        <w:t>赔通知书或有关索赔的进一步证明材料后的 </w:t>
      </w:r>
      <w:r>
        <w:rPr>
          <w:rFonts w:ascii="Calibri" w:eastAsia="Calibri"/>
        </w:rPr>
        <w:t>42 </w:t>
      </w:r>
      <w:r>
        <w:rPr/>
        <w:t>天内，将索赔处理结果答复承包人。</w:t>
      </w:r>
    </w:p>
    <w:p>
      <w:pPr>
        <w:pStyle w:val="ListParagraph"/>
        <w:numPr>
          <w:ilvl w:val="0"/>
          <w:numId w:val="67"/>
        </w:numPr>
        <w:tabs>
          <w:tab w:pos="1069" w:val="left" w:leader="none"/>
        </w:tabs>
        <w:spacing w:line="240" w:lineRule="auto" w:before="157" w:after="0"/>
        <w:ind w:left="1068" w:right="0" w:hanging="362"/>
        <w:jc w:val="left"/>
        <w:rPr>
          <w:sz w:val="24"/>
        </w:rPr>
      </w:pPr>
      <w:r>
        <w:rPr>
          <w:spacing w:val="-3"/>
          <w:sz w:val="24"/>
        </w:rPr>
        <w:t>承包人接受索赔处理结果的，发包人应在作出索赔处理结果答复后 </w:t>
      </w:r>
      <w:r>
        <w:rPr>
          <w:rFonts w:ascii="Calibri" w:eastAsia="Calibri"/>
          <w:sz w:val="24"/>
        </w:rPr>
        <w:t>28</w:t>
      </w:r>
      <w:r>
        <w:rPr>
          <w:rFonts w:ascii="Calibri" w:eastAsia="Calibri"/>
          <w:spacing w:val="4"/>
          <w:sz w:val="24"/>
        </w:rPr>
        <w:t> </w:t>
      </w:r>
      <w:r>
        <w:rPr>
          <w:sz w:val="24"/>
        </w:rPr>
        <w:t>天内完成</w:t>
      </w:r>
    </w:p>
    <w:p>
      <w:pPr>
        <w:spacing w:after="0" w:line="240" w:lineRule="auto"/>
        <w:jc w:val="left"/>
        <w:rPr>
          <w:sz w:val="24"/>
        </w:rPr>
        <w:sectPr>
          <w:pgSz w:w="11910" w:h="16850"/>
          <w:pgMar w:header="911" w:footer="0" w:top="1380" w:bottom="280" w:left="1200" w:right="0"/>
        </w:sectPr>
      </w:pPr>
    </w:p>
    <w:p>
      <w:pPr>
        <w:pStyle w:val="BodyText"/>
        <w:spacing w:before="135"/>
        <w:ind w:left="226"/>
      </w:pPr>
      <w:r>
        <w:rPr/>
        <w:t>赔付。承包人不接受索赔处理结果的，按第 </w:t>
      </w:r>
      <w:r>
        <w:rPr>
          <w:rFonts w:ascii="Calibri" w:eastAsia="Calibri"/>
        </w:rPr>
        <w:t>22 </w:t>
      </w:r>
      <w:r>
        <w:rPr/>
        <w:t>条的约定办理。</w:t>
      </w:r>
    </w:p>
    <w:p>
      <w:pPr>
        <w:pStyle w:val="ListParagraph"/>
        <w:numPr>
          <w:ilvl w:val="1"/>
          <w:numId w:val="38"/>
        </w:numPr>
        <w:tabs>
          <w:tab w:pos="1067" w:val="left" w:leader="none"/>
          <w:tab w:pos="1068" w:val="left" w:leader="none"/>
        </w:tabs>
        <w:spacing w:line="240" w:lineRule="auto" w:before="158" w:after="0"/>
        <w:ind w:left="1068" w:right="0" w:hanging="842"/>
        <w:jc w:val="left"/>
        <w:rPr>
          <w:rFonts w:ascii="黑体" w:eastAsia="黑体" w:hint="eastAsia"/>
          <w:sz w:val="24"/>
        </w:rPr>
      </w:pPr>
      <w:r>
        <w:rPr>
          <w:rFonts w:ascii="黑体" w:eastAsia="黑体" w:hint="eastAsia"/>
          <w:sz w:val="24"/>
        </w:rPr>
        <w:t>承包人提出索赔的期限</w:t>
      </w:r>
    </w:p>
    <w:p>
      <w:pPr>
        <w:pStyle w:val="ListParagraph"/>
        <w:numPr>
          <w:ilvl w:val="2"/>
          <w:numId w:val="68"/>
        </w:numPr>
        <w:tabs>
          <w:tab w:pos="1369" w:val="left" w:leader="none"/>
        </w:tabs>
        <w:spacing w:line="362" w:lineRule="auto" w:before="158" w:after="0"/>
        <w:ind w:left="226" w:right="1344" w:firstLine="480"/>
        <w:jc w:val="both"/>
        <w:rPr>
          <w:sz w:val="24"/>
        </w:rPr>
      </w:pPr>
      <w:r>
        <w:rPr>
          <w:spacing w:val="-11"/>
          <w:sz w:val="24"/>
        </w:rPr>
        <w:t>承包人按第 </w:t>
      </w:r>
      <w:r>
        <w:rPr>
          <w:rFonts w:ascii="Calibri" w:eastAsia="Calibri"/>
          <w:sz w:val="24"/>
        </w:rPr>
        <w:t>16.5</w:t>
      </w:r>
      <w:r>
        <w:rPr>
          <w:rFonts w:ascii="Calibri" w:eastAsia="Calibri"/>
          <w:spacing w:val="2"/>
          <w:sz w:val="24"/>
        </w:rPr>
        <w:t> </w:t>
      </w:r>
      <w:r>
        <w:rPr>
          <w:sz w:val="24"/>
        </w:rPr>
        <w:t>款的约定接受了完工付款证书后，应被认为已无权再提出在合同工程完工证书颁发前所发生的任何索赔。</w:t>
      </w:r>
    </w:p>
    <w:p>
      <w:pPr>
        <w:pStyle w:val="ListParagraph"/>
        <w:numPr>
          <w:ilvl w:val="2"/>
          <w:numId w:val="68"/>
        </w:numPr>
        <w:tabs>
          <w:tab w:pos="1369" w:val="left" w:leader="none"/>
        </w:tabs>
        <w:spacing w:line="374" w:lineRule="auto" w:before="2" w:after="0"/>
        <w:ind w:left="226" w:right="1344" w:firstLine="480"/>
        <w:jc w:val="both"/>
        <w:rPr>
          <w:sz w:val="24"/>
        </w:rPr>
      </w:pPr>
      <w:r>
        <w:rPr/>
        <w:drawing>
          <wp:anchor distT="0" distB="0" distL="0" distR="0" allowOverlap="1" layoutInCell="1" locked="0" behindDoc="1" simplePos="0" relativeHeight="234777600">
            <wp:simplePos x="0" y="0"/>
            <wp:positionH relativeFrom="page">
              <wp:posOffset>992771</wp:posOffset>
            </wp:positionH>
            <wp:positionV relativeFrom="paragraph">
              <wp:posOffset>459491</wp:posOffset>
            </wp:positionV>
            <wp:extent cx="5578970" cy="5494141"/>
            <wp:effectExtent l="0" t="0" r="0" b="0"/>
            <wp:wrapNone/>
            <wp:docPr id="99" name="image1.png"/>
            <wp:cNvGraphicFramePr>
              <a:graphicFrameLocks noChangeAspect="1"/>
            </wp:cNvGraphicFramePr>
            <a:graphic>
              <a:graphicData uri="http://schemas.openxmlformats.org/drawingml/2006/picture">
                <pic:pic>
                  <pic:nvPicPr>
                    <pic:cNvPr id="10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11"/>
          <w:sz w:val="24"/>
        </w:rPr>
        <w:t>承包人按第 </w:t>
      </w:r>
      <w:r>
        <w:rPr>
          <w:rFonts w:ascii="Calibri" w:eastAsia="Calibri"/>
          <w:sz w:val="24"/>
        </w:rPr>
        <w:t>16.6</w:t>
      </w:r>
      <w:r>
        <w:rPr>
          <w:rFonts w:ascii="Calibri" w:eastAsia="Calibri"/>
          <w:spacing w:val="2"/>
          <w:sz w:val="24"/>
        </w:rPr>
        <w:t> </w:t>
      </w:r>
      <w:r>
        <w:rPr>
          <w:sz w:val="24"/>
        </w:rPr>
        <w:t>款的约定提交的最终结清申请单中，只限于提出合同工程完工证书颁发后发生的索赔。提出索赔的期限自接受最终结清证书时终止。</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发包人的索赔</w:t>
      </w:r>
    </w:p>
    <w:p>
      <w:pPr>
        <w:pStyle w:val="ListParagraph"/>
        <w:numPr>
          <w:ilvl w:val="2"/>
          <w:numId w:val="38"/>
        </w:numPr>
        <w:tabs>
          <w:tab w:pos="1429" w:val="left" w:leader="none"/>
        </w:tabs>
        <w:spacing w:line="362" w:lineRule="auto" w:before="158" w:after="0"/>
        <w:ind w:left="226" w:right="1342" w:firstLine="480"/>
        <w:jc w:val="both"/>
        <w:rPr>
          <w:sz w:val="24"/>
        </w:rPr>
      </w:pPr>
      <w:r>
        <w:rPr>
          <w:sz w:val="24"/>
        </w:rPr>
        <w:t>发生索赔事件后，监理人应及时书面通知承包人，详细说明发包人有权得到的索赔金额和(或)延长缺陷责任期的细节和依据。发包人提出索赔的期限和要求与第</w:t>
      </w:r>
    </w:p>
    <w:p>
      <w:pPr>
        <w:pStyle w:val="BodyText"/>
        <w:spacing w:before="2"/>
        <w:ind w:left="226"/>
        <w:jc w:val="both"/>
      </w:pPr>
      <w:r>
        <w:rPr>
          <w:rFonts w:ascii="Calibri" w:eastAsia="Calibri"/>
        </w:rPr>
        <w:t>23.3 </w:t>
      </w:r>
      <w:r>
        <w:rPr/>
        <w:t>款的约定相同，延长缺陷责任期的通知应在缺陷责任期届满前发出。</w:t>
      </w:r>
    </w:p>
    <w:p>
      <w:pPr>
        <w:pStyle w:val="ListParagraph"/>
        <w:numPr>
          <w:ilvl w:val="2"/>
          <w:numId w:val="38"/>
        </w:numPr>
        <w:tabs>
          <w:tab w:pos="1414" w:val="left" w:leader="none"/>
        </w:tabs>
        <w:spacing w:line="362" w:lineRule="auto" w:before="173" w:after="0"/>
        <w:ind w:left="226" w:right="1335" w:firstLine="480"/>
        <w:jc w:val="both"/>
        <w:rPr>
          <w:sz w:val="24"/>
        </w:rPr>
      </w:pPr>
      <w:r>
        <w:rPr>
          <w:spacing w:val="-4"/>
          <w:sz w:val="24"/>
        </w:rPr>
        <w:t>监理人按第 </w:t>
      </w:r>
      <w:r>
        <w:rPr>
          <w:rFonts w:ascii="Calibri" w:eastAsia="Calibri"/>
          <w:sz w:val="24"/>
        </w:rPr>
        <w:t>3.5</w:t>
      </w:r>
      <w:r>
        <w:rPr>
          <w:rFonts w:ascii="Calibri" w:eastAsia="Calibri"/>
          <w:spacing w:val="47"/>
          <w:sz w:val="24"/>
        </w:rPr>
        <w:t> </w:t>
      </w:r>
      <w:r>
        <w:rPr>
          <w:spacing w:val="-1"/>
          <w:sz w:val="24"/>
        </w:rPr>
        <w:t>款商定或确定发包人从承包人处得到赔付的金额和(或)缺陷责任期的延长期。承包人应付给发包人的金额可从拟支付给承包人的合同价款中扣除， 或由承包人以其他方式支付给发包人。</w:t>
      </w:r>
    </w:p>
    <w:p>
      <w:pPr>
        <w:pStyle w:val="ListParagraph"/>
        <w:numPr>
          <w:ilvl w:val="2"/>
          <w:numId w:val="38"/>
        </w:numPr>
        <w:tabs>
          <w:tab w:pos="1384" w:val="left" w:leader="none"/>
        </w:tabs>
        <w:spacing w:line="367" w:lineRule="auto" w:before="3" w:after="0"/>
        <w:ind w:left="226" w:right="1227" w:firstLine="480"/>
        <w:jc w:val="both"/>
        <w:rPr>
          <w:sz w:val="24"/>
        </w:rPr>
      </w:pPr>
      <w:r>
        <w:rPr>
          <w:spacing w:val="-5"/>
          <w:sz w:val="24"/>
        </w:rPr>
        <w:t>承包人对监理人按第 </w:t>
      </w:r>
      <w:r>
        <w:rPr>
          <w:rFonts w:ascii="Calibri" w:eastAsia="Calibri"/>
          <w:sz w:val="24"/>
        </w:rPr>
        <w:t>21.4.1</w:t>
      </w:r>
      <w:r>
        <w:rPr>
          <w:rFonts w:ascii="Calibri" w:eastAsia="Calibri"/>
          <w:spacing w:val="22"/>
          <w:sz w:val="24"/>
        </w:rPr>
        <w:t> </w:t>
      </w:r>
      <w:r>
        <w:rPr>
          <w:sz w:val="24"/>
        </w:rPr>
        <w:t>项发出的索赔书面通知内容持异议时，应在收到</w:t>
      </w:r>
      <w:r>
        <w:rPr>
          <w:spacing w:val="-9"/>
          <w:sz w:val="24"/>
        </w:rPr>
        <w:t>书面通知后的 </w:t>
      </w:r>
      <w:r>
        <w:rPr>
          <w:rFonts w:ascii="Calibri" w:eastAsia="Calibri"/>
          <w:sz w:val="24"/>
        </w:rPr>
        <w:t>14</w:t>
      </w:r>
      <w:r>
        <w:rPr>
          <w:rFonts w:ascii="Calibri" w:eastAsia="Calibri"/>
          <w:spacing w:val="4"/>
          <w:sz w:val="24"/>
        </w:rPr>
        <w:t> </w:t>
      </w:r>
      <w:r>
        <w:rPr>
          <w:spacing w:val="-11"/>
          <w:sz w:val="24"/>
        </w:rPr>
        <w:t>天内，将持有异议的书面报告及其证明材料提交监理人。监理人应在收</w:t>
      </w:r>
      <w:r>
        <w:rPr>
          <w:spacing w:val="-14"/>
          <w:sz w:val="24"/>
        </w:rPr>
        <w:t>到承包人书面报告后的 </w:t>
      </w:r>
      <w:r>
        <w:rPr>
          <w:rFonts w:ascii="Calibri" w:eastAsia="Calibri"/>
          <w:sz w:val="24"/>
        </w:rPr>
        <w:t>14</w:t>
      </w:r>
      <w:r>
        <w:rPr>
          <w:rFonts w:ascii="Calibri" w:eastAsia="Calibri"/>
          <w:spacing w:val="32"/>
          <w:sz w:val="24"/>
        </w:rPr>
        <w:t> </w:t>
      </w:r>
      <w:r>
        <w:rPr>
          <w:spacing w:val="-2"/>
          <w:sz w:val="24"/>
        </w:rPr>
        <w:t>天内，将异议的处理意见通知承包人，并按第 </w:t>
      </w:r>
      <w:r>
        <w:rPr>
          <w:rFonts w:ascii="Calibri" w:eastAsia="Calibri"/>
          <w:sz w:val="24"/>
        </w:rPr>
        <w:t>21.4.2</w:t>
      </w:r>
      <w:r>
        <w:rPr>
          <w:rFonts w:ascii="Calibri" w:eastAsia="Calibri"/>
          <w:spacing w:val="32"/>
          <w:sz w:val="24"/>
        </w:rPr>
        <w:t> </w:t>
      </w:r>
      <w:r>
        <w:rPr>
          <w:sz w:val="24"/>
        </w:rPr>
        <w:t>项的约</w:t>
      </w:r>
      <w:r>
        <w:rPr>
          <w:spacing w:val="-3"/>
          <w:sz w:val="24"/>
        </w:rPr>
        <w:t>定执行赔付。若承包人不接受监理人的索赔处理意见，可按本合同第 </w:t>
      </w:r>
      <w:r>
        <w:rPr>
          <w:rFonts w:ascii="Calibri" w:eastAsia="Calibri"/>
          <w:sz w:val="24"/>
        </w:rPr>
        <w:t>22</w:t>
      </w:r>
      <w:r>
        <w:rPr>
          <w:rFonts w:ascii="Calibri" w:eastAsia="Calibri"/>
          <w:spacing w:val="3"/>
          <w:sz w:val="24"/>
        </w:rPr>
        <w:t> </w:t>
      </w:r>
      <w:r>
        <w:rPr>
          <w:sz w:val="24"/>
        </w:rPr>
        <w:t>条的规定办理。</w:t>
      </w:r>
    </w:p>
    <w:p>
      <w:pPr>
        <w:pStyle w:val="BodyText"/>
        <w:spacing w:before="8"/>
      </w:pPr>
    </w:p>
    <w:p>
      <w:pPr>
        <w:pStyle w:val="Heading6"/>
        <w:numPr>
          <w:ilvl w:val="0"/>
          <w:numId w:val="38"/>
        </w:numPr>
        <w:tabs>
          <w:tab w:pos="618" w:val="left" w:leader="none"/>
        </w:tabs>
        <w:spacing w:line="240" w:lineRule="auto" w:before="0" w:after="0"/>
        <w:ind w:left="617" w:right="0" w:hanging="392"/>
        <w:jc w:val="left"/>
      </w:pPr>
      <w:bookmarkStart w:name="24争议的解决" w:id="112"/>
      <w:bookmarkEnd w:id="112"/>
      <w:r>
        <w:rPr>
          <w:b w:val="0"/>
        </w:rPr>
      </w:r>
      <w:bookmarkStart w:name="24争议的解决" w:id="113"/>
      <w:bookmarkEnd w:id="113"/>
      <w:r>
        <w:rPr/>
        <w:t>争议的解决</w:t>
      </w:r>
    </w:p>
    <w:p>
      <w:pPr>
        <w:pStyle w:val="BodyText"/>
        <w:spacing w:before="9"/>
        <w:rPr>
          <w:rFonts w:ascii="黑体"/>
          <w:b/>
          <w:sz w:val="40"/>
        </w:rPr>
      </w:pP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争议的解决方式</w:t>
      </w:r>
    </w:p>
    <w:p>
      <w:pPr>
        <w:pStyle w:val="BodyText"/>
        <w:spacing w:line="362" w:lineRule="auto" w:before="158"/>
        <w:ind w:left="226" w:right="1228" w:firstLine="480"/>
      </w:pPr>
      <w:r>
        <w:rPr/>
        <w:t>发包人和承包人在履行合同中发生争议的，可以友好协商解决或者提请争议评审组</w:t>
      </w:r>
      <w:r>
        <w:rPr>
          <w:spacing w:val="-12"/>
        </w:rPr>
        <w:t>评审。合同当事人友好协商解决不成、不愿提请争议评审或者不接受争议评审组意见的， 可在专用合同条款中约定下列一种方式解决。</w:t>
      </w:r>
    </w:p>
    <w:p>
      <w:pPr>
        <w:pStyle w:val="BodyText"/>
        <w:spacing w:line="374" w:lineRule="auto" w:before="3"/>
        <w:ind w:left="707" w:right="6037"/>
      </w:pPr>
      <w:r>
        <w:rPr/>
        <w:t>(1)向约定的仲裁委员会申请仲裁； (2)向有管辖权的人民法院提起诉讼。</w:t>
      </w:r>
    </w:p>
    <w:p>
      <w:pPr>
        <w:pStyle w:val="ListParagraph"/>
        <w:numPr>
          <w:ilvl w:val="1"/>
          <w:numId w:val="38"/>
        </w:numPr>
        <w:tabs>
          <w:tab w:pos="1067" w:val="left" w:leader="none"/>
          <w:tab w:pos="1068" w:val="left" w:leader="none"/>
        </w:tabs>
        <w:spacing w:line="294" w:lineRule="exact" w:before="0" w:after="0"/>
        <w:ind w:left="1068" w:right="0" w:hanging="842"/>
        <w:jc w:val="left"/>
        <w:rPr>
          <w:rFonts w:ascii="黑体" w:eastAsia="黑体" w:hint="eastAsia"/>
          <w:sz w:val="24"/>
        </w:rPr>
      </w:pPr>
      <w:r>
        <w:rPr>
          <w:rFonts w:ascii="黑体" w:eastAsia="黑体" w:hint="eastAsia"/>
          <w:sz w:val="24"/>
        </w:rPr>
        <w:t>友好解决</w:t>
      </w:r>
    </w:p>
    <w:p>
      <w:pPr>
        <w:pStyle w:val="BodyText"/>
        <w:spacing w:line="362" w:lineRule="auto" w:before="158"/>
        <w:ind w:left="226" w:right="1342" w:firstLine="480"/>
      </w:pPr>
      <w:r>
        <w:rPr/>
        <w:t>在提请争议评审、仲裁或者诉讼前，以及在争议评审、仲裁或诉讼过程中，发包人和承包人均可共同努力友好协商解决争议。</w:t>
      </w:r>
    </w:p>
    <w:p>
      <w:pPr>
        <w:pStyle w:val="ListParagraph"/>
        <w:numPr>
          <w:ilvl w:val="1"/>
          <w:numId w:val="38"/>
        </w:numPr>
        <w:tabs>
          <w:tab w:pos="1067" w:val="left" w:leader="none"/>
          <w:tab w:pos="1068" w:val="left" w:leader="none"/>
        </w:tabs>
        <w:spacing w:line="240" w:lineRule="auto" w:before="2" w:after="0"/>
        <w:ind w:left="1068" w:right="0" w:hanging="842"/>
        <w:jc w:val="left"/>
        <w:rPr>
          <w:rFonts w:ascii="黑体" w:eastAsia="黑体" w:hint="eastAsia"/>
          <w:sz w:val="24"/>
        </w:rPr>
      </w:pPr>
      <w:r>
        <w:rPr>
          <w:rFonts w:ascii="黑体" w:eastAsia="黑体" w:hint="eastAsia"/>
          <w:sz w:val="24"/>
        </w:rPr>
        <w:t>争议评审</w:t>
      </w:r>
    </w:p>
    <w:p>
      <w:pPr>
        <w:spacing w:after="0" w:line="240" w:lineRule="auto"/>
        <w:jc w:val="left"/>
        <w:rPr>
          <w:rFonts w:ascii="黑体" w:eastAsia="黑体" w:hint="eastAsia"/>
          <w:sz w:val="24"/>
        </w:rPr>
        <w:sectPr>
          <w:pgSz w:w="11910" w:h="16850"/>
          <w:pgMar w:header="911" w:footer="0" w:top="1380" w:bottom="280" w:left="1200" w:right="0"/>
        </w:sectPr>
      </w:pPr>
    </w:p>
    <w:p>
      <w:pPr>
        <w:pStyle w:val="ListParagraph"/>
        <w:numPr>
          <w:ilvl w:val="2"/>
          <w:numId w:val="38"/>
        </w:numPr>
        <w:tabs>
          <w:tab w:pos="1429" w:val="left" w:leader="none"/>
        </w:tabs>
        <w:spacing w:line="362" w:lineRule="auto" w:before="135" w:after="0"/>
        <w:ind w:left="226" w:right="1227" w:firstLine="480"/>
        <w:jc w:val="both"/>
        <w:rPr>
          <w:sz w:val="24"/>
        </w:rPr>
      </w:pPr>
      <w:r>
        <w:rPr>
          <w:spacing w:val="-3"/>
          <w:sz w:val="24"/>
        </w:rPr>
        <w:t>采用争议评审的，发包人和承包人应在开工日后的 </w:t>
      </w:r>
      <w:r>
        <w:rPr>
          <w:rFonts w:ascii="Calibri" w:eastAsia="Calibri"/>
          <w:sz w:val="24"/>
        </w:rPr>
        <w:t>28</w:t>
      </w:r>
      <w:r>
        <w:rPr>
          <w:rFonts w:ascii="Calibri" w:eastAsia="Calibri"/>
          <w:spacing w:val="3"/>
          <w:sz w:val="24"/>
        </w:rPr>
        <w:t> </w:t>
      </w:r>
      <w:r>
        <w:rPr>
          <w:sz w:val="24"/>
        </w:rPr>
        <w:t>天内或在争议发生后， 协商成立争议评审组。争议评审组由有合同管理和工程实践经验的专家组成。</w:t>
      </w:r>
    </w:p>
    <w:p>
      <w:pPr>
        <w:pStyle w:val="ListParagraph"/>
        <w:numPr>
          <w:ilvl w:val="2"/>
          <w:numId w:val="38"/>
        </w:numPr>
        <w:tabs>
          <w:tab w:pos="1429" w:val="left" w:leader="none"/>
        </w:tabs>
        <w:spacing w:line="362" w:lineRule="auto" w:before="2" w:after="0"/>
        <w:ind w:left="226" w:right="1343" w:firstLine="480"/>
        <w:jc w:val="both"/>
        <w:rPr>
          <w:sz w:val="24"/>
        </w:rPr>
      </w:pPr>
      <w:r>
        <w:rPr>
          <w:sz w:val="24"/>
        </w:rPr>
        <w:t>合同双方的争议，应首先由申请人向争议评审组提交一份详细的评审申请报告，并附必要的文件、图纸和证明材料，申请人还应将上述报告的副本同时提交给被申请人和监理人。</w:t>
      </w:r>
    </w:p>
    <w:p>
      <w:pPr>
        <w:pStyle w:val="ListParagraph"/>
        <w:numPr>
          <w:ilvl w:val="2"/>
          <w:numId w:val="38"/>
        </w:numPr>
        <w:tabs>
          <w:tab w:pos="1429" w:val="left" w:leader="none"/>
        </w:tabs>
        <w:spacing w:line="362" w:lineRule="auto" w:before="18" w:after="0"/>
        <w:ind w:left="226" w:right="1347" w:firstLine="480"/>
        <w:jc w:val="both"/>
        <w:rPr>
          <w:sz w:val="24"/>
        </w:rPr>
      </w:pPr>
      <w:r>
        <w:rPr/>
        <w:drawing>
          <wp:anchor distT="0" distB="0" distL="0" distR="0" allowOverlap="1" layoutInCell="1" locked="0" behindDoc="1" simplePos="0" relativeHeight="234778624">
            <wp:simplePos x="0" y="0"/>
            <wp:positionH relativeFrom="page">
              <wp:posOffset>992771</wp:posOffset>
            </wp:positionH>
            <wp:positionV relativeFrom="paragraph">
              <wp:posOffset>164598</wp:posOffset>
            </wp:positionV>
            <wp:extent cx="5578970" cy="5494141"/>
            <wp:effectExtent l="0" t="0" r="0" b="0"/>
            <wp:wrapNone/>
            <wp:docPr id="101" name="image1.png"/>
            <wp:cNvGraphicFramePr>
              <a:graphicFrameLocks noChangeAspect="1"/>
            </wp:cNvGraphicFramePr>
            <a:graphic>
              <a:graphicData uri="http://schemas.openxmlformats.org/drawingml/2006/picture">
                <pic:pic>
                  <pic:nvPicPr>
                    <pic:cNvPr id="10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1"/>
          <w:sz w:val="24"/>
        </w:rPr>
        <w:t>被申请人在收到申请人评审申请报告副本后的 </w:t>
      </w:r>
      <w:r>
        <w:rPr>
          <w:rFonts w:ascii="Calibri" w:eastAsia="Calibri"/>
          <w:sz w:val="24"/>
        </w:rPr>
        <w:t>28</w:t>
      </w:r>
      <w:r>
        <w:rPr>
          <w:rFonts w:ascii="Calibri" w:eastAsia="Calibri"/>
          <w:spacing w:val="9"/>
          <w:sz w:val="24"/>
        </w:rPr>
        <w:t> </w:t>
      </w:r>
      <w:r>
        <w:rPr>
          <w:sz w:val="24"/>
        </w:rPr>
        <w:t>天内，向争议评审组提交</w:t>
      </w:r>
      <w:r>
        <w:rPr>
          <w:spacing w:val="-1"/>
          <w:sz w:val="24"/>
        </w:rPr>
        <w:t>一份答辩报告，并附证明材料。被申请人应将答辩报告的副本同时提交给申请人和监理人。</w:t>
      </w:r>
    </w:p>
    <w:p>
      <w:pPr>
        <w:pStyle w:val="ListParagraph"/>
        <w:numPr>
          <w:ilvl w:val="2"/>
          <w:numId w:val="38"/>
        </w:numPr>
        <w:tabs>
          <w:tab w:pos="1429" w:val="left" w:leader="none"/>
        </w:tabs>
        <w:spacing w:line="369" w:lineRule="auto" w:before="4" w:after="0"/>
        <w:ind w:left="226" w:right="1228" w:firstLine="480"/>
        <w:jc w:val="left"/>
        <w:rPr>
          <w:sz w:val="24"/>
        </w:rPr>
      </w:pPr>
      <w:r>
        <w:rPr>
          <w:spacing w:val="-3"/>
          <w:sz w:val="24"/>
        </w:rPr>
        <w:t>除专用合同条款另有约定外，争议评审组在收到合同双方报告后的 </w:t>
      </w:r>
      <w:r>
        <w:rPr>
          <w:rFonts w:ascii="Calibri" w:eastAsia="Calibri"/>
          <w:sz w:val="24"/>
        </w:rPr>
        <w:t>14</w:t>
      </w:r>
      <w:r>
        <w:rPr>
          <w:rFonts w:ascii="Calibri" w:eastAsia="Calibri"/>
          <w:spacing w:val="3"/>
          <w:sz w:val="24"/>
        </w:rPr>
        <w:t> </w:t>
      </w:r>
      <w:r>
        <w:rPr>
          <w:sz w:val="24"/>
        </w:rPr>
        <w:t>天内， 邀请双方代表和有关人员举行调查会，向双方调查争议细节；必要时争议评审组可要求双方进一步提供补充材料。</w:t>
      </w:r>
    </w:p>
    <w:p>
      <w:pPr>
        <w:pStyle w:val="ListParagraph"/>
        <w:numPr>
          <w:ilvl w:val="2"/>
          <w:numId w:val="38"/>
        </w:numPr>
        <w:tabs>
          <w:tab w:pos="1429" w:val="left" w:leader="none"/>
        </w:tabs>
        <w:spacing w:line="362" w:lineRule="auto" w:before="0" w:after="0"/>
        <w:ind w:left="226" w:right="1343" w:firstLine="480"/>
        <w:jc w:val="both"/>
        <w:rPr>
          <w:sz w:val="24"/>
        </w:rPr>
      </w:pPr>
      <w:r>
        <w:rPr>
          <w:spacing w:val="-1"/>
          <w:sz w:val="24"/>
        </w:rPr>
        <w:t>除专用合同条款另有约定外，在调查会结束后的 </w:t>
      </w:r>
      <w:r>
        <w:rPr>
          <w:rFonts w:ascii="Calibri" w:eastAsia="Calibri"/>
          <w:sz w:val="24"/>
        </w:rPr>
        <w:t>14</w:t>
      </w:r>
      <w:r>
        <w:rPr>
          <w:rFonts w:ascii="Calibri" w:eastAsia="Calibri"/>
          <w:spacing w:val="9"/>
          <w:sz w:val="24"/>
        </w:rPr>
        <w:t> </w:t>
      </w:r>
      <w:r>
        <w:rPr>
          <w:sz w:val="24"/>
        </w:rPr>
        <w:t>天内，争议评审组应在不受任何干扰的情况下进行独立、公正的评审，作出书面评审意见，并说明理由。在争议评审期间，争议双方暂按总监理工程师的确定执行。</w:t>
      </w:r>
    </w:p>
    <w:p>
      <w:pPr>
        <w:pStyle w:val="ListParagraph"/>
        <w:numPr>
          <w:ilvl w:val="2"/>
          <w:numId w:val="38"/>
        </w:numPr>
        <w:tabs>
          <w:tab w:pos="1429" w:val="left" w:leader="none"/>
        </w:tabs>
        <w:spacing w:line="374" w:lineRule="auto" w:before="0" w:after="0"/>
        <w:ind w:left="226" w:right="1342" w:firstLine="480"/>
        <w:jc w:val="both"/>
        <w:rPr>
          <w:sz w:val="24"/>
        </w:rPr>
      </w:pPr>
      <w:r>
        <w:rPr>
          <w:sz w:val="24"/>
        </w:rPr>
        <w:t>发包人和承包人接受评审意见的，由监理人根据评审意见拟定执行协议，经</w:t>
      </w:r>
      <w:r>
        <w:rPr>
          <w:spacing w:val="-1"/>
          <w:sz w:val="24"/>
        </w:rPr>
        <w:t>争议双方签字后作为合同的补充文件，并遵照执行。</w:t>
      </w:r>
    </w:p>
    <w:p>
      <w:pPr>
        <w:pStyle w:val="ListParagraph"/>
        <w:numPr>
          <w:ilvl w:val="2"/>
          <w:numId w:val="38"/>
        </w:numPr>
        <w:tabs>
          <w:tab w:pos="1429" w:val="left" w:leader="none"/>
        </w:tabs>
        <w:spacing w:line="362" w:lineRule="auto" w:before="0" w:after="0"/>
        <w:ind w:left="226" w:right="1342" w:firstLine="480"/>
        <w:jc w:val="both"/>
        <w:rPr>
          <w:sz w:val="24"/>
        </w:rPr>
      </w:pPr>
      <w:r>
        <w:rPr>
          <w:sz w:val="24"/>
        </w:rPr>
        <w:t>发包人或承包人不接受评审意见，并要求提交仲裁或提起诉讼的，应在收到</w:t>
      </w:r>
      <w:r>
        <w:rPr>
          <w:spacing w:val="-1"/>
          <w:sz w:val="24"/>
        </w:rPr>
        <w:t>评审意见后的 </w:t>
      </w:r>
      <w:r>
        <w:rPr>
          <w:rFonts w:ascii="Calibri" w:eastAsia="Calibri"/>
          <w:sz w:val="24"/>
        </w:rPr>
        <w:t>14</w:t>
      </w:r>
      <w:r>
        <w:rPr>
          <w:rFonts w:ascii="Calibri" w:eastAsia="Calibri"/>
          <w:spacing w:val="9"/>
          <w:sz w:val="24"/>
        </w:rPr>
        <w:t> </w:t>
      </w:r>
      <w:r>
        <w:rPr>
          <w:sz w:val="24"/>
        </w:rPr>
        <w:t>天内将仲裁或起诉意向书面通知另一方，并抄送监理人，但在仲裁或诉讼结束前应暂按总监理工程师的确定执行。</w:t>
      </w:r>
    </w:p>
    <w:p>
      <w:pPr>
        <w:pStyle w:val="ListParagraph"/>
        <w:numPr>
          <w:ilvl w:val="1"/>
          <w:numId w:val="38"/>
        </w:numPr>
        <w:tabs>
          <w:tab w:pos="1067" w:val="left" w:leader="none"/>
          <w:tab w:pos="1068" w:val="left" w:leader="none"/>
        </w:tabs>
        <w:spacing w:line="240" w:lineRule="auto" w:before="0" w:after="0"/>
        <w:ind w:left="1068" w:right="0" w:hanging="842"/>
        <w:jc w:val="left"/>
        <w:rPr>
          <w:rFonts w:ascii="黑体" w:eastAsia="黑体" w:hint="eastAsia"/>
          <w:sz w:val="24"/>
        </w:rPr>
      </w:pPr>
      <w:r>
        <w:rPr>
          <w:rFonts w:ascii="黑体" w:eastAsia="黑体" w:hint="eastAsia"/>
          <w:sz w:val="24"/>
        </w:rPr>
        <w:t>仲裁</w:t>
      </w:r>
    </w:p>
    <w:p>
      <w:pPr>
        <w:pStyle w:val="ListParagraph"/>
        <w:numPr>
          <w:ilvl w:val="2"/>
          <w:numId w:val="69"/>
        </w:numPr>
        <w:tabs>
          <w:tab w:pos="1369" w:val="left" w:leader="none"/>
        </w:tabs>
        <w:spacing w:line="240" w:lineRule="auto" w:before="156" w:after="0"/>
        <w:ind w:left="1368" w:right="0" w:hanging="662"/>
        <w:jc w:val="left"/>
        <w:rPr>
          <w:sz w:val="24"/>
        </w:rPr>
      </w:pPr>
      <w:r>
        <w:rPr>
          <w:spacing w:val="-4"/>
          <w:sz w:val="24"/>
        </w:rPr>
        <w:t>若合同双方商定直接向仲裁机构申请仲裁，应签订仲裁协议并约定仲裁机构。</w:t>
      </w:r>
    </w:p>
    <w:p>
      <w:pPr>
        <w:pStyle w:val="ListParagraph"/>
        <w:numPr>
          <w:ilvl w:val="2"/>
          <w:numId w:val="69"/>
        </w:numPr>
        <w:tabs>
          <w:tab w:pos="1429" w:val="left" w:leader="none"/>
        </w:tabs>
        <w:spacing w:line="362" w:lineRule="auto" w:before="158" w:after="0"/>
        <w:ind w:left="226" w:right="1342" w:firstLine="480"/>
        <w:jc w:val="left"/>
        <w:rPr>
          <w:sz w:val="24"/>
        </w:rPr>
      </w:pPr>
      <w:r>
        <w:rPr>
          <w:sz w:val="24"/>
        </w:rPr>
        <w:t>若合同双方未能达成仲裁协议，则本合同的仲裁条款无效，任一方均有权向人民法院提起诉讼。</w:t>
      </w:r>
    </w:p>
    <w:p>
      <w:pPr>
        <w:pStyle w:val="BodyText"/>
      </w:pPr>
    </w:p>
    <w:p>
      <w:pPr>
        <w:pStyle w:val="BodyText"/>
        <w:spacing w:before="2"/>
        <w:rPr>
          <w:sz w:val="35"/>
        </w:rPr>
      </w:pPr>
    </w:p>
    <w:p>
      <w:pPr>
        <w:pStyle w:val="Heading3"/>
        <w:spacing w:before="0"/>
        <w:ind w:left="226"/>
        <w:rPr>
          <w:rFonts w:ascii="宋体" w:eastAsia="宋体" w:hint="eastAsia"/>
        </w:rPr>
      </w:pPr>
      <w:bookmarkStart w:name="第二节　专用合同条款" w:id="114"/>
      <w:bookmarkEnd w:id="114"/>
      <w:r>
        <w:rPr>
          <w:b w:val="0"/>
        </w:rPr>
      </w:r>
      <w:bookmarkStart w:name="_bookmark27" w:id="115"/>
      <w:bookmarkEnd w:id="115"/>
      <w:r>
        <w:rPr>
          <w:b w:val="0"/>
        </w:rPr>
      </w:r>
      <w:r>
        <w:rPr>
          <w:rFonts w:ascii="宋体" w:eastAsia="宋体" w:hint="eastAsia"/>
        </w:rPr>
        <w:t>第二节 专用合同条款</w:t>
      </w:r>
    </w:p>
    <w:p>
      <w:pPr>
        <w:pStyle w:val="BodyText"/>
        <w:spacing w:before="8"/>
        <w:rPr>
          <w:b/>
          <w:sz w:val="41"/>
        </w:rPr>
      </w:pPr>
    </w:p>
    <w:p>
      <w:pPr>
        <w:pStyle w:val="Heading6"/>
        <w:numPr>
          <w:ilvl w:val="0"/>
          <w:numId w:val="70"/>
        </w:numPr>
        <w:tabs>
          <w:tab w:pos="467" w:val="left" w:leader="none"/>
        </w:tabs>
        <w:spacing w:line="240" w:lineRule="auto" w:before="0" w:after="0"/>
        <w:ind w:left="467" w:right="0" w:hanging="241"/>
        <w:jc w:val="left"/>
      </w:pPr>
      <w:bookmarkStart w:name="1一般约定" w:id="116"/>
      <w:bookmarkEnd w:id="116"/>
      <w:r>
        <w:rPr>
          <w:b w:val="0"/>
        </w:rPr>
      </w:r>
      <w:bookmarkStart w:name="1一般约定" w:id="117"/>
      <w:bookmarkEnd w:id="117"/>
      <w:r>
        <w:rPr/>
        <w:t>一般约定</w:t>
      </w:r>
    </w:p>
    <w:p>
      <w:pPr>
        <w:pStyle w:val="BodyText"/>
        <w:spacing w:before="7"/>
        <w:rPr>
          <w:rFonts w:ascii="黑体"/>
          <w:b/>
          <w:sz w:val="39"/>
        </w:rPr>
      </w:pPr>
    </w:p>
    <w:p>
      <w:pPr>
        <w:pStyle w:val="ListParagraph"/>
        <w:numPr>
          <w:ilvl w:val="1"/>
          <w:numId w:val="70"/>
        </w:numPr>
        <w:tabs>
          <w:tab w:pos="1128" w:val="left" w:leader="none"/>
        </w:tabs>
        <w:spacing w:line="240" w:lineRule="auto" w:before="0" w:after="0"/>
        <w:ind w:left="1128" w:right="0" w:hanging="421"/>
        <w:jc w:val="left"/>
        <w:rPr>
          <w:rFonts w:ascii="黑体" w:eastAsia="黑体" w:hint="eastAsia"/>
          <w:sz w:val="24"/>
        </w:rPr>
      </w:pPr>
      <w:r>
        <w:rPr>
          <w:rFonts w:ascii="黑体" w:eastAsia="黑体" w:hint="eastAsia"/>
          <w:sz w:val="24"/>
        </w:rPr>
        <w:t>词语定义</w:t>
      </w:r>
    </w:p>
    <w:p>
      <w:pPr>
        <w:spacing w:after="0" w:line="240" w:lineRule="auto"/>
        <w:jc w:val="left"/>
        <w:rPr>
          <w:rFonts w:ascii="黑体" w:eastAsia="黑体" w:hint="eastAsia"/>
          <w:sz w:val="24"/>
        </w:rPr>
        <w:sectPr>
          <w:pgSz w:w="11910" w:h="16850"/>
          <w:pgMar w:header="911" w:footer="0" w:top="1380" w:bottom="280" w:left="1200" w:right="0"/>
        </w:sectPr>
      </w:pPr>
    </w:p>
    <w:p>
      <w:pPr>
        <w:pStyle w:val="BodyText"/>
        <w:spacing w:before="135"/>
        <w:ind w:left="707"/>
      </w:pPr>
      <w:r>
        <w:rPr>
          <w:rFonts w:ascii="Calibri" w:eastAsia="Calibri"/>
        </w:rPr>
        <w:t>1.1.2 </w:t>
      </w:r>
      <w:r>
        <w:rPr/>
        <w:t>合同当事人和人员</w:t>
      </w:r>
    </w:p>
    <w:p>
      <w:pPr>
        <w:pStyle w:val="ListParagraph"/>
        <w:numPr>
          <w:ilvl w:val="3"/>
          <w:numId w:val="71"/>
        </w:numPr>
        <w:tabs>
          <w:tab w:pos="1429" w:val="left" w:leader="none"/>
        </w:tabs>
        <w:spacing w:line="240" w:lineRule="auto" w:before="158" w:after="0"/>
        <w:ind w:left="1428" w:right="0" w:hanging="722"/>
        <w:jc w:val="left"/>
        <w:rPr>
          <w:sz w:val="24"/>
        </w:rPr>
      </w:pPr>
      <w:r>
        <w:rPr>
          <w:sz w:val="24"/>
        </w:rPr>
        <w:t>发包人： (填入发包人的名称)。 </w:t>
      </w:r>
    </w:p>
    <w:p>
      <w:pPr>
        <w:pStyle w:val="ListParagraph"/>
        <w:numPr>
          <w:ilvl w:val="3"/>
          <w:numId w:val="71"/>
        </w:numPr>
        <w:tabs>
          <w:tab w:pos="1429" w:val="left" w:leader="none"/>
        </w:tabs>
        <w:spacing w:line="240" w:lineRule="auto" w:before="158" w:after="0"/>
        <w:ind w:left="1428" w:right="0" w:hanging="722"/>
        <w:jc w:val="left"/>
        <w:rPr>
          <w:sz w:val="24"/>
        </w:rPr>
      </w:pPr>
      <w:r>
        <w:rPr>
          <w:sz w:val="24"/>
        </w:rPr>
        <w:t>承包人：</w:t>
      </w:r>
      <w:r>
        <w:rPr>
          <w:sz w:val="24"/>
          <w:u w:val="single"/>
        </w:rPr>
        <w:t>     </w:t>
      </w:r>
      <w:r>
        <w:rPr>
          <w:sz w:val="24"/>
        </w:rPr>
        <w:t> (签约后填入承包人的名称)。 </w:t>
      </w:r>
    </w:p>
    <w:p>
      <w:pPr>
        <w:pStyle w:val="ListParagraph"/>
        <w:numPr>
          <w:ilvl w:val="3"/>
          <w:numId w:val="72"/>
        </w:numPr>
        <w:tabs>
          <w:tab w:pos="1429" w:val="left" w:leader="none"/>
        </w:tabs>
        <w:spacing w:line="240" w:lineRule="auto" w:before="158" w:after="0"/>
        <w:ind w:left="1428" w:right="0" w:hanging="722"/>
        <w:jc w:val="left"/>
        <w:rPr>
          <w:sz w:val="24"/>
        </w:rPr>
      </w:pPr>
      <w:r>
        <w:rPr>
          <w:sz w:val="24"/>
        </w:rPr>
        <w:t>分包人：</w:t>
      </w:r>
      <w:r>
        <w:rPr>
          <w:sz w:val="24"/>
          <w:u w:val="single"/>
        </w:rPr>
        <w:t>     </w:t>
      </w:r>
      <w:r>
        <w:rPr>
          <w:sz w:val="24"/>
        </w:rPr>
        <w:t> (签约后填入分包人的名称)。 </w:t>
      </w:r>
    </w:p>
    <w:p>
      <w:pPr>
        <w:pStyle w:val="ListParagraph"/>
        <w:numPr>
          <w:ilvl w:val="3"/>
          <w:numId w:val="72"/>
        </w:numPr>
        <w:tabs>
          <w:tab w:pos="1429" w:val="left" w:leader="none"/>
        </w:tabs>
        <w:spacing w:line="240" w:lineRule="auto" w:before="158" w:after="0"/>
        <w:ind w:left="1428" w:right="0" w:hanging="722"/>
        <w:jc w:val="left"/>
        <w:rPr>
          <w:sz w:val="24"/>
        </w:rPr>
      </w:pPr>
      <w:r>
        <w:rPr>
          <w:sz w:val="24"/>
        </w:rPr>
        <w:t>监理人： (填入监理人名称)。 </w:t>
      </w:r>
    </w:p>
    <w:p>
      <w:pPr>
        <w:pStyle w:val="BodyText"/>
        <w:spacing w:before="172"/>
        <w:ind w:left="707"/>
      </w:pPr>
      <w:r>
        <w:rPr/>
        <w:drawing>
          <wp:anchor distT="0" distB="0" distL="0" distR="0" allowOverlap="1" layoutInCell="1" locked="0" behindDoc="1" simplePos="0" relativeHeight="234779648">
            <wp:simplePos x="0" y="0"/>
            <wp:positionH relativeFrom="page">
              <wp:posOffset>992771</wp:posOffset>
            </wp:positionH>
            <wp:positionV relativeFrom="paragraph">
              <wp:posOffset>262388</wp:posOffset>
            </wp:positionV>
            <wp:extent cx="5578970" cy="5494141"/>
            <wp:effectExtent l="0" t="0" r="0" b="0"/>
            <wp:wrapNone/>
            <wp:docPr id="103" name="image1.png"/>
            <wp:cNvGraphicFramePr>
              <a:graphicFrameLocks noChangeAspect="1"/>
            </wp:cNvGraphicFramePr>
            <a:graphic>
              <a:graphicData uri="http://schemas.openxmlformats.org/drawingml/2006/picture">
                <pic:pic>
                  <pic:nvPicPr>
                    <pic:cNvPr id="104" name="image1.png"/>
                    <pic:cNvPicPr/>
                  </pic:nvPicPr>
                  <pic:blipFill>
                    <a:blip r:embed="rId6" cstate="print"/>
                    <a:stretch>
                      <a:fillRect/>
                    </a:stretch>
                  </pic:blipFill>
                  <pic:spPr>
                    <a:xfrm>
                      <a:off x="0" y="0"/>
                      <a:ext cx="5578970" cy="5494141"/>
                    </a:xfrm>
                    <a:prstGeom prst="rect">
                      <a:avLst/>
                    </a:prstGeom>
                  </pic:spPr>
                </pic:pic>
              </a:graphicData>
            </a:graphic>
          </wp:anchor>
        </w:drawing>
      </w:r>
      <w:r>
        <w:rPr>
          <w:rFonts w:ascii="Calibri" w:eastAsia="Calibri"/>
        </w:rPr>
        <w:t>1.1.4 </w:t>
      </w:r>
      <w:r>
        <w:rPr/>
        <w:t>日 期</w:t>
      </w:r>
    </w:p>
    <w:p>
      <w:pPr>
        <w:pStyle w:val="BodyText"/>
        <w:spacing w:before="159"/>
        <w:ind w:left="707"/>
      </w:pPr>
      <w:r>
        <w:rPr>
          <w:rFonts w:ascii="Calibri" w:eastAsia="Calibri"/>
        </w:rPr>
        <w:t>1.1.4.5 </w:t>
      </w:r>
      <w:r>
        <w:rPr/>
        <w:t>缺 陷 责 任 期 ( 工 程 质 量 保 修 期 )：</w:t>
      </w:r>
      <w:r>
        <w:rPr>
          <w:u w:val="single"/>
        </w:rPr>
        <w:t> </w:t>
      </w:r>
      <w:r>
        <w:rPr/>
        <w:t>。 </w:t>
      </w:r>
    </w:p>
    <w:p>
      <w:pPr>
        <w:pStyle w:val="BodyText"/>
        <w:spacing w:before="157"/>
        <w:ind w:left="707"/>
        <w:rPr>
          <w:rFonts w:ascii="黑体" w:eastAsia="黑体" w:hint="eastAsia"/>
        </w:rPr>
      </w:pPr>
      <w:r>
        <w:rPr>
          <w:rFonts w:ascii="黑体" w:eastAsia="黑体" w:hint="eastAsia"/>
        </w:rPr>
        <w:t>1.2 合同文件的优先顺序</w:t>
      </w:r>
    </w:p>
    <w:p>
      <w:pPr>
        <w:pStyle w:val="BodyText"/>
        <w:tabs>
          <w:tab w:pos="1172" w:val="left" w:leader="none"/>
        </w:tabs>
        <w:spacing w:before="159"/>
        <w:ind w:left="647"/>
      </w:pPr>
      <w:r>
        <w:rPr>
          <w:sz w:val="21"/>
        </w:rPr>
        <w:t>   </w:t>
        <w:tab/>
      </w:r>
      <w:r>
        <w:rPr>
          <w:spacing w:val="-1"/>
        </w:rPr>
        <w:t>进 入 合 同 文 件 的 各 项 文 件 及 其 优 先 顺 序 是</w:t>
      </w:r>
      <w:r>
        <w:rPr>
          <w:spacing w:val="31"/>
          <w:u w:val="single"/>
        </w:rPr>
        <w:t> </w:t>
      </w:r>
      <w:r>
        <w:rPr/>
        <w:t>。</w:t>
      </w:r>
    </w:p>
    <w:p>
      <w:pPr>
        <w:pStyle w:val="BodyText"/>
        <w:spacing w:before="157"/>
        <w:ind w:left="707"/>
        <w:rPr>
          <w:rFonts w:ascii="黑体" w:eastAsia="黑体" w:hint="eastAsia"/>
        </w:rPr>
      </w:pPr>
      <w:r>
        <w:rPr>
          <w:rFonts w:ascii="黑体" w:eastAsia="黑体" w:hint="eastAsia"/>
        </w:rPr>
        <w:t>1.7 联络</w:t>
      </w:r>
    </w:p>
    <w:p>
      <w:pPr>
        <w:pStyle w:val="BodyText"/>
        <w:spacing w:line="362" w:lineRule="auto" w:before="173"/>
        <w:ind w:left="226" w:right="269" w:firstLine="480"/>
      </w:pPr>
      <w:r>
        <w:rPr>
          <w:rFonts w:ascii="Calibri" w:eastAsia="Calibri"/>
        </w:rPr>
        <w:t>1.7.2       </w:t>
      </w:r>
      <w:r>
        <w:rPr/>
        <w:t>来往函件均应按技术标准和要求(  合同技术条款)  约定的期限送  达(填写文件送达地点)。 </w:t>
      </w:r>
    </w:p>
    <w:p>
      <w:pPr>
        <w:pStyle w:val="BodyText"/>
        <w:spacing w:before="2"/>
        <w:rPr>
          <w:sz w:val="25"/>
        </w:rPr>
      </w:pPr>
    </w:p>
    <w:p>
      <w:pPr>
        <w:pStyle w:val="Heading6"/>
        <w:numPr>
          <w:ilvl w:val="0"/>
          <w:numId w:val="70"/>
        </w:numPr>
        <w:tabs>
          <w:tab w:pos="467" w:val="left" w:leader="none"/>
        </w:tabs>
        <w:spacing w:line="240" w:lineRule="auto" w:before="1" w:after="0"/>
        <w:ind w:left="467" w:right="0" w:hanging="241"/>
        <w:jc w:val="left"/>
      </w:pPr>
      <w:bookmarkStart w:name="2发包人义务" w:id="118"/>
      <w:bookmarkEnd w:id="118"/>
      <w:r>
        <w:rPr>
          <w:b w:val="0"/>
        </w:rPr>
      </w:r>
      <w:bookmarkStart w:name="2发包人义务" w:id="119"/>
      <w:bookmarkEnd w:id="119"/>
      <w:r>
        <w:rPr/>
        <w:t>发包人义务</w:t>
      </w:r>
    </w:p>
    <w:p>
      <w:pPr>
        <w:pStyle w:val="BodyText"/>
        <w:spacing w:before="9"/>
        <w:rPr>
          <w:rFonts w:ascii="黑体"/>
          <w:b/>
          <w:sz w:val="40"/>
        </w:rPr>
      </w:pPr>
    </w:p>
    <w:p>
      <w:pPr>
        <w:pStyle w:val="ListParagraph"/>
        <w:numPr>
          <w:ilvl w:val="1"/>
          <w:numId w:val="70"/>
        </w:numPr>
        <w:tabs>
          <w:tab w:pos="1128" w:val="left" w:leader="none"/>
        </w:tabs>
        <w:spacing w:line="240" w:lineRule="auto" w:before="0" w:after="0"/>
        <w:ind w:left="1128" w:right="0" w:hanging="421"/>
        <w:jc w:val="left"/>
        <w:rPr>
          <w:rFonts w:ascii="黑体" w:eastAsia="黑体" w:hint="eastAsia"/>
          <w:sz w:val="24"/>
        </w:rPr>
      </w:pPr>
      <w:r>
        <w:rPr>
          <w:rFonts w:ascii="黑体" w:eastAsia="黑体" w:hint="eastAsia"/>
          <w:sz w:val="24"/>
        </w:rPr>
        <w:t>提供施工场地</w:t>
      </w:r>
    </w:p>
    <w:p>
      <w:pPr>
        <w:pStyle w:val="ListParagraph"/>
        <w:numPr>
          <w:ilvl w:val="2"/>
          <w:numId w:val="73"/>
        </w:numPr>
        <w:tabs>
          <w:tab w:pos="1248" w:val="left" w:leader="none"/>
        </w:tabs>
        <w:spacing w:line="240" w:lineRule="auto" w:before="158" w:after="0"/>
        <w:ind w:left="1248" w:right="0" w:hanging="541"/>
        <w:jc w:val="left"/>
        <w:rPr>
          <w:sz w:val="24"/>
        </w:rPr>
      </w:pPr>
      <w:r>
        <w:rPr>
          <w:sz w:val="24"/>
        </w:rPr>
        <w:t>发 包 人 提 供 的 施 工 场 地 范 围 为 ：</w:t>
      </w:r>
      <w:r>
        <w:rPr>
          <w:spacing w:val="7"/>
          <w:sz w:val="24"/>
        </w:rPr>
        <w:t> 。</w:t>
      </w:r>
    </w:p>
    <w:p>
      <w:pPr>
        <w:pStyle w:val="ListParagraph"/>
        <w:numPr>
          <w:ilvl w:val="2"/>
          <w:numId w:val="73"/>
        </w:numPr>
        <w:tabs>
          <w:tab w:pos="1248" w:val="left" w:leader="none"/>
        </w:tabs>
        <w:spacing w:line="240" w:lineRule="auto" w:before="158" w:after="0"/>
        <w:ind w:left="1248" w:right="0" w:hanging="541"/>
        <w:jc w:val="left"/>
        <w:rPr>
          <w:sz w:val="24"/>
        </w:rPr>
      </w:pPr>
      <w:r>
        <w:rPr>
          <w:spacing w:val="-1"/>
          <w:sz w:val="24"/>
        </w:rPr>
        <w:t>承包人自行勘察的施工场地范围为：</w:t>
      </w:r>
      <w:r>
        <w:rPr>
          <w:spacing w:val="36"/>
          <w:sz w:val="24"/>
        </w:rPr>
        <w:t> 。</w:t>
      </w:r>
    </w:p>
    <w:p>
      <w:pPr>
        <w:pStyle w:val="BodyText"/>
        <w:spacing w:before="157"/>
        <w:ind w:left="707"/>
      </w:pPr>
      <w:r>
        <w:rPr>
          <w:rFonts w:ascii="Calibri" w:eastAsia="Calibri"/>
        </w:rPr>
        <w:t>2.8 </w:t>
      </w:r>
      <w:r>
        <w:rPr/>
        <w:t>其它义务</w:t>
      </w:r>
    </w:p>
    <w:p>
      <w:pPr>
        <w:pStyle w:val="BodyText"/>
        <w:tabs>
          <w:tab w:pos="1067" w:val="left" w:leader="none"/>
        </w:tabs>
        <w:spacing w:before="158"/>
        <w:ind w:left="707"/>
      </w:pPr>
      <w:r>
        <w:rPr/>
        <w:t> </w:t>
        <w:tab/>
        <w:t>(根据发包人的合同管理要求补充) </w:t>
      </w:r>
    </w:p>
    <w:p>
      <w:pPr>
        <w:pStyle w:val="BodyText"/>
        <w:spacing w:before="173"/>
        <w:ind w:left="707"/>
      </w:pPr>
      <w:r>
        <w:rPr/>
        <w:t> </w:t>
      </w:r>
      <w:r>
        <w:rPr>
          <w:spacing w:val="-1"/>
        </w:rPr>
        <w:t> </w:t>
      </w:r>
      <w:r>
        <w:rPr/>
        <w:t> (1)…… </w:t>
      </w:r>
    </w:p>
    <w:p>
      <w:pPr>
        <w:pStyle w:val="BodyText"/>
        <w:spacing w:before="158"/>
        <w:ind w:left="707"/>
      </w:pPr>
      <w:r>
        <w:rPr/>
        <w:t> </w:t>
      </w:r>
      <w:r>
        <w:rPr>
          <w:spacing w:val="-1"/>
        </w:rPr>
        <w:t> </w:t>
      </w:r>
      <w:r>
        <w:rPr/>
        <w:t> (2)…… </w:t>
      </w:r>
    </w:p>
    <w:p>
      <w:pPr>
        <w:pStyle w:val="BodyText"/>
      </w:pPr>
    </w:p>
    <w:p>
      <w:pPr>
        <w:pStyle w:val="Heading6"/>
        <w:numPr>
          <w:ilvl w:val="0"/>
          <w:numId w:val="70"/>
        </w:numPr>
        <w:tabs>
          <w:tab w:pos="467" w:val="left" w:leader="none"/>
        </w:tabs>
        <w:spacing w:line="240" w:lineRule="auto" w:before="171" w:after="0"/>
        <w:ind w:left="467" w:right="0" w:hanging="241"/>
        <w:jc w:val="left"/>
      </w:pPr>
      <w:bookmarkStart w:name="3监理人" w:id="120"/>
      <w:bookmarkEnd w:id="120"/>
      <w:r>
        <w:rPr>
          <w:b w:val="0"/>
        </w:rPr>
      </w:r>
      <w:bookmarkStart w:name="3监理人" w:id="121"/>
      <w:bookmarkEnd w:id="121"/>
      <w:r>
        <w:rPr>
          <w:spacing w:val="4"/>
        </w:rPr>
        <w:t>监理人</w:t>
      </w:r>
    </w:p>
    <w:p>
      <w:pPr>
        <w:pStyle w:val="BodyText"/>
        <w:spacing w:before="10"/>
        <w:rPr>
          <w:rFonts w:ascii="黑体"/>
          <w:b/>
          <w:sz w:val="40"/>
        </w:rPr>
      </w:pPr>
    </w:p>
    <w:p>
      <w:pPr>
        <w:pStyle w:val="BodyText"/>
        <w:ind w:left="647"/>
        <w:rPr>
          <w:rFonts w:ascii="黑体" w:eastAsia="黑体" w:hint="eastAsia"/>
        </w:rPr>
      </w:pPr>
      <w:r>
        <w:rPr>
          <w:sz w:val="21"/>
        </w:rPr>
        <w:t>  </w:t>
      </w:r>
      <w:r>
        <w:rPr>
          <w:rFonts w:ascii="黑体" w:eastAsia="黑体" w:hint="eastAsia"/>
        </w:rPr>
        <w:t>3.1 监理人的职责和权力</w:t>
      </w:r>
    </w:p>
    <w:p>
      <w:pPr>
        <w:pStyle w:val="BodyText"/>
        <w:spacing w:line="362" w:lineRule="auto" w:before="158"/>
        <w:ind w:left="226" w:right="1347" w:firstLine="420"/>
      </w:pPr>
      <w:r>
        <w:rPr>
          <w:sz w:val="21"/>
        </w:rPr>
        <w:t>  </w:t>
      </w:r>
      <w:r>
        <w:rPr>
          <w:rFonts w:ascii="Calibri" w:eastAsia="Calibri"/>
        </w:rPr>
        <w:t>3.1.1 </w:t>
      </w:r>
      <w:r>
        <w:rPr/>
        <w:t>监理人须根据发包人事先批准的权力范围行使权力，发包人批准的权力范围：(填写监理人须经发包人批准才能行使的权力，以下示例供参考) </w:t>
      </w:r>
    </w:p>
    <w:p>
      <w:pPr>
        <w:pStyle w:val="BodyText"/>
        <w:spacing w:before="2"/>
        <w:ind w:left="707"/>
      </w:pPr>
      <w:r>
        <w:rPr/>
        <w:t>  (1)按第 </w:t>
      </w:r>
      <w:r>
        <w:rPr>
          <w:rFonts w:ascii="Calibri" w:eastAsia="Calibri"/>
        </w:rPr>
        <w:t>4.3 </w:t>
      </w:r>
      <w:r>
        <w:rPr/>
        <w:t>款约定，批准工程的分包；</w:t>
      </w:r>
    </w:p>
    <w:p>
      <w:pPr>
        <w:pStyle w:val="BodyText"/>
        <w:spacing w:before="157"/>
        <w:ind w:left="602"/>
      </w:pPr>
      <w:r>
        <w:rPr>
          <w:sz w:val="21"/>
        </w:rPr>
        <w:t>  </w:t>
      </w:r>
      <w:r>
        <w:rPr/>
        <w:t>  (2)按第 </w:t>
      </w:r>
      <w:r>
        <w:rPr>
          <w:rFonts w:ascii="Calibri" w:eastAsia="Calibri"/>
        </w:rPr>
        <w:t>11.3 </w:t>
      </w:r>
      <w:r>
        <w:rPr/>
        <w:t>款约定，确定延长完工期限；</w:t>
      </w:r>
    </w:p>
    <w:p>
      <w:pPr>
        <w:spacing w:after="0"/>
        <w:sectPr>
          <w:pgSz w:w="11910" w:h="16850"/>
          <w:pgMar w:header="911" w:footer="0" w:top="1380" w:bottom="280" w:left="1200" w:right="0"/>
        </w:sectPr>
      </w:pPr>
    </w:p>
    <w:p>
      <w:pPr>
        <w:pStyle w:val="BodyText"/>
        <w:spacing w:before="135"/>
        <w:ind w:left="1068"/>
      </w:pPr>
      <w:r>
        <w:rPr/>
        <w:t>(3)按第 </w:t>
      </w:r>
      <w:r>
        <w:rPr>
          <w:rFonts w:ascii="Calibri" w:eastAsia="Calibri"/>
        </w:rPr>
        <w:t>15.6 </w:t>
      </w:r>
      <w:r>
        <w:rPr/>
        <w:t>款约定，批准暂列金额的使用；</w:t>
      </w:r>
    </w:p>
    <w:p>
      <w:pPr>
        <w:pStyle w:val="BodyText"/>
        <w:spacing w:before="158"/>
        <w:ind w:left="707"/>
      </w:pPr>
      <w:r>
        <w:rPr/>
        <w:t>   (4)……</w:t>
      </w:r>
    </w:p>
    <w:p>
      <w:pPr>
        <w:pStyle w:val="BodyText"/>
      </w:pPr>
    </w:p>
    <w:p>
      <w:pPr>
        <w:pStyle w:val="Heading6"/>
        <w:numPr>
          <w:ilvl w:val="0"/>
          <w:numId w:val="70"/>
        </w:numPr>
        <w:tabs>
          <w:tab w:pos="467" w:val="left" w:leader="none"/>
        </w:tabs>
        <w:spacing w:line="240" w:lineRule="auto" w:before="170" w:after="0"/>
        <w:ind w:left="467" w:right="0" w:hanging="241"/>
        <w:jc w:val="left"/>
      </w:pPr>
      <w:bookmarkStart w:name="4承包人" w:id="122"/>
      <w:bookmarkEnd w:id="122"/>
      <w:r>
        <w:rPr>
          <w:b w:val="0"/>
        </w:rPr>
      </w:r>
      <w:bookmarkStart w:name="4承包人" w:id="123"/>
      <w:bookmarkEnd w:id="123"/>
      <w:r>
        <w:rPr>
          <w:spacing w:val="4"/>
        </w:rPr>
        <w:t>承包人</w:t>
      </w:r>
    </w:p>
    <w:p>
      <w:pPr>
        <w:pStyle w:val="BodyText"/>
        <w:spacing w:before="10"/>
        <w:rPr>
          <w:rFonts w:ascii="黑体"/>
          <w:b/>
          <w:sz w:val="40"/>
        </w:rPr>
      </w:pPr>
    </w:p>
    <w:p>
      <w:pPr>
        <w:pStyle w:val="ListParagraph"/>
        <w:numPr>
          <w:ilvl w:val="1"/>
          <w:numId w:val="70"/>
        </w:numPr>
        <w:tabs>
          <w:tab w:pos="1188" w:val="left" w:leader="none"/>
        </w:tabs>
        <w:spacing w:line="240" w:lineRule="auto" w:before="0" w:after="0"/>
        <w:ind w:left="1188" w:right="0" w:hanging="421"/>
        <w:jc w:val="left"/>
        <w:rPr>
          <w:rFonts w:ascii="黑体" w:eastAsia="黑体" w:hint="eastAsia"/>
          <w:sz w:val="24"/>
        </w:rPr>
      </w:pPr>
      <w:r>
        <w:rPr>
          <w:rFonts w:ascii="黑体" w:eastAsia="黑体" w:hint="eastAsia"/>
          <w:sz w:val="24"/>
        </w:rPr>
        <w:t>承包人的一般义务</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2"/>
        <w:rPr>
          <w:rFonts w:ascii="黑体"/>
          <w:sz w:val="14"/>
        </w:rPr>
      </w:pPr>
    </w:p>
    <w:p>
      <w:pPr>
        <w:pStyle w:val="Heading6"/>
        <w:spacing w:before="65"/>
        <w:ind w:left="226" w:firstLine="0"/>
      </w:pPr>
      <w:r>
        <w:rPr/>
        <w:pict>
          <v:group style="position:absolute;margin-left:78.170998pt;margin-top:-270.939545pt;width:439.3pt;height:432.65pt;mso-position-horizontal-relative:page;mso-position-vertical-relative:paragraph;z-index:251813888" coordorigin="1563,-5419" coordsize="8786,8653">
            <v:shape style="position:absolute;left:1563;top:-5419;width:8786;height:8653" type="#_x0000_t75" stroked="false">
              <v:imagedata r:id="rId6" o:title=""/>
            </v:shape>
            <v:shape style="position:absolute;left:1967;top:-5371;width:6814;height:4951" type="#_x0000_t202" filled="false" stroked="false">
              <v:textbox inset="0,0,0,0">
                <w:txbxContent>
                  <w:p>
                    <w:pPr>
                      <w:spacing w:line="274" w:lineRule="exact" w:before="0"/>
                      <w:ind w:left="0" w:right="0" w:firstLine="0"/>
                      <w:jc w:val="left"/>
                      <w:rPr>
                        <w:sz w:val="24"/>
                      </w:rPr>
                    </w:pPr>
                    <w:r>
                      <w:rPr>
                        <w:rFonts w:ascii="Calibri" w:eastAsia="Calibri"/>
                        <w:sz w:val="24"/>
                      </w:rPr>
                      <w:t>4.1.10 </w:t>
                    </w:r>
                    <w:r>
                      <w:rPr>
                        <w:sz w:val="24"/>
                      </w:rPr>
                      <w:t>其它义务</w:t>
                    </w:r>
                  </w:p>
                  <w:p>
                    <w:pPr>
                      <w:spacing w:before="157"/>
                      <w:ind w:left="0" w:right="0" w:firstLine="0"/>
                      <w:jc w:val="left"/>
                      <w:rPr>
                        <w:sz w:val="24"/>
                      </w:rPr>
                    </w:pPr>
                    <w:r>
                      <w:rPr>
                        <w:sz w:val="24"/>
                      </w:rPr>
                      <w:t>(1)…… </w:t>
                    </w:r>
                  </w:p>
                  <w:p>
                    <w:pPr>
                      <w:spacing w:before="158"/>
                      <w:ind w:left="0" w:right="0" w:firstLine="0"/>
                      <w:jc w:val="left"/>
                      <w:rPr>
                        <w:sz w:val="24"/>
                      </w:rPr>
                    </w:pPr>
                    <w:r>
                      <w:rPr>
                        <w:sz w:val="24"/>
                      </w:rPr>
                      <w:t>(2)…… </w:t>
                    </w:r>
                  </w:p>
                  <w:p>
                    <w:pPr>
                      <w:spacing w:before="158"/>
                      <w:ind w:left="0" w:right="0" w:firstLine="0"/>
                      <w:jc w:val="left"/>
                      <w:rPr>
                        <w:sz w:val="24"/>
                      </w:rPr>
                    </w:pPr>
                    <w:r>
                      <w:rPr>
                        <w:rFonts w:ascii="Calibri" w:eastAsia="Calibri"/>
                        <w:sz w:val="24"/>
                      </w:rPr>
                      <w:t>4.3</w:t>
                    </w:r>
                    <w:r>
                      <w:rPr>
                        <w:rFonts w:ascii="Calibri" w:eastAsia="Calibri"/>
                        <w:spacing w:val="1"/>
                        <w:sz w:val="24"/>
                      </w:rPr>
                      <w:t> </w:t>
                    </w:r>
                    <w:r>
                      <w:rPr>
                        <w:sz w:val="24"/>
                      </w:rPr>
                      <w:t>分包</w:t>
                    </w:r>
                  </w:p>
                  <w:p>
                    <w:pPr>
                      <w:spacing w:line="362" w:lineRule="auto" w:before="173"/>
                      <w:ind w:left="0" w:right="18" w:firstLine="0"/>
                      <w:jc w:val="left"/>
                      <w:rPr>
                        <w:sz w:val="24"/>
                      </w:rPr>
                    </w:pPr>
                    <w:r>
                      <w:rPr>
                        <w:rFonts w:ascii="Calibri" w:eastAsia="Calibri"/>
                        <w:sz w:val="24"/>
                      </w:rPr>
                      <w:t>4.3.2</w:t>
                    </w:r>
                    <w:r>
                      <w:rPr>
                        <w:rFonts w:ascii="Calibri" w:eastAsia="Calibri"/>
                        <w:spacing w:val="-2"/>
                        <w:sz w:val="24"/>
                      </w:rPr>
                      <w:t> </w:t>
                    </w:r>
                    <w:r>
                      <w:rPr>
                        <w:sz w:val="24"/>
                      </w:rPr>
                      <w:t>允许承包人分包的工程项目、工作内容与分包金额限额为： (1) 工 程 项 目 ： 。 </w:t>
                    </w:r>
                  </w:p>
                  <w:p>
                    <w:pPr>
                      <w:tabs>
                        <w:tab w:pos="4926" w:val="left" w:leader="none"/>
                      </w:tabs>
                      <w:spacing w:line="362" w:lineRule="auto" w:before="3"/>
                      <w:ind w:left="0" w:right="1525" w:firstLine="0"/>
                      <w:jc w:val="left"/>
                      <w:rPr>
                        <w:sz w:val="24"/>
                      </w:rPr>
                    </w:pPr>
                    <w:r>
                      <w:rPr>
                        <w:sz w:val="24"/>
                      </w:rPr>
                      <w:t>(2) 工 作 内 容 ：</w:t>
                    </w:r>
                    <w:r>
                      <w:rPr>
                        <w:sz w:val="24"/>
                        <w:u w:val="single"/>
                      </w:rPr>
                      <w:t>                    </w:t>
                    </w:r>
                    <w:r>
                      <w:rPr>
                        <w:spacing w:val="119"/>
                        <w:sz w:val="24"/>
                        <w:u w:val="single"/>
                      </w:rPr>
                      <w:t> </w:t>
                    </w:r>
                    <w:r>
                      <w:rPr>
                        <w:sz w:val="24"/>
                      </w:rPr>
                      <w:t>。(3)分包金额限额：</w:t>
                    </w:r>
                    <w:r>
                      <w:rPr>
                        <w:sz w:val="24"/>
                        <w:u w:val="single"/>
                      </w:rPr>
                      <w:t> </w:t>
                      <w:tab/>
                    </w:r>
                    <w:r>
                      <w:rPr>
                        <w:sz w:val="24"/>
                      </w:rPr>
                      <w:t>。</w:t>
                    </w:r>
                  </w:p>
                  <w:p>
                    <w:pPr>
                      <w:tabs>
                        <w:tab w:pos="5001" w:val="left" w:leader="none"/>
                      </w:tabs>
                      <w:spacing w:before="1"/>
                      <w:ind w:left="0" w:right="0" w:firstLine="0"/>
                      <w:jc w:val="left"/>
                      <w:rPr>
                        <w:sz w:val="24"/>
                      </w:rPr>
                    </w:pPr>
                    <w:r>
                      <w:rPr>
                        <w:rFonts w:ascii="Calibri" w:eastAsia="Calibri"/>
                        <w:sz w:val="24"/>
                      </w:rPr>
                      <w:t>4.3.10</w:t>
                    </w:r>
                    <w:r>
                      <w:rPr>
                        <w:rFonts w:ascii="Calibri" w:eastAsia="Calibri"/>
                        <w:spacing w:val="1"/>
                        <w:sz w:val="24"/>
                      </w:rPr>
                      <w:t> </w:t>
                    </w:r>
                    <w:r>
                      <w:rPr>
                        <w:sz w:val="24"/>
                      </w:rPr>
                      <w:t>分包人项目管理机构的设立：</w:t>
                    </w:r>
                    <w:r>
                      <w:rPr>
                        <w:sz w:val="24"/>
                        <w:u w:val="single"/>
                      </w:rPr>
                      <w:t> </w:t>
                      <w:tab/>
                    </w:r>
                    <w:r>
                      <w:rPr>
                        <w:sz w:val="24"/>
                      </w:rPr>
                      <w:t>。</w:t>
                    </w:r>
                  </w:p>
                  <w:p>
                    <w:pPr>
                      <w:numPr>
                        <w:ilvl w:val="1"/>
                        <w:numId w:val="74"/>
                      </w:numPr>
                      <w:tabs>
                        <w:tab w:pos="481" w:val="left" w:leader="none"/>
                      </w:tabs>
                      <w:spacing w:before="173"/>
                      <w:ind w:left="480" w:right="0" w:hanging="481"/>
                      <w:jc w:val="left"/>
                      <w:rPr>
                        <w:sz w:val="24"/>
                      </w:rPr>
                    </w:pPr>
                    <w:r>
                      <w:rPr>
                        <w:sz w:val="24"/>
                      </w:rPr>
                      <w:t>不利物质条件</w:t>
                    </w:r>
                  </w:p>
                  <w:p>
                    <w:pPr>
                      <w:numPr>
                        <w:ilvl w:val="2"/>
                        <w:numId w:val="74"/>
                      </w:numPr>
                      <w:tabs>
                        <w:tab w:pos="662" w:val="left" w:leader="none"/>
                      </w:tabs>
                      <w:spacing w:line="300" w:lineRule="exact" w:before="158"/>
                      <w:ind w:left="661" w:right="0" w:hanging="662"/>
                      <w:jc w:val="left"/>
                      <w:rPr>
                        <w:sz w:val="24"/>
                      </w:rPr>
                    </w:pPr>
                    <w:r>
                      <w:rPr>
                        <w:sz w:val="24"/>
                      </w:rPr>
                      <w:t>不 利 物 质 条 件 的 范 围 ：</w:t>
                    </w:r>
                    <w:r>
                      <w:rPr>
                        <w:spacing w:val="6"/>
                        <w:sz w:val="24"/>
                      </w:rPr>
                      <w:t> 。</w:t>
                    </w:r>
                  </w:p>
                </w:txbxContent>
              </v:textbox>
              <w10:wrap type="none"/>
            </v:shape>
            <v:shape style="position:absolute;left:1667;top:100;width:2017;height:285" type="#_x0000_t202" filled="false" stroked="false">
              <v:textbox inset="0,0,0,0">
                <w:txbxContent>
                  <w:p>
                    <w:pPr>
                      <w:spacing w:line="285" w:lineRule="exact" w:before="0"/>
                      <w:ind w:left="0" w:right="0" w:firstLine="0"/>
                      <w:jc w:val="left"/>
                      <w:rPr>
                        <w:rFonts w:ascii="黑体" w:eastAsia="黑体" w:hint="eastAsia"/>
                        <w:b/>
                        <w:sz w:val="28"/>
                      </w:rPr>
                    </w:pPr>
                    <w:r>
                      <w:rPr>
                        <w:rFonts w:ascii="黑体" w:eastAsia="黑体" w:hint="eastAsia"/>
                        <w:b/>
                        <w:sz w:val="28"/>
                      </w:rPr>
                      <w:t>材料和工程设备</w:t>
                    </w:r>
                  </w:p>
                </w:txbxContent>
              </v:textbox>
              <w10:wrap type="none"/>
            </v:shape>
            <v:shape style="position:absolute;left:1637;top:979;width:4410;height:710" type="#_x0000_t202" filled="false" stroked="false">
              <v:textbox inset="0,0,0,0">
                <w:txbxContent>
                  <w:p>
                    <w:pPr>
                      <w:spacing w:line="274" w:lineRule="exact" w:before="0"/>
                      <w:ind w:left="315" w:right="0" w:firstLine="0"/>
                      <w:jc w:val="left"/>
                      <w:rPr>
                        <w:rFonts w:ascii="黑体" w:eastAsia="黑体" w:hint="eastAsia"/>
                        <w:sz w:val="24"/>
                      </w:rPr>
                    </w:pPr>
                    <w:r>
                      <w:rPr>
                        <w:rFonts w:ascii="黑体" w:eastAsia="黑体" w:hint="eastAsia"/>
                        <w:sz w:val="24"/>
                      </w:rPr>
                      <w:t>5.2 发包人提供的材料和工程设备</w:t>
                    </w:r>
                  </w:p>
                  <w:p>
                    <w:pPr>
                      <w:tabs>
                        <w:tab w:pos="315" w:val="left" w:leader="none"/>
                      </w:tabs>
                      <w:spacing w:line="263" w:lineRule="exact" w:before="173"/>
                      <w:ind w:left="0" w:right="0" w:firstLine="0"/>
                      <w:jc w:val="left"/>
                      <w:rPr>
                        <w:sz w:val="21"/>
                      </w:rPr>
                    </w:pPr>
                    <w:r>
                      <w:rPr>
                        <w:sz w:val="21"/>
                      </w:rPr>
                      <w:t> </w:t>
                      <w:tab/>
                    </w:r>
                    <w:r>
                      <w:rPr>
                        <w:rFonts w:ascii="Calibri" w:eastAsia="Calibri"/>
                        <w:sz w:val="21"/>
                      </w:rPr>
                      <w:t>5.2.1</w:t>
                    </w:r>
                    <w:r>
                      <w:rPr>
                        <w:rFonts w:ascii="Calibri" w:eastAsia="Calibri"/>
                        <w:spacing w:val="16"/>
                        <w:sz w:val="21"/>
                      </w:rPr>
                      <w:t> </w:t>
                    </w:r>
                    <w:r>
                      <w:rPr>
                        <w:sz w:val="21"/>
                      </w:rPr>
                      <w:t>发包人提供的材料和工程设备见下表：</w:t>
                    </w:r>
                  </w:p>
                </w:txbxContent>
              </v:textbox>
              <w10:wrap type="none"/>
            </v:shape>
            <w10:wrap type="none"/>
          </v:group>
        </w:pict>
      </w:r>
      <w:bookmarkStart w:name="5材料和工程设备" w:id="124"/>
      <w:bookmarkEnd w:id="124"/>
      <w:r>
        <w:rPr>
          <w:b w:val="0"/>
        </w:rPr>
      </w:r>
      <w:r>
        <w:rPr>
          <w:w w:val="100"/>
        </w:rPr>
        <w:t>5</w:t>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7"/>
        <w:rPr>
          <w:rFonts w:ascii="黑体"/>
          <w:b/>
          <w:sz w:val="17"/>
        </w:rPr>
      </w:pPr>
    </w:p>
    <w:p>
      <w:pPr>
        <w:pStyle w:val="Heading7"/>
        <w:ind w:left="2690"/>
        <w:rPr>
          <w:rFonts w:ascii="黑体" w:eastAsia="黑体" w:hint="eastAsia"/>
        </w:rPr>
      </w:pPr>
      <w:r>
        <w:rPr>
          <w:rFonts w:ascii="黑体" w:eastAsia="黑体" w:hint="eastAsia"/>
        </w:rPr>
        <w:t>发包人提供的材料表(参考格式)</w:t>
      </w:r>
    </w:p>
    <w:p>
      <w:pPr>
        <w:pStyle w:val="BodyText"/>
        <w:spacing w:before="3"/>
        <w:rPr>
          <w:rFonts w:ascii="黑体"/>
          <w:sz w:val="10"/>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5"/>
        <w:gridCol w:w="1427"/>
        <w:gridCol w:w="1412"/>
        <w:gridCol w:w="720"/>
        <w:gridCol w:w="1412"/>
        <w:gridCol w:w="1141"/>
        <w:gridCol w:w="1562"/>
        <w:gridCol w:w="706"/>
      </w:tblGrid>
      <w:tr>
        <w:trPr>
          <w:trHeight w:val="465" w:hRule="atLeast"/>
        </w:trPr>
        <w:tc>
          <w:tcPr>
            <w:tcW w:w="705" w:type="dxa"/>
          </w:tcPr>
          <w:p>
            <w:pPr>
              <w:pStyle w:val="TableParagraph"/>
              <w:spacing w:before="105"/>
              <w:ind w:left="142"/>
              <w:rPr>
                <w:sz w:val="21"/>
              </w:rPr>
            </w:pPr>
            <w:r>
              <w:rPr>
                <w:sz w:val="21"/>
              </w:rPr>
              <w:t>序号</w:t>
            </w:r>
          </w:p>
        </w:tc>
        <w:tc>
          <w:tcPr>
            <w:tcW w:w="1427" w:type="dxa"/>
          </w:tcPr>
          <w:p>
            <w:pPr>
              <w:pStyle w:val="TableParagraph"/>
              <w:spacing w:before="105"/>
              <w:ind w:left="293"/>
              <w:rPr>
                <w:sz w:val="21"/>
              </w:rPr>
            </w:pPr>
            <w:r>
              <w:rPr>
                <w:sz w:val="21"/>
              </w:rPr>
              <w:t>材料名称</w:t>
            </w:r>
          </w:p>
        </w:tc>
        <w:tc>
          <w:tcPr>
            <w:tcW w:w="1412" w:type="dxa"/>
          </w:tcPr>
          <w:p>
            <w:pPr>
              <w:pStyle w:val="TableParagraph"/>
              <w:spacing w:before="105"/>
              <w:ind w:left="293"/>
              <w:rPr>
                <w:sz w:val="21"/>
              </w:rPr>
            </w:pPr>
            <w:r>
              <w:rPr>
                <w:sz w:val="21"/>
              </w:rPr>
              <w:t>材料规格</w:t>
            </w:r>
          </w:p>
        </w:tc>
        <w:tc>
          <w:tcPr>
            <w:tcW w:w="720" w:type="dxa"/>
          </w:tcPr>
          <w:p>
            <w:pPr>
              <w:pStyle w:val="TableParagraph"/>
              <w:spacing w:before="105"/>
              <w:ind w:left="143"/>
              <w:rPr>
                <w:sz w:val="21"/>
              </w:rPr>
            </w:pPr>
            <w:r>
              <w:rPr>
                <w:sz w:val="21"/>
              </w:rPr>
              <w:t>数量</w:t>
            </w:r>
          </w:p>
        </w:tc>
        <w:tc>
          <w:tcPr>
            <w:tcW w:w="1412" w:type="dxa"/>
          </w:tcPr>
          <w:p>
            <w:pPr>
              <w:pStyle w:val="TableParagraph"/>
              <w:spacing w:before="105"/>
              <w:ind w:left="279"/>
              <w:rPr>
                <w:sz w:val="21"/>
              </w:rPr>
            </w:pPr>
            <w:r>
              <w:rPr>
                <w:sz w:val="21"/>
              </w:rPr>
              <w:t>交货地点</w:t>
            </w:r>
          </w:p>
        </w:tc>
        <w:tc>
          <w:tcPr>
            <w:tcW w:w="1141" w:type="dxa"/>
          </w:tcPr>
          <w:p>
            <w:pPr>
              <w:pStyle w:val="TableParagraph"/>
              <w:spacing w:before="105"/>
              <w:ind w:left="143"/>
              <w:rPr>
                <w:sz w:val="21"/>
              </w:rPr>
            </w:pPr>
            <w:r>
              <w:rPr>
                <w:sz w:val="21"/>
              </w:rPr>
              <w:t>交货方式</w:t>
            </w:r>
          </w:p>
        </w:tc>
        <w:tc>
          <w:tcPr>
            <w:tcW w:w="1562" w:type="dxa"/>
          </w:tcPr>
          <w:p>
            <w:pPr>
              <w:pStyle w:val="TableParagraph"/>
              <w:spacing w:before="105"/>
              <w:ind w:left="143"/>
              <w:rPr>
                <w:sz w:val="21"/>
              </w:rPr>
            </w:pPr>
            <w:r>
              <w:rPr>
                <w:sz w:val="21"/>
              </w:rPr>
              <w:t>计划交货日期</w:t>
            </w:r>
          </w:p>
        </w:tc>
        <w:tc>
          <w:tcPr>
            <w:tcW w:w="706" w:type="dxa"/>
          </w:tcPr>
          <w:p>
            <w:pPr>
              <w:pStyle w:val="TableParagraph"/>
              <w:spacing w:before="105"/>
              <w:ind w:left="129"/>
              <w:rPr>
                <w:sz w:val="21"/>
              </w:rPr>
            </w:pPr>
            <w:r>
              <w:rPr>
                <w:sz w:val="21"/>
              </w:rPr>
              <w:t>备注</w:t>
            </w:r>
          </w:p>
        </w:tc>
      </w:tr>
      <w:tr>
        <w:trPr>
          <w:trHeight w:val="465" w:hRule="atLeast"/>
        </w:trPr>
        <w:tc>
          <w:tcPr>
            <w:tcW w:w="705" w:type="dxa"/>
          </w:tcPr>
          <w:p>
            <w:pPr>
              <w:pStyle w:val="TableParagraph"/>
              <w:rPr>
                <w:rFonts w:ascii="Times New Roman"/>
                <w:sz w:val="22"/>
              </w:rPr>
            </w:pPr>
          </w:p>
        </w:tc>
        <w:tc>
          <w:tcPr>
            <w:tcW w:w="1427" w:type="dxa"/>
          </w:tcPr>
          <w:p>
            <w:pPr>
              <w:pStyle w:val="TableParagraph"/>
              <w:rPr>
                <w:rFonts w:ascii="Times New Roman"/>
                <w:sz w:val="22"/>
              </w:rPr>
            </w:pPr>
          </w:p>
        </w:tc>
        <w:tc>
          <w:tcPr>
            <w:tcW w:w="1412" w:type="dxa"/>
          </w:tcPr>
          <w:p>
            <w:pPr>
              <w:pStyle w:val="TableParagraph"/>
              <w:rPr>
                <w:rFonts w:ascii="Times New Roman"/>
                <w:sz w:val="22"/>
              </w:rPr>
            </w:pPr>
          </w:p>
        </w:tc>
        <w:tc>
          <w:tcPr>
            <w:tcW w:w="720" w:type="dxa"/>
          </w:tcPr>
          <w:p>
            <w:pPr>
              <w:pStyle w:val="TableParagraph"/>
              <w:rPr>
                <w:rFonts w:ascii="Times New Roman"/>
                <w:sz w:val="22"/>
              </w:rPr>
            </w:pPr>
          </w:p>
        </w:tc>
        <w:tc>
          <w:tcPr>
            <w:tcW w:w="1412" w:type="dxa"/>
          </w:tcPr>
          <w:p>
            <w:pPr>
              <w:pStyle w:val="TableParagraph"/>
              <w:rPr>
                <w:rFonts w:ascii="Times New Roman"/>
                <w:sz w:val="22"/>
              </w:rPr>
            </w:pPr>
          </w:p>
        </w:tc>
        <w:tc>
          <w:tcPr>
            <w:tcW w:w="1141" w:type="dxa"/>
          </w:tcPr>
          <w:p>
            <w:pPr>
              <w:pStyle w:val="TableParagraph"/>
              <w:rPr>
                <w:rFonts w:ascii="Times New Roman"/>
                <w:sz w:val="22"/>
              </w:rPr>
            </w:pPr>
          </w:p>
        </w:tc>
        <w:tc>
          <w:tcPr>
            <w:tcW w:w="1562" w:type="dxa"/>
          </w:tcPr>
          <w:p>
            <w:pPr>
              <w:pStyle w:val="TableParagraph"/>
              <w:rPr>
                <w:rFonts w:ascii="Times New Roman"/>
                <w:sz w:val="22"/>
              </w:rPr>
            </w:pPr>
          </w:p>
        </w:tc>
        <w:tc>
          <w:tcPr>
            <w:tcW w:w="706" w:type="dxa"/>
          </w:tcPr>
          <w:p>
            <w:pPr>
              <w:pStyle w:val="TableParagraph"/>
              <w:rPr>
                <w:rFonts w:ascii="Times New Roman"/>
                <w:sz w:val="22"/>
              </w:rPr>
            </w:pPr>
          </w:p>
        </w:tc>
      </w:tr>
      <w:tr>
        <w:trPr>
          <w:trHeight w:val="465" w:hRule="atLeast"/>
        </w:trPr>
        <w:tc>
          <w:tcPr>
            <w:tcW w:w="705" w:type="dxa"/>
          </w:tcPr>
          <w:p>
            <w:pPr>
              <w:pStyle w:val="TableParagraph"/>
              <w:rPr>
                <w:rFonts w:ascii="Times New Roman"/>
                <w:sz w:val="22"/>
              </w:rPr>
            </w:pPr>
          </w:p>
        </w:tc>
        <w:tc>
          <w:tcPr>
            <w:tcW w:w="1427" w:type="dxa"/>
          </w:tcPr>
          <w:p>
            <w:pPr>
              <w:pStyle w:val="TableParagraph"/>
              <w:rPr>
                <w:rFonts w:ascii="Times New Roman"/>
                <w:sz w:val="22"/>
              </w:rPr>
            </w:pPr>
          </w:p>
        </w:tc>
        <w:tc>
          <w:tcPr>
            <w:tcW w:w="1412" w:type="dxa"/>
          </w:tcPr>
          <w:p>
            <w:pPr>
              <w:pStyle w:val="TableParagraph"/>
              <w:rPr>
                <w:rFonts w:ascii="Times New Roman"/>
                <w:sz w:val="22"/>
              </w:rPr>
            </w:pPr>
          </w:p>
        </w:tc>
        <w:tc>
          <w:tcPr>
            <w:tcW w:w="720" w:type="dxa"/>
          </w:tcPr>
          <w:p>
            <w:pPr>
              <w:pStyle w:val="TableParagraph"/>
              <w:rPr>
                <w:rFonts w:ascii="Times New Roman"/>
                <w:sz w:val="22"/>
              </w:rPr>
            </w:pPr>
          </w:p>
        </w:tc>
        <w:tc>
          <w:tcPr>
            <w:tcW w:w="1412" w:type="dxa"/>
          </w:tcPr>
          <w:p>
            <w:pPr>
              <w:pStyle w:val="TableParagraph"/>
              <w:rPr>
                <w:rFonts w:ascii="Times New Roman"/>
                <w:sz w:val="22"/>
              </w:rPr>
            </w:pPr>
          </w:p>
        </w:tc>
        <w:tc>
          <w:tcPr>
            <w:tcW w:w="1141" w:type="dxa"/>
          </w:tcPr>
          <w:p>
            <w:pPr>
              <w:pStyle w:val="TableParagraph"/>
              <w:rPr>
                <w:rFonts w:ascii="Times New Roman"/>
                <w:sz w:val="22"/>
              </w:rPr>
            </w:pPr>
          </w:p>
        </w:tc>
        <w:tc>
          <w:tcPr>
            <w:tcW w:w="1562" w:type="dxa"/>
          </w:tcPr>
          <w:p>
            <w:pPr>
              <w:pStyle w:val="TableParagraph"/>
              <w:rPr>
                <w:rFonts w:ascii="Times New Roman"/>
                <w:sz w:val="22"/>
              </w:rPr>
            </w:pPr>
          </w:p>
        </w:tc>
        <w:tc>
          <w:tcPr>
            <w:tcW w:w="706" w:type="dxa"/>
          </w:tcPr>
          <w:p>
            <w:pPr>
              <w:pStyle w:val="TableParagraph"/>
              <w:rPr>
                <w:rFonts w:ascii="Times New Roman"/>
                <w:sz w:val="22"/>
              </w:rPr>
            </w:pPr>
          </w:p>
        </w:tc>
      </w:tr>
    </w:tbl>
    <w:p>
      <w:pPr>
        <w:spacing w:after="0"/>
        <w:rPr>
          <w:rFonts w:ascii="Times New Roman"/>
          <w:sz w:val="22"/>
        </w:rPr>
        <w:sectPr>
          <w:pgSz w:w="11910" w:h="16850"/>
          <w:pgMar w:header="911" w:footer="0" w:top="1380" w:bottom="280" w:left="1200" w:right="0"/>
        </w:sectPr>
      </w:pPr>
    </w:p>
    <w:p>
      <w:pPr>
        <w:pStyle w:val="BodyText"/>
        <w:spacing w:before="6"/>
        <w:rPr>
          <w:rFonts w:ascii="黑体"/>
          <w:sz w:val="3"/>
        </w:rPr>
      </w:pPr>
    </w:p>
    <w:tbl>
      <w:tblPr>
        <w:tblW w:w="0" w:type="auto"/>
        <w:jc w:val="left"/>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705"/>
        <w:gridCol w:w="1427"/>
        <w:gridCol w:w="1412"/>
        <w:gridCol w:w="720"/>
        <w:gridCol w:w="1412"/>
        <w:gridCol w:w="1141"/>
        <w:gridCol w:w="1562"/>
        <w:gridCol w:w="706"/>
      </w:tblGrid>
      <w:tr>
        <w:trPr>
          <w:trHeight w:val="447" w:hRule="atLeast"/>
        </w:trPr>
        <w:tc>
          <w:tcPr>
            <w:tcW w:w="705"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427"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20"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141"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562"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06" w:type="dxa"/>
            <w:tcBorders>
              <w:left w:val="single" w:sz="6" w:space="0" w:color="000000"/>
              <w:bottom w:val="single" w:sz="6" w:space="0" w:color="000000"/>
              <w:right w:val="single" w:sz="6" w:space="0" w:color="000000"/>
            </w:tcBorders>
          </w:tcPr>
          <w:p>
            <w:pPr>
              <w:pStyle w:val="TableParagraph"/>
              <w:rPr>
                <w:rFonts w:ascii="Times New Roman"/>
                <w:sz w:val="22"/>
              </w:rPr>
            </w:pPr>
          </w:p>
        </w:tc>
      </w:tr>
    </w:tbl>
    <w:p>
      <w:pPr>
        <w:pStyle w:val="BodyText"/>
        <w:rPr>
          <w:rFonts w:ascii="黑体"/>
          <w:sz w:val="20"/>
        </w:rPr>
      </w:pPr>
    </w:p>
    <w:p>
      <w:pPr>
        <w:pStyle w:val="BodyText"/>
        <w:spacing w:before="1"/>
        <w:rPr>
          <w:rFonts w:ascii="黑体"/>
          <w:sz w:val="21"/>
        </w:rPr>
      </w:pPr>
    </w:p>
    <w:p>
      <w:pPr>
        <w:spacing w:before="65"/>
        <w:ind w:left="2389" w:right="0" w:firstLine="0"/>
        <w:jc w:val="left"/>
        <w:rPr>
          <w:rFonts w:ascii="黑体" w:eastAsia="黑体" w:hint="eastAsia"/>
          <w:sz w:val="28"/>
        </w:rPr>
      </w:pPr>
      <w:r>
        <w:rPr>
          <w:rFonts w:ascii="黑体" w:eastAsia="黑体" w:hint="eastAsia"/>
          <w:sz w:val="28"/>
        </w:rPr>
        <w:t>发包人提供的工程设备表(参考格式)</w:t>
      </w:r>
    </w:p>
    <w:p>
      <w:pPr>
        <w:pStyle w:val="BodyText"/>
        <w:spacing w:before="5"/>
        <w:rPr>
          <w:rFonts w:ascii="黑体"/>
          <w:sz w:val="11"/>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5"/>
        <w:gridCol w:w="1712"/>
        <w:gridCol w:w="1276"/>
        <w:gridCol w:w="870"/>
        <w:gridCol w:w="1170"/>
        <w:gridCol w:w="1170"/>
        <w:gridCol w:w="1606"/>
        <w:gridCol w:w="735"/>
      </w:tblGrid>
      <w:tr>
        <w:trPr>
          <w:trHeight w:val="465" w:hRule="atLeast"/>
        </w:trPr>
        <w:tc>
          <w:tcPr>
            <w:tcW w:w="705" w:type="dxa"/>
          </w:tcPr>
          <w:p>
            <w:pPr>
              <w:pStyle w:val="TableParagraph"/>
              <w:spacing w:before="105"/>
              <w:ind w:left="142"/>
              <w:rPr>
                <w:sz w:val="21"/>
              </w:rPr>
            </w:pPr>
            <w:r>
              <w:rPr>
                <w:sz w:val="21"/>
              </w:rPr>
              <w:t>序号</w:t>
            </w:r>
          </w:p>
        </w:tc>
        <w:tc>
          <w:tcPr>
            <w:tcW w:w="1712" w:type="dxa"/>
          </w:tcPr>
          <w:p>
            <w:pPr>
              <w:pStyle w:val="TableParagraph"/>
              <w:spacing w:before="105"/>
              <w:ind w:left="218"/>
              <w:rPr>
                <w:sz w:val="21"/>
              </w:rPr>
            </w:pPr>
            <w:r>
              <w:rPr>
                <w:sz w:val="21"/>
              </w:rPr>
              <w:t>工程设备名称</w:t>
            </w:r>
          </w:p>
        </w:tc>
        <w:tc>
          <w:tcPr>
            <w:tcW w:w="1276" w:type="dxa"/>
            <w:tcBorders>
              <w:right w:val="single" w:sz="8" w:space="0" w:color="000000"/>
            </w:tcBorders>
          </w:tcPr>
          <w:p>
            <w:pPr>
              <w:pStyle w:val="TableParagraph"/>
              <w:spacing w:before="105"/>
              <w:ind w:left="98"/>
              <w:rPr>
                <w:sz w:val="21"/>
              </w:rPr>
            </w:pPr>
            <w:r>
              <w:rPr>
                <w:sz w:val="21"/>
              </w:rPr>
              <w:t>型号及规格</w:t>
            </w:r>
          </w:p>
        </w:tc>
        <w:tc>
          <w:tcPr>
            <w:tcW w:w="870" w:type="dxa"/>
            <w:tcBorders>
              <w:left w:val="single" w:sz="8" w:space="0" w:color="000000"/>
            </w:tcBorders>
          </w:tcPr>
          <w:p>
            <w:pPr>
              <w:pStyle w:val="TableParagraph"/>
              <w:spacing w:before="105"/>
              <w:ind w:left="217"/>
              <w:rPr>
                <w:sz w:val="21"/>
              </w:rPr>
            </w:pPr>
            <w:r>
              <w:rPr>
                <w:sz w:val="21"/>
              </w:rPr>
              <w:t>数量</w:t>
            </w:r>
          </w:p>
        </w:tc>
        <w:tc>
          <w:tcPr>
            <w:tcW w:w="1170" w:type="dxa"/>
          </w:tcPr>
          <w:p>
            <w:pPr>
              <w:pStyle w:val="TableParagraph"/>
              <w:spacing w:before="105"/>
              <w:ind w:left="160"/>
              <w:rPr>
                <w:sz w:val="21"/>
              </w:rPr>
            </w:pPr>
            <w:r>
              <w:rPr>
                <w:sz w:val="21"/>
              </w:rPr>
              <w:t>交货地点</w:t>
            </w:r>
          </w:p>
        </w:tc>
        <w:tc>
          <w:tcPr>
            <w:tcW w:w="1170" w:type="dxa"/>
          </w:tcPr>
          <w:p>
            <w:pPr>
              <w:pStyle w:val="TableParagraph"/>
              <w:spacing w:before="105"/>
              <w:ind w:left="162"/>
              <w:rPr>
                <w:sz w:val="21"/>
              </w:rPr>
            </w:pPr>
            <w:r>
              <w:rPr>
                <w:sz w:val="21"/>
              </w:rPr>
              <w:t>交货方式</w:t>
            </w:r>
          </w:p>
        </w:tc>
        <w:tc>
          <w:tcPr>
            <w:tcW w:w="1606" w:type="dxa"/>
          </w:tcPr>
          <w:p>
            <w:pPr>
              <w:pStyle w:val="TableParagraph"/>
              <w:spacing w:before="105"/>
              <w:ind w:left="178"/>
              <w:rPr>
                <w:sz w:val="21"/>
              </w:rPr>
            </w:pPr>
            <w:r>
              <w:rPr>
                <w:sz w:val="21"/>
              </w:rPr>
              <w:t>计划交货日期</w:t>
            </w:r>
          </w:p>
        </w:tc>
        <w:tc>
          <w:tcPr>
            <w:tcW w:w="735" w:type="dxa"/>
          </w:tcPr>
          <w:p>
            <w:pPr>
              <w:pStyle w:val="TableParagraph"/>
              <w:spacing w:before="105"/>
              <w:ind w:left="164"/>
              <w:rPr>
                <w:sz w:val="21"/>
              </w:rPr>
            </w:pPr>
            <w:r>
              <w:rPr>
                <w:sz w:val="21"/>
              </w:rPr>
              <w:t>备注</w:t>
            </w:r>
          </w:p>
        </w:tc>
      </w:tr>
      <w:tr>
        <w:trPr>
          <w:trHeight w:val="465" w:hRule="atLeast"/>
        </w:trPr>
        <w:tc>
          <w:tcPr>
            <w:tcW w:w="705" w:type="dxa"/>
          </w:tcPr>
          <w:p>
            <w:pPr>
              <w:pStyle w:val="TableParagraph"/>
              <w:rPr>
                <w:rFonts w:ascii="Times New Roman"/>
                <w:sz w:val="22"/>
              </w:rPr>
            </w:pPr>
          </w:p>
        </w:tc>
        <w:tc>
          <w:tcPr>
            <w:tcW w:w="1712" w:type="dxa"/>
          </w:tcPr>
          <w:p>
            <w:pPr>
              <w:pStyle w:val="TableParagraph"/>
              <w:rPr>
                <w:rFonts w:ascii="Times New Roman"/>
                <w:sz w:val="22"/>
              </w:rPr>
            </w:pPr>
          </w:p>
        </w:tc>
        <w:tc>
          <w:tcPr>
            <w:tcW w:w="1276" w:type="dxa"/>
            <w:tcBorders>
              <w:right w:val="single" w:sz="8" w:space="0" w:color="000000"/>
            </w:tcBorders>
          </w:tcPr>
          <w:p>
            <w:pPr>
              <w:pStyle w:val="TableParagraph"/>
              <w:rPr>
                <w:rFonts w:ascii="Times New Roman"/>
                <w:sz w:val="22"/>
              </w:rPr>
            </w:pPr>
          </w:p>
        </w:tc>
        <w:tc>
          <w:tcPr>
            <w:tcW w:w="870" w:type="dxa"/>
            <w:tcBorders>
              <w:left w:val="single" w:sz="8" w:space="0" w:color="000000"/>
            </w:tcBorders>
          </w:tcPr>
          <w:p>
            <w:pPr>
              <w:pStyle w:val="TableParagraph"/>
              <w:rPr>
                <w:rFonts w:ascii="Times New Roman"/>
                <w:sz w:val="22"/>
              </w:rPr>
            </w:pPr>
          </w:p>
        </w:tc>
        <w:tc>
          <w:tcPr>
            <w:tcW w:w="1170" w:type="dxa"/>
          </w:tcPr>
          <w:p>
            <w:pPr>
              <w:pStyle w:val="TableParagraph"/>
              <w:rPr>
                <w:rFonts w:ascii="Times New Roman"/>
                <w:sz w:val="22"/>
              </w:rPr>
            </w:pPr>
          </w:p>
        </w:tc>
        <w:tc>
          <w:tcPr>
            <w:tcW w:w="1170" w:type="dxa"/>
          </w:tcPr>
          <w:p>
            <w:pPr>
              <w:pStyle w:val="TableParagraph"/>
              <w:rPr>
                <w:rFonts w:ascii="Times New Roman"/>
                <w:sz w:val="22"/>
              </w:rPr>
            </w:pPr>
          </w:p>
        </w:tc>
        <w:tc>
          <w:tcPr>
            <w:tcW w:w="1606" w:type="dxa"/>
          </w:tcPr>
          <w:p>
            <w:pPr>
              <w:pStyle w:val="TableParagraph"/>
              <w:rPr>
                <w:rFonts w:ascii="Times New Roman"/>
                <w:sz w:val="22"/>
              </w:rPr>
            </w:pPr>
          </w:p>
        </w:tc>
        <w:tc>
          <w:tcPr>
            <w:tcW w:w="735" w:type="dxa"/>
          </w:tcPr>
          <w:p>
            <w:pPr>
              <w:pStyle w:val="TableParagraph"/>
              <w:rPr>
                <w:rFonts w:ascii="Times New Roman"/>
                <w:sz w:val="22"/>
              </w:rPr>
            </w:pPr>
          </w:p>
        </w:tc>
      </w:tr>
      <w:tr>
        <w:trPr>
          <w:trHeight w:val="450" w:hRule="atLeast"/>
        </w:trPr>
        <w:tc>
          <w:tcPr>
            <w:tcW w:w="705" w:type="dxa"/>
          </w:tcPr>
          <w:p>
            <w:pPr>
              <w:pStyle w:val="TableParagraph"/>
              <w:rPr>
                <w:rFonts w:ascii="Times New Roman"/>
                <w:sz w:val="22"/>
              </w:rPr>
            </w:pPr>
          </w:p>
        </w:tc>
        <w:tc>
          <w:tcPr>
            <w:tcW w:w="1712" w:type="dxa"/>
          </w:tcPr>
          <w:p>
            <w:pPr>
              <w:pStyle w:val="TableParagraph"/>
              <w:rPr>
                <w:rFonts w:ascii="Times New Roman"/>
                <w:sz w:val="22"/>
              </w:rPr>
            </w:pPr>
          </w:p>
        </w:tc>
        <w:tc>
          <w:tcPr>
            <w:tcW w:w="1276" w:type="dxa"/>
            <w:tcBorders>
              <w:right w:val="single" w:sz="8" w:space="0" w:color="000000"/>
            </w:tcBorders>
          </w:tcPr>
          <w:p>
            <w:pPr>
              <w:pStyle w:val="TableParagraph"/>
              <w:rPr>
                <w:rFonts w:ascii="Times New Roman"/>
                <w:sz w:val="22"/>
              </w:rPr>
            </w:pPr>
          </w:p>
        </w:tc>
        <w:tc>
          <w:tcPr>
            <w:tcW w:w="870" w:type="dxa"/>
            <w:tcBorders>
              <w:left w:val="single" w:sz="8" w:space="0" w:color="000000"/>
            </w:tcBorders>
          </w:tcPr>
          <w:p>
            <w:pPr>
              <w:pStyle w:val="TableParagraph"/>
              <w:rPr>
                <w:rFonts w:ascii="Times New Roman"/>
                <w:sz w:val="22"/>
              </w:rPr>
            </w:pPr>
          </w:p>
        </w:tc>
        <w:tc>
          <w:tcPr>
            <w:tcW w:w="1170" w:type="dxa"/>
          </w:tcPr>
          <w:p>
            <w:pPr>
              <w:pStyle w:val="TableParagraph"/>
              <w:rPr>
                <w:rFonts w:ascii="Times New Roman"/>
                <w:sz w:val="22"/>
              </w:rPr>
            </w:pPr>
          </w:p>
        </w:tc>
        <w:tc>
          <w:tcPr>
            <w:tcW w:w="1170" w:type="dxa"/>
          </w:tcPr>
          <w:p>
            <w:pPr>
              <w:pStyle w:val="TableParagraph"/>
              <w:rPr>
                <w:rFonts w:ascii="Times New Roman"/>
                <w:sz w:val="22"/>
              </w:rPr>
            </w:pPr>
          </w:p>
        </w:tc>
        <w:tc>
          <w:tcPr>
            <w:tcW w:w="1606" w:type="dxa"/>
          </w:tcPr>
          <w:p>
            <w:pPr>
              <w:pStyle w:val="TableParagraph"/>
              <w:rPr>
                <w:rFonts w:ascii="Times New Roman"/>
                <w:sz w:val="22"/>
              </w:rPr>
            </w:pPr>
          </w:p>
        </w:tc>
        <w:tc>
          <w:tcPr>
            <w:tcW w:w="735" w:type="dxa"/>
          </w:tcPr>
          <w:p>
            <w:pPr>
              <w:pStyle w:val="TableParagraph"/>
              <w:rPr>
                <w:rFonts w:ascii="Times New Roman"/>
                <w:sz w:val="22"/>
              </w:rPr>
            </w:pPr>
          </w:p>
        </w:tc>
      </w:tr>
    </w:tbl>
    <w:p>
      <w:pPr>
        <w:pStyle w:val="BodyText"/>
        <w:rPr>
          <w:rFonts w:ascii="黑体"/>
          <w:sz w:val="32"/>
        </w:rPr>
      </w:pPr>
    </w:p>
    <w:p>
      <w:pPr>
        <w:pStyle w:val="ListParagraph"/>
        <w:numPr>
          <w:ilvl w:val="0"/>
          <w:numId w:val="75"/>
        </w:numPr>
        <w:tabs>
          <w:tab w:pos="467" w:val="left" w:leader="none"/>
        </w:tabs>
        <w:spacing w:line="240" w:lineRule="auto" w:before="0" w:after="0"/>
        <w:ind w:left="467" w:right="0" w:hanging="241"/>
        <w:jc w:val="left"/>
        <w:rPr>
          <w:rFonts w:ascii="黑体" w:eastAsia="黑体" w:hint="eastAsia"/>
          <w:b/>
          <w:sz w:val="28"/>
        </w:rPr>
      </w:pPr>
      <w:r>
        <w:rPr/>
        <w:drawing>
          <wp:anchor distT="0" distB="0" distL="0" distR="0" allowOverlap="1" layoutInCell="1" locked="0" behindDoc="1" simplePos="0" relativeHeight="234784768">
            <wp:simplePos x="0" y="0"/>
            <wp:positionH relativeFrom="page">
              <wp:posOffset>992771</wp:posOffset>
            </wp:positionH>
            <wp:positionV relativeFrom="paragraph">
              <wp:posOffset>-479291</wp:posOffset>
            </wp:positionV>
            <wp:extent cx="5578970" cy="5494141"/>
            <wp:effectExtent l="0" t="0" r="0" b="0"/>
            <wp:wrapNone/>
            <wp:docPr id="105" name="image1.png"/>
            <wp:cNvGraphicFramePr>
              <a:graphicFrameLocks noChangeAspect="1"/>
            </wp:cNvGraphicFramePr>
            <a:graphic>
              <a:graphicData uri="http://schemas.openxmlformats.org/drawingml/2006/picture">
                <pic:pic>
                  <pic:nvPicPr>
                    <pic:cNvPr id="106" name="image1.png"/>
                    <pic:cNvPicPr/>
                  </pic:nvPicPr>
                  <pic:blipFill>
                    <a:blip r:embed="rId6" cstate="print"/>
                    <a:stretch>
                      <a:fillRect/>
                    </a:stretch>
                  </pic:blipFill>
                  <pic:spPr>
                    <a:xfrm>
                      <a:off x="0" y="0"/>
                      <a:ext cx="5578970" cy="5494141"/>
                    </a:xfrm>
                    <a:prstGeom prst="rect">
                      <a:avLst/>
                    </a:prstGeom>
                  </pic:spPr>
                </pic:pic>
              </a:graphicData>
            </a:graphic>
          </wp:anchor>
        </w:drawing>
      </w:r>
      <w:bookmarkStart w:name="6施工设备和临时设施" w:id="125"/>
      <w:bookmarkEnd w:id="125"/>
      <w:r>
        <w:rPr/>
      </w:r>
      <w:bookmarkStart w:name="6施工设备和临时设施" w:id="126"/>
      <w:bookmarkEnd w:id="126"/>
      <w:r>
        <w:rPr>
          <w:rFonts w:ascii="黑体" w:eastAsia="黑体" w:hint="eastAsia"/>
          <w:b/>
          <w:spacing w:val="-2"/>
          <w:sz w:val="28"/>
        </w:rPr>
        <w:t>施工设备和临时设施</w:t>
      </w:r>
    </w:p>
    <w:p>
      <w:pPr>
        <w:pStyle w:val="BodyText"/>
        <w:spacing w:before="9"/>
        <w:rPr>
          <w:rFonts w:ascii="黑体"/>
          <w:b/>
          <w:sz w:val="40"/>
        </w:rPr>
      </w:pPr>
    </w:p>
    <w:p>
      <w:pPr>
        <w:pStyle w:val="BodyText"/>
        <w:tabs>
          <w:tab w:pos="752" w:val="left" w:leader="none"/>
        </w:tabs>
        <w:ind w:left="226"/>
        <w:rPr>
          <w:rFonts w:ascii="黑体" w:eastAsia="黑体" w:hint="eastAsia"/>
        </w:rPr>
      </w:pPr>
      <w:r>
        <w:rPr>
          <w:sz w:val="21"/>
        </w:rPr>
        <w:t> </w:t>
        <w:tab/>
      </w:r>
      <w:r>
        <w:rPr>
          <w:rFonts w:ascii="黑体" w:eastAsia="黑体" w:hint="eastAsia"/>
        </w:rPr>
        <w:t>6.2</w:t>
      </w:r>
      <w:r>
        <w:rPr>
          <w:rFonts w:ascii="黑体" w:eastAsia="黑体" w:hint="eastAsia"/>
          <w:spacing w:val="-8"/>
        </w:rPr>
        <w:t> 发包人提供的施工设备和临时设施</w:t>
      </w:r>
    </w:p>
    <w:p>
      <w:pPr>
        <w:pStyle w:val="BodyText"/>
        <w:spacing w:before="159"/>
        <w:ind w:left="226"/>
      </w:pPr>
      <w:r>
        <w:rPr/>
        <w:t>    (1)发包人提供的施工设备见下表：</w:t>
      </w:r>
    </w:p>
    <w:p>
      <w:pPr>
        <w:pStyle w:val="BodyText"/>
      </w:pPr>
    </w:p>
    <w:p>
      <w:pPr>
        <w:pStyle w:val="BodyText"/>
        <w:spacing w:before="4"/>
        <w:rPr>
          <w:sz w:val="27"/>
        </w:rPr>
      </w:pPr>
    </w:p>
    <w:p>
      <w:pPr>
        <w:pStyle w:val="Heading7"/>
        <w:spacing w:before="1"/>
        <w:ind w:left="2389"/>
        <w:rPr>
          <w:rFonts w:ascii="黑体" w:eastAsia="黑体" w:hint="eastAsia"/>
        </w:rPr>
      </w:pPr>
      <w:r>
        <w:rPr>
          <w:rFonts w:ascii="黑体" w:eastAsia="黑体" w:hint="eastAsia"/>
        </w:rPr>
        <w:t>发包人提供的施工设备表(参考格式)</w:t>
      </w:r>
    </w:p>
    <w:p>
      <w:pPr>
        <w:pStyle w:val="BodyText"/>
        <w:spacing w:before="5"/>
        <w:rPr>
          <w:rFonts w:ascii="黑体"/>
          <w:sz w:val="11"/>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5"/>
        <w:gridCol w:w="1517"/>
        <w:gridCol w:w="1322"/>
        <w:gridCol w:w="1426"/>
        <w:gridCol w:w="766"/>
        <w:gridCol w:w="1171"/>
        <w:gridCol w:w="1607"/>
        <w:gridCol w:w="736"/>
      </w:tblGrid>
      <w:tr>
        <w:trPr>
          <w:trHeight w:val="465" w:hRule="atLeast"/>
        </w:trPr>
        <w:tc>
          <w:tcPr>
            <w:tcW w:w="705" w:type="dxa"/>
          </w:tcPr>
          <w:p>
            <w:pPr>
              <w:pStyle w:val="TableParagraph"/>
              <w:spacing w:before="105"/>
              <w:ind w:left="142"/>
              <w:rPr>
                <w:sz w:val="21"/>
              </w:rPr>
            </w:pPr>
            <w:r>
              <w:rPr>
                <w:sz w:val="21"/>
              </w:rPr>
              <w:t>序号</w:t>
            </w:r>
          </w:p>
        </w:tc>
        <w:tc>
          <w:tcPr>
            <w:tcW w:w="1517" w:type="dxa"/>
          </w:tcPr>
          <w:p>
            <w:pPr>
              <w:pStyle w:val="TableParagraph"/>
              <w:spacing w:before="105"/>
              <w:ind w:left="128"/>
              <w:rPr>
                <w:sz w:val="21"/>
              </w:rPr>
            </w:pPr>
            <w:r>
              <w:rPr>
                <w:sz w:val="21"/>
              </w:rPr>
              <w:t>施工设备名称</w:t>
            </w:r>
          </w:p>
        </w:tc>
        <w:tc>
          <w:tcPr>
            <w:tcW w:w="1322" w:type="dxa"/>
          </w:tcPr>
          <w:p>
            <w:pPr>
              <w:pStyle w:val="TableParagraph"/>
              <w:spacing w:before="105"/>
              <w:ind w:left="128"/>
              <w:rPr>
                <w:sz w:val="21"/>
              </w:rPr>
            </w:pPr>
            <w:r>
              <w:rPr>
                <w:sz w:val="21"/>
              </w:rPr>
              <w:t>型号及规格</w:t>
            </w:r>
          </w:p>
        </w:tc>
        <w:tc>
          <w:tcPr>
            <w:tcW w:w="1426" w:type="dxa"/>
          </w:tcPr>
          <w:p>
            <w:pPr>
              <w:pStyle w:val="TableParagraph"/>
              <w:spacing w:before="105"/>
              <w:ind w:left="293"/>
              <w:rPr>
                <w:sz w:val="21"/>
              </w:rPr>
            </w:pPr>
            <w:r>
              <w:rPr>
                <w:sz w:val="21"/>
              </w:rPr>
              <w:t>设备状况</w:t>
            </w:r>
          </w:p>
        </w:tc>
        <w:tc>
          <w:tcPr>
            <w:tcW w:w="766" w:type="dxa"/>
          </w:tcPr>
          <w:p>
            <w:pPr>
              <w:pStyle w:val="TableParagraph"/>
              <w:spacing w:before="105"/>
              <w:ind w:left="173"/>
              <w:rPr>
                <w:sz w:val="21"/>
              </w:rPr>
            </w:pPr>
            <w:r>
              <w:rPr>
                <w:sz w:val="21"/>
              </w:rPr>
              <w:t>数量</w:t>
            </w:r>
          </w:p>
        </w:tc>
        <w:tc>
          <w:tcPr>
            <w:tcW w:w="1171" w:type="dxa"/>
          </w:tcPr>
          <w:p>
            <w:pPr>
              <w:pStyle w:val="TableParagraph"/>
              <w:spacing w:before="105"/>
              <w:ind w:left="159"/>
              <w:rPr>
                <w:sz w:val="21"/>
              </w:rPr>
            </w:pPr>
            <w:r>
              <w:rPr>
                <w:sz w:val="21"/>
              </w:rPr>
              <w:t>移交地点</w:t>
            </w:r>
          </w:p>
        </w:tc>
        <w:tc>
          <w:tcPr>
            <w:tcW w:w="1607" w:type="dxa"/>
          </w:tcPr>
          <w:p>
            <w:pPr>
              <w:pStyle w:val="TableParagraph"/>
              <w:spacing w:before="105"/>
              <w:ind w:left="174"/>
              <w:rPr>
                <w:sz w:val="21"/>
              </w:rPr>
            </w:pPr>
            <w:r>
              <w:rPr>
                <w:sz w:val="21"/>
              </w:rPr>
              <w:t>计划移交日期</w:t>
            </w:r>
          </w:p>
        </w:tc>
        <w:tc>
          <w:tcPr>
            <w:tcW w:w="736" w:type="dxa"/>
          </w:tcPr>
          <w:p>
            <w:pPr>
              <w:pStyle w:val="TableParagraph"/>
              <w:spacing w:before="105"/>
              <w:ind w:left="159"/>
              <w:rPr>
                <w:sz w:val="21"/>
              </w:rPr>
            </w:pPr>
            <w:r>
              <w:rPr>
                <w:sz w:val="21"/>
              </w:rPr>
              <w:t>备注</w:t>
            </w:r>
          </w:p>
        </w:tc>
      </w:tr>
      <w:tr>
        <w:trPr>
          <w:trHeight w:val="465" w:hRule="atLeast"/>
        </w:trPr>
        <w:tc>
          <w:tcPr>
            <w:tcW w:w="705" w:type="dxa"/>
          </w:tcPr>
          <w:p>
            <w:pPr>
              <w:pStyle w:val="TableParagraph"/>
              <w:rPr>
                <w:rFonts w:ascii="Times New Roman"/>
                <w:sz w:val="22"/>
              </w:rPr>
            </w:pPr>
          </w:p>
        </w:tc>
        <w:tc>
          <w:tcPr>
            <w:tcW w:w="1517" w:type="dxa"/>
          </w:tcPr>
          <w:p>
            <w:pPr>
              <w:pStyle w:val="TableParagraph"/>
              <w:rPr>
                <w:rFonts w:ascii="Times New Roman"/>
                <w:sz w:val="22"/>
              </w:rPr>
            </w:pPr>
          </w:p>
        </w:tc>
        <w:tc>
          <w:tcPr>
            <w:tcW w:w="1322" w:type="dxa"/>
          </w:tcPr>
          <w:p>
            <w:pPr>
              <w:pStyle w:val="TableParagraph"/>
              <w:rPr>
                <w:rFonts w:ascii="Times New Roman"/>
                <w:sz w:val="22"/>
              </w:rPr>
            </w:pPr>
          </w:p>
        </w:tc>
        <w:tc>
          <w:tcPr>
            <w:tcW w:w="1426" w:type="dxa"/>
          </w:tcPr>
          <w:p>
            <w:pPr>
              <w:pStyle w:val="TableParagraph"/>
              <w:rPr>
                <w:rFonts w:ascii="Times New Roman"/>
                <w:sz w:val="22"/>
              </w:rPr>
            </w:pPr>
          </w:p>
        </w:tc>
        <w:tc>
          <w:tcPr>
            <w:tcW w:w="766" w:type="dxa"/>
          </w:tcPr>
          <w:p>
            <w:pPr>
              <w:pStyle w:val="TableParagraph"/>
              <w:rPr>
                <w:rFonts w:ascii="Times New Roman"/>
                <w:sz w:val="22"/>
              </w:rPr>
            </w:pPr>
          </w:p>
        </w:tc>
        <w:tc>
          <w:tcPr>
            <w:tcW w:w="1171" w:type="dxa"/>
          </w:tcPr>
          <w:p>
            <w:pPr>
              <w:pStyle w:val="TableParagraph"/>
              <w:rPr>
                <w:rFonts w:ascii="Times New Roman"/>
                <w:sz w:val="22"/>
              </w:rPr>
            </w:pPr>
          </w:p>
        </w:tc>
        <w:tc>
          <w:tcPr>
            <w:tcW w:w="1607" w:type="dxa"/>
          </w:tcPr>
          <w:p>
            <w:pPr>
              <w:pStyle w:val="TableParagraph"/>
              <w:rPr>
                <w:rFonts w:ascii="Times New Roman"/>
                <w:sz w:val="22"/>
              </w:rPr>
            </w:pPr>
          </w:p>
        </w:tc>
        <w:tc>
          <w:tcPr>
            <w:tcW w:w="736" w:type="dxa"/>
          </w:tcPr>
          <w:p>
            <w:pPr>
              <w:pStyle w:val="TableParagraph"/>
              <w:rPr>
                <w:rFonts w:ascii="Times New Roman"/>
                <w:sz w:val="22"/>
              </w:rPr>
            </w:pPr>
          </w:p>
        </w:tc>
      </w:tr>
      <w:tr>
        <w:trPr>
          <w:trHeight w:val="450" w:hRule="atLeast"/>
        </w:trPr>
        <w:tc>
          <w:tcPr>
            <w:tcW w:w="705" w:type="dxa"/>
          </w:tcPr>
          <w:p>
            <w:pPr>
              <w:pStyle w:val="TableParagraph"/>
              <w:rPr>
                <w:rFonts w:ascii="Times New Roman"/>
                <w:sz w:val="22"/>
              </w:rPr>
            </w:pPr>
          </w:p>
        </w:tc>
        <w:tc>
          <w:tcPr>
            <w:tcW w:w="1517" w:type="dxa"/>
          </w:tcPr>
          <w:p>
            <w:pPr>
              <w:pStyle w:val="TableParagraph"/>
              <w:rPr>
                <w:rFonts w:ascii="Times New Roman"/>
                <w:sz w:val="22"/>
              </w:rPr>
            </w:pPr>
          </w:p>
        </w:tc>
        <w:tc>
          <w:tcPr>
            <w:tcW w:w="1322" w:type="dxa"/>
          </w:tcPr>
          <w:p>
            <w:pPr>
              <w:pStyle w:val="TableParagraph"/>
              <w:rPr>
                <w:rFonts w:ascii="Times New Roman"/>
                <w:sz w:val="22"/>
              </w:rPr>
            </w:pPr>
          </w:p>
        </w:tc>
        <w:tc>
          <w:tcPr>
            <w:tcW w:w="1426" w:type="dxa"/>
          </w:tcPr>
          <w:p>
            <w:pPr>
              <w:pStyle w:val="TableParagraph"/>
              <w:rPr>
                <w:rFonts w:ascii="Times New Roman"/>
                <w:sz w:val="22"/>
              </w:rPr>
            </w:pPr>
          </w:p>
        </w:tc>
        <w:tc>
          <w:tcPr>
            <w:tcW w:w="766" w:type="dxa"/>
          </w:tcPr>
          <w:p>
            <w:pPr>
              <w:pStyle w:val="TableParagraph"/>
              <w:rPr>
                <w:rFonts w:ascii="Times New Roman"/>
                <w:sz w:val="22"/>
              </w:rPr>
            </w:pPr>
          </w:p>
        </w:tc>
        <w:tc>
          <w:tcPr>
            <w:tcW w:w="1171" w:type="dxa"/>
          </w:tcPr>
          <w:p>
            <w:pPr>
              <w:pStyle w:val="TableParagraph"/>
              <w:rPr>
                <w:rFonts w:ascii="Times New Roman"/>
                <w:sz w:val="22"/>
              </w:rPr>
            </w:pPr>
          </w:p>
        </w:tc>
        <w:tc>
          <w:tcPr>
            <w:tcW w:w="1607" w:type="dxa"/>
          </w:tcPr>
          <w:p>
            <w:pPr>
              <w:pStyle w:val="TableParagraph"/>
              <w:rPr>
                <w:rFonts w:ascii="Times New Roman"/>
                <w:sz w:val="22"/>
              </w:rPr>
            </w:pPr>
          </w:p>
        </w:tc>
        <w:tc>
          <w:tcPr>
            <w:tcW w:w="736" w:type="dxa"/>
          </w:tcPr>
          <w:p>
            <w:pPr>
              <w:pStyle w:val="TableParagraph"/>
              <w:rPr>
                <w:rFonts w:ascii="Times New Roman"/>
                <w:sz w:val="22"/>
              </w:rPr>
            </w:pPr>
          </w:p>
        </w:tc>
      </w:tr>
    </w:tbl>
    <w:p>
      <w:pPr>
        <w:spacing w:before="105"/>
        <w:ind w:left="226" w:right="0" w:firstLine="0"/>
        <w:jc w:val="left"/>
        <w:rPr>
          <w:sz w:val="21"/>
        </w:rPr>
      </w:pPr>
      <w:r>
        <w:rPr>
          <w:sz w:val="21"/>
        </w:rPr>
        <w:t>    注：设备状况栏内填写该设备的新旧程度、购进时间、已使用小时数和最近一次的大修时间。</w:t>
      </w:r>
    </w:p>
    <w:p>
      <w:pPr>
        <w:pStyle w:val="BodyText"/>
        <w:spacing w:before="1"/>
        <w:rPr>
          <w:sz w:val="14"/>
        </w:rPr>
      </w:pPr>
    </w:p>
    <w:p>
      <w:pPr>
        <w:pStyle w:val="BodyText"/>
        <w:spacing w:before="1"/>
        <w:ind w:left="226"/>
      </w:pPr>
      <w:r>
        <w:rPr>
          <w:sz w:val="21"/>
        </w:rPr>
        <w:t>  </w:t>
      </w:r>
      <w:r>
        <w:rPr/>
        <w:t>  (2) 发 包 人 提 供 的 临 时 设 施 ：</w:t>
      </w:r>
      <w:r>
        <w:rPr>
          <w:spacing w:val="118"/>
          <w:u w:val="single"/>
        </w:rPr>
        <w:t> </w:t>
      </w:r>
      <w:r>
        <w:rPr/>
        <w:t>。</w:t>
      </w:r>
    </w:p>
    <w:p>
      <w:pPr>
        <w:pStyle w:val="BodyText"/>
        <w:rPr>
          <w:sz w:val="20"/>
        </w:rPr>
      </w:pPr>
    </w:p>
    <w:p>
      <w:pPr>
        <w:pStyle w:val="Heading6"/>
        <w:numPr>
          <w:ilvl w:val="0"/>
          <w:numId w:val="75"/>
        </w:numPr>
        <w:tabs>
          <w:tab w:pos="467" w:val="left" w:leader="none"/>
        </w:tabs>
        <w:spacing w:line="240" w:lineRule="auto" w:before="237" w:after="0"/>
        <w:ind w:left="467" w:right="0" w:hanging="241"/>
        <w:jc w:val="left"/>
      </w:pPr>
      <w:bookmarkStart w:name="7交通运输" w:id="127"/>
      <w:bookmarkEnd w:id="127"/>
      <w:r>
        <w:rPr>
          <w:b w:val="0"/>
        </w:rPr>
      </w:r>
      <w:bookmarkStart w:name="7交通运输" w:id="128"/>
      <w:bookmarkEnd w:id="128"/>
      <w:r>
        <w:rPr/>
        <w:t>交通运输</w:t>
      </w:r>
    </w:p>
    <w:p>
      <w:pPr>
        <w:pStyle w:val="BodyText"/>
        <w:spacing w:before="7"/>
        <w:rPr>
          <w:rFonts w:ascii="黑体"/>
          <w:b/>
          <w:sz w:val="39"/>
        </w:rPr>
      </w:pPr>
    </w:p>
    <w:p>
      <w:pPr>
        <w:pStyle w:val="BodyText"/>
        <w:tabs>
          <w:tab w:pos="767" w:val="left" w:leader="none"/>
        </w:tabs>
        <w:ind w:left="226"/>
        <w:rPr>
          <w:rFonts w:ascii="黑体" w:eastAsia="黑体" w:hint="eastAsia"/>
        </w:rPr>
      </w:pPr>
      <w:r>
        <w:rPr>
          <w:sz w:val="21"/>
        </w:rPr>
        <w:t> </w:t>
        <w:tab/>
      </w:r>
      <w:r>
        <w:rPr>
          <w:rFonts w:ascii="黑体" w:eastAsia="黑体" w:hint="eastAsia"/>
        </w:rPr>
        <w:t>7.1</w:t>
      </w:r>
      <w:r>
        <w:rPr>
          <w:rFonts w:ascii="黑体" w:eastAsia="黑体" w:hint="eastAsia"/>
          <w:spacing w:val="-8"/>
        </w:rPr>
        <w:t> 道路通行权和场外设施</w:t>
      </w:r>
    </w:p>
    <w:p>
      <w:pPr>
        <w:pStyle w:val="BodyText"/>
        <w:tabs>
          <w:tab w:pos="767" w:val="left" w:leader="none"/>
        </w:tabs>
        <w:spacing w:before="158"/>
        <w:ind w:left="226"/>
      </w:pPr>
      <w:r>
        <w:rPr>
          <w:sz w:val="21"/>
        </w:rPr>
        <w:t>   </w:t>
        <w:tab/>
      </w:r>
      <w:r>
        <w:rPr/>
        <w:t>道路通行权和场外设施的约定：</w:t>
      </w:r>
      <w:r>
        <w:rPr>
          <w:spacing w:val="118"/>
          <w:u w:val="single"/>
        </w:rPr>
        <w:t> </w:t>
      </w:r>
      <w:r>
        <w:rPr/>
        <w:t>。</w:t>
      </w:r>
    </w:p>
    <w:p>
      <w:pPr>
        <w:pStyle w:val="BodyText"/>
        <w:rPr>
          <w:sz w:val="20"/>
        </w:rPr>
      </w:pPr>
    </w:p>
    <w:p>
      <w:pPr>
        <w:pStyle w:val="Heading6"/>
        <w:numPr>
          <w:ilvl w:val="0"/>
          <w:numId w:val="75"/>
        </w:numPr>
        <w:tabs>
          <w:tab w:pos="467" w:val="left" w:leader="none"/>
        </w:tabs>
        <w:spacing w:line="240" w:lineRule="auto" w:before="237" w:after="0"/>
        <w:ind w:left="467" w:right="0" w:hanging="241"/>
        <w:jc w:val="left"/>
      </w:pPr>
      <w:bookmarkStart w:name="8测量放线" w:id="129"/>
      <w:bookmarkEnd w:id="129"/>
      <w:r>
        <w:rPr>
          <w:b w:val="0"/>
        </w:rPr>
      </w:r>
      <w:bookmarkStart w:name="8测量放线" w:id="130"/>
      <w:bookmarkEnd w:id="130"/>
      <w:r>
        <w:rPr/>
        <w:t>测量放线</w:t>
      </w:r>
    </w:p>
    <w:p>
      <w:pPr>
        <w:pStyle w:val="BodyText"/>
        <w:spacing w:before="7"/>
        <w:rPr>
          <w:rFonts w:ascii="黑体"/>
          <w:b/>
          <w:sz w:val="39"/>
        </w:rPr>
      </w:pPr>
    </w:p>
    <w:p>
      <w:pPr>
        <w:pStyle w:val="BodyText"/>
        <w:tabs>
          <w:tab w:pos="752" w:val="left" w:leader="none"/>
        </w:tabs>
        <w:ind w:left="226"/>
        <w:rPr>
          <w:rFonts w:ascii="黑体" w:eastAsia="黑体" w:hint="eastAsia"/>
        </w:rPr>
      </w:pPr>
      <w:r>
        <w:rPr>
          <w:sz w:val="21"/>
        </w:rPr>
        <w:t> </w:t>
        <w:tab/>
      </w:r>
      <w:r>
        <w:rPr>
          <w:rFonts w:ascii="黑体" w:eastAsia="黑体" w:hint="eastAsia"/>
        </w:rPr>
        <w:t>8.1</w:t>
      </w:r>
      <w:r>
        <w:rPr>
          <w:rFonts w:ascii="黑体" w:eastAsia="黑体" w:hint="eastAsia"/>
          <w:spacing w:val="-10"/>
        </w:rPr>
        <w:t> 施工控制网</w:t>
      </w:r>
    </w:p>
    <w:p>
      <w:pPr>
        <w:pStyle w:val="BodyText"/>
        <w:spacing w:before="158"/>
        <w:ind w:left="767"/>
      </w:pPr>
      <w:r>
        <w:rPr>
          <w:rFonts w:ascii="Calibri" w:eastAsia="Calibri"/>
        </w:rPr>
        <w:t>8.1.1 </w:t>
      </w:r>
      <w:r>
        <w:rPr/>
        <w:t>施 工 控 制 网 的 约 定 ： 。</w:t>
      </w:r>
    </w:p>
    <w:p>
      <w:pPr>
        <w:spacing w:after="0"/>
        <w:sectPr>
          <w:pgSz w:w="11910" w:h="16850"/>
          <w:pgMar w:header="911" w:footer="0" w:top="1380" w:bottom="280" w:left="1200" w:right="0"/>
        </w:sectPr>
      </w:pPr>
    </w:p>
    <w:p>
      <w:pPr>
        <w:pStyle w:val="BodyText"/>
        <w:spacing w:before="3"/>
        <w:rPr>
          <w:sz w:val="8"/>
        </w:rPr>
      </w:pPr>
    </w:p>
    <w:p>
      <w:pPr>
        <w:pStyle w:val="Heading6"/>
        <w:numPr>
          <w:ilvl w:val="0"/>
          <w:numId w:val="75"/>
        </w:numPr>
        <w:tabs>
          <w:tab w:pos="467" w:val="left" w:leader="none"/>
        </w:tabs>
        <w:spacing w:line="240" w:lineRule="auto" w:before="65" w:after="0"/>
        <w:ind w:left="467" w:right="0" w:hanging="241"/>
        <w:jc w:val="left"/>
      </w:pPr>
      <w:bookmarkStart w:name="9施工安全、治安保卫和环境保护" w:id="131"/>
      <w:bookmarkEnd w:id="131"/>
      <w:r>
        <w:rPr>
          <w:b w:val="0"/>
        </w:rPr>
      </w:r>
      <w:bookmarkStart w:name="9施工安全、治安保卫和环境保护" w:id="132"/>
      <w:bookmarkEnd w:id="132"/>
      <w:r>
        <w:rPr>
          <w:spacing w:val="-4"/>
        </w:rPr>
        <w:t>施工安全、治安保卫和环境保护</w:t>
      </w:r>
    </w:p>
    <w:p>
      <w:pPr>
        <w:pStyle w:val="BodyText"/>
        <w:spacing w:before="7"/>
        <w:rPr>
          <w:rFonts w:ascii="黑体"/>
          <w:b/>
          <w:sz w:val="39"/>
        </w:rPr>
      </w:pPr>
    </w:p>
    <w:p>
      <w:pPr>
        <w:pStyle w:val="BodyText"/>
        <w:tabs>
          <w:tab w:pos="752" w:val="left" w:leader="none"/>
        </w:tabs>
        <w:ind w:left="226"/>
        <w:rPr>
          <w:rFonts w:ascii="黑体" w:eastAsia="黑体" w:hint="eastAsia"/>
        </w:rPr>
      </w:pPr>
      <w:r>
        <w:rPr>
          <w:sz w:val="21"/>
        </w:rPr>
        <w:t> </w:t>
        <w:tab/>
      </w:r>
      <w:r>
        <w:rPr>
          <w:rFonts w:ascii="黑体" w:eastAsia="黑体" w:hint="eastAsia"/>
        </w:rPr>
        <w:t>9.1</w:t>
      </w:r>
      <w:r>
        <w:rPr>
          <w:rFonts w:ascii="黑体" w:eastAsia="黑体" w:hint="eastAsia"/>
          <w:spacing w:val="-8"/>
        </w:rPr>
        <w:t> 发包人的施工安全责任</w:t>
      </w:r>
    </w:p>
    <w:p>
      <w:pPr>
        <w:pStyle w:val="BodyText"/>
        <w:tabs>
          <w:tab w:pos="752" w:val="left" w:leader="none"/>
        </w:tabs>
        <w:spacing w:before="173"/>
        <w:ind w:left="226"/>
      </w:pPr>
      <w:r>
        <w:rPr>
          <w:sz w:val="21"/>
        </w:rPr>
        <w:t>   </w:t>
        <w:tab/>
      </w:r>
      <w:r>
        <w:rPr>
          <w:rFonts w:ascii="Calibri" w:eastAsia="Calibri"/>
        </w:rPr>
        <w:t>9.1.4</w:t>
      </w:r>
      <w:r>
        <w:rPr>
          <w:rFonts w:ascii="Calibri" w:eastAsia="Calibri"/>
          <w:spacing w:val="3"/>
        </w:rPr>
        <w:t> </w:t>
      </w:r>
      <w:r>
        <w:rPr/>
        <w:t>发包人提供</w:t>
      </w:r>
      <w:r>
        <w:rPr>
          <w:spacing w:val="12"/>
          <w:u w:val="single"/>
        </w:rPr>
        <w:t> </w:t>
      </w:r>
      <w:r>
        <w:rPr/>
        <w:t>资料，其余资料由承包人负责收集。</w:t>
      </w:r>
    </w:p>
    <w:p>
      <w:pPr>
        <w:pStyle w:val="BodyText"/>
        <w:tabs>
          <w:tab w:pos="752" w:val="left" w:leader="none"/>
        </w:tabs>
        <w:spacing w:before="158"/>
        <w:ind w:left="226"/>
        <w:rPr>
          <w:rFonts w:ascii="黑体" w:eastAsia="黑体" w:hint="eastAsia"/>
        </w:rPr>
      </w:pPr>
      <w:r>
        <w:rPr>
          <w:sz w:val="21"/>
        </w:rPr>
        <w:t> </w:t>
        <w:tab/>
      </w:r>
      <w:r>
        <w:rPr>
          <w:rFonts w:ascii="黑体" w:eastAsia="黑体" w:hint="eastAsia"/>
        </w:rPr>
        <w:t>9.2</w:t>
      </w:r>
      <w:r>
        <w:rPr>
          <w:rFonts w:ascii="黑体" w:eastAsia="黑体" w:hint="eastAsia"/>
          <w:spacing w:val="-8"/>
        </w:rPr>
        <w:t> 承包人的施工安全责任</w:t>
      </w:r>
    </w:p>
    <w:p>
      <w:pPr>
        <w:pStyle w:val="BodyText"/>
        <w:spacing w:before="158"/>
        <w:ind w:left="286"/>
      </w:pPr>
      <w:r>
        <w:rPr/>
        <w:pict>
          <v:group style="position:absolute;margin-left:71.349998pt;margin-top:21.460485pt;width:446.15pt;height:432.65pt;mso-position-horizontal-relative:page;mso-position-vertical-relative:paragraph;z-index:-268523520" coordorigin="1427,429" coordsize="8923,8653">
            <v:shape style="position:absolute;left:1563;top:429;width:8786;height:8653" type="#_x0000_t75" stroked="false">
              <v:imagedata r:id="rId6" o:title=""/>
            </v:shape>
            <v:shape style="position:absolute;left:1427;top:657;width:5622;height:1213" type="#_x0000_t202" filled="false" stroked="false">
              <v:textbox inset="0,0,0,0">
                <w:txbxContent>
                  <w:p>
                    <w:pPr>
                      <w:spacing w:line="274" w:lineRule="exact" w:before="0"/>
                      <w:ind w:left="0" w:right="0" w:firstLine="0"/>
                      <w:jc w:val="left"/>
                      <w:rPr>
                        <w:sz w:val="24"/>
                      </w:rPr>
                    </w:pPr>
                    <w:r>
                      <w:rPr>
                        <w:sz w:val="24"/>
                      </w:rPr>
                      <w:t>证和审查。</w:t>
                    </w:r>
                  </w:p>
                  <w:p>
                    <w:pPr>
                      <w:tabs>
                        <w:tab w:pos="480" w:val="left" w:leader="none"/>
                      </w:tabs>
                      <w:spacing w:before="158"/>
                      <w:ind w:left="0" w:right="0" w:firstLine="0"/>
                      <w:jc w:val="left"/>
                      <w:rPr>
                        <w:rFonts w:ascii="黑体" w:eastAsia="黑体" w:hint="eastAsia"/>
                        <w:sz w:val="24"/>
                      </w:rPr>
                    </w:pPr>
                    <w:r>
                      <w:rPr>
                        <w:sz w:val="24"/>
                      </w:rPr>
                      <w:t> </w:t>
                      <w:tab/>
                    </w:r>
                    <w:r>
                      <w:rPr>
                        <w:rFonts w:ascii="黑体" w:eastAsia="黑体" w:hint="eastAsia"/>
                        <w:sz w:val="24"/>
                      </w:rPr>
                      <w:t>9.7</w:t>
                    </w:r>
                    <w:r>
                      <w:rPr>
                        <w:rFonts w:ascii="黑体" w:eastAsia="黑体" w:hint="eastAsia"/>
                        <w:spacing w:val="-12"/>
                        <w:sz w:val="24"/>
                      </w:rPr>
                      <w:t> 文明工地</w:t>
                    </w:r>
                  </w:p>
                  <w:p>
                    <w:pPr>
                      <w:spacing w:line="300" w:lineRule="exact" w:before="173"/>
                      <w:ind w:left="0" w:right="0" w:firstLine="0"/>
                      <w:jc w:val="left"/>
                      <w:rPr>
                        <w:sz w:val="24"/>
                      </w:rPr>
                    </w:pPr>
                    <w:r>
                      <w:rPr>
                        <w:sz w:val="24"/>
                      </w:rPr>
                      <w:t>    </w:t>
                    </w:r>
                    <w:r>
                      <w:rPr>
                        <w:rFonts w:ascii="Calibri" w:eastAsia="Calibri"/>
                        <w:sz w:val="24"/>
                      </w:rPr>
                      <w:t>9.7.1 </w:t>
                    </w:r>
                    <w:r>
                      <w:rPr>
                        <w:sz w:val="24"/>
                      </w:rPr>
                      <w:t>本合同文明工地的约定：</w:t>
                    </w:r>
                    <w:r>
                      <w:rPr>
                        <w:sz w:val="24"/>
                        <w:u w:val="single"/>
                      </w:rPr>
                      <w:t> </w:t>
                    </w:r>
                    <w:r>
                      <w:rPr>
                        <w:sz w:val="24"/>
                      </w:rPr>
                      <w:t>。</w:t>
                    </w:r>
                  </w:p>
                </w:txbxContent>
              </v:textbox>
              <w10:wrap type="none"/>
            </v:shape>
            <v:shape style="position:absolute;left:1427;top:2390;width:2671;height:285" type="#_x0000_t202" filled="false" stroked="false">
              <v:textbox inset="0,0,0,0">
                <w:txbxContent>
                  <w:p>
                    <w:pPr>
                      <w:spacing w:line="285" w:lineRule="exact" w:before="0"/>
                      <w:ind w:left="0" w:right="0" w:firstLine="0"/>
                      <w:jc w:val="left"/>
                      <w:rPr>
                        <w:rFonts w:ascii="黑体" w:eastAsia="黑体" w:hint="eastAsia"/>
                        <w:b/>
                        <w:sz w:val="28"/>
                      </w:rPr>
                    </w:pPr>
                    <w:r>
                      <w:rPr>
                        <w:rFonts w:ascii="黑体" w:eastAsia="黑体" w:hint="eastAsia"/>
                        <w:b/>
                        <w:spacing w:val="11"/>
                        <w:sz w:val="28"/>
                      </w:rPr>
                      <w:t>11</w:t>
                    </w:r>
                    <w:r>
                      <w:rPr>
                        <w:rFonts w:ascii="黑体" w:eastAsia="黑体" w:hint="eastAsia"/>
                        <w:b/>
                        <w:spacing w:val="-8"/>
                        <w:sz w:val="28"/>
                      </w:rPr>
                      <w:t> 开工和竣工(完工)</w:t>
                    </w:r>
                  </w:p>
                </w:txbxContent>
              </v:textbox>
              <w10:wrap type="none"/>
            </v:shape>
            <v:shape style="position:absolute;left:1427;top:3280;width:125;height:210" type="#_x0000_t202" filled="false" stroked="false">
              <v:textbox inset="0,0,0,0">
                <w:txbxContent>
                  <w:p>
                    <w:pPr>
                      <w:spacing w:line="210" w:lineRule="exact" w:before="0"/>
                      <w:ind w:left="0" w:right="0" w:firstLine="0"/>
                      <w:jc w:val="left"/>
                      <w:rPr>
                        <w:sz w:val="21"/>
                      </w:rPr>
                    </w:pPr>
                    <w:r>
                      <w:rPr>
                        <w:sz w:val="21"/>
                      </w:rPr>
                      <w:t> </w:t>
                    </w:r>
                  </w:p>
                </w:txbxContent>
              </v:textbox>
              <w10:wrap type="none"/>
            </v:shape>
            <v:shape style="position:absolute;left:1967;top:3254;width:2725;height:240" type="#_x0000_t202" filled="false" stroked="false">
              <v:textbox inset="0,0,0,0">
                <w:txbxContent>
                  <w:p>
                    <w:pPr>
                      <w:spacing w:line="240" w:lineRule="exact" w:before="0"/>
                      <w:ind w:left="0" w:right="0" w:firstLine="0"/>
                      <w:jc w:val="left"/>
                      <w:rPr>
                        <w:rFonts w:ascii="黑体" w:eastAsia="黑体" w:hint="eastAsia"/>
                        <w:sz w:val="24"/>
                      </w:rPr>
                    </w:pPr>
                    <w:r>
                      <w:rPr>
                        <w:rFonts w:ascii="黑体" w:eastAsia="黑体" w:hint="eastAsia"/>
                        <w:sz w:val="24"/>
                      </w:rPr>
                      <w:t>11.4</w:t>
                    </w:r>
                    <w:r>
                      <w:rPr>
                        <w:rFonts w:ascii="黑体" w:eastAsia="黑体" w:hint="eastAsia"/>
                        <w:spacing w:val="-8"/>
                        <w:sz w:val="24"/>
                      </w:rPr>
                      <w:t> 异常恶劣的气候条件</w:t>
                    </w:r>
                  </w:p>
                </w:txbxContent>
              </v:textbox>
              <w10:wrap type="none"/>
            </v:shape>
            <v:shape style="position:absolute;left:1427;top:3734;width:6479;height:3513" type="#_x0000_t202" filled="false" stroked="false">
              <v:textbox inset="0,0,0,0">
                <w:txbxContent>
                  <w:p>
                    <w:pPr>
                      <w:tabs>
                        <w:tab w:pos="600" w:val="left" w:leader="none"/>
                      </w:tabs>
                      <w:spacing w:line="274" w:lineRule="exact" w:before="0"/>
                      <w:ind w:left="0" w:right="0" w:firstLine="0"/>
                      <w:jc w:val="left"/>
                      <w:rPr>
                        <w:sz w:val="24"/>
                      </w:rPr>
                    </w:pPr>
                    <w:r>
                      <w:rPr>
                        <w:sz w:val="24"/>
                      </w:rPr>
                      <w:t> </w:t>
                      <w:tab/>
                    </w:r>
                    <w:r>
                      <w:rPr>
                        <w:rFonts w:ascii="Calibri" w:eastAsia="Calibri"/>
                        <w:sz w:val="24"/>
                      </w:rPr>
                      <w:t>11.4.3</w:t>
                    </w:r>
                    <w:r>
                      <w:rPr>
                        <w:rFonts w:ascii="Calibri" w:eastAsia="Calibri"/>
                        <w:spacing w:val="2"/>
                        <w:sz w:val="24"/>
                      </w:rPr>
                      <w:t> </w:t>
                    </w:r>
                    <w:r>
                      <w:rPr>
                        <w:sz w:val="24"/>
                      </w:rPr>
                      <w:t>本合同工程界定异常恶劣气候条件的范围为：</w:t>
                    </w:r>
                  </w:p>
                  <w:p>
                    <w:pPr>
                      <w:tabs>
                        <w:tab w:pos="480" w:val="left" w:leader="none"/>
                      </w:tabs>
                      <w:spacing w:before="158"/>
                      <w:ind w:left="60" w:right="0" w:firstLine="0"/>
                      <w:jc w:val="left"/>
                      <w:rPr>
                        <w:sz w:val="24"/>
                      </w:rPr>
                    </w:pPr>
                    <w:r>
                      <w:rPr>
                        <w:sz w:val="21"/>
                      </w:rPr>
                      <w:t> </w:t>
                      <w:tab/>
                    </w:r>
                    <w:r>
                      <w:rPr>
                        <w:spacing w:val="-1"/>
                        <w:sz w:val="24"/>
                      </w:rPr>
                      <w:t> </w:t>
                    </w:r>
                    <w:r>
                      <w:rPr>
                        <w:sz w:val="24"/>
                      </w:rPr>
                      <w:t>(1)日降雨量大于</w:t>
                    </w:r>
                    <w:r>
                      <w:rPr>
                        <w:spacing w:val="118"/>
                        <w:sz w:val="24"/>
                        <w:u w:val="single"/>
                      </w:rPr>
                      <w:t> </w:t>
                    </w:r>
                    <w:r>
                      <w:rPr>
                        <w:rFonts w:ascii="Calibri" w:eastAsia="Calibri"/>
                        <w:spacing w:val="-6"/>
                        <w:sz w:val="24"/>
                      </w:rPr>
                      <w:t>mm </w:t>
                    </w:r>
                    <w:r>
                      <w:rPr>
                        <w:sz w:val="24"/>
                      </w:rPr>
                      <w:t>的雨日超过</w:t>
                    </w:r>
                    <w:r>
                      <w:rPr>
                        <w:spacing w:val="29"/>
                        <w:sz w:val="24"/>
                        <w:u w:val="single"/>
                      </w:rPr>
                      <w:t> </w:t>
                    </w:r>
                    <w:r>
                      <w:rPr>
                        <w:sz w:val="24"/>
                      </w:rPr>
                      <w:t>天；</w:t>
                    </w:r>
                  </w:p>
                  <w:p>
                    <w:pPr>
                      <w:spacing w:before="158"/>
                      <w:ind w:left="0" w:right="0" w:firstLine="0"/>
                      <w:jc w:val="left"/>
                      <w:rPr>
                        <w:sz w:val="24"/>
                      </w:rPr>
                    </w:pPr>
                    <w:r>
                      <w:rPr>
                        <w:sz w:val="24"/>
                      </w:rPr>
                      <w:t>     (2)风速大于</w:t>
                    </w:r>
                    <w:r>
                      <w:rPr>
                        <w:spacing w:val="119"/>
                        <w:sz w:val="24"/>
                        <w:u w:val="single"/>
                      </w:rPr>
                      <w:t> </w:t>
                    </w:r>
                    <w:r>
                      <w:rPr>
                        <w:rFonts w:ascii="Calibri" w:eastAsia="Calibri"/>
                        <w:spacing w:val="-5"/>
                        <w:sz w:val="24"/>
                      </w:rPr>
                      <w:t>m/s </w:t>
                    </w:r>
                    <w:r>
                      <w:rPr>
                        <w:sz w:val="24"/>
                      </w:rPr>
                      <w:t>的</w:t>
                    </w:r>
                    <w:r>
                      <w:rPr>
                        <w:spacing w:val="119"/>
                        <w:sz w:val="24"/>
                        <w:u w:val="single"/>
                      </w:rPr>
                      <w:t> </w:t>
                    </w:r>
                    <w:r>
                      <w:rPr>
                        <w:sz w:val="24"/>
                      </w:rPr>
                      <w:t>级以上台风灾害；</w:t>
                    </w:r>
                  </w:p>
                  <w:p>
                    <w:pPr>
                      <w:spacing w:before="158"/>
                      <w:ind w:left="0" w:right="0" w:firstLine="0"/>
                      <w:jc w:val="left"/>
                      <w:rPr>
                        <w:sz w:val="24"/>
                      </w:rPr>
                    </w:pPr>
                    <w:r>
                      <w:rPr>
                        <w:sz w:val="24"/>
                      </w:rPr>
                      <w:t>    </w:t>
                    </w:r>
                    <w:r>
                      <w:rPr>
                        <w:spacing w:val="-1"/>
                        <w:sz w:val="24"/>
                      </w:rPr>
                      <w:t> </w:t>
                    </w:r>
                    <w:r>
                      <w:rPr>
                        <w:sz w:val="24"/>
                      </w:rPr>
                      <w:t>(3)日气温超过</w:t>
                    </w:r>
                    <w:r>
                      <w:rPr>
                        <w:spacing w:val="17"/>
                        <w:sz w:val="24"/>
                        <w:u w:val="single"/>
                      </w:rPr>
                      <w:t>       </w:t>
                    </w:r>
                    <w:r>
                      <w:rPr>
                        <w:sz w:val="24"/>
                      </w:rPr>
                      <w:t>℃的高温大于</w:t>
                    </w:r>
                    <w:r>
                      <w:rPr>
                        <w:spacing w:val="17"/>
                        <w:sz w:val="24"/>
                        <w:u w:val="single"/>
                      </w:rPr>
                      <w:t>       </w:t>
                    </w:r>
                    <w:r>
                      <w:rPr>
                        <w:sz w:val="24"/>
                      </w:rPr>
                      <w:t>天；</w:t>
                    </w:r>
                  </w:p>
                  <w:p>
                    <w:pPr>
                      <w:spacing w:before="158"/>
                      <w:ind w:left="0" w:right="0" w:firstLine="0"/>
                      <w:jc w:val="left"/>
                      <w:rPr>
                        <w:sz w:val="24"/>
                      </w:rPr>
                    </w:pPr>
                    <w:r>
                      <w:rPr>
                        <w:sz w:val="24"/>
                      </w:rPr>
                      <w:t>    </w:t>
                    </w:r>
                    <w:r>
                      <w:rPr>
                        <w:spacing w:val="-1"/>
                        <w:sz w:val="24"/>
                      </w:rPr>
                      <w:t> </w:t>
                    </w:r>
                    <w:r>
                      <w:rPr>
                        <w:sz w:val="24"/>
                      </w:rPr>
                      <w:t>(4)日气温低于</w:t>
                    </w:r>
                    <w:r>
                      <w:rPr>
                        <w:spacing w:val="17"/>
                        <w:sz w:val="24"/>
                        <w:u w:val="single"/>
                      </w:rPr>
                      <w:t>       </w:t>
                    </w:r>
                    <w:r>
                      <w:rPr>
                        <w:sz w:val="24"/>
                      </w:rPr>
                      <w:t>℃的严寒大于</w:t>
                    </w:r>
                    <w:r>
                      <w:rPr>
                        <w:spacing w:val="17"/>
                        <w:sz w:val="24"/>
                        <w:u w:val="single"/>
                      </w:rPr>
                      <w:t>       </w:t>
                    </w:r>
                    <w:r>
                      <w:rPr>
                        <w:sz w:val="24"/>
                      </w:rPr>
                      <w:t>天；</w:t>
                    </w:r>
                  </w:p>
                  <w:p>
                    <w:pPr>
                      <w:tabs>
                        <w:tab w:pos="600" w:val="left" w:leader="none"/>
                      </w:tabs>
                      <w:spacing w:before="172"/>
                      <w:ind w:left="0" w:right="0" w:firstLine="0"/>
                      <w:jc w:val="left"/>
                      <w:rPr>
                        <w:sz w:val="24"/>
                      </w:rPr>
                    </w:pPr>
                    <w:r>
                      <w:rPr>
                        <w:sz w:val="24"/>
                      </w:rPr>
                      <w:t>   </w:t>
                      <w:tab/>
                      <w:t>(5)造成工程损坏的冰雹和大雪灾害：</w:t>
                    </w:r>
                    <w:r>
                      <w:rPr>
                        <w:spacing w:val="118"/>
                        <w:sz w:val="24"/>
                        <w:u w:val="single"/>
                      </w:rPr>
                      <w:t> </w:t>
                    </w:r>
                    <w:r>
                      <w:rPr>
                        <w:sz w:val="24"/>
                      </w:rPr>
                      <w:t>；</w:t>
                    </w:r>
                  </w:p>
                  <w:p>
                    <w:pPr>
                      <w:tabs>
                        <w:tab w:pos="480" w:val="left" w:leader="none"/>
                      </w:tabs>
                      <w:spacing w:before="158"/>
                      <w:ind w:left="0" w:right="0" w:firstLine="0"/>
                      <w:jc w:val="left"/>
                      <w:rPr>
                        <w:sz w:val="24"/>
                      </w:rPr>
                    </w:pPr>
                    <w:r>
                      <w:rPr>
                        <w:sz w:val="24"/>
                      </w:rPr>
                      <w:t> </w:t>
                      <w:tab/>
                    </w:r>
                    <w:r>
                      <w:rPr>
                        <w:spacing w:val="-1"/>
                        <w:sz w:val="24"/>
                      </w:rPr>
                      <w:t> </w:t>
                    </w:r>
                    <w:r>
                      <w:rPr>
                        <w:sz w:val="24"/>
                      </w:rPr>
                      <w:t>(6)其它异常恶劣气候灾害。</w:t>
                    </w:r>
                  </w:p>
                  <w:p>
                    <w:pPr>
                      <w:spacing w:line="274" w:lineRule="exact" w:before="158"/>
                      <w:ind w:left="600" w:right="0" w:firstLine="0"/>
                      <w:jc w:val="left"/>
                      <w:rPr>
                        <w:rFonts w:ascii="黑体" w:eastAsia="黑体" w:hint="eastAsia"/>
                        <w:sz w:val="24"/>
                      </w:rPr>
                    </w:pPr>
                    <w:r>
                      <w:rPr>
                        <w:rFonts w:ascii="黑体" w:eastAsia="黑体" w:hint="eastAsia"/>
                        <w:sz w:val="24"/>
                      </w:rPr>
                      <w:t>11.5 承包人工期延误</w:t>
                    </w:r>
                  </w:p>
                </w:txbxContent>
              </v:textbox>
              <w10:wrap type="none"/>
            </v:shape>
            <v:shape style="position:absolute;left:1427;top:7473;width:140;height:240" type="#_x0000_t202" filled="false" stroked="false">
              <v:textbox inset="0,0,0,0">
                <w:txbxContent>
                  <w:p>
                    <w:pPr>
                      <w:spacing w:line="240" w:lineRule="exact" w:before="0"/>
                      <w:ind w:left="0" w:right="0" w:firstLine="0"/>
                      <w:jc w:val="left"/>
                      <w:rPr>
                        <w:sz w:val="24"/>
                      </w:rPr>
                    </w:pPr>
                    <w:r>
                      <w:rPr>
                        <w:sz w:val="24"/>
                      </w:rPr>
                      <w:t> </w:t>
                    </w:r>
                  </w:p>
                </w:txbxContent>
              </v:textbox>
              <w10:wrap type="none"/>
            </v:shape>
            <v:shape style="position:absolute;left:2027;top:7473;width:3866;height:240" type="#_x0000_t202" filled="false" stroked="false">
              <v:textbox inset="0,0,0,0">
                <w:txbxContent>
                  <w:p>
                    <w:pPr>
                      <w:spacing w:line="240" w:lineRule="exact" w:before="0"/>
                      <w:ind w:left="0" w:right="0" w:firstLine="0"/>
                      <w:jc w:val="left"/>
                      <w:rPr>
                        <w:sz w:val="24"/>
                      </w:rPr>
                    </w:pPr>
                    <w:r>
                      <w:rPr>
                        <w:sz w:val="24"/>
                      </w:rPr>
                      <w:t>(1)逾期完工违约金表(参考格式)。 </w:t>
                    </w:r>
                  </w:p>
                </w:txbxContent>
              </v:textbox>
              <w10:wrap type="none"/>
            </v:shape>
            <w10:wrap type="none"/>
          </v:group>
        </w:pict>
      </w:r>
      <w:r>
        <w:rPr/>
        <w:t>    </w:t>
      </w:r>
      <w:r>
        <w:rPr>
          <w:rFonts w:ascii="Calibri" w:eastAsia="Calibri"/>
        </w:rPr>
        <w:t>9.2.12 </w:t>
      </w:r>
      <w:r>
        <w:rPr>
          <w:spacing w:val="-1"/>
        </w:rPr>
        <w:t>下列工程应编制专项施工方案：</w:t>
      </w:r>
      <w:r>
        <w:rPr>
          <w:spacing w:val="-1"/>
          <w:u w:val="single"/>
        </w:rPr>
        <w:t> </w:t>
      </w:r>
      <w:r>
        <w:rPr/>
        <w:t>。其中</w:t>
      </w:r>
      <w:r>
        <w:rPr>
          <w:spacing w:val="116"/>
          <w:u w:val="single"/>
        </w:rPr>
        <w:t> </w:t>
      </w:r>
      <w:r>
        <w:rPr/>
        <w:t>应组织专家论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3"/>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1"/>
        <w:gridCol w:w="3575"/>
        <w:gridCol w:w="2343"/>
        <w:gridCol w:w="2178"/>
      </w:tblGrid>
      <w:tr>
        <w:trPr>
          <w:trHeight w:val="465" w:hRule="atLeast"/>
        </w:trPr>
        <w:tc>
          <w:tcPr>
            <w:tcW w:w="991" w:type="dxa"/>
          </w:tcPr>
          <w:p>
            <w:pPr>
              <w:pStyle w:val="TableParagraph"/>
              <w:spacing w:before="105"/>
              <w:ind w:left="292"/>
              <w:rPr>
                <w:sz w:val="21"/>
              </w:rPr>
            </w:pPr>
            <w:bookmarkStart w:name="11开工和竣工(完工)" w:id="133"/>
            <w:bookmarkEnd w:id="133"/>
            <w:r>
              <w:rPr/>
            </w:r>
            <w:r>
              <w:rPr>
                <w:sz w:val="21"/>
              </w:rPr>
              <w:t>序号</w:t>
            </w:r>
          </w:p>
        </w:tc>
        <w:tc>
          <w:tcPr>
            <w:tcW w:w="3575" w:type="dxa"/>
          </w:tcPr>
          <w:p>
            <w:pPr>
              <w:pStyle w:val="TableParagraph"/>
              <w:spacing w:before="105"/>
              <w:ind w:left="1164"/>
              <w:rPr>
                <w:sz w:val="21"/>
              </w:rPr>
            </w:pPr>
            <w:r>
              <w:rPr>
                <w:sz w:val="21"/>
              </w:rPr>
              <w:t>项目及其说明</w:t>
            </w:r>
          </w:p>
        </w:tc>
        <w:tc>
          <w:tcPr>
            <w:tcW w:w="2343" w:type="dxa"/>
          </w:tcPr>
          <w:p>
            <w:pPr>
              <w:pStyle w:val="TableParagraph"/>
              <w:spacing w:before="105"/>
              <w:ind w:left="532"/>
              <w:rPr>
                <w:sz w:val="21"/>
              </w:rPr>
            </w:pPr>
            <w:r>
              <w:rPr>
                <w:sz w:val="21"/>
              </w:rPr>
              <w:t>要求完工日期</w:t>
            </w:r>
          </w:p>
        </w:tc>
        <w:tc>
          <w:tcPr>
            <w:tcW w:w="2178" w:type="dxa"/>
          </w:tcPr>
          <w:p>
            <w:pPr>
              <w:pStyle w:val="TableParagraph"/>
              <w:spacing w:before="105"/>
              <w:ind w:left="457"/>
              <w:rPr>
                <w:rFonts w:ascii="Calibri" w:eastAsia="Calibri"/>
                <w:sz w:val="21"/>
              </w:rPr>
            </w:pPr>
            <w:r>
              <w:rPr>
                <w:sz w:val="21"/>
              </w:rPr>
              <w:t>违约金</w:t>
            </w:r>
            <w:r>
              <w:rPr>
                <w:rFonts w:ascii="Calibri" w:eastAsia="Calibri"/>
                <w:sz w:val="21"/>
              </w:rPr>
              <w:t>(</w:t>
            </w:r>
            <w:r>
              <w:rPr>
                <w:sz w:val="21"/>
              </w:rPr>
              <w:t>元</w:t>
            </w:r>
            <w:r>
              <w:rPr>
                <w:rFonts w:ascii="Calibri" w:eastAsia="Calibri"/>
                <w:sz w:val="21"/>
              </w:rPr>
              <w:t>/</w:t>
            </w:r>
            <w:r>
              <w:rPr>
                <w:sz w:val="21"/>
              </w:rPr>
              <w:t>天</w:t>
            </w:r>
            <w:r>
              <w:rPr>
                <w:rFonts w:ascii="Calibri" w:eastAsia="Calibri"/>
                <w:sz w:val="21"/>
              </w:rPr>
              <w:t>)</w:t>
            </w:r>
          </w:p>
        </w:tc>
      </w:tr>
      <w:tr>
        <w:trPr>
          <w:trHeight w:val="465" w:hRule="atLeast"/>
        </w:trPr>
        <w:tc>
          <w:tcPr>
            <w:tcW w:w="991" w:type="dxa"/>
          </w:tcPr>
          <w:p>
            <w:pPr>
              <w:pStyle w:val="TableParagraph"/>
              <w:rPr>
                <w:rFonts w:ascii="Times New Roman"/>
                <w:sz w:val="24"/>
              </w:rPr>
            </w:pPr>
          </w:p>
        </w:tc>
        <w:tc>
          <w:tcPr>
            <w:tcW w:w="3575" w:type="dxa"/>
          </w:tcPr>
          <w:p>
            <w:pPr>
              <w:pStyle w:val="TableParagraph"/>
              <w:rPr>
                <w:rFonts w:ascii="Times New Roman"/>
                <w:sz w:val="24"/>
              </w:rPr>
            </w:pPr>
          </w:p>
        </w:tc>
        <w:tc>
          <w:tcPr>
            <w:tcW w:w="2343" w:type="dxa"/>
          </w:tcPr>
          <w:p>
            <w:pPr>
              <w:pStyle w:val="TableParagraph"/>
              <w:rPr>
                <w:rFonts w:ascii="Times New Roman"/>
                <w:sz w:val="24"/>
              </w:rPr>
            </w:pPr>
          </w:p>
        </w:tc>
        <w:tc>
          <w:tcPr>
            <w:tcW w:w="2178" w:type="dxa"/>
          </w:tcPr>
          <w:p>
            <w:pPr>
              <w:pStyle w:val="TableParagraph"/>
              <w:rPr>
                <w:rFonts w:ascii="Times New Roman"/>
                <w:sz w:val="24"/>
              </w:rPr>
            </w:pPr>
          </w:p>
        </w:tc>
      </w:tr>
      <w:tr>
        <w:trPr>
          <w:trHeight w:val="465" w:hRule="atLeast"/>
        </w:trPr>
        <w:tc>
          <w:tcPr>
            <w:tcW w:w="991" w:type="dxa"/>
          </w:tcPr>
          <w:p>
            <w:pPr>
              <w:pStyle w:val="TableParagraph"/>
              <w:rPr>
                <w:rFonts w:ascii="Times New Roman"/>
                <w:sz w:val="24"/>
              </w:rPr>
            </w:pPr>
          </w:p>
        </w:tc>
        <w:tc>
          <w:tcPr>
            <w:tcW w:w="3575" w:type="dxa"/>
          </w:tcPr>
          <w:p>
            <w:pPr>
              <w:pStyle w:val="TableParagraph"/>
              <w:rPr>
                <w:rFonts w:ascii="Times New Roman"/>
                <w:sz w:val="24"/>
              </w:rPr>
            </w:pPr>
          </w:p>
        </w:tc>
        <w:tc>
          <w:tcPr>
            <w:tcW w:w="2343" w:type="dxa"/>
          </w:tcPr>
          <w:p>
            <w:pPr>
              <w:pStyle w:val="TableParagraph"/>
              <w:rPr>
                <w:rFonts w:ascii="Times New Roman"/>
                <w:sz w:val="24"/>
              </w:rPr>
            </w:pPr>
          </w:p>
        </w:tc>
        <w:tc>
          <w:tcPr>
            <w:tcW w:w="2178" w:type="dxa"/>
          </w:tcPr>
          <w:p>
            <w:pPr>
              <w:pStyle w:val="TableParagraph"/>
              <w:rPr>
                <w:rFonts w:ascii="Times New Roman"/>
                <w:sz w:val="24"/>
              </w:rPr>
            </w:pPr>
          </w:p>
        </w:tc>
      </w:tr>
    </w:tbl>
    <w:p>
      <w:pPr>
        <w:pStyle w:val="BodyText"/>
        <w:spacing w:before="90"/>
        <w:ind w:left="226"/>
      </w:pPr>
      <w:r>
        <w:rPr>
          <w:sz w:val="21"/>
        </w:rPr>
        <w:t>    </w:t>
      </w:r>
      <w:r>
        <w:rPr/>
        <w:t>(2)全部逾期完工违约金的总限额为</w:t>
      </w:r>
      <w:r>
        <w:rPr>
          <w:spacing w:val="119"/>
          <w:u w:val="single"/>
        </w:rPr>
        <w:t> </w:t>
      </w:r>
      <w:r>
        <w:rPr>
          <w:rFonts w:ascii="Calibri" w:eastAsia="Calibri"/>
        </w:rPr>
        <w:t>(</w:t>
      </w:r>
      <w:r>
        <w:rPr/>
        <w:t>不超过签约合同价的</w:t>
      </w:r>
      <w:r>
        <w:rPr>
          <w:u w:val="single"/>
        </w:rPr>
        <w:t>  </w:t>
      </w:r>
      <w:r>
        <w:rPr>
          <w:rFonts w:ascii="Calibri" w:eastAsia="Calibri"/>
          <w:spacing w:val="-3"/>
        </w:rPr>
        <w:t>%)</w:t>
      </w:r>
      <w:r>
        <w:rPr/>
        <w:t>。</w:t>
      </w:r>
    </w:p>
    <w:p>
      <w:pPr>
        <w:pStyle w:val="BodyText"/>
        <w:spacing w:before="158"/>
        <w:ind w:left="226"/>
        <w:rPr>
          <w:rFonts w:ascii="黑体" w:eastAsia="黑体" w:hint="eastAsia"/>
        </w:rPr>
      </w:pPr>
      <w:r>
        <w:rPr>
          <w:rFonts w:ascii="黑体" w:eastAsia="黑体" w:hint="eastAsia"/>
        </w:rPr>
        <w:t>11.6 工期提前</w:t>
      </w:r>
    </w:p>
    <w:p>
      <w:pPr>
        <w:pStyle w:val="BodyText"/>
        <w:tabs>
          <w:tab w:pos="647" w:val="left" w:leader="none"/>
        </w:tabs>
        <w:spacing w:before="157"/>
        <w:ind w:left="286"/>
      </w:pPr>
      <w:r>
        <w:rPr/>
        <w:t> </w:t>
        <w:tab/>
        <w:t>工期提前的奖金约定：</w:t>
      </w:r>
      <w:r>
        <w:rPr>
          <w:spacing w:val="119"/>
          <w:u w:val="single"/>
        </w:rPr>
        <w:t> </w:t>
      </w:r>
      <w:r>
        <w:rPr/>
        <w:t>。</w:t>
      </w:r>
    </w:p>
    <w:p>
      <w:pPr>
        <w:spacing w:after="0"/>
        <w:sectPr>
          <w:pgSz w:w="11910" w:h="16850"/>
          <w:pgMar w:header="911" w:footer="0" w:top="1380" w:bottom="280" w:left="1200" w:right="0"/>
        </w:sectPr>
      </w:pPr>
    </w:p>
    <w:p>
      <w:pPr>
        <w:pStyle w:val="BodyText"/>
        <w:spacing w:before="3"/>
        <w:rPr>
          <w:sz w:val="8"/>
        </w:rPr>
      </w:pPr>
    </w:p>
    <w:p>
      <w:pPr>
        <w:pStyle w:val="Heading6"/>
        <w:spacing w:before="65"/>
        <w:ind w:left="226" w:firstLine="0"/>
      </w:pPr>
      <w:bookmarkStart w:name="12暂停施工" w:id="134"/>
      <w:bookmarkEnd w:id="134"/>
      <w:r>
        <w:rPr>
          <w:b w:val="0"/>
        </w:rPr>
      </w:r>
      <w:r>
        <w:rPr/>
        <w:t>12 暂停施工</w:t>
      </w:r>
    </w:p>
    <w:p>
      <w:pPr>
        <w:pStyle w:val="BodyText"/>
        <w:spacing w:before="7"/>
        <w:rPr>
          <w:rFonts w:ascii="黑体"/>
          <w:b/>
          <w:sz w:val="39"/>
        </w:rPr>
      </w:pPr>
    </w:p>
    <w:p>
      <w:pPr>
        <w:pStyle w:val="BodyText"/>
        <w:tabs>
          <w:tab w:pos="647" w:val="left" w:leader="none"/>
        </w:tabs>
        <w:ind w:left="226"/>
        <w:rPr>
          <w:rFonts w:ascii="黑体" w:eastAsia="黑体" w:hint="eastAsia"/>
        </w:rPr>
      </w:pPr>
      <w:r>
        <w:rPr>
          <w:sz w:val="21"/>
        </w:rPr>
        <w:t> </w:t>
        <w:tab/>
      </w:r>
      <w:r>
        <w:rPr>
          <w:rFonts w:ascii="黑体" w:eastAsia="黑体" w:hint="eastAsia"/>
        </w:rPr>
        <w:t>12.1</w:t>
      </w:r>
      <w:r>
        <w:rPr>
          <w:rFonts w:ascii="黑体" w:eastAsia="黑体" w:hint="eastAsia"/>
          <w:spacing w:val="-8"/>
        </w:rPr>
        <w:t> 承包人暂停施工的责任</w:t>
      </w:r>
    </w:p>
    <w:p>
      <w:pPr>
        <w:pStyle w:val="BodyText"/>
        <w:spacing w:before="173"/>
        <w:ind w:left="647"/>
        <w:rPr>
          <w:sz w:val="21"/>
        </w:rPr>
      </w:pPr>
      <w:r>
        <w:rPr/>
        <w:t>(5)承包人承担暂停施工责任的其它情形：</w:t>
      </w:r>
      <w:r>
        <w:rPr>
          <w:spacing w:val="59"/>
        </w:rPr>
        <w:t> </w:t>
      </w:r>
      <w:r>
        <w:rPr>
          <w:sz w:val="21"/>
        </w:rPr>
        <w:t>。</w:t>
      </w:r>
    </w:p>
    <w:p>
      <w:pPr>
        <w:pStyle w:val="BodyText"/>
        <w:spacing w:before="158"/>
        <w:ind w:left="436"/>
        <w:rPr>
          <w:rFonts w:ascii="黑体" w:eastAsia="黑体" w:hint="eastAsia"/>
        </w:rPr>
      </w:pPr>
      <w:r>
        <w:rPr>
          <w:sz w:val="21"/>
        </w:rPr>
        <w:t>  </w:t>
      </w:r>
      <w:r>
        <w:rPr>
          <w:rFonts w:ascii="黑体" w:eastAsia="黑体" w:hint="eastAsia"/>
        </w:rPr>
        <w:t>12.2 发包人暂停施工的责任</w:t>
      </w:r>
    </w:p>
    <w:p>
      <w:pPr>
        <w:pStyle w:val="BodyText"/>
        <w:spacing w:before="158"/>
        <w:ind w:left="707"/>
      </w:pPr>
      <w:r>
        <w:rPr/>
        <w:pict>
          <v:group style="position:absolute;margin-left:71.349998pt;margin-top:21.460485pt;width:457.75pt;height:432.65pt;mso-position-horizontal-relative:page;mso-position-vertical-relative:paragraph;z-index:251829248" coordorigin="1427,429" coordsize="9155,8653">
            <v:shape style="position:absolute;left:1563;top:429;width:8786;height:8653" type="#_x0000_t75" stroked="false">
              <v:imagedata r:id="rId6" o:title=""/>
            </v:shape>
            <v:shape style="position:absolute;left:1427;top:979;width:1553;height:285" type="#_x0000_t202" filled="false" stroked="false">
              <v:textbox inset="0,0,0,0">
                <w:txbxContent>
                  <w:p>
                    <w:pPr>
                      <w:spacing w:line="285" w:lineRule="exact" w:before="0"/>
                      <w:ind w:left="0" w:right="0" w:firstLine="0"/>
                      <w:jc w:val="left"/>
                      <w:rPr>
                        <w:rFonts w:ascii="黑体" w:eastAsia="黑体" w:hint="eastAsia"/>
                        <w:b/>
                        <w:sz w:val="28"/>
                      </w:rPr>
                    </w:pPr>
                    <w:r>
                      <w:rPr>
                        <w:rFonts w:ascii="黑体" w:eastAsia="黑体" w:hint="eastAsia"/>
                        <w:b/>
                        <w:sz w:val="28"/>
                      </w:rPr>
                      <w:t>13 工程质量</w:t>
                    </w:r>
                  </w:p>
                </w:txbxContent>
              </v:textbox>
              <w10:wrap type="none"/>
            </v:shape>
            <v:shape style="position:absolute;left:1427;top:1858;width:9155;height:3048" type="#_x0000_t202" filled="false" stroked="false">
              <v:textbox inset="0,0,0,0">
                <w:txbxContent>
                  <w:p>
                    <w:pPr>
                      <w:tabs>
                        <w:tab w:pos="435" w:val="left" w:leader="none"/>
                      </w:tabs>
                      <w:spacing w:line="274" w:lineRule="exact" w:before="0"/>
                      <w:ind w:left="15" w:right="0" w:firstLine="0"/>
                      <w:jc w:val="left"/>
                      <w:rPr>
                        <w:rFonts w:ascii="黑体" w:eastAsia="黑体" w:hint="eastAsia"/>
                        <w:sz w:val="24"/>
                      </w:rPr>
                    </w:pPr>
                    <w:r>
                      <w:rPr>
                        <w:sz w:val="21"/>
                      </w:rPr>
                      <w:t> </w:t>
                      <w:tab/>
                    </w:r>
                    <w:r>
                      <w:rPr>
                        <w:rFonts w:ascii="黑体" w:eastAsia="黑体" w:hint="eastAsia"/>
                        <w:sz w:val="24"/>
                      </w:rPr>
                      <w:t>13.7</w:t>
                    </w:r>
                    <w:r>
                      <w:rPr>
                        <w:rFonts w:ascii="黑体" w:eastAsia="黑体" w:hint="eastAsia"/>
                        <w:spacing w:val="-12"/>
                        <w:sz w:val="24"/>
                      </w:rPr>
                      <w:t> 质量评定</w:t>
                    </w:r>
                  </w:p>
                  <w:p>
                    <w:pPr>
                      <w:spacing w:before="158"/>
                      <w:ind w:left="0" w:right="0" w:firstLine="0"/>
                      <w:jc w:val="left"/>
                      <w:rPr>
                        <w:sz w:val="24"/>
                      </w:rPr>
                    </w:pPr>
                    <w:r>
                      <w:rPr>
                        <w:sz w:val="24"/>
                      </w:rPr>
                      <w:t>    </w:t>
                    </w:r>
                    <w:r>
                      <w:rPr>
                        <w:rFonts w:ascii="Calibri" w:eastAsia="Calibri"/>
                        <w:sz w:val="24"/>
                      </w:rPr>
                      <w:t>13.7.4 </w:t>
                    </w:r>
                    <w:r>
                      <w:rPr>
                        <w:sz w:val="24"/>
                      </w:rPr>
                      <w:t>重要隐蔽单元工程和关键部位单元工程质量评定的约定： 。</w:t>
                    </w:r>
                  </w:p>
                  <w:p>
                    <w:pPr>
                      <w:tabs>
                        <w:tab w:pos="510" w:val="left" w:leader="none"/>
                      </w:tabs>
                      <w:spacing w:line="362" w:lineRule="auto" w:before="158"/>
                      <w:ind w:left="0" w:right="20" w:firstLine="0"/>
                      <w:jc w:val="left"/>
                      <w:rPr>
                        <w:sz w:val="24"/>
                      </w:rPr>
                    </w:pPr>
                    <w:r>
                      <w:rPr>
                        <w:sz w:val="24"/>
                      </w:rPr>
                      <w:t> </w:t>
                      <w:tab/>
                    </w:r>
                    <w:r>
                      <w:rPr>
                        <w:rFonts w:ascii="Calibri" w:eastAsia="Calibri"/>
                        <w:sz w:val="24"/>
                      </w:rPr>
                      <w:t>13.7.7</w:t>
                    </w:r>
                    <w:r>
                      <w:rPr>
                        <w:rFonts w:ascii="Calibri" w:eastAsia="Calibri"/>
                        <w:spacing w:val="4"/>
                        <w:sz w:val="24"/>
                      </w:rPr>
                      <w:t>  </w:t>
                    </w:r>
                    <w:r>
                      <w:rPr>
                        <w:spacing w:val="5"/>
                        <w:sz w:val="24"/>
                      </w:rPr>
                      <w:t>工程合格标准为：</w:t>
                    </w:r>
                    <w:r>
                      <w:rPr>
                        <w:spacing w:val="16"/>
                        <w:sz w:val="24"/>
                        <w:u w:val="single"/>
                      </w:rPr>
                      <w:t>        </w:t>
                    </w:r>
                    <w:r>
                      <w:rPr>
                        <w:spacing w:val="4"/>
                        <w:sz w:val="24"/>
                      </w:rPr>
                      <w:t>；优良标准为：</w:t>
                    </w:r>
                    <w:r>
                      <w:rPr>
                        <w:spacing w:val="3"/>
                        <w:sz w:val="24"/>
                        <w:u w:val="single"/>
                      </w:rPr>
                      <w:t>        </w:t>
                    </w:r>
                    <w:r>
                      <w:rPr>
                        <w:spacing w:val="3"/>
                        <w:sz w:val="24"/>
                      </w:rPr>
                      <w:t>。达到优良的奖金为 ：</w:t>
                    </w:r>
                    <w:r>
                      <w:rPr>
                        <w:spacing w:val="119"/>
                        <w:sz w:val="24"/>
                        <w:u w:val="single"/>
                      </w:rPr>
                      <w:t> </w:t>
                    </w:r>
                    <w:r>
                      <w:rPr>
                        <w:sz w:val="24"/>
                      </w:rPr>
                      <w:t>。</w:t>
                    </w:r>
                  </w:p>
                  <w:p>
                    <w:pPr>
                      <w:tabs>
                        <w:tab w:pos="480" w:val="left" w:leader="none"/>
                      </w:tabs>
                      <w:spacing w:before="17"/>
                      <w:ind w:left="0" w:right="0" w:firstLine="0"/>
                      <w:jc w:val="left"/>
                      <w:rPr>
                        <w:rFonts w:ascii="黑体" w:eastAsia="黑体" w:hint="eastAsia"/>
                        <w:sz w:val="24"/>
                      </w:rPr>
                    </w:pPr>
                    <w:r>
                      <w:rPr>
                        <w:sz w:val="24"/>
                      </w:rPr>
                      <w:t> </w:t>
                      <w:tab/>
                    </w:r>
                    <w:r>
                      <w:rPr>
                        <w:rFonts w:ascii="黑体" w:eastAsia="黑体" w:hint="eastAsia"/>
                        <w:sz w:val="24"/>
                      </w:rPr>
                      <w:t>13.8</w:t>
                    </w:r>
                    <w:r>
                      <w:rPr>
                        <w:rFonts w:ascii="黑体" w:eastAsia="黑体" w:hint="eastAsia"/>
                        <w:spacing w:val="-9"/>
                        <w:sz w:val="24"/>
                      </w:rPr>
                      <w:t> 质量事故处理</w:t>
                    </w:r>
                  </w:p>
                  <w:p>
                    <w:pPr>
                      <w:spacing w:line="460" w:lineRule="atLeast" w:before="5"/>
                      <w:ind w:left="0" w:right="18" w:firstLine="0"/>
                      <w:jc w:val="left"/>
                      <w:rPr>
                        <w:sz w:val="24"/>
                      </w:rPr>
                    </w:pPr>
                    <w:r>
                      <w:rPr>
                        <w:sz w:val="24"/>
                      </w:rPr>
                      <w:t>    </w:t>
                    </w:r>
                    <w:r>
                      <w:rPr>
                        <w:rFonts w:ascii="Calibri" w:eastAsia="Calibri"/>
                        <w:sz w:val="24"/>
                      </w:rPr>
                      <w:t>13.8.4  </w:t>
                    </w:r>
                    <w:r>
                      <w:rPr>
                        <w:sz w:val="24"/>
                      </w:rPr>
                      <w:t>工程竣工验收时，</w:t>
                    </w:r>
                    <w:r>
                      <w:rPr>
                        <w:sz w:val="24"/>
                        <w:u w:val="single"/>
                      </w:rPr>
                      <w:t>        </w:t>
                    </w:r>
                    <w:r>
                      <w:rPr>
                        <w:sz w:val="24"/>
                      </w:rPr>
                      <w:t>向竣工验收委员会汇报并提交历次质量缺陷处理的备案资料。</w:t>
                    </w:r>
                  </w:p>
                </w:txbxContent>
              </v:textbox>
              <w10:wrap type="none"/>
            </v:shape>
            <v:shape style="position:absolute;left:1427;top:5452;width:1838;height:285" type="#_x0000_t202" filled="false" stroked="false">
              <v:textbox inset="0,0,0,0">
                <w:txbxContent>
                  <w:p>
                    <w:pPr>
                      <w:spacing w:line="285" w:lineRule="exact" w:before="0"/>
                      <w:ind w:left="0" w:right="0" w:firstLine="0"/>
                      <w:jc w:val="left"/>
                      <w:rPr>
                        <w:rFonts w:ascii="黑体" w:eastAsia="黑体" w:hint="eastAsia"/>
                        <w:b/>
                        <w:sz w:val="28"/>
                      </w:rPr>
                    </w:pPr>
                    <w:r>
                      <w:rPr>
                        <w:rFonts w:ascii="黑体" w:eastAsia="黑体" w:hint="eastAsia"/>
                        <w:b/>
                        <w:sz w:val="28"/>
                      </w:rPr>
                      <w:t>14 试验和检验</w:t>
                    </w:r>
                  </w:p>
                </w:txbxContent>
              </v:textbox>
              <w10:wrap type="none"/>
            </v:shape>
            <v:shape style="position:absolute;left:1427;top:6332;width:9154;height:1663" type="#_x0000_t202" filled="false" stroked="false">
              <v:textbox inset="0,0,0,0">
                <w:txbxContent>
                  <w:p>
                    <w:pPr>
                      <w:tabs>
                        <w:tab w:pos="600" w:val="left" w:leader="none"/>
                      </w:tabs>
                      <w:spacing w:line="274" w:lineRule="exact" w:before="0"/>
                      <w:ind w:left="0" w:right="0" w:firstLine="0"/>
                      <w:jc w:val="left"/>
                      <w:rPr>
                        <w:rFonts w:ascii="黑体" w:eastAsia="黑体" w:hint="eastAsia"/>
                        <w:sz w:val="24"/>
                      </w:rPr>
                    </w:pPr>
                    <w:r>
                      <w:rPr>
                        <w:sz w:val="24"/>
                      </w:rPr>
                      <w:t> </w:t>
                      <w:tab/>
                    </w:r>
                    <w:r>
                      <w:rPr>
                        <w:rFonts w:ascii="黑体" w:eastAsia="黑体" w:hint="eastAsia"/>
                        <w:sz w:val="24"/>
                      </w:rPr>
                      <w:t>14.1</w:t>
                    </w:r>
                    <w:r>
                      <w:rPr>
                        <w:rFonts w:ascii="黑体" w:eastAsia="黑体" w:hint="eastAsia"/>
                        <w:spacing w:val="-8"/>
                        <w:sz w:val="24"/>
                      </w:rPr>
                      <w:t> 材料、工程设备和工程的试验和检验</w:t>
                    </w:r>
                  </w:p>
                  <w:p>
                    <w:pPr>
                      <w:tabs>
                        <w:tab w:pos="615" w:val="left" w:leader="none"/>
                      </w:tabs>
                      <w:spacing w:line="362" w:lineRule="auto" w:before="158"/>
                      <w:ind w:left="0" w:right="18" w:firstLine="0"/>
                      <w:jc w:val="left"/>
                      <w:rPr>
                        <w:sz w:val="24"/>
                      </w:rPr>
                    </w:pPr>
                    <w:r>
                      <w:rPr>
                        <w:sz w:val="24"/>
                      </w:rPr>
                      <w:t>   </w:t>
                      <w:tab/>
                    </w:r>
                    <w:r>
                      <w:rPr>
                        <w:rFonts w:ascii="Calibri" w:eastAsia="Calibri"/>
                        <w:sz w:val="24"/>
                      </w:rPr>
                      <w:t>14.1.5</w:t>
                    </w:r>
                    <w:r>
                      <w:rPr>
                        <w:rFonts w:ascii="Calibri" w:eastAsia="Calibri"/>
                        <w:spacing w:val="2"/>
                        <w:sz w:val="24"/>
                      </w:rPr>
                      <w:t> </w:t>
                    </w:r>
                    <w:r>
                      <w:rPr>
                        <w:sz w:val="24"/>
                      </w:rPr>
                      <w:t>水工金属结构、启闭机及机电产品进场后的交货检查和验收中，承包人负责</w:t>
                    </w:r>
                    <w:r>
                      <w:rPr>
                        <w:spacing w:val="119"/>
                        <w:sz w:val="24"/>
                        <w:u w:val="single"/>
                      </w:rPr>
                      <w:t> </w:t>
                    </w:r>
                    <w:r>
                      <w:rPr>
                        <w:sz w:val="24"/>
                      </w:rPr>
                      <w:t>。</w:t>
                    </w:r>
                  </w:p>
                  <w:p>
                    <w:pPr>
                      <w:tabs>
                        <w:tab w:pos="600" w:val="left" w:leader="none"/>
                      </w:tabs>
                      <w:spacing w:line="300" w:lineRule="exact" w:before="2"/>
                      <w:ind w:left="0" w:right="0" w:firstLine="0"/>
                      <w:jc w:val="left"/>
                      <w:rPr>
                        <w:sz w:val="24"/>
                      </w:rPr>
                    </w:pPr>
                    <w:r>
                      <w:rPr>
                        <w:sz w:val="24"/>
                      </w:rPr>
                      <w:t>   </w:t>
                      <w:tab/>
                    </w:r>
                    <w:r>
                      <w:rPr>
                        <w:rFonts w:ascii="Calibri" w:eastAsia="Calibri"/>
                        <w:sz w:val="24"/>
                      </w:rPr>
                      <w:t>14.1.6</w:t>
                    </w:r>
                    <w:r>
                      <w:rPr>
                        <w:rFonts w:ascii="Calibri" w:eastAsia="Calibri"/>
                        <w:spacing w:val="24"/>
                        <w:sz w:val="24"/>
                      </w:rPr>
                      <w:t> </w:t>
                    </w:r>
                    <w:r>
                      <w:rPr>
                        <w:spacing w:val="-1"/>
                        <w:sz w:val="24"/>
                      </w:rPr>
                      <w:t>本工程实行见证取样的试块、试件及有关材料：</w:t>
                    </w:r>
                    <w:r>
                      <w:rPr>
                        <w:spacing w:val="38"/>
                        <w:sz w:val="24"/>
                        <w:u w:val="single"/>
                      </w:rPr>
                      <w:t> </w:t>
                    </w:r>
                    <w:r>
                      <w:rPr>
                        <w:sz w:val="24"/>
                      </w:rPr>
                      <w:t>。</w:t>
                    </w:r>
                  </w:p>
                </w:txbxContent>
              </v:textbox>
              <w10:wrap type="none"/>
            </v:shape>
            <v:shape style="position:absolute;left:1427;top:8530;width:982;height:285" type="#_x0000_t202" filled="false" stroked="false">
              <v:textbox inset="0,0,0,0">
                <w:txbxContent>
                  <w:p>
                    <w:pPr>
                      <w:spacing w:line="285" w:lineRule="exact" w:before="0"/>
                      <w:ind w:left="0" w:right="0" w:firstLine="0"/>
                      <w:jc w:val="left"/>
                      <w:rPr>
                        <w:rFonts w:ascii="黑体" w:eastAsia="黑体" w:hint="eastAsia"/>
                        <w:b/>
                        <w:sz w:val="28"/>
                      </w:rPr>
                    </w:pPr>
                    <w:r>
                      <w:rPr>
                        <w:rFonts w:ascii="黑体" w:eastAsia="黑体" w:hint="eastAsia"/>
                        <w:b/>
                        <w:spacing w:val="11"/>
                        <w:sz w:val="28"/>
                      </w:rPr>
                      <w:t>15</w:t>
                    </w:r>
                    <w:r>
                      <w:rPr>
                        <w:rFonts w:ascii="黑体" w:eastAsia="黑体" w:hint="eastAsia"/>
                        <w:b/>
                        <w:spacing w:val="-17"/>
                        <w:sz w:val="28"/>
                      </w:rPr>
                      <w:t> 变更</w:t>
                    </w:r>
                  </w:p>
                </w:txbxContent>
              </v:textbox>
              <w10:wrap type="none"/>
            </v:shape>
            <w10:wrap type="none"/>
          </v:group>
        </w:pict>
      </w:r>
      <w:r>
        <w:rPr/>
        <w:t>(3)发包人承担暂停施工责任的其它情形：</w:t>
      </w:r>
      <w:r>
        <w:rPr>
          <w:spacing w:val="59"/>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9"/>
        </w:rPr>
      </w:pPr>
    </w:p>
    <w:p>
      <w:pPr>
        <w:pStyle w:val="BodyText"/>
        <w:tabs>
          <w:tab w:pos="707" w:val="left" w:leader="none"/>
        </w:tabs>
        <w:spacing w:before="66"/>
        <w:ind w:left="226"/>
        <w:rPr>
          <w:rFonts w:ascii="黑体" w:eastAsia="黑体" w:hint="eastAsia"/>
        </w:rPr>
      </w:pPr>
      <w:bookmarkStart w:name="13工程质量" w:id="135"/>
      <w:bookmarkEnd w:id="135"/>
      <w:r>
        <w:rPr/>
      </w:r>
      <w:bookmarkStart w:name="14试验和检验" w:id="136"/>
      <w:bookmarkEnd w:id="136"/>
      <w:r>
        <w:rPr/>
      </w:r>
      <w:bookmarkStart w:name="15变更" w:id="137"/>
      <w:bookmarkEnd w:id="137"/>
      <w:r>
        <w:rPr/>
      </w:r>
      <w:r>
        <w:rPr/>
        <w:t> </w:t>
        <w:tab/>
      </w:r>
      <w:r>
        <w:rPr>
          <w:rFonts w:ascii="黑体" w:eastAsia="黑体" w:hint="eastAsia"/>
        </w:rPr>
        <w:t>15.1</w:t>
      </w:r>
      <w:r>
        <w:rPr>
          <w:rFonts w:ascii="黑体" w:eastAsia="黑体" w:hint="eastAsia"/>
          <w:spacing w:val="-8"/>
        </w:rPr>
        <w:t> 变更的范围和内容</w:t>
      </w:r>
    </w:p>
    <w:p>
      <w:pPr>
        <w:pStyle w:val="BodyText"/>
        <w:spacing w:line="374" w:lineRule="auto" w:before="158"/>
        <w:ind w:left="226" w:right="1305"/>
      </w:pPr>
      <w:r>
        <w:rPr/>
        <w:t>  </w:t>
      </w:r>
      <w:r>
        <w:rPr>
          <w:spacing w:val="15"/>
        </w:rPr>
        <w:t> </w:t>
      </w:r>
      <w:r>
        <w:rPr/>
        <w:t> </w:t>
      </w:r>
      <w:r>
        <w:rPr>
          <w:spacing w:val="5"/>
        </w:rPr>
        <w:t>(6</w:t>
      </w:r>
      <w:r>
        <w:rPr>
          <w:spacing w:val="7"/>
        </w:rPr>
        <w:t>)增加或减少合同中关键项目的工程量超过其工程总量的</w:t>
      </w:r>
      <w:r>
        <w:rPr>
          <w:spacing w:val="8"/>
          <w:u w:val="single"/>
        </w:rPr>
        <w:t>       </w:t>
      </w:r>
      <w:r>
        <w:rPr>
          <w:rFonts w:ascii="Calibri" w:eastAsia="Calibri"/>
          <w:spacing w:val="11"/>
        </w:rPr>
        <w:t>%</w:t>
      </w:r>
      <w:r>
        <w:rPr>
          <w:spacing w:val="13"/>
        </w:rPr>
        <w:t>，关键项</w:t>
      </w:r>
      <w:r>
        <w:rPr/>
        <w:t>目：</w:t>
      </w:r>
      <w:r>
        <w:rPr>
          <w:spacing w:val="118"/>
          <w:u w:val="single"/>
        </w:rPr>
        <w:t> </w:t>
      </w:r>
      <w:r>
        <w:rPr/>
        <w:t>，单价调整方式：</w:t>
      </w:r>
      <w:r>
        <w:rPr>
          <w:spacing w:val="119"/>
          <w:u w:val="single"/>
        </w:rPr>
        <w:t> </w:t>
      </w:r>
      <w:r>
        <w:rPr/>
        <w:t>。</w:t>
      </w:r>
    </w:p>
    <w:p>
      <w:pPr>
        <w:pStyle w:val="BodyText"/>
        <w:tabs>
          <w:tab w:pos="707" w:val="left" w:leader="none"/>
        </w:tabs>
        <w:spacing w:line="294" w:lineRule="exact"/>
        <w:ind w:left="226"/>
      </w:pPr>
      <w:r>
        <w:rPr/>
        <w:t> </w:t>
        <w:tab/>
      </w:r>
      <w:r>
        <w:rPr>
          <w:rFonts w:ascii="Calibri" w:eastAsia="Calibri"/>
        </w:rPr>
        <w:t>15.5</w:t>
      </w:r>
      <w:r>
        <w:rPr>
          <w:rFonts w:ascii="Calibri" w:eastAsia="Calibri"/>
          <w:spacing w:val="3"/>
        </w:rPr>
        <w:t> </w:t>
      </w:r>
      <w:r>
        <w:rPr/>
        <w:t>承包人的合理化建议</w:t>
      </w:r>
    </w:p>
    <w:p>
      <w:pPr>
        <w:pStyle w:val="BodyText"/>
        <w:spacing w:before="158"/>
        <w:ind w:left="226"/>
      </w:pPr>
      <w:r>
        <w:rPr/>
        <w:t>    </w:t>
      </w:r>
      <w:r>
        <w:rPr>
          <w:rFonts w:ascii="Calibri" w:eastAsia="Calibri"/>
        </w:rPr>
        <w:t>15.5.2 </w:t>
      </w:r>
      <w:r>
        <w:rPr/>
        <w:t>承包人实现合理化建议的奖励金额为：</w:t>
      </w:r>
      <w:r>
        <w:rPr>
          <w:u w:val="single"/>
        </w:rPr>
        <w:t> </w:t>
      </w:r>
      <w:r>
        <w:rPr/>
        <w:t>。</w:t>
      </w:r>
    </w:p>
    <w:p>
      <w:pPr>
        <w:spacing w:after="0"/>
        <w:sectPr>
          <w:pgSz w:w="11910" w:h="16850"/>
          <w:pgMar w:header="911" w:footer="0" w:top="1380" w:bottom="280" w:left="1200" w:right="0"/>
        </w:sectPr>
      </w:pPr>
    </w:p>
    <w:p>
      <w:pPr>
        <w:pStyle w:val="BodyText"/>
        <w:tabs>
          <w:tab w:pos="707" w:val="left" w:leader="none"/>
        </w:tabs>
        <w:spacing w:before="135"/>
        <w:ind w:left="226"/>
      </w:pPr>
      <w:r>
        <w:rPr/>
        <w:t> </w:t>
        <w:tab/>
      </w:r>
      <w:r>
        <w:rPr>
          <w:rFonts w:ascii="Calibri" w:eastAsia="Calibri"/>
        </w:rPr>
        <w:t>15.8</w:t>
      </w:r>
      <w:r>
        <w:rPr>
          <w:rFonts w:ascii="Calibri" w:eastAsia="Calibri"/>
          <w:spacing w:val="3"/>
        </w:rPr>
        <w:t> </w:t>
      </w:r>
      <w:r>
        <w:rPr/>
        <w:t>暂估价</w:t>
      </w:r>
    </w:p>
    <w:p>
      <w:pPr>
        <w:pStyle w:val="BodyText"/>
        <w:spacing w:before="155"/>
        <w:ind w:left="226"/>
      </w:pPr>
      <w:r>
        <w:rPr/>
        <w:t>    </w:t>
      </w:r>
      <w:r>
        <w:rPr>
          <w:rFonts w:ascii="Calibri"/>
        </w:rPr>
        <w:t>15.8.1</w:t>
      </w:r>
      <w:r>
        <w:rPr/>
        <w:t> </w:t>
      </w:r>
    </w:p>
    <w:p>
      <w:pPr>
        <w:pStyle w:val="ListParagraph"/>
        <w:numPr>
          <w:ilvl w:val="0"/>
          <w:numId w:val="76"/>
        </w:numPr>
        <w:tabs>
          <w:tab w:pos="1069" w:val="left" w:leader="none"/>
        </w:tabs>
        <w:spacing w:line="362" w:lineRule="auto" w:before="175" w:after="0"/>
        <w:ind w:left="226" w:right="1349" w:firstLine="480"/>
        <w:jc w:val="left"/>
        <w:rPr>
          <w:sz w:val="24"/>
        </w:rPr>
      </w:pPr>
      <w:r>
        <w:rPr>
          <w:spacing w:val="-2"/>
          <w:sz w:val="24"/>
        </w:rPr>
        <w:t>发包人和承包人组织招标的暂估价项目：</w:t>
      </w:r>
      <w:r>
        <w:rPr>
          <w:spacing w:val="-19"/>
          <w:sz w:val="24"/>
          <w:u w:val="single"/>
        </w:rPr>
        <w:t>        </w:t>
      </w:r>
      <w:r>
        <w:rPr>
          <w:spacing w:val="71"/>
          <w:sz w:val="24"/>
        </w:rPr>
        <w:t> </w:t>
      </w:r>
      <w:r>
        <w:rPr>
          <w:rFonts w:ascii="Calibri" w:eastAsia="Calibri"/>
          <w:sz w:val="24"/>
        </w:rPr>
        <w:t>(</w:t>
      </w:r>
      <w:r>
        <w:rPr>
          <w:sz w:val="24"/>
        </w:rPr>
        <w:t>签约后填入</w:t>
      </w:r>
      <w:r>
        <w:rPr>
          <w:rFonts w:ascii="Calibri" w:eastAsia="Calibri"/>
          <w:spacing w:val="-7"/>
          <w:sz w:val="24"/>
        </w:rPr>
        <w:t>)</w:t>
      </w:r>
      <w:r>
        <w:rPr>
          <w:spacing w:val="-3"/>
          <w:sz w:val="24"/>
        </w:rPr>
        <w:t>；发包人组织招标的暂估价项目：</w:t>
      </w:r>
      <w:r>
        <w:rPr>
          <w:spacing w:val="119"/>
          <w:sz w:val="24"/>
        </w:rPr>
        <w:t> </w:t>
      </w:r>
      <w:r>
        <w:rPr>
          <w:rFonts w:ascii="Calibri" w:eastAsia="Calibri"/>
          <w:sz w:val="24"/>
        </w:rPr>
        <w:t>(</w:t>
      </w:r>
      <w:r>
        <w:rPr>
          <w:sz w:val="24"/>
        </w:rPr>
        <w:t>签约后填入</w:t>
      </w:r>
      <w:r>
        <w:rPr>
          <w:rFonts w:ascii="Calibri" w:eastAsia="Calibri"/>
          <w:sz w:val="24"/>
        </w:rPr>
        <w:t>)</w:t>
      </w:r>
      <w:r>
        <w:rPr>
          <w:sz w:val="24"/>
        </w:rPr>
        <w:t>。</w:t>
      </w:r>
    </w:p>
    <w:p>
      <w:pPr>
        <w:pStyle w:val="BodyText"/>
        <w:spacing w:line="374" w:lineRule="auto" w:before="2"/>
        <w:ind w:left="226" w:right="1342"/>
      </w:pPr>
      <w:r>
        <w:rPr/>
        <w:drawing>
          <wp:anchor distT="0" distB="0" distL="0" distR="0" allowOverlap="1" layoutInCell="1" locked="0" behindDoc="1" simplePos="0" relativeHeight="234800128">
            <wp:simplePos x="0" y="0"/>
            <wp:positionH relativeFrom="page">
              <wp:posOffset>992771</wp:posOffset>
            </wp:positionH>
            <wp:positionV relativeFrom="paragraph">
              <wp:posOffset>459491</wp:posOffset>
            </wp:positionV>
            <wp:extent cx="5578970" cy="5494141"/>
            <wp:effectExtent l="0" t="0" r="0" b="0"/>
            <wp:wrapNone/>
            <wp:docPr id="107" name="image1.png"/>
            <wp:cNvGraphicFramePr>
              <a:graphicFrameLocks noChangeAspect="1"/>
            </wp:cNvGraphicFramePr>
            <a:graphic>
              <a:graphicData uri="http://schemas.openxmlformats.org/drawingml/2006/picture">
                <pic:pic>
                  <pic:nvPicPr>
                    <pic:cNvPr id="108" name="image1.png"/>
                    <pic:cNvPicPr/>
                  </pic:nvPicPr>
                  <pic:blipFill>
                    <a:blip r:embed="rId6" cstate="print"/>
                    <a:stretch>
                      <a:fillRect/>
                    </a:stretch>
                  </pic:blipFill>
                  <pic:spPr>
                    <a:xfrm>
                      <a:off x="0" y="0"/>
                      <a:ext cx="5578970" cy="5494141"/>
                    </a:xfrm>
                    <a:prstGeom prst="rect">
                      <a:avLst/>
                    </a:prstGeom>
                  </pic:spPr>
                </pic:pic>
              </a:graphicData>
            </a:graphic>
          </wp:anchor>
        </w:drawing>
      </w:r>
      <w:r>
        <w:rPr/>
        <w:t>    (2)</w:t>
      </w:r>
      <w:r>
        <w:rPr>
          <w:spacing w:val="-5"/>
        </w:rPr>
        <w:t>发包人和承包人以招标方式选择暂估价项目供应商或分包人时，双方的权利义务关 系 ：</w:t>
      </w:r>
      <w:r>
        <w:rPr>
          <w:spacing w:val="119"/>
          <w:u w:val="single"/>
        </w:rPr>
        <w:t> </w:t>
      </w:r>
      <w:r>
        <w:rPr/>
        <w:t>。</w:t>
      </w:r>
    </w:p>
    <w:p>
      <w:pPr>
        <w:pStyle w:val="BodyText"/>
        <w:spacing w:before="12"/>
        <w:rPr>
          <w:sz w:val="18"/>
        </w:rPr>
      </w:pPr>
    </w:p>
    <w:p>
      <w:pPr>
        <w:pStyle w:val="Heading6"/>
        <w:numPr>
          <w:ilvl w:val="0"/>
          <w:numId w:val="77"/>
        </w:numPr>
        <w:tabs>
          <w:tab w:pos="618" w:val="left" w:leader="none"/>
        </w:tabs>
        <w:spacing w:line="240" w:lineRule="auto" w:before="65" w:after="0"/>
        <w:ind w:left="617" w:right="0" w:hanging="392"/>
        <w:jc w:val="left"/>
      </w:pPr>
      <w:bookmarkStart w:name="16价格调整" w:id="138"/>
      <w:bookmarkEnd w:id="138"/>
      <w:r>
        <w:rPr>
          <w:b w:val="0"/>
        </w:rPr>
      </w:r>
      <w:bookmarkStart w:name="16价格调整" w:id="139"/>
      <w:bookmarkEnd w:id="139"/>
      <w:r>
        <w:rPr/>
        <w:t>价格调整</w:t>
      </w:r>
    </w:p>
    <w:p>
      <w:pPr>
        <w:pStyle w:val="BodyText"/>
        <w:spacing w:before="7"/>
        <w:rPr>
          <w:rFonts w:ascii="黑体"/>
          <w:b/>
          <w:sz w:val="39"/>
        </w:rPr>
      </w:pPr>
    </w:p>
    <w:p>
      <w:pPr>
        <w:pStyle w:val="BodyText"/>
        <w:tabs>
          <w:tab w:pos="707" w:val="left" w:leader="none"/>
        </w:tabs>
        <w:ind w:left="226"/>
        <w:rPr>
          <w:rFonts w:ascii="黑体" w:eastAsia="黑体" w:hint="eastAsia"/>
        </w:rPr>
      </w:pPr>
      <w:r>
        <w:rPr/>
        <w:t> </w:t>
        <w:tab/>
      </w:r>
      <w:r>
        <w:rPr>
          <w:rFonts w:ascii="黑体" w:eastAsia="黑体" w:hint="eastAsia"/>
        </w:rPr>
        <w:t>16.1</w:t>
      </w:r>
      <w:r>
        <w:rPr>
          <w:rFonts w:ascii="黑体" w:eastAsia="黑体" w:hint="eastAsia"/>
          <w:spacing w:val="-8"/>
        </w:rPr>
        <w:t> 物价波动引起的价格调整</w:t>
      </w:r>
    </w:p>
    <w:p>
      <w:pPr>
        <w:pStyle w:val="BodyText"/>
        <w:spacing w:before="173"/>
        <w:ind w:left="226"/>
      </w:pPr>
      <w:r>
        <w:rPr/>
        <w:t>    物价波动引起的价格调整方式：</w:t>
      </w:r>
      <w:r>
        <w:rPr>
          <w:u w:val="single"/>
        </w:rPr>
        <w:t> </w:t>
      </w:r>
      <w:r>
        <w:rPr/>
        <w:t>。</w:t>
      </w:r>
    </w:p>
    <w:p>
      <w:pPr>
        <w:pStyle w:val="BodyText"/>
        <w:spacing w:before="158"/>
        <w:ind w:left="226"/>
      </w:pPr>
      <w:r>
        <w:rPr/>
        <w:t>    </w:t>
      </w:r>
      <w:r>
        <w:rPr>
          <w:rFonts w:ascii="Calibri" w:eastAsia="Calibri"/>
        </w:rPr>
        <w:t>16.1.2 </w:t>
      </w:r>
      <w:r>
        <w:rPr/>
        <w:t>采用造价信息调整价格差额</w:t>
      </w:r>
    </w:p>
    <w:p>
      <w:pPr>
        <w:pStyle w:val="BodyText"/>
        <w:spacing w:before="158"/>
        <w:ind w:left="226"/>
      </w:pPr>
      <w:r>
        <w:rPr/>
        <w:t>    工程造价信息的来源：</w:t>
      </w:r>
      <w:r>
        <w:rPr>
          <w:spacing w:val="119"/>
          <w:u w:val="single"/>
        </w:rPr>
        <w:t> </w:t>
      </w:r>
      <w:r>
        <w:rPr/>
        <w:t>。</w:t>
      </w:r>
    </w:p>
    <w:p>
      <w:pPr>
        <w:pStyle w:val="BodyText"/>
        <w:spacing w:before="158"/>
        <w:ind w:left="226"/>
      </w:pPr>
      <w:r>
        <w:rPr/>
        <w:t>    价格调整的项目和系数：</w:t>
      </w:r>
      <w:r>
        <w:rPr>
          <w:spacing w:val="118"/>
          <w:u w:val="single"/>
        </w:rPr>
        <w:t> </w:t>
      </w:r>
      <w:r>
        <w:rPr/>
        <w:t>。</w:t>
      </w:r>
    </w:p>
    <w:p>
      <w:pPr>
        <w:pStyle w:val="BodyText"/>
        <w:rPr>
          <w:sz w:val="20"/>
        </w:rPr>
      </w:pPr>
    </w:p>
    <w:p>
      <w:pPr>
        <w:pStyle w:val="Heading6"/>
        <w:numPr>
          <w:ilvl w:val="0"/>
          <w:numId w:val="77"/>
        </w:numPr>
        <w:tabs>
          <w:tab w:pos="618" w:val="left" w:leader="none"/>
        </w:tabs>
        <w:spacing w:line="240" w:lineRule="auto" w:before="222" w:after="0"/>
        <w:ind w:left="617" w:right="0" w:hanging="392"/>
        <w:jc w:val="left"/>
      </w:pPr>
      <w:bookmarkStart w:name="17计量与支付" w:id="140"/>
      <w:bookmarkEnd w:id="140"/>
      <w:r>
        <w:rPr>
          <w:b w:val="0"/>
        </w:rPr>
      </w:r>
      <w:bookmarkStart w:name="17计量与支付" w:id="141"/>
      <w:bookmarkEnd w:id="141"/>
      <w:r>
        <w:rPr/>
        <w:t>计量与支付</w:t>
      </w:r>
    </w:p>
    <w:p>
      <w:pPr>
        <w:pStyle w:val="BodyText"/>
        <w:spacing w:before="9"/>
        <w:rPr>
          <w:rFonts w:ascii="黑体"/>
          <w:b/>
          <w:sz w:val="40"/>
        </w:rPr>
      </w:pPr>
    </w:p>
    <w:p>
      <w:pPr>
        <w:pStyle w:val="BodyText"/>
        <w:tabs>
          <w:tab w:pos="707" w:val="left" w:leader="none"/>
        </w:tabs>
        <w:ind w:left="226"/>
        <w:rPr>
          <w:rFonts w:ascii="黑体" w:eastAsia="黑体" w:hint="eastAsia"/>
        </w:rPr>
      </w:pPr>
      <w:r>
        <w:rPr/>
        <w:t> </w:t>
        <w:tab/>
      </w:r>
      <w:r>
        <w:rPr>
          <w:rFonts w:ascii="黑体" w:eastAsia="黑体" w:hint="eastAsia"/>
        </w:rPr>
        <w:t>17.2</w:t>
      </w:r>
      <w:r>
        <w:rPr>
          <w:rFonts w:ascii="黑体" w:eastAsia="黑体" w:hint="eastAsia"/>
          <w:spacing w:val="-15"/>
        </w:rPr>
        <w:t> 预付款</w:t>
      </w:r>
    </w:p>
    <w:p>
      <w:pPr>
        <w:pStyle w:val="BodyText"/>
        <w:spacing w:before="158"/>
        <w:ind w:left="226"/>
      </w:pPr>
      <w:r>
        <w:rPr/>
        <w:t>    </w:t>
      </w:r>
      <w:r>
        <w:rPr>
          <w:rFonts w:ascii="Calibri" w:eastAsia="Calibri"/>
        </w:rPr>
        <w:t>17.2.1 </w:t>
      </w:r>
      <w:r>
        <w:rPr/>
        <w:t>预付款：</w:t>
      </w:r>
    </w:p>
    <w:p>
      <w:pPr>
        <w:pStyle w:val="BodyText"/>
        <w:spacing w:before="158"/>
        <w:ind w:left="226"/>
        <w:jc w:val="both"/>
      </w:pPr>
      <w:r>
        <w:rPr/>
        <w:t>    (1)工程预付款的总金额为签约合同价的</w:t>
      </w:r>
      <w:r>
        <w:rPr>
          <w:u w:val="single"/>
        </w:rPr>
        <w:t> </w:t>
      </w:r>
      <w:r>
        <w:rPr>
          <w:rFonts w:ascii="Calibri" w:eastAsia="Calibri"/>
        </w:rPr>
        <w:t>%</w:t>
      </w:r>
      <w:r>
        <w:rPr/>
        <w:t>，分</w:t>
      </w:r>
      <w:r>
        <w:rPr>
          <w:u w:val="single"/>
        </w:rPr>
        <w:t> </w:t>
      </w:r>
      <w:r>
        <w:rPr/>
        <w:t>次支付给承包人。</w:t>
      </w:r>
    </w:p>
    <w:p>
      <w:pPr>
        <w:pStyle w:val="BodyText"/>
        <w:spacing w:before="173"/>
        <w:ind w:left="226"/>
        <w:jc w:val="both"/>
      </w:pPr>
      <w:r>
        <w:rPr/>
        <w:t>    各次预付款的支付额度和付款时间为：</w:t>
      </w:r>
    </w:p>
    <w:p>
      <w:pPr>
        <w:pStyle w:val="BodyText"/>
        <w:spacing w:line="362" w:lineRule="auto" w:before="158"/>
        <w:ind w:left="226" w:right="1343"/>
        <w:jc w:val="both"/>
      </w:pPr>
      <w:r>
        <w:rPr/>
        <w:t>    1)第一次预付款金额为工程预付款总金额的</w:t>
      </w:r>
      <w:r>
        <w:rPr>
          <w:u w:val="single"/>
        </w:rPr>
        <w:t>     </w:t>
      </w:r>
      <w:r>
        <w:rPr>
          <w:rFonts w:ascii="Calibri" w:eastAsia="Calibri"/>
        </w:rPr>
        <w:t>%</w:t>
      </w:r>
      <w:r>
        <w:rPr/>
        <w:t>，付款时间应在合同协议书签订后，由承包人向发包人提交了发包人认可的工程预付款担保，并经监理人出具付款证书报送发包人批准后 </w:t>
      </w:r>
      <w:r>
        <w:rPr>
          <w:rFonts w:ascii="Calibri" w:eastAsia="Calibri"/>
        </w:rPr>
        <w:t>14 </w:t>
      </w:r>
      <w:r>
        <w:rPr/>
        <w:t>天内予以支付。</w:t>
      </w:r>
    </w:p>
    <w:p>
      <w:pPr>
        <w:pStyle w:val="BodyText"/>
        <w:spacing w:line="369" w:lineRule="auto" w:before="3"/>
        <w:ind w:left="226" w:right="1347"/>
        <w:jc w:val="both"/>
      </w:pPr>
      <w:r>
        <w:rPr/>
        <w:t>    2)第二次预付款金额为工程预付款总金额的</w:t>
      </w:r>
      <w:r>
        <w:rPr>
          <w:u w:val="single"/>
        </w:rPr>
        <w:t>   </w:t>
      </w:r>
      <w:r>
        <w:rPr>
          <w:rFonts w:ascii="Calibri" w:eastAsia="Calibri"/>
        </w:rPr>
        <w:t>%</w:t>
      </w:r>
      <w:r>
        <w:rPr/>
        <w:t>。付款时间需待承包人主要设备进入工地后，其估算价值已达到本次预付款金额时，由承包人提出书面申请，经监理人核实后出具付款证书报送发包人批准后 </w:t>
      </w:r>
      <w:r>
        <w:rPr>
          <w:rFonts w:ascii="Calibri" w:eastAsia="Calibri"/>
        </w:rPr>
        <w:t>14 </w:t>
      </w:r>
      <w:r>
        <w:rPr/>
        <w:t>天内予以支付。</w:t>
      </w:r>
    </w:p>
    <w:p>
      <w:pPr>
        <w:pStyle w:val="BodyText"/>
        <w:spacing w:line="298" w:lineRule="exact"/>
        <w:ind w:left="226"/>
        <w:jc w:val="both"/>
      </w:pPr>
      <w:r>
        <w:rPr/>
        <w:t>    3)第三次预付款……。</w:t>
      </w:r>
    </w:p>
    <w:p>
      <w:pPr>
        <w:pStyle w:val="BodyText"/>
        <w:spacing w:before="158"/>
        <w:ind w:left="226"/>
        <w:jc w:val="both"/>
      </w:pPr>
      <w:r>
        <w:rPr/>
        <w:t>    ……</w:t>
      </w:r>
    </w:p>
    <w:p>
      <w:pPr>
        <w:pStyle w:val="BodyText"/>
        <w:tabs>
          <w:tab w:pos="8517" w:val="left" w:leader="none"/>
        </w:tabs>
        <w:spacing w:before="158"/>
        <w:ind w:left="226"/>
        <w:jc w:val="both"/>
      </w:pPr>
      <w:r>
        <w:rPr/>
        <w:t>    (2)工程材料预付款的额度和预付办法约定为</w:t>
      </w:r>
      <w:r>
        <w:rPr>
          <w:spacing w:val="-4"/>
        </w:rPr>
        <w:t>：</w:t>
      </w:r>
      <w:r>
        <w:rPr>
          <w:spacing w:val="-4"/>
          <w:u w:val="single"/>
        </w:rPr>
        <w:t> </w:t>
        <w:tab/>
      </w:r>
      <w:r>
        <w:rPr/>
        <w:t>。</w:t>
      </w:r>
    </w:p>
    <w:p>
      <w:pPr>
        <w:spacing w:after="0"/>
        <w:jc w:val="both"/>
        <w:sectPr>
          <w:pgSz w:w="11910" w:h="16850"/>
          <w:pgMar w:header="911" w:footer="0" w:top="1380" w:bottom="280" w:left="1200" w:right="0"/>
        </w:sectPr>
      </w:pPr>
    </w:p>
    <w:p>
      <w:pPr>
        <w:pStyle w:val="BodyText"/>
        <w:spacing w:before="135"/>
        <w:ind w:left="226"/>
      </w:pPr>
      <w:r>
        <w:rPr/>
        <w:t>    </w:t>
      </w:r>
      <w:r>
        <w:rPr>
          <w:rFonts w:ascii="Calibri" w:eastAsia="Calibri"/>
        </w:rPr>
        <w:t>17.2.2 </w:t>
      </w:r>
      <w:r>
        <w:rPr/>
        <w:t>预付款保函(担保)</w:t>
      </w:r>
    </w:p>
    <w:p>
      <w:pPr>
        <w:pStyle w:val="BodyText"/>
        <w:tabs>
          <w:tab w:pos="7315" w:val="left" w:leader="none"/>
        </w:tabs>
        <w:spacing w:before="158"/>
        <w:ind w:left="226"/>
      </w:pPr>
      <w:r>
        <w:rPr/>
        <w:t>    (2)工程材料预付款的担保约定为</w:t>
      </w:r>
      <w:r>
        <w:rPr>
          <w:spacing w:val="-3"/>
        </w:rPr>
        <w:t>：</w:t>
      </w:r>
      <w:r>
        <w:rPr>
          <w:spacing w:val="-3"/>
          <w:u w:val="single"/>
        </w:rPr>
        <w:t> </w:t>
        <w:tab/>
      </w:r>
      <w:r>
        <w:rPr/>
        <w:t>。</w:t>
      </w:r>
    </w:p>
    <w:p>
      <w:pPr>
        <w:pStyle w:val="BodyText"/>
        <w:spacing w:before="158"/>
        <w:ind w:left="226"/>
      </w:pPr>
      <w:r>
        <w:rPr/>
        <w:t>    </w:t>
      </w:r>
      <w:r>
        <w:rPr>
          <w:rFonts w:ascii="Calibri" w:eastAsia="Calibri"/>
        </w:rPr>
        <w:t>17.2.3 </w:t>
      </w:r>
      <w:r>
        <w:rPr/>
        <w:t>预付款的扣回与还清</w:t>
      </w:r>
    </w:p>
    <w:p>
      <w:pPr>
        <w:pStyle w:val="BodyText"/>
        <w:spacing w:line="362" w:lineRule="auto" w:before="158"/>
        <w:ind w:left="226" w:right="1349"/>
      </w:pPr>
      <w:r>
        <w:rPr/>
        <w:pict>
          <v:group style="position:absolute;margin-left:78.170998pt;margin-top:51.249977pt;width:439.3pt;height:448.6pt;mso-position-horizontal-relative:page;mso-position-vertical-relative:paragraph;z-index:-268515328" coordorigin="1563,1025" coordsize="8786,8972">
            <v:shape style="position:absolute;left:1563;top:1344;width:8786;height:8653" type="#_x0000_t75" stroked="false">
              <v:imagedata r:id="rId6" o:title=""/>
            </v:shape>
            <v:shape style="position:absolute;left:5505;top:1025;width:1800;height:600" type="#_x0000_t75" stroked="false">
              <v:imagedata r:id="rId32" o:title=""/>
            </v:shape>
            <w10:wrap type="none"/>
          </v:group>
        </w:pict>
      </w:r>
      <w:r>
        <w:rPr/>
        <w:t>    (1)工程预付款在合同累计完成金额达到签约合同价的</w:t>
      </w:r>
      <w:r>
        <w:rPr>
          <w:u w:val="single"/>
        </w:rPr>
        <w:t>   </w:t>
      </w:r>
      <w:r>
        <w:rPr>
          <w:rFonts w:ascii="Calibri" w:eastAsia="Calibri"/>
        </w:rPr>
        <w:t>%</w:t>
      </w:r>
      <w:r>
        <w:rPr/>
        <w:t>时开始扣款，直至合同累计完成金额达到签约合同价的</w:t>
      </w:r>
      <w:r>
        <w:rPr>
          <w:rFonts w:ascii="Calibri" w:eastAsia="Calibri"/>
        </w:rPr>
        <w:t>%</w:t>
      </w:r>
      <w:r>
        <w:rPr/>
        <w:t>时全部扣清。</w:t>
      </w:r>
    </w:p>
    <w:p>
      <w:pPr>
        <w:pStyle w:val="BodyText"/>
        <w:spacing w:before="8"/>
        <w:rPr>
          <w:sz w:val="23"/>
        </w:rPr>
      </w:pPr>
    </w:p>
    <w:p>
      <w:pPr>
        <w:pStyle w:val="BodyText"/>
        <w:ind w:left="226"/>
      </w:pPr>
      <w:r>
        <w:rPr/>
        <w:t>                                 </w:t>
      </w:r>
    </w:p>
    <w:p>
      <w:pPr>
        <w:pStyle w:val="BodyText"/>
        <w:spacing w:before="22"/>
        <w:ind w:left="226"/>
      </w:pPr>
      <w:r>
        <w:rPr/>
        <w:t>式中 </w:t>
      </w:r>
      <w:r>
        <w:rPr>
          <w:rFonts w:ascii="Calibri" w:hAnsi="Calibri" w:eastAsia="Calibri"/>
        </w:rPr>
        <w:t>R</w:t>
      </w:r>
      <w:r>
        <w:rPr/>
        <w:t>——每次进度付款中累计扣回的金额；</w:t>
      </w:r>
    </w:p>
    <w:p>
      <w:pPr>
        <w:pStyle w:val="BodyText"/>
        <w:spacing w:before="158"/>
        <w:ind w:left="226"/>
      </w:pPr>
      <w:r>
        <w:rPr/>
        <w:t>      </w:t>
      </w:r>
      <w:r>
        <w:rPr>
          <w:rFonts w:ascii="Calibri" w:hAnsi="Calibri" w:eastAsia="Calibri"/>
        </w:rPr>
        <w:t>A</w:t>
      </w:r>
      <w:r>
        <w:rPr/>
        <w:t>——工程预付款总金额；</w:t>
      </w:r>
    </w:p>
    <w:p>
      <w:pPr>
        <w:pStyle w:val="BodyText"/>
        <w:spacing w:before="173"/>
        <w:ind w:left="226"/>
      </w:pPr>
      <w:r>
        <w:rPr/>
        <w:t>      </w:t>
      </w:r>
      <w:r>
        <w:rPr>
          <w:rFonts w:ascii="Calibri" w:hAnsi="Calibri" w:eastAsia="Calibri"/>
        </w:rPr>
        <w:t>S</w:t>
      </w:r>
      <w:r>
        <w:rPr/>
        <w:t>——签约合同价；</w:t>
      </w:r>
    </w:p>
    <w:p>
      <w:pPr>
        <w:pStyle w:val="BodyText"/>
        <w:spacing w:before="158"/>
        <w:ind w:left="226"/>
      </w:pPr>
      <w:r>
        <w:rPr/>
        <w:t>      </w:t>
      </w:r>
      <w:r>
        <w:rPr>
          <w:rFonts w:ascii="Calibri" w:hAnsi="Calibri" w:eastAsia="Calibri"/>
        </w:rPr>
        <w:t>C</w:t>
      </w:r>
      <w:r>
        <w:rPr/>
        <w:t>——合同累计完成金额；</w:t>
      </w:r>
    </w:p>
    <w:p>
      <w:pPr>
        <w:pStyle w:val="BodyText"/>
        <w:spacing w:before="158"/>
        <w:ind w:left="226"/>
      </w:pPr>
      <w:r>
        <w:rPr/>
        <w:t>     </w:t>
      </w:r>
      <w:r>
        <w:rPr>
          <w:spacing w:val="-1"/>
        </w:rPr>
        <w:t> </w:t>
      </w:r>
      <w:r>
        <w:rPr>
          <w:rFonts w:ascii="Calibri" w:hAnsi="Calibri" w:eastAsia="Calibri"/>
          <w:spacing w:val="-1"/>
        </w:rPr>
        <w:t>F1</w:t>
      </w:r>
      <w:r>
        <w:rPr>
          <w:spacing w:val="-1"/>
        </w:rPr>
        <w:t>——开始扣款时合同累计完成金额达到签约合同价的比例；</w:t>
      </w:r>
    </w:p>
    <w:p>
      <w:pPr>
        <w:pStyle w:val="BodyText"/>
        <w:spacing w:before="158"/>
        <w:ind w:left="226"/>
      </w:pPr>
      <w:r>
        <w:rPr/>
        <w:t>     </w:t>
      </w:r>
      <w:r>
        <w:rPr>
          <w:spacing w:val="-1"/>
        </w:rPr>
        <w:t> </w:t>
      </w:r>
      <w:r>
        <w:rPr>
          <w:rFonts w:ascii="Calibri" w:hAnsi="Calibri" w:eastAsia="Calibri"/>
          <w:spacing w:val="-1"/>
        </w:rPr>
        <w:t>F2</w:t>
      </w:r>
      <w:r>
        <w:rPr>
          <w:spacing w:val="-1"/>
        </w:rPr>
        <w:t>——全部扣清时合同累计完成金额达到签约合同价的比例。</w:t>
      </w:r>
    </w:p>
    <w:p>
      <w:pPr>
        <w:pStyle w:val="BodyText"/>
        <w:spacing w:before="158"/>
        <w:ind w:left="226"/>
      </w:pPr>
      <w:r>
        <w:rPr/>
        <w:t>    上述合同累计完成金额均指价格调整前未扣质量保证金的金额。</w:t>
      </w:r>
    </w:p>
    <w:p>
      <w:pPr>
        <w:pStyle w:val="BodyText"/>
        <w:spacing w:before="173"/>
        <w:ind w:left="226"/>
      </w:pPr>
      <w:r>
        <w:rPr/>
        <w:t>    (2)工程材料预付款的扣回与还清约定为： 。</w:t>
      </w:r>
    </w:p>
    <w:p>
      <w:pPr>
        <w:pStyle w:val="BodyText"/>
        <w:tabs>
          <w:tab w:pos="707" w:val="left" w:leader="none"/>
        </w:tabs>
        <w:spacing w:before="158"/>
        <w:ind w:left="226"/>
        <w:rPr>
          <w:rFonts w:ascii="黑体" w:eastAsia="黑体" w:hint="eastAsia"/>
        </w:rPr>
      </w:pPr>
      <w:r>
        <w:rPr/>
        <w:t> </w:t>
        <w:tab/>
      </w:r>
      <w:r>
        <w:rPr>
          <w:rFonts w:ascii="黑体" w:eastAsia="黑体" w:hint="eastAsia"/>
        </w:rPr>
        <w:t>17.4</w:t>
      </w:r>
      <w:r>
        <w:rPr>
          <w:rFonts w:ascii="黑体" w:eastAsia="黑体" w:hint="eastAsia"/>
          <w:spacing w:val="-10"/>
        </w:rPr>
        <w:t> 质量保证金</w:t>
      </w:r>
    </w:p>
    <w:p>
      <w:pPr>
        <w:pStyle w:val="BodyText"/>
        <w:spacing w:line="362" w:lineRule="auto" w:before="158"/>
        <w:ind w:left="226" w:right="1348"/>
      </w:pPr>
      <w:r>
        <w:rPr/>
        <w:t>    </w:t>
      </w:r>
      <w:r>
        <w:rPr>
          <w:rFonts w:ascii="Calibri" w:eastAsia="Calibri"/>
          <w:spacing w:val="-2"/>
        </w:rPr>
        <w:t>17</w:t>
      </w:r>
      <w:r>
        <w:rPr>
          <w:rFonts w:ascii="Calibri" w:eastAsia="Calibri"/>
          <w:spacing w:val="-1"/>
        </w:rPr>
        <w:t>.</w:t>
      </w:r>
      <w:r>
        <w:rPr>
          <w:rFonts w:ascii="Calibri" w:eastAsia="Calibri"/>
          <w:spacing w:val="-3"/>
        </w:rPr>
        <w:t>4</w:t>
      </w:r>
      <w:r>
        <w:rPr>
          <w:rFonts w:ascii="Calibri" w:eastAsia="Calibri"/>
          <w:spacing w:val="-1"/>
        </w:rPr>
        <w:t>.</w:t>
      </w:r>
      <w:r>
        <w:rPr>
          <w:rFonts w:ascii="Calibri" w:eastAsia="Calibri"/>
        </w:rPr>
        <w:t>1 </w:t>
      </w:r>
      <w:r>
        <w:rPr>
          <w:spacing w:val="-1"/>
        </w:rPr>
        <w:t>每个付款周期扣留的质量保证金为工程进度付款的</w:t>
      </w:r>
      <w:r>
        <w:rPr>
          <w:spacing w:val="-1"/>
          <w:u w:val="single"/>
        </w:rPr>
        <w:t>        </w:t>
      </w:r>
      <w:r>
        <w:rPr>
          <w:rFonts w:ascii="Calibri" w:eastAsia="Calibri"/>
          <w:spacing w:val="-6"/>
        </w:rPr>
        <w:t>%</w:t>
      </w:r>
      <w:r>
        <w:rPr>
          <w:spacing w:val="-17"/>
        </w:rPr>
        <w:t>，扣留的质量保证金总额为签约合同价的</w:t>
      </w:r>
      <w:r>
        <w:rPr>
          <w:spacing w:val="119"/>
          <w:u w:val="single"/>
        </w:rPr>
        <w:t> </w:t>
      </w:r>
      <w:r>
        <w:rPr>
          <w:rFonts w:ascii="Calibri" w:eastAsia="Calibri"/>
          <w:spacing w:val="-7"/>
        </w:rPr>
        <w:t>%</w:t>
      </w:r>
      <w:r>
        <w:rPr/>
        <w:t>。</w:t>
      </w:r>
    </w:p>
    <w:p>
      <w:pPr>
        <w:pStyle w:val="BodyText"/>
        <w:tabs>
          <w:tab w:pos="707" w:val="left" w:leader="none"/>
        </w:tabs>
        <w:spacing w:before="1"/>
        <w:ind w:left="226"/>
        <w:rPr>
          <w:rFonts w:ascii="黑体" w:eastAsia="黑体" w:hint="eastAsia"/>
        </w:rPr>
      </w:pPr>
      <w:r>
        <w:rPr/>
        <w:t> </w:t>
        <w:tab/>
      </w:r>
      <w:r>
        <w:rPr>
          <w:rFonts w:ascii="黑体" w:eastAsia="黑体" w:hint="eastAsia"/>
        </w:rPr>
        <w:t>17.5</w:t>
      </w:r>
      <w:r>
        <w:rPr>
          <w:rFonts w:ascii="黑体" w:eastAsia="黑体" w:hint="eastAsia"/>
          <w:spacing w:val="-8"/>
        </w:rPr>
        <w:t> 竣工(完工)结算</w:t>
      </w:r>
    </w:p>
    <w:p>
      <w:pPr>
        <w:pStyle w:val="BodyText"/>
        <w:spacing w:before="174"/>
        <w:ind w:left="226"/>
      </w:pPr>
      <w:r>
        <w:rPr/>
        <w:t>    </w:t>
      </w:r>
      <w:r>
        <w:rPr>
          <w:rFonts w:ascii="Calibri" w:eastAsia="Calibri"/>
        </w:rPr>
        <w:t>17.5.1 </w:t>
      </w:r>
      <w:r>
        <w:rPr/>
        <w:t>竣工(完工)付款申请单</w:t>
      </w:r>
    </w:p>
    <w:p>
      <w:pPr>
        <w:pStyle w:val="BodyText"/>
        <w:spacing w:before="157"/>
        <w:ind w:left="226"/>
      </w:pPr>
      <w:r>
        <w:rPr/>
        <w:t>    (1)承包人应提交完工付款申请单一式</w:t>
      </w:r>
      <w:r>
        <w:rPr>
          <w:u w:val="single"/>
        </w:rPr>
        <w:t> </w:t>
      </w:r>
      <w:r>
        <w:rPr/>
        <w:t>份。</w:t>
      </w:r>
    </w:p>
    <w:p>
      <w:pPr>
        <w:pStyle w:val="BodyText"/>
        <w:tabs>
          <w:tab w:pos="707" w:val="left" w:leader="none"/>
        </w:tabs>
        <w:spacing w:before="159"/>
        <w:ind w:left="226"/>
        <w:rPr>
          <w:rFonts w:ascii="黑体" w:eastAsia="黑体" w:hint="eastAsia"/>
        </w:rPr>
      </w:pPr>
      <w:r>
        <w:rPr/>
        <w:t> </w:t>
        <w:tab/>
      </w:r>
      <w:r>
        <w:rPr>
          <w:rFonts w:ascii="黑体" w:eastAsia="黑体" w:hint="eastAsia"/>
        </w:rPr>
        <w:t>17.6</w:t>
      </w:r>
      <w:r>
        <w:rPr>
          <w:rFonts w:ascii="黑体" w:eastAsia="黑体" w:hint="eastAsia"/>
          <w:spacing w:val="-12"/>
        </w:rPr>
        <w:t> 最终结清</w:t>
      </w:r>
    </w:p>
    <w:p>
      <w:pPr>
        <w:pStyle w:val="BodyText"/>
        <w:spacing w:before="158"/>
        <w:ind w:left="226"/>
      </w:pPr>
      <w:r>
        <w:rPr/>
        <w:t>    </w:t>
      </w:r>
      <w:r>
        <w:rPr>
          <w:rFonts w:ascii="Calibri" w:eastAsia="Calibri"/>
        </w:rPr>
        <w:t>17.6.1 </w:t>
      </w:r>
      <w:r>
        <w:rPr/>
        <w:t>最终结清申请单</w:t>
      </w:r>
    </w:p>
    <w:p>
      <w:pPr>
        <w:pStyle w:val="BodyText"/>
        <w:tabs>
          <w:tab w:pos="962" w:val="left" w:leader="none"/>
        </w:tabs>
        <w:spacing w:before="157"/>
        <w:ind w:left="226"/>
      </w:pPr>
      <w:r>
        <w:rPr>
          <w:sz w:val="21"/>
        </w:rPr>
        <w:t>   </w:t>
        <w:tab/>
      </w:r>
      <w:r>
        <w:rPr/>
        <w:t>(1)承包人应提交最终结清申请单一式</w:t>
      </w:r>
      <w:r>
        <w:rPr>
          <w:spacing w:val="118"/>
          <w:u w:val="single"/>
        </w:rPr>
        <w:t> </w:t>
      </w:r>
      <w:r>
        <w:rPr/>
        <w:t>份。</w:t>
      </w:r>
    </w:p>
    <w:p>
      <w:pPr>
        <w:pStyle w:val="BodyText"/>
        <w:tabs>
          <w:tab w:pos="947" w:val="left" w:leader="none"/>
        </w:tabs>
        <w:spacing w:before="173"/>
        <w:ind w:left="587"/>
      </w:pPr>
      <w:r>
        <w:rPr/>
        <w:t> </w:t>
        <w:tab/>
      </w:r>
      <w:r>
        <w:rPr>
          <w:rFonts w:ascii="Calibri" w:eastAsia="Calibri"/>
        </w:rPr>
        <w:t>17.7</w:t>
      </w:r>
      <w:r>
        <w:rPr>
          <w:rFonts w:ascii="Calibri" w:eastAsia="Calibri"/>
          <w:spacing w:val="22"/>
        </w:rPr>
        <w:t> </w:t>
      </w:r>
      <w:r>
        <w:rPr/>
        <w:t>竣工财务决算</w:t>
      </w:r>
    </w:p>
    <w:p>
      <w:pPr>
        <w:pStyle w:val="BodyText"/>
        <w:tabs>
          <w:tab w:pos="9117" w:val="left" w:leader="none"/>
        </w:tabs>
        <w:spacing w:before="158"/>
        <w:ind w:left="707"/>
      </w:pPr>
      <w:r>
        <w:rPr/>
        <w:t> </w:t>
      </w:r>
      <w:r>
        <w:rPr>
          <w:spacing w:val="-1"/>
        </w:rPr>
        <w:t> </w:t>
      </w:r>
      <w:r>
        <w:rPr/>
        <w:t>承包人应为竣工财务决算编制提供的资料</w:t>
      </w:r>
      <w:r>
        <w:rPr>
          <w:spacing w:val="-3"/>
        </w:rPr>
        <w:t>：</w:t>
      </w:r>
      <w:r>
        <w:rPr>
          <w:spacing w:val="-3"/>
          <w:u w:val="single"/>
        </w:rPr>
        <w:t> </w:t>
        <w:tab/>
      </w:r>
      <w:r>
        <w:rPr/>
        <w:t>。</w:t>
      </w:r>
    </w:p>
    <w:p>
      <w:pPr>
        <w:pStyle w:val="BodyText"/>
        <w:rPr>
          <w:sz w:val="20"/>
        </w:rPr>
      </w:pPr>
    </w:p>
    <w:p>
      <w:pPr>
        <w:pStyle w:val="Heading6"/>
        <w:numPr>
          <w:ilvl w:val="0"/>
          <w:numId w:val="77"/>
        </w:numPr>
        <w:tabs>
          <w:tab w:pos="618" w:val="left" w:leader="none"/>
        </w:tabs>
        <w:spacing w:line="240" w:lineRule="auto" w:before="222" w:after="0"/>
        <w:ind w:left="617" w:right="0" w:hanging="392"/>
        <w:jc w:val="left"/>
      </w:pPr>
      <w:bookmarkStart w:name="18竣工验收(验收)" w:id="142"/>
      <w:bookmarkEnd w:id="142"/>
      <w:r>
        <w:rPr>
          <w:b w:val="0"/>
        </w:rPr>
      </w:r>
      <w:bookmarkStart w:name="18竣工验收(验收)" w:id="143"/>
      <w:bookmarkEnd w:id="143"/>
      <w:r>
        <w:rPr>
          <w:spacing w:val="-4"/>
        </w:rPr>
        <w:t>竣工验收(验收)</w:t>
      </w:r>
    </w:p>
    <w:p>
      <w:pPr>
        <w:pStyle w:val="BodyText"/>
        <w:spacing w:before="9"/>
        <w:rPr>
          <w:rFonts w:ascii="黑体"/>
          <w:b/>
          <w:sz w:val="40"/>
        </w:rPr>
      </w:pPr>
    </w:p>
    <w:p>
      <w:pPr>
        <w:pStyle w:val="BodyText"/>
        <w:tabs>
          <w:tab w:pos="707" w:val="left" w:leader="none"/>
        </w:tabs>
        <w:spacing w:before="1"/>
        <w:ind w:left="226"/>
        <w:rPr>
          <w:rFonts w:ascii="黑体" w:eastAsia="黑体" w:hint="eastAsia"/>
        </w:rPr>
      </w:pPr>
      <w:r>
        <w:rPr/>
        <w:t> </w:t>
        <w:tab/>
      </w:r>
      <w:r>
        <w:rPr>
          <w:rFonts w:ascii="黑体" w:eastAsia="黑体" w:hint="eastAsia"/>
        </w:rPr>
        <w:t>18.1</w:t>
      </w:r>
      <w:r>
        <w:rPr>
          <w:rFonts w:ascii="黑体" w:eastAsia="黑体" w:hint="eastAsia"/>
          <w:spacing w:val="-9"/>
        </w:rPr>
        <w:t> 验收工作分类</w:t>
      </w:r>
    </w:p>
    <w:p>
      <w:pPr>
        <w:pStyle w:val="BodyText"/>
        <w:spacing w:before="158"/>
        <w:ind w:left="226"/>
      </w:pPr>
      <w:r>
        <w:rPr/>
        <w:t>    本 工 程 法 人 验 收 包 括 ：</w:t>
      </w:r>
      <w:r>
        <w:rPr>
          <w:u w:val="single"/>
        </w:rPr>
        <w:t> </w:t>
      </w:r>
      <w:r>
        <w:rPr/>
        <w:t>； 政 府 验 收 包</w:t>
      </w:r>
    </w:p>
    <w:p>
      <w:pPr>
        <w:spacing w:after="0"/>
        <w:sectPr>
          <w:pgSz w:w="11910" w:h="16850"/>
          <w:pgMar w:header="911" w:footer="0" w:top="1380" w:bottom="280" w:left="1200" w:right="0"/>
        </w:sectPr>
      </w:pPr>
    </w:p>
    <w:p>
      <w:pPr>
        <w:pStyle w:val="BodyText"/>
        <w:spacing w:line="362" w:lineRule="auto" w:before="135"/>
        <w:ind w:left="226" w:right="1350"/>
      </w:pPr>
      <w:r>
        <w:rPr/>
        <w:t>括 ：</w:t>
      </w:r>
      <w:r>
        <w:rPr>
          <w:u w:val="single"/>
        </w:rPr>
        <w:t>                               </w:t>
      </w:r>
      <w:r>
        <w:rPr>
          <w:spacing w:val="-8"/>
        </w:rPr>
        <w:t>。 验 收 条 件 为 ：</w:t>
      </w:r>
      <w:r>
        <w:rPr>
          <w:u w:val="single"/>
        </w:rPr>
        <w:t>      </w:t>
      </w:r>
      <w:r>
        <w:rPr>
          <w:spacing w:val="-8"/>
        </w:rPr>
        <w:t>， 验 收 程 序为 ：</w:t>
      </w:r>
      <w:r>
        <w:rPr>
          <w:spacing w:val="-8"/>
          <w:u w:val="single"/>
        </w:rPr>
        <w:t> </w:t>
      </w:r>
      <w:r>
        <w:rPr>
          <w:spacing w:val="-30"/>
        </w:rPr>
        <w:t>。</w:t>
      </w:r>
      <w:r>
        <w:rPr/>
        <w:t> </w:t>
      </w:r>
    </w:p>
    <w:p>
      <w:pPr>
        <w:pStyle w:val="BodyText"/>
        <w:spacing w:before="2"/>
        <w:ind w:left="707"/>
        <w:rPr>
          <w:rFonts w:ascii="黑体" w:eastAsia="黑体" w:hint="eastAsia"/>
        </w:rPr>
      </w:pPr>
      <w:r>
        <w:rPr>
          <w:rFonts w:ascii="黑体" w:eastAsia="黑体" w:hint="eastAsia"/>
        </w:rPr>
        <w:t>18.2 分部工程验收</w:t>
      </w:r>
    </w:p>
    <w:p>
      <w:pPr>
        <w:pStyle w:val="BodyText"/>
        <w:tabs>
          <w:tab w:pos="7736" w:val="left" w:leader="none"/>
        </w:tabs>
        <w:spacing w:line="362" w:lineRule="auto" w:before="158"/>
        <w:ind w:left="226" w:right="1349"/>
      </w:pPr>
      <w:r>
        <w:rPr/>
        <w:t>    </w:t>
      </w:r>
      <w:r>
        <w:rPr>
          <w:rFonts w:ascii="Calibri" w:eastAsia="Calibri"/>
        </w:rPr>
        <w:t>18.2.2</w:t>
      </w:r>
      <w:r>
        <w:rPr>
          <w:rFonts w:ascii="Calibri" w:eastAsia="Calibri"/>
          <w:spacing w:val="1"/>
        </w:rPr>
        <w:t> </w:t>
      </w:r>
      <w:r>
        <w:rPr/>
        <w:t>本工程由发包人主持的分部工程验收</w:t>
      </w:r>
      <w:r>
        <w:rPr>
          <w:spacing w:val="-3"/>
        </w:rPr>
        <w:t>为</w:t>
      </w:r>
      <w:r>
        <w:rPr>
          <w:spacing w:val="-3"/>
          <w:u w:val="single"/>
        </w:rPr>
        <w:t> </w:t>
        <w:tab/>
      </w:r>
      <w:r>
        <w:rPr>
          <w:spacing w:val="-60"/>
        </w:rPr>
        <w:t>，</w:t>
      </w:r>
      <w:r>
        <w:rPr/>
        <w:t>其余由监理</w:t>
      </w:r>
      <w:r>
        <w:rPr>
          <w:spacing w:val="-15"/>
        </w:rPr>
        <w:t>人</w:t>
      </w:r>
      <w:r>
        <w:rPr/>
        <w:t>主持。</w:t>
      </w:r>
    </w:p>
    <w:p>
      <w:pPr>
        <w:pStyle w:val="BodyText"/>
        <w:tabs>
          <w:tab w:pos="707" w:val="left" w:leader="none"/>
        </w:tabs>
        <w:spacing w:before="17"/>
        <w:ind w:left="226"/>
      </w:pPr>
      <w:r>
        <w:rPr/>
        <w:drawing>
          <wp:anchor distT="0" distB="0" distL="0" distR="0" allowOverlap="1" layoutInCell="1" locked="0" behindDoc="1" simplePos="0" relativeHeight="234802176">
            <wp:simplePos x="0" y="0"/>
            <wp:positionH relativeFrom="page">
              <wp:posOffset>992771</wp:posOffset>
            </wp:positionH>
            <wp:positionV relativeFrom="paragraph">
              <wp:posOffset>163963</wp:posOffset>
            </wp:positionV>
            <wp:extent cx="5578970" cy="5494141"/>
            <wp:effectExtent l="0" t="0" r="0" b="0"/>
            <wp:wrapNone/>
            <wp:docPr id="109" name="image1.png"/>
            <wp:cNvGraphicFramePr>
              <a:graphicFrameLocks noChangeAspect="1"/>
            </wp:cNvGraphicFramePr>
            <a:graphic>
              <a:graphicData uri="http://schemas.openxmlformats.org/drawingml/2006/picture">
                <pic:pic>
                  <pic:nvPicPr>
                    <pic:cNvPr id="110" name="image1.png"/>
                    <pic:cNvPicPr/>
                  </pic:nvPicPr>
                  <pic:blipFill>
                    <a:blip r:embed="rId6" cstate="print"/>
                    <a:stretch>
                      <a:fillRect/>
                    </a:stretch>
                  </pic:blipFill>
                  <pic:spPr>
                    <a:xfrm>
                      <a:off x="0" y="0"/>
                      <a:ext cx="5578970" cy="5494141"/>
                    </a:xfrm>
                    <a:prstGeom prst="rect">
                      <a:avLst/>
                    </a:prstGeom>
                  </pic:spPr>
                </pic:pic>
              </a:graphicData>
            </a:graphic>
          </wp:anchor>
        </w:drawing>
      </w:r>
      <w:r>
        <w:rPr/>
        <w:t> </w:t>
        <w:tab/>
      </w:r>
      <w:r>
        <w:rPr>
          <w:rFonts w:ascii="Calibri" w:eastAsia="Calibri"/>
        </w:rPr>
        <w:t>18.3</w:t>
      </w:r>
      <w:r>
        <w:rPr>
          <w:rFonts w:ascii="Calibri" w:eastAsia="Calibri"/>
          <w:spacing w:val="3"/>
        </w:rPr>
        <w:t> </w:t>
      </w:r>
      <w:r>
        <w:rPr/>
        <w:t>单位工程验收</w:t>
      </w:r>
    </w:p>
    <w:p>
      <w:pPr>
        <w:pStyle w:val="BodyText"/>
        <w:tabs>
          <w:tab w:pos="5708" w:val="left" w:leader="none"/>
          <w:tab w:pos="6910" w:val="left" w:leader="none"/>
          <w:tab w:pos="8472" w:val="left" w:leader="none"/>
        </w:tabs>
        <w:spacing w:before="158"/>
        <w:ind w:left="226"/>
      </w:pPr>
      <w:r>
        <w:rPr/>
        <w:t>    </w:t>
      </w:r>
      <w:r>
        <w:rPr>
          <w:rFonts w:ascii="Calibri" w:eastAsia="Calibri"/>
        </w:rPr>
        <w:t>18.3.4</w:t>
      </w:r>
      <w:r>
        <w:rPr>
          <w:rFonts w:ascii="Calibri" w:eastAsia="Calibri"/>
          <w:spacing w:val="1"/>
        </w:rPr>
        <w:t> </w:t>
      </w:r>
      <w:r>
        <w:rPr/>
        <w:t>提前投入使用的单位工程包括</w:t>
      </w:r>
      <w:r>
        <w:rPr>
          <w:spacing w:val="-3"/>
        </w:rPr>
        <w:t>：</w:t>
      </w:r>
      <w:r>
        <w:rPr>
          <w:spacing w:val="-3"/>
          <w:u w:val="single"/>
        </w:rPr>
        <w:t> </w:t>
        <w:tab/>
      </w:r>
      <w:r>
        <w:rPr/>
        <w:t>、</w:t>
      </w:r>
      <w:r>
        <w:rPr>
          <w:u w:val="single"/>
        </w:rPr>
        <w:t> </w:t>
        <w:tab/>
      </w:r>
      <w:r>
        <w:rPr/>
        <w:t>、</w:t>
      </w:r>
      <w:r>
        <w:rPr>
          <w:u w:val="single"/>
        </w:rPr>
        <w:t> </w:t>
        <w:tab/>
      </w:r>
      <w:r>
        <w:rPr/>
        <w:t>。</w:t>
      </w:r>
    </w:p>
    <w:p>
      <w:pPr>
        <w:pStyle w:val="BodyText"/>
        <w:spacing w:before="158"/>
        <w:ind w:left="707"/>
        <w:rPr>
          <w:rFonts w:ascii="黑体" w:eastAsia="黑体" w:hint="eastAsia"/>
        </w:rPr>
      </w:pPr>
      <w:r>
        <w:rPr>
          <w:rFonts w:ascii="黑体" w:eastAsia="黑体" w:hint="eastAsia"/>
        </w:rPr>
        <w:t>18.5 阶段验收</w:t>
      </w:r>
    </w:p>
    <w:p>
      <w:pPr>
        <w:pStyle w:val="BodyText"/>
        <w:spacing w:before="158"/>
        <w:ind w:left="226"/>
      </w:pPr>
      <w:r>
        <w:rPr/>
        <w:t>    </w:t>
      </w:r>
      <w:r>
        <w:rPr>
          <w:rFonts w:ascii="Calibri" w:eastAsia="Calibri"/>
        </w:rPr>
        <w:t>18.5.1 </w:t>
      </w:r>
      <w:r>
        <w:rPr/>
        <w:t>本合同工程阶段验收类别包括： 、 、 。</w:t>
      </w:r>
    </w:p>
    <w:p>
      <w:pPr>
        <w:pStyle w:val="BodyText"/>
        <w:tabs>
          <w:tab w:pos="707" w:val="left" w:leader="none"/>
        </w:tabs>
        <w:spacing w:before="158"/>
        <w:ind w:left="226"/>
        <w:rPr>
          <w:rFonts w:ascii="黑体" w:eastAsia="黑体" w:hint="eastAsia"/>
        </w:rPr>
      </w:pPr>
      <w:r>
        <w:rPr/>
        <w:t> </w:t>
        <w:tab/>
      </w:r>
      <w:r>
        <w:rPr>
          <w:rFonts w:ascii="黑体" w:eastAsia="黑体" w:hint="eastAsia"/>
        </w:rPr>
        <w:t>18.6</w:t>
      </w:r>
      <w:r>
        <w:rPr>
          <w:rFonts w:ascii="黑体" w:eastAsia="黑体" w:hint="eastAsia"/>
          <w:spacing w:val="-12"/>
        </w:rPr>
        <w:t> 专项验收</w:t>
      </w:r>
    </w:p>
    <w:p>
      <w:pPr>
        <w:pStyle w:val="BodyText"/>
        <w:tabs>
          <w:tab w:pos="5468" w:val="left" w:leader="none"/>
          <w:tab w:pos="6669" w:val="left" w:leader="none"/>
          <w:tab w:pos="8592" w:val="left" w:leader="none"/>
        </w:tabs>
        <w:spacing w:before="173"/>
        <w:ind w:left="226"/>
      </w:pPr>
      <w:r>
        <w:rPr/>
        <w:t>    </w:t>
      </w:r>
      <w:r>
        <w:rPr>
          <w:rFonts w:ascii="Calibri" w:eastAsia="Calibri"/>
        </w:rPr>
        <w:t>18.6.2</w:t>
      </w:r>
      <w:r>
        <w:rPr>
          <w:rFonts w:ascii="Calibri" w:eastAsia="Calibri"/>
          <w:spacing w:val="1"/>
        </w:rPr>
        <w:t> </w:t>
      </w:r>
      <w:r>
        <w:rPr/>
        <w:t>本合同工程专项验收类别包括</w:t>
      </w:r>
      <w:r>
        <w:rPr>
          <w:spacing w:val="-3"/>
        </w:rPr>
        <w:t>：</w:t>
      </w:r>
      <w:r>
        <w:rPr>
          <w:spacing w:val="-3"/>
          <w:u w:val="single"/>
        </w:rPr>
        <w:t> </w:t>
        <w:tab/>
      </w:r>
      <w:r>
        <w:rPr/>
        <w:t>、</w:t>
      </w:r>
      <w:r>
        <w:rPr>
          <w:u w:val="single"/>
        </w:rPr>
        <w:t> </w:t>
        <w:tab/>
      </w:r>
      <w:r>
        <w:rPr/>
        <w:t>、</w:t>
      </w:r>
      <w:r>
        <w:rPr>
          <w:u w:val="single"/>
        </w:rPr>
        <w:t> </w:t>
        <w:tab/>
      </w:r>
      <w:r>
        <w:rPr/>
        <w:t>。</w:t>
      </w:r>
    </w:p>
    <w:p>
      <w:pPr>
        <w:pStyle w:val="BodyText"/>
        <w:tabs>
          <w:tab w:pos="707" w:val="left" w:leader="none"/>
        </w:tabs>
        <w:spacing w:before="158"/>
        <w:ind w:left="226"/>
        <w:rPr>
          <w:rFonts w:ascii="黑体" w:eastAsia="黑体" w:hint="eastAsia"/>
        </w:rPr>
      </w:pPr>
      <w:r>
        <w:rPr/>
        <w:t> </w:t>
        <w:tab/>
      </w:r>
      <w:r>
        <w:rPr>
          <w:rFonts w:ascii="黑体" w:eastAsia="黑体" w:hint="eastAsia"/>
        </w:rPr>
        <w:t>18.7</w:t>
      </w:r>
      <w:r>
        <w:rPr>
          <w:rFonts w:ascii="黑体" w:eastAsia="黑体" w:hint="eastAsia"/>
          <w:spacing w:val="-12"/>
        </w:rPr>
        <w:t> 竣工验收</w:t>
      </w:r>
    </w:p>
    <w:p>
      <w:pPr>
        <w:pStyle w:val="BodyText"/>
        <w:spacing w:before="158"/>
        <w:ind w:left="226"/>
      </w:pPr>
      <w:r>
        <w:rPr/>
        <w:t>    </w:t>
      </w:r>
      <w:r>
        <w:rPr>
          <w:rFonts w:ascii="Calibri" w:eastAsia="Calibri"/>
        </w:rPr>
        <w:t>18.7.3 </w:t>
      </w:r>
      <w:r>
        <w:rPr/>
        <w:t>本工程</w:t>
      </w:r>
      <w:r>
        <w:rPr>
          <w:spacing w:val="56"/>
          <w:u w:val="single"/>
        </w:rPr>
        <w:t> </w:t>
      </w:r>
      <w:r>
        <w:rPr/>
        <w:t>(需要／不需要)竣工验收技术鉴定(蓄水安全鉴定)。</w:t>
      </w:r>
    </w:p>
    <w:p>
      <w:pPr>
        <w:pStyle w:val="BodyText"/>
        <w:tabs>
          <w:tab w:pos="707" w:val="left" w:leader="none"/>
        </w:tabs>
        <w:spacing w:before="158"/>
        <w:ind w:left="226"/>
        <w:rPr>
          <w:rFonts w:ascii="黑体" w:eastAsia="黑体" w:hint="eastAsia"/>
        </w:rPr>
      </w:pPr>
      <w:r>
        <w:rPr/>
        <w:t> </w:t>
        <w:tab/>
      </w:r>
      <w:r>
        <w:rPr>
          <w:rFonts w:ascii="黑体" w:eastAsia="黑体" w:hint="eastAsia"/>
        </w:rPr>
        <w:t>18.8</w:t>
      </w:r>
      <w:r>
        <w:rPr>
          <w:rFonts w:ascii="黑体" w:eastAsia="黑体" w:hint="eastAsia"/>
          <w:spacing w:val="-10"/>
        </w:rPr>
        <w:t> 施工期运行</w:t>
      </w:r>
    </w:p>
    <w:p>
      <w:pPr>
        <w:pStyle w:val="BodyText"/>
        <w:tabs>
          <w:tab w:pos="707" w:val="left" w:leader="none"/>
          <w:tab w:pos="6910" w:val="left" w:leader="none"/>
          <w:tab w:pos="7871" w:val="left" w:leader="none"/>
          <w:tab w:pos="8592" w:val="left" w:leader="none"/>
        </w:tabs>
        <w:spacing w:before="158"/>
        <w:ind w:left="226"/>
      </w:pPr>
      <w:r>
        <w:rPr/>
        <w:t> </w:t>
        <w:tab/>
      </w:r>
      <w:r>
        <w:rPr>
          <w:rFonts w:ascii="Calibri" w:eastAsia="Calibri"/>
        </w:rPr>
        <w:t>18.8.1</w:t>
      </w:r>
      <w:r>
        <w:rPr>
          <w:rFonts w:ascii="Calibri" w:eastAsia="Calibri"/>
          <w:spacing w:val="1"/>
        </w:rPr>
        <w:t> </w:t>
      </w:r>
      <w:r>
        <w:rPr/>
        <w:t>需要在施工期运行的单位工程或工程设备为</w:t>
      </w:r>
      <w:r>
        <w:rPr>
          <w:spacing w:val="-4"/>
        </w:rPr>
        <w:t>：</w:t>
      </w:r>
      <w:r>
        <w:rPr>
          <w:spacing w:val="-4"/>
          <w:u w:val="single"/>
        </w:rPr>
        <w:t> </w:t>
        <w:tab/>
      </w:r>
      <w:r>
        <w:rPr/>
        <w:t>、</w:t>
      </w:r>
      <w:r>
        <w:rPr>
          <w:u w:val="single"/>
        </w:rPr>
        <w:t> </w:t>
        <w:tab/>
      </w:r>
      <w:r>
        <w:rPr/>
        <w:t>、</w:t>
      </w:r>
      <w:r>
        <w:rPr>
          <w:u w:val="single"/>
        </w:rPr>
        <w:t> </w:t>
        <w:tab/>
      </w:r>
      <w:r>
        <w:rPr/>
        <w:t>。</w:t>
      </w:r>
    </w:p>
    <w:p>
      <w:pPr>
        <w:pStyle w:val="BodyText"/>
        <w:tabs>
          <w:tab w:pos="707" w:val="left" w:leader="none"/>
        </w:tabs>
        <w:spacing w:before="172"/>
        <w:ind w:left="226"/>
      </w:pPr>
      <w:r>
        <w:rPr/>
        <w:t> </w:t>
        <w:tab/>
      </w:r>
      <w:r>
        <w:rPr>
          <w:rFonts w:ascii="Calibri" w:eastAsia="Calibri"/>
        </w:rPr>
        <w:t>18.9</w:t>
      </w:r>
      <w:r>
        <w:rPr>
          <w:rFonts w:ascii="Calibri" w:eastAsia="Calibri"/>
          <w:spacing w:val="3"/>
        </w:rPr>
        <w:t> </w:t>
      </w:r>
      <w:r>
        <w:rPr/>
        <w:t>试运行</w:t>
      </w:r>
    </w:p>
    <w:p>
      <w:pPr>
        <w:pStyle w:val="BodyText"/>
        <w:tabs>
          <w:tab w:pos="5227" w:val="left" w:leader="none"/>
          <w:tab w:pos="8712" w:val="left" w:leader="none"/>
        </w:tabs>
        <w:spacing w:before="158"/>
        <w:ind w:left="226"/>
      </w:pPr>
      <w:r>
        <w:rPr/>
        <w:t>    </w:t>
      </w:r>
      <w:r>
        <w:rPr>
          <w:rFonts w:ascii="Calibri" w:eastAsia="Calibri"/>
        </w:rPr>
        <w:t>18.9.1</w:t>
      </w:r>
      <w:r>
        <w:rPr>
          <w:rFonts w:ascii="Calibri" w:eastAsia="Calibri"/>
          <w:spacing w:val="1"/>
        </w:rPr>
        <w:t> </w:t>
      </w:r>
      <w:r>
        <w:rPr/>
        <w:t>试运行的组织：</w:t>
      </w:r>
      <w:r>
        <w:rPr>
          <w:u w:val="single"/>
        </w:rPr>
        <w:t> </w:t>
        <w:tab/>
      </w:r>
      <w:r>
        <w:rPr/>
        <w:t>；费用承担：</w:t>
      </w:r>
      <w:r>
        <w:rPr>
          <w:u w:val="single"/>
        </w:rPr>
        <w:t> </w:t>
        <w:tab/>
      </w:r>
      <w:r>
        <w:rPr/>
        <w:t>；</w:t>
      </w:r>
    </w:p>
    <w:p>
      <w:pPr>
        <w:pStyle w:val="BodyText"/>
        <w:rPr>
          <w:sz w:val="20"/>
        </w:rPr>
      </w:pPr>
    </w:p>
    <w:p>
      <w:pPr>
        <w:pStyle w:val="Heading6"/>
        <w:numPr>
          <w:ilvl w:val="0"/>
          <w:numId w:val="77"/>
        </w:numPr>
        <w:tabs>
          <w:tab w:pos="618" w:val="left" w:leader="none"/>
        </w:tabs>
        <w:spacing w:line="240" w:lineRule="auto" w:before="223" w:after="0"/>
        <w:ind w:left="617" w:right="0" w:hanging="392"/>
        <w:jc w:val="left"/>
      </w:pPr>
      <w:bookmarkStart w:name="19缺陷责任与保修责任" w:id="144"/>
      <w:bookmarkEnd w:id="144"/>
      <w:r>
        <w:rPr>
          <w:b w:val="0"/>
        </w:rPr>
      </w:r>
      <w:bookmarkStart w:name="19缺陷责任与保修责任" w:id="145"/>
      <w:bookmarkEnd w:id="145"/>
      <w:r>
        <w:rPr>
          <w:spacing w:val="-5"/>
        </w:rPr>
        <w:t>缺陷责任与保修责任</w:t>
      </w:r>
    </w:p>
    <w:p>
      <w:pPr>
        <w:pStyle w:val="BodyText"/>
        <w:spacing w:before="8"/>
        <w:rPr>
          <w:rFonts w:ascii="黑体"/>
          <w:b/>
          <w:sz w:val="40"/>
        </w:rPr>
      </w:pPr>
    </w:p>
    <w:p>
      <w:pPr>
        <w:pStyle w:val="BodyText"/>
        <w:tabs>
          <w:tab w:pos="707" w:val="left" w:leader="none"/>
        </w:tabs>
        <w:spacing w:before="1"/>
        <w:ind w:left="226"/>
        <w:rPr>
          <w:rFonts w:ascii="黑体" w:eastAsia="黑体" w:hint="eastAsia"/>
        </w:rPr>
      </w:pPr>
      <w:r>
        <w:rPr/>
        <w:t> </w:t>
        <w:tab/>
      </w:r>
      <w:r>
        <w:rPr>
          <w:rFonts w:ascii="黑体" w:eastAsia="黑体" w:hint="eastAsia"/>
        </w:rPr>
        <w:t>19.1</w:t>
      </w:r>
      <w:r>
        <w:rPr>
          <w:rFonts w:ascii="黑体" w:eastAsia="黑体" w:hint="eastAsia"/>
          <w:spacing w:val="-8"/>
        </w:rPr>
        <w:t> 缺陷责任期(工程质量保修期)的起算时间</w:t>
      </w:r>
    </w:p>
    <w:p>
      <w:pPr>
        <w:pStyle w:val="BodyText"/>
        <w:spacing w:before="158"/>
        <w:ind w:left="707"/>
      </w:pPr>
      <w:r>
        <w:rPr/>
        <w:t>本工程缺陷责任期(工程质量保修期)计算如下：</w:t>
      </w:r>
      <w:r>
        <w:rPr>
          <w:u w:val="single"/>
        </w:rPr>
        <w:t> </w:t>
      </w:r>
      <w:r>
        <w:rPr/>
        <w:t>。 </w:t>
      </w:r>
    </w:p>
    <w:p>
      <w:pPr>
        <w:pStyle w:val="BodyText"/>
        <w:rPr>
          <w:sz w:val="20"/>
        </w:rPr>
      </w:pPr>
    </w:p>
    <w:p>
      <w:pPr>
        <w:pStyle w:val="Heading6"/>
        <w:numPr>
          <w:ilvl w:val="0"/>
          <w:numId w:val="77"/>
        </w:numPr>
        <w:tabs>
          <w:tab w:pos="618" w:val="left" w:leader="none"/>
        </w:tabs>
        <w:spacing w:line="240" w:lineRule="auto" w:before="222" w:after="0"/>
        <w:ind w:left="617" w:right="0" w:hanging="392"/>
        <w:jc w:val="left"/>
      </w:pPr>
      <w:bookmarkStart w:name="20保险" w:id="146"/>
      <w:bookmarkEnd w:id="146"/>
      <w:r>
        <w:rPr>
          <w:b w:val="0"/>
        </w:rPr>
      </w:r>
      <w:bookmarkStart w:name="20保险" w:id="147"/>
      <w:bookmarkEnd w:id="147"/>
      <w:r>
        <w:rPr/>
        <w:t>保险</w:t>
      </w:r>
    </w:p>
    <w:p>
      <w:pPr>
        <w:pStyle w:val="BodyText"/>
        <w:spacing w:before="9"/>
        <w:rPr>
          <w:rFonts w:ascii="黑体"/>
          <w:b/>
          <w:sz w:val="40"/>
        </w:rPr>
      </w:pPr>
    </w:p>
    <w:p>
      <w:pPr>
        <w:pStyle w:val="BodyText"/>
        <w:tabs>
          <w:tab w:pos="707" w:val="left" w:leader="none"/>
        </w:tabs>
        <w:ind w:left="226"/>
        <w:rPr>
          <w:rFonts w:ascii="黑体" w:eastAsia="黑体" w:hint="eastAsia"/>
        </w:rPr>
      </w:pPr>
      <w:r>
        <w:rPr/>
        <w:t> </w:t>
        <w:tab/>
      </w:r>
      <w:r>
        <w:rPr>
          <w:rFonts w:ascii="黑体" w:eastAsia="黑体" w:hint="eastAsia"/>
        </w:rPr>
        <w:t>20.1</w:t>
      </w:r>
      <w:r>
        <w:rPr>
          <w:rFonts w:ascii="黑体" w:eastAsia="黑体" w:hint="eastAsia"/>
          <w:spacing w:val="-12"/>
        </w:rPr>
        <w:t> 工程保险</w:t>
      </w:r>
    </w:p>
    <w:p>
      <w:pPr>
        <w:pStyle w:val="BodyText"/>
        <w:tabs>
          <w:tab w:pos="480" w:val="left" w:leader="none"/>
          <w:tab w:pos="8530" w:val="left" w:leader="none"/>
        </w:tabs>
        <w:spacing w:before="158"/>
        <w:ind w:right="1710"/>
        <w:jc w:val="right"/>
      </w:pPr>
      <w:r>
        <w:rPr/>
        <w:t> </w:t>
        <w:tab/>
        <w:t>建筑工程一切险和(或)安装工程一切险投保人：</w:t>
      </w:r>
      <w:r>
        <w:rPr>
          <w:u w:val="single"/>
        </w:rPr>
        <w:t> </w:t>
        <w:tab/>
      </w:r>
      <w:r>
        <w:rPr/>
        <w:t>。</w:t>
      </w:r>
    </w:p>
    <w:p>
      <w:pPr>
        <w:pStyle w:val="BodyText"/>
        <w:tabs>
          <w:tab w:pos="315" w:val="left" w:leader="none"/>
          <w:tab w:pos="8365" w:val="left" w:leader="none"/>
        </w:tabs>
        <w:spacing w:before="158"/>
        <w:ind w:right="1665"/>
        <w:jc w:val="right"/>
      </w:pPr>
      <w:r>
        <w:rPr>
          <w:sz w:val="21"/>
        </w:rPr>
        <w:t> </w:t>
        <w:tab/>
      </w:r>
      <w:r>
        <w:rPr/>
        <w:t>投保内容：</w:t>
      </w:r>
      <w:r>
        <w:rPr>
          <w:u w:val="single"/>
        </w:rPr>
        <w:t> </w:t>
        <w:tab/>
      </w:r>
      <w:r>
        <w:rPr/>
        <w:t>；</w:t>
      </w:r>
    </w:p>
    <w:p>
      <w:pPr>
        <w:pStyle w:val="BodyText"/>
        <w:tabs>
          <w:tab w:pos="8530" w:val="left" w:leader="none"/>
        </w:tabs>
        <w:spacing w:before="158"/>
        <w:ind w:right="1710"/>
        <w:jc w:val="right"/>
      </w:pPr>
      <w:r>
        <w:rPr/>
        <w:t>    保险金额、保险费率和保险期限</w:t>
      </w:r>
      <w:r>
        <w:rPr>
          <w:spacing w:val="-3"/>
        </w:rPr>
        <w:t>：</w:t>
      </w:r>
      <w:r>
        <w:rPr>
          <w:spacing w:val="-3"/>
          <w:u w:val="single"/>
        </w:rPr>
        <w:t> </w:t>
        <w:tab/>
      </w:r>
      <w:r>
        <w:rPr/>
        <w:t>。</w:t>
      </w:r>
    </w:p>
    <w:p>
      <w:pPr>
        <w:pStyle w:val="BodyText"/>
        <w:tabs>
          <w:tab w:pos="707" w:val="left" w:leader="none"/>
        </w:tabs>
        <w:spacing w:before="158"/>
        <w:ind w:left="226"/>
        <w:rPr>
          <w:rFonts w:ascii="黑体" w:eastAsia="黑体" w:hint="eastAsia"/>
        </w:rPr>
      </w:pPr>
      <w:r>
        <w:rPr/>
        <w:t> </w:t>
        <w:tab/>
      </w:r>
      <w:r>
        <w:rPr>
          <w:rFonts w:ascii="黑体" w:eastAsia="黑体" w:hint="eastAsia"/>
        </w:rPr>
        <w:t>20.4</w:t>
      </w:r>
      <w:r>
        <w:rPr>
          <w:rFonts w:ascii="黑体" w:eastAsia="黑体" w:hint="eastAsia"/>
          <w:spacing w:val="-9"/>
        </w:rPr>
        <w:t> 第三者责任险</w:t>
      </w:r>
    </w:p>
    <w:p>
      <w:pPr>
        <w:spacing w:after="0"/>
        <w:rPr>
          <w:rFonts w:ascii="黑体" w:eastAsia="黑体" w:hint="eastAsia"/>
        </w:rPr>
        <w:sectPr>
          <w:pgSz w:w="11910" w:h="16850"/>
          <w:pgMar w:header="911" w:footer="0" w:top="1380" w:bottom="280" w:left="1200" w:right="0"/>
        </w:sectPr>
      </w:pPr>
    </w:p>
    <w:p>
      <w:pPr>
        <w:pStyle w:val="BodyText"/>
        <w:tabs>
          <w:tab w:pos="8832" w:val="left" w:leader="none"/>
        </w:tabs>
        <w:spacing w:before="135"/>
        <w:ind w:left="226"/>
      </w:pPr>
      <w:r>
        <w:rPr/>
        <w:t>    </w:t>
      </w:r>
      <w:r>
        <w:rPr>
          <w:rFonts w:ascii="Calibri" w:eastAsia="Calibri"/>
        </w:rPr>
        <w:t>20.4.2</w:t>
      </w:r>
      <w:r>
        <w:rPr>
          <w:rFonts w:ascii="Calibri" w:eastAsia="Calibri"/>
          <w:spacing w:val="1"/>
        </w:rPr>
        <w:t> </w:t>
      </w:r>
      <w:r>
        <w:rPr/>
        <w:t>第三者责任险保险费率：</w:t>
      </w:r>
      <w:r>
        <w:rPr>
          <w:u w:val="single"/>
        </w:rPr>
        <w:t> </w:t>
        <w:tab/>
      </w:r>
      <w:r>
        <w:rPr/>
        <w:t>；</w:t>
      </w:r>
    </w:p>
    <w:p>
      <w:pPr>
        <w:pStyle w:val="BodyText"/>
        <w:tabs>
          <w:tab w:pos="6834" w:val="left" w:leader="none"/>
          <w:tab w:pos="8877" w:val="left" w:leader="none"/>
        </w:tabs>
        <w:spacing w:before="158"/>
        <w:ind w:left="226"/>
      </w:pPr>
      <w:r>
        <w:rPr/>
        <w:t>    第三者责任险保险金额：</w:t>
      </w:r>
      <w:r>
        <w:rPr>
          <w:u w:val="single"/>
        </w:rPr>
        <w:t> </w:t>
        <w:tab/>
        <w:tab/>
      </w:r>
      <w:r>
        <w:rPr/>
        <w:t>。</w:t>
      </w:r>
    </w:p>
    <w:p>
      <w:pPr>
        <w:pStyle w:val="BodyText"/>
        <w:tabs>
          <w:tab w:pos="707" w:val="left" w:leader="none"/>
        </w:tabs>
        <w:spacing w:before="158"/>
        <w:ind w:left="226"/>
        <w:rPr>
          <w:rFonts w:ascii="黑体" w:eastAsia="黑体" w:hint="eastAsia"/>
        </w:rPr>
      </w:pPr>
      <w:r>
        <w:rPr/>
        <w:t> </w:t>
        <w:tab/>
      </w:r>
      <w:r>
        <w:rPr>
          <w:rFonts w:ascii="黑体" w:eastAsia="黑体" w:hint="eastAsia"/>
        </w:rPr>
        <w:t>20.5</w:t>
      </w:r>
      <w:r>
        <w:rPr>
          <w:rFonts w:ascii="黑体" w:eastAsia="黑体" w:hint="eastAsia"/>
          <w:spacing w:val="-12"/>
        </w:rPr>
        <w:t> 其它保险</w:t>
      </w:r>
    </w:p>
    <w:p>
      <w:pPr>
        <w:pStyle w:val="BodyText"/>
        <w:tabs>
          <w:tab w:pos="8877" w:val="left" w:leader="none"/>
        </w:tabs>
        <w:spacing w:before="158"/>
        <w:ind w:left="226"/>
      </w:pPr>
      <w:r>
        <w:rPr/>
        <w:t>    需要投保的其它内容：</w:t>
      </w:r>
      <w:r>
        <w:rPr>
          <w:u w:val="single"/>
        </w:rPr>
        <w:t> </w:t>
        <w:tab/>
      </w:r>
      <w:r>
        <w:rPr/>
        <w:t>；</w:t>
      </w:r>
    </w:p>
    <w:p>
      <w:pPr>
        <w:pStyle w:val="BodyText"/>
        <w:tabs>
          <w:tab w:pos="8877" w:val="left" w:leader="none"/>
        </w:tabs>
        <w:spacing w:before="158"/>
        <w:ind w:left="226"/>
      </w:pPr>
      <w:r>
        <w:rPr/>
        <w:t>    保险金额、保险费率和保险期限</w:t>
      </w:r>
      <w:r>
        <w:rPr>
          <w:spacing w:val="-3"/>
        </w:rPr>
        <w:t>：</w:t>
      </w:r>
      <w:r>
        <w:rPr>
          <w:spacing w:val="-3"/>
          <w:u w:val="single"/>
        </w:rPr>
        <w:t> </w:t>
        <w:tab/>
      </w:r>
      <w:r>
        <w:rPr/>
        <w:t>。</w:t>
      </w:r>
    </w:p>
    <w:p>
      <w:pPr>
        <w:pStyle w:val="BodyText"/>
        <w:spacing w:before="4"/>
        <w:rPr>
          <w:sz w:val="8"/>
        </w:rPr>
      </w:pPr>
    </w:p>
    <w:p>
      <w:pPr>
        <w:pStyle w:val="BodyText"/>
        <w:tabs>
          <w:tab w:pos="707" w:val="left" w:leader="none"/>
        </w:tabs>
        <w:spacing w:before="66"/>
        <w:ind w:left="226"/>
        <w:rPr>
          <w:rFonts w:ascii="黑体" w:eastAsia="黑体" w:hint="eastAsia"/>
        </w:rPr>
      </w:pPr>
      <w:r>
        <w:rPr/>
        <w:pict>
          <v:group style="position:absolute;margin-left:71.349998pt;margin-top:15.360486pt;width:457.55pt;height:432.65pt;mso-position-horizontal-relative:page;mso-position-vertical-relative:paragraph;z-index:-268505088" coordorigin="1427,307" coordsize="9151,8653">
            <v:shape style="position:absolute;left:1563;top:307;width:8786;height:8653" type="#_x0000_t75" stroked="false">
              <v:imagedata r:id="rId6" o:title=""/>
            </v:shape>
            <v:line style="position:absolute" from="3109,1740" to="10078,1740" stroked="true" strokeweight=".75pt" strokecolor="#000000">
              <v:stroke dashstyle="solid"/>
            </v:line>
            <v:line style="position:absolute" from="4070,5749" to="10318,5749" stroked="true" strokeweight=".75pt" strokecolor="#000000">
              <v:stroke dashstyle="solid"/>
            </v:line>
            <v:shape style="position:absolute;left:1427;top:565;width:8911;height:724" type="#_x0000_t202" filled="false" stroked="false">
              <v:textbox inset="0,0,0,0">
                <w:txbxContent>
                  <w:p>
                    <w:pPr>
                      <w:spacing w:line="274" w:lineRule="exact" w:before="0"/>
                      <w:ind w:left="0" w:right="0" w:firstLine="0"/>
                      <w:jc w:val="left"/>
                      <w:rPr>
                        <w:sz w:val="24"/>
                      </w:rPr>
                    </w:pPr>
                    <w:r>
                      <w:rPr>
                        <w:sz w:val="24"/>
                      </w:rPr>
                      <w:t>    </w:t>
                    </w:r>
                    <w:r>
                      <w:rPr>
                        <w:rFonts w:ascii="Calibri" w:eastAsia="Calibri"/>
                        <w:sz w:val="24"/>
                      </w:rPr>
                      <w:t>20.6.1 </w:t>
                    </w:r>
                    <w:r>
                      <w:rPr>
                        <w:sz w:val="24"/>
                      </w:rPr>
                      <w:t>保险凭证</w:t>
                    </w:r>
                  </w:p>
                  <w:p>
                    <w:pPr>
                      <w:tabs>
                        <w:tab w:pos="8650" w:val="left" w:leader="none"/>
                      </w:tabs>
                      <w:spacing w:line="292" w:lineRule="exact" w:before="158"/>
                      <w:ind w:left="0" w:right="0" w:firstLine="0"/>
                      <w:jc w:val="left"/>
                      <w:rPr>
                        <w:sz w:val="24"/>
                      </w:rPr>
                    </w:pPr>
                    <w:r>
                      <w:rPr>
                        <w:sz w:val="24"/>
                      </w:rPr>
                      <w:t>    承包人提交保险凭证的期限：</w:t>
                    </w:r>
                    <w:r>
                      <w:rPr>
                        <w:sz w:val="24"/>
                        <w:u w:val="single"/>
                      </w:rPr>
                      <w:t> </w:t>
                      <w:tab/>
                    </w:r>
                    <w:r>
                      <w:rPr>
                        <w:sz w:val="24"/>
                      </w:rPr>
                      <w:t>。</w:t>
                    </w:r>
                  </w:p>
                </w:txbxContent>
              </v:textbox>
              <w10:wrap type="none"/>
            </v:shape>
            <v:shape style="position:absolute;left:1427;top:1496;width:1703;height:240" type="#_x0000_t202" filled="false" stroked="false">
              <v:textbox inset="0,0,0,0">
                <w:txbxContent>
                  <w:p>
                    <w:pPr>
                      <w:spacing w:line="240" w:lineRule="exact" w:before="0"/>
                      <w:ind w:left="0" w:right="0" w:firstLine="0"/>
                      <w:jc w:val="left"/>
                      <w:rPr>
                        <w:sz w:val="24"/>
                      </w:rPr>
                    </w:pPr>
                    <w:r>
                      <w:rPr>
                        <w:sz w:val="24"/>
                      </w:rPr>
                      <w:t>    保险条件：</w:t>
                    </w:r>
                  </w:p>
                </w:txbxContent>
              </v:textbox>
              <w10:wrap type="none"/>
            </v:shape>
            <v:shape style="position:absolute;left:10078;top:1496;width:260;height:240" type="#_x0000_t202" filled="false" stroked="false">
              <v:textbox inset="0,0,0,0">
                <w:txbxContent>
                  <w:p>
                    <w:pPr>
                      <w:spacing w:line="240" w:lineRule="exact" w:before="0"/>
                      <w:ind w:left="0" w:right="0" w:firstLine="0"/>
                      <w:jc w:val="left"/>
                      <w:rPr>
                        <w:sz w:val="24"/>
                      </w:rPr>
                    </w:pPr>
                    <w:r>
                      <w:rPr>
                        <w:sz w:val="24"/>
                      </w:rPr>
                      <w:t>；</w:t>
                    </w:r>
                  </w:p>
                </w:txbxContent>
              </v:textbox>
              <w10:wrap type="none"/>
            </v:shape>
            <v:shape style="position:absolute;left:1427;top:1961;width:9151;height:1186" type="#_x0000_t202" filled="false" stroked="false">
              <v:textbox inset="0,0,0,0">
                <w:txbxContent>
                  <w:p>
                    <w:pPr>
                      <w:spacing w:line="274" w:lineRule="exact" w:before="0"/>
                      <w:ind w:left="0" w:right="0" w:firstLine="0"/>
                      <w:jc w:val="left"/>
                      <w:rPr>
                        <w:sz w:val="24"/>
                      </w:rPr>
                    </w:pPr>
                    <w:r>
                      <w:rPr>
                        <w:sz w:val="24"/>
                      </w:rPr>
                      <w:t>    </w:t>
                    </w:r>
                    <w:r>
                      <w:rPr>
                        <w:rFonts w:ascii="Calibri" w:eastAsia="Calibri"/>
                        <w:sz w:val="24"/>
                      </w:rPr>
                      <w:t>20.6.4 </w:t>
                    </w:r>
                    <w:r>
                      <w:rPr>
                        <w:sz w:val="24"/>
                      </w:rPr>
                      <w:t>保险金不足的补偿</w:t>
                    </w:r>
                  </w:p>
                  <w:p>
                    <w:pPr>
                      <w:tabs>
                        <w:tab w:pos="8890" w:val="left" w:leader="none"/>
                      </w:tabs>
                      <w:spacing w:line="460" w:lineRule="atLeast" w:before="20"/>
                      <w:ind w:left="480" w:right="18" w:hanging="481"/>
                      <w:jc w:val="left"/>
                      <w:rPr>
                        <w:sz w:val="24"/>
                      </w:rPr>
                    </w:pPr>
                    <w:r>
                      <w:rPr>
                        <w:sz w:val="24"/>
                      </w:rPr>
                      <w:t>    承包人负责补偿的范围与金额</w:t>
                    </w:r>
                    <w:r>
                      <w:rPr>
                        <w:spacing w:val="-3"/>
                        <w:sz w:val="24"/>
                      </w:rPr>
                      <w:t>：</w:t>
                    </w:r>
                    <w:r>
                      <w:rPr>
                        <w:spacing w:val="-3"/>
                        <w:sz w:val="24"/>
                        <w:u w:val="single"/>
                      </w:rPr>
                      <w:t> </w:t>
                      <w:tab/>
                    </w:r>
                    <w:r>
                      <w:rPr>
                        <w:spacing w:val="-17"/>
                        <w:sz w:val="24"/>
                      </w:rPr>
                      <w:t>； </w:t>
                    </w:r>
                    <w:r>
                      <w:rPr>
                        <w:sz w:val="24"/>
                      </w:rPr>
                      <w:t>发包人负责补偿的范围与金额</w:t>
                    </w:r>
                    <w:r>
                      <w:rPr>
                        <w:spacing w:val="-3"/>
                        <w:sz w:val="24"/>
                      </w:rPr>
                      <w:t>：</w:t>
                    </w:r>
                    <w:r>
                      <w:rPr>
                        <w:spacing w:val="-3"/>
                        <w:sz w:val="24"/>
                        <w:u w:val="single"/>
                      </w:rPr>
                      <w:t> </w:t>
                      <w:tab/>
                    </w:r>
                    <w:r>
                      <w:rPr>
                        <w:spacing w:val="-17"/>
                        <w:sz w:val="24"/>
                      </w:rPr>
                      <w:t>。</w:t>
                    </w:r>
                  </w:p>
                </w:txbxContent>
              </v:textbox>
              <w10:wrap type="none"/>
            </v:shape>
            <v:shape style="position:absolute;left:1427;top:3694;width:1838;height:285" type="#_x0000_t202" filled="false" stroked="false">
              <v:textbox inset="0,0,0,0">
                <w:txbxContent>
                  <w:p>
                    <w:pPr>
                      <w:spacing w:line="285" w:lineRule="exact" w:before="0"/>
                      <w:ind w:left="0" w:right="0" w:firstLine="0"/>
                      <w:jc w:val="left"/>
                      <w:rPr>
                        <w:rFonts w:ascii="黑体" w:eastAsia="黑体" w:hint="eastAsia"/>
                        <w:b/>
                        <w:sz w:val="28"/>
                      </w:rPr>
                    </w:pPr>
                    <w:r>
                      <w:rPr>
                        <w:rFonts w:ascii="黑体" w:eastAsia="黑体" w:hint="eastAsia"/>
                        <w:b/>
                        <w:sz w:val="28"/>
                      </w:rPr>
                      <w:t>24 争议的解决</w:t>
                    </w:r>
                  </w:p>
                </w:txbxContent>
              </v:textbox>
              <w10:wrap type="none"/>
            </v:shape>
            <v:shape style="position:absolute;left:1427;top:4573;width:9151;height:706" type="#_x0000_t202" filled="false" stroked="false">
              <v:textbox inset="0,0,0,0">
                <w:txbxContent>
                  <w:p>
                    <w:pPr>
                      <w:tabs>
                        <w:tab w:pos="480" w:val="left" w:leader="none"/>
                      </w:tabs>
                      <w:spacing w:line="274" w:lineRule="exact" w:before="0"/>
                      <w:ind w:left="0" w:right="0" w:firstLine="0"/>
                      <w:jc w:val="left"/>
                      <w:rPr>
                        <w:rFonts w:ascii="黑体" w:eastAsia="黑体" w:hint="eastAsia"/>
                        <w:sz w:val="24"/>
                      </w:rPr>
                    </w:pPr>
                    <w:r>
                      <w:rPr>
                        <w:sz w:val="24"/>
                      </w:rPr>
                      <w:t> </w:t>
                      <w:tab/>
                    </w:r>
                    <w:r>
                      <w:rPr>
                        <w:rFonts w:ascii="黑体" w:eastAsia="黑体" w:hint="eastAsia"/>
                        <w:sz w:val="24"/>
                      </w:rPr>
                      <w:t>24.1</w:t>
                    </w:r>
                    <w:r>
                      <w:rPr>
                        <w:rFonts w:ascii="黑体" w:eastAsia="黑体" w:hint="eastAsia"/>
                        <w:spacing w:val="-8"/>
                        <w:sz w:val="24"/>
                      </w:rPr>
                      <w:t> 争议的解决方式</w:t>
                    </w:r>
                  </w:p>
                  <w:p>
                    <w:pPr>
                      <w:spacing w:line="274" w:lineRule="exact" w:before="158"/>
                      <w:ind w:left="0" w:right="0" w:firstLine="0"/>
                      <w:jc w:val="left"/>
                      <w:rPr>
                        <w:sz w:val="24"/>
                      </w:rPr>
                    </w:pPr>
                    <w:r>
                      <w:rPr>
                        <w:sz w:val="24"/>
                      </w:rPr>
                      <w:t>    合同当事人友好协商解决不成、不愿提请争议评审或不接受争议评审组意见的，约</w:t>
                    </w:r>
                  </w:p>
                </w:txbxContent>
              </v:textbox>
              <w10:wrap type="none"/>
            </v:shape>
            <v:shape style="position:absolute;left:1427;top:5504;width:2666;height:240" type="#_x0000_t202" filled="false" stroked="false">
              <v:textbox inset="0,0,0,0">
                <w:txbxContent>
                  <w:p>
                    <w:pPr>
                      <w:spacing w:line="240" w:lineRule="exact" w:before="0"/>
                      <w:ind w:left="0" w:right="0" w:firstLine="0"/>
                      <w:jc w:val="left"/>
                      <w:rPr>
                        <w:sz w:val="24"/>
                      </w:rPr>
                    </w:pPr>
                    <w:r>
                      <w:rPr>
                        <w:sz w:val="24"/>
                      </w:rPr>
                      <w:t>定的合同争议解决方式：</w:t>
                    </w:r>
                  </w:p>
                </w:txbxContent>
              </v:textbox>
              <w10:wrap type="none"/>
            </v:shape>
            <v:shape style="position:absolute;left:10318;top:5504;width:260;height:240" type="#_x0000_t202" filled="false" stroked="false">
              <v:textbox inset="0,0,0,0">
                <w:txbxContent>
                  <w:p>
                    <w:pPr>
                      <w:spacing w:line="240" w:lineRule="exact" w:before="0"/>
                      <w:ind w:left="0" w:right="0" w:firstLine="0"/>
                      <w:jc w:val="left"/>
                      <w:rPr>
                        <w:sz w:val="24"/>
                      </w:rPr>
                    </w:pPr>
                    <w:r>
                      <w:rPr>
                        <w:sz w:val="24"/>
                      </w:rPr>
                      <w:t>。</w:t>
                    </w:r>
                  </w:p>
                </w:txbxContent>
              </v:textbox>
              <w10:wrap type="none"/>
            </v:shape>
            <w10:wrap type="none"/>
          </v:group>
        </w:pict>
      </w:r>
      <w:r>
        <w:rPr/>
        <w:t> </w:t>
        <w:tab/>
      </w:r>
      <w:r>
        <w:rPr>
          <w:rFonts w:ascii="黑体" w:eastAsia="黑体" w:hint="eastAsia"/>
        </w:rPr>
        <w:t>20.6</w:t>
      </w:r>
      <w:r>
        <w:rPr>
          <w:rFonts w:ascii="黑体" w:eastAsia="黑体" w:hint="eastAsia"/>
          <w:spacing w:val="-8"/>
        </w:rPr>
        <w:t> 对各项保险的一般要求</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Heading3"/>
        <w:spacing w:before="228"/>
        <w:ind w:left="226"/>
        <w:rPr>
          <w:rFonts w:ascii="宋体" w:eastAsia="宋体" w:hint="eastAsia"/>
        </w:rPr>
      </w:pPr>
      <w:bookmarkStart w:name="24争议的解决" w:id="148"/>
      <w:bookmarkEnd w:id="148"/>
      <w:r>
        <w:rPr>
          <w:b w:val="0"/>
        </w:rPr>
      </w:r>
      <w:bookmarkStart w:name="第三节　合同附件格式" w:id="149"/>
      <w:bookmarkEnd w:id="149"/>
      <w:r>
        <w:rPr>
          <w:b w:val="0"/>
        </w:rPr>
      </w:r>
      <w:bookmarkStart w:name="_bookmark28" w:id="150"/>
      <w:bookmarkEnd w:id="150"/>
      <w:r>
        <w:rPr>
          <w:b w:val="0"/>
        </w:rPr>
      </w:r>
      <w:r>
        <w:rPr>
          <w:rFonts w:ascii="宋体" w:eastAsia="宋体" w:hint="eastAsia"/>
        </w:rPr>
        <w:t>第三节 合同附件格式</w:t>
      </w:r>
    </w:p>
    <w:p>
      <w:pPr>
        <w:spacing w:after="0"/>
        <w:rPr>
          <w:rFonts w:ascii="宋体" w:eastAsia="宋体" w:hint="eastAsia"/>
        </w:rPr>
        <w:sectPr>
          <w:pgSz w:w="11910" w:h="16850"/>
          <w:pgMar w:header="911" w:footer="0" w:top="1380" w:bottom="280" w:left="1200" w:right="0"/>
        </w:sectPr>
      </w:pPr>
    </w:p>
    <w:p>
      <w:pPr>
        <w:pStyle w:val="BodyText"/>
        <w:spacing w:before="7"/>
        <w:rPr>
          <w:b/>
          <w:sz w:val="10"/>
        </w:rPr>
      </w:pPr>
    </w:p>
    <w:p>
      <w:pPr>
        <w:pStyle w:val="Heading6"/>
        <w:spacing w:before="65"/>
        <w:ind w:left="226" w:firstLine="0"/>
      </w:pPr>
      <w:bookmarkStart w:name="附件一：" w:id="151"/>
      <w:bookmarkEnd w:id="151"/>
      <w:r>
        <w:rPr>
          <w:b w:val="0"/>
        </w:rPr>
      </w:r>
      <w:r>
        <w:rPr/>
        <w:t>附件一：</w:t>
      </w:r>
    </w:p>
    <w:p>
      <w:pPr>
        <w:pStyle w:val="BodyText"/>
        <w:rPr>
          <w:rFonts w:ascii="黑体"/>
          <w:b/>
          <w:sz w:val="20"/>
        </w:rPr>
      </w:pPr>
    </w:p>
    <w:p>
      <w:pPr>
        <w:pStyle w:val="BodyText"/>
        <w:spacing w:before="3"/>
        <w:rPr>
          <w:rFonts w:ascii="黑体"/>
          <w:b/>
          <w:sz w:val="17"/>
        </w:rPr>
      </w:pPr>
    </w:p>
    <w:p>
      <w:pPr>
        <w:pStyle w:val="Heading7"/>
        <w:ind w:left="0" w:right="1122"/>
        <w:jc w:val="center"/>
        <w:rPr>
          <w:rFonts w:ascii="黑体" w:eastAsia="黑体" w:hint="eastAsia"/>
        </w:rPr>
      </w:pPr>
      <w:r>
        <w:rPr>
          <w:rFonts w:ascii="黑体" w:eastAsia="黑体" w:hint="eastAsia"/>
        </w:rPr>
        <w:t>合同协议书</w:t>
      </w:r>
    </w:p>
    <w:p>
      <w:pPr>
        <w:pStyle w:val="BodyText"/>
        <w:spacing w:before="11"/>
        <w:rPr>
          <w:rFonts w:ascii="黑体"/>
          <w:sz w:val="41"/>
        </w:rPr>
      </w:pPr>
    </w:p>
    <w:p>
      <w:pPr>
        <w:pStyle w:val="BodyText"/>
        <w:spacing w:line="362" w:lineRule="auto" w:before="1"/>
        <w:ind w:left="226" w:right="28" w:firstLine="600"/>
      </w:pPr>
      <w:r>
        <w:rPr/>
        <w:drawing>
          <wp:anchor distT="0" distB="0" distL="0" distR="0" allowOverlap="1" layoutInCell="1" locked="0" behindDoc="1" simplePos="0" relativeHeight="234812416">
            <wp:simplePos x="0" y="0"/>
            <wp:positionH relativeFrom="page">
              <wp:posOffset>992771</wp:posOffset>
            </wp:positionH>
            <wp:positionV relativeFrom="paragraph">
              <wp:posOffset>458856</wp:posOffset>
            </wp:positionV>
            <wp:extent cx="5578970" cy="5494141"/>
            <wp:effectExtent l="0" t="0" r="0" b="0"/>
            <wp:wrapNone/>
            <wp:docPr id="111" name="image1.png"/>
            <wp:cNvGraphicFramePr>
              <a:graphicFrameLocks noChangeAspect="1"/>
            </wp:cNvGraphicFramePr>
            <a:graphic>
              <a:graphicData uri="http://schemas.openxmlformats.org/drawingml/2006/picture">
                <pic:pic>
                  <pic:nvPicPr>
                    <pic:cNvPr id="112" name="image1.png"/>
                    <pic:cNvPicPr/>
                  </pic:nvPicPr>
                  <pic:blipFill>
                    <a:blip r:embed="rId6" cstate="print"/>
                    <a:stretch>
                      <a:fillRect/>
                    </a:stretch>
                  </pic:blipFill>
                  <pic:spPr>
                    <a:xfrm>
                      <a:off x="0" y="0"/>
                      <a:ext cx="5578970" cy="5494141"/>
                    </a:xfrm>
                    <a:prstGeom prst="rect">
                      <a:avLst/>
                    </a:prstGeom>
                  </pic:spPr>
                </pic:pic>
              </a:graphicData>
            </a:graphic>
          </wp:anchor>
        </w:drawing>
      </w:r>
      <w:r>
        <w:rPr>
          <w:u w:val="single"/>
        </w:rPr>
        <w:t>  </w:t>
      </w:r>
      <w:r>
        <w:rPr>
          <w:spacing w:val="-45"/>
          <w:u w:val="single"/>
        </w:rPr>
        <w:t> </w:t>
      </w:r>
      <w:r>
        <w:rPr>
          <w:u w:val="single"/>
        </w:rPr>
        <w:t>  </w:t>
      </w:r>
      <w:r>
        <w:rPr>
          <w:spacing w:val="-45"/>
          <w:u w:val="single"/>
        </w:rPr>
        <w:t> </w:t>
      </w:r>
      <w:r>
        <w:rPr>
          <w:u w:val="single"/>
        </w:rPr>
        <w:t>  </w:t>
      </w:r>
      <w:r>
        <w:rPr>
          <w:spacing w:val="-45"/>
          <w:u w:val="single"/>
        </w:rPr>
        <w:t> </w:t>
      </w:r>
      <w:r>
        <w:rPr>
          <w:u w:val="single"/>
        </w:rPr>
        <w:t>  </w:t>
      </w:r>
      <w:r>
        <w:rPr>
          <w:spacing w:val="-45"/>
          <w:u w:val="single"/>
        </w:rPr>
        <w:t> </w:t>
      </w:r>
      <w:r>
        <w:rPr>
          <w:u w:val="single"/>
        </w:rPr>
        <w:t>  </w:t>
      </w:r>
      <w:r>
        <w:rPr>
          <w:spacing w:val="-45"/>
          <w:u w:val="single"/>
        </w:rPr>
        <w:t> </w:t>
      </w:r>
      <w:r>
        <w:rPr>
          <w:u w:val="single"/>
        </w:rPr>
        <w:t>  </w:t>
      </w:r>
      <w:r>
        <w:rPr>
          <w:spacing w:val="-45"/>
          <w:u w:val="single"/>
        </w:rPr>
        <w:t> </w:t>
      </w:r>
      <w:r>
        <w:rPr>
          <w:u w:val="single"/>
        </w:rPr>
        <w:t>  </w:t>
      </w:r>
      <w:r>
        <w:rPr>
          <w:spacing w:val="-45"/>
          <w:u w:val="single"/>
        </w:rPr>
        <w:t> </w:t>
      </w:r>
      <w:r>
        <w:rPr>
          <w:u w:val="single"/>
        </w:rPr>
        <w:t>  </w:t>
      </w:r>
      <w:r>
        <w:rPr>
          <w:spacing w:val="-45"/>
          <w:u w:val="single"/>
        </w:rPr>
        <w:t> </w:t>
      </w:r>
      <w:r>
        <w:rPr>
          <w:spacing w:val="40"/>
        </w:rPr>
        <w:t>(  发包人名称，以下简称“发包人  ”  )  为实  施(</w:t>
      </w:r>
      <w:r>
        <w:rPr>
          <w:spacing w:val="13"/>
        </w:rPr>
        <w:t>项目名称)，已接受</w:t>
      </w:r>
      <w:r>
        <w:rPr>
          <w:spacing w:val="118"/>
          <w:u w:val="single"/>
        </w:rPr>
        <w:t> </w:t>
      </w:r>
      <w:r>
        <w:rPr>
          <w:spacing w:val="-10"/>
        </w:rPr>
        <w:t>(承包人名称，以下简称“承包人”)</w:t>
      </w:r>
      <w:r>
        <w:rPr>
          <w:spacing w:val="6"/>
          <w:u w:val="single"/>
        </w:rPr>
        <w:t> </w:t>
      </w:r>
      <w:r>
        <w:rPr/>
        <w:t>对(项目名</w:t>
      </w:r>
    </w:p>
    <w:p>
      <w:pPr>
        <w:pStyle w:val="BodyText"/>
        <w:spacing w:line="362" w:lineRule="auto" w:before="17"/>
        <w:ind w:left="226" w:right="1349"/>
      </w:pPr>
      <w:r>
        <w:rPr/>
        <w:t>称)</w:t>
      </w:r>
      <w:r>
        <w:rPr>
          <w:spacing w:val="14"/>
          <w:u w:val="single"/>
        </w:rPr>
        <w:t>        </w:t>
      </w:r>
      <w:r>
        <w:rPr>
          <w:spacing w:val="-9"/>
        </w:rPr>
        <w:t>(标段名称)的投标，并确定其为中标人。发包人和承包人共同达成如下协议。 </w:t>
      </w:r>
    </w:p>
    <w:p>
      <w:pPr>
        <w:pStyle w:val="ListParagraph"/>
        <w:numPr>
          <w:ilvl w:val="1"/>
          <w:numId w:val="77"/>
        </w:numPr>
        <w:tabs>
          <w:tab w:pos="1009" w:val="left" w:leader="none"/>
        </w:tabs>
        <w:spacing w:line="362" w:lineRule="auto" w:before="2" w:after="0"/>
        <w:ind w:left="827" w:right="5372" w:firstLine="0"/>
        <w:jc w:val="left"/>
        <w:rPr>
          <w:sz w:val="24"/>
        </w:rPr>
      </w:pPr>
      <w:r>
        <w:rPr>
          <w:sz w:val="24"/>
        </w:rPr>
        <w:t>本协议书与下列文件一起构成合同文件： (1)中标通知书； </w:t>
      </w:r>
    </w:p>
    <w:p>
      <w:pPr>
        <w:pStyle w:val="ListParagraph"/>
        <w:numPr>
          <w:ilvl w:val="0"/>
          <w:numId w:val="76"/>
        </w:numPr>
        <w:tabs>
          <w:tab w:pos="1189" w:val="left" w:leader="none"/>
        </w:tabs>
        <w:spacing w:line="374" w:lineRule="auto" w:before="2" w:after="0"/>
        <w:ind w:left="827" w:right="6998" w:firstLine="0"/>
        <w:jc w:val="left"/>
        <w:rPr>
          <w:sz w:val="24"/>
        </w:rPr>
      </w:pPr>
      <w:r>
        <w:rPr>
          <w:sz w:val="24"/>
        </w:rPr>
        <w:t>投标函及投标函附录； (3)专用合同条款； </w:t>
      </w:r>
    </w:p>
    <w:p>
      <w:pPr>
        <w:pStyle w:val="ListParagraph"/>
        <w:numPr>
          <w:ilvl w:val="0"/>
          <w:numId w:val="78"/>
        </w:numPr>
        <w:tabs>
          <w:tab w:pos="1189" w:val="left" w:leader="none"/>
        </w:tabs>
        <w:spacing w:line="294" w:lineRule="exact" w:before="0" w:after="0"/>
        <w:ind w:left="1188" w:right="0" w:hanging="362"/>
        <w:jc w:val="left"/>
        <w:rPr>
          <w:sz w:val="24"/>
        </w:rPr>
      </w:pPr>
      <w:r>
        <w:rPr>
          <w:sz w:val="24"/>
        </w:rPr>
        <w:t>通用合同条款； </w:t>
      </w:r>
    </w:p>
    <w:p>
      <w:pPr>
        <w:pStyle w:val="ListParagraph"/>
        <w:numPr>
          <w:ilvl w:val="0"/>
          <w:numId w:val="78"/>
        </w:numPr>
        <w:tabs>
          <w:tab w:pos="1189" w:val="left" w:leader="none"/>
        </w:tabs>
        <w:spacing w:line="362" w:lineRule="auto" w:before="158" w:after="0"/>
        <w:ind w:left="827" w:right="5795" w:firstLine="0"/>
        <w:jc w:val="left"/>
        <w:rPr>
          <w:sz w:val="24"/>
        </w:rPr>
      </w:pPr>
      <w:r>
        <w:rPr>
          <w:sz w:val="24"/>
        </w:rPr>
        <w:t>技术标准和要求(合同技术条款)； (6)图纸； </w:t>
      </w:r>
    </w:p>
    <w:p>
      <w:pPr>
        <w:pStyle w:val="ListParagraph"/>
        <w:numPr>
          <w:ilvl w:val="0"/>
          <w:numId w:val="79"/>
        </w:numPr>
        <w:tabs>
          <w:tab w:pos="1189" w:val="left" w:leader="none"/>
        </w:tabs>
        <w:spacing w:line="240" w:lineRule="auto" w:before="2" w:after="0"/>
        <w:ind w:left="1188" w:right="0" w:hanging="362"/>
        <w:jc w:val="left"/>
        <w:rPr>
          <w:sz w:val="24"/>
        </w:rPr>
      </w:pPr>
      <w:r>
        <w:rPr>
          <w:sz w:val="24"/>
        </w:rPr>
        <w:t>已标价工程量清单； </w:t>
      </w:r>
    </w:p>
    <w:p>
      <w:pPr>
        <w:pStyle w:val="BodyText"/>
        <w:spacing w:before="4"/>
        <w:rPr>
          <w:sz w:val="8"/>
        </w:rPr>
      </w:pPr>
    </w:p>
    <w:p>
      <w:pPr>
        <w:pStyle w:val="ListParagraph"/>
        <w:numPr>
          <w:ilvl w:val="0"/>
          <w:numId w:val="79"/>
        </w:numPr>
        <w:tabs>
          <w:tab w:pos="1189" w:val="left" w:leader="none"/>
        </w:tabs>
        <w:spacing w:line="240" w:lineRule="auto" w:before="66" w:after="0"/>
        <w:ind w:left="1188" w:right="0" w:hanging="362"/>
        <w:jc w:val="left"/>
        <w:rPr>
          <w:sz w:val="24"/>
        </w:rPr>
      </w:pPr>
      <w:r>
        <w:rPr>
          <w:sz w:val="24"/>
        </w:rPr>
        <w:t>其它合同文件。 </w:t>
      </w:r>
    </w:p>
    <w:p>
      <w:pPr>
        <w:pStyle w:val="ListParagraph"/>
        <w:numPr>
          <w:ilvl w:val="1"/>
          <w:numId w:val="77"/>
        </w:numPr>
        <w:tabs>
          <w:tab w:pos="1009" w:val="left" w:leader="none"/>
        </w:tabs>
        <w:spacing w:line="240" w:lineRule="auto" w:before="158" w:after="0"/>
        <w:ind w:left="1008" w:right="0" w:hanging="182"/>
        <w:jc w:val="left"/>
        <w:rPr>
          <w:sz w:val="24"/>
        </w:rPr>
      </w:pPr>
      <w:r>
        <w:rPr>
          <w:spacing w:val="-5"/>
          <w:sz w:val="24"/>
        </w:rPr>
        <w:t>上述文件互相补充和解释，如有不明确或不一致之处，以合同约定次序在先者为</w:t>
      </w:r>
    </w:p>
    <w:p>
      <w:pPr>
        <w:pStyle w:val="BodyText"/>
        <w:spacing w:before="158"/>
        <w:ind w:left="226"/>
      </w:pPr>
      <w:r>
        <w:rPr/>
        <w:t>准。</w:t>
      </w:r>
    </w:p>
    <w:p>
      <w:pPr>
        <w:pStyle w:val="BodyText"/>
        <w:spacing w:before="158"/>
        <w:ind w:left="827"/>
      </w:pPr>
      <w:r>
        <w:rPr>
          <w:rFonts w:ascii="Calibri" w:hAnsi="Calibri" w:eastAsia="Calibri"/>
        </w:rPr>
        <w:t>3.</w:t>
      </w:r>
      <w:r>
        <w:rPr/>
        <w:t>签约合同价：人民币(大写)</w:t>
      </w:r>
      <w:r>
        <w:rPr>
          <w:spacing w:val="118"/>
          <w:u w:val="single"/>
        </w:rPr>
        <w:t> </w:t>
      </w:r>
      <w:r>
        <w:rPr/>
        <w:t>元(¥</w:t>
      </w:r>
      <w:r>
        <w:rPr>
          <w:spacing w:val="119"/>
          <w:u w:val="single"/>
        </w:rPr>
        <w:t> </w:t>
      </w:r>
      <w:r>
        <w:rPr/>
        <w:t>元)。</w:t>
      </w:r>
    </w:p>
    <w:p>
      <w:pPr>
        <w:pStyle w:val="ListParagraph"/>
        <w:numPr>
          <w:ilvl w:val="0"/>
          <w:numId w:val="80"/>
        </w:numPr>
        <w:tabs>
          <w:tab w:pos="1009" w:val="left" w:leader="none"/>
        </w:tabs>
        <w:spacing w:line="240" w:lineRule="auto" w:before="158" w:after="0"/>
        <w:ind w:left="1008" w:right="0" w:hanging="182"/>
        <w:jc w:val="left"/>
        <w:rPr>
          <w:sz w:val="24"/>
        </w:rPr>
      </w:pPr>
      <w:r>
        <w:rPr>
          <w:sz w:val="24"/>
        </w:rPr>
        <w:t>承包人项目经理：</w:t>
      </w:r>
      <w:r>
        <w:rPr>
          <w:sz w:val="24"/>
          <w:u w:val="single"/>
        </w:rPr>
        <w:t>      </w:t>
      </w:r>
      <w:r>
        <w:rPr>
          <w:spacing w:val="59"/>
          <w:sz w:val="24"/>
        </w:rPr>
        <w:t> 。</w:t>
      </w:r>
    </w:p>
    <w:p>
      <w:pPr>
        <w:pStyle w:val="ListParagraph"/>
        <w:numPr>
          <w:ilvl w:val="0"/>
          <w:numId w:val="80"/>
        </w:numPr>
        <w:tabs>
          <w:tab w:pos="1009" w:val="left" w:leader="none"/>
        </w:tabs>
        <w:spacing w:line="240" w:lineRule="auto" w:before="173" w:after="0"/>
        <w:ind w:left="1008" w:right="0" w:hanging="182"/>
        <w:jc w:val="left"/>
        <w:rPr>
          <w:sz w:val="24"/>
        </w:rPr>
      </w:pPr>
      <w:r>
        <w:rPr>
          <w:sz w:val="24"/>
        </w:rPr>
        <w:t>工程质量符合</w:t>
      </w:r>
      <w:r>
        <w:rPr>
          <w:sz w:val="24"/>
          <w:u w:val="single"/>
        </w:rPr>
        <w:t>      </w:t>
      </w:r>
      <w:r>
        <w:rPr>
          <w:spacing w:val="29"/>
          <w:sz w:val="24"/>
        </w:rPr>
        <w:t> 标准。</w:t>
      </w:r>
    </w:p>
    <w:p>
      <w:pPr>
        <w:pStyle w:val="ListParagraph"/>
        <w:numPr>
          <w:ilvl w:val="0"/>
          <w:numId w:val="80"/>
        </w:numPr>
        <w:tabs>
          <w:tab w:pos="1009" w:val="left" w:leader="none"/>
        </w:tabs>
        <w:spacing w:line="240" w:lineRule="auto" w:before="158" w:after="0"/>
        <w:ind w:left="1008" w:right="0" w:hanging="182"/>
        <w:jc w:val="left"/>
        <w:rPr>
          <w:sz w:val="24"/>
        </w:rPr>
      </w:pPr>
      <w:r>
        <w:rPr>
          <w:sz w:val="24"/>
        </w:rPr>
        <w:t>承包人承诺按合同约定承担工程的实施、完成及缺陷修复。</w:t>
      </w:r>
    </w:p>
    <w:p>
      <w:pPr>
        <w:pStyle w:val="ListParagraph"/>
        <w:numPr>
          <w:ilvl w:val="0"/>
          <w:numId w:val="80"/>
        </w:numPr>
        <w:tabs>
          <w:tab w:pos="1009" w:val="left" w:leader="none"/>
        </w:tabs>
        <w:spacing w:line="240" w:lineRule="auto" w:before="158" w:after="0"/>
        <w:ind w:left="1008" w:right="0" w:hanging="182"/>
        <w:jc w:val="left"/>
        <w:rPr>
          <w:sz w:val="24"/>
        </w:rPr>
      </w:pPr>
      <w:r>
        <w:rPr>
          <w:sz w:val="24"/>
        </w:rPr>
        <w:t>发包人承诺按合同约定的条件、时间和方式向承包人支付合同价款。</w:t>
      </w:r>
    </w:p>
    <w:p>
      <w:pPr>
        <w:pStyle w:val="ListParagraph"/>
        <w:numPr>
          <w:ilvl w:val="0"/>
          <w:numId w:val="80"/>
        </w:numPr>
        <w:tabs>
          <w:tab w:pos="1009" w:val="left" w:leader="none"/>
        </w:tabs>
        <w:spacing w:line="240" w:lineRule="auto" w:before="158" w:after="0"/>
        <w:ind w:left="1008" w:right="0" w:hanging="182"/>
        <w:jc w:val="left"/>
        <w:rPr>
          <w:sz w:val="24"/>
        </w:rPr>
      </w:pPr>
      <w:r>
        <w:rPr>
          <w:spacing w:val="-1"/>
          <w:sz w:val="24"/>
        </w:rPr>
        <w:t>承包人承诺执行监理人开工通知，计划工期为</w:t>
      </w:r>
      <w:r>
        <w:rPr>
          <w:spacing w:val="6"/>
          <w:sz w:val="24"/>
        </w:rPr>
        <w:t> 天。</w:t>
      </w:r>
    </w:p>
    <w:p>
      <w:pPr>
        <w:pStyle w:val="ListParagraph"/>
        <w:numPr>
          <w:ilvl w:val="0"/>
          <w:numId w:val="80"/>
        </w:numPr>
        <w:tabs>
          <w:tab w:pos="1009" w:val="left" w:leader="none"/>
        </w:tabs>
        <w:spacing w:line="240" w:lineRule="auto" w:before="158" w:after="0"/>
        <w:ind w:left="1008" w:right="0" w:hanging="182"/>
        <w:jc w:val="left"/>
        <w:rPr>
          <w:sz w:val="24"/>
        </w:rPr>
      </w:pPr>
      <w:r>
        <w:rPr>
          <w:sz w:val="24"/>
        </w:rPr>
        <w:t>本协议书一式</w:t>
      </w:r>
      <w:r>
        <w:rPr>
          <w:spacing w:val="8"/>
          <w:sz w:val="24"/>
        </w:rPr>
        <w:t> 份，合同双方各执一份。</w:t>
      </w:r>
    </w:p>
    <w:p>
      <w:pPr>
        <w:pStyle w:val="ListParagraph"/>
        <w:numPr>
          <w:ilvl w:val="0"/>
          <w:numId w:val="80"/>
        </w:numPr>
        <w:tabs>
          <w:tab w:pos="1129" w:val="left" w:leader="none"/>
        </w:tabs>
        <w:spacing w:line="240" w:lineRule="auto" w:before="172" w:after="0"/>
        <w:ind w:left="1128" w:right="0" w:hanging="302"/>
        <w:jc w:val="left"/>
        <w:rPr>
          <w:sz w:val="24"/>
        </w:rPr>
      </w:pPr>
      <w:r>
        <w:rPr>
          <w:sz w:val="24"/>
        </w:rPr>
        <w:t>合同未尽事宜，双方另行签订补充协议。补充协议是合同的组成部分。</w:t>
      </w:r>
    </w:p>
    <w:p>
      <w:pPr>
        <w:pStyle w:val="BodyText"/>
        <w:spacing w:before="159"/>
        <w:ind w:left="827"/>
      </w:pPr>
      <w:r>
        <w:rPr/>
        <w:t>发包人：</w:t>
      </w:r>
      <w:r>
        <w:rPr>
          <w:spacing w:val="119"/>
          <w:u w:val="single"/>
        </w:rPr>
        <w:t> </w:t>
      </w:r>
      <w:r>
        <w:rPr/>
        <w:t>(盖单位章)  承包人：</w:t>
      </w:r>
      <w:r>
        <w:rPr>
          <w:u w:val="single"/>
        </w:rPr>
        <w:t>  </w:t>
      </w:r>
      <w:r>
        <w:rPr/>
        <w:t>(盖单位章) </w:t>
      </w:r>
    </w:p>
    <w:p>
      <w:pPr>
        <w:pStyle w:val="BodyText"/>
        <w:spacing w:before="157"/>
        <w:ind w:left="857"/>
      </w:pPr>
      <w:r>
        <w:rPr>
          <w:spacing w:val="-6"/>
        </w:rPr>
        <w:t>法定代表人或其委托代理人：</w:t>
      </w:r>
      <w:r>
        <w:rPr>
          <w:spacing w:val="-61"/>
          <w:u w:val="single"/>
        </w:rPr>
        <w:t> </w:t>
      </w:r>
      <w:r>
        <w:rPr>
          <w:spacing w:val="-5"/>
        </w:rPr>
        <w:t>(签字) 法定代表人或其委托代理人：</w:t>
      </w:r>
      <w:r>
        <w:rPr>
          <w:spacing w:val="-61"/>
          <w:u w:val="single"/>
        </w:rPr>
        <w:t> </w:t>
      </w:r>
      <w:r>
        <w:rPr/>
        <w:t>(签字) </w:t>
      </w:r>
    </w:p>
    <w:p>
      <w:pPr>
        <w:pStyle w:val="BodyText"/>
        <w:spacing w:before="158"/>
        <w:ind w:left="2870"/>
      </w:pPr>
      <w:r>
        <w:rPr>
          <w:u w:val="single"/>
        </w:rPr>
        <w:t>    </w:t>
      </w:r>
      <w:r>
        <w:rPr/>
        <w:t>年</w:t>
      </w:r>
      <w:r>
        <w:rPr>
          <w:u w:val="single"/>
        </w:rPr>
        <w:t> </w:t>
      </w:r>
      <w:r>
        <w:rPr/>
        <w:t>月</w:t>
      </w:r>
      <w:r>
        <w:rPr>
          <w:u w:val="single"/>
        </w:rPr>
        <w:t> </w:t>
      </w:r>
      <w:r>
        <w:rPr/>
        <w:t>日 年</w:t>
      </w:r>
      <w:r>
        <w:rPr>
          <w:u w:val="single"/>
        </w:rPr>
        <w:t> </w:t>
      </w:r>
      <w:r>
        <w:rPr/>
        <w:t>月</w:t>
      </w:r>
      <w:r>
        <w:rPr>
          <w:spacing w:val="119"/>
          <w:u w:val="single"/>
        </w:rPr>
        <w:t> </w:t>
      </w:r>
      <w:r>
        <w:rPr/>
        <w:t>日 </w:t>
      </w:r>
    </w:p>
    <w:p>
      <w:pPr>
        <w:spacing w:after="0"/>
        <w:sectPr>
          <w:pgSz w:w="11910" w:h="16850"/>
          <w:pgMar w:header="911" w:footer="0" w:top="1380" w:bottom="280" w:left="1200" w:right="0"/>
        </w:sectPr>
      </w:pPr>
    </w:p>
    <w:p>
      <w:pPr>
        <w:pStyle w:val="BodyText"/>
        <w:spacing w:before="3"/>
        <w:rPr>
          <w:sz w:val="8"/>
        </w:rPr>
      </w:pPr>
    </w:p>
    <w:p>
      <w:pPr>
        <w:pStyle w:val="Heading6"/>
        <w:spacing w:before="65"/>
        <w:ind w:left="226" w:firstLine="0"/>
      </w:pPr>
      <w:bookmarkStart w:name="附件二：" w:id="152"/>
      <w:bookmarkEnd w:id="152"/>
      <w:r>
        <w:rPr>
          <w:b w:val="0"/>
        </w:rPr>
      </w:r>
      <w:r>
        <w:rPr/>
        <w:t>附件二：</w:t>
      </w:r>
    </w:p>
    <w:p>
      <w:pPr>
        <w:pStyle w:val="BodyText"/>
        <w:rPr>
          <w:rFonts w:ascii="黑体"/>
          <w:b/>
          <w:sz w:val="20"/>
        </w:rPr>
      </w:pPr>
    </w:p>
    <w:p>
      <w:pPr>
        <w:pStyle w:val="BodyText"/>
        <w:spacing w:before="3"/>
        <w:rPr>
          <w:rFonts w:ascii="黑体"/>
          <w:b/>
          <w:sz w:val="17"/>
        </w:rPr>
      </w:pPr>
    </w:p>
    <w:p>
      <w:pPr>
        <w:pStyle w:val="Heading7"/>
        <w:ind w:left="0" w:right="1123"/>
        <w:jc w:val="center"/>
        <w:rPr>
          <w:rFonts w:ascii="黑体" w:eastAsia="黑体" w:hint="eastAsia"/>
        </w:rPr>
      </w:pPr>
      <w:r>
        <w:rPr>
          <w:rFonts w:ascii="黑体" w:eastAsia="黑体" w:hint="eastAsia"/>
        </w:rPr>
        <w:t>履约担保</w:t>
      </w:r>
    </w:p>
    <w:p>
      <w:pPr>
        <w:pStyle w:val="BodyText"/>
        <w:rPr>
          <w:rFonts w:ascii="黑体"/>
          <w:sz w:val="28"/>
        </w:rPr>
      </w:pPr>
    </w:p>
    <w:p>
      <w:pPr>
        <w:pStyle w:val="BodyText"/>
        <w:spacing w:before="193"/>
        <w:ind w:left="707"/>
        <w:jc w:val="both"/>
      </w:pPr>
      <w:r>
        <w:rPr>
          <w:u w:val="single"/>
        </w:rPr>
        <w:t>                      </w:t>
      </w:r>
      <w:r>
        <w:rPr/>
        <w:t>(发包人名称)： </w:t>
      </w:r>
    </w:p>
    <w:p>
      <w:pPr>
        <w:pStyle w:val="BodyText"/>
        <w:spacing w:line="367" w:lineRule="auto" w:before="158"/>
        <w:ind w:left="226" w:right="1350"/>
        <w:jc w:val="both"/>
      </w:pPr>
      <w:r>
        <w:rPr/>
        <w:drawing>
          <wp:anchor distT="0" distB="0" distL="0" distR="0" allowOverlap="1" layoutInCell="1" locked="0" behindDoc="1" simplePos="0" relativeHeight="234813440">
            <wp:simplePos x="0" y="0"/>
            <wp:positionH relativeFrom="page">
              <wp:posOffset>992771</wp:posOffset>
            </wp:positionH>
            <wp:positionV relativeFrom="paragraph">
              <wp:posOffset>272548</wp:posOffset>
            </wp:positionV>
            <wp:extent cx="5578970" cy="5494141"/>
            <wp:effectExtent l="0" t="0" r="0" b="0"/>
            <wp:wrapNone/>
            <wp:docPr id="113" name="image1.png"/>
            <wp:cNvGraphicFramePr>
              <a:graphicFrameLocks noChangeAspect="1"/>
            </wp:cNvGraphicFramePr>
            <a:graphic>
              <a:graphicData uri="http://schemas.openxmlformats.org/drawingml/2006/picture">
                <pic:pic>
                  <pic:nvPicPr>
                    <pic:cNvPr id="114" name="image1.png"/>
                    <pic:cNvPicPr/>
                  </pic:nvPicPr>
                  <pic:blipFill>
                    <a:blip r:embed="rId6" cstate="print"/>
                    <a:stretch>
                      <a:fillRect/>
                    </a:stretch>
                  </pic:blipFill>
                  <pic:spPr>
                    <a:xfrm>
                      <a:off x="0" y="0"/>
                      <a:ext cx="5578970" cy="5494141"/>
                    </a:xfrm>
                    <a:prstGeom prst="rect">
                      <a:avLst/>
                    </a:prstGeom>
                  </pic:spPr>
                </pic:pic>
              </a:graphicData>
            </a:graphic>
          </wp:anchor>
        </w:drawing>
      </w:r>
      <w:r>
        <w:rPr/>
        <w:t>    鉴于</w:t>
      </w:r>
      <w:r>
        <w:rPr>
          <w:u w:val="single"/>
        </w:rPr>
        <w:t>       </w:t>
      </w:r>
      <w:r>
        <w:rPr>
          <w:spacing w:val="-10"/>
        </w:rPr>
        <w:t>(发包人名称，以下简称“发包人”)已接受</w:t>
      </w:r>
      <w:r>
        <w:rPr>
          <w:spacing w:val="17"/>
          <w:u w:val="single"/>
        </w:rPr>
        <w:t>       </w:t>
      </w:r>
      <w:r>
        <w:rPr>
          <w:spacing w:val="-5"/>
        </w:rPr>
        <w:t>(承包人名称，以下简称“承包人”)于</w:t>
      </w:r>
      <w:r>
        <w:rPr>
          <w:spacing w:val="36"/>
          <w:u w:val="single"/>
        </w:rPr>
        <w:t>   </w:t>
      </w:r>
      <w:r>
        <w:rPr/>
        <w:t>年</w:t>
      </w:r>
      <w:r>
        <w:rPr>
          <w:u w:val="single"/>
        </w:rPr>
        <w:t>    </w:t>
      </w:r>
      <w:r>
        <w:rPr/>
        <w:t>月</w:t>
      </w:r>
      <w:r>
        <w:rPr>
          <w:u w:val="single"/>
        </w:rPr>
        <w:t>    </w:t>
      </w:r>
      <w:r>
        <w:rPr/>
        <w:t>日递交的</w:t>
      </w:r>
      <w:r>
        <w:rPr>
          <w:spacing w:val="14"/>
          <w:u w:val="single"/>
        </w:rPr>
        <w:t>        </w:t>
      </w:r>
      <w:r>
        <w:rPr/>
        <w:t>(项目名称)</w:t>
      </w:r>
      <w:r>
        <w:rPr>
          <w:spacing w:val="17"/>
          <w:u w:val="single"/>
        </w:rPr>
        <w:t>       </w:t>
      </w:r>
      <w:r>
        <w:rPr/>
        <w:t>(标段</w:t>
      </w:r>
      <w:r>
        <w:rPr>
          <w:spacing w:val="-9"/>
        </w:rPr>
        <w:t>名称)的投标文件。我方愿意无条件地、不可撤销地就承包人履行与你方订立的合同，向你方提供担保。 </w:t>
      </w:r>
    </w:p>
    <w:p>
      <w:pPr>
        <w:pStyle w:val="BodyText"/>
        <w:spacing w:line="302" w:lineRule="exact"/>
        <w:ind w:left="226"/>
        <w:jc w:val="both"/>
      </w:pPr>
      <w:r>
        <w:rPr/>
        <w:t>    </w:t>
      </w:r>
      <w:r>
        <w:rPr>
          <w:rFonts w:ascii="Calibri" w:hAnsi="Calibri" w:eastAsia="Calibri"/>
        </w:rPr>
        <w:t>1.</w:t>
      </w:r>
      <w:r>
        <w:rPr/>
        <w:t>担保金额人民币(大写)</w:t>
      </w:r>
      <w:r>
        <w:rPr>
          <w:spacing w:val="118"/>
          <w:u w:val="single"/>
        </w:rPr>
        <w:t> </w:t>
      </w:r>
      <w:r>
        <w:rPr/>
        <w:t>元(¥</w:t>
      </w:r>
      <w:r>
        <w:rPr>
          <w:spacing w:val="119"/>
          <w:u w:val="single"/>
        </w:rPr>
        <w:t> </w:t>
      </w:r>
      <w:r>
        <w:rPr/>
        <w:t>元)。</w:t>
      </w:r>
    </w:p>
    <w:p>
      <w:pPr>
        <w:pStyle w:val="BodyText"/>
        <w:spacing w:line="362" w:lineRule="auto" w:before="158"/>
        <w:ind w:left="226" w:right="1348"/>
        <w:jc w:val="both"/>
      </w:pPr>
      <w:r>
        <w:rPr/>
        <w:t>    </w:t>
      </w:r>
      <w:r>
        <w:rPr>
          <w:rFonts w:ascii="Calibri" w:eastAsia="Calibri"/>
        </w:rPr>
        <w:t>2.</w:t>
      </w:r>
      <w:r>
        <w:rPr/>
        <w:t>担保有效期自发包人与承包人签订的合同生效之日起至发包人签发合同工程完工证书之日止。</w:t>
      </w:r>
    </w:p>
    <w:p>
      <w:pPr>
        <w:pStyle w:val="BodyText"/>
        <w:spacing w:line="374" w:lineRule="auto" w:before="2"/>
        <w:ind w:left="226" w:right="1227"/>
        <w:jc w:val="both"/>
      </w:pPr>
      <w:r>
        <w:rPr/>
        <w:t>    </w:t>
      </w:r>
      <w:r>
        <w:rPr>
          <w:rFonts w:ascii="Calibri" w:eastAsia="Calibri"/>
        </w:rPr>
        <w:t>3.</w:t>
      </w:r>
      <w:r>
        <w:rPr/>
        <w:t>在本担保有效期内，因承包人违反合同约定的义务给你方造成经济损失时，我方</w:t>
      </w:r>
      <w:r>
        <w:rPr>
          <w:spacing w:val="-7"/>
        </w:rPr>
        <w:t>在收到你方以书面形式提出的在担保金额内的赔偿要求后，无条件地在 </w:t>
      </w:r>
      <w:r>
        <w:rPr>
          <w:rFonts w:ascii="Calibri" w:eastAsia="Calibri"/>
        </w:rPr>
        <w:t>7 </w:t>
      </w:r>
      <w:r>
        <w:rPr/>
        <w:t>天内予以支付。</w:t>
      </w:r>
    </w:p>
    <w:p>
      <w:pPr>
        <w:pStyle w:val="BodyText"/>
        <w:spacing w:line="362" w:lineRule="auto"/>
        <w:ind w:left="226" w:right="1333" w:firstLine="480"/>
        <w:jc w:val="both"/>
      </w:pPr>
      <w:r>
        <w:rPr>
          <w:rFonts w:ascii="Calibri" w:eastAsia="Calibri"/>
        </w:rPr>
        <w:t>4.</w:t>
      </w:r>
      <w:r>
        <w:rPr>
          <w:spacing w:val="-8"/>
        </w:rPr>
        <w:t>发包人和承包人按《通用合同条款》第 </w:t>
      </w:r>
      <w:r>
        <w:rPr>
          <w:rFonts w:ascii="Calibri" w:eastAsia="Calibri"/>
        </w:rPr>
        <w:t>15 </w:t>
      </w:r>
      <w:r>
        <w:rPr>
          <w:spacing w:val="-3"/>
        </w:rPr>
        <w:t>条变更合同时，我方承担本担保规定的义务不变。</w:t>
      </w:r>
    </w:p>
    <w:p>
      <w:pPr>
        <w:pStyle w:val="BodyText"/>
        <w:rPr>
          <w:sz w:val="20"/>
        </w:rPr>
      </w:pPr>
    </w:p>
    <w:p>
      <w:pPr>
        <w:pStyle w:val="BodyText"/>
        <w:rPr>
          <w:sz w:val="20"/>
        </w:rPr>
      </w:pPr>
    </w:p>
    <w:p>
      <w:pPr>
        <w:pStyle w:val="BodyText"/>
        <w:spacing w:before="10"/>
        <w:rPr>
          <w:sz w:val="27"/>
        </w:rPr>
      </w:pPr>
    </w:p>
    <w:p>
      <w:pPr>
        <w:pStyle w:val="BodyText"/>
        <w:spacing w:line="362" w:lineRule="auto" w:before="66"/>
        <w:ind w:left="5032" w:right="1229"/>
      </w:pPr>
      <w:r>
        <w:rPr/>
        <w:t>担 保 人 ：</w:t>
      </w:r>
      <w:r>
        <w:rPr>
          <w:u w:val="single"/>
        </w:rPr>
        <w:t>         </w:t>
      </w:r>
      <w:r>
        <w:rPr/>
        <w:t>( 盖 单 位 章 ) 法定代表人或其委托代理人：</w:t>
      </w:r>
      <w:r>
        <w:rPr>
          <w:spacing w:val="118"/>
          <w:u w:val="single"/>
        </w:rPr>
        <w:t> </w:t>
      </w:r>
      <w:r>
        <w:rPr/>
        <w:t>(签字)</w:t>
      </w:r>
    </w:p>
    <w:p>
      <w:pPr>
        <w:pStyle w:val="BodyText"/>
        <w:spacing w:before="2"/>
        <w:ind w:left="226"/>
      </w:pPr>
      <w:r>
        <w:rPr/>
        <w:t>                                        地址：</w:t>
      </w:r>
      <w:r>
        <w:rPr>
          <w:u w:val="single"/>
        </w:rPr>
        <w:t>                              </w:t>
      </w:r>
      <w:r>
        <w:rPr/>
        <w:t>     </w:t>
      </w:r>
    </w:p>
    <w:p>
      <w:pPr>
        <w:pStyle w:val="BodyText"/>
        <w:spacing w:before="158"/>
        <w:ind w:left="226"/>
      </w:pPr>
      <w:r>
        <w:rPr/>
        <w:t>                                        邮政编码：</w:t>
      </w:r>
      <w:r>
        <w:rPr>
          <w:u w:val="single"/>
        </w:rPr>
        <w:t>                          </w:t>
      </w:r>
      <w:r>
        <w:rPr/>
        <w:t>     </w:t>
      </w:r>
    </w:p>
    <w:p>
      <w:pPr>
        <w:pStyle w:val="BodyText"/>
        <w:spacing w:before="158"/>
        <w:ind w:left="226"/>
      </w:pPr>
      <w:r>
        <w:rPr/>
        <w:t>                                       </w:t>
      </w:r>
      <w:r>
        <w:rPr>
          <w:spacing w:val="-2"/>
        </w:rPr>
        <w:t> </w:t>
      </w:r>
      <w:r>
        <w:rPr/>
        <w:t>电话：</w:t>
      </w:r>
      <w:r>
        <w:rPr>
          <w:u w:val="single"/>
        </w:rPr>
        <w:t>                             </w:t>
      </w:r>
      <w:r>
        <w:rPr>
          <w:spacing w:val="-2"/>
          <w:u w:val="single"/>
        </w:rPr>
        <w:t> </w:t>
      </w:r>
      <w:r>
        <w:rPr/>
        <w:t>     </w:t>
      </w:r>
    </w:p>
    <w:p>
      <w:pPr>
        <w:pStyle w:val="BodyText"/>
        <w:spacing w:before="4"/>
        <w:rPr>
          <w:sz w:val="8"/>
        </w:rPr>
      </w:pPr>
    </w:p>
    <w:p>
      <w:pPr>
        <w:pStyle w:val="BodyText"/>
        <w:spacing w:before="66"/>
        <w:ind w:left="226"/>
      </w:pPr>
      <w:r>
        <w:rPr/>
        <w:t>                                     </w:t>
      </w:r>
      <w:r>
        <w:rPr>
          <w:spacing w:val="-2"/>
        </w:rPr>
        <w:t> </w:t>
      </w:r>
      <w:r>
        <w:rPr/>
        <w:t>  传真：</w:t>
      </w:r>
      <w:r>
        <w:rPr>
          <w:u w:val="single"/>
        </w:rPr>
        <w:t>                             </w:t>
      </w:r>
      <w:r>
        <w:rPr>
          <w:spacing w:val="-2"/>
          <w:u w:val="single"/>
        </w:rPr>
        <w:t> </w:t>
      </w:r>
      <w:r>
        <w:rPr/>
        <w:t>     </w:t>
      </w:r>
    </w:p>
    <w:p>
      <w:pPr>
        <w:pStyle w:val="BodyText"/>
        <w:spacing w:before="158"/>
        <w:ind w:left="226"/>
      </w:pPr>
      <w:r>
        <w:rPr/>
        <w:t>                       </w:t>
      </w:r>
      <w:r>
        <w:rPr>
          <w:spacing w:val="-1"/>
        </w:rPr>
        <w:t> </w:t>
      </w:r>
      <w:r>
        <w:rPr/>
        <w:t>                                     </w:t>
      </w:r>
      <w:r>
        <w:rPr>
          <w:spacing w:val="-1"/>
        </w:rPr>
        <w:t> </w:t>
      </w:r>
      <w:r>
        <w:rPr/>
        <w:t> </w:t>
      </w:r>
    </w:p>
    <w:p>
      <w:pPr>
        <w:pStyle w:val="BodyText"/>
        <w:spacing w:before="158"/>
        <w:ind w:right="1229"/>
        <w:jc w:val="right"/>
      </w:pPr>
      <w:r>
        <w:rPr>
          <w:u w:val="single"/>
        </w:rPr>
        <w:t>    </w:t>
      </w:r>
      <w:r>
        <w:rPr/>
        <w:t>年</w:t>
      </w:r>
      <w:r>
        <w:rPr>
          <w:u w:val="single"/>
        </w:rPr>
        <w:t> </w:t>
      </w:r>
      <w:r>
        <w:rPr/>
        <w:t>月</w:t>
      </w:r>
      <w:r>
        <w:rPr>
          <w:u w:val="single"/>
        </w:rPr>
        <w:t> </w:t>
      </w:r>
      <w:r>
        <w:rPr/>
        <w:t>日 </w:t>
      </w:r>
    </w:p>
    <w:p>
      <w:pPr>
        <w:pStyle w:val="BodyText"/>
        <w:rPr>
          <w:sz w:val="20"/>
        </w:rPr>
      </w:pPr>
    </w:p>
    <w:p>
      <w:pPr>
        <w:pStyle w:val="BodyText"/>
        <w:spacing w:before="6"/>
        <w:rPr>
          <w:sz w:val="23"/>
        </w:rPr>
      </w:pPr>
    </w:p>
    <w:p>
      <w:pPr>
        <w:pStyle w:val="BodyText"/>
        <w:spacing w:before="67"/>
        <w:ind w:left="226"/>
      </w:pPr>
      <w:r>
        <w:rPr/>
        <w:t>    注：委托代理人应附授权委托书。</w:t>
      </w:r>
    </w:p>
    <w:p>
      <w:pPr>
        <w:spacing w:after="0"/>
        <w:sectPr>
          <w:pgSz w:w="11910" w:h="16850"/>
          <w:pgMar w:header="911" w:footer="0" w:top="1380" w:bottom="280" w:left="1200" w:right="0"/>
        </w:sectPr>
      </w:pPr>
    </w:p>
    <w:p>
      <w:pPr>
        <w:pStyle w:val="BodyText"/>
        <w:spacing w:before="3"/>
        <w:rPr>
          <w:sz w:val="8"/>
        </w:rPr>
      </w:pPr>
    </w:p>
    <w:p>
      <w:pPr>
        <w:pStyle w:val="Heading6"/>
        <w:spacing w:before="65"/>
        <w:ind w:left="226" w:firstLine="0"/>
      </w:pPr>
      <w:bookmarkStart w:name="附件三：" w:id="153"/>
      <w:bookmarkEnd w:id="153"/>
      <w:r>
        <w:rPr>
          <w:b w:val="0"/>
        </w:rPr>
      </w:r>
      <w:r>
        <w:rPr/>
        <w:t>附件三：</w:t>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5"/>
        <w:rPr>
          <w:rFonts w:ascii="黑体"/>
          <w:b/>
          <w:sz w:val="26"/>
        </w:rPr>
      </w:pPr>
    </w:p>
    <w:p>
      <w:pPr>
        <w:pStyle w:val="Heading7"/>
        <w:ind w:left="0" w:right="1121"/>
        <w:jc w:val="center"/>
        <w:rPr>
          <w:rFonts w:ascii="黑体" w:eastAsia="黑体" w:hint="eastAsia"/>
        </w:rPr>
      </w:pPr>
      <w:r>
        <w:rPr>
          <w:rFonts w:ascii="黑体" w:eastAsia="黑体" w:hint="eastAsia"/>
        </w:rPr>
        <w:t>预付款担保函</w:t>
      </w:r>
    </w:p>
    <w:p>
      <w:pPr>
        <w:spacing w:before="237"/>
        <w:ind w:left="226" w:right="0" w:firstLine="0"/>
        <w:jc w:val="left"/>
        <w:rPr>
          <w:sz w:val="24"/>
        </w:rPr>
      </w:pPr>
      <w:r>
        <w:rPr>
          <w:sz w:val="21"/>
        </w:rPr>
        <w:t>    </w:t>
      </w:r>
      <w:r>
        <w:rPr>
          <w:sz w:val="21"/>
          <w:u w:val="single"/>
        </w:rPr>
        <w:t>                </w:t>
      </w:r>
      <w:r>
        <w:rPr>
          <w:sz w:val="24"/>
        </w:rPr>
        <w:t>(发包人名称)： </w:t>
      </w:r>
    </w:p>
    <w:p>
      <w:pPr>
        <w:pStyle w:val="BodyText"/>
        <w:spacing w:before="158"/>
        <w:ind w:left="226"/>
      </w:pPr>
      <w:r>
        <w:rPr/>
        <w:drawing>
          <wp:anchor distT="0" distB="0" distL="0" distR="0" allowOverlap="1" layoutInCell="1" locked="0" behindDoc="1" simplePos="0" relativeHeight="234814464">
            <wp:simplePos x="0" y="0"/>
            <wp:positionH relativeFrom="page">
              <wp:posOffset>992771</wp:posOffset>
            </wp:positionH>
            <wp:positionV relativeFrom="paragraph">
              <wp:posOffset>72141</wp:posOffset>
            </wp:positionV>
            <wp:extent cx="5578970" cy="5494141"/>
            <wp:effectExtent l="0" t="0" r="0" b="0"/>
            <wp:wrapNone/>
            <wp:docPr id="115" name="image1.png"/>
            <wp:cNvGraphicFramePr>
              <a:graphicFrameLocks noChangeAspect="1"/>
            </wp:cNvGraphicFramePr>
            <a:graphic>
              <a:graphicData uri="http://schemas.openxmlformats.org/drawingml/2006/picture">
                <pic:pic>
                  <pic:nvPicPr>
                    <pic:cNvPr id="116" name="image1.png"/>
                    <pic:cNvPicPr/>
                  </pic:nvPicPr>
                  <pic:blipFill>
                    <a:blip r:embed="rId6" cstate="print"/>
                    <a:stretch>
                      <a:fillRect/>
                    </a:stretch>
                  </pic:blipFill>
                  <pic:spPr>
                    <a:xfrm>
                      <a:off x="0" y="0"/>
                      <a:ext cx="5578970" cy="5494141"/>
                    </a:xfrm>
                    <a:prstGeom prst="rect">
                      <a:avLst/>
                    </a:prstGeom>
                  </pic:spPr>
                </pic:pic>
              </a:graphicData>
            </a:graphic>
          </wp:anchor>
        </w:drawing>
      </w:r>
      <w:r>
        <w:rPr/>
        <w:t>    根据</w:t>
      </w:r>
      <w:r>
        <w:rPr>
          <w:spacing w:val="119"/>
          <w:u w:val="single"/>
        </w:rPr>
        <w:t> </w:t>
      </w:r>
      <w:r>
        <w:rPr>
          <w:spacing w:val="-17"/>
        </w:rPr>
        <w:t>(承包人名称，以下简称“承包人”)与</w:t>
      </w:r>
      <w:r>
        <w:rPr>
          <w:spacing w:val="119"/>
          <w:u w:val="single"/>
        </w:rPr>
        <w:t> </w:t>
      </w:r>
      <w:r>
        <w:rPr/>
        <w:t>(发包人名称，</w:t>
      </w:r>
    </w:p>
    <w:p>
      <w:pPr>
        <w:pStyle w:val="BodyText"/>
        <w:spacing w:line="362" w:lineRule="auto" w:before="158"/>
        <w:ind w:left="226" w:right="43"/>
      </w:pPr>
      <w:r>
        <w:rPr>
          <w:spacing w:val="26"/>
        </w:rPr>
        <w:t>以下简称“ 发包人”) 于</w:t>
      </w:r>
      <w:r>
        <w:rPr>
          <w:spacing w:val="22"/>
          <w:u w:val="single"/>
        </w:rPr>
        <w:t>     </w:t>
      </w:r>
      <w:r>
        <w:rPr>
          <w:spacing w:val="15"/>
        </w:rPr>
        <w:t>年</w:t>
      </w:r>
      <w:r>
        <w:rPr>
          <w:spacing w:val="22"/>
          <w:u w:val="single"/>
        </w:rPr>
        <w:t>     </w:t>
      </w:r>
      <w:r>
        <w:rPr>
          <w:spacing w:val="15"/>
        </w:rPr>
        <w:t>月</w:t>
      </w:r>
      <w:r>
        <w:rPr>
          <w:spacing w:val="19"/>
          <w:u w:val="single"/>
        </w:rPr>
        <w:t>     </w:t>
      </w:r>
      <w:r>
        <w:rPr>
          <w:spacing w:val="26"/>
        </w:rPr>
        <w:t>日签订的</w:t>
      </w:r>
      <w:r>
        <w:rPr>
          <w:spacing w:val="35"/>
          <w:u w:val="single"/>
        </w:rPr>
        <w:t>             </w:t>
      </w:r>
      <w:r>
        <w:rPr>
          <w:spacing w:val="21"/>
        </w:rPr>
        <w:t>( 项目名称) </w:t>
      </w:r>
      <w:r>
        <w:rPr/>
        <w:t>(标段名称)合同协议书，承包人按约定的金额向发包人提交一份预付款担保，即有权得</w:t>
      </w:r>
    </w:p>
    <w:p>
      <w:pPr>
        <w:pStyle w:val="BodyText"/>
        <w:spacing w:before="2"/>
        <w:ind w:left="226"/>
      </w:pPr>
      <w:r>
        <w:rPr/>
        <w:t>到发包人支付相等金额的预付款。我方愿意就你方提供给承包人的预付款提供担保。 </w:t>
      </w:r>
    </w:p>
    <w:p>
      <w:pPr>
        <w:pStyle w:val="BodyText"/>
        <w:spacing w:before="173"/>
        <w:ind w:left="226"/>
        <w:jc w:val="both"/>
      </w:pPr>
      <w:r>
        <w:rPr/>
        <w:t>    </w:t>
      </w:r>
      <w:r>
        <w:rPr>
          <w:rFonts w:ascii="Calibri" w:hAnsi="Calibri" w:eastAsia="Calibri"/>
        </w:rPr>
        <w:t>1.</w:t>
      </w:r>
      <w:r>
        <w:rPr/>
        <w:t>担保金额人民币(大写)</w:t>
      </w:r>
      <w:r>
        <w:rPr>
          <w:spacing w:val="119"/>
          <w:u w:val="single"/>
        </w:rPr>
        <w:t> </w:t>
      </w:r>
      <w:r>
        <w:rPr/>
        <w:t>元(¥</w:t>
      </w:r>
      <w:r>
        <w:rPr>
          <w:spacing w:val="118"/>
          <w:u w:val="single"/>
        </w:rPr>
        <w:t> </w:t>
      </w:r>
      <w:r>
        <w:rPr/>
        <w:t>元)。</w:t>
      </w:r>
    </w:p>
    <w:p>
      <w:pPr>
        <w:pStyle w:val="BodyText"/>
        <w:spacing w:line="362" w:lineRule="auto" w:before="158"/>
        <w:ind w:left="226" w:right="1348"/>
        <w:jc w:val="both"/>
      </w:pPr>
      <w:r>
        <w:rPr/>
        <w:t>    </w:t>
      </w:r>
      <w:r>
        <w:rPr>
          <w:rFonts w:ascii="Calibri" w:eastAsia="Calibri"/>
        </w:rPr>
        <w:t>2.</w:t>
      </w:r>
      <w:r>
        <w:rPr/>
        <w:t>担保有效期自预付款支付给承包人起生效，至发包人签发的进度付款证书说明预付款已完全扣清止。</w:t>
      </w:r>
    </w:p>
    <w:p>
      <w:pPr>
        <w:pStyle w:val="BodyText"/>
        <w:spacing w:line="367" w:lineRule="auto" w:before="2"/>
        <w:ind w:left="226" w:right="1343"/>
        <w:jc w:val="both"/>
      </w:pPr>
      <w:r>
        <w:rPr/>
        <w:t>    </w:t>
      </w:r>
      <w:r>
        <w:rPr>
          <w:rFonts w:ascii="Calibri" w:eastAsia="Calibri"/>
        </w:rPr>
        <w:t>3.</w:t>
      </w:r>
      <w:r>
        <w:rPr/>
        <w:t>在本担保有效期内，因承包人违反合同约定的义务而要求收回预付款时，我方在</w:t>
      </w:r>
      <w:r>
        <w:rPr>
          <w:spacing w:val="-4"/>
        </w:rPr>
        <w:t>收到你方的书面通知后，无条件地在 </w:t>
      </w:r>
      <w:r>
        <w:rPr>
          <w:rFonts w:ascii="Calibri" w:eastAsia="Calibri"/>
        </w:rPr>
        <w:t>7 </w:t>
      </w:r>
      <w:r>
        <w:rPr/>
        <w:t>天内予以支付。但本担保的担保金额，在任何时候不应超过预付款金额减去发包人按合同约定在向承包人签发的进度付款证书中已扣回的金额。</w:t>
      </w:r>
    </w:p>
    <w:p>
      <w:pPr>
        <w:pStyle w:val="BodyText"/>
        <w:spacing w:line="362" w:lineRule="auto" w:after="31"/>
        <w:ind w:left="226" w:right="1333"/>
        <w:jc w:val="both"/>
      </w:pPr>
      <w:r>
        <w:rPr/>
        <w:t>    </w:t>
      </w:r>
      <w:r>
        <w:rPr>
          <w:rFonts w:ascii="Calibri" w:eastAsia="Calibri"/>
        </w:rPr>
        <w:t>4.</w:t>
      </w:r>
      <w:r>
        <w:rPr>
          <w:spacing w:val="-7"/>
        </w:rPr>
        <w:t>发包人和承包人按《通用合同条款》第 </w:t>
      </w:r>
      <w:r>
        <w:rPr>
          <w:rFonts w:ascii="Calibri" w:eastAsia="Calibri"/>
        </w:rPr>
        <w:t>15 </w:t>
      </w:r>
      <w:r>
        <w:rPr>
          <w:spacing w:val="-3"/>
        </w:rPr>
        <w:t>条变更合同时，我方承担本担保规定的义务不变。</w:t>
      </w:r>
    </w:p>
    <w:tbl>
      <w:tblPr>
        <w:tblW w:w="0" w:type="auto"/>
        <w:jc w:val="left"/>
        <w:tblInd w:w="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40"/>
        <w:gridCol w:w="240"/>
        <w:gridCol w:w="240"/>
        <w:gridCol w:w="240"/>
        <w:gridCol w:w="240"/>
        <w:gridCol w:w="240"/>
        <w:gridCol w:w="240"/>
        <w:gridCol w:w="240"/>
        <w:gridCol w:w="240"/>
        <w:gridCol w:w="240"/>
        <w:gridCol w:w="240"/>
        <w:gridCol w:w="240"/>
        <w:gridCol w:w="240"/>
        <w:gridCol w:w="240"/>
        <w:gridCol w:w="240"/>
        <w:gridCol w:w="239"/>
        <w:gridCol w:w="5285"/>
        <w:gridCol w:w="470"/>
      </w:tblGrid>
      <w:tr>
        <w:trPr>
          <w:trHeight w:val="360" w:hRule="atLeast"/>
        </w:trPr>
        <w:tc>
          <w:tcPr>
            <w:tcW w:w="230" w:type="dxa"/>
          </w:tcPr>
          <w:p>
            <w:pPr>
              <w:pStyle w:val="TableParagraph"/>
              <w:spacing w:line="274" w:lineRule="exact"/>
              <w:ind w:right="9"/>
              <w:jc w:val="center"/>
              <w:rPr>
                <w:sz w:val="24"/>
              </w:rPr>
            </w:pPr>
            <w:r>
              <w:rPr>
                <w:sz w:val="24"/>
              </w:rPr>
              <w:t> </w:t>
            </w:r>
          </w:p>
        </w:tc>
        <w:tc>
          <w:tcPr>
            <w:tcW w:w="240" w:type="dxa"/>
          </w:tcPr>
          <w:p>
            <w:pPr>
              <w:pStyle w:val="TableParagraph"/>
              <w:spacing w:line="274" w:lineRule="exact"/>
              <w:jc w:val="center"/>
              <w:rPr>
                <w:sz w:val="24"/>
              </w:rPr>
            </w:pPr>
            <w:r>
              <w:rPr>
                <w:sz w:val="24"/>
              </w:rPr>
              <w:t> </w:t>
            </w:r>
          </w:p>
        </w:tc>
        <w:tc>
          <w:tcPr>
            <w:tcW w:w="240" w:type="dxa"/>
          </w:tcPr>
          <w:p>
            <w:pPr>
              <w:pStyle w:val="TableParagraph"/>
              <w:spacing w:line="274" w:lineRule="exact"/>
              <w:ind w:left="1"/>
              <w:jc w:val="center"/>
              <w:rPr>
                <w:sz w:val="24"/>
              </w:rPr>
            </w:pPr>
            <w:r>
              <w:rPr>
                <w:sz w:val="24"/>
              </w:rPr>
              <w:t> </w:t>
            </w:r>
          </w:p>
        </w:tc>
        <w:tc>
          <w:tcPr>
            <w:tcW w:w="240" w:type="dxa"/>
          </w:tcPr>
          <w:p>
            <w:pPr>
              <w:pStyle w:val="TableParagraph"/>
              <w:spacing w:line="274" w:lineRule="exact"/>
              <w:ind w:left="2"/>
              <w:jc w:val="center"/>
              <w:rPr>
                <w:sz w:val="24"/>
              </w:rPr>
            </w:pPr>
            <w:r>
              <w:rPr>
                <w:sz w:val="24"/>
              </w:rPr>
              <w:t> </w:t>
            </w:r>
          </w:p>
        </w:tc>
        <w:tc>
          <w:tcPr>
            <w:tcW w:w="240" w:type="dxa"/>
          </w:tcPr>
          <w:p>
            <w:pPr>
              <w:pStyle w:val="TableParagraph"/>
              <w:spacing w:line="274" w:lineRule="exact"/>
              <w:ind w:left="3"/>
              <w:jc w:val="center"/>
              <w:rPr>
                <w:sz w:val="24"/>
              </w:rPr>
            </w:pPr>
            <w:r>
              <w:rPr>
                <w:sz w:val="24"/>
              </w:rPr>
              <w:t> </w:t>
            </w:r>
          </w:p>
        </w:tc>
        <w:tc>
          <w:tcPr>
            <w:tcW w:w="240" w:type="dxa"/>
          </w:tcPr>
          <w:p>
            <w:pPr>
              <w:pStyle w:val="TableParagraph"/>
              <w:spacing w:line="274" w:lineRule="exact"/>
              <w:ind w:left="4"/>
              <w:jc w:val="center"/>
              <w:rPr>
                <w:sz w:val="24"/>
              </w:rPr>
            </w:pPr>
            <w:r>
              <w:rPr>
                <w:sz w:val="24"/>
              </w:rPr>
              <w:t> </w:t>
            </w:r>
          </w:p>
        </w:tc>
        <w:tc>
          <w:tcPr>
            <w:tcW w:w="240" w:type="dxa"/>
          </w:tcPr>
          <w:p>
            <w:pPr>
              <w:pStyle w:val="TableParagraph"/>
              <w:spacing w:line="274" w:lineRule="exact"/>
              <w:ind w:left="4"/>
              <w:jc w:val="center"/>
              <w:rPr>
                <w:sz w:val="24"/>
              </w:rPr>
            </w:pPr>
            <w:r>
              <w:rPr>
                <w:sz w:val="24"/>
              </w:rPr>
              <w:t> </w:t>
            </w:r>
          </w:p>
        </w:tc>
        <w:tc>
          <w:tcPr>
            <w:tcW w:w="240" w:type="dxa"/>
          </w:tcPr>
          <w:p>
            <w:pPr>
              <w:pStyle w:val="TableParagraph"/>
              <w:spacing w:line="274" w:lineRule="exact"/>
              <w:ind w:left="5"/>
              <w:jc w:val="center"/>
              <w:rPr>
                <w:sz w:val="24"/>
              </w:rPr>
            </w:pPr>
            <w:r>
              <w:rPr>
                <w:sz w:val="24"/>
              </w:rPr>
              <w:t> </w:t>
            </w:r>
          </w:p>
        </w:tc>
        <w:tc>
          <w:tcPr>
            <w:tcW w:w="240" w:type="dxa"/>
          </w:tcPr>
          <w:p>
            <w:pPr>
              <w:pStyle w:val="TableParagraph"/>
              <w:spacing w:line="274" w:lineRule="exact"/>
              <w:ind w:left="6"/>
              <w:jc w:val="center"/>
              <w:rPr>
                <w:sz w:val="24"/>
              </w:rPr>
            </w:pPr>
            <w:r>
              <w:rPr>
                <w:sz w:val="24"/>
              </w:rPr>
              <w:t> </w:t>
            </w:r>
          </w:p>
        </w:tc>
        <w:tc>
          <w:tcPr>
            <w:tcW w:w="240" w:type="dxa"/>
          </w:tcPr>
          <w:p>
            <w:pPr>
              <w:pStyle w:val="TableParagraph"/>
              <w:spacing w:line="274" w:lineRule="exact"/>
              <w:ind w:left="7"/>
              <w:jc w:val="center"/>
              <w:rPr>
                <w:sz w:val="24"/>
              </w:rPr>
            </w:pPr>
            <w:r>
              <w:rPr>
                <w:sz w:val="24"/>
              </w:rPr>
              <w:t> </w:t>
            </w:r>
          </w:p>
        </w:tc>
        <w:tc>
          <w:tcPr>
            <w:tcW w:w="240" w:type="dxa"/>
          </w:tcPr>
          <w:p>
            <w:pPr>
              <w:pStyle w:val="TableParagraph"/>
              <w:spacing w:line="274" w:lineRule="exact"/>
              <w:ind w:left="8"/>
              <w:jc w:val="center"/>
              <w:rPr>
                <w:sz w:val="24"/>
              </w:rPr>
            </w:pPr>
            <w:r>
              <w:rPr>
                <w:sz w:val="24"/>
              </w:rPr>
              <w:t> </w:t>
            </w:r>
          </w:p>
        </w:tc>
        <w:tc>
          <w:tcPr>
            <w:tcW w:w="240" w:type="dxa"/>
          </w:tcPr>
          <w:p>
            <w:pPr>
              <w:pStyle w:val="TableParagraph"/>
              <w:spacing w:line="274" w:lineRule="exact"/>
              <w:ind w:left="8"/>
              <w:jc w:val="center"/>
              <w:rPr>
                <w:sz w:val="24"/>
              </w:rPr>
            </w:pPr>
            <w:r>
              <w:rPr>
                <w:sz w:val="24"/>
              </w:rPr>
              <w:t> </w:t>
            </w:r>
          </w:p>
        </w:tc>
        <w:tc>
          <w:tcPr>
            <w:tcW w:w="240" w:type="dxa"/>
          </w:tcPr>
          <w:p>
            <w:pPr>
              <w:pStyle w:val="TableParagraph"/>
              <w:spacing w:line="274" w:lineRule="exact"/>
              <w:ind w:left="9"/>
              <w:jc w:val="center"/>
              <w:rPr>
                <w:sz w:val="24"/>
              </w:rPr>
            </w:pPr>
            <w:r>
              <w:rPr>
                <w:sz w:val="24"/>
              </w:rPr>
              <w:t> </w:t>
            </w:r>
          </w:p>
        </w:tc>
        <w:tc>
          <w:tcPr>
            <w:tcW w:w="240" w:type="dxa"/>
          </w:tcPr>
          <w:p>
            <w:pPr>
              <w:pStyle w:val="TableParagraph"/>
              <w:spacing w:line="274" w:lineRule="exact"/>
              <w:ind w:left="10"/>
              <w:jc w:val="center"/>
              <w:rPr>
                <w:sz w:val="24"/>
              </w:rPr>
            </w:pPr>
            <w:r>
              <w:rPr>
                <w:sz w:val="24"/>
              </w:rPr>
              <w:t> </w:t>
            </w:r>
          </w:p>
        </w:tc>
        <w:tc>
          <w:tcPr>
            <w:tcW w:w="240" w:type="dxa"/>
          </w:tcPr>
          <w:p>
            <w:pPr>
              <w:pStyle w:val="TableParagraph"/>
              <w:spacing w:line="274" w:lineRule="exact"/>
              <w:ind w:left="11"/>
              <w:jc w:val="center"/>
              <w:rPr>
                <w:sz w:val="24"/>
              </w:rPr>
            </w:pPr>
            <w:r>
              <w:rPr>
                <w:sz w:val="24"/>
              </w:rPr>
              <w:t> </w:t>
            </w:r>
          </w:p>
        </w:tc>
        <w:tc>
          <w:tcPr>
            <w:tcW w:w="240" w:type="dxa"/>
          </w:tcPr>
          <w:p>
            <w:pPr>
              <w:pStyle w:val="TableParagraph"/>
              <w:spacing w:line="274" w:lineRule="exact"/>
              <w:ind w:left="12"/>
              <w:jc w:val="center"/>
              <w:rPr>
                <w:sz w:val="24"/>
              </w:rPr>
            </w:pPr>
            <w:r>
              <w:rPr>
                <w:sz w:val="24"/>
              </w:rPr>
              <w:t> </w:t>
            </w:r>
          </w:p>
        </w:tc>
        <w:tc>
          <w:tcPr>
            <w:tcW w:w="239" w:type="dxa"/>
          </w:tcPr>
          <w:p>
            <w:pPr>
              <w:pStyle w:val="TableParagraph"/>
              <w:spacing w:line="274" w:lineRule="exact"/>
              <w:ind w:left="13"/>
              <w:jc w:val="center"/>
              <w:rPr>
                <w:sz w:val="24"/>
              </w:rPr>
            </w:pPr>
            <w:r>
              <w:rPr>
                <w:sz w:val="24"/>
              </w:rPr>
              <w:t> </w:t>
            </w:r>
          </w:p>
        </w:tc>
        <w:tc>
          <w:tcPr>
            <w:tcW w:w="5285" w:type="dxa"/>
          </w:tcPr>
          <w:p>
            <w:pPr>
              <w:pStyle w:val="TableParagraph"/>
              <w:spacing w:line="274" w:lineRule="exact"/>
              <w:ind w:right="50"/>
              <w:jc w:val="right"/>
              <w:rPr>
                <w:sz w:val="24"/>
              </w:rPr>
            </w:pPr>
            <w:r>
              <w:rPr>
                <w:sz w:val="24"/>
              </w:rPr>
              <w:t>担 保 人 ：</w:t>
            </w:r>
            <w:r>
              <w:rPr>
                <w:spacing w:val="117"/>
                <w:sz w:val="24"/>
                <w:u w:val="single"/>
              </w:rPr>
              <w:t> </w:t>
            </w:r>
            <w:r>
              <w:rPr>
                <w:sz w:val="24"/>
              </w:rPr>
              <w:t>( 盖 单 位 章 ) </w:t>
            </w:r>
          </w:p>
        </w:tc>
        <w:tc>
          <w:tcPr>
            <w:tcW w:w="470" w:type="dxa"/>
            <w:vMerge w:val="restart"/>
          </w:tcPr>
          <w:p>
            <w:pPr>
              <w:pStyle w:val="TableParagraph"/>
              <w:rPr>
                <w:rFonts w:ascii="Times New Roman"/>
                <w:sz w:val="24"/>
              </w:rPr>
            </w:pPr>
          </w:p>
        </w:tc>
      </w:tr>
      <w:tr>
        <w:trPr>
          <w:trHeight w:val="472" w:hRule="atLeast"/>
        </w:trPr>
        <w:tc>
          <w:tcPr>
            <w:tcW w:w="230" w:type="dxa"/>
          </w:tcPr>
          <w:p>
            <w:pPr>
              <w:pStyle w:val="TableParagraph"/>
              <w:spacing w:before="86"/>
              <w:ind w:right="9"/>
              <w:jc w:val="center"/>
              <w:rPr>
                <w:sz w:val="24"/>
              </w:rPr>
            </w:pPr>
            <w:r>
              <w:rPr>
                <w:sz w:val="24"/>
              </w:rPr>
              <w:t> </w:t>
            </w:r>
          </w:p>
        </w:tc>
        <w:tc>
          <w:tcPr>
            <w:tcW w:w="240" w:type="dxa"/>
          </w:tcPr>
          <w:p>
            <w:pPr>
              <w:pStyle w:val="TableParagraph"/>
              <w:spacing w:before="86"/>
              <w:jc w:val="center"/>
              <w:rPr>
                <w:sz w:val="24"/>
              </w:rPr>
            </w:pPr>
            <w:r>
              <w:rPr>
                <w:sz w:val="24"/>
              </w:rPr>
              <w:t> </w:t>
            </w:r>
          </w:p>
        </w:tc>
        <w:tc>
          <w:tcPr>
            <w:tcW w:w="240" w:type="dxa"/>
          </w:tcPr>
          <w:p>
            <w:pPr>
              <w:pStyle w:val="TableParagraph"/>
              <w:spacing w:before="86"/>
              <w:ind w:left="1"/>
              <w:jc w:val="center"/>
              <w:rPr>
                <w:sz w:val="24"/>
              </w:rPr>
            </w:pPr>
            <w:r>
              <w:rPr>
                <w:sz w:val="24"/>
              </w:rPr>
              <w:t> </w:t>
            </w:r>
          </w:p>
        </w:tc>
        <w:tc>
          <w:tcPr>
            <w:tcW w:w="240" w:type="dxa"/>
          </w:tcPr>
          <w:p>
            <w:pPr>
              <w:pStyle w:val="TableParagraph"/>
              <w:spacing w:before="86"/>
              <w:ind w:left="2"/>
              <w:jc w:val="center"/>
              <w:rPr>
                <w:sz w:val="24"/>
              </w:rPr>
            </w:pPr>
            <w:r>
              <w:rPr>
                <w:sz w:val="24"/>
              </w:rPr>
              <w:t> </w:t>
            </w:r>
          </w:p>
        </w:tc>
        <w:tc>
          <w:tcPr>
            <w:tcW w:w="240" w:type="dxa"/>
          </w:tcPr>
          <w:p>
            <w:pPr>
              <w:pStyle w:val="TableParagraph"/>
              <w:spacing w:before="86"/>
              <w:ind w:left="3"/>
              <w:jc w:val="center"/>
              <w:rPr>
                <w:sz w:val="24"/>
              </w:rPr>
            </w:pPr>
            <w:r>
              <w:rPr>
                <w:sz w:val="24"/>
              </w:rPr>
              <w:t> </w:t>
            </w:r>
          </w:p>
        </w:tc>
        <w:tc>
          <w:tcPr>
            <w:tcW w:w="240" w:type="dxa"/>
          </w:tcPr>
          <w:p>
            <w:pPr>
              <w:pStyle w:val="TableParagraph"/>
              <w:spacing w:before="86"/>
              <w:ind w:left="4"/>
              <w:jc w:val="center"/>
              <w:rPr>
                <w:sz w:val="24"/>
              </w:rPr>
            </w:pPr>
            <w:r>
              <w:rPr>
                <w:sz w:val="24"/>
              </w:rPr>
              <w:t> </w:t>
            </w:r>
          </w:p>
        </w:tc>
        <w:tc>
          <w:tcPr>
            <w:tcW w:w="240" w:type="dxa"/>
          </w:tcPr>
          <w:p>
            <w:pPr>
              <w:pStyle w:val="TableParagraph"/>
              <w:spacing w:before="86"/>
              <w:ind w:left="4"/>
              <w:jc w:val="center"/>
              <w:rPr>
                <w:sz w:val="24"/>
              </w:rPr>
            </w:pPr>
            <w:r>
              <w:rPr>
                <w:sz w:val="24"/>
              </w:rPr>
              <w:t> </w:t>
            </w:r>
          </w:p>
        </w:tc>
        <w:tc>
          <w:tcPr>
            <w:tcW w:w="240" w:type="dxa"/>
          </w:tcPr>
          <w:p>
            <w:pPr>
              <w:pStyle w:val="TableParagraph"/>
              <w:spacing w:before="86"/>
              <w:ind w:left="5"/>
              <w:jc w:val="center"/>
              <w:rPr>
                <w:sz w:val="24"/>
              </w:rPr>
            </w:pPr>
            <w:r>
              <w:rPr>
                <w:sz w:val="24"/>
              </w:rPr>
              <w:t> </w:t>
            </w:r>
          </w:p>
        </w:tc>
        <w:tc>
          <w:tcPr>
            <w:tcW w:w="240" w:type="dxa"/>
          </w:tcPr>
          <w:p>
            <w:pPr>
              <w:pStyle w:val="TableParagraph"/>
              <w:spacing w:before="86"/>
              <w:ind w:left="6"/>
              <w:jc w:val="center"/>
              <w:rPr>
                <w:sz w:val="24"/>
              </w:rPr>
            </w:pPr>
            <w:r>
              <w:rPr>
                <w:sz w:val="24"/>
              </w:rPr>
              <w:t> </w:t>
            </w:r>
          </w:p>
        </w:tc>
        <w:tc>
          <w:tcPr>
            <w:tcW w:w="240" w:type="dxa"/>
          </w:tcPr>
          <w:p>
            <w:pPr>
              <w:pStyle w:val="TableParagraph"/>
              <w:spacing w:before="86"/>
              <w:ind w:left="7"/>
              <w:jc w:val="center"/>
              <w:rPr>
                <w:sz w:val="24"/>
              </w:rPr>
            </w:pPr>
            <w:r>
              <w:rPr>
                <w:sz w:val="24"/>
              </w:rPr>
              <w:t> </w:t>
            </w:r>
          </w:p>
        </w:tc>
        <w:tc>
          <w:tcPr>
            <w:tcW w:w="240" w:type="dxa"/>
          </w:tcPr>
          <w:p>
            <w:pPr>
              <w:pStyle w:val="TableParagraph"/>
              <w:spacing w:before="86"/>
              <w:ind w:left="8"/>
              <w:jc w:val="center"/>
              <w:rPr>
                <w:sz w:val="24"/>
              </w:rPr>
            </w:pPr>
            <w:r>
              <w:rPr>
                <w:sz w:val="24"/>
              </w:rPr>
              <w:t> </w:t>
            </w:r>
          </w:p>
        </w:tc>
        <w:tc>
          <w:tcPr>
            <w:tcW w:w="240" w:type="dxa"/>
          </w:tcPr>
          <w:p>
            <w:pPr>
              <w:pStyle w:val="TableParagraph"/>
              <w:spacing w:before="86"/>
              <w:ind w:left="8"/>
              <w:jc w:val="center"/>
              <w:rPr>
                <w:sz w:val="24"/>
              </w:rPr>
            </w:pPr>
            <w:r>
              <w:rPr>
                <w:sz w:val="24"/>
              </w:rPr>
              <w:t> </w:t>
            </w:r>
          </w:p>
        </w:tc>
        <w:tc>
          <w:tcPr>
            <w:tcW w:w="240" w:type="dxa"/>
          </w:tcPr>
          <w:p>
            <w:pPr>
              <w:pStyle w:val="TableParagraph"/>
              <w:spacing w:before="86"/>
              <w:ind w:left="9"/>
              <w:jc w:val="center"/>
              <w:rPr>
                <w:sz w:val="24"/>
              </w:rPr>
            </w:pPr>
            <w:r>
              <w:rPr>
                <w:sz w:val="24"/>
              </w:rPr>
              <w:t> </w:t>
            </w:r>
          </w:p>
        </w:tc>
        <w:tc>
          <w:tcPr>
            <w:tcW w:w="240" w:type="dxa"/>
          </w:tcPr>
          <w:p>
            <w:pPr>
              <w:pStyle w:val="TableParagraph"/>
              <w:spacing w:before="86"/>
              <w:ind w:left="10"/>
              <w:jc w:val="center"/>
              <w:rPr>
                <w:sz w:val="24"/>
              </w:rPr>
            </w:pPr>
            <w:r>
              <w:rPr>
                <w:sz w:val="24"/>
              </w:rPr>
              <w:t> </w:t>
            </w:r>
          </w:p>
        </w:tc>
        <w:tc>
          <w:tcPr>
            <w:tcW w:w="240" w:type="dxa"/>
          </w:tcPr>
          <w:p>
            <w:pPr>
              <w:pStyle w:val="TableParagraph"/>
              <w:spacing w:before="86"/>
              <w:ind w:left="11"/>
              <w:jc w:val="center"/>
              <w:rPr>
                <w:sz w:val="24"/>
              </w:rPr>
            </w:pPr>
            <w:r>
              <w:rPr>
                <w:sz w:val="24"/>
              </w:rPr>
              <w:t> </w:t>
            </w:r>
          </w:p>
        </w:tc>
        <w:tc>
          <w:tcPr>
            <w:tcW w:w="240" w:type="dxa"/>
          </w:tcPr>
          <w:p>
            <w:pPr>
              <w:pStyle w:val="TableParagraph"/>
              <w:spacing w:before="86"/>
              <w:ind w:left="12"/>
              <w:jc w:val="center"/>
              <w:rPr>
                <w:sz w:val="24"/>
              </w:rPr>
            </w:pPr>
            <w:r>
              <w:rPr>
                <w:sz w:val="24"/>
              </w:rPr>
              <w:t> </w:t>
            </w:r>
          </w:p>
        </w:tc>
        <w:tc>
          <w:tcPr>
            <w:tcW w:w="239" w:type="dxa"/>
          </w:tcPr>
          <w:p>
            <w:pPr>
              <w:pStyle w:val="TableParagraph"/>
              <w:spacing w:before="86"/>
              <w:ind w:left="13"/>
              <w:jc w:val="center"/>
              <w:rPr>
                <w:sz w:val="24"/>
              </w:rPr>
            </w:pPr>
            <w:r>
              <w:rPr>
                <w:sz w:val="24"/>
              </w:rPr>
              <w:t> </w:t>
            </w:r>
          </w:p>
        </w:tc>
        <w:tc>
          <w:tcPr>
            <w:tcW w:w="5285" w:type="dxa"/>
          </w:tcPr>
          <w:p>
            <w:pPr>
              <w:pStyle w:val="TableParagraph"/>
              <w:spacing w:before="86"/>
              <w:ind w:right="50"/>
              <w:jc w:val="right"/>
              <w:rPr>
                <w:sz w:val="24"/>
              </w:rPr>
            </w:pPr>
            <w:r>
              <w:rPr>
                <w:sz w:val="24"/>
              </w:rPr>
              <w:t>      法定代表人或其委托代理人：</w:t>
            </w:r>
            <w:r>
              <w:rPr>
                <w:spacing w:val="118"/>
                <w:sz w:val="24"/>
                <w:u w:val="single"/>
              </w:rPr>
              <w:t> </w:t>
            </w:r>
            <w:r>
              <w:rPr>
                <w:sz w:val="24"/>
              </w:rPr>
              <w:t>(签字) </w:t>
            </w:r>
          </w:p>
        </w:tc>
        <w:tc>
          <w:tcPr>
            <w:tcW w:w="470" w:type="dxa"/>
            <w:vMerge/>
            <w:tcBorders>
              <w:top w:val="nil"/>
            </w:tcBorders>
          </w:tcPr>
          <w:p>
            <w:pPr>
              <w:rPr>
                <w:sz w:val="2"/>
                <w:szCs w:val="2"/>
              </w:rPr>
            </w:pPr>
          </w:p>
        </w:tc>
      </w:tr>
      <w:tr>
        <w:trPr>
          <w:trHeight w:val="465" w:hRule="atLeast"/>
        </w:trPr>
        <w:tc>
          <w:tcPr>
            <w:tcW w:w="230" w:type="dxa"/>
          </w:tcPr>
          <w:p>
            <w:pPr>
              <w:pStyle w:val="TableParagraph"/>
              <w:spacing w:before="79"/>
              <w:ind w:right="9"/>
              <w:jc w:val="center"/>
              <w:rPr>
                <w:sz w:val="24"/>
              </w:rPr>
            </w:pPr>
            <w:r>
              <w:rPr>
                <w:sz w:val="24"/>
              </w:rPr>
              <w:t> </w:t>
            </w:r>
          </w:p>
        </w:tc>
        <w:tc>
          <w:tcPr>
            <w:tcW w:w="240" w:type="dxa"/>
          </w:tcPr>
          <w:p>
            <w:pPr>
              <w:pStyle w:val="TableParagraph"/>
              <w:spacing w:before="79"/>
              <w:jc w:val="center"/>
              <w:rPr>
                <w:sz w:val="24"/>
              </w:rPr>
            </w:pPr>
            <w:r>
              <w:rPr>
                <w:sz w:val="24"/>
              </w:rPr>
              <w:t> </w:t>
            </w:r>
          </w:p>
        </w:tc>
        <w:tc>
          <w:tcPr>
            <w:tcW w:w="240" w:type="dxa"/>
          </w:tcPr>
          <w:p>
            <w:pPr>
              <w:pStyle w:val="TableParagraph"/>
              <w:spacing w:before="79"/>
              <w:ind w:left="1"/>
              <w:jc w:val="center"/>
              <w:rPr>
                <w:sz w:val="24"/>
              </w:rPr>
            </w:pPr>
            <w:r>
              <w:rPr>
                <w:sz w:val="24"/>
              </w:rPr>
              <w:t> </w:t>
            </w:r>
          </w:p>
        </w:tc>
        <w:tc>
          <w:tcPr>
            <w:tcW w:w="240" w:type="dxa"/>
          </w:tcPr>
          <w:p>
            <w:pPr>
              <w:pStyle w:val="TableParagraph"/>
              <w:spacing w:before="79"/>
              <w:ind w:left="2"/>
              <w:jc w:val="center"/>
              <w:rPr>
                <w:sz w:val="24"/>
              </w:rPr>
            </w:pPr>
            <w:r>
              <w:rPr>
                <w:sz w:val="24"/>
              </w:rPr>
              <w:t> </w:t>
            </w:r>
          </w:p>
        </w:tc>
        <w:tc>
          <w:tcPr>
            <w:tcW w:w="240" w:type="dxa"/>
          </w:tcPr>
          <w:p>
            <w:pPr>
              <w:pStyle w:val="TableParagraph"/>
              <w:spacing w:before="79"/>
              <w:ind w:left="3"/>
              <w:jc w:val="center"/>
              <w:rPr>
                <w:sz w:val="24"/>
              </w:rPr>
            </w:pPr>
            <w:r>
              <w:rPr>
                <w:sz w:val="24"/>
              </w:rPr>
              <w:t> </w:t>
            </w:r>
          </w:p>
        </w:tc>
        <w:tc>
          <w:tcPr>
            <w:tcW w:w="240" w:type="dxa"/>
          </w:tcPr>
          <w:p>
            <w:pPr>
              <w:pStyle w:val="TableParagraph"/>
              <w:spacing w:before="79"/>
              <w:ind w:left="4"/>
              <w:jc w:val="center"/>
              <w:rPr>
                <w:sz w:val="24"/>
              </w:rPr>
            </w:pPr>
            <w:r>
              <w:rPr>
                <w:sz w:val="24"/>
              </w:rPr>
              <w:t> </w:t>
            </w:r>
          </w:p>
        </w:tc>
        <w:tc>
          <w:tcPr>
            <w:tcW w:w="240" w:type="dxa"/>
          </w:tcPr>
          <w:p>
            <w:pPr>
              <w:pStyle w:val="TableParagraph"/>
              <w:spacing w:before="79"/>
              <w:ind w:left="4"/>
              <w:jc w:val="center"/>
              <w:rPr>
                <w:sz w:val="24"/>
              </w:rPr>
            </w:pPr>
            <w:r>
              <w:rPr>
                <w:sz w:val="24"/>
              </w:rPr>
              <w:t> </w:t>
            </w:r>
          </w:p>
        </w:tc>
        <w:tc>
          <w:tcPr>
            <w:tcW w:w="240" w:type="dxa"/>
          </w:tcPr>
          <w:p>
            <w:pPr>
              <w:pStyle w:val="TableParagraph"/>
              <w:spacing w:before="79"/>
              <w:ind w:left="5"/>
              <w:jc w:val="center"/>
              <w:rPr>
                <w:sz w:val="24"/>
              </w:rPr>
            </w:pPr>
            <w:r>
              <w:rPr>
                <w:sz w:val="24"/>
              </w:rPr>
              <w:t> </w:t>
            </w:r>
          </w:p>
        </w:tc>
        <w:tc>
          <w:tcPr>
            <w:tcW w:w="240" w:type="dxa"/>
          </w:tcPr>
          <w:p>
            <w:pPr>
              <w:pStyle w:val="TableParagraph"/>
              <w:spacing w:before="79"/>
              <w:ind w:left="6"/>
              <w:jc w:val="center"/>
              <w:rPr>
                <w:sz w:val="24"/>
              </w:rPr>
            </w:pPr>
            <w:r>
              <w:rPr>
                <w:sz w:val="24"/>
              </w:rPr>
              <w:t> </w:t>
            </w:r>
          </w:p>
        </w:tc>
        <w:tc>
          <w:tcPr>
            <w:tcW w:w="240" w:type="dxa"/>
          </w:tcPr>
          <w:p>
            <w:pPr>
              <w:pStyle w:val="TableParagraph"/>
              <w:spacing w:before="79"/>
              <w:ind w:left="7"/>
              <w:jc w:val="center"/>
              <w:rPr>
                <w:sz w:val="24"/>
              </w:rPr>
            </w:pPr>
            <w:r>
              <w:rPr>
                <w:sz w:val="24"/>
              </w:rPr>
              <w:t> </w:t>
            </w:r>
          </w:p>
        </w:tc>
        <w:tc>
          <w:tcPr>
            <w:tcW w:w="240" w:type="dxa"/>
          </w:tcPr>
          <w:p>
            <w:pPr>
              <w:pStyle w:val="TableParagraph"/>
              <w:spacing w:before="79"/>
              <w:ind w:left="8"/>
              <w:jc w:val="center"/>
              <w:rPr>
                <w:sz w:val="24"/>
              </w:rPr>
            </w:pPr>
            <w:r>
              <w:rPr>
                <w:sz w:val="24"/>
              </w:rPr>
              <w:t> </w:t>
            </w:r>
          </w:p>
        </w:tc>
        <w:tc>
          <w:tcPr>
            <w:tcW w:w="240" w:type="dxa"/>
          </w:tcPr>
          <w:p>
            <w:pPr>
              <w:pStyle w:val="TableParagraph"/>
              <w:spacing w:before="79"/>
              <w:ind w:left="8"/>
              <w:jc w:val="center"/>
              <w:rPr>
                <w:sz w:val="24"/>
              </w:rPr>
            </w:pPr>
            <w:r>
              <w:rPr>
                <w:sz w:val="24"/>
              </w:rPr>
              <w:t> </w:t>
            </w:r>
          </w:p>
        </w:tc>
        <w:tc>
          <w:tcPr>
            <w:tcW w:w="240" w:type="dxa"/>
          </w:tcPr>
          <w:p>
            <w:pPr>
              <w:pStyle w:val="TableParagraph"/>
              <w:spacing w:before="79"/>
              <w:ind w:left="9"/>
              <w:jc w:val="center"/>
              <w:rPr>
                <w:sz w:val="24"/>
              </w:rPr>
            </w:pPr>
            <w:r>
              <w:rPr>
                <w:sz w:val="24"/>
              </w:rPr>
              <w:t> </w:t>
            </w:r>
          </w:p>
        </w:tc>
        <w:tc>
          <w:tcPr>
            <w:tcW w:w="240" w:type="dxa"/>
          </w:tcPr>
          <w:p>
            <w:pPr>
              <w:pStyle w:val="TableParagraph"/>
              <w:spacing w:before="79"/>
              <w:ind w:left="10"/>
              <w:jc w:val="center"/>
              <w:rPr>
                <w:sz w:val="24"/>
              </w:rPr>
            </w:pPr>
            <w:r>
              <w:rPr>
                <w:sz w:val="24"/>
              </w:rPr>
              <w:t> </w:t>
            </w:r>
          </w:p>
        </w:tc>
        <w:tc>
          <w:tcPr>
            <w:tcW w:w="240" w:type="dxa"/>
          </w:tcPr>
          <w:p>
            <w:pPr>
              <w:pStyle w:val="TableParagraph"/>
              <w:spacing w:before="79"/>
              <w:ind w:left="11"/>
              <w:jc w:val="center"/>
              <w:rPr>
                <w:sz w:val="24"/>
              </w:rPr>
            </w:pPr>
            <w:r>
              <w:rPr>
                <w:sz w:val="24"/>
              </w:rPr>
              <w:t> </w:t>
            </w:r>
          </w:p>
        </w:tc>
        <w:tc>
          <w:tcPr>
            <w:tcW w:w="240" w:type="dxa"/>
          </w:tcPr>
          <w:p>
            <w:pPr>
              <w:pStyle w:val="TableParagraph"/>
              <w:spacing w:before="79"/>
              <w:ind w:left="12"/>
              <w:jc w:val="center"/>
              <w:rPr>
                <w:sz w:val="24"/>
              </w:rPr>
            </w:pPr>
            <w:r>
              <w:rPr>
                <w:sz w:val="24"/>
              </w:rPr>
              <w:t> </w:t>
            </w:r>
          </w:p>
        </w:tc>
        <w:tc>
          <w:tcPr>
            <w:tcW w:w="239" w:type="dxa"/>
          </w:tcPr>
          <w:p>
            <w:pPr>
              <w:pStyle w:val="TableParagraph"/>
              <w:spacing w:before="79"/>
              <w:ind w:left="13"/>
              <w:jc w:val="center"/>
              <w:rPr>
                <w:sz w:val="24"/>
              </w:rPr>
            </w:pPr>
            <w:r>
              <w:rPr>
                <w:sz w:val="24"/>
              </w:rPr>
              <w:t> </w:t>
            </w:r>
          </w:p>
        </w:tc>
        <w:tc>
          <w:tcPr>
            <w:tcW w:w="5285" w:type="dxa"/>
          </w:tcPr>
          <w:p>
            <w:pPr>
              <w:pStyle w:val="TableParagraph"/>
              <w:spacing w:before="79"/>
              <w:ind w:right="50"/>
              <w:jc w:val="right"/>
              <w:rPr>
                <w:sz w:val="24"/>
              </w:rPr>
            </w:pPr>
            <w:r>
              <w:rPr>
                <w:sz w:val="24"/>
              </w:rPr>
              <w:t>      地址：</w:t>
            </w:r>
            <w:r>
              <w:rPr>
                <w:sz w:val="24"/>
                <w:u w:val="single"/>
              </w:rPr>
              <w:t>                              </w:t>
            </w:r>
            <w:r>
              <w:rPr>
                <w:sz w:val="24"/>
              </w:rPr>
              <w:t> </w:t>
            </w:r>
          </w:p>
        </w:tc>
        <w:tc>
          <w:tcPr>
            <w:tcW w:w="470" w:type="dxa"/>
          </w:tcPr>
          <w:p>
            <w:pPr>
              <w:pStyle w:val="TableParagraph"/>
              <w:spacing w:before="79"/>
              <w:ind w:left="25"/>
              <w:jc w:val="center"/>
              <w:rPr>
                <w:sz w:val="24"/>
              </w:rPr>
            </w:pPr>
            <w:r>
              <w:rPr>
                <w:sz w:val="24"/>
              </w:rPr>
              <w:t>   </w:t>
            </w:r>
          </w:p>
        </w:tc>
      </w:tr>
      <w:tr>
        <w:trPr>
          <w:trHeight w:val="465" w:hRule="atLeast"/>
        </w:trPr>
        <w:tc>
          <w:tcPr>
            <w:tcW w:w="230" w:type="dxa"/>
          </w:tcPr>
          <w:p>
            <w:pPr>
              <w:pStyle w:val="TableParagraph"/>
              <w:spacing w:before="79"/>
              <w:ind w:right="9"/>
              <w:jc w:val="center"/>
              <w:rPr>
                <w:sz w:val="24"/>
              </w:rPr>
            </w:pPr>
            <w:r>
              <w:rPr>
                <w:sz w:val="24"/>
              </w:rPr>
              <w:t> </w:t>
            </w:r>
          </w:p>
        </w:tc>
        <w:tc>
          <w:tcPr>
            <w:tcW w:w="240" w:type="dxa"/>
          </w:tcPr>
          <w:p>
            <w:pPr>
              <w:pStyle w:val="TableParagraph"/>
              <w:spacing w:before="79"/>
              <w:jc w:val="center"/>
              <w:rPr>
                <w:sz w:val="24"/>
              </w:rPr>
            </w:pPr>
            <w:r>
              <w:rPr>
                <w:sz w:val="24"/>
              </w:rPr>
              <w:t> </w:t>
            </w:r>
          </w:p>
        </w:tc>
        <w:tc>
          <w:tcPr>
            <w:tcW w:w="240" w:type="dxa"/>
          </w:tcPr>
          <w:p>
            <w:pPr>
              <w:pStyle w:val="TableParagraph"/>
              <w:spacing w:before="79"/>
              <w:ind w:left="1"/>
              <w:jc w:val="center"/>
              <w:rPr>
                <w:sz w:val="24"/>
              </w:rPr>
            </w:pPr>
            <w:r>
              <w:rPr>
                <w:sz w:val="24"/>
              </w:rPr>
              <w:t> </w:t>
            </w:r>
          </w:p>
        </w:tc>
        <w:tc>
          <w:tcPr>
            <w:tcW w:w="240" w:type="dxa"/>
          </w:tcPr>
          <w:p>
            <w:pPr>
              <w:pStyle w:val="TableParagraph"/>
              <w:spacing w:before="79"/>
              <w:ind w:left="2"/>
              <w:jc w:val="center"/>
              <w:rPr>
                <w:sz w:val="24"/>
              </w:rPr>
            </w:pPr>
            <w:r>
              <w:rPr>
                <w:sz w:val="24"/>
              </w:rPr>
              <w:t> </w:t>
            </w:r>
          </w:p>
        </w:tc>
        <w:tc>
          <w:tcPr>
            <w:tcW w:w="240" w:type="dxa"/>
          </w:tcPr>
          <w:p>
            <w:pPr>
              <w:pStyle w:val="TableParagraph"/>
              <w:spacing w:before="79"/>
              <w:ind w:left="3"/>
              <w:jc w:val="center"/>
              <w:rPr>
                <w:sz w:val="24"/>
              </w:rPr>
            </w:pPr>
            <w:r>
              <w:rPr>
                <w:sz w:val="24"/>
              </w:rPr>
              <w:t> </w:t>
            </w:r>
          </w:p>
        </w:tc>
        <w:tc>
          <w:tcPr>
            <w:tcW w:w="240" w:type="dxa"/>
          </w:tcPr>
          <w:p>
            <w:pPr>
              <w:pStyle w:val="TableParagraph"/>
              <w:spacing w:before="79"/>
              <w:ind w:left="4"/>
              <w:jc w:val="center"/>
              <w:rPr>
                <w:sz w:val="24"/>
              </w:rPr>
            </w:pPr>
            <w:r>
              <w:rPr>
                <w:sz w:val="24"/>
              </w:rPr>
              <w:t> </w:t>
            </w:r>
          </w:p>
        </w:tc>
        <w:tc>
          <w:tcPr>
            <w:tcW w:w="240" w:type="dxa"/>
          </w:tcPr>
          <w:p>
            <w:pPr>
              <w:pStyle w:val="TableParagraph"/>
              <w:spacing w:before="79"/>
              <w:ind w:left="4"/>
              <w:jc w:val="center"/>
              <w:rPr>
                <w:sz w:val="24"/>
              </w:rPr>
            </w:pPr>
            <w:r>
              <w:rPr>
                <w:sz w:val="24"/>
              </w:rPr>
              <w:t> </w:t>
            </w:r>
          </w:p>
        </w:tc>
        <w:tc>
          <w:tcPr>
            <w:tcW w:w="240" w:type="dxa"/>
          </w:tcPr>
          <w:p>
            <w:pPr>
              <w:pStyle w:val="TableParagraph"/>
              <w:spacing w:before="79"/>
              <w:ind w:left="5"/>
              <w:jc w:val="center"/>
              <w:rPr>
                <w:sz w:val="24"/>
              </w:rPr>
            </w:pPr>
            <w:r>
              <w:rPr>
                <w:sz w:val="24"/>
              </w:rPr>
              <w:t> </w:t>
            </w:r>
          </w:p>
        </w:tc>
        <w:tc>
          <w:tcPr>
            <w:tcW w:w="240" w:type="dxa"/>
          </w:tcPr>
          <w:p>
            <w:pPr>
              <w:pStyle w:val="TableParagraph"/>
              <w:spacing w:before="79"/>
              <w:ind w:left="6"/>
              <w:jc w:val="center"/>
              <w:rPr>
                <w:sz w:val="24"/>
              </w:rPr>
            </w:pPr>
            <w:r>
              <w:rPr>
                <w:sz w:val="24"/>
              </w:rPr>
              <w:t> </w:t>
            </w:r>
          </w:p>
        </w:tc>
        <w:tc>
          <w:tcPr>
            <w:tcW w:w="240" w:type="dxa"/>
          </w:tcPr>
          <w:p>
            <w:pPr>
              <w:pStyle w:val="TableParagraph"/>
              <w:spacing w:before="79"/>
              <w:ind w:left="7"/>
              <w:jc w:val="center"/>
              <w:rPr>
                <w:sz w:val="24"/>
              </w:rPr>
            </w:pPr>
            <w:r>
              <w:rPr>
                <w:sz w:val="24"/>
              </w:rPr>
              <w:t> </w:t>
            </w:r>
          </w:p>
        </w:tc>
        <w:tc>
          <w:tcPr>
            <w:tcW w:w="240" w:type="dxa"/>
          </w:tcPr>
          <w:p>
            <w:pPr>
              <w:pStyle w:val="TableParagraph"/>
              <w:spacing w:before="79"/>
              <w:ind w:left="8"/>
              <w:jc w:val="center"/>
              <w:rPr>
                <w:sz w:val="24"/>
              </w:rPr>
            </w:pPr>
            <w:r>
              <w:rPr>
                <w:sz w:val="24"/>
              </w:rPr>
              <w:t> </w:t>
            </w:r>
          </w:p>
        </w:tc>
        <w:tc>
          <w:tcPr>
            <w:tcW w:w="240" w:type="dxa"/>
          </w:tcPr>
          <w:p>
            <w:pPr>
              <w:pStyle w:val="TableParagraph"/>
              <w:spacing w:before="79"/>
              <w:ind w:left="8"/>
              <w:jc w:val="center"/>
              <w:rPr>
                <w:sz w:val="24"/>
              </w:rPr>
            </w:pPr>
            <w:r>
              <w:rPr>
                <w:sz w:val="24"/>
              </w:rPr>
              <w:t> </w:t>
            </w:r>
          </w:p>
        </w:tc>
        <w:tc>
          <w:tcPr>
            <w:tcW w:w="240" w:type="dxa"/>
          </w:tcPr>
          <w:p>
            <w:pPr>
              <w:pStyle w:val="TableParagraph"/>
              <w:spacing w:before="79"/>
              <w:ind w:left="9"/>
              <w:jc w:val="center"/>
              <w:rPr>
                <w:sz w:val="24"/>
              </w:rPr>
            </w:pPr>
            <w:r>
              <w:rPr>
                <w:sz w:val="24"/>
              </w:rPr>
              <w:t> </w:t>
            </w:r>
          </w:p>
        </w:tc>
        <w:tc>
          <w:tcPr>
            <w:tcW w:w="240" w:type="dxa"/>
          </w:tcPr>
          <w:p>
            <w:pPr>
              <w:pStyle w:val="TableParagraph"/>
              <w:spacing w:before="79"/>
              <w:ind w:left="10"/>
              <w:jc w:val="center"/>
              <w:rPr>
                <w:sz w:val="24"/>
              </w:rPr>
            </w:pPr>
            <w:r>
              <w:rPr>
                <w:sz w:val="24"/>
              </w:rPr>
              <w:t> </w:t>
            </w:r>
          </w:p>
        </w:tc>
        <w:tc>
          <w:tcPr>
            <w:tcW w:w="240" w:type="dxa"/>
          </w:tcPr>
          <w:p>
            <w:pPr>
              <w:pStyle w:val="TableParagraph"/>
              <w:spacing w:before="79"/>
              <w:ind w:left="11"/>
              <w:jc w:val="center"/>
              <w:rPr>
                <w:sz w:val="24"/>
              </w:rPr>
            </w:pPr>
            <w:r>
              <w:rPr>
                <w:sz w:val="24"/>
              </w:rPr>
              <w:t> </w:t>
            </w:r>
          </w:p>
        </w:tc>
        <w:tc>
          <w:tcPr>
            <w:tcW w:w="240" w:type="dxa"/>
          </w:tcPr>
          <w:p>
            <w:pPr>
              <w:pStyle w:val="TableParagraph"/>
              <w:spacing w:before="79"/>
              <w:ind w:left="12"/>
              <w:jc w:val="center"/>
              <w:rPr>
                <w:sz w:val="24"/>
              </w:rPr>
            </w:pPr>
            <w:r>
              <w:rPr>
                <w:sz w:val="24"/>
              </w:rPr>
              <w:t> </w:t>
            </w:r>
          </w:p>
        </w:tc>
        <w:tc>
          <w:tcPr>
            <w:tcW w:w="239" w:type="dxa"/>
          </w:tcPr>
          <w:p>
            <w:pPr>
              <w:pStyle w:val="TableParagraph"/>
              <w:spacing w:before="79"/>
              <w:ind w:left="13"/>
              <w:jc w:val="center"/>
              <w:rPr>
                <w:sz w:val="24"/>
              </w:rPr>
            </w:pPr>
            <w:r>
              <w:rPr>
                <w:sz w:val="24"/>
              </w:rPr>
              <w:t> </w:t>
            </w:r>
          </w:p>
        </w:tc>
        <w:tc>
          <w:tcPr>
            <w:tcW w:w="5285" w:type="dxa"/>
          </w:tcPr>
          <w:p>
            <w:pPr>
              <w:pStyle w:val="TableParagraph"/>
              <w:spacing w:before="79"/>
              <w:ind w:right="50"/>
              <w:jc w:val="right"/>
              <w:rPr>
                <w:sz w:val="24"/>
              </w:rPr>
            </w:pPr>
            <w:r>
              <w:rPr>
                <w:sz w:val="24"/>
              </w:rPr>
              <w:t>      邮政编码：</w:t>
            </w:r>
            <w:r>
              <w:rPr>
                <w:sz w:val="24"/>
                <w:u w:val="single"/>
              </w:rPr>
              <w:t>                          </w:t>
            </w:r>
            <w:r>
              <w:rPr>
                <w:sz w:val="24"/>
              </w:rPr>
              <w:t> </w:t>
            </w:r>
          </w:p>
        </w:tc>
        <w:tc>
          <w:tcPr>
            <w:tcW w:w="470" w:type="dxa"/>
          </w:tcPr>
          <w:p>
            <w:pPr>
              <w:pStyle w:val="TableParagraph"/>
              <w:spacing w:before="79"/>
              <w:ind w:left="25"/>
              <w:jc w:val="center"/>
              <w:rPr>
                <w:sz w:val="24"/>
              </w:rPr>
            </w:pPr>
            <w:r>
              <w:rPr>
                <w:sz w:val="24"/>
              </w:rPr>
              <w:t>   </w:t>
            </w:r>
          </w:p>
        </w:tc>
      </w:tr>
      <w:tr>
        <w:trPr>
          <w:trHeight w:val="465" w:hRule="atLeast"/>
        </w:trPr>
        <w:tc>
          <w:tcPr>
            <w:tcW w:w="230" w:type="dxa"/>
          </w:tcPr>
          <w:p>
            <w:pPr>
              <w:pStyle w:val="TableParagraph"/>
              <w:spacing w:before="79"/>
              <w:ind w:right="9"/>
              <w:jc w:val="center"/>
              <w:rPr>
                <w:sz w:val="24"/>
              </w:rPr>
            </w:pPr>
            <w:r>
              <w:rPr>
                <w:sz w:val="24"/>
              </w:rPr>
              <w:t> </w:t>
            </w:r>
          </w:p>
        </w:tc>
        <w:tc>
          <w:tcPr>
            <w:tcW w:w="240" w:type="dxa"/>
          </w:tcPr>
          <w:p>
            <w:pPr>
              <w:pStyle w:val="TableParagraph"/>
              <w:spacing w:before="79"/>
              <w:jc w:val="center"/>
              <w:rPr>
                <w:sz w:val="24"/>
              </w:rPr>
            </w:pPr>
            <w:r>
              <w:rPr>
                <w:sz w:val="24"/>
              </w:rPr>
              <w:t> </w:t>
            </w:r>
          </w:p>
        </w:tc>
        <w:tc>
          <w:tcPr>
            <w:tcW w:w="240" w:type="dxa"/>
          </w:tcPr>
          <w:p>
            <w:pPr>
              <w:pStyle w:val="TableParagraph"/>
              <w:spacing w:before="79"/>
              <w:ind w:left="1"/>
              <w:jc w:val="center"/>
              <w:rPr>
                <w:sz w:val="24"/>
              </w:rPr>
            </w:pPr>
            <w:r>
              <w:rPr>
                <w:sz w:val="24"/>
              </w:rPr>
              <w:t> </w:t>
            </w:r>
          </w:p>
        </w:tc>
        <w:tc>
          <w:tcPr>
            <w:tcW w:w="240" w:type="dxa"/>
          </w:tcPr>
          <w:p>
            <w:pPr>
              <w:pStyle w:val="TableParagraph"/>
              <w:spacing w:before="79"/>
              <w:ind w:left="2"/>
              <w:jc w:val="center"/>
              <w:rPr>
                <w:sz w:val="24"/>
              </w:rPr>
            </w:pPr>
            <w:r>
              <w:rPr>
                <w:sz w:val="24"/>
              </w:rPr>
              <w:t> </w:t>
            </w:r>
          </w:p>
        </w:tc>
        <w:tc>
          <w:tcPr>
            <w:tcW w:w="240" w:type="dxa"/>
          </w:tcPr>
          <w:p>
            <w:pPr>
              <w:pStyle w:val="TableParagraph"/>
              <w:spacing w:before="79"/>
              <w:ind w:left="3"/>
              <w:jc w:val="center"/>
              <w:rPr>
                <w:sz w:val="24"/>
              </w:rPr>
            </w:pPr>
            <w:r>
              <w:rPr>
                <w:sz w:val="24"/>
              </w:rPr>
              <w:t> </w:t>
            </w:r>
          </w:p>
        </w:tc>
        <w:tc>
          <w:tcPr>
            <w:tcW w:w="240" w:type="dxa"/>
          </w:tcPr>
          <w:p>
            <w:pPr>
              <w:pStyle w:val="TableParagraph"/>
              <w:spacing w:before="79"/>
              <w:ind w:left="4"/>
              <w:jc w:val="center"/>
              <w:rPr>
                <w:sz w:val="24"/>
              </w:rPr>
            </w:pPr>
            <w:r>
              <w:rPr>
                <w:sz w:val="24"/>
              </w:rPr>
              <w:t> </w:t>
            </w:r>
          </w:p>
        </w:tc>
        <w:tc>
          <w:tcPr>
            <w:tcW w:w="240" w:type="dxa"/>
          </w:tcPr>
          <w:p>
            <w:pPr>
              <w:pStyle w:val="TableParagraph"/>
              <w:spacing w:before="79"/>
              <w:ind w:left="4"/>
              <w:jc w:val="center"/>
              <w:rPr>
                <w:sz w:val="24"/>
              </w:rPr>
            </w:pPr>
            <w:r>
              <w:rPr>
                <w:sz w:val="24"/>
              </w:rPr>
              <w:t> </w:t>
            </w:r>
          </w:p>
        </w:tc>
        <w:tc>
          <w:tcPr>
            <w:tcW w:w="240" w:type="dxa"/>
          </w:tcPr>
          <w:p>
            <w:pPr>
              <w:pStyle w:val="TableParagraph"/>
              <w:spacing w:before="79"/>
              <w:ind w:left="5"/>
              <w:jc w:val="center"/>
              <w:rPr>
                <w:sz w:val="24"/>
              </w:rPr>
            </w:pPr>
            <w:r>
              <w:rPr>
                <w:sz w:val="24"/>
              </w:rPr>
              <w:t> </w:t>
            </w:r>
          </w:p>
        </w:tc>
        <w:tc>
          <w:tcPr>
            <w:tcW w:w="240" w:type="dxa"/>
          </w:tcPr>
          <w:p>
            <w:pPr>
              <w:pStyle w:val="TableParagraph"/>
              <w:spacing w:before="79"/>
              <w:ind w:left="6"/>
              <w:jc w:val="center"/>
              <w:rPr>
                <w:sz w:val="24"/>
              </w:rPr>
            </w:pPr>
            <w:r>
              <w:rPr>
                <w:sz w:val="24"/>
              </w:rPr>
              <w:t> </w:t>
            </w:r>
          </w:p>
        </w:tc>
        <w:tc>
          <w:tcPr>
            <w:tcW w:w="240" w:type="dxa"/>
          </w:tcPr>
          <w:p>
            <w:pPr>
              <w:pStyle w:val="TableParagraph"/>
              <w:spacing w:before="79"/>
              <w:ind w:left="7"/>
              <w:jc w:val="center"/>
              <w:rPr>
                <w:sz w:val="24"/>
              </w:rPr>
            </w:pPr>
            <w:r>
              <w:rPr>
                <w:sz w:val="24"/>
              </w:rPr>
              <w:t> </w:t>
            </w:r>
          </w:p>
        </w:tc>
        <w:tc>
          <w:tcPr>
            <w:tcW w:w="240" w:type="dxa"/>
          </w:tcPr>
          <w:p>
            <w:pPr>
              <w:pStyle w:val="TableParagraph"/>
              <w:spacing w:before="79"/>
              <w:ind w:left="8"/>
              <w:jc w:val="center"/>
              <w:rPr>
                <w:sz w:val="24"/>
              </w:rPr>
            </w:pPr>
            <w:r>
              <w:rPr>
                <w:sz w:val="24"/>
              </w:rPr>
              <w:t> </w:t>
            </w:r>
          </w:p>
        </w:tc>
        <w:tc>
          <w:tcPr>
            <w:tcW w:w="240" w:type="dxa"/>
          </w:tcPr>
          <w:p>
            <w:pPr>
              <w:pStyle w:val="TableParagraph"/>
              <w:spacing w:before="79"/>
              <w:ind w:left="8"/>
              <w:jc w:val="center"/>
              <w:rPr>
                <w:sz w:val="24"/>
              </w:rPr>
            </w:pPr>
            <w:r>
              <w:rPr>
                <w:sz w:val="24"/>
              </w:rPr>
              <w:t> </w:t>
            </w:r>
          </w:p>
        </w:tc>
        <w:tc>
          <w:tcPr>
            <w:tcW w:w="240" w:type="dxa"/>
          </w:tcPr>
          <w:p>
            <w:pPr>
              <w:pStyle w:val="TableParagraph"/>
              <w:spacing w:before="79"/>
              <w:ind w:left="9"/>
              <w:jc w:val="center"/>
              <w:rPr>
                <w:sz w:val="24"/>
              </w:rPr>
            </w:pPr>
            <w:r>
              <w:rPr>
                <w:sz w:val="24"/>
              </w:rPr>
              <w:t> </w:t>
            </w:r>
          </w:p>
        </w:tc>
        <w:tc>
          <w:tcPr>
            <w:tcW w:w="240" w:type="dxa"/>
          </w:tcPr>
          <w:p>
            <w:pPr>
              <w:pStyle w:val="TableParagraph"/>
              <w:spacing w:before="79"/>
              <w:ind w:left="10"/>
              <w:jc w:val="center"/>
              <w:rPr>
                <w:sz w:val="24"/>
              </w:rPr>
            </w:pPr>
            <w:r>
              <w:rPr>
                <w:sz w:val="24"/>
              </w:rPr>
              <w:t> </w:t>
            </w:r>
          </w:p>
        </w:tc>
        <w:tc>
          <w:tcPr>
            <w:tcW w:w="240" w:type="dxa"/>
          </w:tcPr>
          <w:p>
            <w:pPr>
              <w:pStyle w:val="TableParagraph"/>
              <w:spacing w:before="79"/>
              <w:ind w:left="11"/>
              <w:jc w:val="center"/>
              <w:rPr>
                <w:sz w:val="24"/>
              </w:rPr>
            </w:pPr>
            <w:r>
              <w:rPr>
                <w:sz w:val="24"/>
              </w:rPr>
              <w:t> </w:t>
            </w:r>
          </w:p>
        </w:tc>
        <w:tc>
          <w:tcPr>
            <w:tcW w:w="240" w:type="dxa"/>
          </w:tcPr>
          <w:p>
            <w:pPr>
              <w:pStyle w:val="TableParagraph"/>
              <w:spacing w:before="79"/>
              <w:ind w:left="12"/>
              <w:jc w:val="center"/>
              <w:rPr>
                <w:sz w:val="24"/>
              </w:rPr>
            </w:pPr>
            <w:r>
              <w:rPr>
                <w:sz w:val="24"/>
              </w:rPr>
              <w:t> </w:t>
            </w:r>
          </w:p>
        </w:tc>
        <w:tc>
          <w:tcPr>
            <w:tcW w:w="239" w:type="dxa"/>
          </w:tcPr>
          <w:p>
            <w:pPr>
              <w:pStyle w:val="TableParagraph"/>
              <w:spacing w:before="79"/>
              <w:ind w:left="13"/>
              <w:jc w:val="center"/>
              <w:rPr>
                <w:sz w:val="24"/>
              </w:rPr>
            </w:pPr>
            <w:r>
              <w:rPr>
                <w:sz w:val="24"/>
              </w:rPr>
              <w:t> </w:t>
            </w:r>
          </w:p>
        </w:tc>
        <w:tc>
          <w:tcPr>
            <w:tcW w:w="5285" w:type="dxa"/>
          </w:tcPr>
          <w:p>
            <w:pPr>
              <w:pStyle w:val="TableParagraph"/>
              <w:spacing w:before="79"/>
              <w:ind w:right="50"/>
              <w:jc w:val="right"/>
              <w:rPr>
                <w:sz w:val="24"/>
              </w:rPr>
            </w:pPr>
            <w:r>
              <w:rPr>
                <w:sz w:val="24"/>
              </w:rPr>
              <w:t>      电话：</w:t>
            </w:r>
            <w:r>
              <w:rPr>
                <w:sz w:val="24"/>
                <w:u w:val="single"/>
              </w:rPr>
              <w:t>                              </w:t>
            </w:r>
            <w:r>
              <w:rPr>
                <w:sz w:val="24"/>
              </w:rPr>
              <w:t> </w:t>
            </w:r>
          </w:p>
        </w:tc>
        <w:tc>
          <w:tcPr>
            <w:tcW w:w="470" w:type="dxa"/>
          </w:tcPr>
          <w:p>
            <w:pPr>
              <w:pStyle w:val="TableParagraph"/>
              <w:spacing w:before="79"/>
              <w:ind w:left="25"/>
              <w:jc w:val="center"/>
              <w:rPr>
                <w:sz w:val="24"/>
              </w:rPr>
            </w:pPr>
            <w:r>
              <w:rPr>
                <w:sz w:val="24"/>
              </w:rPr>
              <w:t>   </w:t>
            </w:r>
          </w:p>
        </w:tc>
      </w:tr>
      <w:tr>
        <w:trPr>
          <w:trHeight w:val="352" w:hRule="atLeast"/>
        </w:trPr>
        <w:tc>
          <w:tcPr>
            <w:tcW w:w="230" w:type="dxa"/>
          </w:tcPr>
          <w:p>
            <w:pPr>
              <w:pStyle w:val="TableParagraph"/>
              <w:spacing w:line="254" w:lineRule="exact" w:before="78"/>
              <w:ind w:right="9"/>
              <w:jc w:val="center"/>
              <w:rPr>
                <w:sz w:val="24"/>
              </w:rPr>
            </w:pPr>
            <w:r>
              <w:rPr>
                <w:sz w:val="24"/>
              </w:rPr>
              <w:t> </w:t>
            </w:r>
          </w:p>
        </w:tc>
        <w:tc>
          <w:tcPr>
            <w:tcW w:w="240" w:type="dxa"/>
          </w:tcPr>
          <w:p>
            <w:pPr>
              <w:pStyle w:val="TableParagraph"/>
              <w:spacing w:line="254" w:lineRule="exact" w:before="78"/>
              <w:jc w:val="center"/>
              <w:rPr>
                <w:sz w:val="24"/>
              </w:rPr>
            </w:pPr>
            <w:r>
              <w:rPr>
                <w:sz w:val="24"/>
              </w:rPr>
              <w:t> </w:t>
            </w:r>
          </w:p>
        </w:tc>
        <w:tc>
          <w:tcPr>
            <w:tcW w:w="240" w:type="dxa"/>
          </w:tcPr>
          <w:p>
            <w:pPr>
              <w:pStyle w:val="TableParagraph"/>
              <w:spacing w:line="254" w:lineRule="exact" w:before="78"/>
              <w:ind w:left="1"/>
              <w:jc w:val="center"/>
              <w:rPr>
                <w:sz w:val="24"/>
              </w:rPr>
            </w:pPr>
            <w:r>
              <w:rPr>
                <w:sz w:val="24"/>
              </w:rPr>
              <w:t> </w:t>
            </w:r>
          </w:p>
        </w:tc>
        <w:tc>
          <w:tcPr>
            <w:tcW w:w="240" w:type="dxa"/>
          </w:tcPr>
          <w:p>
            <w:pPr>
              <w:pStyle w:val="TableParagraph"/>
              <w:spacing w:line="254" w:lineRule="exact" w:before="78"/>
              <w:ind w:left="2"/>
              <w:jc w:val="center"/>
              <w:rPr>
                <w:sz w:val="24"/>
              </w:rPr>
            </w:pPr>
            <w:r>
              <w:rPr>
                <w:sz w:val="24"/>
              </w:rPr>
              <w:t> </w:t>
            </w:r>
          </w:p>
        </w:tc>
        <w:tc>
          <w:tcPr>
            <w:tcW w:w="240" w:type="dxa"/>
          </w:tcPr>
          <w:p>
            <w:pPr>
              <w:pStyle w:val="TableParagraph"/>
              <w:spacing w:line="254" w:lineRule="exact" w:before="78"/>
              <w:ind w:left="3"/>
              <w:jc w:val="center"/>
              <w:rPr>
                <w:sz w:val="24"/>
              </w:rPr>
            </w:pPr>
            <w:r>
              <w:rPr>
                <w:sz w:val="24"/>
              </w:rPr>
              <w:t> </w:t>
            </w:r>
          </w:p>
        </w:tc>
        <w:tc>
          <w:tcPr>
            <w:tcW w:w="240" w:type="dxa"/>
          </w:tcPr>
          <w:p>
            <w:pPr>
              <w:pStyle w:val="TableParagraph"/>
              <w:spacing w:line="254" w:lineRule="exact" w:before="78"/>
              <w:ind w:left="4"/>
              <w:jc w:val="center"/>
              <w:rPr>
                <w:sz w:val="24"/>
              </w:rPr>
            </w:pPr>
            <w:r>
              <w:rPr>
                <w:sz w:val="24"/>
              </w:rPr>
              <w:t> </w:t>
            </w:r>
          </w:p>
        </w:tc>
        <w:tc>
          <w:tcPr>
            <w:tcW w:w="240" w:type="dxa"/>
          </w:tcPr>
          <w:p>
            <w:pPr>
              <w:pStyle w:val="TableParagraph"/>
              <w:spacing w:line="254" w:lineRule="exact" w:before="78"/>
              <w:ind w:left="4"/>
              <w:jc w:val="center"/>
              <w:rPr>
                <w:sz w:val="24"/>
              </w:rPr>
            </w:pPr>
            <w:r>
              <w:rPr>
                <w:sz w:val="24"/>
              </w:rPr>
              <w:t> </w:t>
            </w:r>
          </w:p>
        </w:tc>
        <w:tc>
          <w:tcPr>
            <w:tcW w:w="240" w:type="dxa"/>
          </w:tcPr>
          <w:p>
            <w:pPr>
              <w:pStyle w:val="TableParagraph"/>
              <w:spacing w:line="254" w:lineRule="exact" w:before="78"/>
              <w:ind w:left="5"/>
              <w:jc w:val="center"/>
              <w:rPr>
                <w:sz w:val="24"/>
              </w:rPr>
            </w:pPr>
            <w:r>
              <w:rPr>
                <w:sz w:val="24"/>
              </w:rPr>
              <w:t> </w:t>
            </w:r>
          </w:p>
        </w:tc>
        <w:tc>
          <w:tcPr>
            <w:tcW w:w="240" w:type="dxa"/>
          </w:tcPr>
          <w:p>
            <w:pPr>
              <w:pStyle w:val="TableParagraph"/>
              <w:spacing w:line="254" w:lineRule="exact" w:before="78"/>
              <w:ind w:left="6"/>
              <w:jc w:val="center"/>
              <w:rPr>
                <w:sz w:val="24"/>
              </w:rPr>
            </w:pPr>
            <w:r>
              <w:rPr>
                <w:sz w:val="24"/>
              </w:rPr>
              <w:t> </w:t>
            </w:r>
          </w:p>
        </w:tc>
        <w:tc>
          <w:tcPr>
            <w:tcW w:w="240" w:type="dxa"/>
          </w:tcPr>
          <w:p>
            <w:pPr>
              <w:pStyle w:val="TableParagraph"/>
              <w:spacing w:line="254" w:lineRule="exact" w:before="78"/>
              <w:ind w:left="7"/>
              <w:jc w:val="center"/>
              <w:rPr>
                <w:sz w:val="24"/>
              </w:rPr>
            </w:pPr>
            <w:r>
              <w:rPr>
                <w:sz w:val="24"/>
              </w:rPr>
              <w:t> </w:t>
            </w:r>
          </w:p>
        </w:tc>
        <w:tc>
          <w:tcPr>
            <w:tcW w:w="240" w:type="dxa"/>
          </w:tcPr>
          <w:p>
            <w:pPr>
              <w:pStyle w:val="TableParagraph"/>
              <w:spacing w:line="254" w:lineRule="exact" w:before="78"/>
              <w:ind w:left="8"/>
              <w:jc w:val="center"/>
              <w:rPr>
                <w:sz w:val="24"/>
              </w:rPr>
            </w:pPr>
            <w:r>
              <w:rPr>
                <w:sz w:val="24"/>
              </w:rPr>
              <w:t> </w:t>
            </w:r>
          </w:p>
        </w:tc>
        <w:tc>
          <w:tcPr>
            <w:tcW w:w="240" w:type="dxa"/>
          </w:tcPr>
          <w:p>
            <w:pPr>
              <w:pStyle w:val="TableParagraph"/>
              <w:spacing w:line="254" w:lineRule="exact" w:before="78"/>
              <w:ind w:left="8"/>
              <w:jc w:val="center"/>
              <w:rPr>
                <w:sz w:val="24"/>
              </w:rPr>
            </w:pPr>
            <w:r>
              <w:rPr>
                <w:sz w:val="24"/>
              </w:rPr>
              <w:t> </w:t>
            </w:r>
          </w:p>
        </w:tc>
        <w:tc>
          <w:tcPr>
            <w:tcW w:w="240" w:type="dxa"/>
          </w:tcPr>
          <w:p>
            <w:pPr>
              <w:pStyle w:val="TableParagraph"/>
              <w:spacing w:line="254" w:lineRule="exact" w:before="78"/>
              <w:ind w:left="9"/>
              <w:jc w:val="center"/>
              <w:rPr>
                <w:sz w:val="24"/>
              </w:rPr>
            </w:pPr>
            <w:r>
              <w:rPr>
                <w:sz w:val="24"/>
              </w:rPr>
              <w:t> </w:t>
            </w:r>
          </w:p>
        </w:tc>
        <w:tc>
          <w:tcPr>
            <w:tcW w:w="240" w:type="dxa"/>
          </w:tcPr>
          <w:p>
            <w:pPr>
              <w:pStyle w:val="TableParagraph"/>
              <w:spacing w:line="254" w:lineRule="exact" w:before="78"/>
              <w:ind w:left="10"/>
              <w:jc w:val="center"/>
              <w:rPr>
                <w:sz w:val="24"/>
              </w:rPr>
            </w:pPr>
            <w:r>
              <w:rPr>
                <w:sz w:val="24"/>
              </w:rPr>
              <w:t> </w:t>
            </w:r>
          </w:p>
        </w:tc>
        <w:tc>
          <w:tcPr>
            <w:tcW w:w="240" w:type="dxa"/>
          </w:tcPr>
          <w:p>
            <w:pPr>
              <w:pStyle w:val="TableParagraph"/>
              <w:spacing w:line="254" w:lineRule="exact" w:before="78"/>
              <w:ind w:left="11"/>
              <w:jc w:val="center"/>
              <w:rPr>
                <w:sz w:val="24"/>
              </w:rPr>
            </w:pPr>
            <w:r>
              <w:rPr>
                <w:sz w:val="24"/>
              </w:rPr>
              <w:t> </w:t>
            </w:r>
          </w:p>
        </w:tc>
        <w:tc>
          <w:tcPr>
            <w:tcW w:w="240" w:type="dxa"/>
          </w:tcPr>
          <w:p>
            <w:pPr>
              <w:pStyle w:val="TableParagraph"/>
              <w:spacing w:line="254" w:lineRule="exact" w:before="78"/>
              <w:ind w:left="12"/>
              <w:jc w:val="center"/>
              <w:rPr>
                <w:sz w:val="24"/>
              </w:rPr>
            </w:pPr>
            <w:r>
              <w:rPr>
                <w:sz w:val="24"/>
              </w:rPr>
              <w:t> </w:t>
            </w:r>
          </w:p>
        </w:tc>
        <w:tc>
          <w:tcPr>
            <w:tcW w:w="239" w:type="dxa"/>
          </w:tcPr>
          <w:p>
            <w:pPr>
              <w:pStyle w:val="TableParagraph"/>
              <w:spacing w:line="254" w:lineRule="exact" w:before="78"/>
              <w:ind w:left="13"/>
              <w:jc w:val="center"/>
              <w:rPr>
                <w:sz w:val="24"/>
              </w:rPr>
            </w:pPr>
            <w:r>
              <w:rPr>
                <w:sz w:val="24"/>
              </w:rPr>
              <w:t> </w:t>
            </w:r>
          </w:p>
        </w:tc>
        <w:tc>
          <w:tcPr>
            <w:tcW w:w="5285" w:type="dxa"/>
          </w:tcPr>
          <w:p>
            <w:pPr>
              <w:pStyle w:val="TableParagraph"/>
              <w:spacing w:line="254" w:lineRule="exact" w:before="78"/>
              <w:ind w:right="50"/>
              <w:jc w:val="right"/>
              <w:rPr>
                <w:sz w:val="24"/>
              </w:rPr>
            </w:pPr>
            <w:r>
              <w:rPr>
                <w:sz w:val="24"/>
              </w:rPr>
              <w:t>      传真：</w:t>
            </w:r>
            <w:r>
              <w:rPr>
                <w:sz w:val="24"/>
                <w:u w:val="single"/>
              </w:rPr>
              <w:t>                              </w:t>
            </w:r>
            <w:r>
              <w:rPr>
                <w:sz w:val="24"/>
              </w:rPr>
              <w:t> </w:t>
            </w:r>
          </w:p>
        </w:tc>
        <w:tc>
          <w:tcPr>
            <w:tcW w:w="470" w:type="dxa"/>
          </w:tcPr>
          <w:p>
            <w:pPr>
              <w:pStyle w:val="TableParagraph"/>
              <w:spacing w:line="254" w:lineRule="exact" w:before="78"/>
              <w:ind w:left="25"/>
              <w:jc w:val="center"/>
              <w:rPr>
                <w:sz w:val="24"/>
              </w:rPr>
            </w:pPr>
            <w:r>
              <w:rPr>
                <w:sz w:val="24"/>
              </w:rPr>
              <w:t>   </w:t>
            </w:r>
          </w:p>
        </w:tc>
      </w:tr>
    </w:tbl>
    <w:p>
      <w:pPr>
        <w:pStyle w:val="BodyText"/>
        <w:spacing w:before="207"/>
        <w:ind w:left="2750"/>
      </w:pPr>
      <w:r>
        <w:rPr/>
        <w:t>                                      </w:t>
      </w:r>
      <w:r>
        <w:rPr>
          <w:u w:val="single"/>
        </w:rPr>
        <w:t>    </w:t>
      </w:r>
      <w:r>
        <w:rPr/>
        <w:t>年</w:t>
      </w:r>
      <w:r>
        <w:rPr>
          <w:u w:val="single"/>
        </w:rPr>
        <w:t> </w:t>
      </w:r>
      <w:r>
        <w:rPr/>
        <w:t>月</w:t>
      </w:r>
      <w:r>
        <w:rPr>
          <w:u w:val="single"/>
        </w:rPr>
        <w:t> </w:t>
      </w:r>
      <w:r>
        <w:rPr/>
        <w:t>日 </w:t>
      </w:r>
    </w:p>
    <w:p>
      <w:pPr>
        <w:pStyle w:val="BodyText"/>
        <w:rPr>
          <w:sz w:val="20"/>
        </w:rPr>
      </w:pPr>
    </w:p>
    <w:p>
      <w:pPr>
        <w:pStyle w:val="BodyText"/>
        <w:spacing w:before="5"/>
        <w:rPr>
          <w:sz w:val="23"/>
        </w:rPr>
      </w:pPr>
    </w:p>
    <w:p>
      <w:pPr>
        <w:pStyle w:val="BodyText"/>
        <w:spacing w:before="67"/>
        <w:ind w:left="226"/>
      </w:pPr>
      <w:r>
        <w:rPr/>
        <w:t>    注：委托代理人应附授权委托书。</w:t>
      </w:r>
    </w:p>
    <w:p>
      <w:pPr>
        <w:spacing w:after="0"/>
        <w:sectPr>
          <w:pgSz w:w="11910" w:h="16850"/>
          <w:pgMar w:header="911" w:footer="0" w:top="1380" w:bottom="280" w:left="1200" w:right="0"/>
        </w:sectPr>
      </w:pPr>
    </w:p>
    <w:p>
      <w:pPr>
        <w:pStyle w:val="BodyText"/>
        <w:rPr>
          <w:sz w:val="20"/>
        </w:rPr>
      </w:pPr>
    </w:p>
    <w:p>
      <w:pPr>
        <w:pStyle w:val="BodyText"/>
        <w:rPr>
          <w:sz w:val="20"/>
        </w:rPr>
      </w:pPr>
    </w:p>
    <w:p>
      <w:pPr>
        <w:pStyle w:val="BodyText"/>
        <w:spacing w:before="7"/>
        <w:rPr>
          <w:sz w:val="18"/>
        </w:rPr>
      </w:pPr>
    </w:p>
    <w:p>
      <w:pPr>
        <w:pStyle w:val="Heading8"/>
        <w:tabs>
          <w:tab w:pos="4717" w:val="left" w:leader="none"/>
        </w:tabs>
        <w:ind w:left="3501"/>
      </w:pPr>
      <w:bookmarkStart w:name="第五章 　工程量清单" w:id="154"/>
      <w:bookmarkEnd w:id="154"/>
      <w:r>
        <w:rPr/>
      </w:r>
      <w:bookmarkStart w:name="_bookmark29" w:id="155"/>
      <w:bookmarkEnd w:id="155"/>
      <w:r>
        <w:rPr/>
      </w:r>
      <w:r>
        <w:rPr/>
        <w:t>第五章</w:t>
        <w:tab/>
        <w:t>工程量清单</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7"/>
        <w:rPr>
          <w:rFonts w:ascii="黑体"/>
          <w:sz w:val="23"/>
        </w:rPr>
      </w:pPr>
      <w:r>
        <w:rPr/>
        <w:drawing>
          <wp:anchor distT="0" distB="0" distL="0" distR="0" allowOverlap="1" layoutInCell="1" locked="0" behindDoc="0" simplePos="0" relativeHeight="183">
            <wp:simplePos x="0" y="0"/>
            <wp:positionH relativeFrom="page">
              <wp:posOffset>992771</wp:posOffset>
            </wp:positionH>
            <wp:positionV relativeFrom="paragraph">
              <wp:posOffset>216640</wp:posOffset>
            </wp:positionV>
            <wp:extent cx="5575945" cy="5491162"/>
            <wp:effectExtent l="0" t="0" r="0" b="0"/>
            <wp:wrapTopAndBottom/>
            <wp:docPr id="117" name="image1.png"/>
            <wp:cNvGraphicFramePr>
              <a:graphicFrameLocks noChangeAspect="1"/>
            </wp:cNvGraphicFramePr>
            <a:graphic>
              <a:graphicData uri="http://schemas.openxmlformats.org/drawingml/2006/picture">
                <pic:pic>
                  <pic:nvPicPr>
                    <pic:cNvPr id="118" name="image1.png"/>
                    <pic:cNvPicPr/>
                  </pic:nvPicPr>
                  <pic:blipFill>
                    <a:blip r:embed="rId6" cstate="print"/>
                    <a:stretch>
                      <a:fillRect/>
                    </a:stretch>
                  </pic:blipFill>
                  <pic:spPr>
                    <a:xfrm>
                      <a:off x="0" y="0"/>
                      <a:ext cx="5575945" cy="5491162"/>
                    </a:xfrm>
                    <a:prstGeom prst="rect">
                      <a:avLst/>
                    </a:prstGeom>
                  </pic:spPr>
                </pic:pic>
              </a:graphicData>
            </a:graphic>
          </wp:anchor>
        </w:drawing>
      </w:r>
    </w:p>
    <w:p>
      <w:pPr>
        <w:spacing w:after="0"/>
        <w:rPr>
          <w:rFonts w:ascii="黑体"/>
          <w:sz w:val="23"/>
        </w:rPr>
        <w:sectPr>
          <w:pgSz w:w="11910" w:h="16850"/>
          <w:pgMar w:header="911" w:footer="0" w:top="1380" w:bottom="280" w:left="1200" w:right="0"/>
        </w:sectPr>
      </w:pPr>
    </w:p>
    <w:p>
      <w:pPr>
        <w:pStyle w:val="BodyText"/>
        <w:spacing w:before="3" w:after="1"/>
        <w:rPr>
          <w:rFonts w:ascii="Times New Roman"/>
          <w:sz w:val="10"/>
        </w:rPr>
      </w:pPr>
    </w:p>
    <w:p>
      <w:pPr>
        <w:pStyle w:val="BodyText"/>
        <w:ind w:left="225"/>
        <w:rPr>
          <w:rFonts w:ascii="Times New Roman"/>
          <w:sz w:val="20"/>
        </w:rPr>
      </w:pPr>
      <w:bookmarkStart w:name="1.工程量清单说明" w:id="156"/>
      <w:bookmarkEnd w:id="156"/>
      <w:r>
        <w:rPr/>
      </w:r>
      <w:bookmarkStart w:name="_bookmark30" w:id="157"/>
      <w:bookmarkEnd w:id="157"/>
      <w:r>
        <w:rPr/>
      </w:r>
      <w:r>
        <w:rPr>
          <w:rFonts w:ascii="Times New Roman"/>
          <w:sz w:val="20"/>
        </w:rPr>
        <w:pict>
          <v:group style="width:456pt;height:645.75pt;mso-position-horizontal-relative:char;mso-position-vertical-relative:line" coordorigin="0,0" coordsize="9120,12915">
            <v:shape style="position:absolute;left:138;top:2599;width:8786;height:8653" type="#_x0000_t75" stroked="false">
              <v:imagedata r:id="rId6" o:title=""/>
            </v:shape>
            <v:shape style="position:absolute;left:0;top:0;width:9120;height:12915" type="#_x0000_t75" stroked="false">
              <v:imagedata r:id="rId7"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8"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9"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0"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1"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2"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3"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4"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5"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6"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7"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8"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19"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20"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21"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22"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23"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24" o:title=""/>
            </v:shape>
          </v:group>
        </w:pict>
      </w:r>
      <w:r>
        <w:rPr>
          <w:rFonts w:ascii="Times New Roman"/>
          <w:sz w:val="20"/>
        </w:rPr>
      </w:r>
    </w:p>
    <w:p>
      <w:pPr>
        <w:spacing w:after="0"/>
        <w:rPr>
          <w:rFonts w:ascii="Times New Roman"/>
          <w:sz w:val="20"/>
        </w:rPr>
        <w:sectPr>
          <w:pgSz w:w="11910" w:h="16850"/>
          <w:pgMar w:header="911" w:footer="0" w:top="1380" w:bottom="280" w:left="1200" w:right="0"/>
        </w:sectPr>
      </w:pPr>
    </w:p>
    <w:p>
      <w:pPr>
        <w:pStyle w:val="BodyText"/>
        <w:spacing w:before="7"/>
        <w:rPr>
          <w:rFonts w:ascii="Times New Roman"/>
          <w:sz w:val="11"/>
        </w:rPr>
      </w:pPr>
    </w:p>
    <w:p>
      <w:pPr>
        <w:pStyle w:val="BodyText"/>
        <w:ind w:left="225"/>
        <w:rPr>
          <w:rFonts w:ascii="Times New Roman"/>
          <w:sz w:val="20"/>
        </w:rPr>
      </w:pPr>
      <w:r>
        <w:rPr>
          <w:rFonts w:ascii="Times New Roman"/>
          <w:sz w:val="20"/>
        </w:rPr>
        <w:pict>
          <v:group style="width:456pt;height:645.75pt;mso-position-horizontal-relative:char;mso-position-vertical-relative:line" coordorigin="0,0" coordsize="9120,12915">
            <v:shape style="position:absolute;left:138;top:2584;width:8786;height:8653" type="#_x0000_t75" stroked="false">
              <v:imagedata r:id="rId6" o:title=""/>
            </v:shape>
            <v:shape style="position:absolute;left:0;top:0;width:9120;height:12915" type="#_x0000_t75" stroked="false">
              <v:imagedata r:id="rId25" o:title=""/>
            </v:shape>
          </v:group>
        </w:pict>
      </w:r>
      <w:r>
        <w:rPr>
          <w:rFonts w:ascii="Times New Roman"/>
          <w:sz w:val="20"/>
        </w:rPr>
      </w:r>
    </w:p>
    <w:p>
      <w:pPr>
        <w:pStyle w:val="BodyText"/>
        <w:spacing w:before="3"/>
        <w:rPr>
          <w:rFonts w:ascii="Times New Roman"/>
          <w:sz w:val="13"/>
        </w:rPr>
      </w:pPr>
    </w:p>
    <w:p>
      <w:pPr>
        <w:pStyle w:val="Heading7"/>
        <w:numPr>
          <w:ilvl w:val="0"/>
          <w:numId w:val="81"/>
        </w:numPr>
        <w:tabs>
          <w:tab w:pos="527" w:val="left" w:leader="none"/>
        </w:tabs>
        <w:spacing w:line="240" w:lineRule="auto" w:before="65" w:after="0"/>
        <w:ind w:left="527" w:right="0" w:hanging="301"/>
        <w:jc w:val="left"/>
        <w:rPr>
          <w:rFonts w:ascii="黑体" w:eastAsia="黑体" w:hint="eastAsia"/>
        </w:rPr>
      </w:pPr>
      <w:r>
        <w:rPr>
          <w:rFonts w:ascii="黑体" w:eastAsia="黑体" w:hint="eastAsia"/>
          <w:spacing w:val="-1"/>
        </w:rPr>
        <w:t>工程量清单说明</w:t>
      </w:r>
    </w:p>
    <w:p>
      <w:pPr>
        <w:spacing w:after="0" w:line="240" w:lineRule="auto"/>
        <w:jc w:val="left"/>
        <w:rPr>
          <w:rFonts w:ascii="黑体" w:eastAsia="黑体" w:hint="eastAsia"/>
        </w:rPr>
        <w:sectPr>
          <w:pgSz w:w="11910" w:h="16850"/>
          <w:pgMar w:header="911" w:footer="0" w:top="1380" w:bottom="280" w:left="1200" w:right="0"/>
        </w:sectPr>
      </w:pPr>
    </w:p>
    <w:p>
      <w:pPr>
        <w:pStyle w:val="ListParagraph"/>
        <w:numPr>
          <w:ilvl w:val="1"/>
          <w:numId w:val="81"/>
        </w:numPr>
        <w:tabs>
          <w:tab w:pos="1068" w:val="left" w:leader="none"/>
        </w:tabs>
        <w:spacing w:line="362" w:lineRule="auto" w:before="135" w:after="0"/>
        <w:ind w:left="226" w:right="1344" w:firstLine="480"/>
        <w:jc w:val="both"/>
        <w:rPr>
          <w:sz w:val="24"/>
        </w:rPr>
      </w:pPr>
      <w:r>
        <w:rPr>
          <w:spacing w:val="-7"/>
          <w:sz w:val="24"/>
        </w:rPr>
        <w:t>工程量清单应与招标文件中的投标人须知、通用合同条款、专用合同条款、技术标准和要求(合同技术条款)、图纸等一起阅读和理解。</w:t>
      </w:r>
    </w:p>
    <w:p>
      <w:pPr>
        <w:pStyle w:val="ListParagraph"/>
        <w:numPr>
          <w:ilvl w:val="1"/>
          <w:numId w:val="81"/>
        </w:numPr>
        <w:tabs>
          <w:tab w:pos="1068" w:val="left" w:leader="none"/>
        </w:tabs>
        <w:spacing w:line="367" w:lineRule="auto" w:before="2" w:after="0"/>
        <w:ind w:left="226" w:right="1343" w:firstLine="480"/>
        <w:jc w:val="both"/>
        <w:rPr>
          <w:sz w:val="24"/>
        </w:rPr>
      </w:pPr>
      <w:r>
        <w:rPr/>
        <w:drawing>
          <wp:anchor distT="0" distB="0" distL="0" distR="0" allowOverlap="1" layoutInCell="1" locked="0" behindDoc="1" simplePos="0" relativeHeight="234835968">
            <wp:simplePos x="0" y="0"/>
            <wp:positionH relativeFrom="page">
              <wp:posOffset>992771</wp:posOffset>
            </wp:positionH>
            <wp:positionV relativeFrom="paragraph">
              <wp:posOffset>1050422</wp:posOffset>
            </wp:positionV>
            <wp:extent cx="5578970" cy="5494141"/>
            <wp:effectExtent l="0" t="0" r="0" b="0"/>
            <wp:wrapNone/>
            <wp:docPr id="119" name="image1.png"/>
            <wp:cNvGraphicFramePr>
              <a:graphicFrameLocks noChangeAspect="1"/>
            </wp:cNvGraphicFramePr>
            <a:graphic>
              <a:graphicData uri="http://schemas.openxmlformats.org/drawingml/2006/picture">
                <pic:pic>
                  <pic:nvPicPr>
                    <pic:cNvPr id="120" name="image1.png"/>
                    <pic:cNvPicPr/>
                  </pic:nvPicPr>
                  <pic:blipFill>
                    <a:blip r:embed="rId6" cstate="print"/>
                    <a:stretch>
                      <a:fillRect/>
                    </a:stretch>
                  </pic:blipFill>
                  <pic:spPr>
                    <a:xfrm>
                      <a:off x="0" y="0"/>
                      <a:ext cx="5578970" cy="5494141"/>
                    </a:xfrm>
                    <a:prstGeom prst="rect">
                      <a:avLst/>
                    </a:prstGeom>
                  </pic:spPr>
                </pic:pic>
              </a:graphicData>
            </a:graphic>
          </wp:anchor>
        </w:drawing>
      </w:r>
      <w:r>
        <w:rPr>
          <w:spacing w:val="-6"/>
          <w:sz w:val="24"/>
        </w:rPr>
        <w:t>工程量清单仅是投标人投标报价的共同基础。除另有约定外，工程量清单中的工程量是根据招标设计图纸计算的用于投标报价的估算工程量，不作为最终结算工程量。最终结算工程量是承包人实际完成并符合技术标准和要求(合同技术条款)规定，按施工图纸计算的有效工程量。</w:t>
      </w:r>
    </w:p>
    <w:p>
      <w:pPr>
        <w:pStyle w:val="ListParagraph"/>
        <w:numPr>
          <w:ilvl w:val="1"/>
          <w:numId w:val="81"/>
        </w:numPr>
        <w:tabs>
          <w:tab w:pos="1068" w:val="left" w:leader="none"/>
        </w:tabs>
        <w:spacing w:line="362" w:lineRule="auto" w:before="0" w:after="0"/>
        <w:ind w:left="226" w:right="1348" w:firstLine="480"/>
        <w:jc w:val="both"/>
        <w:rPr>
          <w:sz w:val="24"/>
        </w:rPr>
      </w:pPr>
      <w:r>
        <w:rPr>
          <w:spacing w:val="-1"/>
          <w:sz w:val="24"/>
        </w:rPr>
        <w:t>工程量清单中各项目的工作内容和要求应符合相关技术标准和要求(合同技术条款)的规定。</w:t>
      </w:r>
    </w:p>
    <w:p>
      <w:pPr>
        <w:pStyle w:val="ListParagraph"/>
        <w:numPr>
          <w:ilvl w:val="1"/>
          <w:numId w:val="81"/>
        </w:numPr>
        <w:tabs>
          <w:tab w:pos="1068" w:val="left" w:leader="none"/>
        </w:tabs>
        <w:spacing w:line="240" w:lineRule="auto" w:before="0" w:after="0"/>
        <w:ind w:left="1068" w:right="0" w:hanging="361"/>
        <w:jc w:val="both"/>
        <w:rPr>
          <w:sz w:val="24"/>
        </w:rPr>
      </w:pPr>
      <w:r>
        <w:rPr>
          <w:sz w:val="24"/>
        </w:rPr>
        <w:t>工程价款的支付遵循合同条款的约定。</w:t>
      </w:r>
    </w:p>
    <w:p>
      <w:pPr>
        <w:pStyle w:val="BodyText"/>
        <w:spacing w:before="12"/>
        <w:rPr>
          <w:sz w:val="35"/>
        </w:rPr>
      </w:pPr>
    </w:p>
    <w:p>
      <w:pPr>
        <w:pStyle w:val="Heading7"/>
        <w:numPr>
          <w:ilvl w:val="0"/>
          <w:numId w:val="81"/>
        </w:numPr>
        <w:tabs>
          <w:tab w:pos="527" w:val="left" w:leader="none"/>
        </w:tabs>
        <w:spacing w:line="240" w:lineRule="auto" w:before="0" w:after="0"/>
        <w:ind w:left="527" w:right="0" w:hanging="301"/>
        <w:jc w:val="left"/>
        <w:rPr>
          <w:rFonts w:ascii="黑体" w:eastAsia="黑体" w:hint="eastAsia"/>
        </w:rPr>
      </w:pPr>
      <w:bookmarkStart w:name="2.投标报价说明" w:id="158"/>
      <w:bookmarkEnd w:id="158"/>
      <w:r>
        <w:rPr/>
      </w:r>
      <w:bookmarkStart w:name="_bookmark31" w:id="159"/>
      <w:bookmarkEnd w:id="159"/>
      <w:r>
        <w:rPr/>
      </w:r>
      <w:bookmarkStart w:name="_bookmark31" w:id="160"/>
      <w:bookmarkEnd w:id="160"/>
      <w:r>
        <w:rPr>
          <w:rFonts w:ascii="黑体" w:eastAsia="黑体" w:hint="eastAsia"/>
          <w:spacing w:val="-1"/>
        </w:rPr>
        <w:t>投标报价说明</w:t>
      </w:r>
    </w:p>
    <w:p>
      <w:pPr>
        <w:pStyle w:val="BodyText"/>
        <w:spacing w:before="5"/>
        <w:rPr>
          <w:rFonts w:ascii="黑体"/>
          <w:sz w:val="38"/>
        </w:rPr>
      </w:pPr>
    </w:p>
    <w:p>
      <w:pPr>
        <w:pStyle w:val="ListParagraph"/>
        <w:numPr>
          <w:ilvl w:val="1"/>
          <w:numId w:val="81"/>
        </w:numPr>
        <w:tabs>
          <w:tab w:pos="1068" w:val="left" w:leader="none"/>
        </w:tabs>
        <w:spacing w:line="240" w:lineRule="auto" w:before="0" w:after="0"/>
        <w:ind w:left="1068" w:right="0" w:hanging="361"/>
        <w:jc w:val="both"/>
        <w:rPr>
          <w:sz w:val="24"/>
        </w:rPr>
      </w:pPr>
      <w:r>
        <w:rPr>
          <w:sz w:val="24"/>
        </w:rPr>
        <w:t>工程量清单报价表组成</w:t>
      </w:r>
    </w:p>
    <w:p>
      <w:pPr>
        <w:pStyle w:val="BodyText"/>
        <w:tabs>
          <w:tab w:pos="1067" w:val="left" w:leader="none"/>
        </w:tabs>
        <w:spacing w:before="158"/>
        <w:ind w:left="707"/>
      </w:pPr>
      <w:r>
        <w:rPr/>
        <w:t> </w:t>
        <w:tab/>
        <w:t>工程量清单报价表由以下表格组成：</w:t>
      </w:r>
    </w:p>
    <w:p>
      <w:pPr>
        <w:pStyle w:val="ListParagraph"/>
        <w:numPr>
          <w:ilvl w:val="2"/>
          <w:numId w:val="82"/>
        </w:numPr>
        <w:tabs>
          <w:tab w:pos="1489" w:val="left" w:leader="none"/>
        </w:tabs>
        <w:spacing w:line="240" w:lineRule="auto" w:before="158" w:after="0"/>
        <w:ind w:left="1488" w:right="0" w:hanging="782"/>
        <w:jc w:val="both"/>
        <w:rPr>
          <w:sz w:val="24"/>
        </w:rPr>
      </w:pPr>
      <w:r>
        <w:rPr>
          <w:sz w:val="24"/>
        </w:rPr>
        <w:t>投标总价。</w:t>
      </w:r>
    </w:p>
    <w:p>
      <w:pPr>
        <w:pStyle w:val="ListParagraph"/>
        <w:numPr>
          <w:ilvl w:val="2"/>
          <w:numId w:val="82"/>
        </w:numPr>
        <w:tabs>
          <w:tab w:pos="1489" w:val="left" w:leader="none"/>
        </w:tabs>
        <w:spacing w:line="240" w:lineRule="auto" w:before="158" w:after="0"/>
        <w:ind w:left="1488" w:right="0" w:hanging="782"/>
        <w:jc w:val="both"/>
        <w:rPr>
          <w:sz w:val="24"/>
        </w:rPr>
      </w:pPr>
      <w:r>
        <w:rPr>
          <w:sz w:val="24"/>
        </w:rPr>
        <w:t>工程项目总价表。</w:t>
      </w:r>
    </w:p>
    <w:p>
      <w:pPr>
        <w:pStyle w:val="ListParagraph"/>
        <w:numPr>
          <w:ilvl w:val="2"/>
          <w:numId w:val="82"/>
        </w:numPr>
        <w:tabs>
          <w:tab w:pos="1489" w:val="left" w:leader="none"/>
        </w:tabs>
        <w:spacing w:line="240" w:lineRule="auto" w:before="158" w:after="0"/>
        <w:ind w:left="1488" w:right="0" w:hanging="782"/>
        <w:jc w:val="both"/>
        <w:rPr>
          <w:sz w:val="24"/>
        </w:rPr>
      </w:pPr>
      <w:r>
        <w:rPr>
          <w:sz w:val="24"/>
        </w:rPr>
        <w:t>分组分项工程量清单报价表。</w:t>
      </w:r>
    </w:p>
    <w:p>
      <w:pPr>
        <w:pStyle w:val="ListParagraph"/>
        <w:numPr>
          <w:ilvl w:val="2"/>
          <w:numId w:val="82"/>
        </w:numPr>
        <w:tabs>
          <w:tab w:pos="1489" w:val="left" w:leader="none"/>
        </w:tabs>
        <w:spacing w:line="240" w:lineRule="auto" w:before="173" w:after="0"/>
        <w:ind w:left="1488" w:right="0" w:hanging="782"/>
        <w:jc w:val="both"/>
        <w:rPr>
          <w:sz w:val="24"/>
        </w:rPr>
      </w:pPr>
      <w:r>
        <w:rPr>
          <w:sz w:val="24"/>
        </w:rPr>
        <w:t>计日工项目报价表。</w:t>
      </w:r>
    </w:p>
    <w:p>
      <w:pPr>
        <w:pStyle w:val="ListParagraph"/>
        <w:numPr>
          <w:ilvl w:val="2"/>
          <w:numId w:val="82"/>
        </w:numPr>
        <w:tabs>
          <w:tab w:pos="1489" w:val="left" w:leader="none"/>
        </w:tabs>
        <w:spacing w:line="240" w:lineRule="auto" w:before="157" w:after="0"/>
        <w:ind w:left="1488" w:right="0" w:hanging="782"/>
        <w:jc w:val="both"/>
        <w:rPr>
          <w:sz w:val="24"/>
        </w:rPr>
      </w:pPr>
      <w:r>
        <w:rPr>
          <w:sz w:val="24"/>
        </w:rPr>
        <w:t>工程单价汇总表。</w:t>
      </w:r>
    </w:p>
    <w:p>
      <w:pPr>
        <w:pStyle w:val="ListParagraph"/>
        <w:numPr>
          <w:ilvl w:val="2"/>
          <w:numId w:val="82"/>
        </w:numPr>
        <w:tabs>
          <w:tab w:pos="1489" w:val="left" w:leader="none"/>
        </w:tabs>
        <w:spacing w:line="240" w:lineRule="auto" w:before="158" w:after="0"/>
        <w:ind w:left="1488" w:right="0" w:hanging="782"/>
        <w:jc w:val="both"/>
        <w:rPr>
          <w:sz w:val="24"/>
        </w:rPr>
      </w:pPr>
      <w:r>
        <w:rPr>
          <w:sz w:val="24"/>
        </w:rPr>
        <w:t>工程单价费(税)率汇总表。</w:t>
      </w:r>
    </w:p>
    <w:p>
      <w:pPr>
        <w:pStyle w:val="ListParagraph"/>
        <w:numPr>
          <w:ilvl w:val="2"/>
          <w:numId w:val="82"/>
        </w:numPr>
        <w:tabs>
          <w:tab w:pos="1488" w:val="left" w:leader="none"/>
          <w:tab w:pos="1489" w:val="left" w:leader="none"/>
        </w:tabs>
        <w:spacing w:line="240" w:lineRule="auto" w:before="158" w:after="0"/>
        <w:ind w:left="1488" w:right="0" w:hanging="782"/>
        <w:jc w:val="left"/>
        <w:rPr>
          <w:sz w:val="24"/>
        </w:rPr>
      </w:pPr>
      <w:r>
        <w:rPr>
          <w:sz w:val="24"/>
        </w:rPr>
        <w:t>投标人生产电、风、水、砂石基础单价汇总表。</w:t>
      </w:r>
    </w:p>
    <w:p>
      <w:pPr>
        <w:pStyle w:val="ListParagraph"/>
        <w:numPr>
          <w:ilvl w:val="2"/>
          <w:numId w:val="82"/>
        </w:numPr>
        <w:tabs>
          <w:tab w:pos="1488" w:val="left" w:leader="none"/>
          <w:tab w:pos="1489" w:val="left" w:leader="none"/>
        </w:tabs>
        <w:spacing w:line="240" w:lineRule="auto" w:before="158" w:after="0"/>
        <w:ind w:left="1488" w:right="0" w:hanging="782"/>
        <w:jc w:val="left"/>
        <w:rPr>
          <w:sz w:val="24"/>
        </w:rPr>
      </w:pPr>
      <w:r>
        <w:rPr>
          <w:sz w:val="24"/>
        </w:rPr>
        <w:t>投标人生产混凝土配合比材料费表。</w:t>
      </w:r>
    </w:p>
    <w:p>
      <w:pPr>
        <w:pStyle w:val="ListParagraph"/>
        <w:numPr>
          <w:ilvl w:val="2"/>
          <w:numId w:val="82"/>
        </w:numPr>
        <w:tabs>
          <w:tab w:pos="1488" w:val="left" w:leader="none"/>
          <w:tab w:pos="1489" w:val="left" w:leader="none"/>
        </w:tabs>
        <w:spacing w:line="240" w:lineRule="auto" w:before="173" w:after="0"/>
        <w:ind w:left="1488" w:right="0" w:hanging="782"/>
        <w:jc w:val="left"/>
        <w:rPr>
          <w:sz w:val="24"/>
        </w:rPr>
      </w:pPr>
      <w:r>
        <w:rPr>
          <w:sz w:val="24"/>
        </w:rPr>
        <w:t>招标人供应材料价格汇总表(若招标人提供)。</w:t>
      </w:r>
    </w:p>
    <w:p>
      <w:pPr>
        <w:pStyle w:val="ListParagraph"/>
        <w:numPr>
          <w:ilvl w:val="2"/>
          <w:numId w:val="82"/>
        </w:numPr>
        <w:tabs>
          <w:tab w:pos="1489" w:val="left" w:leader="none"/>
        </w:tabs>
        <w:spacing w:line="240" w:lineRule="auto" w:before="158" w:after="0"/>
        <w:ind w:left="1488" w:right="0" w:hanging="782"/>
        <w:jc w:val="left"/>
        <w:rPr>
          <w:sz w:val="24"/>
        </w:rPr>
      </w:pPr>
      <w:r>
        <w:rPr>
          <w:sz w:val="24"/>
        </w:rPr>
        <w:t>投标人自行采购主要材料预算价格汇总表。</w:t>
      </w:r>
    </w:p>
    <w:p>
      <w:pPr>
        <w:pStyle w:val="ListParagraph"/>
        <w:numPr>
          <w:ilvl w:val="2"/>
          <w:numId w:val="82"/>
        </w:numPr>
        <w:tabs>
          <w:tab w:pos="1489" w:val="left" w:leader="none"/>
        </w:tabs>
        <w:spacing w:line="240" w:lineRule="auto" w:before="158" w:after="0"/>
        <w:ind w:left="1488" w:right="0" w:hanging="782"/>
        <w:jc w:val="left"/>
        <w:rPr>
          <w:sz w:val="24"/>
        </w:rPr>
      </w:pPr>
      <w:r>
        <w:rPr>
          <w:sz w:val="24"/>
        </w:rPr>
        <w:t>招标人提供施工机械台时(班)费汇总表(若招标人提供)。</w:t>
      </w:r>
    </w:p>
    <w:p>
      <w:pPr>
        <w:pStyle w:val="ListParagraph"/>
        <w:numPr>
          <w:ilvl w:val="2"/>
          <w:numId w:val="82"/>
        </w:numPr>
        <w:tabs>
          <w:tab w:pos="1489" w:val="left" w:leader="none"/>
        </w:tabs>
        <w:spacing w:line="240" w:lineRule="auto" w:before="158" w:after="0"/>
        <w:ind w:left="1488" w:right="0" w:hanging="782"/>
        <w:jc w:val="left"/>
        <w:rPr>
          <w:sz w:val="24"/>
        </w:rPr>
      </w:pPr>
      <w:r>
        <w:rPr>
          <w:sz w:val="24"/>
        </w:rPr>
        <w:t>投标人自备施工机械台时(班)费汇总表。</w:t>
      </w:r>
    </w:p>
    <w:p>
      <w:pPr>
        <w:pStyle w:val="ListParagraph"/>
        <w:numPr>
          <w:ilvl w:val="2"/>
          <w:numId w:val="82"/>
        </w:numPr>
        <w:tabs>
          <w:tab w:pos="1489" w:val="left" w:leader="none"/>
        </w:tabs>
        <w:spacing w:line="240" w:lineRule="auto" w:before="158" w:after="0"/>
        <w:ind w:left="1488" w:right="0" w:hanging="782"/>
        <w:jc w:val="left"/>
        <w:rPr>
          <w:sz w:val="24"/>
        </w:rPr>
      </w:pPr>
      <w:r>
        <w:rPr>
          <w:sz w:val="24"/>
        </w:rPr>
        <w:t>总价项目分解表。</w:t>
      </w:r>
    </w:p>
    <w:p>
      <w:pPr>
        <w:pStyle w:val="ListParagraph"/>
        <w:numPr>
          <w:ilvl w:val="2"/>
          <w:numId w:val="82"/>
        </w:numPr>
        <w:tabs>
          <w:tab w:pos="1489" w:val="left" w:leader="none"/>
        </w:tabs>
        <w:spacing w:line="240" w:lineRule="auto" w:before="173" w:after="0"/>
        <w:ind w:left="1488" w:right="0" w:hanging="782"/>
        <w:jc w:val="left"/>
        <w:rPr>
          <w:sz w:val="24"/>
        </w:rPr>
      </w:pPr>
      <w:r>
        <w:rPr>
          <w:sz w:val="24"/>
        </w:rPr>
        <w:t>工程单价计算表。</w:t>
      </w:r>
    </w:p>
    <w:p>
      <w:pPr>
        <w:pStyle w:val="ListParagraph"/>
        <w:numPr>
          <w:ilvl w:val="2"/>
          <w:numId w:val="82"/>
        </w:numPr>
        <w:tabs>
          <w:tab w:pos="1489" w:val="left" w:leader="none"/>
        </w:tabs>
        <w:spacing w:line="240" w:lineRule="auto" w:before="158" w:after="0"/>
        <w:ind w:left="1488" w:right="0" w:hanging="782"/>
        <w:jc w:val="left"/>
        <w:rPr>
          <w:sz w:val="24"/>
        </w:rPr>
      </w:pPr>
      <w:r>
        <w:rPr>
          <w:sz w:val="24"/>
        </w:rPr>
        <w:t>人工费单价汇总表。</w:t>
      </w:r>
    </w:p>
    <w:p>
      <w:pPr>
        <w:pStyle w:val="ListParagraph"/>
        <w:numPr>
          <w:ilvl w:val="1"/>
          <w:numId w:val="83"/>
        </w:numPr>
        <w:tabs>
          <w:tab w:pos="1068" w:val="left" w:leader="none"/>
        </w:tabs>
        <w:spacing w:line="240" w:lineRule="auto" w:before="157" w:after="0"/>
        <w:ind w:left="1068" w:right="0" w:hanging="361"/>
        <w:jc w:val="left"/>
        <w:rPr>
          <w:sz w:val="24"/>
        </w:rPr>
      </w:pPr>
      <w:r>
        <w:rPr>
          <w:sz w:val="24"/>
        </w:rPr>
        <w:t>工程量清单报价表填写规定</w:t>
      </w:r>
    </w:p>
    <w:p>
      <w:pPr>
        <w:spacing w:after="0" w:line="240" w:lineRule="auto"/>
        <w:jc w:val="left"/>
        <w:rPr>
          <w:sz w:val="24"/>
        </w:rPr>
        <w:sectPr>
          <w:pgSz w:w="11910" w:h="16850"/>
          <w:pgMar w:header="911" w:footer="0" w:top="1380" w:bottom="280" w:left="1200" w:right="0"/>
        </w:sectPr>
      </w:pPr>
    </w:p>
    <w:p>
      <w:pPr>
        <w:pStyle w:val="ListParagraph"/>
        <w:numPr>
          <w:ilvl w:val="2"/>
          <w:numId w:val="83"/>
        </w:numPr>
        <w:tabs>
          <w:tab w:pos="1248" w:val="left" w:leader="none"/>
        </w:tabs>
        <w:spacing w:line="362" w:lineRule="auto" w:before="135" w:after="0"/>
        <w:ind w:left="226" w:right="1343" w:firstLine="480"/>
        <w:jc w:val="both"/>
        <w:rPr>
          <w:sz w:val="24"/>
        </w:rPr>
      </w:pPr>
      <w:r>
        <w:rPr>
          <w:spacing w:val="-5"/>
          <w:sz w:val="24"/>
        </w:rPr>
        <w:t>除招标文件另有规定外，投标人不得随意增加、删除或涂改招标文件工程量清单中的任何内容。工程量清单中列明的所有需要填写的单价和合价，投标人均应填写； 未填写的单价和合价，视为已包括在工程量清单的其它单价和合价中。</w:t>
      </w:r>
    </w:p>
    <w:p>
      <w:pPr>
        <w:pStyle w:val="ListParagraph"/>
        <w:numPr>
          <w:ilvl w:val="2"/>
          <w:numId w:val="83"/>
        </w:numPr>
        <w:tabs>
          <w:tab w:pos="1308" w:val="left" w:leader="none"/>
        </w:tabs>
        <w:spacing w:line="367" w:lineRule="auto" w:before="4" w:after="0"/>
        <w:ind w:left="226" w:right="1343" w:firstLine="480"/>
        <w:jc w:val="both"/>
        <w:rPr>
          <w:sz w:val="24"/>
        </w:rPr>
      </w:pPr>
      <w:r>
        <w:rPr/>
        <w:drawing>
          <wp:anchor distT="0" distB="0" distL="0" distR="0" allowOverlap="1" layoutInCell="1" locked="0" behindDoc="1" simplePos="0" relativeHeight="234836992">
            <wp:simplePos x="0" y="0"/>
            <wp:positionH relativeFrom="page">
              <wp:posOffset>992771</wp:posOffset>
            </wp:positionH>
            <wp:positionV relativeFrom="paragraph">
              <wp:posOffset>756036</wp:posOffset>
            </wp:positionV>
            <wp:extent cx="5578970" cy="5494141"/>
            <wp:effectExtent l="0" t="0" r="0" b="0"/>
            <wp:wrapNone/>
            <wp:docPr id="121" name="image1.png"/>
            <wp:cNvGraphicFramePr>
              <a:graphicFrameLocks noChangeAspect="1"/>
            </wp:cNvGraphicFramePr>
            <a:graphic>
              <a:graphicData uri="http://schemas.openxmlformats.org/drawingml/2006/picture">
                <pic:pic>
                  <pic:nvPicPr>
                    <pic:cNvPr id="122"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工程量清单中的工程单价是完成工程量清单中一个质量合格的规定计量单位项目所需的直接工程费、间接费、企业利润和税金，并考虑到风险因素。投标人应根据规定的工程单价组成内容确定工程单价。除另有规定外，对有效工程量以外的超挖、超填工程量，施工附加量，加工、运输损耗量等，所消耗的人工、材料和机械费用，均应摊入相应有效工程量的工程单价内。</w:t>
      </w:r>
    </w:p>
    <w:p>
      <w:pPr>
        <w:pStyle w:val="ListParagraph"/>
        <w:numPr>
          <w:ilvl w:val="2"/>
          <w:numId w:val="84"/>
        </w:numPr>
        <w:tabs>
          <w:tab w:pos="1249" w:val="left" w:leader="none"/>
        </w:tabs>
        <w:spacing w:line="297" w:lineRule="exact" w:before="0" w:after="0"/>
        <w:ind w:left="1248" w:right="0" w:hanging="542"/>
        <w:jc w:val="left"/>
        <w:rPr>
          <w:sz w:val="24"/>
        </w:rPr>
      </w:pPr>
      <w:r>
        <w:rPr>
          <w:sz w:val="24"/>
        </w:rPr>
        <w:t>投标金额(价格)均应以人民币表示。</w:t>
      </w:r>
    </w:p>
    <w:p>
      <w:pPr>
        <w:pStyle w:val="ListParagraph"/>
        <w:numPr>
          <w:ilvl w:val="2"/>
          <w:numId w:val="84"/>
        </w:numPr>
        <w:tabs>
          <w:tab w:pos="1249" w:val="left" w:leader="none"/>
        </w:tabs>
        <w:spacing w:line="240" w:lineRule="auto" w:before="157" w:after="0"/>
        <w:ind w:left="1248" w:right="0" w:hanging="542"/>
        <w:jc w:val="left"/>
        <w:rPr>
          <w:sz w:val="24"/>
        </w:rPr>
      </w:pPr>
      <w:r>
        <w:rPr>
          <w:sz w:val="24"/>
        </w:rPr>
        <w:t>投标总价应按工程项目总价表合计金额填写。</w:t>
      </w:r>
    </w:p>
    <w:p>
      <w:pPr>
        <w:pStyle w:val="ListParagraph"/>
        <w:numPr>
          <w:ilvl w:val="2"/>
          <w:numId w:val="84"/>
        </w:numPr>
        <w:tabs>
          <w:tab w:pos="1249" w:val="left" w:leader="none"/>
        </w:tabs>
        <w:spacing w:line="362" w:lineRule="auto" w:before="173" w:after="0"/>
        <w:ind w:left="226" w:right="1343" w:firstLine="480"/>
        <w:jc w:val="both"/>
        <w:rPr>
          <w:sz w:val="24"/>
        </w:rPr>
      </w:pPr>
      <w:r>
        <w:rPr>
          <w:sz w:val="24"/>
        </w:rPr>
        <w:t>工程项目总价表中组号和工程项目名称按招标文件工程量清单中的相应内容填写，并按分组工程量清单报价表中相应项目合计金额填写。暂列金额按招标文件工程项目总价表中的相应内容填写。</w:t>
      </w:r>
    </w:p>
    <w:p>
      <w:pPr>
        <w:pStyle w:val="ListParagraph"/>
        <w:numPr>
          <w:ilvl w:val="2"/>
          <w:numId w:val="84"/>
        </w:numPr>
        <w:tabs>
          <w:tab w:pos="1249" w:val="left" w:leader="none"/>
        </w:tabs>
        <w:spacing w:line="362" w:lineRule="auto" w:before="4" w:after="0"/>
        <w:ind w:left="226" w:right="1343" w:firstLine="480"/>
        <w:jc w:val="left"/>
        <w:rPr>
          <w:sz w:val="24"/>
        </w:rPr>
      </w:pPr>
      <w:r>
        <w:rPr>
          <w:spacing w:val="-4"/>
          <w:sz w:val="24"/>
        </w:rPr>
        <w:t>分组工程量清单报价表中的序号、项目名称、计量单位、工程数量，按招标文件分组工程量清单报价表的相应内容填写，并填写相应项目的单价和合价。</w:t>
      </w:r>
    </w:p>
    <w:p>
      <w:pPr>
        <w:pStyle w:val="ListParagraph"/>
        <w:numPr>
          <w:ilvl w:val="2"/>
          <w:numId w:val="84"/>
        </w:numPr>
        <w:tabs>
          <w:tab w:pos="1249" w:val="left" w:leader="none"/>
        </w:tabs>
        <w:spacing w:line="362" w:lineRule="auto" w:before="16" w:after="0"/>
        <w:ind w:left="226" w:right="1224" w:firstLine="480"/>
        <w:jc w:val="left"/>
        <w:rPr>
          <w:sz w:val="24"/>
        </w:rPr>
      </w:pPr>
      <w:r>
        <w:rPr>
          <w:spacing w:val="-12"/>
          <w:sz w:val="24"/>
        </w:rPr>
        <w:t>计日工项目报价表的序号、人工、材料、机械的名称、型号规格以及计量单位， 按招标文件计日工项目清单报价表中的相应内容填写，并填写相应项目单价。</w:t>
      </w:r>
    </w:p>
    <w:p>
      <w:pPr>
        <w:pStyle w:val="ListParagraph"/>
        <w:numPr>
          <w:ilvl w:val="2"/>
          <w:numId w:val="84"/>
        </w:numPr>
        <w:tabs>
          <w:tab w:pos="1249" w:val="left" w:leader="none"/>
        </w:tabs>
        <w:spacing w:line="240" w:lineRule="auto" w:before="3" w:after="0"/>
        <w:ind w:left="1248" w:right="0" w:hanging="542"/>
        <w:jc w:val="left"/>
        <w:rPr>
          <w:sz w:val="24"/>
        </w:rPr>
      </w:pPr>
      <w:r>
        <w:rPr>
          <w:sz w:val="24"/>
        </w:rPr>
        <w:t>辅助表格填写：</w:t>
      </w:r>
    </w:p>
    <w:p>
      <w:pPr>
        <w:pStyle w:val="ListParagraph"/>
        <w:numPr>
          <w:ilvl w:val="0"/>
          <w:numId w:val="85"/>
        </w:numPr>
        <w:tabs>
          <w:tab w:pos="1069" w:val="left" w:leader="none"/>
        </w:tabs>
        <w:spacing w:line="240" w:lineRule="auto" w:before="158" w:after="0"/>
        <w:ind w:left="1068" w:right="0" w:hanging="362"/>
        <w:jc w:val="left"/>
        <w:rPr>
          <w:sz w:val="24"/>
        </w:rPr>
      </w:pPr>
      <w:r>
        <w:rPr>
          <w:spacing w:val="-1"/>
          <w:sz w:val="24"/>
        </w:rPr>
        <w:t>工程单价汇总表，按工程单价计算表中的相应内容、价格(费率)填写； </w:t>
      </w:r>
    </w:p>
    <w:p>
      <w:pPr>
        <w:pStyle w:val="ListParagraph"/>
        <w:numPr>
          <w:ilvl w:val="0"/>
          <w:numId w:val="85"/>
        </w:numPr>
        <w:tabs>
          <w:tab w:pos="1069" w:val="left" w:leader="none"/>
        </w:tabs>
        <w:spacing w:line="374" w:lineRule="auto" w:before="158" w:after="0"/>
        <w:ind w:left="707" w:right="1347" w:firstLine="0"/>
        <w:jc w:val="left"/>
        <w:rPr>
          <w:sz w:val="24"/>
        </w:rPr>
      </w:pPr>
      <w:r>
        <w:rPr>
          <w:spacing w:val="-1"/>
          <w:sz w:val="24"/>
        </w:rPr>
        <w:t>工程单价费(税)率汇总表，按工程单价计算表中的相应内容、费(税)率填写； (3)</w:t>
      </w:r>
      <w:r>
        <w:rPr>
          <w:spacing w:val="-12"/>
          <w:sz w:val="24"/>
        </w:rPr>
        <w:t>投标人生产电、风、水、砂石基础单价汇总表，按基础单价分析计算成果的相应</w:t>
      </w:r>
    </w:p>
    <w:p>
      <w:pPr>
        <w:pStyle w:val="BodyText"/>
        <w:spacing w:line="294" w:lineRule="exact"/>
        <w:ind w:left="226"/>
      </w:pPr>
      <w:r>
        <w:rPr/>
        <w:t>内容、价格填写，并附相应基础单价的分析计算书； </w:t>
      </w:r>
    </w:p>
    <w:p>
      <w:pPr>
        <w:pStyle w:val="ListParagraph"/>
        <w:numPr>
          <w:ilvl w:val="0"/>
          <w:numId w:val="86"/>
        </w:numPr>
        <w:tabs>
          <w:tab w:pos="1069" w:val="left" w:leader="none"/>
        </w:tabs>
        <w:spacing w:line="362" w:lineRule="auto" w:before="158" w:after="0"/>
        <w:ind w:left="226" w:right="1228" w:firstLine="480"/>
        <w:jc w:val="left"/>
        <w:rPr>
          <w:sz w:val="24"/>
        </w:rPr>
      </w:pPr>
      <w:r>
        <w:rPr>
          <w:spacing w:val="-7"/>
          <w:sz w:val="24"/>
        </w:rPr>
        <w:t>投标人生产混凝土配合比材料费表，按表中工程部位、混凝土强度等级(附抗渗、</w:t>
      </w:r>
      <w:r>
        <w:rPr>
          <w:spacing w:val="-13"/>
          <w:sz w:val="24"/>
        </w:rPr>
        <w:t>抗冻等级)、水泥强度等级、级配、水灰比、相应材料用量和单价填写，填写的单价必须与工程单价计算表中采用的相应混凝土材料单价一致；</w:t>
      </w:r>
      <w:r>
        <w:rPr>
          <w:sz w:val="24"/>
        </w:rPr>
        <w:t> </w:t>
      </w:r>
    </w:p>
    <w:p>
      <w:pPr>
        <w:pStyle w:val="ListParagraph"/>
        <w:numPr>
          <w:ilvl w:val="0"/>
          <w:numId w:val="86"/>
        </w:numPr>
        <w:tabs>
          <w:tab w:pos="1069" w:val="left" w:leader="none"/>
        </w:tabs>
        <w:spacing w:line="362" w:lineRule="auto" w:before="18" w:after="0"/>
        <w:ind w:left="226" w:right="1343" w:firstLine="480"/>
        <w:jc w:val="both"/>
        <w:rPr>
          <w:sz w:val="24"/>
        </w:rPr>
      </w:pPr>
      <w:r>
        <w:rPr>
          <w:spacing w:val="-8"/>
          <w:sz w:val="24"/>
        </w:rPr>
        <w:t>招标人供应材料价格汇总表，按招标人供应的材料名称、型号规格、计量单位和供应价格填写，并填写经分析计算后的相应材料预算价格，填写的预算价格必须与工程单价计算表中采用的相应材料预算价格一致</w:t>
      </w:r>
      <w:r>
        <w:rPr>
          <w:rFonts w:ascii="Calibri" w:eastAsia="Calibri"/>
          <w:sz w:val="24"/>
        </w:rPr>
        <w:t>(</w:t>
      </w:r>
      <w:r>
        <w:rPr>
          <w:sz w:val="24"/>
        </w:rPr>
        <w:t>若招标人提供</w:t>
      </w:r>
      <w:r>
        <w:rPr>
          <w:rFonts w:ascii="Calibri" w:eastAsia="Calibri"/>
          <w:sz w:val="24"/>
        </w:rPr>
        <w:t>)</w:t>
      </w:r>
      <w:r>
        <w:rPr>
          <w:sz w:val="24"/>
        </w:rPr>
        <w:t>；</w:t>
      </w:r>
    </w:p>
    <w:p>
      <w:pPr>
        <w:pStyle w:val="ListParagraph"/>
        <w:numPr>
          <w:ilvl w:val="0"/>
          <w:numId w:val="86"/>
        </w:numPr>
        <w:tabs>
          <w:tab w:pos="1069" w:val="left" w:leader="none"/>
        </w:tabs>
        <w:spacing w:line="362" w:lineRule="auto" w:before="3" w:after="0"/>
        <w:ind w:left="226" w:right="1208" w:firstLine="480"/>
        <w:jc w:val="left"/>
        <w:rPr>
          <w:sz w:val="24"/>
        </w:rPr>
      </w:pPr>
      <w:r>
        <w:rPr>
          <w:spacing w:val="-10"/>
          <w:sz w:val="24"/>
        </w:rPr>
        <w:t>投标人自行采购主要材料预算价格汇总表，按表中的序号、材料名称、型号规格、计量单位和填写的预算价格，填写的预算价格必须与工程单价计算表中采用的相应材料</w:t>
      </w:r>
    </w:p>
    <w:p>
      <w:pPr>
        <w:spacing w:after="0" w:line="362" w:lineRule="auto"/>
        <w:jc w:val="left"/>
        <w:rPr>
          <w:sz w:val="24"/>
        </w:rPr>
        <w:sectPr>
          <w:pgSz w:w="11910" w:h="16850"/>
          <w:pgMar w:header="911" w:footer="0" w:top="1380" w:bottom="280" w:left="1200" w:right="0"/>
        </w:sectPr>
      </w:pPr>
    </w:p>
    <w:p>
      <w:pPr>
        <w:pStyle w:val="BodyText"/>
        <w:spacing w:before="135"/>
        <w:ind w:left="226"/>
      </w:pPr>
      <w:r>
        <w:rPr/>
        <w:t>预算价格一致； </w:t>
      </w:r>
    </w:p>
    <w:p>
      <w:pPr>
        <w:pStyle w:val="ListParagraph"/>
        <w:numPr>
          <w:ilvl w:val="0"/>
          <w:numId w:val="86"/>
        </w:numPr>
        <w:tabs>
          <w:tab w:pos="1069" w:val="left" w:leader="none"/>
        </w:tabs>
        <w:spacing w:line="362" w:lineRule="auto" w:before="158" w:after="0"/>
        <w:ind w:left="226" w:right="1347" w:firstLine="480"/>
        <w:jc w:val="both"/>
        <w:rPr>
          <w:sz w:val="24"/>
        </w:rPr>
      </w:pPr>
      <w:r>
        <w:rPr>
          <w:spacing w:val="-6"/>
          <w:sz w:val="24"/>
        </w:rPr>
        <w:t>招标人提供施工机械台时(班)费汇总表，按招标人提供的机械名称、型号规格和招标人收取的台时(班)折旧费填写；投标人填写的台时(班)费用合计金额必须与工程单价计算表中相应的施工机械台时(班)费单价一致(若招标人提供)； </w:t>
      </w:r>
    </w:p>
    <w:p>
      <w:pPr>
        <w:pStyle w:val="ListParagraph"/>
        <w:numPr>
          <w:ilvl w:val="0"/>
          <w:numId w:val="86"/>
        </w:numPr>
        <w:tabs>
          <w:tab w:pos="1069" w:val="left" w:leader="none"/>
        </w:tabs>
        <w:spacing w:line="369" w:lineRule="auto" w:before="3" w:after="0"/>
        <w:ind w:left="226" w:right="1226" w:firstLine="480"/>
        <w:jc w:val="left"/>
        <w:rPr>
          <w:sz w:val="24"/>
        </w:rPr>
      </w:pPr>
      <w:r>
        <w:rPr/>
        <w:drawing>
          <wp:anchor distT="0" distB="0" distL="0" distR="0" allowOverlap="1" layoutInCell="1" locked="0" behindDoc="1" simplePos="0" relativeHeight="234838016">
            <wp:simplePos x="0" y="0"/>
            <wp:positionH relativeFrom="page">
              <wp:posOffset>992771</wp:posOffset>
            </wp:positionH>
            <wp:positionV relativeFrom="paragraph">
              <wp:posOffset>460126</wp:posOffset>
            </wp:positionV>
            <wp:extent cx="5578970" cy="5494141"/>
            <wp:effectExtent l="0" t="0" r="0" b="0"/>
            <wp:wrapNone/>
            <wp:docPr id="123" name="image1.png"/>
            <wp:cNvGraphicFramePr>
              <a:graphicFrameLocks noChangeAspect="1"/>
            </wp:cNvGraphicFramePr>
            <a:graphic>
              <a:graphicData uri="http://schemas.openxmlformats.org/drawingml/2006/picture">
                <pic:pic>
                  <pic:nvPicPr>
                    <pic:cNvPr id="124" name="image1.png"/>
                    <pic:cNvPicPr/>
                  </pic:nvPicPr>
                  <pic:blipFill>
                    <a:blip r:embed="rId6" cstate="print"/>
                    <a:stretch>
                      <a:fillRect/>
                    </a:stretch>
                  </pic:blipFill>
                  <pic:spPr>
                    <a:xfrm>
                      <a:off x="0" y="0"/>
                      <a:ext cx="5578970" cy="5494141"/>
                    </a:xfrm>
                    <a:prstGeom prst="rect">
                      <a:avLst/>
                    </a:prstGeom>
                  </pic:spPr>
                </pic:pic>
              </a:graphicData>
            </a:graphic>
          </wp:anchor>
        </w:drawing>
      </w:r>
      <w:r>
        <w:rPr>
          <w:sz w:val="24"/>
        </w:rPr>
        <w:t>投标人自备施工机械台时(班)费汇总表，按表中的序号、机械名称、型号规格、一类费用和二类费用填写，填写的台时(班)费合计金额必须与工程单价计算表中相应的施工机械台时(班)费单价一致； </w:t>
      </w:r>
    </w:p>
    <w:p>
      <w:pPr>
        <w:pStyle w:val="ListParagraph"/>
        <w:numPr>
          <w:ilvl w:val="0"/>
          <w:numId w:val="86"/>
        </w:numPr>
        <w:tabs>
          <w:tab w:pos="1069" w:val="left" w:leader="none"/>
        </w:tabs>
        <w:spacing w:line="362" w:lineRule="auto" w:before="0" w:after="0"/>
        <w:ind w:left="226" w:right="1222" w:firstLine="480"/>
        <w:jc w:val="left"/>
        <w:rPr>
          <w:sz w:val="24"/>
        </w:rPr>
      </w:pPr>
      <w:r>
        <w:rPr>
          <w:sz w:val="24"/>
        </w:rPr>
        <w:t>投标人应对工程量清单中的总价项目编制总价项目分解表，每个总价项目一份， </w:t>
      </w:r>
      <w:r>
        <w:rPr>
          <w:spacing w:val="-1"/>
          <w:sz w:val="24"/>
        </w:rPr>
        <w:t>项目编号和名称应与工程量清单一致；</w:t>
      </w:r>
      <w:r>
        <w:rPr>
          <w:sz w:val="24"/>
        </w:rPr>
        <w:t> </w:t>
      </w:r>
    </w:p>
    <w:p>
      <w:pPr>
        <w:pStyle w:val="ListParagraph"/>
        <w:numPr>
          <w:ilvl w:val="0"/>
          <w:numId w:val="86"/>
        </w:numPr>
        <w:tabs>
          <w:tab w:pos="1189" w:val="left" w:leader="none"/>
        </w:tabs>
        <w:spacing w:line="364" w:lineRule="auto" w:before="0" w:after="0"/>
        <w:ind w:left="226" w:right="1343" w:firstLine="480"/>
        <w:jc w:val="both"/>
        <w:rPr>
          <w:sz w:val="24"/>
        </w:rPr>
      </w:pPr>
      <w:r>
        <w:rPr>
          <w:sz w:val="24"/>
        </w:rPr>
        <w:t>投标金额大于或等于投标总标价万分之五的工程项目，必须编报工程单价计算表。工程单价计算表，按表中的施工方法、序号、名称、型号规格、计量单位、数量、单价、合价填写，填写的人工、材料和机械等基础价格，必须与人工费单价汇总表、基</w:t>
      </w:r>
      <w:r>
        <w:rPr>
          <w:spacing w:val="-1"/>
          <w:sz w:val="24"/>
        </w:rPr>
        <w:t>础材料单价汇总表、主要材料预算价格汇总表及施工机械台时(班)费汇总表中的单价相</w:t>
      </w:r>
      <w:r>
        <w:rPr>
          <w:spacing w:val="-2"/>
          <w:sz w:val="24"/>
        </w:rPr>
        <w:t>一致，填写的其它直接费、现场经费、间接费、企业利润和税金等费(税)率必须与工程单价费(税)率汇总表中的费(税)率相一致； </w:t>
      </w:r>
    </w:p>
    <w:p>
      <w:pPr>
        <w:pStyle w:val="ListParagraph"/>
        <w:numPr>
          <w:ilvl w:val="0"/>
          <w:numId w:val="86"/>
        </w:numPr>
        <w:tabs>
          <w:tab w:pos="1189" w:val="left" w:leader="none"/>
        </w:tabs>
        <w:spacing w:line="362" w:lineRule="auto" w:before="11" w:after="0"/>
        <w:ind w:left="226" w:right="1344" w:firstLine="480"/>
        <w:jc w:val="left"/>
        <w:rPr>
          <w:sz w:val="24"/>
        </w:rPr>
      </w:pPr>
      <w:r>
        <w:rPr>
          <w:sz w:val="24"/>
        </w:rPr>
        <w:t>人工费单价汇总表应按人工费单价计算表的内容、价格填写，并附相应的人工费单价计算表。 </w:t>
      </w:r>
    </w:p>
    <w:p>
      <w:pPr>
        <w:spacing w:after="0" w:line="362" w:lineRule="auto"/>
        <w:jc w:val="left"/>
        <w:rPr>
          <w:sz w:val="24"/>
        </w:rPr>
        <w:sectPr>
          <w:pgSz w:w="11910" w:h="16850"/>
          <w:pgMar w:header="911" w:footer="0" w:top="1380" w:bottom="280" w:left="1200" w:right="0"/>
        </w:sectPr>
      </w:pPr>
    </w:p>
    <w:p>
      <w:pPr>
        <w:pStyle w:val="BodyText"/>
        <w:rPr>
          <w:sz w:val="20"/>
        </w:rPr>
      </w:pPr>
    </w:p>
    <w:p>
      <w:pPr>
        <w:pStyle w:val="BodyText"/>
        <w:spacing w:before="1"/>
        <w:rPr>
          <w:sz w:val="19"/>
        </w:rPr>
      </w:pPr>
    </w:p>
    <w:p>
      <w:pPr>
        <w:spacing w:before="45"/>
        <w:ind w:left="0" w:right="1122" w:firstLine="0"/>
        <w:jc w:val="center"/>
        <w:rPr>
          <w:rFonts w:ascii="黑体" w:eastAsia="黑体" w:hint="eastAsia"/>
          <w:sz w:val="43"/>
        </w:rPr>
      </w:pPr>
      <w:r>
        <w:rPr>
          <w:rFonts w:ascii="黑体" w:eastAsia="黑体" w:hint="eastAsia"/>
          <w:sz w:val="43"/>
        </w:rPr>
        <w:t>投标总价</w:t>
      </w:r>
    </w:p>
    <w:p>
      <w:pPr>
        <w:pStyle w:val="BodyText"/>
        <w:spacing w:before="6"/>
        <w:rPr>
          <w:rFonts w:ascii="黑体"/>
          <w:sz w:val="35"/>
        </w:rPr>
      </w:pPr>
    </w:p>
    <w:p>
      <w:pPr>
        <w:pStyle w:val="Heading4"/>
        <w:tabs>
          <w:tab w:pos="5032" w:val="left" w:leader="none"/>
          <w:tab w:pos="8229" w:val="left" w:leader="none"/>
        </w:tabs>
        <w:spacing w:before="1"/>
        <w:ind w:left="1833"/>
      </w:pPr>
      <w:r>
        <w:rPr>
          <w:spacing w:val="7"/>
        </w:rPr>
        <w:t>(</w:t>
      </w:r>
      <w:r>
        <w:rPr>
          <w:spacing w:val="15"/>
        </w:rPr>
        <w:t>项目名</w:t>
      </w:r>
      <w:r>
        <w:rPr>
          <w:spacing w:val="14"/>
        </w:rPr>
        <w:t>称</w:t>
      </w:r>
      <w:r>
        <w:rPr>
          <w:spacing w:val="7"/>
        </w:rPr>
        <w:t>)</w:t>
      </w:r>
      <w:r>
        <w:rPr>
          <w:spacing w:val="7"/>
          <w:u w:val="single"/>
        </w:rPr>
        <w:t> </w:t>
        <w:tab/>
      </w:r>
      <w:r>
        <w:rPr>
          <w:spacing w:val="7"/>
        </w:rPr>
        <w:t>(</w:t>
      </w:r>
      <w:r>
        <w:rPr>
          <w:spacing w:val="15"/>
        </w:rPr>
        <w:t>标段名称</w:t>
      </w:r>
      <w:r>
        <w:rPr>
          <w:spacing w:val="7"/>
        </w:rPr>
        <w:t>)</w:t>
      </w:r>
      <w:r>
        <w:rPr>
          <w:u w:val="single"/>
        </w:rPr>
        <w:t> </w:t>
        <w:tab/>
      </w:r>
    </w:p>
    <w:p>
      <w:pPr>
        <w:pStyle w:val="BodyText"/>
        <w:rPr>
          <w:rFonts w:ascii="黑体"/>
          <w:sz w:val="20"/>
        </w:rPr>
      </w:pPr>
    </w:p>
    <w:p>
      <w:pPr>
        <w:pStyle w:val="BodyText"/>
        <w:rPr>
          <w:rFonts w:ascii="黑体"/>
          <w:sz w:val="20"/>
        </w:rPr>
      </w:pPr>
    </w:p>
    <w:p>
      <w:pPr>
        <w:pStyle w:val="BodyText"/>
        <w:spacing w:before="12"/>
        <w:rPr>
          <w:rFonts w:ascii="黑体"/>
          <w:sz w:val="16"/>
        </w:rPr>
      </w:pPr>
      <w:r>
        <w:rPr/>
        <w:pict>
          <v:group style="position:absolute;margin-left:78.170998pt;margin-top:12.836407pt;width:439.3pt;height:432.65pt;mso-position-horizontal-relative:page;mso-position-vertical-relative:paragraph;z-index:-251445248;mso-wrap-distance-left:0;mso-wrap-distance-right:0" coordorigin="1563,257" coordsize="8786,8653">
            <v:shape style="position:absolute;left:1563;top:256;width:8786;height:8653" type="#_x0000_t75" stroked="false">
              <v:imagedata r:id="rId6" o:title=""/>
            </v:shape>
            <v:shape style="position:absolute;left:4145;top:995;width:3459;height:350" type="#_x0000_t202" filled="false" stroked="false">
              <v:textbox inset="0,0,0,0">
                <w:txbxContent>
                  <w:p>
                    <w:pPr>
                      <w:tabs>
                        <w:tab w:pos="3437" w:val="left" w:leader="none"/>
                      </w:tabs>
                      <w:spacing w:line="349" w:lineRule="exact" w:before="0"/>
                      <w:ind w:left="0" w:right="0" w:firstLine="0"/>
                      <w:jc w:val="left"/>
                      <w:rPr>
                        <w:rFonts w:ascii="Times New Roman" w:eastAsia="Times New Roman"/>
                        <w:sz w:val="31"/>
                      </w:rPr>
                    </w:pPr>
                    <w:r>
                      <w:rPr>
                        <w:rFonts w:ascii="黑体" w:eastAsia="黑体" w:hint="eastAsia"/>
                        <w:spacing w:val="15"/>
                        <w:sz w:val="31"/>
                      </w:rPr>
                      <w:t>合同编号</w:t>
                    </w:r>
                    <w:r>
                      <w:rPr>
                        <w:rFonts w:ascii="黑体" w:eastAsia="黑体" w:hint="eastAsia"/>
                        <w:spacing w:val="14"/>
                        <w:sz w:val="31"/>
                      </w:rPr>
                      <w:t>：</w:t>
                    </w:r>
                    <w:r>
                      <w:rPr>
                        <w:rFonts w:ascii="Times New Roman" w:eastAsia="Times New Roman"/>
                        <w:sz w:val="31"/>
                        <w:u w:val="single"/>
                      </w:rPr>
                      <w:t> </w:t>
                      <w:tab/>
                    </w:r>
                  </w:p>
                </w:txbxContent>
              </v:textbox>
              <w10:wrap type="none"/>
            </v:shape>
            <v:shape style="position:absolute;left:2102;top:7871;width:7771;height:350" type="#_x0000_t202" filled="false" stroked="false">
              <v:textbox inset="0,0,0,0">
                <w:txbxContent>
                  <w:p>
                    <w:pPr>
                      <w:tabs>
                        <w:tab w:pos="4460" w:val="left" w:leader="none"/>
                        <w:tab w:pos="7434" w:val="left" w:leader="none"/>
                      </w:tabs>
                      <w:spacing w:line="349" w:lineRule="exact" w:before="0"/>
                      <w:ind w:left="0" w:right="0" w:firstLine="0"/>
                      <w:jc w:val="left"/>
                      <w:rPr>
                        <w:rFonts w:ascii="黑体" w:hAnsi="黑体" w:eastAsia="黑体" w:hint="eastAsia"/>
                        <w:sz w:val="31"/>
                      </w:rPr>
                    </w:pPr>
                    <w:r>
                      <w:rPr>
                        <w:rFonts w:ascii="黑体" w:hAnsi="黑体" w:eastAsia="黑体" w:hint="eastAsia"/>
                        <w:spacing w:val="15"/>
                        <w:sz w:val="31"/>
                      </w:rPr>
                      <w:t>投标总价人民</w:t>
                    </w:r>
                    <w:r>
                      <w:rPr>
                        <w:rFonts w:ascii="黑体" w:hAnsi="黑体" w:eastAsia="黑体" w:hint="eastAsia"/>
                        <w:spacing w:val="14"/>
                        <w:sz w:val="31"/>
                      </w:rPr>
                      <w:t>币</w:t>
                    </w:r>
                    <w:r>
                      <w:rPr>
                        <w:rFonts w:ascii="黑体" w:hAnsi="黑体" w:eastAsia="黑体" w:hint="eastAsia"/>
                        <w:spacing w:val="7"/>
                        <w:sz w:val="31"/>
                      </w:rPr>
                      <w:t>(</w:t>
                    </w:r>
                    <w:r>
                      <w:rPr>
                        <w:rFonts w:ascii="黑体" w:hAnsi="黑体" w:eastAsia="黑体" w:hint="eastAsia"/>
                        <w:spacing w:val="15"/>
                        <w:sz w:val="31"/>
                      </w:rPr>
                      <w:t>大</w:t>
                    </w:r>
                    <w:r>
                      <w:rPr>
                        <w:rFonts w:ascii="黑体" w:hAnsi="黑体" w:eastAsia="黑体" w:hint="eastAsia"/>
                        <w:spacing w:val="14"/>
                        <w:sz w:val="31"/>
                      </w:rPr>
                      <w:t>写</w:t>
                    </w:r>
                    <w:r>
                      <w:rPr>
                        <w:rFonts w:ascii="黑体" w:hAnsi="黑体" w:eastAsia="黑体" w:hint="eastAsia"/>
                        <w:spacing w:val="11"/>
                        <w:sz w:val="31"/>
                      </w:rPr>
                      <w:t>)：</w:t>
                    </w:r>
                    <w:r>
                      <w:rPr>
                        <w:rFonts w:ascii="黑体" w:hAnsi="黑体" w:eastAsia="黑体" w:hint="eastAsia"/>
                        <w:spacing w:val="11"/>
                        <w:sz w:val="31"/>
                        <w:u w:val="single"/>
                      </w:rPr>
                      <w:t> </w:t>
                      <w:tab/>
                    </w:r>
                    <w:r>
                      <w:rPr>
                        <w:rFonts w:ascii="黑体" w:hAnsi="黑体" w:eastAsia="黑体" w:hint="eastAsia"/>
                        <w:spacing w:val="15"/>
                        <w:sz w:val="31"/>
                      </w:rPr>
                      <w:t>元（小写</w:t>
                    </w:r>
                    <w:r>
                      <w:rPr>
                        <w:rFonts w:ascii="黑体" w:hAnsi="黑体" w:eastAsia="黑体" w:hint="eastAsia"/>
                        <w:spacing w:val="12"/>
                        <w:sz w:val="31"/>
                      </w:rPr>
                      <w:t>）</w:t>
                    </w:r>
                    <w:r>
                      <w:rPr>
                        <w:spacing w:val="12"/>
                        <w:sz w:val="31"/>
                      </w:rPr>
                      <w:t>¥</w:t>
                    </w:r>
                    <w:r>
                      <w:rPr>
                        <w:rFonts w:ascii="黑体" w:hAnsi="黑体" w:eastAsia="黑体" w:hint="eastAsia"/>
                        <w:spacing w:val="12"/>
                        <w:sz w:val="31"/>
                      </w:rPr>
                      <w:t>：</w:t>
                    </w:r>
                    <w:r>
                      <w:rPr>
                        <w:rFonts w:ascii="黑体" w:hAnsi="黑体" w:eastAsia="黑体" w:hint="eastAsia"/>
                        <w:spacing w:val="12"/>
                        <w:sz w:val="31"/>
                        <w:u w:val="single"/>
                      </w:rPr>
                      <w:t> </w:t>
                      <w:tab/>
                    </w:r>
                    <w:r>
                      <w:rPr>
                        <w:rFonts w:ascii="黑体" w:hAnsi="黑体" w:eastAsia="黑体" w:hint="eastAsia"/>
                        <w:sz w:val="31"/>
                      </w:rPr>
                      <w:t>元</w:t>
                    </w:r>
                  </w:p>
                </w:txbxContent>
              </v:textbox>
              <w10:wrap type="none"/>
            </v:shape>
            <w10:wrap type="topAndBottom"/>
          </v:group>
        </w:pict>
      </w:r>
    </w:p>
    <w:p>
      <w:pPr>
        <w:spacing w:after="0"/>
        <w:rPr>
          <w:rFonts w:ascii="黑体"/>
          <w:sz w:val="16"/>
        </w:rPr>
        <w:sectPr>
          <w:pgSz w:w="11910" w:h="16850"/>
          <w:pgMar w:header="911" w:footer="0" w:top="1380" w:bottom="280" w:left="1200" w:right="0"/>
        </w:sectPr>
      </w:pPr>
    </w:p>
    <w:p>
      <w:pPr>
        <w:spacing w:before="155"/>
        <w:ind w:left="0" w:right="1122" w:firstLine="0"/>
        <w:jc w:val="center"/>
        <w:rPr>
          <w:rFonts w:ascii="黑体" w:eastAsia="黑体" w:hint="eastAsia"/>
          <w:sz w:val="31"/>
        </w:rPr>
      </w:pPr>
      <w:r>
        <w:rPr>
          <w:rFonts w:ascii="黑体" w:eastAsia="黑体" w:hint="eastAsia"/>
          <w:sz w:val="31"/>
        </w:rPr>
        <w:t>工程项目总价表</w:t>
      </w:r>
    </w:p>
    <w:p>
      <w:pPr>
        <w:pStyle w:val="BodyText"/>
        <w:spacing w:before="2"/>
        <w:rPr>
          <w:rFonts w:ascii="黑体"/>
          <w:sz w:val="10"/>
        </w:rPr>
      </w:pPr>
    </w:p>
    <w:p>
      <w:pPr>
        <w:spacing w:before="73"/>
        <w:ind w:left="226" w:right="0" w:firstLine="0"/>
        <w:jc w:val="left"/>
        <w:rPr>
          <w:sz w:val="22"/>
        </w:rPr>
      </w:pPr>
      <w:r>
        <w:rPr>
          <w:sz w:val="22"/>
        </w:rPr>
        <w:t>合同编号：(投标项目合同号) </w:t>
      </w:r>
    </w:p>
    <w:p>
      <w:pPr>
        <w:spacing w:before="184"/>
        <w:ind w:left="226" w:right="0" w:firstLine="0"/>
        <w:jc w:val="left"/>
        <w:rPr>
          <w:sz w:val="22"/>
        </w:rPr>
      </w:pPr>
      <w:r>
        <w:rPr/>
        <w:pict>
          <v:group style="position:absolute;margin-left:71.349998pt;margin-top:84.060471pt;width:446.15pt;height:432.65pt;mso-position-horizontal-relative:page;mso-position-vertical-relative:paragraph;z-index:-268472320" coordorigin="1427,1681" coordsize="8923,8653">
            <v:shape style="position:absolute;left:1563;top:1681;width:8786;height:8653" type="#_x0000_t75" stroked="false">
              <v:imagedata r:id="rId6" o:title=""/>
            </v:shape>
            <v:shape style="position:absolute;left:1427;top:4037;width:125;height:210" type="#_x0000_t202" filled="false" stroked="false">
              <v:textbox inset="0,0,0,0">
                <w:txbxContent>
                  <w:p>
                    <w:pPr>
                      <w:spacing w:line="210" w:lineRule="exact" w:before="0"/>
                      <w:ind w:left="0" w:right="0" w:firstLine="0"/>
                      <w:jc w:val="left"/>
                      <w:rPr>
                        <w:sz w:val="21"/>
                      </w:rPr>
                    </w:pPr>
                    <w:r>
                      <w:rPr>
                        <w:sz w:val="21"/>
                      </w:rPr>
                      <w:t> </w:t>
                    </w:r>
                  </w:p>
                </w:txbxContent>
              </v:textbox>
              <w10:wrap type="none"/>
            </v:shape>
            <v:shape style="position:absolute;left:1427;top:5462;width:6569;height:1760" type="#_x0000_t202" filled="false" stroked="false">
              <v:textbox inset="0,0,0,0">
                <w:txbxContent>
                  <w:p>
                    <w:pPr>
                      <w:spacing w:line="358" w:lineRule="exact" w:before="0"/>
                      <w:ind w:left="2583" w:right="0" w:firstLine="0"/>
                      <w:jc w:val="left"/>
                      <w:rPr>
                        <w:rFonts w:ascii="黑体" w:eastAsia="黑体" w:hint="eastAsia"/>
                        <w:sz w:val="31"/>
                      </w:rPr>
                    </w:pPr>
                    <w:r>
                      <w:rPr>
                        <w:rFonts w:ascii="黑体" w:eastAsia="黑体" w:hint="eastAsia"/>
                        <w:sz w:val="31"/>
                      </w:rPr>
                      <w:t>分组分项工程量清单报价表</w:t>
                    </w:r>
                  </w:p>
                  <w:p>
                    <w:pPr>
                      <w:spacing w:before="218"/>
                      <w:ind w:left="0" w:right="0" w:firstLine="0"/>
                      <w:jc w:val="left"/>
                      <w:rPr>
                        <w:sz w:val="22"/>
                      </w:rPr>
                    </w:pPr>
                    <w:r>
                      <w:rPr>
                        <w:sz w:val="22"/>
                      </w:rPr>
                      <w:t>合同编号：(投标项目合同号) </w:t>
                    </w:r>
                  </w:p>
                  <w:p>
                    <w:pPr>
                      <w:spacing w:line="460" w:lineRule="atLeast" w:before="6"/>
                      <w:ind w:left="0" w:right="1348" w:firstLine="0"/>
                      <w:jc w:val="left"/>
                      <w:rPr>
                        <w:sz w:val="22"/>
                      </w:rPr>
                    </w:pPr>
                    <w:r>
                      <w:rPr>
                        <w:sz w:val="22"/>
                      </w:rPr>
                      <w:t>工程名称：</w:t>
                    </w:r>
                    <w:r>
                      <w:rPr>
                        <w:sz w:val="22"/>
                        <w:u w:val="single"/>
                      </w:rPr>
                      <w:t>       </w:t>
                    </w:r>
                    <w:r>
                      <w:rPr>
                        <w:spacing w:val="1"/>
                        <w:sz w:val="22"/>
                      </w:rPr>
                      <w:t>(项目名称)</w:t>
                    </w:r>
                    <w:r>
                      <w:rPr>
                        <w:spacing w:val="14"/>
                        <w:sz w:val="22"/>
                        <w:u w:val="single"/>
                      </w:rPr>
                      <w:t>       </w:t>
                    </w:r>
                    <w:r>
                      <w:rPr>
                        <w:spacing w:val="1"/>
                        <w:sz w:val="22"/>
                      </w:rPr>
                      <w:t>(标段名称) </w:t>
                    </w:r>
                    <w:r>
                      <w:rPr>
                        <w:sz w:val="22"/>
                      </w:rPr>
                      <w:t>组号：</w:t>
                    </w:r>
                    <w:r>
                      <w:rPr>
                        <w:spacing w:val="108"/>
                        <w:sz w:val="22"/>
                        <w:u w:val="single"/>
                      </w:rPr>
                      <w:t> </w:t>
                    </w:r>
                    <w:r>
                      <w:rPr>
                        <w:sz w:val="22"/>
                      </w:rPr>
                      <w:t>分组名称：</w:t>
                    </w:r>
                    <w:r>
                      <w:rPr>
                        <w:sz w:val="22"/>
                        <w:u w:val="single"/>
                      </w:rPr>
                      <w:t> </w:t>
                    </w:r>
                    <w:r>
                      <w:rPr>
                        <w:spacing w:val="-28"/>
                        <w:sz w:val="22"/>
                        <w:u w:val="single"/>
                      </w:rPr>
                      <w:t> </w:t>
                    </w:r>
                    <w:r>
                      <w:rPr>
                        <w:w w:val="102"/>
                        <w:sz w:val="22"/>
                        <w:u w:val="single"/>
                      </w:rPr>
                      <w:t> </w:t>
                    </w:r>
                    <w:r>
                      <w:rPr>
                        <w:spacing w:val="2"/>
                        <w:sz w:val="22"/>
                        <w:u w:val="single"/>
                      </w:rPr>
                      <w:t> </w:t>
                    </w:r>
                    <w:r>
                      <w:rPr>
                        <w:w w:val="102"/>
                        <w:sz w:val="22"/>
                        <w:u w:val="single"/>
                      </w:rPr>
                      <w:t> </w:t>
                    </w:r>
                    <w:r>
                      <w:rPr>
                        <w:spacing w:val="-13"/>
                        <w:sz w:val="22"/>
                        <w:u w:val="single"/>
                      </w:rPr>
                      <w:t> </w:t>
                    </w:r>
                    <w:r>
                      <w:rPr>
                        <w:w w:val="102"/>
                        <w:sz w:val="22"/>
                        <w:u w:val="single"/>
                      </w:rPr>
                      <w:t> </w:t>
                    </w:r>
                    <w:r>
                      <w:rPr>
                        <w:spacing w:val="3"/>
                        <w:sz w:val="22"/>
                        <w:u w:val="single"/>
                      </w:rPr>
                      <w:t> </w:t>
                    </w:r>
                    <w:r>
                      <w:rPr>
                        <w:w w:val="102"/>
                        <w:sz w:val="22"/>
                      </w:rPr>
                      <w:t> </w:t>
                    </w:r>
                  </w:p>
                </w:txbxContent>
              </v:textbox>
              <w10:wrap type="none"/>
            </v:shape>
            <w10:wrap type="none"/>
          </v:group>
        </w:pict>
      </w:r>
      <w:r>
        <w:rPr>
          <w:sz w:val="22"/>
        </w:rPr>
        <w:t>工程名称：</w:t>
      </w:r>
      <w:r>
        <w:rPr>
          <w:spacing w:val="92"/>
          <w:sz w:val="22"/>
          <w:u w:val="single"/>
        </w:rPr>
        <w:t> </w:t>
      </w:r>
      <w:r>
        <w:rPr>
          <w:spacing w:val="1"/>
          <w:sz w:val="22"/>
        </w:rPr>
        <w:t>(项目名称)</w:t>
      </w:r>
      <w:r>
        <w:rPr>
          <w:spacing w:val="1"/>
          <w:sz w:val="22"/>
          <w:u w:val="single"/>
        </w:rPr>
        <w:t> </w:t>
      </w:r>
      <w:r>
        <w:rPr>
          <w:spacing w:val="1"/>
          <w:sz w:val="22"/>
        </w:rPr>
        <w:t>(标段名称)</w:t>
      </w:r>
      <w:r>
        <w:rPr>
          <w:sz w:val="22"/>
        </w:rPr>
        <w:t> </w:t>
      </w:r>
    </w:p>
    <w:p>
      <w:pPr>
        <w:pStyle w:val="BodyText"/>
        <w:rPr>
          <w:sz w:val="8"/>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23"/>
        <w:gridCol w:w="2343"/>
        <w:gridCol w:w="2343"/>
        <w:gridCol w:w="2178"/>
      </w:tblGrid>
      <w:tr>
        <w:trPr>
          <w:trHeight w:val="450" w:hRule="atLeast"/>
        </w:trPr>
        <w:tc>
          <w:tcPr>
            <w:tcW w:w="2223" w:type="dxa"/>
          </w:tcPr>
          <w:p>
            <w:pPr>
              <w:pStyle w:val="TableParagraph"/>
              <w:spacing w:before="90"/>
              <w:ind w:left="404" w:right="374"/>
              <w:jc w:val="center"/>
              <w:rPr>
                <w:sz w:val="21"/>
              </w:rPr>
            </w:pPr>
            <w:r>
              <w:rPr>
                <w:sz w:val="21"/>
              </w:rPr>
              <w:t>序号</w:t>
            </w:r>
          </w:p>
        </w:tc>
        <w:tc>
          <w:tcPr>
            <w:tcW w:w="2343" w:type="dxa"/>
          </w:tcPr>
          <w:p>
            <w:pPr>
              <w:pStyle w:val="TableParagraph"/>
              <w:spacing w:before="90"/>
              <w:ind w:left="724" w:right="724"/>
              <w:jc w:val="center"/>
              <w:rPr>
                <w:sz w:val="21"/>
              </w:rPr>
            </w:pPr>
            <w:r>
              <w:rPr>
                <w:sz w:val="21"/>
              </w:rPr>
              <w:t>项目名称</w:t>
            </w:r>
          </w:p>
        </w:tc>
        <w:tc>
          <w:tcPr>
            <w:tcW w:w="2343" w:type="dxa"/>
          </w:tcPr>
          <w:p>
            <w:pPr>
              <w:pStyle w:val="TableParagraph"/>
              <w:spacing w:before="90"/>
              <w:ind w:left="724" w:right="722"/>
              <w:jc w:val="center"/>
              <w:rPr>
                <w:rFonts w:ascii="Calibri" w:eastAsia="Calibri"/>
                <w:sz w:val="21"/>
              </w:rPr>
            </w:pPr>
            <w:r>
              <w:rPr>
                <w:sz w:val="21"/>
              </w:rPr>
              <w:t>金额</w:t>
            </w:r>
            <w:r>
              <w:rPr>
                <w:rFonts w:ascii="Calibri" w:eastAsia="Calibri"/>
                <w:sz w:val="21"/>
              </w:rPr>
              <w:t>(</w:t>
            </w:r>
            <w:r>
              <w:rPr>
                <w:sz w:val="21"/>
              </w:rPr>
              <w:t>元</w:t>
            </w:r>
            <w:r>
              <w:rPr>
                <w:rFonts w:ascii="Calibri" w:eastAsia="Calibri"/>
                <w:sz w:val="21"/>
              </w:rPr>
              <w:t>)</w:t>
            </w:r>
          </w:p>
        </w:tc>
        <w:tc>
          <w:tcPr>
            <w:tcW w:w="2178" w:type="dxa"/>
          </w:tcPr>
          <w:p>
            <w:pPr>
              <w:pStyle w:val="TableParagraph"/>
              <w:spacing w:before="90"/>
              <w:ind w:left="858" w:right="844"/>
              <w:jc w:val="center"/>
              <w:rPr>
                <w:sz w:val="21"/>
              </w:rPr>
            </w:pPr>
            <w:r>
              <w:rPr>
                <w:sz w:val="21"/>
              </w:rPr>
              <w:t>备注</w:t>
            </w: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50" w:hRule="atLeast"/>
        </w:trPr>
        <w:tc>
          <w:tcPr>
            <w:tcW w:w="2223" w:type="dxa"/>
          </w:tcPr>
          <w:p>
            <w:pPr>
              <w:pStyle w:val="TableParagraph"/>
              <w:rPr>
                <w:rFonts w:ascii="Times New Roman"/>
                <w:sz w:val="22"/>
              </w:rPr>
            </w:pPr>
          </w:p>
        </w:tc>
        <w:tc>
          <w:tcPr>
            <w:tcW w:w="2343" w:type="dxa"/>
          </w:tcPr>
          <w:p>
            <w:pPr>
              <w:pStyle w:val="TableParagraph"/>
              <w:spacing w:before="105"/>
              <w:ind w:left="724" w:right="722"/>
              <w:jc w:val="center"/>
              <w:rPr>
                <w:rFonts w:ascii="Calibri" w:eastAsia="Calibri"/>
                <w:sz w:val="21"/>
              </w:rPr>
            </w:pPr>
            <w:r>
              <w:rPr>
                <w:sz w:val="21"/>
              </w:rPr>
              <w:t>合计</w:t>
            </w:r>
            <w:r>
              <w:rPr>
                <w:rFonts w:ascii="Calibri" w:eastAsia="Calibri"/>
                <w:sz w:val="21"/>
              </w:rPr>
              <w:t>(A)</w:t>
            </w: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2118"/>
        <w:gridCol w:w="1292"/>
        <w:gridCol w:w="1413"/>
        <w:gridCol w:w="1142"/>
        <w:gridCol w:w="1097"/>
        <w:gridCol w:w="1172"/>
      </w:tblGrid>
      <w:tr>
        <w:trPr>
          <w:trHeight w:val="465" w:hRule="atLeast"/>
        </w:trPr>
        <w:tc>
          <w:tcPr>
            <w:tcW w:w="856" w:type="dxa"/>
          </w:tcPr>
          <w:p>
            <w:pPr>
              <w:pStyle w:val="TableParagraph"/>
              <w:spacing w:before="105"/>
              <w:ind w:left="217"/>
              <w:rPr>
                <w:sz w:val="21"/>
              </w:rPr>
            </w:pPr>
            <w:r>
              <w:rPr>
                <w:sz w:val="21"/>
              </w:rPr>
              <w:t>序号</w:t>
            </w:r>
          </w:p>
        </w:tc>
        <w:tc>
          <w:tcPr>
            <w:tcW w:w="2118" w:type="dxa"/>
          </w:tcPr>
          <w:p>
            <w:pPr>
              <w:pStyle w:val="TableParagraph"/>
              <w:spacing w:before="105"/>
              <w:ind w:left="623"/>
              <w:rPr>
                <w:sz w:val="21"/>
              </w:rPr>
            </w:pPr>
            <w:r>
              <w:rPr>
                <w:sz w:val="21"/>
              </w:rPr>
              <w:t>项目名称</w:t>
            </w:r>
          </w:p>
        </w:tc>
        <w:tc>
          <w:tcPr>
            <w:tcW w:w="1292" w:type="dxa"/>
          </w:tcPr>
          <w:p>
            <w:pPr>
              <w:pStyle w:val="TableParagraph"/>
              <w:spacing w:before="105"/>
              <w:ind w:left="217"/>
              <w:rPr>
                <w:sz w:val="21"/>
              </w:rPr>
            </w:pPr>
            <w:r>
              <w:rPr>
                <w:sz w:val="21"/>
              </w:rPr>
              <w:t>计量单位</w:t>
            </w:r>
          </w:p>
        </w:tc>
        <w:tc>
          <w:tcPr>
            <w:tcW w:w="1413" w:type="dxa"/>
          </w:tcPr>
          <w:p>
            <w:pPr>
              <w:pStyle w:val="TableParagraph"/>
              <w:spacing w:before="105"/>
              <w:ind w:left="277"/>
              <w:rPr>
                <w:sz w:val="21"/>
              </w:rPr>
            </w:pPr>
            <w:r>
              <w:rPr>
                <w:sz w:val="21"/>
              </w:rPr>
              <w:t>工程数量</w:t>
            </w:r>
          </w:p>
        </w:tc>
        <w:tc>
          <w:tcPr>
            <w:tcW w:w="1142" w:type="dxa"/>
          </w:tcPr>
          <w:p>
            <w:pPr>
              <w:pStyle w:val="TableParagraph"/>
              <w:spacing w:before="105"/>
              <w:ind w:left="185"/>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097" w:type="dxa"/>
          </w:tcPr>
          <w:p>
            <w:pPr>
              <w:pStyle w:val="TableParagraph"/>
              <w:spacing w:before="105"/>
              <w:ind w:left="154"/>
              <w:rPr>
                <w:rFonts w:ascii="Calibri" w:eastAsia="Calibri"/>
                <w:sz w:val="21"/>
              </w:rPr>
            </w:pPr>
            <w:r>
              <w:rPr>
                <w:sz w:val="21"/>
              </w:rPr>
              <w:t>合价</w:t>
            </w:r>
            <w:r>
              <w:rPr>
                <w:rFonts w:ascii="Calibri" w:eastAsia="Calibri"/>
                <w:sz w:val="21"/>
              </w:rPr>
              <w:t>(</w:t>
            </w:r>
            <w:r>
              <w:rPr>
                <w:sz w:val="21"/>
              </w:rPr>
              <w:t>元</w:t>
            </w:r>
            <w:r>
              <w:rPr>
                <w:rFonts w:ascii="Calibri" w:eastAsia="Calibri"/>
                <w:sz w:val="21"/>
              </w:rPr>
              <w:t>)</w:t>
            </w:r>
          </w:p>
        </w:tc>
        <w:tc>
          <w:tcPr>
            <w:tcW w:w="1172" w:type="dxa"/>
          </w:tcPr>
          <w:p>
            <w:pPr>
              <w:pStyle w:val="TableParagraph"/>
              <w:spacing w:before="105"/>
              <w:ind w:left="365"/>
              <w:rPr>
                <w:sz w:val="21"/>
              </w:rPr>
            </w:pPr>
            <w:r>
              <w:rPr>
                <w:sz w:val="21"/>
              </w:rPr>
              <w:t>备注</w:t>
            </w: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50"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2974" w:type="dxa"/>
            <w:gridSpan w:val="2"/>
          </w:tcPr>
          <w:p>
            <w:pPr>
              <w:pStyle w:val="TableParagraph"/>
              <w:spacing w:before="105"/>
              <w:ind w:left="232"/>
              <w:rPr>
                <w:sz w:val="21"/>
              </w:rPr>
            </w:pPr>
            <w:r>
              <w:rPr>
                <w:sz w:val="21"/>
              </w:rPr>
              <w:t>合计(汇入工程项目总价表) </w:t>
            </w: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bl>
    <w:p>
      <w:pPr>
        <w:spacing w:before="105"/>
        <w:ind w:left="226" w:right="0" w:firstLine="0"/>
        <w:jc w:val="left"/>
        <w:rPr>
          <w:sz w:val="21"/>
        </w:rPr>
      </w:pPr>
      <w:r>
        <w:rPr>
          <w:sz w:val="21"/>
        </w:rPr>
        <w:t>    注：工程量清单的项目分组按单位工程或专项工程模式进行分组。</w:t>
      </w:r>
    </w:p>
    <w:p>
      <w:pPr>
        <w:pStyle w:val="BodyText"/>
        <w:rPr>
          <w:sz w:val="20"/>
        </w:rPr>
      </w:pPr>
    </w:p>
    <w:p>
      <w:pPr>
        <w:pStyle w:val="BodyText"/>
        <w:rPr>
          <w:sz w:val="20"/>
        </w:rPr>
      </w:pPr>
    </w:p>
    <w:p>
      <w:pPr>
        <w:spacing w:before="149"/>
        <w:ind w:left="226" w:right="0" w:firstLine="0"/>
        <w:jc w:val="left"/>
        <w:rPr>
          <w:sz w:val="21"/>
        </w:rPr>
      </w:pPr>
      <w:r>
        <w:rPr>
          <w:sz w:val="21"/>
        </w:rPr>
        <w:t>    模式一：按单位工程分组。分组工程量清单报价表中的序号分为四段数字，其分段含意为：</w:t>
      </w:r>
    </w:p>
    <w:p>
      <w:pPr>
        <w:pStyle w:val="BodyText"/>
        <w:spacing w:before="6"/>
        <w:rPr>
          <w:sz w:val="16"/>
        </w:rPr>
      </w:pPr>
    </w:p>
    <w:p>
      <w:pPr>
        <w:spacing w:before="1"/>
        <w:ind w:left="647" w:right="0" w:firstLine="0"/>
        <w:jc w:val="left"/>
        <w:rPr>
          <w:sz w:val="21"/>
        </w:rPr>
      </w:pPr>
      <w:r>
        <w:rPr>
          <w:sz w:val="21"/>
        </w:rPr>
        <w:t>□第一段——□第二段——□第三段——□第四段</w:t>
      </w:r>
    </w:p>
    <w:p>
      <w:pPr>
        <w:spacing w:after="0"/>
        <w:jc w:val="left"/>
        <w:rPr>
          <w:sz w:val="21"/>
        </w:rPr>
        <w:sectPr>
          <w:pgSz w:w="11910" w:h="16850"/>
          <w:pgMar w:header="911" w:footer="0" w:top="1380" w:bottom="280" w:left="1200" w:right="0"/>
        </w:sectPr>
      </w:pPr>
    </w:p>
    <w:p>
      <w:pPr>
        <w:spacing w:line="415" w:lineRule="auto" w:before="150"/>
        <w:ind w:left="226" w:right="1341" w:firstLine="0"/>
        <w:jc w:val="both"/>
        <w:rPr>
          <w:sz w:val="21"/>
        </w:rPr>
      </w:pPr>
      <w:r>
        <w:rPr>
          <w:sz w:val="21"/>
        </w:rPr>
        <w:t>    第一段数字为分组号，代表单位工程序号；第二段数字为专业工程序号，与技术标准和要求</w:t>
      </w:r>
      <w:r>
        <w:rPr>
          <w:rFonts w:ascii="Calibri" w:eastAsia="Calibri"/>
          <w:sz w:val="21"/>
        </w:rPr>
        <w:t>(</w:t>
      </w:r>
      <w:r>
        <w:rPr>
          <w:sz w:val="21"/>
        </w:rPr>
        <w:t>合同技术条款</w:t>
      </w:r>
      <w:r>
        <w:rPr>
          <w:rFonts w:ascii="Calibri" w:eastAsia="Calibri"/>
          <w:sz w:val="21"/>
        </w:rPr>
        <w:t>)</w:t>
      </w:r>
      <w:r>
        <w:rPr>
          <w:sz w:val="21"/>
        </w:rPr>
        <w:t>的章号相一致；第三段数字为该专业工程下属的子项序号；第四段数字为第三段数字所指工程子项的下属孙项序号。</w:t>
      </w:r>
    </w:p>
    <w:p>
      <w:pPr>
        <w:spacing w:line="415" w:lineRule="auto" w:before="0"/>
        <w:ind w:left="226" w:right="1344" w:firstLine="0"/>
        <w:jc w:val="both"/>
        <w:rPr>
          <w:sz w:val="21"/>
        </w:rPr>
      </w:pPr>
      <w:r>
        <w:rPr>
          <w:sz w:val="21"/>
        </w:rPr>
        <w:t>    </w:t>
      </w:r>
      <w:r>
        <w:rPr>
          <w:spacing w:val="-4"/>
          <w:sz w:val="21"/>
        </w:rPr>
        <w:t>模式二：按技术标准和要求</w:t>
      </w:r>
      <w:r>
        <w:rPr>
          <w:rFonts w:ascii="Calibri" w:eastAsia="Calibri"/>
          <w:spacing w:val="-4"/>
          <w:sz w:val="21"/>
        </w:rPr>
        <w:t>(</w:t>
      </w:r>
      <w:r>
        <w:rPr>
          <w:sz w:val="21"/>
        </w:rPr>
        <w:t>合同技术条款</w:t>
      </w:r>
      <w:r>
        <w:rPr>
          <w:rFonts w:ascii="Calibri" w:eastAsia="Calibri"/>
          <w:spacing w:val="-4"/>
          <w:sz w:val="21"/>
        </w:rPr>
        <w:t>)</w:t>
      </w:r>
      <w:r>
        <w:rPr>
          <w:spacing w:val="-2"/>
          <w:sz w:val="21"/>
        </w:rPr>
        <w:t>各章的专项工程进行分组。分组工程量清单报价表中的序号分为四段数字，其分段含意为：</w:t>
      </w:r>
    </w:p>
    <w:p>
      <w:pPr>
        <w:spacing w:before="15"/>
        <w:ind w:left="647" w:right="0" w:firstLine="0"/>
        <w:jc w:val="left"/>
        <w:rPr>
          <w:sz w:val="21"/>
        </w:rPr>
      </w:pPr>
      <w:r>
        <w:rPr/>
        <w:pict>
          <v:group style="position:absolute;margin-left:71.349998pt;margin-top:12.060486pt;width:463.35pt;height:432.65pt;mso-position-horizontal-relative:page;mso-position-vertical-relative:paragraph;z-index:-268469248" coordorigin="1427,241" coordsize="9267,8653">
            <v:shape style="position:absolute;left:1563;top:241;width:8786;height:8653" type="#_x0000_t75" stroked="false">
              <v:imagedata r:id="rId6" o:title=""/>
            </v:shape>
            <v:shape style="position:absolute;left:1427;top:510;width:9267;height:1141" type="#_x0000_t202" filled="false" stroked="false">
              <v:textbox inset="0,0,0,0">
                <w:txbxContent>
                  <w:p>
                    <w:pPr>
                      <w:spacing w:line="240" w:lineRule="exact" w:before="0"/>
                      <w:ind w:left="0" w:right="0" w:firstLine="0"/>
                      <w:jc w:val="left"/>
                      <w:rPr>
                        <w:sz w:val="21"/>
                      </w:rPr>
                    </w:pPr>
                    <w:r>
                      <w:rPr>
                        <w:sz w:val="21"/>
                      </w:rPr>
                      <w:t>    </w:t>
                    </w:r>
                    <w:r>
                      <w:rPr>
                        <w:spacing w:val="-12"/>
                        <w:sz w:val="21"/>
                      </w:rPr>
                      <w:t>第一段数字为分组号，代表专项工程序号，与技术标准和要求</w:t>
                    </w:r>
                    <w:r>
                      <w:rPr>
                        <w:rFonts w:ascii="Calibri" w:eastAsia="Calibri"/>
                        <w:spacing w:val="-4"/>
                        <w:sz w:val="21"/>
                      </w:rPr>
                      <w:t>(</w:t>
                    </w:r>
                    <w:r>
                      <w:rPr>
                        <w:spacing w:val="2"/>
                        <w:sz w:val="21"/>
                      </w:rPr>
                      <w:t>合同技术条款</w:t>
                    </w:r>
                    <w:r>
                      <w:rPr>
                        <w:rFonts w:ascii="Calibri" w:eastAsia="Calibri"/>
                        <w:spacing w:val="-4"/>
                        <w:sz w:val="21"/>
                      </w:rPr>
                      <w:t>)</w:t>
                    </w:r>
                    <w:r>
                      <w:rPr>
                        <w:sz w:val="21"/>
                      </w:rPr>
                      <w:t>中各章的章号一致；</w:t>
                    </w:r>
                  </w:p>
                  <w:p>
                    <w:pPr>
                      <w:spacing w:line="466" w:lineRule="exact" w:before="33"/>
                      <w:ind w:left="0" w:right="18" w:firstLine="0"/>
                      <w:jc w:val="left"/>
                      <w:rPr>
                        <w:sz w:val="21"/>
                      </w:rPr>
                    </w:pPr>
                    <w:r>
                      <w:rPr>
                        <w:sz w:val="21"/>
                      </w:rPr>
                      <w:t>第二段数字为单位工程序号，同一单位工程在各分组工程量清单报价表中序号的第二段数字相同； </w:t>
                    </w:r>
                    <w:r>
                      <w:rPr>
                        <w:spacing w:val="-1"/>
                        <w:sz w:val="21"/>
                      </w:rPr>
                      <w:t>第三段数字为该单位工程下属的子项序号；第四段数字为第三段数字所指工程子项的下属孙项序号。</w:t>
                    </w:r>
                  </w:p>
                </w:txbxContent>
              </v:textbox>
              <w10:wrap type="none"/>
            </v:shape>
            <v:shape style="position:absolute;left:1427;top:2401;width:5908;height:1279" type="#_x0000_t202" filled="false" stroked="false">
              <v:textbox inset="0,0,0,0">
                <w:txbxContent>
                  <w:p>
                    <w:pPr>
                      <w:spacing w:line="358" w:lineRule="exact" w:before="0"/>
                      <w:ind w:left="3244" w:right="0" w:firstLine="0"/>
                      <w:jc w:val="left"/>
                      <w:rPr>
                        <w:rFonts w:ascii="黑体" w:eastAsia="黑体" w:hint="eastAsia"/>
                        <w:sz w:val="31"/>
                      </w:rPr>
                    </w:pPr>
                    <w:r>
                      <w:rPr>
                        <w:rFonts w:ascii="黑体" w:eastAsia="黑体" w:hint="eastAsia"/>
                        <w:sz w:val="31"/>
                      </w:rPr>
                      <w:t>计日工项目价报表</w:t>
                    </w:r>
                  </w:p>
                  <w:p>
                    <w:pPr>
                      <w:spacing w:before="203"/>
                      <w:ind w:left="0" w:right="0" w:firstLine="0"/>
                      <w:jc w:val="left"/>
                      <w:rPr>
                        <w:sz w:val="22"/>
                      </w:rPr>
                    </w:pPr>
                    <w:r>
                      <w:rPr>
                        <w:sz w:val="22"/>
                      </w:rPr>
                      <w:t>合同编号：(投标项目合同号) </w:t>
                    </w:r>
                  </w:p>
                  <w:p>
                    <w:pPr>
                      <w:spacing w:line="252" w:lineRule="exact" w:before="184"/>
                      <w:ind w:left="0" w:right="0" w:firstLine="0"/>
                      <w:jc w:val="left"/>
                      <w:rPr>
                        <w:sz w:val="22"/>
                      </w:rPr>
                    </w:pPr>
                    <w:r>
                      <w:rPr>
                        <w:sz w:val="22"/>
                      </w:rPr>
                      <w:t>工程名称：</w:t>
                    </w:r>
                    <w:r>
                      <w:rPr>
                        <w:spacing w:val="108"/>
                        <w:sz w:val="22"/>
                        <w:u w:val="single"/>
                      </w:rPr>
                      <w:t> </w:t>
                    </w:r>
                    <w:r>
                      <w:rPr>
                        <w:spacing w:val="1"/>
                        <w:sz w:val="22"/>
                      </w:rPr>
                      <w:t>(项目名称)</w:t>
                    </w:r>
                    <w:r>
                      <w:rPr>
                        <w:spacing w:val="1"/>
                        <w:sz w:val="22"/>
                        <w:u w:val="single"/>
                      </w:rPr>
                      <w:t> </w:t>
                    </w:r>
                    <w:r>
                      <w:rPr>
                        <w:spacing w:val="1"/>
                        <w:sz w:val="22"/>
                      </w:rPr>
                      <w:t>(标段名称)</w:t>
                    </w:r>
                    <w:r>
                      <w:rPr>
                        <w:sz w:val="22"/>
                      </w:rPr>
                      <w:t> </w:t>
                    </w:r>
                  </w:p>
                </w:txbxContent>
              </v:textbox>
              <w10:wrap type="none"/>
            </v:shape>
            <w10:wrap type="none"/>
          </v:group>
        </w:pict>
      </w:r>
      <w:r>
        <w:rPr>
          <w:sz w:val="21"/>
        </w:rPr>
        <w:t>□第一段———□第二段———□第三段———□第四段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5"/>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5"/>
        <w:gridCol w:w="2298"/>
        <w:gridCol w:w="1562"/>
        <w:gridCol w:w="1562"/>
        <w:gridCol w:w="1562"/>
        <w:gridCol w:w="1397"/>
      </w:tblGrid>
      <w:tr>
        <w:trPr>
          <w:trHeight w:val="450" w:hRule="atLeast"/>
        </w:trPr>
        <w:tc>
          <w:tcPr>
            <w:tcW w:w="705" w:type="dxa"/>
          </w:tcPr>
          <w:p>
            <w:pPr>
              <w:pStyle w:val="TableParagraph"/>
              <w:spacing w:before="90"/>
              <w:ind w:left="123" w:right="107"/>
              <w:jc w:val="center"/>
              <w:rPr>
                <w:sz w:val="21"/>
              </w:rPr>
            </w:pPr>
            <w:r>
              <w:rPr>
                <w:sz w:val="21"/>
              </w:rPr>
              <w:t>序号</w:t>
            </w:r>
          </w:p>
        </w:tc>
        <w:tc>
          <w:tcPr>
            <w:tcW w:w="2298" w:type="dxa"/>
          </w:tcPr>
          <w:p>
            <w:pPr>
              <w:pStyle w:val="TableParagraph"/>
              <w:spacing w:before="90"/>
              <w:ind w:left="170" w:right="153"/>
              <w:jc w:val="center"/>
              <w:rPr>
                <w:sz w:val="21"/>
              </w:rPr>
            </w:pPr>
            <w:r>
              <w:rPr>
                <w:sz w:val="21"/>
              </w:rPr>
              <w:t>名称</w:t>
            </w:r>
          </w:p>
        </w:tc>
        <w:tc>
          <w:tcPr>
            <w:tcW w:w="1562" w:type="dxa"/>
          </w:tcPr>
          <w:p>
            <w:pPr>
              <w:pStyle w:val="TableParagraph"/>
              <w:spacing w:before="90"/>
              <w:ind w:left="353"/>
              <w:rPr>
                <w:sz w:val="21"/>
              </w:rPr>
            </w:pPr>
            <w:r>
              <w:rPr>
                <w:sz w:val="21"/>
              </w:rPr>
              <w:t>型号规格</w:t>
            </w:r>
          </w:p>
        </w:tc>
        <w:tc>
          <w:tcPr>
            <w:tcW w:w="1562" w:type="dxa"/>
          </w:tcPr>
          <w:p>
            <w:pPr>
              <w:pStyle w:val="TableParagraph"/>
              <w:spacing w:before="90"/>
              <w:ind w:left="353"/>
              <w:rPr>
                <w:sz w:val="21"/>
              </w:rPr>
            </w:pPr>
            <w:r>
              <w:rPr>
                <w:sz w:val="21"/>
              </w:rPr>
              <w:t>计量单位</w:t>
            </w:r>
          </w:p>
        </w:tc>
        <w:tc>
          <w:tcPr>
            <w:tcW w:w="1562" w:type="dxa"/>
          </w:tcPr>
          <w:p>
            <w:pPr>
              <w:pStyle w:val="TableParagraph"/>
              <w:spacing w:before="90"/>
              <w:ind w:left="398"/>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397" w:type="dxa"/>
          </w:tcPr>
          <w:p>
            <w:pPr>
              <w:pStyle w:val="TableParagraph"/>
              <w:spacing w:before="90"/>
              <w:ind w:left="244" w:right="228"/>
              <w:jc w:val="center"/>
              <w:rPr>
                <w:sz w:val="21"/>
              </w:rPr>
            </w:pPr>
            <w:r>
              <w:rPr>
                <w:sz w:val="21"/>
              </w:rPr>
              <w:t>备注</w:t>
            </w:r>
          </w:p>
        </w:tc>
      </w:tr>
      <w:tr>
        <w:trPr>
          <w:trHeight w:val="465" w:hRule="atLeast"/>
        </w:trPr>
        <w:tc>
          <w:tcPr>
            <w:tcW w:w="705" w:type="dxa"/>
          </w:tcPr>
          <w:p>
            <w:pPr>
              <w:pStyle w:val="TableParagraph"/>
              <w:spacing w:before="100"/>
              <w:ind w:left="31"/>
              <w:jc w:val="center"/>
              <w:rPr>
                <w:rFonts w:ascii="Calibri"/>
                <w:sz w:val="21"/>
              </w:rPr>
            </w:pPr>
            <w:r>
              <w:rPr>
                <w:rFonts w:ascii="Calibri"/>
                <w:sz w:val="21"/>
              </w:rPr>
              <w:t>1</w:t>
            </w:r>
          </w:p>
        </w:tc>
        <w:tc>
          <w:tcPr>
            <w:tcW w:w="2298" w:type="dxa"/>
          </w:tcPr>
          <w:p>
            <w:pPr>
              <w:pStyle w:val="TableParagraph"/>
              <w:spacing w:before="105"/>
              <w:ind w:left="170" w:right="153"/>
              <w:jc w:val="center"/>
              <w:rPr>
                <w:sz w:val="21"/>
              </w:rPr>
            </w:pPr>
            <w:r>
              <w:rPr>
                <w:sz w:val="21"/>
              </w:rPr>
              <w:t>人工</w:t>
            </w: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tcPr>
          <w:p>
            <w:pPr>
              <w:pStyle w:val="TableParagraph"/>
              <w:spacing w:before="100"/>
              <w:ind w:left="31"/>
              <w:jc w:val="center"/>
              <w:rPr>
                <w:rFonts w:ascii="Calibri"/>
                <w:sz w:val="21"/>
              </w:rPr>
            </w:pPr>
            <w:r>
              <w:rPr>
                <w:rFonts w:ascii="Calibri"/>
                <w:sz w:val="21"/>
              </w:rPr>
              <w:t>2</w:t>
            </w:r>
          </w:p>
        </w:tc>
        <w:tc>
          <w:tcPr>
            <w:tcW w:w="2298" w:type="dxa"/>
          </w:tcPr>
          <w:p>
            <w:pPr>
              <w:pStyle w:val="TableParagraph"/>
              <w:spacing w:before="105"/>
              <w:ind w:left="170" w:right="153"/>
              <w:jc w:val="center"/>
              <w:rPr>
                <w:sz w:val="21"/>
              </w:rPr>
            </w:pPr>
            <w:r>
              <w:rPr>
                <w:sz w:val="21"/>
              </w:rPr>
              <w:t>材料</w:t>
            </w: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50" w:hRule="atLeast"/>
        </w:trPr>
        <w:tc>
          <w:tcPr>
            <w:tcW w:w="705" w:type="dxa"/>
          </w:tcPr>
          <w:p>
            <w:pPr>
              <w:pStyle w:val="TableParagraph"/>
              <w:spacing w:before="85"/>
              <w:ind w:left="31"/>
              <w:jc w:val="center"/>
              <w:rPr>
                <w:rFonts w:ascii="Calibri"/>
                <w:sz w:val="21"/>
              </w:rPr>
            </w:pPr>
            <w:r>
              <w:rPr>
                <w:rFonts w:ascii="Calibri"/>
                <w:sz w:val="21"/>
              </w:rPr>
              <w:t>3</w:t>
            </w:r>
          </w:p>
        </w:tc>
        <w:tc>
          <w:tcPr>
            <w:tcW w:w="2298" w:type="dxa"/>
          </w:tcPr>
          <w:p>
            <w:pPr>
              <w:pStyle w:val="TableParagraph"/>
              <w:spacing w:before="90"/>
              <w:ind w:left="170" w:right="153"/>
              <w:jc w:val="center"/>
              <w:rPr>
                <w:sz w:val="21"/>
              </w:rPr>
            </w:pPr>
            <w:r>
              <w:rPr>
                <w:sz w:val="21"/>
              </w:rPr>
              <w:t>机械</w:t>
            </w: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bl>
    <w:p>
      <w:pPr>
        <w:pStyle w:val="BodyText"/>
        <w:rPr>
          <w:sz w:val="20"/>
        </w:rPr>
      </w:pPr>
    </w:p>
    <w:p>
      <w:pPr>
        <w:pStyle w:val="BodyText"/>
        <w:rPr>
          <w:sz w:val="20"/>
        </w:rPr>
      </w:pPr>
    </w:p>
    <w:p>
      <w:pPr>
        <w:pStyle w:val="BodyText"/>
        <w:rPr>
          <w:sz w:val="20"/>
        </w:rPr>
      </w:pPr>
    </w:p>
    <w:p>
      <w:pPr>
        <w:pStyle w:val="BodyText"/>
        <w:spacing w:before="6"/>
        <w:rPr>
          <w:sz w:val="16"/>
        </w:rPr>
      </w:pPr>
    </w:p>
    <w:p>
      <w:pPr>
        <w:spacing w:after="0"/>
        <w:rPr>
          <w:sz w:val="16"/>
        </w:rPr>
        <w:sectPr>
          <w:pgSz w:w="11910" w:h="16850"/>
          <w:pgMar w:header="911" w:footer="0" w:top="1380" w:bottom="280" w:left="1200" w:right="0"/>
        </w:sectPr>
      </w:pPr>
    </w:p>
    <w:p>
      <w:pPr>
        <w:pStyle w:val="BodyText"/>
      </w:pPr>
    </w:p>
    <w:p>
      <w:pPr>
        <w:pStyle w:val="BodyText"/>
        <w:spacing w:before="5"/>
        <w:rPr>
          <w:sz w:val="21"/>
        </w:rPr>
      </w:pPr>
    </w:p>
    <w:p>
      <w:pPr>
        <w:pStyle w:val="BodyText"/>
        <w:ind w:left="226"/>
      </w:pPr>
      <w:r>
        <w:rPr/>
        <w:t>合同编号：(投标项目合同号) </w:t>
      </w:r>
    </w:p>
    <w:p>
      <w:pPr>
        <w:pStyle w:val="Heading4"/>
        <w:ind w:left="124"/>
      </w:pPr>
      <w:r>
        <w:rPr/>
        <w:br w:type="column"/>
      </w:r>
      <w:r>
        <w:rPr/>
        <w:t>工程单价汇总表</w:t>
      </w:r>
    </w:p>
    <w:p>
      <w:pPr>
        <w:spacing w:after="0"/>
        <w:sectPr>
          <w:type w:val="continuous"/>
          <w:pgSz w:w="11910" w:h="16850"/>
          <w:pgMar w:top="1380" w:bottom="280" w:left="1200" w:right="0"/>
          <w:cols w:num="2" w:equalWidth="0">
            <w:col w:w="3472" w:space="40"/>
            <w:col w:w="7198"/>
          </w:cols>
        </w:sectPr>
      </w:pPr>
    </w:p>
    <w:p>
      <w:pPr>
        <w:pStyle w:val="BodyText"/>
        <w:spacing w:before="8" w:after="7"/>
        <w:ind w:left="226"/>
      </w:pPr>
      <w:r>
        <w:rPr/>
        <w:t>工程名称：</w:t>
      </w:r>
      <w:r>
        <w:rPr>
          <w:spacing w:val="118"/>
          <w:u w:val="single"/>
        </w:rPr>
        <w:t> </w:t>
      </w:r>
      <w:r>
        <w:rPr/>
        <w:t>(项目名称)</w:t>
      </w:r>
      <w:r>
        <w:rPr>
          <w:u w:val="single"/>
        </w:rPr>
        <w:t>  </w:t>
      </w:r>
      <w:r>
        <w:rPr/>
        <w:t>(标段名称) </w:t>
      </w: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5"/>
        <w:gridCol w:w="886"/>
        <w:gridCol w:w="766"/>
        <w:gridCol w:w="616"/>
        <w:gridCol w:w="691"/>
        <w:gridCol w:w="946"/>
        <w:gridCol w:w="871"/>
        <w:gridCol w:w="781"/>
        <w:gridCol w:w="781"/>
        <w:gridCol w:w="766"/>
        <w:gridCol w:w="781"/>
        <w:gridCol w:w="751"/>
      </w:tblGrid>
      <w:tr>
        <w:trPr>
          <w:trHeight w:val="915" w:hRule="atLeast"/>
        </w:trPr>
        <w:tc>
          <w:tcPr>
            <w:tcW w:w="615" w:type="dxa"/>
          </w:tcPr>
          <w:p>
            <w:pPr>
              <w:pStyle w:val="TableParagraph"/>
              <w:spacing w:line="266" w:lineRule="auto" w:before="165"/>
              <w:ind w:left="202" w:right="185"/>
              <w:rPr>
                <w:sz w:val="21"/>
              </w:rPr>
            </w:pPr>
            <w:r>
              <w:rPr>
                <w:sz w:val="21"/>
              </w:rPr>
              <w:t>序号</w:t>
            </w:r>
          </w:p>
        </w:tc>
        <w:tc>
          <w:tcPr>
            <w:tcW w:w="886" w:type="dxa"/>
          </w:tcPr>
          <w:p>
            <w:pPr>
              <w:pStyle w:val="TableParagraph"/>
              <w:spacing w:line="266" w:lineRule="auto" w:before="165"/>
              <w:ind w:left="338" w:right="109" w:hanging="211"/>
              <w:rPr>
                <w:sz w:val="21"/>
              </w:rPr>
            </w:pPr>
            <w:r>
              <w:rPr>
                <w:sz w:val="21"/>
              </w:rPr>
              <w:t>项目名称</w:t>
            </w:r>
          </w:p>
        </w:tc>
        <w:tc>
          <w:tcPr>
            <w:tcW w:w="766" w:type="dxa"/>
          </w:tcPr>
          <w:p>
            <w:pPr>
              <w:pStyle w:val="TableParagraph"/>
              <w:spacing w:line="266" w:lineRule="auto" w:before="165"/>
              <w:ind w:left="173" w:right="154"/>
              <w:rPr>
                <w:sz w:val="21"/>
              </w:rPr>
            </w:pPr>
            <w:r>
              <w:rPr>
                <w:sz w:val="21"/>
              </w:rPr>
              <w:t>计量单位</w:t>
            </w:r>
          </w:p>
        </w:tc>
        <w:tc>
          <w:tcPr>
            <w:tcW w:w="616" w:type="dxa"/>
          </w:tcPr>
          <w:p>
            <w:pPr>
              <w:pStyle w:val="TableParagraph"/>
              <w:ind w:left="188"/>
              <w:rPr>
                <w:sz w:val="21"/>
              </w:rPr>
            </w:pPr>
            <w:r>
              <w:rPr>
                <w:sz w:val="21"/>
              </w:rPr>
              <w:t>人</w:t>
            </w:r>
          </w:p>
          <w:p>
            <w:pPr>
              <w:pStyle w:val="TableParagraph"/>
              <w:spacing w:line="310" w:lineRule="atLeast" w:before="5"/>
              <w:ind w:left="188" w:right="200"/>
              <w:rPr>
                <w:sz w:val="21"/>
              </w:rPr>
            </w:pPr>
            <w:r>
              <w:rPr>
                <w:sz w:val="21"/>
              </w:rPr>
              <w:t>工费</w:t>
            </w:r>
          </w:p>
        </w:tc>
        <w:tc>
          <w:tcPr>
            <w:tcW w:w="691" w:type="dxa"/>
          </w:tcPr>
          <w:p>
            <w:pPr>
              <w:pStyle w:val="TableParagraph"/>
              <w:spacing w:line="266" w:lineRule="auto" w:before="165"/>
              <w:ind w:left="233" w:right="125" w:hanging="106"/>
              <w:rPr>
                <w:sz w:val="21"/>
              </w:rPr>
            </w:pPr>
            <w:r>
              <w:rPr>
                <w:sz w:val="21"/>
              </w:rPr>
              <w:t>材料费</w:t>
            </w:r>
          </w:p>
        </w:tc>
        <w:tc>
          <w:tcPr>
            <w:tcW w:w="946" w:type="dxa"/>
          </w:tcPr>
          <w:p>
            <w:pPr>
              <w:pStyle w:val="TableParagraph"/>
              <w:spacing w:line="266" w:lineRule="auto" w:before="165"/>
              <w:ind w:left="263" w:right="139" w:hanging="105"/>
              <w:rPr>
                <w:sz w:val="21"/>
              </w:rPr>
            </w:pPr>
            <w:r>
              <w:rPr>
                <w:sz w:val="21"/>
              </w:rPr>
              <w:t>机械使用费</w:t>
            </w:r>
          </w:p>
        </w:tc>
        <w:tc>
          <w:tcPr>
            <w:tcW w:w="871" w:type="dxa"/>
          </w:tcPr>
          <w:p>
            <w:pPr>
              <w:pStyle w:val="TableParagraph"/>
              <w:spacing w:line="266" w:lineRule="auto" w:before="165"/>
              <w:ind w:left="218" w:right="109" w:hanging="106"/>
              <w:rPr>
                <w:sz w:val="21"/>
              </w:rPr>
            </w:pPr>
            <w:r>
              <w:rPr>
                <w:sz w:val="21"/>
              </w:rPr>
              <w:t>其它直接费</w:t>
            </w:r>
          </w:p>
        </w:tc>
        <w:tc>
          <w:tcPr>
            <w:tcW w:w="781" w:type="dxa"/>
          </w:tcPr>
          <w:p>
            <w:pPr>
              <w:pStyle w:val="TableParagraph"/>
              <w:spacing w:line="266" w:lineRule="auto" w:before="165"/>
              <w:ind w:left="173" w:right="169"/>
              <w:rPr>
                <w:sz w:val="21"/>
              </w:rPr>
            </w:pPr>
            <w:r>
              <w:rPr>
                <w:sz w:val="21"/>
              </w:rPr>
              <w:t>现场经费</w:t>
            </w:r>
          </w:p>
        </w:tc>
        <w:tc>
          <w:tcPr>
            <w:tcW w:w="781" w:type="dxa"/>
          </w:tcPr>
          <w:p>
            <w:pPr>
              <w:pStyle w:val="TableParagraph"/>
              <w:spacing w:line="266" w:lineRule="auto" w:before="165"/>
              <w:ind w:left="278" w:right="169" w:hanging="105"/>
              <w:rPr>
                <w:sz w:val="21"/>
              </w:rPr>
            </w:pPr>
            <w:r>
              <w:rPr>
                <w:sz w:val="21"/>
              </w:rPr>
              <w:t>间接费</w:t>
            </w:r>
          </w:p>
        </w:tc>
        <w:tc>
          <w:tcPr>
            <w:tcW w:w="766" w:type="dxa"/>
          </w:tcPr>
          <w:p>
            <w:pPr>
              <w:pStyle w:val="TableParagraph"/>
              <w:spacing w:line="266" w:lineRule="auto" w:before="165"/>
              <w:ind w:left="158" w:right="169"/>
              <w:rPr>
                <w:sz w:val="21"/>
              </w:rPr>
            </w:pPr>
            <w:r>
              <w:rPr>
                <w:sz w:val="21"/>
              </w:rPr>
              <w:t>企业利润</w:t>
            </w:r>
          </w:p>
        </w:tc>
        <w:tc>
          <w:tcPr>
            <w:tcW w:w="781" w:type="dxa"/>
          </w:tcPr>
          <w:p>
            <w:pPr>
              <w:pStyle w:val="TableParagraph"/>
              <w:spacing w:before="8"/>
              <w:rPr>
                <w:sz w:val="24"/>
              </w:rPr>
            </w:pPr>
          </w:p>
          <w:p>
            <w:pPr>
              <w:pStyle w:val="TableParagraph"/>
              <w:ind w:left="173"/>
              <w:rPr>
                <w:sz w:val="21"/>
              </w:rPr>
            </w:pPr>
            <w:r>
              <w:rPr>
                <w:sz w:val="21"/>
              </w:rPr>
              <w:t>税金</w:t>
            </w:r>
          </w:p>
        </w:tc>
        <w:tc>
          <w:tcPr>
            <w:tcW w:w="751" w:type="dxa"/>
          </w:tcPr>
          <w:p>
            <w:pPr>
              <w:pStyle w:val="TableParagraph"/>
              <w:spacing w:before="8"/>
              <w:rPr>
                <w:sz w:val="24"/>
              </w:rPr>
            </w:pPr>
          </w:p>
          <w:p>
            <w:pPr>
              <w:pStyle w:val="TableParagraph"/>
              <w:ind w:left="158"/>
              <w:rPr>
                <w:sz w:val="21"/>
              </w:rPr>
            </w:pPr>
            <w:r>
              <w:rPr>
                <w:sz w:val="21"/>
              </w:rPr>
              <w:t>合计</w:t>
            </w:r>
          </w:p>
        </w:tc>
      </w:tr>
    </w:tbl>
    <w:p>
      <w:pPr>
        <w:spacing w:after="0"/>
        <w:rPr>
          <w:sz w:val="21"/>
        </w:rPr>
        <w:sectPr>
          <w:type w:val="continuous"/>
          <w:pgSz w:w="11910" w:h="16850"/>
          <w:pgMar w:top="1380" w:bottom="280" w:left="1200" w:right="0"/>
        </w:sectPr>
      </w:pPr>
    </w:p>
    <w:p>
      <w:pPr>
        <w:pStyle w:val="BodyText"/>
        <w:spacing w:before="6"/>
        <w:rPr>
          <w:sz w:val="3"/>
        </w:rPr>
      </w:pPr>
    </w:p>
    <w:tbl>
      <w:tblPr>
        <w:tblW w:w="0" w:type="auto"/>
        <w:jc w:val="left"/>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15"/>
        <w:gridCol w:w="886"/>
        <w:gridCol w:w="766"/>
        <w:gridCol w:w="616"/>
        <w:gridCol w:w="691"/>
        <w:gridCol w:w="946"/>
        <w:gridCol w:w="871"/>
        <w:gridCol w:w="781"/>
        <w:gridCol w:w="781"/>
        <w:gridCol w:w="766"/>
        <w:gridCol w:w="781"/>
        <w:gridCol w:w="751"/>
      </w:tblGrid>
      <w:tr>
        <w:trPr>
          <w:trHeight w:val="613" w:hRule="atLeast"/>
        </w:trPr>
        <w:tc>
          <w:tcPr>
            <w:tcW w:w="615" w:type="dxa"/>
            <w:tcBorders>
              <w:left w:val="single" w:sz="6" w:space="0" w:color="000000"/>
              <w:bottom w:val="single" w:sz="6" w:space="0" w:color="000000"/>
              <w:right w:val="single" w:sz="6" w:space="0" w:color="000000"/>
            </w:tcBorders>
          </w:tcPr>
          <w:p>
            <w:pPr>
              <w:pStyle w:val="TableParagraph"/>
              <w:spacing w:before="162"/>
              <w:ind w:left="15"/>
              <w:jc w:val="center"/>
              <w:rPr>
                <w:sz w:val="21"/>
              </w:rPr>
            </w:pPr>
            <w:r>
              <w:rPr>
                <w:sz w:val="21"/>
              </w:rPr>
              <w:t>一</w:t>
            </w:r>
          </w:p>
        </w:tc>
        <w:tc>
          <w:tcPr>
            <w:tcW w:w="886" w:type="dxa"/>
            <w:tcBorders>
              <w:left w:val="single" w:sz="6" w:space="0" w:color="000000"/>
              <w:bottom w:val="single" w:sz="6" w:space="0" w:color="000000"/>
              <w:right w:val="single" w:sz="6" w:space="0" w:color="000000"/>
            </w:tcBorders>
          </w:tcPr>
          <w:p>
            <w:pPr>
              <w:pStyle w:val="TableParagraph"/>
              <w:spacing w:line="267" w:lineRule="exact"/>
              <w:ind w:left="108" w:right="92"/>
              <w:jc w:val="center"/>
              <w:rPr>
                <w:sz w:val="21"/>
              </w:rPr>
            </w:pPr>
            <w:r>
              <w:rPr>
                <w:sz w:val="21"/>
              </w:rPr>
              <w:t>建筑工</w:t>
            </w:r>
          </w:p>
          <w:p>
            <w:pPr>
              <w:pStyle w:val="TableParagraph"/>
              <w:spacing w:before="46"/>
              <w:ind w:left="16"/>
              <w:jc w:val="center"/>
              <w:rPr>
                <w:sz w:val="21"/>
              </w:rPr>
            </w:pPr>
            <w:r>
              <w:rPr>
                <w:sz w:val="21"/>
              </w:rPr>
              <w:t>程</w:t>
            </w:r>
          </w:p>
        </w:tc>
        <w:tc>
          <w:tcPr>
            <w:tcW w:w="766"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615"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spacing w:before="165"/>
              <w:ind w:left="15"/>
              <w:jc w:val="center"/>
              <w:rPr>
                <w:sz w:val="21"/>
              </w:rPr>
            </w:pPr>
            <w:r>
              <w:rPr>
                <w:sz w:val="21"/>
              </w:rPr>
              <w:t>二</w:t>
            </w:r>
          </w:p>
        </w:tc>
        <w:tc>
          <w:tcPr>
            <w:tcW w:w="886" w:type="dxa"/>
            <w:tcBorders>
              <w:top w:val="single" w:sz="6" w:space="0" w:color="000000"/>
              <w:left w:val="single" w:sz="6" w:space="0" w:color="000000"/>
              <w:bottom w:val="single" w:sz="6" w:space="0" w:color="000000"/>
              <w:right w:val="single" w:sz="6" w:space="0" w:color="000000"/>
            </w:tcBorders>
          </w:tcPr>
          <w:p>
            <w:pPr>
              <w:pStyle w:val="TableParagraph"/>
              <w:spacing w:before="15"/>
              <w:ind w:left="108" w:right="92"/>
              <w:jc w:val="center"/>
              <w:rPr>
                <w:sz w:val="21"/>
              </w:rPr>
            </w:pPr>
            <w:r>
              <w:rPr>
                <w:sz w:val="21"/>
              </w:rPr>
              <w:t>安装工</w:t>
            </w:r>
          </w:p>
          <w:p>
            <w:pPr>
              <w:pStyle w:val="TableParagraph"/>
              <w:spacing w:line="265" w:lineRule="exact" w:before="46"/>
              <w:ind w:left="16"/>
              <w:jc w:val="center"/>
              <w:rPr>
                <w:sz w:val="21"/>
              </w:rPr>
            </w:pPr>
            <w:r>
              <w:rPr>
                <w:sz w:val="21"/>
              </w:rPr>
              <w:t>程</w:t>
            </w: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615"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1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94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8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6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5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after="1"/>
        <w:rPr>
          <w:sz w:val="21"/>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11"/>
        <w:gridCol w:w="1172"/>
        <w:gridCol w:w="1157"/>
        <w:gridCol w:w="1172"/>
        <w:gridCol w:w="1172"/>
        <w:gridCol w:w="1172"/>
        <w:gridCol w:w="1172"/>
        <w:gridCol w:w="1127"/>
      </w:tblGrid>
      <w:tr>
        <w:trPr>
          <w:trHeight w:val="300" w:hRule="atLeast"/>
        </w:trPr>
        <w:tc>
          <w:tcPr>
            <w:tcW w:w="1111" w:type="dxa"/>
            <w:vMerge w:val="restart"/>
          </w:tcPr>
          <w:p>
            <w:pPr>
              <w:pStyle w:val="TableParagraph"/>
              <w:spacing w:before="7"/>
              <w:rPr>
                <w:sz w:val="24"/>
              </w:rPr>
            </w:pPr>
          </w:p>
          <w:p>
            <w:pPr>
              <w:pStyle w:val="TableParagraph"/>
              <w:spacing w:before="1"/>
              <w:ind w:left="337"/>
              <w:rPr>
                <w:sz w:val="21"/>
              </w:rPr>
            </w:pPr>
            <w:r>
              <w:rPr>
                <w:sz w:val="21"/>
              </w:rPr>
              <w:t>序号</w:t>
            </w:r>
          </w:p>
        </w:tc>
        <w:tc>
          <w:tcPr>
            <w:tcW w:w="1172" w:type="dxa"/>
            <w:vMerge w:val="restart"/>
          </w:tcPr>
          <w:p>
            <w:pPr>
              <w:pStyle w:val="TableParagraph"/>
              <w:spacing w:before="7"/>
              <w:rPr>
                <w:sz w:val="24"/>
              </w:rPr>
            </w:pPr>
          </w:p>
          <w:p>
            <w:pPr>
              <w:pStyle w:val="TableParagraph"/>
              <w:spacing w:before="1"/>
              <w:ind w:left="158"/>
              <w:rPr>
                <w:sz w:val="21"/>
              </w:rPr>
            </w:pPr>
            <w:r>
              <w:rPr>
                <w:sz w:val="21"/>
              </w:rPr>
              <w:t>工程类别</w:t>
            </w:r>
          </w:p>
        </w:tc>
        <w:tc>
          <w:tcPr>
            <w:tcW w:w="5845" w:type="dxa"/>
            <w:gridSpan w:val="5"/>
          </w:tcPr>
          <w:p>
            <w:pPr>
              <w:pStyle w:val="TableParagraph"/>
              <w:ind w:left="1951" w:right="1964"/>
              <w:jc w:val="center"/>
              <w:rPr>
                <w:rFonts w:ascii="Calibri" w:eastAsia="Calibri"/>
                <w:sz w:val="21"/>
              </w:rPr>
            </w:pPr>
            <w:r>
              <w:rPr>
                <w:sz w:val="21"/>
              </w:rPr>
              <w:t>工程单价费</w:t>
            </w:r>
            <w:r>
              <w:rPr>
                <w:rFonts w:ascii="Calibri" w:eastAsia="Calibri"/>
                <w:sz w:val="21"/>
              </w:rPr>
              <w:t>(</w:t>
            </w:r>
            <w:r>
              <w:rPr>
                <w:sz w:val="21"/>
              </w:rPr>
              <w:t>税</w:t>
            </w:r>
            <w:r>
              <w:rPr>
                <w:rFonts w:ascii="Calibri" w:eastAsia="Calibri"/>
                <w:sz w:val="21"/>
              </w:rPr>
              <w:t>)</w:t>
            </w:r>
            <w:r>
              <w:rPr>
                <w:sz w:val="21"/>
              </w:rPr>
              <w:t>率</w:t>
            </w:r>
            <w:r>
              <w:rPr>
                <w:rFonts w:ascii="Calibri" w:eastAsia="Calibri"/>
                <w:sz w:val="21"/>
              </w:rPr>
              <w:t>(%)</w:t>
            </w:r>
          </w:p>
        </w:tc>
        <w:tc>
          <w:tcPr>
            <w:tcW w:w="1127" w:type="dxa"/>
            <w:vMerge w:val="restart"/>
          </w:tcPr>
          <w:p>
            <w:pPr>
              <w:pStyle w:val="TableParagraph"/>
              <w:spacing w:before="7"/>
              <w:rPr>
                <w:sz w:val="24"/>
              </w:rPr>
            </w:pPr>
          </w:p>
          <w:p>
            <w:pPr>
              <w:pStyle w:val="TableParagraph"/>
              <w:spacing w:before="1"/>
              <w:ind w:left="335"/>
              <w:rPr>
                <w:sz w:val="21"/>
              </w:rPr>
            </w:pPr>
            <w:r>
              <w:rPr>
                <w:sz w:val="21"/>
              </w:rPr>
              <w:t>备注</w:t>
            </w:r>
          </w:p>
        </w:tc>
      </w:tr>
      <w:tr>
        <w:trPr>
          <w:trHeight w:val="616" w:hRule="atLeast"/>
        </w:trPr>
        <w:tc>
          <w:tcPr>
            <w:tcW w:w="1111" w:type="dxa"/>
            <w:vMerge/>
            <w:tcBorders>
              <w:top w:val="nil"/>
            </w:tcBorders>
          </w:tcPr>
          <w:p>
            <w:pPr>
              <w:rPr>
                <w:sz w:val="2"/>
                <w:szCs w:val="2"/>
              </w:rPr>
            </w:pPr>
          </w:p>
        </w:tc>
        <w:tc>
          <w:tcPr>
            <w:tcW w:w="1172" w:type="dxa"/>
            <w:vMerge/>
            <w:tcBorders>
              <w:top w:val="nil"/>
            </w:tcBorders>
          </w:tcPr>
          <w:p>
            <w:pPr>
              <w:rPr>
                <w:sz w:val="2"/>
                <w:szCs w:val="2"/>
              </w:rPr>
            </w:pPr>
          </w:p>
        </w:tc>
        <w:tc>
          <w:tcPr>
            <w:tcW w:w="1157" w:type="dxa"/>
          </w:tcPr>
          <w:p>
            <w:pPr>
              <w:pStyle w:val="TableParagraph"/>
              <w:spacing w:before="15"/>
              <w:ind w:left="124" w:right="138"/>
              <w:jc w:val="center"/>
              <w:rPr>
                <w:sz w:val="21"/>
              </w:rPr>
            </w:pPr>
            <w:r>
              <w:rPr>
                <w:sz w:val="21"/>
              </w:rPr>
              <w:t>其它直接</w:t>
            </w:r>
          </w:p>
          <w:p>
            <w:pPr>
              <w:pStyle w:val="TableParagraph"/>
              <w:spacing w:before="31"/>
              <w:ind w:right="14"/>
              <w:jc w:val="center"/>
              <w:rPr>
                <w:sz w:val="21"/>
              </w:rPr>
            </w:pPr>
            <w:r>
              <w:rPr>
                <w:sz w:val="21"/>
              </w:rPr>
              <w:t>费</w:t>
            </w:r>
          </w:p>
        </w:tc>
        <w:tc>
          <w:tcPr>
            <w:tcW w:w="1172" w:type="dxa"/>
          </w:tcPr>
          <w:p>
            <w:pPr>
              <w:pStyle w:val="TableParagraph"/>
              <w:spacing w:before="165"/>
              <w:ind w:left="157"/>
              <w:rPr>
                <w:sz w:val="21"/>
              </w:rPr>
            </w:pPr>
            <w:r>
              <w:rPr>
                <w:sz w:val="21"/>
              </w:rPr>
              <w:t>现场经费</w:t>
            </w:r>
          </w:p>
        </w:tc>
        <w:tc>
          <w:tcPr>
            <w:tcW w:w="1172" w:type="dxa"/>
          </w:tcPr>
          <w:p>
            <w:pPr>
              <w:pStyle w:val="TableParagraph"/>
              <w:spacing w:before="165"/>
              <w:ind w:left="261"/>
              <w:rPr>
                <w:sz w:val="21"/>
              </w:rPr>
            </w:pPr>
            <w:r>
              <w:rPr>
                <w:sz w:val="21"/>
              </w:rPr>
              <w:t>间接费</w:t>
            </w:r>
          </w:p>
        </w:tc>
        <w:tc>
          <w:tcPr>
            <w:tcW w:w="1172" w:type="dxa"/>
          </w:tcPr>
          <w:p>
            <w:pPr>
              <w:pStyle w:val="TableParagraph"/>
              <w:spacing w:before="165"/>
              <w:ind w:left="156"/>
              <w:rPr>
                <w:sz w:val="21"/>
              </w:rPr>
            </w:pPr>
            <w:r>
              <w:rPr>
                <w:sz w:val="21"/>
              </w:rPr>
              <w:t>企业利润</w:t>
            </w:r>
          </w:p>
        </w:tc>
        <w:tc>
          <w:tcPr>
            <w:tcW w:w="1172" w:type="dxa"/>
          </w:tcPr>
          <w:p>
            <w:pPr>
              <w:pStyle w:val="TableParagraph"/>
              <w:spacing w:before="165"/>
              <w:ind w:left="365"/>
              <w:rPr>
                <w:sz w:val="21"/>
              </w:rPr>
            </w:pPr>
            <w:r>
              <w:rPr>
                <w:sz w:val="21"/>
              </w:rPr>
              <w:t>税金</w:t>
            </w:r>
          </w:p>
        </w:tc>
        <w:tc>
          <w:tcPr>
            <w:tcW w:w="1127" w:type="dxa"/>
            <w:vMerge/>
            <w:tcBorders>
              <w:top w:val="nil"/>
            </w:tcBorders>
          </w:tcPr>
          <w:p>
            <w:pPr>
              <w:rPr>
                <w:sz w:val="2"/>
                <w:szCs w:val="2"/>
              </w:rPr>
            </w:pPr>
          </w:p>
        </w:tc>
      </w:tr>
      <w:tr>
        <w:trPr>
          <w:trHeight w:val="315" w:hRule="atLeast"/>
        </w:trPr>
        <w:tc>
          <w:tcPr>
            <w:tcW w:w="1111" w:type="dxa"/>
          </w:tcPr>
          <w:p>
            <w:pPr>
              <w:pStyle w:val="TableParagraph"/>
              <w:spacing w:before="15"/>
              <w:ind w:left="443"/>
              <w:rPr>
                <w:sz w:val="21"/>
              </w:rPr>
            </w:pPr>
            <w:r>
              <w:rPr>
                <w:sz w:val="21"/>
              </w:rPr>
              <w:t>一</w:t>
            </w:r>
          </w:p>
        </w:tc>
        <w:tc>
          <w:tcPr>
            <w:tcW w:w="1172" w:type="dxa"/>
          </w:tcPr>
          <w:p>
            <w:pPr>
              <w:pStyle w:val="TableParagraph"/>
              <w:spacing w:before="15"/>
              <w:ind w:left="139" w:right="138"/>
              <w:jc w:val="center"/>
              <w:rPr>
                <w:sz w:val="21"/>
              </w:rPr>
            </w:pPr>
            <w:r>
              <w:rPr>
                <w:sz w:val="21"/>
              </w:rPr>
              <w:t>建筑工程</w:t>
            </w: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r>
        <w:trPr>
          <w:trHeight w:val="300" w:hRule="atLeast"/>
        </w:trPr>
        <w:tc>
          <w:tcPr>
            <w:tcW w:w="1111" w:type="dxa"/>
          </w:tcPr>
          <w:p>
            <w:pPr>
              <w:pStyle w:val="TableParagraph"/>
              <w:rPr>
                <w:rFonts w:ascii="Times New Roman"/>
                <w:sz w:val="22"/>
              </w:rPr>
            </w:pPr>
          </w:p>
        </w:tc>
        <w:tc>
          <w:tcPr>
            <w:tcW w:w="1172" w:type="dxa"/>
          </w:tcPr>
          <w:p>
            <w:pPr>
              <w:pStyle w:val="TableParagraph"/>
              <w:rPr>
                <w:rFonts w:ascii="Times New Roman"/>
                <w:sz w:val="22"/>
              </w:rPr>
            </w:pP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r>
        <w:trPr>
          <w:trHeight w:val="315" w:hRule="atLeast"/>
        </w:trPr>
        <w:tc>
          <w:tcPr>
            <w:tcW w:w="1111" w:type="dxa"/>
          </w:tcPr>
          <w:p>
            <w:pPr>
              <w:pStyle w:val="TableParagraph"/>
              <w:rPr>
                <w:rFonts w:ascii="Times New Roman"/>
                <w:sz w:val="22"/>
              </w:rPr>
            </w:pPr>
          </w:p>
        </w:tc>
        <w:tc>
          <w:tcPr>
            <w:tcW w:w="1172" w:type="dxa"/>
          </w:tcPr>
          <w:p>
            <w:pPr>
              <w:pStyle w:val="TableParagraph"/>
              <w:rPr>
                <w:rFonts w:ascii="Times New Roman"/>
                <w:sz w:val="22"/>
              </w:rPr>
            </w:pP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r>
        <w:trPr>
          <w:trHeight w:val="300" w:hRule="atLeast"/>
        </w:trPr>
        <w:tc>
          <w:tcPr>
            <w:tcW w:w="1111" w:type="dxa"/>
          </w:tcPr>
          <w:p>
            <w:pPr>
              <w:pStyle w:val="TableParagraph"/>
              <w:rPr>
                <w:rFonts w:ascii="Times New Roman"/>
                <w:sz w:val="22"/>
              </w:rPr>
            </w:pPr>
          </w:p>
        </w:tc>
        <w:tc>
          <w:tcPr>
            <w:tcW w:w="1172" w:type="dxa"/>
          </w:tcPr>
          <w:p>
            <w:pPr>
              <w:pStyle w:val="TableParagraph"/>
              <w:rPr>
                <w:rFonts w:ascii="Times New Roman"/>
                <w:sz w:val="22"/>
              </w:rPr>
            </w:pP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r>
        <w:trPr>
          <w:trHeight w:val="315" w:hRule="atLeast"/>
        </w:trPr>
        <w:tc>
          <w:tcPr>
            <w:tcW w:w="1111" w:type="dxa"/>
          </w:tcPr>
          <w:p>
            <w:pPr>
              <w:pStyle w:val="TableParagraph"/>
              <w:spacing w:before="15"/>
              <w:ind w:left="443"/>
              <w:rPr>
                <w:sz w:val="21"/>
              </w:rPr>
            </w:pPr>
            <w:r>
              <w:rPr>
                <w:sz w:val="21"/>
              </w:rPr>
              <w:t>二</w:t>
            </w:r>
          </w:p>
        </w:tc>
        <w:tc>
          <w:tcPr>
            <w:tcW w:w="1172" w:type="dxa"/>
          </w:tcPr>
          <w:p>
            <w:pPr>
              <w:pStyle w:val="TableParagraph"/>
              <w:spacing w:before="15"/>
              <w:ind w:left="139" w:right="138"/>
              <w:jc w:val="center"/>
              <w:rPr>
                <w:sz w:val="21"/>
              </w:rPr>
            </w:pPr>
            <w:r>
              <w:rPr>
                <w:sz w:val="21"/>
              </w:rPr>
              <w:t>安装工程</w:t>
            </w: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r>
        <w:trPr>
          <w:trHeight w:val="300" w:hRule="atLeast"/>
        </w:trPr>
        <w:tc>
          <w:tcPr>
            <w:tcW w:w="1111" w:type="dxa"/>
          </w:tcPr>
          <w:p>
            <w:pPr>
              <w:pStyle w:val="TableParagraph"/>
              <w:rPr>
                <w:rFonts w:ascii="Times New Roman"/>
                <w:sz w:val="22"/>
              </w:rPr>
            </w:pPr>
          </w:p>
        </w:tc>
        <w:tc>
          <w:tcPr>
            <w:tcW w:w="1172" w:type="dxa"/>
          </w:tcPr>
          <w:p>
            <w:pPr>
              <w:pStyle w:val="TableParagraph"/>
              <w:rPr>
                <w:rFonts w:ascii="Times New Roman"/>
                <w:sz w:val="22"/>
              </w:rPr>
            </w:pP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r>
        <w:trPr>
          <w:trHeight w:val="300" w:hRule="atLeast"/>
        </w:trPr>
        <w:tc>
          <w:tcPr>
            <w:tcW w:w="1111" w:type="dxa"/>
          </w:tcPr>
          <w:p>
            <w:pPr>
              <w:pStyle w:val="TableParagraph"/>
              <w:rPr>
                <w:rFonts w:ascii="Times New Roman"/>
                <w:sz w:val="22"/>
              </w:rPr>
            </w:pPr>
          </w:p>
        </w:tc>
        <w:tc>
          <w:tcPr>
            <w:tcW w:w="1172" w:type="dxa"/>
          </w:tcPr>
          <w:p>
            <w:pPr>
              <w:pStyle w:val="TableParagraph"/>
              <w:rPr>
                <w:rFonts w:ascii="Times New Roman"/>
                <w:sz w:val="22"/>
              </w:rPr>
            </w:pPr>
          </w:p>
        </w:tc>
        <w:tc>
          <w:tcPr>
            <w:tcW w:w="1157"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72" w:type="dxa"/>
          </w:tcPr>
          <w:p>
            <w:pPr>
              <w:pStyle w:val="TableParagraph"/>
              <w:rPr>
                <w:rFonts w:ascii="Times New Roman"/>
                <w:sz w:val="22"/>
              </w:rPr>
            </w:pPr>
          </w:p>
        </w:tc>
        <w:tc>
          <w:tcPr>
            <w:tcW w:w="1127"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1"/>
        <w:gridCol w:w="707"/>
        <w:gridCol w:w="842"/>
        <w:gridCol w:w="782"/>
        <w:gridCol w:w="767"/>
        <w:gridCol w:w="857"/>
        <w:gridCol w:w="1037"/>
        <w:gridCol w:w="691"/>
        <w:gridCol w:w="706"/>
        <w:gridCol w:w="691"/>
        <w:gridCol w:w="796"/>
        <w:gridCol w:w="811"/>
      </w:tblGrid>
      <w:tr>
        <w:trPr>
          <w:trHeight w:val="615" w:hRule="atLeast"/>
        </w:trPr>
        <w:tc>
          <w:tcPr>
            <w:tcW w:w="571" w:type="dxa"/>
          </w:tcPr>
          <w:p>
            <w:pPr>
              <w:pStyle w:val="TableParagraph"/>
              <w:spacing w:before="15"/>
              <w:ind w:left="172"/>
              <w:rPr>
                <w:sz w:val="21"/>
              </w:rPr>
            </w:pPr>
            <w:r>
              <w:rPr>
                <w:sz w:val="21"/>
              </w:rPr>
              <w:t>序</w:t>
            </w:r>
          </w:p>
          <w:p>
            <w:pPr>
              <w:pStyle w:val="TableParagraph"/>
              <w:spacing w:line="265" w:lineRule="exact" w:before="46"/>
              <w:ind w:left="172"/>
              <w:rPr>
                <w:sz w:val="21"/>
              </w:rPr>
            </w:pPr>
            <w:r>
              <w:rPr>
                <w:sz w:val="21"/>
              </w:rPr>
              <w:t>号</w:t>
            </w:r>
          </w:p>
        </w:tc>
        <w:tc>
          <w:tcPr>
            <w:tcW w:w="707" w:type="dxa"/>
          </w:tcPr>
          <w:p>
            <w:pPr>
              <w:pStyle w:val="TableParagraph"/>
              <w:spacing w:before="165"/>
              <w:ind w:left="126"/>
              <w:rPr>
                <w:sz w:val="21"/>
              </w:rPr>
            </w:pPr>
            <w:r>
              <w:rPr>
                <w:sz w:val="21"/>
              </w:rPr>
              <w:t>名称</w:t>
            </w:r>
          </w:p>
        </w:tc>
        <w:tc>
          <w:tcPr>
            <w:tcW w:w="842" w:type="dxa"/>
          </w:tcPr>
          <w:p>
            <w:pPr>
              <w:pStyle w:val="TableParagraph"/>
              <w:spacing w:before="15"/>
              <w:ind w:left="201"/>
              <w:rPr>
                <w:sz w:val="21"/>
              </w:rPr>
            </w:pPr>
            <w:r>
              <w:rPr>
                <w:sz w:val="21"/>
              </w:rPr>
              <w:t>型号</w:t>
            </w:r>
          </w:p>
          <w:p>
            <w:pPr>
              <w:pStyle w:val="TableParagraph"/>
              <w:spacing w:line="265" w:lineRule="exact" w:before="46"/>
              <w:ind w:left="201"/>
              <w:rPr>
                <w:sz w:val="21"/>
              </w:rPr>
            </w:pPr>
            <w:r>
              <w:rPr>
                <w:sz w:val="21"/>
              </w:rPr>
              <w:t>规格</w:t>
            </w:r>
          </w:p>
        </w:tc>
        <w:tc>
          <w:tcPr>
            <w:tcW w:w="782" w:type="dxa"/>
          </w:tcPr>
          <w:p>
            <w:pPr>
              <w:pStyle w:val="TableParagraph"/>
              <w:spacing w:before="15"/>
              <w:ind w:left="170"/>
              <w:rPr>
                <w:sz w:val="21"/>
              </w:rPr>
            </w:pPr>
            <w:r>
              <w:rPr>
                <w:sz w:val="21"/>
              </w:rPr>
              <w:t>计量</w:t>
            </w:r>
          </w:p>
          <w:p>
            <w:pPr>
              <w:pStyle w:val="TableParagraph"/>
              <w:spacing w:line="265" w:lineRule="exact" w:before="46"/>
              <w:ind w:left="170"/>
              <w:rPr>
                <w:sz w:val="21"/>
              </w:rPr>
            </w:pPr>
            <w:r>
              <w:rPr>
                <w:sz w:val="21"/>
              </w:rPr>
              <w:t>单位</w:t>
            </w:r>
          </w:p>
        </w:tc>
        <w:tc>
          <w:tcPr>
            <w:tcW w:w="767" w:type="dxa"/>
          </w:tcPr>
          <w:p>
            <w:pPr>
              <w:pStyle w:val="TableParagraph"/>
              <w:spacing w:before="15"/>
              <w:ind w:left="135" w:right="156"/>
              <w:jc w:val="center"/>
              <w:rPr>
                <w:sz w:val="21"/>
              </w:rPr>
            </w:pPr>
            <w:r>
              <w:rPr>
                <w:sz w:val="21"/>
              </w:rPr>
              <w:t>人工</w:t>
            </w:r>
          </w:p>
          <w:p>
            <w:pPr>
              <w:pStyle w:val="TableParagraph"/>
              <w:spacing w:line="265" w:lineRule="exact" w:before="46"/>
              <w:ind w:right="22"/>
              <w:jc w:val="center"/>
              <w:rPr>
                <w:sz w:val="21"/>
              </w:rPr>
            </w:pPr>
            <w:r>
              <w:rPr>
                <w:sz w:val="21"/>
              </w:rPr>
              <w:t>费</w:t>
            </w:r>
          </w:p>
        </w:tc>
        <w:tc>
          <w:tcPr>
            <w:tcW w:w="857" w:type="dxa"/>
          </w:tcPr>
          <w:p>
            <w:pPr>
              <w:pStyle w:val="TableParagraph"/>
              <w:spacing w:before="15"/>
              <w:ind w:left="193" w:right="188"/>
              <w:jc w:val="center"/>
              <w:rPr>
                <w:sz w:val="21"/>
              </w:rPr>
            </w:pPr>
            <w:r>
              <w:rPr>
                <w:sz w:val="21"/>
              </w:rPr>
              <w:t>材料</w:t>
            </w:r>
          </w:p>
          <w:p>
            <w:pPr>
              <w:pStyle w:val="TableParagraph"/>
              <w:spacing w:line="265" w:lineRule="exact" w:before="46"/>
              <w:ind w:left="5"/>
              <w:jc w:val="center"/>
              <w:rPr>
                <w:sz w:val="21"/>
              </w:rPr>
            </w:pPr>
            <w:r>
              <w:rPr>
                <w:sz w:val="21"/>
              </w:rPr>
              <w:t>费</w:t>
            </w:r>
          </w:p>
        </w:tc>
        <w:tc>
          <w:tcPr>
            <w:tcW w:w="1037" w:type="dxa"/>
          </w:tcPr>
          <w:p>
            <w:pPr>
              <w:pStyle w:val="TableParagraph"/>
              <w:spacing w:before="15"/>
              <w:ind w:left="164" w:right="187"/>
              <w:jc w:val="center"/>
              <w:rPr>
                <w:sz w:val="21"/>
              </w:rPr>
            </w:pPr>
            <w:r>
              <w:rPr>
                <w:sz w:val="21"/>
              </w:rPr>
              <w:t>机械使</w:t>
            </w:r>
          </w:p>
          <w:p>
            <w:pPr>
              <w:pStyle w:val="TableParagraph"/>
              <w:spacing w:line="265" w:lineRule="exact" w:before="46"/>
              <w:ind w:left="162" w:right="187"/>
              <w:jc w:val="center"/>
              <w:rPr>
                <w:sz w:val="21"/>
              </w:rPr>
            </w:pPr>
            <w:r>
              <w:rPr>
                <w:sz w:val="21"/>
              </w:rPr>
              <w:t>用费</w:t>
            </w: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spacing w:before="165"/>
              <w:ind w:left="181"/>
              <w:rPr>
                <w:sz w:val="21"/>
              </w:rPr>
            </w:pPr>
            <w:r>
              <w:rPr>
                <w:sz w:val="21"/>
              </w:rPr>
              <w:t>合计</w:t>
            </w:r>
          </w:p>
        </w:tc>
        <w:tc>
          <w:tcPr>
            <w:tcW w:w="811" w:type="dxa"/>
          </w:tcPr>
          <w:p>
            <w:pPr>
              <w:pStyle w:val="TableParagraph"/>
              <w:spacing w:before="165"/>
              <w:ind w:left="181"/>
              <w:rPr>
                <w:sz w:val="21"/>
              </w:rPr>
            </w:pPr>
            <w:r>
              <w:rPr>
                <w:sz w:val="21"/>
              </w:rPr>
              <w:t>备注</w:t>
            </w:r>
          </w:p>
        </w:tc>
      </w:tr>
      <w:tr>
        <w:trPr>
          <w:trHeight w:val="315"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r>
        <w:trPr>
          <w:trHeight w:val="300"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r>
        <w:trPr>
          <w:trHeight w:val="315"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r>
        <w:trPr>
          <w:trHeight w:val="300"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r>
        <w:trPr>
          <w:trHeight w:val="315"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r>
        <w:trPr>
          <w:trHeight w:val="300"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r>
        <w:trPr>
          <w:trHeight w:val="300" w:hRule="atLeast"/>
        </w:trPr>
        <w:tc>
          <w:tcPr>
            <w:tcW w:w="571" w:type="dxa"/>
          </w:tcPr>
          <w:p>
            <w:pPr>
              <w:pStyle w:val="TableParagraph"/>
              <w:rPr>
                <w:rFonts w:ascii="Times New Roman"/>
                <w:sz w:val="22"/>
              </w:rPr>
            </w:pPr>
          </w:p>
        </w:tc>
        <w:tc>
          <w:tcPr>
            <w:tcW w:w="707" w:type="dxa"/>
          </w:tcPr>
          <w:p>
            <w:pPr>
              <w:pStyle w:val="TableParagraph"/>
              <w:rPr>
                <w:rFonts w:ascii="Times New Roman"/>
                <w:sz w:val="22"/>
              </w:rPr>
            </w:pPr>
          </w:p>
        </w:tc>
        <w:tc>
          <w:tcPr>
            <w:tcW w:w="842" w:type="dxa"/>
          </w:tcPr>
          <w:p>
            <w:pPr>
              <w:pStyle w:val="TableParagraph"/>
              <w:rPr>
                <w:rFonts w:ascii="Times New Roman"/>
                <w:sz w:val="22"/>
              </w:rPr>
            </w:pPr>
          </w:p>
        </w:tc>
        <w:tc>
          <w:tcPr>
            <w:tcW w:w="782" w:type="dxa"/>
          </w:tcPr>
          <w:p>
            <w:pPr>
              <w:pStyle w:val="TableParagraph"/>
              <w:rPr>
                <w:rFonts w:ascii="Times New Roman"/>
                <w:sz w:val="22"/>
              </w:rPr>
            </w:pPr>
          </w:p>
        </w:tc>
        <w:tc>
          <w:tcPr>
            <w:tcW w:w="767" w:type="dxa"/>
          </w:tcPr>
          <w:p>
            <w:pPr>
              <w:pStyle w:val="TableParagraph"/>
              <w:rPr>
                <w:rFonts w:ascii="Times New Roman"/>
                <w:sz w:val="22"/>
              </w:rPr>
            </w:pPr>
          </w:p>
        </w:tc>
        <w:tc>
          <w:tcPr>
            <w:tcW w:w="857" w:type="dxa"/>
          </w:tcPr>
          <w:p>
            <w:pPr>
              <w:pStyle w:val="TableParagraph"/>
              <w:rPr>
                <w:rFonts w:ascii="Times New Roman"/>
                <w:sz w:val="22"/>
              </w:rPr>
            </w:pPr>
          </w:p>
        </w:tc>
        <w:tc>
          <w:tcPr>
            <w:tcW w:w="1037" w:type="dxa"/>
          </w:tcPr>
          <w:p>
            <w:pPr>
              <w:pStyle w:val="TableParagraph"/>
              <w:rPr>
                <w:rFonts w:ascii="Times New Roman"/>
                <w:sz w:val="22"/>
              </w:rPr>
            </w:pPr>
          </w:p>
        </w:tc>
        <w:tc>
          <w:tcPr>
            <w:tcW w:w="691" w:type="dxa"/>
          </w:tcPr>
          <w:p>
            <w:pPr>
              <w:pStyle w:val="TableParagraph"/>
              <w:rPr>
                <w:rFonts w:ascii="Times New Roman"/>
                <w:sz w:val="22"/>
              </w:rPr>
            </w:pPr>
          </w:p>
        </w:tc>
        <w:tc>
          <w:tcPr>
            <w:tcW w:w="706" w:type="dxa"/>
          </w:tcPr>
          <w:p>
            <w:pPr>
              <w:pStyle w:val="TableParagraph"/>
              <w:rPr>
                <w:rFonts w:ascii="Times New Roman"/>
                <w:sz w:val="22"/>
              </w:rPr>
            </w:pPr>
          </w:p>
        </w:tc>
        <w:tc>
          <w:tcPr>
            <w:tcW w:w="691" w:type="dxa"/>
          </w:tcPr>
          <w:p>
            <w:pPr>
              <w:pStyle w:val="TableParagraph"/>
              <w:rPr>
                <w:rFonts w:ascii="Times New Roman"/>
                <w:sz w:val="22"/>
              </w:rPr>
            </w:pPr>
          </w:p>
        </w:tc>
        <w:tc>
          <w:tcPr>
            <w:tcW w:w="796" w:type="dxa"/>
          </w:tcPr>
          <w:p>
            <w:pPr>
              <w:pStyle w:val="TableParagraph"/>
              <w:rPr>
                <w:rFonts w:ascii="Times New Roman"/>
                <w:sz w:val="22"/>
              </w:rPr>
            </w:pPr>
          </w:p>
        </w:tc>
        <w:tc>
          <w:tcPr>
            <w:tcW w:w="811" w:type="dxa"/>
          </w:tcPr>
          <w:p>
            <w:pPr>
              <w:pStyle w:val="TableParagraph"/>
              <w:rPr>
                <w:rFonts w:ascii="Times New Roman"/>
                <w:sz w:val="22"/>
              </w:rPr>
            </w:pPr>
          </w:p>
        </w:tc>
      </w:tr>
    </w:tbl>
    <w:p>
      <w:pPr>
        <w:pStyle w:val="BodyText"/>
        <w:spacing w:before="6"/>
        <w:rPr>
          <w:sz w:val="28"/>
        </w:rPr>
      </w:pPr>
    </w:p>
    <w:p>
      <w:pPr>
        <w:pStyle w:val="Heading4"/>
        <w:ind w:left="2314"/>
      </w:pPr>
      <w:r>
        <w:rPr/>
        <w:pict>
          <v:group style="position:absolute;margin-left:71.349998pt;margin-top:-506.869537pt;width:446.15pt;height:432.65pt;mso-position-horizontal-relative:page;mso-position-vertical-relative:paragraph;z-index:-268466176" coordorigin="1427,-10137" coordsize="8923,8653">
            <v:shape style="position:absolute;left:1563;top:-10138;width:8786;height:8653" type="#_x0000_t75" stroked="false">
              <v:imagedata r:id="rId6" o:title=""/>
            </v:shape>
            <v:shape style="position:absolute;left:1427;top:-9149;width:6403;height:1069" type="#_x0000_t202" filled="false" stroked="false">
              <v:textbox inset="0,0,0,0">
                <w:txbxContent>
                  <w:p>
                    <w:pPr>
                      <w:spacing w:line="358" w:lineRule="exact" w:before="0"/>
                      <w:ind w:left="2748" w:right="0" w:firstLine="0"/>
                      <w:jc w:val="left"/>
                      <w:rPr>
                        <w:rFonts w:ascii="黑体" w:eastAsia="黑体" w:hint="eastAsia"/>
                        <w:sz w:val="31"/>
                      </w:rPr>
                    </w:pPr>
                    <w:r>
                      <w:rPr>
                        <w:rFonts w:ascii="黑体" w:eastAsia="黑体" w:hint="eastAsia"/>
                        <w:sz w:val="31"/>
                      </w:rPr>
                      <w:t>工程单价费(税)率汇总表</w:t>
                    </w:r>
                  </w:p>
                  <w:p>
                    <w:pPr>
                      <w:spacing w:before="143"/>
                      <w:ind w:left="0" w:right="0" w:firstLine="0"/>
                      <w:jc w:val="left"/>
                      <w:rPr>
                        <w:sz w:val="22"/>
                      </w:rPr>
                    </w:pPr>
                    <w:r>
                      <w:rPr>
                        <w:sz w:val="22"/>
                      </w:rPr>
                      <w:t>合同编号：(投标项目合同号) </w:t>
                    </w:r>
                  </w:p>
                  <w:p>
                    <w:pPr>
                      <w:spacing w:line="252" w:lineRule="exact" w:before="34"/>
                      <w:ind w:left="0" w:right="0" w:firstLine="0"/>
                      <w:jc w:val="left"/>
                      <w:rPr>
                        <w:sz w:val="22"/>
                      </w:rPr>
                    </w:pPr>
                    <w:r>
                      <w:rPr>
                        <w:sz w:val="22"/>
                      </w:rPr>
                      <w:t>工程名称：</w:t>
                    </w:r>
                    <w:r>
                      <w:rPr>
                        <w:spacing w:val="104"/>
                        <w:sz w:val="22"/>
                        <w:u w:val="single"/>
                      </w:rPr>
                      <w:t> </w:t>
                    </w:r>
                    <w:r>
                      <w:rPr>
                        <w:spacing w:val="1"/>
                        <w:sz w:val="22"/>
                      </w:rPr>
                      <w:t>(项目名称)</w:t>
                    </w:r>
                    <w:r>
                      <w:rPr>
                        <w:spacing w:val="1"/>
                        <w:sz w:val="22"/>
                        <w:u w:val="single"/>
                      </w:rPr>
                      <w:t> </w:t>
                    </w:r>
                    <w:r>
                      <w:rPr>
                        <w:spacing w:val="1"/>
                        <w:sz w:val="22"/>
                      </w:rPr>
                      <w:t>(标段名称)</w:t>
                    </w:r>
                    <w:r>
                      <w:rPr>
                        <w:sz w:val="22"/>
                      </w:rPr>
                      <w:t> </w:t>
                    </w:r>
                  </w:p>
                </w:txbxContent>
              </v:textbox>
              <w10:wrap type="none"/>
            </v:shape>
            <v:shape style="position:absolute;left:1427;top:-4360;width:7892;height:1054" type="#_x0000_t202" filled="false" stroked="false">
              <v:textbox inset="0,0,0,0">
                <w:txbxContent>
                  <w:p>
                    <w:pPr>
                      <w:spacing w:line="358" w:lineRule="exact" w:before="0"/>
                      <w:ind w:left="1261" w:right="0" w:firstLine="0"/>
                      <w:jc w:val="left"/>
                      <w:rPr>
                        <w:rFonts w:ascii="黑体" w:eastAsia="黑体" w:hint="eastAsia"/>
                        <w:sz w:val="31"/>
                      </w:rPr>
                    </w:pPr>
                    <w:r>
                      <w:rPr>
                        <w:rFonts w:ascii="黑体" w:eastAsia="黑体" w:hint="eastAsia"/>
                        <w:sz w:val="31"/>
                      </w:rPr>
                      <w:t>投标人生产电、风、水、砂石基础单价汇总表</w:t>
                    </w:r>
                  </w:p>
                  <w:p>
                    <w:pPr>
                      <w:spacing w:before="143"/>
                      <w:ind w:left="0" w:right="0" w:firstLine="0"/>
                      <w:jc w:val="left"/>
                      <w:rPr>
                        <w:sz w:val="22"/>
                      </w:rPr>
                    </w:pPr>
                    <w:r>
                      <w:rPr>
                        <w:sz w:val="22"/>
                      </w:rPr>
                      <w:t>合同编号：(投标项目合同号) </w:t>
                    </w:r>
                  </w:p>
                  <w:p>
                    <w:pPr>
                      <w:spacing w:line="252" w:lineRule="exact" w:before="18"/>
                      <w:ind w:left="0" w:right="0" w:firstLine="0"/>
                      <w:jc w:val="left"/>
                      <w:rPr>
                        <w:sz w:val="22"/>
                      </w:rPr>
                    </w:pPr>
                    <w:r>
                      <w:rPr>
                        <w:sz w:val="22"/>
                      </w:rPr>
                      <w:t>工程名称：</w:t>
                    </w:r>
                    <w:r>
                      <w:rPr>
                        <w:spacing w:val="97"/>
                        <w:sz w:val="22"/>
                        <w:u w:val="single"/>
                      </w:rPr>
                      <w:t> </w:t>
                    </w:r>
                    <w:r>
                      <w:rPr>
                        <w:spacing w:val="1"/>
                        <w:sz w:val="22"/>
                      </w:rPr>
                      <w:t>(项目名称)</w:t>
                    </w:r>
                    <w:r>
                      <w:rPr>
                        <w:spacing w:val="1"/>
                        <w:sz w:val="22"/>
                        <w:u w:val="single"/>
                      </w:rPr>
                      <w:t> </w:t>
                    </w:r>
                    <w:r>
                      <w:rPr>
                        <w:spacing w:val="1"/>
                        <w:sz w:val="22"/>
                      </w:rPr>
                      <w:t>(标段名称)</w:t>
                    </w:r>
                    <w:r>
                      <w:rPr>
                        <w:sz w:val="22"/>
                      </w:rPr>
                      <w:t> </w:t>
                    </w:r>
                  </w:p>
                </w:txbxContent>
              </v:textbox>
              <w10:wrap type="none"/>
            </v:shape>
            <w10:wrap type="none"/>
          </v:group>
        </w:pict>
      </w:r>
      <w:r>
        <w:rPr/>
        <w:t>投标人生产混凝土配合比材料费表</w:t>
      </w:r>
    </w:p>
    <w:p>
      <w:pPr>
        <w:spacing w:before="143"/>
        <w:ind w:left="226" w:right="0" w:firstLine="0"/>
        <w:jc w:val="left"/>
        <w:rPr>
          <w:sz w:val="22"/>
        </w:rPr>
      </w:pPr>
      <w:r>
        <w:rPr>
          <w:sz w:val="22"/>
        </w:rPr>
        <w:t>合同编号：(投标项目合同号) </w:t>
      </w:r>
    </w:p>
    <w:p>
      <w:pPr>
        <w:spacing w:before="33"/>
        <w:ind w:left="226" w:right="0" w:firstLine="0"/>
        <w:jc w:val="left"/>
        <w:rPr>
          <w:sz w:val="22"/>
        </w:rPr>
      </w:pPr>
      <w:r>
        <w:rPr>
          <w:sz w:val="22"/>
        </w:rPr>
        <w:t>工程名称：</w:t>
      </w:r>
      <w:r>
        <w:rPr>
          <w:spacing w:val="92"/>
          <w:sz w:val="22"/>
          <w:u w:val="single"/>
        </w:rPr>
        <w:t> </w:t>
      </w:r>
      <w:r>
        <w:rPr>
          <w:spacing w:val="1"/>
          <w:sz w:val="22"/>
        </w:rPr>
        <w:t>(项目名称)</w:t>
      </w:r>
      <w:r>
        <w:rPr>
          <w:spacing w:val="1"/>
          <w:sz w:val="22"/>
          <w:u w:val="single"/>
        </w:rPr>
        <w:t> </w:t>
      </w:r>
      <w:r>
        <w:rPr>
          <w:spacing w:val="1"/>
          <w:sz w:val="22"/>
        </w:rPr>
        <w:t>(标段名称)</w:t>
      </w:r>
      <w:r>
        <w:rPr>
          <w:sz w:val="22"/>
        </w:rPr>
        <w:t> </w:t>
      </w:r>
    </w:p>
    <w:p>
      <w:pPr>
        <w:spacing w:after="0"/>
        <w:jc w:val="left"/>
        <w:rPr>
          <w:sz w:val="22"/>
        </w:rPr>
        <w:sectPr>
          <w:pgSz w:w="11910" w:h="16850"/>
          <w:pgMar w:header="911" w:footer="0" w:top="1380" w:bottom="280" w:left="1200" w:right="0"/>
        </w:sectPr>
      </w:pPr>
    </w:p>
    <w:p>
      <w:pPr>
        <w:pStyle w:val="BodyText"/>
        <w:spacing w:before="6"/>
        <w:rPr>
          <w:sz w:val="3"/>
        </w:rPr>
      </w:pPr>
    </w:p>
    <w:tbl>
      <w:tblPr>
        <w:tblW w:w="0" w:type="auto"/>
        <w:jc w:val="left"/>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630"/>
        <w:gridCol w:w="586"/>
        <w:gridCol w:w="781"/>
        <w:gridCol w:w="690"/>
        <w:gridCol w:w="676"/>
        <w:gridCol w:w="676"/>
        <w:gridCol w:w="691"/>
        <w:gridCol w:w="676"/>
        <w:gridCol w:w="691"/>
        <w:gridCol w:w="571"/>
        <w:gridCol w:w="556"/>
        <w:gridCol w:w="571"/>
        <w:gridCol w:w="796"/>
        <w:gridCol w:w="661"/>
      </w:tblGrid>
      <w:tr>
        <w:trPr>
          <w:trHeight w:val="928" w:hRule="atLeast"/>
        </w:trPr>
        <w:tc>
          <w:tcPr>
            <w:tcW w:w="630" w:type="dxa"/>
            <w:vMerge w:val="restart"/>
            <w:tcBorders>
              <w:left w:val="single" w:sz="6" w:space="0" w:color="000000"/>
              <w:bottom w:val="single" w:sz="6" w:space="0" w:color="000000"/>
              <w:right w:val="single" w:sz="6" w:space="0" w:color="000000"/>
            </w:tcBorders>
          </w:tcPr>
          <w:p>
            <w:pPr>
              <w:pStyle w:val="TableParagraph"/>
              <w:rPr>
                <w:sz w:val="20"/>
              </w:rPr>
            </w:pPr>
          </w:p>
          <w:p>
            <w:pPr>
              <w:pStyle w:val="TableParagraph"/>
              <w:spacing w:before="4"/>
              <w:rPr>
                <w:sz w:val="17"/>
              </w:rPr>
            </w:pPr>
          </w:p>
          <w:p>
            <w:pPr>
              <w:pStyle w:val="TableParagraph"/>
              <w:ind w:left="112"/>
              <w:rPr>
                <w:sz w:val="21"/>
              </w:rPr>
            </w:pPr>
            <w:r>
              <w:rPr>
                <w:sz w:val="21"/>
              </w:rPr>
              <w:t>序号</w:t>
            </w:r>
          </w:p>
        </w:tc>
        <w:tc>
          <w:tcPr>
            <w:tcW w:w="586" w:type="dxa"/>
            <w:vMerge w:val="restart"/>
            <w:tcBorders>
              <w:left w:val="single" w:sz="6" w:space="0" w:color="000000"/>
              <w:bottom w:val="single" w:sz="6" w:space="0" w:color="000000"/>
              <w:right w:val="single" w:sz="6" w:space="0" w:color="000000"/>
            </w:tcBorders>
          </w:tcPr>
          <w:p>
            <w:pPr>
              <w:pStyle w:val="TableParagraph"/>
              <w:spacing w:line="273" w:lineRule="auto" w:before="12"/>
              <w:ind w:left="188" w:right="170"/>
              <w:jc w:val="both"/>
              <w:rPr>
                <w:sz w:val="21"/>
              </w:rPr>
            </w:pPr>
            <w:r>
              <w:rPr>
                <w:sz w:val="21"/>
              </w:rPr>
              <w:t>工程部</w:t>
            </w:r>
          </w:p>
          <w:p>
            <w:pPr>
              <w:pStyle w:val="TableParagraph"/>
              <w:spacing w:before="11"/>
              <w:ind w:left="188"/>
              <w:rPr>
                <w:sz w:val="21"/>
              </w:rPr>
            </w:pPr>
            <w:r>
              <w:rPr>
                <w:sz w:val="21"/>
              </w:rPr>
              <w:t>位</w:t>
            </w:r>
          </w:p>
        </w:tc>
        <w:tc>
          <w:tcPr>
            <w:tcW w:w="781" w:type="dxa"/>
            <w:vMerge w:val="restart"/>
            <w:tcBorders>
              <w:left w:val="single" w:sz="6" w:space="0" w:color="000000"/>
              <w:bottom w:val="single" w:sz="6" w:space="0" w:color="000000"/>
              <w:right w:val="single" w:sz="6" w:space="0" w:color="000000"/>
            </w:tcBorders>
          </w:tcPr>
          <w:p>
            <w:pPr>
              <w:pStyle w:val="TableParagraph"/>
              <w:spacing w:line="273" w:lineRule="auto" w:before="12"/>
              <w:ind w:left="173" w:right="169"/>
              <w:jc w:val="both"/>
              <w:rPr>
                <w:sz w:val="21"/>
              </w:rPr>
            </w:pPr>
            <w:r>
              <w:rPr>
                <w:sz w:val="21"/>
              </w:rPr>
              <w:t>混凝土强度等</w:t>
            </w:r>
          </w:p>
          <w:p>
            <w:pPr>
              <w:pStyle w:val="TableParagraph"/>
              <w:spacing w:before="11"/>
              <w:jc w:val="center"/>
              <w:rPr>
                <w:sz w:val="21"/>
              </w:rPr>
            </w:pPr>
            <w:r>
              <w:rPr>
                <w:sz w:val="21"/>
              </w:rPr>
              <w:t>级</w:t>
            </w:r>
          </w:p>
        </w:tc>
        <w:tc>
          <w:tcPr>
            <w:tcW w:w="690" w:type="dxa"/>
            <w:vMerge w:val="restart"/>
            <w:tcBorders>
              <w:left w:val="single" w:sz="6" w:space="0" w:color="000000"/>
              <w:bottom w:val="single" w:sz="6" w:space="0" w:color="000000"/>
              <w:right w:val="single" w:sz="6" w:space="0" w:color="000000"/>
            </w:tcBorders>
          </w:tcPr>
          <w:p>
            <w:pPr>
              <w:pStyle w:val="TableParagraph"/>
              <w:spacing w:line="280" w:lineRule="auto" w:before="162"/>
              <w:ind w:left="128" w:right="123"/>
              <w:jc w:val="both"/>
              <w:rPr>
                <w:sz w:val="21"/>
              </w:rPr>
            </w:pPr>
            <w:r>
              <w:rPr>
                <w:sz w:val="21"/>
              </w:rPr>
              <w:t>水泥强度等级</w:t>
            </w:r>
          </w:p>
        </w:tc>
        <w:tc>
          <w:tcPr>
            <w:tcW w:w="676" w:type="dxa"/>
            <w:vMerge w:val="restart"/>
            <w:tcBorders>
              <w:left w:val="single" w:sz="6" w:space="0" w:color="000000"/>
              <w:bottom w:val="single" w:sz="6" w:space="0" w:color="000000"/>
              <w:right w:val="single" w:sz="6" w:space="0" w:color="000000"/>
            </w:tcBorders>
          </w:tcPr>
          <w:p>
            <w:pPr>
              <w:pStyle w:val="TableParagraph"/>
              <w:rPr>
                <w:sz w:val="20"/>
              </w:rPr>
            </w:pPr>
          </w:p>
          <w:p>
            <w:pPr>
              <w:pStyle w:val="TableParagraph"/>
              <w:spacing w:before="4"/>
              <w:rPr>
                <w:sz w:val="17"/>
              </w:rPr>
            </w:pPr>
          </w:p>
          <w:p>
            <w:pPr>
              <w:pStyle w:val="TableParagraph"/>
              <w:ind w:left="113"/>
              <w:rPr>
                <w:sz w:val="21"/>
              </w:rPr>
            </w:pPr>
            <w:r>
              <w:rPr>
                <w:sz w:val="21"/>
              </w:rPr>
              <w:t>级配</w:t>
            </w:r>
          </w:p>
        </w:tc>
        <w:tc>
          <w:tcPr>
            <w:tcW w:w="676" w:type="dxa"/>
            <w:vMerge w:val="restart"/>
            <w:tcBorders>
              <w:left w:val="single" w:sz="6" w:space="0" w:color="000000"/>
              <w:bottom w:val="single" w:sz="6" w:space="0" w:color="000000"/>
              <w:right w:val="single" w:sz="6" w:space="0" w:color="000000"/>
            </w:tcBorders>
          </w:tcPr>
          <w:p>
            <w:pPr>
              <w:pStyle w:val="TableParagraph"/>
              <w:spacing w:before="5"/>
              <w:rPr>
                <w:sz w:val="24"/>
              </w:rPr>
            </w:pPr>
          </w:p>
          <w:p>
            <w:pPr>
              <w:pStyle w:val="TableParagraph"/>
              <w:spacing w:line="280" w:lineRule="auto"/>
              <w:ind w:left="234" w:right="109" w:hanging="106"/>
              <w:rPr>
                <w:sz w:val="21"/>
              </w:rPr>
            </w:pPr>
            <w:r>
              <w:rPr>
                <w:sz w:val="21"/>
              </w:rPr>
              <w:t>水灰比</w:t>
            </w:r>
          </w:p>
        </w:tc>
        <w:tc>
          <w:tcPr>
            <w:tcW w:w="3756" w:type="dxa"/>
            <w:gridSpan w:val="6"/>
            <w:tcBorders>
              <w:left w:val="single" w:sz="6" w:space="0" w:color="000000"/>
              <w:bottom w:val="single" w:sz="6" w:space="0" w:color="000000"/>
              <w:right w:val="single" w:sz="6" w:space="0" w:color="000000"/>
            </w:tcBorders>
          </w:tcPr>
          <w:p>
            <w:pPr>
              <w:pStyle w:val="TableParagraph"/>
              <w:spacing w:before="5"/>
              <w:rPr>
                <w:sz w:val="24"/>
              </w:rPr>
            </w:pPr>
          </w:p>
          <w:p>
            <w:pPr>
              <w:pStyle w:val="TableParagraph"/>
              <w:ind w:left="1014"/>
              <w:rPr>
                <w:rFonts w:ascii="Calibri" w:eastAsia="Calibri"/>
                <w:sz w:val="21"/>
              </w:rPr>
            </w:pPr>
            <w:r>
              <w:rPr>
                <w:sz w:val="21"/>
              </w:rPr>
              <w:t>预算材料量</w:t>
            </w:r>
            <w:r>
              <w:rPr>
                <w:rFonts w:ascii="Calibri" w:eastAsia="Calibri"/>
                <w:sz w:val="21"/>
              </w:rPr>
              <w:t>(kg/m3)</w:t>
            </w:r>
          </w:p>
        </w:tc>
        <w:tc>
          <w:tcPr>
            <w:tcW w:w="796" w:type="dxa"/>
            <w:tcBorders>
              <w:left w:val="single" w:sz="6" w:space="0" w:color="000000"/>
              <w:bottom w:val="single" w:sz="6" w:space="0" w:color="000000"/>
              <w:right w:val="single" w:sz="6" w:space="0" w:color="000000"/>
            </w:tcBorders>
          </w:tcPr>
          <w:p>
            <w:pPr>
              <w:pStyle w:val="TableParagraph"/>
              <w:spacing w:line="267" w:lineRule="exact"/>
              <w:ind w:left="187"/>
              <w:rPr>
                <w:sz w:val="21"/>
              </w:rPr>
            </w:pPr>
            <w:r>
              <w:rPr>
                <w:sz w:val="21"/>
              </w:rPr>
              <w:t>单价</w:t>
            </w:r>
          </w:p>
          <w:p>
            <w:pPr>
              <w:pStyle w:val="TableParagraph"/>
              <w:spacing w:before="46"/>
              <w:ind w:left="262"/>
              <w:rPr>
                <w:sz w:val="21"/>
              </w:rPr>
            </w:pPr>
            <w:r>
              <w:rPr>
                <w:rFonts w:ascii="Calibri" w:eastAsia="Calibri"/>
                <w:spacing w:val="-4"/>
                <w:sz w:val="21"/>
              </w:rPr>
              <w:t>(</w:t>
            </w:r>
            <w:r>
              <w:rPr>
                <w:sz w:val="21"/>
              </w:rPr>
              <w:t>元</w:t>
            </w:r>
          </w:p>
          <w:p>
            <w:pPr>
              <w:pStyle w:val="TableParagraph"/>
              <w:spacing w:before="56"/>
              <w:ind w:left="202"/>
              <w:rPr>
                <w:rFonts w:ascii="Calibri"/>
                <w:sz w:val="21"/>
              </w:rPr>
            </w:pPr>
            <w:r>
              <w:rPr>
                <w:rFonts w:ascii="Calibri"/>
                <w:sz w:val="21"/>
              </w:rPr>
              <w:t>/m3)</w:t>
            </w:r>
          </w:p>
        </w:tc>
        <w:tc>
          <w:tcPr>
            <w:tcW w:w="661" w:type="dxa"/>
            <w:tcBorders>
              <w:left w:val="single" w:sz="6" w:space="0" w:color="000000"/>
              <w:bottom w:val="single" w:sz="6" w:space="0" w:color="000000"/>
              <w:right w:val="single" w:sz="6" w:space="0" w:color="000000"/>
            </w:tcBorders>
          </w:tcPr>
          <w:p>
            <w:pPr>
              <w:pStyle w:val="TableParagraph"/>
              <w:spacing w:before="5"/>
              <w:rPr>
                <w:sz w:val="24"/>
              </w:rPr>
            </w:pPr>
          </w:p>
          <w:p>
            <w:pPr>
              <w:pStyle w:val="TableParagraph"/>
              <w:ind w:left="112"/>
              <w:rPr>
                <w:sz w:val="21"/>
              </w:rPr>
            </w:pPr>
            <w:r>
              <w:rPr>
                <w:sz w:val="21"/>
              </w:rPr>
              <w:t>备注</w:t>
            </w:r>
          </w:p>
        </w:tc>
      </w:tr>
      <w:tr>
        <w:trPr>
          <w:trHeight w:val="300" w:hRule="atLeast"/>
        </w:trPr>
        <w:tc>
          <w:tcPr>
            <w:tcW w:w="630" w:type="dxa"/>
            <w:vMerge/>
            <w:tcBorders>
              <w:top w:val="nil"/>
              <w:left w:val="single" w:sz="6" w:space="0" w:color="000000"/>
              <w:bottom w:val="single" w:sz="6" w:space="0" w:color="000000"/>
              <w:right w:val="single" w:sz="6" w:space="0" w:color="000000"/>
            </w:tcBorders>
          </w:tcPr>
          <w:p>
            <w:pPr>
              <w:rPr>
                <w:sz w:val="2"/>
                <w:szCs w:val="2"/>
              </w:rPr>
            </w:pPr>
          </w:p>
        </w:tc>
        <w:tc>
          <w:tcPr>
            <w:tcW w:w="586" w:type="dxa"/>
            <w:vMerge/>
            <w:tcBorders>
              <w:top w:val="nil"/>
              <w:left w:val="single" w:sz="6" w:space="0" w:color="000000"/>
              <w:bottom w:val="single" w:sz="6" w:space="0" w:color="000000"/>
              <w:right w:val="single" w:sz="6" w:space="0" w:color="000000"/>
            </w:tcBorders>
          </w:tcPr>
          <w:p>
            <w:pPr>
              <w:rPr>
                <w:sz w:val="2"/>
                <w:szCs w:val="2"/>
              </w:rPr>
            </w:pPr>
          </w:p>
        </w:tc>
        <w:tc>
          <w:tcPr>
            <w:tcW w:w="781" w:type="dxa"/>
            <w:vMerge/>
            <w:tcBorders>
              <w:top w:val="nil"/>
              <w:left w:val="single" w:sz="6" w:space="0" w:color="000000"/>
              <w:bottom w:val="single" w:sz="6" w:space="0" w:color="000000"/>
              <w:right w:val="single" w:sz="6" w:space="0" w:color="000000"/>
            </w:tcBorders>
          </w:tcPr>
          <w:p>
            <w:pPr>
              <w:rPr>
                <w:sz w:val="2"/>
                <w:szCs w:val="2"/>
              </w:rPr>
            </w:pPr>
          </w:p>
        </w:tc>
        <w:tc>
          <w:tcPr>
            <w:tcW w:w="690" w:type="dxa"/>
            <w:vMerge/>
            <w:tcBorders>
              <w:top w:val="nil"/>
              <w:left w:val="single" w:sz="6" w:space="0" w:color="000000"/>
              <w:bottom w:val="single" w:sz="6" w:space="0" w:color="000000"/>
              <w:right w:val="single" w:sz="6" w:space="0" w:color="000000"/>
            </w:tcBorders>
          </w:tcPr>
          <w:p>
            <w:pPr>
              <w:rPr>
                <w:sz w:val="2"/>
                <w:szCs w:val="2"/>
              </w:rPr>
            </w:pPr>
          </w:p>
        </w:tc>
        <w:tc>
          <w:tcPr>
            <w:tcW w:w="676" w:type="dxa"/>
            <w:vMerge/>
            <w:tcBorders>
              <w:top w:val="nil"/>
              <w:left w:val="single" w:sz="6" w:space="0" w:color="000000"/>
              <w:bottom w:val="single" w:sz="6" w:space="0" w:color="000000"/>
              <w:right w:val="single" w:sz="6" w:space="0" w:color="000000"/>
            </w:tcBorders>
          </w:tcPr>
          <w:p>
            <w:pPr>
              <w:rPr>
                <w:sz w:val="2"/>
                <w:szCs w:val="2"/>
              </w:rPr>
            </w:pPr>
          </w:p>
        </w:tc>
        <w:tc>
          <w:tcPr>
            <w:tcW w:w="676" w:type="dxa"/>
            <w:vMerge/>
            <w:tcBorders>
              <w:top w:val="nil"/>
              <w:left w:val="single" w:sz="6" w:space="0" w:color="000000"/>
              <w:bottom w:val="single" w:sz="6" w:space="0" w:color="000000"/>
              <w:right w:val="single" w:sz="6" w:space="0" w:color="000000"/>
            </w:tcBorders>
          </w:tcPr>
          <w:p>
            <w:pPr>
              <w:rPr>
                <w:sz w:val="2"/>
                <w:szCs w:val="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ind w:left="128"/>
              <w:rPr>
                <w:sz w:val="21"/>
              </w:rPr>
            </w:pPr>
            <w:r>
              <w:rPr>
                <w:sz w:val="21"/>
              </w:rPr>
              <w:t>水泥</w:t>
            </w:r>
          </w:p>
        </w:tc>
        <w:tc>
          <w:tcPr>
            <w:tcW w:w="676" w:type="dxa"/>
            <w:tcBorders>
              <w:top w:val="single" w:sz="6" w:space="0" w:color="000000"/>
              <w:left w:val="single" w:sz="6" w:space="0" w:color="000000"/>
              <w:bottom w:val="single" w:sz="6" w:space="0" w:color="000000"/>
              <w:right w:val="single" w:sz="6" w:space="0" w:color="000000"/>
            </w:tcBorders>
          </w:tcPr>
          <w:p>
            <w:pPr>
              <w:pStyle w:val="TableParagraph"/>
              <w:ind w:left="233"/>
              <w:rPr>
                <w:sz w:val="21"/>
              </w:rPr>
            </w:pPr>
            <w:r>
              <w:rPr>
                <w:sz w:val="21"/>
              </w:rPr>
              <w:t>砂</w:t>
            </w:r>
          </w:p>
        </w:tc>
        <w:tc>
          <w:tcPr>
            <w:tcW w:w="691" w:type="dxa"/>
            <w:tcBorders>
              <w:top w:val="single" w:sz="6" w:space="0" w:color="000000"/>
              <w:left w:val="single" w:sz="6" w:space="0" w:color="000000"/>
              <w:bottom w:val="single" w:sz="6" w:space="0" w:color="000000"/>
              <w:right w:val="single" w:sz="6" w:space="0" w:color="000000"/>
            </w:tcBorders>
          </w:tcPr>
          <w:p>
            <w:pPr>
              <w:pStyle w:val="TableParagraph"/>
              <w:ind w:left="1"/>
              <w:jc w:val="center"/>
              <w:rPr>
                <w:sz w:val="21"/>
              </w:rPr>
            </w:pPr>
            <w:r>
              <w:rPr>
                <w:sz w:val="21"/>
              </w:rPr>
              <w:t>石</w:t>
            </w: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63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8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8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0"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9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57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79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661"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6"/>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1277"/>
        <w:gridCol w:w="1412"/>
        <w:gridCol w:w="1276"/>
        <w:gridCol w:w="1847"/>
        <w:gridCol w:w="2418"/>
      </w:tblGrid>
      <w:tr>
        <w:trPr>
          <w:trHeight w:val="300" w:hRule="atLeast"/>
        </w:trPr>
        <w:tc>
          <w:tcPr>
            <w:tcW w:w="856" w:type="dxa"/>
          </w:tcPr>
          <w:p>
            <w:pPr>
              <w:pStyle w:val="TableParagraph"/>
              <w:ind w:left="112"/>
              <w:rPr>
                <w:sz w:val="21"/>
              </w:rPr>
            </w:pPr>
            <w:r>
              <w:rPr>
                <w:sz w:val="21"/>
              </w:rPr>
              <w:t>序号</w:t>
            </w:r>
          </w:p>
        </w:tc>
        <w:tc>
          <w:tcPr>
            <w:tcW w:w="1277" w:type="dxa"/>
          </w:tcPr>
          <w:p>
            <w:pPr>
              <w:pStyle w:val="TableParagraph"/>
              <w:ind w:left="97"/>
              <w:rPr>
                <w:sz w:val="21"/>
              </w:rPr>
            </w:pPr>
            <w:r>
              <w:rPr>
                <w:sz w:val="21"/>
              </w:rPr>
              <w:t>材料名称</w:t>
            </w:r>
          </w:p>
        </w:tc>
        <w:tc>
          <w:tcPr>
            <w:tcW w:w="1412" w:type="dxa"/>
          </w:tcPr>
          <w:p>
            <w:pPr>
              <w:pStyle w:val="TableParagraph"/>
              <w:ind w:left="112"/>
              <w:rPr>
                <w:sz w:val="21"/>
              </w:rPr>
            </w:pPr>
            <w:r>
              <w:rPr>
                <w:sz w:val="21"/>
              </w:rPr>
              <w:t>型号规格</w:t>
            </w:r>
          </w:p>
        </w:tc>
        <w:tc>
          <w:tcPr>
            <w:tcW w:w="1276" w:type="dxa"/>
          </w:tcPr>
          <w:p>
            <w:pPr>
              <w:pStyle w:val="TableParagraph"/>
              <w:ind w:left="112"/>
              <w:rPr>
                <w:sz w:val="21"/>
              </w:rPr>
            </w:pPr>
            <w:r>
              <w:rPr>
                <w:sz w:val="21"/>
              </w:rPr>
              <w:t>计量单位</w:t>
            </w:r>
          </w:p>
        </w:tc>
        <w:tc>
          <w:tcPr>
            <w:tcW w:w="1847" w:type="dxa"/>
          </w:tcPr>
          <w:p>
            <w:pPr>
              <w:pStyle w:val="TableParagraph"/>
              <w:ind w:left="112"/>
              <w:rPr>
                <w:rFonts w:ascii="Calibri" w:eastAsia="Calibri"/>
                <w:sz w:val="21"/>
              </w:rPr>
            </w:pPr>
            <w:r>
              <w:rPr>
                <w:sz w:val="21"/>
              </w:rPr>
              <w:t>供应价格</w:t>
            </w:r>
            <w:r>
              <w:rPr>
                <w:rFonts w:ascii="Calibri" w:eastAsia="Calibri"/>
                <w:sz w:val="21"/>
              </w:rPr>
              <w:t>(</w:t>
            </w:r>
            <w:r>
              <w:rPr>
                <w:sz w:val="21"/>
              </w:rPr>
              <w:t>元</w:t>
            </w:r>
            <w:r>
              <w:rPr>
                <w:rFonts w:ascii="Calibri" w:eastAsia="Calibri"/>
                <w:sz w:val="21"/>
              </w:rPr>
              <w:t>)</w:t>
            </w:r>
          </w:p>
        </w:tc>
        <w:tc>
          <w:tcPr>
            <w:tcW w:w="2418" w:type="dxa"/>
          </w:tcPr>
          <w:p>
            <w:pPr>
              <w:pStyle w:val="TableParagraph"/>
              <w:ind w:left="112"/>
              <w:rPr>
                <w:rFonts w:ascii="Calibri" w:eastAsia="Calibri"/>
                <w:sz w:val="21"/>
              </w:rPr>
            </w:pPr>
            <w:r>
              <w:rPr>
                <w:sz w:val="21"/>
              </w:rPr>
              <w:t>预算价格</w:t>
            </w:r>
            <w:r>
              <w:rPr>
                <w:rFonts w:ascii="Calibri" w:eastAsia="Calibri"/>
                <w:sz w:val="21"/>
              </w:rPr>
              <w:t>(</w:t>
            </w:r>
            <w:r>
              <w:rPr>
                <w:sz w:val="21"/>
              </w:rPr>
              <w:t>元</w:t>
            </w:r>
            <w:r>
              <w:rPr>
                <w:rFonts w:ascii="Calibri" w:eastAsia="Calibri"/>
                <w:sz w:val="21"/>
              </w:rPr>
              <w:t>)</w:t>
            </w: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2" w:hRule="atLeast"/>
        </w:trPr>
        <w:tc>
          <w:tcPr>
            <w:tcW w:w="856" w:type="dxa"/>
            <w:tcBorders>
              <w:bottom w:val="single" w:sz="8" w:space="0" w:color="000000"/>
            </w:tcBorders>
          </w:tcPr>
          <w:p>
            <w:pPr>
              <w:pStyle w:val="TableParagraph"/>
              <w:rPr>
                <w:rFonts w:ascii="Times New Roman"/>
                <w:sz w:val="22"/>
              </w:rPr>
            </w:pPr>
          </w:p>
        </w:tc>
        <w:tc>
          <w:tcPr>
            <w:tcW w:w="1277" w:type="dxa"/>
            <w:tcBorders>
              <w:bottom w:val="single" w:sz="8" w:space="0" w:color="000000"/>
            </w:tcBorders>
          </w:tcPr>
          <w:p>
            <w:pPr>
              <w:pStyle w:val="TableParagraph"/>
              <w:rPr>
                <w:rFonts w:ascii="Times New Roman"/>
                <w:sz w:val="22"/>
              </w:rPr>
            </w:pPr>
          </w:p>
        </w:tc>
        <w:tc>
          <w:tcPr>
            <w:tcW w:w="1412" w:type="dxa"/>
            <w:tcBorders>
              <w:bottom w:val="single" w:sz="8" w:space="0" w:color="000000"/>
            </w:tcBorders>
          </w:tcPr>
          <w:p>
            <w:pPr>
              <w:pStyle w:val="TableParagraph"/>
              <w:rPr>
                <w:rFonts w:ascii="Times New Roman"/>
                <w:sz w:val="22"/>
              </w:rPr>
            </w:pPr>
          </w:p>
        </w:tc>
        <w:tc>
          <w:tcPr>
            <w:tcW w:w="1276" w:type="dxa"/>
            <w:tcBorders>
              <w:bottom w:val="single" w:sz="8" w:space="0" w:color="000000"/>
            </w:tcBorders>
          </w:tcPr>
          <w:p>
            <w:pPr>
              <w:pStyle w:val="TableParagraph"/>
              <w:rPr>
                <w:rFonts w:ascii="Times New Roman"/>
                <w:sz w:val="22"/>
              </w:rPr>
            </w:pPr>
          </w:p>
        </w:tc>
        <w:tc>
          <w:tcPr>
            <w:tcW w:w="1847" w:type="dxa"/>
            <w:tcBorders>
              <w:bottom w:val="single" w:sz="8" w:space="0" w:color="000000"/>
            </w:tcBorders>
          </w:tcPr>
          <w:p>
            <w:pPr>
              <w:pStyle w:val="TableParagraph"/>
              <w:rPr>
                <w:rFonts w:ascii="Times New Roman"/>
                <w:sz w:val="22"/>
              </w:rPr>
            </w:pPr>
          </w:p>
        </w:tc>
        <w:tc>
          <w:tcPr>
            <w:tcW w:w="2418" w:type="dxa"/>
            <w:tcBorders>
              <w:bottom w:val="single" w:sz="8" w:space="0" w:color="000000"/>
            </w:tcBorders>
          </w:tcPr>
          <w:p>
            <w:pPr>
              <w:pStyle w:val="TableParagraph"/>
              <w:rPr>
                <w:rFonts w:ascii="Times New Roman"/>
                <w:sz w:val="22"/>
              </w:rPr>
            </w:pPr>
          </w:p>
        </w:tc>
      </w:tr>
      <w:tr>
        <w:trPr>
          <w:trHeight w:val="297" w:hRule="atLeast"/>
        </w:trPr>
        <w:tc>
          <w:tcPr>
            <w:tcW w:w="856" w:type="dxa"/>
            <w:tcBorders>
              <w:top w:val="single" w:sz="8" w:space="0" w:color="000000"/>
            </w:tcBorders>
          </w:tcPr>
          <w:p>
            <w:pPr>
              <w:pStyle w:val="TableParagraph"/>
              <w:rPr>
                <w:rFonts w:ascii="Times New Roman"/>
                <w:sz w:val="22"/>
              </w:rPr>
            </w:pPr>
          </w:p>
        </w:tc>
        <w:tc>
          <w:tcPr>
            <w:tcW w:w="1277" w:type="dxa"/>
            <w:tcBorders>
              <w:top w:val="single" w:sz="8" w:space="0" w:color="000000"/>
            </w:tcBorders>
          </w:tcPr>
          <w:p>
            <w:pPr>
              <w:pStyle w:val="TableParagraph"/>
              <w:rPr>
                <w:rFonts w:ascii="Times New Roman"/>
                <w:sz w:val="22"/>
              </w:rPr>
            </w:pPr>
          </w:p>
        </w:tc>
        <w:tc>
          <w:tcPr>
            <w:tcW w:w="1412" w:type="dxa"/>
            <w:tcBorders>
              <w:top w:val="single" w:sz="8" w:space="0" w:color="000000"/>
            </w:tcBorders>
          </w:tcPr>
          <w:p>
            <w:pPr>
              <w:pStyle w:val="TableParagraph"/>
              <w:rPr>
                <w:rFonts w:ascii="Times New Roman"/>
                <w:sz w:val="22"/>
              </w:rPr>
            </w:pPr>
          </w:p>
        </w:tc>
        <w:tc>
          <w:tcPr>
            <w:tcW w:w="1276" w:type="dxa"/>
            <w:tcBorders>
              <w:top w:val="single" w:sz="8" w:space="0" w:color="000000"/>
            </w:tcBorders>
          </w:tcPr>
          <w:p>
            <w:pPr>
              <w:pStyle w:val="TableParagraph"/>
              <w:rPr>
                <w:rFonts w:ascii="Times New Roman"/>
                <w:sz w:val="22"/>
              </w:rPr>
            </w:pPr>
          </w:p>
        </w:tc>
        <w:tc>
          <w:tcPr>
            <w:tcW w:w="1847" w:type="dxa"/>
            <w:tcBorders>
              <w:top w:val="single" w:sz="8" w:space="0" w:color="000000"/>
            </w:tcBorders>
          </w:tcPr>
          <w:p>
            <w:pPr>
              <w:pStyle w:val="TableParagraph"/>
              <w:rPr>
                <w:rFonts w:ascii="Times New Roman"/>
                <w:sz w:val="22"/>
              </w:rPr>
            </w:pPr>
          </w:p>
        </w:tc>
        <w:tc>
          <w:tcPr>
            <w:tcW w:w="2418" w:type="dxa"/>
            <w:tcBorders>
              <w:top w:val="single" w:sz="8" w:space="0" w:color="000000"/>
            </w:tcBorders>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4"/>
        </w:rPr>
      </w:pPr>
    </w:p>
    <w:p>
      <w:pPr>
        <w:spacing w:before="74"/>
        <w:ind w:left="226" w:right="0" w:firstLine="0"/>
        <w:jc w:val="left"/>
        <w:rPr>
          <w:sz w:val="22"/>
        </w:rPr>
      </w:pPr>
      <w:r>
        <w:rPr/>
        <w:pict>
          <v:group style="position:absolute;margin-left:71.349998pt;margin-top:-438.649536pt;width:446.15pt;height:433.05pt;mso-position-horizontal-relative:page;mso-position-vertical-relative:paragraph;z-index:-268463104" coordorigin="1427,-8773" coordsize="8923,8661">
            <v:shape style="position:absolute;left:1563;top:-8773;width:8786;height:8653" type="#_x0000_t75" stroked="false">
              <v:imagedata r:id="rId6" o:title=""/>
            </v:shape>
            <v:shape style="position:absolute;left:1427;top:-7139;width:6569;height:1054" type="#_x0000_t202" filled="false" stroked="false">
              <v:textbox inset="0,0,0,0">
                <w:txbxContent>
                  <w:p>
                    <w:pPr>
                      <w:spacing w:line="358" w:lineRule="exact" w:before="0"/>
                      <w:ind w:left="2583" w:right="0" w:firstLine="0"/>
                      <w:jc w:val="left"/>
                      <w:rPr>
                        <w:rFonts w:ascii="黑体" w:eastAsia="黑体" w:hint="eastAsia"/>
                        <w:sz w:val="31"/>
                      </w:rPr>
                    </w:pPr>
                    <w:r>
                      <w:rPr>
                        <w:rFonts w:ascii="黑体" w:eastAsia="黑体" w:hint="eastAsia"/>
                        <w:sz w:val="31"/>
                      </w:rPr>
                      <w:t>招标人供应材料价格汇总表</w:t>
                    </w:r>
                  </w:p>
                  <w:p>
                    <w:pPr>
                      <w:spacing w:before="128"/>
                      <w:ind w:left="0" w:right="0" w:firstLine="0"/>
                      <w:jc w:val="left"/>
                      <w:rPr>
                        <w:sz w:val="22"/>
                      </w:rPr>
                    </w:pPr>
                    <w:r>
                      <w:rPr>
                        <w:sz w:val="22"/>
                      </w:rPr>
                      <w:t>合同编号：(投标项目合同号) </w:t>
                    </w:r>
                  </w:p>
                  <w:p>
                    <w:pPr>
                      <w:spacing w:line="252" w:lineRule="exact" w:before="33"/>
                      <w:ind w:left="0" w:right="0" w:firstLine="0"/>
                      <w:jc w:val="left"/>
                      <w:rPr>
                        <w:sz w:val="22"/>
                      </w:rPr>
                    </w:pPr>
                    <w:r>
                      <w:rPr>
                        <w:sz w:val="22"/>
                      </w:rPr>
                      <w:t>工程名称：</w:t>
                    </w:r>
                    <w:r>
                      <w:rPr>
                        <w:sz w:val="22"/>
                        <w:u w:val="single"/>
                      </w:rPr>
                      <w:t> </w:t>
                    </w:r>
                    <w:r>
                      <w:rPr>
                        <w:sz w:val="22"/>
                      </w:rPr>
                      <w:t>(项目名称)</w:t>
                    </w:r>
                    <w:r>
                      <w:rPr>
                        <w:sz w:val="22"/>
                        <w:u w:val="single"/>
                      </w:rPr>
                      <w:t> </w:t>
                    </w:r>
                    <w:r>
                      <w:rPr>
                        <w:sz w:val="22"/>
                      </w:rPr>
                      <w:t>(标段名称) </w:t>
                    </w:r>
                  </w:p>
                </w:txbxContent>
              </v:textbox>
              <w10:wrap type="none"/>
            </v:shape>
            <v:shape style="position:absolute;left:3019;top:-428;width:5969;height:316" type="#_x0000_t202" filled="false" stroked="false">
              <v:textbox inset="0,0,0,0">
                <w:txbxContent>
                  <w:p>
                    <w:pPr>
                      <w:spacing w:line="316" w:lineRule="exact" w:before="0"/>
                      <w:ind w:left="0" w:right="0" w:firstLine="0"/>
                      <w:jc w:val="left"/>
                      <w:rPr>
                        <w:rFonts w:ascii="黑体" w:eastAsia="黑体" w:hint="eastAsia"/>
                        <w:sz w:val="31"/>
                      </w:rPr>
                    </w:pPr>
                    <w:r>
                      <w:rPr>
                        <w:rFonts w:ascii="黑体" w:eastAsia="黑体" w:hint="eastAsia"/>
                        <w:sz w:val="31"/>
                      </w:rPr>
                      <w:t>投标人自行采购主要材料预算价格汇总表</w:t>
                    </w:r>
                  </w:p>
                </w:txbxContent>
              </v:textbox>
              <w10:wrap type="none"/>
            </v:shape>
            <w10:wrap type="none"/>
          </v:group>
        </w:pict>
      </w:r>
      <w:r>
        <w:rPr>
          <w:sz w:val="22"/>
        </w:rPr>
        <w:t>合同编号：(投标项目合同号) </w:t>
      </w:r>
    </w:p>
    <w:p>
      <w:pPr>
        <w:spacing w:before="18" w:after="14"/>
        <w:ind w:left="226" w:right="0" w:firstLine="0"/>
        <w:jc w:val="left"/>
        <w:rPr>
          <w:sz w:val="22"/>
        </w:rPr>
      </w:pPr>
      <w:r>
        <w:rPr>
          <w:sz w:val="22"/>
        </w:rPr>
        <w:t>工程名称：</w:t>
      </w:r>
      <w:r>
        <w:rPr>
          <w:spacing w:val="92"/>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1277"/>
        <w:gridCol w:w="1412"/>
        <w:gridCol w:w="1276"/>
        <w:gridCol w:w="1847"/>
        <w:gridCol w:w="2418"/>
      </w:tblGrid>
      <w:tr>
        <w:trPr>
          <w:trHeight w:val="315" w:hRule="atLeast"/>
        </w:trPr>
        <w:tc>
          <w:tcPr>
            <w:tcW w:w="856" w:type="dxa"/>
          </w:tcPr>
          <w:p>
            <w:pPr>
              <w:pStyle w:val="TableParagraph"/>
              <w:spacing w:before="15"/>
              <w:ind w:left="112"/>
              <w:rPr>
                <w:sz w:val="21"/>
              </w:rPr>
            </w:pPr>
            <w:r>
              <w:rPr>
                <w:sz w:val="21"/>
              </w:rPr>
              <w:t>序号</w:t>
            </w:r>
          </w:p>
        </w:tc>
        <w:tc>
          <w:tcPr>
            <w:tcW w:w="1277" w:type="dxa"/>
          </w:tcPr>
          <w:p>
            <w:pPr>
              <w:pStyle w:val="TableParagraph"/>
              <w:spacing w:before="15"/>
              <w:ind w:left="97"/>
              <w:rPr>
                <w:sz w:val="21"/>
              </w:rPr>
            </w:pPr>
            <w:r>
              <w:rPr>
                <w:sz w:val="21"/>
              </w:rPr>
              <w:t>材料名称</w:t>
            </w:r>
          </w:p>
        </w:tc>
        <w:tc>
          <w:tcPr>
            <w:tcW w:w="1412" w:type="dxa"/>
          </w:tcPr>
          <w:p>
            <w:pPr>
              <w:pStyle w:val="TableParagraph"/>
              <w:spacing w:before="15"/>
              <w:ind w:left="112"/>
              <w:rPr>
                <w:sz w:val="21"/>
              </w:rPr>
            </w:pPr>
            <w:r>
              <w:rPr>
                <w:sz w:val="21"/>
              </w:rPr>
              <w:t>型号规格</w:t>
            </w:r>
          </w:p>
        </w:tc>
        <w:tc>
          <w:tcPr>
            <w:tcW w:w="1276" w:type="dxa"/>
          </w:tcPr>
          <w:p>
            <w:pPr>
              <w:pStyle w:val="TableParagraph"/>
              <w:spacing w:before="15"/>
              <w:ind w:left="112"/>
              <w:rPr>
                <w:sz w:val="21"/>
              </w:rPr>
            </w:pPr>
            <w:r>
              <w:rPr>
                <w:sz w:val="21"/>
              </w:rPr>
              <w:t>计量单位</w:t>
            </w:r>
          </w:p>
        </w:tc>
        <w:tc>
          <w:tcPr>
            <w:tcW w:w="1847" w:type="dxa"/>
          </w:tcPr>
          <w:p>
            <w:pPr>
              <w:pStyle w:val="TableParagraph"/>
              <w:spacing w:before="15"/>
              <w:ind w:left="112"/>
              <w:rPr>
                <w:rFonts w:ascii="Calibri" w:eastAsia="Calibri"/>
                <w:sz w:val="21"/>
              </w:rPr>
            </w:pPr>
            <w:r>
              <w:rPr>
                <w:sz w:val="21"/>
              </w:rPr>
              <w:t>预算价格</w:t>
            </w:r>
            <w:r>
              <w:rPr>
                <w:rFonts w:ascii="Calibri" w:eastAsia="Calibri"/>
                <w:sz w:val="21"/>
              </w:rPr>
              <w:t>(</w:t>
            </w:r>
            <w:r>
              <w:rPr>
                <w:sz w:val="21"/>
              </w:rPr>
              <w:t>元</w:t>
            </w:r>
            <w:r>
              <w:rPr>
                <w:rFonts w:ascii="Calibri" w:eastAsia="Calibri"/>
                <w:sz w:val="21"/>
              </w:rPr>
              <w:t>)</w:t>
            </w:r>
          </w:p>
        </w:tc>
        <w:tc>
          <w:tcPr>
            <w:tcW w:w="2418" w:type="dxa"/>
          </w:tcPr>
          <w:p>
            <w:pPr>
              <w:pStyle w:val="TableParagraph"/>
              <w:spacing w:before="15"/>
              <w:ind w:left="112"/>
              <w:rPr>
                <w:sz w:val="21"/>
              </w:rPr>
            </w:pPr>
            <w:r>
              <w:rPr>
                <w:sz w:val="21"/>
              </w:rPr>
              <w:t>备注</w:t>
            </w: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bl>
    <w:p>
      <w:pPr>
        <w:spacing w:after="0"/>
        <w:rPr>
          <w:rFonts w:ascii="Times New Roman"/>
          <w:sz w:val="22"/>
        </w:rPr>
        <w:sectPr>
          <w:pgSz w:w="11910" w:h="16850"/>
          <w:pgMar w:header="911" w:footer="0" w:top="1380" w:bottom="280" w:left="1200" w:right="0"/>
        </w:sectPr>
      </w:pPr>
    </w:p>
    <w:p>
      <w:pPr>
        <w:pStyle w:val="BodyText"/>
        <w:spacing w:before="10"/>
        <w:rPr>
          <w:rFonts w:ascii="Times New Roman"/>
          <w:sz w:val="3"/>
        </w:rPr>
      </w:pPr>
      <w:r>
        <w:rPr/>
        <w:pict>
          <v:group style="position:absolute;margin-left:71.349998pt;margin-top:204.980469pt;width:463.2pt;height:432.65pt;mso-position-horizontal-relative:page;mso-position-vertical-relative:page;z-index:-268460032" coordorigin="1427,4100" coordsize="9264,8653">
            <v:shape style="position:absolute;left:1563;top:4099;width:8786;height:8653" type="#_x0000_t75" stroked="false">
              <v:imagedata r:id="rId6" o:title=""/>
            </v:shape>
            <v:shape style="position:absolute;left:1427;top:5734;width:9264;height:1369" type="#_x0000_t202" filled="false" stroked="false">
              <v:textbox inset="0,0,0,0">
                <w:txbxContent>
                  <w:p>
                    <w:pPr>
                      <w:spacing w:line="358" w:lineRule="exact" w:before="0"/>
                      <w:ind w:left="1757" w:right="1886" w:firstLine="0"/>
                      <w:jc w:val="center"/>
                      <w:rPr>
                        <w:rFonts w:ascii="黑体" w:eastAsia="黑体" w:hint="eastAsia"/>
                        <w:sz w:val="31"/>
                      </w:rPr>
                    </w:pPr>
                    <w:r>
                      <w:rPr>
                        <w:rFonts w:ascii="黑体" w:eastAsia="黑体" w:hint="eastAsia"/>
                        <w:sz w:val="31"/>
                      </w:rPr>
                      <w:t>招标人提供施工机械台时(班)费用汇总表</w:t>
                    </w:r>
                  </w:p>
                  <w:p>
                    <w:pPr>
                      <w:spacing w:before="143"/>
                      <w:ind w:left="0" w:right="0" w:firstLine="0"/>
                      <w:jc w:val="left"/>
                      <w:rPr>
                        <w:sz w:val="22"/>
                      </w:rPr>
                    </w:pPr>
                    <w:r>
                      <w:rPr>
                        <w:sz w:val="22"/>
                      </w:rPr>
                      <w:t>合同编号：(投标项目合同号) </w:t>
                    </w:r>
                  </w:p>
                  <w:p>
                    <w:pPr>
                      <w:spacing w:before="33"/>
                      <w:ind w:left="0" w:right="0" w:firstLine="0"/>
                      <w:jc w:val="left"/>
                      <w:rPr>
                        <w:sz w:val="22"/>
                      </w:rPr>
                    </w:pPr>
                    <w:r>
                      <w:rPr>
                        <w:sz w:val="22"/>
                      </w:rPr>
                      <w:t>工程名称：</w:t>
                    </w:r>
                    <w:r>
                      <w:rPr>
                        <w:spacing w:val="94"/>
                        <w:sz w:val="22"/>
                        <w:u w:val="single"/>
                      </w:rPr>
                      <w:t> </w:t>
                    </w:r>
                    <w:r>
                      <w:rPr>
                        <w:spacing w:val="1"/>
                        <w:sz w:val="22"/>
                      </w:rPr>
                      <w:t>(项目名称)</w:t>
                    </w:r>
                    <w:r>
                      <w:rPr>
                        <w:spacing w:val="1"/>
                        <w:sz w:val="22"/>
                        <w:u w:val="single"/>
                      </w:rPr>
                      <w:t> </w:t>
                    </w:r>
                    <w:r>
                      <w:rPr>
                        <w:spacing w:val="1"/>
                        <w:sz w:val="22"/>
                      </w:rPr>
                      <w:t>(标段名称)</w:t>
                    </w:r>
                    <w:r>
                      <w:rPr>
                        <w:sz w:val="22"/>
                      </w:rPr>
                      <w:t> </w:t>
                    </w:r>
                  </w:p>
                  <w:p>
                    <w:pPr>
                      <w:spacing w:line="252" w:lineRule="exact" w:before="18"/>
                      <w:ind w:left="7209" w:right="0" w:firstLine="0"/>
                      <w:jc w:val="left"/>
                      <w:rPr>
                        <w:sz w:val="22"/>
                      </w:rPr>
                    </w:pPr>
                    <w:r>
                      <w:rPr>
                        <w:sz w:val="22"/>
                      </w:rPr>
                      <w:t>单位：元/台时(班) </w:t>
                    </w:r>
                  </w:p>
                </w:txbxContent>
              </v:textbox>
              <w10:wrap type="none"/>
            </v:shape>
            <v:shape style="position:absolute;left:1427;top:10478;width:9264;height:1369" type="#_x0000_t202" filled="false" stroked="false">
              <v:textbox inset="0,0,0,0">
                <w:txbxContent>
                  <w:p>
                    <w:pPr>
                      <w:spacing w:line="358" w:lineRule="exact" w:before="0"/>
                      <w:ind w:left="1756" w:right="1886" w:firstLine="0"/>
                      <w:jc w:val="center"/>
                      <w:rPr>
                        <w:rFonts w:ascii="黑体" w:eastAsia="黑体" w:hint="eastAsia"/>
                        <w:sz w:val="31"/>
                      </w:rPr>
                    </w:pPr>
                    <w:r>
                      <w:rPr>
                        <w:rFonts w:ascii="黑体" w:eastAsia="黑体" w:hint="eastAsia"/>
                        <w:sz w:val="31"/>
                      </w:rPr>
                      <w:t>投标人自备施工机械台时(班)费汇总表</w:t>
                    </w:r>
                  </w:p>
                  <w:p>
                    <w:pPr>
                      <w:spacing w:before="143"/>
                      <w:ind w:left="0" w:right="0" w:firstLine="0"/>
                      <w:jc w:val="left"/>
                      <w:rPr>
                        <w:sz w:val="22"/>
                      </w:rPr>
                    </w:pPr>
                    <w:r>
                      <w:rPr>
                        <w:sz w:val="22"/>
                      </w:rPr>
                      <w:t>合同编号：(投标项目合同号) </w:t>
                    </w:r>
                  </w:p>
                  <w:p>
                    <w:pPr>
                      <w:spacing w:before="33"/>
                      <w:ind w:left="0" w:right="0" w:firstLine="0"/>
                      <w:jc w:val="left"/>
                      <w:rPr>
                        <w:sz w:val="22"/>
                      </w:rPr>
                    </w:pPr>
                    <w:r>
                      <w:rPr>
                        <w:sz w:val="22"/>
                      </w:rPr>
                      <w:t>工程名称：</w:t>
                    </w:r>
                    <w:r>
                      <w:rPr>
                        <w:spacing w:val="94"/>
                        <w:sz w:val="22"/>
                        <w:u w:val="single"/>
                      </w:rPr>
                      <w:t> </w:t>
                    </w:r>
                    <w:r>
                      <w:rPr>
                        <w:spacing w:val="1"/>
                        <w:sz w:val="22"/>
                      </w:rPr>
                      <w:t>(项目名称)</w:t>
                    </w:r>
                    <w:r>
                      <w:rPr>
                        <w:spacing w:val="1"/>
                        <w:sz w:val="22"/>
                        <w:u w:val="single"/>
                      </w:rPr>
                      <w:t> </w:t>
                    </w:r>
                    <w:r>
                      <w:rPr>
                        <w:spacing w:val="1"/>
                        <w:sz w:val="22"/>
                      </w:rPr>
                      <w:t>(标段名称)</w:t>
                    </w:r>
                    <w:r>
                      <w:rPr>
                        <w:sz w:val="22"/>
                      </w:rPr>
                      <w:t> </w:t>
                    </w:r>
                  </w:p>
                  <w:p>
                    <w:pPr>
                      <w:spacing w:line="252" w:lineRule="exact" w:before="19"/>
                      <w:ind w:left="7209" w:right="0" w:firstLine="0"/>
                      <w:jc w:val="left"/>
                      <w:rPr>
                        <w:sz w:val="22"/>
                      </w:rPr>
                    </w:pPr>
                    <w:r>
                      <w:rPr>
                        <w:sz w:val="22"/>
                      </w:rPr>
                      <w:t>单位：元/台时(班) </w:t>
                    </w:r>
                  </w:p>
                </w:txbxContent>
              </v:textbox>
              <w10:wrap type="none"/>
            </v:shape>
            <w10:wrap type="none"/>
          </v:group>
        </w:pict>
      </w:r>
    </w:p>
    <w:tbl>
      <w:tblPr>
        <w:tblW w:w="0" w:type="auto"/>
        <w:jc w:val="left"/>
        <w:tblInd w:w="2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856"/>
        <w:gridCol w:w="1277"/>
        <w:gridCol w:w="1412"/>
        <w:gridCol w:w="1276"/>
        <w:gridCol w:w="1847"/>
        <w:gridCol w:w="2418"/>
      </w:tblGrid>
      <w:tr>
        <w:trPr>
          <w:trHeight w:val="297" w:hRule="atLeast"/>
        </w:trPr>
        <w:tc>
          <w:tcPr>
            <w:tcW w:w="856"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15"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r>
        <w:trPr>
          <w:trHeight w:val="300" w:hRule="atLeast"/>
        </w:trPr>
        <w:tc>
          <w:tcPr>
            <w:tcW w:w="85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412"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276"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1847"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c>
          <w:tcPr>
            <w:tcW w:w="2418" w:type="dxa"/>
            <w:tcBorders>
              <w:top w:val="single" w:sz="6" w:space="0" w:color="000000"/>
              <w:left w:val="single" w:sz="6" w:space="0" w:color="000000"/>
              <w:bottom w:val="single" w:sz="6" w:space="0" w:color="000000"/>
              <w:right w:val="single" w:sz="6" w:space="0" w:color="000000"/>
            </w:tcBorders>
          </w:tcPr>
          <w:p>
            <w:pPr>
              <w:pStyle w:val="TableParagraph"/>
              <w:rPr>
                <w:rFonts w:ascii="Times New Roman"/>
                <w:sz w:val="2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6"/>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56"/>
        <w:gridCol w:w="556"/>
        <w:gridCol w:w="616"/>
        <w:gridCol w:w="991"/>
        <w:gridCol w:w="690"/>
        <w:gridCol w:w="690"/>
        <w:gridCol w:w="690"/>
        <w:gridCol w:w="690"/>
        <w:gridCol w:w="690"/>
        <w:gridCol w:w="570"/>
        <w:gridCol w:w="570"/>
        <w:gridCol w:w="585"/>
        <w:gridCol w:w="690"/>
        <w:gridCol w:w="660"/>
      </w:tblGrid>
      <w:tr>
        <w:trPr>
          <w:trHeight w:val="315" w:hRule="atLeast"/>
        </w:trPr>
        <w:tc>
          <w:tcPr>
            <w:tcW w:w="556" w:type="dxa"/>
            <w:vMerge w:val="restart"/>
          </w:tcPr>
          <w:p>
            <w:pPr>
              <w:pStyle w:val="TableParagraph"/>
              <w:spacing w:before="8"/>
              <w:rPr>
                <w:rFonts w:ascii="Times New Roman"/>
                <w:sz w:val="28"/>
              </w:rPr>
            </w:pPr>
          </w:p>
          <w:p>
            <w:pPr>
              <w:pStyle w:val="TableParagraph"/>
              <w:spacing w:line="280" w:lineRule="auto"/>
              <w:ind w:left="172" w:right="156"/>
              <w:rPr>
                <w:sz w:val="21"/>
              </w:rPr>
            </w:pPr>
            <w:r>
              <w:rPr>
                <w:sz w:val="21"/>
              </w:rPr>
              <w:t>序号</w:t>
            </w:r>
          </w:p>
        </w:tc>
        <w:tc>
          <w:tcPr>
            <w:tcW w:w="556" w:type="dxa"/>
            <w:vMerge w:val="restart"/>
          </w:tcPr>
          <w:p>
            <w:pPr>
              <w:pStyle w:val="TableParagraph"/>
              <w:spacing w:line="280" w:lineRule="auto" w:before="15"/>
              <w:ind w:left="171" w:right="157"/>
              <w:jc w:val="both"/>
              <w:rPr>
                <w:sz w:val="21"/>
              </w:rPr>
            </w:pPr>
            <w:r>
              <w:rPr>
                <w:sz w:val="21"/>
              </w:rPr>
              <w:t>机械名</w:t>
            </w:r>
          </w:p>
          <w:p>
            <w:pPr>
              <w:pStyle w:val="TableParagraph"/>
              <w:spacing w:line="255" w:lineRule="exact"/>
              <w:ind w:left="171"/>
              <w:rPr>
                <w:sz w:val="21"/>
              </w:rPr>
            </w:pPr>
            <w:r>
              <w:rPr>
                <w:sz w:val="21"/>
              </w:rPr>
              <w:t>称</w:t>
            </w:r>
          </w:p>
        </w:tc>
        <w:tc>
          <w:tcPr>
            <w:tcW w:w="616" w:type="dxa"/>
            <w:vMerge w:val="restart"/>
          </w:tcPr>
          <w:p>
            <w:pPr>
              <w:pStyle w:val="TableParagraph"/>
              <w:spacing w:line="280" w:lineRule="auto" w:before="15"/>
              <w:ind w:left="187" w:right="201"/>
              <w:jc w:val="both"/>
              <w:rPr>
                <w:sz w:val="21"/>
              </w:rPr>
            </w:pPr>
            <w:r>
              <w:rPr>
                <w:sz w:val="21"/>
              </w:rPr>
              <w:t>型号规</w:t>
            </w:r>
          </w:p>
          <w:p>
            <w:pPr>
              <w:pStyle w:val="TableParagraph"/>
              <w:spacing w:line="255" w:lineRule="exact"/>
              <w:ind w:left="187"/>
              <w:rPr>
                <w:sz w:val="21"/>
              </w:rPr>
            </w:pPr>
            <w:r>
              <w:rPr>
                <w:sz w:val="21"/>
              </w:rPr>
              <w:t>格</w:t>
            </w:r>
          </w:p>
        </w:tc>
        <w:tc>
          <w:tcPr>
            <w:tcW w:w="991" w:type="dxa"/>
            <w:vMerge w:val="restart"/>
            <w:tcBorders>
              <w:right w:val="single" w:sz="8" w:space="0" w:color="000000"/>
            </w:tcBorders>
          </w:tcPr>
          <w:p>
            <w:pPr>
              <w:pStyle w:val="TableParagraph"/>
              <w:spacing w:line="280" w:lineRule="auto" w:before="165"/>
              <w:ind w:left="171" w:right="168"/>
              <w:jc w:val="both"/>
              <w:rPr>
                <w:sz w:val="21"/>
              </w:rPr>
            </w:pPr>
            <w:r>
              <w:rPr>
                <w:sz w:val="21"/>
              </w:rPr>
              <w:t>招标人收取的折旧费</w:t>
            </w:r>
          </w:p>
        </w:tc>
        <w:tc>
          <w:tcPr>
            <w:tcW w:w="5865" w:type="dxa"/>
            <w:gridSpan w:val="9"/>
            <w:tcBorders>
              <w:left w:val="single" w:sz="8" w:space="0" w:color="000000"/>
            </w:tcBorders>
          </w:tcPr>
          <w:p>
            <w:pPr>
              <w:pStyle w:val="TableParagraph"/>
              <w:spacing w:before="15"/>
              <w:ind w:left="1954" w:right="1962"/>
              <w:jc w:val="center"/>
              <w:rPr>
                <w:sz w:val="21"/>
              </w:rPr>
            </w:pPr>
            <w:r>
              <w:rPr>
                <w:sz w:val="21"/>
              </w:rPr>
              <w:t>投标人应计算的费用</w:t>
            </w:r>
          </w:p>
        </w:tc>
        <w:tc>
          <w:tcPr>
            <w:tcW w:w="660" w:type="dxa"/>
          </w:tcPr>
          <w:p>
            <w:pPr>
              <w:pStyle w:val="TableParagraph"/>
              <w:spacing w:before="15"/>
              <w:ind w:left="119"/>
              <w:rPr>
                <w:sz w:val="21"/>
              </w:rPr>
            </w:pPr>
            <w:r>
              <w:rPr>
                <w:sz w:val="21"/>
              </w:rPr>
              <w:t>合计</w:t>
            </w:r>
          </w:p>
        </w:tc>
      </w:tr>
      <w:tr>
        <w:trPr>
          <w:trHeight w:val="915" w:hRule="atLeast"/>
        </w:trPr>
        <w:tc>
          <w:tcPr>
            <w:tcW w:w="556" w:type="dxa"/>
            <w:vMerge/>
            <w:tcBorders>
              <w:top w:val="nil"/>
            </w:tcBorders>
          </w:tcPr>
          <w:p>
            <w:pPr>
              <w:rPr>
                <w:sz w:val="2"/>
                <w:szCs w:val="2"/>
              </w:rPr>
            </w:pPr>
          </w:p>
        </w:tc>
        <w:tc>
          <w:tcPr>
            <w:tcW w:w="556" w:type="dxa"/>
            <w:vMerge/>
            <w:tcBorders>
              <w:top w:val="nil"/>
            </w:tcBorders>
          </w:tcPr>
          <w:p>
            <w:pPr>
              <w:rPr>
                <w:sz w:val="2"/>
                <w:szCs w:val="2"/>
              </w:rPr>
            </w:pPr>
          </w:p>
        </w:tc>
        <w:tc>
          <w:tcPr>
            <w:tcW w:w="616" w:type="dxa"/>
            <w:vMerge/>
            <w:tcBorders>
              <w:top w:val="nil"/>
            </w:tcBorders>
          </w:tcPr>
          <w:p>
            <w:pPr>
              <w:rPr>
                <w:sz w:val="2"/>
                <w:szCs w:val="2"/>
              </w:rPr>
            </w:pPr>
          </w:p>
        </w:tc>
        <w:tc>
          <w:tcPr>
            <w:tcW w:w="991" w:type="dxa"/>
            <w:vMerge/>
            <w:tcBorders>
              <w:top w:val="nil"/>
              <w:right w:val="single" w:sz="8" w:space="0" w:color="000000"/>
            </w:tcBorders>
          </w:tcPr>
          <w:p>
            <w:pPr>
              <w:rPr>
                <w:sz w:val="2"/>
                <w:szCs w:val="2"/>
              </w:rPr>
            </w:pPr>
          </w:p>
        </w:tc>
        <w:tc>
          <w:tcPr>
            <w:tcW w:w="690" w:type="dxa"/>
            <w:tcBorders>
              <w:left w:val="single" w:sz="8" w:space="0" w:color="000000"/>
            </w:tcBorders>
          </w:tcPr>
          <w:p>
            <w:pPr>
              <w:pStyle w:val="TableParagraph"/>
              <w:spacing w:line="280" w:lineRule="auto" w:before="150"/>
              <w:ind w:left="229" w:right="125" w:hanging="105"/>
              <w:rPr>
                <w:sz w:val="21"/>
              </w:rPr>
            </w:pPr>
            <w:r>
              <w:rPr>
                <w:sz w:val="21"/>
              </w:rPr>
              <w:t>维修费</w:t>
            </w:r>
          </w:p>
        </w:tc>
        <w:tc>
          <w:tcPr>
            <w:tcW w:w="690" w:type="dxa"/>
          </w:tcPr>
          <w:p>
            <w:pPr>
              <w:pStyle w:val="TableParagraph"/>
              <w:spacing w:line="280" w:lineRule="auto" w:before="150"/>
              <w:ind w:left="233" w:right="123" w:hanging="105"/>
              <w:rPr>
                <w:sz w:val="21"/>
              </w:rPr>
            </w:pPr>
            <w:r>
              <w:rPr>
                <w:sz w:val="21"/>
              </w:rPr>
              <w:t>安拆费</w:t>
            </w:r>
          </w:p>
        </w:tc>
        <w:tc>
          <w:tcPr>
            <w:tcW w:w="690" w:type="dxa"/>
          </w:tcPr>
          <w:p>
            <w:pPr>
              <w:pStyle w:val="TableParagraph"/>
              <w:spacing w:before="4"/>
              <w:rPr>
                <w:rFonts w:ascii="Times New Roman"/>
                <w:sz w:val="27"/>
              </w:rPr>
            </w:pPr>
          </w:p>
          <w:p>
            <w:pPr>
              <w:pStyle w:val="TableParagraph"/>
              <w:spacing w:before="1"/>
              <w:ind w:left="128"/>
              <w:rPr>
                <w:sz w:val="21"/>
              </w:rPr>
            </w:pPr>
            <w:r>
              <w:rPr>
                <w:sz w:val="21"/>
              </w:rPr>
              <w:t>人工</w:t>
            </w:r>
          </w:p>
        </w:tc>
        <w:tc>
          <w:tcPr>
            <w:tcW w:w="690" w:type="dxa"/>
          </w:tcPr>
          <w:p>
            <w:pPr>
              <w:pStyle w:val="TableParagraph"/>
              <w:spacing w:before="4"/>
              <w:rPr>
                <w:rFonts w:ascii="Times New Roman"/>
                <w:sz w:val="27"/>
              </w:rPr>
            </w:pPr>
          </w:p>
          <w:p>
            <w:pPr>
              <w:pStyle w:val="TableParagraph"/>
              <w:spacing w:before="1"/>
              <w:ind w:left="129"/>
              <w:rPr>
                <w:sz w:val="21"/>
              </w:rPr>
            </w:pPr>
            <w:r>
              <w:rPr>
                <w:sz w:val="21"/>
              </w:rPr>
              <w:t>柴油</w:t>
            </w:r>
          </w:p>
        </w:tc>
        <w:tc>
          <w:tcPr>
            <w:tcW w:w="690" w:type="dxa"/>
          </w:tcPr>
          <w:p>
            <w:pPr>
              <w:pStyle w:val="TableParagraph"/>
              <w:spacing w:before="4"/>
              <w:rPr>
                <w:rFonts w:ascii="Times New Roman"/>
                <w:sz w:val="27"/>
              </w:rPr>
            </w:pPr>
          </w:p>
          <w:p>
            <w:pPr>
              <w:pStyle w:val="TableParagraph"/>
              <w:spacing w:before="1"/>
              <w:ind w:left="6"/>
              <w:jc w:val="center"/>
              <w:rPr>
                <w:sz w:val="21"/>
              </w:rPr>
            </w:pPr>
            <w:r>
              <w:rPr>
                <w:sz w:val="21"/>
              </w:rPr>
              <w:t>电</w:t>
            </w:r>
          </w:p>
        </w:tc>
        <w:tc>
          <w:tcPr>
            <w:tcW w:w="570" w:type="dxa"/>
          </w:tcPr>
          <w:p>
            <w:pPr>
              <w:pStyle w:val="TableParagraph"/>
              <w:rPr>
                <w:rFonts w:ascii="Times New Roman"/>
                <w:sz w:val="22"/>
              </w:rPr>
            </w:pPr>
          </w:p>
        </w:tc>
        <w:tc>
          <w:tcPr>
            <w:tcW w:w="570" w:type="dxa"/>
          </w:tcPr>
          <w:p>
            <w:pPr>
              <w:pStyle w:val="TableParagraph"/>
              <w:rPr>
                <w:rFonts w:ascii="Times New Roman"/>
                <w:sz w:val="22"/>
              </w:rPr>
            </w:pPr>
          </w:p>
        </w:tc>
        <w:tc>
          <w:tcPr>
            <w:tcW w:w="585" w:type="dxa"/>
          </w:tcPr>
          <w:p>
            <w:pPr>
              <w:pStyle w:val="TableParagraph"/>
              <w:rPr>
                <w:rFonts w:ascii="Times New Roman"/>
                <w:sz w:val="22"/>
              </w:rPr>
            </w:pPr>
          </w:p>
        </w:tc>
        <w:tc>
          <w:tcPr>
            <w:tcW w:w="690" w:type="dxa"/>
          </w:tcPr>
          <w:p>
            <w:pPr>
              <w:pStyle w:val="TableParagraph"/>
              <w:spacing w:before="4"/>
              <w:rPr>
                <w:rFonts w:ascii="Times New Roman"/>
                <w:sz w:val="27"/>
              </w:rPr>
            </w:pPr>
          </w:p>
          <w:p>
            <w:pPr>
              <w:pStyle w:val="TableParagraph"/>
              <w:spacing w:before="1"/>
              <w:ind w:left="148"/>
              <w:rPr>
                <w:sz w:val="21"/>
              </w:rPr>
            </w:pPr>
            <w:r>
              <w:rPr>
                <w:sz w:val="21"/>
              </w:rPr>
              <w:t>小计</w:t>
            </w:r>
          </w:p>
        </w:tc>
        <w:tc>
          <w:tcPr>
            <w:tcW w:w="660" w:type="dxa"/>
          </w:tcPr>
          <w:p>
            <w:pPr>
              <w:pStyle w:val="TableParagraph"/>
              <w:rPr>
                <w:rFonts w:ascii="Times New Roman"/>
                <w:sz w:val="22"/>
              </w:rPr>
            </w:pPr>
          </w:p>
        </w:tc>
      </w:tr>
      <w:tr>
        <w:trPr>
          <w:trHeight w:val="315" w:hRule="atLeast"/>
        </w:trPr>
        <w:tc>
          <w:tcPr>
            <w:tcW w:w="556" w:type="dxa"/>
          </w:tcPr>
          <w:p>
            <w:pPr>
              <w:pStyle w:val="TableParagraph"/>
              <w:rPr>
                <w:rFonts w:ascii="Times New Roman"/>
                <w:sz w:val="22"/>
              </w:rPr>
            </w:pPr>
          </w:p>
        </w:tc>
        <w:tc>
          <w:tcPr>
            <w:tcW w:w="556" w:type="dxa"/>
          </w:tcPr>
          <w:p>
            <w:pPr>
              <w:pStyle w:val="TableParagraph"/>
              <w:rPr>
                <w:rFonts w:ascii="Times New Roman"/>
                <w:sz w:val="22"/>
              </w:rPr>
            </w:pPr>
          </w:p>
        </w:tc>
        <w:tc>
          <w:tcPr>
            <w:tcW w:w="616" w:type="dxa"/>
          </w:tcPr>
          <w:p>
            <w:pPr>
              <w:pStyle w:val="TableParagraph"/>
              <w:rPr>
                <w:rFonts w:ascii="Times New Roman"/>
                <w:sz w:val="22"/>
              </w:rPr>
            </w:pPr>
          </w:p>
        </w:tc>
        <w:tc>
          <w:tcPr>
            <w:tcW w:w="991" w:type="dxa"/>
            <w:tcBorders>
              <w:right w:val="single" w:sz="8" w:space="0" w:color="000000"/>
            </w:tcBorders>
          </w:tcPr>
          <w:p>
            <w:pPr>
              <w:pStyle w:val="TableParagraph"/>
              <w:rPr>
                <w:rFonts w:ascii="Times New Roman"/>
                <w:sz w:val="22"/>
              </w:rPr>
            </w:pPr>
          </w:p>
        </w:tc>
        <w:tc>
          <w:tcPr>
            <w:tcW w:w="690" w:type="dxa"/>
            <w:tcBorders>
              <w:left w:val="single" w:sz="8" w:space="0" w:color="000000"/>
            </w:tcBorders>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570" w:type="dxa"/>
          </w:tcPr>
          <w:p>
            <w:pPr>
              <w:pStyle w:val="TableParagraph"/>
              <w:rPr>
                <w:rFonts w:ascii="Times New Roman"/>
                <w:sz w:val="22"/>
              </w:rPr>
            </w:pPr>
          </w:p>
        </w:tc>
        <w:tc>
          <w:tcPr>
            <w:tcW w:w="570" w:type="dxa"/>
          </w:tcPr>
          <w:p>
            <w:pPr>
              <w:pStyle w:val="TableParagraph"/>
              <w:rPr>
                <w:rFonts w:ascii="Times New Roman"/>
                <w:sz w:val="22"/>
              </w:rPr>
            </w:pPr>
          </w:p>
        </w:tc>
        <w:tc>
          <w:tcPr>
            <w:tcW w:w="585" w:type="dxa"/>
          </w:tcPr>
          <w:p>
            <w:pPr>
              <w:pStyle w:val="TableParagraph"/>
              <w:rPr>
                <w:rFonts w:ascii="Times New Roman"/>
                <w:sz w:val="22"/>
              </w:rPr>
            </w:pPr>
          </w:p>
        </w:tc>
        <w:tc>
          <w:tcPr>
            <w:tcW w:w="690" w:type="dxa"/>
          </w:tcPr>
          <w:p>
            <w:pPr>
              <w:pStyle w:val="TableParagraph"/>
              <w:rPr>
                <w:rFonts w:ascii="Times New Roman"/>
                <w:sz w:val="22"/>
              </w:rPr>
            </w:pPr>
          </w:p>
        </w:tc>
        <w:tc>
          <w:tcPr>
            <w:tcW w:w="660" w:type="dxa"/>
          </w:tcPr>
          <w:p>
            <w:pPr>
              <w:pStyle w:val="TableParagraph"/>
              <w:rPr>
                <w:rFonts w:ascii="Times New Roman"/>
                <w:sz w:val="22"/>
              </w:rPr>
            </w:pPr>
          </w:p>
        </w:tc>
      </w:tr>
      <w:tr>
        <w:trPr>
          <w:trHeight w:val="300" w:hRule="atLeast"/>
        </w:trPr>
        <w:tc>
          <w:tcPr>
            <w:tcW w:w="556" w:type="dxa"/>
          </w:tcPr>
          <w:p>
            <w:pPr>
              <w:pStyle w:val="TableParagraph"/>
              <w:rPr>
                <w:rFonts w:ascii="Times New Roman"/>
                <w:sz w:val="22"/>
              </w:rPr>
            </w:pPr>
          </w:p>
        </w:tc>
        <w:tc>
          <w:tcPr>
            <w:tcW w:w="556" w:type="dxa"/>
          </w:tcPr>
          <w:p>
            <w:pPr>
              <w:pStyle w:val="TableParagraph"/>
              <w:rPr>
                <w:rFonts w:ascii="Times New Roman"/>
                <w:sz w:val="22"/>
              </w:rPr>
            </w:pPr>
          </w:p>
        </w:tc>
        <w:tc>
          <w:tcPr>
            <w:tcW w:w="616" w:type="dxa"/>
          </w:tcPr>
          <w:p>
            <w:pPr>
              <w:pStyle w:val="TableParagraph"/>
              <w:rPr>
                <w:rFonts w:ascii="Times New Roman"/>
                <w:sz w:val="22"/>
              </w:rPr>
            </w:pPr>
          </w:p>
        </w:tc>
        <w:tc>
          <w:tcPr>
            <w:tcW w:w="991" w:type="dxa"/>
            <w:tcBorders>
              <w:right w:val="single" w:sz="8" w:space="0" w:color="000000"/>
            </w:tcBorders>
          </w:tcPr>
          <w:p>
            <w:pPr>
              <w:pStyle w:val="TableParagraph"/>
              <w:rPr>
                <w:rFonts w:ascii="Times New Roman"/>
                <w:sz w:val="22"/>
              </w:rPr>
            </w:pPr>
          </w:p>
        </w:tc>
        <w:tc>
          <w:tcPr>
            <w:tcW w:w="690" w:type="dxa"/>
            <w:tcBorders>
              <w:left w:val="single" w:sz="8" w:space="0" w:color="000000"/>
            </w:tcBorders>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570" w:type="dxa"/>
          </w:tcPr>
          <w:p>
            <w:pPr>
              <w:pStyle w:val="TableParagraph"/>
              <w:rPr>
                <w:rFonts w:ascii="Times New Roman"/>
                <w:sz w:val="22"/>
              </w:rPr>
            </w:pPr>
          </w:p>
        </w:tc>
        <w:tc>
          <w:tcPr>
            <w:tcW w:w="570" w:type="dxa"/>
          </w:tcPr>
          <w:p>
            <w:pPr>
              <w:pStyle w:val="TableParagraph"/>
              <w:rPr>
                <w:rFonts w:ascii="Times New Roman"/>
                <w:sz w:val="22"/>
              </w:rPr>
            </w:pPr>
          </w:p>
        </w:tc>
        <w:tc>
          <w:tcPr>
            <w:tcW w:w="585" w:type="dxa"/>
          </w:tcPr>
          <w:p>
            <w:pPr>
              <w:pStyle w:val="TableParagraph"/>
              <w:rPr>
                <w:rFonts w:ascii="Times New Roman"/>
                <w:sz w:val="22"/>
              </w:rPr>
            </w:pPr>
          </w:p>
        </w:tc>
        <w:tc>
          <w:tcPr>
            <w:tcW w:w="690" w:type="dxa"/>
          </w:tcPr>
          <w:p>
            <w:pPr>
              <w:pStyle w:val="TableParagraph"/>
              <w:rPr>
                <w:rFonts w:ascii="Times New Roman"/>
                <w:sz w:val="22"/>
              </w:rPr>
            </w:pPr>
          </w:p>
        </w:tc>
        <w:tc>
          <w:tcPr>
            <w:tcW w:w="660" w:type="dxa"/>
          </w:tcPr>
          <w:p>
            <w:pPr>
              <w:pStyle w:val="TableParagraph"/>
              <w:rPr>
                <w:rFonts w:ascii="Times New Roman"/>
                <w:sz w:val="22"/>
              </w:rPr>
            </w:pPr>
          </w:p>
        </w:tc>
      </w:tr>
      <w:tr>
        <w:trPr>
          <w:trHeight w:val="315" w:hRule="atLeast"/>
        </w:trPr>
        <w:tc>
          <w:tcPr>
            <w:tcW w:w="556" w:type="dxa"/>
          </w:tcPr>
          <w:p>
            <w:pPr>
              <w:pStyle w:val="TableParagraph"/>
              <w:rPr>
                <w:rFonts w:ascii="Times New Roman"/>
                <w:sz w:val="22"/>
              </w:rPr>
            </w:pPr>
          </w:p>
        </w:tc>
        <w:tc>
          <w:tcPr>
            <w:tcW w:w="556" w:type="dxa"/>
          </w:tcPr>
          <w:p>
            <w:pPr>
              <w:pStyle w:val="TableParagraph"/>
              <w:rPr>
                <w:rFonts w:ascii="Times New Roman"/>
                <w:sz w:val="22"/>
              </w:rPr>
            </w:pPr>
          </w:p>
        </w:tc>
        <w:tc>
          <w:tcPr>
            <w:tcW w:w="616" w:type="dxa"/>
          </w:tcPr>
          <w:p>
            <w:pPr>
              <w:pStyle w:val="TableParagraph"/>
              <w:rPr>
                <w:rFonts w:ascii="Times New Roman"/>
                <w:sz w:val="22"/>
              </w:rPr>
            </w:pPr>
          </w:p>
        </w:tc>
        <w:tc>
          <w:tcPr>
            <w:tcW w:w="991" w:type="dxa"/>
            <w:tcBorders>
              <w:right w:val="single" w:sz="8" w:space="0" w:color="000000"/>
            </w:tcBorders>
          </w:tcPr>
          <w:p>
            <w:pPr>
              <w:pStyle w:val="TableParagraph"/>
              <w:rPr>
                <w:rFonts w:ascii="Times New Roman"/>
                <w:sz w:val="22"/>
              </w:rPr>
            </w:pPr>
          </w:p>
        </w:tc>
        <w:tc>
          <w:tcPr>
            <w:tcW w:w="690" w:type="dxa"/>
            <w:tcBorders>
              <w:left w:val="single" w:sz="8" w:space="0" w:color="000000"/>
            </w:tcBorders>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570" w:type="dxa"/>
          </w:tcPr>
          <w:p>
            <w:pPr>
              <w:pStyle w:val="TableParagraph"/>
              <w:rPr>
                <w:rFonts w:ascii="Times New Roman"/>
                <w:sz w:val="22"/>
              </w:rPr>
            </w:pPr>
          </w:p>
        </w:tc>
        <w:tc>
          <w:tcPr>
            <w:tcW w:w="570" w:type="dxa"/>
          </w:tcPr>
          <w:p>
            <w:pPr>
              <w:pStyle w:val="TableParagraph"/>
              <w:rPr>
                <w:rFonts w:ascii="Times New Roman"/>
                <w:sz w:val="22"/>
              </w:rPr>
            </w:pPr>
          </w:p>
        </w:tc>
        <w:tc>
          <w:tcPr>
            <w:tcW w:w="585" w:type="dxa"/>
          </w:tcPr>
          <w:p>
            <w:pPr>
              <w:pStyle w:val="TableParagraph"/>
              <w:rPr>
                <w:rFonts w:ascii="Times New Roman"/>
                <w:sz w:val="22"/>
              </w:rPr>
            </w:pPr>
          </w:p>
        </w:tc>
        <w:tc>
          <w:tcPr>
            <w:tcW w:w="690" w:type="dxa"/>
          </w:tcPr>
          <w:p>
            <w:pPr>
              <w:pStyle w:val="TableParagraph"/>
              <w:rPr>
                <w:rFonts w:ascii="Times New Roman"/>
                <w:sz w:val="22"/>
              </w:rPr>
            </w:pPr>
          </w:p>
        </w:tc>
        <w:tc>
          <w:tcPr>
            <w:tcW w:w="660" w:type="dxa"/>
          </w:tcPr>
          <w:p>
            <w:pPr>
              <w:pStyle w:val="TableParagraph"/>
              <w:rPr>
                <w:rFonts w:ascii="Times New Roman"/>
                <w:sz w:val="22"/>
              </w:rPr>
            </w:pPr>
          </w:p>
        </w:tc>
      </w:tr>
      <w:tr>
        <w:trPr>
          <w:trHeight w:val="300" w:hRule="atLeast"/>
        </w:trPr>
        <w:tc>
          <w:tcPr>
            <w:tcW w:w="556" w:type="dxa"/>
          </w:tcPr>
          <w:p>
            <w:pPr>
              <w:pStyle w:val="TableParagraph"/>
              <w:rPr>
                <w:rFonts w:ascii="Times New Roman"/>
                <w:sz w:val="22"/>
              </w:rPr>
            </w:pPr>
          </w:p>
        </w:tc>
        <w:tc>
          <w:tcPr>
            <w:tcW w:w="556" w:type="dxa"/>
          </w:tcPr>
          <w:p>
            <w:pPr>
              <w:pStyle w:val="TableParagraph"/>
              <w:rPr>
                <w:rFonts w:ascii="Times New Roman"/>
                <w:sz w:val="22"/>
              </w:rPr>
            </w:pPr>
          </w:p>
        </w:tc>
        <w:tc>
          <w:tcPr>
            <w:tcW w:w="616" w:type="dxa"/>
          </w:tcPr>
          <w:p>
            <w:pPr>
              <w:pStyle w:val="TableParagraph"/>
              <w:rPr>
                <w:rFonts w:ascii="Times New Roman"/>
                <w:sz w:val="22"/>
              </w:rPr>
            </w:pPr>
          </w:p>
        </w:tc>
        <w:tc>
          <w:tcPr>
            <w:tcW w:w="991" w:type="dxa"/>
            <w:tcBorders>
              <w:right w:val="single" w:sz="8" w:space="0" w:color="000000"/>
            </w:tcBorders>
          </w:tcPr>
          <w:p>
            <w:pPr>
              <w:pStyle w:val="TableParagraph"/>
              <w:rPr>
                <w:rFonts w:ascii="Times New Roman"/>
                <w:sz w:val="22"/>
              </w:rPr>
            </w:pPr>
          </w:p>
        </w:tc>
        <w:tc>
          <w:tcPr>
            <w:tcW w:w="690" w:type="dxa"/>
            <w:tcBorders>
              <w:left w:val="single" w:sz="8" w:space="0" w:color="000000"/>
            </w:tcBorders>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690" w:type="dxa"/>
          </w:tcPr>
          <w:p>
            <w:pPr>
              <w:pStyle w:val="TableParagraph"/>
              <w:rPr>
                <w:rFonts w:ascii="Times New Roman"/>
                <w:sz w:val="22"/>
              </w:rPr>
            </w:pPr>
          </w:p>
        </w:tc>
        <w:tc>
          <w:tcPr>
            <w:tcW w:w="570" w:type="dxa"/>
          </w:tcPr>
          <w:p>
            <w:pPr>
              <w:pStyle w:val="TableParagraph"/>
              <w:rPr>
                <w:rFonts w:ascii="Times New Roman"/>
                <w:sz w:val="22"/>
              </w:rPr>
            </w:pPr>
          </w:p>
        </w:tc>
        <w:tc>
          <w:tcPr>
            <w:tcW w:w="570" w:type="dxa"/>
          </w:tcPr>
          <w:p>
            <w:pPr>
              <w:pStyle w:val="TableParagraph"/>
              <w:rPr>
                <w:rFonts w:ascii="Times New Roman"/>
                <w:sz w:val="22"/>
              </w:rPr>
            </w:pPr>
          </w:p>
        </w:tc>
        <w:tc>
          <w:tcPr>
            <w:tcW w:w="585" w:type="dxa"/>
          </w:tcPr>
          <w:p>
            <w:pPr>
              <w:pStyle w:val="TableParagraph"/>
              <w:rPr>
                <w:rFonts w:ascii="Times New Roman"/>
                <w:sz w:val="22"/>
              </w:rPr>
            </w:pPr>
          </w:p>
        </w:tc>
        <w:tc>
          <w:tcPr>
            <w:tcW w:w="690" w:type="dxa"/>
          </w:tcPr>
          <w:p>
            <w:pPr>
              <w:pStyle w:val="TableParagraph"/>
              <w:rPr>
                <w:rFonts w:ascii="Times New Roman"/>
                <w:sz w:val="22"/>
              </w:rPr>
            </w:pPr>
          </w:p>
        </w:tc>
        <w:tc>
          <w:tcPr>
            <w:tcW w:w="660" w:type="dxa"/>
          </w:tcPr>
          <w:p>
            <w:pPr>
              <w:pStyle w:val="TableParagraph"/>
              <w:rPr>
                <w:rFonts w:ascii="Times New Roman"/>
                <w:sz w:val="22"/>
              </w:rPr>
            </w:pP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29"/>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41"/>
        <w:gridCol w:w="541"/>
        <w:gridCol w:w="811"/>
        <w:gridCol w:w="646"/>
        <w:gridCol w:w="646"/>
        <w:gridCol w:w="646"/>
        <w:gridCol w:w="646"/>
        <w:gridCol w:w="646"/>
        <w:gridCol w:w="645"/>
        <w:gridCol w:w="646"/>
        <w:gridCol w:w="525"/>
        <w:gridCol w:w="526"/>
        <w:gridCol w:w="525"/>
        <w:gridCol w:w="646"/>
        <w:gridCol w:w="615"/>
      </w:tblGrid>
      <w:tr>
        <w:trPr>
          <w:trHeight w:val="1246" w:hRule="atLeast"/>
        </w:trPr>
        <w:tc>
          <w:tcPr>
            <w:tcW w:w="541" w:type="dxa"/>
          </w:tcPr>
          <w:p>
            <w:pPr>
              <w:pStyle w:val="TableParagraph"/>
              <w:spacing w:before="8"/>
              <w:rPr>
                <w:rFonts w:ascii="Times New Roman"/>
                <w:sz w:val="28"/>
              </w:rPr>
            </w:pPr>
          </w:p>
          <w:p>
            <w:pPr>
              <w:pStyle w:val="TableParagraph"/>
              <w:spacing w:line="280" w:lineRule="auto"/>
              <w:ind w:left="172" w:right="141"/>
              <w:rPr>
                <w:sz w:val="21"/>
              </w:rPr>
            </w:pPr>
            <w:r>
              <w:rPr>
                <w:sz w:val="21"/>
              </w:rPr>
              <w:t>序号</w:t>
            </w:r>
          </w:p>
        </w:tc>
        <w:tc>
          <w:tcPr>
            <w:tcW w:w="541" w:type="dxa"/>
          </w:tcPr>
          <w:p>
            <w:pPr>
              <w:pStyle w:val="TableParagraph"/>
              <w:spacing w:line="280" w:lineRule="auto" w:before="15"/>
              <w:ind w:left="171" w:right="142"/>
              <w:jc w:val="both"/>
              <w:rPr>
                <w:sz w:val="21"/>
              </w:rPr>
            </w:pPr>
            <w:r>
              <w:rPr>
                <w:sz w:val="21"/>
              </w:rPr>
              <w:t>机械名</w:t>
            </w:r>
          </w:p>
          <w:p>
            <w:pPr>
              <w:pStyle w:val="TableParagraph"/>
              <w:spacing w:line="256" w:lineRule="exact"/>
              <w:ind w:left="171"/>
              <w:rPr>
                <w:sz w:val="21"/>
              </w:rPr>
            </w:pPr>
            <w:r>
              <w:rPr>
                <w:sz w:val="21"/>
              </w:rPr>
              <w:t>称</w:t>
            </w:r>
          </w:p>
        </w:tc>
        <w:tc>
          <w:tcPr>
            <w:tcW w:w="811" w:type="dxa"/>
          </w:tcPr>
          <w:p>
            <w:pPr>
              <w:pStyle w:val="TableParagraph"/>
              <w:spacing w:before="8"/>
              <w:rPr>
                <w:rFonts w:ascii="Times New Roman"/>
                <w:sz w:val="28"/>
              </w:rPr>
            </w:pPr>
          </w:p>
          <w:p>
            <w:pPr>
              <w:pStyle w:val="TableParagraph"/>
              <w:spacing w:line="280" w:lineRule="auto"/>
              <w:ind w:left="187" w:right="185"/>
              <w:rPr>
                <w:sz w:val="21"/>
              </w:rPr>
            </w:pPr>
            <w:r>
              <w:rPr>
                <w:sz w:val="21"/>
              </w:rPr>
              <w:t>型号规格</w:t>
            </w:r>
          </w:p>
        </w:tc>
        <w:tc>
          <w:tcPr>
            <w:tcW w:w="2584" w:type="dxa"/>
            <w:gridSpan w:val="4"/>
          </w:tcPr>
          <w:p>
            <w:pPr>
              <w:pStyle w:val="TableParagraph"/>
              <w:rPr>
                <w:rFonts w:ascii="Times New Roman"/>
                <w:sz w:val="20"/>
              </w:rPr>
            </w:pPr>
          </w:p>
          <w:p>
            <w:pPr>
              <w:pStyle w:val="TableParagraph"/>
              <w:spacing w:before="8"/>
              <w:rPr>
                <w:rFonts w:ascii="Times New Roman"/>
                <w:sz w:val="21"/>
              </w:rPr>
            </w:pPr>
          </w:p>
          <w:p>
            <w:pPr>
              <w:pStyle w:val="TableParagraph"/>
              <w:spacing w:before="1"/>
              <w:ind w:left="844" w:right="845"/>
              <w:jc w:val="center"/>
              <w:rPr>
                <w:sz w:val="21"/>
              </w:rPr>
            </w:pPr>
            <w:r>
              <w:rPr>
                <w:sz w:val="21"/>
              </w:rPr>
              <w:t>一类费用</w:t>
            </w:r>
          </w:p>
        </w:tc>
        <w:tc>
          <w:tcPr>
            <w:tcW w:w="4159" w:type="dxa"/>
            <w:gridSpan w:val="7"/>
          </w:tcPr>
          <w:p>
            <w:pPr>
              <w:pStyle w:val="TableParagraph"/>
              <w:rPr>
                <w:rFonts w:ascii="Times New Roman"/>
                <w:sz w:val="20"/>
              </w:rPr>
            </w:pPr>
          </w:p>
          <w:p>
            <w:pPr>
              <w:pStyle w:val="TableParagraph"/>
              <w:spacing w:before="8"/>
              <w:rPr>
                <w:rFonts w:ascii="Times New Roman"/>
                <w:sz w:val="21"/>
              </w:rPr>
            </w:pPr>
          </w:p>
          <w:p>
            <w:pPr>
              <w:pStyle w:val="TableParagraph"/>
              <w:spacing w:before="1"/>
              <w:ind w:left="1625" w:right="1638"/>
              <w:jc w:val="center"/>
              <w:rPr>
                <w:sz w:val="21"/>
              </w:rPr>
            </w:pPr>
            <w:r>
              <w:rPr>
                <w:sz w:val="21"/>
              </w:rPr>
              <w:t>二类费用</w:t>
            </w:r>
          </w:p>
        </w:tc>
        <w:tc>
          <w:tcPr>
            <w:tcW w:w="615" w:type="dxa"/>
          </w:tcPr>
          <w:p>
            <w:pPr>
              <w:pStyle w:val="TableParagraph"/>
              <w:spacing w:before="8"/>
              <w:rPr>
                <w:rFonts w:ascii="Times New Roman"/>
                <w:sz w:val="28"/>
              </w:rPr>
            </w:pPr>
          </w:p>
          <w:p>
            <w:pPr>
              <w:pStyle w:val="TableParagraph"/>
              <w:spacing w:line="280" w:lineRule="auto"/>
              <w:ind w:left="202" w:right="185"/>
              <w:rPr>
                <w:sz w:val="21"/>
              </w:rPr>
            </w:pPr>
            <w:r>
              <w:rPr>
                <w:sz w:val="21"/>
              </w:rPr>
              <w:t>合计</w:t>
            </w:r>
          </w:p>
        </w:tc>
      </w:tr>
      <w:tr>
        <w:trPr>
          <w:trHeight w:val="615" w:hRule="atLeast"/>
        </w:trPr>
        <w:tc>
          <w:tcPr>
            <w:tcW w:w="541" w:type="dxa"/>
          </w:tcPr>
          <w:p>
            <w:pPr>
              <w:pStyle w:val="TableParagraph"/>
              <w:rPr>
                <w:rFonts w:ascii="Times New Roman"/>
                <w:sz w:val="22"/>
              </w:rPr>
            </w:pPr>
          </w:p>
        </w:tc>
        <w:tc>
          <w:tcPr>
            <w:tcW w:w="541" w:type="dxa"/>
          </w:tcPr>
          <w:p>
            <w:pPr>
              <w:pStyle w:val="TableParagraph"/>
              <w:rPr>
                <w:rFonts w:ascii="Times New Roman"/>
                <w:sz w:val="22"/>
              </w:rPr>
            </w:pPr>
          </w:p>
        </w:tc>
        <w:tc>
          <w:tcPr>
            <w:tcW w:w="811" w:type="dxa"/>
          </w:tcPr>
          <w:p>
            <w:pPr>
              <w:pStyle w:val="TableParagraph"/>
              <w:rPr>
                <w:rFonts w:ascii="Times New Roman"/>
                <w:sz w:val="22"/>
              </w:rPr>
            </w:pPr>
          </w:p>
        </w:tc>
        <w:tc>
          <w:tcPr>
            <w:tcW w:w="646" w:type="dxa"/>
          </w:tcPr>
          <w:p>
            <w:pPr>
              <w:pStyle w:val="TableParagraph"/>
              <w:spacing w:before="15"/>
              <w:ind w:left="77" w:right="90"/>
              <w:jc w:val="center"/>
              <w:rPr>
                <w:sz w:val="21"/>
              </w:rPr>
            </w:pPr>
            <w:r>
              <w:rPr>
                <w:sz w:val="21"/>
              </w:rPr>
              <w:t>折旧</w:t>
            </w:r>
          </w:p>
          <w:p>
            <w:pPr>
              <w:pStyle w:val="TableParagraph"/>
              <w:spacing w:line="265" w:lineRule="exact" w:before="46"/>
              <w:ind w:right="14"/>
              <w:jc w:val="center"/>
              <w:rPr>
                <w:sz w:val="21"/>
              </w:rPr>
            </w:pPr>
            <w:r>
              <w:rPr>
                <w:sz w:val="21"/>
              </w:rPr>
              <w:t>费</w:t>
            </w:r>
          </w:p>
        </w:tc>
        <w:tc>
          <w:tcPr>
            <w:tcW w:w="646" w:type="dxa"/>
          </w:tcPr>
          <w:p>
            <w:pPr>
              <w:pStyle w:val="TableParagraph"/>
              <w:spacing w:before="15"/>
              <w:ind w:left="76" w:right="92"/>
              <w:jc w:val="center"/>
              <w:rPr>
                <w:sz w:val="21"/>
              </w:rPr>
            </w:pPr>
            <w:r>
              <w:rPr>
                <w:sz w:val="21"/>
              </w:rPr>
              <w:t>维修</w:t>
            </w:r>
          </w:p>
          <w:p>
            <w:pPr>
              <w:pStyle w:val="TableParagraph"/>
              <w:spacing w:line="265" w:lineRule="exact" w:before="46"/>
              <w:ind w:right="15"/>
              <w:jc w:val="center"/>
              <w:rPr>
                <w:sz w:val="21"/>
              </w:rPr>
            </w:pPr>
            <w:r>
              <w:rPr>
                <w:sz w:val="21"/>
              </w:rPr>
              <w:t>费</w:t>
            </w:r>
          </w:p>
        </w:tc>
        <w:tc>
          <w:tcPr>
            <w:tcW w:w="646" w:type="dxa"/>
          </w:tcPr>
          <w:p>
            <w:pPr>
              <w:pStyle w:val="TableParagraph"/>
              <w:spacing w:before="15"/>
              <w:ind w:left="76" w:right="92"/>
              <w:jc w:val="center"/>
              <w:rPr>
                <w:sz w:val="21"/>
              </w:rPr>
            </w:pPr>
            <w:r>
              <w:rPr>
                <w:sz w:val="21"/>
              </w:rPr>
              <w:t>安拆</w:t>
            </w:r>
          </w:p>
          <w:p>
            <w:pPr>
              <w:pStyle w:val="TableParagraph"/>
              <w:spacing w:line="265" w:lineRule="exact" w:before="46"/>
              <w:ind w:right="17"/>
              <w:jc w:val="center"/>
              <w:rPr>
                <w:sz w:val="21"/>
              </w:rPr>
            </w:pPr>
            <w:r>
              <w:rPr>
                <w:sz w:val="21"/>
              </w:rPr>
              <w:t>费</w:t>
            </w:r>
          </w:p>
        </w:tc>
        <w:tc>
          <w:tcPr>
            <w:tcW w:w="646" w:type="dxa"/>
          </w:tcPr>
          <w:p>
            <w:pPr>
              <w:pStyle w:val="TableParagraph"/>
              <w:spacing w:before="165"/>
              <w:ind w:left="96"/>
              <w:rPr>
                <w:sz w:val="21"/>
              </w:rPr>
            </w:pPr>
            <w:r>
              <w:rPr>
                <w:sz w:val="21"/>
              </w:rPr>
              <w:t>小计</w:t>
            </w:r>
          </w:p>
        </w:tc>
        <w:tc>
          <w:tcPr>
            <w:tcW w:w="646" w:type="dxa"/>
          </w:tcPr>
          <w:p>
            <w:pPr>
              <w:pStyle w:val="TableParagraph"/>
              <w:spacing w:before="165"/>
              <w:ind w:left="96"/>
              <w:rPr>
                <w:sz w:val="21"/>
              </w:rPr>
            </w:pPr>
            <w:r>
              <w:rPr>
                <w:sz w:val="21"/>
              </w:rPr>
              <w:t>人工</w:t>
            </w:r>
          </w:p>
        </w:tc>
        <w:tc>
          <w:tcPr>
            <w:tcW w:w="645" w:type="dxa"/>
          </w:tcPr>
          <w:p>
            <w:pPr>
              <w:pStyle w:val="TableParagraph"/>
              <w:spacing w:before="165"/>
              <w:ind w:left="95"/>
              <w:rPr>
                <w:sz w:val="21"/>
              </w:rPr>
            </w:pPr>
            <w:r>
              <w:rPr>
                <w:sz w:val="21"/>
              </w:rPr>
              <w:t>柴油</w:t>
            </w:r>
          </w:p>
        </w:tc>
        <w:tc>
          <w:tcPr>
            <w:tcW w:w="646" w:type="dxa"/>
          </w:tcPr>
          <w:p>
            <w:pPr>
              <w:pStyle w:val="TableParagraph"/>
              <w:spacing w:before="165"/>
              <w:ind w:left="202"/>
              <w:rPr>
                <w:sz w:val="21"/>
              </w:rPr>
            </w:pPr>
            <w:r>
              <w:rPr>
                <w:sz w:val="21"/>
              </w:rPr>
              <w:t>电</w:t>
            </w:r>
          </w:p>
        </w:tc>
        <w:tc>
          <w:tcPr>
            <w:tcW w:w="525" w:type="dxa"/>
          </w:tcPr>
          <w:p>
            <w:pPr>
              <w:pStyle w:val="TableParagraph"/>
              <w:rPr>
                <w:rFonts w:ascii="Times New Roman"/>
                <w:sz w:val="22"/>
              </w:rPr>
            </w:pPr>
          </w:p>
        </w:tc>
        <w:tc>
          <w:tcPr>
            <w:tcW w:w="526" w:type="dxa"/>
          </w:tcPr>
          <w:p>
            <w:pPr>
              <w:pStyle w:val="TableParagraph"/>
              <w:rPr>
                <w:rFonts w:ascii="Times New Roman"/>
                <w:sz w:val="22"/>
              </w:rPr>
            </w:pPr>
          </w:p>
        </w:tc>
        <w:tc>
          <w:tcPr>
            <w:tcW w:w="525" w:type="dxa"/>
          </w:tcPr>
          <w:p>
            <w:pPr>
              <w:pStyle w:val="TableParagraph"/>
              <w:rPr>
                <w:rFonts w:ascii="Times New Roman"/>
                <w:sz w:val="22"/>
              </w:rPr>
            </w:pPr>
          </w:p>
        </w:tc>
        <w:tc>
          <w:tcPr>
            <w:tcW w:w="646" w:type="dxa"/>
          </w:tcPr>
          <w:p>
            <w:pPr>
              <w:pStyle w:val="TableParagraph"/>
              <w:spacing w:before="165"/>
              <w:ind w:left="112"/>
              <w:rPr>
                <w:sz w:val="21"/>
              </w:rPr>
            </w:pPr>
            <w:r>
              <w:rPr>
                <w:sz w:val="21"/>
              </w:rPr>
              <w:t>小计</w:t>
            </w:r>
          </w:p>
        </w:tc>
        <w:tc>
          <w:tcPr>
            <w:tcW w:w="615" w:type="dxa"/>
          </w:tcPr>
          <w:p>
            <w:pPr>
              <w:pStyle w:val="TableParagraph"/>
              <w:rPr>
                <w:rFonts w:ascii="Times New Roman"/>
                <w:sz w:val="22"/>
              </w:rPr>
            </w:pPr>
          </w:p>
        </w:tc>
      </w:tr>
      <w:tr>
        <w:trPr>
          <w:trHeight w:val="315" w:hRule="atLeast"/>
        </w:trPr>
        <w:tc>
          <w:tcPr>
            <w:tcW w:w="541" w:type="dxa"/>
          </w:tcPr>
          <w:p>
            <w:pPr>
              <w:pStyle w:val="TableParagraph"/>
              <w:rPr>
                <w:rFonts w:ascii="Times New Roman"/>
                <w:sz w:val="22"/>
              </w:rPr>
            </w:pPr>
          </w:p>
        </w:tc>
        <w:tc>
          <w:tcPr>
            <w:tcW w:w="541" w:type="dxa"/>
          </w:tcPr>
          <w:p>
            <w:pPr>
              <w:pStyle w:val="TableParagraph"/>
              <w:rPr>
                <w:rFonts w:ascii="Times New Roman"/>
                <w:sz w:val="22"/>
              </w:rPr>
            </w:pPr>
          </w:p>
        </w:tc>
        <w:tc>
          <w:tcPr>
            <w:tcW w:w="811"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5" w:type="dxa"/>
          </w:tcPr>
          <w:p>
            <w:pPr>
              <w:pStyle w:val="TableParagraph"/>
              <w:rPr>
                <w:rFonts w:ascii="Times New Roman"/>
                <w:sz w:val="22"/>
              </w:rPr>
            </w:pPr>
          </w:p>
        </w:tc>
        <w:tc>
          <w:tcPr>
            <w:tcW w:w="646" w:type="dxa"/>
          </w:tcPr>
          <w:p>
            <w:pPr>
              <w:pStyle w:val="TableParagraph"/>
              <w:rPr>
                <w:rFonts w:ascii="Times New Roman"/>
                <w:sz w:val="22"/>
              </w:rPr>
            </w:pPr>
          </w:p>
        </w:tc>
        <w:tc>
          <w:tcPr>
            <w:tcW w:w="525" w:type="dxa"/>
          </w:tcPr>
          <w:p>
            <w:pPr>
              <w:pStyle w:val="TableParagraph"/>
              <w:rPr>
                <w:rFonts w:ascii="Times New Roman"/>
                <w:sz w:val="22"/>
              </w:rPr>
            </w:pPr>
          </w:p>
        </w:tc>
        <w:tc>
          <w:tcPr>
            <w:tcW w:w="526" w:type="dxa"/>
          </w:tcPr>
          <w:p>
            <w:pPr>
              <w:pStyle w:val="TableParagraph"/>
              <w:rPr>
                <w:rFonts w:ascii="Times New Roman"/>
                <w:sz w:val="22"/>
              </w:rPr>
            </w:pPr>
          </w:p>
        </w:tc>
        <w:tc>
          <w:tcPr>
            <w:tcW w:w="525" w:type="dxa"/>
          </w:tcPr>
          <w:p>
            <w:pPr>
              <w:pStyle w:val="TableParagraph"/>
              <w:rPr>
                <w:rFonts w:ascii="Times New Roman"/>
                <w:sz w:val="22"/>
              </w:rPr>
            </w:pPr>
          </w:p>
        </w:tc>
        <w:tc>
          <w:tcPr>
            <w:tcW w:w="646" w:type="dxa"/>
          </w:tcPr>
          <w:p>
            <w:pPr>
              <w:pStyle w:val="TableParagraph"/>
              <w:rPr>
                <w:rFonts w:ascii="Times New Roman"/>
                <w:sz w:val="22"/>
              </w:rPr>
            </w:pPr>
          </w:p>
        </w:tc>
        <w:tc>
          <w:tcPr>
            <w:tcW w:w="615" w:type="dxa"/>
          </w:tcPr>
          <w:p>
            <w:pPr>
              <w:pStyle w:val="TableParagraph"/>
              <w:rPr>
                <w:rFonts w:ascii="Times New Roman"/>
                <w:sz w:val="22"/>
              </w:rPr>
            </w:pPr>
          </w:p>
        </w:tc>
      </w:tr>
      <w:tr>
        <w:trPr>
          <w:trHeight w:val="300" w:hRule="atLeast"/>
        </w:trPr>
        <w:tc>
          <w:tcPr>
            <w:tcW w:w="541" w:type="dxa"/>
          </w:tcPr>
          <w:p>
            <w:pPr>
              <w:pStyle w:val="TableParagraph"/>
              <w:rPr>
                <w:rFonts w:ascii="Times New Roman"/>
                <w:sz w:val="22"/>
              </w:rPr>
            </w:pPr>
          </w:p>
        </w:tc>
        <w:tc>
          <w:tcPr>
            <w:tcW w:w="541" w:type="dxa"/>
          </w:tcPr>
          <w:p>
            <w:pPr>
              <w:pStyle w:val="TableParagraph"/>
              <w:rPr>
                <w:rFonts w:ascii="Times New Roman"/>
                <w:sz w:val="22"/>
              </w:rPr>
            </w:pPr>
          </w:p>
        </w:tc>
        <w:tc>
          <w:tcPr>
            <w:tcW w:w="811"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5" w:type="dxa"/>
          </w:tcPr>
          <w:p>
            <w:pPr>
              <w:pStyle w:val="TableParagraph"/>
              <w:rPr>
                <w:rFonts w:ascii="Times New Roman"/>
                <w:sz w:val="22"/>
              </w:rPr>
            </w:pPr>
          </w:p>
        </w:tc>
        <w:tc>
          <w:tcPr>
            <w:tcW w:w="646" w:type="dxa"/>
          </w:tcPr>
          <w:p>
            <w:pPr>
              <w:pStyle w:val="TableParagraph"/>
              <w:rPr>
                <w:rFonts w:ascii="Times New Roman"/>
                <w:sz w:val="22"/>
              </w:rPr>
            </w:pPr>
          </w:p>
        </w:tc>
        <w:tc>
          <w:tcPr>
            <w:tcW w:w="525" w:type="dxa"/>
          </w:tcPr>
          <w:p>
            <w:pPr>
              <w:pStyle w:val="TableParagraph"/>
              <w:rPr>
                <w:rFonts w:ascii="Times New Roman"/>
                <w:sz w:val="22"/>
              </w:rPr>
            </w:pPr>
          </w:p>
        </w:tc>
        <w:tc>
          <w:tcPr>
            <w:tcW w:w="526" w:type="dxa"/>
          </w:tcPr>
          <w:p>
            <w:pPr>
              <w:pStyle w:val="TableParagraph"/>
              <w:rPr>
                <w:rFonts w:ascii="Times New Roman"/>
                <w:sz w:val="22"/>
              </w:rPr>
            </w:pPr>
          </w:p>
        </w:tc>
        <w:tc>
          <w:tcPr>
            <w:tcW w:w="525" w:type="dxa"/>
          </w:tcPr>
          <w:p>
            <w:pPr>
              <w:pStyle w:val="TableParagraph"/>
              <w:rPr>
                <w:rFonts w:ascii="Times New Roman"/>
                <w:sz w:val="22"/>
              </w:rPr>
            </w:pPr>
          </w:p>
        </w:tc>
        <w:tc>
          <w:tcPr>
            <w:tcW w:w="646" w:type="dxa"/>
          </w:tcPr>
          <w:p>
            <w:pPr>
              <w:pStyle w:val="TableParagraph"/>
              <w:rPr>
                <w:rFonts w:ascii="Times New Roman"/>
                <w:sz w:val="22"/>
              </w:rPr>
            </w:pPr>
          </w:p>
        </w:tc>
        <w:tc>
          <w:tcPr>
            <w:tcW w:w="615" w:type="dxa"/>
          </w:tcPr>
          <w:p>
            <w:pPr>
              <w:pStyle w:val="TableParagraph"/>
              <w:rPr>
                <w:rFonts w:ascii="Times New Roman"/>
                <w:sz w:val="22"/>
              </w:rPr>
            </w:pPr>
          </w:p>
        </w:tc>
      </w:tr>
      <w:tr>
        <w:trPr>
          <w:trHeight w:val="315" w:hRule="atLeast"/>
        </w:trPr>
        <w:tc>
          <w:tcPr>
            <w:tcW w:w="541" w:type="dxa"/>
          </w:tcPr>
          <w:p>
            <w:pPr>
              <w:pStyle w:val="TableParagraph"/>
              <w:rPr>
                <w:rFonts w:ascii="Times New Roman"/>
                <w:sz w:val="22"/>
              </w:rPr>
            </w:pPr>
          </w:p>
        </w:tc>
        <w:tc>
          <w:tcPr>
            <w:tcW w:w="541" w:type="dxa"/>
          </w:tcPr>
          <w:p>
            <w:pPr>
              <w:pStyle w:val="TableParagraph"/>
              <w:rPr>
                <w:rFonts w:ascii="Times New Roman"/>
                <w:sz w:val="22"/>
              </w:rPr>
            </w:pPr>
          </w:p>
        </w:tc>
        <w:tc>
          <w:tcPr>
            <w:tcW w:w="811"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5" w:type="dxa"/>
          </w:tcPr>
          <w:p>
            <w:pPr>
              <w:pStyle w:val="TableParagraph"/>
              <w:rPr>
                <w:rFonts w:ascii="Times New Roman"/>
                <w:sz w:val="22"/>
              </w:rPr>
            </w:pPr>
          </w:p>
        </w:tc>
        <w:tc>
          <w:tcPr>
            <w:tcW w:w="646" w:type="dxa"/>
          </w:tcPr>
          <w:p>
            <w:pPr>
              <w:pStyle w:val="TableParagraph"/>
              <w:rPr>
                <w:rFonts w:ascii="Times New Roman"/>
                <w:sz w:val="22"/>
              </w:rPr>
            </w:pPr>
          </w:p>
        </w:tc>
        <w:tc>
          <w:tcPr>
            <w:tcW w:w="525" w:type="dxa"/>
          </w:tcPr>
          <w:p>
            <w:pPr>
              <w:pStyle w:val="TableParagraph"/>
              <w:rPr>
                <w:rFonts w:ascii="Times New Roman"/>
                <w:sz w:val="22"/>
              </w:rPr>
            </w:pPr>
          </w:p>
        </w:tc>
        <w:tc>
          <w:tcPr>
            <w:tcW w:w="526" w:type="dxa"/>
          </w:tcPr>
          <w:p>
            <w:pPr>
              <w:pStyle w:val="TableParagraph"/>
              <w:rPr>
                <w:rFonts w:ascii="Times New Roman"/>
                <w:sz w:val="22"/>
              </w:rPr>
            </w:pPr>
          </w:p>
        </w:tc>
        <w:tc>
          <w:tcPr>
            <w:tcW w:w="525" w:type="dxa"/>
          </w:tcPr>
          <w:p>
            <w:pPr>
              <w:pStyle w:val="TableParagraph"/>
              <w:rPr>
                <w:rFonts w:ascii="Times New Roman"/>
                <w:sz w:val="22"/>
              </w:rPr>
            </w:pPr>
          </w:p>
        </w:tc>
        <w:tc>
          <w:tcPr>
            <w:tcW w:w="646" w:type="dxa"/>
          </w:tcPr>
          <w:p>
            <w:pPr>
              <w:pStyle w:val="TableParagraph"/>
              <w:rPr>
                <w:rFonts w:ascii="Times New Roman"/>
                <w:sz w:val="22"/>
              </w:rPr>
            </w:pPr>
          </w:p>
        </w:tc>
        <w:tc>
          <w:tcPr>
            <w:tcW w:w="615" w:type="dxa"/>
          </w:tcPr>
          <w:p>
            <w:pPr>
              <w:pStyle w:val="TableParagraph"/>
              <w:rPr>
                <w:rFonts w:ascii="Times New Roman"/>
                <w:sz w:val="22"/>
              </w:rPr>
            </w:pPr>
          </w:p>
        </w:tc>
      </w:tr>
      <w:tr>
        <w:trPr>
          <w:trHeight w:val="300" w:hRule="atLeast"/>
        </w:trPr>
        <w:tc>
          <w:tcPr>
            <w:tcW w:w="541" w:type="dxa"/>
          </w:tcPr>
          <w:p>
            <w:pPr>
              <w:pStyle w:val="TableParagraph"/>
              <w:rPr>
                <w:rFonts w:ascii="Times New Roman"/>
                <w:sz w:val="22"/>
              </w:rPr>
            </w:pPr>
          </w:p>
        </w:tc>
        <w:tc>
          <w:tcPr>
            <w:tcW w:w="541" w:type="dxa"/>
          </w:tcPr>
          <w:p>
            <w:pPr>
              <w:pStyle w:val="TableParagraph"/>
              <w:rPr>
                <w:rFonts w:ascii="Times New Roman"/>
                <w:sz w:val="22"/>
              </w:rPr>
            </w:pPr>
          </w:p>
        </w:tc>
        <w:tc>
          <w:tcPr>
            <w:tcW w:w="811"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6" w:type="dxa"/>
          </w:tcPr>
          <w:p>
            <w:pPr>
              <w:pStyle w:val="TableParagraph"/>
              <w:rPr>
                <w:rFonts w:ascii="Times New Roman"/>
                <w:sz w:val="22"/>
              </w:rPr>
            </w:pPr>
          </w:p>
        </w:tc>
        <w:tc>
          <w:tcPr>
            <w:tcW w:w="645" w:type="dxa"/>
          </w:tcPr>
          <w:p>
            <w:pPr>
              <w:pStyle w:val="TableParagraph"/>
              <w:rPr>
                <w:rFonts w:ascii="Times New Roman"/>
                <w:sz w:val="22"/>
              </w:rPr>
            </w:pPr>
          </w:p>
        </w:tc>
        <w:tc>
          <w:tcPr>
            <w:tcW w:w="646" w:type="dxa"/>
          </w:tcPr>
          <w:p>
            <w:pPr>
              <w:pStyle w:val="TableParagraph"/>
              <w:rPr>
                <w:rFonts w:ascii="Times New Roman"/>
                <w:sz w:val="22"/>
              </w:rPr>
            </w:pPr>
          </w:p>
        </w:tc>
        <w:tc>
          <w:tcPr>
            <w:tcW w:w="525" w:type="dxa"/>
          </w:tcPr>
          <w:p>
            <w:pPr>
              <w:pStyle w:val="TableParagraph"/>
              <w:rPr>
                <w:rFonts w:ascii="Times New Roman"/>
                <w:sz w:val="22"/>
              </w:rPr>
            </w:pPr>
          </w:p>
        </w:tc>
        <w:tc>
          <w:tcPr>
            <w:tcW w:w="526" w:type="dxa"/>
          </w:tcPr>
          <w:p>
            <w:pPr>
              <w:pStyle w:val="TableParagraph"/>
              <w:rPr>
                <w:rFonts w:ascii="Times New Roman"/>
                <w:sz w:val="22"/>
              </w:rPr>
            </w:pPr>
          </w:p>
        </w:tc>
        <w:tc>
          <w:tcPr>
            <w:tcW w:w="525" w:type="dxa"/>
          </w:tcPr>
          <w:p>
            <w:pPr>
              <w:pStyle w:val="TableParagraph"/>
              <w:rPr>
                <w:rFonts w:ascii="Times New Roman"/>
                <w:sz w:val="22"/>
              </w:rPr>
            </w:pPr>
          </w:p>
        </w:tc>
        <w:tc>
          <w:tcPr>
            <w:tcW w:w="646" w:type="dxa"/>
          </w:tcPr>
          <w:p>
            <w:pPr>
              <w:pStyle w:val="TableParagraph"/>
              <w:rPr>
                <w:rFonts w:ascii="Times New Roman"/>
                <w:sz w:val="22"/>
              </w:rPr>
            </w:pPr>
          </w:p>
        </w:tc>
        <w:tc>
          <w:tcPr>
            <w:tcW w:w="615" w:type="dxa"/>
          </w:tcPr>
          <w:p>
            <w:pPr>
              <w:pStyle w:val="TableParagraph"/>
              <w:rPr>
                <w:rFonts w:ascii="Times New Roman"/>
                <w:sz w:val="22"/>
              </w:rPr>
            </w:pPr>
          </w:p>
        </w:tc>
      </w:tr>
    </w:tbl>
    <w:p>
      <w:pPr>
        <w:spacing w:after="0"/>
        <w:rPr>
          <w:rFonts w:ascii="Times New Roman"/>
          <w:sz w:val="22"/>
        </w:rPr>
        <w:sectPr>
          <w:pgSz w:w="11910" w:h="16850"/>
          <w:pgMar w:header="911" w:footer="0" w:top="1380" w:bottom="280" w:left="1200" w:right="0"/>
        </w:sectPr>
      </w:pPr>
    </w:p>
    <w:p>
      <w:pPr>
        <w:pStyle w:val="BodyText"/>
        <w:rPr>
          <w:rFonts w:ascii="Times New Roman"/>
          <w:sz w:val="22"/>
        </w:rPr>
      </w:pPr>
    </w:p>
    <w:p>
      <w:pPr>
        <w:pStyle w:val="BodyText"/>
        <w:rPr>
          <w:rFonts w:ascii="Times New Roman"/>
          <w:sz w:val="22"/>
        </w:rPr>
      </w:pPr>
    </w:p>
    <w:p>
      <w:pPr>
        <w:spacing w:before="175"/>
        <w:ind w:left="226" w:right="0" w:firstLine="0"/>
        <w:jc w:val="left"/>
        <w:rPr>
          <w:sz w:val="22"/>
        </w:rPr>
      </w:pPr>
      <w:r>
        <w:rPr>
          <w:sz w:val="22"/>
        </w:rPr>
        <w:t>合同编号：(投标项目合同号) </w:t>
      </w:r>
    </w:p>
    <w:p>
      <w:pPr>
        <w:pStyle w:val="Heading4"/>
        <w:spacing w:before="155"/>
        <w:ind w:left="226"/>
      </w:pPr>
      <w:r>
        <w:rPr/>
        <w:br w:type="column"/>
      </w:r>
      <w:r>
        <w:rPr/>
        <w:t>总价项目分解表</w:t>
      </w:r>
    </w:p>
    <w:p>
      <w:pPr>
        <w:spacing w:after="0"/>
        <w:sectPr>
          <w:pgSz w:w="11910" w:h="16850"/>
          <w:pgMar w:header="911" w:footer="0" w:top="1380" w:bottom="280" w:left="1200" w:right="0"/>
          <w:cols w:num="2" w:equalWidth="0">
            <w:col w:w="3293" w:space="116"/>
            <w:col w:w="7301"/>
          </w:cols>
        </w:sectPr>
      </w:pPr>
    </w:p>
    <w:p>
      <w:pPr>
        <w:spacing w:before="33" w:after="14"/>
        <w:ind w:left="226" w:right="0" w:firstLine="0"/>
        <w:jc w:val="left"/>
        <w:rPr>
          <w:sz w:val="22"/>
        </w:rPr>
      </w:pPr>
      <w:r>
        <w:rPr/>
        <w:pict>
          <v:group style="position:absolute;margin-left:71.349998pt;margin-top:87.760475pt;width:446.15pt;height:432.65pt;mso-position-horizontal-relative:page;mso-position-vertical-relative:paragraph;z-index:-268455936" coordorigin="1427,1755" coordsize="8923,8653">
            <v:shape style="position:absolute;left:1563;top:1755;width:8786;height:8653" type="#_x0000_t75" stroked="false">
              <v:imagedata r:id="rId6" o:title=""/>
            </v:shape>
            <v:shape style="position:absolute;left:4836;top:1768;width:2334;height:316" type="#_x0000_t202" filled="false" stroked="false">
              <v:textbox inset="0,0,0,0">
                <w:txbxContent>
                  <w:p>
                    <w:pPr>
                      <w:spacing w:line="315" w:lineRule="exact" w:before="0"/>
                      <w:ind w:left="0" w:right="0" w:firstLine="0"/>
                      <w:jc w:val="left"/>
                      <w:rPr>
                        <w:rFonts w:ascii="黑体" w:eastAsia="黑体" w:hint="eastAsia"/>
                        <w:sz w:val="31"/>
                      </w:rPr>
                    </w:pPr>
                    <w:r>
                      <w:rPr>
                        <w:rFonts w:ascii="黑体" w:eastAsia="黑体" w:hint="eastAsia"/>
                        <w:sz w:val="31"/>
                      </w:rPr>
                      <w:t>工程单价计算表</w:t>
                    </w:r>
                  </w:p>
                </w:txbxContent>
              </v:textbox>
              <w10:wrap type="none"/>
            </v:shape>
            <v:shape style="position:absolute;left:1427;top:2596;width:8643;height:225" type="#_x0000_t202" filled="false" stroked="false">
              <v:textbox inset="0,0,0,0">
                <w:txbxContent>
                  <w:p>
                    <w:pPr>
                      <w:spacing w:line="225" w:lineRule="exact" w:before="0"/>
                      <w:ind w:left="0" w:right="0" w:firstLine="0"/>
                      <w:jc w:val="left"/>
                      <w:rPr>
                        <w:sz w:val="22"/>
                      </w:rPr>
                    </w:pPr>
                    <w:r>
                      <w:rPr>
                        <w:sz w:val="22"/>
                      </w:rPr>
                      <w:t>单 价 编 号 ： 定 额 单 位 ：</w:t>
                    </w:r>
                  </w:p>
                </w:txbxContent>
              </v:textbox>
              <w10:wrap type="none"/>
            </v:shape>
            <v:shape style="position:absolute;left:1427;top:8493;width:5908;height:1054" type="#_x0000_t202" filled="false" stroked="false">
              <v:textbox inset="0,0,0,0">
                <w:txbxContent>
                  <w:p>
                    <w:pPr>
                      <w:spacing w:line="358" w:lineRule="exact" w:before="0"/>
                      <w:ind w:left="3244" w:right="0" w:firstLine="0"/>
                      <w:jc w:val="left"/>
                      <w:rPr>
                        <w:rFonts w:ascii="黑体" w:eastAsia="黑体" w:hint="eastAsia"/>
                        <w:sz w:val="31"/>
                      </w:rPr>
                    </w:pPr>
                    <w:r>
                      <w:rPr>
                        <w:rFonts w:ascii="黑体" w:eastAsia="黑体" w:hint="eastAsia"/>
                        <w:sz w:val="31"/>
                      </w:rPr>
                      <w:t>人工费单价汇总表</w:t>
                    </w:r>
                  </w:p>
                  <w:p>
                    <w:pPr>
                      <w:spacing w:before="128"/>
                      <w:ind w:left="0" w:right="0" w:firstLine="0"/>
                      <w:jc w:val="left"/>
                      <w:rPr>
                        <w:sz w:val="22"/>
                      </w:rPr>
                    </w:pPr>
                    <w:r>
                      <w:rPr>
                        <w:sz w:val="22"/>
                      </w:rPr>
                      <w:t>合同编号：(投标项目合同号) </w:t>
                    </w:r>
                  </w:p>
                  <w:p>
                    <w:pPr>
                      <w:spacing w:line="252" w:lineRule="exact" w:before="34"/>
                      <w:ind w:left="0" w:right="0" w:firstLine="0"/>
                      <w:jc w:val="left"/>
                      <w:rPr>
                        <w:sz w:val="22"/>
                      </w:rPr>
                    </w:pPr>
                    <w:r>
                      <w:rPr>
                        <w:sz w:val="22"/>
                      </w:rPr>
                      <w:t>工程名称：</w:t>
                    </w:r>
                    <w:r>
                      <w:rPr>
                        <w:spacing w:val="108"/>
                        <w:sz w:val="22"/>
                        <w:u w:val="single"/>
                      </w:rPr>
                      <w:t> </w:t>
                    </w:r>
                    <w:r>
                      <w:rPr>
                        <w:spacing w:val="1"/>
                        <w:sz w:val="22"/>
                      </w:rPr>
                      <w:t>(项目名称)</w:t>
                    </w:r>
                    <w:r>
                      <w:rPr>
                        <w:spacing w:val="1"/>
                        <w:sz w:val="22"/>
                        <w:u w:val="single"/>
                      </w:rPr>
                      <w:t> </w:t>
                    </w:r>
                    <w:r>
                      <w:rPr>
                        <w:spacing w:val="1"/>
                        <w:sz w:val="22"/>
                      </w:rPr>
                      <w:t>(标段名称)</w:t>
                    </w:r>
                    <w:r>
                      <w:rPr>
                        <w:sz w:val="22"/>
                      </w:rPr>
                      <w:t> </w:t>
                    </w:r>
                  </w:p>
                </w:txbxContent>
              </v:textbox>
              <w10:wrap type="none"/>
            </v:shape>
            <w10:wrap type="none"/>
          </v:group>
        </w:pict>
      </w:r>
      <w:r>
        <w:rPr>
          <w:sz w:val="22"/>
        </w:rPr>
        <w:t>工程名称：</w:t>
      </w:r>
      <w:r>
        <w:rPr>
          <w:spacing w:val="92"/>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1"/>
        <w:gridCol w:w="1577"/>
        <w:gridCol w:w="1337"/>
        <w:gridCol w:w="1337"/>
        <w:gridCol w:w="1337"/>
        <w:gridCol w:w="1338"/>
        <w:gridCol w:w="1172"/>
      </w:tblGrid>
      <w:tr>
        <w:trPr>
          <w:trHeight w:val="300" w:hRule="atLeast"/>
        </w:trPr>
        <w:tc>
          <w:tcPr>
            <w:tcW w:w="991" w:type="dxa"/>
          </w:tcPr>
          <w:p>
            <w:pPr>
              <w:pStyle w:val="TableParagraph"/>
              <w:ind w:left="292"/>
              <w:rPr>
                <w:sz w:val="21"/>
              </w:rPr>
            </w:pPr>
            <w:r>
              <w:rPr>
                <w:sz w:val="21"/>
              </w:rPr>
              <w:t>序号</w:t>
            </w:r>
          </w:p>
        </w:tc>
        <w:tc>
          <w:tcPr>
            <w:tcW w:w="1577" w:type="dxa"/>
          </w:tcPr>
          <w:p>
            <w:pPr>
              <w:pStyle w:val="TableParagraph"/>
              <w:ind w:left="368"/>
              <w:rPr>
                <w:sz w:val="21"/>
              </w:rPr>
            </w:pPr>
            <w:r>
              <w:rPr>
                <w:sz w:val="21"/>
              </w:rPr>
              <w:t>项目名称</w:t>
            </w:r>
          </w:p>
        </w:tc>
        <w:tc>
          <w:tcPr>
            <w:tcW w:w="1337" w:type="dxa"/>
            <w:tcBorders>
              <w:right w:val="single" w:sz="8" w:space="0" w:color="000000"/>
            </w:tcBorders>
          </w:tcPr>
          <w:p>
            <w:pPr>
              <w:pStyle w:val="TableParagraph"/>
              <w:ind w:left="232"/>
              <w:rPr>
                <w:sz w:val="21"/>
              </w:rPr>
            </w:pPr>
            <w:r>
              <w:rPr>
                <w:sz w:val="21"/>
              </w:rPr>
              <w:t>计量单位</w:t>
            </w:r>
          </w:p>
        </w:tc>
        <w:tc>
          <w:tcPr>
            <w:tcW w:w="1337" w:type="dxa"/>
            <w:tcBorders>
              <w:left w:val="single" w:sz="8" w:space="0" w:color="000000"/>
            </w:tcBorders>
          </w:tcPr>
          <w:p>
            <w:pPr>
              <w:pStyle w:val="TableParagraph"/>
              <w:ind w:left="230"/>
              <w:rPr>
                <w:sz w:val="21"/>
              </w:rPr>
            </w:pPr>
            <w:r>
              <w:rPr>
                <w:sz w:val="21"/>
              </w:rPr>
              <w:t>工程数量</w:t>
            </w:r>
          </w:p>
        </w:tc>
        <w:tc>
          <w:tcPr>
            <w:tcW w:w="1337" w:type="dxa"/>
          </w:tcPr>
          <w:p>
            <w:pPr>
              <w:pStyle w:val="TableParagraph"/>
              <w:ind w:left="277"/>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338" w:type="dxa"/>
          </w:tcPr>
          <w:p>
            <w:pPr>
              <w:pStyle w:val="TableParagraph"/>
              <w:ind w:left="276"/>
              <w:rPr>
                <w:rFonts w:ascii="Calibri" w:eastAsia="Calibri"/>
                <w:sz w:val="21"/>
              </w:rPr>
            </w:pPr>
            <w:r>
              <w:rPr>
                <w:sz w:val="21"/>
              </w:rPr>
              <w:t>合价</w:t>
            </w:r>
            <w:r>
              <w:rPr>
                <w:rFonts w:ascii="Calibri" w:eastAsia="Calibri"/>
                <w:sz w:val="21"/>
              </w:rPr>
              <w:t>(</w:t>
            </w:r>
            <w:r>
              <w:rPr>
                <w:sz w:val="21"/>
              </w:rPr>
              <w:t>元</w:t>
            </w:r>
            <w:r>
              <w:rPr>
                <w:rFonts w:ascii="Calibri" w:eastAsia="Calibri"/>
                <w:sz w:val="21"/>
              </w:rPr>
              <w:t>)</w:t>
            </w:r>
          </w:p>
        </w:tc>
        <w:tc>
          <w:tcPr>
            <w:tcW w:w="1172" w:type="dxa"/>
          </w:tcPr>
          <w:p>
            <w:pPr>
              <w:pStyle w:val="TableParagraph"/>
              <w:ind w:left="366"/>
              <w:rPr>
                <w:sz w:val="21"/>
              </w:rPr>
            </w:pPr>
            <w:r>
              <w:rPr>
                <w:sz w:val="21"/>
              </w:rPr>
              <w:t>说明</w:t>
            </w:r>
          </w:p>
        </w:tc>
      </w:tr>
      <w:tr>
        <w:trPr>
          <w:trHeight w:val="315" w:hRule="atLeast"/>
        </w:trPr>
        <w:tc>
          <w:tcPr>
            <w:tcW w:w="991" w:type="dxa"/>
          </w:tcPr>
          <w:p>
            <w:pPr>
              <w:pStyle w:val="TableParagraph"/>
              <w:rPr>
                <w:rFonts w:ascii="Times New Roman"/>
                <w:sz w:val="22"/>
              </w:rPr>
            </w:pPr>
          </w:p>
        </w:tc>
        <w:tc>
          <w:tcPr>
            <w:tcW w:w="1577" w:type="dxa"/>
          </w:tcPr>
          <w:p>
            <w:pPr>
              <w:pStyle w:val="TableParagraph"/>
              <w:rPr>
                <w:rFonts w:ascii="Times New Roman"/>
                <w:sz w:val="22"/>
              </w:rPr>
            </w:pP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991" w:type="dxa"/>
          </w:tcPr>
          <w:p>
            <w:pPr>
              <w:pStyle w:val="TableParagraph"/>
              <w:rPr>
                <w:rFonts w:ascii="Times New Roman"/>
                <w:sz w:val="22"/>
              </w:rPr>
            </w:pPr>
          </w:p>
        </w:tc>
        <w:tc>
          <w:tcPr>
            <w:tcW w:w="1577" w:type="dxa"/>
          </w:tcPr>
          <w:p>
            <w:pPr>
              <w:pStyle w:val="TableParagraph"/>
              <w:rPr>
                <w:rFonts w:ascii="Times New Roman"/>
                <w:sz w:val="22"/>
              </w:rPr>
            </w:pP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32"/>
        <w:gridCol w:w="1337"/>
        <w:gridCol w:w="1337"/>
        <w:gridCol w:w="1337"/>
        <w:gridCol w:w="1337"/>
        <w:gridCol w:w="1338"/>
        <w:gridCol w:w="1172"/>
      </w:tblGrid>
      <w:tr>
        <w:trPr>
          <w:trHeight w:val="615" w:hRule="atLeast"/>
        </w:trPr>
        <w:tc>
          <w:tcPr>
            <w:tcW w:w="9090" w:type="dxa"/>
            <w:gridSpan w:val="7"/>
          </w:tcPr>
          <w:p>
            <w:pPr>
              <w:pStyle w:val="TableParagraph"/>
              <w:ind w:left="112"/>
              <w:rPr>
                <w:sz w:val="21"/>
              </w:rPr>
            </w:pPr>
            <w:r>
              <w:rPr>
                <w:sz w:val="21"/>
              </w:rPr>
              <w:t>施工方法：</w:t>
            </w:r>
          </w:p>
        </w:tc>
      </w:tr>
      <w:tr>
        <w:trPr>
          <w:trHeight w:val="315" w:hRule="atLeast"/>
        </w:trPr>
        <w:tc>
          <w:tcPr>
            <w:tcW w:w="1232" w:type="dxa"/>
          </w:tcPr>
          <w:p>
            <w:pPr>
              <w:pStyle w:val="TableParagraph"/>
              <w:spacing w:before="15"/>
              <w:ind w:right="397"/>
              <w:jc w:val="right"/>
              <w:rPr>
                <w:sz w:val="21"/>
              </w:rPr>
            </w:pPr>
            <w:r>
              <w:rPr>
                <w:sz w:val="21"/>
              </w:rPr>
              <w:t>序号</w:t>
            </w:r>
          </w:p>
        </w:tc>
        <w:tc>
          <w:tcPr>
            <w:tcW w:w="1337" w:type="dxa"/>
          </w:tcPr>
          <w:p>
            <w:pPr>
              <w:pStyle w:val="TableParagraph"/>
              <w:spacing w:before="15"/>
              <w:ind w:left="106" w:right="122"/>
              <w:jc w:val="center"/>
              <w:rPr>
                <w:sz w:val="21"/>
              </w:rPr>
            </w:pPr>
            <w:r>
              <w:rPr>
                <w:sz w:val="21"/>
              </w:rPr>
              <w:t>名称</w:t>
            </w:r>
          </w:p>
        </w:tc>
        <w:tc>
          <w:tcPr>
            <w:tcW w:w="1337" w:type="dxa"/>
            <w:tcBorders>
              <w:right w:val="single" w:sz="8" w:space="0" w:color="000000"/>
            </w:tcBorders>
          </w:tcPr>
          <w:p>
            <w:pPr>
              <w:pStyle w:val="TableParagraph"/>
              <w:spacing w:before="15"/>
              <w:ind w:left="231"/>
              <w:rPr>
                <w:sz w:val="21"/>
              </w:rPr>
            </w:pPr>
            <w:r>
              <w:rPr>
                <w:sz w:val="21"/>
              </w:rPr>
              <w:t>型号规格</w:t>
            </w:r>
          </w:p>
        </w:tc>
        <w:tc>
          <w:tcPr>
            <w:tcW w:w="1337" w:type="dxa"/>
            <w:tcBorders>
              <w:left w:val="single" w:sz="8" w:space="0" w:color="000000"/>
            </w:tcBorders>
          </w:tcPr>
          <w:p>
            <w:pPr>
              <w:pStyle w:val="TableParagraph"/>
              <w:spacing w:before="15"/>
              <w:ind w:left="229"/>
              <w:rPr>
                <w:sz w:val="21"/>
              </w:rPr>
            </w:pPr>
            <w:r>
              <w:rPr>
                <w:sz w:val="21"/>
              </w:rPr>
              <w:t>计量单位</w:t>
            </w:r>
          </w:p>
        </w:tc>
        <w:tc>
          <w:tcPr>
            <w:tcW w:w="1337" w:type="dxa"/>
          </w:tcPr>
          <w:p>
            <w:pPr>
              <w:pStyle w:val="TableParagraph"/>
              <w:spacing w:before="15"/>
              <w:ind w:left="105" w:right="122"/>
              <w:jc w:val="center"/>
              <w:rPr>
                <w:sz w:val="21"/>
              </w:rPr>
            </w:pPr>
            <w:r>
              <w:rPr>
                <w:sz w:val="21"/>
              </w:rPr>
              <w:t>数量</w:t>
            </w:r>
          </w:p>
        </w:tc>
        <w:tc>
          <w:tcPr>
            <w:tcW w:w="1338" w:type="dxa"/>
          </w:tcPr>
          <w:p>
            <w:pPr>
              <w:pStyle w:val="TableParagraph"/>
              <w:spacing w:before="15"/>
              <w:ind w:left="275"/>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172" w:type="dxa"/>
          </w:tcPr>
          <w:p>
            <w:pPr>
              <w:pStyle w:val="TableParagraph"/>
              <w:spacing w:before="15"/>
              <w:ind w:left="199"/>
              <w:rPr>
                <w:rFonts w:ascii="Calibri" w:eastAsia="Calibri"/>
                <w:sz w:val="21"/>
              </w:rPr>
            </w:pPr>
            <w:r>
              <w:rPr>
                <w:sz w:val="21"/>
              </w:rPr>
              <w:t>合价</w:t>
            </w:r>
            <w:r>
              <w:rPr>
                <w:rFonts w:ascii="Calibri" w:eastAsia="Calibri"/>
                <w:sz w:val="21"/>
              </w:rPr>
              <w:t>(</w:t>
            </w:r>
            <w:r>
              <w:rPr>
                <w:sz w:val="21"/>
              </w:rPr>
              <w:t>元</w:t>
            </w:r>
            <w:r>
              <w:rPr>
                <w:rFonts w:ascii="Calibri" w:eastAsia="Calibri"/>
                <w:sz w:val="21"/>
              </w:rPr>
              <w:t>)</w:t>
            </w:r>
          </w:p>
        </w:tc>
      </w:tr>
      <w:tr>
        <w:trPr>
          <w:trHeight w:val="300" w:hRule="atLeast"/>
        </w:trPr>
        <w:tc>
          <w:tcPr>
            <w:tcW w:w="1232" w:type="dxa"/>
          </w:tcPr>
          <w:p>
            <w:pPr>
              <w:pStyle w:val="TableParagraph"/>
              <w:spacing w:before="10"/>
              <w:ind w:left="15"/>
              <w:jc w:val="center"/>
              <w:rPr>
                <w:rFonts w:ascii="Calibri"/>
                <w:sz w:val="21"/>
              </w:rPr>
            </w:pPr>
            <w:r>
              <w:rPr>
                <w:rFonts w:ascii="Calibri"/>
                <w:sz w:val="21"/>
              </w:rPr>
              <w:t>1</w:t>
            </w:r>
          </w:p>
        </w:tc>
        <w:tc>
          <w:tcPr>
            <w:tcW w:w="1337" w:type="dxa"/>
          </w:tcPr>
          <w:p>
            <w:pPr>
              <w:pStyle w:val="TableParagraph"/>
              <w:ind w:left="109" w:right="122"/>
              <w:jc w:val="center"/>
              <w:rPr>
                <w:sz w:val="21"/>
              </w:rPr>
            </w:pPr>
            <w:r>
              <w:rPr>
                <w:sz w:val="21"/>
              </w:rPr>
              <w:t>直接工程费</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1232" w:type="dxa"/>
          </w:tcPr>
          <w:p>
            <w:pPr>
              <w:pStyle w:val="TableParagraph"/>
              <w:spacing w:line="255" w:lineRule="exact" w:before="25"/>
              <w:ind w:right="470"/>
              <w:jc w:val="right"/>
              <w:rPr>
                <w:rFonts w:ascii="Calibri"/>
                <w:sz w:val="21"/>
              </w:rPr>
            </w:pPr>
            <w:r>
              <w:rPr>
                <w:rFonts w:ascii="Calibri"/>
                <w:sz w:val="21"/>
              </w:rPr>
              <w:t>1.1</w:t>
            </w:r>
          </w:p>
        </w:tc>
        <w:tc>
          <w:tcPr>
            <w:tcW w:w="1337" w:type="dxa"/>
          </w:tcPr>
          <w:p>
            <w:pPr>
              <w:pStyle w:val="TableParagraph"/>
              <w:spacing w:line="265" w:lineRule="exact" w:before="15"/>
              <w:ind w:left="109" w:right="122"/>
              <w:jc w:val="center"/>
              <w:rPr>
                <w:sz w:val="21"/>
              </w:rPr>
            </w:pPr>
            <w:r>
              <w:rPr>
                <w:sz w:val="21"/>
              </w:rPr>
              <w:t>人工费</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12" w:hRule="atLeast"/>
        </w:trPr>
        <w:tc>
          <w:tcPr>
            <w:tcW w:w="1232" w:type="dxa"/>
            <w:tcBorders>
              <w:bottom w:val="single" w:sz="8" w:space="0" w:color="000000"/>
            </w:tcBorders>
          </w:tcPr>
          <w:p>
            <w:pPr>
              <w:pStyle w:val="TableParagraph"/>
              <w:rPr>
                <w:rFonts w:ascii="Times New Roman"/>
                <w:sz w:val="22"/>
              </w:rPr>
            </w:pPr>
          </w:p>
        </w:tc>
        <w:tc>
          <w:tcPr>
            <w:tcW w:w="1337" w:type="dxa"/>
            <w:tcBorders>
              <w:bottom w:val="single" w:sz="8" w:space="0" w:color="000000"/>
            </w:tcBorders>
          </w:tcPr>
          <w:p>
            <w:pPr>
              <w:pStyle w:val="TableParagraph"/>
              <w:rPr>
                <w:rFonts w:ascii="Times New Roman"/>
                <w:sz w:val="22"/>
              </w:rPr>
            </w:pPr>
          </w:p>
        </w:tc>
        <w:tc>
          <w:tcPr>
            <w:tcW w:w="1337" w:type="dxa"/>
            <w:tcBorders>
              <w:bottom w:val="single" w:sz="8" w:space="0" w:color="000000"/>
              <w:right w:val="single" w:sz="8" w:space="0" w:color="000000"/>
            </w:tcBorders>
          </w:tcPr>
          <w:p>
            <w:pPr>
              <w:pStyle w:val="TableParagraph"/>
              <w:rPr>
                <w:rFonts w:ascii="Times New Roman"/>
                <w:sz w:val="22"/>
              </w:rPr>
            </w:pPr>
          </w:p>
        </w:tc>
        <w:tc>
          <w:tcPr>
            <w:tcW w:w="1337" w:type="dxa"/>
            <w:tcBorders>
              <w:left w:val="single" w:sz="8" w:space="0" w:color="000000"/>
              <w:bottom w:val="single" w:sz="8" w:space="0" w:color="000000"/>
            </w:tcBorders>
          </w:tcPr>
          <w:p>
            <w:pPr>
              <w:pStyle w:val="TableParagraph"/>
              <w:rPr>
                <w:rFonts w:ascii="Times New Roman"/>
                <w:sz w:val="22"/>
              </w:rPr>
            </w:pPr>
          </w:p>
        </w:tc>
        <w:tc>
          <w:tcPr>
            <w:tcW w:w="1337" w:type="dxa"/>
            <w:tcBorders>
              <w:bottom w:val="single" w:sz="8" w:space="0" w:color="000000"/>
            </w:tcBorders>
          </w:tcPr>
          <w:p>
            <w:pPr>
              <w:pStyle w:val="TableParagraph"/>
              <w:rPr>
                <w:rFonts w:ascii="Times New Roman"/>
                <w:sz w:val="22"/>
              </w:rPr>
            </w:pPr>
          </w:p>
        </w:tc>
        <w:tc>
          <w:tcPr>
            <w:tcW w:w="1338" w:type="dxa"/>
            <w:tcBorders>
              <w:bottom w:val="single" w:sz="8" w:space="0" w:color="000000"/>
            </w:tcBorders>
          </w:tcPr>
          <w:p>
            <w:pPr>
              <w:pStyle w:val="TableParagraph"/>
              <w:rPr>
                <w:rFonts w:ascii="Times New Roman"/>
                <w:sz w:val="22"/>
              </w:rPr>
            </w:pPr>
          </w:p>
        </w:tc>
        <w:tc>
          <w:tcPr>
            <w:tcW w:w="1172" w:type="dxa"/>
            <w:tcBorders>
              <w:bottom w:val="single" w:sz="8" w:space="0" w:color="000000"/>
            </w:tcBorders>
          </w:tcPr>
          <w:p>
            <w:pPr>
              <w:pStyle w:val="TableParagraph"/>
              <w:rPr>
                <w:rFonts w:ascii="Times New Roman"/>
                <w:sz w:val="22"/>
              </w:rPr>
            </w:pPr>
          </w:p>
        </w:tc>
      </w:tr>
      <w:tr>
        <w:trPr>
          <w:trHeight w:val="297" w:hRule="atLeast"/>
        </w:trPr>
        <w:tc>
          <w:tcPr>
            <w:tcW w:w="1232" w:type="dxa"/>
            <w:tcBorders>
              <w:top w:val="single" w:sz="8" w:space="0" w:color="000000"/>
            </w:tcBorders>
          </w:tcPr>
          <w:p>
            <w:pPr>
              <w:pStyle w:val="TableParagraph"/>
              <w:spacing w:line="255" w:lineRule="exact" w:before="22"/>
              <w:ind w:right="470"/>
              <w:jc w:val="right"/>
              <w:rPr>
                <w:rFonts w:ascii="Calibri"/>
                <w:sz w:val="21"/>
              </w:rPr>
            </w:pPr>
            <w:r>
              <w:rPr>
                <w:rFonts w:ascii="Calibri"/>
                <w:sz w:val="21"/>
              </w:rPr>
              <w:t>1.2</w:t>
            </w:r>
          </w:p>
        </w:tc>
        <w:tc>
          <w:tcPr>
            <w:tcW w:w="1337" w:type="dxa"/>
            <w:tcBorders>
              <w:top w:val="single" w:sz="8" w:space="0" w:color="000000"/>
            </w:tcBorders>
          </w:tcPr>
          <w:p>
            <w:pPr>
              <w:pStyle w:val="TableParagraph"/>
              <w:spacing w:line="265" w:lineRule="exact" w:before="12"/>
              <w:ind w:left="109" w:right="122"/>
              <w:jc w:val="center"/>
              <w:rPr>
                <w:sz w:val="21"/>
              </w:rPr>
            </w:pPr>
            <w:r>
              <w:rPr>
                <w:sz w:val="21"/>
              </w:rPr>
              <w:t>材料费</w:t>
            </w:r>
          </w:p>
        </w:tc>
        <w:tc>
          <w:tcPr>
            <w:tcW w:w="1337" w:type="dxa"/>
            <w:tcBorders>
              <w:top w:val="single" w:sz="8" w:space="0" w:color="000000"/>
              <w:right w:val="single" w:sz="8" w:space="0" w:color="000000"/>
            </w:tcBorders>
          </w:tcPr>
          <w:p>
            <w:pPr>
              <w:pStyle w:val="TableParagraph"/>
              <w:rPr>
                <w:rFonts w:ascii="Times New Roman"/>
                <w:sz w:val="22"/>
              </w:rPr>
            </w:pPr>
          </w:p>
        </w:tc>
        <w:tc>
          <w:tcPr>
            <w:tcW w:w="1337" w:type="dxa"/>
            <w:tcBorders>
              <w:top w:val="single" w:sz="8" w:space="0" w:color="000000"/>
              <w:left w:val="single" w:sz="8" w:space="0" w:color="000000"/>
            </w:tcBorders>
          </w:tcPr>
          <w:p>
            <w:pPr>
              <w:pStyle w:val="TableParagraph"/>
              <w:rPr>
                <w:rFonts w:ascii="Times New Roman"/>
                <w:sz w:val="22"/>
              </w:rPr>
            </w:pPr>
          </w:p>
        </w:tc>
        <w:tc>
          <w:tcPr>
            <w:tcW w:w="1337" w:type="dxa"/>
            <w:tcBorders>
              <w:top w:val="single" w:sz="8" w:space="0" w:color="000000"/>
            </w:tcBorders>
          </w:tcPr>
          <w:p>
            <w:pPr>
              <w:pStyle w:val="TableParagraph"/>
              <w:rPr>
                <w:rFonts w:ascii="Times New Roman"/>
                <w:sz w:val="22"/>
              </w:rPr>
            </w:pPr>
          </w:p>
        </w:tc>
        <w:tc>
          <w:tcPr>
            <w:tcW w:w="1338" w:type="dxa"/>
            <w:tcBorders>
              <w:top w:val="single" w:sz="8" w:space="0" w:color="000000"/>
            </w:tcBorders>
          </w:tcPr>
          <w:p>
            <w:pPr>
              <w:pStyle w:val="TableParagraph"/>
              <w:rPr>
                <w:rFonts w:ascii="Times New Roman"/>
                <w:sz w:val="22"/>
              </w:rPr>
            </w:pPr>
          </w:p>
        </w:tc>
        <w:tc>
          <w:tcPr>
            <w:tcW w:w="1172" w:type="dxa"/>
            <w:tcBorders>
              <w:top w:val="single" w:sz="8" w:space="0" w:color="000000"/>
            </w:tcBorders>
          </w:tcPr>
          <w:p>
            <w:pPr>
              <w:pStyle w:val="TableParagraph"/>
              <w:rPr>
                <w:rFonts w:ascii="Times New Roman"/>
                <w:sz w:val="22"/>
              </w:rPr>
            </w:pPr>
          </w:p>
        </w:tc>
      </w:tr>
      <w:tr>
        <w:trPr>
          <w:trHeight w:val="315" w:hRule="atLeast"/>
        </w:trPr>
        <w:tc>
          <w:tcPr>
            <w:tcW w:w="1232" w:type="dxa"/>
          </w:tcPr>
          <w:p>
            <w:pPr>
              <w:pStyle w:val="TableParagraph"/>
              <w:rPr>
                <w:rFonts w:ascii="Times New Roman"/>
                <w:sz w:val="22"/>
              </w:rPr>
            </w:pPr>
          </w:p>
        </w:tc>
        <w:tc>
          <w:tcPr>
            <w:tcW w:w="1337" w:type="dxa"/>
          </w:tcPr>
          <w:p>
            <w:pPr>
              <w:pStyle w:val="TableParagraph"/>
              <w:rPr>
                <w:rFonts w:ascii="Times New Roman"/>
                <w:sz w:val="22"/>
              </w:rPr>
            </w:pP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1232" w:type="dxa"/>
          </w:tcPr>
          <w:p>
            <w:pPr>
              <w:pStyle w:val="TableParagraph"/>
              <w:rPr>
                <w:rFonts w:ascii="Times New Roman"/>
                <w:sz w:val="22"/>
              </w:rPr>
            </w:pPr>
          </w:p>
        </w:tc>
        <w:tc>
          <w:tcPr>
            <w:tcW w:w="1337" w:type="dxa"/>
          </w:tcPr>
          <w:p>
            <w:pPr>
              <w:pStyle w:val="TableParagraph"/>
              <w:rPr>
                <w:rFonts w:ascii="Times New Roman"/>
                <w:sz w:val="22"/>
              </w:rPr>
            </w:pP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15" w:hRule="atLeast"/>
        </w:trPr>
        <w:tc>
          <w:tcPr>
            <w:tcW w:w="1232" w:type="dxa"/>
          </w:tcPr>
          <w:p>
            <w:pPr>
              <w:pStyle w:val="TableParagraph"/>
              <w:spacing w:before="25"/>
              <w:ind w:right="470"/>
              <w:jc w:val="right"/>
              <w:rPr>
                <w:rFonts w:ascii="Calibri"/>
                <w:sz w:val="21"/>
              </w:rPr>
            </w:pPr>
            <w:r>
              <w:rPr>
                <w:rFonts w:ascii="Calibri"/>
                <w:sz w:val="21"/>
              </w:rPr>
              <w:t>1.3</w:t>
            </w:r>
          </w:p>
        </w:tc>
        <w:tc>
          <w:tcPr>
            <w:tcW w:w="1337" w:type="dxa"/>
          </w:tcPr>
          <w:p>
            <w:pPr>
              <w:pStyle w:val="TableParagraph"/>
              <w:spacing w:before="15"/>
              <w:ind w:left="109" w:right="122"/>
              <w:jc w:val="center"/>
              <w:rPr>
                <w:sz w:val="21"/>
              </w:rPr>
            </w:pPr>
            <w:r>
              <w:rPr>
                <w:sz w:val="21"/>
              </w:rPr>
              <w:t>机械使用费</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1232" w:type="dxa"/>
          </w:tcPr>
          <w:p>
            <w:pPr>
              <w:pStyle w:val="TableParagraph"/>
              <w:rPr>
                <w:rFonts w:ascii="Times New Roman"/>
                <w:sz w:val="22"/>
              </w:rPr>
            </w:pPr>
          </w:p>
        </w:tc>
        <w:tc>
          <w:tcPr>
            <w:tcW w:w="1337" w:type="dxa"/>
          </w:tcPr>
          <w:p>
            <w:pPr>
              <w:pStyle w:val="TableParagraph"/>
              <w:rPr>
                <w:rFonts w:ascii="Times New Roman"/>
                <w:sz w:val="22"/>
              </w:rPr>
            </w:pP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15" w:hRule="atLeast"/>
        </w:trPr>
        <w:tc>
          <w:tcPr>
            <w:tcW w:w="1232" w:type="dxa"/>
          </w:tcPr>
          <w:p>
            <w:pPr>
              <w:pStyle w:val="TableParagraph"/>
              <w:spacing w:before="25"/>
              <w:ind w:right="470"/>
              <w:jc w:val="right"/>
              <w:rPr>
                <w:rFonts w:ascii="Calibri"/>
                <w:sz w:val="21"/>
              </w:rPr>
            </w:pPr>
            <w:r>
              <w:rPr>
                <w:rFonts w:ascii="Calibri"/>
                <w:sz w:val="21"/>
              </w:rPr>
              <w:t>1.4</w:t>
            </w:r>
          </w:p>
        </w:tc>
        <w:tc>
          <w:tcPr>
            <w:tcW w:w="1337" w:type="dxa"/>
          </w:tcPr>
          <w:p>
            <w:pPr>
              <w:pStyle w:val="TableParagraph"/>
              <w:spacing w:before="15"/>
              <w:ind w:left="109" w:right="122"/>
              <w:jc w:val="center"/>
              <w:rPr>
                <w:sz w:val="21"/>
              </w:rPr>
            </w:pPr>
            <w:r>
              <w:rPr>
                <w:sz w:val="21"/>
              </w:rPr>
              <w:t>其它直接费</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1232" w:type="dxa"/>
          </w:tcPr>
          <w:p>
            <w:pPr>
              <w:pStyle w:val="TableParagraph"/>
              <w:spacing w:before="10"/>
              <w:ind w:right="470"/>
              <w:jc w:val="right"/>
              <w:rPr>
                <w:rFonts w:ascii="Calibri"/>
                <w:sz w:val="21"/>
              </w:rPr>
            </w:pPr>
            <w:r>
              <w:rPr>
                <w:rFonts w:ascii="Calibri"/>
                <w:sz w:val="21"/>
              </w:rPr>
              <w:t>1.5</w:t>
            </w:r>
          </w:p>
        </w:tc>
        <w:tc>
          <w:tcPr>
            <w:tcW w:w="1337" w:type="dxa"/>
          </w:tcPr>
          <w:p>
            <w:pPr>
              <w:pStyle w:val="TableParagraph"/>
              <w:ind w:left="109" w:right="122"/>
              <w:jc w:val="center"/>
              <w:rPr>
                <w:sz w:val="21"/>
              </w:rPr>
            </w:pPr>
            <w:r>
              <w:rPr>
                <w:sz w:val="21"/>
              </w:rPr>
              <w:t>现场经费</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15" w:hRule="atLeast"/>
        </w:trPr>
        <w:tc>
          <w:tcPr>
            <w:tcW w:w="1232" w:type="dxa"/>
          </w:tcPr>
          <w:p>
            <w:pPr>
              <w:pStyle w:val="TableParagraph"/>
              <w:spacing w:before="25"/>
              <w:ind w:left="15"/>
              <w:jc w:val="center"/>
              <w:rPr>
                <w:rFonts w:ascii="Calibri"/>
                <w:sz w:val="21"/>
              </w:rPr>
            </w:pPr>
            <w:r>
              <w:rPr>
                <w:rFonts w:ascii="Calibri"/>
                <w:sz w:val="21"/>
              </w:rPr>
              <w:t>2</w:t>
            </w:r>
          </w:p>
        </w:tc>
        <w:tc>
          <w:tcPr>
            <w:tcW w:w="1337" w:type="dxa"/>
          </w:tcPr>
          <w:p>
            <w:pPr>
              <w:pStyle w:val="TableParagraph"/>
              <w:spacing w:before="15"/>
              <w:ind w:left="109" w:right="122"/>
              <w:jc w:val="center"/>
              <w:rPr>
                <w:sz w:val="21"/>
              </w:rPr>
            </w:pPr>
            <w:r>
              <w:rPr>
                <w:sz w:val="21"/>
              </w:rPr>
              <w:t>间接费</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1232" w:type="dxa"/>
          </w:tcPr>
          <w:p>
            <w:pPr>
              <w:pStyle w:val="TableParagraph"/>
              <w:spacing w:before="10"/>
              <w:ind w:left="15"/>
              <w:jc w:val="center"/>
              <w:rPr>
                <w:rFonts w:ascii="Calibri"/>
                <w:sz w:val="21"/>
              </w:rPr>
            </w:pPr>
            <w:r>
              <w:rPr>
                <w:rFonts w:ascii="Calibri"/>
                <w:sz w:val="21"/>
              </w:rPr>
              <w:t>3</w:t>
            </w:r>
          </w:p>
        </w:tc>
        <w:tc>
          <w:tcPr>
            <w:tcW w:w="1337" w:type="dxa"/>
          </w:tcPr>
          <w:p>
            <w:pPr>
              <w:pStyle w:val="TableParagraph"/>
              <w:ind w:left="109" w:right="122"/>
              <w:jc w:val="center"/>
              <w:rPr>
                <w:sz w:val="21"/>
              </w:rPr>
            </w:pPr>
            <w:r>
              <w:rPr>
                <w:sz w:val="21"/>
              </w:rPr>
              <w:t>企业利润</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15" w:hRule="atLeast"/>
        </w:trPr>
        <w:tc>
          <w:tcPr>
            <w:tcW w:w="1232" w:type="dxa"/>
          </w:tcPr>
          <w:p>
            <w:pPr>
              <w:pStyle w:val="TableParagraph"/>
              <w:spacing w:before="25"/>
              <w:ind w:left="15"/>
              <w:jc w:val="center"/>
              <w:rPr>
                <w:rFonts w:ascii="Calibri"/>
                <w:sz w:val="21"/>
              </w:rPr>
            </w:pPr>
            <w:r>
              <w:rPr>
                <w:rFonts w:ascii="Calibri"/>
                <w:sz w:val="21"/>
              </w:rPr>
              <w:t>4</w:t>
            </w:r>
          </w:p>
        </w:tc>
        <w:tc>
          <w:tcPr>
            <w:tcW w:w="1337" w:type="dxa"/>
          </w:tcPr>
          <w:p>
            <w:pPr>
              <w:pStyle w:val="TableParagraph"/>
              <w:spacing w:before="15"/>
              <w:ind w:left="107" w:right="122"/>
              <w:jc w:val="center"/>
              <w:rPr>
                <w:sz w:val="21"/>
              </w:rPr>
            </w:pPr>
            <w:r>
              <w:rPr>
                <w:sz w:val="21"/>
              </w:rPr>
              <w:t>税金</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r>
        <w:trPr>
          <w:trHeight w:val="300" w:hRule="atLeast"/>
        </w:trPr>
        <w:tc>
          <w:tcPr>
            <w:tcW w:w="1232" w:type="dxa"/>
          </w:tcPr>
          <w:p>
            <w:pPr>
              <w:pStyle w:val="TableParagraph"/>
              <w:rPr>
                <w:rFonts w:ascii="Times New Roman"/>
                <w:sz w:val="22"/>
              </w:rPr>
            </w:pPr>
          </w:p>
        </w:tc>
        <w:tc>
          <w:tcPr>
            <w:tcW w:w="1337" w:type="dxa"/>
          </w:tcPr>
          <w:p>
            <w:pPr>
              <w:pStyle w:val="TableParagraph"/>
              <w:ind w:left="107" w:right="122"/>
              <w:jc w:val="center"/>
              <w:rPr>
                <w:sz w:val="21"/>
              </w:rPr>
            </w:pPr>
            <w:r>
              <w:rPr>
                <w:sz w:val="21"/>
              </w:rPr>
              <w:t>合计</w:t>
            </w:r>
          </w:p>
        </w:tc>
        <w:tc>
          <w:tcPr>
            <w:tcW w:w="1337" w:type="dxa"/>
            <w:tcBorders>
              <w:right w:val="single" w:sz="8" w:space="0" w:color="000000"/>
            </w:tcBorders>
          </w:tcPr>
          <w:p>
            <w:pPr>
              <w:pStyle w:val="TableParagraph"/>
              <w:rPr>
                <w:rFonts w:ascii="Times New Roman"/>
                <w:sz w:val="22"/>
              </w:rPr>
            </w:pPr>
          </w:p>
        </w:tc>
        <w:tc>
          <w:tcPr>
            <w:tcW w:w="1337" w:type="dxa"/>
            <w:tcBorders>
              <w:left w:val="single" w:sz="8" w:space="0" w:color="000000"/>
            </w:tcBorders>
          </w:tcPr>
          <w:p>
            <w:pPr>
              <w:pStyle w:val="TableParagraph"/>
              <w:rPr>
                <w:rFonts w:ascii="Times New Roman"/>
                <w:sz w:val="22"/>
              </w:rPr>
            </w:pPr>
          </w:p>
        </w:tc>
        <w:tc>
          <w:tcPr>
            <w:tcW w:w="1337" w:type="dxa"/>
          </w:tcPr>
          <w:p>
            <w:pPr>
              <w:pStyle w:val="TableParagraph"/>
              <w:rPr>
                <w:rFonts w:ascii="Times New Roman"/>
                <w:sz w:val="22"/>
              </w:rPr>
            </w:pPr>
          </w:p>
        </w:tc>
        <w:tc>
          <w:tcPr>
            <w:tcW w:w="1338" w:type="dxa"/>
          </w:tcPr>
          <w:p>
            <w:pPr>
              <w:pStyle w:val="TableParagraph"/>
              <w:rPr>
                <w:rFonts w:ascii="Times New Roman"/>
                <w:sz w:val="22"/>
              </w:rPr>
            </w:pPr>
          </w:p>
        </w:tc>
        <w:tc>
          <w:tcPr>
            <w:tcW w:w="1172"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91"/>
        <w:gridCol w:w="2644"/>
        <w:gridCol w:w="1863"/>
        <w:gridCol w:w="1878"/>
        <w:gridCol w:w="1713"/>
      </w:tblGrid>
      <w:tr>
        <w:trPr>
          <w:trHeight w:val="300" w:hRule="atLeast"/>
        </w:trPr>
        <w:tc>
          <w:tcPr>
            <w:tcW w:w="991" w:type="dxa"/>
          </w:tcPr>
          <w:p>
            <w:pPr>
              <w:pStyle w:val="TableParagraph"/>
              <w:spacing w:line="265" w:lineRule="exact" w:before="15"/>
              <w:ind w:left="292"/>
              <w:rPr>
                <w:sz w:val="21"/>
              </w:rPr>
            </w:pPr>
            <w:r>
              <w:rPr>
                <w:sz w:val="21"/>
              </w:rPr>
              <w:t>序号</w:t>
            </w:r>
          </w:p>
        </w:tc>
        <w:tc>
          <w:tcPr>
            <w:tcW w:w="2644" w:type="dxa"/>
          </w:tcPr>
          <w:p>
            <w:pPr>
              <w:pStyle w:val="TableParagraph"/>
              <w:spacing w:line="265" w:lineRule="exact" w:before="15"/>
              <w:ind w:left="1084" w:right="1084"/>
              <w:jc w:val="center"/>
              <w:rPr>
                <w:sz w:val="21"/>
              </w:rPr>
            </w:pPr>
            <w:r>
              <w:rPr>
                <w:sz w:val="21"/>
              </w:rPr>
              <w:t>工种</w:t>
            </w:r>
          </w:p>
        </w:tc>
        <w:tc>
          <w:tcPr>
            <w:tcW w:w="1863" w:type="dxa"/>
          </w:tcPr>
          <w:p>
            <w:pPr>
              <w:pStyle w:val="TableParagraph"/>
              <w:spacing w:line="265" w:lineRule="exact" w:before="15"/>
              <w:ind w:left="708" w:right="679"/>
              <w:jc w:val="center"/>
              <w:rPr>
                <w:sz w:val="21"/>
              </w:rPr>
            </w:pPr>
            <w:r>
              <w:rPr>
                <w:sz w:val="21"/>
              </w:rPr>
              <w:t>单位</w:t>
            </w:r>
          </w:p>
        </w:tc>
        <w:tc>
          <w:tcPr>
            <w:tcW w:w="1878" w:type="dxa"/>
          </w:tcPr>
          <w:p>
            <w:pPr>
              <w:pStyle w:val="TableParagraph"/>
              <w:spacing w:line="265" w:lineRule="exact" w:before="15"/>
              <w:ind w:left="562"/>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713" w:type="dxa"/>
          </w:tcPr>
          <w:p>
            <w:pPr>
              <w:pStyle w:val="TableParagraph"/>
              <w:spacing w:line="265" w:lineRule="exact" w:before="15"/>
              <w:ind w:left="617" w:right="620"/>
              <w:jc w:val="center"/>
              <w:rPr>
                <w:sz w:val="21"/>
              </w:rPr>
            </w:pPr>
            <w:r>
              <w:rPr>
                <w:sz w:val="21"/>
              </w:rPr>
              <w:t>备注</w:t>
            </w:r>
          </w:p>
        </w:tc>
      </w:tr>
      <w:tr>
        <w:trPr>
          <w:trHeight w:val="315" w:hRule="atLeast"/>
        </w:trPr>
        <w:tc>
          <w:tcPr>
            <w:tcW w:w="991" w:type="dxa"/>
          </w:tcPr>
          <w:p>
            <w:pPr>
              <w:pStyle w:val="TableParagraph"/>
              <w:rPr>
                <w:rFonts w:ascii="Times New Roman"/>
                <w:sz w:val="22"/>
              </w:rPr>
            </w:pPr>
          </w:p>
        </w:tc>
        <w:tc>
          <w:tcPr>
            <w:tcW w:w="2644" w:type="dxa"/>
          </w:tcPr>
          <w:p>
            <w:pPr>
              <w:pStyle w:val="TableParagraph"/>
              <w:rPr>
                <w:rFonts w:ascii="Times New Roman"/>
                <w:sz w:val="22"/>
              </w:rPr>
            </w:pPr>
          </w:p>
        </w:tc>
        <w:tc>
          <w:tcPr>
            <w:tcW w:w="1863" w:type="dxa"/>
          </w:tcPr>
          <w:p>
            <w:pPr>
              <w:pStyle w:val="TableParagraph"/>
              <w:rPr>
                <w:rFonts w:ascii="Times New Roman"/>
                <w:sz w:val="22"/>
              </w:rPr>
            </w:pPr>
          </w:p>
        </w:tc>
        <w:tc>
          <w:tcPr>
            <w:tcW w:w="1878" w:type="dxa"/>
          </w:tcPr>
          <w:p>
            <w:pPr>
              <w:pStyle w:val="TableParagraph"/>
              <w:rPr>
                <w:rFonts w:ascii="Times New Roman"/>
                <w:sz w:val="22"/>
              </w:rPr>
            </w:pPr>
          </w:p>
        </w:tc>
        <w:tc>
          <w:tcPr>
            <w:tcW w:w="1713" w:type="dxa"/>
          </w:tcPr>
          <w:p>
            <w:pPr>
              <w:pStyle w:val="TableParagraph"/>
              <w:rPr>
                <w:rFonts w:ascii="Times New Roman"/>
                <w:sz w:val="22"/>
              </w:rPr>
            </w:pPr>
          </w:p>
        </w:tc>
      </w:tr>
      <w:tr>
        <w:trPr>
          <w:trHeight w:val="300" w:hRule="atLeast"/>
        </w:trPr>
        <w:tc>
          <w:tcPr>
            <w:tcW w:w="991" w:type="dxa"/>
          </w:tcPr>
          <w:p>
            <w:pPr>
              <w:pStyle w:val="TableParagraph"/>
              <w:rPr>
                <w:rFonts w:ascii="Times New Roman"/>
                <w:sz w:val="22"/>
              </w:rPr>
            </w:pPr>
          </w:p>
        </w:tc>
        <w:tc>
          <w:tcPr>
            <w:tcW w:w="2644" w:type="dxa"/>
          </w:tcPr>
          <w:p>
            <w:pPr>
              <w:pStyle w:val="TableParagraph"/>
              <w:rPr>
                <w:rFonts w:ascii="Times New Roman"/>
                <w:sz w:val="22"/>
              </w:rPr>
            </w:pPr>
          </w:p>
        </w:tc>
        <w:tc>
          <w:tcPr>
            <w:tcW w:w="1863" w:type="dxa"/>
          </w:tcPr>
          <w:p>
            <w:pPr>
              <w:pStyle w:val="TableParagraph"/>
              <w:rPr>
                <w:rFonts w:ascii="Times New Roman"/>
                <w:sz w:val="22"/>
              </w:rPr>
            </w:pPr>
          </w:p>
        </w:tc>
        <w:tc>
          <w:tcPr>
            <w:tcW w:w="1878" w:type="dxa"/>
          </w:tcPr>
          <w:p>
            <w:pPr>
              <w:pStyle w:val="TableParagraph"/>
              <w:rPr>
                <w:rFonts w:ascii="Times New Roman"/>
                <w:sz w:val="22"/>
              </w:rPr>
            </w:pPr>
          </w:p>
        </w:tc>
        <w:tc>
          <w:tcPr>
            <w:tcW w:w="1713" w:type="dxa"/>
          </w:tcPr>
          <w:p>
            <w:pPr>
              <w:pStyle w:val="TableParagraph"/>
              <w:rPr>
                <w:rFonts w:ascii="Times New Roman"/>
                <w:sz w:val="22"/>
              </w:rPr>
            </w:pPr>
          </w:p>
        </w:tc>
      </w:tr>
      <w:tr>
        <w:trPr>
          <w:trHeight w:val="315" w:hRule="atLeast"/>
        </w:trPr>
        <w:tc>
          <w:tcPr>
            <w:tcW w:w="991" w:type="dxa"/>
          </w:tcPr>
          <w:p>
            <w:pPr>
              <w:pStyle w:val="TableParagraph"/>
              <w:rPr>
                <w:rFonts w:ascii="Times New Roman"/>
                <w:sz w:val="22"/>
              </w:rPr>
            </w:pPr>
          </w:p>
        </w:tc>
        <w:tc>
          <w:tcPr>
            <w:tcW w:w="2644" w:type="dxa"/>
          </w:tcPr>
          <w:p>
            <w:pPr>
              <w:pStyle w:val="TableParagraph"/>
              <w:rPr>
                <w:rFonts w:ascii="Times New Roman"/>
                <w:sz w:val="22"/>
              </w:rPr>
            </w:pPr>
          </w:p>
        </w:tc>
        <w:tc>
          <w:tcPr>
            <w:tcW w:w="1863" w:type="dxa"/>
          </w:tcPr>
          <w:p>
            <w:pPr>
              <w:pStyle w:val="TableParagraph"/>
              <w:rPr>
                <w:rFonts w:ascii="Times New Roman"/>
                <w:sz w:val="22"/>
              </w:rPr>
            </w:pPr>
          </w:p>
        </w:tc>
        <w:tc>
          <w:tcPr>
            <w:tcW w:w="1878" w:type="dxa"/>
          </w:tcPr>
          <w:p>
            <w:pPr>
              <w:pStyle w:val="TableParagraph"/>
              <w:rPr>
                <w:rFonts w:ascii="Times New Roman"/>
                <w:sz w:val="22"/>
              </w:rPr>
            </w:pPr>
          </w:p>
        </w:tc>
        <w:tc>
          <w:tcPr>
            <w:tcW w:w="1713" w:type="dxa"/>
          </w:tcPr>
          <w:p>
            <w:pPr>
              <w:pStyle w:val="TableParagraph"/>
              <w:rPr>
                <w:rFonts w:ascii="Times New Roman"/>
                <w:sz w:val="22"/>
              </w:rPr>
            </w:pPr>
          </w:p>
        </w:tc>
      </w:tr>
      <w:tr>
        <w:trPr>
          <w:trHeight w:val="300" w:hRule="atLeast"/>
        </w:trPr>
        <w:tc>
          <w:tcPr>
            <w:tcW w:w="991" w:type="dxa"/>
          </w:tcPr>
          <w:p>
            <w:pPr>
              <w:pStyle w:val="TableParagraph"/>
              <w:rPr>
                <w:rFonts w:ascii="Times New Roman"/>
                <w:sz w:val="22"/>
              </w:rPr>
            </w:pPr>
          </w:p>
        </w:tc>
        <w:tc>
          <w:tcPr>
            <w:tcW w:w="2644" w:type="dxa"/>
          </w:tcPr>
          <w:p>
            <w:pPr>
              <w:pStyle w:val="TableParagraph"/>
              <w:rPr>
                <w:rFonts w:ascii="Times New Roman"/>
                <w:sz w:val="22"/>
              </w:rPr>
            </w:pPr>
          </w:p>
        </w:tc>
        <w:tc>
          <w:tcPr>
            <w:tcW w:w="1863" w:type="dxa"/>
          </w:tcPr>
          <w:p>
            <w:pPr>
              <w:pStyle w:val="TableParagraph"/>
              <w:rPr>
                <w:rFonts w:ascii="Times New Roman"/>
                <w:sz w:val="22"/>
              </w:rPr>
            </w:pPr>
          </w:p>
        </w:tc>
        <w:tc>
          <w:tcPr>
            <w:tcW w:w="1878" w:type="dxa"/>
          </w:tcPr>
          <w:p>
            <w:pPr>
              <w:pStyle w:val="TableParagraph"/>
              <w:rPr>
                <w:rFonts w:ascii="Times New Roman"/>
                <w:sz w:val="22"/>
              </w:rPr>
            </w:pPr>
          </w:p>
        </w:tc>
        <w:tc>
          <w:tcPr>
            <w:tcW w:w="1713" w:type="dxa"/>
          </w:tcPr>
          <w:p>
            <w:pPr>
              <w:pStyle w:val="TableParagraph"/>
              <w:rPr>
                <w:rFonts w:ascii="Times New Roman"/>
                <w:sz w:val="22"/>
              </w:rPr>
            </w:pPr>
          </w:p>
        </w:tc>
      </w:tr>
    </w:tbl>
    <w:p>
      <w:pPr>
        <w:spacing w:after="0"/>
        <w:rPr>
          <w:rFonts w:ascii="Times New Roman"/>
          <w:sz w:val="22"/>
        </w:rPr>
        <w:sectPr>
          <w:type w:val="continuous"/>
          <w:pgSz w:w="11910" w:h="16850"/>
          <w:pgMar w:top="1380" w:bottom="280" w:left="1200" w:right="0"/>
        </w:sectPr>
      </w:pPr>
    </w:p>
    <w:p>
      <w:pPr>
        <w:pStyle w:val="BodyText"/>
        <w:rPr>
          <w:sz w:val="20"/>
        </w:rPr>
      </w:pPr>
    </w:p>
    <w:p>
      <w:pPr>
        <w:pStyle w:val="BodyText"/>
        <w:spacing w:before="1"/>
        <w:rPr>
          <w:sz w:val="19"/>
        </w:rPr>
      </w:pPr>
    </w:p>
    <w:p>
      <w:pPr>
        <w:pStyle w:val="Heading2"/>
      </w:pPr>
      <w:r>
        <w:rPr/>
        <w:t>投标总价</w:t>
      </w:r>
    </w:p>
    <w:p>
      <w:pPr>
        <w:pStyle w:val="BodyText"/>
        <w:spacing w:before="6"/>
        <w:rPr>
          <w:rFonts w:ascii="黑体"/>
          <w:sz w:val="35"/>
        </w:rPr>
      </w:pPr>
    </w:p>
    <w:p>
      <w:pPr>
        <w:pStyle w:val="Heading4"/>
        <w:tabs>
          <w:tab w:pos="5032" w:val="left" w:leader="none"/>
          <w:tab w:pos="8229" w:val="left" w:leader="none"/>
        </w:tabs>
        <w:spacing w:before="1"/>
        <w:ind w:left="1833"/>
      </w:pPr>
      <w:r>
        <w:rPr>
          <w:spacing w:val="7"/>
        </w:rPr>
        <w:t>(</w:t>
      </w:r>
      <w:r>
        <w:rPr>
          <w:spacing w:val="15"/>
        </w:rPr>
        <w:t>项目名</w:t>
      </w:r>
      <w:r>
        <w:rPr>
          <w:spacing w:val="14"/>
        </w:rPr>
        <w:t>称</w:t>
      </w:r>
      <w:r>
        <w:rPr>
          <w:spacing w:val="7"/>
        </w:rPr>
        <w:t>)</w:t>
      </w:r>
      <w:r>
        <w:rPr>
          <w:spacing w:val="7"/>
          <w:u w:val="single"/>
        </w:rPr>
        <w:t> </w:t>
        <w:tab/>
      </w:r>
      <w:r>
        <w:rPr>
          <w:spacing w:val="7"/>
        </w:rPr>
        <w:t>(</w:t>
      </w:r>
      <w:r>
        <w:rPr>
          <w:spacing w:val="15"/>
        </w:rPr>
        <w:t>标段名称</w:t>
      </w:r>
      <w:r>
        <w:rPr>
          <w:spacing w:val="7"/>
        </w:rPr>
        <w:t>)</w:t>
      </w:r>
      <w:r>
        <w:rPr>
          <w:u w:val="single"/>
        </w:rPr>
        <w:t> </w:t>
        <w:tab/>
      </w:r>
    </w:p>
    <w:p>
      <w:pPr>
        <w:pStyle w:val="BodyText"/>
        <w:rPr>
          <w:rFonts w:ascii="黑体"/>
          <w:sz w:val="20"/>
        </w:rPr>
      </w:pPr>
    </w:p>
    <w:p>
      <w:pPr>
        <w:pStyle w:val="BodyText"/>
        <w:rPr>
          <w:rFonts w:ascii="黑体"/>
          <w:sz w:val="20"/>
        </w:rPr>
      </w:pPr>
    </w:p>
    <w:p>
      <w:pPr>
        <w:pStyle w:val="BodyText"/>
        <w:spacing w:before="12"/>
        <w:rPr>
          <w:rFonts w:ascii="黑体"/>
          <w:sz w:val="16"/>
        </w:rPr>
      </w:pPr>
      <w:r>
        <w:rPr/>
        <w:pict>
          <v:group style="position:absolute;margin-left:78.170998pt;margin-top:12.836407pt;width:439.3pt;height:432.65pt;mso-position-horizontal-relative:page;mso-position-vertical-relative:paragraph;z-index:-251422720;mso-wrap-distance-left:0;mso-wrap-distance-right:0" coordorigin="1563,257" coordsize="8786,8653">
            <v:shape style="position:absolute;left:1563;top:256;width:8786;height:8653" type="#_x0000_t75" stroked="false">
              <v:imagedata r:id="rId6" o:title=""/>
            </v:shape>
            <v:shape style="position:absolute;left:4145;top:995;width:3459;height:350" type="#_x0000_t202" filled="false" stroked="false">
              <v:textbox inset="0,0,0,0">
                <w:txbxContent>
                  <w:p>
                    <w:pPr>
                      <w:tabs>
                        <w:tab w:pos="3437" w:val="left" w:leader="none"/>
                      </w:tabs>
                      <w:spacing w:line="349" w:lineRule="exact" w:before="0"/>
                      <w:ind w:left="0" w:right="0" w:firstLine="0"/>
                      <w:jc w:val="left"/>
                      <w:rPr>
                        <w:rFonts w:ascii="Times New Roman" w:eastAsia="Times New Roman"/>
                        <w:sz w:val="31"/>
                      </w:rPr>
                    </w:pPr>
                    <w:r>
                      <w:rPr>
                        <w:rFonts w:ascii="黑体" w:eastAsia="黑体" w:hint="eastAsia"/>
                        <w:spacing w:val="15"/>
                        <w:sz w:val="31"/>
                      </w:rPr>
                      <w:t>合同编号</w:t>
                    </w:r>
                    <w:r>
                      <w:rPr>
                        <w:rFonts w:ascii="黑体" w:eastAsia="黑体" w:hint="eastAsia"/>
                        <w:spacing w:val="14"/>
                        <w:sz w:val="31"/>
                      </w:rPr>
                      <w:t>：</w:t>
                    </w:r>
                    <w:r>
                      <w:rPr>
                        <w:rFonts w:ascii="Times New Roman" w:eastAsia="Times New Roman"/>
                        <w:sz w:val="31"/>
                        <w:u w:val="single"/>
                      </w:rPr>
                      <w:t> </w:t>
                      <w:tab/>
                    </w:r>
                  </w:p>
                </w:txbxContent>
              </v:textbox>
              <w10:wrap type="none"/>
            </v:shape>
            <v:shape style="position:absolute;left:2102;top:7732;width:7765;height:511" type="#_x0000_t202" filled="true" fillcolor="#ffffff" stroked="false">
              <v:textbox inset="0,0,0,0">
                <w:txbxContent>
                  <w:p>
                    <w:pPr>
                      <w:tabs>
                        <w:tab w:pos="4460" w:val="left" w:leader="none"/>
                        <w:tab w:pos="7434" w:val="left" w:leader="none"/>
                      </w:tabs>
                      <w:spacing w:before="110"/>
                      <w:ind w:left="0" w:right="0" w:firstLine="0"/>
                      <w:jc w:val="left"/>
                      <w:rPr>
                        <w:rFonts w:ascii="黑体" w:hAnsi="黑体" w:eastAsia="黑体" w:hint="eastAsia"/>
                        <w:sz w:val="31"/>
                      </w:rPr>
                    </w:pPr>
                    <w:r>
                      <w:rPr>
                        <w:rFonts w:ascii="黑体" w:hAnsi="黑体" w:eastAsia="黑体" w:hint="eastAsia"/>
                        <w:spacing w:val="15"/>
                        <w:sz w:val="31"/>
                      </w:rPr>
                      <w:t>投标总价人民</w:t>
                    </w:r>
                    <w:r>
                      <w:rPr>
                        <w:rFonts w:ascii="黑体" w:hAnsi="黑体" w:eastAsia="黑体" w:hint="eastAsia"/>
                        <w:spacing w:val="14"/>
                        <w:sz w:val="31"/>
                      </w:rPr>
                      <w:t>币</w:t>
                    </w:r>
                    <w:r>
                      <w:rPr>
                        <w:rFonts w:ascii="黑体" w:hAnsi="黑体" w:eastAsia="黑体" w:hint="eastAsia"/>
                        <w:spacing w:val="7"/>
                        <w:sz w:val="31"/>
                      </w:rPr>
                      <w:t>(</w:t>
                    </w:r>
                    <w:r>
                      <w:rPr>
                        <w:rFonts w:ascii="黑体" w:hAnsi="黑体" w:eastAsia="黑体" w:hint="eastAsia"/>
                        <w:spacing w:val="15"/>
                        <w:sz w:val="31"/>
                      </w:rPr>
                      <w:t>大</w:t>
                    </w:r>
                    <w:r>
                      <w:rPr>
                        <w:rFonts w:ascii="黑体" w:hAnsi="黑体" w:eastAsia="黑体" w:hint="eastAsia"/>
                        <w:spacing w:val="14"/>
                        <w:sz w:val="31"/>
                      </w:rPr>
                      <w:t>写</w:t>
                    </w:r>
                    <w:r>
                      <w:rPr>
                        <w:rFonts w:ascii="黑体" w:hAnsi="黑体" w:eastAsia="黑体" w:hint="eastAsia"/>
                        <w:spacing w:val="11"/>
                        <w:sz w:val="31"/>
                      </w:rPr>
                      <w:t>)：</w:t>
                    </w:r>
                    <w:r>
                      <w:rPr>
                        <w:rFonts w:ascii="黑体" w:hAnsi="黑体" w:eastAsia="黑体" w:hint="eastAsia"/>
                        <w:spacing w:val="11"/>
                        <w:sz w:val="31"/>
                        <w:u w:val="single"/>
                      </w:rPr>
                      <w:t> </w:t>
                      <w:tab/>
                    </w:r>
                    <w:r>
                      <w:rPr>
                        <w:rFonts w:ascii="黑体" w:hAnsi="黑体" w:eastAsia="黑体" w:hint="eastAsia"/>
                        <w:spacing w:val="15"/>
                        <w:sz w:val="31"/>
                      </w:rPr>
                      <w:t>元（小写</w:t>
                    </w:r>
                    <w:r>
                      <w:rPr>
                        <w:rFonts w:ascii="黑体" w:hAnsi="黑体" w:eastAsia="黑体" w:hint="eastAsia"/>
                        <w:spacing w:val="12"/>
                        <w:sz w:val="31"/>
                      </w:rPr>
                      <w:t>）</w:t>
                    </w:r>
                    <w:r>
                      <w:rPr>
                        <w:spacing w:val="12"/>
                        <w:sz w:val="31"/>
                      </w:rPr>
                      <w:t>¥</w:t>
                    </w:r>
                    <w:r>
                      <w:rPr>
                        <w:rFonts w:ascii="黑体" w:hAnsi="黑体" w:eastAsia="黑体" w:hint="eastAsia"/>
                        <w:spacing w:val="12"/>
                        <w:sz w:val="31"/>
                      </w:rPr>
                      <w:t>：</w:t>
                    </w:r>
                    <w:r>
                      <w:rPr>
                        <w:rFonts w:ascii="黑体" w:hAnsi="黑体" w:eastAsia="黑体" w:hint="eastAsia"/>
                        <w:spacing w:val="12"/>
                        <w:sz w:val="31"/>
                        <w:u w:val="single"/>
                      </w:rPr>
                      <w:t> </w:t>
                      <w:tab/>
                    </w:r>
                    <w:r>
                      <w:rPr>
                        <w:rFonts w:ascii="黑体" w:hAnsi="黑体" w:eastAsia="黑体" w:hint="eastAsia"/>
                        <w:sz w:val="31"/>
                      </w:rPr>
                      <w:t>元</w:t>
                    </w:r>
                  </w:p>
                </w:txbxContent>
              </v:textbox>
              <v:fill type="solid"/>
              <w10:wrap type="none"/>
            </v:shape>
            <w10:wrap type="topAndBottom"/>
          </v:group>
        </w:pict>
      </w:r>
    </w:p>
    <w:p>
      <w:pPr>
        <w:spacing w:after="0"/>
        <w:rPr>
          <w:rFonts w:ascii="黑体"/>
          <w:sz w:val="16"/>
        </w:rPr>
        <w:sectPr>
          <w:pgSz w:w="11910" w:h="16850"/>
          <w:pgMar w:header="911" w:footer="0" w:top="1380" w:bottom="280" w:left="1200" w:right="0"/>
        </w:sectPr>
      </w:pPr>
    </w:p>
    <w:p>
      <w:pPr>
        <w:pStyle w:val="BodyText"/>
        <w:rPr>
          <w:rFonts w:ascii="黑体"/>
          <w:sz w:val="20"/>
        </w:rPr>
      </w:pPr>
    </w:p>
    <w:p>
      <w:pPr>
        <w:pStyle w:val="BodyText"/>
        <w:rPr>
          <w:rFonts w:ascii="黑体"/>
          <w:sz w:val="20"/>
        </w:rPr>
      </w:pPr>
    </w:p>
    <w:p>
      <w:pPr>
        <w:pStyle w:val="BodyText"/>
        <w:spacing w:before="5"/>
        <w:rPr>
          <w:rFonts w:ascii="黑体"/>
          <w:sz w:val="15"/>
        </w:rPr>
      </w:pPr>
    </w:p>
    <w:p>
      <w:pPr>
        <w:spacing w:before="61"/>
        <w:ind w:left="0" w:right="1122" w:firstLine="0"/>
        <w:jc w:val="center"/>
        <w:rPr>
          <w:rFonts w:ascii="黑体" w:eastAsia="黑体" w:hint="eastAsia"/>
          <w:sz w:val="31"/>
        </w:rPr>
      </w:pPr>
      <w:r>
        <w:rPr>
          <w:rFonts w:ascii="黑体" w:eastAsia="黑体" w:hint="eastAsia"/>
          <w:sz w:val="31"/>
        </w:rPr>
        <w:t>工程项目总价表</w:t>
      </w:r>
    </w:p>
    <w:p>
      <w:pPr>
        <w:pStyle w:val="BodyText"/>
        <w:spacing w:before="4"/>
        <w:rPr>
          <w:rFonts w:ascii="黑体"/>
          <w:sz w:val="11"/>
        </w:rPr>
      </w:pPr>
    </w:p>
    <w:p>
      <w:pPr>
        <w:spacing w:before="73"/>
        <w:ind w:left="226" w:right="0" w:firstLine="0"/>
        <w:jc w:val="left"/>
        <w:rPr>
          <w:sz w:val="22"/>
        </w:rPr>
      </w:pPr>
      <w:r>
        <w:rPr>
          <w:sz w:val="22"/>
        </w:rPr>
        <w:t>合同编号：(投标项目合同号) </w:t>
      </w:r>
    </w:p>
    <w:p>
      <w:pPr>
        <w:spacing w:before="184"/>
        <w:ind w:left="226" w:right="0" w:firstLine="0"/>
        <w:jc w:val="left"/>
        <w:rPr>
          <w:sz w:val="22"/>
        </w:rPr>
      </w:pPr>
      <w:r>
        <w:rPr/>
        <w:pict>
          <v:group style="position:absolute;margin-left:71.349998pt;margin-top:52.530445pt;width:446.15pt;height:432.65pt;mso-position-horizontal-relative:page;mso-position-vertical-relative:paragraph;z-index:-268449792" coordorigin="1427,1051" coordsize="8923,8653">
            <v:shape style="position:absolute;left:1563;top:1050;width:8786;height:8653" type="#_x0000_t75" stroked="false">
              <v:imagedata r:id="rId6" o:title=""/>
            </v:shape>
            <v:shape style="position:absolute;left:1427;top:6409;width:5107;height:841" coordorigin="1427,6410" coordsize="5107,841" path="m4957,6874l1427,6874,1427,7250,4957,7250,4957,6874m6534,6410l1427,6410,1427,6785,6534,6785,6534,6410e" filled="true" fillcolor="#ffffff" stroked="false">
              <v:path arrowok="t"/>
              <v:fill type="solid"/>
            </v:shape>
            <v:shape style="position:absolute;left:1427;top:4022;width:125;height:210" type="#_x0000_t202" filled="false" stroked="false">
              <v:textbox inset="0,0,0,0">
                <w:txbxContent>
                  <w:p>
                    <w:pPr>
                      <w:spacing w:line="210" w:lineRule="exact" w:before="0"/>
                      <w:ind w:left="0" w:right="0" w:firstLine="0"/>
                      <w:jc w:val="left"/>
                      <w:rPr>
                        <w:sz w:val="21"/>
                      </w:rPr>
                    </w:pPr>
                    <w:r>
                      <w:rPr>
                        <w:sz w:val="21"/>
                      </w:rPr>
                      <w:t> </w:t>
                    </w:r>
                  </w:p>
                </w:txbxContent>
              </v:textbox>
              <w10:wrap type="none"/>
            </v:shape>
            <v:shape style="position:absolute;left:1427;top:5462;width:6569;height:1760" type="#_x0000_t202" filled="false" stroked="false">
              <v:textbox inset="0,0,0,0">
                <w:txbxContent>
                  <w:p>
                    <w:pPr>
                      <w:spacing w:line="358" w:lineRule="exact" w:before="0"/>
                      <w:ind w:left="2583" w:right="0" w:firstLine="0"/>
                      <w:jc w:val="left"/>
                      <w:rPr>
                        <w:rFonts w:ascii="黑体" w:eastAsia="黑体" w:hint="eastAsia"/>
                        <w:sz w:val="31"/>
                      </w:rPr>
                    </w:pPr>
                    <w:r>
                      <w:rPr>
                        <w:rFonts w:ascii="黑体" w:eastAsia="黑体" w:hint="eastAsia"/>
                        <w:sz w:val="31"/>
                        <w:shd w:fill="FFFFFF" w:color="auto" w:val="clear"/>
                      </w:rPr>
                      <w:t>分组分项工程量清单报价表</w:t>
                    </w:r>
                  </w:p>
                  <w:p>
                    <w:pPr>
                      <w:spacing w:before="203"/>
                      <w:ind w:left="0" w:right="0" w:firstLine="0"/>
                      <w:jc w:val="left"/>
                      <w:rPr>
                        <w:sz w:val="22"/>
                      </w:rPr>
                    </w:pPr>
                    <w:r>
                      <w:rPr>
                        <w:sz w:val="22"/>
                      </w:rPr>
                      <w:t>合同编号：(投标项目合同号) </w:t>
                    </w:r>
                  </w:p>
                  <w:p>
                    <w:pPr>
                      <w:spacing w:line="460" w:lineRule="atLeast" w:before="21"/>
                      <w:ind w:left="0" w:right="1348" w:firstLine="0"/>
                      <w:jc w:val="left"/>
                      <w:rPr>
                        <w:sz w:val="22"/>
                      </w:rPr>
                    </w:pPr>
                    <w:r>
                      <w:rPr>
                        <w:sz w:val="22"/>
                      </w:rPr>
                      <w:t>工程名称：</w:t>
                    </w:r>
                    <w:r>
                      <w:rPr>
                        <w:sz w:val="22"/>
                        <w:u w:val="single"/>
                      </w:rPr>
                      <w:t>       </w:t>
                    </w:r>
                    <w:r>
                      <w:rPr>
                        <w:spacing w:val="1"/>
                        <w:sz w:val="22"/>
                      </w:rPr>
                      <w:t>(项目名称)</w:t>
                    </w:r>
                    <w:r>
                      <w:rPr>
                        <w:spacing w:val="14"/>
                        <w:sz w:val="22"/>
                        <w:u w:val="single"/>
                      </w:rPr>
                      <w:t>       </w:t>
                    </w:r>
                    <w:r>
                      <w:rPr>
                        <w:spacing w:val="1"/>
                        <w:sz w:val="22"/>
                      </w:rPr>
                      <w:t>(标段名称) </w:t>
                    </w:r>
                    <w:r>
                      <w:rPr>
                        <w:sz w:val="22"/>
                      </w:rPr>
                      <w:t>组号：</w:t>
                    </w:r>
                    <w:r>
                      <w:rPr>
                        <w:spacing w:val="108"/>
                        <w:sz w:val="22"/>
                        <w:u w:val="single"/>
                      </w:rPr>
                      <w:t> </w:t>
                    </w:r>
                    <w:r>
                      <w:rPr>
                        <w:sz w:val="22"/>
                      </w:rPr>
                      <w:t>分组名称：</w:t>
                    </w:r>
                    <w:r>
                      <w:rPr>
                        <w:sz w:val="22"/>
                        <w:u w:val="single"/>
                      </w:rPr>
                      <w:t> </w:t>
                    </w:r>
                    <w:r>
                      <w:rPr>
                        <w:spacing w:val="-28"/>
                        <w:sz w:val="22"/>
                        <w:u w:val="single"/>
                      </w:rPr>
                      <w:t> </w:t>
                    </w:r>
                    <w:r>
                      <w:rPr>
                        <w:w w:val="102"/>
                        <w:sz w:val="22"/>
                        <w:u w:val="single"/>
                      </w:rPr>
                      <w:t> </w:t>
                    </w:r>
                    <w:r>
                      <w:rPr>
                        <w:spacing w:val="2"/>
                        <w:sz w:val="22"/>
                        <w:u w:val="single"/>
                      </w:rPr>
                      <w:t> </w:t>
                    </w:r>
                    <w:r>
                      <w:rPr>
                        <w:w w:val="102"/>
                        <w:sz w:val="22"/>
                        <w:u w:val="single"/>
                      </w:rPr>
                      <w:t> </w:t>
                    </w:r>
                    <w:r>
                      <w:rPr>
                        <w:spacing w:val="-13"/>
                        <w:sz w:val="22"/>
                        <w:u w:val="single"/>
                      </w:rPr>
                      <w:t> </w:t>
                    </w:r>
                    <w:r>
                      <w:rPr>
                        <w:w w:val="102"/>
                        <w:sz w:val="22"/>
                        <w:u w:val="single"/>
                      </w:rPr>
                      <w:t> </w:t>
                    </w:r>
                    <w:r>
                      <w:rPr>
                        <w:spacing w:val="3"/>
                        <w:sz w:val="22"/>
                        <w:u w:val="single"/>
                      </w:rPr>
                      <w:t> </w:t>
                    </w:r>
                    <w:r>
                      <w:rPr>
                        <w:w w:val="102"/>
                        <w:sz w:val="22"/>
                      </w:rPr>
                      <w:t> </w:t>
                    </w:r>
                  </w:p>
                </w:txbxContent>
              </v:textbox>
              <w10:wrap type="none"/>
            </v:shape>
            <w10:wrap type="none"/>
          </v:group>
        </w:pict>
      </w:r>
      <w:r>
        <w:rPr>
          <w:sz w:val="22"/>
        </w:rPr>
        <w:t>工程名称：</w:t>
      </w:r>
      <w:r>
        <w:rPr>
          <w:spacing w:val="92"/>
          <w:sz w:val="22"/>
          <w:u w:val="single"/>
        </w:rPr>
        <w:t> </w:t>
      </w:r>
      <w:r>
        <w:rPr>
          <w:spacing w:val="1"/>
          <w:sz w:val="22"/>
        </w:rPr>
        <w:t>(项目名称)</w:t>
      </w:r>
      <w:r>
        <w:rPr>
          <w:spacing w:val="1"/>
          <w:sz w:val="22"/>
          <w:u w:val="single"/>
        </w:rPr>
        <w:t> </w:t>
      </w:r>
      <w:r>
        <w:rPr>
          <w:spacing w:val="1"/>
          <w:sz w:val="22"/>
        </w:rPr>
        <w:t>(标段名称)</w:t>
      </w:r>
      <w:r>
        <w:rPr>
          <w:sz w:val="22"/>
        </w:rPr>
        <w:t> </w:t>
      </w:r>
    </w:p>
    <w:p>
      <w:pPr>
        <w:pStyle w:val="BodyText"/>
        <w:spacing w:before="11"/>
        <w:rPr>
          <w:sz w:val="6"/>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23"/>
        <w:gridCol w:w="2343"/>
        <w:gridCol w:w="2343"/>
        <w:gridCol w:w="2178"/>
      </w:tblGrid>
      <w:tr>
        <w:trPr>
          <w:trHeight w:val="465" w:hRule="atLeast"/>
        </w:trPr>
        <w:tc>
          <w:tcPr>
            <w:tcW w:w="2223" w:type="dxa"/>
          </w:tcPr>
          <w:p>
            <w:pPr>
              <w:pStyle w:val="TableParagraph"/>
              <w:spacing w:before="105"/>
              <w:ind w:left="404" w:right="374"/>
              <w:jc w:val="center"/>
              <w:rPr>
                <w:sz w:val="21"/>
              </w:rPr>
            </w:pPr>
            <w:r>
              <w:rPr>
                <w:sz w:val="21"/>
              </w:rPr>
              <w:t>序号</w:t>
            </w:r>
          </w:p>
        </w:tc>
        <w:tc>
          <w:tcPr>
            <w:tcW w:w="2343" w:type="dxa"/>
          </w:tcPr>
          <w:p>
            <w:pPr>
              <w:pStyle w:val="TableParagraph"/>
              <w:spacing w:before="105"/>
              <w:ind w:left="724" w:right="724"/>
              <w:jc w:val="center"/>
              <w:rPr>
                <w:sz w:val="21"/>
              </w:rPr>
            </w:pPr>
            <w:r>
              <w:rPr>
                <w:sz w:val="21"/>
              </w:rPr>
              <w:t>项目名称</w:t>
            </w:r>
          </w:p>
        </w:tc>
        <w:tc>
          <w:tcPr>
            <w:tcW w:w="2343" w:type="dxa"/>
          </w:tcPr>
          <w:p>
            <w:pPr>
              <w:pStyle w:val="TableParagraph"/>
              <w:spacing w:before="105"/>
              <w:ind w:left="724" w:right="722"/>
              <w:jc w:val="center"/>
              <w:rPr>
                <w:rFonts w:ascii="Calibri" w:eastAsia="Calibri"/>
                <w:sz w:val="21"/>
              </w:rPr>
            </w:pPr>
            <w:r>
              <w:rPr>
                <w:sz w:val="21"/>
              </w:rPr>
              <w:t>金额</w:t>
            </w:r>
            <w:r>
              <w:rPr>
                <w:rFonts w:ascii="Calibri" w:eastAsia="Calibri"/>
                <w:sz w:val="21"/>
              </w:rPr>
              <w:t>(</w:t>
            </w:r>
            <w:r>
              <w:rPr>
                <w:sz w:val="21"/>
              </w:rPr>
              <w:t>元</w:t>
            </w:r>
            <w:r>
              <w:rPr>
                <w:rFonts w:ascii="Calibri" w:eastAsia="Calibri"/>
                <w:sz w:val="21"/>
              </w:rPr>
              <w:t>)</w:t>
            </w:r>
          </w:p>
        </w:tc>
        <w:tc>
          <w:tcPr>
            <w:tcW w:w="2178" w:type="dxa"/>
          </w:tcPr>
          <w:p>
            <w:pPr>
              <w:pStyle w:val="TableParagraph"/>
              <w:spacing w:before="105"/>
              <w:ind w:left="858" w:right="844"/>
              <w:jc w:val="center"/>
              <w:rPr>
                <w:sz w:val="21"/>
              </w:rPr>
            </w:pPr>
            <w:r>
              <w:rPr>
                <w:sz w:val="21"/>
              </w:rPr>
              <w:t>备注</w:t>
            </w: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65" w:hRule="atLeast"/>
        </w:trPr>
        <w:tc>
          <w:tcPr>
            <w:tcW w:w="2223" w:type="dxa"/>
          </w:tcPr>
          <w:p>
            <w:pPr>
              <w:pStyle w:val="TableParagraph"/>
              <w:rPr>
                <w:rFonts w:ascii="Times New Roman"/>
                <w:sz w:val="22"/>
              </w:rPr>
            </w:pPr>
          </w:p>
        </w:tc>
        <w:tc>
          <w:tcPr>
            <w:tcW w:w="2343" w:type="dxa"/>
          </w:tcPr>
          <w:p>
            <w:pPr>
              <w:pStyle w:val="TableParagraph"/>
              <w:rPr>
                <w:rFonts w:ascii="Times New Roman"/>
                <w:sz w:val="22"/>
              </w:rPr>
            </w:pPr>
          </w:p>
        </w:tc>
        <w:tc>
          <w:tcPr>
            <w:tcW w:w="2343" w:type="dxa"/>
          </w:tcPr>
          <w:p>
            <w:pPr>
              <w:pStyle w:val="TableParagraph"/>
              <w:rPr>
                <w:rFonts w:ascii="Times New Roman"/>
                <w:sz w:val="22"/>
              </w:rPr>
            </w:pPr>
          </w:p>
        </w:tc>
        <w:tc>
          <w:tcPr>
            <w:tcW w:w="2178" w:type="dxa"/>
          </w:tcPr>
          <w:p>
            <w:pPr>
              <w:pStyle w:val="TableParagraph"/>
              <w:rPr>
                <w:rFonts w:ascii="Times New Roman"/>
                <w:sz w:val="22"/>
              </w:rPr>
            </w:pPr>
          </w:p>
        </w:tc>
      </w:tr>
      <w:tr>
        <w:trPr>
          <w:trHeight w:val="447" w:hRule="atLeast"/>
        </w:trPr>
        <w:tc>
          <w:tcPr>
            <w:tcW w:w="2223" w:type="dxa"/>
            <w:tcBorders>
              <w:bottom w:val="single" w:sz="8" w:space="0" w:color="000000"/>
            </w:tcBorders>
          </w:tcPr>
          <w:p>
            <w:pPr>
              <w:pStyle w:val="TableParagraph"/>
              <w:rPr>
                <w:rFonts w:ascii="Times New Roman"/>
                <w:sz w:val="22"/>
              </w:rPr>
            </w:pPr>
          </w:p>
        </w:tc>
        <w:tc>
          <w:tcPr>
            <w:tcW w:w="2343" w:type="dxa"/>
            <w:tcBorders>
              <w:bottom w:val="single" w:sz="8" w:space="0" w:color="000000"/>
            </w:tcBorders>
          </w:tcPr>
          <w:p>
            <w:pPr>
              <w:pStyle w:val="TableParagraph"/>
              <w:rPr>
                <w:rFonts w:ascii="Times New Roman"/>
                <w:sz w:val="22"/>
              </w:rPr>
            </w:pPr>
          </w:p>
        </w:tc>
        <w:tc>
          <w:tcPr>
            <w:tcW w:w="2343" w:type="dxa"/>
            <w:tcBorders>
              <w:bottom w:val="single" w:sz="8" w:space="0" w:color="000000"/>
            </w:tcBorders>
          </w:tcPr>
          <w:p>
            <w:pPr>
              <w:pStyle w:val="TableParagraph"/>
              <w:rPr>
                <w:rFonts w:ascii="Times New Roman"/>
                <w:sz w:val="22"/>
              </w:rPr>
            </w:pPr>
          </w:p>
        </w:tc>
        <w:tc>
          <w:tcPr>
            <w:tcW w:w="2178" w:type="dxa"/>
            <w:tcBorders>
              <w:bottom w:val="single" w:sz="8" w:space="0" w:color="000000"/>
            </w:tcBorders>
          </w:tcPr>
          <w:p>
            <w:pPr>
              <w:pStyle w:val="TableParagraph"/>
              <w:rPr>
                <w:rFonts w:ascii="Times New Roman"/>
                <w:sz w:val="22"/>
              </w:rPr>
            </w:pPr>
          </w:p>
        </w:tc>
      </w:tr>
      <w:tr>
        <w:trPr>
          <w:trHeight w:val="462" w:hRule="atLeast"/>
        </w:trPr>
        <w:tc>
          <w:tcPr>
            <w:tcW w:w="2223" w:type="dxa"/>
            <w:tcBorders>
              <w:top w:val="single" w:sz="8" w:space="0" w:color="000000"/>
            </w:tcBorders>
          </w:tcPr>
          <w:p>
            <w:pPr>
              <w:pStyle w:val="TableParagraph"/>
              <w:rPr>
                <w:rFonts w:ascii="Times New Roman"/>
                <w:sz w:val="22"/>
              </w:rPr>
            </w:pPr>
          </w:p>
        </w:tc>
        <w:tc>
          <w:tcPr>
            <w:tcW w:w="2343" w:type="dxa"/>
            <w:tcBorders>
              <w:top w:val="single" w:sz="8" w:space="0" w:color="000000"/>
            </w:tcBorders>
          </w:tcPr>
          <w:p>
            <w:pPr>
              <w:pStyle w:val="TableParagraph"/>
              <w:spacing w:before="102"/>
              <w:ind w:left="724" w:right="722"/>
              <w:jc w:val="center"/>
              <w:rPr>
                <w:rFonts w:ascii="Calibri" w:eastAsia="Calibri"/>
                <w:sz w:val="21"/>
              </w:rPr>
            </w:pPr>
            <w:r>
              <w:rPr>
                <w:sz w:val="21"/>
              </w:rPr>
              <w:t>合计</w:t>
            </w:r>
            <w:r>
              <w:rPr>
                <w:rFonts w:ascii="Calibri" w:eastAsia="Calibri"/>
                <w:sz w:val="21"/>
              </w:rPr>
              <w:t>(A)</w:t>
            </w:r>
          </w:p>
        </w:tc>
        <w:tc>
          <w:tcPr>
            <w:tcW w:w="2343" w:type="dxa"/>
            <w:tcBorders>
              <w:top w:val="single" w:sz="8" w:space="0" w:color="000000"/>
            </w:tcBorders>
          </w:tcPr>
          <w:p>
            <w:pPr>
              <w:pStyle w:val="TableParagraph"/>
              <w:rPr>
                <w:rFonts w:ascii="Times New Roman"/>
                <w:sz w:val="22"/>
              </w:rPr>
            </w:pPr>
          </w:p>
        </w:tc>
        <w:tc>
          <w:tcPr>
            <w:tcW w:w="2178" w:type="dxa"/>
            <w:tcBorders>
              <w:top w:val="single" w:sz="8" w:space="0" w:color="000000"/>
            </w:tcBorders>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after="1"/>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2118"/>
        <w:gridCol w:w="1292"/>
        <w:gridCol w:w="1413"/>
        <w:gridCol w:w="1142"/>
        <w:gridCol w:w="1097"/>
        <w:gridCol w:w="1172"/>
      </w:tblGrid>
      <w:tr>
        <w:trPr>
          <w:trHeight w:val="465" w:hRule="atLeast"/>
        </w:trPr>
        <w:tc>
          <w:tcPr>
            <w:tcW w:w="856" w:type="dxa"/>
          </w:tcPr>
          <w:p>
            <w:pPr>
              <w:pStyle w:val="TableParagraph"/>
              <w:spacing w:before="105"/>
              <w:ind w:left="217"/>
              <w:rPr>
                <w:sz w:val="21"/>
              </w:rPr>
            </w:pPr>
            <w:r>
              <w:rPr>
                <w:sz w:val="21"/>
              </w:rPr>
              <w:t>序号</w:t>
            </w:r>
          </w:p>
        </w:tc>
        <w:tc>
          <w:tcPr>
            <w:tcW w:w="2118" w:type="dxa"/>
          </w:tcPr>
          <w:p>
            <w:pPr>
              <w:pStyle w:val="TableParagraph"/>
              <w:spacing w:before="105"/>
              <w:ind w:left="623"/>
              <w:rPr>
                <w:sz w:val="21"/>
              </w:rPr>
            </w:pPr>
            <w:r>
              <w:rPr>
                <w:sz w:val="21"/>
              </w:rPr>
              <w:t>项目名称</w:t>
            </w:r>
          </w:p>
        </w:tc>
        <w:tc>
          <w:tcPr>
            <w:tcW w:w="1292" w:type="dxa"/>
          </w:tcPr>
          <w:p>
            <w:pPr>
              <w:pStyle w:val="TableParagraph"/>
              <w:spacing w:before="105"/>
              <w:ind w:left="217"/>
              <w:rPr>
                <w:sz w:val="21"/>
              </w:rPr>
            </w:pPr>
            <w:r>
              <w:rPr>
                <w:sz w:val="21"/>
              </w:rPr>
              <w:t>计量单位</w:t>
            </w:r>
          </w:p>
        </w:tc>
        <w:tc>
          <w:tcPr>
            <w:tcW w:w="1413" w:type="dxa"/>
          </w:tcPr>
          <w:p>
            <w:pPr>
              <w:pStyle w:val="TableParagraph"/>
              <w:spacing w:before="105"/>
              <w:ind w:left="277"/>
              <w:rPr>
                <w:sz w:val="21"/>
              </w:rPr>
            </w:pPr>
            <w:r>
              <w:rPr>
                <w:sz w:val="21"/>
              </w:rPr>
              <w:t>工程数量</w:t>
            </w:r>
          </w:p>
        </w:tc>
        <w:tc>
          <w:tcPr>
            <w:tcW w:w="1142" w:type="dxa"/>
          </w:tcPr>
          <w:p>
            <w:pPr>
              <w:pStyle w:val="TableParagraph"/>
              <w:spacing w:before="105"/>
              <w:ind w:left="185"/>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097" w:type="dxa"/>
          </w:tcPr>
          <w:p>
            <w:pPr>
              <w:pStyle w:val="TableParagraph"/>
              <w:spacing w:before="105"/>
              <w:ind w:left="154"/>
              <w:rPr>
                <w:rFonts w:ascii="Calibri" w:eastAsia="Calibri"/>
                <w:sz w:val="21"/>
              </w:rPr>
            </w:pPr>
            <w:r>
              <w:rPr>
                <w:sz w:val="21"/>
              </w:rPr>
              <w:t>合价</w:t>
            </w:r>
            <w:r>
              <w:rPr>
                <w:rFonts w:ascii="Calibri" w:eastAsia="Calibri"/>
                <w:sz w:val="21"/>
              </w:rPr>
              <w:t>(</w:t>
            </w:r>
            <w:r>
              <w:rPr>
                <w:sz w:val="21"/>
              </w:rPr>
              <w:t>元</w:t>
            </w:r>
            <w:r>
              <w:rPr>
                <w:rFonts w:ascii="Calibri" w:eastAsia="Calibri"/>
                <w:sz w:val="21"/>
              </w:rPr>
              <w:t>)</w:t>
            </w:r>
          </w:p>
        </w:tc>
        <w:tc>
          <w:tcPr>
            <w:tcW w:w="1172" w:type="dxa"/>
          </w:tcPr>
          <w:p>
            <w:pPr>
              <w:pStyle w:val="TableParagraph"/>
              <w:spacing w:before="105"/>
              <w:ind w:left="365"/>
              <w:rPr>
                <w:sz w:val="21"/>
              </w:rPr>
            </w:pPr>
            <w:r>
              <w:rPr>
                <w:sz w:val="21"/>
              </w:rPr>
              <w:t>备注</w:t>
            </w: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50"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856" w:type="dxa"/>
          </w:tcPr>
          <w:p>
            <w:pPr>
              <w:pStyle w:val="TableParagraph"/>
              <w:rPr>
                <w:rFonts w:ascii="Times New Roman"/>
                <w:sz w:val="22"/>
              </w:rPr>
            </w:pPr>
          </w:p>
        </w:tc>
        <w:tc>
          <w:tcPr>
            <w:tcW w:w="2118" w:type="dxa"/>
          </w:tcPr>
          <w:p>
            <w:pPr>
              <w:pStyle w:val="TableParagraph"/>
              <w:rPr>
                <w:rFonts w:ascii="Times New Roman"/>
                <w:sz w:val="22"/>
              </w:rPr>
            </w:pP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r>
        <w:trPr>
          <w:trHeight w:val="465" w:hRule="atLeast"/>
        </w:trPr>
        <w:tc>
          <w:tcPr>
            <w:tcW w:w="2974" w:type="dxa"/>
            <w:gridSpan w:val="2"/>
          </w:tcPr>
          <w:p>
            <w:pPr>
              <w:pStyle w:val="TableParagraph"/>
              <w:spacing w:before="105"/>
              <w:ind w:left="232"/>
              <w:rPr>
                <w:sz w:val="21"/>
              </w:rPr>
            </w:pPr>
            <w:r>
              <w:rPr>
                <w:sz w:val="21"/>
              </w:rPr>
              <w:t>合计(汇入工程项目总价表) </w:t>
            </w:r>
          </w:p>
        </w:tc>
        <w:tc>
          <w:tcPr>
            <w:tcW w:w="1292" w:type="dxa"/>
          </w:tcPr>
          <w:p>
            <w:pPr>
              <w:pStyle w:val="TableParagraph"/>
              <w:rPr>
                <w:rFonts w:ascii="Times New Roman"/>
                <w:sz w:val="22"/>
              </w:rPr>
            </w:pPr>
          </w:p>
        </w:tc>
        <w:tc>
          <w:tcPr>
            <w:tcW w:w="1413" w:type="dxa"/>
          </w:tcPr>
          <w:p>
            <w:pPr>
              <w:pStyle w:val="TableParagraph"/>
              <w:rPr>
                <w:rFonts w:ascii="Times New Roman"/>
                <w:sz w:val="22"/>
              </w:rPr>
            </w:pPr>
          </w:p>
        </w:tc>
        <w:tc>
          <w:tcPr>
            <w:tcW w:w="1142" w:type="dxa"/>
          </w:tcPr>
          <w:p>
            <w:pPr>
              <w:pStyle w:val="TableParagraph"/>
              <w:rPr>
                <w:rFonts w:ascii="Times New Roman"/>
                <w:sz w:val="22"/>
              </w:rPr>
            </w:pPr>
          </w:p>
        </w:tc>
        <w:tc>
          <w:tcPr>
            <w:tcW w:w="1097" w:type="dxa"/>
          </w:tcPr>
          <w:p>
            <w:pPr>
              <w:pStyle w:val="TableParagraph"/>
              <w:rPr>
                <w:rFonts w:ascii="Times New Roman"/>
                <w:sz w:val="22"/>
              </w:rPr>
            </w:pPr>
          </w:p>
        </w:tc>
        <w:tc>
          <w:tcPr>
            <w:tcW w:w="1172" w:type="dxa"/>
          </w:tcPr>
          <w:p>
            <w:pPr>
              <w:pStyle w:val="TableParagraph"/>
              <w:rPr>
                <w:rFonts w:ascii="Times New Roman"/>
                <w:sz w:val="22"/>
              </w:rPr>
            </w:pPr>
          </w:p>
        </w:tc>
      </w:tr>
    </w:tbl>
    <w:p>
      <w:pPr>
        <w:spacing w:before="105"/>
        <w:ind w:left="226" w:right="0" w:firstLine="0"/>
        <w:jc w:val="left"/>
        <w:rPr>
          <w:sz w:val="21"/>
        </w:rPr>
      </w:pPr>
      <w:r>
        <w:rPr/>
        <w:pict>
          <v:rect style="position:absolute;margin-left:144.929993pt;margin-top:-191.425003pt;width:42.05pt;height:18.775pt;mso-position-horizontal-relative:page;mso-position-vertical-relative:paragraph;z-index:-268448768" filled="true" fillcolor="#ffffff" stroked="false">
            <v:fill type="solid"/>
            <w10:wrap type="none"/>
          </v:rect>
        </w:pict>
      </w:r>
      <w:r>
        <w:rPr>
          <w:sz w:val="21"/>
        </w:rPr>
        <w:t>    注：工程量清单的项目分组按单位工程或专项工程模式进行分组。</w:t>
      </w:r>
    </w:p>
    <w:p>
      <w:pPr>
        <w:spacing w:after="0"/>
        <w:jc w:val="left"/>
        <w:rPr>
          <w:sz w:val="21"/>
        </w:rPr>
        <w:sectPr>
          <w:pgSz w:w="11910" w:h="16850"/>
          <w:pgMar w:header="911" w:footer="0" w:top="1380" w:bottom="280" w:left="1200" w:right="0"/>
        </w:sectPr>
      </w:pPr>
    </w:p>
    <w:p>
      <w:pPr>
        <w:spacing w:before="150"/>
        <w:ind w:left="226" w:right="0" w:firstLine="0"/>
        <w:jc w:val="both"/>
        <w:rPr>
          <w:sz w:val="21"/>
        </w:rPr>
      </w:pPr>
      <w:r>
        <w:rPr/>
        <w:pict>
          <v:rect style="position:absolute;margin-left:238.800003pt;margin-top:430.875pt;width:42.05pt;height:18.775pt;mso-position-horizontal-relative:page;mso-position-vertical-relative:page;z-index:-268444672" filled="true" fillcolor="#ffffff" stroked="false">
            <v:fill type="solid"/>
            <w10:wrap type="none"/>
          </v:rect>
        </w:pict>
      </w:r>
      <w:r>
        <w:rPr/>
        <w:pict>
          <v:rect style="position:absolute;margin-left:316.899994pt;margin-top:430.875pt;width:42.05pt;height:18.775pt;mso-position-horizontal-relative:page;mso-position-vertical-relative:page;z-index:-268443648" filled="true" fillcolor="#ffffff" stroked="false">
            <v:fill type="solid"/>
            <w10:wrap type="none"/>
          </v:rect>
        </w:pict>
      </w:r>
      <w:r>
        <w:rPr/>
        <w:pict>
          <v:rect style="position:absolute;margin-left:153.199997pt;margin-top:526.205017pt;width:21.025pt;height:18.775pt;mso-position-horizontal-relative:page;mso-position-vertical-relative:page;z-index:-268442624" filled="true" fillcolor="#ffffff" stroked="false">
            <v:fill type="solid"/>
            <w10:wrap type="none"/>
          </v:rect>
        </w:pict>
      </w:r>
      <w:r>
        <w:rPr>
          <w:sz w:val="21"/>
        </w:rPr>
        <w:t>    模式一：按单位工程分组。分组工程量清单报价表中的序号分为四段数字，其分段含意为：</w:t>
      </w:r>
    </w:p>
    <w:p>
      <w:pPr>
        <w:pStyle w:val="BodyText"/>
        <w:spacing w:before="4"/>
        <w:rPr>
          <w:sz w:val="15"/>
        </w:rPr>
      </w:pPr>
    </w:p>
    <w:p>
      <w:pPr>
        <w:spacing w:before="0"/>
        <w:ind w:left="647" w:right="0" w:firstLine="0"/>
        <w:jc w:val="left"/>
        <w:rPr>
          <w:sz w:val="21"/>
        </w:rPr>
      </w:pPr>
      <w:r>
        <w:rPr>
          <w:sz w:val="21"/>
        </w:rPr>
        <w:t>□第一段——□第二段——□第三段——□第四段</w:t>
      </w:r>
    </w:p>
    <w:p>
      <w:pPr>
        <w:pStyle w:val="BodyText"/>
        <w:spacing w:before="4"/>
        <w:rPr>
          <w:sz w:val="15"/>
        </w:rPr>
      </w:pPr>
    </w:p>
    <w:p>
      <w:pPr>
        <w:spacing w:line="415" w:lineRule="auto" w:before="0"/>
        <w:ind w:left="226" w:right="1341" w:firstLine="0"/>
        <w:jc w:val="both"/>
        <w:rPr>
          <w:sz w:val="21"/>
        </w:rPr>
      </w:pPr>
      <w:r>
        <w:rPr/>
        <w:pict>
          <v:group style="position:absolute;margin-left:71.349998pt;margin-top:65.300003pt;width:463.35pt;height:449.2pt;mso-position-horizontal-relative:page;mso-position-vertical-relative:paragraph;z-index:-268445696" coordorigin="1427,1306" coordsize="9267,8984">
            <v:shape style="position:absolute;left:1563;top:1637;width:8786;height:8653" type="#_x0000_t75" stroked="false">
              <v:imagedata r:id="rId6" o:title=""/>
            </v:shape>
            <v:shape style="position:absolute;left:1427;top:1306;width:9132;height:4744" coordorigin="1427,1306" coordsize="9132,4744" path="m6534,5674l1427,5674,1427,6050,6534,6050,6534,5674m10558,3648l1427,3648,1427,4023,10558,4023,10558,3648m10558,3168l1427,3168,1427,3558,10558,3558,10558,3168m10558,2702l1427,2702,1427,3078,10558,3078,10558,2702m10558,1306l1427,1306,1427,1681,10558,1681,10558,1306e" filled="true" fillcolor="#ffffff" stroked="false">
              <v:path arrowok="t"/>
              <v:fill type="solid"/>
            </v:shape>
            <v:shape style="position:absolute;left:1427;top:1440;width:9267;height:2553" type="#_x0000_t202" filled="false" stroked="false">
              <v:textbox inset="0,0,0,0">
                <w:txbxContent>
                  <w:p>
                    <w:pPr>
                      <w:spacing w:line="240" w:lineRule="exact" w:before="0"/>
                      <w:ind w:left="0" w:right="0" w:firstLine="0"/>
                      <w:jc w:val="left"/>
                      <w:rPr>
                        <w:sz w:val="21"/>
                      </w:rPr>
                    </w:pPr>
                    <w:r>
                      <w:rPr>
                        <w:sz w:val="21"/>
                      </w:rPr>
                      <w:t>    模式二：按技术标准和要求</w:t>
                    </w:r>
                    <w:r>
                      <w:rPr>
                        <w:rFonts w:ascii="Calibri" w:eastAsia="Calibri"/>
                        <w:sz w:val="21"/>
                      </w:rPr>
                      <w:t>(</w:t>
                    </w:r>
                    <w:r>
                      <w:rPr>
                        <w:sz w:val="21"/>
                      </w:rPr>
                      <w:t>合同技术条款</w:t>
                    </w:r>
                    <w:r>
                      <w:rPr>
                        <w:rFonts w:ascii="Calibri" w:eastAsia="Calibri"/>
                        <w:sz w:val="21"/>
                      </w:rPr>
                      <w:t>)</w:t>
                    </w:r>
                    <w:r>
                      <w:rPr>
                        <w:sz w:val="21"/>
                      </w:rPr>
                      <w:t>各章的专项工程进行分组。分组工程量清单报价表中</w:t>
                    </w:r>
                  </w:p>
                  <w:p>
                    <w:pPr>
                      <w:spacing w:before="196"/>
                      <w:ind w:left="0" w:right="0" w:firstLine="0"/>
                      <w:jc w:val="left"/>
                      <w:rPr>
                        <w:sz w:val="21"/>
                      </w:rPr>
                    </w:pPr>
                    <w:r>
                      <w:rPr>
                        <w:sz w:val="21"/>
                      </w:rPr>
                      <w:t>的序号分为四段数字，其分段含意为：</w:t>
                    </w:r>
                  </w:p>
                  <w:p>
                    <w:pPr>
                      <w:spacing w:line="240" w:lineRule="auto" w:before="4"/>
                      <w:rPr>
                        <w:sz w:val="15"/>
                      </w:rPr>
                    </w:pPr>
                  </w:p>
                  <w:p>
                    <w:pPr>
                      <w:spacing w:before="0"/>
                      <w:ind w:left="420" w:right="0" w:firstLine="0"/>
                      <w:jc w:val="left"/>
                      <w:rPr>
                        <w:sz w:val="21"/>
                      </w:rPr>
                    </w:pPr>
                    <w:r>
                      <w:rPr>
                        <w:sz w:val="21"/>
                      </w:rPr>
                      <w:t>□第一段———□第二段———□第三段———□第四段</w:t>
                    </w:r>
                  </w:p>
                  <w:p>
                    <w:pPr>
                      <w:spacing w:line="240" w:lineRule="auto" w:before="5"/>
                      <w:rPr>
                        <w:sz w:val="15"/>
                      </w:rPr>
                    </w:pPr>
                  </w:p>
                  <w:p>
                    <w:pPr>
                      <w:spacing w:line="415" w:lineRule="auto" w:before="0"/>
                      <w:ind w:left="0" w:right="25" w:firstLine="0"/>
                      <w:jc w:val="left"/>
                      <w:rPr>
                        <w:sz w:val="21"/>
                      </w:rPr>
                    </w:pPr>
                    <w:r>
                      <w:rPr>
                        <w:sz w:val="21"/>
                      </w:rPr>
                      <w:t>    </w:t>
                    </w:r>
                    <w:r>
                      <w:rPr>
                        <w:spacing w:val="-12"/>
                        <w:sz w:val="21"/>
                      </w:rPr>
                      <w:t>第一段数字为分组号，代表专项工程序号，与技术标准和要求</w:t>
                    </w:r>
                    <w:r>
                      <w:rPr>
                        <w:rFonts w:ascii="Calibri" w:eastAsia="Calibri"/>
                        <w:spacing w:val="-4"/>
                        <w:sz w:val="21"/>
                      </w:rPr>
                      <w:t>(</w:t>
                    </w:r>
                    <w:r>
                      <w:rPr>
                        <w:spacing w:val="2"/>
                        <w:sz w:val="21"/>
                      </w:rPr>
                      <w:t>合同技术条款</w:t>
                    </w:r>
                    <w:r>
                      <w:rPr>
                        <w:rFonts w:ascii="Calibri" w:eastAsia="Calibri"/>
                        <w:spacing w:val="-4"/>
                        <w:sz w:val="21"/>
                      </w:rPr>
                      <w:t>)</w:t>
                    </w:r>
                    <w:r>
                      <w:rPr>
                        <w:sz w:val="21"/>
                      </w:rPr>
                      <w:t>中各章的章号一致； </w:t>
                    </w:r>
                    <w:r>
                      <w:rPr>
                        <w:spacing w:val="-1"/>
                        <w:sz w:val="21"/>
                      </w:rPr>
                      <w:t>第二段数字为单位工程序号，同一单位工程在各分组工程量清单报价表中序号的第二段数字相同；</w:t>
                    </w:r>
                  </w:p>
                  <w:p>
                    <w:pPr>
                      <w:spacing w:line="240" w:lineRule="exact" w:before="14"/>
                      <w:ind w:left="0" w:right="0" w:firstLine="0"/>
                      <w:jc w:val="left"/>
                      <w:rPr>
                        <w:sz w:val="21"/>
                      </w:rPr>
                    </w:pPr>
                    <w:r>
                      <w:rPr>
                        <w:sz w:val="21"/>
                      </w:rPr>
                      <w:t>第三段数字为该单位工程下属的子项序号；第四段数字为第三段数字所指工程子项的下属孙项序号。</w:t>
                    </w:r>
                  </w:p>
                </w:txbxContent>
              </v:textbox>
              <w10:wrap type="none"/>
            </v:shape>
            <v:shape style="position:absolute;left:1427;top:4728;width:5908;height:1294" type="#_x0000_t202" filled="false" stroked="false">
              <v:textbox inset="0,0,0,0">
                <w:txbxContent>
                  <w:p>
                    <w:pPr>
                      <w:spacing w:line="358" w:lineRule="exact" w:before="0"/>
                      <w:ind w:left="3244" w:right="0" w:firstLine="0"/>
                      <w:jc w:val="left"/>
                      <w:rPr>
                        <w:rFonts w:ascii="黑体" w:eastAsia="黑体" w:hint="eastAsia"/>
                        <w:sz w:val="31"/>
                      </w:rPr>
                    </w:pPr>
                    <w:r>
                      <w:rPr>
                        <w:rFonts w:ascii="黑体" w:eastAsia="黑体" w:hint="eastAsia"/>
                        <w:sz w:val="31"/>
                        <w:shd w:fill="FFFFFF" w:color="auto" w:val="clear"/>
                      </w:rPr>
                      <w:t>计日工项目价报表</w:t>
                    </w:r>
                  </w:p>
                  <w:p>
                    <w:pPr>
                      <w:spacing w:before="218"/>
                      <w:ind w:left="0" w:right="0" w:firstLine="0"/>
                      <w:jc w:val="left"/>
                      <w:rPr>
                        <w:sz w:val="22"/>
                      </w:rPr>
                    </w:pPr>
                    <w:r>
                      <w:rPr>
                        <w:sz w:val="22"/>
                      </w:rPr>
                      <w:t>合同编号：(投标项目合同号) </w:t>
                    </w:r>
                  </w:p>
                  <w:p>
                    <w:pPr>
                      <w:spacing w:line="252" w:lineRule="exact" w:before="183"/>
                      <w:ind w:left="0" w:right="0" w:firstLine="0"/>
                      <w:jc w:val="left"/>
                      <w:rPr>
                        <w:sz w:val="22"/>
                      </w:rPr>
                    </w:pPr>
                    <w:r>
                      <w:rPr>
                        <w:sz w:val="22"/>
                      </w:rPr>
                      <w:t>工程名称：</w:t>
                    </w:r>
                    <w:r>
                      <w:rPr>
                        <w:spacing w:val="108"/>
                        <w:sz w:val="22"/>
                        <w:u w:val="single"/>
                      </w:rPr>
                      <w:t> </w:t>
                    </w:r>
                    <w:r>
                      <w:rPr>
                        <w:spacing w:val="1"/>
                        <w:sz w:val="22"/>
                      </w:rPr>
                      <w:t>(项目名称)</w:t>
                    </w:r>
                    <w:r>
                      <w:rPr>
                        <w:spacing w:val="1"/>
                        <w:sz w:val="22"/>
                        <w:u w:val="single"/>
                      </w:rPr>
                      <w:t> </w:t>
                    </w:r>
                    <w:r>
                      <w:rPr>
                        <w:spacing w:val="1"/>
                        <w:sz w:val="22"/>
                      </w:rPr>
                      <w:t>(标段名称)</w:t>
                    </w:r>
                    <w:r>
                      <w:rPr>
                        <w:sz w:val="22"/>
                      </w:rPr>
                      <w:t> </w:t>
                    </w:r>
                  </w:p>
                </w:txbxContent>
              </v:textbox>
              <w10:wrap type="none"/>
            </v:shape>
            <w10:wrap type="none"/>
          </v:group>
        </w:pict>
      </w:r>
      <w:r>
        <w:rPr>
          <w:sz w:val="21"/>
        </w:rPr>
        <w:t>    第一段数字为分组号，代表单位工程序号；第二段数字为专业工程序号，与技术标准和要求</w:t>
      </w:r>
      <w:r>
        <w:rPr>
          <w:rFonts w:ascii="Calibri" w:eastAsia="Calibri"/>
          <w:sz w:val="21"/>
        </w:rPr>
        <w:t>(</w:t>
      </w:r>
      <w:r>
        <w:rPr>
          <w:sz w:val="21"/>
        </w:rPr>
        <w:t>合同技术条款</w:t>
      </w:r>
      <w:r>
        <w:rPr>
          <w:rFonts w:ascii="Calibri" w:eastAsia="Calibri"/>
          <w:sz w:val="21"/>
        </w:rPr>
        <w:t>)</w:t>
      </w:r>
      <w:r>
        <w:rPr>
          <w:sz w:val="21"/>
        </w:rPr>
        <w:t>的章号相一致；第三段数字为该专业工程下属的子项序号；第四段数字为第三段数字所指工程子项的下属孙项序号。</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0"/>
        </w:rPr>
      </w:pPr>
    </w:p>
    <w:tbl>
      <w:tblPr>
        <w:tblW w:w="0" w:type="auto"/>
        <w:jc w:val="left"/>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60"/>
        <w:gridCol w:w="345"/>
        <w:gridCol w:w="2298"/>
        <w:gridCol w:w="1562"/>
        <w:gridCol w:w="1562"/>
        <w:gridCol w:w="1562"/>
        <w:gridCol w:w="1397"/>
      </w:tblGrid>
      <w:tr>
        <w:trPr>
          <w:trHeight w:val="465" w:hRule="atLeast"/>
        </w:trPr>
        <w:tc>
          <w:tcPr>
            <w:tcW w:w="705" w:type="dxa"/>
            <w:gridSpan w:val="2"/>
          </w:tcPr>
          <w:p>
            <w:pPr>
              <w:pStyle w:val="TableParagraph"/>
              <w:spacing w:before="105"/>
              <w:ind w:left="142"/>
              <w:rPr>
                <w:sz w:val="21"/>
              </w:rPr>
            </w:pPr>
            <w:r>
              <w:rPr>
                <w:sz w:val="21"/>
              </w:rPr>
              <w:t>序号</w:t>
            </w:r>
          </w:p>
        </w:tc>
        <w:tc>
          <w:tcPr>
            <w:tcW w:w="2298" w:type="dxa"/>
          </w:tcPr>
          <w:p>
            <w:pPr>
              <w:pStyle w:val="TableParagraph"/>
              <w:spacing w:before="105"/>
              <w:ind w:left="170" w:right="153"/>
              <w:jc w:val="center"/>
              <w:rPr>
                <w:sz w:val="21"/>
              </w:rPr>
            </w:pPr>
            <w:r>
              <w:rPr>
                <w:sz w:val="21"/>
              </w:rPr>
              <w:t>名称</w:t>
            </w:r>
          </w:p>
        </w:tc>
        <w:tc>
          <w:tcPr>
            <w:tcW w:w="1562" w:type="dxa"/>
          </w:tcPr>
          <w:p>
            <w:pPr>
              <w:pStyle w:val="TableParagraph"/>
              <w:spacing w:before="105"/>
              <w:ind w:left="353"/>
              <w:rPr>
                <w:sz w:val="21"/>
              </w:rPr>
            </w:pPr>
            <w:r>
              <w:rPr>
                <w:sz w:val="21"/>
              </w:rPr>
              <w:t>型号规格</w:t>
            </w:r>
          </w:p>
        </w:tc>
        <w:tc>
          <w:tcPr>
            <w:tcW w:w="1562" w:type="dxa"/>
          </w:tcPr>
          <w:p>
            <w:pPr>
              <w:pStyle w:val="TableParagraph"/>
              <w:spacing w:before="105"/>
              <w:ind w:left="353"/>
              <w:rPr>
                <w:sz w:val="21"/>
              </w:rPr>
            </w:pPr>
            <w:r>
              <w:rPr>
                <w:sz w:val="21"/>
              </w:rPr>
              <w:t>计量单位</w:t>
            </w:r>
          </w:p>
        </w:tc>
        <w:tc>
          <w:tcPr>
            <w:tcW w:w="1562" w:type="dxa"/>
          </w:tcPr>
          <w:p>
            <w:pPr>
              <w:pStyle w:val="TableParagraph"/>
              <w:spacing w:before="105"/>
              <w:ind w:left="398"/>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397" w:type="dxa"/>
          </w:tcPr>
          <w:p>
            <w:pPr>
              <w:pStyle w:val="TableParagraph"/>
              <w:spacing w:before="105"/>
              <w:ind w:left="244" w:right="228"/>
              <w:jc w:val="center"/>
              <w:rPr>
                <w:sz w:val="21"/>
              </w:rPr>
            </w:pPr>
            <w:r>
              <w:rPr>
                <w:sz w:val="21"/>
              </w:rPr>
              <w:t>备注</w:t>
            </w:r>
          </w:p>
        </w:tc>
      </w:tr>
      <w:tr>
        <w:trPr>
          <w:trHeight w:val="465" w:hRule="atLeast"/>
        </w:trPr>
        <w:tc>
          <w:tcPr>
            <w:tcW w:w="705" w:type="dxa"/>
            <w:gridSpan w:val="2"/>
          </w:tcPr>
          <w:p>
            <w:pPr>
              <w:pStyle w:val="TableParagraph"/>
              <w:spacing w:before="85"/>
              <w:ind w:left="31"/>
              <w:jc w:val="center"/>
              <w:rPr>
                <w:rFonts w:ascii="Calibri"/>
                <w:sz w:val="21"/>
              </w:rPr>
            </w:pPr>
            <w:r>
              <w:rPr>
                <w:rFonts w:ascii="Calibri"/>
                <w:sz w:val="21"/>
              </w:rPr>
              <w:t>1</w:t>
            </w:r>
          </w:p>
        </w:tc>
        <w:tc>
          <w:tcPr>
            <w:tcW w:w="2298" w:type="dxa"/>
          </w:tcPr>
          <w:p>
            <w:pPr>
              <w:pStyle w:val="TableParagraph"/>
              <w:spacing w:before="90"/>
              <w:ind w:left="170" w:right="153"/>
              <w:jc w:val="center"/>
              <w:rPr>
                <w:sz w:val="21"/>
              </w:rPr>
            </w:pPr>
            <w:r>
              <w:rPr>
                <w:sz w:val="21"/>
              </w:rPr>
              <w:t>人工</w:t>
            </w: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gridSpan w:val="2"/>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50" w:hRule="atLeast"/>
        </w:trPr>
        <w:tc>
          <w:tcPr>
            <w:tcW w:w="705" w:type="dxa"/>
            <w:gridSpan w:val="2"/>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gridSpan w:val="2"/>
          </w:tcPr>
          <w:p>
            <w:pPr>
              <w:pStyle w:val="TableParagraph"/>
              <w:spacing w:before="100"/>
              <w:ind w:left="31"/>
              <w:jc w:val="center"/>
              <w:rPr>
                <w:rFonts w:ascii="Calibri"/>
                <w:sz w:val="21"/>
              </w:rPr>
            </w:pPr>
            <w:r>
              <w:rPr>
                <w:rFonts w:ascii="Calibri"/>
                <w:sz w:val="21"/>
              </w:rPr>
              <w:t>2</w:t>
            </w:r>
          </w:p>
        </w:tc>
        <w:tc>
          <w:tcPr>
            <w:tcW w:w="2298" w:type="dxa"/>
          </w:tcPr>
          <w:p>
            <w:pPr>
              <w:pStyle w:val="TableParagraph"/>
              <w:spacing w:before="105"/>
              <w:ind w:left="170" w:right="153"/>
              <w:jc w:val="center"/>
              <w:rPr>
                <w:sz w:val="21"/>
              </w:rPr>
            </w:pPr>
            <w:r>
              <w:rPr>
                <w:sz w:val="21"/>
              </w:rPr>
              <w:t>材料</w:t>
            </w: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gridSpan w:val="2"/>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705" w:type="dxa"/>
            <w:gridSpan w:val="2"/>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65" w:hRule="atLeast"/>
        </w:trPr>
        <w:tc>
          <w:tcPr>
            <w:tcW w:w="360" w:type="dxa"/>
            <w:tcBorders>
              <w:right w:val="single" w:sz="48" w:space="0" w:color="FFFFFF"/>
            </w:tcBorders>
          </w:tcPr>
          <w:p>
            <w:pPr>
              <w:pStyle w:val="TableParagraph"/>
              <w:rPr>
                <w:rFonts w:ascii="Times New Roman"/>
                <w:sz w:val="20"/>
              </w:rPr>
            </w:pPr>
          </w:p>
        </w:tc>
        <w:tc>
          <w:tcPr>
            <w:tcW w:w="345" w:type="dxa"/>
            <w:tcBorders>
              <w:left w:val="single" w:sz="48" w:space="0" w:color="FFFFFF"/>
            </w:tcBorders>
          </w:tcPr>
          <w:p>
            <w:pPr>
              <w:pStyle w:val="TableParagraph"/>
              <w:spacing w:before="100"/>
              <w:ind w:left="-105"/>
              <w:rPr>
                <w:rFonts w:ascii="Calibri"/>
                <w:sz w:val="21"/>
              </w:rPr>
            </w:pPr>
            <w:r>
              <w:rPr>
                <w:rFonts w:ascii="Calibri"/>
                <w:sz w:val="21"/>
              </w:rPr>
              <w:t>3</w:t>
            </w:r>
          </w:p>
        </w:tc>
        <w:tc>
          <w:tcPr>
            <w:tcW w:w="2298" w:type="dxa"/>
          </w:tcPr>
          <w:p>
            <w:pPr>
              <w:pStyle w:val="TableParagraph"/>
              <w:spacing w:before="105"/>
              <w:ind w:left="170" w:right="153"/>
              <w:jc w:val="center"/>
              <w:rPr>
                <w:sz w:val="21"/>
              </w:rPr>
            </w:pPr>
            <w:r>
              <w:rPr>
                <w:sz w:val="21"/>
              </w:rPr>
              <w:t>机械</w:t>
            </w: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r>
        <w:trPr>
          <w:trHeight w:val="450" w:hRule="atLeast"/>
        </w:trPr>
        <w:tc>
          <w:tcPr>
            <w:tcW w:w="705" w:type="dxa"/>
            <w:gridSpan w:val="2"/>
          </w:tcPr>
          <w:p>
            <w:pPr>
              <w:pStyle w:val="TableParagraph"/>
              <w:rPr>
                <w:rFonts w:ascii="Times New Roman"/>
                <w:sz w:val="20"/>
              </w:rPr>
            </w:pPr>
          </w:p>
        </w:tc>
        <w:tc>
          <w:tcPr>
            <w:tcW w:w="2298"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562" w:type="dxa"/>
          </w:tcPr>
          <w:p>
            <w:pPr>
              <w:pStyle w:val="TableParagraph"/>
              <w:rPr>
                <w:rFonts w:ascii="Times New Roman"/>
                <w:sz w:val="20"/>
              </w:rPr>
            </w:pPr>
          </w:p>
        </w:tc>
        <w:tc>
          <w:tcPr>
            <w:tcW w:w="1397" w:type="dxa"/>
          </w:tcPr>
          <w:p>
            <w:pPr>
              <w:pStyle w:val="TableParagraph"/>
              <w:rPr>
                <w:rFonts w:ascii="Times New Roman"/>
                <w:sz w:val="20"/>
              </w:rPr>
            </w:pPr>
          </w:p>
        </w:tc>
      </w:tr>
    </w:tbl>
    <w:p>
      <w:pPr>
        <w:spacing w:after="0"/>
        <w:rPr>
          <w:rFonts w:ascii="Times New Roman"/>
          <w:sz w:val="20"/>
        </w:rPr>
        <w:sectPr>
          <w:pgSz w:w="11910" w:h="16850"/>
          <w:pgMar w:header="911" w:footer="0" w:top="1380" w:bottom="280" w:left="1200" w:right="0"/>
        </w:sectPr>
      </w:pPr>
    </w:p>
    <w:p>
      <w:pPr>
        <w:pStyle w:val="BodyText"/>
        <w:rPr>
          <w:sz w:val="23"/>
        </w:rPr>
      </w:pPr>
    </w:p>
    <w:p>
      <w:pPr>
        <w:spacing w:after="0"/>
        <w:rPr>
          <w:sz w:val="23"/>
        </w:rPr>
        <w:sectPr>
          <w:headerReference w:type="default" r:id="rId33"/>
          <w:pgSz w:w="16850" w:h="11910" w:orient="landscape"/>
          <w:pgMar w:header="912" w:footer="0" w:top="1180" w:bottom="280" w:left="1300" w:right="1180"/>
        </w:sectPr>
      </w:pPr>
    </w:p>
    <w:p>
      <w:pPr>
        <w:pStyle w:val="BodyText"/>
      </w:pPr>
    </w:p>
    <w:p>
      <w:pPr>
        <w:pStyle w:val="BodyText"/>
        <w:spacing w:before="3"/>
        <w:rPr>
          <w:sz w:val="20"/>
        </w:rPr>
      </w:pPr>
    </w:p>
    <w:p>
      <w:pPr>
        <w:pStyle w:val="BodyText"/>
        <w:ind w:left="125"/>
      </w:pPr>
      <w:r>
        <w:rPr/>
        <w:t>合同编号：(投标项目合同号) </w:t>
      </w:r>
    </w:p>
    <w:p>
      <w:pPr>
        <w:pStyle w:val="BodyText"/>
        <w:spacing w:before="8"/>
        <w:ind w:left="125"/>
      </w:pPr>
      <w:r>
        <w:rPr/>
        <w:t>工程名称：</w:t>
      </w:r>
      <w:r>
        <w:rPr>
          <w:spacing w:val="115"/>
          <w:u w:val="single"/>
        </w:rPr>
        <w:t> </w:t>
      </w:r>
      <w:r>
        <w:rPr/>
        <w:t>(项目名称)</w:t>
      </w:r>
      <w:r>
        <w:rPr>
          <w:spacing w:val="115"/>
          <w:u w:val="single"/>
        </w:rPr>
        <w:t> </w:t>
      </w:r>
      <w:r>
        <w:rPr/>
        <w:t>(标段名称) </w:t>
      </w:r>
    </w:p>
    <w:p>
      <w:pPr>
        <w:pStyle w:val="Heading4"/>
        <w:ind w:left="95"/>
      </w:pPr>
      <w:r>
        <w:rPr/>
        <w:br w:type="column"/>
      </w:r>
      <w:r>
        <w:rPr/>
        <w:t>工程单价汇总表</w:t>
      </w:r>
    </w:p>
    <w:p>
      <w:pPr>
        <w:spacing w:after="0"/>
        <w:sectPr>
          <w:type w:val="continuous"/>
          <w:pgSz w:w="16850" w:h="11910" w:orient="landscape"/>
          <w:pgMar w:top="1380" w:bottom="280" w:left="1300" w:right="1180"/>
          <w:cols w:num="2" w:equalWidth="0">
            <w:col w:w="5772" w:space="40"/>
            <w:col w:w="8558"/>
          </w:cols>
        </w:sect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1411"/>
        <w:gridCol w:w="1141"/>
        <w:gridCol w:w="856"/>
        <w:gridCol w:w="991"/>
        <w:gridCol w:w="1561"/>
        <w:gridCol w:w="1382"/>
        <w:gridCol w:w="1186"/>
        <w:gridCol w:w="262"/>
        <w:gridCol w:w="630"/>
        <w:gridCol w:w="293"/>
        <w:gridCol w:w="1186"/>
        <w:gridCol w:w="1186"/>
        <w:gridCol w:w="1111"/>
      </w:tblGrid>
      <w:tr>
        <w:trPr>
          <w:trHeight w:val="300" w:hRule="atLeast"/>
        </w:trPr>
        <w:tc>
          <w:tcPr>
            <w:tcW w:w="856" w:type="dxa"/>
          </w:tcPr>
          <w:p>
            <w:pPr>
              <w:pStyle w:val="TableParagraph"/>
              <w:ind w:left="198" w:right="183"/>
              <w:jc w:val="center"/>
              <w:rPr>
                <w:sz w:val="21"/>
              </w:rPr>
            </w:pPr>
            <w:r>
              <w:rPr>
                <w:sz w:val="21"/>
              </w:rPr>
              <w:t>序号</w:t>
            </w:r>
          </w:p>
        </w:tc>
        <w:tc>
          <w:tcPr>
            <w:tcW w:w="1411" w:type="dxa"/>
          </w:tcPr>
          <w:p>
            <w:pPr>
              <w:pStyle w:val="TableParagraph"/>
              <w:ind w:left="214" w:right="214"/>
              <w:jc w:val="center"/>
              <w:rPr>
                <w:sz w:val="21"/>
              </w:rPr>
            </w:pPr>
            <w:r>
              <w:rPr>
                <w:sz w:val="21"/>
              </w:rPr>
              <w:t>项目名称</w:t>
            </w:r>
          </w:p>
        </w:tc>
        <w:tc>
          <w:tcPr>
            <w:tcW w:w="1141" w:type="dxa"/>
          </w:tcPr>
          <w:p>
            <w:pPr>
              <w:pStyle w:val="TableParagraph"/>
              <w:ind w:left="143"/>
              <w:rPr>
                <w:sz w:val="21"/>
              </w:rPr>
            </w:pPr>
            <w:r>
              <w:rPr>
                <w:sz w:val="21"/>
              </w:rPr>
              <w:t>计量单位</w:t>
            </w:r>
          </w:p>
        </w:tc>
        <w:tc>
          <w:tcPr>
            <w:tcW w:w="856" w:type="dxa"/>
          </w:tcPr>
          <w:p>
            <w:pPr>
              <w:pStyle w:val="TableParagraph"/>
              <w:ind w:left="113"/>
              <w:rPr>
                <w:sz w:val="21"/>
              </w:rPr>
            </w:pPr>
            <w:r>
              <w:rPr>
                <w:sz w:val="21"/>
              </w:rPr>
              <w:t>人工费</w:t>
            </w:r>
          </w:p>
        </w:tc>
        <w:tc>
          <w:tcPr>
            <w:tcW w:w="991" w:type="dxa"/>
          </w:tcPr>
          <w:p>
            <w:pPr>
              <w:pStyle w:val="TableParagraph"/>
              <w:ind w:left="172"/>
              <w:rPr>
                <w:sz w:val="21"/>
              </w:rPr>
            </w:pPr>
            <w:r>
              <w:rPr>
                <w:sz w:val="21"/>
              </w:rPr>
              <w:t>材料费</w:t>
            </w:r>
          </w:p>
        </w:tc>
        <w:tc>
          <w:tcPr>
            <w:tcW w:w="1561" w:type="dxa"/>
          </w:tcPr>
          <w:p>
            <w:pPr>
              <w:pStyle w:val="TableParagraph"/>
              <w:ind w:left="247"/>
              <w:rPr>
                <w:sz w:val="21"/>
              </w:rPr>
            </w:pPr>
            <w:r>
              <w:rPr>
                <w:sz w:val="21"/>
              </w:rPr>
              <w:t>机械使用费</w:t>
            </w:r>
          </w:p>
        </w:tc>
        <w:tc>
          <w:tcPr>
            <w:tcW w:w="1382" w:type="dxa"/>
          </w:tcPr>
          <w:p>
            <w:pPr>
              <w:pStyle w:val="TableParagraph"/>
              <w:ind w:left="158"/>
              <w:rPr>
                <w:sz w:val="21"/>
              </w:rPr>
            </w:pPr>
            <w:r>
              <w:rPr>
                <w:sz w:val="21"/>
              </w:rPr>
              <w:t>其它直接费</w:t>
            </w:r>
          </w:p>
        </w:tc>
        <w:tc>
          <w:tcPr>
            <w:tcW w:w="1186" w:type="dxa"/>
          </w:tcPr>
          <w:p>
            <w:pPr>
              <w:pStyle w:val="TableParagraph"/>
              <w:ind w:left="156"/>
              <w:rPr>
                <w:sz w:val="21"/>
              </w:rPr>
            </w:pPr>
            <w:r>
              <w:rPr>
                <w:sz w:val="21"/>
              </w:rPr>
              <w:t>现场经费</w:t>
            </w:r>
          </w:p>
        </w:tc>
        <w:tc>
          <w:tcPr>
            <w:tcW w:w="262" w:type="dxa"/>
            <w:tcBorders>
              <w:right w:val="nil"/>
            </w:tcBorders>
          </w:tcPr>
          <w:p>
            <w:pPr>
              <w:pStyle w:val="TableParagraph"/>
              <w:rPr>
                <w:rFonts w:ascii="Times New Roman"/>
                <w:sz w:val="22"/>
              </w:rPr>
            </w:pPr>
          </w:p>
        </w:tc>
        <w:tc>
          <w:tcPr>
            <w:tcW w:w="630" w:type="dxa"/>
            <w:tcBorders>
              <w:left w:val="nil"/>
              <w:right w:val="nil"/>
            </w:tcBorders>
            <w:shd w:val="clear" w:color="auto" w:fill="FFFFFF"/>
          </w:tcPr>
          <w:p>
            <w:pPr>
              <w:pStyle w:val="TableParagraph"/>
              <w:ind w:left="7" w:right="-15"/>
              <w:rPr>
                <w:sz w:val="21"/>
              </w:rPr>
            </w:pPr>
            <w:r>
              <w:rPr>
                <w:spacing w:val="-4"/>
                <w:sz w:val="21"/>
              </w:rPr>
              <w:t>间接费</w:t>
            </w:r>
          </w:p>
        </w:tc>
        <w:tc>
          <w:tcPr>
            <w:tcW w:w="293" w:type="dxa"/>
            <w:tcBorders>
              <w:left w:val="nil"/>
            </w:tcBorders>
          </w:tcPr>
          <w:p>
            <w:pPr>
              <w:pStyle w:val="TableParagraph"/>
              <w:rPr>
                <w:rFonts w:ascii="Times New Roman"/>
                <w:sz w:val="22"/>
              </w:rPr>
            </w:pPr>
          </w:p>
        </w:tc>
        <w:tc>
          <w:tcPr>
            <w:tcW w:w="1186" w:type="dxa"/>
          </w:tcPr>
          <w:p>
            <w:pPr>
              <w:pStyle w:val="TableParagraph"/>
              <w:ind w:left="158"/>
              <w:rPr>
                <w:sz w:val="21"/>
              </w:rPr>
            </w:pPr>
            <w:r>
              <w:rPr>
                <w:sz w:val="21"/>
              </w:rPr>
              <w:t>企业利润</w:t>
            </w:r>
          </w:p>
        </w:tc>
        <w:tc>
          <w:tcPr>
            <w:tcW w:w="1186" w:type="dxa"/>
          </w:tcPr>
          <w:p>
            <w:pPr>
              <w:pStyle w:val="TableParagraph"/>
              <w:ind w:left="368"/>
              <w:rPr>
                <w:sz w:val="21"/>
              </w:rPr>
            </w:pPr>
            <w:r>
              <w:rPr>
                <w:sz w:val="21"/>
              </w:rPr>
              <w:t>税金</w:t>
            </w:r>
          </w:p>
        </w:tc>
        <w:tc>
          <w:tcPr>
            <w:tcW w:w="1111" w:type="dxa"/>
          </w:tcPr>
          <w:p>
            <w:pPr>
              <w:pStyle w:val="TableParagraph"/>
              <w:ind w:left="338"/>
              <w:rPr>
                <w:sz w:val="21"/>
              </w:rPr>
            </w:pPr>
            <w:r>
              <w:rPr>
                <w:sz w:val="21"/>
              </w:rPr>
              <w:t>合计</w:t>
            </w:r>
          </w:p>
        </w:tc>
      </w:tr>
      <w:tr>
        <w:trPr>
          <w:trHeight w:val="315" w:hRule="atLeast"/>
        </w:trPr>
        <w:tc>
          <w:tcPr>
            <w:tcW w:w="856" w:type="dxa"/>
          </w:tcPr>
          <w:p>
            <w:pPr>
              <w:pStyle w:val="TableParagraph"/>
              <w:spacing w:before="15"/>
              <w:ind w:left="15"/>
              <w:jc w:val="center"/>
              <w:rPr>
                <w:sz w:val="21"/>
              </w:rPr>
            </w:pPr>
            <w:r>
              <w:rPr>
                <w:w w:val="100"/>
                <w:sz w:val="21"/>
              </w:rPr>
              <w:t>一</w:t>
            </w:r>
          </w:p>
        </w:tc>
        <w:tc>
          <w:tcPr>
            <w:tcW w:w="1411" w:type="dxa"/>
          </w:tcPr>
          <w:p>
            <w:pPr>
              <w:pStyle w:val="TableParagraph"/>
              <w:spacing w:before="15"/>
              <w:ind w:left="214" w:right="214"/>
              <w:jc w:val="center"/>
              <w:rPr>
                <w:sz w:val="21"/>
              </w:rPr>
            </w:pPr>
            <w:r>
              <w:rPr>
                <w:sz w:val="21"/>
              </w:rPr>
              <w:t>建筑工程</w:t>
            </w: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411" w:type="dxa"/>
          </w:tcPr>
          <w:p>
            <w:pPr>
              <w:pStyle w:val="TableParagraph"/>
              <w:rPr>
                <w:rFonts w:ascii="Times New Roman"/>
                <w:sz w:val="22"/>
              </w:rPr>
            </w:pP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411" w:type="dxa"/>
          </w:tcPr>
          <w:p>
            <w:pPr>
              <w:pStyle w:val="TableParagraph"/>
              <w:rPr>
                <w:rFonts w:ascii="Times New Roman"/>
                <w:sz w:val="22"/>
              </w:rPr>
            </w:pP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411" w:type="dxa"/>
          </w:tcPr>
          <w:p>
            <w:pPr>
              <w:pStyle w:val="TableParagraph"/>
              <w:rPr>
                <w:rFonts w:ascii="Times New Roman"/>
                <w:sz w:val="22"/>
              </w:rPr>
            </w:pP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15" w:hRule="atLeast"/>
        </w:trPr>
        <w:tc>
          <w:tcPr>
            <w:tcW w:w="856" w:type="dxa"/>
          </w:tcPr>
          <w:p>
            <w:pPr>
              <w:pStyle w:val="TableParagraph"/>
              <w:spacing w:before="14"/>
              <w:ind w:left="15"/>
              <w:jc w:val="center"/>
              <w:rPr>
                <w:sz w:val="21"/>
              </w:rPr>
            </w:pPr>
            <w:r>
              <w:rPr>
                <w:w w:val="100"/>
                <w:sz w:val="21"/>
              </w:rPr>
              <w:t>二</w:t>
            </w:r>
          </w:p>
        </w:tc>
        <w:tc>
          <w:tcPr>
            <w:tcW w:w="1411" w:type="dxa"/>
          </w:tcPr>
          <w:p>
            <w:pPr>
              <w:pStyle w:val="TableParagraph"/>
              <w:spacing w:before="14"/>
              <w:ind w:left="214" w:right="214"/>
              <w:jc w:val="center"/>
              <w:rPr>
                <w:sz w:val="21"/>
              </w:rPr>
            </w:pPr>
            <w:r>
              <w:rPr>
                <w:sz w:val="21"/>
              </w:rPr>
              <w:t>安装工程</w:t>
            </w: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411" w:type="dxa"/>
          </w:tcPr>
          <w:p>
            <w:pPr>
              <w:pStyle w:val="TableParagraph"/>
              <w:rPr>
                <w:rFonts w:ascii="Times New Roman"/>
                <w:sz w:val="22"/>
              </w:rPr>
            </w:pP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411" w:type="dxa"/>
          </w:tcPr>
          <w:p>
            <w:pPr>
              <w:pStyle w:val="TableParagraph"/>
              <w:rPr>
                <w:rFonts w:ascii="Times New Roman"/>
                <w:sz w:val="22"/>
              </w:rPr>
            </w:pP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411" w:type="dxa"/>
          </w:tcPr>
          <w:p>
            <w:pPr>
              <w:pStyle w:val="TableParagraph"/>
              <w:rPr>
                <w:rFonts w:ascii="Times New Roman"/>
                <w:sz w:val="22"/>
              </w:rPr>
            </w:pPr>
          </w:p>
        </w:tc>
        <w:tc>
          <w:tcPr>
            <w:tcW w:w="1141" w:type="dxa"/>
          </w:tcPr>
          <w:p>
            <w:pPr>
              <w:pStyle w:val="TableParagraph"/>
              <w:rPr>
                <w:rFonts w:ascii="Times New Roman"/>
                <w:sz w:val="22"/>
              </w:rPr>
            </w:pPr>
          </w:p>
        </w:tc>
        <w:tc>
          <w:tcPr>
            <w:tcW w:w="856" w:type="dxa"/>
          </w:tcPr>
          <w:p>
            <w:pPr>
              <w:pStyle w:val="TableParagraph"/>
              <w:rPr>
                <w:rFonts w:ascii="Times New Roman"/>
                <w:sz w:val="22"/>
              </w:rPr>
            </w:pPr>
          </w:p>
        </w:tc>
        <w:tc>
          <w:tcPr>
            <w:tcW w:w="991" w:type="dxa"/>
          </w:tcPr>
          <w:p>
            <w:pPr>
              <w:pStyle w:val="TableParagraph"/>
              <w:rPr>
                <w:rFonts w:ascii="Times New Roman"/>
                <w:sz w:val="22"/>
              </w:rPr>
            </w:pPr>
          </w:p>
        </w:tc>
        <w:tc>
          <w:tcPr>
            <w:tcW w:w="1561" w:type="dxa"/>
          </w:tcPr>
          <w:p>
            <w:pPr>
              <w:pStyle w:val="TableParagraph"/>
              <w:rPr>
                <w:rFonts w:ascii="Times New Roman"/>
                <w:sz w:val="22"/>
              </w:rPr>
            </w:pPr>
          </w:p>
        </w:tc>
        <w:tc>
          <w:tcPr>
            <w:tcW w:w="1382" w:type="dxa"/>
          </w:tcPr>
          <w:p>
            <w:pPr>
              <w:pStyle w:val="TableParagraph"/>
              <w:rPr>
                <w:rFonts w:ascii="Times New Roman"/>
                <w:sz w:val="22"/>
              </w:rPr>
            </w:pPr>
          </w:p>
        </w:tc>
        <w:tc>
          <w:tcPr>
            <w:tcW w:w="1186" w:type="dxa"/>
          </w:tcPr>
          <w:p>
            <w:pPr>
              <w:pStyle w:val="TableParagraph"/>
              <w:rPr>
                <w:rFonts w:ascii="Times New Roman"/>
                <w:sz w:val="22"/>
              </w:rPr>
            </w:pPr>
          </w:p>
        </w:tc>
        <w:tc>
          <w:tcPr>
            <w:tcW w:w="1185" w:type="dxa"/>
            <w:gridSpan w:val="3"/>
          </w:tcPr>
          <w:p>
            <w:pPr>
              <w:pStyle w:val="TableParagraph"/>
              <w:rPr>
                <w:rFonts w:ascii="Times New Roman"/>
                <w:sz w:val="22"/>
              </w:rPr>
            </w:pPr>
          </w:p>
        </w:tc>
        <w:tc>
          <w:tcPr>
            <w:tcW w:w="1186" w:type="dxa"/>
          </w:tcPr>
          <w:p>
            <w:pPr>
              <w:pStyle w:val="TableParagraph"/>
              <w:rPr>
                <w:rFonts w:ascii="Times New Roman"/>
                <w:sz w:val="22"/>
              </w:rPr>
            </w:pPr>
          </w:p>
        </w:tc>
        <w:tc>
          <w:tcPr>
            <w:tcW w:w="1186" w:type="dxa"/>
          </w:tcPr>
          <w:p>
            <w:pPr>
              <w:pStyle w:val="TableParagraph"/>
              <w:rPr>
                <w:rFonts w:ascii="Times New Roman"/>
                <w:sz w:val="22"/>
              </w:rPr>
            </w:pPr>
          </w:p>
        </w:tc>
        <w:tc>
          <w:tcPr>
            <w:tcW w:w="1111" w:type="dxa"/>
          </w:tcPr>
          <w:p>
            <w:pPr>
              <w:pStyle w:val="TableParagraph"/>
              <w:rPr>
                <w:rFonts w:ascii="Times New Roman"/>
                <w:sz w:val="22"/>
              </w:rPr>
            </w:pPr>
          </w:p>
        </w:tc>
      </w:tr>
    </w:tbl>
    <w:p>
      <w:pPr>
        <w:pStyle w:val="BodyText"/>
        <w:spacing w:before="11"/>
        <w:rPr>
          <w:rFonts w:ascii="黑体"/>
          <w:sz w:val="27"/>
        </w:rPr>
      </w:pPr>
    </w:p>
    <w:p>
      <w:pPr>
        <w:spacing w:after="0"/>
        <w:rPr>
          <w:rFonts w:ascii="黑体"/>
          <w:sz w:val="27"/>
        </w:rPr>
        <w:sectPr>
          <w:type w:val="continuous"/>
          <w:pgSz w:w="16850" w:h="11910" w:orient="landscape"/>
          <w:pgMar w:top="1380" w:bottom="280" w:left="1300" w:right="1180"/>
        </w:sectPr>
      </w:pPr>
    </w:p>
    <w:p>
      <w:pPr>
        <w:pStyle w:val="BodyText"/>
        <w:rPr>
          <w:rFonts w:ascii="黑体"/>
          <w:sz w:val="22"/>
        </w:rPr>
      </w:pPr>
    </w:p>
    <w:p>
      <w:pPr>
        <w:pStyle w:val="BodyText"/>
        <w:rPr>
          <w:rFonts w:ascii="黑体"/>
          <w:sz w:val="25"/>
        </w:rPr>
      </w:pPr>
    </w:p>
    <w:p>
      <w:pPr>
        <w:spacing w:before="0"/>
        <w:ind w:left="125" w:right="0" w:firstLine="0"/>
        <w:jc w:val="left"/>
        <w:rPr>
          <w:sz w:val="22"/>
        </w:rPr>
      </w:pPr>
      <w:r>
        <w:rPr>
          <w:sz w:val="22"/>
        </w:rPr>
        <w:t>合同编号：(投标项目合同号) </w:t>
      </w:r>
    </w:p>
    <w:p>
      <w:pPr>
        <w:pStyle w:val="Heading4"/>
        <w:spacing w:before="62"/>
        <w:ind w:left="126"/>
      </w:pPr>
      <w:r>
        <w:rPr/>
        <w:br w:type="column"/>
      </w:r>
      <w:r>
        <w:rPr>
          <w:shd w:fill="FFFFFF" w:color="auto" w:val="clear"/>
        </w:rPr>
        <w:t>工程单价费(税)率汇总表</w:t>
      </w:r>
    </w:p>
    <w:p>
      <w:pPr>
        <w:spacing w:after="0"/>
        <w:sectPr>
          <w:type w:val="continuous"/>
          <w:pgSz w:w="16850" w:h="11910" w:orient="landscape"/>
          <w:pgMar w:top="1380" w:bottom="280" w:left="1300" w:right="1180"/>
          <w:cols w:num="2" w:equalWidth="0">
            <w:col w:w="3192" w:space="1927"/>
            <w:col w:w="9251"/>
          </w:cols>
        </w:sectPr>
      </w:pPr>
    </w:p>
    <w:p>
      <w:pPr>
        <w:spacing w:before="34" w:after="13"/>
        <w:ind w:left="125" w:right="0" w:firstLine="0"/>
        <w:jc w:val="left"/>
        <w:rPr>
          <w:sz w:val="22"/>
        </w:rPr>
      </w:pPr>
      <w:r>
        <w:rPr/>
        <w:drawing>
          <wp:anchor distT="0" distB="0" distL="0" distR="0" allowOverlap="1" layoutInCell="1" locked="0" behindDoc="1" simplePos="0" relativeHeight="234874880">
            <wp:simplePos x="0" y="0"/>
            <wp:positionH relativeFrom="page">
              <wp:posOffset>2540254</wp:posOffset>
            </wp:positionH>
            <wp:positionV relativeFrom="page">
              <wp:posOffset>1055121</wp:posOffset>
            </wp:positionV>
            <wp:extent cx="5578983" cy="5494115"/>
            <wp:effectExtent l="0" t="0" r="0" b="0"/>
            <wp:wrapNone/>
            <wp:docPr id="125" name="image22.png"/>
            <wp:cNvGraphicFramePr>
              <a:graphicFrameLocks noChangeAspect="1"/>
            </wp:cNvGraphicFramePr>
            <a:graphic>
              <a:graphicData uri="http://schemas.openxmlformats.org/drawingml/2006/picture">
                <pic:pic>
                  <pic:nvPicPr>
                    <pic:cNvPr id="126" name="image22.png"/>
                    <pic:cNvPicPr/>
                  </pic:nvPicPr>
                  <pic:blipFill>
                    <a:blip r:embed="rId34" cstate="print"/>
                    <a:stretch>
                      <a:fillRect/>
                    </a:stretch>
                  </pic:blipFill>
                  <pic:spPr>
                    <a:xfrm>
                      <a:off x="0" y="0"/>
                      <a:ext cx="5578983" cy="5494115"/>
                    </a:xfrm>
                    <a:prstGeom prst="rect">
                      <a:avLst/>
                    </a:prstGeom>
                  </pic:spPr>
                </pic:pic>
              </a:graphicData>
            </a:graphic>
          </wp:anchor>
        </w:drawing>
      </w:r>
      <w:r>
        <w:rPr>
          <w:sz w:val="22"/>
        </w:rPr>
        <w:t>工程名称：</w:t>
      </w:r>
      <w:r>
        <w:rPr>
          <w:spacing w:val="89"/>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67"/>
        <w:gridCol w:w="1787"/>
        <w:gridCol w:w="1771"/>
        <w:gridCol w:w="472"/>
        <w:gridCol w:w="841"/>
        <w:gridCol w:w="473"/>
        <w:gridCol w:w="1771"/>
        <w:gridCol w:w="1786"/>
        <w:gridCol w:w="1771"/>
        <w:gridCol w:w="1711"/>
      </w:tblGrid>
      <w:tr>
        <w:trPr>
          <w:trHeight w:val="300" w:hRule="atLeast"/>
        </w:trPr>
        <w:tc>
          <w:tcPr>
            <w:tcW w:w="1667" w:type="dxa"/>
            <w:vMerge w:val="restart"/>
          </w:tcPr>
          <w:p>
            <w:pPr>
              <w:pStyle w:val="TableParagraph"/>
              <w:spacing w:before="165"/>
              <w:ind w:left="603" w:right="588"/>
              <w:jc w:val="center"/>
              <w:rPr>
                <w:sz w:val="21"/>
              </w:rPr>
            </w:pPr>
            <w:r>
              <w:rPr>
                <w:sz w:val="21"/>
              </w:rPr>
              <w:t>序号</w:t>
            </w:r>
          </w:p>
        </w:tc>
        <w:tc>
          <w:tcPr>
            <w:tcW w:w="1787" w:type="dxa"/>
            <w:vMerge w:val="restart"/>
          </w:tcPr>
          <w:p>
            <w:pPr>
              <w:pStyle w:val="TableParagraph"/>
              <w:spacing w:before="165"/>
              <w:ind w:left="472"/>
              <w:rPr>
                <w:sz w:val="21"/>
              </w:rPr>
            </w:pPr>
            <w:r>
              <w:rPr>
                <w:sz w:val="21"/>
              </w:rPr>
              <w:t>工程类别</w:t>
            </w:r>
          </w:p>
        </w:tc>
        <w:tc>
          <w:tcPr>
            <w:tcW w:w="8885" w:type="dxa"/>
            <w:gridSpan w:val="7"/>
          </w:tcPr>
          <w:p>
            <w:pPr>
              <w:pStyle w:val="TableParagraph"/>
              <w:ind w:left="3480" w:right="3475"/>
              <w:jc w:val="center"/>
              <w:rPr>
                <w:rFonts w:ascii="Calibri" w:eastAsia="Calibri"/>
                <w:sz w:val="21"/>
              </w:rPr>
            </w:pPr>
            <w:r>
              <w:rPr>
                <w:sz w:val="21"/>
              </w:rPr>
              <w:t>工程单价费</w:t>
            </w:r>
            <w:r>
              <w:rPr>
                <w:rFonts w:ascii="Calibri" w:eastAsia="Calibri"/>
                <w:sz w:val="21"/>
              </w:rPr>
              <w:t>(</w:t>
            </w:r>
            <w:r>
              <w:rPr>
                <w:sz w:val="21"/>
              </w:rPr>
              <w:t>税</w:t>
            </w:r>
            <w:r>
              <w:rPr>
                <w:rFonts w:ascii="Calibri" w:eastAsia="Calibri"/>
                <w:sz w:val="21"/>
              </w:rPr>
              <w:t>)</w:t>
            </w:r>
            <w:r>
              <w:rPr>
                <w:sz w:val="21"/>
              </w:rPr>
              <w:t>率</w:t>
            </w:r>
            <w:r>
              <w:rPr>
                <w:rFonts w:ascii="Calibri" w:eastAsia="Calibri"/>
                <w:sz w:val="21"/>
              </w:rPr>
              <w:t>(%)</w:t>
            </w:r>
          </w:p>
        </w:tc>
        <w:tc>
          <w:tcPr>
            <w:tcW w:w="1711" w:type="dxa"/>
            <w:vMerge w:val="restart"/>
          </w:tcPr>
          <w:p>
            <w:pPr>
              <w:pStyle w:val="TableParagraph"/>
              <w:spacing w:before="165"/>
              <w:ind w:left="620" w:right="616"/>
              <w:jc w:val="center"/>
              <w:rPr>
                <w:sz w:val="21"/>
              </w:rPr>
            </w:pPr>
            <w:r>
              <w:rPr>
                <w:sz w:val="21"/>
              </w:rPr>
              <w:t>备注</w:t>
            </w:r>
          </w:p>
        </w:tc>
      </w:tr>
      <w:tr>
        <w:trPr>
          <w:trHeight w:val="315" w:hRule="atLeast"/>
        </w:trPr>
        <w:tc>
          <w:tcPr>
            <w:tcW w:w="1667" w:type="dxa"/>
            <w:vMerge/>
            <w:tcBorders>
              <w:top w:val="nil"/>
            </w:tcBorders>
          </w:tcPr>
          <w:p>
            <w:pPr>
              <w:rPr>
                <w:sz w:val="2"/>
                <w:szCs w:val="2"/>
              </w:rPr>
            </w:pPr>
          </w:p>
        </w:tc>
        <w:tc>
          <w:tcPr>
            <w:tcW w:w="1787" w:type="dxa"/>
            <w:vMerge/>
            <w:tcBorders>
              <w:top w:val="nil"/>
            </w:tcBorders>
          </w:tcPr>
          <w:p>
            <w:pPr>
              <w:rPr>
                <w:sz w:val="2"/>
                <w:szCs w:val="2"/>
              </w:rPr>
            </w:pPr>
          </w:p>
        </w:tc>
        <w:tc>
          <w:tcPr>
            <w:tcW w:w="1771" w:type="dxa"/>
          </w:tcPr>
          <w:p>
            <w:pPr>
              <w:pStyle w:val="TableParagraph"/>
              <w:spacing w:before="15"/>
              <w:ind w:left="352"/>
              <w:rPr>
                <w:sz w:val="21"/>
              </w:rPr>
            </w:pPr>
            <w:r>
              <w:rPr>
                <w:sz w:val="21"/>
              </w:rPr>
              <w:t>其它直接费</w:t>
            </w:r>
          </w:p>
        </w:tc>
        <w:tc>
          <w:tcPr>
            <w:tcW w:w="472" w:type="dxa"/>
            <w:tcBorders>
              <w:right w:val="nil"/>
            </w:tcBorders>
          </w:tcPr>
          <w:p>
            <w:pPr>
              <w:pStyle w:val="TableParagraph"/>
              <w:rPr>
                <w:rFonts w:ascii="Times New Roman"/>
                <w:sz w:val="22"/>
              </w:rPr>
            </w:pPr>
          </w:p>
        </w:tc>
        <w:tc>
          <w:tcPr>
            <w:tcW w:w="841" w:type="dxa"/>
            <w:tcBorders>
              <w:left w:val="nil"/>
              <w:right w:val="nil"/>
            </w:tcBorders>
            <w:shd w:val="clear" w:color="auto" w:fill="FFFFFF"/>
          </w:tcPr>
          <w:p>
            <w:pPr>
              <w:pStyle w:val="TableParagraph"/>
              <w:spacing w:before="15"/>
              <w:ind w:left="8" w:right="-15"/>
              <w:rPr>
                <w:sz w:val="21"/>
              </w:rPr>
            </w:pPr>
            <w:r>
              <w:rPr>
                <w:spacing w:val="-3"/>
                <w:sz w:val="21"/>
              </w:rPr>
              <w:t>现场经费</w:t>
            </w:r>
          </w:p>
        </w:tc>
        <w:tc>
          <w:tcPr>
            <w:tcW w:w="473" w:type="dxa"/>
            <w:tcBorders>
              <w:left w:val="nil"/>
            </w:tcBorders>
          </w:tcPr>
          <w:p>
            <w:pPr>
              <w:pStyle w:val="TableParagraph"/>
              <w:rPr>
                <w:rFonts w:ascii="Times New Roman"/>
                <w:sz w:val="22"/>
              </w:rPr>
            </w:pPr>
          </w:p>
        </w:tc>
        <w:tc>
          <w:tcPr>
            <w:tcW w:w="1771" w:type="dxa"/>
          </w:tcPr>
          <w:p>
            <w:pPr>
              <w:pStyle w:val="TableParagraph"/>
              <w:spacing w:before="15"/>
              <w:ind w:left="563"/>
              <w:rPr>
                <w:sz w:val="21"/>
              </w:rPr>
            </w:pPr>
            <w:r>
              <w:rPr>
                <w:sz w:val="21"/>
              </w:rPr>
              <w:t>间接费</w:t>
            </w:r>
          </w:p>
        </w:tc>
        <w:tc>
          <w:tcPr>
            <w:tcW w:w="1786" w:type="dxa"/>
          </w:tcPr>
          <w:p>
            <w:pPr>
              <w:pStyle w:val="TableParagraph"/>
              <w:spacing w:before="15"/>
              <w:ind w:left="473"/>
              <w:rPr>
                <w:sz w:val="21"/>
              </w:rPr>
            </w:pPr>
            <w:r>
              <w:rPr>
                <w:sz w:val="21"/>
              </w:rPr>
              <w:t>企业利润</w:t>
            </w:r>
          </w:p>
        </w:tc>
        <w:tc>
          <w:tcPr>
            <w:tcW w:w="1771" w:type="dxa"/>
          </w:tcPr>
          <w:p>
            <w:pPr>
              <w:pStyle w:val="TableParagraph"/>
              <w:spacing w:before="15"/>
              <w:ind w:left="649" w:right="646"/>
              <w:jc w:val="center"/>
              <w:rPr>
                <w:sz w:val="21"/>
              </w:rPr>
            </w:pPr>
            <w:r>
              <w:rPr>
                <w:sz w:val="21"/>
              </w:rPr>
              <w:t>税金</w:t>
            </w:r>
          </w:p>
        </w:tc>
        <w:tc>
          <w:tcPr>
            <w:tcW w:w="1711" w:type="dxa"/>
            <w:vMerge/>
            <w:tcBorders>
              <w:top w:val="nil"/>
            </w:tcBorders>
          </w:tcPr>
          <w:p>
            <w:pPr>
              <w:rPr>
                <w:sz w:val="2"/>
                <w:szCs w:val="2"/>
              </w:rPr>
            </w:pPr>
          </w:p>
        </w:tc>
      </w:tr>
      <w:tr>
        <w:trPr>
          <w:trHeight w:val="300" w:hRule="atLeast"/>
        </w:trPr>
        <w:tc>
          <w:tcPr>
            <w:tcW w:w="1667" w:type="dxa"/>
          </w:tcPr>
          <w:p>
            <w:pPr>
              <w:pStyle w:val="TableParagraph"/>
              <w:ind w:left="728"/>
              <w:rPr>
                <w:sz w:val="21"/>
              </w:rPr>
            </w:pPr>
            <w:r>
              <w:rPr>
                <w:w w:val="100"/>
                <w:sz w:val="21"/>
              </w:rPr>
              <w:t>一</w:t>
            </w:r>
          </w:p>
        </w:tc>
        <w:tc>
          <w:tcPr>
            <w:tcW w:w="1787" w:type="dxa"/>
          </w:tcPr>
          <w:p>
            <w:pPr>
              <w:pStyle w:val="TableParagraph"/>
              <w:ind w:left="472"/>
              <w:rPr>
                <w:sz w:val="21"/>
              </w:rPr>
            </w:pPr>
            <w:r>
              <w:rPr>
                <w:sz w:val="21"/>
              </w:rPr>
              <w:t>建筑工程</w:t>
            </w:r>
          </w:p>
        </w:tc>
        <w:tc>
          <w:tcPr>
            <w:tcW w:w="1771" w:type="dxa"/>
          </w:tcPr>
          <w:p>
            <w:pPr>
              <w:pStyle w:val="TableParagraph"/>
              <w:rPr>
                <w:rFonts w:ascii="Times New Roman"/>
                <w:sz w:val="22"/>
              </w:rPr>
            </w:pPr>
          </w:p>
        </w:tc>
        <w:tc>
          <w:tcPr>
            <w:tcW w:w="1786" w:type="dxa"/>
            <w:gridSpan w:val="3"/>
          </w:tcPr>
          <w:p>
            <w:pPr>
              <w:pStyle w:val="TableParagraph"/>
              <w:rPr>
                <w:rFonts w:ascii="Times New Roman"/>
                <w:sz w:val="22"/>
              </w:rPr>
            </w:pPr>
          </w:p>
        </w:tc>
        <w:tc>
          <w:tcPr>
            <w:tcW w:w="1771" w:type="dxa"/>
          </w:tcPr>
          <w:p>
            <w:pPr>
              <w:pStyle w:val="TableParagraph"/>
              <w:rPr>
                <w:rFonts w:ascii="Times New Roman"/>
                <w:sz w:val="22"/>
              </w:rPr>
            </w:pPr>
          </w:p>
        </w:tc>
        <w:tc>
          <w:tcPr>
            <w:tcW w:w="1786" w:type="dxa"/>
          </w:tcPr>
          <w:p>
            <w:pPr>
              <w:pStyle w:val="TableParagraph"/>
              <w:rPr>
                <w:rFonts w:ascii="Times New Roman"/>
                <w:sz w:val="22"/>
              </w:rPr>
            </w:pPr>
          </w:p>
        </w:tc>
        <w:tc>
          <w:tcPr>
            <w:tcW w:w="1771" w:type="dxa"/>
          </w:tcPr>
          <w:p>
            <w:pPr>
              <w:pStyle w:val="TableParagraph"/>
              <w:rPr>
                <w:rFonts w:ascii="Times New Roman"/>
                <w:sz w:val="22"/>
              </w:rPr>
            </w:pPr>
          </w:p>
        </w:tc>
        <w:tc>
          <w:tcPr>
            <w:tcW w:w="1711" w:type="dxa"/>
          </w:tcPr>
          <w:p>
            <w:pPr>
              <w:pStyle w:val="TableParagraph"/>
              <w:rPr>
                <w:rFonts w:ascii="Times New Roman"/>
                <w:sz w:val="22"/>
              </w:rPr>
            </w:pPr>
          </w:p>
        </w:tc>
      </w:tr>
      <w:tr>
        <w:trPr>
          <w:trHeight w:val="300" w:hRule="atLeast"/>
        </w:trPr>
        <w:tc>
          <w:tcPr>
            <w:tcW w:w="1667" w:type="dxa"/>
          </w:tcPr>
          <w:p>
            <w:pPr>
              <w:pStyle w:val="TableParagraph"/>
              <w:rPr>
                <w:rFonts w:ascii="Times New Roman"/>
                <w:sz w:val="22"/>
              </w:rPr>
            </w:pPr>
          </w:p>
        </w:tc>
        <w:tc>
          <w:tcPr>
            <w:tcW w:w="1787" w:type="dxa"/>
          </w:tcPr>
          <w:p>
            <w:pPr>
              <w:pStyle w:val="TableParagraph"/>
              <w:rPr>
                <w:rFonts w:ascii="Times New Roman"/>
                <w:sz w:val="22"/>
              </w:rPr>
            </w:pPr>
          </w:p>
        </w:tc>
        <w:tc>
          <w:tcPr>
            <w:tcW w:w="1771" w:type="dxa"/>
          </w:tcPr>
          <w:p>
            <w:pPr>
              <w:pStyle w:val="TableParagraph"/>
              <w:rPr>
                <w:rFonts w:ascii="Times New Roman"/>
                <w:sz w:val="22"/>
              </w:rPr>
            </w:pPr>
          </w:p>
        </w:tc>
        <w:tc>
          <w:tcPr>
            <w:tcW w:w="1786" w:type="dxa"/>
            <w:gridSpan w:val="3"/>
          </w:tcPr>
          <w:p>
            <w:pPr>
              <w:pStyle w:val="TableParagraph"/>
              <w:rPr>
                <w:rFonts w:ascii="Times New Roman"/>
                <w:sz w:val="22"/>
              </w:rPr>
            </w:pPr>
          </w:p>
        </w:tc>
        <w:tc>
          <w:tcPr>
            <w:tcW w:w="1771" w:type="dxa"/>
          </w:tcPr>
          <w:p>
            <w:pPr>
              <w:pStyle w:val="TableParagraph"/>
              <w:rPr>
                <w:rFonts w:ascii="Times New Roman"/>
                <w:sz w:val="22"/>
              </w:rPr>
            </w:pPr>
          </w:p>
        </w:tc>
        <w:tc>
          <w:tcPr>
            <w:tcW w:w="1786" w:type="dxa"/>
          </w:tcPr>
          <w:p>
            <w:pPr>
              <w:pStyle w:val="TableParagraph"/>
              <w:rPr>
                <w:rFonts w:ascii="Times New Roman"/>
                <w:sz w:val="22"/>
              </w:rPr>
            </w:pPr>
          </w:p>
        </w:tc>
        <w:tc>
          <w:tcPr>
            <w:tcW w:w="1771" w:type="dxa"/>
          </w:tcPr>
          <w:p>
            <w:pPr>
              <w:pStyle w:val="TableParagraph"/>
              <w:rPr>
                <w:rFonts w:ascii="Times New Roman"/>
                <w:sz w:val="22"/>
              </w:rPr>
            </w:pPr>
          </w:p>
        </w:tc>
        <w:tc>
          <w:tcPr>
            <w:tcW w:w="1711" w:type="dxa"/>
          </w:tcPr>
          <w:p>
            <w:pPr>
              <w:pStyle w:val="TableParagraph"/>
              <w:rPr>
                <w:rFonts w:ascii="Times New Roman"/>
                <w:sz w:val="22"/>
              </w:rPr>
            </w:pPr>
          </w:p>
        </w:tc>
      </w:tr>
      <w:tr>
        <w:trPr>
          <w:trHeight w:val="315" w:hRule="atLeast"/>
        </w:trPr>
        <w:tc>
          <w:tcPr>
            <w:tcW w:w="1667" w:type="dxa"/>
          </w:tcPr>
          <w:p>
            <w:pPr>
              <w:pStyle w:val="TableParagraph"/>
              <w:rPr>
                <w:rFonts w:ascii="Times New Roman"/>
                <w:sz w:val="22"/>
              </w:rPr>
            </w:pPr>
          </w:p>
        </w:tc>
        <w:tc>
          <w:tcPr>
            <w:tcW w:w="1787" w:type="dxa"/>
          </w:tcPr>
          <w:p>
            <w:pPr>
              <w:pStyle w:val="TableParagraph"/>
              <w:rPr>
                <w:rFonts w:ascii="Times New Roman"/>
                <w:sz w:val="22"/>
              </w:rPr>
            </w:pPr>
          </w:p>
        </w:tc>
        <w:tc>
          <w:tcPr>
            <w:tcW w:w="1771" w:type="dxa"/>
          </w:tcPr>
          <w:p>
            <w:pPr>
              <w:pStyle w:val="TableParagraph"/>
              <w:rPr>
                <w:rFonts w:ascii="Times New Roman"/>
                <w:sz w:val="22"/>
              </w:rPr>
            </w:pPr>
          </w:p>
        </w:tc>
        <w:tc>
          <w:tcPr>
            <w:tcW w:w="1786" w:type="dxa"/>
            <w:gridSpan w:val="3"/>
          </w:tcPr>
          <w:p>
            <w:pPr>
              <w:pStyle w:val="TableParagraph"/>
              <w:rPr>
                <w:rFonts w:ascii="Times New Roman"/>
                <w:sz w:val="22"/>
              </w:rPr>
            </w:pPr>
          </w:p>
        </w:tc>
        <w:tc>
          <w:tcPr>
            <w:tcW w:w="1771" w:type="dxa"/>
          </w:tcPr>
          <w:p>
            <w:pPr>
              <w:pStyle w:val="TableParagraph"/>
              <w:rPr>
                <w:rFonts w:ascii="Times New Roman"/>
                <w:sz w:val="22"/>
              </w:rPr>
            </w:pPr>
          </w:p>
        </w:tc>
        <w:tc>
          <w:tcPr>
            <w:tcW w:w="1786" w:type="dxa"/>
          </w:tcPr>
          <w:p>
            <w:pPr>
              <w:pStyle w:val="TableParagraph"/>
              <w:rPr>
                <w:rFonts w:ascii="Times New Roman"/>
                <w:sz w:val="22"/>
              </w:rPr>
            </w:pPr>
          </w:p>
        </w:tc>
        <w:tc>
          <w:tcPr>
            <w:tcW w:w="1771" w:type="dxa"/>
          </w:tcPr>
          <w:p>
            <w:pPr>
              <w:pStyle w:val="TableParagraph"/>
              <w:rPr>
                <w:rFonts w:ascii="Times New Roman"/>
                <w:sz w:val="22"/>
              </w:rPr>
            </w:pPr>
          </w:p>
        </w:tc>
        <w:tc>
          <w:tcPr>
            <w:tcW w:w="1711" w:type="dxa"/>
          </w:tcPr>
          <w:p>
            <w:pPr>
              <w:pStyle w:val="TableParagraph"/>
              <w:rPr>
                <w:rFonts w:ascii="Times New Roman"/>
                <w:sz w:val="22"/>
              </w:rPr>
            </w:pPr>
          </w:p>
        </w:tc>
      </w:tr>
      <w:tr>
        <w:trPr>
          <w:trHeight w:val="300" w:hRule="atLeast"/>
        </w:trPr>
        <w:tc>
          <w:tcPr>
            <w:tcW w:w="1667" w:type="dxa"/>
          </w:tcPr>
          <w:p>
            <w:pPr>
              <w:pStyle w:val="TableParagraph"/>
              <w:rPr>
                <w:rFonts w:ascii="Times New Roman"/>
                <w:sz w:val="22"/>
              </w:rPr>
            </w:pPr>
          </w:p>
        </w:tc>
        <w:tc>
          <w:tcPr>
            <w:tcW w:w="1787" w:type="dxa"/>
          </w:tcPr>
          <w:p>
            <w:pPr>
              <w:pStyle w:val="TableParagraph"/>
              <w:rPr>
                <w:rFonts w:ascii="Times New Roman"/>
                <w:sz w:val="22"/>
              </w:rPr>
            </w:pPr>
          </w:p>
        </w:tc>
        <w:tc>
          <w:tcPr>
            <w:tcW w:w="1771" w:type="dxa"/>
          </w:tcPr>
          <w:p>
            <w:pPr>
              <w:pStyle w:val="TableParagraph"/>
              <w:rPr>
                <w:rFonts w:ascii="Times New Roman"/>
                <w:sz w:val="22"/>
              </w:rPr>
            </w:pPr>
          </w:p>
        </w:tc>
        <w:tc>
          <w:tcPr>
            <w:tcW w:w="1786" w:type="dxa"/>
            <w:gridSpan w:val="3"/>
          </w:tcPr>
          <w:p>
            <w:pPr>
              <w:pStyle w:val="TableParagraph"/>
              <w:rPr>
                <w:rFonts w:ascii="Times New Roman"/>
                <w:sz w:val="22"/>
              </w:rPr>
            </w:pPr>
          </w:p>
        </w:tc>
        <w:tc>
          <w:tcPr>
            <w:tcW w:w="1771" w:type="dxa"/>
          </w:tcPr>
          <w:p>
            <w:pPr>
              <w:pStyle w:val="TableParagraph"/>
              <w:rPr>
                <w:rFonts w:ascii="Times New Roman"/>
                <w:sz w:val="22"/>
              </w:rPr>
            </w:pPr>
          </w:p>
        </w:tc>
        <w:tc>
          <w:tcPr>
            <w:tcW w:w="1786" w:type="dxa"/>
          </w:tcPr>
          <w:p>
            <w:pPr>
              <w:pStyle w:val="TableParagraph"/>
              <w:rPr>
                <w:rFonts w:ascii="Times New Roman"/>
                <w:sz w:val="22"/>
              </w:rPr>
            </w:pPr>
          </w:p>
        </w:tc>
        <w:tc>
          <w:tcPr>
            <w:tcW w:w="1771" w:type="dxa"/>
          </w:tcPr>
          <w:p>
            <w:pPr>
              <w:pStyle w:val="TableParagraph"/>
              <w:rPr>
                <w:rFonts w:ascii="Times New Roman"/>
                <w:sz w:val="22"/>
              </w:rPr>
            </w:pPr>
          </w:p>
        </w:tc>
        <w:tc>
          <w:tcPr>
            <w:tcW w:w="1711" w:type="dxa"/>
          </w:tcPr>
          <w:p>
            <w:pPr>
              <w:pStyle w:val="TableParagraph"/>
              <w:rPr>
                <w:rFonts w:ascii="Times New Roman"/>
                <w:sz w:val="22"/>
              </w:rPr>
            </w:pPr>
          </w:p>
        </w:tc>
      </w:tr>
      <w:tr>
        <w:trPr>
          <w:trHeight w:val="315" w:hRule="atLeast"/>
        </w:trPr>
        <w:tc>
          <w:tcPr>
            <w:tcW w:w="1667" w:type="dxa"/>
          </w:tcPr>
          <w:p>
            <w:pPr>
              <w:pStyle w:val="TableParagraph"/>
              <w:spacing w:before="15"/>
              <w:ind w:left="728"/>
              <w:rPr>
                <w:sz w:val="21"/>
              </w:rPr>
            </w:pPr>
            <w:r>
              <w:rPr>
                <w:w w:val="100"/>
                <w:sz w:val="21"/>
              </w:rPr>
              <w:t>二</w:t>
            </w:r>
          </w:p>
        </w:tc>
        <w:tc>
          <w:tcPr>
            <w:tcW w:w="1787" w:type="dxa"/>
          </w:tcPr>
          <w:p>
            <w:pPr>
              <w:pStyle w:val="TableParagraph"/>
              <w:spacing w:before="15"/>
              <w:ind w:left="472"/>
              <w:rPr>
                <w:sz w:val="21"/>
              </w:rPr>
            </w:pPr>
            <w:r>
              <w:rPr>
                <w:sz w:val="21"/>
              </w:rPr>
              <w:t>安装工程</w:t>
            </w:r>
          </w:p>
        </w:tc>
        <w:tc>
          <w:tcPr>
            <w:tcW w:w="1771" w:type="dxa"/>
          </w:tcPr>
          <w:p>
            <w:pPr>
              <w:pStyle w:val="TableParagraph"/>
              <w:rPr>
                <w:rFonts w:ascii="Times New Roman"/>
                <w:sz w:val="22"/>
              </w:rPr>
            </w:pPr>
          </w:p>
        </w:tc>
        <w:tc>
          <w:tcPr>
            <w:tcW w:w="1786" w:type="dxa"/>
            <w:gridSpan w:val="3"/>
          </w:tcPr>
          <w:p>
            <w:pPr>
              <w:pStyle w:val="TableParagraph"/>
              <w:rPr>
                <w:rFonts w:ascii="Times New Roman"/>
                <w:sz w:val="22"/>
              </w:rPr>
            </w:pPr>
          </w:p>
        </w:tc>
        <w:tc>
          <w:tcPr>
            <w:tcW w:w="1771" w:type="dxa"/>
          </w:tcPr>
          <w:p>
            <w:pPr>
              <w:pStyle w:val="TableParagraph"/>
              <w:rPr>
                <w:rFonts w:ascii="Times New Roman"/>
                <w:sz w:val="22"/>
              </w:rPr>
            </w:pPr>
          </w:p>
        </w:tc>
        <w:tc>
          <w:tcPr>
            <w:tcW w:w="1786" w:type="dxa"/>
          </w:tcPr>
          <w:p>
            <w:pPr>
              <w:pStyle w:val="TableParagraph"/>
              <w:rPr>
                <w:rFonts w:ascii="Times New Roman"/>
                <w:sz w:val="22"/>
              </w:rPr>
            </w:pPr>
          </w:p>
        </w:tc>
        <w:tc>
          <w:tcPr>
            <w:tcW w:w="1771" w:type="dxa"/>
          </w:tcPr>
          <w:p>
            <w:pPr>
              <w:pStyle w:val="TableParagraph"/>
              <w:rPr>
                <w:rFonts w:ascii="Times New Roman"/>
                <w:sz w:val="22"/>
              </w:rPr>
            </w:pPr>
          </w:p>
        </w:tc>
        <w:tc>
          <w:tcPr>
            <w:tcW w:w="1711" w:type="dxa"/>
          </w:tcPr>
          <w:p>
            <w:pPr>
              <w:pStyle w:val="TableParagraph"/>
              <w:rPr>
                <w:rFonts w:ascii="Times New Roman"/>
                <w:sz w:val="22"/>
              </w:rPr>
            </w:pPr>
          </w:p>
        </w:tc>
      </w:tr>
      <w:tr>
        <w:trPr>
          <w:trHeight w:val="300" w:hRule="atLeast"/>
        </w:trPr>
        <w:tc>
          <w:tcPr>
            <w:tcW w:w="1667" w:type="dxa"/>
          </w:tcPr>
          <w:p>
            <w:pPr>
              <w:pStyle w:val="TableParagraph"/>
              <w:rPr>
                <w:rFonts w:ascii="Times New Roman"/>
                <w:sz w:val="22"/>
              </w:rPr>
            </w:pPr>
          </w:p>
        </w:tc>
        <w:tc>
          <w:tcPr>
            <w:tcW w:w="1787" w:type="dxa"/>
          </w:tcPr>
          <w:p>
            <w:pPr>
              <w:pStyle w:val="TableParagraph"/>
              <w:rPr>
                <w:rFonts w:ascii="Times New Roman"/>
                <w:sz w:val="22"/>
              </w:rPr>
            </w:pPr>
          </w:p>
        </w:tc>
        <w:tc>
          <w:tcPr>
            <w:tcW w:w="1771" w:type="dxa"/>
          </w:tcPr>
          <w:p>
            <w:pPr>
              <w:pStyle w:val="TableParagraph"/>
              <w:rPr>
                <w:rFonts w:ascii="Times New Roman"/>
                <w:sz w:val="22"/>
              </w:rPr>
            </w:pPr>
          </w:p>
        </w:tc>
        <w:tc>
          <w:tcPr>
            <w:tcW w:w="1786" w:type="dxa"/>
            <w:gridSpan w:val="3"/>
          </w:tcPr>
          <w:p>
            <w:pPr>
              <w:pStyle w:val="TableParagraph"/>
              <w:rPr>
                <w:rFonts w:ascii="Times New Roman"/>
                <w:sz w:val="22"/>
              </w:rPr>
            </w:pPr>
          </w:p>
        </w:tc>
        <w:tc>
          <w:tcPr>
            <w:tcW w:w="1771" w:type="dxa"/>
          </w:tcPr>
          <w:p>
            <w:pPr>
              <w:pStyle w:val="TableParagraph"/>
              <w:rPr>
                <w:rFonts w:ascii="Times New Roman"/>
                <w:sz w:val="22"/>
              </w:rPr>
            </w:pPr>
          </w:p>
        </w:tc>
        <w:tc>
          <w:tcPr>
            <w:tcW w:w="1786" w:type="dxa"/>
          </w:tcPr>
          <w:p>
            <w:pPr>
              <w:pStyle w:val="TableParagraph"/>
              <w:rPr>
                <w:rFonts w:ascii="Times New Roman"/>
                <w:sz w:val="22"/>
              </w:rPr>
            </w:pPr>
          </w:p>
        </w:tc>
        <w:tc>
          <w:tcPr>
            <w:tcW w:w="1771" w:type="dxa"/>
          </w:tcPr>
          <w:p>
            <w:pPr>
              <w:pStyle w:val="TableParagraph"/>
              <w:rPr>
                <w:rFonts w:ascii="Times New Roman"/>
                <w:sz w:val="22"/>
              </w:rPr>
            </w:pPr>
          </w:p>
        </w:tc>
        <w:tc>
          <w:tcPr>
            <w:tcW w:w="1711" w:type="dxa"/>
          </w:tcPr>
          <w:p>
            <w:pPr>
              <w:pStyle w:val="TableParagraph"/>
              <w:rPr>
                <w:rFonts w:ascii="Times New Roman"/>
                <w:sz w:val="22"/>
              </w:rPr>
            </w:pPr>
          </w:p>
        </w:tc>
      </w:tr>
      <w:tr>
        <w:trPr>
          <w:trHeight w:val="297" w:hRule="atLeast"/>
        </w:trPr>
        <w:tc>
          <w:tcPr>
            <w:tcW w:w="1667" w:type="dxa"/>
            <w:tcBorders>
              <w:bottom w:val="single" w:sz="8" w:space="0" w:color="000000"/>
            </w:tcBorders>
          </w:tcPr>
          <w:p>
            <w:pPr>
              <w:pStyle w:val="TableParagraph"/>
              <w:rPr>
                <w:rFonts w:ascii="Times New Roman"/>
                <w:sz w:val="22"/>
              </w:rPr>
            </w:pPr>
          </w:p>
        </w:tc>
        <w:tc>
          <w:tcPr>
            <w:tcW w:w="1787" w:type="dxa"/>
            <w:tcBorders>
              <w:bottom w:val="single" w:sz="8" w:space="0" w:color="000000"/>
            </w:tcBorders>
          </w:tcPr>
          <w:p>
            <w:pPr>
              <w:pStyle w:val="TableParagraph"/>
              <w:rPr>
                <w:rFonts w:ascii="Times New Roman"/>
                <w:sz w:val="22"/>
              </w:rPr>
            </w:pPr>
          </w:p>
        </w:tc>
        <w:tc>
          <w:tcPr>
            <w:tcW w:w="1771" w:type="dxa"/>
            <w:tcBorders>
              <w:bottom w:val="single" w:sz="8" w:space="0" w:color="000000"/>
            </w:tcBorders>
          </w:tcPr>
          <w:p>
            <w:pPr>
              <w:pStyle w:val="TableParagraph"/>
              <w:rPr>
                <w:rFonts w:ascii="Times New Roman"/>
                <w:sz w:val="22"/>
              </w:rPr>
            </w:pPr>
          </w:p>
        </w:tc>
        <w:tc>
          <w:tcPr>
            <w:tcW w:w="1786" w:type="dxa"/>
            <w:gridSpan w:val="3"/>
            <w:tcBorders>
              <w:bottom w:val="single" w:sz="8" w:space="0" w:color="000000"/>
            </w:tcBorders>
          </w:tcPr>
          <w:p>
            <w:pPr>
              <w:pStyle w:val="TableParagraph"/>
              <w:rPr>
                <w:rFonts w:ascii="Times New Roman"/>
                <w:sz w:val="22"/>
              </w:rPr>
            </w:pPr>
          </w:p>
        </w:tc>
        <w:tc>
          <w:tcPr>
            <w:tcW w:w="1771" w:type="dxa"/>
            <w:tcBorders>
              <w:bottom w:val="single" w:sz="8" w:space="0" w:color="000000"/>
            </w:tcBorders>
          </w:tcPr>
          <w:p>
            <w:pPr>
              <w:pStyle w:val="TableParagraph"/>
              <w:rPr>
                <w:rFonts w:ascii="Times New Roman"/>
                <w:sz w:val="22"/>
              </w:rPr>
            </w:pPr>
          </w:p>
        </w:tc>
        <w:tc>
          <w:tcPr>
            <w:tcW w:w="1786" w:type="dxa"/>
            <w:tcBorders>
              <w:bottom w:val="single" w:sz="8" w:space="0" w:color="000000"/>
            </w:tcBorders>
          </w:tcPr>
          <w:p>
            <w:pPr>
              <w:pStyle w:val="TableParagraph"/>
              <w:rPr>
                <w:rFonts w:ascii="Times New Roman"/>
                <w:sz w:val="22"/>
              </w:rPr>
            </w:pPr>
          </w:p>
        </w:tc>
        <w:tc>
          <w:tcPr>
            <w:tcW w:w="1771" w:type="dxa"/>
            <w:tcBorders>
              <w:bottom w:val="single" w:sz="8" w:space="0" w:color="000000"/>
            </w:tcBorders>
          </w:tcPr>
          <w:p>
            <w:pPr>
              <w:pStyle w:val="TableParagraph"/>
              <w:rPr>
                <w:rFonts w:ascii="Times New Roman"/>
                <w:sz w:val="22"/>
              </w:rPr>
            </w:pPr>
          </w:p>
        </w:tc>
        <w:tc>
          <w:tcPr>
            <w:tcW w:w="1711" w:type="dxa"/>
            <w:tcBorders>
              <w:bottom w:val="single" w:sz="8" w:space="0" w:color="000000"/>
            </w:tcBorders>
          </w:tcPr>
          <w:p>
            <w:pPr>
              <w:pStyle w:val="TableParagraph"/>
              <w:rPr>
                <w:rFonts w:ascii="Times New Roman"/>
                <w:sz w:val="22"/>
              </w:rPr>
            </w:pPr>
          </w:p>
        </w:tc>
      </w:tr>
    </w:tbl>
    <w:p>
      <w:pPr>
        <w:spacing w:after="0"/>
        <w:rPr>
          <w:rFonts w:ascii="Times New Roman"/>
          <w:sz w:val="22"/>
        </w:rPr>
        <w:sectPr>
          <w:type w:val="continuous"/>
          <w:pgSz w:w="16850" w:h="11910" w:orient="landscape"/>
          <w:pgMar w:top="1380" w:bottom="280" w:left="1300" w:right="1180"/>
        </w:sectPr>
      </w:pPr>
    </w:p>
    <w:p>
      <w:pPr>
        <w:pStyle w:val="BodyText"/>
        <w:rPr>
          <w:sz w:val="23"/>
        </w:rPr>
      </w:pPr>
    </w:p>
    <w:p>
      <w:pPr>
        <w:spacing w:after="0"/>
        <w:rPr>
          <w:sz w:val="23"/>
        </w:rPr>
        <w:sectPr>
          <w:pgSz w:w="16850" w:h="11910" w:orient="landscape"/>
          <w:pgMar w:header="912" w:footer="0" w:top="1180" w:bottom="280" w:left="1300" w:right="1180"/>
        </w:sectPr>
      </w:pPr>
    </w:p>
    <w:p>
      <w:pPr>
        <w:pStyle w:val="BodyText"/>
        <w:rPr>
          <w:sz w:val="22"/>
        </w:rPr>
      </w:pPr>
    </w:p>
    <w:p>
      <w:pPr>
        <w:pStyle w:val="BodyText"/>
        <w:spacing w:before="10"/>
        <w:rPr>
          <w:sz w:val="23"/>
        </w:rPr>
      </w:pPr>
    </w:p>
    <w:p>
      <w:pPr>
        <w:spacing w:before="0"/>
        <w:ind w:left="125" w:right="0" w:firstLine="0"/>
        <w:jc w:val="left"/>
        <w:rPr>
          <w:sz w:val="22"/>
        </w:rPr>
      </w:pPr>
      <w:r>
        <w:rPr>
          <w:sz w:val="22"/>
        </w:rPr>
        <w:t>合同编号：(投标项目合同号) </w:t>
      </w:r>
    </w:p>
    <w:p>
      <w:pPr>
        <w:pStyle w:val="Heading4"/>
        <w:ind w:left="125"/>
      </w:pPr>
      <w:r>
        <w:rPr/>
        <w:br w:type="column"/>
      </w:r>
      <w:r>
        <w:rPr/>
        <w:t>投标人生产电、风、水、砂石基础单价汇总表</w:t>
      </w:r>
    </w:p>
    <w:p>
      <w:pPr>
        <w:spacing w:after="0"/>
        <w:sectPr>
          <w:type w:val="continuous"/>
          <w:pgSz w:w="16850" w:h="11910" w:orient="landscape"/>
          <w:pgMar w:top="1380" w:bottom="280" w:left="1300" w:right="1180"/>
          <w:cols w:num="2" w:equalWidth="0">
            <w:col w:w="3192" w:space="441"/>
            <w:col w:w="10737"/>
          </w:cols>
        </w:sectPr>
      </w:pPr>
    </w:p>
    <w:p>
      <w:pPr>
        <w:spacing w:before="34" w:after="13"/>
        <w:ind w:left="125" w:right="0" w:firstLine="0"/>
        <w:jc w:val="left"/>
        <w:rPr>
          <w:sz w:val="22"/>
        </w:rPr>
      </w:pPr>
      <w:r>
        <w:rPr>
          <w:sz w:val="22"/>
        </w:rPr>
        <w:t>工程名称：</w:t>
      </w:r>
      <w:r>
        <w:rPr>
          <w:spacing w:val="89"/>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6"/>
        <w:gridCol w:w="991"/>
        <w:gridCol w:w="1277"/>
        <w:gridCol w:w="1142"/>
        <w:gridCol w:w="1142"/>
        <w:gridCol w:w="1277"/>
        <w:gridCol w:w="1668"/>
        <w:gridCol w:w="1187"/>
        <w:gridCol w:w="1187"/>
        <w:gridCol w:w="1187"/>
        <w:gridCol w:w="1187"/>
        <w:gridCol w:w="1187"/>
      </w:tblGrid>
      <w:tr>
        <w:trPr>
          <w:trHeight w:val="300" w:hRule="atLeast"/>
        </w:trPr>
        <w:tc>
          <w:tcPr>
            <w:tcW w:w="706" w:type="dxa"/>
          </w:tcPr>
          <w:p>
            <w:pPr>
              <w:pStyle w:val="TableParagraph"/>
              <w:ind w:left="143"/>
              <w:rPr>
                <w:sz w:val="21"/>
              </w:rPr>
            </w:pPr>
            <w:r>
              <w:rPr>
                <w:sz w:val="21"/>
              </w:rPr>
              <w:t>序号</w:t>
            </w:r>
          </w:p>
        </w:tc>
        <w:tc>
          <w:tcPr>
            <w:tcW w:w="991" w:type="dxa"/>
          </w:tcPr>
          <w:p>
            <w:pPr>
              <w:pStyle w:val="TableParagraph"/>
              <w:ind w:left="292"/>
              <w:rPr>
                <w:sz w:val="21"/>
              </w:rPr>
            </w:pPr>
            <w:r>
              <w:rPr>
                <w:sz w:val="21"/>
              </w:rPr>
              <w:t>名称</w:t>
            </w:r>
          </w:p>
        </w:tc>
        <w:tc>
          <w:tcPr>
            <w:tcW w:w="1277" w:type="dxa"/>
          </w:tcPr>
          <w:p>
            <w:pPr>
              <w:pStyle w:val="TableParagraph"/>
              <w:ind w:left="217"/>
              <w:rPr>
                <w:sz w:val="21"/>
              </w:rPr>
            </w:pPr>
            <w:r>
              <w:rPr>
                <w:sz w:val="21"/>
              </w:rPr>
              <w:t>型号规格</w:t>
            </w:r>
          </w:p>
        </w:tc>
        <w:tc>
          <w:tcPr>
            <w:tcW w:w="1142" w:type="dxa"/>
          </w:tcPr>
          <w:p>
            <w:pPr>
              <w:pStyle w:val="TableParagraph"/>
              <w:ind w:left="141"/>
              <w:rPr>
                <w:sz w:val="21"/>
              </w:rPr>
            </w:pPr>
            <w:r>
              <w:rPr>
                <w:sz w:val="21"/>
              </w:rPr>
              <w:t>计量单位</w:t>
            </w:r>
          </w:p>
        </w:tc>
        <w:tc>
          <w:tcPr>
            <w:tcW w:w="1142" w:type="dxa"/>
          </w:tcPr>
          <w:p>
            <w:pPr>
              <w:pStyle w:val="TableParagraph"/>
              <w:ind w:left="245"/>
              <w:rPr>
                <w:sz w:val="21"/>
              </w:rPr>
            </w:pPr>
            <w:r>
              <w:rPr>
                <w:sz w:val="21"/>
              </w:rPr>
              <w:t>人工费</w:t>
            </w:r>
          </w:p>
        </w:tc>
        <w:tc>
          <w:tcPr>
            <w:tcW w:w="1277" w:type="dxa"/>
          </w:tcPr>
          <w:p>
            <w:pPr>
              <w:pStyle w:val="TableParagraph"/>
              <w:ind w:left="304"/>
              <w:rPr>
                <w:sz w:val="21"/>
              </w:rPr>
            </w:pPr>
            <w:r>
              <w:rPr>
                <w:sz w:val="21"/>
              </w:rPr>
              <w:t>材料费</w:t>
            </w:r>
          </w:p>
        </w:tc>
        <w:tc>
          <w:tcPr>
            <w:tcW w:w="1668" w:type="dxa"/>
          </w:tcPr>
          <w:p>
            <w:pPr>
              <w:pStyle w:val="TableParagraph"/>
              <w:ind w:left="288"/>
              <w:rPr>
                <w:sz w:val="21"/>
              </w:rPr>
            </w:pPr>
            <w:r>
              <w:rPr>
                <w:sz w:val="21"/>
              </w:rPr>
              <w:t>机械使用费</w:t>
            </w: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ind w:left="359"/>
              <w:rPr>
                <w:sz w:val="21"/>
              </w:rPr>
            </w:pPr>
            <w:r>
              <w:rPr>
                <w:sz w:val="21"/>
              </w:rPr>
              <w:t>合计</w:t>
            </w:r>
          </w:p>
        </w:tc>
        <w:tc>
          <w:tcPr>
            <w:tcW w:w="1187" w:type="dxa"/>
          </w:tcPr>
          <w:p>
            <w:pPr>
              <w:pStyle w:val="TableParagraph"/>
              <w:ind w:left="358"/>
              <w:rPr>
                <w:sz w:val="21"/>
              </w:rPr>
            </w:pPr>
            <w:r>
              <w:rPr>
                <w:sz w:val="21"/>
              </w:rPr>
              <w:t>备注</w:t>
            </w:r>
          </w:p>
        </w:tc>
      </w:tr>
      <w:tr>
        <w:trPr>
          <w:trHeight w:val="315"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r>
        <w:trPr>
          <w:trHeight w:val="300"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r>
        <w:trPr>
          <w:trHeight w:val="315"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r>
        <w:trPr>
          <w:trHeight w:val="300"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r>
        <w:trPr>
          <w:trHeight w:val="315"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r>
        <w:trPr>
          <w:trHeight w:val="300"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r>
        <w:trPr>
          <w:trHeight w:val="300" w:hRule="atLeast"/>
        </w:trPr>
        <w:tc>
          <w:tcPr>
            <w:tcW w:w="706" w:type="dxa"/>
          </w:tcPr>
          <w:p>
            <w:pPr>
              <w:pStyle w:val="TableParagraph"/>
              <w:rPr>
                <w:rFonts w:ascii="Times New Roman"/>
                <w:sz w:val="22"/>
              </w:rPr>
            </w:pPr>
          </w:p>
        </w:tc>
        <w:tc>
          <w:tcPr>
            <w:tcW w:w="991" w:type="dxa"/>
          </w:tcPr>
          <w:p>
            <w:pPr>
              <w:pStyle w:val="TableParagraph"/>
              <w:rPr>
                <w:rFonts w:ascii="Times New Roman"/>
                <w:sz w:val="22"/>
              </w:rPr>
            </w:pPr>
          </w:p>
        </w:tc>
        <w:tc>
          <w:tcPr>
            <w:tcW w:w="1277" w:type="dxa"/>
          </w:tcPr>
          <w:p>
            <w:pPr>
              <w:pStyle w:val="TableParagraph"/>
              <w:rPr>
                <w:rFonts w:ascii="Times New Roman"/>
                <w:sz w:val="22"/>
              </w:rPr>
            </w:pPr>
          </w:p>
        </w:tc>
        <w:tc>
          <w:tcPr>
            <w:tcW w:w="1142" w:type="dxa"/>
          </w:tcPr>
          <w:p>
            <w:pPr>
              <w:pStyle w:val="TableParagraph"/>
              <w:rPr>
                <w:rFonts w:ascii="Times New Roman"/>
                <w:sz w:val="22"/>
              </w:rPr>
            </w:pPr>
          </w:p>
        </w:tc>
        <w:tc>
          <w:tcPr>
            <w:tcW w:w="1142" w:type="dxa"/>
          </w:tcPr>
          <w:p>
            <w:pPr>
              <w:pStyle w:val="TableParagraph"/>
              <w:rPr>
                <w:rFonts w:ascii="Times New Roman"/>
                <w:sz w:val="22"/>
              </w:rPr>
            </w:pPr>
          </w:p>
        </w:tc>
        <w:tc>
          <w:tcPr>
            <w:tcW w:w="1277" w:type="dxa"/>
          </w:tcPr>
          <w:p>
            <w:pPr>
              <w:pStyle w:val="TableParagraph"/>
              <w:rPr>
                <w:rFonts w:ascii="Times New Roman"/>
                <w:sz w:val="22"/>
              </w:rPr>
            </w:pPr>
          </w:p>
        </w:tc>
        <w:tc>
          <w:tcPr>
            <w:tcW w:w="1668"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c>
          <w:tcPr>
            <w:tcW w:w="1187" w:type="dxa"/>
          </w:tcPr>
          <w:p>
            <w:pPr>
              <w:pStyle w:val="TableParagraph"/>
              <w:rPr>
                <w:rFonts w:ascii="Times New Roman"/>
                <w:sz w:val="22"/>
              </w:rPr>
            </w:pPr>
          </w:p>
        </w:tc>
      </w:tr>
    </w:tbl>
    <w:p>
      <w:pPr>
        <w:pStyle w:val="BodyText"/>
        <w:spacing w:before="5"/>
        <w:rPr>
          <w:sz w:val="28"/>
        </w:rPr>
      </w:pPr>
    </w:p>
    <w:p>
      <w:pPr>
        <w:spacing w:after="0"/>
        <w:rPr>
          <w:sz w:val="28"/>
        </w:rPr>
        <w:sectPr>
          <w:type w:val="continuous"/>
          <w:pgSz w:w="16850" w:h="11910" w:orient="landscape"/>
          <w:pgMar w:top="1380" w:bottom="280" w:left="1300" w:right="1180"/>
        </w:sectPr>
      </w:pPr>
    </w:p>
    <w:p>
      <w:pPr>
        <w:pStyle w:val="BodyText"/>
        <w:rPr>
          <w:sz w:val="22"/>
        </w:rPr>
      </w:pPr>
    </w:p>
    <w:p>
      <w:pPr>
        <w:pStyle w:val="BodyText"/>
        <w:rPr>
          <w:sz w:val="25"/>
        </w:rPr>
      </w:pPr>
    </w:p>
    <w:p>
      <w:pPr>
        <w:spacing w:before="0"/>
        <w:ind w:left="125" w:right="0" w:firstLine="0"/>
        <w:jc w:val="left"/>
        <w:rPr>
          <w:sz w:val="22"/>
        </w:rPr>
      </w:pPr>
      <w:r>
        <w:rPr>
          <w:sz w:val="22"/>
        </w:rPr>
        <w:t>合同编号：(投标项目合同号) </w:t>
      </w:r>
    </w:p>
    <w:p>
      <w:pPr>
        <w:pStyle w:val="Heading4"/>
        <w:spacing w:before="62"/>
        <w:ind w:left="126"/>
      </w:pPr>
      <w:r>
        <w:rPr/>
        <w:br w:type="column"/>
      </w:r>
      <w:r>
        <w:rPr>
          <w:shd w:fill="FFFFFF" w:color="auto" w:val="clear"/>
        </w:rPr>
        <w:t>投标人生产混凝土配合比材料费表</w:t>
      </w:r>
    </w:p>
    <w:p>
      <w:pPr>
        <w:spacing w:after="0"/>
        <w:sectPr>
          <w:type w:val="continuous"/>
          <w:pgSz w:w="16850" w:h="11910" w:orient="landscape"/>
          <w:pgMar w:top="1380" w:bottom="280" w:left="1300" w:right="1180"/>
          <w:cols w:num="2" w:equalWidth="0">
            <w:col w:w="3192" w:space="1267"/>
            <w:col w:w="9911"/>
          </w:cols>
        </w:sectPr>
      </w:pPr>
    </w:p>
    <w:p>
      <w:pPr>
        <w:spacing w:before="19" w:after="13"/>
        <w:ind w:left="125" w:right="0" w:firstLine="0"/>
        <w:jc w:val="left"/>
        <w:rPr>
          <w:sz w:val="22"/>
        </w:rPr>
      </w:pPr>
      <w:r>
        <w:rPr/>
        <w:drawing>
          <wp:anchor distT="0" distB="0" distL="0" distR="0" allowOverlap="1" layoutInCell="1" locked="0" behindDoc="1" simplePos="0" relativeHeight="234875904">
            <wp:simplePos x="0" y="0"/>
            <wp:positionH relativeFrom="page">
              <wp:posOffset>2540254</wp:posOffset>
            </wp:positionH>
            <wp:positionV relativeFrom="page">
              <wp:posOffset>1055121</wp:posOffset>
            </wp:positionV>
            <wp:extent cx="5578983" cy="5494115"/>
            <wp:effectExtent l="0" t="0" r="0" b="0"/>
            <wp:wrapNone/>
            <wp:docPr id="127" name="image22.png"/>
            <wp:cNvGraphicFramePr>
              <a:graphicFrameLocks noChangeAspect="1"/>
            </wp:cNvGraphicFramePr>
            <a:graphic>
              <a:graphicData uri="http://schemas.openxmlformats.org/drawingml/2006/picture">
                <pic:pic>
                  <pic:nvPicPr>
                    <pic:cNvPr id="128" name="image22.png"/>
                    <pic:cNvPicPr/>
                  </pic:nvPicPr>
                  <pic:blipFill>
                    <a:blip r:embed="rId34" cstate="print"/>
                    <a:stretch>
                      <a:fillRect/>
                    </a:stretch>
                  </pic:blipFill>
                  <pic:spPr>
                    <a:xfrm>
                      <a:off x="0" y="0"/>
                      <a:ext cx="5578983" cy="5494115"/>
                    </a:xfrm>
                    <a:prstGeom prst="rect">
                      <a:avLst/>
                    </a:prstGeom>
                  </pic:spPr>
                </pic:pic>
              </a:graphicData>
            </a:graphic>
          </wp:anchor>
        </w:drawing>
      </w:r>
      <w:r>
        <w:rPr>
          <w:sz w:val="22"/>
        </w:rPr>
        <w:t>工程名称：</w:t>
      </w:r>
      <w:r>
        <w:rPr>
          <w:spacing w:val="89"/>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01"/>
        <w:gridCol w:w="796"/>
        <w:gridCol w:w="1247"/>
        <w:gridCol w:w="1006"/>
        <w:gridCol w:w="1021"/>
        <w:gridCol w:w="1021"/>
        <w:gridCol w:w="1021"/>
        <w:gridCol w:w="1006"/>
        <w:gridCol w:w="1020"/>
        <w:gridCol w:w="1021"/>
        <w:gridCol w:w="1006"/>
        <w:gridCol w:w="1021"/>
        <w:gridCol w:w="1021"/>
        <w:gridCol w:w="946"/>
      </w:tblGrid>
      <w:tr>
        <w:trPr>
          <w:trHeight w:val="315" w:hRule="atLeast"/>
        </w:trPr>
        <w:tc>
          <w:tcPr>
            <w:tcW w:w="901" w:type="dxa"/>
            <w:vMerge w:val="restart"/>
          </w:tcPr>
          <w:p>
            <w:pPr>
              <w:pStyle w:val="TableParagraph"/>
              <w:spacing w:before="1"/>
              <w:rPr>
                <w:sz w:val="14"/>
              </w:rPr>
            </w:pPr>
          </w:p>
          <w:p>
            <w:pPr>
              <w:pStyle w:val="TableParagraph"/>
              <w:ind w:left="248"/>
              <w:rPr>
                <w:sz w:val="21"/>
              </w:rPr>
            </w:pPr>
            <w:r>
              <w:rPr>
                <w:sz w:val="21"/>
              </w:rPr>
              <w:t>序号</w:t>
            </w:r>
          </w:p>
        </w:tc>
        <w:tc>
          <w:tcPr>
            <w:tcW w:w="796" w:type="dxa"/>
            <w:vMerge w:val="restart"/>
          </w:tcPr>
          <w:p>
            <w:pPr>
              <w:pStyle w:val="TableParagraph"/>
              <w:spacing w:before="15"/>
              <w:ind w:left="187"/>
              <w:rPr>
                <w:sz w:val="21"/>
              </w:rPr>
            </w:pPr>
            <w:r>
              <w:rPr>
                <w:spacing w:val="-1"/>
                <w:sz w:val="21"/>
              </w:rPr>
              <w:t>工程</w:t>
            </w:r>
          </w:p>
          <w:p>
            <w:pPr>
              <w:pStyle w:val="TableParagraph"/>
              <w:spacing w:before="47"/>
              <w:ind w:left="187"/>
              <w:rPr>
                <w:sz w:val="21"/>
              </w:rPr>
            </w:pPr>
            <w:r>
              <w:rPr>
                <w:spacing w:val="-1"/>
                <w:sz w:val="21"/>
              </w:rPr>
              <w:t>部位</w:t>
            </w:r>
          </w:p>
        </w:tc>
        <w:tc>
          <w:tcPr>
            <w:tcW w:w="1247" w:type="dxa"/>
            <w:vMerge w:val="restart"/>
          </w:tcPr>
          <w:p>
            <w:pPr>
              <w:pStyle w:val="TableParagraph"/>
              <w:spacing w:before="15"/>
              <w:ind w:left="202"/>
              <w:rPr>
                <w:sz w:val="21"/>
              </w:rPr>
            </w:pPr>
            <w:r>
              <w:rPr>
                <w:spacing w:val="-1"/>
                <w:sz w:val="21"/>
              </w:rPr>
              <w:t>混凝土强</w:t>
            </w:r>
          </w:p>
          <w:p>
            <w:pPr>
              <w:pStyle w:val="TableParagraph"/>
              <w:spacing w:before="47"/>
              <w:ind w:left="307"/>
              <w:rPr>
                <w:sz w:val="21"/>
              </w:rPr>
            </w:pPr>
            <w:r>
              <w:rPr>
                <w:spacing w:val="-1"/>
                <w:sz w:val="21"/>
              </w:rPr>
              <w:t>度等级</w:t>
            </w:r>
          </w:p>
        </w:tc>
        <w:tc>
          <w:tcPr>
            <w:tcW w:w="1006" w:type="dxa"/>
            <w:vMerge w:val="restart"/>
          </w:tcPr>
          <w:p>
            <w:pPr>
              <w:pStyle w:val="TableParagraph"/>
              <w:spacing w:before="15"/>
              <w:ind w:left="186"/>
              <w:rPr>
                <w:sz w:val="21"/>
              </w:rPr>
            </w:pPr>
            <w:r>
              <w:rPr>
                <w:spacing w:val="-1"/>
                <w:sz w:val="21"/>
              </w:rPr>
              <w:t>水泥强</w:t>
            </w:r>
          </w:p>
          <w:p>
            <w:pPr>
              <w:pStyle w:val="TableParagraph"/>
              <w:spacing w:before="47"/>
              <w:ind w:left="186"/>
              <w:rPr>
                <w:sz w:val="21"/>
              </w:rPr>
            </w:pPr>
            <w:r>
              <w:rPr>
                <w:spacing w:val="-1"/>
                <w:sz w:val="21"/>
              </w:rPr>
              <w:t>度等级</w:t>
            </w:r>
          </w:p>
        </w:tc>
        <w:tc>
          <w:tcPr>
            <w:tcW w:w="1021" w:type="dxa"/>
            <w:vMerge w:val="restart"/>
          </w:tcPr>
          <w:p>
            <w:pPr>
              <w:pStyle w:val="TableParagraph"/>
              <w:spacing w:before="1"/>
              <w:rPr>
                <w:sz w:val="14"/>
              </w:rPr>
            </w:pPr>
          </w:p>
          <w:p>
            <w:pPr>
              <w:pStyle w:val="TableParagraph"/>
              <w:ind w:left="291"/>
              <w:rPr>
                <w:sz w:val="21"/>
              </w:rPr>
            </w:pPr>
            <w:r>
              <w:rPr>
                <w:sz w:val="21"/>
              </w:rPr>
              <w:t>级配</w:t>
            </w:r>
          </w:p>
        </w:tc>
        <w:tc>
          <w:tcPr>
            <w:tcW w:w="1021" w:type="dxa"/>
            <w:vMerge w:val="restart"/>
          </w:tcPr>
          <w:p>
            <w:pPr>
              <w:pStyle w:val="TableParagraph"/>
              <w:spacing w:before="1"/>
              <w:rPr>
                <w:sz w:val="14"/>
              </w:rPr>
            </w:pPr>
          </w:p>
          <w:p>
            <w:pPr>
              <w:pStyle w:val="TableParagraph"/>
              <w:ind w:left="186"/>
              <w:rPr>
                <w:sz w:val="21"/>
              </w:rPr>
            </w:pPr>
            <w:r>
              <w:rPr>
                <w:sz w:val="21"/>
                <w:shd w:fill="FFFFFF" w:color="auto" w:val="clear"/>
              </w:rPr>
              <w:t>水灰比</w:t>
            </w:r>
          </w:p>
        </w:tc>
        <w:tc>
          <w:tcPr>
            <w:tcW w:w="6095" w:type="dxa"/>
            <w:gridSpan w:val="6"/>
          </w:tcPr>
          <w:p>
            <w:pPr>
              <w:pStyle w:val="TableParagraph"/>
              <w:spacing w:before="15"/>
              <w:ind w:left="2171" w:right="2141"/>
              <w:jc w:val="center"/>
              <w:rPr>
                <w:rFonts w:ascii="Calibri" w:eastAsia="Calibri"/>
                <w:sz w:val="21"/>
              </w:rPr>
            </w:pPr>
            <w:r>
              <w:rPr>
                <w:sz w:val="21"/>
              </w:rPr>
              <w:t>预算材料量</w:t>
            </w:r>
            <w:r>
              <w:rPr>
                <w:rFonts w:ascii="Calibri" w:eastAsia="Calibri"/>
                <w:sz w:val="21"/>
              </w:rPr>
              <w:t>(kg/m3)</w:t>
            </w:r>
          </w:p>
        </w:tc>
        <w:tc>
          <w:tcPr>
            <w:tcW w:w="1021" w:type="dxa"/>
            <w:vMerge w:val="restart"/>
          </w:tcPr>
          <w:p>
            <w:pPr>
              <w:pStyle w:val="TableParagraph"/>
              <w:spacing w:before="15"/>
              <w:ind w:left="135" w:right="136"/>
              <w:jc w:val="center"/>
              <w:rPr>
                <w:sz w:val="21"/>
              </w:rPr>
            </w:pPr>
            <w:r>
              <w:rPr>
                <w:sz w:val="21"/>
              </w:rPr>
              <w:t>单价</w:t>
            </w:r>
            <w:r>
              <w:rPr>
                <w:rFonts w:ascii="Calibri" w:eastAsia="Calibri"/>
                <w:sz w:val="21"/>
              </w:rPr>
              <w:t>(</w:t>
            </w:r>
            <w:r>
              <w:rPr>
                <w:sz w:val="21"/>
              </w:rPr>
              <w:t>元</w:t>
            </w:r>
          </w:p>
          <w:p>
            <w:pPr>
              <w:pStyle w:val="TableParagraph"/>
              <w:spacing w:before="57"/>
              <w:ind w:left="135" w:right="120"/>
              <w:jc w:val="center"/>
              <w:rPr>
                <w:rFonts w:ascii="Calibri"/>
                <w:sz w:val="21"/>
              </w:rPr>
            </w:pPr>
            <w:r>
              <w:rPr>
                <w:rFonts w:ascii="Calibri"/>
                <w:sz w:val="21"/>
              </w:rPr>
              <w:t>/m3)</w:t>
            </w:r>
          </w:p>
        </w:tc>
        <w:tc>
          <w:tcPr>
            <w:tcW w:w="946" w:type="dxa"/>
            <w:vMerge w:val="restart"/>
          </w:tcPr>
          <w:p>
            <w:pPr>
              <w:pStyle w:val="TableParagraph"/>
              <w:spacing w:before="1"/>
              <w:rPr>
                <w:sz w:val="14"/>
              </w:rPr>
            </w:pPr>
          </w:p>
          <w:p>
            <w:pPr>
              <w:pStyle w:val="TableParagraph"/>
              <w:ind w:left="261"/>
              <w:rPr>
                <w:sz w:val="21"/>
              </w:rPr>
            </w:pPr>
            <w:r>
              <w:rPr>
                <w:sz w:val="21"/>
              </w:rPr>
              <w:t>备注</w:t>
            </w:r>
          </w:p>
        </w:tc>
      </w:tr>
      <w:tr>
        <w:trPr>
          <w:trHeight w:val="300" w:hRule="atLeast"/>
        </w:trPr>
        <w:tc>
          <w:tcPr>
            <w:tcW w:w="901" w:type="dxa"/>
            <w:vMerge/>
            <w:tcBorders>
              <w:top w:val="nil"/>
            </w:tcBorders>
          </w:tcPr>
          <w:p>
            <w:pPr>
              <w:rPr>
                <w:sz w:val="2"/>
                <w:szCs w:val="2"/>
              </w:rPr>
            </w:pPr>
          </w:p>
        </w:tc>
        <w:tc>
          <w:tcPr>
            <w:tcW w:w="796" w:type="dxa"/>
            <w:vMerge/>
            <w:tcBorders>
              <w:top w:val="nil"/>
            </w:tcBorders>
          </w:tcPr>
          <w:p>
            <w:pPr>
              <w:rPr>
                <w:sz w:val="2"/>
                <w:szCs w:val="2"/>
              </w:rPr>
            </w:pPr>
          </w:p>
        </w:tc>
        <w:tc>
          <w:tcPr>
            <w:tcW w:w="1247" w:type="dxa"/>
            <w:vMerge/>
            <w:tcBorders>
              <w:top w:val="nil"/>
            </w:tcBorders>
          </w:tcPr>
          <w:p>
            <w:pPr>
              <w:rPr>
                <w:sz w:val="2"/>
                <w:szCs w:val="2"/>
              </w:rPr>
            </w:pPr>
          </w:p>
        </w:tc>
        <w:tc>
          <w:tcPr>
            <w:tcW w:w="1006" w:type="dxa"/>
            <w:vMerge/>
            <w:tcBorders>
              <w:top w:val="nil"/>
            </w:tcBorders>
          </w:tcPr>
          <w:p>
            <w:pPr>
              <w:rPr>
                <w:sz w:val="2"/>
                <w:szCs w:val="2"/>
              </w:rPr>
            </w:pPr>
          </w:p>
        </w:tc>
        <w:tc>
          <w:tcPr>
            <w:tcW w:w="1021" w:type="dxa"/>
            <w:vMerge/>
            <w:tcBorders>
              <w:top w:val="nil"/>
            </w:tcBorders>
          </w:tcPr>
          <w:p>
            <w:pPr>
              <w:rPr>
                <w:sz w:val="2"/>
                <w:szCs w:val="2"/>
              </w:rPr>
            </w:pPr>
          </w:p>
        </w:tc>
        <w:tc>
          <w:tcPr>
            <w:tcW w:w="1021" w:type="dxa"/>
            <w:vMerge/>
            <w:tcBorders>
              <w:top w:val="nil"/>
            </w:tcBorders>
          </w:tcPr>
          <w:p>
            <w:pPr>
              <w:rPr>
                <w:sz w:val="2"/>
                <w:szCs w:val="2"/>
              </w:rPr>
            </w:pPr>
          </w:p>
        </w:tc>
        <w:tc>
          <w:tcPr>
            <w:tcW w:w="1021" w:type="dxa"/>
          </w:tcPr>
          <w:p>
            <w:pPr>
              <w:pStyle w:val="TableParagraph"/>
              <w:ind w:left="291"/>
              <w:rPr>
                <w:sz w:val="21"/>
              </w:rPr>
            </w:pPr>
            <w:r>
              <w:rPr>
                <w:sz w:val="21"/>
              </w:rPr>
              <w:t>水泥</w:t>
            </w:r>
          </w:p>
        </w:tc>
        <w:tc>
          <w:tcPr>
            <w:tcW w:w="1006" w:type="dxa"/>
          </w:tcPr>
          <w:p>
            <w:pPr>
              <w:pStyle w:val="TableParagraph"/>
              <w:ind w:right="16"/>
              <w:jc w:val="center"/>
              <w:rPr>
                <w:sz w:val="21"/>
              </w:rPr>
            </w:pPr>
            <w:r>
              <w:rPr>
                <w:w w:val="100"/>
                <w:sz w:val="21"/>
              </w:rPr>
              <w:t>砂</w:t>
            </w:r>
          </w:p>
        </w:tc>
        <w:tc>
          <w:tcPr>
            <w:tcW w:w="1020" w:type="dxa"/>
          </w:tcPr>
          <w:p>
            <w:pPr>
              <w:pStyle w:val="TableParagraph"/>
              <w:jc w:val="center"/>
              <w:rPr>
                <w:sz w:val="21"/>
              </w:rPr>
            </w:pPr>
            <w:r>
              <w:rPr>
                <w:w w:val="100"/>
                <w:sz w:val="21"/>
              </w:rPr>
              <w:t>石</w:t>
            </w: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vMerge/>
            <w:tcBorders>
              <w:top w:val="nil"/>
            </w:tcBorders>
          </w:tcPr>
          <w:p>
            <w:pPr>
              <w:rPr>
                <w:sz w:val="2"/>
                <w:szCs w:val="2"/>
              </w:rPr>
            </w:pPr>
          </w:p>
        </w:tc>
        <w:tc>
          <w:tcPr>
            <w:tcW w:w="946" w:type="dxa"/>
            <w:vMerge/>
            <w:tcBorders>
              <w:top w:val="nil"/>
            </w:tcBorders>
          </w:tcPr>
          <w:p>
            <w:pPr>
              <w:rPr>
                <w:sz w:val="2"/>
                <w:szCs w:val="2"/>
              </w:rPr>
            </w:pPr>
          </w:p>
        </w:tc>
      </w:tr>
      <w:tr>
        <w:trPr>
          <w:trHeight w:val="315"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r>
        <w:trPr>
          <w:trHeight w:val="300"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r>
        <w:trPr>
          <w:trHeight w:val="300"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r>
        <w:trPr>
          <w:trHeight w:val="315"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r>
        <w:trPr>
          <w:trHeight w:val="300"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r>
        <w:trPr>
          <w:trHeight w:val="315"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r>
        <w:trPr>
          <w:trHeight w:val="300" w:hRule="atLeast"/>
        </w:trPr>
        <w:tc>
          <w:tcPr>
            <w:tcW w:w="901" w:type="dxa"/>
          </w:tcPr>
          <w:p>
            <w:pPr>
              <w:pStyle w:val="TableParagraph"/>
              <w:rPr>
                <w:rFonts w:ascii="Times New Roman"/>
                <w:sz w:val="22"/>
              </w:rPr>
            </w:pPr>
          </w:p>
        </w:tc>
        <w:tc>
          <w:tcPr>
            <w:tcW w:w="796" w:type="dxa"/>
          </w:tcPr>
          <w:p>
            <w:pPr>
              <w:pStyle w:val="TableParagraph"/>
              <w:rPr>
                <w:rFonts w:ascii="Times New Roman"/>
                <w:sz w:val="22"/>
              </w:rPr>
            </w:pPr>
          </w:p>
        </w:tc>
        <w:tc>
          <w:tcPr>
            <w:tcW w:w="1247"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0" w:type="dxa"/>
          </w:tcPr>
          <w:p>
            <w:pPr>
              <w:pStyle w:val="TableParagraph"/>
              <w:rPr>
                <w:rFonts w:ascii="Times New Roman"/>
                <w:sz w:val="22"/>
              </w:rPr>
            </w:pPr>
          </w:p>
        </w:tc>
        <w:tc>
          <w:tcPr>
            <w:tcW w:w="1021" w:type="dxa"/>
          </w:tcPr>
          <w:p>
            <w:pPr>
              <w:pStyle w:val="TableParagraph"/>
              <w:rPr>
                <w:rFonts w:ascii="Times New Roman"/>
                <w:sz w:val="22"/>
              </w:rPr>
            </w:pPr>
          </w:p>
        </w:tc>
        <w:tc>
          <w:tcPr>
            <w:tcW w:w="1006" w:type="dxa"/>
          </w:tcPr>
          <w:p>
            <w:pPr>
              <w:pStyle w:val="TableParagraph"/>
              <w:rPr>
                <w:rFonts w:ascii="Times New Roman"/>
                <w:sz w:val="22"/>
              </w:rPr>
            </w:pPr>
          </w:p>
        </w:tc>
        <w:tc>
          <w:tcPr>
            <w:tcW w:w="1021" w:type="dxa"/>
          </w:tcPr>
          <w:p>
            <w:pPr>
              <w:pStyle w:val="TableParagraph"/>
              <w:rPr>
                <w:rFonts w:ascii="Times New Roman"/>
                <w:sz w:val="22"/>
              </w:rPr>
            </w:pPr>
          </w:p>
        </w:tc>
        <w:tc>
          <w:tcPr>
            <w:tcW w:w="1021" w:type="dxa"/>
          </w:tcPr>
          <w:p>
            <w:pPr>
              <w:pStyle w:val="TableParagraph"/>
              <w:rPr>
                <w:rFonts w:ascii="Times New Roman"/>
                <w:sz w:val="22"/>
              </w:rPr>
            </w:pPr>
          </w:p>
        </w:tc>
        <w:tc>
          <w:tcPr>
            <w:tcW w:w="946" w:type="dxa"/>
          </w:tcPr>
          <w:p>
            <w:pPr>
              <w:pStyle w:val="TableParagraph"/>
              <w:rPr>
                <w:rFonts w:ascii="Times New Roman"/>
                <w:sz w:val="22"/>
              </w:rPr>
            </w:pPr>
          </w:p>
        </w:tc>
      </w:tr>
    </w:tbl>
    <w:p>
      <w:pPr>
        <w:spacing w:after="0"/>
        <w:rPr>
          <w:rFonts w:ascii="Times New Roman"/>
          <w:sz w:val="22"/>
        </w:rPr>
        <w:sectPr>
          <w:type w:val="continuous"/>
          <w:pgSz w:w="16850" w:h="11910" w:orient="landscape"/>
          <w:pgMar w:top="1380" w:bottom="280" w:left="1300" w:right="1180"/>
        </w:sectPr>
      </w:pPr>
    </w:p>
    <w:p>
      <w:pPr>
        <w:pStyle w:val="BodyText"/>
        <w:spacing w:before="11"/>
        <w:rPr>
          <w:sz w:val="17"/>
        </w:rPr>
      </w:pPr>
    </w:p>
    <w:p>
      <w:pPr>
        <w:pStyle w:val="Heading4"/>
        <w:spacing w:before="62"/>
        <w:ind w:left="2710"/>
      </w:pPr>
      <w:r>
        <w:rPr/>
        <w:t>招标人供应材料价格汇总表</w:t>
      </w:r>
    </w:p>
    <w:p>
      <w:pPr>
        <w:spacing w:before="143"/>
        <w:ind w:left="126" w:right="0" w:firstLine="0"/>
        <w:jc w:val="left"/>
        <w:rPr>
          <w:sz w:val="22"/>
        </w:rPr>
      </w:pPr>
      <w:r>
        <w:rPr>
          <w:sz w:val="22"/>
        </w:rPr>
        <w:t>合同编号：(投标项目合同号) </w:t>
      </w:r>
    </w:p>
    <w:p>
      <w:pPr>
        <w:spacing w:before="33" w:after="14"/>
        <w:ind w:left="126" w:right="0" w:firstLine="0"/>
        <w:jc w:val="left"/>
        <w:rPr>
          <w:sz w:val="22"/>
        </w:rPr>
      </w:pPr>
      <w:r>
        <w:rPr/>
        <w:pict>
          <v:group style="position:absolute;margin-left:71.349998pt;margin-top:72.010475pt;width:446.15pt;height:432.65pt;mso-position-horizontal-relative:page;mso-position-vertical-relative:paragraph;z-index:-268438528" coordorigin="1427,1440" coordsize="8923,8653">
            <v:shape style="position:absolute;left:1563;top:1440;width:8786;height:8653" type="#_x0000_t75" stroked="false">
              <v:imagedata r:id="rId6" o:title=""/>
            </v:shape>
            <v:rect style="position:absolute;left:1427;top:6723;width:5107;height:316" filled="true" fillcolor="#ffffff" stroked="false">
              <v:fill type="solid"/>
            </v:rect>
            <v:shape style="position:absolute;left:1427;top:1440;width:8923;height:8653"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4"/>
                      <w:rPr>
                        <w:sz w:val="28"/>
                      </w:rPr>
                    </w:pPr>
                  </w:p>
                  <w:p>
                    <w:pPr>
                      <w:spacing w:before="0"/>
                      <w:ind w:left="1756" w:right="1546" w:firstLine="0"/>
                      <w:jc w:val="center"/>
                      <w:rPr>
                        <w:rFonts w:ascii="黑体" w:eastAsia="黑体" w:hint="eastAsia"/>
                        <w:sz w:val="31"/>
                      </w:rPr>
                    </w:pPr>
                    <w:r>
                      <w:rPr>
                        <w:rFonts w:ascii="黑体" w:eastAsia="黑体" w:hint="eastAsia"/>
                        <w:sz w:val="31"/>
                        <w:shd w:fill="FFFFFF" w:color="auto" w:val="clear"/>
                      </w:rPr>
                      <w:t>投标人自行采购主要材料预算价格汇总表</w:t>
                    </w:r>
                  </w:p>
                  <w:p>
                    <w:pPr>
                      <w:spacing w:before="128"/>
                      <w:ind w:left="0" w:right="0" w:firstLine="0"/>
                      <w:jc w:val="left"/>
                      <w:rPr>
                        <w:sz w:val="22"/>
                      </w:rPr>
                    </w:pPr>
                    <w:r>
                      <w:rPr>
                        <w:sz w:val="22"/>
                      </w:rPr>
                      <w:t>合同编号：(投标项目合同号) </w:t>
                    </w:r>
                  </w:p>
                  <w:p>
                    <w:pPr>
                      <w:spacing w:before="34"/>
                      <w:ind w:left="0" w:right="0" w:firstLine="0"/>
                      <w:jc w:val="left"/>
                      <w:rPr>
                        <w:sz w:val="22"/>
                      </w:rPr>
                    </w:pPr>
                    <w:r>
                      <w:rPr>
                        <w:sz w:val="22"/>
                      </w:rPr>
                      <w:t>工程名称：</w:t>
                    </w:r>
                    <w:r>
                      <w:rPr>
                        <w:spacing w:val="95"/>
                        <w:sz w:val="22"/>
                        <w:u w:val="single"/>
                      </w:rPr>
                      <w:t> </w:t>
                    </w:r>
                    <w:r>
                      <w:rPr>
                        <w:spacing w:val="1"/>
                        <w:sz w:val="22"/>
                      </w:rPr>
                      <w:t>(项目名称)</w:t>
                    </w:r>
                    <w:r>
                      <w:rPr>
                        <w:spacing w:val="1"/>
                        <w:sz w:val="22"/>
                        <w:u w:val="single"/>
                      </w:rPr>
                      <w:t> </w:t>
                    </w:r>
                    <w:r>
                      <w:rPr>
                        <w:spacing w:val="1"/>
                        <w:sz w:val="22"/>
                      </w:rPr>
                      <w:t>(标段名称)</w:t>
                    </w:r>
                    <w:r>
                      <w:rPr>
                        <w:sz w:val="22"/>
                      </w:rPr>
                      <w:t> </w:t>
                    </w:r>
                  </w:p>
                </w:txbxContent>
              </v:textbox>
              <w10:wrap type="none"/>
            </v:shape>
            <w10:wrap type="none"/>
          </v:group>
        </w:pict>
      </w:r>
      <w:r>
        <w:rPr>
          <w:sz w:val="22"/>
        </w:rPr>
        <w:t>工程名称：</w:t>
      </w:r>
      <w:r>
        <w:rPr>
          <w:spacing w:val="104"/>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1277"/>
        <w:gridCol w:w="1412"/>
        <w:gridCol w:w="1276"/>
        <w:gridCol w:w="1847"/>
        <w:gridCol w:w="2418"/>
      </w:tblGrid>
      <w:tr>
        <w:trPr>
          <w:trHeight w:val="300" w:hRule="atLeast"/>
        </w:trPr>
        <w:tc>
          <w:tcPr>
            <w:tcW w:w="856" w:type="dxa"/>
          </w:tcPr>
          <w:p>
            <w:pPr>
              <w:pStyle w:val="TableParagraph"/>
              <w:ind w:left="112"/>
              <w:rPr>
                <w:sz w:val="21"/>
              </w:rPr>
            </w:pPr>
            <w:r>
              <w:rPr>
                <w:sz w:val="21"/>
              </w:rPr>
              <w:t>序号</w:t>
            </w:r>
          </w:p>
        </w:tc>
        <w:tc>
          <w:tcPr>
            <w:tcW w:w="1277" w:type="dxa"/>
          </w:tcPr>
          <w:p>
            <w:pPr>
              <w:pStyle w:val="TableParagraph"/>
              <w:ind w:left="97"/>
              <w:rPr>
                <w:sz w:val="21"/>
              </w:rPr>
            </w:pPr>
            <w:r>
              <w:rPr>
                <w:sz w:val="21"/>
              </w:rPr>
              <w:t>材料名称</w:t>
            </w:r>
          </w:p>
        </w:tc>
        <w:tc>
          <w:tcPr>
            <w:tcW w:w="1412" w:type="dxa"/>
          </w:tcPr>
          <w:p>
            <w:pPr>
              <w:pStyle w:val="TableParagraph"/>
              <w:ind w:left="112"/>
              <w:rPr>
                <w:sz w:val="21"/>
              </w:rPr>
            </w:pPr>
            <w:r>
              <w:rPr>
                <w:sz w:val="21"/>
              </w:rPr>
              <w:t>型号规格</w:t>
            </w:r>
          </w:p>
        </w:tc>
        <w:tc>
          <w:tcPr>
            <w:tcW w:w="1276" w:type="dxa"/>
          </w:tcPr>
          <w:p>
            <w:pPr>
              <w:pStyle w:val="TableParagraph"/>
              <w:ind w:left="112"/>
              <w:rPr>
                <w:sz w:val="21"/>
              </w:rPr>
            </w:pPr>
            <w:r>
              <w:rPr>
                <w:sz w:val="21"/>
              </w:rPr>
              <w:t>计量单位</w:t>
            </w:r>
          </w:p>
        </w:tc>
        <w:tc>
          <w:tcPr>
            <w:tcW w:w="1847" w:type="dxa"/>
          </w:tcPr>
          <w:p>
            <w:pPr>
              <w:pStyle w:val="TableParagraph"/>
              <w:ind w:left="112"/>
              <w:rPr>
                <w:rFonts w:ascii="Calibri" w:eastAsia="Calibri"/>
                <w:sz w:val="21"/>
              </w:rPr>
            </w:pPr>
            <w:r>
              <w:rPr>
                <w:sz w:val="21"/>
              </w:rPr>
              <w:t>供应价格</w:t>
            </w:r>
            <w:r>
              <w:rPr>
                <w:rFonts w:ascii="Calibri" w:eastAsia="Calibri"/>
                <w:sz w:val="21"/>
              </w:rPr>
              <w:t>(</w:t>
            </w:r>
            <w:r>
              <w:rPr>
                <w:sz w:val="21"/>
              </w:rPr>
              <w:t>元</w:t>
            </w:r>
            <w:r>
              <w:rPr>
                <w:rFonts w:ascii="Calibri" w:eastAsia="Calibri"/>
                <w:sz w:val="21"/>
              </w:rPr>
              <w:t>)</w:t>
            </w:r>
          </w:p>
        </w:tc>
        <w:tc>
          <w:tcPr>
            <w:tcW w:w="2418" w:type="dxa"/>
          </w:tcPr>
          <w:p>
            <w:pPr>
              <w:pStyle w:val="TableParagraph"/>
              <w:ind w:left="112"/>
              <w:rPr>
                <w:rFonts w:ascii="Calibri" w:eastAsia="Calibri"/>
                <w:sz w:val="21"/>
              </w:rPr>
            </w:pPr>
            <w:r>
              <w:rPr>
                <w:sz w:val="21"/>
              </w:rPr>
              <w:t>预算价格</w:t>
            </w:r>
            <w:r>
              <w:rPr>
                <w:rFonts w:ascii="Calibri" w:eastAsia="Calibri"/>
                <w:sz w:val="21"/>
              </w:rPr>
              <w:t>(</w:t>
            </w:r>
            <w:r>
              <w:rPr>
                <w:sz w:val="21"/>
              </w:rPr>
              <w:t>元</w:t>
            </w:r>
            <w:r>
              <w:rPr>
                <w:rFonts w:ascii="Calibri" w:eastAsia="Calibri"/>
                <w:sz w:val="21"/>
              </w:rPr>
              <w:t>)</w:t>
            </w: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after="1"/>
        <w:rPr>
          <w:sz w:val="26"/>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6"/>
        <w:gridCol w:w="1277"/>
        <w:gridCol w:w="1412"/>
        <w:gridCol w:w="1276"/>
        <w:gridCol w:w="1847"/>
        <w:gridCol w:w="2418"/>
      </w:tblGrid>
      <w:tr>
        <w:trPr>
          <w:trHeight w:val="300" w:hRule="atLeast"/>
        </w:trPr>
        <w:tc>
          <w:tcPr>
            <w:tcW w:w="856" w:type="dxa"/>
          </w:tcPr>
          <w:p>
            <w:pPr>
              <w:pStyle w:val="TableParagraph"/>
              <w:spacing w:line="266" w:lineRule="exact" w:before="15"/>
              <w:ind w:left="112"/>
              <w:rPr>
                <w:sz w:val="21"/>
              </w:rPr>
            </w:pPr>
            <w:r>
              <w:rPr>
                <w:sz w:val="21"/>
              </w:rPr>
              <w:t>序号</w:t>
            </w:r>
          </w:p>
        </w:tc>
        <w:tc>
          <w:tcPr>
            <w:tcW w:w="1277" w:type="dxa"/>
          </w:tcPr>
          <w:p>
            <w:pPr>
              <w:pStyle w:val="TableParagraph"/>
              <w:spacing w:line="266" w:lineRule="exact" w:before="15"/>
              <w:ind w:left="97"/>
              <w:rPr>
                <w:sz w:val="21"/>
              </w:rPr>
            </w:pPr>
            <w:r>
              <w:rPr>
                <w:sz w:val="21"/>
              </w:rPr>
              <w:t>材料名称</w:t>
            </w:r>
          </w:p>
        </w:tc>
        <w:tc>
          <w:tcPr>
            <w:tcW w:w="1412" w:type="dxa"/>
          </w:tcPr>
          <w:p>
            <w:pPr>
              <w:pStyle w:val="TableParagraph"/>
              <w:spacing w:line="266" w:lineRule="exact" w:before="15"/>
              <w:ind w:left="112"/>
              <w:rPr>
                <w:sz w:val="21"/>
              </w:rPr>
            </w:pPr>
            <w:r>
              <w:rPr>
                <w:sz w:val="21"/>
                <w:shd w:fill="FFFFFF" w:color="auto" w:val="clear"/>
              </w:rPr>
              <w:t>型号规格</w:t>
            </w:r>
          </w:p>
        </w:tc>
        <w:tc>
          <w:tcPr>
            <w:tcW w:w="1276" w:type="dxa"/>
          </w:tcPr>
          <w:p>
            <w:pPr>
              <w:pStyle w:val="TableParagraph"/>
              <w:spacing w:line="266" w:lineRule="exact" w:before="15"/>
              <w:ind w:left="112"/>
              <w:rPr>
                <w:sz w:val="21"/>
              </w:rPr>
            </w:pPr>
            <w:r>
              <w:rPr>
                <w:sz w:val="21"/>
                <w:shd w:fill="FFFFFF" w:color="auto" w:val="clear"/>
              </w:rPr>
              <w:t>计量单位</w:t>
            </w:r>
          </w:p>
        </w:tc>
        <w:tc>
          <w:tcPr>
            <w:tcW w:w="1847" w:type="dxa"/>
          </w:tcPr>
          <w:p>
            <w:pPr>
              <w:pStyle w:val="TableParagraph"/>
              <w:spacing w:line="266" w:lineRule="exact" w:before="15"/>
              <w:ind w:left="112"/>
              <w:rPr>
                <w:rFonts w:ascii="Calibri" w:eastAsia="Calibri"/>
                <w:sz w:val="21"/>
              </w:rPr>
            </w:pPr>
            <w:r>
              <w:rPr>
                <w:sz w:val="21"/>
              </w:rPr>
              <w:t>预算价格</w:t>
            </w:r>
            <w:r>
              <w:rPr>
                <w:rFonts w:ascii="Calibri" w:eastAsia="Calibri"/>
                <w:sz w:val="21"/>
              </w:rPr>
              <w:t>(</w:t>
            </w:r>
            <w:r>
              <w:rPr>
                <w:sz w:val="21"/>
              </w:rPr>
              <w:t>元</w:t>
            </w:r>
            <w:r>
              <w:rPr>
                <w:rFonts w:ascii="Calibri" w:eastAsia="Calibri"/>
                <w:sz w:val="21"/>
              </w:rPr>
              <w:t>)</w:t>
            </w:r>
          </w:p>
        </w:tc>
        <w:tc>
          <w:tcPr>
            <w:tcW w:w="2418" w:type="dxa"/>
          </w:tcPr>
          <w:p>
            <w:pPr>
              <w:pStyle w:val="TableParagraph"/>
              <w:spacing w:line="266" w:lineRule="exact" w:before="15"/>
              <w:ind w:left="112"/>
              <w:rPr>
                <w:sz w:val="21"/>
              </w:rPr>
            </w:pPr>
            <w:r>
              <w:rPr>
                <w:sz w:val="21"/>
              </w:rPr>
              <w:t>备注</w:t>
            </w: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15"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r>
        <w:trPr>
          <w:trHeight w:val="300" w:hRule="atLeast"/>
        </w:trPr>
        <w:tc>
          <w:tcPr>
            <w:tcW w:w="856" w:type="dxa"/>
          </w:tcPr>
          <w:p>
            <w:pPr>
              <w:pStyle w:val="TableParagraph"/>
              <w:rPr>
                <w:rFonts w:ascii="Times New Roman"/>
                <w:sz w:val="22"/>
              </w:rPr>
            </w:pPr>
          </w:p>
        </w:tc>
        <w:tc>
          <w:tcPr>
            <w:tcW w:w="1277" w:type="dxa"/>
          </w:tcPr>
          <w:p>
            <w:pPr>
              <w:pStyle w:val="TableParagraph"/>
              <w:rPr>
                <w:rFonts w:ascii="Times New Roman"/>
                <w:sz w:val="22"/>
              </w:rPr>
            </w:pPr>
          </w:p>
        </w:tc>
        <w:tc>
          <w:tcPr>
            <w:tcW w:w="1412" w:type="dxa"/>
          </w:tcPr>
          <w:p>
            <w:pPr>
              <w:pStyle w:val="TableParagraph"/>
              <w:rPr>
                <w:rFonts w:ascii="Times New Roman"/>
                <w:sz w:val="22"/>
              </w:rPr>
            </w:pPr>
          </w:p>
        </w:tc>
        <w:tc>
          <w:tcPr>
            <w:tcW w:w="1276" w:type="dxa"/>
          </w:tcPr>
          <w:p>
            <w:pPr>
              <w:pStyle w:val="TableParagraph"/>
              <w:rPr>
                <w:rFonts w:ascii="Times New Roman"/>
                <w:sz w:val="22"/>
              </w:rPr>
            </w:pPr>
          </w:p>
        </w:tc>
        <w:tc>
          <w:tcPr>
            <w:tcW w:w="1847" w:type="dxa"/>
          </w:tcPr>
          <w:p>
            <w:pPr>
              <w:pStyle w:val="TableParagraph"/>
              <w:rPr>
                <w:rFonts w:ascii="Times New Roman"/>
                <w:sz w:val="22"/>
              </w:rPr>
            </w:pPr>
          </w:p>
        </w:tc>
        <w:tc>
          <w:tcPr>
            <w:tcW w:w="2418" w:type="dxa"/>
          </w:tcPr>
          <w:p>
            <w:pPr>
              <w:pStyle w:val="TableParagraph"/>
              <w:rPr>
                <w:rFonts w:ascii="Times New Roman"/>
                <w:sz w:val="22"/>
              </w:rPr>
            </w:pPr>
          </w:p>
        </w:tc>
      </w:tr>
    </w:tbl>
    <w:p>
      <w:pPr>
        <w:spacing w:after="0"/>
        <w:rPr>
          <w:rFonts w:ascii="Times New Roman"/>
          <w:sz w:val="22"/>
        </w:rPr>
        <w:sectPr>
          <w:headerReference w:type="default" r:id="rId35"/>
          <w:pgSz w:w="11910" w:h="16850"/>
          <w:pgMar w:header="911" w:footer="0" w:top="1540" w:bottom="280" w:left="1300" w:right="0"/>
        </w:sectPr>
      </w:pPr>
    </w:p>
    <w:p>
      <w:pPr>
        <w:pStyle w:val="BodyText"/>
        <w:spacing w:before="11"/>
        <w:rPr>
          <w:sz w:val="17"/>
        </w:rPr>
      </w:pPr>
      <w:r>
        <w:rPr/>
        <w:pict>
          <v:shape style="position:absolute;margin-left:250.830017pt;margin-top:473.679993pt;width:10.5pt;height:30.8pt;mso-position-horizontal-relative:page;mso-position-vertical-relative:page;z-index:-268435456" coordorigin="5017,9474" coordsize="210,616" path="m5227,9788l5017,9788,5017,10089,5227,10089,5227,9788m5227,9474l5017,9474,5017,9774,5227,9774,5227,9474e" filled="true" fillcolor="#ffffff" stroked="false">
            <v:path arrowok="t"/>
            <v:fill type="solid"/>
            <w10:wrap type="none"/>
          </v:shape>
        </w:pict>
      </w:r>
    </w:p>
    <w:p>
      <w:pPr>
        <w:pStyle w:val="Heading4"/>
        <w:spacing w:before="62"/>
        <w:ind w:left="1673"/>
      </w:pPr>
      <w:r>
        <w:rPr/>
        <w:t>招标人提供施工机械台时(班)费用汇总表</w:t>
      </w:r>
    </w:p>
    <w:p>
      <w:pPr>
        <w:spacing w:before="143"/>
        <w:ind w:left="126" w:right="0" w:firstLine="0"/>
        <w:jc w:val="left"/>
        <w:rPr>
          <w:sz w:val="22"/>
        </w:rPr>
      </w:pPr>
      <w:r>
        <w:rPr>
          <w:sz w:val="22"/>
        </w:rPr>
        <w:t>合同编号：(投标项目合同号) </w:t>
      </w:r>
    </w:p>
    <w:p>
      <w:pPr>
        <w:spacing w:before="33"/>
        <w:ind w:left="126" w:right="0" w:firstLine="0"/>
        <w:jc w:val="left"/>
        <w:rPr>
          <w:sz w:val="22"/>
        </w:rPr>
      </w:pPr>
      <w:r>
        <w:rPr>
          <w:sz w:val="22"/>
        </w:rPr>
        <w:t>工程名称：</w:t>
      </w:r>
      <w:r>
        <w:rPr>
          <w:spacing w:val="92"/>
          <w:sz w:val="22"/>
          <w:u w:val="single"/>
        </w:rPr>
        <w:t> </w:t>
      </w:r>
      <w:r>
        <w:rPr>
          <w:spacing w:val="1"/>
          <w:sz w:val="22"/>
        </w:rPr>
        <w:t>(项目名称)</w:t>
      </w:r>
      <w:r>
        <w:rPr>
          <w:spacing w:val="1"/>
          <w:sz w:val="22"/>
          <w:u w:val="single"/>
        </w:rPr>
        <w:t> </w:t>
      </w:r>
      <w:r>
        <w:rPr>
          <w:spacing w:val="1"/>
          <w:sz w:val="22"/>
        </w:rPr>
        <w:t>(标段名称)</w:t>
      </w:r>
      <w:r>
        <w:rPr>
          <w:sz w:val="22"/>
        </w:rPr>
        <w:t> </w:t>
      </w:r>
    </w:p>
    <w:p>
      <w:pPr>
        <w:spacing w:before="34"/>
        <w:ind w:left="0" w:right="1327" w:firstLine="0"/>
        <w:jc w:val="right"/>
        <w:rPr>
          <w:sz w:val="22"/>
        </w:rPr>
      </w:pPr>
      <w:r>
        <w:rPr/>
        <w:pict>
          <v:group style="position:absolute;margin-left:71.349998pt;margin-top:56.280445pt;width:457.7pt;height:432.65pt;mso-position-horizontal-relative:page;mso-position-vertical-relative:paragraph;z-index:-268436480" coordorigin="1427,1126" coordsize="9154,8653">
            <v:shape style="position:absolute;left:1563;top:1125;width:8786;height:8653" type="#_x0000_t75" stroked="false">
              <v:imagedata r:id="rId6" o:title=""/>
            </v:shape>
            <v:rect style="position:absolute;left:1427;top:4442;width:5107;height:316" filled="true" fillcolor="#ffffff" stroked="false">
              <v:fill type="solid"/>
            </v:rect>
            <v:shape style="position:absolute;left:1427;top:1125;width:9154;height:8653" type="#_x0000_t202" filled="false" stroked="false">
              <v:textbox inset="0,0,0,0">
                <w:txbxContent>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0"/>
                      <w:rPr>
                        <w:sz w:val="32"/>
                      </w:rPr>
                    </w:pPr>
                  </w:p>
                  <w:p>
                    <w:pPr>
                      <w:spacing w:line="240" w:lineRule="auto" w:before="10"/>
                      <w:rPr>
                        <w:sz w:val="34"/>
                      </w:rPr>
                    </w:pPr>
                  </w:p>
                  <w:p>
                    <w:pPr>
                      <w:spacing w:before="0"/>
                      <w:ind w:left="1867" w:right="1977" w:firstLine="0"/>
                      <w:jc w:val="center"/>
                      <w:rPr>
                        <w:rFonts w:ascii="黑体" w:eastAsia="黑体" w:hint="eastAsia"/>
                        <w:sz w:val="31"/>
                      </w:rPr>
                    </w:pPr>
                    <w:r>
                      <w:rPr>
                        <w:rFonts w:ascii="黑体" w:eastAsia="黑体" w:hint="eastAsia"/>
                        <w:sz w:val="31"/>
                        <w:shd w:fill="FFFFFF" w:color="auto" w:val="clear"/>
                      </w:rPr>
                      <w:t>投标人自备施工机械台时(班)费汇总表</w:t>
                    </w:r>
                  </w:p>
                  <w:p>
                    <w:pPr>
                      <w:spacing w:before="144"/>
                      <w:ind w:left="0" w:right="0" w:firstLine="0"/>
                      <w:jc w:val="left"/>
                      <w:rPr>
                        <w:sz w:val="22"/>
                      </w:rPr>
                    </w:pPr>
                    <w:r>
                      <w:rPr>
                        <w:sz w:val="22"/>
                      </w:rPr>
                      <w:t>合同编号：(投标项目合同号) </w:t>
                    </w:r>
                  </w:p>
                  <w:p>
                    <w:pPr>
                      <w:spacing w:before="18"/>
                      <w:ind w:left="0" w:right="0" w:firstLine="0"/>
                      <w:jc w:val="left"/>
                      <w:rPr>
                        <w:sz w:val="22"/>
                      </w:rPr>
                    </w:pPr>
                    <w:r>
                      <w:rPr>
                        <w:sz w:val="22"/>
                      </w:rPr>
                      <w:t>工程名称：</w:t>
                    </w:r>
                    <w:r>
                      <w:rPr>
                        <w:spacing w:val="94"/>
                        <w:sz w:val="22"/>
                        <w:u w:val="single"/>
                      </w:rPr>
                      <w:t> </w:t>
                    </w:r>
                    <w:r>
                      <w:rPr>
                        <w:spacing w:val="1"/>
                        <w:sz w:val="22"/>
                      </w:rPr>
                      <w:t>(项目名称)</w:t>
                    </w:r>
                    <w:r>
                      <w:rPr>
                        <w:spacing w:val="1"/>
                        <w:sz w:val="22"/>
                        <w:u w:val="single"/>
                      </w:rPr>
                      <w:t> </w:t>
                    </w:r>
                    <w:r>
                      <w:rPr>
                        <w:spacing w:val="1"/>
                        <w:sz w:val="22"/>
                      </w:rPr>
                      <w:t>(标段名称)</w:t>
                    </w:r>
                    <w:r>
                      <w:rPr>
                        <w:sz w:val="22"/>
                      </w:rPr>
                      <w:t> </w:t>
                    </w:r>
                  </w:p>
                  <w:p>
                    <w:pPr>
                      <w:spacing w:before="34"/>
                      <w:ind w:left="7119" w:right="0" w:firstLine="0"/>
                      <w:jc w:val="left"/>
                      <w:rPr>
                        <w:sz w:val="22"/>
                      </w:rPr>
                    </w:pPr>
                    <w:r>
                      <w:rPr>
                        <w:sz w:val="22"/>
                      </w:rPr>
                      <w:t>单位：元/台时(班) </w:t>
                    </w:r>
                  </w:p>
                </w:txbxContent>
              </v:textbox>
              <w10:wrap type="none"/>
            </v:shape>
            <w10:wrap type="none"/>
          </v:group>
        </w:pict>
      </w:r>
      <w:r>
        <w:rPr>
          <w:sz w:val="22"/>
        </w:rPr>
        <w:t>单位：元/台时(班) </w:t>
      </w: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21"/>
        <w:gridCol w:w="436"/>
        <w:gridCol w:w="511"/>
        <w:gridCol w:w="992"/>
        <w:gridCol w:w="601"/>
        <w:gridCol w:w="601"/>
        <w:gridCol w:w="615"/>
        <w:gridCol w:w="601"/>
        <w:gridCol w:w="601"/>
        <w:gridCol w:w="601"/>
        <w:gridCol w:w="600"/>
        <w:gridCol w:w="616"/>
        <w:gridCol w:w="601"/>
        <w:gridCol w:w="556"/>
      </w:tblGrid>
      <w:tr>
        <w:trPr>
          <w:trHeight w:val="315" w:hRule="atLeast"/>
        </w:trPr>
        <w:tc>
          <w:tcPr>
            <w:tcW w:w="421" w:type="dxa"/>
            <w:vMerge w:val="restart"/>
          </w:tcPr>
          <w:p>
            <w:pPr>
              <w:pStyle w:val="TableParagraph"/>
              <w:spacing w:before="10"/>
              <w:rPr>
                <w:sz w:val="25"/>
              </w:rPr>
            </w:pPr>
          </w:p>
          <w:p>
            <w:pPr>
              <w:pStyle w:val="TableParagraph"/>
              <w:spacing w:line="280" w:lineRule="auto"/>
              <w:ind w:left="112" w:right="81"/>
              <w:rPr>
                <w:sz w:val="21"/>
              </w:rPr>
            </w:pPr>
            <w:r>
              <w:rPr>
                <w:sz w:val="21"/>
              </w:rPr>
              <w:t>序号</w:t>
            </w:r>
          </w:p>
        </w:tc>
        <w:tc>
          <w:tcPr>
            <w:tcW w:w="436" w:type="dxa"/>
            <w:vMerge w:val="restart"/>
          </w:tcPr>
          <w:p>
            <w:pPr>
              <w:pStyle w:val="TableParagraph"/>
              <w:spacing w:line="280" w:lineRule="auto" w:before="15"/>
              <w:ind w:left="112" w:right="98"/>
              <w:jc w:val="both"/>
              <w:rPr>
                <w:sz w:val="21"/>
              </w:rPr>
            </w:pPr>
            <w:r>
              <w:rPr>
                <w:sz w:val="21"/>
              </w:rPr>
              <w:t>机械名</w:t>
            </w:r>
          </w:p>
          <w:p>
            <w:pPr>
              <w:pStyle w:val="TableParagraph"/>
              <w:spacing w:before="1"/>
              <w:ind w:left="112"/>
              <w:rPr>
                <w:sz w:val="21"/>
              </w:rPr>
            </w:pPr>
            <w:r>
              <w:rPr>
                <w:sz w:val="21"/>
              </w:rPr>
              <w:t>称</w:t>
            </w:r>
          </w:p>
        </w:tc>
        <w:tc>
          <w:tcPr>
            <w:tcW w:w="511" w:type="dxa"/>
            <w:vMerge w:val="restart"/>
          </w:tcPr>
          <w:p>
            <w:pPr>
              <w:pStyle w:val="TableParagraph"/>
              <w:spacing w:line="280" w:lineRule="auto" w:before="15"/>
              <w:ind w:left="141" w:right="142"/>
              <w:jc w:val="both"/>
              <w:rPr>
                <w:sz w:val="21"/>
              </w:rPr>
            </w:pPr>
            <w:r>
              <w:rPr>
                <w:sz w:val="21"/>
              </w:rPr>
              <w:t>型号规</w:t>
            </w:r>
          </w:p>
          <w:p>
            <w:pPr>
              <w:pStyle w:val="TableParagraph"/>
              <w:spacing w:before="1"/>
              <w:ind w:left="141"/>
              <w:rPr>
                <w:sz w:val="21"/>
              </w:rPr>
            </w:pPr>
            <w:r>
              <w:rPr>
                <w:sz w:val="21"/>
              </w:rPr>
              <w:t>格</w:t>
            </w:r>
          </w:p>
        </w:tc>
        <w:tc>
          <w:tcPr>
            <w:tcW w:w="992" w:type="dxa"/>
            <w:vMerge w:val="restart"/>
          </w:tcPr>
          <w:p>
            <w:pPr>
              <w:pStyle w:val="TableParagraph"/>
              <w:rPr>
                <w:sz w:val="14"/>
              </w:rPr>
            </w:pPr>
          </w:p>
          <w:p>
            <w:pPr>
              <w:pStyle w:val="TableParagraph"/>
              <w:spacing w:line="273" w:lineRule="auto"/>
              <w:ind w:left="171" w:right="173"/>
              <w:jc w:val="both"/>
              <w:rPr>
                <w:sz w:val="21"/>
              </w:rPr>
            </w:pPr>
            <w:r>
              <w:rPr>
                <w:sz w:val="21"/>
              </w:rPr>
              <w:t>招标人收取的折旧费</w:t>
            </w:r>
          </w:p>
        </w:tc>
        <w:tc>
          <w:tcPr>
            <w:tcW w:w="5437" w:type="dxa"/>
            <w:gridSpan w:val="9"/>
          </w:tcPr>
          <w:p>
            <w:pPr>
              <w:pStyle w:val="TableParagraph"/>
              <w:spacing w:before="15"/>
              <w:ind w:left="1762"/>
              <w:rPr>
                <w:sz w:val="21"/>
              </w:rPr>
            </w:pPr>
            <w:r>
              <w:rPr>
                <w:sz w:val="21"/>
              </w:rPr>
              <w:t>投标人应计算的费用</w:t>
            </w:r>
          </w:p>
        </w:tc>
        <w:tc>
          <w:tcPr>
            <w:tcW w:w="556" w:type="dxa"/>
            <w:vMerge w:val="restart"/>
          </w:tcPr>
          <w:p>
            <w:pPr>
              <w:pStyle w:val="TableParagraph"/>
              <w:spacing w:before="10"/>
              <w:rPr>
                <w:sz w:val="25"/>
              </w:rPr>
            </w:pPr>
          </w:p>
          <w:p>
            <w:pPr>
              <w:pStyle w:val="TableParagraph"/>
              <w:spacing w:line="280" w:lineRule="auto"/>
              <w:ind w:left="170" w:right="158"/>
              <w:rPr>
                <w:sz w:val="21"/>
              </w:rPr>
            </w:pPr>
            <w:r>
              <w:rPr>
                <w:sz w:val="21"/>
              </w:rPr>
              <w:t>合计</w:t>
            </w:r>
          </w:p>
        </w:tc>
      </w:tr>
      <w:tr>
        <w:trPr>
          <w:trHeight w:val="931" w:hRule="atLeast"/>
        </w:trPr>
        <w:tc>
          <w:tcPr>
            <w:tcW w:w="421" w:type="dxa"/>
            <w:vMerge/>
            <w:tcBorders>
              <w:top w:val="nil"/>
            </w:tcBorders>
          </w:tcPr>
          <w:p>
            <w:pPr>
              <w:rPr>
                <w:sz w:val="2"/>
                <w:szCs w:val="2"/>
              </w:rPr>
            </w:pPr>
          </w:p>
        </w:tc>
        <w:tc>
          <w:tcPr>
            <w:tcW w:w="436" w:type="dxa"/>
            <w:vMerge/>
            <w:tcBorders>
              <w:top w:val="nil"/>
            </w:tcBorders>
          </w:tcPr>
          <w:p>
            <w:pPr>
              <w:rPr>
                <w:sz w:val="2"/>
                <w:szCs w:val="2"/>
              </w:rPr>
            </w:pPr>
          </w:p>
        </w:tc>
        <w:tc>
          <w:tcPr>
            <w:tcW w:w="511" w:type="dxa"/>
            <w:vMerge/>
            <w:tcBorders>
              <w:top w:val="nil"/>
            </w:tcBorders>
          </w:tcPr>
          <w:p>
            <w:pPr>
              <w:rPr>
                <w:sz w:val="2"/>
                <w:szCs w:val="2"/>
              </w:rPr>
            </w:pPr>
          </w:p>
        </w:tc>
        <w:tc>
          <w:tcPr>
            <w:tcW w:w="992" w:type="dxa"/>
            <w:vMerge/>
            <w:tcBorders>
              <w:top w:val="nil"/>
            </w:tcBorders>
          </w:tcPr>
          <w:p>
            <w:pPr>
              <w:rPr>
                <w:sz w:val="2"/>
                <w:szCs w:val="2"/>
              </w:rPr>
            </w:pPr>
          </w:p>
        </w:tc>
        <w:tc>
          <w:tcPr>
            <w:tcW w:w="601" w:type="dxa"/>
          </w:tcPr>
          <w:p>
            <w:pPr>
              <w:pStyle w:val="TableParagraph"/>
              <w:spacing w:line="280" w:lineRule="auto"/>
              <w:ind w:left="200" w:right="173"/>
              <w:rPr>
                <w:sz w:val="21"/>
              </w:rPr>
            </w:pPr>
            <w:r>
              <w:rPr>
                <w:sz w:val="21"/>
              </w:rPr>
              <w:t>维修</w:t>
            </w:r>
          </w:p>
          <w:p>
            <w:pPr>
              <w:pStyle w:val="TableParagraph"/>
              <w:spacing w:before="1"/>
              <w:ind w:left="200"/>
              <w:rPr>
                <w:sz w:val="21"/>
              </w:rPr>
            </w:pPr>
            <w:r>
              <w:rPr>
                <w:sz w:val="21"/>
              </w:rPr>
              <w:t>费</w:t>
            </w:r>
          </w:p>
        </w:tc>
        <w:tc>
          <w:tcPr>
            <w:tcW w:w="601" w:type="dxa"/>
          </w:tcPr>
          <w:p>
            <w:pPr>
              <w:pStyle w:val="TableParagraph"/>
              <w:spacing w:line="280" w:lineRule="auto"/>
              <w:ind w:left="200" w:right="173"/>
              <w:rPr>
                <w:sz w:val="21"/>
              </w:rPr>
            </w:pPr>
            <w:r>
              <w:rPr>
                <w:sz w:val="21"/>
              </w:rPr>
              <w:t>安拆</w:t>
            </w:r>
          </w:p>
          <w:p>
            <w:pPr>
              <w:pStyle w:val="TableParagraph"/>
              <w:spacing w:before="1"/>
              <w:ind w:left="200"/>
              <w:rPr>
                <w:sz w:val="21"/>
              </w:rPr>
            </w:pPr>
            <w:r>
              <w:rPr>
                <w:sz w:val="21"/>
              </w:rPr>
              <w:t>费</w:t>
            </w:r>
          </w:p>
        </w:tc>
        <w:tc>
          <w:tcPr>
            <w:tcW w:w="615" w:type="dxa"/>
          </w:tcPr>
          <w:p>
            <w:pPr>
              <w:pStyle w:val="TableParagraph"/>
              <w:spacing w:line="280" w:lineRule="auto" w:before="165"/>
              <w:ind w:left="200" w:right="187"/>
              <w:rPr>
                <w:sz w:val="21"/>
              </w:rPr>
            </w:pPr>
            <w:r>
              <w:rPr>
                <w:sz w:val="21"/>
              </w:rPr>
              <w:t>人工</w:t>
            </w:r>
          </w:p>
        </w:tc>
        <w:tc>
          <w:tcPr>
            <w:tcW w:w="601" w:type="dxa"/>
          </w:tcPr>
          <w:p>
            <w:pPr>
              <w:pStyle w:val="TableParagraph"/>
              <w:spacing w:line="280" w:lineRule="auto" w:before="165"/>
              <w:ind w:left="186" w:right="187"/>
              <w:rPr>
                <w:sz w:val="21"/>
              </w:rPr>
            </w:pPr>
            <w:r>
              <w:rPr>
                <w:sz w:val="21"/>
              </w:rPr>
              <w:t>柴油</w:t>
            </w:r>
          </w:p>
        </w:tc>
        <w:tc>
          <w:tcPr>
            <w:tcW w:w="601" w:type="dxa"/>
          </w:tcPr>
          <w:p>
            <w:pPr>
              <w:pStyle w:val="TableParagraph"/>
              <w:spacing w:before="7"/>
              <w:rPr>
                <w:sz w:val="24"/>
              </w:rPr>
            </w:pPr>
          </w:p>
          <w:p>
            <w:pPr>
              <w:pStyle w:val="TableParagraph"/>
              <w:spacing w:before="1"/>
              <w:ind w:left="200"/>
              <w:rPr>
                <w:sz w:val="21"/>
              </w:rPr>
            </w:pPr>
            <w:r>
              <w:rPr>
                <w:sz w:val="21"/>
              </w:rPr>
              <w:t>电</w:t>
            </w:r>
          </w:p>
        </w:tc>
        <w:tc>
          <w:tcPr>
            <w:tcW w:w="601" w:type="dxa"/>
          </w:tcPr>
          <w:p>
            <w:pPr>
              <w:pStyle w:val="TableParagraph"/>
              <w:rPr>
                <w:rFonts w:ascii="Times New Roman"/>
                <w:sz w:val="22"/>
              </w:rPr>
            </w:pPr>
          </w:p>
        </w:tc>
        <w:tc>
          <w:tcPr>
            <w:tcW w:w="600" w:type="dxa"/>
          </w:tcPr>
          <w:p>
            <w:pPr>
              <w:pStyle w:val="TableParagraph"/>
              <w:rPr>
                <w:rFonts w:ascii="Times New Roman"/>
                <w:sz w:val="22"/>
              </w:rPr>
            </w:pPr>
          </w:p>
        </w:tc>
        <w:tc>
          <w:tcPr>
            <w:tcW w:w="616" w:type="dxa"/>
          </w:tcPr>
          <w:p>
            <w:pPr>
              <w:pStyle w:val="TableParagraph"/>
              <w:rPr>
                <w:rFonts w:ascii="Times New Roman"/>
                <w:sz w:val="22"/>
              </w:rPr>
            </w:pPr>
          </w:p>
        </w:tc>
        <w:tc>
          <w:tcPr>
            <w:tcW w:w="601" w:type="dxa"/>
          </w:tcPr>
          <w:p>
            <w:pPr>
              <w:pStyle w:val="TableParagraph"/>
              <w:spacing w:line="280" w:lineRule="auto" w:before="165"/>
              <w:ind w:left="185" w:right="188"/>
              <w:rPr>
                <w:sz w:val="21"/>
              </w:rPr>
            </w:pPr>
            <w:r>
              <w:rPr>
                <w:sz w:val="21"/>
              </w:rPr>
              <w:t>小计</w:t>
            </w:r>
          </w:p>
        </w:tc>
        <w:tc>
          <w:tcPr>
            <w:tcW w:w="556" w:type="dxa"/>
            <w:vMerge/>
            <w:tcBorders>
              <w:top w:val="nil"/>
            </w:tcBorders>
          </w:tcPr>
          <w:p>
            <w:pPr>
              <w:rPr>
                <w:sz w:val="2"/>
                <w:szCs w:val="2"/>
              </w:rPr>
            </w:pPr>
          </w:p>
        </w:tc>
      </w:tr>
      <w:tr>
        <w:trPr>
          <w:trHeight w:val="300" w:hRule="atLeast"/>
        </w:trPr>
        <w:tc>
          <w:tcPr>
            <w:tcW w:w="421" w:type="dxa"/>
          </w:tcPr>
          <w:p>
            <w:pPr>
              <w:pStyle w:val="TableParagraph"/>
              <w:rPr>
                <w:rFonts w:ascii="Times New Roman"/>
                <w:sz w:val="22"/>
              </w:rPr>
            </w:pPr>
          </w:p>
        </w:tc>
        <w:tc>
          <w:tcPr>
            <w:tcW w:w="436" w:type="dxa"/>
          </w:tcPr>
          <w:p>
            <w:pPr>
              <w:pStyle w:val="TableParagraph"/>
              <w:rPr>
                <w:rFonts w:ascii="Times New Roman"/>
                <w:sz w:val="22"/>
              </w:rPr>
            </w:pPr>
          </w:p>
        </w:tc>
        <w:tc>
          <w:tcPr>
            <w:tcW w:w="511" w:type="dxa"/>
          </w:tcPr>
          <w:p>
            <w:pPr>
              <w:pStyle w:val="TableParagraph"/>
              <w:rPr>
                <w:rFonts w:ascii="Times New Roman"/>
                <w:sz w:val="22"/>
              </w:rPr>
            </w:pPr>
          </w:p>
        </w:tc>
        <w:tc>
          <w:tcPr>
            <w:tcW w:w="992"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15"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0" w:type="dxa"/>
          </w:tcPr>
          <w:p>
            <w:pPr>
              <w:pStyle w:val="TableParagraph"/>
              <w:rPr>
                <w:rFonts w:ascii="Times New Roman"/>
                <w:sz w:val="22"/>
              </w:rPr>
            </w:pPr>
          </w:p>
        </w:tc>
        <w:tc>
          <w:tcPr>
            <w:tcW w:w="616" w:type="dxa"/>
          </w:tcPr>
          <w:p>
            <w:pPr>
              <w:pStyle w:val="TableParagraph"/>
              <w:rPr>
                <w:rFonts w:ascii="Times New Roman"/>
                <w:sz w:val="22"/>
              </w:rPr>
            </w:pPr>
          </w:p>
        </w:tc>
        <w:tc>
          <w:tcPr>
            <w:tcW w:w="601" w:type="dxa"/>
          </w:tcPr>
          <w:p>
            <w:pPr>
              <w:pStyle w:val="TableParagraph"/>
              <w:rPr>
                <w:rFonts w:ascii="Times New Roman"/>
                <w:sz w:val="22"/>
              </w:rPr>
            </w:pPr>
          </w:p>
        </w:tc>
        <w:tc>
          <w:tcPr>
            <w:tcW w:w="556" w:type="dxa"/>
          </w:tcPr>
          <w:p>
            <w:pPr>
              <w:pStyle w:val="TableParagraph"/>
              <w:rPr>
                <w:rFonts w:ascii="Times New Roman"/>
                <w:sz w:val="22"/>
              </w:rPr>
            </w:pPr>
          </w:p>
        </w:tc>
      </w:tr>
      <w:tr>
        <w:trPr>
          <w:trHeight w:val="315" w:hRule="atLeast"/>
        </w:trPr>
        <w:tc>
          <w:tcPr>
            <w:tcW w:w="421" w:type="dxa"/>
          </w:tcPr>
          <w:p>
            <w:pPr>
              <w:pStyle w:val="TableParagraph"/>
              <w:rPr>
                <w:rFonts w:ascii="Times New Roman"/>
                <w:sz w:val="22"/>
              </w:rPr>
            </w:pPr>
          </w:p>
        </w:tc>
        <w:tc>
          <w:tcPr>
            <w:tcW w:w="436" w:type="dxa"/>
          </w:tcPr>
          <w:p>
            <w:pPr>
              <w:pStyle w:val="TableParagraph"/>
              <w:rPr>
                <w:rFonts w:ascii="Times New Roman"/>
                <w:sz w:val="22"/>
              </w:rPr>
            </w:pPr>
          </w:p>
        </w:tc>
        <w:tc>
          <w:tcPr>
            <w:tcW w:w="511" w:type="dxa"/>
          </w:tcPr>
          <w:p>
            <w:pPr>
              <w:pStyle w:val="TableParagraph"/>
              <w:rPr>
                <w:rFonts w:ascii="Times New Roman"/>
                <w:sz w:val="22"/>
              </w:rPr>
            </w:pPr>
          </w:p>
        </w:tc>
        <w:tc>
          <w:tcPr>
            <w:tcW w:w="992"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15"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0" w:type="dxa"/>
          </w:tcPr>
          <w:p>
            <w:pPr>
              <w:pStyle w:val="TableParagraph"/>
              <w:rPr>
                <w:rFonts w:ascii="Times New Roman"/>
                <w:sz w:val="22"/>
              </w:rPr>
            </w:pPr>
          </w:p>
        </w:tc>
        <w:tc>
          <w:tcPr>
            <w:tcW w:w="616" w:type="dxa"/>
          </w:tcPr>
          <w:p>
            <w:pPr>
              <w:pStyle w:val="TableParagraph"/>
              <w:rPr>
                <w:rFonts w:ascii="Times New Roman"/>
                <w:sz w:val="22"/>
              </w:rPr>
            </w:pPr>
          </w:p>
        </w:tc>
        <w:tc>
          <w:tcPr>
            <w:tcW w:w="601" w:type="dxa"/>
          </w:tcPr>
          <w:p>
            <w:pPr>
              <w:pStyle w:val="TableParagraph"/>
              <w:rPr>
                <w:rFonts w:ascii="Times New Roman"/>
                <w:sz w:val="22"/>
              </w:rPr>
            </w:pPr>
          </w:p>
        </w:tc>
        <w:tc>
          <w:tcPr>
            <w:tcW w:w="556" w:type="dxa"/>
          </w:tcPr>
          <w:p>
            <w:pPr>
              <w:pStyle w:val="TableParagraph"/>
              <w:rPr>
                <w:rFonts w:ascii="Times New Roman"/>
                <w:sz w:val="22"/>
              </w:rPr>
            </w:pPr>
          </w:p>
        </w:tc>
      </w:tr>
      <w:tr>
        <w:trPr>
          <w:trHeight w:val="300" w:hRule="atLeast"/>
        </w:trPr>
        <w:tc>
          <w:tcPr>
            <w:tcW w:w="421" w:type="dxa"/>
          </w:tcPr>
          <w:p>
            <w:pPr>
              <w:pStyle w:val="TableParagraph"/>
              <w:rPr>
                <w:rFonts w:ascii="Times New Roman"/>
                <w:sz w:val="22"/>
              </w:rPr>
            </w:pPr>
          </w:p>
        </w:tc>
        <w:tc>
          <w:tcPr>
            <w:tcW w:w="436" w:type="dxa"/>
          </w:tcPr>
          <w:p>
            <w:pPr>
              <w:pStyle w:val="TableParagraph"/>
              <w:rPr>
                <w:rFonts w:ascii="Times New Roman"/>
                <w:sz w:val="22"/>
              </w:rPr>
            </w:pPr>
          </w:p>
        </w:tc>
        <w:tc>
          <w:tcPr>
            <w:tcW w:w="511" w:type="dxa"/>
          </w:tcPr>
          <w:p>
            <w:pPr>
              <w:pStyle w:val="TableParagraph"/>
              <w:rPr>
                <w:rFonts w:ascii="Times New Roman"/>
                <w:sz w:val="22"/>
              </w:rPr>
            </w:pPr>
          </w:p>
        </w:tc>
        <w:tc>
          <w:tcPr>
            <w:tcW w:w="992"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15"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0" w:type="dxa"/>
          </w:tcPr>
          <w:p>
            <w:pPr>
              <w:pStyle w:val="TableParagraph"/>
              <w:rPr>
                <w:rFonts w:ascii="Times New Roman"/>
                <w:sz w:val="22"/>
              </w:rPr>
            </w:pPr>
          </w:p>
        </w:tc>
        <w:tc>
          <w:tcPr>
            <w:tcW w:w="616" w:type="dxa"/>
          </w:tcPr>
          <w:p>
            <w:pPr>
              <w:pStyle w:val="TableParagraph"/>
              <w:rPr>
                <w:rFonts w:ascii="Times New Roman"/>
                <w:sz w:val="22"/>
              </w:rPr>
            </w:pPr>
          </w:p>
        </w:tc>
        <w:tc>
          <w:tcPr>
            <w:tcW w:w="601" w:type="dxa"/>
          </w:tcPr>
          <w:p>
            <w:pPr>
              <w:pStyle w:val="TableParagraph"/>
              <w:rPr>
                <w:rFonts w:ascii="Times New Roman"/>
                <w:sz w:val="22"/>
              </w:rPr>
            </w:pPr>
          </w:p>
        </w:tc>
        <w:tc>
          <w:tcPr>
            <w:tcW w:w="556" w:type="dxa"/>
          </w:tcPr>
          <w:p>
            <w:pPr>
              <w:pStyle w:val="TableParagraph"/>
              <w:rPr>
                <w:rFonts w:ascii="Times New Roman"/>
                <w:sz w:val="22"/>
              </w:rPr>
            </w:pPr>
          </w:p>
        </w:tc>
      </w:tr>
      <w:tr>
        <w:trPr>
          <w:trHeight w:val="300" w:hRule="atLeast"/>
        </w:trPr>
        <w:tc>
          <w:tcPr>
            <w:tcW w:w="421" w:type="dxa"/>
          </w:tcPr>
          <w:p>
            <w:pPr>
              <w:pStyle w:val="TableParagraph"/>
              <w:rPr>
                <w:rFonts w:ascii="Times New Roman"/>
                <w:sz w:val="22"/>
              </w:rPr>
            </w:pPr>
          </w:p>
        </w:tc>
        <w:tc>
          <w:tcPr>
            <w:tcW w:w="436" w:type="dxa"/>
          </w:tcPr>
          <w:p>
            <w:pPr>
              <w:pStyle w:val="TableParagraph"/>
              <w:rPr>
                <w:rFonts w:ascii="Times New Roman"/>
                <w:sz w:val="22"/>
              </w:rPr>
            </w:pPr>
          </w:p>
        </w:tc>
        <w:tc>
          <w:tcPr>
            <w:tcW w:w="511" w:type="dxa"/>
          </w:tcPr>
          <w:p>
            <w:pPr>
              <w:pStyle w:val="TableParagraph"/>
              <w:rPr>
                <w:rFonts w:ascii="Times New Roman"/>
                <w:sz w:val="22"/>
              </w:rPr>
            </w:pPr>
          </w:p>
        </w:tc>
        <w:tc>
          <w:tcPr>
            <w:tcW w:w="992"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15"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1" w:type="dxa"/>
          </w:tcPr>
          <w:p>
            <w:pPr>
              <w:pStyle w:val="TableParagraph"/>
              <w:rPr>
                <w:rFonts w:ascii="Times New Roman"/>
                <w:sz w:val="22"/>
              </w:rPr>
            </w:pPr>
          </w:p>
        </w:tc>
        <w:tc>
          <w:tcPr>
            <w:tcW w:w="600" w:type="dxa"/>
          </w:tcPr>
          <w:p>
            <w:pPr>
              <w:pStyle w:val="TableParagraph"/>
              <w:rPr>
                <w:rFonts w:ascii="Times New Roman"/>
                <w:sz w:val="22"/>
              </w:rPr>
            </w:pPr>
          </w:p>
        </w:tc>
        <w:tc>
          <w:tcPr>
            <w:tcW w:w="616" w:type="dxa"/>
          </w:tcPr>
          <w:p>
            <w:pPr>
              <w:pStyle w:val="TableParagraph"/>
              <w:rPr>
                <w:rFonts w:ascii="Times New Roman"/>
                <w:sz w:val="22"/>
              </w:rPr>
            </w:pPr>
          </w:p>
        </w:tc>
        <w:tc>
          <w:tcPr>
            <w:tcW w:w="601" w:type="dxa"/>
          </w:tcPr>
          <w:p>
            <w:pPr>
              <w:pStyle w:val="TableParagraph"/>
              <w:rPr>
                <w:rFonts w:ascii="Times New Roman"/>
                <w:sz w:val="22"/>
              </w:rPr>
            </w:pPr>
          </w:p>
        </w:tc>
        <w:tc>
          <w:tcPr>
            <w:tcW w:w="556"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10"/>
        </w:rPr>
      </w:pPr>
    </w:p>
    <w:tbl>
      <w:tblPr>
        <w:tblW w:w="0" w:type="auto"/>
        <w:jc w:val="left"/>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6"/>
        <w:gridCol w:w="436"/>
        <w:gridCol w:w="796"/>
        <w:gridCol w:w="586"/>
        <w:gridCol w:w="188"/>
        <w:gridCol w:w="210"/>
        <w:gridCol w:w="173"/>
        <w:gridCol w:w="187"/>
        <w:gridCol w:w="210"/>
        <w:gridCol w:w="187"/>
        <w:gridCol w:w="586"/>
        <w:gridCol w:w="571"/>
        <w:gridCol w:w="586"/>
        <w:gridCol w:w="570"/>
        <w:gridCol w:w="586"/>
        <w:gridCol w:w="585"/>
        <w:gridCol w:w="571"/>
        <w:gridCol w:w="585"/>
        <w:gridCol w:w="525"/>
      </w:tblGrid>
      <w:tr>
        <w:trPr>
          <w:trHeight w:val="1245" w:hRule="atLeast"/>
        </w:trPr>
        <w:tc>
          <w:tcPr>
            <w:tcW w:w="436" w:type="dxa"/>
          </w:tcPr>
          <w:p>
            <w:pPr>
              <w:pStyle w:val="TableParagraph"/>
              <w:spacing w:before="7"/>
              <w:rPr>
                <w:sz w:val="24"/>
              </w:rPr>
            </w:pPr>
          </w:p>
          <w:p>
            <w:pPr>
              <w:pStyle w:val="TableParagraph"/>
              <w:spacing w:line="280" w:lineRule="auto" w:before="1"/>
              <w:ind w:left="112" w:right="96"/>
              <w:rPr>
                <w:sz w:val="21"/>
              </w:rPr>
            </w:pPr>
            <w:r>
              <w:rPr>
                <w:sz w:val="21"/>
              </w:rPr>
              <w:t>序号</w:t>
            </w:r>
          </w:p>
        </w:tc>
        <w:tc>
          <w:tcPr>
            <w:tcW w:w="436" w:type="dxa"/>
          </w:tcPr>
          <w:p>
            <w:pPr>
              <w:pStyle w:val="TableParagraph"/>
              <w:spacing w:line="273" w:lineRule="auto" w:before="15"/>
              <w:ind w:left="112" w:right="98"/>
              <w:jc w:val="both"/>
              <w:rPr>
                <w:sz w:val="21"/>
              </w:rPr>
            </w:pPr>
            <w:r>
              <w:rPr>
                <w:sz w:val="21"/>
              </w:rPr>
              <w:t>机械名</w:t>
            </w:r>
          </w:p>
          <w:p>
            <w:pPr>
              <w:pStyle w:val="TableParagraph"/>
              <w:spacing w:before="11"/>
              <w:ind w:left="112"/>
              <w:rPr>
                <w:sz w:val="21"/>
              </w:rPr>
            </w:pPr>
            <w:r>
              <w:rPr>
                <w:sz w:val="21"/>
              </w:rPr>
              <w:t>称</w:t>
            </w:r>
          </w:p>
        </w:tc>
        <w:tc>
          <w:tcPr>
            <w:tcW w:w="796" w:type="dxa"/>
          </w:tcPr>
          <w:p>
            <w:pPr>
              <w:pStyle w:val="TableParagraph"/>
              <w:spacing w:before="7"/>
              <w:rPr>
                <w:sz w:val="24"/>
              </w:rPr>
            </w:pPr>
          </w:p>
          <w:p>
            <w:pPr>
              <w:pStyle w:val="TableParagraph"/>
              <w:spacing w:line="280" w:lineRule="auto" w:before="1"/>
              <w:ind w:left="171" w:right="186"/>
              <w:rPr>
                <w:sz w:val="21"/>
              </w:rPr>
            </w:pPr>
            <w:r>
              <w:rPr>
                <w:sz w:val="21"/>
              </w:rPr>
              <w:t>型号规格</w:t>
            </w:r>
          </w:p>
        </w:tc>
        <w:tc>
          <w:tcPr>
            <w:tcW w:w="2327" w:type="dxa"/>
            <w:gridSpan w:val="8"/>
          </w:tcPr>
          <w:p>
            <w:pPr>
              <w:pStyle w:val="TableParagraph"/>
              <w:rPr>
                <w:sz w:val="20"/>
              </w:rPr>
            </w:pPr>
          </w:p>
          <w:p>
            <w:pPr>
              <w:pStyle w:val="TableParagraph"/>
              <w:spacing w:before="6"/>
              <w:rPr>
                <w:sz w:val="17"/>
              </w:rPr>
            </w:pPr>
          </w:p>
          <w:p>
            <w:pPr>
              <w:pStyle w:val="TableParagraph"/>
              <w:ind w:left="742"/>
              <w:rPr>
                <w:sz w:val="21"/>
              </w:rPr>
            </w:pPr>
            <w:r>
              <w:rPr>
                <w:sz w:val="21"/>
              </w:rPr>
              <w:t>一类费用</w:t>
            </w:r>
          </w:p>
        </w:tc>
        <w:tc>
          <w:tcPr>
            <w:tcW w:w="4054" w:type="dxa"/>
            <w:gridSpan w:val="7"/>
          </w:tcPr>
          <w:p>
            <w:pPr>
              <w:pStyle w:val="TableParagraph"/>
              <w:rPr>
                <w:sz w:val="20"/>
              </w:rPr>
            </w:pPr>
          </w:p>
          <w:p>
            <w:pPr>
              <w:pStyle w:val="TableParagraph"/>
              <w:spacing w:before="6"/>
              <w:rPr>
                <w:sz w:val="17"/>
              </w:rPr>
            </w:pPr>
          </w:p>
          <w:p>
            <w:pPr>
              <w:pStyle w:val="TableParagraph"/>
              <w:ind w:left="1580" w:right="1578"/>
              <w:jc w:val="center"/>
              <w:rPr>
                <w:sz w:val="21"/>
              </w:rPr>
            </w:pPr>
            <w:r>
              <w:rPr>
                <w:sz w:val="21"/>
              </w:rPr>
              <w:t>二类费用</w:t>
            </w:r>
          </w:p>
        </w:tc>
        <w:tc>
          <w:tcPr>
            <w:tcW w:w="525" w:type="dxa"/>
            <w:vMerge w:val="restart"/>
          </w:tcPr>
          <w:p>
            <w:pPr>
              <w:pStyle w:val="TableParagraph"/>
              <w:rPr>
                <w:sz w:val="20"/>
              </w:rPr>
            </w:pPr>
          </w:p>
          <w:p>
            <w:pPr>
              <w:pStyle w:val="TableParagraph"/>
              <w:rPr>
                <w:sz w:val="20"/>
              </w:rPr>
            </w:pPr>
          </w:p>
          <w:p>
            <w:pPr>
              <w:pStyle w:val="TableParagraph"/>
              <w:spacing w:before="1"/>
              <w:rPr>
                <w:sz w:val="22"/>
              </w:rPr>
            </w:pPr>
          </w:p>
          <w:p>
            <w:pPr>
              <w:pStyle w:val="TableParagraph"/>
              <w:spacing w:line="280" w:lineRule="auto"/>
              <w:ind w:left="158" w:right="139"/>
              <w:rPr>
                <w:sz w:val="21"/>
              </w:rPr>
            </w:pPr>
            <w:r>
              <w:rPr>
                <w:sz w:val="21"/>
              </w:rPr>
              <w:t>合计</w:t>
            </w:r>
          </w:p>
        </w:tc>
      </w:tr>
      <w:tr>
        <w:trPr>
          <w:trHeight w:val="289" w:hRule="atLeast"/>
        </w:trPr>
        <w:tc>
          <w:tcPr>
            <w:tcW w:w="436" w:type="dxa"/>
            <w:vMerge w:val="restart"/>
          </w:tcPr>
          <w:p>
            <w:pPr>
              <w:pStyle w:val="TableParagraph"/>
              <w:rPr>
                <w:rFonts w:ascii="Times New Roman"/>
                <w:sz w:val="22"/>
              </w:rPr>
            </w:pPr>
          </w:p>
        </w:tc>
        <w:tc>
          <w:tcPr>
            <w:tcW w:w="436" w:type="dxa"/>
            <w:vMerge w:val="restart"/>
          </w:tcPr>
          <w:p>
            <w:pPr>
              <w:pStyle w:val="TableParagraph"/>
              <w:rPr>
                <w:rFonts w:ascii="Times New Roman"/>
                <w:sz w:val="22"/>
              </w:rPr>
            </w:pPr>
          </w:p>
        </w:tc>
        <w:tc>
          <w:tcPr>
            <w:tcW w:w="796" w:type="dxa"/>
            <w:vMerge w:val="restart"/>
          </w:tcPr>
          <w:p>
            <w:pPr>
              <w:pStyle w:val="TableParagraph"/>
              <w:rPr>
                <w:rFonts w:ascii="Times New Roman"/>
                <w:sz w:val="22"/>
              </w:rPr>
            </w:pPr>
          </w:p>
        </w:tc>
        <w:tc>
          <w:tcPr>
            <w:tcW w:w="586" w:type="dxa"/>
            <w:vMerge w:val="restart"/>
          </w:tcPr>
          <w:p>
            <w:pPr>
              <w:pStyle w:val="TableParagraph"/>
              <w:spacing w:line="266" w:lineRule="auto" w:before="15"/>
              <w:ind w:left="186" w:right="172"/>
              <w:rPr>
                <w:sz w:val="21"/>
              </w:rPr>
            </w:pPr>
            <w:r>
              <w:rPr>
                <w:sz w:val="21"/>
              </w:rPr>
              <w:t>折旧</w:t>
            </w:r>
          </w:p>
          <w:p>
            <w:pPr>
              <w:pStyle w:val="TableParagraph"/>
              <w:spacing w:before="18"/>
              <w:ind w:left="186"/>
              <w:rPr>
                <w:sz w:val="21"/>
              </w:rPr>
            </w:pPr>
            <w:r>
              <w:rPr>
                <w:sz w:val="21"/>
              </w:rPr>
              <w:t>费</w:t>
            </w:r>
          </w:p>
        </w:tc>
        <w:tc>
          <w:tcPr>
            <w:tcW w:w="571" w:type="dxa"/>
            <w:gridSpan w:val="3"/>
            <w:tcBorders>
              <w:bottom w:val="nil"/>
            </w:tcBorders>
          </w:tcPr>
          <w:p>
            <w:pPr>
              <w:pStyle w:val="TableParagraph"/>
              <w:spacing w:line="254" w:lineRule="exact" w:before="15"/>
              <w:ind w:left="186"/>
              <w:rPr>
                <w:sz w:val="21"/>
              </w:rPr>
            </w:pPr>
            <w:r>
              <w:rPr>
                <w:sz w:val="21"/>
              </w:rPr>
              <w:t>维</w:t>
            </w:r>
          </w:p>
        </w:tc>
        <w:tc>
          <w:tcPr>
            <w:tcW w:w="187" w:type="dxa"/>
            <w:vMerge w:val="restart"/>
            <w:tcBorders>
              <w:right w:val="nil"/>
            </w:tcBorders>
          </w:tcPr>
          <w:p>
            <w:pPr>
              <w:pStyle w:val="TableParagraph"/>
              <w:rPr>
                <w:rFonts w:ascii="Times New Roman"/>
                <w:sz w:val="22"/>
              </w:rPr>
            </w:pPr>
          </w:p>
        </w:tc>
        <w:tc>
          <w:tcPr>
            <w:tcW w:w="210" w:type="dxa"/>
            <w:tcBorders>
              <w:left w:val="nil"/>
              <w:bottom w:val="single" w:sz="6" w:space="0" w:color="C0C0C0"/>
              <w:right w:val="nil"/>
            </w:tcBorders>
            <w:shd w:val="clear" w:color="auto" w:fill="FFFFFF"/>
          </w:tcPr>
          <w:p>
            <w:pPr>
              <w:pStyle w:val="TableParagraph"/>
              <w:spacing w:line="254" w:lineRule="exact" w:before="15"/>
              <w:ind w:left="6" w:right="-15"/>
              <w:jc w:val="center"/>
              <w:rPr>
                <w:sz w:val="21"/>
              </w:rPr>
            </w:pPr>
            <w:r>
              <w:rPr>
                <w:sz w:val="21"/>
              </w:rPr>
              <w:t>安</w:t>
            </w:r>
          </w:p>
        </w:tc>
        <w:tc>
          <w:tcPr>
            <w:tcW w:w="187" w:type="dxa"/>
            <w:vMerge w:val="restart"/>
            <w:tcBorders>
              <w:left w:val="nil"/>
            </w:tcBorders>
          </w:tcPr>
          <w:p>
            <w:pPr>
              <w:pStyle w:val="TableParagraph"/>
              <w:rPr>
                <w:rFonts w:ascii="Times New Roman"/>
                <w:sz w:val="22"/>
              </w:rPr>
            </w:pPr>
          </w:p>
        </w:tc>
        <w:tc>
          <w:tcPr>
            <w:tcW w:w="586" w:type="dxa"/>
            <w:vMerge w:val="restart"/>
          </w:tcPr>
          <w:p>
            <w:pPr>
              <w:pStyle w:val="TableParagraph"/>
              <w:spacing w:line="280" w:lineRule="auto" w:before="165"/>
              <w:ind w:left="188" w:right="170"/>
              <w:rPr>
                <w:sz w:val="21"/>
              </w:rPr>
            </w:pPr>
            <w:r>
              <w:rPr>
                <w:sz w:val="21"/>
              </w:rPr>
              <w:t>小计</w:t>
            </w:r>
          </w:p>
        </w:tc>
        <w:tc>
          <w:tcPr>
            <w:tcW w:w="571" w:type="dxa"/>
            <w:vMerge w:val="restart"/>
          </w:tcPr>
          <w:p>
            <w:pPr>
              <w:pStyle w:val="TableParagraph"/>
              <w:spacing w:line="280" w:lineRule="auto" w:before="165"/>
              <w:ind w:left="172" w:right="171"/>
              <w:rPr>
                <w:sz w:val="21"/>
              </w:rPr>
            </w:pPr>
            <w:r>
              <w:rPr>
                <w:sz w:val="21"/>
              </w:rPr>
              <w:t>人工</w:t>
            </w:r>
          </w:p>
        </w:tc>
        <w:tc>
          <w:tcPr>
            <w:tcW w:w="586" w:type="dxa"/>
            <w:vMerge w:val="restart"/>
          </w:tcPr>
          <w:p>
            <w:pPr>
              <w:pStyle w:val="TableParagraph"/>
              <w:spacing w:line="280" w:lineRule="auto" w:before="165"/>
              <w:ind w:left="187" w:right="171"/>
              <w:rPr>
                <w:sz w:val="21"/>
              </w:rPr>
            </w:pPr>
            <w:r>
              <w:rPr>
                <w:sz w:val="21"/>
              </w:rPr>
              <w:t>柴油</w:t>
            </w:r>
          </w:p>
        </w:tc>
        <w:tc>
          <w:tcPr>
            <w:tcW w:w="570" w:type="dxa"/>
            <w:vMerge w:val="restart"/>
          </w:tcPr>
          <w:p>
            <w:pPr>
              <w:pStyle w:val="TableParagraph"/>
              <w:spacing w:before="7"/>
              <w:rPr>
                <w:sz w:val="24"/>
              </w:rPr>
            </w:pPr>
          </w:p>
          <w:p>
            <w:pPr>
              <w:pStyle w:val="TableParagraph"/>
              <w:spacing w:before="1"/>
              <w:ind w:left="186"/>
              <w:rPr>
                <w:sz w:val="21"/>
              </w:rPr>
            </w:pPr>
            <w:r>
              <w:rPr>
                <w:sz w:val="21"/>
              </w:rPr>
              <w:t>电</w:t>
            </w:r>
          </w:p>
        </w:tc>
        <w:tc>
          <w:tcPr>
            <w:tcW w:w="586" w:type="dxa"/>
            <w:vMerge w:val="restart"/>
          </w:tcPr>
          <w:p>
            <w:pPr>
              <w:pStyle w:val="TableParagraph"/>
              <w:rPr>
                <w:rFonts w:ascii="Times New Roman"/>
                <w:sz w:val="22"/>
              </w:rPr>
            </w:pPr>
          </w:p>
        </w:tc>
        <w:tc>
          <w:tcPr>
            <w:tcW w:w="585" w:type="dxa"/>
            <w:vMerge w:val="restart"/>
          </w:tcPr>
          <w:p>
            <w:pPr>
              <w:pStyle w:val="TableParagraph"/>
              <w:rPr>
                <w:rFonts w:ascii="Times New Roman"/>
                <w:sz w:val="22"/>
              </w:rPr>
            </w:pPr>
          </w:p>
        </w:tc>
        <w:tc>
          <w:tcPr>
            <w:tcW w:w="571" w:type="dxa"/>
            <w:vMerge w:val="restart"/>
          </w:tcPr>
          <w:p>
            <w:pPr>
              <w:pStyle w:val="TableParagraph"/>
              <w:rPr>
                <w:rFonts w:ascii="Times New Roman"/>
                <w:sz w:val="22"/>
              </w:rPr>
            </w:pPr>
          </w:p>
        </w:tc>
        <w:tc>
          <w:tcPr>
            <w:tcW w:w="585" w:type="dxa"/>
            <w:vMerge w:val="restart"/>
          </w:tcPr>
          <w:p>
            <w:pPr>
              <w:pStyle w:val="TableParagraph"/>
              <w:spacing w:line="280" w:lineRule="auto" w:before="165"/>
              <w:ind w:left="188" w:right="169"/>
              <w:rPr>
                <w:sz w:val="21"/>
              </w:rPr>
            </w:pPr>
            <w:r>
              <w:rPr>
                <w:sz w:val="21"/>
              </w:rPr>
              <w:t>小计</w:t>
            </w:r>
          </w:p>
        </w:tc>
        <w:tc>
          <w:tcPr>
            <w:tcW w:w="525" w:type="dxa"/>
            <w:vMerge/>
            <w:tcBorders>
              <w:top w:val="nil"/>
            </w:tcBorders>
          </w:tcPr>
          <w:p>
            <w:pPr>
              <w:rPr>
                <w:sz w:val="2"/>
                <w:szCs w:val="2"/>
              </w:rPr>
            </w:pPr>
          </w:p>
        </w:tc>
      </w:tr>
      <w:tr>
        <w:trPr>
          <w:trHeight w:val="296" w:hRule="atLeast"/>
        </w:trPr>
        <w:tc>
          <w:tcPr>
            <w:tcW w:w="436" w:type="dxa"/>
            <w:vMerge/>
            <w:tcBorders>
              <w:top w:val="nil"/>
            </w:tcBorders>
          </w:tcPr>
          <w:p>
            <w:pPr>
              <w:rPr>
                <w:sz w:val="2"/>
                <w:szCs w:val="2"/>
              </w:rPr>
            </w:pPr>
          </w:p>
        </w:tc>
        <w:tc>
          <w:tcPr>
            <w:tcW w:w="436" w:type="dxa"/>
            <w:vMerge/>
            <w:tcBorders>
              <w:top w:val="nil"/>
            </w:tcBorders>
          </w:tcPr>
          <w:p>
            <w:pPr>
              <w:rPr>
                <w:sz w:val="2"/>
                <w:szCs w:val="2"/>
              </w:rPr>
            </w:pPr>
          </w:p>
        </w:tc>
        <w:tc>
          <w:tcPr>
            <w:tcW w:w="796" w:type="dxa"/>
            <w:vMerge/>
            <w:tcBorders>
              <w:top w:val="nil"/>
            </w:tcBorders>
          </w:tcPr>
          <w:p>
            <w:pPr>
              <w:rPr>
                <w:sz w:val="2"/>
                <w:szCs w:val="2"/>
              </w:rPr>
            </w:pPr>
          </w:p>
        </w:tc>
        <w:tc>
          <w:tcPr>
            <w:tcW w:w="586" w:type="dxa"/>
            <w:vMerge/>
            <w:tcBorders>
              <w:top w:val="nil"/>
            </w:tcBorders>
          </w:tcPr>
          <w:p>
            <w:pPr>
              <w:rPr>
                <w:sz w:val="2"/>
                <w:szCs w:val="2"/>
              </w:rPr>
            </w:pPr>
          </w:p>
        </w:tc>
        <w:tc>
          <w:tcPr>
            <w:tcW w:w="188" w:type="dxa"/>
            <w:vMerge w:val="restart"/>
            <w:tcBorders>
              <w:top w:val="nil"/>
              <w:right w:val="nil"/>
            </w:tcBorders>
          </w:tcPr>
          <w:p>
            <w:pPr>
              <w:pStyle w:val="TableParagraph"/>
              <w:rPr>
                <w:rFonts w:ascii="Times New Roman"/>
                <w:sz w:val="22"/>
              </w:rPr>
            </w:pPr>
          </w:p>
        </w:tc>
        <w:tc>
          <w:tcPr>
            <w:tcW w:w="210" w:type="dxa"/>
            <w:tcBorders>
              <w:top w:val="nil"/>
              <w:left w:val="nil"/>
              <w:bottom w:val="single" w:sz="6" w:space="0" w:color="FFFFFF"/>
              <w:right w:val="nil"/>
            </w:tcBorders>
            <w:shd w:val="clear" w:color="auto" w:fill="FFFFFF"/>
          </w:tcPr>
          <w:p>
            <w:pPr>
              <w:pStyle w:val="TableParagraph"/>
              <w:spacing w:line="265" w:lineRule="exact" w:before="11"/>
              <w:ind w:left="5" w:right="-15"/>
              <w:jc w:val="center"/>
              <w:rPr>
                <w:sz w:val="21"/>
              </w:rPr>
            </w:pPr>
            <w:r>
              <w:rPr>
                <w:sz w:val="21"/>
              </w:rPr>
              <w:t>修</w:t>
            </w:r>
          </w:p>
        </w:tc>
        <w:tc>
          <w:tcPr>
            <w:tcW w:w="173" w:type="dxa"/>
            <w:vMerge w:val="restart"/>
            <w:tcBorders>
              <w:top w:val="nil"/>
              <w:left w:val="nil"/>
            </w:tcBorders>
          </w:tcPr>
          <w:p>
            <w:pPr>
              <w:pStyle w:val="TableParagraph"/>
              <w:rPr>
                <w:rFonts w:ascii="Times New Roman"/>
                <w:sz w:val="22"/>
              </w:rPr>
            </w:pPr>
          </w:p>
        </w:tc>
        <w:tc>
          <w:tcPr>
            <w:tcW w:w="187" w:type="dxa"/>
            <w:vMerge/>
            <w:tcBorders>
              <w:top w:val="nil"/>
              <w:right w:val="nil"/>
            </w:tcBorders>
          </w:tcPr>
          <w:p>
            <w:pPr>
              <w:rPr>
                <w:sz w:val="2"/>
                <w:szCs w:val="2"/>
              </w:rPr>
            </w:pPr>
          </w:p>
        </w:tc>
        <w:tc>
          <w:tcPr>
            <w:tcW w:w="210" w:type="dxa"/>
            <w:tcBorders>
              <w:top w:val="single" w:sz="6" w:space="0" w:color="C0C0C0"/>
              <w:left w:val="nil"/>
              <w:bottom w:val="single" w:sz="6" w:space="0" w:color="FFFFFF"/>
              <w:right w:val="nil"/>
            </w:tcBorders>
            <w:shd w:val="clear" w:color="auto" w:fill="FFFFFF"/>
          </w:tcPr>
          <w:p>
            <w:pPr>
              <w:pStyle w:val="TableParagraph"/>
              <w:spacing w:line="265" w:lineRule="exact" w:before="11"/>
              <w:ind w:left="6" w:right="-15"/>
              <w:jc w:val="center"/>
              <w:rPr>
                <w:sz w:val="21"/>
              </w:rPr>
            </w:pPr>
            <w:r>
              <w:rPr>
                <w:sz w:val="21"/>
              </w:rPr>
              <w:t>拆</w:t>
            </w:r>
          </w:p>
        </w:tc>
        <w:tc>
          <w:tcPr>
            <w:tcW w:w="187" w:type="dxa"/>
            <w:vMerge/>
            <w:tcBorders>
              <w:top w:val="nil"/>
              <w:left w:val="nil"/>
            </w:tcBorders>
          </w:tcPr>
          <w:p>
            <w:pPr>
              <w:rPr>
                <w:sz w:val="2"/>
                <w:szCs w:val="2"/>
              </w:rPr>
            </w:pPr>
          </w:p>
        </w:tc>
        <w:tc>
          <w:tcPr>
            <w:tcW w:w="586" w:type="dxa"/>
            <w:vMerge/>
            <w:tcBorders>
              <w:top w:val="nil"/>
            </w:tcBorders>
          </w:tcPr>
          <w:p>
            <w:pPr>
              <w:rPr>
                <w:sz w:val="2"/>
                <w:szCs w:val="2"/>
              </w:rPr>
            </w:pPr>
          </w:p>
        </w:tc>
        <w:tc>
          <w:tcPr>
            <w:tcW w:w="571" w:type="dxa"/>
            <w:vMerge/>
            <w:tcBorders>
              <w:top w:val="nil"/>
            </w:tcBorders>
          </w:tcPr>
          <w:p>
            <w:pPr>
              <w:rPr>
                <w:sz w:val="2"/>
                <w:szCs w:val="2"/>
              </w:rPr>
            </w:pPr>
          </w:p>
        </w:tc>
        <w:tc>
          <w:tcPr>
            <w:tcW w:w="586" w:type="dxa"/>
            <w:vMerge/>
            <w:tcBorders>
              <w:top w:val="nil"/>
            </w:tcBorders>
          </w:tcPr>
          <w:p>
            <w:pPr>
              <w:rPr>
                <w:sz w:val="2"/>
                <w:szCs w:val="2"/>
              </w:rPr>
            </w:pPr>
          </w:p>
        </w:tc>
        <w:tc>
          <w:tcPr>
            <w:tcW w:w="570" w:type="dxa"/>
            <w:vMerge/>
            <w:tcBorders>
              <w:top w:val="nil"/>
            </w:tcBorders>
          </w:tcPr>
          <w:p>
            <w:pPr>
              <w:rPr>
                <w:sz w:val="2"/>
                <w:szCs w:val="2"/>
              </w:rPr>
            </w:pPr>
          </w:p>
        </w:tc>
        <w:tc>
          <w:tcPr>
            <w:tcW w:w="586" w:type="dxa"/>
            <w:vMerge/>
            <w:tcBorders>
              <w:top w:val="nil"/>
            </w:tcBorders>
          </w:tcPr>
          <w:p>
            <w:pPr>
              <w:rPr>
                <w:sz w:val="2"/>
                <w:szCs w:val="2"/>
              </w:rPr>
            </w:pPr>
          </w:p>
        </w:tc>
        <w:tc>
          <w:tcPr>
            <w:tcW w:w="585" w:type="dxa"/>
            <w:vMerge/>
            <w:tcBorders>
              <w:top w:val="nil"/>
            </w:tcBorders>
          </w:tcPr>
          <w:p>
            <w:pPr>
              <w:rPr>
                <w:sz w:val="2"/>
                <w:szCs w:val="2"/>
              </w:rPr>
            </w:pPr>
          </w:p>
        </w:tc>
        <w:tc>
          <w:tcPr>
            <w:tcW w:w="571" w:type="dxa"/>
            <w:vMerge/>
            <w:tcBorders>
              <w:top w:val="nil"/>
            </w:tcBorders>
          </w:tcPr>
          <w:p>
            <w:pPr>
              <w:rPr>
                <w:sz w:val="2"/>
                <w:szCs w:val="2"/>
              </w:rPr>
            </w:pPr>
          </w:p>
        </w:tc>
        <w:tc>
          <w:tcPr>
            <w:tcW w:w="585" w:type="dxa"/>
            <w:vMerge/>
            <w:tcBorders>
              <w:top w:val="nil"/>
            </w:tcBorders>
          </w:tcPr>
          <w:p>
            <w:pPr>
              <w:rPr>
                <w:sz w:val="2"/>
                <w:szCs w:val="2"/>
              </w:rPr>
            </w:pPr>
          </w:p>
        </w:tc>
        <w:tc>
          <w:tcPr>
            <w:tcW w:w="525" w:type="dxa"/>
            <w:vMerge/>
            <w:tcBorders>
              <w:top w:val="nil"/>
            </w:tcBorders>
          </w:tcPr>
          <w:p>
            <w:pPr>
              <w:rPr>
                <w:sz w:val="2"/>
                <w:szCs w:val="2"/>
              </w:rPr>
            </w:pPr>
          </w:p>
        </w:tc>
      </w:tr>
      <w:tr>
        <w:trPr>
          <w:trHeight w:val="315" w:hRule="atLeast"/>
        </w:trPr>
        <w:tc>
          <w:tcPr>
            <w:tcW w:w="436" w:type="dxa"/>
            <w:vMerge/>
            <w:tcBorders>
              <w:top w:val="nil"/>
            </w:tcBorders>
          </w:tcPr>
          <w:p>
            <w:pPr>
              <w:rPr>
                <w:sz w:val="2"/>
                <w:szCs w:val="2"/>
              </w:rPr>
            </w:pPr>
          </w:p>
        </w:tc>
        <w:tc>
          <w:tcPr>
            <w:tcW w:w="436" w:type="dxa"/>
            <w:vMerge/>
            <w:tcBorders>
              <w:top w:val="nil"/>
            </w:tcBorders>
          </w:tcPr>
          <w:p>
            <w:pPr>
              <w:rPr>
                <w:sz w:val="2"/>
                <w:szCs w:val="2"/>
              </w:rPr>
            </w:pPr>
          </w:p>
        </w:tc>
        <w:tc>
          <w:tcPr>
            <w:tcW w:w="796" w:type="dxa"/>
            <w:vMerge/>
            <w:tcBorders>
              <w:top w:val="nil"/>
            </w:tcBorders>
          </w:tcPr>
          <w:p>
            <w:pPr>
              <w:rPr>
                <w:sz w:val="2"/>
                <w:szCs w:val="2"/>
              </w:rPr>
            </w:pPr>
          </w:p>
        </w:tc>
        <w:tc>
          <w:tcPr>
            <w:tcW w:w="586" w:type="dxa"/>
            <w:vMerge/>
            <w:tcBorders>
              <w:top w:val="nil"/>
            </w:tcBorders>
          </w:tcPr>
          <w:p>
            <w:pPr>
              <w:rPr>
                <w:sz w:val="2"/>
                <w:szCs w:val="2"/>
              </w:rPr>
            </w:pPr>
          </w:p>
        </w:tc>
        <w:tc>
          <w:tcPr>
            <w:tcW w:w="188" w:type="dxa"/>
            <w:vMerge/>
            <w:tcBorders>
              <w:top w:val="nil"/>
              <w:right w:val="nil"/>
            </w:tcBorders>
          </w:tcPr>
          <w:p>
            <w:pPr>
              <w:rPr>
                <w:sz w:val="2"/>
                <w:szCs w:val="2"/>
              </w:rPr>
            </w:pPr>
          </w:p>
        </w:tc>
        <w:tc>
          <w:tcPr>
            <w:tcW w:w="210" w:type="dxa"/>
            <w:tcBorders>
              <w:top w:val="single" w:sz="6" w:space="0" w:color="FFFFFF"/>
              <w:left w:val="nil"/>
              <w:right w:val="nil"/>
            </w:tcBorders>
            <w:shd w:val="clear" w:color="auto" w:fill="FFFFFF"/>
          </w:tcPr>
          <w:p>
            <w:pPr>
              <w:pStyle w:val="TableParagraph"/>
              <w:spacing w:before="15"/>
              <w:ind w:left="5" w:right="-15"/>
              <w:jc w:val="center"/>
              <w:rPr>
                <w:sz w:val="21"/>
              </w:rPr>
            </w:pPr>
            <w:r>
              <w:rPr>
                <w:sz w:val="21"/>
              </w:rPr>
              <w:t>费</w:t>
            </w:r>
          </w:p>
        </w:tc>
        <w:tc>
          <w:tcPr>
            <w:tcW w:w="173" w:type="dxa"/>
            <w:vMerge/>
            <w:tcBorders>
              <w:top w:val="nil"/>
              <w:left w:val="nil"/>
            </w:tcBorders>
          </w:tcPr>
          <w:p>
            <w:pPr>
              <w:rPr>
                <w:sz w:val="2"/>
                <w:szCs w:val="2"/>
              </w:rPr>
            </w:pPr>
          </w:p>
        </w:tc>
        <w:tc>
          <w:tcPr>
            <w:tcW w:w="187" w:type="dxa"/>
            <w:vMerge/>
            <w:tcBorders>
              <w:top w:val="nil"/>
              <w:right w:val="nil"/>
            </w:tcBorders>
          </w:tcPr>
          <w:p>
            <w:pPr>
              <w:rPr>
                <w:sz w:val="2"/>
                <w:szCs w:val="2"/>
              </w:rPr>
            </w:pPr>
          </w:p>
        </w:tc>
        <w:tc>
          <w:tcPr>
            <w:tcW w:w="210" w:type="dxa"/>
            <w:tcBorders>
              <w:top w:val="single" w:sz="6" w:space="0" w:color="FFFFFF"/>
              <w:left w:val="nil"/>
              <w:right w:val="nil"/>
            </w:tcBorders>
            <w:shd w:val="clear" w:color="auto" w:fill="FFFFFF"/>
          </w:tcPr>
          <w:p>
            <w:pPr>
              <w:pStyle w:val="TableParagraph"/>
              <w:spacing w:before="15"/>
              <w:ind w:left="6" w:right="-15"/>
              <w:jc w:val="center"/>
              <w:rPr>
                <w:sz w:val="21"/>
              </w:rPr>
            </w:pPr>
            <w:r>
              <w:rPr>
                <w:sz w:val="21"/>
              </w:rPr>
              <w:t>费</w:t>
            </w:r>
          </w:p>
        </w:tc>
        <w:tc>
          <w:tcPr>
            <w:tcW w:w="187" w:type="dxa"/>
            <w:vMerge/>
            <w:tcBorders>
              <w:top w:val="nil"/>
              <w:left w:val="nil"/>
            </w:tcBorders>
          </w:tcPr>
          <w:p>
            <w:pPr>
              <w:rPr>
                <w:sz w:val="2"/>
                <w:szCs w:val="2"/>
              </w:rPr>
            </w:pPr>
          </w:p>
        </w:tc>
        <w:tc>
          <w:tcPr>
            <w:tcW w:w="586" w:type="dxa"/>
            <w:vMerge/>
            <w:tcBorders>
              <w:top w:val="nil"/>
            </w:tcBorders>
          </w:tcPr>
          <w:p>
            <w:pPr>
              <w:rPr>
                <w:sz w:val="2"/>
                <w:szCs w:val="2"/>
              </w:rPr>
            </w:pPr>
          </w:p>
        </w:tc>
        <w:tc>
          <w:tcPr>
            <w:tcW w:w="571" w:type="dxa"/>
            <w:vMerge/>
            <w:tcBorders>
              <w:top w:val="nil"/>
            </w:tcBorders>
          </w:tcPr>
          <w:p>
            <w:pPr>
              <w:rPr>
                <w:sz w:val="2"/>
                <w:szCs w:val="2"/>
              </w:rPr>
            </w:pPr>
          </w:p>
        </w:tc>
        <w:tc>
          <w:tcPr>
            <w:tcW w:w="586" w:type="dxa"/>
            <w:vMerge/>
            <w:tcBorders>
              <w:top w:val="nil"/>
            </w:tcBorders>
          </w:tcPr>
          <w:p>
            <w:pPr>
              <w:rPr>
                <w:sz w:val="2"/>
                <w:szCs w:val="2"/>
              </w:rPr>
            </w:pPr>
          </w:p>
        </w:tc>
        <w:tc>
          <w:tcPr>
            <w:tcW w:w="570" w:type="dxa"/>
            <w:vMerge/>
            <w:tcBorders>
              <w:top w:val="nil"/>
            </w:tcBorders>
          </w:tcPr>
          <w:p>
            <w:pPr>
              <w:rPr>
                <w:sz w:val="2"/>
                <w:szCs w:val="2"/>
              </w:rPr>
            </w:pPr>
          </w:p>
        </w:tc>
        <w:tc>
          <w:tcPr>
            <w:tcW w:w="586" w:type="dxa"/>
            <w:vMerge/>
            <w:tcBorders>
              <w:top w:val="nil"/>
            </w:tcBorders>
          </w:tcPr>
          <w:p>
            <w:pPr>
              <w:rPr>
                <w:sz w:val="2"/>
                <w:szCs w:val="2"/>
              </w:rPr>
            </w:pPr>
          </w:p>
        </w:tc>
        <w:tc>
          <w:tcPr>
            <w:tcW w:w="585" w:type="dxa"/>
            <w:vMerge/>
            <w:tcBorders>
              <w:top w:val="nil"/>
            </w:tcBorders>
          </w:tcPr>
          <w:p>
            <w:pPr>
              <w:rPr>
                <w:sz w:val="2"/>
                <w:szCs w:val="2"/>
              </w:rPr>
            </w:pPr>
          </w:p>
        </w:tc>
        <w:tc>
          <w:tcPr>
            <w:tcW w:w="571" w:type="dxa"/>
            <w:vMerge/>
            <w:tcBorders>
              <w:top w:val="nil"/>
            </w:tcBorders>
          </w:tcPr>
          <w:p>
            <w:pPr>
              <w:rPr>
                <w:sz w:val="2"/>
                <w:szCs w:val="2"/>
              </w:rPr>
            </w:pPr>
          </w:p>
        </w:tc>
        <w:tc>
          <w:tcPr>
            <w:tcW w:w="585" w:type="dxa"/>
            <w:vMerge/>
            <w:tcBorders>
              <w:top w:val="nil"/>
            </w:tcBorders>
          </w:tcPr>
          <w:p>
            <w:pPr>
              <w:rPr>
                <w:sz w:val="2"/>
                <w:szCs w:val="2"/>
              </w:rPr>
            </w:pPr>
          </w:p>
        </w:tc>
        <w:tc>
          <w:tcPr>
            <w:tcW w:w="525" w:type="dxa"/>
            <w:vMerge/>
            <w:tcBorders>
              <w:top w:val="nil"/>
            </w:tcBorders>
          </w:tcPr>
          <w:p>
            <w:pPr>
              <w:rPr>
                <w:sz w:val="2"/>
                <w:szCs w:val="2"/>
              </w:rPr>
            </w:pPr>
          </w:p>
        </w:tc>
      </w:tr>
      <w:tr>
        <w:trPr>
          <w:trHeight w:val="300" w:hRule="atLeast"/>
        </w:trPr>
        <w:tc>
          <w:tcPr>
            <w:tcW w:w="436" w:type="dxa"/>
          </w:tcPr>
          <w:p>
            <w:pPr>
              <w:pStyle w:val="TableParagraph"/>
              <w:rPr>
                <w:rFonts w:ascii="Times New Roman"/>
                <w:sz w:val="22"/>
              </w:rPr>
            </w:pPr>
          </w:p>
        </w:tc>
        <w:tc>
          <w:tcPr>
            <w:tcW w:w="436" w:type="dxa"/>
          </w:tcPr>
          <w:p>
            <w:pPr>
              <w:pStyle w:val="TableParagraph"/>
              <w:rPr>
                <w:rFonts w:ascii="Times New Roman"/>
                <w:sz w:val="22"/>
              </w:rPr>
            </w:pPr>
          </w:p>
        </w:tc>
        <w:tc>
          <w:tcPr>
            <w:tcW w:w="796" w:type="dxa"/>
          </w:tcPr>
          <w:p>
            <w:pPr>
              <w:pStyle w:val="TableParagraph"/>
              <w:rPr>
                <w:rFonts w:ascii="Times New Roman"/>
                <w:sz w:val="22"/>
              </w:rPr>
            </w:pPr>
          </w:p>
        </w:tc>
        <w:tc>
          <w:tcPr>
            <w:tcW w:w="586" w:type="dxa"/>
          </w:tcPr>
          <w:p>
            <w:pPr>
              <w:pStyle w:val="TableParagraph"/>
              <w:rPr>
                <w:rFonts w:ascii="Times New Roman"/>
                <w:sz w:val="22"/>
              </w:rPr>
            </w:pPr>
          </w:p>
        </w:tc>
        <w:tc>
          <w:tcPr>
            <w:tcW w:w="571" w:type="dxa"/>
            <w:gridSpan w:val="3"/>
          </w:tcPr>
          <w:p>
            <w:pPr>
              <w:pStyle w:val="TableParagraph"/>
              <w:rPr>
                <w:rFonts w:ascii="Times New Roman"/>
                <w:sz w:val="22"/>
              </w:rPr>
            </w:pPr>
          </w:p>
        </w:tc>
        <w:tc>
          <w:tcPr>
            <w:tcW w:w="584" w:type="dxa"/>
            <w:gridSpan w:val="3"/>
          </w:tcPr>
          <w:p>
            <w:pPr>
              <w:pStyle w:val="TableParagraph"/>
              <w:rPr>
                <w:rFonts w:ascii="Times New Roman"/>
                <w:sz w:val="22"/>
              </w:rPr>
            </w:pPr>
          </w:p>
        </w:tc>
        <w:tc>
          <w:tcPr>
            <w:tcW w:w="586" w:type="dxa"/>
          </w:tcPr>
          <w:p>
            <w:pPr>
              <w:pStyle w:val="TableParagraph"/>
              <w:rPr>
                <w:rFonts w:ascii="Times New Roman"/>
                <w:sz w:val="22"/>
              </w:rPr>
            </w:pPr>
          </w:p>
        </w:tc>
        <w:tc>
          <w:tcPr>
            <w:tcW w:w="571" w:type="dxa"/>
          </w:tcPr>
          <w:p>
            <w:pPr>
              <w:pStyle w:val="TableParagraph"/>
              <w:rPr>
                <w:rFonts w:ascii="Times New Roman"/>
                <w:sz w:val="22"/>
              </w:rPr>
            </w:pPr>
          </w:p>
        </w:tc>
        <w:tc>
          <w:tcPr>
            <w:tcW w:w="586" w:type="dxa"/>
          </w:tcPr>
          <w:p>
            <w:pPr>
              <w:pStyle w:val="TableParagraph"/>
              <w:rPr>
                <w:rFonts w:ascii="Times New Roman"/>
                <w:sz w:val="22"/>
              </w:rPr>
            </w:pPr>
          </w:p>
        </w:tc>
        <w:tc>
          <w:tcPr>
            <w:tcW w:w="570" w:type="dxa"/>
          </w:tcPr>
          <w:p>
            <w:pPr>
              <w:pStyle w:val="TableParagraph"/>
              <w:rPr>
                <w:rFonts w:ascii="Times New Roman"/>
                <w:sz w:val="22"/>
              </w:rPr>
            </w:pPr>
          </w:p>
        </w:tc>
        <w:tc>
          <w:tcPr>
            <w:tcW w:w="586" w:type="dxa"/>
          </w:tcPr>
          <w:p>
            <w:pPr>
              <w:pStyle w:val="TableParagraph"/>
              <w:rPr>
                <w:rFonts w:ascii="Times New Roman"/>
                <w:sz w:val="22"/>
              </w:rPr>
            </w:pPr>
          </w:p>
        </w:tc>
        <w:tc>
          <w:tcPr>
            <w:tcW w:w="585" w:type="dxa"/>
          </w:tcPr>
          <w:p>
            <w:pPr>
              <w:pStyle w:val="TableParagraph"/>
              <w:rPr>
                <w:rFonts w:ascii="Times New Roman"/>
                <w:sz w:val="22"/>
              </w:rPr>
            </w:pPr>
          </w:p>
        </w:tc>
        <w:tc>
          <w:tcPr>
            <w:tcW w:w="571" w:type="dxa"/>
          </w:tcPr>
          <w:p>
            <w:pPr>
              <w:pStyle w:val="TableParagraph"/>
              <w:rPr>
                <w:rFonts w:ascii="Times New Roman"/>
                <w:sz w:val="22"/>
              </w:rPr>
            </w:pPr>
          </w:p>
        </w:tc>
        <w:tc>
          <w:tcPr>
            <w:tcW w:w="585" w:type="dxa"/>
          </w:tcPr>
          <w:p>
            <w:pPr>
              <w:pStyle w:val="TableParagraph"/>
              <w:rPr>
                <w:rFonts w:ascii="Times New Roman"/>
                <w:sz w:val="22"/>
              </w:rPr>
            </w:pPr>
          </w:p>
        </w:tc>
        <w:tc>
          <w:tcPr>
            <w:tcW w:w="525" w:type="dxa"/>
          </w:tcPr>
          <w:p>
            <w:pPr>
              <w:pStyle w:val="TableParagraph"/>
              <w:rPr>
                <w:rFonts w:ascii="Times New Roman"/>
                <w:sz w:val="22"/>
              </w:rPr>
            </w:pPr>
          </w:p>
        </w:tc>
      </w:tr>
      <w:tr>
        <w:trPr>
          <w:trHeight w:val="315" w:hRule="atLeast"/>
        </w:trPr>
        <w:tc>
          <w:tcPr>
            <w:tcW w:w="436" w:type="dxa"/>
          </w:tcPr>
          <w:p>
            <w:pPr>
              <w:pStyle w:val="TableParagraph"/>
              <w:rPr>
                <w:rFonts w:ascii="Times New Roman"/>
                <w:sz w:val="22"/>
              </w:rPr>
            </w:pPr>
          </w:p>
        </w:tc>
        <w:tc>
          <w:tcPr>
            <w:tcW w:w="436" w:type="dxa"/>
          </w:tcPr>
          <w:p>
            <w:pPr>
              <w:pStyle w:val="TableParagraph"/>
              <w:rPr>
                <w:rFonts w:ascii="Times New Roman"/>
                <w:sz w:val="22"/>
              </w:rPr>
            </w:pPr>
          </w:p>
        </w:tc>
        <w:tc>
          <w:tcPr>
            <w:tcW w:w="796" w:type="dxa"/>
          </w:tcPr>
          <w:p>
            <w:pPr>
              <w:pStyle w:val="TableParagraph"/>
              <w:rPr>
                <w:rFonts w:ascii="Times New Roman"/>
                <w:sz w:val="22"/>
              </w:rPr>
            </w:pPr>
          </w:p>
        </w:tc>
        <w:tc>
          <w:tcPr>
            <w:tcW w:w="586" w:type="dxa"/>
          </w:tcPr>
          <w:p>
            <w:pPr>
              <w:pStyle w:val="TableParagraph"/>
              <w:rPr>
                <w:rFonts w:ascii="Times New Roman"/>
                <w:sz w:val="22"/>
              </w:rPr>
            </w:pPr>
          </w:p>
        </w:tc>
        <w:tc>
          <w:tcPr>
            <w:tcW w:w="571" w:type="dxa"/>
            <w:gridSpan w:val="3"/>
          </w:tcPr>
          <w:p>
            <w:pPr>
              <w:pStyle w:val="TableParagraph"/>
              <w:rPr>
                <w:rFonts w:ascii="Times New Roman"/>
                <w:sz w:val="22"/>
              </w:rPr>
            </w:pPr>
          </w:p>
        </w:tc>
        <w:tc>
          <w:tcPr>
            <w:tcW w:w="584" w:type="dxa"/>
            <w:gridSpan w:val="3"/>
          </w:tcPr>
          <w:p>
            <w:pPr>
              <w:pStyle w:val="TableParagraph"/>
              <w:rPr>
                <w:rFonts w:ascii="Times New Roman"/>
                <w:sz w:val="22"/>
              </w:rPr>
            </w:pPr>
          </w:p>
        </w:tc>
        <w:tc>
          <w:tcPr>
            <w:tcW w:w="586" w:type="dxa"/>
          </w:tcPr>
          <w:p>
            <w:pPr>
              <w:pStyle w:val="TableParagraph"/>
              <w:rPr>
                <w:rFonts w:ascii="Times New Roman"/>
                <w:sz w:val="22"/>
              </w:rPr>
            </w:pPr>
          </w:p>
        </w:tc>
        <w:tc>
          <w:tcPr>
            <w:tcW w:w="571" w:type="dxa"/>
          </w:tcPr>
          <w:p>
            <w:pPr>
              <w:pStyle w:val="TableParagraph"/>
              <w:rPr>
                <w:rFonts w:ascii="Times New Roman"/>
                <w:sz w:val="22"/>
              </w:rPr>
            </w:pPr>
          </w:p>
        </w:tc>
        <w:tc>
          <w:tcPr>
            <w:tcW w:w="586" w:type="dxa"/>
          </w:tcPr>
          <w:p>
            <w:pPr>
              <w:pStyle w:val="TableParagraph"/>
              <w:rPr>
                <w:rFonts w:ascii="Times New Roman"/>
                <w:sz w:val="22"/>
              </w:rPr>
            </w:pPr>
          </w:p>
        </w:tc>
        <w:tc>
          <w:tcPr>
            <w:tcW w:w="570" w:type="dxa"/>
          </w:tcPr>
          <w:p>
            <w:pPr>
              <w:pStyle w:val="TableParagraph"/>
              <w:rPr>
                <w:rFonts w:ascii="Times New Roman"/>
                <w:sz w:val="22"/>
              </w:rPr>
            </w:pPr>
          </w:p>
        </w:tc>
        <w:tc>
          <w:tcPr>
            <w:tcW w:w="586" w:type="dxa"/>
          </w:tcPr>
          <w:p>
            <w:pPr>
              <w:pStyle w:val="TableParagraph"/>
              <w:rPr>
                <w:rFonts w:ascii="Times New Roman"/>
                <w:sz w:val="22"/>
              </w:rPr>
            </w:pPr>
          </w:p>
        </w:tc>
        <w:tc>
          <w:tcPr>
            <w:tcW w:w="585" w:type="dxa"/>
          </w:tcPr>
          <w:p>
            <w:pPr>
              <w:pStyle w:val="TableParagraph"/>
              <w:rPr>
                <w:rFonts w:ascii="Times New Roman"/>
                <w:sz w:val="22"/>
              </w:rPr>
            </w:pPr>
          </w:p>
        </w:tc>
        <w:tc>
          <w:tcPr>
            <w:tcW w:w="571" w:type="dxa"/>
          </w:tcPr>
          <w:p>
            <w:pPr>
              <w:pStyle w:val="TableParagraph"/>
              <w:rPr>
                <w:rFonts w:ascii="Times New Roman"/>
                <w:sz w:val="22"/>
              </w:rPr>
            </w:pPr>
          </w:p>
        </w:tc>
        <w:tc>
          <w:tcPr>
            <w:tcW w:w="585" w:type="dxa"/>
          </w:tcPr>
          <w:p>
            <w:pPr>
              <w:pStyle w:val="TableParagraph"/>
              <w:rPr>
                <w:rFonts w:ascii="Times New Roman"/>
                <w:sz w:val="22"/>
              </w:rPr>
            </w:pPr>
          </w:p>
        </w:tc>
        <w:tc>
          <w:tcPr>
            <w:tcW w:w="525" w:type="dxa"/>
          </w:tcPr>
          <w:p>
            <w:pPr>
              <w:pStyle w:val="TableParagraph"/>
              <w:rPr>
                <w:rFonts w:ascii="Times New Roman"/>
                <w:sz w:val="22"/>
              </w:rPr>
            </w:pPr>
          </w:p>
        </w:tc>
      </w:tr>
      <w:tr>
        <w:trPr>
          <w:trHeight w:val="300" w:hRule="atLeast"/>
        </w:trPr>
        <w:tc>
          <w:tcPr>
            <w:tcW w:w="436" w:type="dxa"/>
          </w:tcPr>
          <w:p>
            <w:pPr>
              <w:pStyle w:val="TableParagraph"/>
              <w:rPr>
                <w:rFonts w:ascii="Times New Roman"/>
                <w:sz w:val="22"/>
              </w:rPr>
            </w:pPr>
          </w:p>
        </w:tc>
        <w:tc>
          <w:tcPr>
            <w:tcW w:w="436" w:type="dxa"/>
          </w:tcPr>
          <w:p>
            <w:pPr>
              <w:pStyle w:val="TableParagraph"/>
              <w:rPr>
                <w:rFonts w:ascii="Times New Roman"/>
                <w:sz w:val="22"/>
              </w:rPr>
            </w:pPr>
          </w:p>
        </w:tc>
        <w:tc>
          <w:tcPr>
            <w:tcW w:w="796" w:type="dxa"/>
          </w:tcPr>
          <w:p>
            <w:pPr>
              <w:pStyle w:val="TableParagraph"/>
              <w:rPr>
                <w:rFonts w:ascii="Times New Roman"/>
                <w:sz w:val="22"/>
              </w:rPr>
            </w:pPr>
          </w:p>
        </w:tc>
        <w:tc>
          <w:tcPr>
            <w:tcW w:w="586" w:type="dxa"/>
          </w:tcPr>
          <w:p>
            <w:pPr>
              <w:pStyle w:val="TableParagraph"/>
              <w:rPr>
                <w:rFonts w:ascii="Times New Roman"/>
                <w:sz w:val="22"/>
              </w:rPr>
            </w:pPr>
          </w:p>
        </w:tc>
        <w:tc>
          <w:tcPr>
            <w:tcW w:w="571" w:type="dxa"/>
            <w:gridSpan w:val="3"/>
          </w:tcPr>
          <w:p>
            <w:pPr>
              <w:pStyle w:val="TableParagraph"/>
              <w:rPr>
                <w:rFonts w:ascii="Times New Roman"/>
                <w:sz w:val="22"/>
              </w:rPr>
            </w:pPr>
          </w:p>
        </w:tc>
        <w:tc>
          <w:tcPr>
            <w:tcW w:w="584" w:type="dxa"/>
            <w:gridSpan w:val="3"/>
          </w:tcPr>
          <w:p>
            <w:pPr>
              <w:pStyle w:val="TableParagraph"/>
              <w:rPr>
                <w:rFonts w:ascii="Times New Roman"/>
                <w:sz w:val="22"/>
              </w:rPr>
            </w:pPr>
          </w:p>
        </w:tc>
        <w:tc>
          <w:tcPr>
            <w:tcW w:w="586" w:type="dxa"/>
          </w:tcPr>
          <w:p>
            <w:pPr>
              <w:pStyle w:val="TableParagraph"/>
              <w:rPr>
                <w:rFonts w:ascii="Times New Roman"/>
                <w:sz w:val="22"/>
              </w:rPr>
            </w:pPr>
          </w:p>
        </w:tc>
        <w:tc>
          <w:tcPr>
            <w:tcW w:w="571" w:type="dxa"/>
          </w:tcPr>
          <w:p>
            <w:pPr>
              <w:pStyle w:val="TableParagraph"/>
              <w:rPr>
                <w:rFonts w:ascii="Times New Roman"/>
                <w:sz w:val="22"/>
              </w:rPr>
            </w:pPr>
          </w:p>
        </w:tc>
        <w:tc>
          <w:tcPr>
            <w:tcW w:w="586" w:type="dxa"/>
          </w:tcPr>
          <w:p>
            <w:pPr>
              <w:pStyle w:val="TableParagraph"/>
              <w:rPr>
                <w:rFonts w:ascii="Times New Roman"/>
                <w:sz w:val="22"/>
              </w:rPr>
            </w:pPr>
          </w:p>
        </w:tc>
        <w:tc>
          <w:tcPr>
            <w:tcW w:w="570" w:type="dxa"/>
          </w:tcPr>
          <w:p>
            <w:pPr>
              <w:pStyle w:val="TableParagraph"/>
              <w:rPr>
                <w:rFonts w:ascii="Times New Roman"/>
                <w:sz w:val="22"/>
              </w:rPr>
            </w:pPr>
          </w:p>
        </w:tc>
        <w:tc>
          <w:tcPr>
            <w:tcW w:w="586" w:type="dxa"/>
          </w:tcPr>
          <w:p>
            <w:pPr>
              <w:pStyle w:val="TableParagraph"/>
              <w:rPr>
                <w:rFonts w:ascii="Times New Roman"/>
                <w:sz w:val="22"/>
              </w:rPr>
            </w:pPr>
          </w:p>
        </w:tc>
        <w:tc>
          <w:tcPr>
            <w:tcW w:w="585" w:type="dxa"/>
          </w:tcPr>
          <w:p>
            <w:pPr>
              <w:pStyle w:val="TableParagraph"/>
              <w:rPr>
                <w:rFonts w:ascii="Times New Roman"/>
                <w:sz w:val="22"/>
              </w:rPr>
            </w:pPr>
          </w:p>
        </w:tc>
        <w:tc>
          <w:tcPr>
            <w:tcW w:w="571" w:type="dxa"/>
          </w:tcPr>
          <w:p>
            <w:pPr>
              <w:pStyle w:val="TableParagraph"/>
              <w:rPr>
                <w:rFonts w:ascii="Times New Roman"/>
                <w:sz w:val="22"/>
              </w:rPr>
            </w:pPr>
          </w:p>
        </w:tc>
        <w:tc>
          <w:tcPr>
            <w:tcW w:w="585" w:type="dxa"/>
          </w:tcPr>
          <w:p>
            <w:pPr>
              <w:pStyle w:val="TableParagraph"/>
              <w:rPr>
                <w:rFonts w:ascii="Times New Roman"/>
                <w:sz w:val="22"/>
              </w:rPr>
            </w:pPr>
          </w:p>
        </w:tc>
        <w:tc>
          <w:tcPr>
            <w:tcW w:w="525" w:type="dxa"/>
          </w:tcPr>
          <w:p>
            <w:pPr>
              <w:pStyle w:val="TableParagraph"/>
              <w:rPr>
                <w:rFonts w:ascii="Times New Roman"/>
                <w:sz w:val="22"/>
              </w:rPr>
            </w:pPr>
          </w:p>
        </w:tc>
      </w:tr>
      <w:tr>
        <w:trPr>
          <w:trHeight w:val="300" w:hRule="atLeast"/>
        </w:trPr>
        <w:tc>
          <w:tcPr>
            <w:tcW w:w="436" w:type="dxa"/>
          </w:tcPr>
          <w:p>
            <w:pPr>
              <w:pStyle w:val="TableParagraph"/>
              <w:rPr>
                <w:rFonts w:ascii="Times New Roman"/>
                <w:sz w:val="22"/>
              </w:rPr>
            </w:pPr>
          </w:p>
        </w:tc>
        <w:tc>
          <w:tcPr>
            <w:tcW w:w="436" w:type="dxa"/>
          </w:tcPr>
          <w:p>
            <w:pPr>
              <w:pStyle w:val="TableParagraph"/>
              <w:rPr>
                <w:rFonts w:ascii="Times New Roman"/>
                <w:sz w:val="22"/>
              </w:rPr>
            </w:pPr>
          </w:p>
        </w:tc>
        <w:tc>
          <w:tcPr>
            <w:tcW w:w="796" w:type="dxa"/>
          </w:tcPr>
          <w:p>
            <w:pPr>
              <w:pStyle w:val="TableParagraph"/>
              <w:rPr>
                <w:rFonts w:ascii="Times New Roman"/>
                <w:sz w:val="22"/>
              </w:rPr>
            </w:pPr>
          </w:p>
        </w:tc>
        <w:tc>
          <w:tcPr>
            <w:tcW w:w="586" w:type="dxa"/>
          </w:tcPr>
          <w:p>
            <w:pPr>
              <w:pStyle w:val="TableParagraph"/>
              <w:rPr>
                <w:rFonts w:ascii="Times New Roman"/>
                <w:sz w:val="22"/>
              </w:rPr>
            </w:pPr>
          </w:p>
        </w:tc>
        <w:tc>
          <w:tcPr>
            <w:tcW w:w="571" w:type="dxa"/>
            <w:gridSpan w:val="3"/>
          </w:tcPr>
          <w:p>
            <w:pPr>
              <w:pStyle w:val="TableParagraph"/>
              <w:rPr>
                <w:rFonts w:ascii="Times New Roman"/>
                <w:sz w:val="22"/>
              </w:rPr>
            </w:pPr>
          </w:p>
        </w:tc>
        <w:tc>
          <w:tcPr>
            <w:tcW w:w="584" w:type="dxa"/>
            <w:gridSpan w:val="3"/>
          </w:tcPr>
          <w:p>
            <w:pPr>
              <w:pStyle w:val="TableParagraph"/>
              <w:rPr>
                <w:rFonts w:ascii="Times New Roman"/>
                <w:sz w:val="22"/>
              </w:rPr>
            </w:pPr>
          </w:p>
        </w:tc>
        <w:tc>
          <w:tcPr>
            <w:tcW w:w="586" w:type="dxa"/>
          </w:tcPr>
          <w:p>
            <w:pPr>
              <w:pStyle w:val="TableParagraph"/>
              <w:rPr>
                <w:rFonts w:ascii="Times New Roman"/>
                <w:sz w:val="22"/>
              </w:rPr>
            </w:pPr>
          </w:p>
        </w:tc>
        <w:tc>
          <w:tcPr>
            <w:tcW w:w="571" w:type="dxa"/>
          </w:tcPr>
          <w:p>
            <w:pPr>
              <w:pStyle w:val="TableParagraph"/>
              <w:rPr>
                <w:rFonts w:ascii="Times New Roman"/>
                <w:sz w:val="22"/>
              </w:rPr>
            </w:pPr>
          </w:p>
        </w:tc>
        <w:tc>
          <w:tcPr>
            <w:tcW w:w="586" w:type="dxa"/>
          </w:tcPr>
          <w:p>
            <w:pPr>
              <w:pStyle w:val="TableParagraph"/>
              <w:rPr>
                <w:rFonts w:ascii="Times New Roman"/>
                <w:sz w:val="22"/>
              </w:rPr>
            </w:pPr>
          </w:p>
        </w:tc>
        <w:tc>
          <w:tcPr>
            <w:tcW w:w="570" w:type="dxa"/>
          </w:tcPr>
          <w:p>
            <w:pPr>
              <w:pStyle w:val="TableParagraph"/>
              <w:rPr>
                <w:rFonts w:ascii="Times New Roman"/>
                <w:sz w:val="22"/>
              </w:rPr>
            </w:pPr>
          </w:p>
        </w:tc>
        <w:tc>
          <w:tcPr>
            <w:tcW w:w="586" w:type="dxa"/>
          </w:tcPr>
          <w:p>
            <w:pPr>
              <w:pStyle w:val="TableParagraph"/>
              <w:rPr>
                <w:rFonts w:ascii="Times New Roman"/>
                <w:sz w:val="22"/>
              </w:rPr>
            </w:pPr>
          </w:p>
        </w:tc>
        <w:tc>
          <w:tcPr>
            <w:tcW w:w="585" w:type="dxa"/>
          </w:tcPr>
          <w:p>
            <w:pPr>
              <w:pStyle w:val="TableParagraph"/>
              <w:rPr>
                <w:rFonts w:ascii="Times New Roman"/>
                <w:sz w:val="22"/>
              </w:rPr>
            </w:pPr>
          </w:p>
        </w:tc>
        <w:tc>
          <w:tcPr>
            <w:tcW w:w="571" w:type="dxa"/>
          </w:tcPr>
          <w:p>
            <w:pPr>
              <w:pStyle w:val="TableParagraph"/>
              <w:rPr>
                <w:rFonts w:ascii="Times New Roman"/>
                <w:sz w:val="22"/>
              </w:rPr>
            </w:pPr>
          </w:p>
        </w:tc>
        <w:tc>
          <w:tcPr>
            <w:tcW w:w="585" w:type="dxa"/>
          </w:tcPr>
          <w:p>
            <w:pPr>
              <w:pStyle w:val="TableParagraph"/>
              <w:rPr>
                <w:rFonts w:ascii="Times New Roman"/>
                <w:sz w:val="22"/>
              </w:rPr>
            </w:pPr>
          </w:p>
        </w:tc>
        <w:tc>
          <w:tcPr>
            <w:tcW w:w="525" w:type="dxa"/>
          </w:tcPr>
          <w:p>
            <w:pPr>
              <w:pStyle w:val="TableParagraph"/>
              <w:rPr>
                <w:rFonts w:ascii="Times New Roman"/>
                <w:sz w:val="22"/>
              </w:rPr>
            </w:pPr>
          </w:p>
        </w:tc>
      </w:tr>
    </w:tbl>
    <w:p>
      <w:pPr>
        <w:spacing w:after="0"/>
        <w:rPr>
          <w:rFonts w:ascii="Times New Roman"/>
          <w:sz w:val="22"/>
        </w:rPr>
        <w:sectPr>
          <w:pgSz w:w="11910" w:h="16850"/>
          <w:pgMar w:header="911" w:footer="0" w:top="1540" w:bottom="280" w:left="1300" w:right="0"/>
        </w:sectPr>
      </w:pPr>
    </w:p>
    <w:p>
      <w:pPr>
        <w:pStyle w:val="BodyText"/>
        <w:rPr>
          <w:sz w:val="22"/>
        </w:rPr>
      </w:pPr>
    </w:p>
    <w:p>
      <w:pPr>
        <w:pStyle w:val="BodyText"/>
        <w:spacing w:before="1"/>
        <w:rPr>
          <w:sz w:val="31"/>
        </w:rPr>
      </w:pPr>
    </w:p>
    <w:p>
      <w:pPr>
        <w:spacing w:before="1"/>
        <w:ind w:left="396" w:right="0" w:firstLine="0"/>
        <w:jc w:val="left"/>
        <w:rPr>
          <w:sz w:val="22"/>
        </w:rPr>
      </w:pPr>
      <w:r>
        <w:rPr>
          <w:sz w:val="22"/>
        </w:rPr>
        <w:t>合同编号：(投标项目合同号) </w:t>
      </w:r>
    </w:p>
    <w:p>
      <w:pPr>
        <w:pStyle w:val="Heading4"/>
        <w:spacing w:before="156"/>
        <w:ind w:left="27"/>
      </w:pPr>
      <w:r>
        <w:rPr/>
        <w:br w:type="column"/>
      </w:r>
      <w:r>
        <w:rPr/>
        <w:t>总价项目分解表</w:t>
      </w:r>
    </w:p>
    <w:p>
      <w:pPr>
        <w:spacing w:after="0"/>
        <w:sectPr>
          <w:headerReference w:type="default" r:id="rId36"/>
          <w:pgSz w:w="11910" w:h="16850"/>
          <w:pgMar w:header="911" w:footer="0" w:top="1540" w:bottom="280" w:left="1300" w:right="0"/>
          <w:cols w:num="2" w:equalWidth="0">
            <w:col w:w="3424" w:space="40"/>
            <w:col w:w="7146"/>
          </w:cols>
        </w:sectPr>
      </w:pPr>
    </w:p>
    <w:p>
      <w:pPr>
        <w:spacing w:before="33" w:after="13"/>
        <w:ind w:left="396" w:right="0" w:firstLine="0"/>
        <w:jc w:val="left"/>
        <w:rPr>
          <w:sz w:val="22"/>
        </w:rPr>
      </w:pPr>
      <w:r>
        <w:rPr/>
        <w:pict>
          <v:group style="position:absolute;margin-left:76.721001pt;margin-top:83.560471pt;width:439.5pt;height:443.3pt;mso-position-horizontal-relative:page;mso-position-vertical-relative:paragraph;z-index:-268431360" coordorigin="1534,1671" coordsize="8790,8866">
            <v:shape style="position:absolute;left:1534;top:1671;width:8786;height:8653" type="#_x0000_t75" stroked="false">
              <v:imagedata r:id="rId37" o:title=""/>
            </v:shape>
            <v:shape style="position:absolute;left:1697;top:2550;width:8516;height:7988" coordorigin="1697,2550" coordsize="8516,7988" path="m4611,9907l1697,9907,1697,10222,4611,10222,4611,9907m6804,10222l1697,10222,1697,10537,6804,10537,6804,10222m10213,2550l1697,2550,1697,2865,10213,2865,10213,2550e" filled="true" fillcolor="#ffffff" stroked="false">
              <v:path arrowok="t"/>
              <v:fill type="solid"/>
            </v:shape>
            <v:shape style="position:absolute;left:4791;top:1768;width:2334;height:316" type="#_x0000_t202" filled="false" stroked="false">
              <v:textbox inset="0,0,0,0">
                <w:txbxContent>
                  <w:p>
                    <w:pPr>
                      <w:spacing w:line="315" w:lineRule="exact" w:before="0"/>
                      <w:ind w:left="0" w:right="0" w:firstLine="0"/>
                      <w:jc w:val="left"/>
                      <w:rPr>
                        <w:rFonts w:ascii="黑体" w:eastAsia="黑体" w:hint="eastAsia"/>
                        <w:sz w:val="31"/>
                      </w:rPr>
                    </w:pPr>
                    <w:r>
                      <w:rPr>
                        <w:rFonts w:ascii="黑体" w:eastAsia="黑体" w:hint="eastAsia"/>
                        <w:sz w:val="31"/>
                      </w:rPr>
                      <w:t>工程单价计算表</w:t>
                    </w:r>
                  </w:p>
                </w:txbxContent>
              </v:textbox>
              <w10:wrap type="none"/>
            </v:shape>
            <v:shape style="position:absolute;left:1697;top:2596;width:8627;height:225" type="#_x0000_t202" filled="false" stroked="false">
              <v:textbox inset="0,0,0,0">
                <w:txbxContent>
                  <w:p>
                    <w:pPr>
                      <w:spacing w:line="225" w:lineRule="exact" w:before="0"/>
                      <w:ind w:left="0" w:right="0" w:firstLine="0"/>
                      <w:jc w:val="left"/>
                      <w:rPr>
                        <w:sz w:val="22"/>
                      </w:rPr>
                    </w:pPr>
                    <w:r>
                      <w:rPr>
                        <w:sz w:val="22"/>
                      </w:rPr>
                      <w:t>单 价 编 号 ： 定 额 单 位 ：</w:t>
                    </w:r>
                  </w:p>
                </w:txbxContent>
              </v:textbox>
              <w10:wrap type="none"/>
            </v:shape>
            <v:shape style="position:absolute;left:1697;top:9425;width:5593;height:1069" type="#_x0000_t202" filled="false" stroked="false">
              <v:textbox inset="0,0,0,0">
                <w:txbxContent>
                  <w:p>
                    <w:pPr>
                      <w:spacing w:line="358" w:lineRule="exact" w:before="0"/>
                      <w:ind w:left="2929" w:right="0" w:firstLine="0"/>
                      <w:jc w:val="left"/>
                      <w:rPr>
                        <w:rFonts w:ascii="黑体" w:eastAsia="黑体" w:hint="eastAsia"/>
                        <w:sz w:val="31"/>
                      </w:rPr>
                    </w:pPr>
                    <w:r>
                      <w:rPr>
                        <w:rFonts w:ascii="黑体" w:eastAsia="黑体" w:hint="eastAsia"/>
                        <w:sz w:val="31"/>
                      </w:rPr>
                      <w:t>人工费单价汇总表</w:t>
                    </w:r>
                  </w:p>
                  <w:p>
                    <w:pPr>
                      <w:spacing w:before="143"/>
                      <w:ind w:left="0" w:right="0" w:firstLine="0"/>
                      <w:jc w:val="left"/>
                      <w:rPr>
                        <w:sz w:val="22"/>
                      </w:rPr>
                    </w:pPr>
                    <w:r>
                      <w:rPr>
                        <w:sz w:val="22"/>
                      </w:rPr>
                      <w:t>合同编号：(投标项目合同号) </w:t>
                    </w:r>
                  </w:p>
                  <w:p>
                    <w:pPr>
                      <w:spacing w:line="252" w:lineRule="exact" w:before="34"/>
                      <w:ind w:left="0" w:right="0" w:firstLine="0"/>
                      <w:jc w:val="left"/>
                      <w:rPr>
                        <w:sz w:val="22"/>
                      </w:rPr>
                    </w:pPr>
                    <w:r>
                      <w:rPr>
                        <w:sz w:val="22"/>
                      </w:rPr>
                      <w:t>工程名称：</w:t>
                    </w:r>
                    <w:r>
                      <w:rPr>
                        <w:sz w:val="22"/>
                        <w:u w:val="single"/>
                      </w:rPr>
                      <w:t> </w:t>
                    </w:r>
                    <w:r>
                      <w:rPr>
                        <w:spacing w:val="1"/>
                        <w:sz w:val="22"/>
                      </w:rPr>
                      <w:t>(项目名称)</w:t>
                    </w:r>
                    <w:r>
                      <w:rPr>
                        <w:spacing w:val="54"/>
                        <w:sz w:val="22"/>
                        <w:u w:val="single"/>
                      </w:rPr>
                      <w:t> </w:t>
                    </w:r>
                    <w:r>
                      <w:rPr>
                        <w:spacing w:val="1"/>
                        <w:sz w:val="22"/>
                      </w:rPr>
                      <w:t>(标段名称)</w:t>
                    </w:r>
                    <w:r>
                      <w:rPr>
                        <w:sz w:val="22"/>
                      </w:rPr>
                      <w:t> </w:t>
                    </w:r>
                  </w:p>
                </w:txbxContent>
              </v:textbox>
              <w10:wrap type="none"/>
            </v:shape>
            <w10:wrap type="none"/>
          </v:group>
        </w:pict>
      </w:r>
      <w:r>
        <w:rPr>
          <w:sz w:val="22"/>
        </w:rPr>
        <w:t>工程名称：</w:t>
      </w:r>
      <w:r>
        <w:rPr>
          <w:spacing w:val="93"/>
          <w:sz w:val="22"/>
          <w:u w:val="single"/>
        </w:rPr>
        <w:t> </w:t>
      </w:r>
      <w:r>
        <w:rPr>
          <w:spacing w:val="1"/>
          <w:sz w:val="22"/>
        </w:rPr>
        <w:t>(项目名称)</w:t>
      </w:r>
      <w:r>
        <w:rPr>
          <w:spacing w:val="1"/>
          <w:sz w:val="22"/>
          <w:u w:val="single"/>
        </w:rPr>
        <w:t> </w:t>
      </w:r>
      <w:r>
        <w:rPr>
          <w:spacing w:val="1"/>
          <w:sz w:val="22"/>
        </w:rPr>
        <w:t>(标段名称)</w:t>
      </w:r>
      <w:r>
        <w:rPr>
          <w:sz w:val="22"/>
        </w:rPr>
        <w:t> </w:t>
      </w: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47"/>
        <w:gridCol w:w="1487"/>
        <w:gridCol w:w="1263"/>
        <w:gridCol w:w="1263"/>
        <w:gridCol w:w="1278"/>
        <w:gridCol w:w="1278"/>
        <w:gridCol w:w="1113"/>
      </w:tblGrid>
      <w:tr>
        <w:trPr>
          <w:trHeight w:val="315" w:hRule="atLeast"/>
        </w:trPr>
        <w:tc>
          <w:tcPr>
            <w:tcW w:w="947" w:type="dxa"/>
          </w:tcPr>
          <w:p>
            <w:pPr>
              <w:pStyle w:val="TableParagraph"/>
              <w:spacing w:before="15"/>
              <w:ind w:left="278"/>
              <w:rPr>
                <w:sz w:val="21"/>
              </w:rPr>
            </w:pPr>
            <w:r>
              <w:rPr>
                <w:sz w:val="21"/>
              </w:rPr>
              <w:t>序号</w:t>
            </w:r>
          </w:p>
        </w:tc>
        <w:tc>
          <w:tcPr>
            <w:tcW w:w="1487" w:type="dxa"/>
          </w:tcPr>
          <w:p>
            <w:pPr>
              <w:pStyle w:val="TableParagraph"/>
              <w:spacing w:before="15"/>
              <w:ind w:left="337"/>
              <w:rPr>
                <w:sz w:val="21"/>
              </w:rPr>
            </w:pPr>
            <w:r>
              <w:rPr>
                <w:sz w:val="21"/>
              </w:rPr>
              <w:t>项目名称</w:t>
            </w:r>
          </w:p>
        </w:tc>
        <w:tc>
          <w:tcPr>
            <w:tcW w:w="1263" w:type="dxa"/>
          </w:tcPr>
          <w:p>
            <w:pPr>
              <w:pStyle w:val="TableParagraph"/>
              <w:spacing w:before="15"/>
              <w:ind w:left="216"/>
              <w:rPr>
                <w:sz w:val="21"/>
              </w:rPr>
            </w:pPr>
            <w:r>
              <w:rPr>
                <w:sz w:val="21"/>
              </w:rPr>
              <w:t>计量单位</w:t>
            </w:r>
          </w:p>
        </w:tc>
        <w:tc>
          <w:tcPr>
            <w:tcW w:w="1263" w:type="dxa"/>
          </w:tcPr>
          <w:p>
            <w:pPr>
              <w:pStyle w:val="TableParagraph"/>
              <w:spacing w:before="15"/>
              <w:ind w:left="230"/>
              <w:rPr>
                <w:sz w:val="21"/>
              </w:rPr>
            </w:pPr>
            <w:r>
              <w:rPr>
                <w:sz w:val="21"/>
              </w:rPr>
              <w:t>工程数量</w:t>
            </w:r>
          </w:p>
        </w:tc>
        <w:tc>
          <w:tcPr>
            <w:tcW w:w="1278" w:type="dxa"/>
          </w:tcPr>
          <w:p>
            <w:pPr>
              <w:pStyle w:val="TableParagraph"/>
              <w:spacing w:before="15"/>
              <w:ind w:left="274"/>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278" w:type="dxa"/>
          </w:tcPr>
          <w:p>
            <w:pPr>
              <w:pStyle w:val="TableParagraph"/>
              <w:spacing w:before="15"/>
              <w:ind w:left="272"/>
              <w:rPr>
                <w:rFonts w:ascii="Calibri" w:eastAsia="Calibri"/>
                <w:sz w:val="21"/>
              </w:rPr>
            </w:pPr>
            <w:r>
              <w:rPr>
                <w:sz w:val="21"/>
              </w:rPr>
              <w:t>合价</w:t>
            </w:r>
            <w:r>
              <w:rPr>
                <w:rFonts w:ascii="Calibri" w:eastAsia="Calibri"/>
                <w:sz w:val="21"/>
              </w:rPr>
              <w:t>(</w:t>
            </w:r>
            <w:r>
              <w:rPr>
                <w:sz w:val="21"/>
              </w:rPr>
              <w:t>元</w:t>
            </w:r>
            <w:r>
              <w:rPr>
                <w:rFonts w:ascii="Calibri" w:eastAsia="Calibri"/>
                <w:sz w:val="21"/>
              </w:rPr>
              <w:t>)</w:t>
            </w:r>
          </w:p>
        </w:tc>
        <w:tc>
          <w:tcPr>
            <w:tcW w:w="1113" w:type="dxa"/>
          </w:tcPr>
          <w:p>
            <w:pPr>
              <w:pStyle w:val="TableParagraph"/>
              <w:spacing w:before="15"/>
              <w:ind w:left="361"/>
              <w:rPr>
                <w:sz w:val="21"/>
              </w:rPr>
            </w:pPr>
            <w:r>
              <w:rPr>
                <w:sz w:val="21"/>
              </w:rPr>
              <w:t>说明</w:t>
            </w:r>
          </w:p>
        </w:tc>
      </w:tr>
      <w:tr>
        <w:trPr>
          <w:trHeight w:val="300" w:hRule="atLeast"/>
        </w:trPr>
        <w:tc>
          <w:tcPr>
            <w:tcW w:w="947" w:type="dxa"/>
          </w:tcPr>
          <w:p>
            <w:pPr>
              <w:pStyle w:val="TableParagraph"/>
              <w:rPr>
                <w:rFonts w:ascii="Times New Roman"/>
                <w:sz w:val="22"/>
              </w:rPr>
            </w:pPr>
          </w:p>
        </w:tc>
        <w:tc>
          <w:tcPr>
            <w:tcW w:w="1487"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278" w:type="dxa"/>
          </w:tcPr>
          <w:p>
            <w:pPr>
              <w:pStyle w:val="TableParagraph"/>
              <w:rPr>
                <w:rFonts w:ascii="Times New Roman"/>
                <w:sz w:val="22"/>
              </w:rPr>
            </w:pPr>
          </w:p>
        </w:tc>
        <w:tc>
          <w:tcPr>
            <w:tcW w:w="1113" w:type="dxa"/>
          </w:tcPr>
          <w:p>
            <w:pPr>
              <w:pStyle w:val="TableParagraph"/>
              <w:rPr>
                <w:rFonts w:ascii="Times New Roman"/>
                <w:sz w:val="22"/>
              </w:rPr>
            </w:pPr>
          </w:p>
        </w:tc>
      </w:tr>
      <w:tr>
        <w:trPr>
          <w:trHeight w:val="300" w:hRule="atLeast"/>
        </w:trPr>
        <w:tc>
          <w:tcPr>
            <w:tcW w:w="947" w:type="dxa"/>
          </w:tcPr>
          <w:p>
            <w:pPr>
              <w:pStyle w:val="TableParagraph"/>
              <w:rPr>
                <w:rFonts w:ascii="Times New Roman"/>
                <w:sz w:val="22"/>
              </w:rPr>
            </w:pPr>
          </w:p>
        </w:tc>
        <w:tc>
          <w:tcPr>
            <w:tcW w:w="1487"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278" w:type="dxa"/>
          </w:tcPr>
          <w:p>
            <w:pPr>
              <w:pStyle w:val="TableParagraph"/>
              <w:rPr>
                <w:rFonts w:ascii="Times New Roman"/>
                <w:sz w:val="22"/>
              </w:rPr>
            </w:pPr>
          </w:p>
        </w:tc>
        <w:tc>
          <w:tcPr>
            <w:tcW w:w="1113"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72"/>
        <w:gridCol w:w="428"/>
        <w:gridCol w:w="421"/>
        <w:gridCol w:w="414"/>
        <w:gridCol w:w="1263"/>
        <w:gridCol w:w="1263"/>
        <w:gridCol w:w="1263"/>
        <w:gridCol w:w="1278"/>
        <w:gridCol w:w="1128"/>
      </w:tblGrid>
      <w:tr>
        <w:trPr>
          <w:trHeight w:val="616" w:hRule="atLeast"/>
        </w:trPr>
        <w:tc>
          <w:tcPr>
            <w:tcW w:w="8630" w:type="dxa"/>
            <w:gridSpan w:val="9"/>
          </w:tcPr>
          <w:p>
            <w:pPr>
              <w:pStyle w:val="TableParagraph"/>
              <w:spacing w:before="15"/>
              <w:ind w:left="128"/>
              <w:rPr>
                <w:sz w:val="21"/>
              </w:rPr>
            </w:pPr>
            <w:r>
              <w:rPr>
                <w:sz w:val="21"/>
              </w:rPr>
              <w:t>施工方法：</w:t>
            </w:r>
          </w:p>
        </w:tc>
      </w:tr>
      <w:tr>
        <w:trPr>
          <w:trHeight w:val="315" w:hRule="atLeast"/>
        </w:trPr>
        <w:tc>
          <w:tcPr>
            <w:tcW w:w="1172" w:type="dxa"/>
          </w:tcPr>
          <w:p>
            <w:pPr>
              <w:pStyle w:val="TableParagraph"/>
              <w:spacing w:before="15"/>
              <w:ind w:left="139" w:right="110"/>
              <w:jc w:val="center"/>
              <w:rPr>
                <w:sz w:val="21"/>
              </w:rPr>
            </w:pPr>
            <w:r>
              <w:rPr>
                <w:sz w:val="21"/>
              </w:rPr>
              <w:t>序号</w:t>
            </w:r>
          </w:p>
        </w:tc>
        <w:tc>
          <w:tcPr>
            <w:tcW w:w="1263" w:type="dxa"/>
            <w:gridSpan w:val="3"/>
          </w:tcPr>
          <w:p>
            <w:pPr>
              <w:pStyle w:val="TableParagraph"/>
              <w:spacing w:before="15"/>
              <w:ind w:left="427"/>
              <w:rPr>
                <w:sz w:val="21"/>
              </w:rPr>
            </w:pPr>
            <w:r>
              <w:rPr>
                <w:sz w:val="21"/>
              </w:rPr>
              <w:t>名称</w:t>
            </w:r>
          </w:p>
        </w:tc>
        <w:tc>
          <w:tcPr>
            <w:tcW w:w="1263" w:type="dxa"/>
          </w:tcPr>
          <w:p>
            <w:pPr>
              <w:pStyle w:val="TableParagraph"/>
              <w:spacing w:before="15"/>
              <w:ind w:left="215"/>
              <w:rPr>
                <w:sz w:val="21"/>
              </w:rPr>
            </w:pPr>
            <w:r>
              <w:rPr>
                <w:sz w:val="21"/>
              </w:rPr>
              <w:t>型号规格</w:t>
            </w:r>
          </w:p>
        </w:tc>
        <w:tc>
          <w:tcPr>
            <w:tcW w:w="1263" w:type="dxa"/>
          </w:tcPr>
          <w:p>
            <w:pPr>
              <w:pStyle w:val="TableParagraph"/>
              <w:spacing w:before="15"/>
              <w:ind w:left="229"/>
              <w:rPr>
                <w:sz w:val="21"/>
              </w:rPr>
            </w:pPr>
            <w:r>
              <w:rPr>
                <w:sz w:val="21"/>
              </w:rPr>
              <w:t>计量单位</w:t>
            </w:r>
          </w:p>
        </w:tc>
        <w:tc>
          <w:tcPr>
            <w:tcW w:w="1263" w:type="dxa"/>
          </w:tcPr>
          <w:p>
            <w:pPr>
              <w:pStyle w:val="TableParagraph"/>
              <w:spacing w:before="15"/>
              <w:ind w:left="438"/>
              <w:rPr>
                <w:sz w:val="21"/>
              </w:rPr>
            </w:pPr>
            <w:r>
              <w:rPr>
                <w:sz w:val="21"/>
              </w:rPr>
              <w:t>数量</w:t>
            </w:r>
          </w:p>
        </w:tc>
        <w:tc>
          <w:tcPr>
            <w:tcW w:w="1278" w:type="dxa"/>
          </w:tcPr>
          <w:p>
            <w:pPr>
              <w:pStyle w:val="TableParagraph"/>
              <w:spacing w:before="15"/>
              <w:ind w:left="271"/>
              <w:rPr>
                <w:rFonts w:ascii="Calibri" w:eastAsia="Calibri"/>
                <w:sz w:val="21"/>
              </w:rPr>
            </w:pPr>
            <w:r>
              <w:rPr>
                <w:sz w:val="21"/>
                <w:shd w:fill="FFFFFF" w:color="auto" w:val="clear"/>
              </w:rPr>
              <w:t>单价</w:t>
            </w:r>
            <w:r>
              <w:rPr>
                <w:rFonts w:ascii="Calibri" w:eastAsia="Calibri"/>
                <w:sz w:val="21"/>
                <w:shd w:fill="FFFFFF" w:color="auto" w:val="clear"/>
              </w:rPr>
              <w:t>(</w:t>
            </w:r>
            <w:r>
              <w:rPr>
                <w:sz w:val="21"/>
                <w:shd w:fill="FFFFFF" w:color="auto" w:val="clear"/>
              </w:rPr>
              <w:t>元</w:t>
            </w:r>
            <w:r>
              <w:rPr>
                <w:rFonts w:ascii="Calibri" w:eastAsia="Calibri"/>
                <w:sz w:val="21"/>
                <w:shd w:fill="FFFFFF" w:color="auto" w:val="clear"/>
              </w:rPr>
              <w:t>)</w:t>
            </w:r>
          </w:p>
        </w:tc>
        <w:tc>
          <w:tcPr>
            <w:tcW w:w="1128" w:type="dxa"/>
          </w:tcPr>
          <w:p>
            <w:pPr>
              <w:pStyle w:val="TableParagraph"/>
              <w:spacing w:before="15"/>
              <w:ind w:left="195"/>
              <w:rPr>
                <w:rFonts w:ascii="Calibri" w:eastAsia="Calibri"/>
                <w:sz w:val="21"/>
              </w:rPr>
            </w:pPr>
            <w:r>
              <w:rPr>
                <w:sz w:val="21"/>
              </w:rPr>
              <w:t>合价</w:t>
            </w:r>
            <w:r>
              <w:rPr>
                <w:rFonts w:ascii="Calibri" w:eastAsia="Calibri"/>
                <w:sz w:val="21"/>
              </w:rPr>
              <w:t>(</w:t>
            </w:r>
            <w:r>
              <w:rPr>
                <w:sz w:val="21"/>
              </w:rPr>
              <w:t>元</w:t>
            </w:r>
            <w:r>
              <w:rPr>
                <w:rFonts w:ascii="Calibri" w:eastAsia="Calibri"/>
                <w:sz w:val="21"/>
              </w:rPr>
              <w:t>)</w:t>
            </w:r>
          </w:p>
        </w:tc>
      </w:tr>
      <w:tr>
        <w:trPr>
          <w:trHeight w:val="615" w:hRule="atLeast"/>
        </w:trPr>
        <w:tc>
          <w:tcPr>
            <w:tcW w:w="1172" w:type="dxa"/>
          </w:tcPr>
          <w:p>
            <w:pPr>
              <w:pStyle w:val="TableParagraph"/>
              <w:spacing w:before="175"/>
              <w:ind w:left="46"/>
              <w:jc w:val="center"/>
              <w:rPr>
                <w:rFonts w:ascii="Calibri"/>
                <w:sz w:val="21"/>
              </w:rPr>
            </w:pPr>
            <w:r>
              <w:rPr>
                <w:rFonts w:ascii="Calibri"/>
                <w:sz w:val="21"/>
              </w:rPr>
              <w:t>1</w:t>
            </w:r>
          </w:p>
        </w:tc>
        <w:tc>
          <w:tcPr>
            <w:tcW w:w="1263" w:type="dxa"/>
            <w:gridSpan w:val="3"/>
          </w:tcPr>
          <w:p>
            <w:pPr>
              <w:pStyle w:val="TableParagraph"/>
              <w:spacing w:before="15"/>
              <w:ind w:left="198" w:right="169"/>
              <w:jc w:val="center"/>
              <w:rPr>
                <w:sz w:val="21"/>
              </w:rPr>
            </w:pPr>
            <w:r>
              <w:rPr>
                <w:sz w:val="21"/>
              </w:rPr>
              <w:t>直接工程</w:t>
            </w:r>
          </w:p>
          <w:p>
            <w:pPr>
              <w:pStyle w:val="TableParagraph"/>
              <w:spacing w:before="31"/>
              <w:ind w:left="28"/>
              <w:jc w:val="center"/>
              <w:rPr>
                <w:sz w:val="21"/>
              </w:rPr>
            </w:pPr>
            <w:r>
              <w:rPr>
                <w:sz w:val="21"/>
              </w:rPr>
              <w:t>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15" w:hRule="atLeast"/>
        </w:trPr>
        <w:tc>
          <w:tcPr>
            <w:tcW w:w="1172" w:type="dxa"/>
          </w:tcPr>
          <w:p>
            <w:pPr>
              <w:pStyle w:val="TableParagraph"/>
              <w:spacing w:before="25"/>
              <w:ind w:left="139" w:right="109"/>
              <w:jc w:val="center"/>
              <w:rPr>
                <w:rFonts w:ascii="Calibri"/>
                <w:sz w:val="21"/>
              </w:rPr>
            </w:pPr>
            <w:r>
              <w:rPr>
                <w:rFonts w:ascii="Calibri"/>
                <w:sz w:val="21"/>
              </w:rPr>
              <w:t>1.1</w:t>
            </w:r>
          </w:p>
        </w:tc>
        <w:tc>
          <w:tcPr>
            <w:tcW w:w="1263" w:type="dxa"/>
            <w:gridSpan w:val="3"/>
          </w:tcPr>
          <w:p>
            <w:pPr>
              <w:pStyle w:val="TableParagraph"/>
              <w:spacing w:before="15"/>
              <w:ind w:left="322"/>
              <w:rPr>
                <w:sz w:val="21"/>
              </w:rPr>
            </w:pPr>
            <w:r>
              <w:rPr>
                <w:sz w:val="21"/>
              </w:rPr>
              <w:t>人工费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rPr>
                <w:rFonts w:ascii="Times New Roman"/>
                <w:sz w:val="22"/>
              </w:rPr>
            </w:pPr>
          </w:p>
        </w:tc>
        <w:tc>
          <w:tcPr>
            <w:tcW w:w="1263" w:type="dxa"/>
            <w:gridSpan w:val="3"/>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15" w:hRule="atLeast"/>
        </w:trPr>
        <w:tc>
          <w:tcPr>
            <w:tcW w:w="1172" w:type="dxa"/>
          </w:tcPr>
          <w:p>
            <w:pPr>
              <w:pStyle w:val="TableParagraph"/>
              <w:spacing w:before="25"/>
              <w:ind w:left="139" w:right="109"/>
              <w:jc w:val="center"/>
              <w:rPr>
                <w:rFonts w:ascii="Calibri"/>
                <w:sz w:val="21"/>
              </w:rPr>
            </w:pPr>
            <w:r>
              <w:rPr>
                <w:rFonts w:ascii="Calibri"/>
                <w:sz w:val="21"/>
              </w:rPr>
              <w:t>1.2</w:t>
            </w:r>
          </w:p>
        </w:tc>
        <w:tc>
          <w:tcPr>
            <w:tcW w:w="1263" w:type="dxa"/>
            <w:gridSpan w:val="3"/>
          </w:tcPr>
          <w:p>
            <w:pPr>
              <w:pStyle w:val="TableParagraph"/>
              <w:spacing w:before="15"/>
              <w:ind w:left="322"/>
              <w:rPr>
                <w:sz w:val="21"/>
              </w:rPr>
            </w:pPr>
            <w:r>
              <w:rPr>
                <w:sz w:val="21"/>
              </w:rPr>
              <w:t>材料费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rPr>
                <w:rFonts w:ascii="Times New Roman"/>
                <w:sz w:val="22"/>
              </w:rPr>
            </w:pPr>
          </w:p>
        </w:tc>
        <w:tc>
          <w:tcPr>
            <w:tcW w:w="1263" w:type="dxa"/>
            <w:gridSpan w:val="3"/>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rPr>
                <w:rFonts w:ascii="Times New Roman"/>
                <w:sz w:val="22"/>
              </w:rPr>
            </w:pPr>
          </w:p>
        </w:tc>
        <w:tc>
          <w:tcPr>
            <w:tcW w:w="1263" w:type="dxa"/>
            <w:gridSpan w:val="3"/>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630" w:hRule="atLeast"/>
        </w:trPr>
        <w:tc>
          <w:tcPr>
            <w:tcW w:w="1172" w:type="dxa"/>
          </w:tcPr>
          <w:p>
            <w:pPr>
              <w:pStyle w:val="TableParagraph"/>
              <w:spacing w:before="11"/>
              <w:rPr>
                <w:sz w:val="14"/>
              </w:rPr>
            </w:pPr>
          </w:p>
          <w:p>
            <w:pPr>
              <w:pStyle w:val="TableParagraph"/>
              <w:ind w:left="139" w:right="109"/>
              <w:jc w:val="center"/>
              <w:rPr>
                <w:rFonts w:ascii="Calibri"/>
                <w:sz w:val="21"/>
              </w:rPr>
            </w:pPr>
            <w:r>
              <w:rPr>
                <w:rFonts w:ascii="Calibri"/>
                <w:sz w:val="21"/>
              </w:rPr>
              <w:t>1.3</w:t>
            </w:r>
          </w:p>
        </w:tc>
        <w:tc>
          <w:tcPr>
            <w:tcW w:w="1263" w:type="dxa"/>
            <w:gridSpan w:val="3"/>
          </w:tcPr>
          <w:p>
            <w:pPr>
              <w:pStyle w:val="TableParagraph"/>
              <w:spacing w:before="15"/>
              <w:ind w:left="198" w:right="169"/>
              <w:jc w:val="center"/>
              <w:rPr>
                <w:sz w:val="21"/>
              </w:rPr>
            </w:pPr>
            <w:r>
              <w:rPr>
                <w:sz w:val="21"/>
              </w:rPr>
              <w:t>机械使用</w:t>
            </w:r>
          </w:p>
          <w:p>
            <w:pPr>
              <w:pStyle w:val="TableParagraph"/>
              <w:spacing w:before="46"/>
              <w:ind w:left="28"/>
              <w:jc w:val="center"/>
              <w:rPr>
                <w:sz w:val="21"/>
              </w:rPr>
            </w:pPr>
            <w:r>
              <w:rPr>
                <w:sz w:val="21"/>
              </w:rPr>
              <w:t>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rPr>
                <w:rFonts w:ascii="Times New Roman"/>
                <w:sz w:val="22"/>
              </w:rPr>
            </w:pPr>
          </w:p>
        </w:tc>
        <w:tc>
          <w:tcPr>
            <w:tcW w:w="1263" w:type="dxa"/>
            <w:gridSpan w:val="3"/>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615" w:hRule="atLeast"/>
        </w:trPr>
        <w:tc>
          <w:tcPr>
            <w:tcW w:w="1172" w:type="dxa"/>
          </w:tcPr>
          <w:p>
            <w:pPr>
              <w:pStyle w:val="TableParagraph"/>
              <w:spacing w:before="175"/>
              <w:ind w:left="139" w:right="109"/>
              <w:jc w:val="center"/>
              <w:rPr>
                <w:rFonts w:ascii="Calibri"/>
                <w:sz w:val="21"/>
              </w:rPr>
            </w:pPr>
            <w:r>
              <w:rPr>
                <w:rFonts w:ascii="Calibri"/>
                <w:sz w:val="21"/>
              </w:rPr>
              <w:t>1.4</w:t>
            </w:r>
          </w:p>
        </w:tc>
        <w:tc>
          <w:tcPr>
            <w:tcW w:w="1263" w:type="dxa"/>
            <w:gridSpan w:val="3"/>
          </w:tcPr>
          <w:p>
            <w:pPr>
              <w:pStyle w:val="TableParagraph"/>
              <w:spacing w:before="15"/>
              <w:ind w:left="198" w:right="169"/>
              <w:jc w:val="center"/>
              <w:rPr>
                <w:sz w:val="21"/>
              </w:rPr>
            </w:pPr>
            <w:r>
              <w:rPr>
                <w:sz w:val="21"/>
              </w:rPr>
              <w:t>其它直接</w:t>
            </w:r>
          </w:p>
          <w:p>
            <w:pPr>
              <w:pStyle w:val="TableParagraph"/>
              <w:spacing w:line="265" w:lineRule="exact" w:before="46"/>
              <w:ind w:left="28"/>
              <w:jc w:val="center"/>
              <w:rPr>
                <w:sz w:val="21"/>
              </w:rPr>
            </w:pPr>
            <w:r>
              <w:rPr>
                <w:sz w:val="21"/>
              </w:rPr>
              <w:t>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15" w:hRule="atLeast"/>
        </w:trPr>
        <w:tc>
          <w:tcPr>
            <w:tcW w:w="1172" w:type="dxa"/>
          </w:tcPr>
          <w:p>
            <w:pPr>
              <w:pStyle w:val="TableParagraph"/>
              <w:spacing w:before="25"/>
              <w:ind w:left="139" w:right="109"/>
              <w:jc w:val="center"/>
              <w:rPr>
                <w:rFonts w:ascii="Calibri"/>
                <w:sz w:val="21"/>
              </w:rPr>
            </w:pPr>
            <w:r>
              <w:rPr>
                <w:rFonts w:ascii="Calibri"/>
                <w:sz w:val="21"/>
              </w:rPr>
              <w:t>1.5</w:t>
            </w:r>
          </w:p>
        </w:tc>
        <w:tc>
          <w:tcPr>
            <w:tcW w:w="1263" w:type="dxa"/>
            <w:gridSpan w:val="3"/>
          </w:tcPr>
          <w:p>
            <w:pPr>
              <w:pStyle w:val="TableParagraph"/>
              <w:spacing w:before="15"/>
              <w:ind w:left="217"/>
              <w:rPr>
                <w:sz w:val="21"/>
              </w:rPr>
            </w:pPr>
            <w:r>
              <w:rPr>
                <w:sz w:val="21"/>
                <w:shd w:fill="FFFFFF" w:color="auto" w:val="clear"/>
              </w:rPr>
              <w:t>现场经费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spacing w:line="255" w:lineRule="exact" w:before="25"/>
              <w:ind w:left="46"/>
              <w:jc w:val="center"/>
              <w:rPr>
                <w:rFonts w:ascii="Calibri"/>
                <w:sz w:val="21"/>
              </w:rPr>
            </w:pPr>
            <w:r>
              <w:rPr>
                <w:rFonts w:ascii="Calibri"/>
                <w:sz w:val="21"/>
              </w:rPr>
              <w:t>2</w:t>
            </w:r>
          </w:p>
        </w:tc>
        <w:tc>
          <w:tcPr>
            <w:tcW w:w="1263" w:type="dxa"/>
            <w:gridSpan w:val="3"/>
          </w:tcPr>
          <w:p>
            <w:pPr>
              <w:pStyle w:val="TableParagraph"/>
              <w:spacing w:line="265" w:lineRule="exact" w:before="15"/>
              <w:ind w:left="322"/>
              <w:rPr>
                <w:sz w:val="21"/>
              </w:rPr>
            </w:pPr>
            <w:r>
              <w:rPr>
                <w:sz w:val="21"/>
                <w:shd w:fill="FFFFFF" w:color="auto" w:val="clear"/>
              </w:rPr>
              <w:t>间接费</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15" w:hRule="atLeast"/>
        </w:trPr>
        <w:tc>
          <w:tcPr>
            <w:tcW w:w="1172" w:type="dxa"/>
          </w:tcPr>
          <w:p>
            <w:pPr>
              <w:pStyle w:val="TableParagraph"/>
              <w:spacing w:before="25"/>
              <w:ind w:left="46"/>
              <w:jc w:val="center"/>
              <w:rPr>
                <w:rFonts w:ascii="Calibri"/>
                <w:sz w:val="21"/>
              </w:rPr>
            </w:pPr>
            <w:r>
              <w:rPr>
                <w:rFonts w:ascii="Calibri"/>
                <w:sz w:val="21"/>
              </w:rPr>
              <w:t>3</w:t>
            </w:r>
          </w:p>
        </w:tc>
        <w:tc>
          <w:tcPr>
            <w:tcW w:w="1263" w:type="dxa"/>
            <w:gridSpan w:val="3"/>
          </w:tcPr>
          <w:p>
            <w:pPr>
              <w:pStyle w:val="TableParagraph"/>
              <w:spacing w:before="15"/>
              <w:ind w:left="217"/>
              <w:rPr>
                <w:sz w:val="21"/>
              </w:rPr>
            </w:pPr>
            <w:r>
              <w:rPr>
                <w:sz w:val="21"/>
                <w:shd w:fill="FFFFFF" w:color="auto" w:val="clear"/>
              </w:rPr>
              <w:t>企业利润</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spacing w:line="255" w:lineRule="exact" w:before="25"/>
              <w:ind w:left="46"/>
              <w:jc w:val="center"/>
              <w:rPr>
                <w:rFonts w:ascii="Calibri"/>
                <w:sz w:val="21"/>
              </w:rPr>
            </w:pPr>
            <w:r>
              <w:rPr>
                <w:rFonts w:ascii="Calibri"/>
                <w:sz w:val="21"/>
              </w:rPr>
              <w:t>4</w:t>
            </w:r>
          </w:p>
        </w:tc>
        <w:tc>
          <w:tcPr>
            <w:tcW w:w="1263" w:type="dxa"/>
            <w:gridSpan w:val="3"/>
          </w:tcPr>
          <w:p>
            <w:pPr>
              <w:pStyle w:val="TableParagraph"/>
              <w:spacing w:line="265" w:lineRule="exact" w:before="15"/>
              <w:ind w:left="427"/>
              <w:rPr>
                <w:sz w:val="21"/>
              </w:rPr>
            </w:pPr>
            <w:r>
              <w:rPr>
                <w:sz w:val="21"/>
                <w:shd w:fill="FFFFFF" w:color="auto" w:val="clear"/>
              </w:rPr>
              <w:t>税金</w:t>
            </w: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r>
        <w:trPr>
          <w:trHeight w:val="300" w:hRule="atLeast"/>
        </w:trPr>
        <w:tc>
          <w:tcPr>
            <w:tcW w:w="1172" w:type="dxa"/>
          </w:tcPr>
          <w:p>
            <w:pPr>
              <w:pStyle w:val="TableParagraph"/>
              <w:rPr>
                <w:rFonts w:ascii="Times New Roman"/>
                <w:sz w:val="22"/>
              </w:rPr>
            </w:pPr>
          </w:p>
        </w:tc>
        <w:tc>
          <w:tcPr>
            <w:tcW w:w="428" w:type="dxa"/>
            <w:tcBorders>
              <w:right w:val="nil"/>
            </w:tcBorders>
          </w:tcPr>
          <w:p>
            <w:pPr>
              <w:pStyle w:val="TableParagraph"/>
              <w:rPr>
                <w:rFonts w:ascii="Times New Roman"/>
                <w:sz w:val="22"/>
              </w:rPr>
            </w:pPr>
          </w:p>
        </w:tc>
        <w:tc>
          <w:tcPr>
            <w:tcW w:w="421" w:type="dxa"/>
            <w:tcBorders>
              <w:left w:val="nil"/>
              <w:right w:val="nil"/>
            </w:tcBorders>
            <w:shd w:val="clear" w:color="auto" w:fill="FFFFFF"/>
          </w:tcPr>
          <w:p>
            <w:pPr>
              <w:pStyle w:val="TableParagraph"/>
              <w:spacing w:line="266" w:lineRule="exact" w:before="15"/>
              <w:ind w:left="6" w:right="-15"/>
              <w:rPr>
                <w:sz w:val="21"/>
              </w:rPr>
            </w:pPr>
            <w:r>
              <w:rPr>
                <w:sz w:val="21"/>
              </w:rPr>
              <w:t>合计</w:t>
            </w:r>
          </w:p>
        </w:tc>
        <w:tc>
          <w:tcPr>
            <w:tcW w:w="414" w:type="dxa"/>
            <w:tcBorders>
              <w:left w:val="nil"/>
            </w:tcBorders>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63" w:type="dxa"/>
          </w:tcPr>
          <w:p>
            <w:pPr>
              <w:pStyle w:val="TableParagraph"/>
              <w:rPr>
                <w:rFonts w:ascii="Times New Roman"/>
                <w:sz w:val="22"/>
              </w:rPr>
            </w:pPr>
          </w:p>
        </w:tc>
        <w:tc>
          <w:tcPr>
            <w:tcW w:w="1278" w:type="dxa"/>
          </w:tcPr>
          <w:p>
            <w:pPr>
              <w:pStyle w:val="TableParagraph"/>
              <w:rPr>
                <w:rFonts w:ascii="Times New Roman"/>
                <w:sz w:val="22"/>
              </w:rPr>
            </w:pPr>
          </w:p>
        </w:tc>
        <w:tc>
          <w:tcPr>
            <w:tcW w:w="1128"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8"/>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62"/>
        <w:gridCol w:w="2478"/>
        <w:gridCol w:w="1772"/>
        <w:gridCol w:w="1787"/>
        <w:gridCol w:w="1622"/>
      </w:tblGrid>
      <w:tr>
        <w:trPr>
          <w:trHeight w:val="300" w:hRule="atLeast"/>
        </w:trPr>
        <w:tc>
          <w:tcPr>
            <w:tcW w:w="962" w:type="dxa"/>
          </w:tcPr>
          <w:p>
            <w:pPr>
              <w:pStyle w:val="TableParagraph"/>
              <w:ind w:left="278"/>
              <w:rPr>
                <w:sz w:val="21"/>
              </w:rPr>
            </w:pPr>
            <w:r>
              <w:rPr>
                <w:sz w:val="21"/>
              </w:rPr>
              <w:t>序号</w:t>
            </w:r>
          </w:p>
        </w:tc>
        <w:tc>
          <w:tcPr>
            <w:tcW w:w="2478" w:type="dxa"/>
          </w:tcPr>
          <w:p>
            <w:pPr>
              <w:pStyle w:val="TableParagraph"/>
              <w:ind w:left="1008" w:right="994"/>
              <w:jc w:val="center"/>
              <w:rPr>
                <w:sz w:val="21"/>
              </w:rPr>
            </w:pPr>
            <w:r>
              <w:rPr>
                <w:sz w:val="21"/>
              </w:rPr>
              <w:t>工种</w:t>
            </w:r>
          </w:p>
        </w:tc>
        <w:tc>
          <w:tcPr>
            <w:tcW w:w="1772" w:type="dxa"/>
          </w:tcPr>
          <w:p>
            <w:pPr>
              <w:pStyle w:val="TableParagraph"/>
              <w:ind w:left="678" w:right="618"/>
              <w:jc w:val="center"/>
              <w:rPr>
                <w:sz w:val="21"/>
              </w:rPr>
            </w:pPr>
            <w:r>
              <w:rPr>
                <w:sz w:val="21"/>
              </w:rPr>
              <w:t>单位</w:t>
            </w:r>
          </w:p>
        </w:tc>
        <w:tc>
          <w:tcPr>
            <w:tcW w:w="1787" w:type="dxa"/>
          </w:tcPr>
          <w:p>
            <w:pPr>
              <w:pStyle w:val="TableParagraph"/>
              <w:ind w:left="533"/>
              <w:rPr>
                <w:rFonts w:ascii="Calibri" w:eastAsia="Calibri"/>
                <w:sz w:val="21"/>
              </w:rPr>
            </w:pPr>
            <w:r>
              <w:rPr>
                <w:sz w:val="21"/>
              </w:rPr>
              <w:t>单价</w:t>
            </w:r>
            <w:r>
              <w:rPr>
                <w:rFonts w:ascii="Calibri" w:eastAsia="Calibri"/>
                <w:sz w:val="21"/>
              </w:rPr>
              <w:t>(</w:t>
            </w:r>
            <w:r>
              <w:rPr>
                <w:sz w:val="21"/>
              </w:rPr>
              <w:t>元</w:t>
            </w:r>
            <w:r>
              <w:rPr>
                <w:rFonts w:ascii="Calibri" w:eastAsia="Calibri"/>
                <w:sz w:val="21"/>
              </w:rPr>
              <w:t>)</w:t>
            </w:r>
          </w:p>
        </w:tc>
        <w:tc>
          <w:tcPr>
            <w:tcW w:w="1622" w:type="dxa"/>
          </w:tcPr>
          <w:p>
            <w:pPr>
              <w:pStyle w:val="TableParagraph"/>
              <w:ind w:left="604" w:right="543"/>
              <w:jc w:val="center"/>
              <w:rPr>
                <w:sz w:val="21"/>
              </w:rPr>
            </w:pPr>
            <w:r>
              <w:rPr>
                <w:sz w:val="21"/>
              </w:rPr>
              <w:t>备注</w:t>
            </w:r>
          </w:p>
        </w:tc>
      </w:tr>
      <w:tr>
        <w:trPr>
          <w:trHeight w:val="315" w:hRule="atLeast"/>
        </w:trPr>
        <w:tc>
          <w:tcPr>
            <w:tcW w:w="962" w:type="dxa"/>
          </w:tcPr>
          <w:p>
            <w:pPr>
              <w:pStyle w:val="TableParagraph"/>
              <w:rPr>
                <w:rFonts w:ascii="Times New Roman"/>
                <w:sz w:val="22"/>
              </w:rPr>
            </w:pPr>
          </w:p>
        </w:tc>
        <w:tc>
          <w:tcPr>
            <w:tcW w:w="2478" w:type="dxa"/>
          </w:tcPr>
          <w:p>
            <w:pPr>
              <w:pStyle w:val="TableParagraph"/>
              <w:rPr>
                <w:rFonts w:ascii="Times New Roman"/>
                <w:sz w:val="22"/>
              </w:rPr>
            </w:pPr>
          </w:p>
        </w:tc>
        <w:tc>
          <w:tcPr>
            <w:tcW w:w="1772" w:type="dxa"/>
          </w:tcPr>
          <w:p>
            <w:pPr>
              <w:pStyle w:val="TableParagraph"/>
              <w:rPr>
                <w:rFonts w:ascii="Times New Roman"/>
                <w:sz w:val="22"/>
              </w:rPr>
            </w:pPr>
          </w:p>
        </w:tc>
        <w:tc>
          <w:tcPr>
            <w:tcW w:w="1787" w:type="dxa"/>
          </w:tcPr>
          <w:p>
            <w:pPr>
              <w:pStyle w:val="TableParagraph"/>
              <w:rPr>
                <w:rFonts w:ascii="Times New Roman"/>
                <w:sz w:val="22"/>
              </w:rPr>
            </w:pPr>
          </w:p>
        </w:tc>
        <w:tc>
          <w:tcPr>
            <w:tcW w:w="1622" w:type="dxa"/>
          </w:tcPr>
          <w:p>
            <w:pPr>
              <w:pStyle w:val="TableParagraph"/>
              <w:rPr>
                <w:rFonts w:ascii="Times New Roman"/>
                <w:sz w:val="22"/>
              </w:rPr>
            </w:pPr>
          </w:p>
        </w:tc>
      </w:tr>
      <w:tr>
        <w:trPr>
          <w:trHeight w:val="300" w:hRule="atLeast"/>
        </w:trPr>
        <w:tc>
          <w:tcPr>
            <w:tcW w:w="962" w:type="dxa"/>
          </w:tcPr>
          <w:p>
            <w:pPr>
              <w:pStyle w:val="TableParagraph"/>
              <w:rPr>
                <w:rFonts w:ascii="Times New Roman"/>
                <w:sz w:val="22"/>
              </w:rPr>
            </w:pPr>
          </w:p>
        </w:tc>
        <w:tc>
          <w:tcPr>
            <w:tcW w:w="2478" w:type="dxa"/>
          </w:tcPr>
          <w:p>
            <w:pPr>
              <w:pStyle w:val="TableParagraph"/>
              <w:rPr>
                <w:rFonts w:ascii="Times New Roman"/>
                <w:sz w:val="22"/>
              </w:rPr>
            </w:pPr>
          </w:p>
        </w:tc>
        <w:tc>
          <w:tcPr>
            <w:tcW w:w="1772" w:type="dxa"/>
          </w:tcPr>
          <w:p>
            <w:pPr>
              <w:pStyle w:val="TableParagraph"/>
              <w:rPr>
                <w:rFonts w:ascii="Times New Roman"/>
                <w:sz w:val="22"/>
              </w:rPr>
            </w:pPr>
          </w:p>
        </w:tc>
        <w:tc>
          <w:tcPr>
            <w:tcW w:w="1787" w:type="dxa"/>
          </w:tcPr>
          <w:p>
            <w:pPr>
              <w:pStyle w:val="TableParagraph"/>
              <w:rPr>
                <w:rFonts w:ascii="Times New Roman"/>
                <w:sz w:val="22"/>
              </w:rPr>
            </w:pPr>
          </w:p>
        </w:tc>
        <w:tc>
          <w:tcPr>
            <w:tcW w:w="1622" w:type="dxa"/>
          </w:tcPr>
          <w:p>
            <w:pPr>
              <w:pStyle w:val="TableParagraph"/>
              <w:rPr>
                <w:rFonts w:ascii="Times New Roman"/>
                <w:sz w:val="22"/>
              </w:rPr>
            </w:pPr>
          </w:p>
        </w:tc>
      </w:tr>
      <w:tr>
        <w:trPr>
          <w:trHeight w:val="315" w:hRule="atLeast"/>
        </w:trPr>
        <w:tc>
          <w:tcPr>
            <w:tcW w:w="962" w:type="dxa"/>
          </w:tcPr>
          <w:p>
            <w:pPr>
              <w:pStyle w:val="TableParagraph"/>
              <w:rPr>
                <w:rFonts w:ascii="Times New Roman"/>
                <w:sz w:val="22"/>
              </w:rPr>
            </w:pPr>
          </w:p>
        </w:tc>
        <w:tc>
          <w:tcPr>
            <w:tcW w:w="2478" w:type="dxa"/>
          </w:tcPr>
          <w:p>
            <w:pPr>
              <w:pStyle w:val="TableParagraph"/>
              <w:rPr>
                <w:rFonts w:ascii="Times New Roman"/>
                <w:sz w:val="22"/>
              </w:rPr>
            </w:pPr>
          </w:p>
        </w:tc>
        <w:tc>
          <w:tcPr>
            <w:tcW w:w="1772" w:type="dxa"/>
          </w:tcPr>
          <w:p>
            <w:pPr>
              <w:pStyle w:val="TableParagraph"/>
              <w:rPr>
                <w:rFonts w:ascii="Times New Roman"/>
                <w:sz w:val="22"/>
              </w:rPr>
            </w:pPr>
          </w:p>
        </w:tc>
        <w:tc>
          <w:tcPr>
            <w:tcW w:w="1787" w:type="dxa"/>
          </w:tcPr>
          <w:p>
            <w:pPr>
              <w:pStyle w:val="TableParagraph"/>
              <w:rPr>
                <w:rFonts w:ascii="Times New Roman"/>
                <w:sz w:val="22"/>
              </w:rPr>
            </w:pPr>
          </w:p>
        </w:tc>
        <w:tc>
          <w:tcPr>
            <w:tcW w:w="1622" w:type="dxa"/>
          </w:tcPr>
          <w:p>
            <w:pPr>
              <w:pStyle w:val="TableParagraph"/>
              <w:rPr>
                <w:rFonts w:ascii="Times New Roman"/>
                <w:sz w:val="22"/>
              </w:rPr>
            </w:pPr>
          </w:p>
        </w:tc>
      </w:tr>
      <w:tr>
        <w:trPr>
          <w:trHeight w:val="300" w:hRule="atLeast"/>
        </w:trPr>
        <w:tc>
          <w:tcPr>
            <w:tcW w:w="962" w:type="dxa"/>
          </w:tcPr>
          <w:p>
            <w:pPr>
              <w:pStyle w:val="TableParagraph"/>
              <w:rPr>
                <w:rFonts w:ascii="Times New Roman"/>
                <w:sz w:val="22"/>
              </w:rPr>
            </w:pPr>
          </w:p>
        </w:tc>
        <w:tc>
          <w:tcPr>
            <w:tcW w:w="2478" w:type="dxa"/>
          </w:tcPr>
          <w:p>
            <w:pPr>
              <w:pStyle w:val="TableParagraph"/>
              <w:rPr>
                <w:rFonts w:ascii="Times New Roman"/>
                <w:sz w:val="22"/>
              </w:rPr>
            </w:pPr>
          </w:p>
        </w:tc>
        <w:tc>
          <w:tcPr>
            <w:tcW w:w="1772" w:type="dxa"/>
          </w:tcPr>
          <w:p>
            <w:pPr>
              <w:pStyle w:val="TableParagraph"/>
              <w:rPr>
                <w:rFonts w:ascii="Times New Roman"/>
                <w:sz w:val="22"/>
              </w:rPr>
            </w:pPr>
          </w:p>
        </w:tc>
        <w:tc>
          <w:tcPr>
            <w:tcW w:w="1787" w:type="dxa"/>
          </w:tcPr>
          <w:p>
            <w:pPr>
              <w:pStyle w:val="TableParagraph"/>
              <w:rPr>
                <w:rFonts w:ascii="Times New Roman"/>
                <w:sz w:val="22"/>
              </w:rPr>
            </w:pPr>
          </w:p>
        </w:tc>
        <w:tc>
          <w:tcPr>
            <w:tcW w:w="1622" w:type="dxa"/>
          </w:tcPr>
          <w:p>
            <w:pPr>
              <w:pStyle w:val="TableParagraph"/>
              <w:rPr>
                <w:rFonts w:ascii="Times New Roman"/>
                <w:sz w:val="22"/>
              </w:rPr>
            </w:pPr>
          </w:p>
        </w:tc>
      </w:tr>
    </w:tbl>
    <w:p>
      <w:pPr>
        <w:pStyle w:val="BodyText"/>
        <w:rPr>
          <w:sz w:val="22"/>
        </w:rPr>
      </w:pPr>
    </w:p>
    <w:p>
      <w:pPr>
        <w:pStyle w:val="BodyText"/>
        <w:rPr>
          <w:sz w:val="22"/>
        </w:rPr>
      </w:pPr>
    </w:p>
    <w:p>
      <w:pPr>
        <w:pStyle w:val="BodyText"/>
        <w:rPr>
          <w:sz w:val="22"/>
        </w:rPr>
      </w:pPr>
    </w:p>
    <w:p>
      <w:pPr>
        <w:pStyle w:val="BodyText"/>
        <w:rPr>
          <w:sz w:val="19"/>
        </w:rPr>
      </w:pPr>
    </w:p>
    <w:p>
      <w:pPr>
        <w:spacing w:before="0"/>
        <w:ind w:left="0" w:right="1282" w:firstLine="0"/>
        <w:jc w:val="center"/>
        <w:rPr>
          <w:rFonts w:ascii="Calibri"/>
          <w:sz w:val="18"/>
        </w:rPr>
      </w:pPr>
      <w:r>
        <w:rPr/>
        <w:pict>
          <v:rect style="position:absolute;margin-left:153.949997pt;margin-top:-310.450653pt;width:42.05pt;height:15pt;mso-position-horizontal-relative:page;mso-position-vertical-relative:paragraph;z-index:-268430336" filled="true" fillcolor="#ffffff" stroked="false">
            <v:fill type="solid"/>
            <w10:wrap type="none"/>
          </v:rect>
        </w:pict>
      </w:r>
      <w:r>
        <w:rPr>
          <w:rFonts w:ascii="Calibri"/>
          <w:sz w:val="18"/>
        </w:rPr>
        <w:t>148</w:t>
      </w:r>
    </w:p>
    <w:p>
      <w:pPr>
        <w:spacing w:after="0"/>
        <w:jc w:val="center"/>
        <w:rPr>
          <w:rFonts w:ascii="Calibri"/>
          <w:sz w:val="18"/>
        </w:rPr>
        <w:sectPr>
          <w:type w:val="continuous"/>
          <w:pgSz w:w="11910" w:h="16850"/>
          <w:pgMar w:top="1380" w:bottom="280" w:left="1300" w:right="0"/>
        </w:sectPr>
      </w:pPr>
    </w:p>
    <w:p>
      <w:pPr>
        <w:spacing w:before="60"/>
        <w:ind w:left="396" w:right="0" w:firstLine="0"/>
        <w:jc w:val="left"/>
        <w:rPr>
          <w:sz w:val="21"/>
        </w:rPr>
      </w:pPr>
      <w:r>
        <w:rPr>
          <w:sz w:val="21"/>
        </w:rPr>
        <w:t>第二卷</w:t>
      </w:r>
    </w:p>
    <w:p>
      <w:pPr>
        <w:pStyle w:val="BodyText"/>
        <w:rPr>
          <w:sz w:val="20"/>
        </w:rPr>
      </w:pPr>
    </w:p>
    <w:p>
      <w:pPr>
        <w:pStyle w:val="BodyText"/>
        <w:rPr>
          <w:sz w:val="20"/>
        </w:rPr>
      </w:pPr>
    </w:p>
    <w:p>
      <w:pPr>
        <w:pStyle w:val="Heading8"/>
        <w:tabs>
          <w:tab w:pos="4241" w:val="left" w:leader="none"/>
        </w:tabs>
        <w:spacing w:before="224"/>
        <w:ind w:left="3160"/>
      </w:pPr>
      <w:bookmarkStart w:name="第六章　图纸(招标图纸)" w:id="161"/>
      <w:bookmarkEnd w:id="161"/>
      <w:r>
        <w:rPr/>
      </w:r>
      <w:bookmarkStart w:name="_bookmark32" w:id="162"/>
      <w:bookmarkEnd w:id="162"/>
      <w:r>
        <w:rPr/>
      </w:r>
      <w:r>
        <w:rPr/>
        <w:t>第六章</w:t>
        <w:tab/>
        <w:t>图纸(招标图纸)</w:t>
      </w:r>
    </w:p>
    <w:p>
      <w:pPr>
        <w:pStyle w:val="BodyText"/>
        <w:rPr>
          <w:rFonts w:ascii="黑体"/>
          <w:sz w:val="20"/>
        </w:rPr>
      </w:pPr>
    </w:p>
    <w:p>
      <w:pPr>
        <w:pStyle w:val="BodyText"/>
        <w:rPr>
          <w:rFonts w:ascii="黑体"/>
          <w:sz w:val="20"/>
        </w:rPr>
      </w:pPr>
    </w:p>
    <w:p>
      <w:pPr>
        <w:pStyle w:val="BodyText"/>
        <w:spacing w:before="12"/>
        <w:rPr>
          <w:rFonts w:ascii="黑体"/>
          <w:sz w:val="20"/>
        </w:rPr>
      </w:pPr>
    </w:p>
    <w:p>
      <w:pPr>
        <w:spacing w:before="65"/>
        <w:ind w:left="396" w:right="0" w:firstLine="0"/>
        <w:jc w:val="left"/>
        <w:rPr>
          <w:rFonts w:ascii="黑体" w:eastAsia="黑体" w:hint="eastAsia"/>
          <w:sz w:val="28"/>
        </w:rPr>
      </w:pPr>
      <w:r>
        <w:rPr/>
        <w:pict>
          <v:group style="position:absolute;margin-left:76.721001pt;margin-top:22.110485pt;width:439.3pt;height:452.3pt;mso-position-horizontal-relative:page;mso-position-vertical-relative:paragraph;z-index:-268422144" coordorigin="1534,442" coordsize="8786,9046">
            <v:shape style="position:absolute;left:1534;top:442;width:8786;height:8653" type="#_x0000_t75" stroked="false">
              <v:imagedata r:id="rId37" o:title=""/>
            </v:shape>
            <v:rect style="position:absolute;left:1697;top:8992;width:1938;height:496" filled="true" fillcolor="#ffffff" stroked="false">
              <v:fill type="solid"/>
            </v:rect>
            <v:shape style="position:absolute;left:1697;top:679;width:6238;height:240" type="#_x0000_t202" filled="false" stroked="false">
              <v:textbox inset="0,0,0,0">
                <w:txbxContent>
                  <w:p>
                    <w:pPr>
                      <w:spacing w:line="240" w:lineRule="exact" w:before="0"/>
                      <w:ind w:left="0" w:right="0" w:firstLine="0"/>
                      <w:jc w:val="left"/>
                      <w:rPr>
                        <w:sz w:val="24"/>
                      </w:rPr>
                    </w:pPr>
                    <w:r>
                      <w:rPr>
                        <w:sz w:val="21"/>
                      </w:rPr>
                      <w:t>  </w:t>
                    </w:r>
                    <w:r>
                      <w:rPr>
                        <w:sz w:val="24"/>
                      </w:rPr>
                      <w:t>  附入招标文件中的图纸应包括以下各项图纸(不限于)：</w:t>
                    </w:r>
                  </w:p>
                </w:txbxContent>
              </v:textbox>
              <w10:wrap type="none"/>
            </v:shape>
            <v:shape style="position:absolute;left:1697;top:1625;width:2063;height:240" type="#_x0000_t202" filled="false" stroked="false">
              <v:textbox inset="0,0,0,0">
                <w:txbxContent>
                  <w:p>
                    <w:pPr>
                      <w:spacing w:line="240" w:lineRule="exact" w:before="0"/>
                      <w:ind w:left="0" w:right="0" w:firstLine="0"/>
                      <w:jc w:val="left"/>
                      <w:rPr>
                        <w:sz w:val="24"/>
                      </w:rPr>
                    </w:pPr>
                    <w:r>
                      <w:rPr>
                        <w:sz w:val="24"/>
                      </w:rPr>
                      <w:t>沙等的水文图表； </w:t>
                    </w:r>
                  </w:p>
                </w:txbxContent>
              </v:textbox>
              <w10:wrap type="none"/>
            </v:shape>
            <v:shape style="position:absolute;left:1697;top:3021;width:2784;height:240" type="#_x0000_t202" filled="false" stroked="false">
              <v:textbox inset="0,0,0,0">
                <w:txbxContent>
                  <w:p>
                    <w:pPr>
                      <w:spacing w:line="240" w:lineRule="exact" w:before="0"/>
                      <w:ind w:left="0" w:right="0" w:firstLine="0"/>
                      <w:jc w:val="left"/>
                      <w:rPr>
                        <w:sz w:val="24"/>
                      </w:rPr>
                    </w:pPr>
                    <w:r>
                      <w:rPr>
                        <w:sz w:val="24"/>
                      </w:rPr>
                      <w:t>料的物理力学试验成果； </w:t>
                    </w:r>
                  </w:p>
                </w:txbxContent>
              </v:textbox>
              <w10:wrap type="none"/>
            </v:shape>
            <v:shape style="position:absolute;left:1697;top:9153;width:1958;height:285" type="#_x0000_t202" filled="false" stroked="false">
              <v:textbox inset="0,0,0,0">
                <w:txbxContent>
                  <w:p>
                    <w:pPr>
                      <w:spacing w:line="285" w:lineRule="exact" w:before="0"/>
                      <w:ind w:left="0" w:right="0" w:firstLine="0"/>
                      <w:jc w:val="left"/>
                      <w:rPr>
                        <w:rFonts w:ascii="黑体" w:eastAsia="黑体" w:hint="eastAsia"/>
                        <w:sz w:val="28"/>
                      </w:rPr>
                    </w:pPr>
                    <w:r>
                      <w:rPr>
                        <w:rFonts w:ascii="黑体" w:eastAsia="黑体" w:hint="eastAsia"/>
                        <w:sz w:val="28"/>
                      </w:rPr>
                      <w:t>2</w:t>
                    </w:r>
                    <w:r>
                      <w:rPr>
                        <w:rFonts w:ascii="黑体" w:eastAsia="黑体" w:hint="eastAsia"/>
                        <w:spacing w:val="-6"/>
                        <w:sz w:val="28"/>
                      </w:rPr>
                      <w:t> 招标图纸编绘</w:t>
                    </w:r>
                  </w:p>
                </w:txbxContent>
              </v:textbox>
              <w10:wrap type="none"/>
            </v:shape>
            <v:shape style="position:absolute;left:1697;top:2432;width:8516;height:390" type="#_x0000_t202" filled="true" fillcolor="#ffffff" stroked="false">
              <v:textbox inset="0,0,0,0">
                <w:txbxContent>
                  <w:p>
                    <w:pPr>
                      <w:spacing w:line="300" w:lineRule="exact" w:before="90"/>
                      <w:ind w:left="0" w:right="0" w:firstLine="0"/>
                      <w:jc w:val="left"/>
                      <w:rPr>
                        <w:sz w:val="24"/>
                      </w:rPr>
                    </w:pPr>
                    <w:r>
                      <w:rPr>
                        <w:sz w:val="24"/>
                      </w:rPr>
                      <w:t>平面地质填图、地质剖面和平切面图，以及各永久工程建筑物基础与天然建筑材</w:t>
                    </w:r>
                  </w:p>
                </w:txbxContent>
              </v:textbox>
              <v:fill type="solid"/>
              <w10:wrap type="none"/>
            </v:shape>
            <v:shape style="position:absolute;left:1697;top:1966;width:8516;height:391" type="#_x0000_t202" filled="true" fillcolor="#ffffff" stroked="false">
              <v:textbox inset="0,0,0,0">
                <w:txbxContent>
                  <w:p>
                    <w:pPr>
                      <w:spacing w:line="300" w:lineRule="exact" w:before="90"/>
                      <w:ind w:left="0" w:right="-29" w:firstLine="0"/>
                      <w:jc w:val="left"/>
                      <w:rPr>
                        <w:sz w:val="24"/>
                      </w:rPr>
                    </w:pPr>
                    <w:r>
                      <w:rPr>
                        <w:sz w:val="24"/>
                      </w:rPr>
                      <w:t>    (2)本工程水库和各项工程建筑物(包括天然建筑材料场地)的平面地质总图、</w:t>
                    </w:r>
                  </w:p>
                </w:txbxContent>
              </v:textbox>
              <v:fill type="solid"/>
              <w10:wrap type="none"/>
            </v:shape>
            <v:shape style="position:absolute;left:1697;top:1020;width:8516;height:406" type="#_x0000_t202" filled="true" fillcolor="#ffffff" stroked="false">
              <v:textbox inset="0,0,0,0">
                <w:txbxContent>
                  <w:p>
                    <w:pPr>
                      <w:spacing w:before="90"/>
                      <w:ind w:left="0" w:right="-29" w:firstLine="0"/>
                      <w:jc w:val="left"/>
                      <w:rPr>
                        <w:sz w:val="24"/>
                      </w:rPr>
                    </w:pPr>
                    <w:r>
                      <w:rPr>
                        <w:sz w:val="24"/>
                      </w:rPr>
                      <w:t>    (1)本工程流域水系有关测站的洪峰、洪量，以及工程场址的水位、流量、泥</w:t>
                    </w:r>
                  </w:p>
                </w:txbxContent>
              </v:textbox>
              <v:fill type="solid"/>
              <w10:wrap type="none"/>
            </v:shape>
            <w10:wrap type="none"/>
          </v:group>
        </w:pict>
      </w:r>
      <w:r>
        <w:rPr>
          <w:rFonts w:ascii="黑体" w:eastAsia="黑体" w:hint="eastAsia"/>
          <w:sz w:val="28"/>
        </w:rPr>
        <w:t>1 招标图纸组成</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4" w:after="1"/>
        <w:rPr>
          <w:rFonts w:ascii="黑体"/>
          <w:sz w:val="29"/>
        </w:rPr>
      </w:pPr>
    </w:p>
    <w:tbl>
      <w:tblPr>
        <w:tblW w:w="0" w:type="auto"/>
        <w:jc w:val="left"/>
        <w:tblInd w:w="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62"/>
        <w:gridCol w:w="4566"/>
        <w:gridCol w:w="721"/>
        <w:gridCol w:w="360"/>
        <w:gridCol w:w="480"/>
        <w:gridCol w:w="1426"/>
      </w:tblGrid>
      <w:tr>
        <w:trPr>
          <w:trHeight w:val="400" w:hRule="atLeast"/>
        </w:trPr>
        <w:tc>
          <w:tcPr>
            <w:tcW w:w="8515" w:type="dxa"/>
            <w:gridSpan w:val="6"/>
            <w:tcBorders>
              <w:bottom w:val="single" w:sz="34" w:space="0" w:color="FFFFFF"/>
            </w:tcBorders>
            <w:shd w:val="clear" w:color="auto" w:fill="FFFFFF"/>
          </w:tcPr>
          <w:p>
            <w:pPr>
              <w:pStyle w:val="TableParagraph"/>
              <w:spacing w:line="290" w:lineRule="exact" w:before="90"/>
              <w:ind w:left="37" w:right="-72"/>
              <w:rPr>
                <w:sz w:val="24"/>
              </w:rPr>
            </w:pPr>
            <w:r>
              <w:rPr>
                <w:sz w:val="24"/>
              </w:rPr>
              <w:t>    (3)工程枢纽建筑物布置总图、各项工程建筑物总布置图、体形图、结构布置</w:t>
            </w:r>
          </w:p>
        </w:tc>
      </w:tr>
      <w:tr>
        <w:trPr>
          <w:trHeight w:val="380" w:hRule="atLeast"/>
        </w:trPr>
        <w:tc>
          <w:tcPr>
            <w:tcW w:w="8515" w:type="dxa"/>
            <w:gridSpan w:val="6"/>
            <w:tcBorders>
              <w:top w:val="single" w:sz="34" w:space="0" w:color="FFFFFF"/>
              <w:bottom w:val="single" w:sz="34" w:space="0" w:color="FFFFFF"/>
            </w:tcBorders>
            <w:shd w:val="clear" w:color="auto" w:fill="FFFFFF"/>
          </w:tcPr>
          <w:p>
            <w:pPr>
              <w:pStyle w:val="TableParagraph"/>
              <w:spacing w:line="275" w:lineRule="exact" w:before="85"/>
              <w:ind w:left="37" w:right="-29"/>
              <w:rPr>
                <w:sz w:val="24"/>
              </w:rPr>
            </w:pPr>
            <w:r>
              <w:rPr>
                <w:sz w:val="24"/>
              </w:rPr>
              <w:t>详图、开挖和支护图、基础处理及灌浆与排水详图、边坡处理图、各项工程建筑</w:t>
            </w:r>
          </w:p>
        </w:tc>
      </w:tr>
      <w:tr>
        <w:trPr>
          <w:trHeight w:val="380" w:hRule="atLeast"/>
        </w:trPr>
        <w:tc>
          <w:tcPr>
            <w:tcW w:w="8515" w:type="dxa"/>
            <w:gridSpan w:val="6"/>
            <w:tcBorders>
              <w:top w:val="single" w:sz="34" w:space="0" w:color="FFFFFF"/>
              <w:bottom w:val="single" w:sz="34" w:space="0" w:color="FFFFFF"/>
            </w:tcBorders>
            <w:shd w:val="clear" w:color="auto" w:fill="FFFFFF"/>
          </w:tcPr>
          <w:p>
            <w:pPr>
              <w:pStyle w:val="TableParagraph"/>
              <w:spacing w:line="275" w:lineRule="exact" w:before="85"/>
              <w:ind w:left="37" w:right="-29"/>
              <w:rPr>
                <w:sz w:val="24"/>
              </w:rPr>
            </w:pPr>
            <w:r>
              <w:rPr>
                <w:sz w:val="24"/>
              </w:rPr>
              <w:t>物的典型钢筋配置图、压力输水管道和其它钢结构的制造安装图、工程建筑物细</w:t>
            </w:r>
          </w:p>
        </w:tc>
      </w:tr>
      <w:tr>
        <w:trPr>
          <w:trHeight w:val="380" w:hRule="atLeast"/>
        </w:trPr>
        <w:tc>
          <w:tcPr>
            <w:tcW w:w="6249" w:type="dxa"/>
            <w:gridSpan w:val="3"/>
            <w:tcBorders>
              <w:top w:val="single" w:sz="34" w:space="0" w:color="FFFFFF"/>
              <w:bottom w:val="single" w:sz="34" w:space="0" w:color="FFFFFF"/>
            </w:tcBorders>
            <w:shd w:val="clear" w:color="auto" w:fill="FFFFFF"/>
          </w:tcPr>
          <w:p>
            <w:pPr>
              <w:pStyle w:val="TableParagraph"/>
              <w:spacing w:line="276" w:lineRule="exact" w:before="85"/>
              <w:ind w:left="37" w:right="-44"/>
              <w:rPr>
                <w:sz w:val="24"/>
              </w:rPr>
            </w:pPr>
            <w:r>
              <w:rPr>
                <w:sz w:val="24"/>
              </w:rPr>
              <w:t>部的典型大样图，以及各项工程建筑物的安全监测详图等；</w:t>
            </w:r>
          </w:p>
        </w:tc>
        <w:tc>
          <w:tcPr>
            <w:tcW w:w="2266" w:type="dxa"/>
            <w:gridSpan w:val="3"/>
            <w:tcBorders>
              <w:top w:val="single" w:sz="34" w:space="0" w:color="FFFFFF"/>
              <w:bottom w:val="single" w:sz="34" w:space="0" w:color="FFFFFF"/>
            </w:tcBorders>
          </w:tcPr>
          <w:p>
            <w:pPr>
              <w:pStyle w:val="TableParagraph"/>
              <w:spacing w:line="276" w:lineRule="exact" w:before="85"/>
              <w:ind w:left="36"/>
              <w:rPr>
                <w:sz w:val="24"/>
              </w:rPr>
            </w:pPr>
            <w:r>
              <w:rPr>
                <w:sz w:val="24"/>
              </w:rPr>
              <w:t> </w:t>
            </w:r>
          </w:p>
        </w:tc>
      </w:tr>
      <w:tr>
        <w:trPr>
          <w:trHeight w:val="380" w:hRule="atLeast"/>
        </w:trPr>
        <w:tc>
          <w:tcPr>
            <w:tcW w:w="8515" w:type="dxa"/>
            <w:gridSpan w:val="6"/>
            <w:tcBorders>
              <w:top w:val="single" w:sz="34" w:space="0" w:color="FFFFFF"/>
              <w:bottom w:val="single" w:sz="34" w:space="0" w:color="FFFFFF"/>
            </w:tcBorders>
            <w:shd w:val="clear" w:color="auto" w:fill="FFFFFF"/>
          </w:tcPr>
          <w:p>
            <w:pPr>
              <w:pStyle w:val="TableParagraph"/>
              <w:spacing w:line="275" w:lineRule="exact" w:before="85"/>
              <w:ind w:left="37" w:right="-72"/>
              <w:rPr>
                <w:sz w:val="24"/>
              </w:rPr>
            </w:pPr>
            <w:r>
              <w:rPr>
                <w:sz w:val="24"/>
              </w:rPr>
              <w:t>    (4)本工程机电设备和金属结构的布置及制造安装总图、消防、采暖通风、火</w:t>
            </w:r>
          </w:p>
        </w:tc>
      </w:tr>
      <w:tr>
        <w:trPr>
          <w:trHeight w:val="395" w:hRule="atLeast"/>
        </w:trPr>
        <w:tc>
          <w:tcPr>
            <w:tcW w:w="5528" w:type="dxa"/>
            <w:gridSpan w:val="2"/>
            <w:tcBorders>
              <w:top w:val="single" w:sz="34" w:space="0" w:color="FFFFFF"/>
              <w:bottom w:val="single" w:sz="34" w:space="0" w:color="FFFFFF"/>
            </w:tcBorders>
            <w:shd w:val="clear" w:color="auto" w:fill="FFFFFF"/>
          </w:tcPr>
          <w:p>
            <w:pPr>
              <w:pStyle w:val="TableParagraph"/>
              <w:spacing w:line="290" w:lineRule="exact" w:before="85"/>
              <w:ind w:left="37" w:right="-44"/>
              <w:rPr>
                <w:sz w:val="24"/>
              </w:rPr>
            </w:pPr>
            <w:r>
              <w:rPr>
                <w:sz w:val="24"/>
              </w:rPr>
              <w:t>灾报警，以及计算机控制等的布置和系统安装图等；</w:t>
            </w:r>
          </w:p>
        </w:tc>
        <w:tc>
          <w:tcPr>
            <w:tcW w:w="2987" w:type="dxa"/>
            <w:gridSpan w:val="4"/>
            <w:tcBorders>
              <w:top w:val="single" w:sz="34" w:space="0" w:color="FFFFFF"/>
              <w:bottom w:val="single" w:sz="34" w:space="0" w:color="FFFFFF"/>
            </w:tcBorders>
          </w:tcPr>
          <w:p>
            <w:pPr>
              <w:pStyle w:val="TableParagraph"/>
              <w:spacing w:line="290" w:lineRule="exact" w:before="85"/>
              <w:ind w:left="36"/>
              <w:rPr>
                <w:sz w:val="24"/>
              </w:rPr>
            </w:pPr>
            <w:r>
              <w:rPr>
                <w:sz w:val="24"/>
              </w:rPr>
              <w:t> </w:t>
            </w:r>
          </w:p>
        </w:tc>
      </w:tr>
      <w:tr>
        <w:trPr>
          <w:trHeight w:val="380" w:hRule="atLeast"/>
        </w:trPr>
        <w:tc>
          <w:tcPr>
            <w:tcW w:w="8515" w:type="dxa"/>
            <w:gridSpan w:val="6"/>
            <w:tcBorders>
              <w:top w:val="single" w:sz="34" w:space="0" w:color="FFFFFF"/>
              <w:bottom w:val="single" w:sz="34" w:space="0" w:color="FFFFFF"/>
            </w:tcBorders>
            <w:shd w:val="clear" w:color="auto" w:fill="FFFFFF"/>
          </w:tcPr>
          <w:p>
            <w:pPr>
              <w:pStyle w:val="TableParagraph"/>
              <w:spacing w:line="275" w:lineRule="exact" w:before="85"/>
              <w:ind w:left="37" w:right="-58"/>
              <w:rPr>
                <w:sz w:val="24"/>
              </w:rPr>
            </w:pPr>
            <w:r>
              <w:rPr>
                <w:sz w:val="24"/>
              </w:rPr>
              <w:t>    (5)</w:t>
            </w:r>
            <w:r>
              <w:rPr>
                <w:spacing w:val="-1"/>
                <w:sz w:val="24"/>
              </w:rPr>
              <w:t>工程枢纽建筑物施工组织设计所需的工程位置和对外交通图、施工场地范</w:t>
            </w:r>
          </w:p>
        </w:tc>
      </w:tr>
      <w:tr>
        <w:trPr>
          <w:trHeight w:val="380" w:hRule="atLeast"/>
        </w:trPr>
        <w:tc>
          <w:tcPr>
            <w:tcW w:w="5528" w:type="dxa"/>
            <w:gridSpan w:val="2"/>
            <w:tcBorders>
              <w:top w:val="single" w:sz="34" w:space="0" w:color="FFFFFF"/>
              <w:bottom w:val="single" w:sz="34" w:space="0" w:color="FFFFFF"/>
            </w:tcBorders>
            <w:shd w:val="clear" w:color="auto" w:fill="FFFFFF"/>
          </w:tcPr>
          <w:p>
            <w:pPr>
              <w:pStyle w:val="TableParagraph"/>
              <w:spacing w:line="275" w:lineRule="exact" w:before="85"/>
              <w:ind w:left="37" w:right="-44"/>
              <w:rPr>
                <w:sz w:val="24"/>
              </w:rPr>
            </w:pPr>
            <w:r>
              <w:rPr>
                <w:spacing w:val="-1"/>
                <w:sz w:val="24"/>
              </w:rPr>
              <w:t>围图(包括土料场、砂石料场、存渣场和弃渣场)等；</w:t>
            </w:r>
          </w:p>
        </w:tc>
        <w:tc>
          <w:tcPr>
            <w:tcW w:w="2987" w:type="dxa"/>
            <w:gridSpan w:val="4"/>
            <w:tcBorders>
              <w:top w:val="single" w:sz="34" w:space="0" w:color="FFFFFF"/>
              <w:bottom w:val="single" w:sz="34" w:space="0" w:color="FFFFFF"/>
            </w:tcBorders>
          </w:tcPr>
          <w:p>
            <w:pPr>
              <w:pStyle w:val="TableParagraph"/>
              <w:spacing w:line="275" w:lineRule="exact" w:before="85"/>
              <w:ind w:left="36"/>
              <w:rPr>
                <w:sz w:val="24"/>
              </w:rPr>
            </w:pPr>
            <w:r>
              <w:rPr>
                <w:sz w:val="24"/>
              </w:rPr>
              <w:t> </w:t>
            </w:r>
          </w:p>
        </w:tc>
      </w:tr>
      <w:tr>
        <w:trPr>
          <w:trHeight w:val="380" w:hRule="atLeast"/>
        </w:trPr>
        <w:tc>
          <w:tcPr>
            <w:tcW w:w="6609" w:type="dxa"/>
            <w:gridSpan w:val="4"/>
            <w:tcBorders>
              <w:top w:val="single" w:sz="34" w:space="0" w:color="FFFFFF"/>
              <w:bottom w:val="single" w:sz="34" w:space="0" w:color="FFFFFF"/>
            </w:tcBorders>
            <w:shd w:val="clear" w:color="auto" w:fill="FFFFFF"/>
          </w:tcPr>
          <w:p>
            <w:pPr>
              <w:pStyle w:val="TableParagraph"/>
              <w:spacing w:line="275" w:lineRule="exact" w:before="85"/>
              <w:ind w:left="37" w:right="-44"/>
              <w:rPr>
                <w:sz w:val="24"/>
              </w:rPr>
            </w:pPr>
            <w:r>
              <w:rPr>
                <w:sz w:val="24"/>
              </w:rPr>
              <w:t>    (6)施工总布置图，以及各项施工临时辅助设施布置图等；</w:t>
            </w:r>
          </w:p>
        </w:tc>
        <w:tc>
          <w:tcPr>
            <w:tcW w:w="1906" w:type="dxa"/>
            <w:gridSpan w:val="2"/>
            <w:tcBorders>
              <w:top w:val="single" w:sz="34" w:space="0" w:color="FFFFFF"/>
              <w:bottom w:val="single" w:sz="34" w:space="0" w:color="FFFFFF"/>
            </w:tcBorders>
          </w:tcPr>
          <w:p>
            <w:pPr>
              <w:pStyle w:val="TableParagraph"/>
              <w:spacing w:line="275" w:lineRule="exact" w:before="85"/>
              <w:ind w:left="36"/>
              <w:rPr>
                <w:sz w:val="24"/>
              </w:rPr>
            </w:pPr>
            <w:r>
              <w:rPr>
                <w:sz w:val="24"/>
              </w:rPr>
              <w:t> </w:t>
            </w:r>
          </w:p>
        </w:tc>
      </w:tr>
      <w:tr>
        <w:trPr>
          <w:trHeight w:val="380" w:hRule="atLeast"/>
        </w:trPr>
        <w:tc>
          <w:tcPr>
            <w:tcW w:w="8515" w:type="dxa"/>
            <w:gridSpan w:val="6"/>
            <w:tcBorders>
              <w:top w:val="single" w:sz="34" w:space="0" w:color="FFFFFF"/>
              <w:bottom w:val="single" w:sz="34" w:space="0" w:color="FFFFFF"/>
            </w:tcBorders>
            <w:shd w:val="clear" w:color="auto" w:fill="FFFFFF"/>
          </w:tcPr>
          <w:p>
            <w:pPr>
              <w:pStyle w:val="TableParagraph"/>
              <w:spacing w:line="276" w:lineRule="exact" w:before="85"/>
              <w:ind w:left="37" w:right="-44"/>
              <w:rPr>
                <w:sz w:val="24"/>
              </w:rPr>
            </w:pPr>
            <w:r>
              <w:rPr>
                <w:sz w:val="24"/>
              </w:rPr>
              <w:t>    (7)</w:t>
            </w:r>
            <w:r>
              <w:rPr>
                <w:spacing w:val="-3"/>
                <w:sz w:val="24"/>
              </w:rPr>
              <w:t>施工导流工程方案布置图、导流工程建筑物施工布置图、施工期通航方案</w:t>
            </w:r>
          </w:p>
        </w:tc>
      </w:tr>
      <w:tr>
        <w:trPr>
          <w:trHeight w:val="394" w:hRule="atLeast"/>
        </w:trPr>
        <w:tc>
          <w:tcPr>
            <w:tcW w:w="962" w:type="dxa"/>
            <w:tcBorders>
              <w:top w:val="single" w:sz="34" w:space="0" w:color="FFFFFF"/>
              <w:bottom w:val="single" w:sz="34" w:space="0" w:color="FFFFFF"/>
            </w:tcBorders>
            <w:shd w:val="clear" w:color="auto" w:fill="FFFFFF"/>
          </w:tcPr>
          <w:p>
            <w:pPr>
              <w:pStyle w:val="TableParagraph"/>
              <w:spacing w:line="290" w:lineRule="exact" w:before="85"/>
              <w:ind w:left="37" w:right="-44"/>
              <w:rPr>
                <w:sz w:val="24"/>
              </w:rPr>
            </w:pPr>
            <w:r>
              <w:rPr>
                <w:spacing w:val="-3"/>
                <w:sz w:val="24"/>
              </w:rPr>
              <w:t>布置图；</w:t>
            </w:r>
          </w:p>
        </w:tc>
        <w:tc>
          <w:tcPr>
            <w:tcW w:w="7553" w:type="dxa"/>
            <w:gridSpan w:val="5"/>
            <w:tcBorders>
              <w:top w:val="single" w:sz="34" w:space="0" w:color="FFFFFF"/>
              <w:bottom w:val="single" w:sz="34" w:space="0" w:color="FFFFFF"/>
            </w:tcBorders>
          </w:tcPr>
          <w:p>
            <w:pPr>
              <w:pStyle w:val="TableParagraph"/>
              <w:spacing w:line="290" w:lineRule="exact" w:before="85"/>
              <w:ind w:left="37"/>
              <w:rPr>
                <w:sz w:val="24"/>
              </w:rPr>
            </w:pPr>
            <w:r>
              <w:rPr>
                <w:sz w:val="24"/>
              </w:rPr>
              <w:t> </w:t>
            </w:r>
          </w:p>
        </w:tc>
      </w:tr>
      <w:tr>
        <w:trPr>
          <w:trHeight w:val="380" w:hRule="atLeast"/>
        </w:trPr>
        <w:tc>
          <w:tcPr>
            <w:tcW w:w="7089" w:type="dxa"/>
            <w:gridSpan w:val="5"/>
            <w:tcBorders>
              <w:top w:val="single" w:sz="34" w:space="0" w:color="FFFFFF"/>
              <w:bottom w:val="single" w:sz="34" w:space="0" w:color="FFFFFF"/>
            </w:tcBorders>
            <w:shd w:val="clear" w:color="auto" w:fill="FFFFFF"/>
          </w:tcPr>
          <w:p>
            <w:pPr>
              <w:pStyle w:val="TableParagraph"/>
              <w:spacing w:line="275" w:lineRule="exact" w:before="85"/>
              <w:ind w:left="37" w:right="-44"/>
              <w:rPr>
                <w:sz w:val="24"/>
              </w:rPr>
            </w:pPr>
            <w:r>
              <w:rPr>
                <w:sz w:val="24"/>
              </w:rPr>
              <w:t>    (8)施工控制性进度表，以及发包人建议的施工总进度网络图。</w:t>
            </w:r>
          </w:p>
        </w:tc>
        <w:tc>
          <w:tcPr>
            <w:tcW w:w="1426" w:type="dxa"/>
            <w:tcBorders>
              <w:top w:val="single" w:sz="34" w:space="0" w:color="FFFFFF"/>
            </w:tcBorders>
          </w:tcPr>
          <w:p>
            <w:pPr>
              <w:pStyle w:val="TableParagraph"/>
              <w:spacing w:line="275" w:lineRule="exact" w:before="85"/>
              <w:ind w:left="37"/>
              <w:rPr>
                <w:sz w:val="24"/>
              </w:rPr>
            </w:pPr>
            <w:r>
              <w:rPr>
                <w:sz w:val="24"/>
              </w:rPr>
              <w:t> </w:t>
            </w:r>
          </w:p>
        </w:tc>
      </w:tr>
    </w:tbl>
    <w:p>
      <w:pPr>
        <w:pStyle w:val="BodyText"/>
        <w:rPr>
          <w:rFonts w:ascii="黑体"/>
          <w:sz w:val="20"/>
        </w:rPr>
      </w:pPr>
    </w:p>
    <w:p>
      <w:pPr>
        <w:pStyle w:val="BodyText"/>
        <w:rPr>
          <w:rFonts w:ascii="黑体"/>
          <w:sz w:val="20"/>
        </w:rPr>
      </w:pPr>
    </w:p>
    <w:p>
      <w:pPr>
        <w:pStyle w:val="BodyText"/>
        <w:tabs>
          <w:tab w:pos="967" w:val="left" w:leader="none"/>
        </w:tabs>
        <w:spacing w:before="193"/>
        <w:ind w:left="396"/>
      </w:pPr>
      <w:r>
        <w:rPr>
          <w:sz w:val="21"/>
        </w:rPr>
        <w:t> </w:t>
      </w:r>
      <w:r>
        <w:rPr>
          <w:spacing w:val="15"/>
          <w:sz w:val="21"/>
        </w:rPr>
        <w:t> </w:t>
      </w:r>
      <w:r>
        <w:rPr>
          <w:sz w:val="21"/>
        </w:rPr>
        <w:t> </w:t>
        <w:tab/>
      </w:r>
      <w:r>
        <w:rPr>
          <w:rFonts w:ascii="Calibri" w:eastAsia="Calibri"/>
        </w:rPr>
        <w:t>2.1</w:t>
      </w:r>
      <w:r>
        <w:rPr>
          <w:rFonts w:ascii="Calibri" w:eastAsia="Calibri"/>
          <w:spacing w:val="23"/>
        </w:rPr>
        <w:t> </w:t>
      </w:r>
      <w:r>
        <w:rPr>
          <w:spacing w:val="2"/>
        </w:rPr>
        <w:t>图纸的幅面及图框尺寸，应符合《水利水电工程制图标准基础制图》</w:t>
      </w:r>
    </w:p>
    <w:p>
      <w:pPr>
        <w:pStyle w:val="BodyText"/>
        <w:spacing w:before="173"/>
        <w:ind w:left="396"/>
      </w:pPr>
      <w:r>
        <w:rPr>
          <w:rFonts w:ascii="Calibri" w:eastAsia="Calibri"/>
        </w:rPr>
        <w:t>(SL73.1-1995)</w:t>
      </w:r>
      <w:r>
        <w:rPr/>
        <w:t>等有关规定的要求。招标文件附图的幅面，推荐采用 </w:t>
      </w:r>
      <w:r>
        <w:rPr>
          <w:rFonts w:ascii="Calibri" w:eastAsia="Calibri"/>
        </w:rPr>
        <w:t>A3</w:t>
      </w:r>
      <w:r>
        <w:rPr/>
        <w:t>。</w:t>
      </w:r>
    </w:p>
    <w:p>
      <w:pPr>
        <w:pStyle w:val="BodyText"/>
        <w:spacing w:before="158"/>
        <w:ind w:left="396"/>
      </w:pPr>
      <w:r>
        <w:rPr/>
        <w:t>    </w:t>
      </w:r>
      <w:r>
        <w:rPr>
          <w:rFonts w:ascii="Calibri" w:eastAsia="Calibri"/>
        </w:rPr>
        <w:t>2.2 </w:t>
      </w:r>
      <w:r>
        <w:rPr/>
        <w:t>图纸的幅面及图框尺寸见表 </w:t>
      </w:r>
      <w:r>
        <w:rPr>
          <w:rFonts w:ascii="Calibri" w:eastAsia="Calibri"/>
        </w:rPr>
        <w:t>1 </w:t>
      </w:r>
      <w:r>
        <w:rPr/>
        <w:t>和图 </w:t>
      </w:r>
      <w:r>
        <w:rPr>
          <w:rFonts w:ascii="Calibri" w:eastAsia="Calibri"/>
        </w:rPr>
        <w:t>1</w:t>
      </w:r>
      <w:r>
        <w:rPr/>
        <w:t>。</w:t>
      </w:r>
    </w:p>
    <w:p>
      <w:pPr>
        <w:pStyle w:val="BodyText"/>
        <w:spacing w:before="158"/>
        <w:ind w:left="396"/>
      </w:pPr>
      <w:r>
        <w:rPr/>
        <w:t>    </w:t>
      </w:r>
      <w:r>
        <w:rPr>
          <w:rFonts w:ascii="Calibri" w:eastAsia="Calibri"/>
        </w:rPr>
        <w:t>2.3 </w:t>
      </w:r>
      <w:r>
        <w:rPr/>
        <w:t>图纸的加长应遵守《水利水电工程制图标准基础制图》</w:t>
      </w:r>
      <w:r>
        <w:rPr>
          <w:rFonts w:ascii="Calibri" w:eastAsia="Calibri"/>
        </w:rPr>
        <w:t>(SL73.1-1995)</w:t>
      </w:r>
      <w:r>
        <w:rPr/>
        <w:t>的规</w:t>
      </w:r>
    </w:p>
    <w:p>
      <w:pPr>
        <w:pStyle w:val="BodyText"/>
        <w:rPr>
          <w:sz w:val="20"/>
        </w:rPr>
      </w:pPr>
    </w:p>
    <w:p>
      <w:pPr>
        <w:pStyle w:val="BodyText"/>
        <w:rPr>
          <w:sz w:val="22"/>
        </w:rPr>
      </w:pPr>
    </w:p>
    <w:p>
      <w:pPr>
        <w:spacing w:before="64"/>
        <w:ind w:left="0" w:right="1282" w:firstLine="0"/>
        <w:jc w:val="center"/>
        <w:rPr>
          <w:rFonts w:ascii="Calibri"/>
          <w:sz w:val="18"/>
        </w:rPr>
      </w:pPr>
      <w:r>
        <w:rPr>
          <w:rFonts w:ascii="Calibri"/>
          <w:sz w:val="18"/>
        </w:rPr>
        <w:t>149</w:t>
      </w:r>
    </w:p>
    <w:p>
      <w:pPr>
        <w:spacing w:after="0"/>
        <w:jc w:val="center"/>
        <w:rPr>
          <w:rFonts w:ascii="Calibri"/>
          <w:sz w:val="18"/>
        </w:rPr>
        <w:sectPr>
          <w:pgSz w:w="11910" w:h="16850"/>
          <w:pgMar w:header="911" w:footer="0" w:top="1540" w:bottom="280" w:left="1300" w:right="0"/>
        </w:sectPr>
      </w:pPr>
    </w:p>
    <w:p>
      <w:pPr>
        <w:pStyle w:val="BodyText"/>
        <w:spacing w:before="135"/>
        <w:ind w:left="396"/>
      </w:pPr>
      <w:r>
        <w:rPr/>
        <w:t>定。</w:t>
      </w:r>
    </w:p>
    <w:p>
      <w:pPr>
        <w:pStyle w:val="BodyText"/>
        <w:spacing w:before="158"/>
        <w:ind w:left="396"/>
      </w:pPr>
      <w:r>
        <w:rPr/>
        <w:t>    </w:t>
      </w:r>
      <w:r>
        <w:rPr>
          <w:rFonts w:ascii="Calibri" w:eastAsia="Calibri"/>
        </w:rPr>
        <w:t>2.4 </w:t>
      </w:r>
      <w:r>
        <w:rPr/>
        <w:t>标题栏</w:t>
      </w:r>
    </w:p>
    <w:p>
      <w:pPr>
        <w:pStyle w:val="BodyText"/>
        <w:spacing w:line="362" w:lineRule="auto" w:before="158"/>
        <w:ind w:left="396" w:right="1708"/>
      </w:pPr>
      <w:r>
        <w:rPr/>
        <w:t>    标题栏设在图纸右下角，其格式和尺寸应遵守《水利水电工程制图标准基础制图》</w:t>
      </w:r>
      <w:r>
        <w:rPr>
          <w:rFonts w:ascii="Calibri" w:eastAsia="Calibri"/>
        </w:rPr>
        <w:t>(SL73.1-1995)</w:t>
      </w:r>
      <w:r>
        <w:rPr/>
        <w:t>的规定。</w:t>
      </w:r>
    </w:p>
    <w:p>
      <w:pPr>
        <w:pStyle w:val="Heading4"/>
        <w:spacing w:before="37"/>
        <w:ind w:right="1313"/>
        <w:jc w:val="center"/>
      </w:pPr>
      <w:r>
        <w:rPr/>
        <w:drawing>
          <wp:anchor distT="0" distB="0" distL="0" distR="0" allowOverlap="1" layoutInCell="1" locked="0" behindDoc="1" simplePos="0" relativeHeight="234895360">
            <wp:simplePos x="0" y="0"/>
            <wp:positionH relativeFrom="page">
              <wp:posOffset>974356</wp:posOffset>
            </wp:positionH>
            <wp:positionV relativeFrom="paragraph">
              <wp:posOffset>405898</wp:posOffset>
            </wp:positionV>
            <wp:extent cx="5580781" cy="5495925"/>
            <wp:effectExtent l="0" t="0" r="0" b="0"/>
            <wp:wrapNone/>
            <wp:docPr id="129" name="image23.png"/>
            <wp:cNvGraphicFramePr>
              <a:graphicFrameLocks noChangeAspect="1"/>
            </wp:cNvGraphicFramePr>
            <a:graphic>
              <a:graphicData uri="http://schemas.openxmlformats.org/drawingml/2006/picture">
                <pic:pic>
                  <pic:nvPicPr>
                    <pic:cNvPr id="130" name="image23.png"/>
                    <pic:cNvPicPr/>
                  </pic:nvPicPr>
                  <pic:blipFill>
                    <a:blip r:embed="rId37" cstate="print"/>
                    <a:stretch>
                      <a:fillRect/>
                    </a:stretch>
                  </pic:blipFill>
                  <pic:spPr>
                    <a:xfrm>
                      <a:off x="0" y="0"/>
                      <a:ext cx="5580781" cy="5495925"/>
                    </a:xfrm>
                    <a:prstGeom prst="rect">
                      <a:avLst/>
                    </a:prstGeom>
                  </pic:spPr>
                </pic:pic>
              </a:graphicData>
            </a:graphic>
          </wp:anchor>
        </w:drawing>
      </w:r>
      <w:r>
        <w:rPr/>
        <w:pict>
          <v:rect style="position:absolute;margin-left:476.850006pt;margin-top:27.855017pt;width:12.775pt;height:25.525pt;mso-position-horizontal-relative:page;mso-position-vertical-relative:paragraph;z-index:-268420096" filled="true" fillcolor="#ffffff" stroked="false">
            <v:fill type="solid"/>
            <w10:wrap type="none"/>
          </v:rect>
        </w:pict>
      </w:r>
      <w:r>
        <w:rPr/>
        <w:pict>
          <v:rect style="position:absolute;margin-left:462.579987pt;margin-top:59.385017pt;width:42.075pt;height:25.525pt;mso-position-horizontal-relative:page;mso-position-vertical-relative:paragraph;z-index:-268419072" filled="true" fillcolor="#ffffff" stroked="false">
            <v:fill type="solid"/>
            <w10:wrap type="none"/>
          </v:rect>
        </w:pict>
      </w:r>
      <w:r>
        <w:rPr/>
        <w:t>幅面及图框尺寸(表 1)</w:t>
      </w:r>
    </w:p>
    <w:p>
      <w:pPr>
        <w:pStyle w:val="BodyText"/>
        <w:spacing w:before="5" w:after="1"/>
        <w:rPr>
          <w:rFonts w:ascii="黑体"/>
          <w:sz w:val="8"/>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97"/>
        <w:gridCol w:w="1487"/>
        <w:gridCol w:w="1472"/>
        <w:gridCol w:w="1472"/>
        <w:gridCol w:w="1472"/>
        <w:gridCol w:w="1321"/>
      </w:tblGrid>
      <w:tr>
        <w:trPr>
          <w:trHeight w:val="630" w:hRule="atLeast"/>
        </w:trPr>
        <w:tc>
          <w:tcPr>
            <w:tcW w:w="1397" w:type="dxa"/>
          </w:tcPr>
          <w:p>
            <w:pPr>
              <w:pStyle w:val="TableParagraph"/>
              <w:spacing w:before="180"/>
              <w:ind w:left="274" w:right="228"/>
              <w:jc w:val="center"/>
              <w:rPr>
                <w:rFonts w:ascii="hakuyoxingshu7000" w:eastAsia="hakuyoxingshu7000" w:hint="eastAsia"/>
                <w:sz w:val="21"/>
              </w:rPr>
            </w:pPr>
            <w:r>
              <w:rPr>
                <w:rFonts w:ascii="hakuyoxingshu7000" w:eastAsia="hakuyoxingshu7000" w:hint="eastAsia"/>
                <w:sz w:val="21"/>
              </w:rPr>
              <w:t>幅面代号</w:t>
            </w:r>
          </w:p>
        </w:tc>
        <w:tc>
          <w:tcPr>
            <w:tcW w:w="1487" w:type="dxa"/>
          </w:tcPr>
          <w:p>
            <w:pPr>
              <w:pStyle w:val="TableParagraph"/>
              <w:spacing w:before="180"/>
              <w:ind w:left="252" w:right="232"/>
              <w:jc w:val="center"/>
              <w:rPr>
                <w:rFonts w:ascii="hakuyoxingshu7000"/>
                <w:sz w:val="21"/>
              </w:rPr>
            </w:pPr>
            <w:r>
              <w:rPr>
                <w:rFonts w:ascii="hakuyoxingshu7000"/>
                <w:w w:val="120"/>
                <w:sz w:val="21"/>
              </w:rPr>
              <w:t>A0</w:t>
            </w:r>
          </w:p>
        </w:tc>
        <w:tc>
          <w:tcPr>
            <w:tcW w:w="1472" w:type="dxa"/>
          </w:tcPr>
          <w:p>
            <w:pPr>
              <w:pStyle w:val="TableParagraph"/>
              <w:spacing w:before="180"/>
              <w:ind w:left="68" w:right="63"/>
              <w:jc w:val="center"/>
              <w:rPr>
                <w:rFonts w:ascii="hakuyoxingshu7000"/>
                <w:sz w:val="21"/>
              </w:rPr>
            </w:pPr>
            <w:r>
              <w:rPr>
                <w:rFonts w:ascii="hakuyoxingshu7000"/>
                <w:w w:val="120"/>
                <w:sz w:val="21"/>
              </w:rPr>
              <w:t>A1</w:t>
            </w:r>
          </w:p>
        </w:tc>
        <w:tc>
          <w:tcPr>
            <w:tcW w:w="1472" w:type="dxa"/>
          </w:tcPr>
          <w:p>
            <w:pPr>
              <w:pStyle w:val="TableParagraph"/>
              <w:spacing w:before="180"/>
              <w:ind w:left="68" w:right="63"/>
              <w:jc w:val="center"/>
              <w:rPr>
                <w:rFonts w:ascii="hakuyoxingshu7000"/>
                <w:sz w:val="21"/>
              </w:rPr>
            </w:pPr>
            <w:r>
              <w:rPr>
                <w:rFonts w:ascii="hakuyoxingshu7000"/>
                <w:w w:val="120"/>
                <w:sz w:val="21"/>
              </w:rPr>
              <w:t>A2</w:t>
            </w:r>
          </w:p>
        </w:tc>
        <w:tc>
          <w:tcPr>
            <w:tcW w:w="1472" w:type="dxa"/>
          </w:tcPr>
          <w:p>
            <w:pPr>
              <w:pStyle w:val="TableParagraph"/>
              <w:spacing w:before="180"/>
              <w:ind w:left="68" w:right="63"/>
              <w:jc w:val="center"/>
              <w:rPr>
                <w:rFonts w:ascii="hakuyoxingshu7000"/>
                <w:sz w:val="21"/>
              </w:rPr>
            </w:pPr>
            <w:r>
              <w:rPr>
                <w:rFonts w:ascii="hakuyoxingshu7000"/>
                <w:w w:val="120"/>
                <w:sz w:val="21"/>
              </w:rPr>
              <w:t>A3</w:t>
            </w:r>
          </w:p>
        </w:tc>
        <w:tc>
          <w:tcPr>
            <w:tcW w:w="1321" w:type="dxa"/>
          </w:tcPr>
          <w:p>
            <w:pPr>
              <w:pStyle w:val="TableParagraph"/>
              <w:spacing w:before="180"/>
              <w:ind w:left="234" w:right="199"/>
              <w:jc w:val="center"/>
              <w:rPr>
                <w:rFonts w:ascii="hakuyoxingshu7000"/>
                <w:sz w:val="21"/>
              </w:rPr>
            </w:pPr>
            <w:r>
              <w:rPr>
                <w:rFonts w:ascii="hakuyoxingshu7000"/>
                <w:w w:val="120"/>
                <w:sz w:val="21"/>
              </w:rPr>
              <w:t>A4</w:t>
            </w:r>
          </w:p>
        </w:tc>
      </w:tr>
      <w:tr>
        <w:trPr>
          <w:trHeight w:val="615" w:hRule="atLeast"/>
        </w:trPr>
        <w:tc>
          <w:tcPr>
            <w:tcW w:w="1397" w:type="dxa"/>
          </w:tcPr>
          <w:p>
            <w:pPr>
              <w:pStyle w:val="TableParagraph"/>
              <w:spacing w:before="165"/>
              <w:ind w:left="273" w:right="228"/>
              <w:jc w:val="center"/>
              <w:rPr>
                <w:rFonts w:ascii="hakuyoxingshu7000" w:hAnsi="hakuyoxingshu7000"/>
                <w:sz w:val="21"/>
              </w:rPr>
            </w:pPr>
            <w:r>
              <w:rPr>
                <w:rFonts w:ascii="hakuyoxingshu7000" w:hAnsi="hakuyoxingshu7000"/>
                <w:spacing w:val="-6"/>
                <w:w w:val="133"/>
                <w:sz w:val="21"/>
              </w:rPr>
              <w:t>B</w:t>
            </w:r>
            <w:r>
              <w:rPr>
                <w:rFonts w:ascii="hakuyoxingshu7000" w:hAnsi="hakuyoxingshu7000"/>
                <w:spacing w:val="-3"/>
                <w:w w:val="116"/>
                <w:sz w:val="21"/>
              </w:rPr>
              <w:t>×</w:t>
            </w:r>
            <w:r>
              <w:rPr>
                <w:rFonts w:ascii="hakuyoxingshu7000" w:hAnsi="hakuyoxingshu7000"/>
                <w:spacing w:val="2"/>
                <w:w w:val="111"/>
                <w:sz w:val="21"/>
              </w:rPr>
              <w:t>L</w:t>
            </w:r>
            <w:r>
              <w:rPr>
                <w:rFonts w:ascii="hakuyoxingshu7000" w:hAnsi="hakuyoxingshu7000"/>
                <w:spacing w:val="4"/>
                <w:w w:val="66"/>
                <w:sz w:val="21"/>
              </w:rPr>
              <w:t>(</w:t>
            </w:r>
            <w:r>
              <w:rPr>
                <w:rFonts w:ascii="hakuyoxingshu7000" w:hAnsi="hakuyoxingshu7000"/>
                <w:spacing w:val="-9"/>
                <w:w w:val="166"/>
                <w:sz w:val="21"/>
              </w:rPr>
              <w:t>m</w:t>
            </w:r>
            <w:r>
              <w:rPr>
                <w:rFonts w:ascii="hakuyoxingshu7000" w:hAnsi="hakuyoxingshu7000"/>
                <w:spacing w:val="-10"/>
                <w:w w:val="116"/>
                <w:sz w:val="21"/>
              </w:rPr>
              <w:t>m)</w:t>
            </w:r>
          </w:p>
        </w:tc>
        <w:tc>
          <w:tcPr>
            <w:tcW w:w="1487" w:type="dxa"/>
          </w:tcPr>
          <w:p>
            <w:pPr>
              <w:pStyle w:val="TableParagraph"/>
              <w:spacing w:before="165"/>
              <w:ind w:left="276" w:right="232"/>
              <w:jc w:val="center"/>
              <w:rPr>
                <w:rFonts w:ascii="hakuyoxingshu7000" w:hAnsi="hakuyoxingshu7000"/>
                <w:sz w:val="21"/>
              </w:rPr>
            </w:pPr>
            <w:r>
              <w:rPr>
                <w:rFonts w:ascii="hakuyoxingshu7000" w:hAnsi="hakuyoxingshu7000"/>
                <w:w w:val="110"/>
                <w:sz w:val="21"/>
              </w:rPr>
              <w:t>841×1189</w:t>
            </w:r>
          </w:p>
        </w:tc>
        <w:tc>
          <w:tcPr>
            <w:tcW w:w="1472" w:type="dxa"/>
          </w:tcPr>
          <w:p>
            <w:pPr>
              <w:pStyle w:val="TableParagraph"/>
              <w:spacing w:before="165"/>
              <w:ind w:left="92" w:right="63"/>
              <w:jc w:val="center"/>
              <w:rPr>
                <w:rFonts w:ascii="hakuyoxingshu7000" w:hAnsi="hakuyoxingshu7000"/>
                <w:sz w:val="21"/>
              </w:rPr>
            </w:pPr>
            <w:r>
              <w:rPr>
                <w:rFonts w:ascii="hakuyoxingshu7000" w:hAnsi="hakuyoxingshu7000"/>
                <w:w w:val="110"/>
                <w:sz w:val="21"/>
              </w:rPr>
              <w:t>594×841</w:t>
            </w:r>
          </w:p>
        </w:tc>
        <w:tc>
          <w:tcPr>
            <w:tcW w:w="1472" w:type="dxa"/>
          </w:tcPr>
          <w:p>
            <w:pPr>
              <w:pStyle w:val="TableParagraph"/>
              <w:spacing w:before="165"/>
              <w:ind w:left="91" w:right="63"/>
              <w:jc w:val="center"/>
              <w:rPr>
                <w:rFonts w:ascii="hakuyoxingshu7000" w:hAnsi="hakuyoxingshu7000"/>
                <w:sz w:val="21"/>
              </w:rPr>
            </w:pPr>
            <w:r>
              <w:rPr>
                <w:rFonts w:ascii="hakuyoxingshu7000" w:hAnsi="hakuyoxingshu7000"/>
                <w:w w:val="110"/>
                <w:sz w:val="21"/>
              </w:rPr>
              <w:t>420×594</w:t>
            </w:r>
          </w:p>
        </w:tc>
        <w:tc>
          <w:tcPr>
            <w:tcW w:w="1472" w:type="dxa"/>
          </w:tcPr>
          <w:p>
            <w:pPr>
              <w:pStyle w:val="TableParagraph"/>
              <w:spacing w:before="165"/>
              <w:ind w:left="322"/>
              <w:rPr>
                <w:rFonts w:ascii="hakuyoxingshu7000" w:hAnsi="hakuyoxingshu7000"/>
                <w:sz w:val="21"/>
              </w:rPr>
            </w:pPr>
            <w:r>
              <w:rPr>
                <w:rFonts w:ascii="hakuyoxingshu7000" w:hAnsi="hakuyoxingshu7000"/>
                <w:w w:val="110"/>
                <w:sz w:val="21"/>
              </w:rPr>
              <w:t>297×420</w:t>
            </w:r>
          </w:p>
        </w:tc>
        <w:tc>
          <w:tcPr>
            <w:tcW w:w="1321" w:type="dxa"/>
          </w:tcPr>
          <w:p>
            <w:pPr>
              <w:pStyle w:val="TableParagraph"/>
              <w:spacing w:before="165"/>
              <w:ind w:left="258" w:right="199"/>
              <w:jc w:val="center"/>
              <w:rPr>
                <w:rFonts w:ascii="hakuyoxingshu7000" w:hAnsi="hakuyoxingshu7000"/>
                <w:sz w:val="21"/>
              </w:rPr>
            </w:pPr>
            <w:r>
              <w:rPr>
                <w:rFonts w:ascii="hakuyoxingshu7000" w:hAnsi="hakuyoxingshu7000"/>
                <w:w w:val="110"/>
                <w:sz w:val="21"/>
              </w:rPr>
              <w:t>210×297</w:t>
            </w:r>
          </w:p>
        </w:tc>
      </w:tr>
      <w:tr>
        <w:trPr>
          <w:trHeight w:val="613" w:hRule="atLeast"/>
        </w:trPr>
        <w:tc>
          <w:tcPr>
            <w:tcW w:w="1397" w:type="dxa"/>
            <w:tcBorders>
              <w:bottom w:val="single" w:sz="8" w:space="0" w:color="000000"/>
            </w:tcBorders>
          </w:tcPr>
          <w:p>
            <w:pPr>
              <w:pStyle w:val="TableParagraph"/>
              <w:spacing w:before="165"/>
              <w:ind w:left="274" w:right="221"/>
              <w:jc w:val="center"/>
              <w:rPr>
                <w:rFonts w:ascii="hakuyoxingshu7000"/>
                <w:sz w:val="21"/>
              </w:rPr>
            </w:pPr>
            <w:r>
              <w:rPr>
                <w:rFonts w:ascii="hakuyoxingshu7000"/>
                <w:w w:val="83"/>
                <w:sz w:val="21"/>
              </w:rPr>
              <w:t>c</w:t>
            </w:r>
            <w:r>
              <w:rPr>
                <w:rFonts w:ascii="hakuyoxingshu7000"/>
                <w:spacing w:val="4"/>
                <w:w w:val="83"/>
                <w:sz w:val="21"/>
              </w:rPr>
              <w:t>(</w:t>
            </w:r>
            <w:r>
              <w:rPr>
                <w:rFonts w:ascii="hakuyoxingshu7000"/>
                <w:spacing w:val="-10"/>
                <w:w w:val="166"/>
                <w:sz w:val="21"/>
              </w:rPr>
              <w:t>mm</w:t>
            </w:r>
            <w:r>
              <w:rPr>
                <w:rFonts w:ascii="hakuyoxingshu7000"/>
                <w:w w:val="66"/>
                <w:sz w:val="21"/>
              </w:rPr>
              <w:t>)</w:t>
            </w:r>
          </w:p>
        </w:tc>
        <w:tc>
          <w:tcPr>
            <w:tcW w:w="4431" w:type="dxa"/>
            <w:gridSpan w:val="3"/>
            <w:tcBorders>
              <w:bottom w:val="single" w:sz="8" w:space="0" w:color="000000"/>
            </w:tcBorders>
          </w:tcPr>
          <w:p>
            <w:pPr>
              <w:pStyle w:val="TableParagraph"/>
              <w:spacing w:before="165"/>
              <w:ind w:left="2094" w:right="2050"/>
              <w:jc w:val="center"/>
              <w:rPr>
                <w:rFonts w:ascii="hakuyoxingshu7000"/>
                <w:sz w:val="21"/>
              </w:rPr>
            </w:pPr>
            <w:r>
              <w:rPr>
                <w:rFonts w:ascii="hakuyoxingshu7000"/>
                <w:w w:val="110"/>
                <w:sz w:val="21"/>
              </w:rPr>
              <w:t>10</w:t>
            </w:r>
          </w:p>
        </w:tc>
        <w:tc>
          <w:tcPr>
            <w:tcW w:w="1472" w:type="dxa"/>
            <w:tcBorders>
              <w:bottom w:val="single" w:sz="8" w:space="0" w:color="000000"/>
              <w:right w:val="single" w:sz="48" w:space="0" w:color="FFFFFF"/>
            </w:tcBorders>
          </w:tcPr>
          <w:p>
            <w:pPr>
              <w:pStyle w:val="TableParagraph"/>
              <w:spacing w:before="165"/>
              <w:ind w:right="-58"/>
              <w:jc w:val="right"/>
              <w:rPr>
                <w:rFonts w:ascii="hakuyoxingshu7000"/>
                <w:sz w:val="21"/>
              </w:rPr>
            </w:pPr>
            <w:r>
              <w:rPr>
                <w:rFonts w:ascii="hakuyoxingshu7000"/>
                <w:w w:val="111"/>
                <w:sz w:val="21"/>
              </w:rPr>
              <w:t>5</w:t>
            </w:r>
          </w:p>
        </w:tc>
        <w:tc>
          <w:tcPr>
            <w:tcW w:w="1321" w:type="dxa"/>
            <w:tcBorders>
              <w:left w:val="single" w:sz="48" w:space="0" w:color="FFFFFF"/>
              <w:bottom w:val="single" w:sz="8" w:space="0" w:color="000000"/>
            </w:tcBorders>
          </w:tcPr>
          <w:p>
            <w:pPr>
              <w:pStyle w:val="TableParagraph"/>
              <w:rPr>
                <w:rFonts w:ascii="Times New Roman"/>
                <w:sz w:val="22"/>
              </w:rPr>
            </w:pPr>
          </w:p>
        </w:tc>
      </w:tr>
      <w:tr>
        <w:trPr>
          <w:trHeight w:val="613" w:hRule="atLeast"/>
        </w:trPr>
        <w:tc>
          <w:tcPr>
            <w:tcW w:w="1397" w:type="dxa"/>
            <w:tcBorders>
              <w:top w:val="single" w:sz="8" w:space="0" w:color="000000"/>
            </w:tcBorders>
          </w:tcPr>
          <w:p>
            <w:pPr>
              <w:pStyle w:val="TableParagraph"/>
              <w:spacing w:before="177"/>
              <w:ind w:left="266" w:right="228"/>
              <w:jc w:val="center"/>
              <w:rPr>
                <w:rFonts w:ascii="hakuyoxingshu7000"/>
                <w:sz w:val="21"/>
              </w:rPr>
            </w:pPr>
            <w:r>
              <w:rPr>
                <w:rFonts w:ascii="hakuyoxingshu7000"/>
                <w:spacing w:val="2"/>
                <w:w w:val="111"/>
                <w:sz w:val="21"/>
              </w:rPr>
              <w:t>a</w:t>
            </w:r>
            <w:r>
              <w:rPr>
                <w:rFonts w:ascii="hakuyoxingshu7000"/>
                <w:spacing w:val="4"/>
                <w:w w:val="66"/>
                <w:sz w:val="21"/>
              </w:rPr>
              <w:t>(</w:t>
            </w:r>
            <w:r>
              <w:rPr>
                <w:rFonts w:ascii="hakuyoxingshu7000"/>
                <w:spacing w:val="-10"/>
                <w:w w:val="166"/>
                <w:sz w:val="21"/>
              </w:rPr>
              <w:t>mm</w:t>
            </w:r>
            <w:r>
              <w:rPr>
                <w:rFonts w:ascii="hakuyoxingshu7000"/>
                <w:w w:val="66"/>
                <w:sz w:val="21"/>
              </w:rPr>
              <w:t>)</w:t>
            </w:r>
          </w:p>
        </w:tc>
        <w:tc>
          <w:tcPr>
            <w:tcW w:w="7224" w:type="dxa"/>
            <w:gridSpan w:val="5"/>
            <w:tcBorders>
              <w:top w:val="single" w:sz="8" w:space="0" w:color="000000"/>
            </w:tcBorders>
          </w:tcPr>
          <w:p>
            <w:pPr>
              <w:pStyle w:val="TableParagraph"/>
              <w:spacing w:before="177"/>
              <w:ind w:left="3491" w:right="3447"/>
              <w:jc w:val="center"/>
              <w:rPr>
                <w:rFonts w:ascii="hakuyoxingshu7000"/>
                <w:sz w:val="21"/>
              </w:rPr>
            </w:pPr>
            <w:r>
              <w:rPr>
                <w:rFonts w:ascii="hakuyoxingshu7000"/>
                <w:w w:val="110"/>
                <w:sz w:val="21"/>
              </w:rPr>
              <w:t>25</w:t>
            </w:r>
          </w:p>
        </w:tc>
      </w:tr>
    </w:tbl>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rPr>
          <w:rFonts w:ascii="黑体"/>
          <w:sz w:val="32"/>
        </w:rPr>
      </w:pPr>
    </w:p>
    <w:p>
      <w:pPr>
        <w:pStyle w:val="BodyText"/>
        <w:spacing w:before="11"/>
        <w:rPr>
          <w:rFonts w:ascii="黑体"/>
          <w:sz w:val="39"/>
        </w:rPr>
      </w:pPr>
    </w:p>
    <w:p>
      <w:pPr>
        <w:spacing w:before="1"/>
        <w:ind w:left="0" w:right="1282" w:firstLine="0"/>
        <w:jc w:val="center"/>
        <w:rPr>
          <w:rFonts w:ascii="Calibri"/>
          <w:sz w:val="18"/>
        </w:rPr>
      </w:pPr>
      <w:r>
        <w:rPr>
          <w:rFonts w:ascii="Calibri"/>
          <w:sz w:val="18"/>
        </w:rPr>
        <w:t>150</w:t>
      </w:r>
    </w:p>
    <w:p>
      <w:pPr>
        <w:spacing w:after="0"/>
        <w:jc w:val="center"/>
        <w:rPr>
          <w:rFonts w:ascii="Calibri"/>
          <w:sz w:val="18"/>
        </w:rPr>
        <w:sectPr>
          <w:pgSz w:w="11910" w:h="16850"/>
          <w:pgMar w:header="911" w:footer="0" w:top="1540" w:bottom="280" w:left="130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2"/>
        <w:rPr>
          <w:rFonts w:ascii="Calibri"/>
          <w:sz w:val="18"/>
        </w:rPr>
      </w:pPr>
    </w:p>
    <w:p>
      <w:pPr>
        <w:spacing w:before="0"/>
        <w:ind w:left="0" w:right="1297" w:firstLine="0"/>
        <w:jc w:val="center"/>
        <w:rPr>
          <w:sz w:val="21"/>
        </w:rPr>
      </w:pPr>
      <w:r>
        <w:rPr/>
        <w:pict>
          <v:group style="position:absolute;margin-left:76.721001pt;margin-top:-480.115784pt;width:464.4pt;height:557.3pt;mso-position-horizontal-relative:page;mso-position-vertical-relative:paragraph;z-index:-268418048" coordorigin="1534,-9602" coordsize="9288,11146">
            <v:shape style="position:absolute;left:1534;top:-7110;width:8786;height:8653" type="#_x0000_t75" stroked="false">
              <v:imagedata r:id="rId37" o:title=""/>
            </v:shape>
            <v:shape style="position:absolute;left:1702;top:-9603;width:9120;height:9180" type="#_x0000_t75" stroked="false">
              <v:imagedata r:id="rId38" o:title=""/>
            </v:shape>
            <w10:wrap type="none"/>
          </v:group>
        </w:pict>
      </w:r>
      <w:r>
        <w:rPr>
          <w:sz w:val="21"/>
        </w:rPr>
        <w:t>图 </w:t>
      </w:r>
      <w:r>
        <w:rPr>
          <w:rFonts w:ascii="Calibri" w:eastAsia="Calibri"/>
          <w:sz w:val="21"/>
        </w:rPr>
        <w:t>1 </w:t>
      </w:r>
      <w:r>
        <w:rPr>
          <w:sz w:val="21"/>
        </w:rPr>
        <w:t>图框</w:t>
      </w:r>
    </w:p>
    <w:p>
      <w:pPr>
        <w:pStyle w:val="BodyText"/>
        <w:rPr>
          <w:sz w:val="20"/>
        </w:rPr>
      </w:pPr>
    </w:p>
    <w:p>
      <w:pPr>
        <w:pStyle w:val="Heading7"/>
        <w:tabs>
          <w:tab w:pos="817" w:val="left" w:leader="none"/>
        </w:tabs>
        <w:spacing w:before="201"/>
        <w:ind w:left="396"/>
        <w:rPr>
          <w:rFonts w:ascii="黑体" w:eastAsia="黑体" w:hint="eastAsia"/>
        </w:rPr>
      </w:pPr>
      <w:r>
        <w:rPr/>
        <w:pict>
          <v:rect style="position:absolute;margin-left:108.900002pt;margin-top:36.054996pt;width:21.025pt;height:24.775pt;mso-position-horizontal-relative:page;mso-position-vertical-relative:paragraph;z-index:-268417024" filled="true" fillcolor="#ffffff" stroked="false">
            <v:fill type="solid"/>
            <w10:wrap type="none"/>
          </v:rect>
        </w:pict>
      </w:r>
      <w:r>
        <w:rPr>
          <w:rFonts w:ascii="黑体" w:eastAsia="黑体" w:hint="eastAsia"/>
          <w:shd w:fill="FFFFFF" w:color="auto" w:val="clear"/>
        </w:rPr>
        <w:t>3</w:t>
        <w:tab/>
      </w:r>
      <w:r>
        <w:rPr>
          <w:rFonts w:ascii="黑体" w:eastAsia="黑体" w:hint="eastAsia"/>
          <w:spacing w:val="1"/>
          <w:shd w:fill="FFFFFF" w:color="auto" w:val="clear"/>
        </w:rPr>
        <w:t>招标图纸目录</w:t>
      </w:r>
    </w:p>
    <w:p>
      <w:pPr>
        <w:pStyle w:val="BodyText"/>
        <w:spacing w:before="5"/>
        <w:rPr>
          <w:rFonts w:ascii="黑体"/>
          <w:sz w:val="11"/>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82"/>
        <w:gridCol w:w="1472"/>
        <w:gridCol w:w="1487"/>
        <w:gridCol w:w="1472"/>
        <w:gridCol w:w="1487"/>
        <w:gridCol w:w="1321"/>
      </w:tblGrid>
      <w:tr>
        <w:trPr>
          <w:trHeight w:val="615" w:hRule="atLeast"/>
        </w:trPr>
        <w:tc>
          <w:tcPr>
            <w:tcW w:w="1382" w:type="dxa"/>
          </w:tcPr>
          <w:p>
            <w:pPr>
              <w:pStyle w:val="TableParagraph"/>
              <w:spacing w:before="180"/>
              <w:ind w:left="244" w:right="213"/>
              <w:jc w:val="center"/>
              <w:rPr>
                <w:rFonts w:ascii="hakuyoxingshu7000" w:eastAsia="hakuyoxingshu7000" w:hint="eastAsia"/>
                <w:sz w:val="21"/>
              </w:rPr>
            </w:pPr>
            <w:r>
              <w:rPr>
                <w:rFonts w:ascii="hakuyoxingshu7000" w:eastAsia="hakuyoxingshu7000" w:hint="eastAsia"/>
                <w:sz w:val="21"/>
              </w:rPr>
              <w:t>序号</w:t>
            </w:r>
          </w:p>
        </w:tc>
        <w:tc>
          <w:tcPr>
            <w:tcW w:w="1472" w:type="dxa"/>
          </w:tcPr>
          <w:p>
            <w:pPr>
              <w:pStyle w:val="TableParagraph"/>
              <w:spacing w:before="180"/>
              <w:ind w:left="93" w:right="63"/>
              <w:jc w:val="center"/>
              <w:rPr>
                <w:rFonts w:ascii="hakuyoxingshu7000" w:eastAsia="hakuyoxingshu7000" w:hint="eastAsia"/>
                <w:sz w:val="21"/>
              </w:rPr>
            </w:pPr>
            <w:r>
              <w:rPr>
                <w:rFonts w:ascii="hakuyoxingshu7000" w:eastAsia="hakuyoxingshu7000" w:hint="eastAsia"/>
                <w:sz w:val="21"/>
              </w:rPr>
              <w:t>图名</w:t>
            </w:r>
          </w:p>
        </w:tc>
        <w:tc>
          <w:tcPr>
            <w:tcW w:w="1487" w:type="dxa"/>
          </w:tcPr>
          <w:p>
            <w:pPr>
              <w:pStyle w:val="TableParagraph"/>
              <w:spacing w:before="180"/>
              <w:ind w:left="276" w:right="231"/>
              <w:jc w:val="center"/>
              <w:rPr>
                <w:rFonts w:ascii="hakuyoxingshu7000" w:eastAsia="hakuyoxingshu7000" w:hint="eastAsia"/>
                <w:sz w:val="21"/>
              </w:rPr>
            </w:pPr>
            <w:r>
              <w:rPr>
                <w:rFonts w:ascii="hakuyoxingshu7000" w:eastAsia="hakuyoxingshu7000" w:hint="eastAsia"/>
                <w:sz w:val="21"/>
              </w:rPr>
              <w:t>图号</w:t>
            </w:r>
          </w:p>
        </w:tc>
        <w:tc>
          <w:tcPr>
            <w:tcW w:w="1472" w:type="dxa"/>
          </w:tcPr>
          <w:p>
            <w:pPr>
              <w:pStyle w:val="TableParagraph"/>
              <w:spacing w:before="180"/>
              <w:ind w:left="92" w:right="63"/>
              <w:jc w:val="center"/>
              <w:rPr>
                <w:rFonts w:ascii="hakuyoxingshu7000" w:eastAsia="hakuyoxingshu7000" w:hint="eastAsia"/>
                <w:sz w:val="21"/>
              </w:rPr>
            </w:pPr>
            <w:r>
              <w:rPr>
                <w:rFonts w:ascii="hakuyoxingshu7000" w:eastAsia="hakuyoxingshu7000" w:hint="eastAsia"/>
                <w:sz w:val="21"/>
              </w:rPr>
              <w:t>版本</w:t>
            </w:r>
          </w:p>
        </w:tc>
        <w:tc>
          <w:tcPr>
            <w:tcW w:w="1487" w:type="dxa"/>
          </w:tcPr>
          <w:p>
            <w:pPr>
              <w:pStyle w:val="TableParagraph"/>
              <w:spacing w:before="180"/>
              <w:ind w:left="337"/>
              <w:rPr>
                <w:rFonts w:ascii="hakuyoxingshu7000" w:eastAsia="hakuyoxingshu7000" w:hint="eastAsia"/>
                <w:sz w:val="21"/>
              </w:rPr>
            </w:pPr>
            <w:r>
              <w:rPr>
                <w:rFonts w:ascii="hakuyoxingshu7000" w:eastAsia="hakuyoxingshu7000" w:hint="eastAsia"/>
                <w:sz w:val="21"/>
              </w:rPr>
              <w:t>出图日期</w:t>
            </w:r>
          </w:p>
        </w:tc>
        <w:tc>
          <w:tcPr>
            <w:tcW w:w="1321" w:type="dxa"/>
          </w:tcPr>
          <w:p>
            <w:pPr>
              <w:pStyle w:val="TableParagraph"/>
              <w:spacing w:before="180"/>
              <w:ind w:left="457"/>
              <w:rPr>
                <w:rFonts w:ascii="hakuyoxingshu7000" w:eastAsia="hakuyoxingshu7000" w:hint="eastAsia"/>
                <w:sz w:val="21"/>
              </w:rPr>
            </w:pPr>
            <w:r>
              <w:rPr>
                <w:rFonts w:ascii="hakuyoxingshu7000" w:eastAsia="hakuyoxingshu7000" w:hint="eastAsia"/>
                <w:sz w:val="21"/>
              </w:rPr>
              <w:t>备注</w:t>
            </w:r>
          </w:p>
        </w:tc>
      </w:tr>
      <w:tr>
        <w:trPr>
          <w:trHeight w:val="615" w:hRule="atLeast"/>
        </w:trPr>
        <w:tc>
          <w:tcPr>
            <w:tcW w:w="1382" w:type="dxa"/>
          </w:tcPr>
          <w:p>
            <w:pPr>
              <w:pStyle w:val="TableParagraph"/>
              <w:rPr>
                <w:rFonts w:ascii="Times New Roman"/>
                <w:sz w:val="22"/>
              </w:rPr>
            </w:pPr>
          </w:p>
        </w:tc>
        <w:tc>
          <w:tcPr>
            <w:tcW w:w="1472" w:type="dxa"/>
          </w:tcPr>
          <w:p>
            <w:pPr>
              <w:pStyle w:val="TableParagraph"/>
              <w:rPr>
                <w:rFonts w:ascii="Times New Roman"/>
                <w:sz w:val="22"/>
              </w:rPr>
            </w:pPr>
          </w:p>
        </w:tc>
        <w:tc>
          <w:tcPr>
            <w:tcW w:w="1487" w:type="dxa"/>
          </w:tcPr>
          <w:p>
            <w:pPr>
              <w:pStyle w:val="TableParagraph"/>
              <w:rPr>
                <w:rFonts w:ascii="Times New Roman"/>
                <w:sz w:val="22"/>
              </w:rPr>
            </w:pPr>
          </w:p>
        </w:tc>
        <w:tc>
          <w:tcPr>
            <w:tcW w:w="1472" w:type="dxa"/>
          </w:tcPr>
          <w:p>
            <w:pPr>
              <w:pStyle w:val="TableParagraph"/>
              <w:rPr>
                <w:rFonts w:ascii="Times New Roman"/>
                <w:sz w:val="22"/>
              </w:rPr>
            </w:pPr>
          </w:p>
        </w:tc>
        <w:tc>
          <w:tcPr>
            <w:tcW w:w="1487" w:type="dxa"/>
          </w:tcPr>
          <w:p>
            <w:pPr>
              <w:pStyle w:val="TableParagraph"/>
              <w:rPr>
                <w:rFonts w:ascii="Times New Roman"/>
                <w:sz w:val="22"/>
              </w:rPr>
            </w:pPr>
          </w:p>
        </w:tc>
        <w:tc>
          <w:tcPr>
            <w:tcW w:w="1321" w:type="dxa"/>
          </w:tcPr>
          <w:p>
            <w:pPr>
              <w:pStyle w:val="TableParagraph"/>
              <w:rPr>
                <w:rFonts w:ascii="Times New Roman"/>
                <w:sz w:val="22"/>
              </w:rPr>
            </w:pPr>
          </w:p>
        </w:tc>
      </w:tr>
      <w:tr>
        <w:trPr>
          <w:trHeight w:val="615" w:hRule="atLeast"/>
        </w:trPr>
        <w:tc>
          <w:tcPr>
            <w:tcW w:w="1382" w:type="dxa"/>
          </w:tcPr>
          <w:p>
            <w:pPr>
              <w:pStyle w:val="TableParagraph"/>
              <w:rPr>
                <w:rFonts w:ascii="Times New Roman"/>
                <w:sz w:val="22"/>
              </w:rPr>
            </w:pPr>
          </w:p>
        </w:tc>
        <w:tc>
          <w:tcPr>
            <w:tcW w:w="1472" w:type="dxa"/>
          </w:tcPr>
          <w:p>
            <w:pPr>
              <w:pStyle w:val="TableParagraph"/>
              <w:rPr>
                <w:rFonts w:ascii="Times New Roman"/>
                <w:sz w:val="22"/>
              </w:rPr>
            </w:pPr>
          </w:p>
        </w:tc>
        <w:tc>
          <w:tcPr>
            <w:tcW w:w="1487" w:type="dxa"/>
          </w:tcPr>
          <w:p>
            <w:pPr>
              <w:pStyle w:val="TableParagraph"/>
              <w:rPr>
                <w:rFonts w:ascii="Times New Roman"/>
                <w:sz w:val="22"/>
              </w:rPr>
            </w:pPr>
          </w:p>
        </w:tc>
        <w:tc>
          <w:tcPr>
            <w:tcW w:w="1472" w:type="dxa"/>
          </w:tcPr>
          <w:p>
            <w:pPr>
              <w:pStyle w:val="TableParagraph"/>
              <w:rPr>
                <w:rFonts w:ascii="Times New Roman"/>
                <w:sz w:val="22"/>
              </w:rPr>
            </w:pPr>
          </w:p>
        </w:tc>
        <w:tc>
          <w:tcPr>
            <w:tcW w:w="1487" w:type="dxa"/>
          </w:tcPr>
          <w:p>
            <w:pPr>
              <w:pStyle w:val="TableParagraph"/>
              <w:rPr>
                <w:rFonts w:ascii="Times New Roman"/>
                <w:sz w:val="22"/>
              </w:rPr>
            </w:pPr>
          </w:p>
        </w:tc>
        <w:tc>
          <w:tcPr>
            <w:tcW w:w="1321" w:type="dxa"/>
          </w:tcPr>
          <w:p>
            <w:pPr>
              <w:pStyle w:val="TableParagraph"/>
              <w:rPr>
                <w:rFonts w:ascii="Times New Roman"/>
                <w:sz w:val="22"/>
              </w:rPr>
            </w:pPr>
          </w:p>
        </w:tc>
      </w:tr>
    </w:tbl>
    <w:p>
      <w:pPr>
        <w:spacing w:before="15"/>
        <w:ind w:left="396" w:right="0" w:firstLine="0"/>
        <w:jc w:val="left"/>
        <w:rPr>
          <w:sz w:val="21"/>
        </w:rPr>
      </w:pPr>
      <w:r>
        <w:rPr>
          <w:sz w:val="21"/>
        </w:rPr>
        <w:t>    注：招标图纸另册。</w:t>
      </w:r>
    </w:p>
    <w:p>
      <w:pPr>
        <w:pStyle w:val="BodyText"/>
        <w:rPr>
          <w:sz w:val="20"/>
        </w:rPr>
      </w:pPr>
    </w:p>
    <w:p>
      <w:pPr>
        <w:pStyle w:val="BodyText"/>
        <w:rPr>
          <w:sz w:val="20"/>
        </w:rPr>
      </w:pPr>
    </w:p>
    <w:p>
      <w:pPr>
        <w:pStyle w:val="BodyText"/>
        <w:rPr>
          <w:sz w:val="20"/>
        </w:rPr>
      </w:pPr>
    </w:p>
    <w:p>
      <w:pPr>
        <w:pStyle w:val="BodyText"/>
        <w:spacing w:before="8"/>
        <w:rPr>
          <w:sz w:val="16"/>
        </w:rPr>
      </w:pPr>
    </w:p>
    <w:p>
      <w:pPr>
        <w:spacing w:before="64"/>
        <w:ind w:left="0" w:right="1282" w:firstLine="0"/>
        <w:jc w:val="center"/>
        <w:rPr>
          <w:rFonts w:ascii="Calibri"/>
          <w:sz w:val="18"/>
        </w:rPr>
      </w:pPr>
      <w:r>
        <w:rPr>
          <w:rFonts w:ascii="Calibri"/>
          <w:sz w:val="18"/>
        </w:rPr>
        <w:t>151</w:t>
      </w:r>
    </w:p>
    <w:p>
      <w:pPr>
        <w:spacing w:after="0"/>
        <w:jc w:val="center"/>
        <w:rPr>
          <w:rFonts w:ascii="Calibri"/>
          <w:sz w:val="18"/>
        </w:rPr>
        <w:sectPr>
          <w:pgSz w:w="11910" w:h="16850"/>
          <w:pgMar w:header="911" w:footer="0" w:top="1540" w:bottom="280" w:left="1300" w:right="0"/>
        </w:sectPr>
      </w:pPr>
    </w:p>
    <w:p>
      <w:pPr>
        <w:pStyle w:val="BodyText"/>
        <w:rPr>
          <w:rFonts w:ascii="Calibri"/>
          <w:sz w:val="20"/>
        </w:rPr>
      </w:pPr>
    </w:p>
    <w:p>
      <w:pPr>
        <w:pStyle w:val="BodyText"/>
        <w:spacing w:before="11"/>
        <w:rPr>
          <w:rFonts w:ascii="Calibri"/>
          <w:sz w:val="20"/>
        </w:rPr>
      </w:pPr>
    </w:p>
    <w:p>
      <w:pPr>
        <w:pStyle w:val="Heading1"/>
      </w:pPr>
      <w:bookmarkStart w:name="第三卷" w:id="163"/>
      <w:bookmarkEnd w:id="163"/>
      <w:r>
        <w:rPr/>
      </w:r>
      <w:bookmarkStart w:name="_bookmark33" w:id="164"/>
      <w:bookmarkEnd w:id="164"/>
      <w:r>
        <w:rPr/>
      </w:r>
      <w:r>
        <w:rPr/>
        <w:t>第三卷</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
        <w:rPr>
          <w:rFonts w:ascii="黑体"/>
          <w:sz w:val="29"/>
        </w:rPr>
      </w:pPr>
      <w:r>
        <w:rPr/>
        <w:pict>
          <v:group style="position:absolute;margin-left:76.721001pt;margin-top:20.597343pt;width:439.3pt;height:432.65pt;mso-position-horizontal-relative:page;mso-position-vertical-relative:paragraph;z-index:-251383808;mso-wrap-distance-left:0;mso-wrap-distance-right:0" coordorigin="1534,412" coordsize="8786,8653">
            <v:shape style="position:absolute;left:1534;top:411;width:8786;height:8653" type="#_x0000_t75" stroked="false">
              <v:imagedata r:id="rId37" o:title=""/>
            </v:shape>
            <v:shape style="position:absolute;left:1697;top:1118;width:4886;height:270" type="#_x0000_t202" filled="false" stroked="false">
              <v:textbox inset="0,0,0,0">
                <w:txbxContent>
                  <w:p>
                    <w:pPr>
                      <w:tabs>
                        <w:tab w:pos="1081" w:val="left" w:leader="none"/>
                      </w:tabs>
                      <w:spacing w:line="270" w:lineRule="exact" w:before="0"/>
                      <w:ind w:left="0" w:right="0" w:firstLine="0"/>
                      <w:jc w:val="left"/>
                      <w:rPr>
                        <w:rFonts w:ascii="黑体" w:eastAsia="黑体" w:hint="eastAsia"/>
                        <w:sz w:val="27"/>
                      </w:rPr>
                    </w:pPr>
                    <w:bookmarkStart w:name="第七章　技术标准和要求(合同技术条款)" w:id="165"/>
                    <w:bookmarkEnd w:id="165"/>
                    <w:r>
                      <w:rPr/>
                    </w:r>
                    <w:bookmarkStart w:name="_bookmark34" w:id="166"/>
                    <w:bookmarkEnd w:id="166"/>
                    <w:r>
                      <w:rPr/>
                    </w:r>
                    <w:r>
                      <w:rPr>
                        <w:rFonts w:ascii="黑体" w:eastAsia="黑体" w:hint="eastAsia"/>
                        <w:sz w:val="27"/>
                      </w:rPr>
                      <w:t>第七章</w:t>
                      <w:tab/>
                      <w:t>技术标准和要求(合同技术条款)</w:t>
                    </w:r>
                  </w:p>
                </w:txbxContent>
              </v:textbox>
              <w10:wrap type="none"/>
            </v:shape>
            <v:shape style="position:absolute;left:1697;top:1976;width:8551;height:916" type="#_x0000_t202" filled="false" stroked="false">
              <v:textbox inset="0,0,0,0">
                <w:txbxContent>
                  <w:p>
                    <w:pPr>
                      <w:spacing w:line="324" w:lineRule="exact" w:before="0"/>
                      <w:ind w:left="199" w:right="219" w:firstLine="0"/>
                      <w:jc w:val="center"/>
                      <w:rPr>
                        <w:rFonts w:ascii="黑体" w:eastAsia="黑体" w:hint="eastAsia"/>
                        <w:sz w:val="28"/>
                      </w:rPr>
                    </w:pPr>
                    <w:r>
                      <w:rPr>
                        <w:rFonts w:ascii="黑体" w:eastAsia="黑体" w:hint="eastAsia"/>
                        <w:spacing w:val="-14"/>
                        <w:sz w:val="28"/>
                        <w:shd w:fill="FFFFFF" w:color="auto" w:val="clear"/>
                      </w:rPr>
                      <w:t>引用《水利水电工程标准施工招标文件》(技术标准和要求)(合同技术</w:t>
                    </w:r>
                  </w:p>
                  <w:p>
                    <w:pPr>
                      <w:spacing w:line="240" w:lineRule="auto" w:before="3"/>
                      <w:rPr>
                        <w:rFonts w:ascii="黑体"/>
                        <w:sz w:val="21"/>
                      </w:rPr>
                    </w:pPr>
                  </w:p>
                  <w:p>
                    <w:pPr>
                      <w:spacing w:line="320" w:lineRule="exact" w:before="0"/>
                      <w:ind w:left="179" w:right="219" w:firstLine="0"/>
                      <w:jc w:val="center"/>
                      <w:rPr>
                        <w:rFonts w:ascii="黑体" w:eastAsia="黑体" w:hint="eastAsia"/>
                        <w:sz w:val="28"/>
                      </w:rPr>
                    </w:pPr>
                    <w:r>
                      <w:rPr>
                        <w:rFonts w:ascii="黑体" w:eastAsia="黑体" w:hint="eastAsia"/>
                        <w:sz w:val="28"/>
                      </w:rPr>
                      <w:t>条款)(2009 年版)</w:t>
                    </w:r>
                  </w:p>
                </w:txbxContent>
              </v:textbox>
              <w10:wrap type="none"/>
            </v:shape>
            <w10:wrap type="topAndBottom"/>
          </v:group>
        </w:pic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1"/>
        </w:rPr>
      </w:pPr>
    </w:p>
    <w:p>
      <w:pPr>
        <w:spacing w:before="64"/>
        <w:ind w:left="0" w:right="1282" w:firstLine="0"/>
        <w:jc w:val="center"/>
        <w:rPr>
          <w:rFonts w:ascii="Calibri"/>
          <w:sz w:val="18"/>
        </w:rPr>
      </w:pPr>
      <w:r>
        <w:rPr>
          <w:rFonts w:ascii="Calibri"/>
          <w:sz w:val="18"/>
        </w:rPr>
        <w:t>152</w:t>
      </w:r>
    </w:p>
    <w:p>
      <w:pPr>
        <w:spacing w:after="0"/>
        <w:jc w:val="center"/>
        <w:rPr>
          <w:rFonts w:ascii="Calibri"/>
          <w:sz w:val="18"/>
        </w:rPr>
        <w:sectPr>
          <w:pgSz w:w="11910" w:h="16850"/>
          <w:pgMar w:header="911" w:footer="0" w:top="1540" w:bottom="280" w:left="1300" w:right="0"/>
        </w:sectPr>
      </w:pPr>
    </w:p>
    <w:p>
      <w:pPr>
        <w:pStyle w:val="BodyText"/>
        <w:rPr>
          <w:rFonts w:ascii="Calibri"/>
          <w:sz w:val="20"/>
        </w:rPr>
      </w:pPr>
    </w:p>
    <w:p>
      <w:pPr>
        <w:pStyle w:val="BodyText"/>
        <w:spacing w:before="11"/>
        <w:rPr>
          <w:rFonts w:ascii="Calibri"/>
          <w:sz w:val="20"/>
        </w:rPr>
      </w:pPr>
    </w:p>
    <w:p>
      <w:pPr>
        <w:pStyle w:val="Heading1"/>
      </w:pPr>
      <w:bookmarkStart w:name="第四卷" w:id="167"/>
      <w:bookmarkEnd w:id="167"/>
      <w:r>
        <w:rPr/>
      </w:r>
      <w:bookmarkStart w:name="_bookmark35" w:id="168"/>
      <w:bookmarkEnd w:id="168"/>
      <w:r>
        <w:rPr/>
      </w:r>
      <w:r>
        <w:rPr/>
        <w:t>第四卷</w: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
        <w:rPr>
          <w:rFonts w:ascii="黑体"/>
          <w:sz w:val="29"/>
        </w:rPr>
      </w:pPr>
      <w:r>
        <w:rPr/>
        <w:pict>
          <v:group style="position:absolute;margin-left:76.721001pt;margin-top:20.597343pt;width:439.3pt;height:432.65pt;mso-position-horizontal-relative:page;mso-position-vertical-relative:paragraph;z-index:-251378688;mso-wrap-distance-left:0;mso-wrap-distance-right:0" coordorigin="1534,412" coordsize="8786,8653">
            <v:shape style="position:absolute;left:1534;top:411;width:8786;height:8653" type="#_x0000_t75" stroked="false">
              <v:imagedata r:id="rId37" o:title=""/>
            </v:shape>
            <v:shape style="position:absolute;left:4596;top:503;width:2724;height:270" type="#_x0000_t202" filled="false" stroked="false">
              <v:textbox inset="0,0,0,0">
                <w:txbxContent>
                  <w:p>
                    <w:pPr>
                      <w:tabs>
                        <w:tab w:pos="1080" w:val="left" w:leader="none"/>
                      </w:tabs>
                      <w:spacing w:line="270" w:lineRule="exact" w:before="0"/>
                      <w:ind w:left="0" w:right="0" w:firstLine="0"/>
                      <w:jc w:val="left"/>
                      <w:rPr>
                        <w:rFonts w:ascii="黑体" w:eastAsia="黑体" w:hint="eastAsia"/>
                        <w:sz w:val="27"/>
                      </w:rPr>
                    </w:pPr>
                    <w:bookmarkStart w:name="第八章　投标文件格式" w:id="169"/>
                    <w:bookmarkEnd w:id="169"/>
                    <w:r>
                      <w:rPr/>
                    </w:r>
                    <w:bookmarkStart w:name="_bookmark36" w:id="170"/>
                    <w:bookmarkEnd w:id="170"/>
                    <w:r>
                      <w:rPr/>
                    </w:r>
                    <w:r>
                      <w:rPr>
                        <w:rFonts w:ascii="黑体" w:eastAsia="黑体" w:hint="eastAsia"/>
                        <w:sz w:val="27"/>
                      </w:rPr>
                      <w:t>第八章</w:t>
                      <w:tab/>
                      <w:t>投标文件格式</w:t>
                    </w:r>
                  </w:p>
                </w:txbxContent>
              </v:textbox>
              <w10:wrap type="none"/>
            </v:shape>
            <v:shape style="position:absolute;left:5106;top:1617;width:426;height:406" type="#_x0000_t202" filled="false" stroked="false">
              <v:textbox inset="0,0,0,0">
                <w:txbxContent>
                  <w:p>
                    <w:pPr>
                      <w:spacing w:line="405" w:lineRule="exact" w:before="0"/>
                      <w:ind w:left="0" w:right="0" w:firstLine="0"/>
                      <w:jc w:val="left"/>
                      <w:rPr>
                        <w:rFonts w:ascii="黑体" w:eastAsia="黑体" w:hint="eastAsia"/>
                        <w:sz w:val="40"/>
                      </w:rPr>
                    </w:pPr>
                    <w:r>
                      <w:rPr>
                        <w:rFonts w:ascii="黑体" w:eastAsia="黑体" w:hint="eastAsia"/>
                        <w:w w:val="101"/>
                        <w:sz w:val="40"/>
                      </w:rPr>
                      <w:t>目</w:t>
                    </w:r>
                  </w:p>
                </w:txbxContent>
              </v:textbox>
              <w10:wrap type="none"/>
            </v:shape>
            <v:shape style="position:absolute;left:6368;top:1617;width:426;height:406" type="#_x0000_t202" filled="false" stroked="false">
              <v:textbox inset="0,0,0,0">
                <w:txbxContent>
                  <w:p>
                    <w:pPr>
                      <w:spacing w:line="405" w:lineRule="exact" w:before="0"/>
                      <w:ind w:left="0" w:right="0" w:firstLine="0"/>
                      <w:jc w:val="left"/>
                      <w:rPr>
                        <w:rFonts w:ascii="黑体" w:eastAsia="黑体" w:hint="eastAsia"/>
                        <w:sz w:val="40"/>
                      </w:rPr>
                    </w:pPr>
                    <w:r>
                      <w:rPr>
                        <w:rFonts w:ascii="黑体" w:eastAsia="黑体" w:hint="eastAsia"/>
                        <w:w w:val="101"/>
                        <w:sz w:val="40"/>
                      </w:rPr>
                      <w:t>录</w:t>
                    </w:r>
                  </w:p>
                </w:txbxContent>
              </v:textbox>
              <w10:wrap type="none"/>
            </v:shape>
            <v:shape style="position:absolute;left:1697;top:2570;width:2784;height:6321" type="#_x0000_t202" filled="false" stroked="false">
              <v:textbox inset="0,0,0,0">
                <w:txbxContent>
                  <w:p>
                    <w:pPr>
                      <w:spacing w:line="274" w:lineRule="exact" w:before="0"/>
                      <w:ind w:left="0" w:right="0" w:firstLine="0"/>
                      <w:jc w:val="left"/>
                      <w:rPr>
                        <w:sz w:val="24"/>
                      </w:rPr>
                    </w:pPr>
                    <w:r>
                      <w:rPr>
                        <w:sz w:val="24"/>
                      </w:rPr>
                      <w:t>一、封面 </w:t>
                    </w:r>
                  </w:p>
                  <w:p>
                    <w:pPr>
                      <w:spacing w:line="240" w:lineRule="auto" w:before="4"/>
                      <w:rPr>
                        <w:rFonts w:ascii="黑体"/>
                        <w:sz w:val="19"/>
                      </w:rPr>
                    </w:pPr>
                  </w:p>
                  <w:p>
                    <w:pPr>
                      <w:spacing w:line="427" w:lineRule="auto" w:before="0"/>
                      <w:ind w:left="0" w:right="18" w:firstLine="0"/>
                      <w:jc w:val="both"/>
                      <w:rPr>
                        <w:sz w:val="24"/>
                      </w:rPr>
                    </w:pPr>
                    <w:r>
                      <w:rPr>
                        <w:sz w:val="24"/>
                      </w:rPr>
                      <w:t>二、投标函及投标函附录三、法定代表人身份证明四、授权委托书 </w:t>
                    </w:r>
                  </w:p>
                  <w:p>
                    <w:pPr>
                      <w:spacing w:line="434" w:lineRule="auto" w:before="10"/>
                      <w:ind w:left="0" w:right="738" w:firstLine="0"/>
                      <w:jc w:val="left"/>
                      <w:rPr>
                        <w:sz w:val="24"/>
                      </w:rPr>
                    </w:pPr>
                    <w:r>
                      <w:rPr>
                        <w:sz w:val="24"/>
                      </w:rPr>
                      <w:t>五、联合体协议书六、投标保证金 </w:t>
                    </w:r>
                  </w:p>
                  <w:p>
                    <w:pPr>
                      <w:spacing w:line="422" w:lineRule="auto" w:before="0"/>
                      <w:ind w:left="0" w:right="258" w:firstLine="0"/>
                      <w:jc w:val="left"/>
                      <w:rPr>
                        <w:sz w:val="24"/>
                      </w:rPr>
                    </w:pPr>
                    <w:r>
                      <w:rPr>
                        <w:sz w:val="24"/>
                      </w:rPr>
                      <w:t>七、已标价工程量清单八、施工组织设计 </w:t>
                    </w:r>
                  </w:p>
                  <w:p>
                    <w:pPr>
                      <w:spacing w:before="11"/>
                      <w:ind w:left="0" w:right="0" w:firstLine="0"/>
                      <w:jc w:val="left"/>
                      <w:rPr>
                        <w:sz w:val="24"/>
                      </w:rPr>
                    </w:pPr>
                    <w:r>
                      <w:rPr>
                        <w:spacing w:val="-1"/>
                        <w:sz w:val="24"/>
                      </w:rPr>
                      <w:t>九、项目管理机构 </w:t>
                    </w:r>
                  </w:p>
                  <w:p>
                    <w:pPr>
                      <w:spacing w:line="550" w:lineRule="atLeast" w:before="6"/>
                      <w:ind w:left="0" w:right="258" w:firstLine="0"/>
                      <w:jc w:val="left"/>
                      <w:rPr>
                        <w:sz w:val="24"/>
                      </w:rPr>
                    </w:pPr>
                    <w:r>
                      <w:rPr>
                        <w:sz w:val="24"/>
                      </w:rPr>
                      <w:t>十、拟分包项目情况表十一、资格审查资料  十二、其他材料 </w:t>
                    </w:r>
                  </w:p>
                </w:txbxContent>
              </v:textbox>
              <w10:wrap type="none"/>
            </v:shape>
            <w10:wrap type="topAndBottom"/>
          </v:group>
        </w:pic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1"/>
        </w:rPr>
      </w:pPr>
    </w:p>
    <w:p>
      <w:pPr>
        <w:spacing w:before="64"/>
        <w:ind w:left="0" w:right="1282" w:firstLine="0"/>
        <w:jc w:val="center"/>
        <w:rPr>
          <w:rFonts w:ascii="Calibri"/>
          <w:sz w:val="18"/>
        </w:rPr>
      </w:pPr>
      <w:r>
        <w:rPr>
          <w:rFonts w:ascii="Calibri"/>
          <w:sz w:val="18"/>
        </w:rPr>
        <w:t>153</w:t>
      </w:r>
    </w:p>
    <w:p>
      <w:pPr>
        <w:spacing w:after="0"/>
        <w:jc w:val="center"/>
        <w:rPr>
          <w:rFonts w:ascii="Calibri"/>
          <w:sz w:val="18"/>
        </w:rPr>
        <w:sectPr>
          <w:pgSz w:w="11910" w:h="16850"/>
          <w:pgMar w:header="911" w:footer="0" w:top="1540" w:bottom="280" w:left="1300" w:right="0"/>
        </w:sectPr>
      </w:pPr>
    </w:p>
    <w:p>
      <w:pPr>
        <w:pStyle w:val="Heading3"/>
      </w:pPr>
      <w:bookmarkStart w:name="一、封面" w:id="171"/>
      <w:bookmarkEnd w:id="171"/>
      <w:r>
        <w:rPr>
          <w:b w:val="0"/>
        </w:rPr>
      </w:r>
      <w:bookmarkStart w:name="_bookmark37" w:id="172"/>
      <w:bookmarkEnd w:id="172"/>
      <w:r>
        <w:rPr>
          <w:b w:val="0"/>
        </w:rPr>
      </w:r>
      <w:r>
        <w:rPr/>
        <w:t>一、封面</w:t>
      </w:r>
    </w:p>
    <w:p>
      <w:pPr>
        <w:pStyle w:val="BodyText"/>
        <w:rPr>
          <w:rFonts w:ascii="黑体"/>
          <w:b/>
          <w:sz w:val="20"/>
        </w:rPr>
      </w:pPr>
    </w:p>
    <w:p>
      <w:pPr>
        <w:pStyle w:val="BodyText"/>
        <w:rPr>
          <w:rFonts w:ascii="黑体"/>
          <w:b/>
          <w:sz w:val="20"/>
        </w:rPr>
      </w:pPr>
    </w:p>
    <w:p>
      <w:pPr>
        <w:pStyle w:val="BodyText"/>
        <w:spacing w:before="6"/>
        <w:rPr>
          <w:rFonts w:ascii="黑体"/>
          <w:b/>
          <w:sz w:val="22"/>
        </w:rPr>
      </w:pPr>
    </w:p>
    <w:p>
      <w:pPr>
        <w:pStyle w:val="Heading5"/>
        <w:tabs>
          <w:tab w:pos="4452" w:val="left" w:leader="none"/>
          <w:tab w:pos="7295" w:val="left" w:leader="none"/>
        </w:tabs>
        <w:ind w:left="1748" w:firstLine="0"/>
      </w:pPr>
      <w:r>
        <w:rPr/>
        <w:t>(项目名称)</w:t>
      </w:r>
      <w:r>
        <w:rPr>
          <w:u w:val="single"/>
        </w:rPr>
        <w:t> </w:t>
        <w:tab/>
      </w:r>
      <w:r>
        <w:rPr>
          <w:spacing w:val="-1"/>
        </w:rPr>
        <w:t>(标段</w:t>
      </w:r>
      <w:r>
        <w:rPr/>
        <w:t>名称)</w:t>
      </w:r>
      <w:r>
        <w:rPr>
          <w:u w:val="single"/>
        </w:rPr>
        <w:t> </w:t>
        <w:tab/>
      </w:r>
    </w:p>
    <w:p>
      <w:pPr>
        <w:pStyle w:val="BodyText"/>
        <w:rPr>
          <w:rFonts w:ascii="黑体"/>
          <w:sz w:val="20"/>
        </w:rPr>
      </w:pPr>
    </w:p>
    <w:p>
      <w:pPr>
        <w:pStyle w:val="BodyText"/>
        <w:rPr>
          <w:rFonts w:ascii="黑体"/>
          <w:sz w:val="20"/>
        </w:rPr>
      </w:pPr>
    </w:p>
    <w:p>
      <w:pPr>
        <w:pStyle w:val="BodyText"/>
        <w:spacing w:before="5"/>
        <w:rPr>
          <w:rFonts w:ascii="黑体"/>
          <w:sz w:val="22"/>
        </w:rPr>
      </w:pPr>
      <w:r>
        <w:rPr/>
        <w:pict>
          <v:group style="position:absolute;margin-left:76.721001pt;margin-top:16.302031pt;width:439.3pt;height:432.65pt;mso-position-horizontal-relative:page;mso-position-vertical-relative:paragraph;z-index:-251374592;mso-wrap-distance-left:0;mso-wrap-distance-right:0" coordorigin="1534,326" coordsize="8786,8653">
            <v:shape style="position:absolute;left:1534;top:326;width:8786;height:8653" type="#_x0000_t75" stroked="false">
              <v:imagedata r:id="rId37" o:title=""/>
            </v:shape>
            <v:shape style="position:absolute;left:4250;top:381;width:2794;height:333" type="#_x0000_t202" filled="false" stroked="false">
              <v:textbox inset="0,0,0,0">
                <w:txbxContent>
                  <w:p>
                    <w:pPr>
                      <w:tabs>
                        <w:tab w:pos="2773" w:val="left" w:leader="none"/>
                      </w:tabs>
                      <w:spacing w:line="333" w:lineRule="exact" w:before="0"/>
                      <w:ind w:left="0" w:right="0" w:firstLine="0"/>
                      <w:jc w:val="left"/>
                      <w:rPr>
                        <w:rFonts w:ascii="Times New Roman" w:eastAsia="Times New Roman"/>
                        <w:sz w:val="30"/>
                      </w:rPr>
                    </w:pPr>
                    <w:r>
                      <w:rPr>
                        <w:rFonts w:ascii="黑体" w:eastAsia="黑体" w:hint="eastAsia"/>
                        <w:spacing w:val="-1"/>
                        <w:sz w:val="30"/>
                      </w:rPr>
                      <w:t>项</w:t>
                    </w:r>
                    <w:r>
                      <w:rPr>
                        <w:rFonts w:ascii="黑体" w:eastAsia="黑体" w:hint="eastAsia"/>
                        <w:sz w:val="30"/>
                      </w:rPr>
                      <w:t>目编号：</w:t>
                    </w:r>
                    <w:r>
                      <w:rPr>
                        <w:rFonts w:ascii="Times New Roman" w:eastAsia="Times New Roman"/>
                        <w:sz w:val="30"/>
                        <w:u w:val="single"/>
                      </w:rPr>
                      <w:t> </w:t>
                      <w:tab/>
                    </w:r>
                  </w:p>
                </w:txbxContent>
              </v:textbox>
              <w10:wrap type="none"/>
            </v:shape>
            <v:shape style="position:absolute;left:4505;top:2207;width:2904;height:721" type="#_x0000_t202" filled="false" stroked="false">
              <v:textbox inset="0,0,0,0">
                <w:txbxContent>
                  <w:p>
                    <w:pPr>
                      <w:spacing w:line="721" w:lineRule="exact" w:before="0"/>
                      <w:ind w:left="0" w:right="0" w:firstLine="0"/>
                      <w:jc w:val="left"/>
                      <w:rPr>
                        <w:rFonts w:ascii="黑体" w:eastAsia="黑体" w:hint="eastAsia"/>
                        <w:sz w:val="72"/>
                      </w:rPr>
                    </w:pPr>
                    <w:r>
                      <w:rPr>
                        <w:rFonts w:ascii="黑体" w:eastAsia="黑体" w:hint="eastAsia"/>
                        <w:sz w:val="72"/>
                      </w:rPr>
                      <w:t>投标文件</w:t>
                    </w:r>
                  </w:p>
                </w:txbxContent>
              </v:textbox>
              <w10:wrap type="none"/>
            </v:shape>
            <v:shape style="position:absolute;left:2793;top:6940;width:6329;height:947" type="#_x0000_t202" filled="false" stroked="false">
              <v:textbox inset="0,0,0,0">
                <w:txbxContent>
                  <w:p>
                    <w:pPr>
                      <w:tabs>
                        <w:tab w:pos="4505" w:val="left" w:leader="none"/>
                      </w:tabs>
                      <w:spacing w:line="333" w:lineRule="exact" w:before="0"/>
                      <w:ind w:left="0" w:right="0" w:firstLine="0"/>
                      <w:jc w:val="left"/>
                      <w:rPr>
                        <w:rFonts w:ascii="黑体" w:eastAsia="黑体" w:hint="eastAsia"/>
                        <w:sz w:val="28"/>
                      </w:rPr>
                    </w:pPr>
                    <w:r>
                      <w:rPr>
                        <w:rFonts w:ascii="黑体" w:eastAsia="黑体" w:hint="eastAsia"/>
                        <w:spacing w:val="15"/>
                        <w:sz w:val="28"/>
                      </w:rPr>
                      <w:t>投标人</w:t>
                    </w:r>
                    <w:r>
                      <w:rPr>
                        <w:rFonts w:ascii="黑体" w:eastAsia="黑体" w:hint="eastAsia"/>
                        <w:spacing w:val="14"/>
                        <w:sz w:val="28"/>
                      </w:rPr>
                      <w:t>：</w:t>
                    </w:r>
                    <w:r>
                      <w:rPr>
                        <w:rFonts w:ascii="黑体" w:eastAsia="黑体" w:hint="eastAsia"/>
                        <w:spacing w:val="14"/>
                        <w:sz w:val="28"/>
                        <w:u w:val="single"/>
                      </w:rPr>
                      <w:t> </w:t>
                      <w:tab/>
                    </w:r>
                    <w:r>
                      <w:rPr>
                        <w:rFonts w:ascii="黑体" w:eastAsia="黑体" w:hint="eastAsia"/>
                        <w:spacing w:val="15"/>
                        <w:sz w:val="28"/>
                      </w:rPr>
                      <w:t>（单位盖章）</w:t>
                    </w:r>
                  </w:p>
                  <w:p>
                    <w:pPr>
                      <w:tabs>
                        <w:tab w:pos="1765" w:val="left" w:leader="none"/>
                        <w:tab w:pos="3267" w:val="left" w:leader="none"/>
                        <w:tab w:pos="4769" w:val="left" w:leader="none"/>
                      </w:tabs>
                      <w:spacing w:line="342" w:lineRule="exact" w:before="272"/>
                      <w:ind w:left="564" w:right="0" w:firstLine="0"/>
                      <w:jc w:val="center"/>
                      <w:rPr>
                        <w:rFonts w:ascii="黑体" w:eastAsia="黑体" w:hint="eastAsia"/>
                        <w:sz w:val="28"/>
                      </w:rPr>
                    </w:pPr>
                    <w:r>
                      <w:rPr>
                        <w:rFonts w:ascii="Times New Roman" w:eastAsia="Times New Roman"/>
                        <w:w w:val="101"/>
                        <w:sz w:val="28"/>
                        <w:u w:val="single"/>
                      </w:rPr>
                      <w:t> </w:t>
                    </w:r>
                    <w:r>
                      <w:rPr>
                        <w:rFonts w:ascii="Times New Roman" w:eastAsia="Times New Roman"/>
                        <w:sz w:val="28"/>
                        <w:u w:val="single"/>
                      </w:rPr>
                      <w:tab/>
                    </w:r>
                    <w:r>
                      <w:rPr>
                        <w:rFonts w:ascii="黑体" w:eastAsia="黑体" w:hint="eastAsia"/>
                        <w:spacing w:val="15"/>
                        <w:sz w:val="28"/>
                      </w:rPr>
                      <w:t>年</w:t>
                    </w:r>
                    <w:r>
                      <w:rPr>
                        <w:rFonts w:ascii="黑体" w:eastAsia="黑体" w:hint="eastAsia"/>
                        <w:spacing w:val="15"/>
                        <w:sz w:val="28"/>
                        <w:u w:val="single"/>
                      </w:rPr>
                      <w:t> </w:t>
                      <w:tab/>
                    </w:r>
                    <w:r>
                      <w:rPr>
                        <w:rFonts w:ascii="黑体" w:eastAsia="黑体" w:hint="eastAsia"/>
                        <w:spacing w:val="15"/>
                        <w:sz w:val="28"/>
                      </w:rPr>
                      <w:t>月</w:t>
                    </w:r>
                    <w:r>
                      <w:rPr>
                        <w:rFonts w:ascii="黑体" w:eastAsia="黑体" w:hint="eastAsia"/>
                        <w:spacing w:val="15"/>
                        <w:sz w:val="28"/>
                        <w:u w:val="single"/>
                      </w:rPr>
                      <w:t> </w:t>
                      <w:tab/>
                    </w:r>
                    <w:r>
                      <w:rPr>
                        <w:rFonts w:ascii="黑体" w:eastAsia="黑体" w:hint="eastAsia"/>
                        <w:sz w:val="28"/>
                      </w:rPr>
                      <w:t>日</w:t>
                    </w:r>
                  </w:p>
                </w:txbxContent>
              </v:textbox>
              <w10:wrap type="none"/>
            </v:shape>
            <w10:wrap type="topAndBottom"/>
          </v:group>
        </w:pic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1"/>
        </w:rPr>
      </w:pPr>
    </w:p>
    <w:p>
      <w:pPr>
        <w:spacing w:before="64"/>
        <w:ind w:left="0" w:right="1282" w:firstLine="0"/>
        <w:jc w:val="center"/>
        <w:rPr>
          <w:rFonts w:ascii="Calibri"/>
          <w:sz w:val="18"/>
        </w:rPr>
      </w:pPr>
      <w:r>
        <w:rPr>
          <w:rFonts w:ascii="Calibri"/>
          <w:sz w:val="18"/>
        </w:rPr>
        <w:t>154</w:t>
      </w:r>
    </w:p>
    <w:p>
      <w:pPr>
        <w:spacing w:after="0"/>
        <w:jc w:val="center"/>
        <w:rPr>
          <w:rFonts w:ascii="Calibri"/>
          <w:sz w:val="18"/>
        </w:rPr>
        <w:sectPr>
          <w:pgSz w:w="11910" w:h="16850"/>
          <w:pgMar w:header="911" w:footer="0" w:top="1540" w:bottom="280" w:left="1300" w:right="0"/>
        </w:sectPr>
      </w:pPr>
    </w:p>
    <w:p>
      <w:pPr>
        <w:pStyle w:val="Heading3"/>
      </w:pPr>
      <w:bookmarkStart w:name="二、投标函及投标函附录" w:id="173"/>
      <w:bookmarkEnd w:id="173"/>
      <w:r>
        <w:rPr>
          <w:b w:val="0"/>
        </w:rPr>
      </w:r>
      <w:bookmarkStart w:name="_bookmark38" w:id="174"/>
      <w:bookmarkEnd w:id="174"/>
      <w:r>
        <w:rPr>
          <w:b w:val="0"/>
        </w:rPr>
      </w:r>
      <w:r>
        <w:rPr/>
        <w:t>二、投标函及投标函附录</w:t>
      </w:r>
    </w:p>
    <w:p>
      <w:pPr>
        <w:pStyle w:val="BodyText"/>
        <w:spacing w:before="1"/>
        <w:rPr>
          <w:rFonts w:ascii="黑体"/>
          <w:b/>
          <w:sz w:val="38"/>
        </w:rPr>
      </w:pPr>
    </w:p>
    <w:p>
      <w:pPr>
        <w:spacing w:before="0"/>
        <w:ind w:left="0" w:right="1312" w:firstLine="0"/>
        <w:jc w:val="center"/>
        <w:rPr>
          <w:b/>
          <w:sz w:val="31"/>
        </w:rPr>
      </w:pPr>
      <w:bookmarkStart w:name="投标函及投标函附录" w:id="175"/>
      <w:bookmarkEnd w:id="175"/>
      <w:r>
        <w:rPr/>
      </w:r>
      <w:bookmarkStart w:name="_bookmark39" w:id="176"/>
      <w:bookmarkEnd w:id="176"/>
      <w:r>
        <w:rPr/>
      </w:r>
      <w:r>
        <w:rPr>
          <w:b/>
          <w:sz w:val="31"/>
        </w:rPr>
        <w:t>投标函及投标函附录</w:t>
      </w:r>
    </w:p>
    <w:p>
      <w:pPr>
        <w:pStyle w:val="BodyText"/>
        <w:spacing w:before="4"/>
        <w:rPr>
          <w:b/>
          <w:sz w:val="39"/>
        </w:rPr>
      </w:pPr>
    </w:p>
    <w:p>
      <w:pPr>
        <w:pStyle w:val="Heading7"/>
        <w:spacing w:before="0"/>
        <w:ind w:left="0" w:right="1312"/>
        <w:jc w:val="center"/>
        <w:rPr>
          <w:rFonts w:ascii="黑体" w:eastAsia="黑体" w:hint="eastAsia"/>
        </w:rPr>
      </w:pPr>
      <w:r>
        <w:rPr>
          <w:rFonts w:ascii="黑体" w:eastAsia="黑体" w:hint="eastAsia"/>
        </w:rPr>
        <w:t>(一)投标函</w:t>
      </w:r>
    </w:p>
    <w:p>
      <w:pPr>
        <w:pStyle w:val="BodyText"/>
        <w:spacing w:before="222"/>
        <w:ind w:left="396"/>
      </w:pPr>
      <w:r>
        <w:rPr/>
        <w:drawing>
          <wp:anchor distT="0" distB="0" distL="0" distR="0" allowOverlap="1" layoutInCell="1" locked="0" behindDoc="1" simplePos="0" relativeHeight="234912768">
            <wp:simplePos x="0" y="0"/>
            <wp:positionH relativeFrom="page">
              <wp:posOffset>974356</wp:posOffset>
            </wp:positionH>
            <wp:positionV relativeFrom="paragraph">
              <wp:posOffset>211841</wp:posOffset>
            </wp:positionV>
            <wp:extent cx="5578970" cy="5494141"/>
            <wp:effectExtent l="0" t="0" r="0" b="0"/>
            <wp:wrapNone/>
            <wp:docPr id="131" name="image23.png"/>
            <wp:cNvGraphicFramePr>
              <a:graphicFrameLocks noChangeAspect="1"/>
            </wp:cNvGraphicFramePr>
            <a:graphic>
              <a:graphicData uri="http://schemas.openxmlformats.org/drawingml/2006/picture">
                <pic:pic>
                  <pic:nvPicPr>
                    <pic:cNvPr id="132" name="image23.png"/>
                    <pic:cNvPicPr/>
                  </pic:nvPicPr>
                  <pic:blipFill>
                    <a:blip r:embed="rId37" cstate="print"/>
                    <a:stretch>
                      <a:fillRect/>
                    </a:stretch>
                  </pic:blipFill>
                  <pic:spPr>
                    <a:xfrm>
                      <a:off x="0" y="0"/>
                      <a:ext cx="5578970" cy="5494141"/>
                    </a:xfrm>
                    <a:prstGeom prst="rect">
                      <a:avLst/>
                    </a:prstGeom>
                  </pic:spPr>
                </pic:pic>
              </a:graphicData>
            </a:graphic>
          </wp:anchor>
        </w:drawing>
      </w:r>
      <w:r>
        <w:rPr>
          <w:u w:val="single"/>
        </w:rPr>
        <w:t>                      </w:t>
      </w:r>
      <w:r>
        <w:rPr/>
        <w:t>(招标人名称)： </w:t>
      </w:r>
    </w:p>
    <w:p>
      <w:pPr>
        <w:pStyle w:val="BodyText"/>
        <w:spacing w:before="172"/>
        <w:ind w:left="396"/>
      </w:pPr>
      <w:r>
        <w:rPr/>
        <w:t>    </w:t>
      </w:r>
      <w:r>
        <w:rPr>
          <w:rFonts w:ascii="Calibri" w:eastAsia="Calibri"/>
        </w:rPr>
        <w:t>1.</w:t>
      </w:r>
      <w:r>
        <w:rPr>
          <w:spacing w:val="4"/>
        </w:rPr>
        <w:t>我方已仔细研究了</w:t>
      </w:r>
      <w:r>
        <w:rPr>
          <w:spacing w:val="16"/>
          <w:u w:val="single"/>
        </w:rPr>
        <w:t>        </w:t>
      </w:r>
      <w:r>
        <w:rPr>
          <w:spacing w:val="4"/>
        </w:rPr>
        <w:t>(项目名称)</w:t>
      </w:r>
      <w:r>
        <w:rPr>
          <w:spacing w:val="16"/>
          <w:u w:val="single"/>
        </w:rPr>
        <w:t>        (</w:t>
      </w:r>
      <w:r>
        <w:rPr/>
        <w:t>标段名称)招标文件的</w:t>
      </w:r>
    </w:p>
    <w:p>
      <w:pPr>
        <w:pStyle w:val="BodyText"/>
        <w:spacing w:line="362" w:lineRule="auto" w:before="158"/>
        <w:ind w:left="396" w:right="1334"/>
      </w:pPr>
      <w:r>
        <w:rPr>
          <w:spacing w:val="-3"/>
        </w:rPr>
        <w:t>全部内容，愿意以人民币(大写)</w:t>
      </w:r>
      <w:r>
        <w:rPr>
          <w:spacing w:val="6"/>
          <w:u w:val="single"/>
        </w:rPr>
        <w:t>          </w:t>
      </w:r>
      <w:r>
        <w:rPr/>
        <w:t>元(¥</w:t>
      </w:r>
      <w:r>
        <w:rPr>
          <w:spacing w:val="8"/>
          <w:u w:val="single"/>
        </w:rPr>
        <w:t>        </w:t>
      </w:r>
      <w:r>
        <w:rPr>
          <w:spacing w:val="-1"/>
        </w:rPr>
        <w:t>元)的投标总报价，工期</w:t>
      </w:r>
      <w:r>
        <w:rPr/>
        <w:t>日历天，按合同约定实施和完成承包工程，修补工程中的任何缺陷，工程质量达</w:t>
      </w:r>
    </w:p>
    <w:p>
      <w:pPr>
        <w:pStyle w:val="BodyText"/>
        <w:spacing w:before="3"/>
        <w:ind w:left="396"/>
      </w:pPr>
      <w:r>
        <w:rPr/>
        <w:t>到</w:t>
      </w:r>
      <w:r>
        <w:rPr>
          <w:spacing w:val="119"/>
          <w:u w:val="single"/>
        </w:rPr>
        <w:t> </w:t>
      </w:r>
      <w:r>
        <w:rPr/>
        <w:t>。</w:t>
      </w:r>
    </w:p>
    <w:p>
      <w:pPr>
        <w:pStyle w:val="BodyText"/>
        <w:spacing w:before="158"/>
        <w:ind w:left="396"/>
      </w:pPr>
      <w:r>
        <w:rPr/>
        <w:t>    </w:t>
      </w:r>
      <w:r>
        <w:rPr>
          <w:rFonts w:ascii="Calibri" w:eastAsia="Calibri"/>
        </w:rPr>
        <w:t>2.</w:t>
      </w:r>
      <w:r>
        <w:rPr/>
        <w:t>我方承诺在投标有效期内不补充、修改、替代或者撤回本投标文件。</w:t>
      </w:r>
    </w:p>
    <w:p>
      <w:pPr>
        <w:pStyle w:val="BodyText"/>
        <w:spacing w:line="362" w:lineRule="auto" w:before="172"/>
        <w:ind w:left="396" w:right="1710"/>
      </w:pPr>
      <w:r>
        <w:rPr/>
        <w:t>  </w:t>
      </w:r>
      <w:r>
        <w:rPr>
          <w:spacing w:val="15"/>
        </w:rPr>
        <w:t> </w:t>
      </w:r>
      <w:r>
        <w:rPr/>
        <w:t> </w:t>
      </w:r>
      <w:r>
        <w:rPr>
          <w:rFonts w:ascii="Calibri" w:hAnsi="Calibri" w:eastAsia="Calibri"/>
          <w:spacing w:val="6"/>
        </w:rPr>
        <w:t>3.</w:t>
      </w:r>
      <w:r>
        <w:rPr>
          <w:spacing w:val="15"/>
        </w:rPr>
        <w:t>随同本投标函递交投标保证金一份，金额为人民币(大写)</w:t>
      </w:r>
      <w:r>
        <w:rPr>
          <w:spacing w:val="30"/>
          <w:u w:val="single"/>
        </w:rPr>
        <w:t>      </w:t>
      </w:r>
      <w:r>
        <w:rPr/>
        <w:t>元(¥</w:t>
      </w:r>
      <w:r>
        <w:rPr>
          <w:spacing w:val="119"/>
          <w:u w:val="single"/>
        </w:rPr>
        <w:t> </w:t>
      </w:r>
      <w:r>
        <w:rPr/>
        <w:t>元 ) 。 </w:t>
      </w:r>
    </w:p>
    <w:p>
      <w:pPr>
        <w:pStyle w:val="BodyText"/>
        <w:spacing w:before="3"/>
        <w:ind w:left="396"/>
      </w:pPr>
      <w:r>
        <w:rPr/>
        <w:t>    </w:t>
      </w:r>
      <w:r>
        <w:rPr>
          <w:rFonts w:ascii="Calibri" w:eastAsia="Calibri"/>
        </w:rPr>
        <w:t>4.</w:t>
      </w:r>
      <w:r>
        <w:rPr/>
        <w:t>如我方中标：</w:t>
      </w:r>
    </w:p>
    <w:p>
      <w:pPr>
        <w:pStyle w:val="BodyText"/>
        <w:spacing w:line="362" w:lineRule="auto" w:before="157"/>
        <w:ind w:left="396" w:right="1693"/>
      </w:pPr>
      <w:r>
        <w:rPr/>
        <w:t>    (1)我方承诺在收到中标通知书后，在中标通知书规定的期限内与你方签订合同； </w:t>
      </w:r>
    </w:p>
    <w:p>
      <w:pPr>
        <w:pStyle w:val="BodyText"/>
        <w:spacing w:before="18"/>
        <w:ind w:left="396"/>
      </w:pPr>
      <w:r>
        <w:rPr/>
        <w:t>    (2)随同本投标函递交的投标函附录属于合同文件的组成部分； </w:t>
      </w:r>
    </w:p>
    <w:p>
      <w:pPr>
        <w:pStyle w:val="BodyText"/>
        <w:spacing w:before="157"/>
        <w:ind w:left="396"/>
      </w:pPr>
      <w:r>
        <w:rPr/>
        <w:t>    (3)我方承诺按照招标文件规定向你方递交履约担保； </w:t>
      </w:r>
    </w:p>
    <w:p>
      <w:pPr>
        <w:pStyle w:val="BodyText"/>
        <w:spacing w:before="158"/>
        <w:ind w:left="396"/>
      </w:pPr>
      <w:r>
        <w:rPr/>
        <w:t>    (4)我方承诺在合同约定的期限内完成并移交全部合同工程。 </w:t>
      </w:r>
    </w:p>
    <w:p>
      <w:pPr>
        <w:pStyle w:val="BodyText"/>
        <w:spacing w:line="362" w:lineRule="auto" w:before="158"/>
        <w:ind w:left="396" w:right="1708"/>
      </w:pPr>
      <w:r>
        <w:rPr/>
        <w:t>    </w:t>
      </w:r>
      <w:r>
        <w:rPr>
          <w:rFonts w:ascii="Calibri" w:eastAsia="Calibri"/>
        </w:rPr>
        <w:t>5.</w:t>
      </w:r>
      <w:r>
        <w:rPr>
          <w:spacing w:val="-7"/>
        </w:rPr>
        <w:t>我方在此声明，所递交的投标文件及有关资料内容完整、真实和准确，且不</w:t>
      </w:r>
      <w:r>
        <w:rPr>
          <w:spacing w:val="-21"/>
        </w:rPr>
        <w:t>存在第 </w:t>
      </w:r>
      <w:r>
        <w:rPr>
          <w:rFonts w:ascii="Calibri" w:eastAsia="Calibri"/>
        </w:rPr>
        <w:t>2 </w:t>
      </w:r>
      <w:r>
        <w:rPr>
          <w:spacing w:val="-8"/>
        </w:rPr>
        <w:t>章投标人须知第 </w:t>
      </w:r>
      <w:r>
        <w:rPr>
          <w:rFonts w:ascii="Calibri" w:eastAsia="Calibri"/>
        </w:rPr>
        <w:t>1.4.3 </w:t>
      </w:r>
      <w:r>
        <w:rPr/>
        <w:t>款规定的任何一种情形。</w:t>
      </w:r>
    </w:p>
    <w:p>
      <w:pPr>
        <w:pStyle w:val="BodyText"/>
        <w:spacing w:before="18"/>
        <w:ind w:left="396"/>
      </w:pPr>
      <w:r>
        <w:rPr/>
        <w:t>    </w:t>
      </w:r>
      <w:r>
        <w:rPr>
          <w:rFonts w:ascii="Calibri" w:eastAsia="Calibri"/>
        </w:rPr>
        <w:t>6.</w:t>
      </w:r>
      <w:r>
        <w:rPr/>
        <w:t>其它补充说明。 </w:t>
      </w:r>
    </w:p>
    <w:p>
      <w:pPr>
        <w:pStyle w:val="BodyText"/>
        <w:tabs>
          <w:tab w:pos="3641" w:val="left" w:leader="none"/>
          <w:tab w:pos="4602" w:val="left" w:leader="none"/>
          <w:tab w:pos="6749" w:val="left" w:leader="none"/>
          <w:tab w:pos="7470" w:val="left" w:leader="none"/>
        </w:tabs>
        <w:spacing w:before="158"/>
        <w:ind w:left="396"/>
      </w:pPr>
      <w:r>
        <w:rPr/>
        <w:t>                       </w:t>
        <w:tab/>
        <w:t> </w:t>
        <w:tab/>
        <w:t>投标人</w:t>
      </w:r>
      <w:r>
        <w:rPr>
          <w:spacing w:val="-16"/>
        </w:rPr>
        <w:t>：</w:t>
      </w:r>
      <w:r>
        <w:rPr>
          <w:spacing w:val="-16"/>
          <w:u w:val="single"/>
        </w:rPr>
        <w:t> </w:t>
        <w:tab/>
        <w:tab/>
      </w:r>
      <w:r>
        <w:rPr/>
        <w:t>(盖单位章) </w:t>
      </w:r>
    </w:p>
    <w:p>
      <w:pPr>
        <w:pStyle w:val="BodyText"/>
        <w:spacing w:before="157"/>
        <w:ind w:left="396"/>
      </w:pPr>
      <w:r>
        <w:rPr/>
        <w:t>                                   法定代表人： (签字) </w:t>
      </w:r>
    </w:p>
    <w:p>
      <w:pPr>
        <w:pStyle w:val="BodyText"/>
        <w:spacing w:before="5"/>
        <w:rPr>
          <w:sz w:val="14"/>
        </w:rPr>
      </w:pPr>
    </w:p>
    <w:tbl>
      <w:tblPr>
        <w:tblW w:w="0" w:type="auto"/>
        <w:jc w:val="left"/>
        <w:tblInd w:w="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40"/>
        <w:gridCol w:w="240"/>
        <w:gridCol w:w="240"/>
        <w:gridCol w:w="240"/>
        <w:gridCol w:w="240"/>
        <w:gridCol w:w="240"/>
        <w:gridCol w:w="240"/>
        <w:gridCol w:w="240"/>
        <w:gridCol w:w="240"/>
        <w:gridCol w:w="240"/>
        <w:gridCol w:w="240"/>
        <w:gridCol w:w="240"/>
        <w:gridCol w:w="240"/>
        <w:gridCol w:w="240"/>
        <w:gridCol w:w="240"/>
        <w:gridCol w:w="262"/>
        <w:gridCol w:w="4572"/>
      </w:tblGrid>
      <w:tr>
        <w:trPr>
          <w:trHeight w:val="365" w:hRule="atLeast"/>
        </w:trPr>
        <w:tc>
          <w:tcPr>
            <w:tcW w:w="230" w:type="dxa"/>
          </w:tcPr>
          <w:p>
            <w:pPr>
              <w:pStyle w:val="TableParagraph"/>
              <w:spacing w:line="281" w:lineRule="exact"/>
              <w:ind w:right="9"/>
              <w:jc w:val="center"/>
              <w:rPr>
                <w:sz w:val="24"/>
              </w:rPr>
            </w:pPr>
            <w:r>
              <w:rPr>
                <w:sz w:val="24"/>
              </w:rPr>
              <w:t> </w:t>
            </w:r>
          </w:p>
        </w:tc>
        <w:tc>
          <w:tcPr>
            <w:tcW w:w="240" w:type="dxa"/>
          </w:tcPr>
          <w:p>
            <w:pPr>
              <w:pStyle w:val="TableParagraph"/>
              <w:spacing w:line="281" w:lineRule="exact"/>
              <w:ind w:right="57"/>
              <w:jc w:val="right"/>
              <w:rPr>
                <w:sz w:val="24"/>
              </w:rPr>
            </w:pPr>
            <w:r>
              <w:rPr>
                <w:sz w:val="24"/>
              </w:rPr>
              <w:t> </w:t>
            </w:r>
          </w:p>
        </w:tc>
        <w:tc>
          <w:tcPr>
            <w:tcW w:w="240" w:type="dxa"/>
          </w:tcPr>
          <w:p>
            <w:pPr>
              <w:pStyle w:val="TableParagraph"/>
              <w:spacing w:line="281" w:lineRule="exact"/>
              <w:ind w:right="57"/>
              <w:jc w:val="right"/>
              <w:rPr>
                <w:sz w:val="24"/>
              </w:rPr>
            </w:pPr>
            <w:r>
              <w:rPr>
                <w:sz w:val="24"/>
              </w:rPr>
              <w:t> </w:t>
            </w:r>
          </w:p>
        </w:tc>
        <w:tc>
          <w:tcPr>
            <w:tcW w:w="240" w:type="dxa"/>
          </w:tcPr>
          <w:p>
            <w:pPr>
              <w:pStyle w:val="TableParagraph"/>
              <w:spacing w:line="281" w:lineRule="exact"/>
              <w:ind w:right="56"/>
              <w:jc w:val="right"/>
              <w:rPr>
                <w:sz w:val="24"/>
              </w:rPr>
            </w:pPr>
            <w:r>
              <w:rPr>
                <w:sz w:val="24"/>
              </w:rPr>
              <w:t> </w:t>
            </w:r>
          </w:p>
        </w:tc>
        <w:tc>
          <w:tcPr>
            <w:tcW w:w="240" w:type="dxa"/>
          </w:tcPr>
          <w:p>
            <w:pPr>
              <w:pStyle w:val="TableParagraph"/>
              <w:spacing w:line="281" w:lineRule="exact"/>
              <w:ind w:right="56"/>
              <w:jc w:val="right"/>
              <w:rPr>
                <w:sz w:val="24"/>
              </w:rPr>
            </w:pPr>
            <w:r>
              <w:rPr>
                <w:sz w:val="24"/>
              </w:rPr>
              <w:t> </w:t>
            </w:r>
          </w:p>
        </w:tc>
        <w:tc>
          <w:tcPr>
            <w:tcW w:w="240" w:type="dxa"/>
          </w:tcPr>
          <w:p>
            <w:pPr>
              <w:pStyle w:val="TableParagraph"/>
              <w:spacing w:line="281" w:lineRule="exact"/>
              <w:ind w:right="57"/>
              <w:jc w:val="right"/>
              <w:rPr>
                <w:sz w:val="24"/>
              </w:rPr>
            </w:pPr>
            <w:r>
              <w:rPr>
                <w:sz w:val="24"/>
              </w:rPr>
              <w:t> </w:t>
            </w:r>
          </w:p>
        </w:tc>
        <w:tc>
          <w:tcPr>
            <w:tcW w:w="240" w:type="dxa"/>
          </w:tcPr>
          <w:p>
            <w:pPr>
              <w:pStyle w:val="TableParagraph"/>
              <w:spacing w:line="281" w:lineRule="exact"/>
              <w:ind w:right="55"/>
              <w:jc w:val="right"/>
              <w:rPr>
                <w:sz w:val="24"/>
              </w:rPr>
            </w:pPr>
            <w:r>
              <w:rPr>
                <w:sz w:val="24"/>
              </w:rPr>
              <w:t> </w:t>
            </w:r>
          </w:p>
        </w:tc>
        <w:tc>
          <w:tcPr>
            <w:tcW w:w="240" w:type="dxa"/>
          </w:tcPr>
          <w:p>
            <w:pPr>
              <w:pStyle w:val="TableParagraph"/>
              <w:spacing w:line="281" w:lineRule="exact"/>
              <w:ind w:left="5"/>
              <w:jc w:val="center"/>
              <w:rPr>
                <w:sz w:val="24"/>
              </w:rPr>
            </w:pPr>
            <w:r>
              <w:rPr>
                <w:sz w:val="24"/>
              </w:rPr>
              <w:t> </w:t>
            </w:r>
          </w:p>
        </w:tc>
        <w:tc>
          <w:tcPr>
            <w:tcW w:w="240" w:type="dxa"/>
          </w:tcPr>
          <w:p>
            <w:pPr>
              <w:pStyle w:val="TableParagraph"/>
              <w:spacing w:line="281" w:lineRule="exact"/>
              <w:ind w:left="63"/>
              <w:rPr>
                <w:sz w:val="24"/>
              </w:rPr>
            </w:pPr>
            <w:r>
              <w:rPr>
                <w:sz w:val="24"/>
              </w:rPr>
              <w:t> </w:t>
            </w:r>
          </w:p>
        </w:tc>
        <w:tc>
          <w:tcPr>
            <w:tcW w:w="240" w:type="dxa"/>
          </w:tcPr>
          <w:p>
            <w:pPr>
              <w:pStyle w:val="TableParagraph"/>
              <w:spacing w:line="281" w:lineRule="exact"/>
              <w:ind w:left="63"/>
              <w:rPr>
                <w:sz w:val="24"/>
              </w:rPr>
            </w:pPr>
            <w:r>
              <w:rPr>
                <w:sz w:val="24"/>
              </w:rPr>
              <w:t> </w:t>
            </w:r>
          </w:p>
        </w:tc>
        <w:tc>
          <w:tcPr>
            <w:tcW w:w="240" w:type="dxa"/>
          </w:tcPr>
          <w:p>
            <w:pPr>
              <w:pStyle w:val="TableParagraph"/>
              <w:spacing w:line="281" w:lineRule="exact"/>
              <w:ind w:left="63"/>
              <w:rPr>
                <w:sz w:val="24"/>
              </w:rPr>
            </w:pPr>
            <w:r>
              <w:rPr>
                <w:sz w:val="24"/>
              </w:rPr>
              <w:t> </w:t>
            </w:r>
          </w:p>
        </w:tc>
        <w:tc>
          <w:tcPr>
            <w:tcW w:w="240" w:type="dxa"/>
          </w:tcPr>
          <w:p>
            <w:pPr>
              <w:pStyle w:val="TableParagraph"/>
              <w:spacing w:line="281" w:lineRule="exact"/>
              <w:ind w:left="64"/>
              <w:rPr>
                <w:sz w:val="24"/>
              </w:rPr>
            </w:pPr>
            <w:r>
              <w:rPr>
                <w:sz w:val="24"/>
              </w:rPr>
              <w:t> </w:t>
            </w:r>
          </w:p>
        </w:tc>
        <w:tc>
          <w:tcPr>
            <w:tcW w:w="240" w:type="dxa"/>
          </w:tcPr>
          <w:p>
            <w:pPr>
              <w:pStyle w:val="TableParagraph"/>
              <w:spacing w:line="281" w:lineRule="exact"/>
              <w:ind w:left="64"/>
              <w:rPr>
                <w:sz w:val="24"/>
              </w:rPr>
            </w:pPr>
            <w:r>
              <w:rPr>
                <w:sz w:val="24"/>
              </w:rPr>
              <w:t> </w:t>
            </w:r>
          </w:p>
        </w:tc>
        <w:tc>
          <w:tcPr>
            <w:tcW w:w="240" w:type="dxa"/>
          </w:tcPr>
          <w:p>
            <w:pPr>
              <w:pStyle w:val="TableParagraph"/>
              <w:spacing w:line="281" w:lineRule="exact"/>
              <w:ind w:left="65"/>
              <w:rPr>
                <w:sz w:val="24"/>
              </w:rPr>
            </w:pPr>
            <w:r>
              <w:rPr>
                <w:sz w:val="24"/>
              </w:rPr>
              <w:t> </w:t>
            </w:r>
          </w:p>
        </w:tc>
        <w:tc>
          <w:tcPr>
            <w:tcW w:w="240" w:type="dxa"/>
          </w:tcPr>
          <w:p>
            <w:pPr>
              <w:pStyle w:val="TableParagraph"/>
              <w:spacing w:line="281" w:lineRule="exact"/>
              <w:ind w:left="65"/>
              <w:rPr>
                <w:sz w:val="24"/>
              </w:rPr>
            </w:pPr>
            <w:r>
              <w:rPr>
                <w:sz w:val="24"/>
              </w:rPr>
              <w:t> </w:t>
            </w:r>
          </w:p>
        </w:tc>
        <w:tc>
          <w:tcPr>
            <w:tcW w:w="240" w:type="dxa"/>
          </w:tcPr>
          <w:p>
            <w:pPr>
              <w:pStyle w:val="TableParagraph"/>
              <w:spacing w:line="281" w:lineRule="exact"/>
              <w:ind w:left="65"/>
              <w:rPr>
                <w:sz w:val="24"/>
              </w:rPr>
            </w:pPr>
            <w:r>
              <w:rPr>
                <w:sz w:val="24"/>
              </w:rPr>
              <w:t> </w:t>
            </w:r>
          </w:p>
        </w:tc>
        <w:tc>
          <w:tcPr>
            <w:tcW w:w="262" w:type="dxa"/>
          </w:tcPr>
          <w:p>
            <w:pPr>
              <w:pStyle w:val="TableParagraph"/>
              <w:spacing w:line="281" w:lineRule="exact"/>
              <w:ind w:left="66"/>
              <w:rPr>
                <w:sz w:val="24"/>
              </w:rPr>
            </w:pPr>
            <w:r>
              <w:rPr>
                <w:sz w:val="24"/>
              </w:rPr>
              <w:t> </w:t>
            </w:r>
          </w:p>
        </w:tc>
        <w:tc>
          <w:tcPr>
            <w:tcW w:w="4572" w:type="dxa"/>
          </w:tcPr>
          <w:p>
            <w:pPr>
              <w:pStyle w:val="TableParagraph"/>
              <w:tabs>
                <w:tab w:pos="4365" w:val="left" w:leader="none"/>
              </w:tabs>
              <w:spacing w:line="281" w:lineRule="exact"/>
              <w:ind w:right="42"/>
              <w:jc w:val="right"/>
              <w:rPr>
                <w:rFonts w:ascii="Times New Roman" w:eastAsia="Times New Roman"/>
                <w:sz w:val="24"/>
              </w:rPr>
            </w:pPr>
            <w:r>
              <w:rPr>
                <w:sz w:val="24"/>
              </w:rPr>
              <w:t>地址：</w:t>
            </w:r>
            <w:r>
              <w:rPr>
                <w:rFonts w:ascii="Times New Roman" w:eastAsia="Times New Roman"/>
                <w:sz w:val="24"/>
                <w:u w:val="single"/>
              </w:rPr>
              <w:t> </w:t>
              <w:tab/>
            </w:r>
          </w:p>
        </w:tc>
      </w:tr>
      <w:tr>
        <w:trPr>
          <w:trHeight w:val="472" w:hRule="atLeast"/>
        </w:trPr>
        <w:tc>
          <w:tcPr>
            <w:tcW w:w="230" w:type="dxa"/>
          </w:tcPr>
          <w:p>
            <w:pPr>
              <w:pStyle w:val="TableParagraph"/>
              <w:spacing w:before="73"/>
              <w:ind w:right="9"/>
              <w:jc w:val="center"/>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6"/>
              <w:jc w:val="right"/>
              <w:rPr>
                <w:sz w:val="24"/>
              </w:rPr>
            </w:pPr>
            <w:r>
              <w:rPr>
                <w:sz w:val="24"/>
              </w:rPr>
              <w:t> </w:t>
            </w:r>
          </w:p>
        </w:tc>
        <w:tc>
          <w:tcPr>
            <w:tcW w:w="240" w:type="dxa"/>
          </w:tcPr>
          <w:p>
            <w:pPr>
              <w:pStyle w:val="TableParagraph"/>
              <w:spacing w:before="73"/>
              <w:ind w:right="56"/>
              <w:jc w:val="right"/>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5"/>
              <w:jc w:val="right"/>
              <w:rPr>
                <w:sz w:val="24"/>
              </w:rPr>
            </w:pPr>
            <w:r>
              <w:rPr>
                <w:sz w:val="24"/>
              </w:rPr>
              <w:t> </w:t>
            </w:r>
          </w:p>
        </w:tc>
        <w:tc>
          <w:tcPr>
            <w:tcW w:w="240" w:type="dxa"/>
          </w:tcPr>
          <w:p>
            <w:pPr>
              <w:pStyle w:val="TableParagraph"/>
              <w:spacing w:before="73"/>
              <w:ind w:left="5"/>
              <w:jc w:val="center"/>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4"/>
              <w:rPr>
                <w:sz w:val="24"/>
              </w:rPr>
            </w:pPr>
            <w:r>
              <w:rPr>
                <w:sz w:val="24"/>
              </w:rPr>
              <w:t> </w:t>
            </w:r>
          </w:p>
        </w:tc>
        <w:tc>
          <w:tcPr>
            <w:tcW w:w="240" w:type="dxa"/>
          </w:tcPr>
          <w:p>
            <w:pPr>
              <w:pStyle w:val="TableParagraph"/>
              <w:spacing w:before="73"/>
              <w:ind w:left="64"/>
              <w:rPr>
                <w:sz w:val="24"/>
              </w:rPr>
            </w:pPr>
            <w:r>
              <w:rPr>
                <w:sz w:val="24"/>
              </w:rPr>
              <w:t> </w:t>
            </w:r>
          </w:p>
        </w:tc>
        <w:tc>
          <w:tcPr>
            <w:tcW w:w="240" w:type="dxa"/>
          </w:tcPr>
          <w:p>
            <w:pPr>
              <w:pStyle w:val="TableParagraph"/>
              <w:spacing w:before="73"/>
              <w:ind w:left="65"/>
              <w:rPr>
                <w:sz w:val="24"/>
              </w:rPr>
            </w:pPr>
            <w:r>
              <w:rPr>
                <w:sz w:val="24"/>
              </w:rPr>
              <w:t> </w:t>
            </w:r>
          </w:p>
        </w:tc>
        <w:tc>
          <w:tcPr>
            <w:tcW w:w="240" w:type="dxa"/>
          </w:tcPr>
          <w:p>
            <w:pPr>
              <w:pStyle w:val="TableParagraph"/>
              <w:spacing w:before="73"/>
              <w:ind w:left="65"/>
              <w:rPr>
                <w:sz w:val="24"/>
              </w:rPr>
            </w:pPr>
            <w:r>
              <w:rPr>
                <w:sz w:val="24"/>
              </w:rPr>
              <w:t> </w:t>
            </w:r>
          </w:p>
        </w:tc>
        <w:tc>
          <w:tcPr>
            <w:tcW w:w="240" w:type="dxa"/>
          </w:tcPr>
          <w:p>
            <w:pPr>
              <w:pStyle w:val="TableParagraph"/>
              <w:spacing w:before="73"/>
              <w:ind w:left="65"/>
              <w:rPr>
                <w:sz w:val="24"/>
              </w:rPr>
            </w:pPr>
            <w:r>
              <w:rPr>
                <w:sz w:val="24"/>
              </w:rPr>
              <w:t> </w:t>
            </w:r>
          </w:p>
        </w:tc>
        <w:tc>
          <w:tcPr>
            <w:tcW w:w="262" w:type="dxa"/>
          </w:tcPr>
          <w:p>
            <w:pPr>
              <w:pStyle w:val="TableParagraph"/>
              <w:spacing w:before="73"/>
              <w:ind w:left="66"/>
              <w:rPr>
                <w:sz w:val="24"/>
              </w:rPr>
            </w:pPr>
            <w:r>
              <w:rPr>
                <w:sz w:val="24"/>
              </w:rPr>
              <w:t> </w:t>
            </w:r>
          </w:p>
        </w:tc>
        <w:tc>
          <w:tcPr>
            <w:tcW w:w="4572" w:type="dxa"/>
          </w:tcPr>
          <w:p>
            <w:pPr>
              <w:pStyle w:val="TableParagraph"/>
              <w:tabs>
                <w:tab w:pos="4365" w:val="left" w:leader="none"/>
              </w:tabs>
              <w:spacing w:before="73"/>
              <w:ind w:right="42"/>
              <w:jc w:val="right"/>
              <w:rPr>
                <w:rFonts w:ascii="Times New Roman" w:eastAsia="Times New Roman"/>
                <w:sz w:val="24"/>
              </w:rPr>
            </w:pPr>
            <w:r>
              <w:rPr>
                <w:sz w:val="24"/>
              </w:rPr>
              <w:t>网址：</w:t>
            </w:r>
            <w:r>
              <w:rPr>
                <w:rFonts w:ascii="Times New Roman" w:eastAsia="Times New Roman"/>
                <w:sz w:val="24"/>
                <w:u w:val="single"/>
              </w:rPr>
              <w:t> </w:t>
              <w:tab/>
            </w:r>
          </w:p>
        </w:tc>
      </w:tr>
      <w:tr>
        <w:trPr>
          <w:trHeight w:val="472" w:hRule="atLeast"/>
        </w:trPr>
        <w:tc>
          <w:tcPr>
            <w:tcW w:w="230" w:type="dxa"/>
          </w:tcPr>
          <w:p>
            <w:pPr>
              <w:pStyle w:val="TableParagraph"/>
              <w:spacing w:before="81"/>
              <w:ind w:right="9"/>
              <w:jc w:val="center"/>
              <w:rPr>
                <w:sz w:val="24"/>
              </w:rPr>
            </w:pPr>
            <w:r>
              <w:rPr>
                <w:sz w:val="24"/>
              </w:rPr>
              <w:t> </w:t>
            </w:r>
          </w:p>
        </w:tc>
        <w:tc>
          <w:tcPr>
            <w:tcW w:w="240" w:type="dxa"/>
          </w:tcPr>
          <w:p>
            <w:pPr>
              <w:pStyle w:val="TableParagraph"/>
              <w:spacing w:before="81"/>
              <w:ind w:right="57"/>
              <w:jc w:val="right"/>
              <w:rPr>
                <w:sz w:val="24"/>
              </w:rPr>
            </w:pPr>
            <w:r>
              <w:rPr>
                <w:sz w:val="24"/>
              </w:rPr>
              <w:t> </w:t>
            </w:r>
          </w:p>
        </w:tc>
        <w:tc>
          <w:tcPr>
            <w:tcW w:w="240" w:type="dxa"/>
          </w:tcPr>
          <w:p>
            <w:pPr>
              <w:pStyle w:val="TableParagraph"/>
              <w:spacing w:before="81"/>
              <w:ind w:right="57"/>
              <w:jc w:val="right"/>
              <w:rPr>
                <w:sz w:val="24"/>
              </w:rPr>
            </w:pPr>
            <w:r>
              <w:rPr>
                <w:sz w:val="24"/>
              </w:rPr>
              <w:t> </w:t>
            </w:r>
          </w:p>
        </w:tc>
        <w:tc>
          <w:tcPr>
            <w:tcW w:w="240" w:type="dxa"/>
          </w:tcPr>
          <w:p>
            <w:pPr>
              <w:pStyle w:val="TableParagraph"/>
              <w:spacing w:before="81"/>
              <w:ind w:right="56"/>
              <w:jc w:val="right"/>
              <w:rPr>
                <w:sz w:val="24"/>
              </w:rPr>
            </w:pPr>
            <w:r>
              <w:rPr>
                <w:sz w:val="24"/>
              </w:rPr>
              <w:t> </w:t>
            </w:r>
          </w:p>
        </w:tc>
        <w:tc>
          <w:tcPr>
            <w:tcW w:w="240" w:type="dxa"/>
          </w:tcPr>
          <w:p>
            <w:pPr>
              <w:pStyle w:val="TableParagraph"/>
              <w:spacing w:before="81"/>
              <w:ind w:right="56"/>
              <w:jc w:val="right"/>
              <w:rPr>
                <w:sz w:val="24"/>
              </w:rPr>
            </w:pPr>
            <w:r>
              <w:rPr>
                <w:sz w:val="24"/>
              </w:rPr>
              <w:t> </w:t>
            </w:r>
          </w:p>
        </w:tc>
        <w:tc>
          <w:tcPr>
            <w:tcW w:w="240" w:type="dxa"/>
          </w:tcPr>
          <w:p>
            <w:pPr>
              <w:pStyle w:val="TableParagraph"/>
              <w:spacing w:before="81"/>
              <w:ind w:right="57"/>
              <w:jc w:val="right"/>
              <w:rPr>
                <w:sz w:val="24"/>
              </w:rPr>
            </w:pPr>
            <w:r>
              <w:rPr>
                <w:sz w:val="24"/>
              </w:rPr>
              <w:t> </w:t>
            </w:r>
          </w:p>
        </w:tc>
        <w:tc>
          <w:tcPr>
            <w:tcW w:w="240" w:type="dxa"/>
          </w:tcPr>
          <w:p>
            <w:pPr>
              <w:pStyle w:val="TableParagraph"/>
              <w:spacing w:before="81"/>
              <w:ind w:right="55"/>
              <w:jc w:val="right"/>
              <w:rPr>
                <w:sz w:val="24"/>
              </w:rPr>
            </w:pPr>
            <w:r>
              <w:rPr>
                <w:sz w:val="24"/>
              </w:rPr>
              <w:t> </w:t>
            </w:r>
          </w:p>
        </w:tc>
        <w:tc>
          <w:tcPr>
            <w:tcW w:w="240" w:type="dxa"/>
          </w:tcPr>
          <w:p>
            <w:pPr>
              <w:pStyle w:val="TableParagraph"/>
              <w:spacing w:before="81"/>
              <w:ind w:left="5"/>
              <w:jc w:val="center"/>
              <w:rPr>
                <w:sz w:val="24"/>
              </w:rPr>
            </w:pPr>
            <w:r>
              <w:rPr>
                <w:sz w:val="24"/>
              </w:rPr>
              <w:t> </w:t>
            </w:r>
          </w:p>
        </w:tc>
        <w:tc>
          <w:tcPr>
            <w:tcW w:w="240" w:type="dxa"/>
          </w:tcPr>
          <w:p>
            <w:pPr>
              <w:pStyle w:val="TableParagraph"/>
              <w:spacing w:before="81"/>
              <w:ind w:left="63"/>
              <w:rPr>
                <w:sz w:val="24"/>
              </w:rPr>
            </w:pPr>
            <w:r>
              <w:rPr>
                <w:sz w:val="24"/>
              </w:rPr>
              <w:t> </w:t>
            </w:r>
          </w:p>
        </w:tc>
        <w:tc>
          <w:tcPr>
            <w:tcW w:w="240" w:type="dxa"/>
          </w:tcPr>
          <w:p>
            <w:pPr>
              <w:pStyle w:val="TableParagraph"/>
              <w:spacing w:before="81"/>
              <w:ind w:left="63"/>
              <w:rPr>
                <w:sz w:val="24"/>
              </w:rPr>
            </w:pPr>
            <w:r>
              <w:rPr>
                <w:sz w:val="24"/>
              </w:rPr>
              <w:t> </w:t>
            </w:r>
          </w:p>
        </w:tc>
        <w:tc>
          <w:tcPr>
            <w:tcW w:w="240" w:type="dxa"/>
          </w:tcPr>
          <w:p>
            <w:pPr>
              <w:pStyle w:val="TableParagraph"/>
              <w:spacing w:before="81"/>
              <w:ind w:left="63"/>
              <w:rPr>
                <w:sz w:val="24"/>
              </w:rPr>
            </w:pPr>
            <w:r>
              <w:rPr>
                <w:sz w:val="24"/>
              </w:rPr>
              <w:t> </w:t>
            </w:r>
          </w:p>
        </w:tc>
        <w:tc>
          <w:tcPr>
            <w:tcW w:w="240" w:type="dxa"/>
          </w:tcPr>
          <w:p>
            <w:pPr>
              <w:pStyle w:val="TableParagraph"/>
              <w:spacing w:before="81"/>
              <w:ind w:left="64"/>
              <w:rPr>
                <w:sz w:val="24"/>
              </w:rPr>
            </w:pPr>
            <w:r>
              <w:rPr>
                <w:sz w:val="24"/>
              </w:rPr>
              <w:t> </w:t>
            </w:r>
          </w:p>
        </w:tc>
        <w:tc>
          <w:tcPr>
            <w:tcW w:w="240" w:type="dxa"/>
          </w:tcPr>
          <w:p>
            <w:pPr>
              <w:pStyle w:val="TableParagraph"/>
              <w:spacing w:before="81"/>
              <w:ind w:left="64"/>
              <w:rPr>
                <w:sz w:val="24"/>
              </w:rPr>
            </w:pPr>
            <w:r>
              <w:rPr>
                <w:sz w:val="24"/>
              </w:rPr>
              <w:t> </w:t>
            </w:r>
          </w:p>
        </w:tc>
        <w:tc>
          <w:tcPr>
            <w:tcW w:w="240" w:type="dxa"/>
          </w:tcPr>
          <w:p>
            <w:pPr>
              <w:pStyle w:val="TableParagraph"/>
              <w:spacing w:before="81"/>
              <w:ind w:left="65"/>
              <w:rPr>
                <w:sz w:val="24"/>
              </w:rPr>
            </w:pPr>
            <w:r>
              <w:rPr>
                <w:sz w:val="24"/>
              </w:rPr>
              <w:t> </w:t>
            </w:r>
          </w:p>
        </w:tc>
        <w:tc>
          <w:tcPr>
            <w:tcW w:w="240" w:type="dxa"/>
          </w:tcPr>
          <w:p>
            <w:pPr>
              <w:pStyle w:val="TableParagraph"/>
              <w:spacing w:before="81"/>
              <w:ind w:left="65"/>
              <w:rPr>
                <w:sz w:val="24"/>
              </w:rPr>
            </w:pPr>
            <w:r>
              <w:rPr>
                <w:sz w:val="24"/>
              </w:rPr>
              <w:t> </w:t>
            </w:r>
          </w:p>
        </w:tc>
        <w:tc>
          <w:tcPr>
            <w:tcW w:w="240" w:type="dxa"/>
          </w:tcPr>
          <w:p>
            <w:pPr>
              <w:pStyle w:val="TableParagraph"/>
              <w:spacing w:before="81"/>
              <w:ind w:left="65"/>
              <w:rPr>
                <w:sz w:val="24"/>
              </w:rPr>
            </w:pPr>
            <w:r>
              <w:rPr>
                <w:sz w:val="24"/>
              </w:rPr>
              <w:t> </w:t>
            </w:r>
          </w:p>
        </w:tc>
        <w:tc>
          <w:tcPr>
            <w:tcW w:w="262" w:type="dxa"/>
          </w:tcPr>
          <w:p>
            <w:pPr>
              <w:pStyle w:val="TableParagraph"/>
              <w:spacing w:before="81"/>
              <w:ind w:left="66"/>
              <w:rPr>
                <w:sz w:val="24"/>
              </w:rPr>
            </w:pPr>
            <w:r>
              <w:rPr>
                <w:sz w:val="24"/>
              </w:rPr>
              <w:t> </w:t>
            </w:r>
          </w:p>
        </w:tc>
        <w:tc>
          <w:tcPr>
            <w:tcW w:w="4572" w:type="dxa"/>
          </w:tcPr>
          <w:p>
            <w:pPr>
              <w:pStyle w:val="TableParagraph"/>
              <w:tabs>
                <w:tab w:pos="4365" w:val="left" w:leader="none"/>
              </w:tabs>
              <w:spacing w:before="81"/>
              <w:ind w:right="42"/>
              <w:jc w:val="right"/>
              <w:rPr>
                <w:rFonts w:ascii="Times New Roman" w:eastAsia="Times New Roman"/>
                <w:sz w:val="24"/>
              </w:rPr>
            </w:pPr>
            <w:r>
              <w:rPr>
                <w:sz w:val="24"/>
              </w:rPr>
              <w:t>电话：</w:t>
            </w:r>
            <w:r>
              <w:rPr>
                <w:rFonts w:ascii="Times New Roman" w:eastAsia="Times New Roman"/>
                <w:sz w:val="24"/>
                <w:u w:val="single"/>
              </w:rPr>
              <w:t> </w:t>
              <w:tab/>
            </w:r>
          </w:p>
        </w:tc>
      </w:tr>
      <w:tr>
        <w:trPr>
          <w:trHeight w:val="465" w:hRule="atLeast"/>
        </w:trPr>
        <w:tc>
          <w:tcPr>
            <w:tcW w:w="230" w:type="dxa"/>
          </w:tcPr>
          <w:p>
            <w:pPr>
              <w:pStyle w:val="TableParagraph"/>
              <w:spacing w:before="73"/>
              <w:ind w:right="9"/>
              <w:jc w:val="center"/>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6"/>
              <w:jc w:val="right"/>
              <w:rPr>
                <w:sz w:val="24"/>
              </w:rPr>
            </w:pPr>
            <w:r>
              <w:rPr>
                <w:sz w:val="24"/>
              </w:rPr>
              <w:t> </w:t>
            </w:r>
          </w:p>
        </w:tc>
        <w:tc>
          <w:tcPr>
            <w:tcW w:w="240" w:type="dxa"/>
          </w:tcPr>
          <w:p>
            <w:pPr>
              <w:pStyle w:val="TableParagraph"/>
              <w:spacing w:before="73"/>
              <w:ind w:right="56"/>
              <w:jc w:val="right"/>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5"/>
              <w:jc w:val="right"/>
              <w:rPr>
                <w:sz w:val="24"/>
              </w:rPr>
            </w:pPr>
            <w:r>
              <w:rPr>
                <w:sz w:val="24"/>
              </w:rPr>
              <w:t> </w:t>
            </w:r>
          </w:p>
        </w:tc>
        <w:tc>
          <w:tcPr>
            <w:tcW w:w="240" w:type="dxa"/>
          </w:tcPr>
          <w:p>
            <w:pPr>
              <w:pStyle w:val="TableParagraph"/>
              <w:spacing w:before="73"/>
              <w:ind w:left="5"/>
              <w:jc w:val="center"/>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4"/>
              <w:rPr>
                <w:sz w:val="24"/>
              </w:rPr>
            </w:pPr>
            <w:r>
              <w:rPr>
                <w:sz w:val="24"/>
              </w:rPr>
              <w:t> </w:t>
            </w:r>
          </w:p>
        </w:tc>
        <w:tc>
          <w:tcPr>
            <w:tcW w:w="240" w:type="dxa"/>
          </w:tcPr>
          <w:p>
            <w:pPr>
              <w:pStyle w:val="TableParagraph"/>
              <w:spacing w:before="73"/>
              <w:ind w:left="64"/>
              <w:rPr>
                <w:sz w:val="24"/>
              </w:rPr>
            </w:pPr>
            <w:r>
              <w:rPr>
                <w:sz w:val="24"/>
              </w:rPr>
              <w:t> </w:t>
            </w:r>
          </w:p>
        </w:tc>
        <w:tc>
          <w:tcPr>
            <w:tcW w:w="240" w:type="dxa"/>
          </w:tcPr>
          <w:p>
            <w:pPr>
              <w:pStyle w:val="TableParagraph"/>
              <w:spacing w:before="73"/>
              <w:ind w:left="65"/>
              <w:rPr>
                <w:sz w:val="24"/>
              </w:rPr>
            </w:pPr>
            <w:r>
              <w:rPr>
                <w:sz w:val="24"/>
              </w:rPr>
              <w:t> </w:t>
            </w:r>
          </w:p>
        </w:tc>
        <w:tc>
          <w:tcPr>
            <w:tcW w:w="240" w:type="dxa"/>
          </w:tcPr>
          <w:p>
            <w:pPr>
              <w:pStyle w:val="TableParagraph"/>
              <w:spacing w:before="73"/>
              <w:ind w:left="65"/>
              <w:rPr>
                <w:sz w:val="24"/>
              </w:rPr>
            </w:pPr>
            <w:r>
              <w:rPr>
                <w:sz w:val="24"/>
              </w:rPr>
              <w:t> </w:t>
            </w:r>
          </w:p>
        </w:tc>
        <w:tc>
          <w:tcPr>
            <w:tcW w:w="240" w:type="dxa"/>
          </w:tcPr>
          <w:p>
            <w:pPr>
              <w:pStyle w:val="TableParagraph"/>
              <w:spacing w:before="73"/>
              <w:ind w:left="65"/>
              <w:rPr>
                <w:sz w:val="24"/>
              </w:rPr>
            </w:pPr>
            <w:r>
              <w:rPr>
                <w:sz w:val="24"/>
              </w:rPr>
              <w:t> </w:t>
            </w:r>
          </w:p>
        </w:tc>
        <w:tc>
          <w:tcPr>
            <w:tcW w:w="262" w:type="dxa"/>
          </w:tcPr>
          <w:p>
            <w:pPr>
              <w:pStyle w:val="TableParagraph"/>
              <w:spacing w:before="73"/>
              <w:ind w:left="66"/>
              <w:rPr>
                <w:sz w:val="24"/>
              </w:rPr>
            </w:pPr>
            <w:r>
              <w:rPr>
                <w:sz w:val="24"/>
              </w:rPr>
              <w:t> </w:t>
            </w:r>
          </w:p>
        </w:tc>
        <w:tc>
          <w:tcPr>
            <w:tcW w:w="4572" w:type="dxa"/>
          </w:tcPr>
          <w:p>
            <w:pPr>
              <w:pStyle w:val="TableParagraph"/>
              <w:tabs>
                <w:tab w:pos="4365" w:val="left" w:leader="none"/>
              </w:tabs>
              <w:spacing w:before="73"/>
              <w:ind w:right="42"/>
              <w:jc w:val="right"/>
              <w:rPr>
                <w:rFonts w:ascii="Times New Roman" w:eastAsia="Times New Roman"/>
                <w:sz w:val="24"/>
              </w:rPr>
            </w:pPr>
            <w:r>
              <w:rPr>
                <w:sz w:val="24"/>
              </w:rPr>
              <w:t>传真：</w:t>
            </w:r>
            <w:r>
              <w:rPr>
                <w:rFonts w:ascii="Times New Roman" w:eastAsia="Times New Roman"/>
                <w:sz w:val="24"/>
                <w:u w:val="single"/>
              </w:rPr>
              <w:t> </w:t>
              <w:tab/>
            </w:r>
          </w:p>
        </w:tc>
      </w:tr>
      <w:tr>
        <w:trPr>
          <w:trHeight w:val="692" w:hRule="atLeast"/>
        </w:trPr>
        <w:tc>
          <w:tcPr>
            <w:tcW w:w="230" w:type="dxa"/>
          </w:tcPr>
          <w:p>
            <w:pPr>
              <w:pStyle w:val="TableParagraph"/>
              <w:spacing w:before="73"/>
              <w:ind w:right="9"/>
              <w:jc w:val="center"/>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6"/>
              <w:jc w:val="right"/>
              <w:rPr>
                <w:sz w:val="24"/>
              </w:rPr>
            </w:pPr>
            <w:r>
              <w:rPr>
                <w:sz w:val="24"/>
              </w:rPr>
              <w:t> </w:t>
            </w:r>
          </w:p>
        </w:tc>
        <w:tc>
          <w:tcPr>
            <w:tcW w:w="240" w:type="dxa"/>
          </w:tcPr>
          <w:p>
            <w:pPr>
              <w:pStyle w:val="TableParagraph"/>
              <w:spacing w:before="73"/>
              <w:ind w:right="56"/>
              <w:jc w:val="right"/>
              <w:rPr>
                <w:sz w:val="24"/>
              </w:rPr>
            </w:pPr>
            <w:r>
              <w:rPr>
                <w:sz w:val="24"/>
              </w:rPr>
              <w:t> </w:t>
            </w:r>
          </w:p>
        </w:tc>
        <w:tc>
          <w:tcPr>
            <w:tcW w:w="240" w:type="dxa"/>
          </w:tcPr>
          <w:p>
            <w:pPr>
              <w:pStyle w:val="TableParagraph"/>
              <w:spacing w:before="73"/>
              <w:ind w:right="57"/>
              <w:jc w:val="right"/>
              <w:rPr>
                <w:sz w:val="24"/>
              </w:rPr>
            </w:pPr>
            <w:r>
              <w:rPr>
                <w:sz w:val="24"/>
              </w:rPr>
              <w:t> </w:t>
            </w:r>
          </w:p>
        </w:tc>
        <w:tc>
          <w:tcPr>
            <w:tcW w:w="240" w:type="dxa"/>
          </w:tcPr>
          <w:p>
            <w:pPr>
              <w:pStyle w:val="TableParagraph"/>
              <w:spacing w:before="73"/>
              <w:ind w:right="55"/>
              <w:jc w:val="right"/>
              <w:rPr>
                <w:sz w:val="24"/>
              </w:rPr>
            </w:pPr>
            <w:r>
              <w:rPr>
                <w:sz w:val="24"/>
              </w:rPr>
              <w:t> </w:t>
            </w:r>
          </w:p>
        </w:tc>
        <w:tc>
          <w:tcPr>
            <w:tcW w:w="240" w:type="dxa"/>
          </w:tcPr>
          <w:p>
            <w:pPr>
              <w:pStyle w:val="TableParagraph"/>
              <w:spacing w:before="73"/>
              <w:ind w:left="5"/>
              <w:jc w:val="center"/>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3"/>
              <w:rPr>
                <w:sz w:val="24"/>
              </w:rPr>
            </w:pPr>
            <w:r>
              <w:rPr>
                <w:sz w:val="24"/>
              </w:rPr>
              <w:t> </w:t>
            </w:r>
          </w:p>
        </w:tc>
        <w:tc>
          <w:tcPr>
            <w:tcW w:w="240" w:type="dxa"/>
          </w:tcPr>
          <w:p>
            <w:pPr>
              <w:pStyle w:val="TableParagraph"/>
              <w:spacing w:before="73"/>
              <w:ind w:left="64"/>
              <w:rPr>
                <w:sz w:val="24"/>
              </w:rPr>
            </w:pPr>
            <w:r>
              <w:rPr>
                <w:sz w:val="24"/>
              </w:rPr>
              <w:t> </w:t>
            </w:r>
          </w:p>
        </w:tc>
        <w:tc>
          <w:tcPr>
            <w:tcW w:w="240" w:type="dxa"/>
          </w:tcPr>
          <w:p>
            <w:pPr>
              <w:pStyle w:val="TableParagraph"/>
              <w:spacing w:before="73"/>
              <w:ind w:left="64"/>
              <w:rPr>
                <w:sz w:val="24"/>
              </w:rPr>
            </w:pPr>
            <w:r>
              <w:rPr>
                <w:sz w:val="24"/>
              </w:rPr>
              <w:t> </w:t>
            </w:r>
          </w:p>
        </w:tc>
        <w:tc>
          <w:tcPr>
            <w:tcW w:w="240" w:type="dxa"/>
          </w:tcPr>
          <w:p>
            <w:pPr>
              <w:pStyle w:val="TableParagraph"/>
              <w:spacing w:before="73"/>
              <w:ind w:left="65"/>
              <w:rPr>
                <w:sz w:val="24"/>
              </w:rPr>
            </w:pPr>
            <w:r>
              <w:rPr>
                <w:sz w:val="24"/>
              </w:rPr>
              <w:t> </w:t>
            </w:r>
          </w:p>
        </w:tc>
        <w:tc>
          <w:tcPr>
            <w:tcW w:w="240" w:type="dxa"/>
          </w:tcPr>
          <w:p>
            <w:pPr>
              <w:pStyle w:val="TableParagraph"/>
              <w:spacing w:before="73"/>
              <w:ind w:left="65"/>
              <w:rPr>
                <w:sz w:val="24"/>
              </w:rPr>
            </w:pPr>
            <w:r>
              <w:rPr>
                <w:sz w:val="24"/>
              </w:rPr>
              <w:t> </w:t>
            </w:r>
          </w:p>
        </w:tc>
        <w:tc>
          <w:tcPr>
            <w:tcW w:w="240" w:type="dxa"/>
          </w:tcPr>
          <w:p>
            <w:pPr>
              <w:pStyle w:val="TableParagraph"/>
              <w:spacing w:before="73"/>
              <w:ind w:left="65"/>
              <w:rPr>
                <w:sz w:val="24"/>
              </w:rPr>
            </w:pPr>
            <w:r>
              <w:rPr>
                <w:sz w:val="24"/>
              </w:rPr>
              <w:t> </w:t>
            </w:r>
          </w:p>
        </w:tc>
        <w:tc>
          <w:tcPr>
            <w:tcW w:w="262" w:type="dxa"/>
          </w:tcPr>
          <w:p>
            <w:pPr>
              <w:pStyle w:val="TableParagraph"/>
              <w:spacing w:before="73"/>
              <w:ind w:left="66"/>
              <w:rPr>
                <w:sz w:val="24"/>
              </w:rPr>
            </w:pPr>
            <w:r>
              <w:rPr>
                <w:sz w:val="24"/>
              </w:rPr>
              <w:t> </w:t>
            </w:r>
          </w:p>
        </w:tc>
        <w:tc>
          <w:tcPr>
            <w:tcW w:w="4572" w:type="dxa"/>
          </w:tcPr>
          <w:p>
            <w:pPr>
              <w:pStyle w:val="TableParagraph"/>
              <w:tabs>
                <w:tab w:pos="4365" w:val="left" w:leader="none"/>
              </w:tabs>
              <w:spacing w:before="73"/>
              <w:ind w:right="42"/>
              <w:jc w:val="right"/>
              <w:rPr>
                <w:rFonts w:ascii="Times New Roman" w:eastAsia="Times New Roman"/>
                <w:sz w:val="24"/>
              </w:rPr>
            </w:pPr>
            <w:r>
              <w:rPr>
                <w:spacing w:val="-1"/>
                <w:sz w:val="24"/>
              </w:rPr>
              <w:t>邮</w:t>
            </w:r>
            <w:r>
              <w:rPr>
                <w:sz w:val="24"/>
              </w:rPr>
              <w:t>政编码：</w:t>
            </w:r>
            <w:r>
              <w:rPr>
                <w:rFonts w:ascii="Times New Roman" w:eastAsia="Times New Roman"/>
                <w:sz w:val="24"/>
                <w:u w:val="single"/>
              </w:rPr>
              <w:t> </w:t>
              <w:tab/>
            </w:r>
          </w:p>
        </w:tc>
      </w:tr>
      <w:tr>
        <w:trPr>
          <w:trHeight w:val="507" w:hRule="atLeast"/>
        </w:trPr>
        <w:tc>
          <w:tcPr>
            <w:tcW w:w="23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40" w:type="dxa"/>
          </w:tcPr>
          <w:p>
            <w:pPr>
              <w:pStyle w:val="TableParagraph"/>
              <w:rPr>
                <w:rFonts w:ascii="Times New Roman"/>
                <w:sz w:val="24"/>
              </w:rPr>
            </w:pPr>
          </w:p>
        </w:tc>
        <w:tc>
          <w:tcPr>
            <w:tcW w:w="262" w:type="dxa"/>
          </w:tcPr>
          <w:p>
            <w:pPr>
              <w:pStyle w:val="TableParagraph"/>
              <w:rPr>
                <w:rFonts w:ascii="Times New Roman"/>
                <w:sz w:val="24"/>
              </w:rPr>
            </w:pPr>
          </w:p>
        </w:tc>
        <w:tc>
          <w:tcPr>
            <w:tcW w:w="4572" w:type="dxa"/>
          </w:tcPr>
          <w:p>
            <w:pPr>
              <w:pStyle w:val="TableParagraph"/>
              <w:spacing w:before="8"/>
              <w:rPr>
                <w:sz w:val="22"/>
              </w:rPr>
            </w:pPr>
          </w:p>
          <w:p>
            <w:pPr>
              <w:pStyle w:val="TableParagraph"/>
              <w:spacing w:line="196" w:lineRule="exact"/>
              <w:ind w:left="88"/>
              <w:rPr>
                <w:rFonts w:ascii="Calibri"/>
                <w:sz w:val="18"/>
              </w:rPr>
            </w:pPr>
            <w:r>
              <w:rPr>
                <w:rFonts w:ascii="Calibri"/>
                <w:sz w:val="18"/>
              </w:rPr>
              <w:t>155</w:t>
            </w:r>
          </w:p>
        </w:tc>
      </w:tr>
    </w:tbl>
    <w:p>
      <w:pPr>
        <w:spacing w:after="0" w:line="196" w:lineRule="exact"/>
        <w:rPr>
          <w:rFonts w:ascii="Calibri"/>
          <w:sz w:val="18"/>
        </w:rPr>
        <w:sectPr>
          <w:pgSz w:w="11910" w:h="16850"/>
          <w:pgMar w:header="911" w:footer="0" w:top="1540" w:bottom="280" w:left="1300" w:right="0"/>
        </w:sectPr>
      </w:pPr>
    </w:p>
    <w:p>
      <w:pPr>
        <w:pStyle w:val="BodyText"/>
        <w:tabs>
          <w:tab w:pos="6488" w:val="left" w:leader="none"/>
          <w:tab w:pos="7329" w:val="left" w:leader="none"/>
          <w:tab w:pos="7929" w:val="left" w:leader="none"/>
        </w:tabs>
        <w:spacing w:before="135"/>
        <w:ind w:right="1403"/>
        <w:jc w:val="center"/>
      </w:pPr>
      <w:r>
        <w:rPr/>
        <w:t>                                               </w:t>
      </w:r>
      <w:r>
        <w:rPr>
          <w:spacing w:val="-2"/>
        </w:rPr>
        <w:t> </w:t>
      </w:r>
      <w:r>
        <w:rPr>
          <w:u w:val="single"/>
        </w:rPr>
        <w:t> </w:t>
        <w:tab/>
      </w:r>
      <w:r>
        <w:rPr/>
        <w:t>年</w:t>
      </w:r>
      <w:r>
        <w:rPr>
          <w:u w:val="single"/>
        </w:rPr>
        <w:t> </w:t>
        <w:tab/>
      </w:r>
      <w:r>
        <w:rPr/>
        <w:t>月</w:t>
      </w:r>
      <w:r>
        <w:rPr>
          <w:u w:val="single"/>
        </w:rPr>
        <w:t> </w:t>
        <w:tab/>
      </w:r>
      <w:r>
        <w:rPr/>
        <w:t>日</w:t>
      </w:r>
    </w:p>
    <w:p>
      <w:pPr>
        <w:pStyle w:val="Heading7"/>
        <w:spacing w:before="193"/>
        <w:ind w:left="0" w:right="1312"/>
        <w:jc w:val="center"/>
        <w:rPr>
          <w:rFonts w:ascii="黑体" w:eastAsia="黑体" w:hint="eastAsia"/>
        </w:rPr>
      </w:pPr>
      <w:r>
        <w:rPr/>
        <w:drawing>
          <wp:anchor distT="0" distB="0" distL="0" distR="0" allowOverlap="1" layoutInCell="1" locked="0" behindDoc="1" simplePos="0" relativeHeight="234913792">
            <wp:simplePos x="0" y="0"/>
            <wp:positionH relativeFrom="page">
              <wp:posOffset>974356</wp:posOffset>
            </wp:positionH>
            <wp:positionV relativeFrom="paragraph">
              <wp:posOffset>1391672</wp:posOffset>
            </wp:positionV>
            <wp:extent cx="5580781" cy="5495925"/>
            <wp:effectExtent l="0" t="0" r="0" b="0"/>
            <wp:wrapNone/>
            <wp:docPr id="133" name="image23.png"/>
            <wp:cNvGraphicFramePr>
              <a:graphicFrameLocks noChangeAspect="1"/>
            </wp:cNvGraphicFramePr>
            <a:graphic>
              <a:graphicData uri="http://schemas.openxmlformats.org/drawingml/2006/picture">
                <pic:pic>
                  <pic:nvPicPr>
                    <pic:cNvPr id="134" name="image23.png"/>
                    <pic:cNvPicPr/>
                  </pic:nvPicPr>
                  <pic:blipFill>
                    <a:blip r:embed="rId37" cstate="print"/>
                    <a:stretch>
                      <a:fillRect/>
                    </a:stretch>
                  </pic:blipFill>
                  <pic:spPr>
                    <a:xfrm>
                      <a:off x="0" y="0"/>
                      <a:ext cx="5580781" cy="5495925"/>
                    </a:xfrm>
                    <a:prstGeom prst="rect">
                      <a:avLst/>
                    </a:prstGeom>
                  </pic:spPr>
                </pic:pic>
              </a:graphicData>
            </a:graphic>
          </wp:anchor>
        </w:drawing>
      </w:r>
      <w:r>
        <w:rPr>
          <w:rFonts w:ascii="黑体" w:eastAsia="黑体" w:hint="eastAsia"/>
        </w:rPr>
        <w:t>(二)投标函附录</w:t>
      </w:r>
    </w:p>
    <w:p>
      <w:pPr>
        <w:pStyle w:val="BodyText"/>
        <w:spacing w:before="6"/>
        <w:rPr>
          <w:rFonts w:ascii="黑体"/>
          <w:sz w:val="11"/>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41"/>
        <w:gridCol w:w="2614"/>
        <w:gridCol w:w="1788"/>
        <w:gridCol w:w="1773"/>
        <w:gridCol w:w="1608"/>
      </w:tblGrid>
      <w:tr>
        <w:trPr>
          <w:trHeight w:val="465" w:hRule="atLeast"/>
        </w:trPr>
        <w:tc>
          <w:tcPr>
            <w:tcW w:w="841" w:type="dxa"/>
          </w:tcPr>
          <w:p>
            <w:pPr>
              <w:pStyle w:val="TableParagraph"/>
              <w:spacing w:before="90"/>
              <w:ind w:left="198" w:right="167"/>
              <w:jc w:val="center"/>
              <w:rPr>
                <w:sz w:val="21"/>
              </w:rPr>
            </w:pPr>
            <w:r>
              <w:rPr>
                <w:sz w:val="21"/>
              </w:rPr>
              <w:t>序号</w:t>
            </w:r>
          </w:p>
        </w:tc>
        <w:tc>
          <w:tcPr>
            <w:tcW w:w="2614" w:type="dxa"/>
          </w:tcPr>
          <w:p>
            <w:pPr>
              <w:pStyle w:val="TableParagraph"/>
              <w:spacing w:before="90"/>
              <w:ind w:left="894"/>
              <w:rPr>
                <w:sz w:val="21"/>
              </w:rPr>
            </w:pPr>
            <w:r>
              <w:rPr>
                <w:sz w:val="21"/>
              </w:rPr>
              <w:t>条款名称</w:t>
            </w:r>
          </w:p>
        </w:tc>
        <w:tc>
          <w:tcPr>
            <w:tcW w:w="1788" w:type="dxa"/>
          </w:tcPr>
          <w:p>
            <w:pPr>
              <w:pStyle w:val="TableParagraph"/>
              <w:spacing w:before="90"/>
              <w:ind w:left="367"/>
              <w:rPr>
                <w:sz w:val="21"/>
              </w:rPr>
            </w:pPr>
            <w:r>
              <w:rPr>
                <w:sz w:val="21"/>
              </w:rPr>
              <w:t>合同条款号</w:t>
            </w:r>
          </w:p>
        </w:tc>
        <w:tc>
          <w:tcPr>
            <w:tcW w:w="1773" w:type="dxa"/>
          </w:tcPr>
          <w:p>
            <w:pPr>
              <w:pStyle w:val="TableParagraph"/>
              <w:spacing w:before="90"/>
              <w:ind w:left="472"/>
              <w:rPr>
                <w:sz w:val="21"/>
              </w:rPr>
            </w:pPr>
            <w:r>
              <w:rPr>
                <w:sz w:val="21"/>
              </w:rPr>
              <w:t>约定内容</w:t>
            </w:r>
          </w:p>
        </w:tc>
        <w:tc>
          <w:tcPr>
            <w:tcW w:w="1608" w:type="dxa"/>
          </w:tcPr>
          <w:p>
            <w:pPr>
              <w:pStyle w:val="TableParagraph"/>
              <w:spacing w:before="90"/>
              <w:ind w:left="587" w:right="546"/>
              <w:jc w:val="center"/>
              <w:rPr>
                <w:sz w:val="21"/>
              </w:rPr>
            </w:pPr>
            <w:r>
              <w:rPr>
                <w:sz w:val="21"/>
              </w:rPr>
              <w:t>备注</w:t>
            </w:r>
          </w:p>
        </w:tc>
      </w:tr>
      <w:tr>
        <w:trPr>
          <w:trHeight w:val="450" w:hRule="atLeast"/>
        </w:trPr>
        <w:tc>
          <w:tcPr>
            <w:tcW w:w="841" w:type="dxa"/>
          </w:tcPr>
          <w:p>
            <w:pPr>
              <w:pStyle w:val="TableParagraph"/>
              <w:spacing w:before="85"/>
              <w:ind w:left="46"/>
              <w:jc w:val="center"/>
              <w:rPr>
                <w:rFonts w:ascii="Calibri"/>
                <w:sz w:val="21"/>
              </w:rPr>
            </w:pPr>
            <w:r>
              <w:rPr>
                <w:rFonts w:ascii="Calibri"/>
                <w:sz w:val="21"/>
              </w:rPr>
              <w:t>1</w:t>
            </w:r>
          </w:p>
        </w:tc>
        <w:tc>
          <w:tcPr>
            <w:tcW w:w="2614" w:type="dxa"/>
          </w:tcPr>
          <w:p>
            <w:pPr>
              <w:pStyle w:val="TableParagraph"/>
              <w:spacing w:before="90"/>
              <w:ind w:left="113"/>
              <w:rPr>
                <w:sz w:val="21"/>
              </w:rPr>
            </w:pPr>
            <w:r>
              <w:rPr>
                <w:sz w:val="21"/>
              </w:rPr>
              <w:t>项目经理</w:t>
            </w:r>
          </w:p>
        </w:tc>
        <w:tc>
          <w:tcPr>
            <w:tcW w:w="1788" w:type="dxa"/>
          </w:tcPr>
          <w:p>
            <w:pPr>
              <w:pStyle w:val="TableParagraph"/>
              <w:spacing w:before="85"/>
              <w:ind w:left="112"/>
              <w:rPr>
                <w:rFonts w:ascii="Calibri"/>
                <w:sz w:val="21"/>
              </w:rPr>
            </w:pPr>
            <w:r>
              <w:rPr>
                <w:rFonts w:ascii="Calibri"/>
                <w:sz w:val="21"/>
              </w:rPr>
              <w:t>1.1.2.4</w:t>
            </w:r>
          </w:p>
        </w:tc>
        <w:tc>
          <w:tcPr>
            <w:tcW w:w="1773" w:type="dxa"/>
          </w:tcPr>
          <w:p>
            <w:pPr>
              <w:pStyle w:val="TableParagraph"/>
              <w:spacing w:before="90"/>
              <w:ind w:left="111"/>
              <w:rPr>
                <w:sz w:val="21"/>
              </w:rPr>
            </w:pPr>
            <w:r>
              <w:rPr>
                <w:sz w:val="21"/>
              </w:rPr>
              <w:t>姓名：     </w:t>
            </w:r>
          </w:p>
        </w:tc>
        <w:tc>
          <w:tcPr>
            <w:tcW w:w="1608" w:type="dxa"/>
          </w:tcPr>
          <w:p>
            <w:pPr>
              <w:pStyle w:val="TableParagraph"/>
              <w:rPr>
                <w:rFonts w:ascii="Times New Roman"/>
                <w:sz w:val="20"/>
              </w:rPr>
            </w:pPr>
          </w:p>
        </w:tc>
      </w:tr>
      <w:tr>
        <w:trPr>
          <w:trHeight w:val="465" w:hRule="atLeast"/>
        </w:trPr>
        <w:tc>
          <w:tcPr>
            <w:tcW w:w="841" w:type="dxa"/>
          </w:tcPr>
          <w:p>
            <w:pPr>
              <w:pStyle w:val="TableParagraph"/>
              <w:spacing w:before="100"/>
              <w:ind w:left="46"/>
              <w:jc w:val="center"/>
              <w:rPr>
                <w:rFonts w:ascii="Calibri"/>
                <w:sz w:val="21"/>
              </w:rPr>
            </w:pPr>
            <w:r>
              <w:rPr>
                <w:rFonts w:ascii="Calibri"/>
                <w:sz w:val="21"/>
              </w:rPr>
              <w:t>2</w:t>
            </w:r>
          </w:p>
        </w:tc>
        <w:tc>
          <w:tcPr>
            <w:tcW w:w="2614" w:type="dxa"/>
          </w:tcPr>
          <w:p>
            <w:pPr>
              <w:pStyle w:val="TableParagraph"/>
              <w:spacing w:before="105"/>
              <w:ind w:left="113"/>
              <w:rPr>
                <w:sz w:val="21"/>
              </w:rPr>
            </w:pPr>
            <w:r>
              <w:rPr>
                <w:sz w:val="21"/>
              </w:rPr>
              <w:t>工期</w:t>
            </w:r>
          </w:p>
        </w:tc>
        <w:tc>
          <w:tcPr>
            <w:tcW w:w="1788" w:type="dxa"/>
          </w:tcPr>
          <w:p>
            <w:pPr>
              <w:pStyle w:val="TableParagraph"/>
              <w:spacing w:before="100"/>
              <w:ind w:left="112"/>
              <w:rPr>
                <w:rFonts w:ascii="Calibri"/>
                <w:sz w:val="21"/>
              </w:rPr>
            </w:pPr>
            <w:r>
              <w:rPr>
                <w:rFonts w:ascii="Calibri"/>
                <w:sz w:val="21"/>
              </w:rPr>
              <w:t>1.1.4.3</w:t>
            </w:r>
          </w:p>
        </w:tc>
        <w:tc>
          <w:tcPr>
            <w:tcW w:w="1773" w:type="dxa"/>
          </w:tcPr>
          <w:p>
            <w:pPr>
              <w:pStyle w:val="TableParagraph"/>
              <w:spacing w:before="105"/>
              <w:ind w:left="111"/>
              <w:rPr>
                <w:sz w:val="21"/>
              </w:rPr>
            </w:pPr>
            <w:r>
              <w:rPr>
                <w:sz w:val="21"/>
              </w:rPr>
              <w:t>天数： 日历天</w:t>
            </w:r>
          </w:p>
        </w:tc>
        <w:tc>
          <w:tcPr>
            <w:tcW w:w="1608" w:type="dxa"/>
          </w:tcPr>
          <w:p>
            <w:pPr>
              <w:pStyle w:val="TableParagraph"/>
              <w:rPr>
                <w:rFonts w:ascii="Times New Roman"/>
                <w:sz w:val="20"/>
              </w:rPr>
            </w:pPr>
          </w:p>
        </w:tc>
      </w:tr>
      <w:tr>
        <w:trPr>
          <w:trHeight w:val="931" w:hRule="atLeast"/>
        </w:trPr>
        <w:tc>
          <w:tcPr>
            <w:tcW w:w="841" w:type="dxa"/>
          </w:tcPr>
          <w:p>
            <w:pPr>
              <w:pStyle w:val="TableParagraph"/>
              <w:spacing w:before="7"/>
              <w:rPr>
                <w:rFonts w:ascii="黑体"/>
                <w:sz w:val="26"/>
              </w:rPr>
            </w:pPr>
          </w:p>
          <w:p>
            <w:pPr>
              <w:pStyle w:val="TableParagraph"/>
              <w:ind w:left="46"/>
              <w:jc w:val="center"/>
              <w:rPr>
                <w:rFonts w:ascii="Calibri"/>
                <w:sz w:val="21"/>
              </w:rPr>
            </w:pPr>
            <w:r>
              <w:rPr>
                <w:rFonts w:ascii="Calibri"/>
                <w:sz w:val="21"/>
              </w:rPr>
              <w:t>3</w:t>
            </w:r>
          </w:p>
        </w:tc>
        <w:tc>
          <w:tcPr>
            <w:tcW w:w="2614" w:type="dxa"/>
          </w:tcPr>
          <w:p>
            <w:pPr>
              <w:pStyle w:val="TableParagraph"/>
              <w:spacing w:before="105"/>
              <w:ind w:left="113"/>
              <w:rPr>
                <w:sz w:val="21"/>
              </w:rPr>
            </w:pPr>
            <w:r>
              <w:rPr>
                <w:sz w:val="21"/>
              </w:rPr>
              <w:t>缺陷责任期(工程质量保</w:t>
            </w:r>
          </w:p>
          <w:p>
            <w:pPr>
              <w:pStyle w:val="TableParagraph"/>
              <w:spacing w:before="4"/>
              <w:rPr>
                <w:rFonts w:ascii="黑体"/>
                <w:sz w:val="15"/>
              </w:rPr>
            </w:pPr>
          </w:p>
          <w:p>
            <w:pPr>
              <w:pStyle w:val="TableParagraph"/>
              <w:ind w:left="113"/>
              <w:rPr>
                <w:sz w:val="21"/>
              </w:rPr>
            </w:pPr>
            <w:r>
              <w:rPr>
                <w:sz w:val="21"/>
              </w:rPr>
              <w:t>修期)</w:t>
            </w:r>
          </w:p>
        </w:tc>
        <w:tc>
          <w:tcPr>
            <w:tcW w:w="1788" w:type="dxa"/>
          </w:tcPr>
          <w:p>
            <w:pPr>
              <w:pStyle w:val="TableParagraph"/>
              <w:spacing w:before="100"/>
              <w:ind w:left="112"/>
              <w:rPr>
                <w:rFonts w:ascii="Calibri"/>
                <w:sz w:val="21"/>
              </w:rPr>
            </w:pPr>
            <w:r>
              <w:rPr>
                <w:rFonts w:ascii="Calibri"/>
                <w:sz w:val="21"/>
              </w:rPr>
              <w:t>1.1.4.5</w:t>
            </w:r>
          </w:p>
        </w:tc>
        <w:tc>
          <w:tcPr>
            <w:tcW w:w="1773" w:type="dxa"/>
          </w:tcPr>
          <w:p>
            <w:pPr>
              <w:pStyle w:val="TableParagraph"/>
              <w:rPr>
                <w:rFonts w:ascii="Times New Roman"/>
                <w:sz w:val="20"/>
              </w:rPr>
            </w:pPr>
          </w:p>
        </w:tc>
        <w:tc>
          <w:tcPr>
            <w:tcW w:w="1608" w:type="dxa"/>
          </w:tcPr>
          <w:p>
            <w:pPr>
              <w:pStyle w:val="TableParagraph"/>
              <w:rPr>
                <w:rFonts w:ascii="Times New Roman"/>
                <w:sz w:val="20"/>
              </w:rPr>
            </w:pPr>
          </w:p>
        </w:tc>
      </w:tr>
      <w:tr>
        <w:trPr>
          <w:trHeight w:val="465" w:hRule="atLeast"/>
        </w:trPr>
        <w:tc>
          <w:tcPr>
            <w:tcW w:w="841" w:type="dxa"/>
          </w:tcPr>
          <w:p>
            <w:pPr>
              <w:pStyle w:val="TableParagraph"/>
              <w:spacing w:before="100"/>
              <w:ind w:left="46"/>
              <w:jc w:val="center"/>
              <w:rPr>
                <w:rFonts w:ascii="Calibri"/>
                <w:sz w:val="21"/>
              </w:rPr>
            </w:pPr>
            <w:r>
              <w:rPr>
                <w:rFonts w:ascii="Calibri"/>
                <w:sz w:val="21"/>
              </w:rPr>
              <w:t>4</w:t>
            </w:r>
          </w:p>
        </w:tc>
        <w:tc>
          <w:tcPr>
            <w:tcW w:w="2614" w:type="dxa"/>
          </w:tcPr>
          <w:p>
            <w:pPr>
              <w:pStyle w:val="TableParagraph"/>
              <w:spacing w:before="105"/>
              <w:ind w:left="113"/>
              <w:rPr>
                <w:sz w:val="21"/>
              </w:rPr>
            </w:pPr>
            <w:r>
              <w:rPr>
                <w:sz w:val="21"/>
              </w:rPr>
              <w:t>分包</w:t>
            </w:r>
          </w:p>
        </w:tc>
        <w:tc>
          <w:tcPr>
            <w:tcW w:w="1788" w:type="dxa"/>
          </w:tcPr>
          <w:p>
            <w:pPr>
              <w:pStyle w:val="TableParagraph"/>
              <w:spacing w:before="100"/>
              <w:ind w:left="112"/>
              <w:rPr>
                <w:rFonts w:ascii="Calibri"/>
                <w:sz w:val="21"/>
              </w:rPr>
            </w:pPr>
            <w:r>
              <w:rPr>
                <w:rFonts w:ascii="Calibri"/>
                <w:sz w:val="21"/>
              </w:rPr>
              <w:t>4.3</w:t>
            </w:r>
          </w:p>
        </w:tc>
        <w:tc>
          <w:tcPr>
            <w:tcW w:w="1773" w:type="dxa"/>
          </w:tcPr>
          <w:p>
            <w:pPr>
              <w:pStyle w:val="TableParagraph"/>
              <w:rPr>
                <w:rFonts w:ascii="Times New Roman"/>
                <w:sz w:val="20"/>
              </w:rPr>
            </w:pPr>
          </w:p>
        </w:tc>
        <w:tc>
          <w:tcPr>
            <w:tcW w:w="1608" w:type="dxa"/>
          </w:tcPr>
          <w:p>
            <w:pPr>
              <w:pStyle w:val="TableParagraph"/>
              <w:rPr>
                <w:rFonts w:ascii="Times New Roman"/>
                <w:sz w:val="20"/>
              </w:rPr>
            </w:pPr>
          </w:p>
        </w:tc>
      </w:tr>
      <w:tr>
        <w:trPr>
          <w:trHeight w:val="465" w:hRule="atLeast"/>
        </w:trPr>
        <w:tc>
          <w:tcPr>
            <w:tcW w:w="841" w:type="dxa"/>
          </w:tcPr>
          <w:p>
            <w:pPr>
              <w:pStyle w:val="TableParagraph"/>
              <w:rPr>
                <w:rFonts w:ascii="Times New Roman"/>
                <w:sz w:val="20"/>
              </w:rPr>
            </w:pPr>
          </w:p>
        </w:tc>
        <w:tc>
          <w:tcPr>
            <w:tcW w:w="2614" w:type="dxa"/>
          </w:tcPr>
          <w:p>
            <w:pPr>
              <w:pStyle w:val="TableParagraph"/>
              <w:rPr>
                <w:rFonts w:ascii="Times New Roman"/>
                <w:sz w:val="20"/>
              </w:rPr>
            </w:pPr>
          </w:p>
        </w:tc>
        <w:tc>
          <w:tcPr>
            <w:tcW w:w="1788" w:type="dxa"/>
          </w:tcPr>
          <w:p>
            <w:pPr>
              <w:pStyle w:val="TableParagraph"/>
              <w:rPr>
                <w:rFonts w:ascii="Times New Roman"/>
                <w:sz w:val="20"/>
              </w:rPr>
            </w:pPr>
          </w:p>
        </w:tc>
        <w:tc>
          <w:tcPr>
            <w:tcW w:w="1773" w:type="dxa"/>
          </w:tcPr>
          <w:p>
            <w:pPr>
              <w:pStyle w:val="TableParagraph"/>
              <w:rPr>
                <w:rFonts w:ascii="Times New Roman"/>
                <w:sz w:val="20"/>
              </w:rPr>
            </w:pPr>
          </w:p>
        </w:tc>
        <w:tc>
          <w:tcPr>
            <w:tcW w:w="1608" w:type="dxa"/>
          </w:tcPr>
          <w:p>
            <w:pPr>
              <w:pStyle w:val="TableParagraph"/>
              <w:rPr>
                <w:rFonts w:ascii="Times New Roman"/>
                <w:sz w:val="20"/>
              </w:rPr>
            </w:pPr>
          </w:p>
        </w:tc>
      </w:tr>
      <w:tr>
        <w:trPr>
          <w:trHeight w:val="465" w:hRule="atLeast"/>
        </w:trPr>
        <w:tc>
          <w:tcPr>
            <w:tcW w:w="841" w:type="dxa"/>
          </w:tcPr>
          <w:p>
            <w:pPr>
              <w:pStyle w:val="TableParagraph"/>
              <w:spacing w:before="105"/>
              <w:ind w:left="198" w:right="167"/>
              <w:jc w:val="center"/>
              <w:rPr>
                <w:sz w:val="21"/>
              </w:rPr>
            </w:pPr>
            <w:r>
              <w:rPr>
                <w:sz w:val="21"/>
              </w:rPr>
              <w:t>……</w:t>
            </w:r>
          </w:p>
        </w:tc>
        <w:tc>
          <w:tcPr>
            <w:tcW w:w="2614" w:type="dxa"/>
          </w:tcPr>
          <w:p>
            <w:pPr>
              <w:pStyle w:val="TableParagraph"/>
              <w:spacing w:before="105"/>
              <w:ind w:left="113"/>
              <w:rPr>
                <w:sz w:val="21"/>
              </w:rPr>
            </w:pPr>
            <w:r>
              <w:rPr>
                <w:sz w:val="21"/>
              </w:rPr>
              <w:t>……</w:t>
            </w:r>
          </w:p>
        </w:tc>
        <w:tc>
          <w:tcPr>
            <w:tcW w:w="1788" w:type="dxa"/>
          </w:tcPr>
          <w:p>
            <w:pPr>
              <w:pStyle w:val="TableParagraph"/>
              <w:spacing w:before="105"/>
              <w:ind w:left="112"/>
              <w:rPr>
                <w:sz w:val="21"/>
              </w:rPr>
            </w:pPr>
            <w:r>
              <w:rPr>
                <w:sz w:val="21"/>
              </w:rPr>
              <w:t>……</w:t>
            </w:r>
          </w:p>
        </w:tc>
        <w:tc>
          <w:tcPr>
            <w:tcW w:w="1773" w:type="dxa"/>
          </w:tcPr>
          <w:p>
            <w:pPr>
              <w:pStyle w:val="TableParagraph"/>
              <w:spacing w:before="105"/>
              <w:ind w:left="111"/>
              <w:rPr>
                <w:sz w:val="21"/>
              </w:rPr>
            </w:pPr>
            <w:r>
              <w:rPr>
                <w:sz w:val="21"/>
              </w:rPr>
              <w:t>……</w:t>
            </w:r>
          </w:p>
        </w:tc>
        <w:tc>
          <w:tcPr>
            <w:tcW w:w="1608" w:type="dxa"/>
          </w:tcPr>
          <w:p>
            <w:pPr>
              <w:pStyle w:val="TableParagraph"/>
              <w:rPr>
                <w:rFonts w:ascii="Times New Roman"/>
                <w:sz w:val="20"/>
              </w:rPr>
            </w:pPr>
          </w:p>
        </w:tc>
      </w:tr>
      <w:tr>
        <w:trPr>
          <w:trHeight w:val="450" w:hRule="atLeast"/>
        </w:trPr>
        <w:tc>
          <w:tcPr>
            <w:tcW w:w="841" w:type="dxa"/>
          </w:tcPr>
          <w:p>
            <w:pPr>
              <w:pStyle w:val="TableParagraph"/>
              <w:spacing w:before="105"/>
              <w:ind w:left="198" w:right="167"/>
              <w:jc w:val="center"/>
              <w:rPr>
                <w:sz w:val="21"/>
              </w:rPr>
            </w:pPr>
            <w:r>
              <w:rPr>
                <w:sz w:val="21"/>
              </w:rPr>
              <w:t>……</w:t>
            </w:r>
          </w:p>
        </w:tc>
        <w:tc>
          <w:tcPr>
            <w:tcW w:w="2614" w:type="dxa"/>
          </w:tcPr>
          <w:p>
            <w:pPr>
              <w:pStyle w:val="TableParagraph"/>
              <w:spacing w:before="105"/>
              <w:ind w:left="113"/>
              <w:rPr>
                <w:sz w:val="21"/>
              </w:rPr>
            </w:pPr>
            <w:r>
              <w:rPr>
                <w:sz w:val="21"/>
              </w:rPr>
              <w:t>……</w:t>
            </w:r>
          </w:p>
        </w:tc>
        <w:tc>
          <w:tcPr>
            <w:tcW w:w="1788" w:type="dxa"/>
          </w:tcPr>
          <w:p>
            <w:pPr>
              <w:pStyle w:val="TableParagraph"/>
              <w:spacing w:before="105"/>
              <w:ind w:left="112"/>
              <w:rPr>
                <w:sz w:val="21"/>
              </w:rPr>
            </w:pPr>
            <w:r>
              <w:rPr>
                <w:sz w:val="21"/>
              </w:rPr>
              <w:t>……</w:t>
            </w:r>
          </w:p>
        </w:tc>
        <w:tc>
          <w:tcPr>
            <w:tcW w:w="1773" w:type="dxa"/>
          </w:tcPr>
          <w:p>
            <w:pPr>
              <w:pStyle w:val="TableParagraph"/>
              <w:spacing w:before="105"/>
              <w:ind w:left="111"/>
              <w:rPr>
                <w:sz w:val="21"/>
              </w:rPr>
            </w:pPr>
            <w:r>
              <w:rPr>
                <w:sz w:val="21"/>
              </w:rPr>
              <w:t>……</w:t>
            </w:r>
          </w:p>
        </w:tc>
        <w:tc>
          <w:tcPr>
            <w:tcW w:w="1608" w:type="dxa"/>
          </w:tcPr>
          <w:p>
            <w:pPr>
              <w:pStyle w:val="TableParagraph"/>
              <w:rPr>
                <w:rFonts w:ascii="Times New Roman"/>
                <w:sz w:val="20"/>
              </w:rPr>
            </w:pPr>
          </w:p>
        </w:tc>
      </w:tr>
    </w:tbl>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41"/>
        </w:rPr>
      </w:pPr>
    </w:p>
    <w:p>
      <w:pPr>
        <w:spacing w:before="0"/>
        <w:ind w:left="0" w:right="1282" w:firstLine="0"/>
        <w:jc w:val="center"/>
        <w:rPr>
          <w:rFonts w:ascii="Calibri"/>
          <w:sz w:val="18"/>
        </w:rPr>
      </w:pPr>
      <w:r>
        <w:rPr>
          <w:rFonts w:ascii="Calibri"/>
          <w:sz w:val="18"/>
        </w:rPr>
        <w:t>156</w:t>
      </w:r>
    </w:p>
    <w:p>
      <w:pPr>
        <w:spacing w:after="0"/>
        <w:jc w:val="center"/>
        <w:rPr>
          <w:rFonts w:ascii="Calibri"/>
          <w:sz w:val="18"/>
        </w:rPr>
        <w:sectPr>
          <w:pgSz w:w="11910" w:h="16850"/>
          <w:pgMar w:header="911" w:footer="0" w:top="1540" w:bottom="280" w:left="1300" w:right="0"/>
        </w:sectPr>
      </w:pPr>
    </w:p>
    <w:p>
      <w:pPr>
        <w:pStyle w:val="Heading3"/>
      </w:pPr>
      <w:bookmarkStart w:name="三、法定代表人身份证明" w:id="177"/>
      <w:bookmarkEnd w:id="177"/>
      <w:r>
        <w:rPr>
          <w:b w:val="0"/>
        </w:rPr>
      </w:r>
      <w:bookmarkStart w:name="_bookmark40" w:id="178"/>
      <w:bookmarkEnd w:id="178"/>
      <w:r>
        <w:rPr>
          <w:b w:val="0"/>
        </w:rPr>
      </w:r>
      <w:r>
        <w:rPr/>
        <w:t>三、法定代表人身份证明</w:t>
      </w:r>
    </w:p>
    <w:p>
      <w:pPr>
        <w:pStyle w:val="BodyText"/>
        <w:spacing w:before="1"/>
        <w:rPr>
          <w:rFonts w:ascii="黑体"/>
          <w:b/>
          <w:sz w:val="38"/>
        </w:rPr>
      </w:pPr>
    </w:p>
    <w:p>
      <w:pPr>
        <w:spacing w:before="0"/>
        <w:ind w:left="3160" w:right="0" w:firstLine="0"/>
        <w:jc w:val="left"/>
        <w:rPr>
          <w:b/>
          <w:sz w:val="31"/>
        </w:rPr>
      </w:pPr>
      <w:bookmarkStart w:name="法定代表人身份证明" w:id="179"/>
      <w:bookmarkEnd w:id="179"/>
      <w:r>
        <w:rPr/>
      </w:r>
      <w:bookmarkStart w:name="_bookmark41" w:id="180"/>
      <w:bookmarkEnd w:id="180"/>
      <w:r>
        <w:rPr/>
      </w:r>
      <w:r>
        <w:rPr>
          <w:b/>
          <w:sz w:val="31"/>
        </w:rPr>
        <w:t>法定代表人身份证明</w:t>
      </w:r>
    </w:p>
    <w:p>
      <w:pPr>
        <w:pStyle w:val="BodyText"/>
        <w:rPr>
          <w:b/>
          <w:sz w:val="32"/>
        </w:rPr>
      </w:pPr>
    </w:p>
    <w:p>
      <w:pPr>
        <w:pStyle w:val="BodyText"/>
        <w:spacing w:before="11"/>
        <w:rPr>
          <w:b/>
          <w:sz w:val="40"/>
        </w:rPr>
      </w:pPr>
    </w:p>
    <w:p>
      <w:pPr>
        <w:pStyle w:val="BodyText"/>
        <w:ind w:left="396"/>
      </w:pPr>
      <w:r>
        <w:rPr/>
        <w:pict>
          <v:group style="position:absolute;margin-left:76.721001pt;margin-top:13.110486pt;width:439.3pt;height:432.65pt;mso-position-horizontal-relative:page;mso-position-vertical-relative:paragraph;z-index:-268400640" coordorigin="1534,262" coordsize="8786,8653">
            <v:shape style="position:absolute;left:1534;top:262;width:8786;height:8653" type="#_x0000_t75" stroked="false">
              <v:imagedata r:id="rId37" o:title=""/>
            </v:shape>
            <v:shape style="position:absolute;left:1534;top:262;width:8786;height:8653" type="#_x0000_t202" filled="false" stroked="false">
              <v:textbox inset="0,0,0,0">
                <w:txbxContent>
                  <w:p>
                    <w:pPr>
                      <w:spacing w:line="367" w:lineRule="auto" w:before="203"/>
                      <w:ind w:left="162" w:right="4055" w:firstLine="0"/>
                      <w:jc w:val="left"/>
                      <w:rPr>
                        <w:sz w:val="24"/>
                      </w:rPr>
                    </w:pPr>
                    <w:r>
                      <w:rPr>
                        <w:sz w:val="24"/>
                      </w:rPr>
                      <w:t>单位性质：</w:t>
                    </w:r>
                    <w:r>
                      <w:rPr>
                        <w:sz w:val="24"/>
                        <w:u w:val="single"/>
                      </w:rPr>
                      <w:t>                          </w:t>
                    </w:r>
                    <w:r>
                      <w:rPr>
                        <w:sz w:val="24"/>
                      </w:rPr>
                      <w:t> 地 址 ：</w:t>
                    </w:r>
                    <w:r>
                      <w:rPr>
                        <w:sz w:val="24"/>
                        <w:u w:val="single"/>
                      </w:rPr>
                      <w:t>                            </w:t>
                    </w:r>
                    <w:r>
                      <w:rPr>
                        <w:sz w:val="24"/>
                      </w:rPr>
                      <w:t> 成 立 时 间 ：</w:t>
                    </w:r>
                    <w:r>
                      <w:rPr>
                        <w:sz w:val="24"/>
                        <w:u w:val="single"/>
                      </w:rPr>
                      <w:t>       </w:t>
                    </w:r>
                    <w:r>
                      <w:rPr>
                        <w:sz w:val="24"/>
                      </w:rPr>
                      <w:t>年</w:t>
                    </w:r>
                    <w:r>
                      <w:rPr>
                        <w:sz w:val="24"/>
                        <w:u w:val="single"/>
                      </w:rPr>
                      <w:t>       </w:t>
                    </w:r>
                    <w:r>
                      <w:rPr>
                        <w:sz w:val="24"/>
                      </w:rPr>
                      <w:t>月</w:t>
                    </w:r>
                    <w:r>
                      <w:rPr>
                        <w:spacing w:val="59"/>
                        <w:sz w:val="24"/>
                        <w:u w:val="single"/>
                      </w:rPr>
                      <w:t>  </w:t>
                    </w:r>
                    <w:r>
                      <w:rPr>
                        <w:sz w:val="24"/>
                      </w:rPr>
                      <w:t>日经营期限：</w:t>
                    </w:r>
                    <w:r>
                      <w:rPr>
                        <w:sz w:val="24"/>
                        <w:u w:val="single"/>
                      </w:rPr>
                      <w:t>                         </w:t>
                    </w:r>
                    <w:r>
                      <w:rPr>
                        <w:spacing w:val="-1"/>
                        <w:sz w:val="24"/>
                        <w:u w:val="single"/>
                      </w:rPr>
                      <w:t> </w:t>
                    </w:r>
                    <w:r>
                      <w:rPr>
                        <w:sz w:val="24"/>
                      </w:rPr>
                      <w:t> </w:t>
                    </w:r>
                  </w:p>
                  <w:p>
                    <w:pPr>
                      <w:spacing w:line="362" w:lineRule="auto" w:before="0"/>
                      <w:ind w:left="162" w:right="90" w:firstLine="0"/>
                      <w:jc w:val="left"/>
                      <w:rPr>
                        <w:sz w:val="24"/>
                      </w:rPr>
                    </w:pPr>
                    <w:r>
                      <w:rPr>
                        <w:sz w:val="24"/>
                      </w:rPr>
                      <w:t>姓名：</w:t>
                    </w:r>
                    <w:r>
                      <w:rPr>
                        <w:spacing w:val="3"/>
                        <w:sz w:val="24"/>
                        <w:u w:val="single"/>
                      </w:rPr>
                      <w:t>              </w:t>
                    </w:r>
                    <w:r>
                      <w:rPr>
                        <w:sz w:val="24"/>
                      </w:rPr>
                      <w:t>性别：</w:t>
                    </w:r>
                    <w:r>
                      <w:rPr>
                        <w:spacing w:val="3"/>
                        <w:sz w:val="24"/>
                        <w:u w:val="single"/>
                      </w:rPr>
                      <w:t>            </w:t>
                    </w:r>
                    <w:r>
                      <w:rPr>
                        <w:sz w:val="24"/>
                      </w:rPr>
                      <w:t>年龄：</w:t>
                    </w:r>
                    <w:r>
                      <w:rPr>
                        <w:spacing w:val="3"/>
                        <w:sz w:val="24"/>
                        <w:u w:val="single"/>
                      </w:rPr>
                      <w:t>            </w:t>
                    </w:r>
                    <w:r>
                      <w:rPr>
                        <w:sz w:val="24"/>
                      </w:rPr>
                      <w:t>身份证号码： 职 务 ：</w:t>
                    </w:r>
                    <w:r>
                      <w:rPr>
                        <w:sz w:val="24"/>
                        <w:u w:val="single"/>
                      </w:rPr>
                      <w:t> </w:t>
                    </w:r>
                    <w:r>
                      <w:rPr>
                        <w:sz w:val="24"/>
                      </w:rPr>
                      <w:t>系</w:t>
                    </w:r>
                    <w:r>
                      <w:rPr>
                        <w:spacing w:val="116"/>
                        <w:sz w:val="24"/>
                        <w:u w:val="single"/>
                      </w:rPr>
                      <w:t> </w:t>
                    </w:r>
                    <w:r>
                      <w:rPr>
                        <w:sz w:val="24"/>
                      </w:rPr>
                      <w:t>( 投 标 人 名 称 ) 的 法 定 代 表 人 。 </w:t>
                    </w:r>
                  </w:p>
                  <w:p>
                    <w:pPr>
                      <w:spacing w:before="0"/>
                      <w:ind w:left="162" w:right="0" w:firstLine="0"/>
                      <w:jc w:val="left"/>
                      <w:rPr>
                        <w:sz w:val="24"/>
                      </w:rPr>
                    </w:pPr>
                    <w:r>
                      <w:rPr>
                        <w:sz w:val="24"/>
                      </w:rPr>
                      <w:t>     </w:t>
                    </w:r>
                  </w:p>
                  <w:p>
                    <w:pPr>
                      <w:spacing w:before="170"/>
                      <w:ind w:left="162" w:right="0" w:firstLine="0"/>
                      <w:jc w:val="left"/>
                      <w:rPr>
                        <w:sz w:val="24"/>
                      </w:rPr>
                    </w:pPr>
                    <w:r>
                      <w:rPr>
                        <w:sz w:val="24"/>
                      </w:rPr>
                      <w:t> </w:t>
                    </w:r>
                  </w:p>
                  <w:p>
                    <w:pPr>
                      <w:spacing w:before="158"/>
                      <w:ind w:left="763" w:right="0" w:firstLine="0"/>
                      <w:jc w:val="left"/>
                      <w:rPr>
                        <w:sz w:val="24"/>
                      </w:rPr>
                    </w:pPr>
                    <w:r>
                      <w:rPr>
                        <w:sz w:val="24"/>
                      </w:rPr>
                      <w:t>特此证明。 </w:t>
                    </w:r>
                  </w:p>
                  <w:p>
                    <w:pPr>
                      <w:spacing w:before="157"/>
                      <w:ind w:left="162" w:right="0" w:firstLine="0"/>
                      <w:jc w:val="left"/>
                      <w:rPr>
                        <w:sz w:val="24"/>
                      </w:rPr>
                    </w:pPr>
                    <w:r>
                      <w:rPr>
                        <w:sz w:val="24"/>
                      </w:rPr>
                      <w:t>                                           </w:t>
                    </w:r>
                    <w:r>
                      <w:rPr>
                        <w:spacing w:val="-2"/>
                        <w:sz w:val="24"/>
                      </w:rPr>
                      <w:t> </w:t>
                    </w:r>
                    <w:r>
                      <w:rPr>
                        <w:sz w:val="24"/>
                      </w:rPr>
                      <w:t> </w:t>
                    </w:r>
                  </w:p>
                  <w:p>
                    <w:pPr>
                      <w:spacing w:before="159"/>
                      <w:ind w:left="162" w:right="0" w:firstLine="0"/>
                      <w:jc w:val="left"/>
                      <w:rPr>
                        <w:sz w:val="24"/>
                      </w:rPr>
                    </w:pPr>
                    <w:r>
                      <w:rPr>
                        <w:sz w:val="24"/>
                      </w:rPr>
                      <w:t> </w:t>
                    </w:r>
                  </w:p>
                  <w:p>
                    <w:pPr>
                      <w:spacing w:before="157"/>
                      <w:ind w:left="4713" w:right="-15" w:firstLine="0"/>
                      <w:jc w:val="left"/>
                      <w:rPr>
                        <w:sz w:val="24"/>
                      </w:rPr>
                    </w:pPr>
                    <w:r>
                      <w:rPr>
                        <w:sz w:val="24"/>
                      </w:rPr>
                      <w:t>投 标 人 ：</w:t>
                    </w:r>
                    <w:r>
                      <w:rPr>
                        <w:spacing w:val="119"/>
                        <w:sz w:val="24"/>
                        <w:u w:val="single"/>
                      </w:rPr>
                      <w:t> </w:t>
                    </w:r>
                    <w:r>
                      <w:rPr>
                        <w:sz w:val="24"/>
                      </w:rPr>
                      <w:t>( 盖 单 位 章 ) </w:t>
                    </w:r>
                  </w:p>
                  <w:p>
                    <w:pPr>
                      <w:spacing w:before="174"/>
                      <w:ind w:left="162" w:right="0" w:firstLine="0"/>
                      <w:jc w:val="left"/>
                      <w:rPr>
                        <w:sz w:val="24"/>
                      </w:rPr>
                    </w:pPr>
                    <w:r>
                      <w:rPr>
                        <w:sz w:val="24"/>
                      </w:rPr>
                      <w:t>                                                       </w:t>
                    </w:r>
                    <w:r>
                      <w:rPr>
                        <w:spacing w:val="-3"/>
                        <w:sz w:val="24"/>
                      </w:rPr>
                      <w:t> </w:t>
                    </w:r>
                    <w:r>
                      <w:rPr>
                        <w:sz w:val="24"/>
                      </w:rPr>
                      <w:t> </w:t>
                    </w:r>
                  </w:p>
                  <w:p>
                    <w:pPr>
                      <w:spacing w:before="157"/>
                      <w:ind w:left="6275" w:right="-15" w:firstLine="0"/>
                      <w:jc w:val="left"/>
                      <w:rPr>
                        <w:sz w:val="24"/>
                      </w:rPr>
                    </w:pPr>
                    <w:r>
                      <w:rPr>
                        <w:sz w:val="24"/>
                        <w:u w:val="single"/>
                      </w:rPr>
                      <w:t>     </w:t>
                    </w:r>
                    <w:r>
                      <w:rPr>
                        <w:sz w:val="24"/>
                      </w:rPr>
                      <w:t>年</w:t>
                    </w:r>
                    <w:r>
                      <w:rPr>
                        <w:sz w:val="24"/>
                        <w:u w:val="single"/>
                      </w:rPr>
                      <w:t> </w:t>
                    </w:r>
                    <w:r>
                      <w:rPr>
                        <w:sz w:val="24"/>
                      </w:rPr>
                      <w:t>月</w:t>
                    </w:r>
                    <w:r>
                      <w:rPr>
                        <w:sz w:val="24"/>
                        <w:u w:val="single"/>
                      </w:rPr>
                      <w:t> </w:t>
                    </w:r>
                    <w:r>
                      <w:rPr>
                        <w:sz w:val="24"/>
                      </w:rPr>
                      <w:t>日 </w:t>
                    </w:r>
                  </w:p>
                  <w:p>
                    <w:pPr>
                      <w:spacing w:before="68"/>
                      <w:ind w:left="162" w:right="0" w:firstLine="0"/>
                      <w:jc w:val="left"/>
                      <w:rPr>
                        <w:sz w:val="24"/>
                      </w:rPr>
                    </w:pPr>
                    <w:r>
                      <w:rPr>
                        <w:sz w:val="24"/>
                      </w:rPr>
                      <w:t> </w:t>
                    </w:r>
                  </w:p>
                </w:txbxContent>
              </v:textbox>
              <w10:wrap type="none"/>
            </v:shape>
            <w10:wrap type="none"/>
          </v:group>
        </w:pict>
      </w:r>
      <w:r>
        <w:rPr/>
        <w:t>投标人名称：</w:t>
      </w:r>
      <w:r>
        <w:rPr>
          <w:u w:val="single"/>
        </w:rPr>
        <w:t>                        </w:t>
      </w:r>
      <w:r>
        <w:rPr/>
        <w:t>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5"/>
        </w:rPr>
      </w:pPr>
    </w:p>
    <w:p>
      <w:pPr>
        <w:spacing w:before="64"/>
        <w:ind w:left="0" w:right="1282" w:firstLine="0"/>
        <w:jc w:val="center"/>
        <w:rPr>
          <w:rFonts w:ascii="Calibri"/>
          <w:sz w:val="18"/>
        </w:rPr>
      </w:pPr>
      <w:r>
        <w:rPr>
          <w:rFonts w:ascii="Calibri"/>
          <w:sz w:val="18"/>
        </w:rPr>
        <w:t>157</w:t>
      </w:r>
    </w:p>
    <w:p>
      <w:pPr>
        <w:spacing w:after="0"/>
        <w:jc w:val="center"/>
        <w:rPr>
          <w:rFonts w:ascii="Calibri"/>
          <w:sz w:val="18"/>
        </w:rPr>
        <w:sectPr>
          <w:pgSz w:w="11910" w:h="16850"/>
          <w:pgMar w:header="911" w:footer="0" w:top="1540" w:bottom="280" w:left="1300" w:right="0"/>
        </w:sectPr>
      </w:pPr>
    </w:p>
    <w:p>
      <w:pPr>
        <w:pStyle w:val="Heading3"/>
      </w:pPr>
      <w:bookmarkStart w:name="四、授权委托书" w:id="181"/>
      <w:bookmarkEnd w:id="181"/>
      <w:r>
        <w:rPr>
          <w:b w:val="0"/>
        </w:rPr>
      </w:r>
      <w:bookmarkStart w:name="_bookmark42" w:id="182"/>
      <w:bookmarkEnd w:id="182"/>
      <w:r>
        <w:rPr>
          <w:b w:val="0"/>
        </w:rPr>
      </w:r>
      <w:r>
        <w:rPr/>
        <w:t>四、授权委托书</w:t>
      </w:r>
    </w:p>
    <w:p>
      <w:pPr>
        <w:pStyle w:val="BodyText"/>
        <w:rPr>
          <w:rFonts w:ascii="黑体"/>
          <w:b/>
          <w:sz w:val="20"/>
        </w:rPr>
      </w:pPr>
    </w:p>
    <w:p>
      <w:pPr>
        <w:spacing w:before="232"/>
        <w:ind w:left="0" w:right="1312" w:firstLine="0"/>
        <w:jc w:val="center"/>
        <w:rPr>
          <w:b/>
          <w:sz w:val="31"/>
        </w:rPr>
      </w:pPr>
      <w:bookmarkStart w:name="授权委托书" w:id="183"/>
      <w:bookmarkEnd w:id="183"/>
      <w:r>
        <w:rPr/>
      </w:r>
      <w:bookmarkStart w:name="_bookmark43" w:id="184"/>
      <w:bookmarkEnd w:id="184"/>
      <w:r>
        <w:rPr/>
      </w:r>
      <w:r>
        <w:rPr>
          <w:b/>
          <w:sz w:val="31"/>
        </w:rPr>
        <w:t>授权委托书</w:t>
      </w:r>
    </w:p>
    <w:p>
      <w:pPr>
        <w:pStyle w:val="BodyText"/>
        <w:rPr>
          <w:b/>
          <w:sz w:val="32"/>
        </w:rPr>
      </w:pPr>
    </w:p>
    <w:p>
      <w:pPr>
        <w:pStyle w:val="BodyText"/>
        <w:spacing w:before="10"/>
        <w:rPr>
          <w:b/>
          <w:sz w:val="33"/>
        </w:rPr>
      </w:pPr>
    </w:p>
    <w:p>
      <w:pPr>
        <w:tabs>
          <w:tab w:pos="2754" w:val="left" w:leader="none"/>
          <w:tab w:pos="5953" w:val="left" w:leader="none"/>
        </w:tabs>
        <w:spacing w:before="1"/>
        <w:ind w:left="817" w:right="0" w:firstLine="0"/>
        <w:jc w:val="left"/>
        <w:rPr>
          <w:sz w:val="21"/>
        </w:rPr>
      </w:pPr>
      <w:r>
        <w:rPr/>
        <w:pict>
          <v:group style="position:absolute;margin-left:76.721001pt;margin-top:17.660486pt;width:439.3pt;height:432.65pt;mso-position-horizontal-relative:page;mso-position-vertical-relative:paragraph;z-index:-251368448;mso-wrap-distance-left:0;mso-wrap-distance-right:0" coordorigin="1534,353" coordsize="8786,8653">
            <v:shape style="position:absolute;left:1534;top:353;width:8786;height:8653" type="#_x0000_t75" stroked="false">
              <v:imagedata r:id="rId37" o:title=""/>
            </v:shape>
            <v:shape style="position:absolute;left:1534;top:353;width:8786;height:8653" type="#_x0000_t202" filled="false" stroked="false">
              <v:textbox inset="0,0,0,0">
                <w:txbxContent>
                  <w:p>
                    <w:pPr>
                      <w:tabs>
                        <w:tab w:pos="2100" w:val="left" w:leader="none"/>
                        <w:tab w:pos="5013" w:val="left" w:leader="none"/>
                        <w:tab w:pos="8168" w:val="left" w:leader="none"/>
                      </w:tabs>
                      <w:spacing w:line="396" w:lineRule="auto" w:before="83"/>
                      <w:ind w:left="162" w:right="89" w:firstLine="0"/>
                      <w:jc w:val="both"/>
                      <w:rPr>
                        <w:sz w:val="24"/>
                      </w:rPr>
                    </w:pPr>
                    <w:r>
                      <w:rPr>
                        <w:sz w:val="21"/>
                      </w:rPr>
                      <w:t>现委托</w:t>
                    </w:r>
                    <w:r>
                      <w:rPr>
                        <w:sz w:val="21"/>
                        <w:u w:val="single" w:color="6D602F"/>
                      </w:rPr>
                      <w:t> </w:t>
                      <w:tab/>
                    </w:r>
                    <w:r>
                      <w:rPr>
                        <w:sz w:val="21"/>
                      </w:rPr>
                      <w:t>（姓名）为我方代理人。代</w:t>
                    </w:r>
                    <w:r>
                      <w:rPr>
                        <w:spacing w:val="15"/>
                        <w:sz w:val="21"/>
                      </w:rPr>
                      <w:t>理</w:t>
                    </w:r>
                    <w:r>
                      <w:rPr>
                        <w:sz w:val="21"/>
                      </w:rPr>
                      <w:t>人根据授权</w:t>
                    </w:r>
                    <w:r>
                      <w:rPr>
                        <w:spacing w:val="15"/>
                        <w:sz w:val="21"/>
                      </w:rPr>
                      <w:t>，</w:t>
                    </w:r>
                    <w:r>
                      <w:rPr>
                        <w:sz w:val="21"/>
                      </w:rPr>
                      <w:t>以我方名</w:t>
                    </w:r>
                    <w:r>
                      <w:rPr>
                        <w:spacing w:val="-4"/>
                        <w:sz w:val="21"/>
                      </w:rPr>
                      <w:t>义</w:t>
                    </w:r>
                    <w:r>
                      <w:rPr>
                        <w:spacing w:val="15"/>
                        <w:sz w:val="21"/>
                      </w:rPr>
                      <w:t>签</w:t>
                    </w:r>
                    <w:r>
                      <w:rPr>
                        <w:sz w:val="21"/>
                      </w:rPr>
                      <w:t>署、澄清、说明、补正、递交、撤回、修</w:t>
                    </w:r>
                    <w:r>
                      <w:rPr>
                        <w:spacing w:val="-3"/>
                        <w:sz w:val="21"/>
                      </w:rPr>
                      <w:t>改</w:t>
                    </w:r>
                    <w:r>
                      <w:rPr>
                        <w:spacing w:val="-3"/>
                        <w:sz w:val="21"/>
                        <w:u w:val="single" w:color="6D602F"/>
                      </w:rPr>
                      <w:t> </w:t>
                      <w:tab/>
                    </w:r>
                    <w:r>
                      <w:rPr>
                        <w:sz w:val="21"/>
                      </w:rPr>
                      <w:t>(项目名称</w:t>
                    </w:r>
                    <w:r>
                      <w:rPr>
                        <w:spacing w:val="-15"/>
                        <w:sz w:val="21"/>
                      </w:rPr>
                      <w:t>)</w:t>
                    </w:r>
                    <w:r>
                      <w:rPr>
                        <w:spacing w:val="-15"/>
                        <w:sz w:val="21"/>
                        <w:u w:val="single" w:color="6D602F"/>
                      </w:rPr>
                      <w:t> </w:t>
                      <w:tab/>
                    </w:r>
                    <w:r>
                      <w:rPr>
                        <w:sz w:val="21"/>
                      </w:rPr>
                      <w:t>(标</w:t>
                    </w:r>
                    <w:r>
                      <w:rPr>
                        <w:spacing w:val="-17"/>
                        <w:sz w:val="21"/>
                      </w:rPr>
                      <w:t>段</w:t>
                    </w:r>
                    <w:r>
                      <w:rPr>
                        <w:sz w:val="21"/>
                      </w:rPr>
                      <w:t>名称)投标文件、签订合同和处理有关事宜，其法律后果由我方承担</w:t>
                    </w:r>
                    <w:r>
                      <w:rPr>
                        <w:spacing w:val="-7"/>
                        <w:sz w:val="21"/>
                      </w:rPr>
                      <w:t>。</w:t>
                    </w:r>
                    <w:r>
                      <w:rPr>
                        <w:color w:val="6D602F"/>
                        <w:sz w:val="24"/>
                      </w:rPr>
                      <w:t> </w:t>
                    </w:r>
                  </w:p>
                  <w:p>
                    <w:pPr>
                      <w:tabs>
                        <w:tab w:pos="3632" w:val="left" w:leader="none"/>
                      </w:tabs>
                      <w:spacing w:line="523" w:lineRule="auto" w:before="139"/>
                      <w:ind w:left="582" w:right="4821" w:hanging="421"/>
                      <w:jc w:val="left"/>
                      <w:rPr>
                        <w:sz w:val="24"/>
                      </w:rPr>
                    </w:pPr>
                    <w:r>
                      <w:rPr>
                        <w:sz w:val="21"/>
                      </w:rPr>
                      <w:t>委托期限：</w:t>
                    </w:r>
                    <w:r>
                      <w:rPr>
                        <w:sz w:val="21"/>
                        <w:u w:val="single" w:color="6D602F"/>
                      </w:rPr>
                      <w:t> </w:t>
                      <w:tab/>
                    </w:r>
                    <w:r>
                      <w:rPr>
                        <w:sz w:val="21"/>
                      </w:rPr>
                      <w:t>。代理人无转委托权。</w:t>
                    </w:r>
                    <w:r>
                      <w:rPr>
                        <w:color w:val="6D602F"/>
                        <w:sz w:val="24"/>
                      </w:rPr>
                      <w:t> </w:t>
                    </w:r>
                  </w:p>
                  <w:p>
                    <w:pPr>
                      <w:spacing w:line="290" w:lineRule="exact" w:before="0"/>
                      <w:ind w:left="688" w:right="0" w:firstLine="0"/>
                      <w:jc w:val="left"/>
                      <w:rPr>
                        <w:sz w:val="24"/>
                      </w:rPr>
                    </w:pPr>
                    <w:r>
                      <w:rPr>
                        <w:color w:val="6D602F"/>
                        <w:sz w:val="24"/>
                      </w:rPr>
                      <w:t> </w:t>
                    </w:r>
                  </w:p>
                  <w:p>
                    <w:pPr>
                      <w:spacing w:line="240" w:lineRule="auto" w:before="1"/>
                      <w:rPr>
                        <w:sz w:val="24"/>
                      </w:rPr>
                    </w:pPr>
                  </w:p>
                  <w:p>
                    <w:pPr>
                      <w:spacing w:before="0"/>
                      <w:ind w:left="162" w:right="0" w:firstLine="0"/>
                      <w:jc w:val="left"/>
                      <w:rPr>
                        <w:sz w:val="24"/>
                      </w:rPr>
                    </w:pPr>
                    <w:r>
                      <w:rPr>
                        <w:sz w:val="21"/>
                      </w:rPr>
                      <w:t>附：法定代表人身份证复印件及委托代理人身份证复印件</w:t>
                    </w:r>
                    <w:r>
                      <w:rPr>
                        <w:color w:val="6D602F"/>
                        <w:sz w:val="24"/>
                      </w:rPr>
                      <w:t> </w:t>
                    </w:r>
                  </w:p>
                  <w:p>
                    <w:pPr>
                      <w:spacing w:line="240" w:lineRule="auto" w:before="5"/>
                      <w:rPr>
                        <w:sz w:val="22"/>
                      </w:rPr>
                    </w:pPr>
                  </w:p>
                  <w:p>
                    <w:pPr>
                      <w:spacing w:before="0"/>
                      <w:ind w:left="268" w:right="0" w:firstLine="0"/>
                      <w:jc w:val="left"/>
                      <w:rPr>
                        <w:sz w:val="24"/>
                      </w:rPr>
                    </w:pPr>
                    <w:r>
                      <w:rPr>
                        <w:color w:val="6D602F"/>
                        <w:sz w:val="24"/>
                      </w:rPr>
                      <w:t> </w:t>
                    </w:r>
                  </w:p>
                  <w:p>
                    <w:pPr>
                      <w:spacing w:line="240" w:lineRule="auto" w:before="2"/>
                      <w:rPr>
                        <w:sz w:val="25"/>
                      </w:rPr>
                    </w:pPr>
                  </w:p>
                  <w:p>
                    <w:pPr>
                      <w:spacing w:before="0"/>
                      <w:ind w:left="162" w:right="0" w:firstLine="0"/>
                      <w:jc w:val="left"/>
                      <w:rPr>
                        <w:sz w:val="24"/>
                      </w:rPr>
                    </w:pPr>
                    <w:r>
                      <w:rPr>
                        <w:sz w:val="21"/>
                      </w:rPr>
                      <w:t>注：本授权委托书需由投标人加盖单位公章并由其法定代表人签字。</w:t>
                    </w:r>
                    <w:r>
                      <w:rPr>
                        <w:color w:val="6D602F"/>
                        <w:sz w:val="24"/>
                      </w:rPr>
                      <w:t> </w:t>
                    </w:r>
                  </w:p>
                  <w:p>
                    <w:pPr>
                      <w:spacing w:line="240" w:lineRule="auto" w:before="5"/>
                      <w:rPr>
                        <w:sz w:val="22"/>
                      </w:rPr>
                    </w:pPr>
                  </w:p>
                  <w:p>
                    <w:pPr>
                      <w:spacing w:before="0"/>
                      <w:ind w:left="268" w:right="0" w:firstLine="0"/>
                      <w:jc w:val="left"/>
                      <w:rPr>
                        <w:sz w:val="24"/>
                      </w:rPr>
                    </w:pPr>
                    <w:r>
                      <w:rPr>
                        <w:color w:val="6D602F"/>
                        <w:sz w:val="24"/>
                      </w:rPr>
                      <w:t> </w:t>
                    </w:r>
                  </w:p>
                  <w:p>
                    <w:pPr>
                      <w:spacing w:line="240" w:lineRule="auto" w:before="0"/>
                      <w:rPr>
                        <w:sz w:val="24"/>
                      </w:rPr>
                    </w:pPr>
                  </w:p>
                  <w:p>
                    <w:pPr>
                      <w:tabs>
                        <w:tab w:pos="3286" w:val="left" w:leader="none"/>
                        <w:tab w:pos="3707" w:val="left" w:leader="none"/>
                        <w:tab w:pos="6320" w:val="left" w:leader="none"/>
                      </w:tabs>
                      <w:spacing w:before="1"/>
                      <w:ind w:left="2850" w:right="0" w:firstLine="0"/>
                      <w:jc w:val="left"/>
                      <w:rPr>
                        <w:sz w:val="24"/>
                      </w:rPr>
                    </w:pPr>
                    <w:r>
                      <w:rPr>
                        <w:sz w:val="21"/>
                      </w:rPr>
                      <w:t>投</w:t>
                      <w:tab/>
                      <w:t>标</w:t>
                      <w:tab/>
                      <w:t>人：</w:t>
                    </w:r>
                    <w:r>
                      <w:rPr>
                        <w:sz w:val="21"/>
                        <w:u w:val="single" w:color="6D602F"/>
                      </w:rPr>
                      <w:t> </w:t>
                      <w:tab/>
                    </w:r>
                    <w:r>
                      <w:rPr>
                        <w:sz w:val="21"/>
                      </w:rPr>
                      <w:t>（盖单位章）</w:t>
                    </w:r>
                    <w:r>
                      <w:rPr>
                        <w:color w:val="6D602F"/>
                        <w:sz w:val="24"/>
                      </w:rPr>
                      <w:t> </w:t>
                    </w:r>
                  </w:p>
                  <w:p>
                    <w:pPr>
                      <w:spacing w:line="240" w:lineRule="auto" w:before="6"/>
                      <w:rPr>
                        <w:sz w:val="23"/>
                      </w:rPr>
                    </w:pPr>
                  </w:p>
                  <w:p>
                    <w:pPr>
                      <w:spacing w:before="0"/>
                      <w:ind w:left="2955" w:right="0" w:firstLine="0"/>
                      <w:jc w:val="left"/>
                      <w:rPr>
                        <w:sz w:val="24"/>
                      </w:rPr>
                    </w:pPr>
                    <w:r>
                      <w:rPr>
                        <w:color w:val="6D602F"/>
                        <w:sz w:val="24"/>
                      </w:rPr>
                      <w:t> </w:t>
                    </w:r>
                  </w:p>
                  <w:p>
                    <w:pPr>
                      <w:spacing w:line="240" w:lineRule="auto" w:before="1"/>
                      <w:rPr>
                        <w:sz w:val="24"/>
                      </w:rPr>
                    </w:pPr>
                  </w:p>
                  <w:p>
                    <w:pPr>
                      <w:tabs>
                        <w:tab w:pos="5178" w:val="left" w:leader="none"/>
                      </w:tabs>
                      <w:spacing w:before="0"/>
                      <w:ind w:left="2850" w:right="0" w:firstLine="0"/>
                      <w:jc w:val="left"/>
                      <w:rPr>
                        <w:sz w:val="24"/>
                      </w:rPr>
                    </w:pPr>
                    <w:r>
                      <w:rPr>
                        <w:sz w:val="21"/>
                      </w:rPr>
                      <w:t>法定代表人：</w:t>
                    </w:r>
                    <w:r>
                      <w:rPr>
                        <w:sz w:val="21"/>
                        <w:u w:val="single" w:color="6D602F"/>
                      </w:rPr>
                      <w:t> </w:t>
                      <w:tab/>
                    </w:r>
                    <w:r>
                      <w:rPr>
                        <w:sz w:val="21"/>
                      </w:rPr>
                      <w:t>（签字）</w:t>
                    </w:r>
                    <w:r>
                      <w:rPr>
                        <w:color w:val="6D602F"/>
                        <w:sz w:val="24"/>
                      </w:rPr>
                      <w:t> </w:t>
                    </w:r>
                  </w:p>
                  <w:p>
                    <w:pPr>
                      <w:spacing w:line="240" w:lineRule="auto" w:before="4"/>
                      <w:rPr>
                        <w:sz w:val="22"/>
                      </w:rPr>
                    </w:pPr>
                  </w:p>
                  <w:p>
                    <w:pPr>
                      <w:spacing w:before="0"/>
                      <w:ind w:left="2955" w:right="0" w:firstLine="0"/>
                      <w:jc w:val="left"/>
                      <w:rPr>
                        <w:sz w:val="24"/>
                      </w:rPr>
                    </w:pPr>
                    <w:r>
                      <w:rPr>
                        <w:color w:val="6D602F"/>
                        <w:sz w:val="24"/>
                      </w:rPr>
                      <w:t> </w:t>
                    </w:r>
                  </w:p>
                  <w:p>
                    <w:pPr>
                      <w:spacing w:line="240" w:lineRule="auto" w:before="3"/>
                      <w:rPr>
                        <w:sz w:val="25"/>
                      </w:rPr>
                    </w:pPr>
                  </w:p>
                  <w:p>
                    <w:pPr>
                      <w:tabs>
                        <w:tab w:pos="7161" w:val="left" w:leader="none"/>
                      </w:tabs>
                      <w:spacing w:before="0"/>
                      <w:ind w:left="2850" w:right="0" w:firstLine="0"/>
                      <w:jc w:val="left"/>
                      <w:rPr>
                        <w:sz w:val="24"/>
                      </w:rPr>
                    </w:pPr>
                    <w:r>
                      <w:rPr>
                        <w:spacing w:val="-1"/>
                        <w:sz w:val="21"/>
                      </w:rPr>
                      <w:t>身</w:t>
                    </w:r>
                    <w:r>
                      <w:rPr>
                        <w:sz w:val="21"/>
                      </w:rPr>
                      <w:t>份证号码：</w:t>
                    </w:r>
                    <w:r>
                      <w:rPr>
                        <w:color w:val="6D602F"/>
                        <w:sz w:val="24"/>
                        <w:u w:val="single" w:color="6D602F"/>
                      </w:rPr>
                      <w:t> </w:t>
                      <w:tab/>
                    </w:r>
                    <w:r>
                      <w:rPr>
                        <w:color w:val="6D602F"/>
                        <w:sz w:val="24"/>
                      </w:rPr>
                      <w:t> </w:t>
                    </w:r>
                  </w:p>
                </w:txbxContent>
              </v:textbox>
              <w10:wrap type="none"/>
            </v:shape>
            <w10:wrap type="topAndBottom"/>
          </v:group>
        </w:pict>
      </w:r>
      <w:r>
        <w:rPr>
          <w:sz w:val="21"/>
        </w:rPr>
        <w:t>本人</w:t>
      </w:r>
      <w:r>
        <w:rPr>
          <w:sz w:val="21"/>
          <w:u w:val="single" w:color="6D602F"/>
        </w:rPr>
        <w:t> </w:t>
        <w:tab/>
      </w:r>
      <w:r>
        <w:rPr>
          <w:sz w:val="21"/>
        </w:rPr>
        <w:t>（姓名）系</w:t>
      </w:r>
      <w:r>
        <w:rPr>
          <w:sz w:val="21"/>
          <w:u w:val="single" w:color="6D602F"/>
        </w:rPr>
        <w:t> </w:t>
        <w:tab/>
      </w:r>
      <w:r>
        <w:rPr>
          <w:sz w:val="21"/>
        </w:rPr>
        <w:t>（投标人名称）的法定代表人，</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p>
    <w:p>
      <w:pPr>
        <w:tabs>
          <w:tab w:pos="6810" w:val="left" w:leader="none"/>
          <w:tab w:pos="7756" w:val="left" w:leader="none"/>
          <w:tab w:pos="8702" w:val="left" w:leader="none"/>
        </w:tabs>
        <w:spacing w:before="97"/>
        <w:ind w:left="6074" w:right="0" w:firstLine="0"/>
        <w:jc w:val="left"/>
        <w:rPr>
          <w:sz w:val="24"/>
        </w:rPr>
      </w:pPr>
      <w:r>
        <w:rPr>
          <w:rFonts w:ascii="Times New Roman" w:eastAsia="Times New Roman"/>
          <w:sz w:val="21"/>
          <w:u w:val="single"/>
        </w:rPr>
        <w:t> </w:t>
        <w:tab/>
      </w:r>
      <w:r>
        <w:rPr>
          <w:sz w:val="21"/>
        </w:rPr>
        <w:t>年</w:t>
      </w:r>
      <w:r>
        <w:rPr>
          <w:sz w:val="21"/>
          <w:u w:val="single"/>
        </w:rPr>
        <w:t> </w:t>
        <w:tab/>
      </w:r>
      <w:r>
        <w:rPr>
          <w:sz w:val="21"/>
        </w:rPr>
        <w:t>月</w:t>
      </w:r>
      <w:r>
        <w:rPr>
          <w:sz w:val="21"/>
          <w:u w:val="single"/>
        </w:rPr>
        <w:t> </w:t>
        <w:tab/>
      </w:r>
      <w:r>
        <w:rPr>
          <w:sz w:val="21"/>
        </w:rPr>
        <w:t>日</w:t>
      </w:r>
      <w:r>
        <w:rPr>
          <w:color w:val="6D602F"/>
          <w:sz w:val="24"/>
        </w:rPr>
        <w:t> </w:t>
      </w:r>
    </w:p>
    <w:p>
      <w:pPr>
        <w:pStyle w:val="BodyText"/>
        <w:rPr>
          <w:sz w:val="20"/>
        </w:rPr>
      </w:pPr>
    </w:p>
    <w:p>
      <w:pPr>
        <w:pStyle w:val="BodyText"/>
        <w:rPr>
          <w:sz w:val="20"/>
        </w:rPr>
      </w:pPr>
    </w:p>
    <w:p>
      <w:pPr>
        <w:pStyle w:val="BodyText"/>
        <w:spacing w:before="11"/>
      </w:pPr>
    </w:p>
    <w:p>
      <w:pPr>
        <w:spacing w:before="64"/>
        <w:ind w:left="0" w:right="1282" w:firstLine="0"/>
        <w:jc w:val="center"/>
        <w:rPr>
          <w:rFonts w:ascii="Calibri"/>
          <w:sz w:val="18"/>
        </w:rPr>
      </w:pPr>
      <w:r>
        <w:rPr>
          <w:rFonts w:ascii="Calibri"/>
          <w:sz w:val="18"/>
        </w:rPr>
        <w:t>158</w:t>
      </w:r>
    </w:p>
    <w:p>
      <w:pPr>
        <w:spacing w:after="0"/>
        <w:jc w:val="center"/>
        <w:rPr>
          <w:rFonts w:ascii="Calibri"/>
          <w:sz w:val="18"/>
        </w:rPr>
        <w:sectPr>
          <w:pgSz w:w="11910" w:h="16850"/>
          <w:pgMar w:header="911" w:footer="0" w:top="1540" w:bottom="280" w:left="130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after="1"/>
        <w:rPr>
          <w:rFonts w:ascii="Calibri"/>
          <w:sz w:val="15"/>
        </w:rPr>
      </w:pPr>
    </w:p>
    <w:p>
      <w:pPr>
        <w:pStyle w:val="BodyText"/>
        <w:ind w:left="234"/>
        <w:rPr>
          <w:rFonts w:ascii="Calibri"/>
          <w:sz w:val="20"/>
        </w:rPr>
      </w:pPr>
      <w:r>
        <w:rPr>
          <w:rFonts w:ascii="Calibri"/>
          <w:sz w:val="20"/>
        </w:rPr>
        <w:drawing>
          <wp:inline distT="0" distB="0" distL="0" distR="0">
            <wp:extent cx="5580781" cy="5495925"/>
            <wp:effectExtent l="0" t="0" r="0" b="0"/>
            <wp:docPr id="135" name="image23.png"/>
            <wp:cNvGraphicFramePr>
              <a:graphicFrameLocks noChangeAspect="1"/>
            </wp:cNvGraphicFramePr>
            <a:graphic>
              <a:graphicData uri="http://schemas.openxmlformats.org/drawingml/2006/picture">
                <pic:pic>
                  <pic:nvPicPr>
                    <pic:cNvPr id="136" name="image23.png"/>
                    <pic:cNvPicPr/>
                  </pic:nvPicPr>
                  <pic:blipFill>
                    <a:blip r:embed="rId37" cstate="print"/>
                    <a:stretch>
                      <a:fillRect/>
                    </a:stretch>
                  </pic:blipFill>
                  <pic:spPr>
                    <a:xfrm>
                      <a:off x="0" y="0"/>
                      <a:ext cx="5580781" cy="5495925"/>
                    </a:xfrm>
                    <a:prstGeom prst="rect">
                      <a:avLst/>
                    </a:prstGeom>
                  </pic:spPr>
                </pic:pic>
              </a:graphicData>
            </a:graphic>
          </wp:inline>
        </w:drawing>
      </w:r>
      <w:r>
        <w:rPr>
          <w:rFonts w:ascii="Calibri"/>
          <w:sz w:val="20"/>
        </w:rPr>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19"/>
        </w:rPr>
      </w:pPr>
    </w:p>
    <w:p>
      <w:pPr>
        <w:spacing w:before="0"/>
        <w:ind w:left="0" w:right="1282" w:firstLine="0"/>
        <w:jc w:val="center"/>
        <w:rPr>
          <w:rFonts w:ascii="Calibri"/>
          <w:sz w:val="18"/>
        </w:rPr>
      </w:pPr>
      <w:r>
        <w:rPr>
          <w:rFonts w:ascii="Calibri"/>
          <w:sz w:val="18"/>
        </w:rPr>
        <w:t>159</w:t>
      </w:r>
    </w:p>
    <w:p>
      <w:pPr>
        <w:spacing w:after="0"/>
        <w:jc w:val="center"/>
        <w:rPr>
          <w:rFonts w:ascii="Calibri"/>
          <w:sz w:val="18"/>
        </w:rPr>
        <w:sectPr>
          <w:pgSz w:w="11910" w:h="16850"/>
          <w:pgMar w:header="911" w:footer="0" w:top="1540" w:bottom="280" w:left="1300" w:right="0"/>
        </w:sectPr>
      </w:pPr>
    </w:p>
    <w:p>
      <w:pPr>
        <w:pStyle w:val="Heading3"/>
      </w:pPr>
      <w:bookmarkStart w:name="五、联合体协议书" w:id="185"/>
      <w:bookmarkEnd w:id="185"/>
      <w:r>
        <w:rPr>
          <w:b w:val="0"/>
        </w:rPr>
      </w:r>
      <w:bookmarkStart w:name="_bookmark44" w:id="186"/>
      <w:bookmarkEnd w:id="186"/>
      <w:r>
        <w:rPr>
          <w:b w:val="0"/>
        </w:rPr>
      </w:r>
      <w:r>
        <w:rPr/>
        <w:t>五、联合体协议书</w:t>
      </w:r>
    </w:p>
    <w:p>
      <w:pPr>
        <w:pStyle w:val="BodyText"/>
        <w:rPr>
          <w:rFonts w:ascii="黑体"/>
          <w:b/>
          <w:sz w:val="20"/>
        </w:rPr>
      </w:pPr>
    </w:p>
    <w:p>
      <w:pPr>
        <w:spacing w:before="232"/>
        <w:ind w:left="0" w:right="1311" w:firstLine="0"/>
        <w:jc w:val="center"/>
        <w:rPr>
          <w:b/>
          <w:sz w:val="31"/>
        </w:rPr>
      </w:pPr>
      <w:bookmarkStart w:name="联合体协议书" w:id="187"/>
      <w:bookmarkEnd w:id="187"/>
      <w:r>
        <w:rPr/>
      </w:r>
      <w:bookmarkStart w:name="_bookmark45" w:id="188"/>
      <w:bookmarkEnd w:id="188"/>
      <w:r>
        <w:rPr/>
      </w:r>
      <w:r>
        <w:rPr>
          <w:b/>
          <w:sz w:val="31"/>
        </w:rPr>
        <w:t>联合体协议书</w:t>
      </w:r>
    </w:p>
    <w:p>
      <w:pPr>
        <w:pStyle w:val="BodyText"/>
        <w:rPr>
          <w:b/>
          <w:sz w:val="32"/>
        </w:rPr>
      </w:pPr>
    </w:p>
    <w:p>
      <w:pPr>
        <w:pStyle w:val="BodyText"/>
        <w:spacing w:before="2"/>
        <w:rPr>
          <w:b/>
          <w:sz w:val="29"/>
        </w:rPr>
      </w:pPr>
    </w:p>
    <w:p>
      <w:pPr>
        <w:pStyle w:val="BodyText"/>
        <w:spacing w:line="362" w:lineRule="auto"/>
        <w:ind w:left="396" w:right="1710"/>
        <w:jc w:val="both"/>
      </w:pPr>
      <w:r>
        <w:rPr/>
        <w:drawing>
          <wp:anchor distT="0" distB="0" distL="0" distR="0" allowOverlap="1" layoutInCell="1" locked="0" behindDoc="1" simplePos="0" relativeHeight="234918912">
            <wp:simplePos x="0" y="0"/>
            <wp:positionH relativeFrom="page">
              <wp:posOffset>974356</wp:posOffset>
            </wp:positionH>
            <wp:positionV relativeFrom="paragraph">
              <wp:posOffset>261753</wp:posOffset>
            </wp:positionV>
            <wp:extent cx="5578970" cy="5494141"/>
            <wp:effectExtent l="0" t="0" r="0" b="0"/>
            <wp:wrapNone/>
            <wp:docPr id="137" name="image23.png"/>
            <wp:cNvGraphicFramePr>
              <a:graphicFrameLocks noChangeAspect="1"/>
            </wp:cNvGraphicFramePr>
            <a:graphic>
              <a:graphicData uri="http://schemas.openxmlformats.org/drawingml/2006/picture">
                <pic:pic>
                  <pic:nvPicPr>
                    <pic:cNvPr id="138" name="image23.png"/>
                    <pic:cNvPicPr/>
                  </pic:nvPicPr>
                  <pic:blipFill>
                    <a:blip r:embed="rId37" cstate="print"/>
                    <a:stretch>
                      <a:fillRect/>
                    </a:stretch>
                  </pic:blipFill>
                  <pic:spPr>
                    <a:xfrm>
                      <a:off x="0" y="0"/>
                      <a:ext cx="5578970" cy="5494141"/>
                    </a:xfrm>
                    <a:prstGeom prst="rect">
                      <a:avLst/>
                    </a:prstGeom>
                  </pic:spPr>
                </pic:pic>
              </a:graphicData>
            </a:graphic>
          </wp:anchor>
        </w:drawing>
      </w:r>
      <w:r>
        <w:rPr>
          <w:sz w:val="21"/>
        </w:rPr>
        <w:t>    </w:t>
      </w:r>
      <w:r>
        <w:rPr>
          <w:u w:val="single"/>
        </w:rPr>
        <w:t>                    </w:t>
      </w:r>
      <w:r>
        <w:rPr/>
        <w:t>(所有成员单位名称)自愿组成</w:t>
      </w:r>
      <w:r>
        <w:rPr>
          <w:u w:val="single"/>
        </w:rPr>
        <w:t>                 </w:t>
      </w:r>
      <w:r>
        <w:rPr/>
        <w:t>(联合体名称)，共同参加</w:t>
      </w:r>
      <w:r>
        <w:rPr>
          <w:u w:val="single"/>
        </w:rPr>
        <w:t>          </w:t>
      </w:r>
      <w:r>
        <w:rPr/>
        <w:t>(项目名称)</w:t>
      </w:r>
      <w:r>
        <w:rPr>
          <w:u w:val="single"/>
        </w:rPr>
        <w:t>         </w:t>
      </w:r>
      <w:r>
        <w:rPr/>
        <w:t>(标段名称)投标。现就联合体投标事宜订立如下协议。 </w:t>
      </w:r>
    </w:p>
    <w:p>
      <w:pPr>
        <w:pStyle w:val="BodyText"/>
        <w:spacing w:before="3"/>
        <w:ind w:left="396"/>
        <w:jc w:val="both"/>
      </w:pPr>
      <w:r>
        <w:rPr/>
        <w:t>    </w:t>
      </w:r>
      <w:r>
        <w:rPr>
          <w:rFonts w:ascii="Calibri" w:eastAsia="Calibri"/>
        </w:rPr>
        <w:t>1.</w:t>
      </w:r>
      <w:r>
        <w:rPr/>
        <w:t>(某成员单位名称)为</w:t>
      </w:r>
      <w:r>
        <w:rPr>
          <w:spacing w:val="118"/>
          <w:u w:val="single"/>
        </w:rPr>
        <w:t> </w:t>
      </w:r>
      <w:r>
        <w:rPr/>
        <w:t>(联合体名称)牵头人。 </w:t>
      </w:r>
    </w:p>
    <w:p>
      <w:pPr>
        <w:pStyle w:val="BodyText"/>
        <w:spacing w:line="369" w:lineRule="auto" w:before="158"/>
        <w:ind w:left="396" w:right="1708"/>
        <w:jc w:val="both"/>
      </w:pPr>
      <w:r>
        <w:rPr/>
        <w:t>    </w:t>
      </w:r>
      <w:r>
        <w:rPr>
          <w:rFonts w:ascii="Calibri" w:eastAsia="Calibri"/>
        </w:rPr>
        <w:t>2.</w:t>
      </w:r>
      <w:r>
        <w:rPr/>
        <w:t>联合体牵头人合法代表联合体各成员负责本标段施工招标投标文件递交和合同谈判活动，并代表联合体提交和接受相关的资料、信息及指示，处理与之有关的一切事务，并负责合同实施阶段的主办、组织和协调工作。</w:t>
      </w:r>
    </w:p>
    <w:p>
      <w:pPr>
        <w:pStyle w:val="BodyText"/>
        <w:spacing w:line="362" w:lineRule="auto"/>
        <w:ind w:left="396" w:right="1703"/>
        <w:jc w:val="both"/>
      </w:pPr>
      <w:r>
        <w:rPr/>
        <w:t>    </w:t>
      </w:r>
      <w:r>
        <w:rPr>
          <w:rFonts w:ascii="Calibri" w:eastAsia="Calibri"/>
        </w:rPr>
        <w:t>3.</w:t>
      </w:r>
      <w:r>
        <w:rPr>
          <w:spacing w:val="-5"/>
        </w:rPr>
        <w:t>联合体将严格按照招标文件的各项要求，编制投标文件，履行合同，并对外承担连带责任。</w:t>
      </w:r>
    </w:p>
    <w:p>
      <w:pPr>
        <w:pStyle w:val="BodyText"/>
        <w:ind w:left="396"/>
        <w:jc w:val="both"/>
      </w:pPr>
      <w:r>
        <w:rPr/>
        <w:t>    </w:t>
      </w:r>
      <w:r>
        <w:rPr>
          <w:rFonts w:ascii="Calibri" w:eastAsia="Calibri"/>
        </w:rPr>
        <w:t>4.</w:t>
      </w:r>
      <w:r>
        <w:rPr>
          <w:spacing w:val="-1"/>
        </w:rPr>
        <w:t>联合体内部各成员单位的职责分工如下：</w:t>
      </w:r>
      <w:r>
        <w:rPr>
          <w:spacing w:val="-1"/>
          <w:u w:val="single"/>
        </w:rPr>
        <w:t>            </w:t>
      </w:r>
      <w:r>
        <w:rPr/>
        <w:t>。</w:t>
      </w:r>
    </w:p>
    <w:p>
      <w:pPr>
        <w:pStyle w:val="BodyText"/>
        <w:spacing w:before="166"/>
        <w:ind w:left="396"/>
        <w:jc w:val="both"/>
      </w:pPr>
      <w:r>
        <w:rPr/>
        <w:t>    </w:t>
      </w:r>
      <w:r>
        <w:rPr>
          <w:rFonts w:ascii="Calibri" w:eastAsia="Calibri"/>
          <w:spacing w:val="-1"/>
        </w:rPr>
        <w:t>5.</w:t>
      </w:r>
      <w:r>
        <w:rPr>
          <w:spacing w:val="-2"/>
        </w:rPr>
        <w:t>本协议书自签署之日起生效，合同履行完毕后自动失效。</w:t>
      </w:r>
    </w:p>
    <w:p>
      <w:pPr>
        <w:pStyle w:val="BodyText"/>
        <w:spacing w:before="158"/>
        <w:ind w:left="396"/>
        <w:jc w:val="both"/>
      </w:pPr>
      <w:r>
        <w:rPr/>
        <w:t>    </w:t>
      </w:r>
      <w:r>
        <w:rPr>
          <w:rFonts w:ascii="Calibri" w:eastAsia="Calibri"/>
        </w:rPr>
        <w:t>6.</w:t>
      </w:r>
      <w:r>
        <w:rPr/>
        <w:t>本协议书一式</w:t>
      </w:r>
      <w:r>
        <w:rPr>
          <w:spacing w:val="118"/>
          <w:u w:val="single"/>
        </w:rPr>
        <w:t> </w:t>
      </w:r>
      <w:r>
        <w:rPr/>
        <w:t>份，联合体成员和招标人各执一份。</w:t>
      </w:r>
    </w:p>
    <w:p>
      <w:pPr>
        <w:pStyle w:val="BodyText"/>
        <w:rPr>
          <w:sz w:val="20"/>
        </w:rPr>
      </w:pPr>
    </w:p>
    <w:p>
      <w:pPr>
        <w:pStyle w:val="BodyText"/>
        <w:rPr>
          <w:sz w:val="20"/>
        </w:rPr>
      </w:pPr>
    </w:p>
    <w:p>
      <w:pPr>
        <w:pStyle w:val="BodyText"/>
        <w:rPr>
          <w:sz w:val="20"/>
        </w:rPr>
      </w:pPr>
    </w:p>
    <w:p>
      <w:pPr>
        <w:pStyle w:val="BodyText"/>
        <w:spacing w:before="9"/>
        <w:rPr>
          <w:sz w:val="19"/>
        </w:rPr>
      </w:pPr>
    </w:p>
    <w:p>
      <w:pPr>
        <w:pStyle w:val="BodyText"/>
        <w:spacing w:before="67"/>
        <w:ind w:left="396"/>
      </w:pPr>
      <w:r>
        <w:rPr/>
        <w:t>                       </w:t>
      </w:r>
      <w:r>
        <w:rPr>
          <w:spacing w:val="-1"/>
        </w:rPr>
        <w:t> </w:t>
      </w:r>
      <w:r>
        <w:rPr/>
        <w:t>牵 头 人 名 称 ：</w:t>
      </w:r>
      <w:r>
        <w:rPr>
          <w:spacing w:val="8"/>
          <w:u w:val="single"/>
        </w:rPr>
        <w:t>             </w:t>
      </w:r>
      <w:r>
        <w:rPr/>
        <w:t>( 盖 单 位 章 ) </w:t>
      </w:r>
    </w:p>
    <w:p>
      <w:pPr>
        <w:pStyle w:val="BodyText"/>
        <w:spacing w:before="4"/>
        <w:rPr>
          <w:sz w:val="8"/>
        </w:rPr>
      </w:pPr>
    </w:p>
    <w:p>
      <w:pPr>
        <w:pStyle w:val="BodyText"/>
        <w:spacing w:before="66"/>
        <w:ind w:left="396"/>
      </w:pPr>
      <w:r>
        <w:rPr/>
        <w:t>                       </w:t>
      </w:r>
      <w:r>
        <w:rPr>
          <w:spacing w:val="-1"/>
        </w:rPr>
        <w:t> </w:t>
      </w:r>
      <w:r>
        <w:rPr/>
        <w:t>法定代表人或其委托代理人：</w:t>
      </w:r>
      <w:r>
        <w:rPr>
          <w:spacing w:val="8"/>
          <w:u w:val="single"/>
        </w:rPr>
        <w:t>             </w:t>
      </w:r>
      <w:r>
        <w:rPr/>
        <w:t>(签字) </w:t>
      </w:r>
    </w:p>
    <w:p>
      <w:pPr>
        <w:pStyle w:val="BodyText"/>
        <w:spacing w:before="158"/>
        <w:ind w:left="396"/>
      </w:pPr>
      <w:r>
        <w:rPr/>
        <w:t>                       </w:t>
      </w:r>
      <w:r>
        <w:rPr>
          <w:spacing w:val="-1"/>
        </w:rPr>
        <w:t> </w:t>
      </w:r>
      <w:r>
        <w:rPr/>
        <w:t>成 员 单 位 一 名 称 ：</w:t>
      </w:r>
      <w:r>
        <w:rPr>
          <w:spacing w:val="16"/>
          <w:u w:val="single"/>
        </w:rPr>
        <w:t>       </w:t>
      </w:r>
      <w:r>
        <w:rPr/>
        <w:t>( 盖 单 位 章 ) </w:t>
      </w:r>
    </w:p>
    <w:p>
      <w:pPr>
        <w:pStyle w:val="BodyText"/>
        <w:spacing w:before="159"/>
        <w:ind w:left="396"/>
      </w:pPr>
      <w:r>
        <w:rPr/>
        <w:t>                       </w:t>
      </w:r>
      <w:r>
        <w:rPr>
          <w:spacing w:val="-1"/>
        </w:rPr>
        <w:t> </w:t>
      </w:r>
      <w:r>
        <w:rPr/>
        <w:t>法定代表人或其委托代理人：</w:t>
      </w:r>
      <w:r>
        <w:rPr>
          <w:spacing w:val="8"/>
          <w:u w:val="single"/>
        </w:rPr>
        <w:t>             </w:t>
      </w:r>
      <w:r>
        <w:rPr/>
        <w:t>(签字) </w:t>
      </w:r>
    </w:p>
    <w:p>
      <w:pPr>
        <w:pStyle w:val="BodyText"/>
        <w:spacing w:before="157"/>
        <w:ind w:left="396"/>
      </w:pPr>
      <w:r>
        <w:rPr/>
        <w:t>                       </w:t>
      </w:r>
      <w:r>
        <w:rPr>
          <w:spacing w:val="-1"/>
        </w:rPr>
        <w:t> </w:t>
      </w:r>
      <w:r>
        <w:rPr/>
        <w:t>成 员 单 位 二 名 称 ：</w:t>
      </w:r>
      <w:r>
        <w:rPr>
          <w:spacing w:val="16"/>
          <w:u w:val="single"/>
        </w:rPr>
        <w:t>       </w:t>
      </w:r>
      <w:r>
        <w:rPr/>
        <w:t>( 盖 单 位 章 ) </w:t>
      </w:r>
    </w:p>
    <w:p>
      <w:pPr>
        <w:pStyle w:val="BodyText"/>
        <w:spacing w:before="159"/>
        <w:ind w:left="396"/>
      </w:pPr>
      <w:r>
        <w:rPr/>
        <w:t>                       </w:t>
      </w:r>
      <w:r>
        <w:rPr>
          <w:spacing w:val="-1"/>
        </w:rPr>
        <w:t> </w:t>
      </w:r>
      <w:r>
        <w:rPr/>
        <w:t>法定代表人或其委托代理人：</w:t>
      </w:r>
      <w:r>
        <w:rPr>
          <w:spacing w:val="8"/>
          <w:u w:val="single"/>
        </w:rPr>
        <w:t>             </w:t>
      </w:r>
      <w:r>
        <w:rPr/>
        <w:t>(签字) </w:t>
      </w:r>
    </w:p>
    <w:p>
      <w:pPr>
        <w:pStyle w:val="BodyText"/>
        <w:spacing w:before="172"/>
        <w:ind w:left="396"/>
      </w:pPr>
      <w:r>
        <w:rPr/>
        <w:t>                        …… </w:t>
      </w:r>
    </w:p>
    <w:p>
      <w:pPr>
        <w:pStyle w:val="BodyText"/>
        <w:spacing w:before="158"/>
        <w:ind w:left="396"/>
      </w:pPr>
      <w:r>
        <w:rPr/>
        <w:t>                                                    </w:t>
      </w:r>
      <w:r>
        <w:rPr>
          <w:u w:val="single"/>
        </w:rPr>
        <w:t>    </w:t>
      </w:r>
      <w:r>
        <w:rPr/>
        <w:t>年</w:t>
      </w:r>
      <w:r>
        <w:rPr>
          <w:u w:val="single"/>
        </w:rPr>
        <w:t> </w:t>
      </w:r>
      <w:r>
        <w:rPr/>
        <w:t>月</w:t>
      </w:r>
      <w:r>
        <w:rPr>
          <w:u w:val="single"/>
        </w:rPr>
        <w:t> </w:t>
      </w:r>
      <w:r>
        <w:rPr/>
        <w:t>日 </w:t>
      </w:r>
    </w:p>
    <w:p>
      <w:pPr>
        <w:pStyle w:val="BodyText"/>
        <w:spacing w:before="158"/>
        <w:ind w:left="396"/>
      </w:pPr>
      <w:r>
        <w:rPr/>
        <w:t> </w:t>
      </w:r>
    </w:p>
    <w:p>
      <w:pPr>
        <w:pStyle w:val="BodyText"/>
        <w:spacing w:before="158"/>
        <w:ind w:left="396"/>
      </w:pPr>
      <w:r>
        <w:rPr/>
        <w:t>注：本协议书由委托代理人签字时，应附法定代表人签字的授权委托书。 </w:t>
      </w:r>
    </w:p>
    <w:p>
      <w:pPr>
        <w:pStyle w:val="BodyText"/>
        <w:spacing w:before="158"/>
        <w:ind w:left="396"/>
      </w:pPr>
      <w:r>
        <w:rPr/>
        <w:t> </w:t>
      </w:r>
    </w:p>
    <w:p>
      <w:pPr>
        <w:pStyle w:val="BodyText"/>
        <w:rPr>
          <w:sz w:val="20"/>
        </w:rPr>
      </w:pPr>
    </w:p>
    <w:p>
      <w:pPr>
        <w:pStyle w:val="BodyText"/>
        <w:spacing w:before="3"/>
        <w:rPr>
          <w:sz w:val="15"/>
        </w:rPr>
      </w:pPr>
    </w:p>
    <w:p>
      <w:pPr>
        <w:spacing w:before="0"/>
        <w:ind w:left="0" w:right="1282" w:firstLine="0"/>
        <w:jc w:val="center"/>
        <w:rPr>
          <w:rFonts w:ascii="Calibri"/>
          <w:sz w:val="18"/>
        </w:rPr>
      </w:pPr>
      <w:r>
        <w:rPr>
          <w:rFonts w:ascii="Calibri"/>
          <w:sz w:val="18"/>
        </w:rPr>
        <w:t>160</w:t>
      </w:r>
    </w:p>
    <w:p>
      <w:pPr>
        <w:spacing w:after="0"/>
        <w:jc w:val="center"/>
        <w:rPr>
          <w:rFonts w:ascii="Calibri"/>
          <w:sz w:val="18"/>
        </w:rPr>
        <w:sectPr>
          <w:pgSz w:w="11910" w:h="16850"/>
          <w:pgMar w:header="911" w:footer="0" w:top="1540" w:bottom="280" w:left="1300" w:right="0"/>
        </w:sectPr>
      </w:pPr>
    </w:p>
    <w:p>
      <w:pPr>
        <w:pStyle w:val="Heading3"/>
      </w:pPr>
      <w:bookmarkStart w:name="六、投标保证金" w:id="189"/>
      <w:bookmarkEnd w:id="189"/>
      <w:r>
        <w:rPr>
          <w:b w:val="0"/>
        </w:rPr>
      </w:r>
      <w:bookmarkStart w:name="_bookmark46" w:id="190"/>
      <w:bookmarkEnd w:id="190"/>
      <w:r>
        <w:rPr>
          <w:b w:val="0"/>
        </w:rPr>
      </w:r>
      <w:r>
        <w:rPr/>
        <w:t>六、投标保证金</w:t>
      </w:r>
    </w:p>
    <w:p>
      <w:pPr>
        <w:pStyle w:val="BodyText"/>
        <w:rPr>
          <w:rFonts w:ascii="黑体"/>
          <w:b/>
          <w:sz w:val="20"/>
        </w:rPr>
      </w:pPr>
    </w:p>
    <w:p>
      <w:pPr>
        <w:spacing w:before="232"/>
        <w:ind w:left="0" w:right="1312" w:firstLine="0"/>
        <w:jc w:val="center"/>
        <w:rPr>
          <w:b/>
          <w:sz w:val="31"/>
        </w:rPr>
      </w:pPr>
      <w:bookmarkStart w:name="投标保证金" w:id="191"/>
      <w:bookmarkEnd w:id="191"/>
      <w:r>
        <w:rPr/>
      </w:r>
      <w:bookmarkStart w:name="_bookmark47" w:id="192"/>
      <w:bookmarkEnd w:id="192"/>
      <w:r>
        <w:rPr/>
      </w:r>
      <w:r>
        <w:rPr>
          <w:b/>
          <w:sz w:val="31"/>
        </w:rPr>
        <w:t>投标保证金</w:t>
      </w:r>
    </w:p>
    <w:p>
      <w:pPr>
        <w:pStyle w:val="BodyText"/>
        <w:rPr>
          <w:b/>
          <w:sz w:val="32"/>
        </w:rPr>
      </w:pPr>
    </w:p>
    <w:p>
      <w:pPr>
        <w:pStyle w:val="BodyText"/>
        <w:spacing w:before="2"/>
        <w:rPr>
          <w:b/>
          <w:sz w:val="29"/>
        </w:rPr>
      </w:pPr>
    </w:p>
    <w:p>
      <w:pPr>
        <w:spacing w:before="0"/>
        <w:ind w:left="396" w:right="0" w:firstLine="0"/>
        <w:jc w:val="left"/>
        <w:rPr>
          <w:sz w:val="24"/>
        </w:rPr>
      </w:pPr>
      <w:r>
        <w:rPr>
          <w:sz w:val="21"/>
        </w:rPr>
        <w:t>     </w:t>
      </w:r>
      <w:r>
        <w:rPr>
          <w:sz w:val="21"/>
          <w:u w:val="single"/>
        </w:rPr>
        <w:t>                  </w:t>
      </w:r>
      <w:r>
        <w:rPr>
          <w:sz w:val="24"/>
        </w:rPr>
        <w:t>(招标人名称)： </w:t>
      </w:r>
    </w:p>
    <w:p>
      <w:pPr>
        <w:pStyle w:val="BodyText"/>
        <w:spacing w:line="362" w:lineRule="auto" w:before="158"/>
        <w:ind w:left="396" w:right="15"/>
      </w:pPr>
      <w:r>
        <w:rPr/>
        <w:drawing>
          <wp:anchor distT="0" distB="0" distL="0" distR="0" allowOverlap="1" layoutInCell="1" locked="0" behindDoc="1" simplePos="0" relativeHeight="234919936">
            <wp:simplePos x="0" y="0"/>
            <wp:positionH relativeFrom="page">
              <wp:posOffset>974356</wp:posOffset>
            </wp:positionH>
            <wp:positionV relativeFrom="paragraph">
              <wp:posOffset>66426</wp:posOffset>
            </wp:positionV>
            <wp:extent cx="5578970" cy="5494141"/>
            <wp:effectExtent l="0" t="0" r="0" b="0"/>
            <wp:wrapNone/>
            <wp:docPr id="139" name="image23.png"/>
            <wp:cNvGraphicFramePr>
              <a:graphicFrameLocks noChangeAspect="1"/>
            </wp:cNvGraphicFramePr>
            <a:graphic>
              <a:graphicData uri="http://schemas.openxmlformats.org/drawingml/2006/picture">
                <pic:pic>
                  <pic:nvPicPr>
                    <pic:cNvPr id="140" name="image23.png"/>
                    <pic:cNvPicPr/>
                  </pic:nvPicPr>
                  <pic:blipFill>
                    <a:blip r:embed="rId37" cstate="print"/>
                    <a:stretch>
                      <a:fillRect/>
                    </a:stretch>
                  </pic:blipFill>
                  <pic:spPr>
                    <a:xfrm>
                      <a:off x="0" y="0"/>
                      <a:ext cx="5578970" cy="5494141"/>
                    </a:xfrm>
                    <a:prstGeom prst="rect">
                      <a:avLst/>
                    </a:prstGeom>
                  </pic:spPr>
                </pic:pic>
              </a:graphicData>
            </a:graphic>
          </wp:anchor>
        </w:drawing>
      </w:r>
      <w:r>
        <w:rPr/>
        <w:t>    鉴 于</w:t>
      </w:r>
      <w:r>
        <w:rPr>
          <w:spacing w:val="1"/>
          <w:u w:val="single"/>
        </w:rPr>
        <w:t>          </w:t>
      </w:r>
      <w:r>
        <w:rPr>
          <w:spacing w:val="-15"/>
        </w:rPr>
        <w:t>( 投 标 人 名 称 ， 以 下 称 “ 投 标 人 ”) 已 于</w:t>
      </w:r>
      <w:r>
        <w:rPr>
          <w:spacing w:val="9"/>
          <w:u w:val="single"/>
        </w:rPr>
        <w:t>             </w:t>
      </w:r>
      <w:r>
        <w:rPr/>
        <w:t>年 月</w:t>
      </w:r>
      <w:r>
        <w:rPr>
          <w:u w:val="single"/>
        </w:rPr>
        <w:t>          </w:t>
      </w:r>
      <w:r>
        <w:rPr/>
        <w:t>日 参 加</w:t>
      </w:r>
      <w:r>
        <w:rPr>
          <w:spacing w:val="19"/>
          <w:u w:val="single"/>
        </w:rPr>
        <w:t>      </w:t>
      </w:r>
      <w:r>
        <w:rPr/>
        <w:t>( 项 目 名 称 )</w:t>
      </w:r>
      <w:r>
        <w:rPr>
          <w:spacing w:val="8"/>
          <w:u w:val="single"/>
        </w:rPr>
        <w:t>              </w:t>
      </w:r>
      <w:r>
        <w:rPr/>
        <w:t>( 标 段 名 称 ) 的 投 标 ， (担保人名称，以下简称“我方”)无条件地、不可撤销地保证：投标人在规定的</w:t>
      </w:r>
    </w:p>
    <w:p>
      <w:pPr>
        <w:pStyle w:val="BodyText"/>
        <w:spacing w:line="374" w:lineRule="auto" w:before="3"/>
        <w:ind w:left="396" w:right="1793"/>
      </w:pPr>
      <w:r>
        <w:rPr/>
        <w:t>投标文件有效期内补充、修改、替代或撤回其投标文件的，或者投标人在收到中标通知书后无正当理由拒签合同或拒交规定履约担保的，我方承担保证责任。收</w:t>
      </w:r>
    </w:p>
    <w:p>
      <w:pPr>
        <w:pStyle w:val="BodyText"/>
        <w:spacing w:line="362" w:lineRule="auto"/>
        <w:ind w:left="396"/>
      </w:pPr>
      <w:r>
        <w:rPr/>
        <w:t>到你方书面通知后，在      </w:t>
      </w:r>
      <w:r>
        <w:rPr>
          <w:rFonts w:ascii="Calibri" w:hAnsi="Calibri" w:eastAsia="Calibri"/>
        </w:rPr>
        <w:t>7               </w:t>
      </w:r>
      <w:r>
        <w:rPr/>
        <w:t>日内无条件向你方支付人民币(大写)</w:t>
      </w:r>
      <w:r>
        <w:rPr>
          <w:u w:val="single"/>
        </w:rPr>
        <w:t>              </w:t>
      </w:r>
      <w:r>
        <w:rPr/>
        <w:t>元(¥元)。 </w:t>
      </w:r>
    </w:p>
    <w:p>
      <w:pPr>
        <w:pStyle w:val="BodyText"/>
        <w:spacing w:line="362" w:lineRule="auto"/>
        <w:ind w:left="396" w:right="1708"/>
      </w:pPr>
      <w:r>
        <w:rPr/>
        <w:t>    本担保在投标有效期内保持有效。要求我方承担保证责任的书面通知应在投标有效期内送达我方。 </w:t>
      </w:r>
    </w:p>
    <w:p>
      <w:pPr>
        <w:pStyle w:val="BodyText"/>
      </w:pPr>
    </w:p>
    <w:p>
      <w:pPr>
        <w:pStyle w:val="BodyText"/>
        <w:spacing w:before="164"/>
        <w:ind w:right="1576"/>
        <w:jc w:val="right"/>
      </w:pPr>
      <w:r>
        <w:rPr>
          <w:spacing w:val="-3"/>
        </w:rPr>
        <w:t>担 保 人 ：</w:t>
      </w:r>
      <w:r>
        <w:rPr>
          <w:spacing w:val="-11"/>
          <w:u w:val="single"/>
        </w:rPr>
        <w:t>            </w:t>
      </w:r>
      <w:r>
        <w:rPr/>
        <w:t>( 盖 单 位 章 ) </w:t>
      </w:r>
    </w:p>
    <w:p>
      <w:pPr>
        <w:pStyle w:val="BodyText"/>
        <w:spacing w:before="158"/>
        <w:ind w:right="1576"/>
        <w:jc w:val="right"/>
      </w:pPr>
      <w:r>
        <w:rPr/>
        <w:t>                           </w:t>
      </w:r>
      <w:r>
        <w:rPr>
          <w:spacing w:val="-1"/>
        </w:rPr>
        <w:t> </w:t>
      </w:r>
      <w:r>
        <w:rPr/>
        <w:t>法定代表人或其委托代理人：</w:t>
      </w:r>
      <w:r>
        <w:rPr>
          <w:spacing w:val="29"/>
          <w:u w:val="single"/>
        </w:rPr>
        <w:t>    </w:t>
      </w:r>
      <w:r>
        <w:rPr/>
        <w:t>(签字) </w:t>
      </w:r>
    </w:p>
    <w:p>
      <w:pPr>
        <w:pStyle w:val="BodyText"/>
        <w:spacing w:before="158"/>
        <w:ind w:left="396"/>
      </w:pPr>
      <w:r>
        <w:rPr/>
        <w:t>                                  地址：</w:t>
      </w:r>
      <w:r>
        <w:rPr>
          <w:u w:val="single"/>
        </w:rPr>
        <w:t>                               </w:t>
      </w:r>
      <w:r>
        <w:rPr/>
        <w:t>   </w:t>
      </w:r>
    </w:p>
    <w:p>
      <w:pPr>
        <w:pStyle w:val="BodyText"/>
        <w:spacing w:before="157"/>
        <w:ind w:left="396"/>
      </w:pPr>
      <w:r>
        <w:rPr/>
        <w:t>                                  邮政编码：</w:t>
      </w:r>
      <w:r>
        <w:rPr>
          <w:u w:val="single"/>
        </w:rPr>
        <w:t>                           </w:t>
      </w:r>
      <w:r>
        <w:rPr/>
        <w:t>  </w:t>
      </w:r>
    </w:p>
    <w:p>
      <w:pPr>
        <w:pStyle w:val="BodyText"/>
        <w:spacing w:before="4"/>
        <w:rPr>
          <w:sz w:val="8"/>
        </w:rPr>
      </w:pPr>
    </w:p>
    <w:p>
      <w:pPr>
        <w:pStyle w:val="BodyText"/>
        <w:spacing w:before="67"/>
        <w:ind w:left="396"/>
      </w:pPr>
      <w:r>
        <w:rPr/>
        <w:t>                                  电话：</w:t>
      </w:r>
      <w:r>
        <w:rPr>
          <w:u w:val="single"/>
        </w:rPr>
        <w:t>                               </w:t>
      </w:r>
      <w:r>
        <w:rPr/>
        <w:t>   </w:t>
      </w:r>
    </w:p>
    <w:p>
      <w:pPr>
        <w:pStyle w:val="BodyText"/>
        <w:spacing w:before="158"/>
        <w:ind w:left="396"/>
      </w:pPr>
      <w:r>
        <w:rPr/>
        <w:t>                                                  </w:t>
      </w:r>
      <w:r>
        <w:rPr>
          <w:u w:val="single"/>
        </w:rPr>
        <w:t>     </w:t>
      </w:r>
      <w:r>
        <w:rPr/>
        <w:t>年</w:t>
      </w:r>
      <w:r>
        <w:rPr>
          <w:u w:val="single"/>
        </w:rPr>
        <w:t> </w:t>
      </w:r>
      <w:r>
        <w:rPr/>
        <w:t>月</w:t>
      </w:r>
      <w:r>
        <w:rPr>
          <w:u w:val="single"/>
        </w:rPr>
        <w:t> </w:t>
      </w:r>
      <w:r>
        <w:rPr/>
        <w:t>日 </w:t>
      </w:r>
    </w:p>
    <w:p>
      <w:pPr>
        <w:pStyle w:val="BodyText"/>
        <w:spacing w:before="158"/>
        <w:ind w:left="396"/>
      </w:pPr>
      <w:r>
        <w:rPr/>
        <w:t> </w:t>
      </w:r>
    </w:p>
    <w:p>
      <w:pPr>
        <w:pStyle w:val="BodyText"/>
        <w:spacing w:before="158"/>
        <w:ind w:left="396"/>
      </w:pPr>
      <w:r>
        <w:rPr/>
        <w:t> </w:t>
      </w:r>
    </w:p>
    <w:p>
      <w:pPr>
        <w:pStyle w:val="BodyText"/>
        <w:spacing w:line="374" w:lineRule="auto" w:before="158"/>
        <w:ind w:left="396" w:right="1693"/>
      </w:pPr>
      <w:r>
        <w:rPr/>
        <w:t>    </w:t>
      </w:r>
      <w:r>
        <w:rPr>
          <w:spacing w:val="-30"/>
        </w:rPr>
        <w:t>注 </w:t>
      </w:r>
      <w:r>
        <w:rPr>
          <w:spacing w:val="-8"/>
        </w:rPr>
        <w:t>1：投标保证金采取汇票、电汇、支票的，附上述票据的复印件；采取担保的，应采用上述格式。 </w:t>
      </w:r>
    </w:p>
    <w:p>
      <w:pPr>
        <w:pStyle w:val="BodyText"/>
        <w:spacing w:line="294" w:lineRule="exact"/>
        <w:ind w:left="396"/>
      </w:pPr>
      <w:r>
        <w:rPr/>
        <w:t>    注 2：委托代理人应附授权委托书。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9"/>
        </w:rPr>
      </w:pPr>
    </w:p>
    <w:p>
      <w:pPr>
        <w:spacing w:before="64"/>
        <w:ind w:left="0" w:right="1282" w:firstLine="0"/>
        <w:jc w:val="center"/>
        <w:rPr>
          <w:rFonts w:ascii="Calibri"/>
          <w:sz w:val="18"/>
        </w:rPr>
      </w:pPr>
      <w:r>
        <w:rPr>
          <w:rFonts w:ascii="Calibri"/>
          <w:sz w:val="18"/>
        </w:rPr>
        <w:t>161</w:t>
      </w:r>
    </w:p>
    <w:p>
      <w:pPr>
        <w:spacing w:after="0"/>
        <w:jc w:val="center"/>
        <w:rPr>
          <w:rFonts w:ascii="Calibri"/>
          <w:sz w:val="18"/>
        </w:rPr>
        <w:sectPr>
          <w:pgSz w:w="11910" w:h="16850"/>
          <w:pgMar w:header="911" w:footer="0" w:top="1540" w:bottom="280" w:left="1300" w:right="0"/>
        </w:sectPr>
      </w:pPr>
    </w:p>
    <w:p>
      <w:pPr>
        <w:pStyle w:val="Heading3"/>
      </w:pPr>
      <w:bookmarkStart w:name="七、已标价工程量清单" w:id="193"/>
      <w:bookmarkEnd w:id="193"/>
      <w:r>
        <w:rPr>
          <w:b w:val="0"/>
        </w:rPr>
      </w:r>
      <w:bookmarkStart w:name="_bookmark48" w:id="194"/>
      <w:bookmarkEnd w:id="194"/>
      <w:r>
        <w:rPr>
          <w:b w:val="0"/>
        </w:rPr>
      </w:r>
      <w:r>
        <w:rPr/>
        <w:t>七、已标价工程量清单</w:t>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5"/>
        <w:rPr>
          <w:rFonts w:ascii="黑体"/>
          <w:b/>
          <w:sz w:val="19"/>
        </w:rPr>
      </w:pPr>
      <w:r>
        <w:rPr/>
        <w:drawing>
          <wp:anchor distT="0" distB="0" distL="0" distR="0" allowOverlap="1" layoutInCell="1" locked="0" behindDoc="0" simplePos="0" relativeHeight="286">
            <wp:simplePos x="0" y="0"/>
            <wp:positionH relativeFrom="page">
              <wp:posOffset>974356</wp:posOffset>
            </wp:positionH>
            <wp:positionV relativeFrom="paragraph">
              <wp:posOffset>182588</wp:posOffset>
            </wp:positionV>
            <wp:extent cx="5580781" cy="5495925"/>
            <wp:effectExtent l="0" t="0" r="0" b="0"/>
            <wp:wrapTopAndBottom/>
            <wp:docPr id="141" name="image23.png"/>
            <wp:cNvGraphicFramePr>
              <a:graphicFrameLocks noChangeAspect="1"/>
            </wp:cNvGraphicFramePr>
            <a:graphic>
              <a:graphicData uri="http://schemas.openxmlformats.org/drawingml/2006/picture">
                <pic:pic>
                  <pic:nvPicPr>
                    <pic:cNvPr id="142" name="image23.png"/>
                    <pic:cNvPicPr/>
                  </pic:nvPicPr>
                  <pic:blipFill>
                    <a:blip r:embed="rId37" cstate="print"/>
                    <a:stretch>
                      <a:fillRect/>
                    </a:stretch>
                  </pic:blipFill>
                  <pic:spPr>
                    <a:xfrm>
                      <a:off x="0" y="0"/>
                      <a:ext cx="5580781" cy="5495925"/>
                    </a:xfrm>
                    <a:prstGeom prst="rect">
                      <a:avLst/>
                    </a:prstGeom>
                  </pic:spPr>
                </pic:pic>
              </a:graphicData>
            </a:graphic>
          </wp:anchor>
        </w:drawing>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10"/>
        <w:rPr>
          <w:rFonts w:ascii="黑体"/>
          <w:b/>
          <w:sz w:val="20"/>
        </w:rPr>
      </w:pPr>
    </w:p>
    <w:p>
      <w:pPr>
        <w:spacing w:before="64"/>
        <w:ind w:left="0" w:right="1282" w:firstLine="0"/>
        <w:jc w:val="center"/>
        <w:rPr>
          <w:rFonts w:ascii="Calibri"/>
          <w:sz w:val="18"/>
        </w:rPr>
      </w:pPr>
      <w:r>
        <w:rPr>
          <w:rFonts w:ascii="Calibri"/>
          <w:sz w:val="18"/>
        </w:rPr>
        <w:t>162</w:t>
      </w:r>
    </w:p>
    <w:p>
      <w:pPr>
        <w:spacing w:after="0"/>
        <w:jc w:val="center"/>
        <w:rPr>
          <w:rFonts w:ascii="Calibri"/>
          <w:sz w:val="18"/>
        </w:rPr>
        <w:sectPr>
          <w:pgSz w:w="11910" w:h="16850"/>
          <w:pgMar w:header="911" w:footer="0" w:top="1540" w:bottom="280" w:left="1300" w:right="0"/>
        </w:sectPr>
      </w:pPr>
    </w:p>
    <w:p>
      <w:pPr>
        <w:pStyle w:val="Heading3"/>
      </w:pPr>
      <w:bookmarkStart w:name="八、施工组织设计" w:id="195"/>
      <w:bookmarkEnd w:id="195"/>
      <w:r>
        <w:rPr>
          <w:b w:val="0"/>
        </w:rPr>
      </w:r>
      <w:bookmarkStart w:name="_bookmark49" w:id="196"/>
      <w:bookmarkEnd w:id="196"/>
      <w:r>
        <w:rPr>
          <w:b w:val="0"/>
        </w:rPr>
      </w:r>
      <w:r>
        <w:rPr/>
        <w:t>八、施工组织设计</w:t>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5"/>
        <w:rPr>
          <w:rFonts w:ascii="黑体"/>
          <w:b/>
          <w:sz w:val="19"/>
        </w:rPr>
      </w:pPr>
      <w:r>
        <w:rPr/>
        <w:drawing>
          <wp:anchor distT="0" distB="0" distL="0" distR="0" allowOverlap="1" layoutInCell="1" locked="0" behindDoc="0" simplePos="0" relativeHeight="287">
            <wp:simplePos x="0" y="0"/>
            <wp:positionH relativeFrom="page">
              <wp:posOffset>974356</wp:posOffset>
            </wp:positionH>
            <wp:positionV relativeFrom="paragraph">
              <wp:posOffset>182588</wp:posOffset>
            </wp:positionV>
            <wp:extent cx="5580781" cy="5495925"/>
            <wp:effectExtent l="0" t="0" r="0" b="0"/>
            <wp:wrapTopAndBottom/>
            <wp:docPr id="143" name="image23.png"/>
            <wp:cNvGraphicFramePr>
              <a:graphicFrameLocks noChangeAspect="1"/>
            </wp:cNvGraphicFramePr>
            <a:graphic>
              <a:graphicData uri="http://schemas.openxmlformats.org/drawingml/2006/picture">
                <pic:pic>
                  <pic:nvPicPr>
                    <pic:cNvPr id="144" name="image23.png"/>
                    <pic:cNvPicPr/>
                  </pic:nvPicPr>
                  <pic:blipFill>
                    <a:blip r:embed="rId37" cstate="print"/>
                    <a:stretch>
                      <a:fillRect/>
                    </a:stretch>
                  </pic:blipFill>
                  <pic:spPr>
                    <a:xfrm>
                      <a:off x="0" y="0"/>
                      <a:ext cx="5580781" cy="5495925"/>
                    </a:xfrm>
                    <a:prstGeom prst="rect">
                      <a:avLst/>
                    </a:prstGeom>
                  </pic:spPr>
                </pic:pic>
              </a:graphicData>
            </a:graphic>
          </wp:anchor>
        </w:drawing>
      </w: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rPr>
          <w:rFonts w:ascii="黑体"/>
          <w:b/>
          <w:sz w:val="20"/>
        </w:rPr>
      </w:pPr>
    </w:p>
    <w:p>
      <w:pPr>
        <w:pStyle w:val="BodyText"/>
        <w:spacing w:before="10"/>
        <w:rPr>
          <w:rFonts w:ascii="黑体"/>
          <w:b/>
          <w:sz w:val="20"/>
        </w:rPr>
      </w:pPr>
    </w:p>
    <w:p>
      <w:pPr>
        <w:spacing w:before="64"/>
        <w:ind w:left="0" w:right="1282" w:firstLine="0"/>
        <w:jc w:val="center"/>
        <w:rPr>
          <w:rFonts w:ascii="Calibri"/>
          <w:sz w:val="18"/>
        </w:rPr>
      </w:pPr>
      <w:r>
        <w:rPr>
          <w:rFonts w:ascii="Calibri"/>
          <w:sz w:val="18"/>
        </w:rPr>
        <w:t>163</w:t>
      </w:r>
    </w:p>
    <w:p>
      <w:pPr>
        <w:spacing w:after="0"/>
        <w:jc w:val="center"/>
        <w:rPr>
          <w:rFonts w:ascii="Calibri"/>
          <w:sz w:val="18"/>
        </w:rPr>
        <w:sectPr>
          <w:pgSz w:w="11910" w:h="16850"/>
          <w:pgMar w:header="911" w:footer="0" w:top="1540" w:bottom="280" w:left="1300" w:right="0"/>
        </w:sectPr>
      </w:pPr>
    </w:p>
    <w:p>
      <w:pPr>
        <w:pStyle w:val="Heading3"/>
      </w:pPr>
      <w:bookmarkStart w:name="九、项目管理机构" w:id="197"/>
      <w:bookmarkEnd w:id="197"/>
      <w:r>
        <w:rPr>
          <w:b w:val="0"/>
        </w:rPr>
      </w:r>
      <w:bookmarkStart w:name="_bookmark50" w:id="198"/>
      <w:bookmarkEnd w:id="198"/>
      <w:r>
        <w:rPr>
          <w:b w:val="0"/>
        </w:rPr>
      </w:r>
      <w:r>
        <w:rPr/>
        <w:t>九、项目管理机构</w:t>
      </w:r>
    </w:p>
    <w:p>
      <w:pPr>
        <w:pStyle w:val="BodyText"/>
        <w:rPr>
          <w:rFonts w:ascii="黑体"/>
          <w:b/>
          <w:sz w:val="20"/>
        </w:rPr>
      </w:pPr>
    </w:p>
    <w:p>
      <w:pPr>
        <w:spacing w:before="232"/>
        <w:ind w:left="3491" w:right="0" w:firstLine="0"/>
        <w:jc w:val="left"/>
        <w:rPr>
          <w:b/>
          <w:sz w:val="31"/>
        </w:rPr>
      </w:pPr>
      <w:r>
        <w:rPr/>
        <w:pict>
          <v:group style="position:absolute;margin-left:76.721001pt;margin-top:81.653908pt;width:439.3pt;height:442.25pt;mso-position-horizontal-relative:page;mso-position-vertical-relative:paragraph;z-index:-268392448" coordorigin="1534,1633" coordsize="8786,8845">
            <v:shape style="position:absolute;left:1534;top:1825;width:8786;height:8653" type="#_x0000_t75" stroked="false">
              <v:imagedata r:id="rId37" o:title=""/>
            </v:shape>
            <v:shape style="position:absolute;left:1697;top:1633;width:3160;height:285" type="#_x0000_t202" filled="false" stroked="false">
              <v:textbox inset="0,0,0,0">
                <w:txbxContent>
                  <w:p>
                    <w:pPr>
                      <w:spacing w:line="285" w:lineRule="exact" w:before="0"/>
                      <w:ind w:left="0" w:right="0" w:firstLine="0"/>
                      <w:jc w:val="left"/>
                      <w:rPr>
                        <w:rFonts w:ascii="黑体" w:eastAsia="黑体" w:hint="eastAsia"/>
                        <w:sz w:val="28"/>
                      </w:rPr>
                    </w:pPr>
                    <w:r>
                      <w:rPr>
                        <w:rFonts w:ascii="黑体" w:eastAsia="黑体" w:hint="eastAsia"/>
                        <w:sz w:val="28"/>
                      </w:rPr>
                      <w:t>(一)项目管理机构组成表</w:t>
                    </w:r>
                  </w:p>
                </w:txbxContent>
              </v:textbox>
              <w10:wrap type="none"/>
            </v:shape>
            <w10:wrap type="none"/>
          </v:group>
        </w:pict>
      </w:r>
      <w:bookmarkStart w:name="项目管理机构表" w:id="199"/>
      <w:bookmarkEnd w:id="199"/>
      <w:r>
        <w:rPr/>
      </w:r>
      <w:bookmarkStart w:name="_bookmark51" w:id="200"/>
      <w:bookmarkEnd w:id="200"/>
      <w:r>
        <w:rPr/>
      </w:r>
      <w:r>
        <w:rPr>
          <w:b/>
          <w:sz w:val="31"/>
        </w:rPr>
        <w:t>项目管理机构表</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after="1"/>
        <w:rPr>
          <w:b/>
          <w:sz w:val="15"/>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1"/>
        <w:gridCol w:w="946"/>
        <w:gridCol w:w="935"/>
        <w:gridCol w:w="1077"/>
        <w:gridCol w:w="675"/>
        <w:gridCol w:w="1201"/>
        <w:gridCol w:w="946"/>
        <w:gridCol w:w="1302"/>
        <w:gridCol w:w="844"/>
      </w:tblGrid>
      <w:tr>
        <w:trPr>
          <w:trHeight w:val="450" w:hRule="atLeast"/>
        </w:trPr>
        <w:tc>
          <w:tcPr>
            <w:tcW w:w="691" w:type="dxa"/>
            <w:vMerge w:val="restart"/>
          </w:tcPr>
          <w:p>
            <w:pPr>
              <w:pStyle w:val="TableParagraph"/>
              <w:spacing w:before="10"/>
              <w:rPr>
                <w:b/>
                <w:sz w:val="25"/>
              </w:rPr>
            </w:pPr>
          </w:p>
          <w:p>
            <w:pPr>
              <w:pStyle w:val="TableParagraph"/>
              <w:ind w:left="143"/>
              <w:rPr>
                <w:sz w:val="21"/>
              </w:rPr>
            </w:pPr>
            <w:r>
              <w:rPr>
                <w:sz w:val="21"/>
              </w:rPr>
              <w:t>职务</w:t>
            </w:r>
          </w:p>
        </w:tc>
        <w:tc>
          <w:tcPr>
            <w:tcW w:w="946" w:type="dxa"/>
            <w:vMerge w:val="restart"/>
          </w:tcPr>
          <w:p>
            <w:pPr>
              <w:pStyle w:val="TableParagraph"/>
              <w:spacing w:before="10"/>
              <w:rPr>
                <w:b/>
                <w:sz w:val="25"/>
              </w:rPr>
            </w:pPr>
          </w:p>
          <w:p>
            <w:pPr>
              <w:pStyle w:val="TableParagraph"/>
              <w:ind w:left="263"/>
              <w:rPr>
                <w:sz w:val="21"/>
              </w:rPr>
            </w:pPr>
            <w:r>
              <w:rPr>
                <w:sz w:val="21"/>
              </w:rPr>
              <w:t>姓名</w:t>
            </w:r>
          </w:p>
        </w:tc>
        <w:tc>
          <w:tcPr>
            <w:tcW w:w="935" w:type="dxa"/>
            <w:vMerge w:val="restart"/>
          </w:tcPr>
          <w:p>
            <w:pPr>
              <w:pStyle w:val="TableParagraph"/>
              <w:spacing w:before="10"/>
              <w:rPr>
                <w:b/>
                <w:sz w:val="25"/>
              </w:rPr>
            </w:pPr>
          </w:p>
          <w:p>
            <w:pPr>
              <w:pStyle w:val="TableParagraph"/>
              <w:ind w:left="263"/>
              <w:rPr>
                <w:sz w:val="21"/>
              </w:rPr>
            </w:pPr>
            <w:r>
              <w:rPr>
                <w:sz w:val="21"/>
              </w:rPr>
              <w:t>职称</w:t>
            </w:r>
          </w:p>
        </w:tc>
        <w:tc>
          <w:tcPr>
            <w:tcW w:w="5201" w:type="dxa"/>
            <w:gridSpan w:val="5"/>
          </w:tcPr>
          <w:p>
            <w:pPr>
              <w:pStyle w:val="TableParagraph"/>
              <w:spacing w:before="90"/>
              <w:ind w:left="1671"/>
              <w:rPr>
                <w:sz w:val="21"/>
              </w:rPr>
            </w:pPr>
            <w:r>
              <w:rPr>
                <w:sz w:val="21"/>
              </w:rPr>
              <w:t>执业或职业资格证明</w:t>
            </w:r>
          </w:p>
        </w:tc>
        <w:tc>
          <w:tcPr>
            <w:tcW w:w="844" w:type="dxa"/>
            <w:vMerge w:val="restart"/>
          </w:tcPr>
          <w:p>
            <w:pPr>
              <w:pStyle w:val="TableParagraph"/>
              <w:spacing w:before="10"/>
              <w:rPr>
                <w:b/>
                <w:sz w:val="25"/>
              </w:rPr>
            </w:pPr>
          </w:p>
          <w:p>
            <w:pPr>
              <w:pStyle w:val="TableParagraph"/>
              <w:ind w:left="225"/>
              <w:rPr>
                <w:sz w:val="21"/>
              </w:rPr>
            </w:pPr>
            <w:r>
              <w:rPr>
                <w:sz w:val="21"/>
              </w:rPr>
              <w:t>备注</w:t>
            </w:r>
          </w:p>
        </w:tc>
      </w:tr>
      <w:tr>
        <w:trPr>
          <w:trHeight w:val="465" w:hRule="atLeast"/>
        </w:trPr>
        <w:tc>
          <w:tcPr>
            <w:tcW w:w="691" w:type="dxa"/>
            <w:vMerge/>
            <w:tcBorders>
              <w:top w:val="nil"/>
            </w:tcBorders>
          </w:tcPr>
          <w:p>
            <w:pPr>
              <w:rPr>
                <w:sz w:val="2"/>
                <w:szCs w:val="2"/>
              </w:rPr>
            </w:pPr>
          </w:p>
        </w:tc>
        <w:tc>
          <w:tcPr>
            <w:tcW w:w="946" w:type="dxa"/>
            <w:vMerge/>
            <w:tcBorders>
              <w:top w:val="nil"/>
            </w:tcBorders>
          </w:tcPr>
          <w:p>
            <w:pPr>
              <w:rPr>
                <w:sz w:val="2"/>
                <w:szCs w:val="2"/>
              </w:rPr>
            </w:pPr>
          </w:p>
        </w:tc>
        <w:tc>
          <w:tcPr>
            <w:tcW w:w="935" w:type="dxa"/>
            <w:vMerge/>
            <w:tcBorders>
              <w:top w:val="nil"/>
            </w:tcBorders>
          </w:tcPr>
          <w:p>
            <w:pPr>
              <w:rPr>
                <w:sz w:val="2"/>
                <w:szCs w:val="2"/>
              </w:rPr>
            </w:pPr>
          </w:p>
        </w:tc>
        <w:tc>
          <w:tcPr>
            <w:tcW w:w="1077" w:type="dxa"/>
          </w:tcPr>
          <w:p>
            <w:pPr>
              <w:pStyle w:val="TableParagraph"/>
              <w:spacing w:before="105"/>
              <w:ind w:left="123"/>
              <w:rPr>
                <w:sz w:val="21"/>
              </w:rPr>
            </w:pPr>
            <w:r>
              <w:rPr>
                <w:sz w:val="21"/>
              </w:rPr>
              <w:t>证书名称</w:t>
            </w:r>
          </w:p>
        </w:tc>
        <w:tc>
          <w:tcPr>
            <w:tcW w:w="675" w:type="dxa"/>
          </w:tcPr>
          <w:p>
            <w:pPr>
              <w:pStyle w:val="TableParagraph"/>
              <w:spacing w:before="105"/>
              <w:ind w:left="128"/>
              <w:rPr>
                <w:sz w:val="21"/>
              </w:rPr>
            </w:pPr>
            <w:r>
              <w:rPr>
                <w:sz w:val="21"/>
              </w:rPr>
              <w:t>级别</w:t>
            </w:r>
          </w:p>
        </w:tc>
        <w:tc>
          <w:tcPr>
            <w:tcW w:w="1201" w:type="dxa"/>
          </w:tcPr>
          <w:p>
            <w:pPr>
              <w:pStyle w:val="TableParagraph"/>
              <w:spacing w:before="105"/>
              <w:ind w:left="414"/>
              <w:rPr>
                <w:sz w:val="21"/>
              </w:rPr>
            </w:pPr>
            <w:r>
              <w:rPr>
                <w:sz w:val="21"/>
              </w:rPr>
              <w:t>证号</w:t>
            </w:r>
          </w:p>
        </w:tc>
        <w:tc>
          <w:tcPr>
            <w:tcW w:w="946" w:type="dxa"/>
          </w:tcPr>
          <w:p>
            <w:pPr>
              <w:pStyle w:val="TableParagraph"/>
              <w:spacing w:before="105"/>
              <w:ind w:left="280"/>
              <w:rPr>
                <w:sz w:val="21"/>
              </w:rPr>
            </w:pPr>
            <w:r>
              <w:rPr>
                <w:sz w:val="21"/>
              </w:rPr>
              <w:t>专业</w:t>
            </w:r>
          </w:p>
        </w:tc>
        <w:tc>
          <w:tcPr>
            <w:tcW w:w="1302" w:type="dxa"/>
          </w:tcPr>
          <w:p>
            <w:pPr>
              <w:pStyle w:val="TableParagraph"/>
              <w:spacing w:before="105"/>
              <w:ind w:left="249"/>
              <w:rPr>
                <w:sz w:val="21"/>
              </w:rPr>
            </w:pPr>
            <w:r>
              <w:rPr>
                <w:sz w:val="21"/>
              </w:rPr>
              <w:t>社会保险</w:t>
            </w:r>
          </w:p>
        </w:tc>
        <w:tc>
          <w:tcPr>
            <w:tcW w:w="844" w:type="dxa"/>
            <w:vMerge/>
            <w:tcBorders>
              <w:top w:val="nil"/>
            </w:tcBorders>
          </w:tcPr>
          <w:p>
            <w:pPr>
              <w:rPr>
                <w:sz w:val="2"/>
                <w:szCs w:val="2"/>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47" w:hRule="atLeast"/>
        </w:trPr>
        <w:tc>
          <w:tcPr>
            <w:tcW w:w="691" w:type="dxa"/>
            <w:tcBorders>
              <w:bottom w:val="single" w:sz="8" w:space="0" w:color="000000"/>
            </w:tcBorders>
          </w:tcPr>
          <w:p>
            <w:pPr>
              <w:pStyle w:val="TableParagraph"/>
              <w:rPr>
                <w:rFonts w:ascii="Times New Roman"/>
                <w:sz w:val="24"/>
              </w:rPr>
            </w:pPr>
          </w:p>
        </w:tc>
        <w:tc>
          <w:tcPr>
            <w:tcW w:w="946" w:type="dxa"/>
            <w:tcBorders>
              <w:bottom w:val="single" w:sz="8" w:space="0" w:color="000000"/>
            </w:tcBorders>
          </w:tcPr>
          <w:p>
            <w:pPr>
              <w:pStyle w:val="TableParagraph"/>
              <w:rPr>
                <w:rFonts w:ascii="Times New Roman"/>
                <w:sz w:val="24"/>
              </w:rPr>
            </w:pPr>
          </w:p>
        </w:tc>
        <w:tc>
          <w:tcPr>
            <w:tcW w:w="935" w:type="dxa"/>
            <w:tcBorders>
              <w:bottom w:val="single" w:sz="8" w:space="0" w:color="000000"/>
            </w:tcBorders>
          </w:tcPr>
          <w:p>
            <w:pPr>
              <w:pStyle w:val="TableParagraph"/>
              <w:rPr>
                <w:rFonts w:ascii="Times New Roman"/>
                <w:sz w:val="24"/>
              </w:rPr>
            </w:pPr>
          </w:p>
        </w:tc>
        <w:tc>
          <w:tcPr>
            <w:tcW w:w="1077" w:type="dxa"/>
            <w:tcBorders>
              <w:bottom w:val="single" w:sz="8" w:space="0" w:color="000000"/>
            </w:tcBorders>
          </w:tcPr>
          <w:p>
            <w:pPr>
              <w:pStyle w:val="TableParagraph"/>
              <w:rPr>
                <w:rFonts w:ascii="Times New Roman"/>
                <w:sz w:val="24"/>
              </w:rPr>
            </w:pPr>
          </w:p>
        </w:tc>
        <w:tc>
          <w:tcPr>
            <w:tcW w:w="675" w:type="dxa"/>
            <w:tcBorders>
              <w:bottom w:val="single" w:sz="8" w:space="0" w:color="000000"/>
            </w:tcBorders>
          </w:tcPr>
          <w:p>
            <w:pPr>
              <w:pStyle w:val="TableParagraph"/>
              <w:rPr>
                <w:rFonts w:ascii="Times New Roman"/>
                <w:sz w:val="24"/>
              </w:rPr>
            </w:pPr>
          </w:p>
        </w:tc>
        <w:tc>
          <w:tcPr>
            <w:tcW w:w="1201" w:type="dxa"/>
            <w:tcBorders>
              <w:bottom w:val="single" w:sz="8" w:space="0" w:color="000000"/>
            </w:tcBorders>
          </w:tcPr>
          <w:p>
            <w:pPr>
              <w:pStyle w:val="TableParagraph"/>
              <w:rPr>
                <w:rFonts w:ascii="Times New Roman"/>
                <w:sz w:val="24"/>
              </w:rPr>
            </w:pPr>
          </w:p>
        </w:tc>
        <w:tc>
          <w:tcPr>
            <w:tcW w:w="946" w:type="dxa"/>
            <w:tcBorders>
              <w:bottom w:val="single" w:sz="8" w:space="0" w:color="000000"/>
            </w:tcBorders>
          </w:tcPr>
          <w:p>
            <w:pPr>
              <w:pStyle w:val="TableParagraph"/>
              <w:rPr>
                <w:rFonts w:ascii="Times New Roman"/>
                <w:sz w:val="24"/>
              </w:rPr>
            </w:pPr>
          </w:p>
        </w:tc>
        <w:tc>
          <w:tcPr>
            <w:tcW w:w="1302" w:type="dxa"/>
            <w:tcBorders>
              <w:bottom w:val="single" w:sz="8" w:space="0" w:color="000000"/>
            </w:tcBorders>
          </w:tcPr>
          <w:p>
            <w:pPr>
              <w:pStyle w:val="TableParagraph"/>
              <w:rPr>
                <w:rFonts w:ascii="Times New Roman"/>
                <w:sz w:val="24"/>
              </w:rPr>
            </w:pPr>
          </w:p>
        </w:tc>
        <w:tc>
          <w:tcPr>
            <w:tcW w:w="844" w:type="dxa"/>
            <w:tcBorders>
              <w:bottom w:val="single" w:sz="8" w:space="0" w:color="000000"/>
            </w:tcBorders>
          </w:tcPr>
          <w:p>
            <w:pPr>
              <w:pStyle w:val="TableParagraph"/>
              <w:rPr>
                <w:rFonts w:ascii="Times New Roman"/>
                <w:sz w:val="24"/>
              </w:rPr>
            </w:pPr>
          </w:p>
        </w:tc>
      </w:tr>
      <w:tr>
        <w:trPr>
          <w:trHeight w:val="462" w:hRule="atLeast"/>
        </w:trPr>
        <w:tc>
          <w:tcPr>
            <w:tcW w:w="691" w:type="dxa"/>
            <w:tcBorders>
              <w:top w:val="single" w:sz="8" w:space="0" w:color="000000"/>
            </w:tcBorders>
          </w:tcPr>
          <w:p>
            <w:pPr>
              <w:pStyle w:val="TableParagraph"/>
              <w:rPr>
                <w:rFonts w:ascii="Times New Roman"/>
                <w:sz w:val="24"/>
              </w:rPr>
            </w:pPr>
          </w:p>
        </w:tc>
        <w:tc>
          <w:tcPr>
            <w:tcW w:w="946" w:type="dxa"/>
            <w:tcBorders>
              <w:top w:val="single" w:sz="8" w:space="0" w:color="000000"/>
            </w:tcBorders>
          </w:tcPr>
          <w:p>
            <w:pPr>
              <w:pStyle w:val="TableParagraph"/>
              <w:rPr>
                <w:rFonts w:ascii="Times New Roman"/>
                <w:sz w:val="24"/>
              </w:rPr>
            </w:pPr>
          </w:p>
        </w:tc>
        <w:tc>
          <w:tcPr>
            <w:tcW w:w="935" w:type="dxa"/>
            <w:tcBorders>
              <w:top w:val="single" w:sz="8" w:space="0" w:color="000000"/>
            </w:tcBorders>
          </w:tcPr>
          <w:p>
            <w:pPr>
              <w:pStyle w:val="TableParagraph"/>
              <w:rPr>
                <w:rFonts w:ascii="Times New Roman"/>
                <w:sz w:val="24"/>
              </w:rPr>
            </w:pPr>
          </w:p>
        </w:tc>
        <w:tc>
          <w:tcPr>
            <w:tcW w:w="1077" w:type="dxa"/>
            <w:tcBorders>
              <w:top w:val="single" w:sz="8" w:space="0" w:color="000000"/>
            </w:tcBorders>
          </w:tcPr>
          <w:p>
            <w:pPr>
              <w:pStyle w:val="TableParagraph"/>
              <w:rPr>
                <w:rFonts w:ascii="Times New Roman"/>
                <w:sz w:val="24"/>
              </w:rPr>
            </w:pPr>
          </w:p>
        </w:tc>
        <w:tc>
          <w:tcPr>
            <w:tcW w:w="675" w:type="dxa"/>
            <w:tcBorders>
              <w:top w:val="single" w:sz="8" w:space="0" w:color="000000"/>
            </w:tcBorders>
          </w:tcPr>
          <w:p>
            <w:pPr>
              <w:pStyle w:val="TableParagraph"/>
              <w:rPr>
                <w:rFonts w:ascii="Times New Roman"/>
                <w:sz w:val="24"/>
              </w:rPr>
            </w:pPr>
          </w:p>
        </w:tc>
        <w:tc>
          <w:tcPr>
            <w:tcW w:w="1201" w:type="dxa"/>
            <w:tcBorders>
              <w:top w:val="single" w:sz="8" w:space="0" w:color="000000"/>
            </w:tcBorders>
          </w:tcPr>
          <w:p>
            <w:pPr>
              <w:pStyle w:val="TableParagraph"/>
              <w:rPr>
                <w:rFonts w:ascii="Times New Roman"/>
                <w:sz w:val="24"/>
              </w:rPr>
            </w:pPr>
          </w:p>
        </w:tc>
        <w:tc>
          <w:tcPr>
            <w:tcW w:w="946" w:type="dxa"/>
            <w:tcBorders>
              <w:top w:val="single" w:sz="8" w:space="0" w:color="000000"/>
            </w:tcBorders>
          </w:tcPr>
          <w:p>
            <w:pPr>
              <w:pStyle w:val="TableParagraph"/>
              <w:rPr>
                <w:rFonts w:ascii="Times New Roman"/>
                <w:sz w:val="24"/>
              </w:rPr>
            </w:pPr>
          </w:p>
        </w:tc>
        <w:tc>
          <w:tcPr>
            <w:tcW w:w="1302" w:type="dxa"/>
            <w:tcBorders>
              <w:top w:val="single" w:sz="8" w:space="0" w:color="000000"/>
            </w:tcBorders>
          </w:tcPr>
          <w:p>
            <w:pPr>
              <w:pStyle w:val="TableParagraph"/>
              <w:rPr>
                <w:rFonts w:ascii="Times New Roman"/>
                <w:sz w:val="24"/>
              </w:rPr>
            </w:pPr>
          </w:p>
        </w:tc>
        <w:tc>
          <w:tcPr>
            <w:tcW w:w="844" w:type="dxa"/>
            <w:tcBorders>
              <w:top w:val="single" w:sz="8" w:space="0" w:color="000000"/>
            </w:tcBorders>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r>
        <w:trPr>
          <w:trHeight w:val="465" w:hRule="atLeast"/>
        </w:trPr>
        <w:tc>
          <w:tcPr>
            <w:tcW w:w="691" w:type="dxa"/>
          </w:tcPr>
          <w:p>
            <w:pPr>
              <w:pStyle w:val="TableParagraph"/>
              <w:rPr>
                <w:rFonts w:ascii="Times New Roman"/>
                <w:sz w:val="24"/>
              </w:rPr>
            </w:pPr>
          </w:p>
        </w:tc>
        <w:tc>
          <w:tcPr>
            <w:tcW w:w="946" w:type="dxa"/>
          </w:tcPr>
          <w:p>
            <w:pPr>
              <w:pStyle w:val="TableParagraph"/>
              <w:rPr>
                <w:rFonts w:ascii="Times New Roman"/>
                <w:sz w:val="24"/>
              </w:rPr>
            </w:pPr>
          </w:p>
        </w:tc>
        <w:tc>
          <w:tcPr>
            <w:tcW w:w="935" w:type="dxa"/>
          </w:tcPr>
          <w:p>
            <w:pPr>
              <w:pStyle w:val="TableParagraph"/>
              <w:rPr>
                <w:rFonts w:ascii="Times New Roman"/>
                <w:sz w:val="24"/>
              </w:rPr>
            </w:pPr>
          </w:p>
        </w:tc>
        <w:tc>
          <w:tcPr>
            <w:tcW w:w="1077" w:type="dxa"/>
          </w:tcPr>
          <w:p>
            <w:pPr>
              <w:pStyle w:val="TableParagraph"/>
              <w:rPr>
                <w:rFonts w:ascii="Times New Roman"/>
                <w:sz w:val="24"/>
              </w:rPr>
            </w:pPr>
          </w:p>
        </w:tc>
        <w:tc>
          <w:tcPr>
            <w:tcW w:w="675" w:type="dxa"/>
          </w:tcPr>
          <w:p>
            <w:pPr>
              <w:pStyle w:val="TableParagraph"/>
              <w:rPr>
                <w:rFonts w:ascii="Times New Roman"/>
                <w:sz w:val="24"/>
              </w:rPr>
            </w:pPr>
          </w:p>
        </w:tc>
        <w:tc>
          <w:tcPr>
            <w:tcW w:w="1201" w:type="dxa"/>
          </w:tcPr>
          <w:p>
            <w:pPr>
              <w:pStyle w:val="TableParagraph"/>
              <w:rPr>
                <w:rFonts w:ascii="Times New Roman"/>
                <w:sz w:val="24"/>
              </w:rPr>
            </w:pPr>
          </w:p>
        </w:tc>
        <w:tc>
          <w:tcPr>
            <w:tcW w:w="946" w:type="dxa"/>
          </w:tcPr>
          <w:p>
            <w:pPr>
              <w:pStyle w:val="TableParagraph"/>
              <w:rPr>
                <w:rFonts w:ascii="Times New Roman"/>
                <w:sz w:val="24"/>
              </w:rPr>
            </w:pPr>
          </w:p>
        </w:tc>
        <w:tc>
          <w:tcPr>
            <w:tcW w:w="1302" w:type="dxa"/>
          </w:tcPr>
          <w:p>
            <w:pPr>
              <w:pStyle w:val="TableParagraph"/>
              <w:rPr>
                <w:rFonts w:ascii="Times New Roman"/>
                <w:sz w:val="24"/>
              </w:rPr>
            </w:pPr>
          </w:p>
        </w:tc>
        <w:tc>
          <w:tcPr>
            <w:tcW w:w="844" w:type="dxa"/>
          </w:tcPr>
          <w:p>
            <w:pPr>
              <w:pStyle w:val="TableParagraph"/>
              <w:rPr>
                <w:rFonts w:ascii="Times New Roman"/>
                <w:sz w:val="24"/>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spacing w:before="64"/>
        <w:ind w:left="0" w:right="1282" w:firstLine="0"/>
        <w:jc w:val="center"/>
        <w:rPr>
          <w:rFonts w:ascii="Calibri"/>
          <w:sz w:val="18"/>
        </w:rPr>
      </w:pPr>
      <w:r>
        <w:rPr>
          <w:rFonts w:ascii="Calibri"/>
          <w:sz w:val="18"/>
        </w:rPr>
        <w:t>164</w:t>
      </w:r>
    </w:p>
    <w:p>
      <w:pPr>
        <w:spacing w:after="0"/>
        <w:jc w:val="center"/>
        <w:rPr>
          <w:rFonts w:ascii="Calibri"/>
          <w:sz w:val="18"/>
        </w:rPr>
        <w:sectPr>
          <w:pgSz w:w="11910" w:h="16850"/>
          <w:pgMar w:header="911" w:footer="0" w:top="1540" w:bottom="280" w:left="1300" w:right="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Heading7"/>
        <w:spacing w:before="196"/>
        <w:ind w:left="396"/>
        <w:rPr>
          <w:rFonts w:ascii="黑体" w:eastAsia="黑体" w:hint="eastAsia"/>
        </w:rPr>
      </w:pPr>
      <w:r>
        <w:rPr/>
        <w:pict>
          <v:group style="position:absolute;margin-left:76.721001pt;margin-top:70.680443pt;width:439.3pt;height:432.65pt;mso-position-horizontal-relative:page;mso-position-vertical-relative:paragraph;z-index:-268390400" coordorigin="1534,1414" coordsize="8786,8653">
            <v:shape style="position:absolute;left:1534;top:1413;width:8786;height:8653" type="#_x0000_t75" stroked="false">
              <v:imagedata r:id="rId37" o:title=""/>
            </v:shape>
            <v:shape style="position:absolute;left:1534;top:1413;width:8786;height:8653" type="#_x0000_t202" filled="false" stroked="false">
              <v:textbox inset="0,0,0,0">
                <w:txbxContent>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0"/>
                      <w:rPr>
                        <w:rFonts w:ascii="Calibri"/>
                        <w:sz w:val="24"/>
                      </w:rPr>
                    </w:pPr>
                  </w:p>
                  <w:p>
                    <w:pPr>
                      <w:spacing w:line="240" w:lineRule="auto" w:before="5"/>
                      <w:rPr>
                        <w:rFonts w:ascii="Calibri"/>
                        <w:sz w:val="30"/>
                      </w:rPr>
                    </w:pPr>
                  </w:p>
                  <w:p>
                    <w:pPr>
                      <w:tabs>
                        <w:tab w:pos="688" w:val="left" w:leader="none"/>
                      </w:tabs>
                      <w:spacing w:line="374" w:lineRule="auto" w:before="0"/>
                      <w:ind w:left="162" w:right="88" w:firstLine="0"/>
                      <w:jc w:val="left"/>
                      <w:rPr>
                        <w:sz w:val="24"/>
                      </w:rPr>
                    </w:pPr>
                    <w:r>
                      <w:rPr>
                        <w:sz w:val="21"/>
                      </w:rPr>
                      <w:t>   </w:t>
                      <w:tab/>
                    </w:r>
                    <w:r>
                      <w:rPr>
                        <w:spacing w:val="-6"/>
                        <w:sz w:val="24"/>
                      </w:rPr>
                      <w:t>注：主要人员指项目经理、技术负责人、安全管理人员(专职安全生产管理人员)、质量管理人员、财务负责人及其它主要人员。</w:t>
                    </w:r>
                    <w:r>
                      <w:rPr>
                        <w:sz w:val="24"/>
                      </w:rPr>
                      <w:t> </w:t>
                    </w:r>
                  </w:p>
                </w:txbxContent>
              </v:textbox>
              <w10:wrap type="none"/>
            </v:shape>
            <w10:wrap type="none"/>
          </v:group>
        </w:pict>
      </w:r>
      <w:r>
        <w:rPr>
          <w:rFonts w:ascii="黑体" w:eastAsia="黑体" w:hint="eastAsia"/>
        </w:rPr>
        <w:t>(二)主要人员简历表</w:t>
      </w:r>
    </w:p>
    <w:p>
      <w:pPr>
        <w:pStyle w:val="BodyText"/>
        <w:spacing w:before="5"/>
        <w:rPr>
          <w:rFonts w:ascii="黑体"/>
          <w:sz w:val="11"/>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82"/>
        <w:gridCol w:w="1472"/>
        <w:gridCol w:w="1487"/>
        <w:gridCol w:w="1472"/>
        <w:gridCol w:w="1472"/>
        <w:gridCol w:w="1336"/>
      </w:tblGrid>
      <w:tr>
        <w:trPr>
          <w:trHeight w:val="465" w:hRule="atLeast"/>
        </w:trPr>
        <w:tc>
          <w:tcPr>
            <w:tcW w:w="1382" w:type="dxa"/>
          </w:tcPr>
          <w:p>
            <w:pPr>
              <w:pStyle w:val="TableParagraph"/>
              <w:spacing w:before="90"/>
              <w:ind w:left="274" w:right="213"/>
              <w:jc w:val="center"/>
              <w:rPr>
                <w:sz w:val="21"/>
              </w:rPr>
            </w:pPr>
            <w:r>
              <w:rPr>
                <w:sz w:val="21"/>
              </w:rPr>
              <w:t>姓名</w:t>
            </w:r>
          </w:p>
        </w:tc>
        <w:tc>
          <w:tcPr>
            <w:tcW w:w="1472" w:type="dxa"/>
          </w:tcPr>
          <w:p>
            <w:pPr>
              <w:pStyle w:val="TableParagraph"/>
              <w:rPr>
                <w:rFonts w:ascii="Times New Roman"/>
                <w:sz w:val="22"/>
              </w:rPr>
            </w:pPr>
          </w:p>
        </w:tc>
        <w:tc>
          <w:tcPr>
            <w:tcW w:w="1487" w:type="dxa"/>
          </w:tcPr>
          <w:p>
            <w:pPr>
              <w:pStyle w:val="TableParagraph"/>
              <w:spacing w:before="90"/>
              <w:ind w:right="500"/>
              <w:jc w:val="right"/>
              <w:rPr>
                <w:sz w:val="21"/>
              </w:rPr>
            </w:pPr>
            <w:r>
              <w:rPr>
                <w:sz w:val="21"/>
              </w:rPr>
              <w:t>年龄</w:t>
            </w:r>
          </w:p>
        </w:tc>
        <w:tc>
          <w:tcPr>
            <w:tcW w:w="1472" w:type="dxa"/>
          </w:tcPr>
          <w:p>
            <w:pPr>
              <w:pStyle w:val="TableParagraph"/>
              <w:rPr>
                <w:rFonts w:ascii="Times New Roman"/>
                <w:sz w:val="22"/>
              </w:rPr>
            </w:pPr>
          </w:p>
        </w:tc>
        <w:tc>
          <w:tcPr>
            <w:tcW w:w="1472" w:type="dxa"/>
          </w:tcPr>
          <w:p>
            <w:pPr>
              <w:pStyle w:val="TableParagraph"/>
              <w:spacing w:before="90"/>
              <w:ind w:left="92" w:right="63"/>
              <w:jc w:val="center"/>
              <w:rPr>
                <w:sz w:val="21"/>
              </w:rPr>
            </w:pPr>
            <w:r>
              <w:rPr>
                <w:sz w:val="21"/>
              </w:rPr>
              <w:t>学历</w:t>
            </w:r>
          </w:p>
        </w:tc>
        <w:tc>
          <w:tcPr>
            <w:tcW w:w="1336" w:type="dxa"/>
          </w:tcPr>
          <w:p>
            <w:pPr>
              <w:pStyle w:val="TableParagraph"/>
              <w:rPr>
                <w:rFonts w:ascii="Times New Roman"/>
                <w:sz w:val="22"/>
              </w:rPr>
            </w:pPr>
          </w:p>
        </w:tc>
      </w:tr>
      <w:tr>
        <w:trPr>
          <w:trHeight w:val="931" w:hRule="atLeast"/>
        </w:trPr>
        <w:tc>
          <w:tcPr>
            <w:tcW w:w="1382" w:type="dxa"/>
          </w:tcPr>
          <w:p>
            <w:pPr>
              <w:pStyle w:val="TableParagraph"/>
              <w:spacing w:before="10"/>
              <w:rPr>
                <w:rFonts w:ascii="黑体"/>
                <w:sz w:val="25"/>
              </w:rPr>
            </w:pPr>
          </w:p>
          <w:p>
            <w:pPr>
              <w:pStyle w:val="TableParagraph"/>
              <w:ind w:left="274" w:right="213"/>
              <w:jc w:val="center"/>
              <w:rPr>
                <w:sz w:val="21"/>
              </w:rPr>
            </w:pPr>
            <w:r>
              <w:rPr>
                <w:sz w:val="21"/>
              </w:rPr>
              <w:t>执业资格</w:t>
            </w:r>
          </w:p>
        </w:tc>
        <w:tc>
          <w:tcPr>
            <w:tcW w:w="4431" w:type="dxa"/>
            <w:gridSpan w:val="3"/>
          </w:tcPr>
          <w:p>
            <w:pPr>
              <w:pStyle w:val="TableParagraph"/>
              <w:rPr>
                <w:rFonts w:ascii="Times New Roman"/>
                <w:sz w:val="22"/>
              </w:rPr>
            </w:pPr>
          </w:p>
        </w:tc>
        <w:tc>
          <w:tcPr>
            <w:tcW w:w="1472" w:type="dxa"/>
          </w:tcPr>
          <w:p>
            <w:pPr>
              <w:pStyle w:val="TableParagraph"/>
              <w:spacing w:before="90"/>
              <w:ind w:left="93" w:right="63"/>
              <w:jc w:val="center"/>
              <w:rPr>
                <w:sz w:val="21"/>
              </w:rPr>
            </w:pPr>
            <w:r>
              <w:rPr>
                <w:sz w:val="21"/>
              </w:rPr>
              <w:t>安全生产考核</w:t>
            </w:r>
          </w:p>
          <w:p>
            <w:pPr>
              <w:pStyle w:val="TableParagraph"/>
              <w:spacing w:before="4"/>
              <w:rPr>
                <w:rFonts w:ascii="黑体"/>
                <w:sz w:val="15"/>
              </w:rPr>
            </w:pPr>
          </w:p>
          <w:p>
            <w:pPr>
              <w:pStyle w:val="TableParagraph"/>
              <w:ind w:left="93" w:right="63"/>
              <w:jc w:val="center"/>
              <w:rPr>
                <w:sz w:val="21"/>
              </w:rPr>
            </w:pPr>
            <w:r>
              <w:rPr>
                <w:sz w:val="21"/>
              </w:rPr>
              <w:t>合格证书</w:t>
            </w:r>
          </w:p>
        </w:tc>
        <w:tc>
          <w:tcPr>
            <w:tcW w:w="1336" w:type="dxa"/>
          </w:tcPr>
          <w:p>
            <w:pPr>
              <w:pStyle w:val="TableParagraph"/>
              <w:rPr>
                <w:rFonts w:ascii="Times New Roman"/>
                <w:sz w:val="22"/>
              </w:rPr>
            </w:pPr>
          </w:p>
        </w:tc>
      </w:tr>
      <w:tr>
        <w:trPr>
          <w:trHeight w:val="930" w:hRule="atLeast"/>
        </w:trPr>
        <w:tc>
          <w:tcPr>
            <w:tcW w:w="1382" w:type="dxa"/>
          </w:tcPr>
          <w:p>
            <w:pPr>
              <w:pStyle w:val="TableParagraph"/>
              <w:spacing w:before="10"/>
              <w:rPr>
                <w:rFonts w:ascii="黑体"/>
                <w:sz w:val="25"/>
              </w:rPr>
            </w:pPr>
          </w:p>
          <w:p>
            <w:pPr>
              <w:pStyle w:val="TableParagraph"/>
              <w:ind w:left="274" w:right="213"/>
              <w:jc w:val="center"/>
              <w:rPr>
                <w:sz w:val="21"/>
              </w:rPr>
            </w:pPr>
            <w:r>
              <w:rPr>
                <w:sz w:val="21"/>
              </w:rPr>
              <w:t>职称</w:t>
            </w:r>
          </w:p>
        </w:tc>
        <w:tc>
          <w:tcPr>
            <w:tcW w:w="1472" w:type="dxa"/>
          </w:tcPr>
          <w:p>
            <w:pPr>
              <w:pStyle w:val="TableParagraph"/>
              <w:rPr>
                <w:rFonts w:ascii="Times New Roman"/>
                <w:sz w:val="22"/>
              </w:rPr>
            </w:pPr>
          </w:p>
        </w:tc>
        <w:tc>
          <w:tcPr>
            <w:tcW w:w="1487" w:type="dxa"/>
          </w:tcPr>
          <w:p>
            <w:pPr>
              <w:pStyle w:val="TableParagraph"/>
              <w:spacing w:before="10"/>
              <w:rPr>
                <w:rFonts w:ascii="黑体"/>
                <w:sz w:val="25"/>
              </w:rPr>
            </w:pPr>
          </w:p>
          <w:p>
            <w:pPr>
              <w:pStyle w:val="TableParagraph"/>
              <w:ind w:right="500"/>
              <w:jc w:val="right"/>
              <w:rPr>
                <w:sz w:val="21"/>
              </w:rPr>
            </w:pPr>
            <w:r>
              <w:rPr>
                <w:sz w:val="21"/>
              </w:rPr>
              <w:t>职务</w:t>
            </w:r>
          </w:p>
        </w:tc>
        <w:tc>
          <w:tcPr>
            <w:tcW w:w="1472" w:type="dxa"/>
          </w:tcPr>
          <w:p>
            <w:pPr>
              <w:pStyle w:val="TableParagraph"/>
              <w:rPr>
                <w:rFonts w:ascii="Times New Roman"/>
                <w:sz w:val="22"/>
              </w:rPr>
            </w:pPr>
          </w:p>
        </w:tc>
        <w:tc>
          <w:tcPr>
            <w:tcW w:w="1472" w:type="dxa"/>
          </w:tcPr>
          <w:p>
            <w:pPr>
              <w:pStyle w:val="TableParagraph"/>
              <w:spacing w:before="90"/>
              <w:ind w:left="93" w:right="63"/>
              <w:jc w:val="center"/>
              <w:rPr>
                <w:sz w:val="21"/>
              </w:rPr>
            </w:pPr>
            <w:r>
              <w:rPr>
                <w:sz w:val="21"/>
              </w:rPr>
              <w:t>拟在本合同任</w:t>
            </w:r>
          </w:p>
          <w:p>
            <w:pPr>
              <w:pStyle w:val="TableParagraph"/>
              <w:spacing w:before="4"/>
              <w:rPr>
                <w:rFonts w:ascii="黑体"/>
                <w:sz w:val="15"/>
              </w:rPr>
            </w:pPr>
          </w:p>
          <w:p>
            <w:pPr>
              <w:pStyle w:val="TableParagraph"/>
              <w:ind w:left="28"/>
              <w:jc w:val="center"/>
              <w:rPr>
                <w:sz w:val="21"/>
              </w:rPr>
            </w:pPr>
            <w:r>
              <w:rPr>
                <w:sz w:val="21"/>
              </w:rPr>
              <w:t>职</w:t>
            </w:r>
          </w:p>
        </w:tc>
        <w:tc>
          <w:tcPr>
            <w:tcW w:w="1336" w:type="dxa"/>
          </w:tcPr>
          <w:p>
            <w:pPr>
              <w:pStyle w:val="TableParagraph"/>
              <w:rPr>
                <w:rFonts w:ascii="Times New Roman"/>
                <w:sz w:val="22"/>
              </w:rPr>
            </w:pPr>
          </w:p>
        </w:tc>
      </w:tr>
      <w:tr>
        <w:trPr>
          <w:trHeight w:val="465" w:hRule="atLeast"/>
        </w:trPr>
        <w:tc>
          <w:tcPr>
            <w:tcW w:w="1382" w:type="dxa"/>
          </w:tcPr>
          <w:p>
            <w:pPr>
              <w:pStyle w:val="TableParagraph"/>
              <w:spacing w:before="90"/>
              <w:ind w:left="274" w:right="213"/>
              <w:jc w:val="center"/>
              <w:rPr>
                <w:sz w:val="21"/>
              </w:rPr>
            </w:pPr>
            <w:r>
              <w:rPr>
                <w:sz w:val="21"/>
              </w:rPr>
              <w:t>毕业学校</w:t>
            </w:r>
          </w:p>
        </w:tc>
        <w:tc>
          <w:tcPr>
            <w:tcW w:w="7239" w:type="dxa"/>
            <w:gridSpan w:val="5"/>
          </w:tcPr>
          <w:p>
            <w:pPr>
              <w:pStyle w:val="TableParagraph"/>
              <w:spacing w:before="90"/>
              <w:ind w:left="1749"/>
              <w:rPr>
                <w:sz w:val="21"/>
              </w:rPr>
            </w:pPr>
            <w:r>
              <w:rPr>
                <w:sz w:val="21"/>
              </w:rPr>
              <w:t>        年毕业于 学校  专业</w:t>
            </w:r>
          </w:p>
        </w:tc>
      </w:tr>
      <w:tr>
        <w:trPr>
          <w:trHeight w:val="450" w:hRule="atLeast"/>
        </w:trPr>
        <w:tc>
          <w:tcPr>
            <w:tcW w:w="8621" w:type="dxa"/>
            <w:gridSpan w:val="6"/>
          </w:tcPr>
          <w:p>
            <w:pPr>
              <w:pStyle w:val="TableParagraph"/>
              <w:spacing w:before="90"/>
              <w:ind w:left="3474" w:right="3412"/>
              <w:jc w:val="center"/>
              <w:rPr>
                <w:sz w:val="21"/>
              </w:rPr>
            </w:pPr>
            <w:r>
              <w:rPr>
                <w:sz w:val="21"/>
              </w:rPr>
              <w:t>主要施工管理经历</w:t>
            </w:r>
          </w:p>
        </w:tc>
      </w:tr>
      <w:tr>
        <w:trPr>
          <w:trHeight w:val="931" w:hRule="atLeast"/>
        </w:trPr>
        <w:tc>
          <w:tcPr>
            <w:tcW w:w="1382" w:type="dxa"/>
          </w:tcPr>
          <w:p>
            <w:pPr>
              <w:pStyle w:val="TableParagraph"/>
              <w:spacing w:before="12"/>
              <w:rPr>
                <w:rFonts w:ascii="黑体"/>
                <w:sz w:val="26"/>
              </w:rPr>
            </w:pPr>
          </w:p>
          <w:p>
            <w:pPr>
              <w:pStyle w:val="TableParagraph"/>
              <w:ind w:left="274" w:right="213"/>
              <w:jc w:val="center"/>
              <w:rPr>
                <w:sz w:val="21"/>
              </w:rPr>
            </w:pPr>
            <w:r>
              <w:rPr>
                <w:sz w:val="21"/>
              </w:rPr>
              <w:t>时间</w:t>
            </w:r>
          </w:p>
        </w:tc>
        <w:tc>
          <w:tcPr>
            <w:tcW w:w="4431" w:type="dxa"/>
            <w:gridSpan w:val="3"/>
          </w:tcPr>
          <w:p>
            <w:pPr>
              <w:pStyle w:val="TableParagraph"/>
              <w:spacing w:before="12"/>
              <w:rPr>
                <w:rFonts w:ascii="黑体"/>
                <w:sz w:val="26"/>
              </w:rPr>
            </w:pPr>
          </w:p>
          <w:p>
            <w:pPr>
              <w:pStyle w:val="TableParagraph"/>
              <w:ind w:left="1388"/>
              <w:rPr>
                <w:sz w:val="21"/>
              </w:rPr>
            </w:pPr>
            <w:r>
              <w:rPr>
                <w:sz w:val="21"/>
              </w:rPr>
              <w:t>参加过的类似项目</w:t>
            </w:r>
          </w:p>
        </w:tc>
        <w:tc>
          <w:tcPr>
            <w:tcW w:w="1472" w:type="dxa"/>
          </w:tcPr>
          <w:p>
            <w:pPr>
              <w:pStyle w:val="TableParagraph"/>
              <w:spacing w:before="12"/>
              <w:rPr>
                <w:rFonts w:ascii="黑体"/>
                <w:sz w:val="26"/>
              </w:rPr>
            </w:pPr>
          </w:p>
          <w:p>
            <w:pPr>
              <w:pStyle w:val="TableParagraph"/>
              <w:ind w:left="93" w:right="63"/>
              <w:jc w:val="center"/>
              <w:rPr>
                <w:sz w:val="21"/>
              </w:rPr>
            </w:pPr>
            <w:r>
              <w:rPr>
                <w:sz w:val="21"/>
              </w:rPr>
              <w:t>担任职务</w:t>
            </w:r>
          </w:p>
        </w:tc>
        <w:tc>
          <w:tcPr>
            <w:tcW w:w="1336" w:type="dxa"/>
          </w:tcPr>
          <w:p>
            <w:pPr>
              <w:pStyle w:val="TableParagraph"/>
              <w:spacing w:before="105"/>
              <w:ind w:left="138" w:right="93"/>
              <w:jc w:val="center"/>
              <w:rPr>
                <w:sz w:val="21"/>
              </w:rPr>
            </w:pPr>
            <w:r>
              <w:rPr>
                <w:sz w:val="21"/>
              </w:rPr>
              <w:t>发包人及联</w:t>
            </w:r>
          </w:p>
          <w:p>
            <w:pPr>
              <w:pStyle w:val="TableParagraph"/>
              <w:spacing w:before="4"/>
              <w:rPr>
                <w:rFonts w:ascii="黑体"/>
                <w:sz w:val="15"/>
              </w:rPr>
            </w:pPr>
          </w:p>
          <w:p>
            <w:pPr>
              <w:pStyle w:val="TableParagraph"/>
              <w:ind w:left="138" w:right="93"/>
              <w:jc w:val="center"/>
              <w:rPr>
                <w:sz w:val="21"/>
              </w:rPr>
            </w:pPr>
            <w:r>
              <w:rPr>
                <w:sz w:val="21"/>
              </w:rPr>
              <w:t>系电话</w:t>
            </w:r>
          </w:p>
        </w:tc>
      </w:tr>
      <w:tr>
        <w:trPr>
          <w:trHeight w:val="465" w:hRule="atLeast"/>
        </w:trPr>
        <w:tc>
          <w:tcPr>
            <w:tcW w:w="1382" w:type="dxa"/>
          </w:tcPr>
          <w:p>
            <w:pPr>
              <w:pStyle w:val="TableParagraph"/>
              <w:rPr>
                <w:rFonts w:ascii="Times New Roman"/>
                <w:sz w:val="22"/>
              </w:rPr>
            </w:pPr>
          </w:p>
        </w:tc>
        <w:tc>
          <w:tcPr>
            <w:tcW w:w="4431" w:type="dxa"/>
            <w:gridSpan w:val="3"/>
          </w:tcPr>
          <w:p>
            <w:pPr>
              <w:pStyle w:val="TableParagraph"/>
              <w:rPr>
                <w:rFonts w:ascii="Times New Roman"/>
                <w:sz w:val="22"/>
              </w:rPr>
            </w:pPr>
          </w:p>
        </w:tc>
        <w:tc>
          <w:tcPr>
            <w:tcW w:w="1472" w:type="dxa"/>
          </w:tcPr>
          <w:p>
            <w:pPr>
              <w:pStyle w:val="TableParagraph"/>
              <w:rPr>
                <w:rFonts w:ascii="Times New Roman"/>
                <w:sz w:val="22"/>
              </w:rPr>
            </w:pPr>
          </w:p>
        </w:tc>
        <w:tc>
          <w:tcPr>
            <w:tcW w:w="1336" w:type="dxa"/>
          </w:tcPr>
          <w:p>
            <w:pPr>
              <w:pStyle w:val="TableParagraph"/>
              <w:rPr>
                <w:rFonts w:ascii="Times New Roman"/>
                <w:sz w:val="22"/>
              </w:rPr>
            </w:pPr>
          </w:p>
        </w:tc>
      </w:tr>
      <w:tr>
        <w:trPr>
          <w:trHeight w:val="465" w:hRule="atLeast"/>
        </w:trPr>
        <w:tc>
          <w:tcPr>
            <w:tcW w:w="1382" w:type="dxa"/>
          </w:tcPr>
          <w:p>
            <w:pPr>
              <w:pStyle w:val="TableParagraph"/>
              <w:rPr>
                <w:rFonts w:ascii="Times New Roman"/>
                <w:sz w:val="22"/>
              </w:rPr>
            </w:pPr>
          </w:p>
        </w:tc>
        <w:tc>
          <w:tcPr>
            <w:tcW w:w="4431" w:type="dxa"/>
            <w:gridSpan w:val="3"/>
          </w:tcPr>
          <w:p>
            <w:pPr>
              <w:pStyle w:val="TableParagraph"/>
              <w:rPr>
                <w:rFonts w:ascii="Times New Roman"/>
                <w:sz w:val="22"/>
              </w:rPr>
            </w:pPr>
          </w:p>
        </w:tc>
        <w:tc>
          <w:tcPr>
            <w:tcW w:w="1472" w:type="dxa"/>
          </w:tcPr>
          <w:p>
            <w:pPr>
              <w:pStyle w:val="TableParagraph"/>
              <w:rPr>
                <w:rFonts w:ascii="Times New Roman"/>
                <w:sz w:val="22"/>
              </w:rPr>
            </w:pPr>
          </w:p>
        </w:tc>
        <w:tc>
          <w:tcPr>
            <w:tcW w:w="1336" w:type="dxa"/>
          </w:tcPr>
          <w:p>
            <w:pPr>
              <w:pStyle w:val="TableParagraph"/>
              <w:rPr>
                <w:rFonts w:ascii="Times New Roman"/>
                <w:sz w:val="22"/>
              </w:rPr>
            </w:pPr>
          </w:p>
        </w:tc>
      </w:tr>
      <w:tr>
        <w:trPr>
          <w:trHeight w:val="465" w:hRule="atLeast"/>
        </w:trPr>
        <w:tc>
          <w:tcPr>
            <w:tcW w:w="1382" w:type="dxa"/>
          </w:tcPr>
          <w:p>
            <w:pPr>
              <w:pStyle w:val="TableParagraph"/>
              <w:rPr>
                <w:rFonts w:ascii="Times New Roman"/>
                <w:sz w:val="22"/>
              </w:rPr>
            </w:pPr>
          </w:p>
        </w:tc>
        <w:tc>
          <w:tcPr>
            <w:tcW w:w="4431" w:type="dxa"/>
            <w:gridSpan w:val="3"/>
          </w:tcPr>
          <w:p>
            <w:pPr>
              <w:pStyle w:val="TableParagraph"/>
              <w:rPr>
                <w:rFonts w:ascii="Times New Roman"/>
                <w:sz w:val="22"/>
              </w:rPr>
            </w:pPr>
          </w:p>
        </w:tc>
        <w:tc>
          <w:tcPr>
            <w:tcW w:w="1472" w:type="dxa"/>
          </w:tcPr>
          <w:p>
            <w:pPr>
              <w:pStyle w:val="TableParagraph"/>
              <w:rPr>
                <w:rFonts w:ascii="Times New Roman"/>
                <w:sz w:val="22"/>
              </w:rPr>
            </w:pPr>
          </w:p>
        </w:tc>
        <w:tc>
          <w:tcPr>
            <w:tcW w:w="1336" w:type="dxa"/>
          </w:tcPr>
          <w:p>
            <w:pPr>
              <w:pStyle w:val="TableParagraph"/>
              <w:rPr>
                <w:rFonts w:ascii="Times New Roman"/>
                <w:sz w:val="22"/>
              </w:rPr>
            </w:pPr>
          </w:p>
        </w:tc>
      </w:tr>
      <w:tr>
        <w:trPr>
          <w:trHeight w:val="465" w:hRule="atLeast"/>
        </w:trPr>
        <w:tc>
          <w:tcPr>
            <w:tcW w:w="1382" w:type="dxa"/>
          </w:tcPr>
          <w:p>
            <w:pPr>
              <w:pStyle w:val="TableParagraph"/>
              <w:rPr>
                <w:rFonts w:ascii="Times New Roman"/>
                <w:sz w:val="22"/>
              </w:rPr>
            </w:pPr>
          </w:p>
        </w:tc>
        <w:tc>
          <w:tcPr>
            <w:tcW w:w="4431" w:type="dxa"/>
            <w:gridSpan w:val="3"/>
          </w:tcPr>
          <w:p>
            <w:pPr>
              <w:pStyle w:val="TableParagraph"/>
              <w:rPr>
                <w:rFonts w:ascii="Times New Roman"/>
                <w:sz w:val="22"/>
              </w:rPr>
            </w:pPr>
          </w:p>
        </w:tc>
        <w:tc>
          <w:tcPr>
            <w:tcW w:w="1472" w:type="dxa"/>
          </w:tcPr>
          <w:p>
            <w:pPr>
              <w:pStyle w:val="TableParagraph"/>
              <w:rPr>
                <w:rFonts w:ascii="Times New Roman"/>
                <w:sz w:val="22"/>
              </w:rPr>
            </w:pPr>
          </w:p>
        </w:tc>
        <w:tc>
          <w:tcPr>
            <w:tcW w:w="1336" w:type="dxa"/>
          </w:tcPr>
          <w:p>
            <w:pPr>
              <w:pStyle w:val="TableParagraph"/>
              <w:rPr>
                <w:rFonts w:ascii="Times New Roman"/>
                <w:sz w:val="22"/>
              </w:rPr>
            </w:pPr>
          </w:p>
        </w:tc>
      </w:tr>
      <w:tr>
        <w:trPr>
          <w:trHeight w:val="465" w:hRule="atLeast"/>
        </w:trPr>
        <w:tc>
          <w:tcPr>
            <w:tcW w:w="1382" w:type="dxa"/>
          </w:tcPr>
          <w:p>
            <w:pPr>
              <w:pStyle w:val="TableParagraph"/>
              <w:rPr>
                <w:rFonts w:ascii="Times New Roman"/>
                <w:sz w:val="22"/>
              </w:rPr>
            </w:pPr>
          </w:p>
        </w:tc>
        <w:tc>
          <w:tcPr>
            <w:tcW w:w="4431" w:type="dxa"/>
            <w:gridSpan w:val="3"/>
          </w:tcPr>
          <w:p>
            <w:pPr>
              <w:pStyle w:val="TableParagraph"/>
              <w:rPr>
                <w:rFonts w:ascii="Times New Roman"/>
                <w:sz w:val="22"/>
              </w:rPr>
            </w:pPr>
          </w:p>
        </w:tc>
        <w:tc>
          <w:tcPr>
            <w:tcW w:w="1472" w:type="dxa"/>
          </w:tcPr>
          <w:p>
            <w:pPr>
              <w:pStyle w:val="TableParagraph"/>
              <w:rPr>
                <w:rFonts w:ascii="Times New Roman"/>
                <w:sz w:val="22"/>
              </w:rPr>
            </w:pPr>
          </w:p>
        </w:tc>
        <w:tc>
          <w:tcPr>
            <w:tcW w:w="1336" w:type="dxa"/>
          </w:tcPr>
          <w:p>
            <w:pPr>
              <w:pStyle w:val="TableParagraph"/>
              <w:rPr>
                <w:rFonts w:ascii="Times New Roman"/>
                <w:sz w:val="22"/>
              </w:rPr>
            </w:pPr>
          </w:p>
        </w:tc>
      </w:tr>
      <w:tr>
        <w:trPr>
          <w:trHeight w:val="450" w:hRule="atLeast"/>
        </w:trPr>
        <w:tc>
          <w:tcPr>
            <w:tcW w:w="1382" w:type="dxa"/>
          </w:tcPr>
          <w:p>
            <w:pPr>
              <w:pStyle w:val="TableParagraph"/>
              <w:rPr>
                <w:rFonts w:ascii="Times New Roman"/>
                <w:sz w:val="22"/>
              </w:rPr>
            </w:pPr>
          </w:p>
        </w:tc>
        <w:tc>
          <w:tcPr>
            <w:tcW w:w="4431" w:type="dxa"/>
            <w:gridSpan w:val="3"/>
          </w:tcPr>
          <w:p>
            <w:pPr>
              <w:pStyle w:val="TableParagraph"/>
              <w:rPr>
                <w:rFonts w:ascii="Times New Roman"/>
                <w:sz w:val="22"/>
              </w:rPr>
            </w:pPr>
          </w:p>
        </w:tc>
        <w:tc>
          <w:tcPr>
            <w:tcW w:w="1472" w:type="dxa"/>
          </w:tcPr>
          <w:p>
            <w:pPr>
              <w:pStyle w:val="TableParagraph"/>
              <w:rPr>
                <w:rFonts w:ascii="Times New Roman"/>
                <w:sz w:val="22"/>
              </w:rPr>
            </w:pPr>
          </w:p>
        </w:tc>
        <w:tc>
          <w:tcPr>
            <w:tcW w:w="1336" w:type="dxa"/>
          </w:tcPr>
          <w:p>
            <w:pPr>
              <w:pStyle w:val="TableParagraph"/>
              <w:rPr>
                <w:rFonts w:ascii="Times New Roman"/>
                <w:sz w:val="22"/>
              </w:rPr>
            </w:pPr>
          </w:p>
        </w:tc>
      </w:tr>
    </w:tbl>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spacing w:before="5"/>
        <w:rPr>
          <w:rFonts w:ascii="黑体"/>
          <w:sz w:val="37"/>
        </w:rPr>
      </w:pPr>
    </w:p>
    <w:p>
      <w:pPr>
        <w:spacing w:before="0"/>
        <w:ind w:left="0" w:right="1282" w:firstLine="0"/>
        <w:jc w:val="center"/>
        <w:rPr>
          <w:rFonts w:ascii="Calibri"/>
          <w:sz w:val="18"/>
        </w:rPr>
      </w:pPr>
      <w:r>
        <w:rPr>
          <w:rFonts w:ascii="Calibri"/>
          <w:sz w:val="18"/>
        </w:rPr>
        <w:t>165</w:t>
      </w:r>
    </w:p>
    <w:p>
      <w:pPr>
        <w:spacing w:after="0"/>
        <w:jc w:val="center"/>
        <w:rPr>
          <w:rFonts w:ascii="Calibri"/>
          <w:sz w:val="18"/>
        </w:rPr>
        <w:sectPr>
          <w:pgSz w:w="11910" w:h="16850"/>
          <w:pgMar w:header="911" w:footer="0" w:top="1540" w:bottom="280" w:left="1300" w:right="0"/>
        </w:sectPr>
      </w:pPr>
    </w:p>
    <w:p>
      <w:pPr>
        <w:pStyle w:val="Heading3"/>
      </w:pPr>
      <w:bookmarkStart w:name="十、拟分包项目情况表" w:id="201"/>
      <w:bookmarkEnd w:id="201"/>
      <w:r>
        <w:rPr>
          <w:b w:val="0"/>
        </w:rPr>
      </w:r>
      <w:bookmarkStart w:name="_bookmark52" w:id="202"/>
      <w:bookmarkEnd w:id="202"/>
      <w:r>
        <w:rPr>
          <w:b w:val="0"/>
        </w:rPr>
      </w:r>
      <w:r>
        <w:rPr/>
        <w:t>十、拟分包项目情况表</w:t>
      </w:r>
    </w:p>
    <w:p>
      <w:pPr>
        <w:pStyle w:val="BodyText"/>
        <w:spacing w:before="1"/>
        <w:rPr>
          <w:rFonts w:ascii="黑体"/>
          <w:b/>
          <w:sz w:val="38"/>
        </w:rPr>
      </w:pPr>
    </w:p>
    <w:p>
      <w:pPr>
        <w:spacing w:before="0"/>
        <w:ind w:left="3326" w:right="0" w:firstLine="0"/>
        <w:jc w:val="left"/>
        <w:rPr>
          <w:b/>
          <w:sz w:val="31"/>
        </w:rPr>
      </w:pPr>
      <w:r>
        <w:rPr/>
        <w:drawing>
          <wp:anchor distT="0" distB="0" distL="0" distR="0" allowOverlap="1" layoutInCell="1" locked="0" behindDoc="1" simplePos="0" relativeHeight="234927104">
            <wp:simplePos x="0" y="0"/>
            <wp:positionH relativeFrom="page">
              <wp:posOffset>974356</wp:posOffset>
            </wp:positionH>
            <wp:positionV relativeFrom="paragraph">
              <wp:posOffset>1011688</wp:posOffset>
            </wp:positionV>
            <wp:extent cx="5580781" cy="5495925"/>
            <wp:effectExtent l="0" t="0" r="0" b="0"/>
            <wp:wrapNone/>
            <wp:docPr id="145" name="image23.png"/>
            <wp:cNvGraphicFramePr>
              <a:graphicFrameLocks noChangeAspect="1"/>
            </wp:cNvGraphicFramePr>
            <a:graphic>
              <a:graphicData uri="http://schemas.openxmlformats.org/drawingml/2006/picture">
                <pic:pic>
                  <pic:nvPicPr>
                    <pic:cNvPr id="146" name="image23.png"/>
                    <pic:cNvPicPr/>
                  </pic:nvPicPr>
                  <pic:blipFill>
                    <a:blip r:embed="rId37" cstate="print"/>
                    <a:stretch>
                      <a:fillRect/>
                    </a:stretch>
                  </pic:blipFill>
                  <pic:spPr>
                    <a:xfrm>
                      <a:off x="0" y="0"/>
                      <a:ext cx="5580781" cy="5495925"/>
                    </a:xfrm>
                    <a:prstGeom prst="rect">
                      <a:avLst/>
                    </a:prstGeom>
                  </pic:spPr>
                </pic:pic>
              </a:graphicData>
            </a:graphic>
          </wp:anchor>
        </w:drawing>
      </w:r>
      <w:bookmarkStart w:name="拟分包项目情况表" w:id="203"/>
      <w:bookmarkEnd w:id="203"/>
      <w:r>
        <w:rPr/>
      </w:r>
      <w:bookmarkStart w:name="_bookmark53" w:id="204"/>
      <w:bookmarkEnd w:id="204"/>
      <w:r>
        <w:rPr/>
      </w:r>
      <w:r>
        <w:rPr>
          <w:b/>
          <w:sz w:val="31"/>
        </w:rPr>
        <w:t>拟分包项目情况表</w:t>
      </w:r>
    </w:p>
    <w:p>
      <w:pPr>
        <w:pStyle w:val="BodyText"/>
        <w:rPr>
          <w:b/>
          <w:sz w:val="20"/>
        </w:rPr>
      </w:pPr>
    </w:p>
    <w:p>
      <w:pPr>
        <w:pStyle w:val="BodyText"/>
        <w:rPr>
          <w:b/>
          <w:sz w:val="20"/>
        </w:rPr>
      </w:pPr>
    </w:p>
    <w:p>
      <w:pPr>
        <w:pStyle w:val="BodyText"/>
        <w:spacing w:before="1"/>
        <w:rPr>
          <w:b/>
          <w:sz w:val="14"/>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118"/>
        <w:gridCol w:w="2223"/>
        <w:gridCol w:w="2223"/>
        <w:gridCol w:w="2058"/>
      </w:tblGrid>
      <w:tr>
        <w:trPr>
          <w:trHeight w:val="300" w:hRule="atLeast"/>
        </w:trPr>
        <w:tc>
          <w:tcPr>
            <w:tcW w:w="2118" w:type="dxa"/>
          </w:tcPr>
          <w:p>
            <w:pPr>
              <w:pStyle w:val="TableParagraph"/>
              <w:ind w:left="109" w:right="63"/>
              <w:jc w:val="center"/>
              <w:rPr>
                <w:sz w:val="21"/>
              </w:rPr>
            </w:pPr>
            <w:r>
              <w:rPr>
                <w:sz w:val="21"/>
              </w:rPr>
              <w:t>分包人名称</w:t>
            </w:r>
          </w:p>
        </w:tc>
        <w:tc>
          <w:tcPr>
            <w:tcW w:w="2223" w:type="dxa"/>
          </w:tcPr>
          <w:p>
            <w:pPr>
              <w:pStyle w:val="TableParagraph"/>
              <w:rPr>
                <w:rFonts w:ascii="Times New Roman"/>
                <w:sz w:val="22"/>
              </w:rPr>
            </w:pPr>
          </w:p>
        </w:tc>
        <w:tc>
          <w:tcPr>
            <w:tcW w:w="2223" w:type="dxa"/>
          </w:tcPr>
          <w:p>
            <w:pPr>
              <w:pStyle w:val="TableParagraph"/>
              <w:ind w:left="404" w:right="374"/>
              <w:jc w:val="center"/>
              <w:rPr>
                <w:sz w:val="21"/>
              </w:rPr>
            </w:pPr>
            <w:r>
              <w:rPr>
                <w:sz w:val="21"/>
              </w:rPr>
              <w:t>地址</w:t>
            </w:r>
          </w:p>
        </w:tc>
        <w:tc>
          <w:tcPr>
            <w:tcW w:w="2058" w:type="dxa"/>
          </w:tcPr>
          <w:p>
            <w:pPr>
              <w:pStyle w:val="TableParagraph"/>
              <w:rPr>
                <w:rFonts w:ascii="Times New Roman"/>
                <w:sz w:val="22"/>
              </w:rPr>
            </w:pPr>
          </w:p>
        </w:tc>
      </w:tr>
      <w:tr>
        <w:trPr>
          <w:trHeight w:val="300" w:hRule="atLeast"/>
        </w:trPr>
        <w:tc>
          <w:tcPr>
            <w:tcW w:w="2118" w:type="dxa"/>
          </w:tcPr>
          <w:p>
            <w:pPr>
              <w:pStyle w:val="TableParagraph"/>
              <w:spacing w:line="266" w:lineRule="exact" w:before="15"/>
              <w:ind w:left="109" w:right="63"/>
              <w:jc w:val="center"/>
              <w:rPr>
                <w:sz w:val="21"/>
              </w:rPr>
            </w:pPr>
            <w:r>
              <w:rPr>
                <w:sz w:val="21"/>
              </w:rPr>
              <w:t>法定代表人</w:t>
            </w:r>
          </w:p>
        </w:tc>
        <w:tc>
          <w:tcPr>
            <w:tcW w:w="2223" w:type="dxa"/>
          </w:tcPr>
          <w:p>
            <w:pPr>
              <w:pStyle w:val="TableParagraph"/>
              <w:rPr>
                <w:rFonts w:ascii="Times New Roman"/>
                <w:sz w:val="22"/>
              </w:rPr>
            </w:pPr>
          </w:p>
        </w:tc>
        <w:tc>
          <w:tcPr>
            <w:tcW w:w="2223" w:type="dxa"/>
          </w:tcPr>
          <w:p>
            <w:pPr>
              <w:pStyle w:val="TableParagraph"/>
              <w:spacing w:line="266" w:lineRule="exact" w:before="15"/>
              <w:ind w:left="404" w:right="374"/>
              <w:jc w:val="center"/>
              <w:rPr>
                <w:sz w:val="21"/>
              </w:rPr>
            </w:pPr>
            <w:r>
              <w:rPr>
                <w:sz w:val="21"/>
              </w:rPr>
              <w:t>电话</w:t>
            </w:r>
          </w:p>
        </w:tc>
        <w:tc>
          <w:tcPr>
            <w:tcW w:w="2058" w:type="dxa"/>
          </w:tcPr>
          <w:p>
            <w:pPr>
              <w:pStyle w:val="TableParagraph"/>
              <w:rPr>
                <w:rFonts w:ascii="Times New Roman"/>
                <w:sz w:val="22"/>
              </w:rPr>
            </w:pPr>
          </w:p>
        </w:tc>
      </w:tr>
      <w:tr>
        <w:trPr>
          <w:trHeight w:val="630" w:hRule="atLeast"/>
        </w:trPr>
        <w:tc>
          <w:tcPr>
            <w:tcW w:w="2118" w:type="dxa"/>
          </w:tcPr>
          <w:p>
            <w:pPr>
              <w:pStyle w:val="TableParagraph"/>
              <w:spacing w:before="15"/>
              <w:ind w:left="110" w:right="63"/>
              <w:jc w:val="center"/>
              <w:rPr>
                <w:sz w:val="21"/>
              </w:rPr>
            </w:pPr>
            <w:r>
              <w:rPr>
                <w:sz w:val="21"/>
              </w:rPr>
              <w:t>统一社会信用代码证</w:t>
            </w:r>
          </w:p>
          <w:p>
            <w:pPr>
              <w:pStyle w:val="TableParagraph"/>
              <w:spacing w:before="46"/>
              <w:ind w:left="108" w:right="63"/>
              <w:jc w:val="center"/>
              <w:rPr>
                <w:sz w:val="21"/>
              </w:rPr>
            </w:pPr>
            <w:r>
              <w:rPr>
                <w:sz w:val="21"/>
              </w:rPr>
              <w:t>号码</w:t>
            </w:r>
          </w:p>
        </w:tc>
        <w:tc>
          <w:tcPr>
            <w:tcW w:w="2223" w:type="dxa"/>
          </w:tcPr>
          <w:p>
            <w:pPr>
              <w:pStyle w:val="TableParagraph"/>
              <w:rPr>
                <w:rFonts w:ascii="Times New Roman"/>
                <w:sz w:val="22"/>
              </w:rPr>
            </w:pPr>
          </w:p>
        </w:tc>
        <w:tc>
          <w:tcPr>
            <w:tcW w:w="2223" w:type="dxa"/>
          </w:tcPr>
          <w:p>
            <w:pPr>
              <w:pStyle w:val="TableParagraph"/>
              <w:rPr>
                <w:b/>
                <w:sz w:val="14"/>
              </w:rPr>
            </w:pPr>
          </w:p>
          <w:p>
            <w:pPr>
              <w:pStyle w:val="TableParagraph"/>
              <w:ind w:left="403" w:right="374"/>
              <w:jc w:val="center"/>
              <w:rPr>
                <w:sz w:val="21"/>
              </w:rPr>
            </w:pPr>
            <w:r>
              <w:rPr>
                <w:sz w:val="21"/>
              </w:rPr>
              <w:t>资质等级</w:t>
            </w:r>
          </w:p>
        </w:tc>
        <w:tc>
          <w:tcPr>
            <w:tcW w:w="2058" w:type="dxa"/>
          </w:tcPr>
          <w:p>
            <w:pPr>
              <w:pStyle w:val="TableParagraph"/>
              <w:rPr>
                <w:rFonts w:ascii="Times New Roman"/>
                <w:sz w:val="22"/>
              </w:rPr>
            </w:pPr>
          </w:p>
        </w:tc>
      </w:tr>
      <w:tr>
        <w:trPr>
          <w:trHeight w:val="615" w:hRule="atLeast"/>
        </w:trPr>
        <w:tc>
          <w:tcPr>
            <w:tcW w:w="2118" w:type="dxa"/>
          </w:tcPr>
          <w:p>
            <w:pPr>
              <w:pStyle w:val="TableParagraph"/>
              <w:spacing w:before="165"/>
              <w:ind w:left="110" w:right="63"/>
              <w:jc w:val="center"/>
              <w:rPr>
                <w:sz w:val="21"/>
              </w:rPr>
            </w:pPr>
            <w:r>
              <w:rPr>
                <w:sz w:val="21"/>
              </w:rPr>
              <w:t>拟分包的工程项目</w:t>
            </w:r>
          </w:p>
        </w:tc>
        <w:tc>
          <w:tcPr>
            <w:tcW w:w="2223" w:type="dxa"/>
          </w:tcPr>
          <w:p>
            <w:pPr>
              <w:pStyle w:val="TableParagraph"/>
              <w:spacing w:before="165"/>
              <w:ind w:left="682"/>
              <w:rPr>
                <w:sz w:val="21"/>
              </w:rPr>
            </w:pPr>
            <w:r>
              <w:rPr>
                <w:sz w:val="21"/>
              </w:rPr>
              <w:t>主要内容</w:t>
            </w:r>
          </w:p>
        </w:tc>
        <w:tc>
          <w:tcPr>
            <w:tcW w:w="2223" w:type="dxa"/>
          </w:tcPr>
          <w:p>
            <w:pPr>
              <w:pStyle w:val="TableParagraph"/>
              <w:spacing w:before="165"/>
              <w:ind w:left="406" w:right="374"/>
              <w:jc w:val="center"/>
              <w:rPr>
                <w:rFonts w:ascii="Calibri" w:eastAsia="Calibri"/>
                <w:sz w:val="21"/>
              </w:rPr>
            </w:pPr>
            <w:r>
              <w:rPr>
                <w:sz w:val="21"/>
              </w:rPr>
              <w:t>预计造价</w:t>
            </w:r>
            <w:r>
              <w:rPr>
                <w:rFonts w:ascii="Calibri" w:eastAsia="Calibri"/>
                <w:sz w:val="21"/>
              </w:rPr>
              <w:t>(</w:t>
            </w:r>
            <w:r>
              <w:rPr>
                <w:sz w:val="21"/>
              </w:rPr>
              <w:t>万元</w:t>
            </w:r>
            <w:r>
              <w:rPr>
                <w:rFonts w:ascii="Calibri" w:eastAsia="Calibri"/>
                <w:sz w:val="21"/>
              </w:rPr>
              <w:t>)</w:t>
            </w:r>
          </w:p>
        </w:tc>
        <w:tc>
          <w:tcPr>
            <w:tcW w:w="2058" w:type="dxa"/>
          </w:tcPr>
          <w:p>
            <w:pPr>
              <w:pStyle w:val="TableParagraph"/>
              <w:ind w:left="168" w:right="154"/>
              <w:jc w:val="center"/>
              <w:rPr>
                <w:sz w:val="21"/>
              </w:rPr>
            </w:pPr>
            <w:r>
              <w:rPr>
                <w:sz w:val="21"/>
              </w:rPr>
              <w:t>已经做过的类似项</w:t>
            </w:r>
          </w:p>
          <w:p>
            <w:pPr>
              <w:pStyle w:val="TableParagraph"/>
              <w:spacing w:before="46"/>
              <w:ind w:left="13"/>
              <w:jc w:val="center"/>
              <w:rPr>
                <w:sz w:val="21"/>
              </w:rPr>
            </w:pPr>
            <w:r>
              <w:rPr>
                <w:sz w:val="21"/>
              </w:rPr>
              <w:t>目</w:t>
            </w:r>
          </w:p>
        </w:tc>
      </w:tr>
      <w:tr>
        <w:trPr>
          <w:trHeight w:val="300" w:hRule="atLeast"/>
        </w:trPr>
        <w:tc>
          <w:tcPr>
            <w:tcW w:w="2118" w:type="dxa"/>
          </w:tcPr>
          <w:p>
            <w:pPr>
              <w:pStyle w:val="TableParagraph"/>
              <w:rPr>
                <w:rFonts w:ascii="Times New Roman"/>
                <w:sz w:val="22"/>
              </w:rPr>
            </w:pPr>
          </w:p>
        </w:tc>
        <w:tc>
          <w:tcPr>
            <w:tcW w:w="2223" w:type="dxa"/>
          </w:tcPr>
          <w:p>
            <w:pPr>
              <w:pStyle w:val="TableParagraph"/>
              <w:rPr>
                <w:rFonts w:ascii="Times New Roman"/>
                <w:sz w:val="22"/>
              </w:rPr>
            </w:pPr>
          </w:p>
        </w:tc>
        <w:tc>
          <w:tcPr>
            <w:tcW w:w="2223" w:type="dxa"/>
          </w:tcPr>
          <w:p>
            <w:pPr>
              <w:pStyle w:val="TableParagraph"/>
              <w:rPr>
                <w:rFonts w:ascii="Times New Roman"/>
                <w:sz w:val="22"/>
              </w:rPr>
            </w:pPr>
          </w:p>
        </w:tc>
        <w:tc>
          <w:tcPr>
            <w:tcW w:w="2058" w:type="dxa"/>
            <w:vMerge w:val="restart"/>
          </w:tcPr>
          <w:p>
            <w:pPr>
              <w:pStyle w:val="TableParagraph"/>
              <w:rPr>
                <w:rFonts w:ascii="Times New Roman"/>
                <w:sz w:val="22"/>
              </w:rPr>
            </w:pPr>
          </w:p>
        </w:tc>
      </w:tr>
      <w:tr>
        <w:trPr>
          <w:trHeight w:val="315" w:hRule="atLeast"/>
        </w:trPr>
        <w:tc>
          <w:tcPr>
            <w:tcW w:w="2118" w:type="dxa"/>
          </w:tcPr>
          <w:p>
            <w:pPr>
              <w:pStyle w:val="TableParagraph"/>
              <w:rPr>
                <w:rFonts w:ascii="Times New Roman"/>
                <w:sz w:val="22"/>
              </w:rPr>
            </w:pPr>
          </w:p>
        </w:tc>
        <w:tc>
          <w:tcPr>
            <w:tcW w:w="2223" w:type="dxa"/>
          </w:tcPr>
          <w:p>
            <w:pPr>
              <w:pStyle w:val="TableParagraph"/>
              <w:rPr>
                <w:rFonts w:ascii="Times New Roman"/>
                <w:sz w:val="22"/>
              </w:rPr>
            </w:pPr>
          </w:p>
        </w:tc>
        <w:tc>
          <w:tcPr>
            <w:tcW w:w="2223" w:type="dxa"/>
          </w:tcPr>
          <w:p>
            <w:pPr>
              <w:pStyle w:val="TableParagraph"/>
              <w:rPr>
                <w:rFonts w:ascii="Times New Roman"/>
                <w:sz w:val="22"/>
              </w:rPr>
            </w:pPr>
          </w:p>
        </w:tc>
        <w:tc>
          <w:tcPr>
            <w:tcW w:w="2058" w:type="dxa"/>
            <w:vMerge/>
            <w:tcBorders>
              <w:top w:val="nil"/>
            </w:tcBorders>
          </w:tcPr>
          <w:p>
            <w:pPr>
              <w:rPr>
                <w:sz w:val="2"/>
                <w:szCs w:val="2"/>
              </w:rPr>
            </w:pP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7"/>
        </w:rPr>
      </w:pPr>
    </w:p>
    <w:p>
      <w:pPr>
        <w:spacing w:before="64"/>
        <w:ind w:left="0" w:right="1282" w:firstLine="0"/>
        <w:jc w:val="center"/>
        <w:rPr>
          <w:rFonts w:ascii="Calibri"/>
          <w:sz w:val="18"/>
        </w:rPr>
      </w:pPr>
      <w:r>
        <w:rPr>
          <w:rFonts w:ascii="Calibri"/>
          <w:sz w:val="18"/>
        </w:rPr>
        <w:t>166</w:t>
      </w:r>
    </w:p>
    <w:p>
      <w:pPr>
        <w:spacing w:after="0"/>
        <w:jc w:val="center"/>
        <w:rPr>
          <w:rFonts w:ascii="Calibri"/>
          <w:sz w:val="18"/>
        </w:rPr>
        <w:sectPr>
          <w:pgSz w:w="11910" w:h="16850"/>
          <w:pgMar w:header="911" w:footer="0" w:top="1540" w:bottom="280" w:left="1300" w:right="0"/>
        </w:sectPr>
      </w:pPr>
    </w:p>
    <w:p>
      <w:pPr>
        <w:pStyle w:val="Heading3"/>
      </w:pPr>
      <w:bookmarkStart w:name="十一、资格审查资料" w:id="205"/>
      <w:bookmarkEnd w:id="205"/>
      <w:r>
        <w:rPr>
          <w:b w:val="0"/>
        </w:rPr>
      </w:r>
      <w:bookmarkStart w:name="_bookmark54" w:id="206"/>
      <w:bookmarkEnd w:id="206"/>
      <w:r>
        <w:rPr>
          <w:b w:val="0"/>
        </w:rPr>
      </w:r>
      <w:r>
        <w:rPr/>
        <w:t>十一、资格审查资料</w:t>
      </w:r>
    </w:p>
    <w:p>
      <w:pPr>
        <w:pStyle w:val="BodyText"/>
        <w:rPr>
          <w:rFonts w:ascii="黑体"/>
          <w:b/>
          <w:sz w:val="20"/>
        </w:rPr>
      </w:pPr>
    </w:p>
    <w:p>
      <w:pPr>
        <w:spacing w:before="232"/>
        <w:ind w:left="0" w:right="1311" w:firstLine="0"/>
        <w:jc w:val="center"/>
        <w:rPr>
          <w:b/>
          <w:sz w:val="31"/>
        </w:rPr>
      </w:pPr>
      <w:bookmarkStart w:name="资格审查资料" w:id="207"/>
      <w:bookmarkEnd w:id="207"/>
      <w:r>
        <w:rPr/>
      </w:r>
      <w:bookmarkStart w:name="_bookmark55" w:id="208"/>
      <w:bookmarkEnd w:id="208"/>
      <w:r>
        <w:rPr/>
      </w:r>
      <w:r>
        <w:rPr>
          <w:b/>
          <w:sz w:val="31"/>
        </w:rPr>
        <w:t>资格审查资料</w:t>
      </w:r>
    </w:p>
    <w:p>
      <w:pPr>
        <w:pStyle w:val="BodyText"/>
        <w:rPr>
          <w:b/>
          <w:sz w:val="20"/>
        </w:rPr>
      </w:pPr>
    </w:p>
    <w:p>
      <w:pPr>
        <w:pStyle w:val="BodyText"/>
        <w:spacing w:before="3"/>
        <w:rPr>
          <w:b/>
          <w:sz w:val="14"/>
        </w:rPr>
      </w:pPr>
    </w:p>
    <w:p>
      <w:pPr>
        <w:pStyle w:val="Heading7"/>
        <w:ind w:left="396"/>
        <w:rPr>
          <w:rFonts w:ascii="黑体" w:eastAsia="黑体" w:hint="eastAsia"/>
        </w:rPr>
      </w:pPr>
      <w:r>
        <w:rPr/>
        <w:drawing>
          <wp:anchor distT="0" distB="0" distL="0" distR="0" allowOverlap="1" layoutInCell="1" locked="0" behindDoc="1" simplePos="0" relativeHeight="234928128">
            <wp:simplePos x="0" y="0"/>
            <wp:positionH relativeFrom="page">
              <wp:posOffset>974356</wp:posOffset>
            </wp:positionH>
            <wp:positionV relativeFrom="paragraph">
              <wp:posOffset>480828</wp:posOffset>
            </wp:positionV>
            <wp:extent cx="5578970" cy="5494141"/>
            <wp:effectExtent l="0" t="0" r="0" b="0"/>
            <wp:wrapNone/>
            <wp:docPr id="147" name="image23.png"/>
            <wp:cNvGraphicFramePr>
              <a:graphicFrameLocks noChangeAspect="1"/>
            </wp:cNvGraphicFramePr>
            <a:graphic>
              <a:graphicData uri="http://schemas.openxmlformats.org/drawingml/2006/picture">
                <pic:pic>
                  <pic:nvPicPr>
                    <pic:cNvPr id="148" name="image23.png"/>
                    <pic:cNvPicPr/>
                  </pic:nvPicPr>
                  <pic:blipFill>
                    <a:blip r:embed="rId37" cstate="print"/>
                    <a:stretch>
                      <a:fillRect/>
                    </a:stretch>
                  </pic:blipFill>
                  <pic:spPr>
                    <a:xfrm>
                      <a:off x="0" y="0"/>
                      <a:ext cx="5578970" cy="5494141"/>
                    </a:xfrm>
                    <a:prstGeom prst="rect">
                      <a:avLst/>
                    </a:prstGeom>
                  </pic:spPr>
                </pic:pic>
              </a:graphicData>
            </a:graphic>
          </wp:anchor>
        </w:drawing>
      </w:r>
      <w:r>
        <w:rPr>
          <w:rFonts w:ascii="黑体" w:eastAsia="黑体" w:hint="eastAsia"/>
        </w:rPr>
        <w:t>(一)投标人基本情况表</w:t>
      </w:r>
    </w:p>
    <w:p>
      <w:pPr>
        <w:pStyle w:val="BodyText"/>
        <w:spacing w:before="3"/>
        <w:rPr>
          <w:rFonts w:ascii="黑体"/>
          <w:sz w:val="10"/>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352"/>
        <w:gridCol w:w="946"/>
        <w:gridCol w:w="1412"/>
        <w:gridCol w:w="886"/>
        <w:gridCol w:w="376"/>
        <w:gridCol w:w="1277"/>
        <w:gridCol w:w="1277"/>
        <w:gridCol w:w="1097"/>
      </w:tblGrid>
      <w:tr>
        <w:trPr>
          <w:trHeight w:val="465" w:hRule="atLeast"/>
        </w:trPr>
        <w:tc>
          <w:tcPr>
            <w:tcW w:w="2298" w:type="dxa"/>
            <w:gridSpan w:val="2"/>
          </w:tcPr>
          <w:p>
            <w:pPr>
              <w:pStyle w:val="TableParagraph"/>
              <w:spacing w:before="105"/>
              <w:ind w:left="638"/>
              <w:rPr>
                <w:sz w:val="21"/>
              </w:rPr>
            </w:pPr>
            <w:r>
              <w:rPr>
                <w:sz w:val="21"/>
              </w:rPr>
              <w:t>投标人名称</w:t>
            </w:r>
          </w:p>
        </w:tc>
        <w:tc>
          <w:tcPr>
            <w:tcW w:w="6325" w:type="dxa"/>
            <w:gridSpan w:val="6"/>
          </w:tcPr>
          <w:p>
            <w:pPr>
              <w:pStyle w:val="TableParagraph"/>
              <w:rPr>
                <w:rFonts w:ascii="Times New Roman"/>
                <w:sz w:val="22"/>
              </w:rPr>
            </w:pPr>
          </w:p>
        </w:tc>
      </w:tr>
      <w:tr>
        <w:trPr>
          <w:trHeight w:val="465" w:hRule="atLeast"/>
        </w:trPr>
        <w:tc>
          <w:tcPr>
            <w:tcW w:w="2298" w:type="dxa"/>
            <w:gridSpan w:val="2"/>
          </w:tcPr>
          <w:p>
            <w:pPr>
              <w:pStyle w:val="TableParagraph"/>
              <w:spacing w:before="105"/>
              <w:ind w:left="743"/>
              <w:rPr>
                <w:sz w:val="21"/>
              </w:rPr>
            </w:pPr>
            <w:r>
              <w:rPr>
                <w:sz w:val="21"/>
              </w:rPr>
              <w:t>注册地址</w:t>
            </w:r>
          </w:p>
        </w:tc>
        <w:tc>
          <w:tcPr>
            <w:tcW w:w="2674" w:type="dxa"/>
            <w:gridSpan w:val="3"/>
          </w:tcPr>
          <w:p>
            <w:pPr>
              <w:pStyle w:val="TableParagraph"/>
              <w:rPr>
                <w:rFonts w:ascii="Times New Roman"/>
                <w:sz w:val="22"/>
              </w:rPr>
            </w:pPr>
          </w:p>
        </w:tc>
        <w:tc>
          <w:tcPr>
            <w:tcW w:w="1277" w:type="dxa"/>
          </w:tcPr>
          <w:p>
            <w:pPr>
              <w:pStyle w:val="TableParagraph"/>
              <w:spacing w:before="105"/>
              <w:ind w:left="213" w:right="168"/>
              <w:jc w:val="center"/>
              <w:rPr>
                <w:sz w:val="21"/>
              </w:rPr>
            </w:pPr>
            <w:r>
              <w:rPr>
                <w:sz w:val="21"/>
              </w:rPr>
              <w:t>邮政编码</w:t>
            </w:r>
          </w:p>
        </w:tc>
        <w:tc>
          <w:tcPr>
            <w:tcW w:w="2374" w:type="dxa"/>
            <w:gridSpan w:val="2"/>
          </w:tcPr>
          <w:p>
            <w:pPr>
              <w:pStyle w:val="TableParagraph"/>
              <w:rPr>
                <w:rFonts w:ascii="Times New Roman"/>
                <w:sz w:val="22"/>
              </w:rPr>
            </w:pPr>
          </w:p>
        </w:tc>
      </w:tr>
      <w:tr>
        <w:trPr>
          <w:trHeight w:val="462" w:hRule="atLeast"/>
        </w:trPr>
        <w:tc>
          <w:tcPr>
            <w:tcW w:w="2298" w:type="dxa"/>
            <w:gridSpan w:val="2"/>
            <w:vMerge w:val="restart"/>
          </w:tcPr>
          <w:p>
            <w:pPr>
              <w:pStyle w:val="TableParagraph"/>
              <w:spacing w:before="12"/>
              <w:rPr>
                <w:rFonts w:ascii="黑体"/>
                <w:sz w:val="26"/>
              </w:rPr>
            </w:pPr>
          </w:p>
          <w:p>
            <w:pPr>
              <w:pStyle w:val="TableParagraph"/>
              <w:ind w:left="743"/>
              <w:rPr>
                <w:sz w:val="21"/>
              </w:rPr>
            </w:pPr>
            <w:r>
              <w:rPr>
                <w:sz w:val="21"/>
              </w:rPr>
              <w:t>联系方式</w:t>
            </w:r>
          </w:p>
        </w:tc>
        <w:tc>
          <w:tcPr>
            <w:tcW w:w="1412" w:type="dxa"/>
            <w:tcBorders>
              <w:bottom w:val="single" w:sz="8" w:space="0" w:color="000000"/>
            </w:tcBorders>
          </w:tcPr>
          <w:p>
            <w:pPr>
              <w:pStyle w:val="TableParagraph"/>
              <w:spacing w:before="105"/>
              <w:ind w:left="227" w:right="197"/>
              <w:jc w:val="center"/>
              <w:rPr>
                <w:sz w:val="21"/>
              </w:rPr>
            </w:pPr>
            <w:r>
              <w:rPr>
                <w:sz w:val="21"/>
              </w:rPr>
              <w:t>联系人</w:t>
            </w:r>
          </w:p>
        </w:tc>
        <w:tc>
          <w:tcPr>
            <w:tcW w:w="1262" w:type="dxa"/>
            <w:gridSpan w:val="2"/>
            <w:tcBorders>
              <w:bottom w:val="single" w:sz="8" w:space="0" w:color="000000"/>
            </w:tcBorders>
          </w:tcPr>
          <w:p>
            <w:pPr>
              <w:pStyle w:val="TableParagraph"/>
              <w:rPr>
                <w:rFonts w:ascii="Times New Roman"/>
                <w:sz w:val="22"/>
              </w:rPr>
            </w:pPr>
          </w:p>
        </w:tc>
        <w:tc>
          <w:tcPr>
            <w:tcW w:w="1277" w:type="dxa"/>
            <w:tcBorders>
              <w:bottom w:val="single" w:sz="8" w:space="0" w:color="000000"/>
            </w:tcBorders>
          </w:tcPr>
          <w:p>
            <w:pPr>
              <w:pStyle w:val="TableParagraph"/>
              <w:spacing w:before="105"/>
              <w:ind w:left="212" w:right="168"/>
              <w:jc w:val="center"/>
              <w:rPr>
                <w:sz w:val="21"/>
              </w:rPr>
            </w:pPr>
            <w:r>
              <w:rPr>
                <w:sz w:val="21"/>
              </w:rPr>
              <w:t>电话</w:t>
            </w:r>
          </w:p>
        </w:tc>
        <w:tc>
          <w:tcPr>
            <w:tcW w:w="2374" w:type="dxa"/>
            <w:gridSpan w:val="2"/>
            <w:tcBorders>
              <w:bottom w:val="single" w:sz="8" w:space="0" w:color="000000"/>
            </w:tcBorders>
          </w:tcPr>
          <w:p>
            <w:pPr>
              <w:pStyle w:val="TableParagraph"/>
              <w:rPr>
                <w:rFonts w:ascii="Times New Roman"/>
                <w:sz w:val="22"/>
              </w:rPr>
            </w:pPr>
          </w:p>
        </w:tc>
      </w:tr>
      <w:tr>
        <w:trPr>
          <w:trHeight w:val="462" w:hRule="atLeast"/>
        </w:trPr>
        <w:tc>
          <w:tcPr>
            <w:tcW w:w="2298" w:type="dxa"/>
            <w:gridSpan w:val="2"/>
            <w:vMerge/>
            <w:tcBorders>
              <w:top w:val="nil"/>
            </w:tcBorders>
          </w:tcPr>
          <w:p>
            <w:pPr>
              <w:rPr>
                <w:sz w:val="2"/>
                <w:szCs w:val="2"/>
              </w:rPr>
            </w:pPr>
          </w:p>
        </w:tc>
        <w:tc>
          <w:tcPr>
            <w:tcW w:w="1412" w:type="dxa"/>
            <w:tcBorders>
              <w:top w:val="single" w:sz="8" w:space="0" w:color="000000"/>
            </w:tcBorders>
          </w:tcPr>
          <w:p>
            <w:pPr>
              <w:pStyle w:val="TableParagraph"/>
              <w:spacing w:before="102"/>
              <w:ind w:left="227" w:right="198"/>
              <w:jc w:val="center"/>
              <w:rPr>
                <w:sz w:val="21"/>
              </w:rPr>
            </w:pPr>
            <w:r>
              <w:rPr>
                <w:sz w:val="21"/>
              </w:rPr>
              <w:t>传真</w:t>
            </w:r>
          </w:p>
        </w:tc>
        <w:tc>
          <w:tcPr>
            <w:tcW w:w="1262" w:type="dxa"/>
            <w:gridSpan w:val="2"/>
            <w:tcBorders>
              <w:top w:val="single" w:sz="8" w:space="0" w:color="000000"/>
            </w:tcBorders>
          </w:tcPr>
          <w:p>
            <w:pPr>
              <w:pStyle w:val="TableParagraph"/>
              <w:rPr>
                <w:rFonts w:ascii="Times New Roman"/>
                <w:sz w:val="22"/>
              </w:rPr>
            </w:pPr>
          </w:p>
        </w:tc>
        <w:tc>
          <w:tcPr>
            <w:tcW w:w="1277" w:type="dxa"/>
            <w:tcBorders>
              <w:top w:val="single" w:sz="8" w:space="0" w:color="000000"/>
            </w:tcBorders>
          </w:tcPr>
          <w:p>
            <w:pPr>
              <w:pStyle w:val="TableParagraph"/>
              <w:spacing w:before="102"/>
              <w:ind w:left="212" w:right="168"/>
              <w:jc w:val="center"/>
              <w:rPr>
                <w:sz w:val="21"/>
              </w:rPr>
            </w:pPr>
            <w:r>
              <w:rPr>
                <w:sz w:val="21"/>
              </w:rPr>
              <w:t>网址</w:t>
            </w:r>
          </w:p>
        </w:tc>
        <w:tc>
          <w:tcPr>
            <w:tcW w:w="2374" w:type="dxa"/>
            <w:gridSpan w:val="2"/>
            <w:tcBorders>
              <w:top w:val="single" w:sz="8" w:space="0" w:color="000000"/>
            </w:tcBorders>
          </w:tcPr>
          <w:p>
            <w:pPr>
              <w:pStyle w:val="TableParagraph"/>
              <w:rPr>
                <w:rFonts w:ascii="Times New Roman"/>
                <w:sz w:val="22"/>
              </w:rPr>
            </w:pPr>
          </w:p>
        </w:tc>
      </w:tr>
      <w:tr>
        <w:trPr>
          <w:trHeight w:val="465" w:hRule="atLeast"/>
        </w:trPr>
        <w:tc>
          <w:tcPr>
            <w:tcW w:w="2298" w:type="dxa"/>
            <w:gridSpan w:val="2"/>
          </w:tcPr>
          <w:p>
            <w:pPr>
              <w:pStyle w:val="TableParagraph"/>
              <w:spacing w:before="90"/>
              <w:ind w:left="743"/>
              <w:rPr>
                <w:sz w:val="21"/>
              </w:rPr>
            </w:pPr>
            <w:r>
              <w:rPr>
                <w:sz w:val="21"/>
              </w:rPr>
              <w:t>组织结构</w:t>
            </w:r>
          </w:p>
        </w:tc>
        <w:tc>
          <w:tcPr>
            <w:tcW w:w="6325" w:type="dxa"/>
            <w:gridSpan w:val="6"/>
          </w:tcPr>
          <w:p>
            <w:pPr>
              <w:pStyle w:val="TableParagraph"/>
              <w:rPr>
                <w:rFonts w:ascii="Times New Roman"/>
                <w:sz w:val="22"/>
              </w:rPr>
            </w:pPr>
          </w:p>
        </w:tc>
      </w:tr>
      <w:tr>
        <w:trPr>
          <w:trHeight w:val="465" w:hRule="atLeast"/>
        </w:trPr>
        <w:tc>
          <w:tcPr>
            <w:tcW w:w="1352" w:type="dxa"/>
          </w:tcPr>
          <w:p>
            <w:pPr>
              <w:pStyle w:val="TableParagraph"/>
              <w:spacing w:before="90"/>
              <w:ind w:left="139" w:right="108"/>
              <w:jc w:val="center"/>
              <w:rPr>
                <w:sz w:val="21"/>
              </w:rPr>
            </w:pPr>
            <w:r>
              <w:rPr>
                <w:sz w:val="21"/>
              </w:rPr>
              <w:t>法定代表人</w:t>
            </w:r>
          </w:p>
        </w:tc>
        <w:tc>
          <w:tcPr>
            <w:tcW w:w="946" w:type="dxa"/>
          </w:tcPr>
          <w:p>
            <w:pPr>
              <w:pStyle w:val="TableParagraph"/>
              <w:spacing w:before="90"/>
              <w:ind w:left="243" w:right="228"/>
              <w:jc w:val="center"/>
              <w:rPr>
                <w:sz w:val="21"/>
              </w:rPr>
            </w:pPr>
            <w:r>
              <w:rPr>
                <w:sz w:val="21"/>
              </w:rPr>
              <w:t>姓名</w:t>
            </w:r>
          </w:p>
        </w:tc>
        <w:tc>
          <w:tcPr>
            <w:tcW w:w="1412" w:type="dxa"/>
          </w:tcPr>
          <w:p>
            <w:pPr>
              <w:pStyle w:val="TableParagraph"/>
              <w:rPr>
                <w:rFonts w:ascii="Times New Roman"/>
                <w:sz w:val="22"/>
              </w:rPr>
            </w:pPr>
          </w:p>
        </w:tc>
        <w:tc>
          <w:tcPr>
            <w:tcW w:w="1262" w:type="dxa"/>
            <w:gridSpan w:val="2"/>
          </w:tcPr>
          <w:p>
            <w:pPr>
              <w:pStyle w:val="TableParagraph"/>
              <w:spacing w:before="90"/>
              <w:ind w:left="217"/>
              <w:rPr>
                <w:sz w:val="21"/>
              </w:rPr>
            </w:pPr>
            <w:r>
              <w:rPr>
                <w:sz w:val="21"/>
              </w:rPr>
              <w:t>技术职称</w:t>
            </w:r>
          </w:p>
        </w:tc>
        <w:tc>
          <w:tcPr>
            <w:tcW w:w="1277" w:type="dxa"/>
          </w:tcPr>
          <w:p>
            <w:pPr>
              <w:pStyle w:val="TableParagraph"/>
              <w:rPr>
                <w:rFonts w:ascii="Times New Roman"/>
                <w:sz w:val="22"/>
              </w:rPr>
            </w:pPr>
          </w:p>
        </w:tc>
        <w:tc>
          <w:tcPr>
            <w:tcW w:w="1277" w:type="dxa"/>
          </w:tcPr>
          <w:p>
            <w:pPr>
              <w:pStyle w:val="TableParagraph"/>
              <w:spacing w:before="90"/>
              <w:ind w:right="397"/>
              <w:jc w:val="right"/>
              <w:rPr>
                <w:sz w:val="21"/>
              </w:rPr>
            </w:pPr>
            <w:r>
              <w:rPr>
                <w:sz w:val="21"/>
              </w:rPr>
              <w:t>电话</w:t>
            </w:r>
          </w:p>
        </w:tc>
        <w:tc>
          <w:tcPr>
            <w:tcW w:w="1097" w:type="dxa"/>
          </w:tcPr>
          <w:p>
            <w:pPr>
              <w:pStyle w:val="TableParagraph"/>
              <w:rPr>
                <w:rFonts w:ascii="Times New Roman"/>
                <w:sz w:val="22"/>
              </w:rPr>
            </w:pPr>
          </w:p>
        </w:tc>
      </w:tr>
      <w:tr>
        <w:trPr>
          <w:trHeight w:val="450" w:hRule="atLeast"/>
        </w:trPr>
        <w:tc>
          <w:tcPr>
            <w:tcW w:w="1352" w:type="dxa"/>
          </w:tcPr>
          <w:p>
            <w:pPr>
              <w:pStyle w:val="TableParagraph"/>
              <w:spacing w:before="90"/>
              <w:ind w:left="139" w:right="108"/>
              <w:jc w:val="center"/>
              <w:rPr>
                <w:sz w:val="21"/>
              </w:rPr>
            </w:pPr>
            <w:r>
              <w:rPr>
                <w:sz w:val="21"/>
              </w:rPr>
              <w:t>技术负责人</w:t>
            </w:r>
          </w:p>
        </w:tc>
        <w:tc>
          <w:tcPr>
            <w:tcW w:w="946" w:type="dxa"/>
          </w:tcPr>
          <w:p>
            <w:pPr>
              <w:pStyle w:val="TableParagraph"/>
              <w:spacing w:before="90"/>
              <w:ind w:left="243" w:right="228"/>
              <w:jc w:val="center"/>
              <w:rPr>
                <w:sz w:val="21"/>
              </w:rPr>
            </w:pPr>
            <w:r>
              <w:rPr>
                <w:sz w:val="21"/>
              </w:rPr>
              <w:t>姓名</w:t>
            </w:r>
          </w:p>
        </w:tc>
        <w:tc>
          <w:tcPr>
            <w:tcW w:w="1412" w:type="dxa"/>
          </w:tcPr>
          <w:p>
            <w:pPr>
              <w:pStyle w:val="TableParagraph"/>
              <w:rPr>
                <w:rFonts w:ascii="Times New Roman"/>
                <w:sz w:val="22"/>
              </w:rPr>
            </w:pPr>
          </w:p>
        </w:tc>
        <w:tc>
          <w:tcPr>
            <w:tcW w:w="1262" w:type="dxa"/>
            <w:gridSpan w:val="2"/>
          </w:tcPr>
          <w:p>
            <w:pPr>
              <w:pStyle w:val="TableParagraph"/>
              <w:spacing w:before="90"/>
              <w:ind w:left="217"/>
              <w:rPr>
                <w:sz w:val="21"/>
              </w:rPr>
            </w:pPr>
            <w:r>
              <w:rPr>
                <w:sz w:val="21"/>
              </w:rPr>
              <w:t>技术职称</w:t>
            </w:r>
          </w:p>
        </w:tc>
        <w:tc>
          <w:tcPr>
            <w:tcW w:w="1277" w:type="dxa"/>
          </w:tcPr>
          <w:p>
            <w:pPr>
              <w:pStyle w:val="TableParagraph"/>
              <w:rPr>
                <w:rFonts w:ascii="Times New Roman"/>
                <w:sz w:val="22"/>
              </w:rPr>
            </w:pPr>
          </w:p>
        </w:tc>
        <w:tc>
          <w:tcPr>
            <w:tcW w:w="1277" w:type="dxa"/>
          </w:tcPr>
          <w:p>
            <w:pPr>
              <w:pStyle w:val="TableParagraph"/>
              <w:spacing w:before="90"/>
              <w:ind w:right="397"/>
              <w:jc w:val="right"/>
              <w:rPr>
                <w:sz w:val="21"/>
              </w:rPr>
            </w:pPr>
            <w:r>
              <w:rPr>
                <w:sz w:val="21"/>
              </w:rPr>
              <w:t>电话</w:t>
            </w:r>
          </w:p>
        </w:tc>
        <w:tc>
          <w:tcPr>
            <w:tcW w:w="1097" w:type="dxa"/>
          </w:tcPr>
          <w:p>
            <w:pPr>
              <w:pStyle w:val="TableParagraph"/>
              <w:rPr>
                <w:rFonts w:ascii="Times New Roman"/>
                <w:sz w:val="22"/>
              </w:rPr>
            </w:pPr>
          </w:p>
        </w:tc>
      </w:tr>
      <w:tr>
        <w:trPr>
          <w:trHeight w:val="465" w:hRule="atLeast"/>
        </w:trPr>
        <w:tc>
          <w:tcPr>
            <w:tcW w:w="2298" w:type="dxa"/>
            <w:gridSpan w:val="2"/>
          </w:tcPr>
          <w:p>
            <w:pPr>
              <w:pStyle w:val="TableParagraph"/>
              <w:spacing w:before="105"/>
              <w:ind w:left="743"/>
              <w:rPr>
                <w:sz w:val="21"/>
              </w:rPr>
            </w:pPr>
            <w:r>
              <w:rPr>
                <w:sz w:val="21"/>
              </w:rPr>
              <w:t>成立时间</w:t>
            </w:r>
          </w:p>
        </w:tc>
        <w:tc>
          <w:tcPr>
            <w:tcW w:w="1412" w:type="dxa"/>
          </w:tcPr>
          <w:p>
            <w:pPr>
              <w:pStyle w:val="TableParagraph"/>
              <w:rPr>
                <w:rFonts w:ascii="Times New Roman"/>
                <w:sz w:val="22"/>
              </w:rPr>
            </w:pPr>
          </w:p>
        </w:tc>
        <w:tc>
          <w:tcPr>
            <w:tcW w:w="2539" w:type="dxa"/>
            <w:gridSpan w:val="3"/>
          </w:tcPr>
          <w:p>
            <w:pPr>
              <w:pStyle w:val="TableParagraph"/>
              <w:spacing w:before="105"/>
              <w:ind w:left="743"/>
              <w:rPr>
                <w:sz w:val="21"/>
              </w:rPr>
            </w:pPr>
            <w:r>
              <w:rPr>
                <w:sz w:val="21"/>
              </w:rPr>
              <w:t>员工总人数</w:t>
            </w:r>
          </w:p>
        </w:tc>
        <w:tc>
          <w:tcPr>
            <w:tcW w:w="2374" w:type="dxa"/>
            <w:gridSpan w:val="2"/>
          </w:tcPr>
          <w:p>
            <w:pPr>
              <w:pStyle w:val="TableParagraph"/>
              <w:rPr>
                <w:rFonts w:ascii="Times New Roman"/>
                <w:sz w:val="22"/>
              </w:rPr>
            </w:pPr>
          </w:p>
        </w:tc>
      </w:tr>
      <w:tr>
        <w:trPr>
          <w:trHeight w:val="465" w:hRule="atLeast"/>
        </w:trPr>
        <w:tc>
          <w:tcPr>
            <w:tcW w:w="2298" w:type="dxa"/>
            <w:gridSpan w:val="2"/>
          </w:tcPr>
          <w:p>
            <w:pPr>
              <w:pStyle w:val="TableParagraph"/>
              <w:spacing w:before="105"/>
              <w:ind w:left="533"/>
              <w:rPr>
                <w:sz w:val="21"/>
              </w:rPr>
            </w:pPr>
            <w:r>
              <w:rPr>
                <w:sz w:val="21"/>
              </w:rPr>
              <w:t>企业资质等级</w:t>
            </w:r>
          </w:p>
        </w:tc>
        <w:tc>
          <w:tcPr>
            <w:tcW w:w="1412" w:type="dxa"/>
          </w:tcPr>
          <w:p>
            <w:pPr>
              <w:pStyle w:val="TableParagraph"/>
              <w:rPr>
                <w:rFonts w:ascii="Times New Roman"/>
                <w:sz w:val="22"/>
              </w:rPr>
            </w:pPr>
          </w:p>
        </w:tc>
        <w:tc>
          <w:tcPr>
            <w:tcW w:w="886" w:type="dxa"/>
            <w:vMerge w:val="restart"/>
          </w:tcPr>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rPr>
                <w:rFonts w:ascii="黑体"/>
                <w:sz w:val="20"/>
              </w:rPr>
            </w:pPr>
          </w:p>
          <w:p>
            <w:pPr>
              <w:pStyle w:val="TableParagraph"/>
              <w:spacing w:before="9"/>
              <w:rPr>
                <w:rFonts w:ascii="黑体"/>
                <w:sz w:val="20"/>
              </w:rPr>
            </w:pPr>
          </w:p>
          <w:p>
            <w:pPr>
              <w:pStyle w:val="TableParagraph"/>
              <w:ind w:left="232"/>
              <w:rPr>
                <w:sz w:val="21"/>
              </w:rPr>
            </w:pPr>
            <w:r>
              <w:rPr>
                <w:sz w:val="21"/>
              </w:rPr>
              <w:t>其中</w:t>
            </w:r>
          </w:p>
        </w:tc>
        <w:tc>
          <w:tcPr>
            <w:tcW w:w="1653" w:type="dxa"/>
            <w:gridSpan w:val="2"/>
          </w:tcPr>
          <w:p>
            <w:pPr>
              <w:pStyle w:val="TableParagraph"/>
              <w:spacing w:before="105"/>
              <w:ind w:left="427"/>
              <w:rPr>
                <w:sz w:val="21"/>
              </w:rPr>
            </w:pPr>
            <w:r>
              <w:rPr>
                <w:sz w:val="21"/>
              </w:rPr>
              <w:t>项目经理</w:t>
            </w:r>
          </w:p>
        </w:tc>
        <w:tc>
          <w:tcPr>
            <w:tcW w:w="2374" w:type="dxa"/>
            <w:gridSpan w:val="2"/>
          </w:tcPr>
          <w:p>
            <w:pPr>
              <w:pStyle w:val="TableParagraph"/>
              <w:rPr>
                <w:rFonts w:ascii="Times New Roman"/>
                <w:sz w:val="22"/>
              </w:rPr>
            </w:pPr>
          </w:p>
        </w:tc>
      </w:tr>
      <w:tr>
        <w:trPr>
          <w:trHeight w:val="930" w:hRule="atLeast"/>
        </w:trPr>
        <w:tc>
          <w:tcPr>
            <w:tcW w:w="2298" w:type="dxa"/>
            <w:gridSpan w:val="2"/>
          </w:tcPr>
          <w:p>
            <w:pPr>
              <w:pStyle w:val="TableParagraph"/>
              <w:spacing w:before="105"/>
              <w:ind w:left="199" w:right="153"/>
              <w:jc w:val="center"/>
              <w:rPr>
                <w:sz w:val="21"/>
              </w:rPr>
            </w:pPr>
            <w:r>
              <w:rPr>
                <w:sz w:val="21"/>
              </w:rPr>
              <w:t>统一社会信用代码</w:t>
            </w:r>
          </w:p>
          <w:p>
            <w:pPr>
              <w:pStyle w:val="TableParagraph"/>
              <w:spacing w:before="4"/>
              <w:rPr>
                <w:rFonts w:ascii="黑体"/>
                <w:sz w:val="15"/>
              </w:rPr>
            </w:pPr>
          </w:p>
          <w:p>
            <w:pPr>
              <w:pStyle w:val="TableParagraph"/>
              <w:ind w:left="198" w:right="153"/>
              <w:jc w:val="center"/>
              <w:rPr>
                <w:sz w:val="21"/>
              </w:rPr>
            </w:pPr>
            <w:r>
              <w:rPr>
                <w:sz w:val="21"/>
              </w:rPr>
              <w:t>证号</w:t>
            </w:r>
          </w:p>
        </w:tc>
        <w:tc>
          <w:tcPr>
            <w:tcW w:w="1412" w:type="dxa"/>
          </w:tcPr>
          <w:p>
            <w:pPr>
              <w:pStyle w:val="TableParagraph"/>
              <w:rPr>
                <w:rFonts w:ascii="Times New Roman"/>
                <w:sz w:val="22"/>
              </w:rPr>
            </w:pPr>
          </w:p>
        </w:tc>
        <w:tc>
          <w:tcPr>
            <w:tcW w:w="886" w:type="dxa"/>
            <w:vMerge/>
            <w:tcBorders>
              <w:top w:val="nil"/>
            </w:tcBorders>
          </w:tcPr>
          <w:p>
            <w:pPr>
              <w:rPr>
                <w:sz w:val="2"/>
                <w:szCs w:val="2"/>
              </w:rPr>
            </w:pPr>
          </w:p>
        </w:tc>
        <w:tc>
          <w:tcPr>
            <w:tcW w:w="1653" w:type="dxa"/>
            <w:gridSpan w:val="2"/>
          </w:tcPr>
          <w:p>
            <w:pPr>
              <w:pStyle w:val="TableParagraph"/>
              <w:spacing w:before="9"/>
              <w:rPr>
                <w:rFonts w:ascii="黑体"/>
                <w:sz w:val="25"/>
              </w:rPr>
            </w:pPr>
          </w:p>
          <w:p>
            <w:pPr>
              <w:pStyle w:val="TableParagraph"/>
              <w:ind w:left="217"/>
              <w:rPr>
                <w:sz w:val="21"/>
              </w:rPr>
            </w:pPr>
            <w:r>
              <w:rPr>
                <w:sz w:val="21"/>
              </w:rPr>
              <w:t>高级职称人员</w:t>
            </w:r>
          </w:p>
        </w:tc>
        <w:tc>
          <w:tcPr>
            <w:tcW w:w="2374" w:type="dxa"/>
            <w:gridSpan w:val="2"/>
          </w:tcPr>
          <w:p>
            <w:pPr>
              <w:pStyle w:val="TableParagraph"/>
              <w:rPr>
                <w:rFonts w:ascii="Times New Roman"/>
                <w:sz w:val="22"/>
              </w:rPr>
            </w:pPr>
          </w:p>
        </w:tc>
      </w:tr>
      <w:tr>
        <w:trPr>
          <w:trHeight w:val="465" w:hRule="atLeast"/>
        </w:trPr>
        <w:tc>
          <w:tcPr>
            <w:tcW w:w="2298" w:type="dxa"/>
            <w:gridSpan w:val="2"/>
          </w:tcPr>
          <w:p>
            <w:pPr>
              <w:pStyle w:val="TableParagraph"/>
              <w:spacing w:before="105"/>
              <w:ind w:left="743"/>
              <w:rPr>
                <w:sz w:val="21"/>
              </w:rPr>
            </w:pPr>
            <w:r>
              <w:rPr>
                <w:sz w:val="21"/>
              </w:rPr>
              <w:t>注册资金</w:t>
            </w:r>
          </w:p>
        </w:tc>
        <w:tc>
          <w:tcPr>
            <w:tcW w:w="1412" w:type="dxa"/>
          </w:tcPr>
          <w:p>
            <w:pPr>
              <w:pStyle w:val="TableParagraph"/>
              <w:rPr>
                <w:rFonts w:ascii="Times New Roman"/>
                <w:sz w:val="22"/>
              </w:rPr>
            </w:pPr>
          </w:p>
        </w:tc>
        <w:tc>
          <w:tcPr>
            <w:tcW w:w="886" w:type="dxa"/>
            <w:vMerge/>
            <w:tcBorders>
              <w:top w:val="nil"/>
            </w:tcBorders>
          </w:tcPr>
          <w:p>
            <w:pPr>
              <w:rPr>
                <w:sz w:val="2"/>
                <w:szCs w:val="2"/>
              </w:rPr>
            </w:pPr>
          </w:p>
        </w:tc>
        <w:tc>
          <w:tcPr>
            <w:tcW w:w="1653" w:type="dxa"/>
            <w:gridSpan w:val="2"/>
          </w:tcPr>
          <w:p>
            <w:pPr>
              <w:pStyle w:val="TableParagraph"/>
              <w:spacing w:before="105"/>
              <w:ind w:left="217"/>
              <w:rPr>
                <w:sz w:val="21"/>
              </w:rPr>
            </w:pPr>
            <w:r>
              <w:rPr>
                <w:sz w:val="21"/>
              </w:rPr>
              <w:t>中级职称人员</w:t>
            </w:r>
          </w:p>
        </w:tc>
        <w:tc>
          <w:tcPr>
            <w:tcW w:w="2374" w:type="dxa"/>
            <w:gridSpan w:val="2"/>
          </w:tcPr>
          <w:p>
            <w:pPr>
              <w:pStyle w:val="TableParagraph"/>
              <w:rPr>
                <w:rFonts w:ascii="Times New Roman"/>
                <w:sz w:val="22"/>
              </w:rPr>
            </w:pPr>
          </w:p>
        </w:tc>
      </w:tr>
      <w:tr>
        <w:trPr>
          <w:trHeight w:val="465" w:hRule="atLeast"/>
        </w:trPr>
        <w:tc>
          <w:tcPr>
            <w:tcW w:w="2298" w:type="dxa"/>
            <w:gridSpan w:val="2"/>
          </w:tcPr>
          <w:p>
            <w:pPr>
              <w:pStyle w:val="TableParagraph"/>
              <w:spacing w:before="105"/>
              <w:ind w:left="743"/>
              <w:rPr>
                <w:sz w:val="21"/>
              </w:rPr>
            </w:pPr>
            <w:r>
              <w:rPr>
                <w:sz w:val="21"/>
              </w:rPr>
              <w:t>开户银行</w:t>
            </w:r>
          </w:p>
        </w:tc>
        <w:tc>
          <w:tcPr>
            <w:tcW w:w="1412" w:type="dxa"/>
          </w:tcPr>
          <w:p>
            <w:pPr>
              <w:pStyle w:val="TableParagraph"/>
              <w:rPr>
                <w:rFonts w:ascii="Times New Roman"/>
                <w:sz w:val="22"/>
              </w:rPr>
            </w:pPr>
          </w:p>
        </w:tc>
        <w:tc>
          <w:tcPr>
            <w:tcW w:w="886" w:type="dxa"/>
            <w:vMerge/>
            <w:tcBorders>
              <w:top w:val="nil"/>
            </w:tcBorders>
          </w:tcPr>
          <w:p>
            <w:pPr>
              <w:rPr>
                <w:sz w:val="2"/>
                <w:szCs w:val="2"/>
              </w:rPr>
            </w:pPr>
          </w:p>
        </w:tc>
        <w:tc>
          <w:tcPr>
            <w:tcW w:w="1653" w:type="dxa"/>
            <w:gridSpan w:val="2"/>
          </w:tcPr>
          <w:p>
            <w:pPr>
              <w:pStyle w:val="TableParagraph"/>
              <w:spacing w:before="105"/>
              <w:ind w:left="217"/>
              <w:rPr>
                <w:sz w:val="21"/>
              </w:rPr>
            </w:pPr>
            <w:r>
              <w:rPr>
                <w:sz w:val="21"/>
              </w:rPr>
              <w:t>初级职称人员</w:t>
            </w:r>
          </w:p>
        </w:tc>
        <w:tc>
          <w:tcPr>
            <w:tcW w:w="2374" w:type="dxa"/>
            <w:gridSpan w:val="2"/>
          </w:tcPr>
          <w:p>
            <w:pPr>
              <w:pStyle w:val="TableParagraph"/>
              <w:rPr>
                <w:rFonts w:ascii="Times New Roman"/>
                <w:sz w:val="22"/>
              </w:rPr>
            </w:pPr>
          </w:p>
        </w:tc>
      </w:tr>
      <w:tr>
        <w:trPr>
          <w:trHeight w:val="465" w:hRule="atLeast"/>
        </w:trPr>
        <w:tc>
          <w:tcPr>
            <w:tcW w:w="2298" w:type="dxa"/>
            <w:gridSpan w:val="2"/>
          </w:tcPr>
          <w:p>
            <w:pPr>
              <w:pStyle w:val="TableParagraph"/>
              <w:spacing w:before="105"/>
              <w:ind w:left="199" w:right="153"/>
              <w:jc w:val="center"/>
              <w:rPr>
                <w:sz w:val="21"/>
              </w:rPr>
            </w:pPr>
            <w:r>
              <w:rPr>
                <w:sz w:val="21"/>
              </w:rPr>
              <w:t>账号</w:t>
            </w:r>
          </w:p>
        </w:tc>
        <w:tc>
          <w:tcPr>
            <w:tcW w:w="1412" w:type="dxa"/>
          </w:tcPr>
          <w:p>
            <w:pPr>
              <w:pStyle w:val="TableParagraph"/>
              <w:rPr>
                <w:rFonts w:ascii="Times New Roman"/>
                <w:sz w:val="22"/>
              </w:rPr>
            </w:pPr>
          </w:p>
        </w:tc>
        <w:tc>
          <w:tcPr>
            <w:tcW w:w="886" w:type="dxa"/>
            <w:vMerge/>
            <w:tcBorders>
              <w:top w:val="nil"/>
            </w:tcBorders>
          </w:tcPr>
          <w:p>
            <w:pPr>
              <w:rPr>
                <w:sz w:val="2"/>
                <w:szCs w:val="2"/>
              </w:rPr>
            </w:pPr>
          </w:p>
        </w:tc>
        <w:tc>
          <w:tcPr>
            <w:tcW w:w="1653" w:type="dxa"/>
            <w:gridSpan w:val="2"/>
          </w:tcPr>
          <w:p>
            <w:pPr>
              <w:pStyle w:val="TableParagraph"/>
              <w:spacing w:before="105"/>
              <w:ind w:left="619" w:right="559"/>
              <w:jc w:val="center"/>
              <w:rPr>
                <w:sz w:val="21"/>
              </w:rPr>
            </w:pPr>
            <w:r>
              <w:rPr>
                <w:sz w:val="21"/>
              </w:rPr>
              <w:t>技工</w:t>
            </w:r>
          </w:p>
        </w:tc>
        <w:tc>
          <w:tcPr>
            <w:tcW w:w="2374" w:type="dxa"/>
            <w:gridSpan w:val="2"/>
          </w:tcPr>
          <w:p>
            <w:pPr>
              <w:pStyle w:val="TableParagraph"/>
              <w:rPr>
                <w:rFonts w:ascii="Times New Roman"/>
                <w:sz w:val="22"/>
              </w:rPr>
            </w:pPr>
          </w:p>
        </w:tc>
      </w:tr>
      <w:tr>
        <w:trPr>
          <w:trHeight w:val="465" w:hRule="atLeast"/>
        </w:trPr>
        <w:tc>
          <w:tcPr>
            <w:tcW w:w="2298" w:type="dxa"/>
            <w:gridSpan w:val="2"/>
          </w:tcPr>
          <w:p>
            <w:pPr>
              <w:pStyle w:val="TableParagraph"/>
              <w:spacing w:before="90"/>
              <w:ind w:left="743"/>
              <w:rPr>
                <w:sz w:val="21"/>
              </w:rPr>
            </w:pPr>
            <w:r>
              <w:rPr>
                <w:sz w:val="21"/>
              </w:rPr>
              <w:t>经营范围</w:t>
            </w:r>
          </w:p>
        </w:tc>
        <w:tc>
          <w:tcPr>
            <w:tcW w:w="6325" w:type="dxa"/>
            <w:gridSpan w:val="6"/>
          </w:tcPr>
          <w:p>
            <w:pPr>
              <w:pStyle w:val="TableParagraph"/>
              <w:rPr>
                <w:rFonts w:ascii="Times New Roman"/>
                <w:sz w:val="22"/>
              </w:rPr>
            </w:pPr>
          </w:p>
        </w:tc>
      </w:tr>
      <w:tr>
        <w:trPr>
          <w:trHeight w:val="450" w:hRule="atLeast"/>
        </w:trPr>
        <w:tc>
          <w:tcPr>
            <w:tcW w:w="2298" w:type="dxa"/>
            <w:gridSpan w:val="2"/>
          </w:tcPr>
          <w:p>
            <w:pPr>
              <w:pStyle w:val="TableParagraph"/>
              <w:spacing w:before="90"/>
              <w:ind w:left="199" w:right="153"/>
              <w:jc w:val="center"/>
              <w:rPr>
                <w:sz w:val="21"/>
              </w:rPr>
            </w:pPr>
            <w:r>
              <w:rPr>
                <w:sz w:val="21"/>
              </w:rPr>
              <w:t>备注</w:t>
            </w:r>
          </w:p>
        </w:tc>
        <w:tc>
          <w:tcPr>
            <w:tcW w:w="6325" w:type="dxa"/>
            <w:gridSpan w:val="6"/>
          </w:tcPr>
          <w:p>
            <w:pPr>
              <w:pStyle w:val="TableParagraph"/>
              <w:rPr>
                <w:rFonts w:ascii="Times New Roman"/>
                <w:sz w:val="22"/>
              </w:rPr>
            </w:pPr>
          </w:p>
        </w:tc>
      </w:tr>
    </w:tbl>
    <w:p>
      <w:pPr>
        <w:pStyle w:val="BodyText"/>
        <w:tabs>
          <w:tab w:pos="922" w:val="left" w:leader="none"/>
        </w:tabs>
        <w:spacing w:line="362" w:lineRule="auto" w:before="90"/>
        <w:ind w:left="396" w:right="1556"/>
      </w:pPr>
      <w:r>
        <w:rPr>
          <w:sz w:val="21"/>
        </w:rPr>
        <w:t>   </w:t>
        <w:tab/>
      </w:r>
      <w:r>
        <w:rPr>
          <w:spacing w:val="-7"/>
        </w:rPr>
        <w:t>注：后附：统一社会信用代码证号及其年检合格的证明材料、资质证书副本、</w:t>
      </w:r>
      <w:r>
        <w:rPr>
          <w:spacing w:val="-2"/>
        </w:rPr>
        <w:t>安全生产许可证、机构代码证、税务登记证、业绩考核手册、青海省水利厅登记</w:t>
      </w:r>
    </w:p>
    <w:p>
      <w:pPr>
        <w:pStyle w:val="BodyText"/>
        <w:spacing w:before="18"/>
        <w:ind w:left="396"/>
      </w:pPr>
      <w:r>
        <w:rPr/>
        <w:t>备案核准证、体系认证，信誉、获奖情况。</w:t>
      </w:r>
    </w:p>
    <w:p>
      <w:pPr>
        <w:pStyle w:val="Heading9"/>
        <w:ind w:left="396"/>
      </w:pPr>
      <w:r>
        <w:rPr>
          <w:w w:val="99"/>
        </w:rPr>
        <w:t> </w:t>
      </w:r>
      <w:r>
        <w:rPr>
          <w:spacing w:val="-1"/>
        </w:rPr>
        <w:t> </w:t>
      </w:r>
      <w:r>
        <w:rPr>
          <w:w w:val="99"/>
        </w:rPr>
        <w:t>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2"/>
        </w:rPr>
      </w:pPr>
    </w:p>
    <w:p>
      <w:pPr>
        <w:spacing w:before="64"/>
        <w:ind w:left="0" w:right="1282" w:firstLine="0"/>
        <w:jc w:val="center"/>
        <w:rPr>
          <w:rFonts w:ascii="Calibri"/>
          <w:sz w:val="18"/>
        </w:rPr>
      </w:pPr>
      <w:r>
        <w:rPr>
          <w:rFonts w:ascii="Calibri"/>
          <w:sz w:val="18"/>
        </w:rPr>
        <w:t>167</w:t>
      </w:r>
    </w:p>
    <w:p>
      <w:pPr>
        <w:spacing w:after="0"/>
        <w:jc w:val="center"/>
        <w:rPr>
          <w:rFonts w:ascii="Calibri"/>
          <w:sz w:val="18"/>
        </w:rPr>
        <w:sectPr>
          <w:pgSz w:w="11910" w:h="16850"/>
          <w:pgMar w:header="911" w:footer="0" w:top="1540" w:bottom="280" w:left="1300" w:right="0"/>
        </w:sectPr>
      </w:pPr>
    </w:p>
    <w:p>
      <w:pPr>
        <w:pStyle w:val="BodyText"/>
        <w:rPr>
          <w:rFonts w:ascii="Calibri"/>
          <w:sz w:val="20"/>
        </w:rPr>
      </w:pPr>
    </w:p>
    <w:p>
      <w:pPr>
        <w:pStyle w:val="BodyText"/>
        <w:rPr>
          <w:rFonts w:ascii="Calibri"/>
          <w:sz w:val="20"/>
        </w:rPr>
      </w:pPr>
    </w:p>
    <w:p>
      <w:pPr>
        <w:pStyle w:val="BodyText"/>
        <w:spacing w:before="1"/>
        <w:rPr>
          <w:rFonts w:ascii="Calibri"/>
          <w:sz w:val="19"/>
        </w:rPr>
      </w:pPr>
    </w:p>
    <w:p>
      <w:pPr>
        <w:pStyle w:val="Heading7"/>
        <w:ind w:left="396"/>
        <w:rPr>
          <w:rFonts w:ascii="黑体" w:eastAsia="黑体" w:hint="eastAsia"/>
        </w:rPr>
      </w:pPr>
      <w:r>
        <w:rPr>
          <w:rFonts w:ascii="黑体" w:eastAsia="黑体" w:hint="eastAsia"/>
        </w:rPr>
        <w:t>(二)近 3 年财务状况</w:t>
      </w:r>
    </w:p>
    <w:p>
      <w:pPr>
        <w:pStyle w:val="BodyText"/>
        <w:spacing w:before="4"/>
        <w:rPr>
          <w:rFonts w:ascii="黑体"/>
          <w:sz w:val="13"/>
        </w:rPr>
      </w:pPr>
    </w:p>
    <w:p>
      <w:pPr>
        <w:spacing w:after="0"/>
        <w:rPr>
          <w:rFonts w:ascii="黑体"/>
          <w:sz w:val="13"/>
        </w:rPr>
        <w:sectPr>
          <w:pgSz w:w="11910" w:h="16850"/>
          <w:pgMar w:header="911" w:footer="0" w:top="1540" w:bottom="280" w:left="1300" w:right="0"/>
        </w:sectPr>
      </w:pPr>
    </w:p>
    <w:p>
      <w:pPr>
        <w:pStyle w:val="BodyText"/>
        <w:rPr>
          <w:rFonts w:ascii="黑体"/>
          <w:sz w:val="26"/>
        </w:rPr>
      </w:pPr>
    </w:p>
    <w:p>
      <w:pPr>
        <w:pStyle w:val="BodyText"/>
        <w:spacing w:before="198"/>
        <w:ind w:left="396"/>
      </w:pPr>
      <w:r>
        <w:rPr>
          <w:rFonts w:ascii="Calibri" w:eastAsia="Calibri"/>
        </w:rPr>
        <w:t>1.</w:t>
      </w:r>
      <w:r>
        <w:rPr/>
        <w:t>财务状况表</w:t>
      </w:r>
    </w:p>
    <w:p>
      <w:pPr>
        <w:pStyle w:val="BodyText"/>
        <w:spacing w:before="66"/>
        <w:ind w:left="304"/>
      </w:pPr>
      <w:r>
        <w:rPr/>
        <w:br w:type="column"/>
      </w:r>
      <w:r>
        <w:rPr>
          <w:spacing w:val="-20"/>
        </w:rPr>
        <w:t>(近 </w:t>
      </w:r>
      <w:r>
        <w:rPr/>
        <w:t>3</w:t>
      </w:r>
      <w:r>
        <w:rPr>
          <w:spacing w:val="-21"/>
        </w:rPr>
        <w:t> 年指</w:t>
      </w:r>
      <w:r>
        <w:rPr>
          <w:u w:val="single"/>
        </w:rPr>
        <w:t>  </w:t>
      </w:r>
      <w:r>
        <w:rPr/>
        <w:t>年</w:t>
      </w:r>
      <w:r>
        <w:rPr>
          <w:spacing w:val="119"/>
          <w:u w:val="single"/>
        </w:rPr>
        <w:t> </w:t>
      </w:r>
      <w:r>
        <w:rPr/>
        <w:t>月至</w:t>
      </w:r>
      <w:r>
        <w:rPr>
          <w:spacing w:val="119"/>
          <w:u w:val="single"/>
        </w:rPr>
        <w:t> </w:t>
      </w:r>
      <w:r>
        <w:rPr/>
        <w:t>年</w:t>
      </w:r>
      <w:r>
        <w:rPr>
          <w:u w:val="single"/>
        </w:rPr>
        <w:t>  </w:t>
      </w:r>
      <w:r>
        <w:rPr/>
        <w:t>月) </w:t>
      </w:r>
    </w:p>
    <w:p>
      <w:pPr>
        <w:pStyle w:val="BodyText"/>
      </w:pPr>
    </w:p>
    <w:p>
      <w:pPr>
        <w:pStyle w:val="BodyText"/>
        <w:spacing w:before="4"/>
        <w:rPr>
          <w:sz w:val="27"/>
        </w:rPr>
      </w:pPr>
    </w:p>
    <w:p>
      <w:pPr>
        <w:pStyle w:val="Heading7"/>
        <w:spacing w:before="1"/>
        <w:ind w:left="2076"/>
        <w:rPr>
          <w:rFonts w:ascii="黑体" w:eastAsia="黑体" w:hint="eastAsia"/>
        </w:rPr>
      </w:pPr>
      <w:r>
        <w:rPr/>
        <w:pict>
          <v:group style="position:absolute;margin-left:76.721001pt;margin-top:14.410486pt;width:439.3pt;height:432.65pt;mso-position-horizontal-relative:page;mso-position-vertical-relative:paragraph;z-index:-268385280" coordorigin="1534,288" coordsize="8786,8653">
            <v:shape style="position:absolute;left:1534;top:288;width:8786;height:8653" type="#_x0000_t75" stroked="false">
              <v:imagedata r:id="rId37" o:title=""/>
            </v:shape>
            <v:shape style="position:absolute;left:1697;top:5900;width:3087;height:732" type="#_x0000_t202" filled="false" stroked="false">
              <v:textbox inset="0,0,0,0">
                <w:txbxContent>
                  <w:p>
                    <w:pPr>
                      <w:spacing w:line="274" w:lineRule="exact" w:before="0"/>
                      <w:ind w:left="0" w:right="0" w:firstLine="0"/>
                      <w:jc w:val="left"/>
                      <w:rPr>
                        <w:sz w:val="24"/>
                      </w:rPr>
                    </w:pPr>
                    <w:r>
                      <w:rPr>
                        <w:sz w:val="24"/>
                      </w:rPr>
                      <w:t>注：附经审核的财务报表</w:t>
                    </w:r>
                  </w:p>
                  <w:p>
                    <w:pPr>
                      <w:spacing w:line="300" w:lineRule="exact" w:before="157"/>
                      <w:ind w:left="0" w:right="0" w:firstLine="0"/>
                      <w:jc w:val="left"/>
                      <w:rPr>
                        <w:sz w:val="24"/>
                      </w:rPr>
                    </w:pPr>
                    <w:r>
                      <w:rPr>
                        <w:rFonts w:ascii="Calibri" w:eastAsia="Calibri"/>
                        <w:sz w:val="24"/>
                      </w:rPr>
                      <w:t>2.</w:t>
                    </w:r>
                    <w:r>
                      <w:rPr>
                        <w:sz w:val="24"/>
                      </w:rPr>
                      <w:t>拟投入本项目的流动资金函</w:t>
                    </w:r>
                  </w:p>
                </w:txbxContent>
              </v:textbox>
              <w10:wrap type="none"/>
            </v:shape>
            <v:shape style="position:absolute;left:1697;top:7347;width:8522;height:1300" type="#_x0000_t202" filled="false" stroked="false">
              <v:textbox inset="0,0,0,0">
                <w:txbxContent>
                  <w:p>
                    <w:pPr>
                      <w:spacing w:line="324" w:lineRule="exact" w:before="0"/>
                      <w:ind w:left="2128" w:right="2154" w:firstLine="0"/>
                      <w:jc w:val="center"/>
                      <w:rPr>
                        <w:rFonts w:ascii="黑体" w:eastAsia="黑体" w:hint="eastAsia"/>
                        <w:sz w:val="28"/>
                      </w:rPr>
                    </w:pPr>
                    <w:r>
                      <w:rPr>
                        <w:rFonts w:ascii="黑体" w:eastAsia="黑体" w:hint="eastAsia"/>
                        <w:sz w:val="28"/>
                      </w:rPr>
                      <w:t>拟投入本项目的流动资金函(格式)</w:t>
                    </w:r>
                  </w:p>
                  <w:p>
                    <w:pPr>
                      <w:tabs>
                        <w:tab w:pos="525" w:val="left" w:leader="none"/>
                      </w:tabs>
                      <w:spacing w:before="222"/>
                      <w:ind w:left="0" w:right="0" w:firstLine="0"/>
                      <w:jc w:val="left"/>
                      <w:rPr>
                        <w:sz w:val="24"/>
                      </w:rPr>
                    </w:pPr>
                    <w:r>
                      <w:rPr>
                        <w:sz w:val="21"/>
                      </w:rPr>
                      <w:t>   </w:t>
                      <w:tab/>
                    </w:r>
                    <w:r>
                      <w:rPr>
                        <w:sz w:val="24"/>
                        <w:u w:val="single"/>
                      </w:rPr>
                      <w:t>             </w:t>
                    </w:r>
                    <w:r>
                      <w:rPr>
                        <w:spacing w:val="-1"/>
                        <w:sz w:val="24"/>
                        <w:u w:val="single"/>
                      </w:rPr>
                      <w:t> </w:t>
                    </w:r>
                    <w:r>
                      <w:rPr>
                        <w:sz w:val="24"/>
                        <w:u w:val="single"/>
                      </w:rPr>
                      <w:t>      </w:t>
                    </w:r>
                    <w:r>
                      <w:rPr>
                        <w:sz w:val="24"/>
                      </w:rPr>
                      <w:t>(招标人名称)： </w:t>
                    </w:r>
                  </w:p>
                  <w:p>
                    <w:pPr>
                      <w:spacing w:line="274" w:lineRule="exact" w:before="172"/>
                      <w:ind w:left="0" w:right="0" w:firstLine="0"/>
                      <w:jc w:val="left"/>
                      <w:rPr>
                        <w:sz w:val="24"/>
                      </w:rPr>
                    </w:pPr>
                    <w:r>
                      <w:rPr>
                        <w:sz w:val="24"/>
                      </w:rPr>
                      <w:t>    我方拟投入</w:t>
                    </w:r>
                    <w:r>
                      <w:rPr>
                        <w:sz w:val="24"/>
                        <w:u w:val="single"/>
                      </w:rPr>
                      <w:t> </w:t>
                    </w:r>
                    <w:r>
                      <w:rPr>
                        <w:spacing w:val="1"/>
                        <w:sz w:val="24"/>
                      </w:rPr>
                      <w:t>(项目名称)</w:t>
                    </w:r>
                    <w:r>
                      <w:rPr>
                        <w:spacing w:val="1"/>
                        <w:sz w:val="24"/>
                        <w:u w:val="single"/>
                      </w:rPr>
                      <w:t> </w:t>
                    </w:r>
                    <w:r>
                      <w:rPr>
                        <w:spacing w:val="1"/>
                        <w:sz w:val="24"/>
                      </w:rPr>
                      <w:t>(标段名称)的流动资金</w:t>
                    </w:r>
                    <w:r>
                      <w:rPr>
                        <w:spacing w:val="92"/>
                        <w:sz w:val="24"/>
                        <w:u w:val="single"/>
                      </w:rPr>
                      <w:t> </w:t>
                    </w:r>
                    <w:r>
                      <w:rPr>
                        <w:sz w:val="24"/>
                      </w:rPr>
                      <w:t>万元，</w:t>
                    </w:r>
                  </w:p>
                </w:txbxContent>
              </v:textbox>
              <w10:wrap type="none"/>
            </v:shape>
            <w10:wrap type="none"/>
          </v:group>
        </w:pict>
      </w:r>
      <w:r>
        <w:rPr>
          <w:rFonts w:ascii="黑体" w:eastAsia="黑体" w:hint="eastAsia"/>
        </w:rPr>
        <w:t>财务状况表</w:t>
      </w:r>
    </w:p>
    <w:p>
      <w:pPr>
        <w:spacing w:after="0"/>
        <w:rPr>
          <w:rFonts w:ascii="黑体" w:eastAsia="黑体" w:hint="eastAsia"/>
        </w:rPr>
        <w:sectPr>
          <w:type w:val="continuous"/>
          <w:pgSz w:w="11910" w:h="16850"/>
          <w:pgMar w:top="1380" w:bottom="280" w:left="1300" w:right="0"/>
          <w:cols w:num="2" w:equalWidth="0">
            <w:col w:w="1781" w:space="40"/>
            <w:col w:w="8789"/>
          </w:cols>
        </w:sectPr>
      </w:pPr>
    </w:p>
    <w:p>
      <w:pPr>
        <w:pStyle w:val="BodyText"/>
        <w:spacing w:before="5"/>
        <w:rPr>
          <w:rFonts w:ascii="黑体"/>
          <w:sz w:val="11"/>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83"/>
        <w:gridCol w:w="1772"/>
        <w:gridCol w:w="1772"/>
        <w:gridCol w:w="1772"/>
        <w:gridCol w:w="1622"/>
      </w:tblGrid>
      <w:tr>
        <w:trPr>
          <w:trHeight w:val="465" w:hRule="atLeast"/>
        </w:trPr>
        <w:tc>
          <w:tcPr>
            <w:tcW w:w="1683" w:type="dxa"/>
          </w:tcPr>
          <w:p>
            <w:pPr>
              <w:pStyle w:val="TableParagraph"/>
              <w:spacing w:before="105"/>
              <w:ind w:left="634" w:right="574"/>
              <w:jc w:val="center"/>
              <w:rPr>
                <w:sz w:val="21"/>
              </w:rPr>
            </w:pPr>
            <w:r>
              <w:rPr>
                <w:sz w:val="21"/>
              </w:rPr>
              <w:t>名称</w:t>
            </w:r>
          </w:p>
        </w:tc>
        <w:tc>
          <w:tcPr>
            <w:tcW w:w="1772" w:type="dxa"/>
          </w:tcPr>
          <w:p>
            <w:pPr>
              <w:pStyle w:val="TableParagraph"/>
              <w:spacing w:before="105"/>
              <w:ind w:left="677" w:right="618"/>
              <w:jc w:val="center"/>
              <w:rPr>
                <w:sz w:val="21"/>
              </w:rPr>
            </w:pPr>
            <w:r>
              <w:rPr>
                <w:sz w:val="21"/>
              </w:rPr>
              <w:t>单位</w:t>
            </w:r>
          </w:p>
        </w:tc>
        <w:tc>
          <w:tcPr>
            <w:tcW w:w="1772" w:type="dxa"/>
          </w:tcPr>
          <w:p>
            <w:pPr>
              <w:pStyle w:val="TableParagraph"/>
              <w:spacing w:before="105"/>
              <w:ind w:left="593"/>
              <w:rPr>
                <w:sz w:val="21"/>
              </w:rPr>
            </w:pPr>
            <w:r>
              <w:rPr>
                <w:sz w:val="21"/>
              </w:rPr>
              <w:t>    年</w:t>
            </w:r>
          </w:p>
        </w:tc>
        <w:tc>
          <w:tcPr>
            <w:tcW w:w="1772" w:type="dxa"/>
          </w:tcPr>
          <w:p>
            <w:pPr>
              <w:pStyle w:val="TableParagraph"/>
              <w:spacing w:before="105"/>
              <w:ind w:left="593"/>
              <w:rPr>
                <w:sz w:val="21"/>
              </w:rPr>
            </w:pPr>
            <w:r>
              <w:rPr>
                <w:sz w:val="21"/>
              </w:rPr>
              <w:t>    年</w:t>
            </w:r>
          </w:p>
        </w:tc>
        <w:tc>
          <w:tcPr>
            <w:tcW w:w="1622" w:type="dxa"/>
          </w:tcPr>
          <w:p>
            <w:pPr>
              <w:pStyle w:val="TableParagraph"/>
              <w:spacing w:before="105"/>
              <w:ind w:left="518"/>
              <w:rPr>
                <w:sz w:val="21"/>
              </w:rPr>
            </w:pPr>
            <w:r>
              <w:rPr>
                <w:sz w:val="21"/>
              </w:rPr>
              <w:t>    年</w:t>
            </w:r>
          </w:p>
        </w:tc>
      </w:tr>
      <w:tr>
        <w:trPr>
          <w:trHeight w:val="465" w:hRule="atLeast"/>
        </w:trPr>
        <w:tc>
          <w:tcPr>
            <w:tcW w:w="1683" w:type="dxa"/>
          </w:tcPr>
          <w:p>
            <w:pPr>
              <w:pStyle w:val="TableParagraph"/>
              <w:spacing w:before="105"/>
              <w:ind w:left="128"/>
              <w:rPr>
                <w:sz w:val="21"/>
              </w:rPr>
            </w:pPr>
            <w:r>
              <w:rPr>
                <w:sz w:val="21"/>
              </w:rPr>
              <w:t>一、注册资金</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90"/>
              <w:ind w:left="128"/>
              <w:rPr>
                <w:sz w:val="21"/>
              </w:rPr>
            </w:pPr>
            <w:r>
              <w:rPr>
                <w:sz w:val="21"/>
              </w:rPr>
              <w:t>二、净资产</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90"/>
              <w:ind w:left="128"/>
              <w:rPr>
                <w:sz w:val="21"/>
              </w:rPr>
            </w:pPr>
            <w:r>
              <w:rPr>
                <w:sz w:val="21"/>
              </w:rPr>
              <w:t>三、总资产</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50" w:hRule="atLeast"/>
        </w:trPr>
        <w:tc>
          <w:tcPr>
            <w:tcW w:w="1683" w:type="dxa"/>
          </w:tcPr>
          <w:p>
            <w:pPr>
              <w:pStyle w:val="TableParagraph"/>
              <w:spacing w:before="90"/>
              <w:ind w:left="128"/>
              <w:rPr>
                <w:sz w:val="21"/>
              </w:rPr>
            </w:pPr>
            <w:r>
              <w:rPr>
                <w:sz w:val="21"/>
              </w:rPr>
              <w:t>四、固定资产</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105"/>
              <w:ind w:left="128"/>
              <w:rPr>
                <w:sz w:val="21"/>
              </w:rPr>
            </w:pPr>
            <w:r>
              <w:rPr>
                <w:sz w:val="21"/>
              </w:rPr>
              <w:t>五、流动资产</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105"/>
              <w:ind w:left="128"/>
              <w:rPr>
                <w:sz w:val="21"/>
              </w:rPr>
            </w:pPr>
            <w:r>
              <w:rPr>
                <w:sz w:val="21"/>
              </w:rPr>
              <w:t>六、流动负债</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105"/>
              <w:ind w:left="128"/>
              <w:rPr>
                <w:sz w:val="21"/>
              </w:rPr>
            </w:pPr>
            <w:r>
              <w:rPr>
                <w:sz w:val="21"/>
              </w:rPr>
              <w:t>七、负债合计</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105"/>
              <w:ind w:left="128"/>
              <w:rPr>
                <w:sz w:val="21"/>
              </w:rPr>
            </w:pPr>
            <w:r>
              <w:rPr>
                <w:sz w:val="21"/>
              </w:rPr>
              <w:t>八、营业收入</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65" w:hRule="atLeast"/>
        </w:trPr>
        <w:tc>
          <w:tcPr>
            <w:tcW w:w="1683" w:type="dxa"/>
          </w:tcPr>
          <w:p>
            <w:pPr>
              <w:pStyle w:val="TableParagraph"/>
              <w:spacing w:before="105"/>
              <w:ind w:left="128"/>
              <w:rPr>
                <w:sz w:val="21"/>
              </w:rPr>
            </w:pPr>
            <w:r>
              <w:rPr>
                <w:sz w:val="21"/>
              </w:rPr>
              <w:t>九、净利润</w:t>
            </w: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r>
        <w:trPr>
          <w:trHeight w:val="450" w:hRule="atLeast"/>
        </w:trPr>
        <w:tc>
          <w:tcPr>
            <w:tcW w:w="1683"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772" w:type="dxa"/>
          </w:tcPr>
          <w:p>
            <w:pPr>
              <w:pStyle w:val="TableParagraph"/>
              <w:rPr>
                <w:rFonts w:ascii="Times New Roman"/>
                <w:sz w:val="22"/>
              </w:rPr>
            </w:pPr>
          </w:p>
        </w:tc>
        <w:tc>
          <w:tcPr>
            <w:tcW w:w="1622" w:type="dxa"/>
          </w:tcPr>
          <w:p>
            <w:pPr>
              <w:pStyle w:val="TableParagraph"/>
              <w:rPr>
                <w:rFonts w:ascii="Times New Roman"/>
                <w:sz w:val="22"/>
              </w:rPr>
            </w:pPr>
          </w:p>
        </w:tc>
      </w:tr>
    </w:tbl>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19"/>
        </w:rPr>
      </w:pPr>
    </w:p>
    <w:p>
      <w:pPr>
        <w:pStyle w:val="BodyText"/>
        <w:spacing w:before="1"/>
        <w:ind w:left="396"/>
      </w:pPr>
      <w:r>
        <w:rPr/>
        <w:t>资金来源于</w:t>
      </w:r>
      <w:r>
        <w:rPr>
          <w:spacing w:val="118"/>
          <w:u w:val="single"/>
        </w:rPr>
        <w:t> </w:t>
      </w:r>
      <w:r>
        <w:rPr/>
        <w:t>，资金来源证明文件附后。 </w:t>
      </w:r>
    </w:p>
    <w:p>
      <w:pPr>
        <w:pStyle w:val="BodyText"/>
        <w:spacing w:before="157"/>
        <w:ind w:left="396"/>
      </w:pPr>
      <w:r>
        <w:rPr/>
        <w:t>                                         投 标 人 ： ( 盖 单 位 章 ) </w:t>
      </w:r>
    </w:p>
    <w:p>
      <w:pPr>
        <w:pStyle w:val="BodyText"/>
        <w:spacing w:before="158"/>
        <w:ind w:left="396"/>
      </w:pPr>
      <w:r>
        <w:rPr/>
        <w:t>                                                    </w:t>
      </w:r>
      <w:r>
        <w:rPr>
          <w:u w:val="single"/>
        </w:rPr>
        <w:t>    </w:t>
      </w:r>
      <w:r>
        <w:rPr/>
        <w:t>年</w:t>
      </w:r>
      <w:r>
        <w:rPr>
          <w:u w:val="single"/>
        </w:rPr>
        <w:t> </w:t>
      </w:r>
      <w:r>
        <w:rPr/>
        <w:t>月</w:t>
      </w:r>
      <w:r>
        <w:rPr>
          <w:u w:val="single"/>
        </w:rPr>
        <w:t> </w:t>
      </w:r>
      <w:r>
        <w:rPr/>
        <w:t>日 </w:t>
      </w:r>
    </w:p>
    <w:p>
      <w:pPr>
        <w:pStyle w:val="BodyText"/>
        <w:spacing w:before="158"/>
        <w:ind w:left="396"/>
      </w:pPr>
      <w:r>
        <w:rPr/>
        <w:t>    附：资金来源填写银行存款、银行信贷或其它形式。</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p>
    <w:p>
      <w:pPr>
        <w:spacing w:before="64"/>
        <w:ind w:left="0" w:right="1282" w:firstLine="0"/>
        <w:jc w:val="center"/>
        <w:rPr>
          <w:rFonts w:ascii="Calibri"/>
          <w:sz w:val="18"/>
        </w:rPr>
      </w:pPr>
      <w:r>
        <w:rPr>
          <w:rFonts w:ascii="Calibri"/>
          <w:sz w:val="18"/>
        </w:rPr>
        <w:t>168</w:t>
      </w:r>
    </w:p>
    <w:p>
      <w:pPr>
        <w:spacing w:after="0"/>
        <w:jc w:val="center"/>
        <w:rPr>
          <w:rFonts w:ascii="Calibri"/>
          <w:sz w:val="18"/>
        </w:rPr>
        <w:sectPr>
          <w:type w:val="continuous"/>
          <w:pgSz w:w="11910" w:h="16850"/>
          <w:pgMar w:top="1380" w:bottom="280" w:left="1300" w:right="0"/>
        </w:sectPr>
      </w:pPr>
    </w:p>
    <w:p>
      <w:pPr>
        <w:pStyle w:val="BodyText"/>
        <w:spacing w:before="7"/>
        <w:rPr>
          <w:rFonts w:ascii="Calibri"/>
          <w:sz w:val="8"/>
        </w:rPr>
      </w:pPr>
    </w:p>
    <w:p>
      <w:pPr>
        <w:pStyle w:val="Heading7"/>
        <w:spacing w:before="66"/>
        <w:ind w:left="396"/>
        <w:rPr>
          <w:rFonts w:ascii="黑体" w:eastAsia="黑体" w:hint="eastAsia"/>
        </w:rPr>
      </w:pPr>
      <w:r>
        <w:rPr>
          <w:rFonts w:ascii="黑体" w:eastAsia="黑体" w:hint="eastAsia"/>
        </w:rPr>
        <w:t>(三)近 5 年完成的类似项目情况表</w:t>
      </w:r>
    </w:p>
    <w:p>
      <w:pPr>
        <w:pStyle w:val="BodyText"/>
        <w:spacing w:before="221"/>
        <w:ind w:right="1192"/>
        <w:jc w:val="center"/>
      </w:pPr>
      <w:r>
        <w:rPr/>
        <w:pict>
          <v:group style="position:absolute;margin-left:76.721001pt;margin-top:105.230492pt;width:439.3pt;height:432.65pt;mso-position-horizontal-relative:page;mso-position-vertical-relative:paragraph;z-index:-268383232" coordorigin="1534,2105" coordsize="8786,8653">
            <v:shape style="position:absolute;left:1534;top:2104;width:8786;height:8653" type="#_x0000_t75" stroked="false">
              <v:imagedata r:id="rId37" o:title=""/>
            </v:shape>
            <v:shape style="position:absolute;left:1697;top:9322;width:3327;height:240" type="#_x0000_t202" filled="false" stroked="false">
              <v:textbox inset="0,0,0,0">
                <w:txbxContent>
                  <w:p>
                    <w:pPr>
                      <w:spacing w:line="240" w:lineRule="exact" w:before="0"/>
                      <w:ind w:left="0" w:right="0" w:firstLine="0"/>
                      <w:jc w:val="left"/>
                      <w:rPr>
                        <w:sz w:val="24"/>
                      </w:rPr>
                    </w:pPr>
                    <w:r>
                      <w:rPr>
                        <w:sz w:val="21"/>
                      </w:rPr>
                      <w:t>    </w:t>
                    </w:r>
                    <w:r>
                      <w:rPr>
                        <w:sz w:val="24"/>
                      </w:rPr>
                      <w:t>注：相关材料复印件附后。</w:t>
                    </w:r>
                  </w:p>
                </w:txbxContent>
              </v:textbox>
              <w10:wrap type="none"/>
            </v:shape>
            <w10:wrap type="none"/>
          </v:group>
        </w:pict>
      </w:r>
      <w:r>
        <w:rPr/>
        <w:t>(近 5 年指</w:t>
      </w:r>
      <w:r>
        <w:rPr>
          <w:u w:val="single"/>
        </w:rPr>
        <w:t> </w:t>
      </w:r>
      <w:r>
        <w:rPr/>
        <w:t>年</w:t>
      </w:r>
      <w:r>
        <w:rPr>
          <w:u w:val="single"/>
        </w:rPr>
        <w:t> </w:t>
      </w:r>
      <w:r>
        <w:rPr/>
        <w:t>月至</w:t>
      </w:r>
      <w:r>
        <w:rPr>
          <w:u w:val="single"/>
        </w:rPr>
        <w:t> </w:t>
      </w:r>
      <w:r>
        <w:rPr/>
        <w:t>年</w:t>
      </w:r>
      <w:r>
        <w:rPr>
          <w:u w:val="single"/>
        </w:rPr>
        <w:t> </w:t>
      </w:r>
      <w:r>
        <w:rPr/>
        <w:t>月) </w:t>
      </w:r>
    </w:p>
    <w:p>
      <w:pPr>
        <w:pStyle w:val="BodyText"/>
        <w:spacing w:before="6"/>
        <w:rPr>
          <w:sz w:val="6"/>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98"/>
        <w:gridCol w:w="6323"/>
      </w:tblGrid>
      <w:tr>
        <w:trPr>
          <w:trHeight w:val="465" w:hRule="atLeast"/>
        </w:trPr>
        <w:tc>
          <w:tcPr>
            <w:tcW w:w="2298" w:type="dxa"/>
          </w:tcPr>
          <w:p>
            <w:pPr>
              <w:pStyle w:val="TableParagraph"/>
              <w:spacing w:before="90"/>
              <w:ind w:left="199" w:right="153"/>
              <w:jc w:val="center"/>
              <w:rPr>
                <w:sz w:val="21"/>
              </w:rPr>
            </w:pPr>
            <w:r>
              <w:rPr>
                <w:sz w:val="21"/>
              </w:rPr>
              <w:t>合同名称</w:t>
            </w:r>
          </w:p>
        </w:tc>
        <w:tc>
          <w:tcPr>
            <w:tcW w:w="6323" w:type="dxa"/>
          </w:tcPr>
          <w:p>
            <w:pPr>
              <w:pStyle w:val="TableParagraph"/>
              <w:rPr>
                <w:rFonts w:ascii="Times New Roman"/>
                <w:sz w:val="22"/>
              </w:rPr>
            </w:pPr>
          </w:p>
        </w:tc>
      </w:tr>
      <w:tr>
        <w:trPr>
          <w:trHeight w:val="450" w:hRule="atLeast"/>
        </w:trPr>
        <w:tc>
          <w:tcPr>
            <w:tcW w:w="2298" w:type="dxa"/>
          </w:tcPr>
          <w:p>
            <w:pPr>
              <w:pStyle w:val="TableParagraph"/>
              <w:spacing w:before="90"/>
              <w:ind w:left="199" w:right="153"/>
              <w:jc w:val="center"/>
              <w:rPr>
                <w:sz w:val="21"/>
              </w:rPr>
            </w:pPr>
            <w:r>
              <w:rPr>
                <w:sz w:val="21"/>
              </w:rPr>
              <w:t>合同项目所在地</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发包人名称</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发包人地址</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发包人电话</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签约合同价</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开工日期</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90"/>
              <w:ind w:left="199" w:right="153"/>
              <w:jc w:val="center"/>
              <w:rPr>
                <w:sz w:val="21"/>
              </w:rPr>
            </w:pPr>
            <w:r>
              <w:rPr>
                <w:sz w:val="21"/>
              </w:rPr>
              <w:t>完工日期</w:t>
            </w:r>
          </w:p>
        </w:tc>
        <w:tc>
          <w:tcPr>
            <w:tcW w:w="6323" w:type="dxa"/>
          </w:tcPr>
          <w:p>
            <w:pPr>
              <w:pStyle w:val="TableParagraph"/>
              <w:rPr>
                <w:rFonts w:ascii="Times New Roman"/>
                <w:sz w:val="22"/>
              </w:rPr>
            </w:pPr>
          </w:p>
        </w:tc>
      </w:tr>
      <w:tr>
        <w:trPr>
          <w:trHeight w:val="450" w:hRule="atLeast"/>
        </w:trPr>
        <w:tc>
          <w:tcPr>
            <w:tcW w:w="2298" w:type="dxa"/>
          </w:tcPr>
          <w:p>
            <w:pPr>
              <w:pStyle w:val="TableParagraph"/>
              <w:spacing w:before="90"/>
              <w:ind w:left="199" w:right="153"/>
              <w:jc w:val="center"/>
              <w:rPr>
                <w:sz w:val="21"/>
              </w:rPr>
            </w:pPr>
            <w:r>
              <w:rPr>
                <w:sz w:val="21"/>
              </w:rPr>
              <w:t>承担的工作</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工程质量</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项目经理</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技术负责人</w:t>
            </w:r>
          </w:p>
        </w:tc>
        <w:tc>
          <w:tcPr>
            <w:tcW w:w="6323" w:type="dxa"/>
          </w:tcPr>
          <w:p>
            <w:pPr>
              <w:pStyle w:val="TableParagraph"/>
              <w:rPr>
                <w:rFonts w:ascii="Times New Roman"/>
                <w:sz w:val="22"/>
              </w:rPr>
            </w:pPr>
          </w:p>
        </w:tc>
      </w:tr>
      <w:tr>
        <w:trPr>
          <w:trHeight w:val="930" w:hRule="atLeast"/>
        </w:trPr>
        <w:tc>
          <w:tcPr>
            <w:tcW w:w="2298" w:type="dxa"/>
          </w:tcPr>
          <w:p>
            <w:pPr>
              <w:pStyle w:val="TableParagraph"/>
              <w:spacing w:before="105"/>
              <w:ind w:left="200" w:right="153"/>
              <w:jc w:val="center"/>
              <w:rPr>
                <w:sz w:val="21"/>
              </w:rPr>
            </w:pPr>
            <w:r>
              <w:rPr>
                <w:sz w:val="21"/>
              </w:rPr>
              <w:t>监理人和总监理工程</w:t>
            </w:r>
          </w:p>
          <w:p>
            <w:pPr>
              <w:pStyle w:val="TableParagraph"/>
              <w:spacing w:before="4"/>
              <w:rPr>
                <w:sz w:val="15"/>
              </w:rPr>
            </w:pPr>
          </w:p>
          <w:p>
            <w:pPr>
              <w:pStyle w:val="TableParagraph"/>
              <w:ind w:left="199" w:right="153"/>
              <w:jc w:val="center"/>
              <w:rPr>
                <w:sz w:val="21"/>
              </w:rPr>
            </w:pPr>
            <w:r>
              <w:rPr>
                <w:sz w:val="21"/>
              </w:rPr>
              <w:t>师以及电话</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200" w:right="153"/>
              <w:jc w:val="center"/>
              <w:rPr>
                <w:sz w:val="21"/>
              </w:rPr>
            </w:pPr>
            <w:r>
              <w:rPr>
                <w:sz w:val="21"/>
              </w:rPr>
              <w:t>合同项目描述</w:t>
            </w:r>
          </w:p>
        </w:tc>
        <w:tc>
          <w:tcPr>
            <w:tcW w:w="6323" w:type="dxa"/>
          </w:tcPr>
          <w:p>
            <w:pPr>
              <w:pStyle w:val="TableParagraph"/>
              <w:rPr>
                <w:rFonts w:ascii="Times New Roman"/>
                <w:sz w:val="22"/>
              </w:rPr>
            </w:pPr>
          </w:p>
        </w:tc>
      </w:tr>
      <w:tr>
        <w:trPr>
          <w:trHeight w:val="1396" w:hRule="atLeast"/>
        </w:trPr>
        <w:tc>
          <w:tcPr>
            <w:tcW w:w="2298" w:type="dxa"/>
          </w:tcPr>
          <w:p>
            <w:pPr>
              <w:pStyle w:val="TableParagraph"/>
              <w:rPr>
                <w:sz w:val="20"/>
              </w:rPr>
            </w:pPr>
          </w:p>
          <w:p>
            <w:pPr>
              <w:pStyle w:val="TableParagraph"/>
              <w:spacing w:before="7"/>
              <w:rPr>
                <w:sz w:val="24"/>
              </w:rPr>
            </w:pPr>
          </w:p>
          <w:p>
            <w:pPr>
              <w:pStyle w:val="TableParagraph"/>
              <w:ind w:left="199" w:right="153"/>
              <w:jc w:val="center"/>
              <w:rPr>
                <w:sz w:val="21"/>
              </w:rPr>
            </w:pPr>
            <w:r>
              <w:rPr>
                <w:sz w:val="21"/>
              </w:rPr>
              <w:t>备注</w:t>
            </w:r>
          </w:p>
        </w:tc>
        <w:tc>
          <w:tcPr>
            <w:tcW w:w="6323" w:type="dxa"/>
          </w:tcPr>
          <w:p>
            <w:pPr>
              <w:pStyle w:val="TableParagraph"/>
              <w:spacing w:before="105"/>
              <w:ind w:left="127"/>
              <w:rPr>
                <w:sz w:val="21"/>
              </w:rPr>
            </w:pPr>
            <w:r>
              <w:rPr>
                <w:sz w:val="21"/>
              </w:rPr>
              <w:t>    合同项目描述内容至少包括项目概况、本合同在项目中的地位</w:t>
            </w:r>
          </w:p>
          <w:p>
            <w:pPr>
              <w:pStyle w:val="TableParagraph"/>
              <w:spacing w:line="460" w:lineRule="atLeast" w:before="6"/>
              <w:ind w:left="127" w:right="76"/>
              <w:rPr>
                <w:sz w:val="21"/>
              </w:rPr>
            </w:pPr>
            <w:r>
              <w:rPr>
                <w:sz w:val="21"/>
              </w:rPr>
              <w:t>(部位、合同价格所占比例)和合同工程完工验收鉴定书有关验收结论 </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178"/>
        <w:ind w:left="0" w:right="1282" w:firstLine="0"/>
        <w:jc w:val="center"/>
        <w:rPr>
          <w:rFonts w:ascii="Calibri"/>
          <w:sz w:val="18"/>
        </w:rPr>
      </w:pPr>
      <w:r>
        <w:rPr>
          <w:rFonts w:ascii="Calibri"/>
          <w:sz w:val="18"/>
        </w:rPr>
        <w:t>169</w:t>
      </w:r>
    </w:p>
    <w:p>
      <w:pPr>
        <w:spacing w:after="0"/>
        <w:jc w:val="center"/>
        <w:rPr>
          <w:rFonts w:ascii="Calibri"/>
          <w:sz w:val="18"/>
        </w:rPr>
        <w:sectPr>
          <w:pgSz w:w="11910" w:h="16850"/>
          <w:pgMar w:header="911" w:footer="0" w:top="1540" w:bottom="280" w:left="1300" w:right="0"/>
        </w:sectPr>
      </w:pPr>
    </w:p>
    <w:p>
      <w:pPr>
        <w:pStyle w:val="BodyText"/>
        <w:spacing w:before="7"/>
        <w:rPr>
          <w:rFonts w:ascii="Calibri"/>
          <w:sz w:val="8"/>
        </w:rPr>
      </w:pPr>
    </w:p>
    <w:p>
      <w:pPr>
        <w:pStyle w:val="Heading7"/>
        <w:spacing w:before="66"/>
        <w:ind w:left="396"/>
        <w:rPr>
          <w:rFonts w:ascii="黑体" w:eastAsia="黑体" w:hint="eastAsia"/>
        </w:rPr>
      </w:pPr>
      <w:r>
        <w:rPr/>
        <w:pict>
          <v:group style="position:absolute;margin-left:76.721001pt;margin-top:126.50045pt;width:439.3pt;height:432.65pt;mso-position-horizontal-relative:page;mso-position-vertical-relative:paragraph;z-index:-268381184" coordorigin="1534,2530" coordsize="8786,8653">
            <v:shape style="position:absolute;left:1534;top:2530;width:8786;height:8653" type="#_x0000_t75" stroked="false">
              <v:imagedata r:id="rId37" o:title=""/>
            </v:shape>
            <v:shape style="position:absolute;left:1697;top:8817;width:3357;height:240" type="#_x0000_t202" filled="false" stroked="false">
              <v:textbox inset="0,0,0,0">
                <w:txbxContent>
                  <w:p>
                    <w:pPr>
                      <w:spacing w:line="240" w:lineRule="exact" w:before="0"/>
                      <w:ind w:left="0" w:right="0" w:firstLine="0"/>
                      <w:jc w:val="left"/>
                      <w:rPr>
                        <w:sz w:val="24"/>
                      </w:rPr>
                    </w:pPr>
                    <w:r>
                      <w:rPr>
                        <w:sz w:val="21"/>
                      </w:rPr>
                      <w:t>  </w:t>
                    </w:r>
                    <w:r>
                      <w:rPr>
                        <w:sz w:val="24"/>
                      </w:rPr>
                      <w:t>  注：相关材料复印件附后。</w:t>
                    </w:r>
                  </w:p>
                </w:txbxContent>
              </v:textbox>
              <w10:wrap type="none"/>
            </v:shape>
            <w10:wrap type="none"/>
          </v:group>
        </w:pict>
      </w:r>
      <w:r>
        <w:rPr>
          <w:rFonts w:ascii="黑体" w:eastAsia="黑体" w:hint="eastAsia"/>
        </w:rPr>
        <w:t>(四)正在施工的和新承接的项目情况表</w:t>
      </w:r>
    </w:p>
    <w:p>
      <w:pPr>
        <w:pStyle w:val="BodyText"/>
        <w:spacing w:before="3"/>
        <w:rPr>
          <w:rFonts w:ascii="黑体"/>
          <w:sz w:val="10"/>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98"/>
        <w:gridCol w:w="6323"/>
      </w:tblGrid>
      <w:tr>
        <w:trPr>
          <w:trHeight w:val="465" w:hRule="atLeast"/>
        </w:trPr>
        <w:tc>
          <w:tcPr>
            <w:tcW w:w="2298" w:type="dxa"/>
          </w:tcPr>
          <w:p>
            <w:pPr>
              <w:pStyle w:val="TableParagraph"/>
              <w:spacing w:before="105"/>
              <w:ind w:left="199" w:right="153"/>
              <w:jc w:val="center"/>
              <w:rPr>
                <w:sz w:val="21"/>
              </w:rPr>
            </w:pPr>
            <w:r>
              <w:rPr>
                <w:sz w:val="21"/>
              </w:rPr>
              <w:t>合同名称</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合同项目所在地</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发包人名称</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发包人地址</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发包人电话</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90"/>
              <w:ind w:left="199" w:right="153"/>
              <w:jc w:val="center"/>
              <w:rPr>
                <w:sz w:val="21"/>
              </w:rPr>
            </w:pPr>
            <w:r>
              <w:rPr>
                <w:sz w:val="21"/>
              </w:rPr>
              <w:t>签约合同价</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90"/>
              <w:ind w:left="199" w:right="153"/>
              <w:jc w:val="center"/>
              <w:rPr>
                <w:sz w:val="21"/>
              </w:rPr>
            </w:pPr>
            <w:r>
              <w:rPr>
                <w:sz w:val="21"/>
              </w:rPr>
              <w:t>开工日期</w:t>
            </w:r>
          </w:p>
        </w:tc>
        <w:tc>
          <w:tcPr>
            <w:tcW w:w="6323" w:type="dxa"/>
          </w:tcPr>
          <w:p>
            <w:pPr>
              <w:pStyle w:val="TableParagraph"/>
              <w:rPr>
                <w:rFonts w:ascii="Times New Roman"/>
                <w:sz w:val="22"/>
              </w:rPr>
            </w:pPr>
          </w:p>
        </w:tc>
      </w:tr>
      <w:tr>
        <w:trPr>
          <w:trHeight w:val="450" w:hRule="atLeast"/>
        </w:trPr>
        <w:tc>
          <w:tcPr>
            <w:tcW w:w="2298" w:type="dxa"/>
          </w:tcPr>
          <w:p>
            <w:pPr>
              <w:pStyle w:val="TableParagraph"/>
              <w:spacing w:before="90"/>
              <w:ind w:left="200" w:right="153"/>
              <w:jc w:val="center"/>
              <w:rPr>
                <w:sz w:val="21"/>
              </w:rPr>
            </w:pPr>
            <w:r>
              <w:rPr>
                <w:sz w:val="21"/>
              </w:rPr>
              <w:t>计划完工日期</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承担的工作</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工程质量</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项目经理</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技术负责人</w:t>
            </w:r>
          </w:p>
        </w:tc>
        <w:tc>
          <w:tcPr>
            <w:tcW w:w="6323" w:type="dxa"/>
          </w:tcPr>
          <w:p>
            <w:pPr>
              <w:pStyle w:val="TableParagraph"/>
              <w:rPr>
                <w:rFonts w:ascii="Times New Roman"/>
                <w:sz w:val="22"/>
              </w:rPr>
            </w:pPr>
          </w:p>
        </w:tc>
      </w:tr>
      <w:tr>
        <w:trPr>
          <w:trHeight w:val="930" w:hRule="atLeast"/>
        </w:trPr>
        <w:tc>
          <w:tcPr>
            <w:tcW w:w="2298" w:type="dxa"/>
          </w:tcPr>
          <w:p>
            <w:pPr>
              <w:pStyle w:val="TableParagraph"/>
              <w:spacing w:before="105"/>
              <w:ind w:left="200" w:right="153"/>
              <w:jc w:val="center"/>
              <w:rPr>
                <w:sz w:val="21"/>
              </w:rPr>
            </w:pPr>
            <w:r>
              <w:rPr>
                <w:sz w:val="21"/>
              </w:rPr>
              <w:t>监理人和总监理工程</w:t>
            </w:r>
          </w:p>
          <w:p>
            <w:pPr>
              <w:pStyle w:val="TableParagraph"/>
              <w:spacing w:before="4"/>
              <w:rPr>
                <w:rFonts w:ascii="黑体"/>
                <w:sz w:val="15"/>
              </w:rPr>
            </w:pPr>
          </w:p>
          <w:p>
            <w:pPr>
              <w:pStyle w:val="TableParagraph"/>
              <w:ind w:left="199" w:right="153"/>
              <w:jc w:val="center"/>
              <w:rPr>
                <w:sz w:val="21"/>
              </w:rPr>
            </w:pPr>
            <w:r>
              <w:rPr>
                <w:sz w:val="21"/>
              </w:rPr>
              <w:t>师以及电话</w:t>
            </w:r>
          </w:p>
        </w:tc>
        <w:tc>
          <w:tcPr>
            <w:tcW w:w="6323" w:type="dxa"/>
          </w:tcPr>
          <w:p>
            <w:pPr>
              <w:pStyle w:val="TableParagraph"/>
              <w:rPr>
                <w:rFonts w:ascii="Times New Roman"/>
                <w:sz w:val="22"/>
              </w:rPr>
            </w:pPr>
          </w:p>
        </w:tc>
      </w:tr>
      <w:tr>
        <w:trPr>
          <w:trHeight w:val="465" w:hRule="atLeast"/>
        </w:trPr>
        <w:tc>
          <w:tcPr>
            <w:tcW w:w="2298" w:type="dxa"/>
          </w:tcPr>
          <w:p>
            <w:pPr>
              <w:pStyle w:val="TableParagraph"/>
              <w:spacing w:before="105"/>
              <w:ind w:left="199" w:right="153"/>
              <w:jc w:val="center"/>
              <w:rPr>
                <w:sz w:val="21"/>
              </w:rPr>
            </w:pPr>
            <w:r>
              <w:rPr>
                <w:sz w:val="21"/>
              </w:rPr>
              <w:t>项目描述</w:t>
            </w:r>
          </w:p>
        </w:tc>
        <w:tc>
          <w:tcPr>
            <w:tcW w:w="6323" w:type="dxa"/>
          </w:tcPr>
          <w:p>
            <w:pPr>
              <w:pStyle w:val="TableParagraph"/>
              <w:rPr>
                <w:rFonts w:ascii="Times New Roman"/>
                <w:sz w:val="22"/>
              </w:rPr>
            </w:pPr>
          </w:p>
        </w:tc>
      </w:tr>
      <w:tr>
        <w:trPr>
          <w:trHeight w:val="931" w:hRule="atLeast"/>
        </w:trPr>
        <w:tc>
          <w:tcPr>
            <w:tcW w:w="2298" w:type="dxa"/>
          </w:tcPr>
          <w:p>
            <w:pPr>
              <w:pStyle w:val="TableParagraph"/>
              <w:spacing w:before="10"/>
              <w:rPr>
                <w:rFonts w:ascii="黑体"/>
                <w:sz w:val="25"/>
              </w:rPr>
            </w:pPr>
          </w:p>
          <w:p>
            <w:pPr>
              <w:pStyle w:val="TableParagraph"/>
              <w:ind w:left="199" w:right="153"/>
              <w:jc w:val="center"/>
              <w:rPr>
                <w:sz w:val="21"/>
              </w:rPr>
            </w:pPr>
            <w:r>
              <w:rPr>
                <w:sz w:val="21"/>
              </w:rPr>
              <w:t>备注</w:t>
            </w:r>
          </w:p>
        </w:tc>
        <w:tc>
          <w:tcPr>
            <w:tcW w:w="6323" w:type="dxa"/>
          </w:tcPr>
          <w:p>
            <w:pPr>
              <w:pStyle w:val="TableParagraph"/>
              <w:spacing w:before="90"/>
              <w:ind w:left="127"/>
              <w:rPr>
                <w:sz w:val="21"/>
              </w:rPr>
            </w:pPr>
            <w:r>
              <w:rPr>
                <w:sz w:val="21"/>
              </w:rPr>
              <w:t>    合同所属项目描述内容至少包括项目概况、本合同在项目中的</w:t>
            </w:r>
          </w:p>
          <w:p>
            <w:pPr>
              <w:pStyle w:val="TableParagraph"/>
              <w:spacing w:before="6"/>
              <w:rPr>
                <w:rFonts w:ascii="黑体"/>
                <w:sz w:val="16"/>
              </w:rPr>
            </w:pPr>
          </w:p>
          <w:p>
            <w:pPr>
              <w:pStyle w:val="TableParagraph"/>
              <w:spacing w:before="1"/>
              <w:ind w:left="127"/>
              <w:rPr>
                <w:rFonts w:ascii="Calibri" w:eastAsia="Calibri"/>
                <w:sz w:val="21"/>
              </w:rPr>
            </w:pPr>
            <w:r>
              <w:rPr>
                <w:sz w:val="21"/>
              </w:rPr>
              <w:t>地位</w:t>
            </w:r>
            <w:r>
              <w:rPr>
                <w:rFonts w:ascii="Calibri" w:eastAsia="Calibri"/>
                <w:sz w:val="21"/>
              </w:rPr>
              <w:t>(</w:t>
            </w:r>
            <w:r>
              <w:rPr>
                <w:sz w:val="21"/>
              </w:rPr>
              <w:t>部位、合同价格所占比例</w:t>
            </w:r>
            <w:r>
              <w:rPr>
                <w:rFonts w:ascii="Calibri" w:eastAsia="Calibri"/>
                <w:sz w:val="21"/>
              </w:rPr>
              <w:t>)</w:t>
            </w:r>
          </w:p>
        </w:tc>
      </w:tr>
    </w:tbl>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spacing w:before="6"/>
        <w:rPr>
          <w:rFonts w:ascii="黑体"/>
          <w:sz w:val="30"/>
        </w:rPr>
      </w:pPr>
    </w:p>
    <w:p>
      <w:pPr>
        <w:spacing w:before="0"/>
        <w:ind w:left="0" w:right="1282" w:firstLine="0"/>
        <w:jc w:val="center"/>
        <w:rPr>
          <w:rFonts w:ascii="Calibri"/>
          <w:sz w:val="18"/>
        </w:rPr>
      </w:pPr>
      <w:r>
        <w:rPr>
          <w:rFonts w:ascii="Calibri"/>
          <w:sz w:val="18"/>
        </w:rPr>
        <w:t>170</w:t>
      </w:r>
    </w:p>
    <w:p>
      <w:pPr>
        <w:spacing w:after="0"/>
        <w:jc w:val="center"/>
        <w:rPr>
          <w:rFonts w:ascii="Calibri"/>
          <w:sz w:val="18"/>
        </w:rPr>
        <w:sectPr>
          <w:pgSz w:w="11910" w:h="16850"/>
          <w:pgMar w:header="911" w:footer="0" w:top="1540" w:bottom="280" w:left="1300" w:right="0"/>
        </w:sectPr>
      </w:pPr>
    </w:p>
    <w:p>
      <w:pPr>
        <w:pStyle w:val="BodyText"/>
        <w:spacing w:before="7"/>
        <w:rPr>
          <w:rFonts w:ascii="Calibri"/>
          <w:sz w:val="8"/>
        </w:rPr>
      </w:pPr>
    </w:p>
    <w:p>
      <w:pPr>
        <w:pStyle w:val="Heading7"/>
        <w:spacing w:before="66"/>
        <w:ind w:left="396"/>
        <w:rPr>
          <w:rFonts w:ascii="黑体" w:eastAsia="黑体" w:hint="eastAsia"/>
        </w:rPr>
      </w:pPr>
      <w:r>
        <w:rPr>
          <w:rFonts w:ascii="黑体" w:eastAsia="黑体" w:hint="eastAsia"/>
        </w:rPr>
        <w:t>(五)近 3 年发生的诉讼及仲裁情况表</w:t>
      </w:r>
    </w:p>
    <w:p>
      <w:pPr>
        <w:pStyle w:val="BodyText"/>
        <w:spacing w:before="221"/>
        <w:ind w:right="1192"/>
        <w:jc w:val="center"/>
      </w:pPr>
      <w:r>
        <w:rPr/>
        <w:pict>
          <v:group style="position:absolute;margin-left:76.721001pt;margin-top:105.230492pt;width:439.3pt;height:432.65pt;mso-position-horizontal-relative:page;mso-position-vertical-relative:paragraph;z-index:-268379136" coordorigin="1534,2105" coordsize="8786,8653">
            <v:shape style="position:absolute;left:1534;top:2104;width:8786;height:8653" type="#_x0000_t75" stroked="false">
              <v:imagedata r:id="rId37" o:title=""/>
            </v:shape>
            <v:shape style="position:absolute;left:1697;top:3137;width:3357;height:240" type="#_x0000_t202" filled="false" stroked="false">
              <v:textbox inset="0,0,0,0">
                <w:txbxContent>
                  <w:p>
                    <w:pPr>
                      <w:spacing w:line="240" w:lineRule="exact" w:before="0"/>
                      <w:ind w:left="0" w:right="0" w:firstLine="0"/>
                      <w:jc w:val="left"/>
                      <w:rPr>
                        <w:sz w:val="24"/>
                      </w:rPr>
                    </w:pPr>
                    <w:r>
                      <w:rPr>
                        <w:sz w:val="21"/>
                      </w:rPr>
                      <w:t>  </w:t>
                    </w:r>
                    <w:r>
                      <w:rPr>
                        <w:sz w:val="24"/>
                      </w:rPr>
                      <w:t>  注：相关材料复印件附后。</w:t>
                    </w:r>
                  </w:p>
                </w:txbxContent>
              </v:textbox>
              <w10:wrap type="none"/>
            </v:shape>
            <w10:wrap type="none"/>
          </v:group>
        </w:pict>
      </w:r>
      <w:r>
        <w:rPr/>
        <w:t>(近 3 年指</w:t>
      </w:r>
      <w:r>
        <w:rPr>
          <w:u w:val="single"/>
        </w:rPr>
        <w:t> </w:t>
      </w:r>
      <w:r>
        <w:rPr/>
        <w:t>年</w:t>
      </w:r>
      <w:r>
        <w:rPr>
          <w:u w:val="single"/>
        </w:rPr>
        <w:t> </w:t>
      </w:r>
      <w:r>
        <w:rPr/>
        <w:t>月至</w:t>
      </w:r>
      <w:r>
        <w:rPr>
          <w:u w:val="single"/>
        </w:rPr>
        <w:t> </w:t>
      </w:r>
      <w:r>
        <w:rPr/>
        <w:t>年</w:t>
      </w:r>
      <w:r>
        <w:rPr>
          <w:u w:val="single"/>
        </w:rPr>
        <w:t> </w:t>
      </w:r>
      <w:r>
        <w:rPr/>
        <w:t>月) </w:t>
      </w:r>
    </w:p>
    <w:p>
      <w:pPr>
        <w:pStyle w:val="BodyText"/>
        <w:spacing w:before="6"/>
        <w:rPr>
          <w:sz w:val="6"/>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6"/>
        <w:gridCol w:w="2028"/>
        <w:gridCol w:w="2388"/>
        <w:gridCol w:w="1216"/>
        <w:gridCol w:w="1216"/>
        <w:gridCol w:w="945"/>
      </w:tblGrid>
      <w:tr>
        <w:trPr>
          <w:trHeight w:val="465" w:hRule="atLeast"/>
        </w:trPr>
        <w:tc>
          <w:tcPr>
            <w:tcW w:w="826" w:type="dxa"/>
          </w:tcPr>
          <w:p>
            <w:pPr>
              <w:pStyle w:val="TableParagraph"/>
              <w:spacing w:before="90"/>
              <w:ind w:left="198" w:right="152"/>
              <w:jc w:val="center"/>
              <w:rPr>
                <w:sz w:val="21"/>
              </w:rPr>
            </w:pPr>
            <w:r>
              <w:rPr>
                <w:sz w:val="21"/>
              </w:rPr>
              <w:t>序号</w:t>
            </w:r>
          </w:p>
        </w:tc>
        <w:tc>
          <w:tcPr>
            <w:tcW w:w="2028" w:type="dxa"/>
          </w:tcPr>
          <w:p>
            <w:pPr>
              <w:pStyle w:val="TableParagraph"/>
              <w:spacing w:before="90"/>
              <w:ind w:left="259" w:right="243"/>
              <w:jc w:val="center"/>
              <w:rPr>
                <w:sz w:val="21"/>
              </w:rPr>
            </w:pPr>
            <w:r>
              <w:rPr>
                <w:sz w:val="21"/>
              </w:rPr>
              <w:t>诉讼或仲裁事项</w:t>
            </w:r>
          </w:p>
        </w:tc>
        <w:tc>
          <w:tcPr>
            <w:tcW w:w="2388" w:type="dxa"/>
          </w:tcPr>
          <w:p>
            <w:pPr>
              <w:pStyle w:val="TableParagraph"/>
              <w:spacing w:before="90"/>
              <w:ind w:left="262"/>
              <w:rPr>
                <w:sz w:val="21"/>
              </w:rPr>
            </w:pPr>
            <w:r>
              <w:rPr>
                <w:sz w:val="21"/>
              </w:rPr>
              <w:t>诉讼或仲裁中的地位</w:t>
            </w:r>
          </w:p>
        </w:tc>
        <w:tc>
          <w:tcPr>
            <w:tcW w:w="1216" w:type="dxa"/>
          </w:tcPr>
          <w:p>
            <w:pPr>
              <w:pStyle w:val="TableParagraph"/>
              <w:spacing w:before="90"/>
              <w:ind w:left="398"/>
              <w:rPr>
                <w:sz w:val="21"/>
              </w:rPr>
            </w:pPr>
            <w:r>
              <w:rPr>
                <w:sz w:val="21"/>
              </w:rPr>
              <w:t>缘由</w:t>
            </w:r>
          </w:p>
        </w:tc>
        <w:tc>
          <w:tcPr>
            <w:tcW w:w="1216" w:type="dxa"/>
          </w:tcPr>
          <w:p>
            <w:pPr>
              <w:pStyle w:val="TableParagraph"/>
              <w:spacing w:before="90"/>
              <w:ind w:left="398"/>
              <w:rPr>
                <w:sz w:val="21"/>
              </w:rPr>
            </w:pPr>
            <w:r>
              <w:rPr>
                <w:sz w:val="21"/>
              </w:rPr>
              <w:t>结果</w:t>
            </w:r>
          </w:p>
        </w:tc>
        <w:tc>
          <w:tcPr>
            <w:tcW w:w="945" w:type="dxa"/>
          </w:tcPr>
          <w:p>
            <w:pPr>
              <w:pStyle w:val="TableParagraph"/>
              <w:spacing w:before="90"/>
              <w:ind w:left="263"/>
              <w:rPr>
                <w:sz w:val="21"/>
              </w:rPr>
            </w:pPr>
            <w:r>
              <w:rPr>
                <w:sz w:val="21"/>
              </w:rPr>
              <w:t>备注</w:t>
            </w:r>
          </w:p>
        </w:tc>
      </w:tr>
      <w:tr>
        <w:trPr>
          <w:trHeight w:val="450" w:hRule="atLeast"/>
        </w:trPr>
        <w:tc>
          <w:tcPr>
            <w:tcW w:w="826" w:type="dxa"/>
          </w:tcPr>
          <w:p>
            <w:pPr>
              <w:pStyle w:val="TableParagraph"/>
              <w:spacing w:before="90"/>
              <w:ind w:left="44"/>
              <w:jc w:val="center"/>
              <w:rPr>
                <w:sz w:val="21"/>
              </w:rPr>
            </w:pPr>
            <w:r>
              <w:rPr>
                <w:sz w:val="21"/>
              </w:rPr>
              <w:t>一</w:t>
            </w:r>
          </w:p>
        </w:tc>
        <w:tc>
          <w:tcPr>
            <w:tcW w:w="2028" w:type="dxa"/>
          </w:tcPr>
          <w:p>
            <w:pPr>
              <w:pStyle w:val="TableParagraph"/>
              <w:spacing w:before="90"/>
              <w:ind w:left="259" w:right="243"/>
              <w:jc w:val="center"/>
              <w:rPr>
                <w:sz w:val="21"/>
              </w:rPr>
            </w:pPr>
            <w:r>
              <w:rPr>
                <w:sz w:val="21"/>
              </w:rPr>
              <w:t>诉讼事项</w:t>
            </w:r>
          </w:p>
        </w:tc>
        <w:tc>
          <w:tcPr>
            <w:tcW w:w="2388" w:type="dxa"/>
          </w:tcPr>
          <w:p>
            <w:pPr>
              <w:pStyle w:val="TableParagraph"/>
              <w:rPr>
                <w:rFonts w:ascii="Times New Roman"/>
                <w:sz w:val="22"/>
              </w:rPr>
            </w:pPr>
          </w:p>
        </w:tc>
        <w:tc>
          <w:tcPr>
            <w:tcW w:w="1216" w:type="dxa"/>
          </w:tcPr>
          <w:p>
            <w:pPr>
              <w:pStyle w:val="TableParagraph"/>
              <w:rPr>
                <w:rFonts w:ascii="Times New Roman"/>
                <w:sz w:val="22"/>
              </w:rPr>
            </w:pPr>
          </w:p>
        </w:tc>
        <w:tc>
          <w:tcPr>
            <w:tcW w:w="1216" w:type="dxa"/>
          </w:tcPr>
          <w:p>
            <w:pPr>
              <w:pStyle w:val="TableParagraph"/>
              <w:rPr>
                <w:rFonts w:ascii="Times New Roman"/>
                <w:sz w:val="22"/>
              </w:rPr>
            </w:pPr>
          </w:p>
        </w:tc>
        <w:tc>
          <w:tcPr>
            <w:tcW w:w="945" w:type="dxa"/>
          </w:tcPr>
          <w:p>
            <w:pPr>
              <w:pStyle w:val="TableParagraph"/>
              <w:rPr>
                <w:rFonts w:ascii="Times New Roman"/>
                <w:sz w:val="22"/>
              </w:rPr>
            </w:pPr>
          </w:p>
        </w:tc>
      </w:tr>
      <w:tr>
        <w:trPr>
          <w:trHeight w:val="465" w:hRule="atLeast"/>
        </w:trPr>
        <w:tc>
          <w:tcPr>
            <w:tcW w:w="826" w:type="dxa"/>
          </w:tcPr>
          <w:p>
            <w:pPr>
              <w:pStyle w:val="TableParagraph"/>
              <w:rPr>
                <w:rFonts w:ascii="Times New Roman"/>
                <w:sz w:val="22"/>
              </w:rPr>
            </w:pPr>
          </w:p>
        </w:tc>
        <w:tc>
          <w:tcPr>
            <w:tcW w:w="2028" w:type="dxa"/>
          </w:tcPr>
          <w:p>
            <w:pPr>
              <w:pStyle w:val="TableParagraph"/>
              <w:rPr>
                <w:rFonts w:ascii="Times New Roman"/>
                <w:sz w:val="22"/>
              </w:rPr>
            </w:pPr>
          </w:p>
        </w:tc>
        <w:tc>
          <w:tcPr>
            <w:tcW w:w="2388" w:type="dxa"/>
          </w:tcPr>
          <w:p>
            <w:pPr>
              <w:pStyle w:val="TableParagraph"/>
              <w:rPr>
                <w:rFonts w:ascii="Times New Roman"/>
                <w:sz w:val="22"/>
              </w:rPr>
            </w:pPr>
          </w:p>
        </w:tc>
        <w:tc>
          <w:tcPr>
            <w:tcW w:w="1216" w:type="dxa"/>
          </w:tcPr>
          <w:p>
            <w:pPr>
              <w:pStyle w:val="TableParagraph"/>
              <w:rPr>
                <w:rFonts w:ascii="Times New Roman"/>
                <w:sz w:val="22"/>
              </w:rPr>
            </w:pPr>
          </w:p>
        </w:tc>
        <w:tc>
          <w:tcPr>
            <w:tcW w:w="1216" w:type="dxa"/>
          </w:tcPr>
          <w:p>
            <w:pPr>
              <w:pStyle w:val="TableParagraph"/>
              <w:rPr>
                <w:rFonts w:ascii="Times New Roman"/>
                <w:sz w:val="22"/>
              </w:rPr>
            </w:pPr>
          </w:p>
        </w:tc>
        <w:tc>
          <w:tcPr>
            <w:tcW w:w="945" w:type="dxa"/>
          </w:tcPr>
          <w:p>
            <w:pPr>
              <w:pStyle w:val="TableParagraph"/>
              <w:rPr>
                <w:rFonts w:ascii="Times New Roman"/>
                <w:sz w:val="22"/>
              </w:rPr>
            </w:pPr>
          </w:p>
        </w:tc>
      </w:tr>
      <w:tr>
        <w:trPr>
          <w:trHeight w:val="465" w:hRule="atLeast"/>
        </w:trPr>
        <w:tc>
          <w:tcPr>
            <w:tcW w:w="826" w:type="dxa"/>
          </w:tcPr>
          <w:p>
            <w:pPr>
              <w:pStyle w:val="TableParagraph"/>
              <w:spacing w:before="105"/>
              <w:ind w:left="44"/>
              <w:jc w:val="center"/>
              <w:rPr>
                <w:sz w:val="21"/>
              </w:rPr>
            </w:pPr>
            <w:r>
              <w:rPr>
                <w:sz w:val="21"/>
              </w:rPr>
              <w:t>二</w:t>
            </w:r>
          </w:p>
        </w:tc>
        <w:tc>
          <w:tcPr>
            <w:tcW w:w="2028" w:type="dxa"/>
          </w:tcPr>
          <w:p>
            <w:pPr>
              <w:pStyle w:val="TableParagraph"/>
              <w:spacing w:before="105"/>
              <w:ind w:left="259" w:right="243"/>
              <w:jc w:val="center"/>
              <w:rPr>
                <w:sz w:val="21"/>
              </w:rPr>
            </w:pPr>
            <w:r>
              <w:rPr>
                <w:sz w:val="21"/>
              </w:rPr>
              <w:t>仲裁事项</w:t>
            </w:r>
          </w:p>
        </w:tc>
        <w:tc>
          <w:tcPr>
            <w:tcW w:w="2388" w:type="dxa"/>
          </w:tcPr>
          <w:p>
            <w:pPr>
              <w:pStyle w:val="TableParagraph"/>
              <w:rPr>
                <w:rFonts w:ascii="Times New Roman"/>
                <w:sz w:val="22"/>
              </w:rPr>
            </w:pPr>
          </w:p>
        </w:tc>
        <w:tc>
          <w:tcPr>
            <w:tcW w:w="1216" w:type="dxa"/>
          </w:tcPr>
          <w:p>
            <w:pPr>
              <w:pStyle w:val="TableParagraph"/>
              <w:rPr>
                <w:rFonts w:ascii="Times New Roman"/>
                <w:sz w:val="22"/>
              </w:rPr>
            </w:pPr>
          </w:p>
        </w:tc>
        <w:tc>
          <w:tcPr>
            <w:tcW w:w="1216" w:type="dxa"/>
          </w:tcPr>
          <w:p>
            <w:pPr>
              <w:pStyle w:val="TableParagraph"/>
              <w:rPr>
                <w:rFonts w:ascii="Times New Roman"/>
                <w:sz w:val="22"/>
              </w:rPr>
            </w:pPr>
          </w:p>
        </w:tc>
        <w:tc>
          <w:tcPr>
            <w:tcW w:w="945" w:type="dxa"/>
          </w:tcPr>
          <w:p>
            <w:pPr>
              <w:pStyle w:val="TableParagraph"/>
              <w:rPr>
                <w:rFonts w:ascii="Times New Roman"/>
                <w:sz w:val="22"/>
              </w:rPr>
            </w:pPr>
          </w:p>
        </w:tc>
      </w:tr>
      <w:tr>
        <w:trPr>
          <w:trHeight w:val="465" w:hRule="atLeast"/>
        </w:trPr>
        <w:tc>
          <w:tcPr>
            <w:tcW w:w="826" w:type="dxa"/>
          </w:tcPr>
          <w:p>
            <w:pPr>
              <w:pStyle w:val="TableParagraph"/>
              <w:rPr>
                <w:rFonts w:ascii="Times New Roman"/>
                <w:sz w:val="22"/>
              </w:rPr>
            </w:pPr>
          </w:p>
        </w:tc>
        <w:tc>
          <w:tcPr>
            <w:tcW w:w="2028" w:type="dxa"/>
          </w:tcPr>
          <w:p>
            <w:pPr>
              <w:pStyle w:val="TableParagraph"/>
              <w:rPr>
                <w:rFonts w:ascii="Times New Roman"/>
                <w:sz w:val="22"/>
              </w:rPr>
            </w:pPr>
          </w:p>
        </w:tc>
        <w:tc>
          <w:tcPr>
            <w:tcW w:w="2388" w:type="dxa"/>
          </w:tcPr>
          <w:p>
            <w:pPr>
              <w:pStyle w:val="TableParagraph"/>
              <w:rPr>
                <w:rFonts w:ascii="Times New Roman"/>
                <w:sz w:val="22"/>
              </w:rPr>
            </w:pPr>
          </w:p>
        </w:tc>
        <w:tc>
          <w:tcPr>
            <w:tcW w:w="1216" w:type="dxa"/>
          </w:tcPr>
          <w:p>
            <w:pPr>
              <w:pStyle w:val="TableParagraph"/>
              <w:rPr>
                <w:rFonts w:ascii="Times New Roman"/>
                <w:sz w:val="22"/>
              </w:rPr>
            </w:pPr>
          </w:p>
        </w:tc>
        <w:tc>
          <w:tcPr>
            <w:tcW w:w="1216" w:type="dxa"/>
          </w:tcPr>
          <w:p>
            <w:pPr>
              <w:pStyle w:val="TableParagraph"/>
              <w:rPr>
                <w:rFonts w:ascii="Times New Roman"/>
                <w:sz w:val="22"/>
              </w:rPr>
            </w:pPr>
          </w:p>
        </w:tc>
        <w:tc>
          <w:tcPr>
            <w:tcW w:w="945" w:type="dxa"/>
          </w:tcPr>
          <w:p>
            <w:pPr>
              <w:pStyle w:val="TableParagraph"/>
              <w:rPr>
                <w:rFonts w:ascii="Times New Roman"/>
                <w:sz w:val="22"/>
              </w:rPr>
            </w:pP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before="213"/>
        <w:ind w:left="0" w:right="1282" w:firstLine="0"/>
        <w:jc w:val="center"/>
        <w:rPr>
          <w:rFonts w:ascii="Calibri"/>
          <w:sz w:val="18"/>
        </w:rPr>
      </w:pPr>
      <w:r>
        <w:rPr>
          <w:rFonts w:ascii="Calibri"/>
          <w:sz w:val="18"/>
        </w:rPr>
        <w:t>171</w:t>
      </w:r>
    </w:p>
    <w:p>
      <w:pPr>
        <w:spacing w:after="0"/>
        <w:jc w:val="center"/>
        <w:rPr>
          <w:rFonts w:ascii="Calibri"/>
          <w:sz w:val="18"/>
        </w:rPr>
        <w:sectPr>
          <w:pgSz w:w="11910" w:h="16850"/>
          <w:pgMar w:header="911" w:footer="0" w:top="1540" w:bottom="280" w:left="1300" w:right="0"/>
        </w:sectPr>
      </w:pPr>
    </w:p>
    <w:p>
      <w:pPr>
        <w:pStyle w:val="BodyText"/>
        <w:spacing w:before="7"/>
        <w:rPr>
          <w:rFonts w:ascii="Calibri"/>
          <w:sz w:val="8"/>
        </w:rPr>
      </w:pPr>
    </w:p>
    <w:p>
      <w:pPr>
        <w:pStyle w:val="Heading7"/>
        <w:spacing w:before="66"/>
        <w:ind w:left="396"/>
        <w:rPr>
          <w:rFonts w:ascii="黑体" w:eastAsia="黑体" w:hint="eastAsia"/>
        </w:rPr>
      </w:pPr>
      <w:r>
        <w:rPr/>
        <w:drawing>
          <wp:anchor distT="0" distB="0" distL="0" distR="0" allowOverlap="1" layoutInCell="1" locked="0" behindDoc="1" simplePos="0" relativeHeight="234938368">
            <wp:simplePos x="0" y="0"/>
            <wp:positionH relativeFrom="page">
              <wp:posOffset>974356</wp:posOffset>
            </wp:positionH>
            <wp:positionV relativeFrom="paragraph">
              <wp:posOffset>1606555</wp:posOffset>
            </wp:positionV>
            <wp:extent cx="5580781" cy="5495925"/>
            <wp:effectExtent l="0" t="0" r="0" b="0"/>
            <wp:wrapNone/>
            <wp:docPr id="149" name="image23.png"/>
            <wp:cNvGraphicFramePr>
              <a:graphicFrameLocks noChangeAspect="1"/>
            </wp:cNvGraphicFramePr>
            <a:graphic>
              <a:graphicData uri="http://schemas.openxmlformats.org/drawingml/2006/picture">
                <pic:pic>
                  <pic:nvPicPr>
                    <pic:cNvPr id="150" name="image23.png"/>
                    <pic:cNvPicPr/>
                  </pic:nvPicPr>
                  <pic:blipFill>
                    <a:blip r:embed="rId37" cstate="print"/>
                    <a:stretch>
                      <a:fillRect/>
                    </a:stretch>
                  </pic:blipFill>
                  <pic:spPr>
                    <a:xfrm>
                      <a:off x="0" y="0"/>
                      <a:ext cx="5580781" cy="5495925"/>
                    </a:xfrm>
                    <a:prstGeom prst="rect">
                      <a:avLst/>
                    </a:prstGeom>
                  </pic:spPr>
                </pic:pic>
              </a:graphicData>
            </a:graphic>
          </wp:anchor>
        </w:drawing>
      </w:r>
      <w:r>
        <w:rPr>
          <w:rFonts w:ascii="黑体" w:eastAsia="黑体" w:hint="eastAsia"/>
        </w:rPr>
        <w:t>(六)资格审查自审表</w:t>
      </w:r>
    </w:p>
    <w:p>
      <w:pPr>
        <w:pStyle w:val="BodyText"/>
        <w:spacing w:before="3"/>
        <w:rPr>
          <w:rFonts w:ascii="黑体"/>
          <w:sz w:val="10"/>
        </w:rPr>
      </w:pPr>
    </w:p>
    <w:tbl>
      <w:tblPr>
        <w:tblW w:w="0" w:type="auto"/>
        <w:jc w:val="left"/>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91"/>
        <w:gridCol w:w="3350"/>
        <w:gridCol w:w="1096"/>
        <w:gridCol w:w="1081"/>
        <w:gridCol w:w="2403"/>
      </w:tblGrid>
      <w:tr>
        <w:trPr>
          <w:trHeight w:val="465" w:hRule="atLeast"/>
        </w:trPr>
        <w:tc>
          <w:tcPr>
            <w:tcW w:w="691" w:type="dxa"/>
          </w:tcPr>
          <w:p>
            <w:pPr>
              <w:pStyle w:val="TableParagraph"/>
              <w:spacing w:before="105"/>
              <w:ind w:left="158"/>
              <w:rPr>
                <w:sz w:val="21"/>
              </w:rPr>
            </w:pPr>
            <w:r>
              <w:rPr>
                <w:sz w:val="21"/>
              </w:rPr>
              <w:t>序号</w:t>
            </w:r>
          </w:p>
        </w:tc>
        <w:tc>
          <w:tcPr>
            <w:tcW w:w="3350" w:type="dxa"/>
          </w:tcPr>
          <w:p>
            <w:pPr>
              <w:pStyle w:val="TableParagraph"/>
              <w:spacing w:before="105"/>
              <w:ind w:left="1250" w:right="1205"/>
              <w:jc w:val="center"/>
              <w:rPr>
                <w:sz w:val="21"/>
              </w:rPr>
            </w:pPr>
            <w:r>
              <w:rPr>
                <w:sz w:val="21"/>
              </w:rPr>
              <w:t>审查因素</w:t>
            </w:r>
          </w:p>
        </w:tc>
        <w:tc>
          <w:tcPr>
            <w:tcW w:w="1096" w:type="dxa"/>
          </w:tcPr>
          <w:p>
            <w:pPr>
              <w:pStyle w:val="TableParagraph"/>
              <w:spacing w:before="105"/>
              <w:ind w:left="142"/>
              <w:rPr>
                <w:sz w:val="21"/>
              </w:rPr>
            </w:pPr>
            <w:r>
              <w:rPr>
                <w:sz w:val="21"/>
              </w:rPr>
              <w:t>审查标准</w:t>
            </w:r>
          </w:p>
        </w:tc>
        <w:tc>
          <w:tcPr>
            <w:tcW w:w="1081" w:type="dxa"/>
          </w:tcPr>
          <w:p>
            <w:pPr>
              <w:pStyle w:val="TableParagraph"/>
              <w:spacing w:before="105"/>
              <w:ind w:left="127"/>
              <w:rPr>
                <w:sz w:val="21"/>
              </w:rPr>
            </w:pPr>
            <w:r>
              <w:rPr>
                <w:sz w:val="21"/>
              </w:rPr>
              <w:t>审查结果</w:t>
            </w:r>
          </w:p>
        </w:tc>
        <w:tc>
          <w:tcPr>
            <w:tcW w:w="2403" w:type="dxa"/>
          </w:tcPr>
          <w:p>
            <w:pPr>
              <w:pStyle w:val="TableParagraph"/>
              <w:spacing w:before="105"/>
              <w:ind w:left="994" w:right="933"/>
              <w:jc w:val="center"/>
              <w:rPr>
                <w:sz w:val="21"/>
              </w:rPr>
            </w:pPr>
            <w:r>
              <w:rPr>
                <w:sz w:val="21"/>
              </w:rPr>
              <w:t>备注</w:t>
            </w: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统一社会信用代码证</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安全生产许可证</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资质证书及等级</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财务状况</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90"/>
              <w:ind w:left="127"/>
              <w:rPr>
                <w:sz w:val="21"/>
              </w:rPr>
            </w:pPr>
            <w:r>
              <w:rPr>
                <w:sz w:val="21"/>
              </w:rPr>
              <w:t>类似项目业绩</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90"/>
              <w:ind w:left="127"/>
              <w:rPr>
                <w:sz w:val="21"/>
              </w:rPr>
            </w:pPr>
            <w:r>
              <w:rPr>
                <w:sz w:val="21"/>
              </w:rPr>
              <w:t>信誉</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50" w:hRule="atLeast"/>
        </w:trPr>
        <w:tc>
          <w:tcPr>
            <w:tcW w:w="691" w:type="dxa"/>
          </w:tcPr>
          <w:p>
            <w:pPr>
              <w:pStyle w:val="TableParagraph"/>
              <w:rPr>
                <w:rFonts w:ascii="Times New Roman"/>
                <w:sz w:val="20"/>
              </w:rPr>
            </w:pPr>
          </w:p>
        </w:tc>
        <w:tc>
          <w:tcPr>
            <w:tcW w:w="3350" w:type="dxa"/>
          </w:tcPr>
          <w:p>
            <w:pPr>
              <w:pStyle w:val="TableParagraph"/>
              <w:spacing w:before="90"/>
              <w:ind w:left="127"/>
              <w:rPr>
                <w:sz w:val="21"/>
              </w:rPr>
            </w:pPr>
            <w:r>
              <w:rPr>
                <w:sz w:val="21"/>
              </w:rPr>
              <w:t>项目经理资格</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联合体协议书</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931"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企业主要负责人安全生产考核合</w:t>
            </w:r>
          </w:p>
          <w:p>
            <w:pPr>
              <w:pStyle w:val="TableParagraph"/>
              <w:spacing w:before="4"/>
              <w:rPr>
                <w:rFonts w:ascii="黑体"/>
                <w:sz w:val="15"/>
              </w:rPr>
            </w:pPr>
          </w:p>
          <w:p>
            <w:pPr>
              <w:pStyle w:val="TableParagraph"/>
              <w:ind w:left="127"/>
              <w:rPr>
                <w:sz w:val="21"/>
              </w:rPr>
            </w:pPr>
            <w:r>
              <w:rPr>
                <w:sz w:val="21"/>
              </w:rPr>
              <w:t>格证书</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技术负责人资格</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1395" w:hRule="atLeast"/>
        </w:trPr>
        <w:tc>
          <w:tcPr>
            <w:tcW w:w="691" w:type="dxa"/>
          </w:tcPr>
          <w:p>
            <w:pPr>
              <w:pStyle w:val="TableParagraph"/>
              <w:rPr>
                <w:rFonts w:ascii="Times New Roman"/>
                <w:sz w:val="20"/>
              </w:rPr>
            </w:pPr>
          </w:p>
        </w:tc>
        <w:tc>
          <w:tcPr>
            <w:tcW w:w="3350" w:type="dxa"/>
          </w:tcPr>
          <w:p>
            <w:pPr>
              <w:pStyle w:val="TableParagraph"/>
              <w:spacing w:line="415" w:lineRule="auto" w:before="105"/>
              <w:ind w:left="127" w:right="80"/>
              <w:rPr>
                <w:sz w:val="21"/>
              </w:rPr>
            </w:pPr>
            <w:r>
              <w:rPr>
                <w:sz w:val="21"/>
              </w:rPr>
              <w:t>委托代理人、安全管理人员(专职安全生产管理人员)、质量管理人</w:t>
            </w:r>
          </w:p>
          <w:p>
            <w:pPr>
              <w:pStyle w:val="TableParagraph"/>
              <w:ind w:left="127"/>
              <w:rPr>
                <w:sz w:val="21"/>
              </w:rPr>
            </w:pPr>
            <w:r>
              <w:rPr>
                <w:sz w:val="21"/>
              </w:rPr>
              <w:t>员、财务负责人</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spacing w:before="105"/>
              <w:ind w:left="127"/>
              <w:rPr>
                <w:sz w:val="21"/>
              </w:rPr>
            </w:pPr>
            <w:r>
              <w:rPr>
                <w:sz w:val="21"/>
              </w:rPr>
              <w:t>……</w:t>
            </w: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r>
        <w:trPr>
          <w:trHeight w:val="465" w:hRule="atLeast"/>
        </w:trPr>
        <w:tc>
          <w:tcPr>
            <w:tcW w:w="691" w:type="dxa"/>
          </w:tcPr>
          <w:p>
            <w:pPr>
              <w:pStyle w:val="TableParagraph"/>
              <w:rPr>
                <w:rFonts w:ascii="Times New Roman"/>
                <w:sz w:val="20"/>
              </w:rPr>
            </w:pPr>
          </w:p>
        </w:tc>
        <w:tc>
          <w:tcPr>
            <w:tcW w:w="3350" w:type="dxa"/>
          </w:tcPr>
          <w:p>
            <w:pPr>
              <w:pStyle w:val="TableParagraph"/>
              <w:rPr>
                <w:rFonts w:ascii="Times New Roman"/>
                <w:sz w:val="20"/>
              </w:rPr>
            </w:pPr>
          </w:p>
        </w:tc>
        <w:tc>
          <w:tcPr>
            <w:tcW w:w="1096" w:type="dxa"/>
          </w:tcPr>
          <w:p>
            <w:pPr>
              <w:pStyle w:val="TableParagraph"/>
              <w:rPr>
                <w:rFonts w:ascii="Times New Roman"/>
                <w:sz w:val="20"/>
              </w:rPr>
            </w:pPr>
          </w:p>
        </w:tc>
        <w:tc>
          <w:tcPr>
            <w:tcW w:w="1081" w:type="dxa"/>
          </w:tcPr>
          <w:p>
            <w:pPr>
              <w:pStyle w:val="TableParagraph"/>
              <w:rPr>
                <w:rFonts w:ascii="Times New Roman"/>
                <w:sz w:val="20"/>
              </w:rPr>
            </w:pPr>
          </w:p>
        </w:tc>
        <w:tc>
          <w:tcPr>
            <w:tcW w:w="2403" w:type="dxa"/>
          </w:tcPr>
          <w:p>
            <w:pPr>
              <w:pStyle w:val="TableParagraph"/>
              <w:rPr>
                <w:rFonts w:ascii="Times New Roman"/>
                <w:sz w:val="20"/>
              </w:rPr>
            </w:pPr>
          </w:p>
        </w:tc>
      </w:tr>
    </w:tbl>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rPr>
          <w:rFonts w:ascii="黑体"/>
          <w:sz w:val="28"/>
        </w:rPr>
      </w:pPr>
    </w:p>
    <w:p>
      <w:pPr>
        <w:pStyle w:val="BodyText"/>
        <w:spacing w:before="8"/>
        <w:rPr>
          <w:rFonts w:ascii="黑体"/>
          <w:sz w:val="31"/>
        </w:rPr>
      </w:pPr>
    </w:p>
    <w:p>
      <w:pPr>
        <w:spacing w:before="1"/>
        <w:ind w:left="0" w:right="1282" w:firstLine="0"/>
        <w:jc w:val="center"/>
        <w:rPr>
          <w:rFonts w:ascii="Calibri"/>
          <w:sz w:val="18"/>
        </w:rPr>
      </w:pPr>
      <w:r>
        <w:rPr>
          <w:rFonts w:ascii="Calibri"/>
          <w:sz w:val="18"/>
        </w:rPr>
        <w:t>172</w:t>
      </w:r>
    </w:p>
    <w:sectPr>
      <w:pgSz w:w="11910" w:h="16850"/>
      <w:pgMar w:header="911" w:footer="0" w:top="1540" w:bottom="280" w:left="1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黑体">
    <w:altName w:val="黑体"/>
    <w:charset w:val="86"/>
    <w:family w:val="modern"/>
    <w:pitch w:val="fixed"/>
  </w:font>
  <w:font w:name="宋体">
    <w:altName w:val="宋体"/>
    <w:charset w:val="86"/>
    <w:family w:val="auto"/>
    <w:pitch w:val="variable"/>
  </w:font>
  <w:font w:name="Microsoft JhengHei">
    <w:altName w:val="Microsoft JhengHei"/>
    <w:charset w:val="0"/>
    <w:family w:val="swiss"/>
    <w:pitch w:val="variable"/>
  </w:font>
  <w:font w:name="PMingLiU">
    <w:altName w:val="PMingLiU"/>
    <w:charset w:val="0"/>
    <w:family w:val="roman"/>
    <w:pitch w:val="variable"/>
  </w:font>
  <w:font w:name="hakuyoxingshu7000">
    <w:altName w:val="hakuyoxingshu7000"/>
    <w:charset w:val="86"/>
    <w:family w:val="auto"/>
    <w:pitch w:val="variable"/>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688384" from="69.849998pt,55.174999pt" to="529.419998pt,55.174999pt" stroked="true" strokeweight=".75pt" strokecolor="#000000">
          <v:stroke dashstyle="solid"/>
          <w10:wrap type="non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687360" from="69.800003pt,55.205002pt" to="773.180003pt,55.205002pt" stroked="true" strokeweight=".75pt" strokecolor="#000000">
          <v:stroke dashstyle="solid"/>
          <w10:wrap type="none"/>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686336" from="69.849998pt,55.174999pt" to="529.419998pt,55.174999pt" stroked="true" strokeweight=".75pt" strokecolor="#000000">
          <v:stroke dashstyle="solid"/>
          <w10:wrap type="non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268685312" from="83.349998pt,55.174999pt" to="512.149998pt,55.174999pt" stroked="true" strokeweight=".75pt" strokecolor="#000000">
          <v:stroke dashstyle="solid"/>
          <w10:wrap type="none"/>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227" w:hanging="421"/>
      </w:pPr>
      <w:rPr>
        <w:rFonts w:hint="default" w:ascii="PMingLiU" w:hAnsi="PMingLiU" w:eastAsia="PMingLiU" w:cs="PMingLiU"/>
        <w:w w:val="101"/>
        <w:sz w:val="28"/>
        <w:szCs w:val="28"/>
        <w:lang w:val="zh-CN" w:eastAsia="zh-CN" w:bidi="zh-CN"/>
      </w:rPr>
    </w:lvl>
    <w:lvl w:ilvl="1">
      <w:start w:val="0"/>
      <w:numFmt w:val="bullet"/>
      <w:lvlText w:val="•"/>
      <w:lvlJc w:val="left"/>
      <w:pPr>
        <w:ind w:left="1269" w:hanging="421"/>
      </w:pPr>
      <w:rPr>
        <w:rFonts w:hint="default"/>
        <w:lang w:val="zh-CN" w:eastAsia="zh-CN" w:bidi="zh-CN"/>
      </w:rPr>
    </w:lvl>
    <w:lvl w:ilvl="2">
      <w:start w:val="0"/>
      <w:numFmt w:val="bullet"/>
      <w:lvlText w:val="•"/>
      <w:lvlJc w:val="left"/>
      <w:pPr>
        <w:ind w:left="2318" w:hanging="421"/>
      </w:pPr>
      <w:rPr>
        <w:rFonts w:hint="default"/>
        <w:lang w:val="zh-CN" w:eastAsia="zh-CN" w:bidi="zh-CN"/>
      </w:rPr>
    </w:lvl>
    <w:lvl w:ilvl="3">
      <w:start w:val="0"/>
      <w:numFmt w:val="bullet"/>
      <w:lvlText w:val="•"/>
      <w:lvlJc w:val="left"/>
      <w:pPr>
        <w:ind w:left="3367" w:hanging="421"/>
      </w:pPr>
      <w:rPr>
        <w:rFonts w:hint="default"/>
        <w:lang w:val="zh-CN" w:eastAsia="zh-CN" w:bidi="zh-CN"/>
      </w:rPr>
    </w:lvl>
    <w:lvl w:ilvl="4">
      <w:start w:val="0"/>
      <w:numFmt w:val="bullet"/>
      <w:lvlText w:val="•"/>
      <w:lvlJc w:val="left"/>
      <w:pPr>
        <w:ind w:left="4416" w:hanging="421"/>
      </w:pPr>
      <w:rPr>
        <w:rFonts w:hint="default"/>
        <w:lang w:val="zh-CN" w:eastAsia="zh-CN" w:bidi="zh-CN"/>
      </w:rPr>
    </w:lvl>
    <w:lvl w:ilvl="5">
      <w:start w:val="0"/>
      <w:numFmt w:val="bullet"/>
      <w:lvlText w:val="•"/>
      <w:lvlJc w:val="left"/>
      <w:pPr>
        <w:ind w:left="5465" w:hanging="421"/>
      </w:pPr>
      <w:rPr>
        <w:rFonts w:hint="default"/>
        <w:lang w:val="zh-CN" w:eastAsia="zh-CN" w:bidi="zh-CN"/>
      </w:rPr>
    </w:lvl>
    <w:lvl w:ilvl="6">
      <w:start w:val="0"/>
      <w:numFmt w:val="bullet"/>
      <w:lvlText w:val="•"/>
      <w:lvlJc w:val="left"/>
      <w:pPr>
        <w:ind w:left="6514" w:hanging="421"/>
      </w:pPr>
      <w:rPr>
        <w:rFonts w:hint="default"/>
        <w:lang w:val="zh-CN" w:eastAsia="zh-CN" w:bidi="zh-CN"/>
      </w:rPr>
    </w:lvl>
    <w:lvl w:ilvl="7">
      <w:start w:val="0"/>
      <w:numFmt w:val="bullet"/>
      <w:lvlText w:val="•"/>
      <w:lvlJc w:val="left"/>
      <w:pPr>
        <w:ind w:left="7563" w:hanging="421"/>
      </w:pPr>
      <w:rPr>
        <w:rFonts w:hint="default"/>
        <w:lang w:val="zh-CN" w:eastAsia="zh-CN" w:bidi="zh-CN"/>
      </w:rPr>
    </w:lvl>
    <w:lvl w:ilvl="8">
      <w:start w:val="0"/>
      <w:numFmt w:val="bullet"/>
      <w:lvlText w:val="•"/>
      <w:lvlJc w:val="left"/>
      <w:pPr>
        <w:ind w:left="8612" w:hanging="421"/>
      </w:pPr>
      <w:rPr>
        <w:rFonts w:hint="default"/>
        <w:lang w:val="zh-CN" w:eastAsia="zh-CN" w:bidi="zh-CN"/>
      </w:rPr>
    </w:lvl>
  </w:abstractNum>
  <w:abstractNum w:abstractNumId="2">
    <w:multiLevelType w:val="hybridMultilevel"/>
    <w:lvl w:ilvl="0">
      <w:start w:val="1"/>
      <w:numFmt w:val="decimal"/>
      <w:lvlText w:val="%1."/>
      <w:lvlJc w:val="left"/>
      <w:pPr>
        <w:ind w:left="857" w:hanging="210"/>
        <w:jc w:val="right"/>
      </w:pPr>
      <w:rPr>
        <w:rFonts w:hint="default"/>
        <w:spacing w:val="7"/>
        <w:w w:val="102"/>
        <w:lang w:val="zh-CN" w:eastAsia="zh-CN" w:bidi="zh-CN"/>
      </w:rPr>
    </w:lvl>
    <w:lvl w:ilvl="1">
      <w:start w:val="1"/>
      <w:numFmt w:val="decimal"/>
      <w:lvlText w:val="%1.%2"/>
      <w:lvlJc w:val="left"/>
      <w:pPr>
        <w:ind w:left="1007" w:hanging="360"/>
        <w:jc w:val="left"/>
      </w:pPr>
      <w:rPr>
        <w:rFonts w:hint="default"/>
        <w:b/>
        <w:bCs/>
        <w:spacing w:val="15"/>
        <w:w w:val="99"/>
        <w:lang w:val="zh-CN" w:eastAsia="zh-CN" w:bidi="zh-CN"/>
      </w:rPr>
    </w:lvl>
    <w:lvl w:ilvl="2">
      <w:start w:val="1"/>
      <w:numFmt w:val="decimal"/>
      <w:lvlText w:val="%1.%2.%3"/>
      <w:lvlJc w:val="left"/>
      <w:pPr>
        <w:ind w:left="227" w:hanging="526"/>
        <w:jc w:val="left"/>
      </w:pPr>
      <w:rPr>
        <w:rFonts w:hint="default" w:ascii="宋体" w:hAnsi="宋体" w:eastAsia="宋体" w:cs="宋体"/>
        <w:spacing w:val="-3"/>
        <w:w w:val="100"/>
        <w:sz w:val="19"/>
        <w:szCs w:val="19"/>
        <w:lang w:val="zh-CN" w:eastAsia="zh-CN" w:bidi="zh-CN"/>
      </w:rPr>
    </w:lvl>
    <w:lvl w:ilvl="3">
      <w:start w:val="0"/>
      <w:numFmt w:val="bullet"/>
      <w:lvlText w:val="•"/>
      <w:lvlJc w:val="left"/>
      <w:pPr>
        <w:ind w:left="1320" w:hanging="526"/>
      </w:pPr>
      <w:rPr>
        <w:rFonts w:hint="default"/>
        <w:lang w:val="zh-CN" w:eastAsia="zh-CN" w:bidi="zh-CN"/>
      </w:rPr>
    </w:lvl>
    <w:lvl w:ilvl="4">
      <w:start w:val="0"/>
      <w:numFmt w:val="bullet"/>
      <w:lvlText w:val="•"/>
      <w:lvlJc w:val="left"/>
      <w:pPr>
        <w:ind w:left="2661" w:hanging="526"/>
      </w:pPr>
      <w:rPr>
        <w:rFonts w:hint="default"/>
        <w:lang w:val="zh-CN" w:eastAsia="zh-CN" w:bidi="zh-CN"/>
      </w:rPr>
    </w:lvl>
    <w:lvl w:ilvl="5">
      <w:start w:val="0"/>
      <w:numFmt w:val="bullet"/>
      <w:lvlText w:val="•"/>
      <w:lvlJc w:val="left"/>
      <w:pPr>
        <w:ind w:left="4002" w:hanging="526"/>
      </w:pPr>
      <w:rPr>
        <w:rFonts w:hint="default"/>
        <w:lang w:val="zh-CN" w:eastAsia="zh-CN" w:bidi="zh-CN"/>
      </w:rPr>
    </w:lvl>
    <w:lvl w:ilvl="6">
      <w:start w:val="0"/>
      <w:numFmt w:val="bullet"/>
      <w:lvlText w:val="•"/>
      <w:lvlJc w:val="left"/>
      <w:pPr>
        <w:ind w:left="5344" w:hanging="526"/>
      </w:pPr>
      <w:rPr>
        <w:rFonts w:hint="default"/>
        <w:lang w:val="zh-CN" w:eastAsia="zh-CN" w:bidi="zh-CN"/>
      </w:rPr>
    </w:lvl>
    <w:lvl w:ilvl="7">
      <w:start w:val="0"/>
      <w:numFmt w:val="bullet"/>
      <w:lvlText w:val="•"/>
      <w:lvlJc w:val="left"/>
      <w:pPr>
        <w:ind w:left="6685" w:hanging="526"/>
      </w:pPr>
      <w:rPr>
        <w:rFonts w:hint="default"/>
        <w:lang w:val="zh-CN" w:eastAsia="zh-CN" w:bidi="zh-CN"/>
      </w:rPr>
    </w:lvl>
    <w:lvl w:ilvl="8">
      <w:start w:val="0"/>
      <w:numFmt w:val="bullet"/>
      <w:lvlText w:val="•"/>
      <w:lvlJc w:val="left"/>
      <w:pPr>
        <w:ind w:left="8027" w:hanging="526"/>
      </w:pPr>
      <w:rPr>
        <w:rFonts w:hint="default"/>
        <w:lang w:val="zh-CN" w:eastAsia="zh-CN" w:bidi="zh-CN"/>
      </w:rPr>
    </w:lvl>
  </w:abstractNum>
  <w:abstractNum w:abstractNumId="85">
    <w:multiLevelType w:val="hybridMultilevel"/>
    <w:lvl w:ilvl="0">
      <w:start w:val="4"/>
      <w:numFmt w:val="decimal"/>
      <w:lvlText w:val="(%1)"/>
      <w:lvlJc w:val="left"/>
      <w:pPr>
        <w:ind w:left="227"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84">
    <w:multiLevelType w:val="hybridMultilevel"/>
    <w:lvl w:ilvl="0">
      <w:start w:val="1"/>
      <w:numFmt w:val="decimal"/>
      <w:lvlText w:val="(%1)"/>
      <w:lvlJc w:val="left"/>
      <w:pPr>
        <w:ind w:left="1068" w:hanging="361"/>
        <w:jc w:val="left"/>
      </w:pPr>
      <w:rPr>
        <w:rFonts w:hint="default" w:ascii="宋体" w:hAnsi="宋体" w:eastAsia="宋体" w:cs="宋体"/>
        <w:spacing w:val="-5"/>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83">
    <w:multiLevelType w:val="hybridMultilevel"/>
    <w:lvl w:ilvl="0">
      <w:start w:val="2"/>
      <w:numFmt w:val="decimal"/>
      <w:lvlText w:val="%1"/>
      <w:lvlJc w:val="left"/>
      <w:pPr>
        <w:ind w:left="1248" w:hanging="542"/>
        <w:jc w:val="left"/>
      </w:pPr>
      <w:rPr>
        <w:rFonts w:hint="default"/>
        <w:lang w:val="zh-CN" w:eastAsia="zh-CN" w:bidi="zh-CN"/>
      </w:rPr>
    </w:lvl>
    <w:lvl w:ilvl="1">
      <w:start w:val="2"/>
      <w:numFmt w:val="decimal"/>
      <w:lvlText w:val="%1.%2"/>
      <w:lvlJc w:val="left"/>
      <w:pPr>
        <w:ind w:left="1248" w:hanging="542"/>
        <w:jc w:val="left"/>
      </w:pPr>
      <w:rPr>
        <w:rFonts w:hint="default"/>
        <w:lang w:val="zh-CN" w:eastAsia="zh-CN" w:bidi="zh-CN"/>
      </w:rPr>
    </w:lvl>
    <w:lvl w:ilvl="2">
      <w:start w:val="3"/>
      <w:numFmt w:val="decimal"/>
      <w:lvlText w:val="%1.%2.%3."/>
      <w:lvlJc w:val="left"/>
      <w:pPr>
        <w:ind w:left="1248" w:hanging="542"/>
        <w:jc w:val="left"/>
      </w:pPr>
      <w:rPr>
        <w:rFonts w:hint="default" w:ascii="Calibri" w:hAnsi="Calibri" w:eastAsia="Calibri" w:cs="Calibri"/>
        <w:spacing w:val="-3"/>
        <w:w w:val="100"/>
        <w:sz w:val="22"/>
        <w:szCs w:val="22"/>
        <w:lang w:val="zh-CN" w:eastAsia="zh-CN" w:bidi="zh-CN"/>
      </w:rPr>
    </w:lvl>
    <w:lvl w:ilvl="3">
      <w:start w:val="0"/>
      <w:numFmt w:val="bullet"/>
      <w:lvlText w:val="•"/>
      <w:lvlJc w:val="left"/>
      <w:pPr>
        <w:ind w:left="4081" w:hanging="542"/>
      </w:pPr>
      <w:rPr>
        <w:rFonts w:hint="default"/>
        <w:lang w:val="zh-CN" w:eastAsia="zh-CN" w:bidi="zh-CN"/>
      </w:rPr>
    </w:lvl>
    <w:lvl w:ilvl="4">
      <w:start w:val="0"/>
      <w:numFmt w:val="bullet"/>
      <w:lvlText w:val="•"/>
      <w:lvlJc w:val="left"/>
      <w:pPr>
        <w:ind w:left="5028" w:hanging="542"/>
      </w:pPr>
      <w:rPr>
        <w:rFonts w:hint="default"/>
        <w:lang w:val="zh-CN" w:eastAsia="zh-CN" w:bidi="zh-CN"/>
      </w:rPr>
    </w:lvl>
    <w:lvl w:ilvl="5">
      <w:start w:val="0"/>
      <w:numFmt w:val="bullet"/>
      <w:lvlText w:val="•"/>
      <w:lvlJc w:val="left"/>
      <w:pPr>
        <w:ind w:left="5975" w:hanging="542"/>
      </w:pPr>
      <w:rPr>
        <w:rFonts w:hint="default"/>
        <w:lang w:val="zh-CN" w:eastAsia="zh-CN" w:bidi="zh-CN"/>
      </w:rPr>
    </w:lvl>
    <w:lvl w:ilvl="6">
      <w:start w:val="0"/>
      <w:numFmt w:val="bullet"/>
      <w:lvlText w:val="•"/>
      <w:lvlJc w:val="left"/>
      <w:pPr>
        <w:ind w:left="6922" w:hanging="542"/>
      </w:pPr>
      <w:rPr>
        <w:rFonts w:hint="default"/>
        <w:lang w:val="zh-CN" w:eastAsia="zh-CN" w:bidi="zh-CN"/>
      </w:rPr>
    </w:lvl>
    <w:lvl w:ilvl="7">
      <w:start w:val="0"/>
      <w:numFmt w:val="bullet"/>
      <w:lvlText w:val="•"/>
      <w:lvlJc w:val="left"/>
      <w:pPr>
        <w:ind w:left="7869" w:hanging="542"/>
      </w:pPr>
      <w:rPr>
        <w:rFonts w:hint="default"/>
        <w:lang w:val="zh-CN" w:eastAsia="zh-CN" w:bidi="zh-CN"/>
      </w:rPr>
    </w:lvl>
    <w:lvl w:ilvl="8">
      <w:start w:val="0"/>
      <w:numFmt w:val="bullet"/>
      <w:lvlText w:val="•"/>
      <w:lvlJc w:val="left"/>
      <w:pPr>
        <w:ind w:left="8816" w:hanging="542"/>
      </w:pPr>
      <w:rPr>
        <w:rFonts w:hint="default"/>
        <w:lang w:val="zh-CN" w:eastAsia="zh-CN" w:bidi="zh-CN"/>
      </w:rPr>
    </w:lvl>
  </w:abstractNum>
  <w:abstractNum w:abstractNumId="82">
    <w:multiLevelType w:val="hybridMultilevel"/>
    <w:lvl w:ilvl="0">
      <w:start w:val="2"/>
      <w:numFmt w:val="decimal"/>
      <w:lvlText w:val="%1"/>
      <w:lvlJc w:val="left"/>
      <w:pPr>
        <w:ind w:left="1068" w:hanging="361"/>
        <w:jc w:val="left"/>
      </w:pPr>
      <w:rPr>
        <w:rFonts w:hint="default"/>
        <w:lang w:val="zh-CN" w:eastAsia="zh-CN" w:bidi="zh-CN"/>
      </w:rPr>
    </w:lvl>
    <w:lvl w:ilvl="1">
      <w:start w:val="2"/>
      <w:numFmt w:val="decimal"/>
      <w:lvlText w:val="%1.%2"/>
      <w:lvlJc w:val="left"/>
      <w:pPr>
        <w:ind w:left="1068" w:hanging="361"/>
        <w:jc w:val="left"/>
      </w:pPr>
      <w:rPr>
        <w:rFonts w:hint="default" w:ascii="Calibri" w:hAnsi="Calibri" w:eastAsia="Calibri" w:cs="Calibri"/>
        <w:spacing w:val="-2"/>
        <w:w w:val="100"/>
        <w:sz w:val="24"/>
        <w:szCs w:val="24"/>
        <w:lang w:val="zh-CN" w:eastAsia="zh-CN" w:bidi="zh-CN"/>
      </w:rPr>
    </w:lvl>
    <w:lvl w:ilvl="2">
      <w:start w:val="1"/>
      <w:numFmt w:val="decimal"/>
      <w:lvlText w:val="%1.%2.%3"/>
      <w:lvlJc w:val="left"/>
      <w:pPr>
        <w:ind w:left="227" w:hanging="541"/>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3204" w:hanging="541"/>
      </w:pPr>
      <w:rPr>
        <w:rFonts w:hint="default"/>
        <w:lang w:val="zh-CN" w:eastAsia="zh-CN" w:bidi="zh-CN"/>
      </w:rPr>
    </w:lvl>
    <w:lvl w:ilvl="4">
      <w:start w:val="0"/>
      <w:numFmt w:val="bullet"/>
      <w:lvlText w:val="•"/>
      <w:lvlJc w:val="left"/>
      <w:pPr>
        <w:ind w:left="4276" w:hanging="541"/>
      </w:pPr>
      <w:rPr>
        <w:rFonts w:hint="default"/>
        <w:lang w:val="zh-CN" w:eastAsia="zh-CN" w:bidi="zh-CN"/>
      </w:rPr>
    </w:lvl>
    <w:lvl w:ilvl="5">
      <w:start w:val="0"/>
      <w:numFmt w:val="bullet"/>
      <w:lvlText w:val="•"/>
      <w:lvlJc w:val="left"/>
      <w:pPr>
        <w:ind w:left="5348" w:hanging="541"/>
      </w:pPr>
      <w:rPr>
        <w:rFonts w:hint="default"/>
        <w:lang w:val="zh-CN" w:eastAsia="zh-CN" w:bidi="zh-CN"/>
      </w:rPr>
    </w:lvl>
    <w:lvl w:ilvl="6">
      <w:start w:val="0"/>
      <w:numFmt w:val="bullet"/>
      <w:lvlText w:val="•"/>
      <w:lvlJc w:val="left"/>
      <w:pPr>
        <w:ind w:left="6421" w:hanging="541"/>
      </w:pPr>
      <w:rPr>
        <w:rFonts w:hint="default"/>
        <w:lang w:val="zh-CN" w:eastAsia="zh-CN" w:bidi="zh-CN"/>
      </w:rPr>
    </w:lvl>
    <w:lvl w:ilvl="7">
      <w:start w:val="0"/>
      <w:numFmt w:val="bullet"/>
      <w:lvlText w:val="•"/>
      <w:lvlJc w:val="left"/>
      <w:pPr>
        <w:ind w:left="7493" w:hanging="541"/>
      </w:pPr>
      <w:rPr>
        <w:rFonts w:hint="default"/>
        <w:lang w:val="zh-CN" w:eastAsia="zh-CN" w:bidi="zh-CN"/>
      </w:rPr>
    </w:lvl>
    <w:lvl w:ilvl="8">
      <w:start w:val="0"/>
      <w:numFmt w:val="bullet"/>
      <w:lvlText w:val="•"/>
      <w:lvlJc w:val="left"/>
      <w:pPr>
        <w:ind w:left="8565" w:hanging="541"/>
      </w:pPr>
      <w:rPr>
        <w:rFonts w:hint="default"/>
        <w:lang w:val="zh-CN" w:eastAsia="zh-CN" w:bidi="zh-CN"/>
      </w:rPr>
    </w:lvl>
  </w:abstractNum>
  <w:abstractNum w:abstractNumId="81">
    <w:multiLevelType w:val="hybridMultilevel"/>
    <w:lvl w:ilvl="0">
      <w:start w:val="2"/>
      <w:numFmt w:val="decimal"/>
      <w:lvlText w:val="%1"/>
      <w:lvlJc w:val="left"/>
      <w:pPr>
        <w:ind w:left="1488" w:hanging="782"/>
        <w:jc w:val="left"/>
      </w:pPr>
      <w:rPr>
        <w:rFonts w:hint="default"/>
        <w:lang w:val="zh-CN" w:eastAsia="zh-CN" w:bidi="zh-CN"/>
      </w:rPr>
    </w:lvl>
    <w:lvl w:ilvl="1">
      <w:start w:val="2"/>
      <w:numFmt w:val="decimal"/>
      <w:lvlText w:val="%1.%2"/>
      <w:lvlJc w:val="left"/>
      <w:pPr>
        <w:ind w:left="1488" w:hanging="782"/>
        <w:jc w:val="left"/>
      </w:pPr>
      <w:rPr>
        <w:rFonts w:hint="default"/>
        <w:lang w:val="zh-CN" w:eastAsia="zh-CN" w:bidi="zh-CN"/>
      </w:rPr>
    </w:lvl>
    <w:lvl w:ilvl="2">
      <w:start w:val="1"/>
      <w:numFmt w:val="decimal"/>
      <w:lvlText w:val="%1.%2.%3"/>
      <w:lvlJc w:val="left"/>
      <w:pPr>
        <w:ind w:left="1488" w:hanging="782"/>
        <w:jc w:val="left"/>
      </w:pPr>
      <w:rPr>
        <w:rFonts w:hint="default" w:ascii="Calibri" w:hAnsi="Calibri" w:eastAsia="Calibri" w:cs="Calibri"/>
        <w:spacing w:val="-27"/>
        <w:w w:val="100"/>
        <w:sz w:val="24"/>
        <w:szCs w:val="24"/>
        <w:lang w:val="zh-CN" w:eastAsia="zh-CN" w:bidi="zh-CN"/>
      </w:rPr>
    </w:lvl>
    <w:lvl w:ilvl="3">
      <w:start w:val="0"/>
      <w:numFmt w:val="bullet"/>
      <w:lvlText w:val="•"/>
      <w:lvlJc w:val="left"/>
      <w:pPr>
        <w:ind w:left="4249" w:hanging="782"/>
      </w:pPr>
      <w:rPr>
        <w:rFonts w:hint="default"/>
        <w:lang w:val="zh-CN" w:eastAsia="zh-CN" w:bidi="zh-CN"/>
      </w:rPr>
    </w:lvl>
    <w:lvl w:ilvl="4">
      <w:start w:val="0"/>
      <w:numFmt w:val="bullet"/>
      <w:lvlText w:val="•"/>
      <w:lvlJc w:val="left"/>
      <w:pPr>
        <w:ind w:left="5172" w:hanging="782"/>
      </w:pPr>
      <w:rPr>
        <w:rFonts w:hint="default"/>
        <w:lang w:val="zh-CN" w:eastAsia="zh-CN" w:bidi="zh-CN"/>
      </w:rPr>
    </w:lvl>
    <w:lvl w:ilvl="5">
      <w:start w:val="0"/>
      <w:numFmt w:val="bullet"/>
      <w:lvlText w:val="•"/>
      <w:lvlJc w:val="left"/>
      <w:pPr>
        <w:ind w:left="6095" w:hanging="782"/>
      </w:pPr>
      <w:rPr>
        <w:rFonts w:hint="default"/>
        <w:lang w:val="zh-CN" w:eastAsia="zh-CN" w:bidi="zh-CN"/>
      </w:rPr>
    </w:lvl>
    <w:lvl w:ilvl="6">
      <w:start w:val="0"/>
      <w:numFmt w:val="bullet"/>
      <w:lvlText w:val="•"/>
      <w:lvlJc w:val="left"/>
      <w:pPr>
        <w:ind w:left="7018" w:hanging="782"/>
      </w:pPr>
      <w:rPr>
        <w:rFonts w:hint="default"/>
        <w:lang w:val="zh-CN" w:eastAsia="zh-CN" w:bidi="zh-CN"/>
      </w:rPr>
    </w:lvl>
    <w:lvl w:ilvl="7">
      <w:start w:val="0"/>
      <w:numFmt w:val="bullet"/>
      <w:lvlText w:val="•"/>
      <w:lvlJc w:val="left"/>
      <w:pPr>
        <w:ind w:left="7941" w:hanging="782"/>
      </w:pPr>
      <w:rPr>
        <w:rFonts w:hint="default"/>
        <w:lang w:val="zh-CN" w:eastAsia="zh-CN" w:bidi="zh-CN"/>
      </w:rPr>
    </w:lvl>
    <w:lvl w:ilvl="8">
      <w:start w:val="0"/>
      <w:numFmt w:val="bullet"/>
      <w:lvlText w:val="•"/>
      <w:lvlJc w:val="left"/>
      <w:pPr>
        <w:ind w:left="8864" w:hanging="782"/>
      </w:pPr>
      <w:rPr>
        <w:rFonts w:hint="default"/>
        <w:lang w:val="zh-CN" w:eastAsia="zh-CN" w:bidi="zh-CN"/>
      </w:rPr>
    </w:lvl>
  </w:abstractNum>
  <w:abstractNum w:abstractNumId="80">
    <w:multiLevelType w:val="hybridMultilevel"/>
    <w:lvl w:ilvl="0">
      <w:start w:val="1"/>
      <w:numFmt w:val="decimal"/>
      <w:lvlText w:val="%1."/>
      <w:lvlJc w:val="left"/>
      <w:pPr>
        <w:ind w:left="527" w:hanging="300"/>
        <w:jc w:val="left"/>
      </w:pPr>
      <w:rPr>
        <w:rFonts w:hint="default" w:ascii="黑体" w:hAnsi="黑体" w:eastAsia="黑体" w:cs="黑体"/>
        <w:spacing w:val="7"/>
        <w:w w:val="101"/>
        <w:sz w:val="26"/>
        <w:szCs w:val="26"/>
        <w:lang w:val="zh-CN" w:eastAsia="zh-CN" w:bidi="zh-CN"/>
      </w:rPr>
    </w:lvl>
    <w:lvl w:ilvl="1">
      <w:start w:val="1"/>
      <w:numFmt w:val="decimal"/>
      <w:lvlText w:val="%1.%2"/>
      <w:lvlJc w:val="left"/>
      <w:pPr>
        <w:ind w:left="227" w:hanging="361"/>
        <w:jc w:val="left"/>
      </w:pPr>
      <w:rPr>
        <w:rFonts w:hint="default" w:ascii="Calibri" w:hAnsi="Calibri" w:eastAsia="Calibri" w:cs="Calibri"/>
        <w:spacing w:val="-2"/>
        <w:w w:val="100"/>
        <w:sz w:val="24"/>
        <w:szCs w:val="24"/>
        <w:lang w:val="zh-CN" w:eastAsia="zh-CN" w:bidi="zh-CN"/>
      </w:rPr>
    </w:lvl>
    <w:lvl w:ilvl="2">
      <w:start w:val="0"/>
      <w:numFmt w:val="bullet"/>
      <w:lvlText w:val="•"/>
      <w:lvlJc w:val="left"/>
      <w:pPr>
        <w:ind w:left="1060" w:hanging="361"/>
      </w:pPr>
      <w:rPr>
        <w:rFonts w:hint="default"/>
        <w:lang w:val="zh-CN" w:eastAsia="zh-CN" w:bidi="zh-CN"/>
      </w:rPr>
    </w:lvl>
    <w:lvl w:ilvl="3">
      <w:start w:val="0"/>
      <w:numFmt w:val="bullet"/>
      <w:lvlText w:val="•"/>
      <w:lvlJc w:val="left"/>
      <w:pPr>
        <w:ind w:left="2266" w:hanging="361"/>
      </w:pPr>
      <w:rPr>
        <w:rFonts w:hint="default"/>
        <w:lang w:val="zh-CN" w:eastAsia="zh-CN" w:bidi="zh-CN"/>
      </w:rPr>
    </w:lvl>
    <w:lvl w:ilvl="4">
      <w:start w:val="0"/>
      <w:numFmt w:val="bullet"/>
      <w:lvlText w:val="•"/>
      <w:lvlJc w:val="left"/>
      <w:pPr>
        <w:ind w:left="3472" w:hanging="361"/>
      </w:pPr>
      <w:rPr>
        <w:rFonts w:hint="default"/>
        <w:lang w:val="zh-CN" w:eastAsia="zh-CN" w:bidi="zh-CN"/>
      </w:rPr>
    </w:lvl>
    <w:lvl w:ilvl="5">
      <w:start w:val="0"/>
      <w:numFmt w:val="bullet"/>
      <w:lvlText w:val="•"/>
      <w:lvlJc w:val="left"/>
      <w:pPr>
        <w:ind w:left="4678" w:hanging="361"/>
      </w:pPr>
      <w:rPr>
        <w:rFonts w:hint="default"/>
        <w:lang w:val="zh-CN" w:eastAsia="zh-CN" w:bidi="zh-CN"/>
      </w:rPr>
    </w:lvl>
    <w:lvl w:ilvl="6">
      <w:start w:val="0"/>
      <w:numFmt w:val="bullet"/>
      <w:lvlText w:val="•"/>
      <w:lvlJc w:val="left"/>
      <w:pPr>
        <w:ind w:left="5885" w:hanging="361"/>
      </w:pPr>
      <w:rPr>
        <w:rFonts w:hint="default"/>
        <w:lang w:val="zh-CN" w:eastAsia="zh-CN" w:bidi="zh-CN"/>
      </w:rPr>
    </w:lvl>
    <w:lvl w:ilvl="7">
      <w:start w:val="0"/>
      <w:numFmt w:val="bullet"/>
      <w:lvlText w:val="•"/>
      <w:lvlJc w:val="left"/>
      <w:pPr>
        <w:ind w:left="7091" w:hanging="361"/>
      </w:pPr>
      <w:rPr>
        <w:rFonts w:hint="default"/>
        <w:lang w:val="zh-CN" w:eastAsia="zh-CN" w:bidi="zh-CN"/>
      </w:rPr>
    </w:lvl>
    <w:lvl w:ilvl="8">
      <w:start w:val="0"/>
      <w:numFmt w:val="bullet"/>
      <w:lvlText w:val="•"/>
      <w:lvlJc w:val="left"/>
      <w:pPr>
        <w:ind w:left="8297" w:hanging="361"/>
      </w:pPr>
      <w:rPr>
        <w:rFonts w:hint="default"/>
        <w:lang w:val="zh-CN" w:eastAsia="zh-CN" w:bidi="zh-CN"/>
      </w:rPr>
    </w:lvl>
  </w:abstractNum>
  <w:abstractNum w:abstractNumId="79">
    <w:multiLevelType w:val="hybridMultilevel"/>
    <w:lvl w:ilvl="0">
      <w:start w:val="4"/>
      <w:numFmt w:val="decimal"/>
      <w:lvlText w:val="%1."/>
      <w:lvlJc w:val="left"/>
      <w:pPr>
        <w:ind w:left="1008" w:hanging="182"/>
        <w:jc w:val="left"/>
      </w:pPr>
      <w:rPr>
        <w:rFonts w:hint="default" w:ascii="Calibri" w:hAnsi="Calibri" w:eastAsia="Calibri" w:cs="Calibri"/>
        <w:spacing w:val="-2"/>
        <w:w w:val="100"/>
        <w:sz w:val="22"/>
        <w:szCs w:val="22"/>
        <w:lang w:val="zh-CN" w:eastAsia="zh-CN" w:bidi="zh-CN"/>
      </w:rPr>
    </w:lvl>
    <w:lvl w:ilvl="1">
      <w:start w:val="0"/>
      <w:numFmt w:val="bullet"/>
      <w:lvlText w:val="•"/>
      <w:lvlJc w:val="left"/>
      <w:pPr>
        <w:ind w:left="1971" w:hanging="182"/>
      </w:pPr>
      <w:rPr>
        <w:rFonts w:hint="default"/>
        <w:lang w:val="zh-CN" w:eastAsia="zh-CN" w:bidi="zh-CN"/>
      </w:rPr>
    </w:lvl>
    <w:lvl w:ilvl="2">
      <w:start w:val="0"/>
      <w:numFmt w:val="bullet"/>
      <w:lvlText w:val="•"/>
      <w:lvlJc w:val="left"/>
      <w:pPr>
        <w:ind w:left="2942" w:hanging="182"/>
      </w:pPr>
      <w:rPr>
        <w:rFonts w:hint="default"/>
        <w:lang w:val="zh-CN" w:eastAsia="zh-CN" w:bidi="zh-CN"/>
      </w:rPr>
    </w:lvl>
    <w:lvl w:ilvl="3">
      <w:start w:val="0"/>
      <w:numFmt w:val="bullet"/>
      <w:lvlText w:val="•"/>
      <w:lvlJc w:val="left"/>
      <w:pPr>
        <w:ind w:left="3913" w:hanging="182"/>
      </w:pPr>
      <w:rPr>
        <w:rFonts w:hint="default"/>
        <w:lang w:val="zh-CN" w:eastAsia="zh-CN" w:bidi="zh-CN"/>
      </w:rPr>
    </w:lvl>
    <w:lvl w:ilvl="4">
      <w:start w:val="0"/>
      <w:numFmt w:val="bullet"/>
      <w:lvlText w:val="•"/>
      <w:lvlJc w:val="left"/>
      <w:pPr>
        <w:ind w:left="4884" w:hanging="182"/>
      </w:pPr>
      <w:rPr>
        <w:rFonts w:hint="default"/>
        <w:lang w:val="zh-CN" w:eastAsia="zh-CN" w:bidi="zh-CN"/>
      </w:rPr>
    </w:lvl>
    <w:lvl w:ilvl="5">
      <w:start w:val="0"/>
      <w:numFmt w:val="bullet"/>
      <w:lvlText w:val="•"/>
      <w:lvlJc w:val="left"/>
      <w:pPr>
        <w:ind w:left="5855" w:hanging="182"/>
      </w:pPr>
      <w:rPr>
        <w:rFonts w:hint="default"/>
        <w:lang w:val="zh-CN" w:eastAsia="zh-CN" w:bidi="zh-CN"/>
      </w:rPr>
    </w:lvl>
    <w:lvl w:ilvl="6">
      <w:start w:val="0"/>
      <w:numFmt w:val="bullet"/>
      <w:lvlText w:val="•"/>
      <w:lvlJc w:val="left"/>
      <w:pPr>
        <w:ind w:left="6826" w:hanging="182"/>
      </w:pPr>
      <w:rPr>
        <w:rFonts w:hint="default"/>
        <w:lang w:val="zh-CN" w:eastAsia="zh-CN" w:bidi="zh-CN"/>
      </w:rPr>
    </w:lvl>
    <w:lvl w:ilvl="7">
      <w:start w:val="0"/>
      <w:numFmt w:val="bullet"/>
      <w:lvlText w:val="•"/>
      <w:lvlJc w:val="left"/>
      <w:pPr>
        <w:ind w:left="7797" w:hanging="182"/>
      </w:pPr>
      <w:rPr>
        <w:rFonts w:hint="default"/>
        <w:lang w:val="zh-CN" w:eastAsia="zh-CN" w:bidi="zh-CN"/>
      </w:rPr>
    </w:lvl>
    <w:lvl w:ilvl="8">
      <w:start w:val="0"/>
      <w:numFmt w:val="bullet"/>
      <w:lvlText w:val="•"/>
      <w:lvlJc w:val="left"/>
      <w:pPr>
        <w:ind w:left="8768" w:hanging="182"/>
      </w:pPr>
      <w:rPr>
        <w:rFonts w:hint="default"/>
        <w:lang w:val="zh-CN" w:eastAsia="zh-CN" w:bidi="zh-CN"/>
      </w:rPr>
    </w:lvl>
  </w:abstractNum>
  <w:abstractNum w:abstractNumId="78">
    <w:multiLevelType w:val="hybridMultilevel"/>
    <w:lvl w:ilvl="0">
      <w:start w:val="7"/>
      <w:numFmt w:val="decimal"/>
      <w:lvlText w:val="(%1)"/>
      <w:lvlJc w:val="left"/>
      <w:pPr>
        <w:ind w:left="1188" w:hanging="36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33" w:hanging="361"/>
      </w:pPr>
      <w:rPr>
        <w:rFonts w:hint="default"/>
        <w:lang w:val="zh-CN" w:eastAsia="zh-CN" w:bidi="zh-CN"/>
      </w:rPr>
    </w:lvl>
    <w:lvl w:ilvl="2">
      <w:start w:val="0"/>
      <w:numFmt w:val="bullet"/>
      <w:lvlText w:val="•"/>
      <w:lvlJc w:val="left"/>
      <w:pPr>
        <w:ind w:left="3086" w:hanging="361"/>
      </w:pPr>
      <w:rPr>
        <w:rFonts w:hint="default"/>
        <w:lang w:val="zh-CN" w:eastAsia="zh-CN" w:bidi="zh-CN"/>
      </w:rPr>
    </w:lvl>
    <w:lvl w:ilvl="3">
      <w:start w:val="0"/>
      <w:numFmt w:val="bullet"/>
      <w:lvlText w:val="•"/>
      <w:lvlJc w:val="left"/>
      <w:pPr>
        <w:ind w:left="4039" w:hanging="361"/>
      </w:pPr>
      <w:rPr>
        <w:rFonts w:hint="default"/>
        <w:lang w:val="zh-CN" w:eastAsia="zh-CN" w:bidi="zh-CN"/>
      </w:rPr>
    </w:lvl>
    <w:lvl w:ilvl="4">
      <w:start w:val="0"/>
      <w:numFmt w:val="bullet"/>
      <w:lvlText w:val="•"/>
      <w:lvlJc w:val="left"/>
      <w:pPr>
        <w:ind w:left="4992" w:hanging="361"/>
      </w:pPr>
      <w:rPr>
        <w:rFonts w:hint="default"/>
        <w:lang w:val="zh-CN" w:eastAsia="zh-CN" w:bidi="zh-CN"/>
      </w:rPr>
    </w:lvl>
    <w:lvl w:ilvl="5">
      <w:start w:val="0"/>
      <w:numFmt w:val="bullet"/>
      <w:lvlText w:val="•"/>
      <w:lvlJc w:val="left"/>
      <w:pPr>
        <w:ind w:left="5945" w:hanging="361"/>
      </w:pPr>
      <w:rPr>
        <w:rFonts w:hint="default"/>
        <w:lang w:val="zh-CN" w:eastAsia="zh-CN" w:bidi="zh-CN"/>
      </w:rPr>
    </w:lvl>
    <w:lvl w:ilvl="6">
      <w:start w:val="0"/>
      <w:numFmt w:val="bullet"/>
      <w:lvlText w:val="•"/>
      <w:lvlJc w:val="left"/>
      <w:pPr>
        <w:ind w:left="6898" w:hanging="361"/>
      </w:pPr>
      <w:rPr>
        <w:rFonts w:hint="default"/>
        <w:lang w:val="zh-CN" w:eastAsia="zh-CN" w:bidi="zh-CN"/>
      </w:rPr>
    </w:lvl>
    <w:lvl w:ilvl="7">
      <w:start w:val="0"/>
      <w:numFmt w:val="bullet"/>
      <w:lvlText w:val="•"/>
      <w:lvlJc w:val="left"/>
      <w:pPr>
        <w:ind w:left="7851" w:hanging="361"/>
      </w:pPr>
      <w:rPr>
        <w:rFonts w:hint="default"/>
        <w:lang w:val="zh-CN" w:eastAsia="zh-CN" w:bidi="zh-CN"/>
      </w:rPr>
    </w:lvl>
    <w:lvl w:ilvl="8">
      <w:start w:val="0"/>
      <w:numFmt w:val="bullet"/>
      <w:lvlText w:val="•"/>
      <w:lvlJc w:val="left"/>
      <w:pPr>
        <w:ind w:left="8804" w:hanging="361"/>
      </w:pPr>
      <w:rPr>
        <w:rFonts w:hint="default"/>
        <w:lang w:val="zh-CN" w:eastAsia="zh-CN" w:bidi="zh-CN"/>
      </w:rPr>
    </w:lvl>
  </w:abstractNum>
  <w:abstractNum w:abstractNumId="77">
    <w:multiLevelType w:val="hybridMultilevel"/>
    <w:lvl w:ilvl="0">
      <w:start w:val="4"/>
      <w:numFmt w:val="decimal"/>
      <w:lvlText w:val="(%1)"/>
      <w:lvlJc w:val="left"/>
      <w:pPr>
        <w:ind w:left="1188" w:hanging="36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133" w:hanging="361"/>
      </w:pPr>
      <w:rPr>
        <w:rFonts w:hint="default"/>
        <w:lang w:val="zh-CN" w:eastAsia="zh-CN" w:bidi="zh-CN"/>
      </w:rPr>
    </w:lvl>
    <w:lvl w:ilvl="2">
      <w:start w:val="0"/>
      <w:numFmt w:val="bullet"/>
      <w:lvlText w:val="•"/>
      <w:lvlJc w:val="left"/>
      <w:pPr>
        <w:ind w:left="3086" w:hanging="361"/>
      </w:pPr>
      <w:rPr>
        <w:rFonts w:hint="default"/>
        <w:lang w:val="zh-CN" w:eastAsia="zh-CN" w:bidi="zh-CN"/>
      </w:rPr>
    </w:lvl>
    <w:lvl w:ilvl="3">
      <w:start w:val="0"/>
      <w:numFmt w:val="bullet"/>
      <w:lvlText w:val="•"/>
      <w:lvlJc w:val="left"/>
      <w:pPr>
        <w:ind w:left="4039" w:hanging="361"/>
      </w:pPr>
      <w:rPr>
        <w:rFonts w:hint="default"/>
        <w:lang w:val="zh-CN" w:eastAsia="zh-CN" w:bidi="zh-CN"/>
      </w:rPr>
    </w:lvl>
    <w:lvl w:ilvl="4">
      <w:start w:val="0"/>
      <w:numFmt w:val="bullet"/>
      <w:lvlText w:val="•"/>
      <w:lvlJc w:val="left"/>
      <w:pPr>
        <w:ind w:left="4992" w:hanging="361"/>
      </w:pPr>
      <w:rPr>
        <w:rFonts w:hint="default"/>
        <w:lang w:val="zh-CN" w:eastAsia="zh-CN" w:bidi="zh-CN"/>
      </w:rPr>
    </w:lvl>
    <w:lvl w:ilvl="5">
      <w:start w:val="0"/>
      <w:numFmt w:val="bullet"/>
      <w:lvlText w:val="•"/>
      <w:lvlJc w:val="left"/>
      <w:pPr>
        <w:ind w:left="5945" w:hanging="361"/>
      </w:pPr>
      <w:rPr>
        <w:rFonts w:hint="default"/>
        <w:lang w:val="zh-CN" w:eastAsia="zh-CN" w:bidi="zh-CN"/>
      </w:rPr>
    </w:lvl>
    <w:lvl w:ilvl="6">
      <w:start w:val="0"/>
      <w:numFmt w:val="bullet"/>
      <w:lvlText w:val="•"/>
      <w:lvlJc w:val="left"/>
      <w:pPr>
        <w:ind w:left="6898" w:hanging="361"/>
      </w:pPr>
      <w:rPr>
        <w:rFonts w:hint="default"/>
        <w:lang w:val="zh-CN" w:eastAsia="zh-CN" w:bidi="zh-CN"/>
      </w:rPr>
    </w:lvl>
    <w:lvl w:ilvl="7">
      <w:start w:val="0"/>
      <w:numFmt w:val="bullet"/>
      <w:lvlText w:val="•"/>
      <w:lvlJc w:val="left"/>
      <w:pPr>
        <w:ind w:left="7851" w:hanging="361"/>
      </w:pPr>
      <w:rPr>
        <w:rFonts w:hint="default"/>
        <w:lang w:val="zh-CN" w:eastAsia="zh-CN" w:bidi="zh-CN"/>
      </w:rPr>
    </w:lvl>
    <w:lvl w:ilvl="8">
      <w:start w:val="0"/>
      <w:numFmt w:val="bullet"/>
      <w:lvlText w:val="•"/>
      <w:lvlJc w:val="left"/>
      <w:pPr>
        <w:ind w:left="8804" w:hanging="361"/>
      </w:pPr>
      <w:rPr>
        <w:rFonts w:hint="default"/>
        <w:lang w:val="zh-CN" w:eastAsia="zh-CN" w:bidi="zh-CN"/>
      </w:rPr>
    </w:lvl>
  </w:abstractNum>
  <w:abstractNum w:abstractNumId="76">
    <w:multiLevelType w:val="hybridMultilevel"/>
    <w:lvl w:ilvl="0">
      <w:start w:val="16"/>
      <w:numFmt w:val="decimal"/>
      <w:lvlText w:val="%1"/>
      <w:lvlJc w:val="left"/>
      <w:pPr>
        <w:ind w:left="617" w:hanging="391"/>
        <w:jc w:val="left"/>
      </w:pPr>
      <w:rPr>
        <w:rFonts w:hint="default" w:ascii="黑体" w:hAnsi="黑体" w:eastAsia="黑体" w:cs="黑体"/>
        <w:b/>
        <w:bCs/>
        <w:spacing w:val="0"/>
        <w:w w:val="100"/>
        <w:sz w:val="28"/>
        <w:szCs w:val="28"/>
        <w:lang w:val="zh-CN" w:eastAsia="zh-CN" w:bidi="zh-CN"/>
      </w:rPr>
    </w:lvl>
    <w:lvl w:ilvl="1">
      <w:start w:val="1"/>
      <w:numFmt w:val="decimal"/>
      <w:lvlText w:val="%2."/>
      <w:lvlJc w:val="left"/>
      <w:pPr>
        <w:ind w:left="827" w:hanging="182"/>
        <w:jc w:val="left"/>
      </w:pPr>
      <w:rPr>
        <w:rFonts w:hint="default" w:ascii="Calibri" w:hAnsi="Calibri" w:eastAsia="Calibri" w:cs="Calibri"/>
        <w:spacing w:val="-2"/>
        <w:w w:val="100"/>
        <w:sz w:val="22"/>
        <w:szCs w:val="22"/>
        <w:lang w:val="zh-CN" w:eastAsia="zh-CN" w:bidi="zh-CN"/>
      </w:rPr>
    </w:lvl>
    <w:lvl w:ilvl="2">
      <w:start w:val="0"/>
      <w:numFmt w:val="bullet"/>
      <w:lvlText w:val="•"/>
      <w:lvlJc w:val="left"/>
      <w:pPr>
        <w:ind w:left="1918" w:hanging="182"/>
      </w:pPr>
      <w:rPr>
        <w:rFonts w:hint="default"/>
        <w:lang w:val="zh-CN" w:eastAsia="zh-CN" w:bidi="zh-CN"/>
      </w:rPr>
    </w:lvl>
    <w:lvl w:ilvl="3">
      <w:start w:val="0"/>
      <w:numFmt w:val="bullet"/>
      <w:lvlText w:val="•"/>
      <w:lvlJc w:val="left"/>
      <w:pPr>
        <w:ind w:left="3017" w:hanging="182"/>
      </w:pPr>
      <w:rPr>
        <w:rFonts w:hint="default"/>
        <w:lang w:val="zh-CN" w:eastAsia="zh-CN" w:bidi="zh-CN"/>
      </w:rPr>
    </w:lvl>
    <w:lvl w:ilvl="4">
      <w:start w:val="0"/>
      <w:numFmt w:val="bullet"/>
      <w:lvlText w:val="•"/>
      <w:lvlJc w:val="left"/>
      <w:pPr>
        <w:ind w:left="4116" w:hanging="182"/>
      </w:pPr>
      <w:rPr>
        <w:rFonts w:hint="default"/>
        <w:lang w:val="zh-CN" w:eastAsia="zh-CN" w:bidi="zh-CN"/>
      </w:rPr>
    </w:lvl>
    <w:lvl w:ilvl="5">
      <w:start w:val="0"/>
      <w:numFmt w:val="bullet"/>
      <w:lvlText w:val="•"/>
      <w:lvlJc w:val="left"/>
      <w:pPr>
        <w:ind w:left="5215" w:hanging="182"/>
      </w:pPr>
      <w:rPr>
        <w:rFonts w:hint="default"/>
        <w:lang w:val="zh-CN" w:eastAsia="zh-CN" w:bidi="zh-CN"/>
      </w:rPr>
    </w:lvl>
    <w:lvl w:ilvl="6">
      <w:start w:val="0"/>
      <w:numFmt w:val="bullet"/>
      <w:lvlText w:val="•"/>
      <w:lvlJc w:val="left"/>
      <w:pPr>
        <w:ind w:left="6314" w:hanging="182"/>
      </w:pPr>
      <w:rPr>
        <w:rFonts w:hint="default"/>
        <w:lang w:val="zh-CN" w:eastAsia="zh-CN" w:bidi="zh-CN"/>
      </w:rPr>
    </w:lvl>
    <w:lvl w:ilvl="7">
      <w:start w:val="0"/>
      <w:numFmt w:val="bullet"/>
      <w:lvlText w:val="•"/>
      <w:lvlJc w:val="left"/>
      <w:pPr>
        <w:ind w:left="7413" w:hanging="182"/>
      </w:pPr>
      <w:rPr>
        <w:rFonts w:hint="default"/>
        <w:lang w:val="zh-CN" w:eastAsia="zh-CN" w:bidi="zh-CN"/>
      </w:rPr>
    </w:lvl>
    <w:lvl w:ilvl="8">
      <w:start w:val="0"/>
      <w:numFmt w:val="bullet"/>
      <w:lvlText w:val="•"/>
      <w:lvlJc w:val="left"/>
      <w:pPr>
        <w:ind w:left="8512" w:hanging="182"/>
      </w:pPr>
      <w:rPr>
        <w:rFonts w:hint="default"/>
        <w:lang w:val="zh-CN" w:eastAsia="zh-CN" w:bidi="zh-CN"/>
      </w:rPr>
    </w:lvl>
  </w:abstractNum>
  <w:abstractNum w:abstractNumId="75">
    <w:multiLevelType w:val="hybridMultilevel"/>
    <w:lvl w:ilvl="0">
      <w:start w:val="1"/>
      <w:numFmt w:val="decimal"/>
      <w:lvlText w:val="(%1)"/>
      <w:lvlJc w:val="left"/>
      <w:pPr>
        <w:ind w:left="227" w:hanging="361"/>
        <w:jc w:val="right"/>
      </w:pPr>
      <w:rPr>
        <w:rFonts w:hint="default" w:ascii="宋体" w:hAnsi="宋体" w:eastAsia="宋体" w:cs="宋体"/>
        <w:spacing w:val="-19"/>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74">
    <w:multiLevelType w:val="hybridMultilevel"/>
    <w:lvl w:ilvl="0">
      <w:start w:val="6"/>
      <w:numFmt w:val="decimal"/>
      <w:lvlText w:val="%1"/>
      <w:lvlJc w:val="left"/>
      <w:pPr>
        <w:ind w:left="467" w:hanging="240"/>
        <w:jc w:val="left"/>
      </w:pPr>
      <w:rPr>
        <w:rFonts w:hint="default" w:ascii="黑体" w:hAnsi="黑体" w:eastAsia="黑体" w:cs="黑体"/>
        <w:b/>
        <w:bCs/>
        <w:w w:val="100"/>
        <w:sz w:val="28"/>
        <w:szCs w:val="28"/>
        <w:lang w:val="zh-CN" w:eastAsia="zh-CN" w:bidi="zh-CN"/>
      </w:rPr>
    </w:lvl>
    <w:lvl w:ilvl="1">
      <w:start w:val="0"/>
      <w:numFmt w:val="bullet"/>
      <w:lvlText w:val="•"/>
      <w:lvlJc w:val="left"/>
      <w:pPr>
        <w:ind w:left="1485" w:hanging="240"/>
      </w:pPr>
      <w:rPr>
        <w:rFonts w:hint="default"/>
        <w:lang w:val="zh-CN" w:eastAsia="zh-CN" w:bidi="zh-CN"/>
      </w:rPr>
    </w:lvl>
    <w:lvl w:ilvl="2">
      <w:start w:val="0"/>
      <w:numFmt w:val="bullet"/>
      <w:lvlText w:val="•"/>
      <w:lvlJc w:val="left"/>
      <w:pPr>
        <w:ind w:left="2510" w:hanging="240"/>
      </w:pPr>
      <w:rPr>
        <w:rFonts w:hint="default"/>
        <w:lang w:val="zh-CN" w:eastAsia="zh-CN" w:bidi="zh-CN"/>
      </w:rPr>
    </w:lvl>
    <w:lvl w:ilvl="3">
      <w:start w:val="0"/>
      <w:numFmt w:val="bullet"/>
      <w:lvlText w:val="•"/>
      <w:lvlJc w:val="left"/>
      <w:pPr>
        <w:ind w:left="3535" w:hanging="240"/>
      </w:pPr>
      <w:rPr>
        <w:rFonts w:hint="default"/>
        <w:lang w:val="zh-CN" w:eastAsia="zh-CN" w:bidi="zh-CN"/>
      </w:rPr>
    </w:lvl>
    <w:lvl w:ilvl="4">
      <w:start w:val="0"/>
      <w:numFmt w:val="bullet"/>
      <w:lvlText w:val="•"/>
      <w:lvlJc w:val="left"/>
      <w:pPr>
        <w:ind w:left="4560" w:hanging="240"/>
      </w:pPr>
      <w:rPr>
        <w:rFonts w:hint="default"/>
        <w:lang w:val="zh-CN" w:eastAsia="zh-CN" w:bidi="zh-CN"/>
      </w:rPr>
    </w:lvl>
    <w:lvl w:ilvl="5">
      <w:start w:val="0"/>
      <w:numFmt w:val="bullet"/>
      <w:lvlText w:val="•"/>
      <w:lvlJc w:val="left"/>
      <w:pPr>
        <w:ind w:left="5585" w:hanging="240"/>
      </w:pPr>
      <w:rPr>
        <w:rFonts w:hint="default"/>
        <w:lang w:val="zh-CN" w:eastAsia="zh-CN" w:bidi="zh-CN"/>
      </w:rPr>
    </w:lvl>
    <w:lvl w:ilvl="6">
      <w:start w:val="0"/>
      <w:numFmt w:val="bullet"/>
      <w:lvlText w:val="•"/>
      <w:lvlJc w:val="left"/>
      <w:pPr>
        <w:ind w:left="6610" w:hanging="240"/>
      </w:pPr>
      <w:rPr>
        <w:rFonts w:hint="default"/>
        <w:lang w:val="zh-CN" w:eastAsia="zh-CN" w:bidi="zh-CN"/>
      </w:rPr>
    </w:lvl>
    <w:lvl w:ilvl="7">
      <w:start w:val="0"/>
      <w:numFmt w:val="bullet"/>
      <w:lvlText w:val="•"/>
      <w:lvlJc w:val="left"/>
      <w:pPr>
        <w:ind w:left="7635" w:hanging="240"/>
      </w:pPr>
      <w:rPr>
        <w:rFonts w:hint="default"/>
        <w:lang w:val="zh-CN" w:eastAsia="zh-CN" w:bidi="zh-CN"/>
      </w:rPr>
    </w:lvl>
    <w:lvl w:ilvl="8">
      <w:start w:val="0"/>
      <w:numFmt w:val="bullet"/>
      <w:lvlText w:val="•"/>
      <w:lvlJc w:val="left"/>
      <w:pPr>
        <w:ind w:left="8660" w:hanging="240"/>
      </w:pPr>
      <w:rPr>
        <w:rFonts w:hint="default"/>
        <w:lang w:val="zh-CN" w:eastAsia="zh-CN" w:bidi="zh-CN"/>
      </w:rPr>
    </w:lvl>
  </w:abstractNum>
  <w:abstractNum w:abstractNumId="73">
    <w:multiLevelType w:val="hybridMultilevel"/>
    <w:lvl w:ilvl="0">
      <w:start w:val="4"/>
      <w:numFmt w:val="decimal"/>
      <w:lvlText w:val="%1"/>
      <w:lvlJc w:val="left"/>
      <w:pPr>
        <w:ind w:left="480" w:hanging="481"/>
        <w:jc w:val="left"/>
      </w:pPr>
      <w:rPr>
        <w:rFonts w:hint="default"/>
        <w:lang w:val="zh-CN" w:eastAsia="zh-CN" w:bidi="zh-CN"/>
      </w:rPr>
    </w:lvl>
    <w:lvl w:ilvl="1">
      <w:start w:val="11"/>
      <w:numFmt w:val="decimal"/>
      <w:lvlText w:val="%1.%2"/>
      <w:lvlJc w:val="left"/>
      <w:pPr>
        <w:ind w:left="480" w:hanging="481"/>
        <w:jc w:val="left"/>
      </w:pPr>
      <w:rPr>
        <w:rFonts w:hint="default" w:ascii="Calibri" w:hAnsi="Calibri" w:eastAsia="Calibri" w:cs="Calibri"/>
        <w:spacing w:val="-3"/>
        <w:w w:val="100"/>
        <w:sz w:val="24"/>
        <w:szCs w:val="24"/>
        <w:lang w:val="zh-CN" w:eastAsia="zh-CN" w:bidi="zh-CN"/>
      </w:rPr>
    </w:lvl>
    <w:lvl w:ilvl="2">
      <w:start w:val="1"/>
      <w:numFmt w:val="decimal"/>
      <w:lvlText w:val="%1.%2.%3"/>
      <w:lvlJc w:val="left"/>
      <w:pPr>
        <w:ind w:left="661" w:hanging="662"/>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2027" w:hanging="662"/>
      </w:pPr>
      <w:rPr>
        <w:rFonts w:hint="default"/>
        <w:lang w:val="zh-CN" w:eastAsia="zh-CN" w:bidi="zh-CN"/>
      </w:rPr>
    </w:lvl>
    <w:lvl w:ilvl="4">
      <w:start w:val="0"/>
      <w:numFmt w:val="bullet"/>
      <w:lvlText w:val="•"/>
      <w:lvlJc w:val="left"/>
      <w:pPr>
        <w:ind w:left="2711" w:hanging="662"/>
      </w:pPr>
      <w:rPr>
        <w:rFonts w:hint="default"/>
        <w:lang w:val="zh-CN" w:eastAsia="zh-CN" w:bidi="zh-CN"/>
      </w:rPr>
    </w:lvl>
    <w:lvl w:ilvl="5">
      <w:start w:val="0"/>
      <w:numFmt w:val="bullet"/>
      <w:lvlText w:val="•"/>
      <w:lvlJc w:val="left"/>
      <w:pPr>
        <w:ind w:left="3394" w:hanging="662"/>
      </w:pPr>
      <w:rPr>
        <w:rFonts w:hint="default"/>
        <w:lang w:val="zh-CN" w:eastAsia="zh-CN" w:bidi="zh-CN"/>
      </w:rPr>
    </w:lvl>
    <w:lvl w:ilvl="6">
      <w:start w:val="0"/>
      <w:numFmt w:val="bullet"/>
      <w:lvlText w:val="•"/>
      <w:lvlJc w:val="left"/>
      <w:pPr>
        <w:ind w:left="4078" w:hanging="662"/>
      </w:pPr>
      <w:rPr>
        <w:rFonts w:hint="default"/>
        <w:lang w:val="zh-CN" w:eastAsia="zh-CN" w:bidi="zh-CN"/>
      </w:rPr>
    </w:lvl>
    <w:lvl w:ilvl="7">
      <w:start w:val="0"/>
      <w:numFmt w:val="bullet"/>
      <w:lvlText w:val="•"/>
      <w:lvlJc w:val="left"/>
      <w:pPr>
        <w:ind w:left="4762" w:hanging="662"/>
      </w:pPr>
      <w:rPr>
        <w:rFonts w:hint="default"/>
        <w:lang w:val="zh-CN" w:eastAsia="zh-CN" w:bidi="zh-CN"/>
      </w:rPr>
    </w:lvl>
    <w:lvl w:ilvl="8">
      <w:start w:val="0"/>
      <w:numFmt w:val="bullet"/>
      <w:lvlText w:val="•"/>
      <w:lvlJc w:val="left"/>
      <w:pPr>
        <w:ind w:left="5446" w:hanging="662"/>
      </w:pPr>
      <w:rPr>
        <w:rFonts w:hint="default"/>
        <w:lang w:val="zh-CN" w:eastAsia="zh-CN" w:bidi="zh-CN"/>
      </w:rPr>
    </w:lvl>
  </w:abstractNum>
  <w:abstractNum w:abstractNumId="72">
    <w:multiLevelType w:val="hybridMultilevel"/>
    <w:lvl w:ilvl="0">
      <w:start w:val="2"/>
      <w:numFmt w:val="decimal"/>
      <w:lvlText w:val="%1"/>
      <w:lvlJc w:val="left"/>
      <w:pPr>
        <w:ind w:left="1248" w:hanging="541"/>
        <w:jc w:val="left"/>
      </w:pPr>
      <w:rPr>
        <w:rFonts w:hint="default"/>
        <w:lang w:val="zh-CN" w:eastAsia="zh-CN" w:bidi="zh-CN"/>
      </w:rPr>
    </w:lvl>
    <w:lvl w:ilvl="1">
      <w:start w:val="3"/>
      <w:numFmt w:val="decimal"/>
      <w:lvlText w:val="%1.%2"/>
      <w:lvlJc w:val="left"/>
      <w:pPr>
        <w:ind w:left="1248" w:hanging="541"/>
        <w:jc w:val="left"/>
      </w:pPr>
      <w:rPr>
        <w:rFonts w:hint="default"/>
        <w:lang w:val="zh-CN" w:eastAsia="zh-CN" w:bidi="zh-CN"/>
      </w:rPr>
    </w:lvl>
    <w:lvl w:ilvl="2">
      <w:start w:val="2"/>
      <w:numFmt w:val="decimal"/>
      <w:lvlText w:val="%1.%2.%3"/>
      <w:lvlJc w:val="left"/>
      <w:pPr>
        <w:ind w:left="1248" w:hanging="541"/>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4081" w:hanging="541"/>
      </w:pPr>
      <w:rPr>
        <w:rFonts w:hint="default"/>
        <w:lang w:val="zh-CN" w:eastAsia="zh-CN" w:bidi="zh-CN"/>
      </w:rPr>
    </w:lvl>
    <w:lvl w:ilvl="4">
      <w:start w:val="0"/>
      <w:numFmt w:val="bullet"/>
      <w:lvlText w:val="•"/>
      <w:lvlJc w:val="left"/>
      <w:pPr>
        <w:ind w:left="5028" w:hanging="541"/>
      </w:pPr>
      <w:rPr>
        <w:rFonts w:hint="default"/>
        <w:lang w:val="zh-CN" w:eastAsia="zh-CN" w:bidi="zh-CN"/>
      </w:rPr>
    </w:lvl>
    <w:lvl w:ilvl="5">
      <w:start w:val="0"/>
      <w:numFmt w:val="bullet"/>
      <w:lvlText w:val="•"/>
      <w:lvlJc w:val="left"/>
      <w:pPr>
        <w:ind w:left="5975" w:hanging="541"/>
      </w:pPr>
      <w:rPr>
        <w:rFonts w:hint="default"/>
        <w:lang w:val="zh-CN" w:eastAsia="zh-CN" w:bidi="zh-CN"/>
      </w:rPr>
    </w:lvl>
    <w:lvl w:ilvl="6">
      <w:start w:val="0"/>
      <w:numFmt w:val="bullet"/>
      <w:lvlText w:val="•"/>
      <w:lvlJc w:val="left"/>
      <w:pPr>
        <w:ind w:left="6922" w:hanging="541"/>
      </w:pPr>
      <w:rPr>
        <w:rFonts w:hint="default"/>
        <w:lang w:val="zh-CN" w:eastAsia="zh-CN" w:bidi="zh-CN"/>
      </w:rPr>
    </w:lvl>
    <w:lvl w:ilvl="7">
      <w:start w:val="0"/>
      <w:numFmt w:val="bullet"/>
      <w:lvlText w:val="•"/>
      <w:lvlJc w:val="left"/>
      <w:pPr>
        <w:ind w:left="7869" w:hanging="541"/>
      </w:pPr>
      <w:rPr>
        <w:rFonts w:hint="default"/>
        <w:lang w:val="zh-CN" w:eastAsia="zh-CN" w:bidi="zh-CN"/>
      </w:rPr>
    </w:lvl>
    <w:lvl w:ilvl="8">
      <w:start w:val="0"/>
      <w:numFmt w:val="bullet"/>
      <w:lvlText w:val="•"/>
      <w:lvlJc w:val="left"/>
      <w:pPr>
        <w:ind w:left="8816" w:hanging="541"/>
      </w:pPr>
      <w:rPr>
        <w:rFonts w:hint="default"/>
        <w:lang w:val="zh-CN" w:eastAsia="zh-CN" w:bidi="zh-CN"/>
      </w:rPr>
    </w:lvl>
  </w:abstractNum>
  <w:abstractNum w:abstractNumId="71">
    <w:multiLevelType w:val="hybridMultilevel"/>
    <w:lvl w:ilvl="0">
      <w:start w:val="1"/>
      <w:numFmt w:val="decimal"/>
      <w:lvlText w:val="%1"/>
      <w:lvlJc w:val="left"/>
      <w:pPr>
        <w:ind w:left="1428" w:hanging="722"/>
        <w:jc w:val="left"/>
      </w:pPr>
      <w:rPr>
        <w:rFonts w:hint="default"/>
        <w:lang w:val="zh-CN" w:eastAsia="zh-CN" w:bidi="zh-CN"/>
      </w:rPr>
    </w:lvl>
    <w:lvl w:ilvl="1">
      <w:start w:val="1"/>
      <w:numFmt w:val="decimal"/>
      <w:lvlText w:val="%1.%2"/>
      <w:lvlJc w:val="left"/>
      <w:pPr>
        <w:ind w:left="1428" w:hanging="722"/>
        <w:jc w:val="left"/>
      </w:pPr>
      <w:rPr>
        <w:rFonts w:hint="default"/>
        <w:lang w:val="zh-CN" w:eastAsia="zh-CN" w:bidi="zh-CN"/>
      </w:rPr>
    </w:lvl>
    <w:lvl w:ilvl="2">
      <w:start w:val="2"/>
      <w:numFmt w:val="decimal"/>
      <w:lvlText w:val="%1.%2.%3"/>
      <w:lvlJc w:val="left"/>
      <w:pPr>
        <w:ind w:left="1428" w:hanging="722"/>
        <w:jc w:val="left"/>
      </w:pPr>
      <w:rPr>
        <w:rFonts w:hint="default"/>
        <w:lang w:val="zh-CN" w:eastAsia="zh-CN" w:bidi="zh-CN"/>
      </w:rPr>
    </w:lvl>
    <w:lvl w:ilvl="3">
      <w:start w:val="5"/>
      <w:numFmt w:val="decimal"/>
      <w:lvlText w:val="%1.%2.%3.%4"/>
      <w:lvlJc w:val="left"/>
      <w:pPr>
        <w:ind w:left="1428" w:hanging="722"/>
        <w:jc w:val="left"/>
      </w:pPr>
      <w:rPr>
        <w:rFonts w:hint="default" w:ascii="Calibri" w:hAnsi="Calibri" w:eastAsia="Calibri" w:cs="Calibri"/>
        <w:spacing w:val="-3"/>
        <w:w w:val="100"/>
        <w:sz w:val="24"/>
        <w:szCs w:val="24"/>
        <w:lang w:val="zh-CN" w:eastAsia="zh-CN" w:bidi="zh-CN"/>
      </w:rPr>
    </w:lvl>
    <w:lvl w:ilvl="4">
      <w:start w:val="0"/>
      <w:numFmt w:val="bullet"/>
      <w:lvlText w:val="•"/>
      <w:lvlJc w:val="left"/>
      <w:pPr>
        <w:ind w:left="5136" w:hanging="722"/>
      </w:pPr>
      <w:rPr>
        <w:rFonts w:hint="default"/>
        <w:lang w:val="zh-CN" w:eastAsia="zh-CN" w:bidi="zh-CN"/>
      </w:rPr>
    </w:lvl>
    <w:lvl w:ilvl="5">
      <w:start w:val="0"/>
      <w:numFmt w:val="bullet"/>
      <w:lvlText w:val="•"/>
      <w:lvlJc w:val="left"/>
      <w:pPr>
        <w:ind w:left="6065" w:hanging="722"/>
      </w:pPr>
      <w:rPr>
        <w:rFonts w:hint="default"/>
        <w:lang w:val="zh-CN" w:eastAsia="zh-CN" w:bidi="zh-CN"/>
      </w:rPr>
    </w:lvl>
    <w:lvl w:ilvl="6">
      <w:start w:val="0"/>
      <w:numFmt w:val="bullet"/>
      <w:lvlText w:val="•"/>
      <w:lvlJc w:val="left"/>
      <w:pPr>
        <w:ind w:left="6994" w:hanging="722"/>
      </w:pPr>
      <w:rPr>
        <w:rFonts w:hint="default"/>
        <w:lang w:val="zh-CN" w:eastAsia="zh-CN" w:bidi="zh-CN"/>
      </w:rPr>
    </w:lvl>
    <w:lvl w:ilvl="7">
      <w:start w:val="0"/>
      <w:numFmt w:val="bullet"/>
      <w:lvlText w:val="•"/>
      <w:lvlJc w:val="left"/>
      <w:pPr>
        <w:ind w:left="7923" w:hanging="722"/>
      </w:pPr>
      <w:rPr>
        <w:rFonts w:hint="default"/>
        <w:lang w:val="zh-CN" w:eastAsia="zh-CN" w:bidi="zh-CN"/>
      </w:rPr>
    </w:lvl>
    <w:lvl w:ilvl="8">
      <w:start w:val="0"/>
      <w:numFmt w:val="bullet"/>
      <w:lvlText w:val="•"/>
      <w:lvlJc w:val="left"/>
      <w:pPr>
        <w:ind w:left="8852" w:hanging="722"/>
      </w:pPr>
      <w:rPr>
        <w:rFonts w:hint="default"/>
        <w:lang w:val="zh-CN" w:eastAsia="zh-CN" w:bidi="zh-CN"/>
      </w:rPr>
    </w:lvl>
  </w:abstractNum>
  <w:abstractNum w:abstractNumId="70">
    <w:multiLevelType w:val="hybridMultilevel"/>
    <w:lvl w:ilvl="0">
      <w:start w:val="1"/>
      <w:numFmt w:val="decimal"/>
      <w:lvlText w:val="%1"/>
      <w:lvlJc w:val="left"/>
      <w:pPr>
        <w:ind w:left="1428" w:hanging="722"/>
        <w:jc w:val="left"/>
      </w:pPr>
      <w:rPr>
        <w:rFonts w:hint="default"/>
        <w:lang w:val="zh-CN" w:eastAsia="zh-CN" w:bidi="zh-CN"/>
      </w:rPr>
    </w:lvl>
    <w:lvl w:ilvl="1">
      <w:start w:val="1"/>
      <w:numFmt w:val="decimal"/>
      <w:lvlText w:val="%1.%2"/>
      <w:lvlJc w:val="left"/>
      <w:pPr>
        <w:ind w:left="1428" w:hanging="722"/>
        <w:jc w:val="left"/>
      </w:pPr>
      <w:rPr>
        <w:rFonts w:hint="default"/>
        <w:lang w:val="zh-CN" w:eastAsia="zh-CN" w:bidi="zh-CN"/>
      </w:rPr>
    </w:lvl>
    <w:lvl w:ilvl="2">
      <w:start w:val="2"/>
      <w:numFmt w:val="decimal"/>
      <w:lvlText w:val="%1.%2.%3"/>
      <w:lvlJc w:val="left"/>
      <w:pPr>
        <w:ind w:left="1428" w:hanging="722"/>
        <w:jc w:val="left"/>
      </w:pPr>
      <w:rPr>
        <w:rFonts w:hint="default"/>
        <w:lang w:val="zh-CN" w:eastAsia="zh-CN" w:bidi="zh-CN"/>
      </w:rPr>
    </w:lvl>
    <w:lvl w:ilvl="3">
      <w:start w:val="2"/>
      <w:numFmt w:val="decimal"/>
      <w:lvlText w:val="%1.%2.%3.%4"/>
      <w:lvlJc w:val="left"/>
      <w:pPr>
        <w:ind w:left="1428" w:hanging="722"/>
        <w:jc w:val="left"/>
      </w:pPr>
      <w:rPr>
        <w:rFonts w:hint="default" w:ascii="Calibri" w:hAnsi="Calibri" w:eastAsia="Calibri" w:cs="Calibri"/>
        <w:spacing w:val="-3"/>
        <w:w w:val="100"/>
        <w:sz w:val="24"/>
        <w:szCs w:val="24"/>
        <w:lang w:val="zh-CN" w:eastAsia="zh-CN" w:bidi="zh-CN"/>
      </w:rPr>
    </w:lvl>
    <w:lvl w:ilvl="4">
      <w:start w:val="0"/>
      <w:numFmt w:val="bullet"/>
      <w:lvlText w:val="•"/>
      <w:lvlJc w:val="left"/>
      <w:pPr>
        <w:ind w:left="5136" w:hanging="722"/>
      </w:pPr>
      <w:rPr>
        <w:rFonts w:hint="default"/>
        <w:lang w:val="zh-CN" w:eastAsia="zh-CN" w:bidi="zh-CN"/>
      </w:rPr>
    </w:lvl>
    <w:lvl w:ilvl="5">
      <w:start w:val="0"/>
      <w:numFmt w:val="bullet"/>
      <w:lvlText w:val="•"/>
      <w:lvlJc w:val="left"/>
      <w:pPr>
        <w:ind w:left="6065" w:hanging="722"/>
      </w:pPr>
      <w:rPr>
        <w:rFonts w:hint="default"/>
        <w:lang w:val="zh-CN" w:eastAsia="zh-CN" w:bidi="zh-CN"/>
      </w:rPr>
    </w:lvl>
    <w:lvl w:ilvl="6">
      <w:start w:val="0"/>
      <w:numFmt w:val="bullet"/>
      <w:lvlText w:val="•"/>
      <w:lvlJc w:val="left"/>
      <w:pPr>
        <w:ind w:left="6994" w:hanging="722"/>
      </w:pPr>
      <w:rPr>
        <w:rFonts w:hint="default"/>
        <w:lang w:val="zh-CN" w:eastAsia="zh-CN" w:bidi="zh-CN"/>
      </w:rPr>
    </w:lvl>
    <w:lvl w:ilvl="7">
      <w:start w:val="0"/>
      <w:numFmt w:val="bullet"/>
      <w:lvlText w:val="•"/>
      <w:lvlJc w:val="left"/>
      <w:pPr>
        <w:ind w:left="7923" w:hanging="722"/>
      </w:pPr>
      <w:rPr>
        <w:rFonts w:hint="default"/>
        <w:lang w:val="zh-CN" w:eastAsia="zh-CN" w:bidi="zh-CN"/>
      </w:rPr>
    </w:lvl>
    <w:lvl w:ilvl="8">
      <w:start w:val="0"/>
      <w:numFmt w:val="bullet"/>
      <w:lvlText w:val="•"/>
      <w:lvlJc w:val="left"/>
      <w:pPr>
        <w:ind w:left="8852" w:hanging="722"/>
      </w:pPr>
      <w:rPr>
        <w:rFonts w:hint="default"/>
        <w:lang w:val="zh-CN" w:eastAsia="zh-CN" w:bidi="zh-CN"/>
      </w:rPr>
    </w:lvl>
  </w:abstractNum>
  <w:abstractNum w:abstractNumId="69">
    <w:multiLevelType w:val="hybridMultilevel"/>
    <w:lvl w:ilvl="0">
      <w:start w:val="1"/>
      <w:numFmt w:val="decimal"/>
      <w:lvlText w:val="%1"/>
      <w:lvlJc w:val="left"/>
      <w:pPr>
        <w:ind w:left="467" w:hanging="240"/>
        <w:jc w:val="left"/>
      </w:pPr>
      <w:rPr>
        <w:rFonts w:hint="default" w:ascii="黑体" w:hAnsi="黑体" w:eastAsia="黑体" w:cs="黑体"/>
        <w:b/>
        <w:bCs/>
        <w:w w:val="100"/>
        <w:sz w:val="28"/>
        <w:szCs w:val="28"/>
        <w:lang w:val="zh-CN" w:eastAsia="zh-CN" w:bidi="zh-CN"/>
      </w:rPr>
    </w:lvl>
    <w:lvl w:ilvl="1">
      <w:start w:val="1"/>
      <w:numFmt w:val="decimal"/>
      <w:lvlText w:val="%1.%2"/>
      <w:lvlJc w:val="left"/>
      <w:pPr>
        <w:ind w:left="1128" w:hanging="421"/>
        <w:jc w:val="left"/>
      </w:pPr>
      <w:rPr>
        <w:rFonts w:hint="default" w:ascii="黑体" w:hAnsi="黑体" w:eastAsia="黑体" w:cs="黑体"/>
        <w:w w:val="100"/>
        <w:sz w:val="24"/>
        <w:szCs w:val="24"/>
        <w:lang w:val="zh-CN" w:eastAsia="zh-CN" w:bidi="zh-CN"/>
      </w:rPr>
    </w:lvl>
    <w:lvl w:ilvl="2">
      <w:start w:val="0"/>
      <w:numFmt w:val="bullet"/>
      <w:lvlText w:val="•"/>
      <w:lvlJc w:val="left"/>
      <w:pPr>
        <w:ind w:left="1180" w:hanging="421"/>
      </w:pPr>
      <w:rPr>
        <w:rFonts w:hint="default"/>
        <w:lang w:val="zh-CN" w:eastAsia="zh-CN" w:bidi="zh-CN"/>
      </w:rPr>
    </w:lvl>
    <w:lvl w:ilvl="3">
      <w:start w:val="0"/>
      <w:numFmt w:val="bullet"/>
      <w:lvlText w:val="•"/>
      <w:lvlJc w:val="left"/>
      <w:pPr>
        <w:ind w:left="2371" w:hanging="421"/>
      </w:pPr>
      <w:rPr>
        <w:rFonts w:hint="default"/>
        <w:lang w:val="zh-CN" w:eastAsia="zh-CN" w:bidi="zh-CN"/>
      </w:rPr>
    </w:lvl>
    <w:lvl w:ilvl="4">
      <w:start w:val="0"/>
      <w:numFmt w:val="bullet"/>
      <w:lvlText w:val="•"/>
      <w:lvlJc w:val="left"/>
      <w:pPr>
        <w:ind w:left="3562" w:hanging="421"/>
      </w:pPr>
      <w:rPr>
        <w:rFonts w:hint="default"/>
        <w:lang w:val="zh-CN" w:eastAsia="zh-CN" w:bidi="zh-CN"/>
      </w:rPr>
    </w:lvl>
    <w:lvl w:ilvl="5">
      <w:start w:val="0"/>
      <w:numFmt w:val="bullet"/>
      <w:lvlText w:val="•"/>
      <w:lvlJc w:val="left"/>
      <w:pPr>
        <w:ind w:left="4753" w:hanging="421"/>
      </w:pPr>
      <w:rPr>
        <w:rFonts w:hint="default"/>
        <w:lang w:val="zh-CN" w:eastAsia="zh-CN" w:bidi="zh-CN"/>
      </w:rPr>
    </w:lvl>
    <w:lvl w:ilvl="6">
      <w:start w:val="0"/>
      <w:numFmt w:val="bullet"/>
      <w:lvlText w:val="•"/>
      <w:lvlJc w:val="left"/>
      <w:pPr>
        <w:ind w:left="5945" w:hanging="421"/>
      </w:pPr>
      <w:rPr>
        <w:rFonts w:hint="default"/>
        <w:lang w:val="zh-CN" w:eastAsia="zh-CN" w:bidi="zh-CN"/>
      </w:rPr>
    </w:lvl>
    <w:lvl w:ilvl="7">
      <w:start w:val="0"/>
      <w:numFmt w:val="bullet"/>
      <w:lvlText w:val="•"/>
      <w:lvlJc w:val="left"/>
      <w:pPr>
        <w:ind w:left="7136" w:hanging="421"/>
      </w:pPr>
      <w:rPr>
        <w:rFonts w:hint="default"/>
        <w:lang w:val="zh-CN" w:eastAsia="zh-CN" w:bidi="zh-CN"/>
      </w:rPr>
    </w:lvl>
    <w:lvl w:ilvl="8">
      <w:start w:val="0"/>
      <w:numFmt w:val="bullet"/>
      <w:lvlText w:val="•"/>
      <w:lvlJc w:val="left"/>
      <w:pPr>
        <w:ind w:left="8327" w:hanging="421"/>
      </w:pPr>
      <w:rPr>
        <w:rFonts w:hint="default"/>
        <w:lang w:val="zh-CN" w:eastAsia="zh-CN" w:bidi="zh-CN"/>
      </w:rPr>
    </w:lvl>
  </w:abstractNum>
  <w:abstractNum w:abstractNumId="68">
    <w:multiLevelType w:val="hybridMultilevel"/>
    <w:lvl w:ilvl="0">
      <w:start w:val="22"/>
      <w:numFmt w:val="decimal"/>
      <w:lvlText w:val="%1"/>
      <w:lvlJc w:val="left"/>
      <w:pPr>
        <w:ind w:left="1368" w:hanging="662"/>
        <w:jc w:val="left"/>
      </w:pPr>
      <w:rPr>
        <w:rFonts w:hint="default"/>
        <w:lang w:val="zh-CN" w:eastAsia="zh-CN" w:bidi="zh-CN"/>
      </w:rPr>
    </w:lvl>
    <w:lvl w:ilvl="1">
      <w:start w:val="4"/>
      <w:numFmt w:val="decimal"/>
      <w:lvlText w:val="%1.%2"/>
      <w:lvlJc w:val="left"/>
      <w:pPr>
        <w:ind w:left="1368" w:hanging="662"/>
        <w:jc w:val="left"/>
      </w:pPr>
      <w:rPr>
        <w:rFonts w:hint="default"/>
        <w:lang w:val="zh-CN" w:eastAsia="zh-CN" w:bidi="zh-CN"/>
      </w:rPr>
    </w:lvl>
    <w:lvl w:ilvl="2">
      <w:start w:val="1"/>
      <w:numFmt w:val="decimal"/>
      <w:lvlText w:val="%1.%2.%3"/>
      <w:lvlJc w:val="left"/>
      <w:pPr>
        <w:ind w:left="1368" w:hanging="662"/>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4165" w:hanging="662"/>
      </w:pPr>
      <w:rPr>
        <w:rFonts w:hint="default"/>
        <w:lang w:val="zh-CN" w:eastAsia="zh-CN" w:bidi="zh-CN"/>
      </w:rPr>
    </w:lvl>
    <w:lvl w:ilvl="4">
      <w:start w:val="0"/>
      <w:numFmt w:val="bullet"/>
      <w:lvlText w:val="•"/>
      <w:lvlJc w:val="left"/>
      <w:pPr>
        <w:ind w:left="5100" w:hanging="662"/>
      </w:pPr>
      <w:rPr>
        <w:rFonts w:hint="default"/>
        <w:lang w:val="zh-CN" w:eastAsia="zh-CN" w:bidi="zh-CN"/>
      </w:rPr>
    </w:lvl>
    <w:lvl w:ilvl="5">
      <w:start w:val="0"/>
      <w:numFmt w:val="bullet"/>
      <w:lvlText w:val="•"/>
      <w:lvlJc w:val="left"/>
      <w:pPr>
        <w:ind w:left="6035" w:hanging="662"/>
      </w:pPr>
      <w:rPr>
        <w:rFonts w:hint="default"/>
        <w:lang w:val="zh-CN" w:eastAsia="zh-CN" w:bidi="zh-CN"/>
      </w:rPr>
    </w:lvl>
    <w:lvl w:ilvl="6">
      <w:start w:val="0"/>
      <w:numFmt w:val="bullet"/>
      <w:lvlText w:val="•"/>
      <w:lvlJc w:val="left"/>
      <w:pPr>
        <w:ind w:left="6970" w:hanging="662"/>
      </w:pPr>
      <w:rPr>
        <w:rFonts w:hint="default"/>
        <w:lang w:val="zh-CN" w:eastAsia="zh-CN" w:bidi="zh-CN"/>
      </w:rPr>
    </w:lvl>
    <w:lvl w:ilvl="7">
      <w:start w:val="0"/>
      <w:numFmt w:val="bullet"/>
      <w:lvlText w:val="•"/>
      <w:lvlJc w:val="left"/>
      <w:pPr>
        <w:ind w:left="7905" w:hanging="662"/>
      </w:pPr>
      <w:rPr>
        <w:rFonts w:hint="default"/>
        <w:lang w:val="zh-CN" w:eastAsia="zh-CN" w:bidi="zh-CN"/>
      </w:rPr>
    </w:lvl>
    <w:lvl w:ilvl="8">
      <w:start w:val="0"/>
      <w:numFmt w:val="bullet"/>
      <w:lvlText w:val="•"/>
      <w:lvlJc w:val="left"/>
      <w:pPr>
        <w:ind w:left="8840" w:hanging="662"/>
      </w:pPr>
      <w:rPr>
        <w:rFonts w:hint="default"/>
        <w:lang w:val="zh-CN" w:eastAsia="zh-CN" w:bidi="zh-CN"/>
      </w:rPr>
    </w:lvl>
  </w:abstractNum>
  <w:abstractNum w:abstractNumId="67">
    <w:multiLevelType w:val="hybridMultilevel"/>
    <w:lvl w:ilvl="0">
      <w:start w:val="21"/>
      <w:numFmt w:val="decimal"/>
      <w:lvlText w:val="%1"/>
      <w:lvlJc w:val="left"/>
      <w:pPr>
        <w:ind w:left="227" w:hanging="662"/>
        <w:jc w:val="left"/>
      </w:pPr>
      <w:rPr>
        <w:rFonts w:hint="default"/>
        <w:lang w:val="zh-CN" w:eastAsia="zh-CN" w:bidi="zh-CN"/>
      </w:rPr>
    </w:lvl>
    <w:lvl w:ilvl="1">
      <w:start w:val="3"/>
      <w:numFmt w:val="decimal"/>
      <w:lvlText w:val="%1.%2"/>
      <w:lvlJc w:val="left"/>
      <w:pPr>
        <w:ind w:left="227" w:hanging="662"/>
        <w:jc w:val="left"/>
      </w:pPr>
      <w:rPr>
        <w:rFonts w:hint="default"/>
        <w:lang w:val="zh-CN" w:eastAsia="zh-CN" w:bidi="zh-CN"/>
      </w:rPr>
    </w:lvl>
    <w:lvl w:ilvl="2">
      <w:start w:val="1"/>
      <w:numFmt w:val="decimal"/>
      <w:lvlText w:val="%1.%2.%3"/>
      <w:lvlJc w:val="left"/>
      <w:pPr>
        <w:ind w:left="227" w:hanging="662"/>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3367" w:hanging="662"/>
      </w:pPr>
      <w:rPr>
        <w:rFonts w:hint="default"/>
        <w:lang w:val="zh-CN" w:eastAsia="zh-CN" w:bidi="zh-CN"/>
      </w:rPr>
    </w:lvl>
    <w:lvl w:ilvl="4">
      <w:start w:val="0"/>
      <w:numFmt w:val="bullet"/>
      <w:lvlText w:val="•"/>
      <w:lvlJc w:val="left"/>
      <w:pPr>
        <w:ind w:left="4416" w:hanging="662"/>
      </w:pPr>
      <w:rPr>
        <w:rFonts w:hint="default"/>
        <w:lang w:val="zh-CN" w:eastAsia="zh-CN" w:bidi="zh-CN"/>
      </w:rPr>
    </w:lvl>
    <w:lvl w:ilvl="5">
      <w:start w:val="0"/>
      <w:numFmt w:val="bullet"/>
      <w:lvlText w:val="•"/>
      <w:lvlJc w:val="left"/>
      <w:pPr>
        <w:ind w:left="5465" w:hanging="662"/>
      </w:pPr>
      <w:rPr>
        <w:rFonts w:hint="default"/>
        <w:lang w:val="zh-CN" w:eastAsia="zh-CN" w:bidi="zh-CN"/>
      </w:rPr>
    </w:lvl>
    <w:lvl w:ilvl="6">
      <w:start w:val="0"/>
      <w:numFmt w:val="bullet"/>
      <w:lvlText w:val="•"/>
      <w:lvlJc w:val="left"/>
      <w:pPr>
        <w:ind w:left="6514" w:hanging="662"/>
      </w:pPr>
      <w:rPr>
        <w:rFonts w:hint="default"/>
        <w:lang w:val="zh-CN" w:eastAsia="zh-CN" w:bidi="zh-CN"/>
      </w:rPr>
    </w:lvl>
    <w:lvl w:ilvl="7">
      <w:start w:val="0"/>
      <w:numFmt w:val="bullet"/>
      <w:lvlText w:val="•"/>
      <w:lvlJc w:val="left"/>
      <w:pPr>
        <w:ind w:left="7563" w:hanging="662"/>
      </w:pPr>
      <w:rPr>
        <w:rFonts w:hint="default"/>
        <w:lang w:val="zh-CN" w:eastAsia="zh-CN" w:bidi="zh-CN"/>
      </w:rPr>
    </w:lvl>
    <w:lvl w:ilvl="8">
      <w:start w:val="0"/>
      <w:numFmt w:val="bullet"/>
      <w:lvlText w:val="•"/>
      <w:lvlJc w:val="left"/>
      <w:pPr>
        <w:ind w:left="8612" w:hanging="662"/>
      </w:pPr>
      <w:rPr>
        <w:rFonts w:hint="default"/>
        <w:lang w:val="zh-CN" w:eastAsia="zh-CN" w:bidi="zh-CN"/>
      </w:rPr>
    </w:lvl>
  </w:abstractNum>
  <w:abstractNum w:abstractNumId="66">
    <w:multiLevelType w:val="hybridMultilevel"/>
    <w:lvl w:ilvl="0">
      <w:start w:val="1"/>
      <w:numFmt w:val="decimal"/>
      <w:lvlText w:val="(%1)"/>
      <w:lvlJc w:val="left"/>
      <w:pPr>
        <w:ind w:left="227"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65">
    <w:multiLevelType w:val="hybridMultilevel"/>
    <w:lvl w:ilvl="0">
      <w:start w:val="1"/>
      <w:numFmt w:val="decimal"/>
      <w:lvlText w:val="(%1)"/>
      <w:lvlJc w:val="left"/>
      <w:pPr>
        <w:ind w:left="1068" w:hanging="361"/>
        <w:jc w:val="left"/>
      </w:pPr>
      <w:rPr>
        <w:rFonts w:hint="default" w:ascii="宋体" w:hAnsi="宋体" w:eastAsia="宋体" w:cs="宋体"/>
        <w:spacing w:val="-62"/>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64">
    <w:multiLevelType w:val="hybridMultilevel"/>
    <w:lvl w:ilvl="0">
      <w:start w:val="5"/>
      <w:numFmt w:val="decimal"/>
      <w:lvlText w:val="(%1)"/>
      <w:lvlJc w:val="left"/>
      <w:pPr>
        <w:ind w:left="1068" w:hanging="361"/>
        <w:jc w:val="left"/>
      </w:pPr>
      <w:rPr>
        <w:rFonts w:hint="default" w:ascii="宋体" w:hAnsi="宋体" w:eastAsia="宋体" w:cs="宋体"/>
        <w:spacing w:val="-3"/>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63">
    <w:multiLevelType w:val="hybridMultilevel"/>
    <w:lvl w:ilvl="0">
      <w:start w:val="1"/>
      <w:numFmt w:val="decimal"/>
      <w:lvlText w:val="(%1)"/>
      <w:lvlJc w:val="left"/>
      <w:pPr>
        <w:ind w:left="1068" w:hanging="361"/>
        <w:jc w:val="left"/>
      </w:pPr>
      <w:rPr>
        <w:rFonts w:hint="default" w:ascii="宋体" w:hAnsi="宋体" w:eastAsia="宋体" w:cs="宋体"/>
        <w:spacing w:val="-2"/>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62">
    <w:multiLevelType w:val="hybridMultilevel"/>
    <w:lvl w:ilvl="0">
      <w:start w:val="1"/>
      <w:numFmt w:val="decimal"/>
      <w:lvlText w:val="(%1)"/>
      <w:lvlJc w:val="left"/>
      <w:pPr>
        <w:ind w:left="1068"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61">
    <w:multiLevelType w:val="hybridMultilevel"/>
    <w:lvl w:ilvl="0">
      <w:start w:val="1"/>
      <w:numFmt w:val="decimal"/>
      <w:lvlText w:val="(%1)"/>
      <w:lvlJc w:val="left"/>
      <w:pPr>
        <w:ind w:left="227"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60">
    <w:multiLevelType w:val="hybridMultilevel"/>
    <w:lvl w:ilvl="0">
      <w:start w:val="1"/>
      <w:numFmt w:val="decimal"/>
      <w:lvlText w:val="(%1)"/>
      <w:lvlJc w:val="left"/>
      <w:pPr>
        <w:ind w:left="227" w:hanging="361"/>
        <w:jc w:val="left"/>
      </w:pPr>
      <w:rPr>
        <w:rFonts w:hint="default" w:ascii="宋体" w:hAnsi="宋体" w:eastAsia="宋体" w:cs="宋体"/>
        <w:spacing w:val="-61"/>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9">
    <w:multiLevelType w:val="hybridMultilevel"/>
    <w:lvl w:ilvl="0">
      <w:start w:val="1"/>
      <w:numFmt w:val="decimal"/>
      <w:lvlText w:val="(%1)"/>
      <w:lvlJc w:val="left"/>
      <w:pPr>
        <w:ind w:left="1068" w:hanging="361"/>
        <w:jc w:val="left"/>
      </w:pPr>
      <w:rPr>
        <w:rFonts w:hint="default" w:ascii="宋体" w:hAnsi="宋体" w:eastAsia="宋体" w:cs="宋体"/>
        <w:spacing w:val="-3"/>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58">
    <w:multiLevelType w:val="hybridMultilevel"/>
    <w:lvl w:ilvl="0">
      <w:start w:val="1"/>
      <w:numFmt w:val="decimal"/>
      <w:lvlText w:val="(%1)"/>
      <w:lvlJc w:val="left"/>
      <w:pPr>
        <w:ind w:left="227"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7">
    <w:multiLevelType w:val="hybridMultilevel"/>
    <w:lvl w:ilvl="0">
      <w:start w:val="1"/>
      <w:numFmt w:val="decimal"/>
      <w:lvlText w:val="(%1)"/>
      <w:lvlJc w:val="left"/>
      <w:pPr>
        <w:ind w:left="227"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6">
    <w:multiLevelType w:val="hybridMultilevel"/>
    <w:lvl w:ilvl="0">
      <w:start w:val="1"/>
      <w:numFmt w:val="decimal"/>
      <w:lvlText w:val="(%1)"/>
      <w:lvlJc w:val="left"/>
      <w:pPr>
        <w:ind w:left="227" w:hanging="36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5">
    <w:multiLevelType w:val="hybridMultilevel"/>
    <w:lvl w:ilvl="0">
      <w:start w:val="1"/>
      <w:numFmt w:val="decimal"/>
      <w:lvlText w:val="(%1)"/>
      <w:lvlJc w:val="left"/>
      <w:pPr>
        <w:ind w:left="227" w:hanging="36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4">
    <w:multiLevelType w:val="hybridMultilevel"/>
    <w:lvl w:ilvl="0">
      <w:start w:val="1"/>
      <w:numFmt w:val="decimal"/>
      <w:lvlText w:val="(%1)"/>
      <w:lvlJc w:val="left"/>
      <w:pPr>
        <w:ind w:left="1068" w:hanging="361"/>
        <w:jc w:val="left"/>
      </w:pPr>
      <w:rPr>
        <w:rFonts w:hint="default" w:ascii="宋体" w:hAnsi="宋体" w:eastAsia="宋体" w:cs="宋体"/>
        <w:spacing w:val="-61"/>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53">
    <w:multiLevelType w:val="hybridMultilevel"/>
    <w:lvl w:ilvl="0">
      <w:start w:val="1"/>
      <w:numFmt w:val="decimal"/>
      <w:lvlText w:val="(%1)"/>
      <w:lvlJc w:val="left"/>
      <w:pPr>
        <w:ind w:left="227" w:hanging="361"/>
        <w:jc w:val="left"/>
      </w:pPr>
      <w:rPr>
        <w:rFonts w:hint="default" w:ascii="宋体" w:hAnsi="宋体" w:eastAsia="宋体" w:cs="宋体"/>
        <w:spacing w:val="-61"/>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2">
    <w:multiLevelType w:val="hybridMultilevel"/>
    <w:lvl w:ilvl="0">
      <w:start w:val="1"/>
      <w:numFmt w:val="decimal"/>
      <w:lvlText w:val="(%1)"/>
      <w:lvlJc w:val="left"/>
      <w:pPr>
        <w:ind w:left="227" w:hanging="361"/>
        <w:jc w:val="left"/>
      </w:pPr>
      <w:rPr>
        <w:rFonts w:hint="default" w:ascii="宋体" w:hAnsi="宋体" w:eastAsia="宋体" w:cs="宋体"/>
        <w:spacing w:val="-64"/>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51">
    <w:multiLevelType w:val="hybridMultilevel"/>
    <w:lvl w:ilvl="0">
      <w:start w:val="4"/>
      <w:numFmt w:val="decimal"/>
      <w:lvlText w:val="(%1)"/>
      <w:lvlJc w:val="left"/>
      <w:pPr>
        <w:ind w:left="1068" w:hanging="361"/>
        <w:jc w:val="left"/>
      </w:pPr>
      <w:rPr>
        <w:rFonts w:hint="default" w:ascii="宋体" w:hAnsi="宋体" w:eastAsia="宋体" w:cs="宋体"/>
        <w:spacing w:val="-60"/>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50">
    <w:multiLevelType w:val="hybridMultilevel"/>
    <w:lvl w:ilvl="0">
      <w:start w:val="1"/>
      <w:numFmt w:val="decimal"/>
      <w:lvlText w:val="(%1)"/>
      <w:lvlJc w:val="left"/>
      <w:pPr>
        <w:ind w:left="227" w:hanging="36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49">
    <w:multiLevelType w:val="hybridMultilevel"/>
    <w:lvl w:ilvl="0">
      <w:start w:val="1"/>
      <w:numFmt w:val="decimal"/>
      <w:lvlText w:val="(%1)"/>
      <w:lvlJc w:val="left"/>
      <w:pPr>
        <w:ind w:left="227" w:hanging="361"/>
        <w:jc w:val="left"/>
      </w:pPr>
      <w:rPr>
        <w:rFonts w:hint="default" w:ascii="宋体" w:hAnsi="宋体" w:eastAsia="宋体" w:cs="宋体"/>
        <w:spacing w:val="-32"/>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48">
    <w:multiLevelType w:val="hybridMultilevel"/>
    <w:lvl w:ilvl="0">
      <w:start w:val="1"/>
      <w:numFmt w:val="decimal"/>
      <w:lvlText w:val="(%1)"/>
      <w:lvlJc w:val="left"/>
      <w:pPr>
        <w:ind w:left="227" w:hanging="361"/>
        <w:jc w:val="left"/>
      </w:pPr>
      <w:rPr>
        <w:rFonts w:hint="default" w:ascii="宋体" w:hAnsi="宋体" w:eastAsia="宋体" w:cs="宋体"/>
        <w:spacing w:val="-120"/>
        <w:w w:val="100"/>
        <w:sz w:val="22"/>
        <w:szCs w:val="22"/>
        <w:lang w:val="zh-CN" w:eastAsia="zh-CN" w:bidi="zh-CN"/>
      </w:rPr>
    </w:lvl>
    <w:lvl w:ilvl="1">
      <w:start w:val="0"/>
      <w:numFmt w:val="bullet"/>
      <w:lvlText w:val="•"/>
      <w:lvlJc w:val="left"/>
      <w:pPr>
        <w:ind w:left="1269" w:hanging="361"/>
      </w:pPr>
      <w:rPr>
        <w:rFonts w:hint="default"/>
        <w:lang w:val="zh-CN" w:eastAsia="zh-CN" w:bidi="zh-CN"/>
      </w:rPr>
    </w:lvl>
    <w:lvl w:ilvl="2">
      <w:start w:val="0"/>
      <w:numFmt w:val="bullet"/>
      <w:lvlText w:val="•"/>
      <w:lvlJc w:val="left"/>
      <w:pPr>
        <w:ind w:left="2318" w:hanging="361"/>
      </w:pPr>
      <w:rPr>
        <w:rFonts w:hint="default"/>
        <w:lang w:val="zh-CN" w:eastAsia="zh-CN" w:bidi="zh-CN"/>
      </w:rPr>
    </w:lvl>
    <w:lvl w:ilvl="3">
      <w:start w:val="0"/>
      <w:numFmt w:val="bullet"/>
      <w:lvlText w:val="•"/>
      <w:lvlJc w:val="left"/>
      <w:pPr>
        <w:ind w:left="3367" w:hanging="361"/>
      </w:pPr>
      <w:rPr>
        <w:rFonts w:hint="default"/>
        <w:lang w:val="zh-CN" w:eastAsia="zh-CN" w:bidi="zh-CN"/>
      </w:rPr>
    </w:lvl>
    <w:lvl w:ilvl="4">
      <w:start w:val="0"/>
      <w:numFmt w:val="bullet"/>
      <w:lvlText w:val="•"/>
      <w:lvlJc w:val="left"/>
      <w:pPr>
        <w:ind w:left="4416" w:hanging="361"/>
      </w:pPr>
      <w:rPr>
        <w:rFonts w:hint="default"/>
        <w:lang w:val="zh-CN" w:eastAsia="zh-CN" w:bidi="zh-CN"/>
      </w:rPr>
    </w:lvl>
    <w:lvl w:ilvl="5">
      <w:start w:val="0"/>
      <w:numFmt w:val="bullet"/>
      <w:lvlText w:val="•"/>
      <w:lvlJc w:val="left"/>
      <w:pPr>
        <w:ind w:left="5465" w:hanging="361"/>
      </w:pPr>
      <w:rPr>
        <w:rFonts w:hint="default"/>
        <w:lang w:val="zh-CN" w:eastAsia="zh-CN" w:bidi="zh-CN"/>
      </w:rPr>
    </w:lvl>
    <w:lvl w:ilvl="6">
      <w:start w:val="0"/>
      <w:numFmt w:val="bullet"/>
      <w:lvlText w:val="•"/>
      <w:lvlJc w:val="left"/>
      <w:pPr>
        <w:ind w:left="6514" w:hanging="361"/>
      </w:pPr>
      <w:rPr>
        <w:rFonts w:hint="default"/>
        <w:lang w:val="zh-CN" w:eastAsia="zh-CN" w:bidi="zh-CN"/>
      </w:rPr>
    </w:lvl>
    <w:lvl w:ilvl="7">
      <w:start w:val="0"/>
      <w:numFmt w:val="bullet"/>
      <w:lvlText w:val="•"/>
      <w:lvlJc w:val="left"/>
      <w:pPr>
        <w:ind w:left="7563" w:hanging="361"/>
      </w:pPr>
      <w:rPr>
        <w:rFonts w:hint="default"/>
        <w:lang w:val="zh-CN" w:eastAsia="zh-CN" w:bidi="zh-CN"/>
      </w:rPr>
    </w:lvl>
    <w:lvl w:ilvl="8">
      <w:start w:val="0"/>
      <w:numFmt w:val="bullet"/>
      <w:lvlText w:val="•"/>
      <w:lvlJc w:val="left"/>
      <w:pPr>
        <w:ind w:left="8612" w:hanging="361"/>
      </w:pPr>
      <w:rPr>
        <w:rFonts w:hint="default"/>
        <w:lang w:val="zh-CN" w:eastAsia="zh-CN" w:bidi="zh-CN"/>
      </w:rPr>
    </w:lvl>
  </w:abstractNum>
  <w:abstractNum w:abstractNumId="47">
    <w:multiLevelType w:val="hybridMultilevel"/>
    <w:lvl w:ilvl="0">
      <w:start w:val="16"/>
      <w:numFmt w:val="decimal"/>
      <w:lvlText w:val="%1"/>
      <w:lvlJc w:val="left"/>
      <w:pPr>
        <w:ind w:left="1623" w:hanging="917"/>
        <w:jc w:val="left"/>
      </w:pPr>
      <w:rPr>
        <w:rFonts w:hint="default"/>
        <w:lang w:val="zh-CN" w:eastAsia="zh-CN" w:bidi="zh-CN"/>
      </w:rPr>
    </w:lvl>
    <w:lvl w:ilvl="1">
      <w:start w:val="1"/>
      <w:numFmt w:val="decimal"/>
      <w:lvlText w:val="%1.%2"/>
      <w:lvlJc w:val="left"/>
      <w:pPr>
        <w:ind w:left="1623" w:hanging="917"/>
        <w:jc w:val="left"/>
      </w:pPr>
      <w:rPr>
        <w:rFonts w:hint="default"/>
        <w:lang w:val="zh-CN" w:eastAsia="zh-CN" w:bidi="zh-CN"/>
      </w:rPr>
    </w:lvl>
    <w:lvl w:ilvl="2">
      <w:start w:val="1"/>
      <w:numFmt w:val="decimal"/>
      <w:lvlText w:val="%1.%2.%3"/>
      <w:lvlJc w:val="left"/>
      <w:pPr>
        <w:ind w:left="1623" w:hanging="917"/>
        <w:jc w:val="left"/>
      </w:pPr>
      <w:rPr>
        <w:rFonts w:hint="default"/>
        <w:lang w:val="zh-CN" w:eastAsia="zh-CN" w:bidi="zh-CN"/>
      </w:rPr>
    </w:lvl>
    <w:lvl w:ilvl="3">
      <w:start w:val="1"/>
      <w:numFmt w:val="decimal"/>
      <w:lvlText w:val="%1.%2.%3.%4"/>
      <w:lvlJc w:val="left"/>
      <w:pPr>
        <w:ind w:left="1623" w:hanging="917"/>
        <w:jc w:val="left"/>
      </w:pPr>
      <w:rPr>
        <w:rFonts w:hint="default" w:ascii="Calibri" w:hAnsi="Calibri" w:eastAsia="Calibri" w:cs="Calibri"/>
        <w:spacing w:val="-3"/>
        <w:w w:val="100"/>
        <w:sz w:val="24"/>
        <w:szCs w:val="24"/>
        <w:lang w:val="zh-CN" w:eastAsia="zh-CN" w:bidi="zh-CN"/>
      </w:rPr>
    </w:lvl>
    <w:lvl w:ilvl="4">
      <w:start w:val="0"/>
      <w:numFmt w:val="bullet"/>
      <w:lvlText w:val="•"/>
      <w:lvlJc w:val="left"/>
      <w:pPr>
        <w:ind w:left="5256" w:hanging="917"/>
      </w:pPr>
      <w:rPr>
        <w:rFonts w:hint="default"/>
        <w:lang w:val="zh-CN" w:eastAsia="zh-CN" w:bidi="zh-CN"/>
      </w:rPr>
    </w:lvl>
    <w:lvl w:ilvl="5">
      <w:start w:val="0"/>
      <w:numFmt w:val="bullet"/>
      <w:lvlText w:val="•"/>
      <w:lvlJc w:val="left"/>
      <w:pPr>
        <w:ind w:left="6165" w:hanging="917"/>
      </w:pPr>
      <w:rPr>
        <w:rFonts w:hint="default"/>
        <w:lang w:val="zh-CN" w:eastAsia="zh-CN" w:bidi="zh-CN"/>
      </w:rPr>
    </w:lvl>
    <w:lvl w:ilvl="6">
      <w:start w:val="0"/>
      <w:numFmt w:val="bullet"/>
      <w:lvlText w:val="•"/>
      <w:lvlJc w:val="left"/>
      <w:pPr>
        <w:ind w:left="7074" w:hanging="917"/>
      </w:pPr>
      <w:rPr>
        <w:rFonts w:hint="default"/>
        <w:lang w:val="zh-CN" w:eastAsia="zh-CN" w:bidi="zh-CN"/>
      </w:rPr>
    </w:lvl>
    <w:lvl w:ilvl="7">
      <w:start w:val="0"/>
      <w:numFmt w:val="bullet"/>
      <w:lvlText w:val="•"/>
      <w:lvlJc w:val="left"/>
      <w:pPr>
        <w:ind w:left="7983" w:hanging="917"/>
      </w:pPr>
      <w:rPr>
        <w:rFonts w:hint="default"/>
        <w:lang w:val="zh-CN" w:eastAsia="zh-CN" w:bidi="zh-CN"/>
      </w:rPr>
    </w:lvl>
    <w:lvl w:ilvl="8">
      <w:start w:val="0"/>
      <w:numFmt w:val="bullet"/>
      <w:lvlText w:val="•"/>
      <w:lvlJc w:val="left"/>
      <w:pPr>
        <w:ind w:left="8892" w:hanging="917"/>
      </w:pPr>
      <w:rPr>
        <w:rFonts w:hint="default"/>
        <w:lang w:val="zh-CN" w:eastAsia="zh-CN" w:bidi="zh-CN"/>
      </w:rPr>
    </w:lvl>
  </w:abstractNum>
  <w:abstractNum w:abstractNumId="46">
    <w:multiLevelType w:val="hybridMultilevel"/>
    <w:lvl w:ilvl="0">
      <w:start w:val="1"/>
      <w:numFmt w:val="decimal"/>
      <w:lvlText w:val="（%1）"/>
      <w:lvlJc w:val="left"/>
      <w:pPr>
        <w:ind w:left="227" w:hanging="601"/>
        <w:jc w:val="left"/>
      </w:pPr>
      <w:rPr>
        <w:rFonts w:hint="default" w:ascii="宋体" w:hAnsi="宋体" w:eastAsia="宋体" w:cs="宋体"/>
        <w:spacing w:val="-45"/>
        <w:w w:val="100"/>
        <w:sz w:val="22"/>
        <w:szCs w:val="22"/>
        <w:lang w:val="zh-CN" w:eastAsia="zh-CN" w:bidi="zh-CN"/>
      </w:rPr>
    </w:lvl>
    <w:lvl w:ilvl="1">
      <w:start w:val="0"/>
      <w:numFmt w:val="bullet"/>
      <w:lvlText w:val="•"/>
      <w:lvlJc w:val="left"/>
      <w:pPr>
        <w:ind w:left="1269" w:hanging="601"/>
      </w:pPr>
      <w:rPr>
        <w:rFonts w:hint="default"/>
        <w:lang w:val="zh-CN" w:eastAsia="zh-CN" w:bidi="zh-CN"/>
      </w:rPr>
    </w:lvl>
    <w:lvl w:ilvl="2">
      <w:start w:val="0"/>
      <w:numFmt w:val="bullet"/>
      <w:lvlText w:val="•"/>
      <w:lvlJc w:val="left"/>
      <w:pPr>
        <w:ind w:left="2318" w:hanging="601"/>
      </w:pPr>
      <w:rPr>
        <w:rFonts w:hint="default"/>
        <w:lang w:val="zh-CN" w:eastAsia="zh-CN" w:bidi="zh-CN"/>
      </w:rPr>
    </w:lvl>
    <w:lvl w:ilvl="3">
      <w:start w:val="0"/>
      <w:numFmt w:val="bullet"/>
      <w:lvlText w:val="•"/>
      <w:lvlJc w:val="left"/>
      <w:pPr>
        <w:ind w:left="3367" w:hanging="601"/>
      </w:pPr>
      <w:rPr>
        <w:rFonts w:hint="default"/>
        <w:lang w:val="zh-CN" w:eastAsia="zh-CN" w:bidi="zh-CN"/>
      </w:rPr>
    </w:lvl>
    <w:lvl w:ilvl="4">
      <w:start w:val="0"/>
      <w:numFmt w:val="bullet"/>
      <w:lvlText w:val="•"/>
      <w:lvlJc w:val="left"/>
      <w:pPr>
        <w:ind w:left="4416" w:hanging="601"/>
      </w:pPr>
      <w:rPr>
        <w:rFonts w:hint="default"/>
        <w:lang w:val="zh-CN" w:eastAsia="zh-CN" w:bidi="zh-CN"/>
      </w:rPr>
    </w:lvl>
    <w:lvl w:ilvl="5">
      <w:start w:val="0"/>
      <w:numFmt w:val="bullet"/>
      <w:lvlText w:val="•"/>
      <w:lvlJc w:val="left"/>
      <w:pPr>
        <w:ind w:left="5465" w:hanging="601"/>
      </w:pPr>
      <w:rPr>
        <w:rFonts w:hint="default"/>
        <w:lang w:val="zh-CN" w:eastAsia="zh-CN" w:bidi="zh-CN"/>
      </w:rPr>
    </w:lvl>
    <w:lvl w:ilvl="6">
      <w:start w:val="0"/>
      <w:numFmt w:val="bullet"/>
      <w:lvlText w:val="•"/>
      <w:lvlJc w:val="left"/>
      <w:pPr>
        <w:ind w:left="6514" w:hanging="601"/>
      </w:pPr>
      <w:rPr>
        <w:rFonts w:hint="default"/>
        <w:lang w:val="zh-CN" w:eastAsia="zh-CN" w:bidi="zh-CN"/>
      </w:rPr>
    </w:lvl>
    <w:lvl w:ilvl="7">
      <w:start w:val="0"/>
      <w:numFmt w:val="bullet"/>
      <w:lvlText w:val="•"/>
      <w:lvlJc w:val="left"/>
      <w:pPr>
        <w:ind w:left="7563" w:hanging="601"/>
      </w:pPr>
      <w:rPr>
        <w:rFonts w:hint="default"/>
        <w:lang w:val="zh-CN" w:eastAsia="zh-CN" w:bidi="zh-CN"/>
      </w:rPr>
    </w:lvl>
    <w:lvl w:ilvl="8">
      <w:start w:val="0"/>
      <w:numFmt w:val="bullet"/>
      <w:lvlText w:val="•"/>
      <w:lvlJc w:val="left"/>
      <w:pPr>
        <w:ind w:left="8612" w:hanging="601"/>
      </w:pPr>
      <w:rPr>
        <w:rFonts w:hint="default"/>
        <w:lang w:val="zh-CN" w:eastAsia="zh-CN" w:bidi="zh-CN"/>
      </w:rPr>
    </w:lvl>
  </w:abstractNum>
  <w:abstractNum w:abstractNumId="45">
    <w:multiLevelType w:val="hybridMultilevel"/>
    <w:lvl w:ilvl="0">
      <w:start w:val="1"/>
      <w:numFmt w:val="decimal"/>
      <w:lvlText w:val="（%1）"/>
      <w:lvlJc w:val="left"/>
      <w:pPr>
        <w:ind w:left="227" w:hanging="601"/>
        <w:jc w:val="left"/>
      </w:pPr>
      <w:rPr>
        <w:rFonts w:hint="default" w:ascii="宋体" w:hAnsi="宋体" w:eastAsia="宋体" w:cs="宋体"/>
        <w:spacing w:val="-15"/>
        <w:w w:val="100"/>
        <w:sz w:val="22"/>
        <w:szCs w:val="22"/>
        <w:lang w:val="zh-CN" w:eastAsia="zh-CN" w:bidi="zh-CN"/>
      </w:rPr>
    </w:lvl>
    <w:lvl w:ilvl="1">
      <w:start w:val="0"/>
      <w:numFmt w:val="bullet"/>
      <w:lvlText w:val="•"/>
      <w:lvlJc w:val="left"/>
      <w:pPr>
        <w:ind w:left="1269" w:hanging="601"/>
      </w:pPr>
      <w:rPr>
        <w:rFonts w:hint="default"/>
        <w:lang w:val="zh-CN" w:eastAsia="zh-CN" w:bidi="zh-CN"/>
      </w:rPr>
    </w:lvl>
    <w:lvl w:ilvl="2">
      <w:start w:val="0"/>
      <w:numFmt w:val="bullet"/>
      <w:lvlText w:val="•"/>
      <w:lvlJc w:val="left"/>
      <w:pPr>
        <w:ind w:left="2318" w:hanging="601"/>
      </w:pPr>
      <w:rPr>
        <w:rFonts w:hint="default"/>
        <w:lang w:val="zh-CN" w:eastAsia="zh-CN" w:bidi="zh-CN"/>
      </w:rPr>
    </w:lvl>
    <w:lvl w:ilvl="3">
      <w:start w:val="0"/>
      <w:numFmt w:val="bullet"/>
      <w:lvlText w:val="•"/>
      <w:lvlJc w:val="left"/>
      <w:pPr>
        <w:ind w:left="3367" w:hanging="601"/>
      </w:pPr>
      <w:rPr>
        <w:rFonts w:hint="default"/>
        <w:lang w:val="zh-CN" w:eastAsia="zh-CN" w:bidi="zh-CN"/>
      </w:rPr>
    </w:lvl>
    <w:lvl w:ilvl="4">
      <w:start w:val="0"/>
      <w:numFmt w:val="bullet"/>
      <w:lvlText w:val="•"/>
      <w:lvlJc w:val="left"/>
      <w:pPr>
        <w:ind w:left="4416" w:hanging="601"/>
      </w:pPr>
      <w:rPr>
        <w:rFonts w:hint="default"/>
        <w:lang w:val="zh-CN" w:eastAsia="zh-CN" w:bidi="zh-CN"/>
      </w:rPr>
    </w:lvl>
    <w:lvl w:ilvl="5">
      <w:start w:val="0"/>
      <w:numFmt w:val="bullet"/>
      <w:lvlText w:val="•"/>
      <w:lvlJc w:val="left"/>
      <w:pPr>
        <w:ind w:left="5465" w:hanging="601"/>
      </w:pPr>
      <w:rPr>
        <w:rFonts w:hint="default"/>
        <w:lang w:val="zh-CN" w:eastAsia="zh-CN" w:bidi="zh-CN"/>
      </w:rPr>
    </w:lvl>
    <w:lvl w:ilvl="6">
      <w:start w:val="0"/>
      <w:numFmt w:val="bullet"/>
      <w:lvlText w:val="•"/>
      <w:lvlJc w:val="left"/>
      <w:pPr>
        <w:ind w:left="6514" w:hanging="601"/>
      </w:pPr>
      <w:rPr>
        <w:rFonts w:hint="default"/>
        <w:lang w:val="zh-CN" w:eastAsia="zh-CN" w:bidi="zh-CN"/>
      </w:rPr>
    </w:lvl>
    <w:lvl w:ilvl="7">
      <w:start w:val="0"/>
      <w:numFmt w:val="bullet"/>
      <w:lvlText w:val="•"/>
      <w:lvlJc w:val="left"/>
      <w:pPr>
        <w:ind w:left="7563" w:hanging="601"/>
      </w:pPr>
      <w:rPr>
        <w:rFonts w:hint="default"/>
        <w:lang w:val="zh-CN" w:eastAsia="zh-CN" w:bidi="zh-CN"/>
      </w:rPr>
    </w:lvl>
    <w:lvl w:ilvl="8">
      <w:start w:val="0"/>
      <w:numFmt w:val="bullet"/>
      <w:lvlText w:val="•"/>
      <w:lvlJc w:val="left"/>
      <w:pPr>
        <w:ind w:left="8612" w:hanging="601"/>
      </w:pPr>
      <w:rPr>
        <w:rFonts w:hint="default"/>
        <w:lang w:val="zh-CN" w:eastAsia="zh-CN" w:bidi="zh-CN"/>
      </w:rPr>
    </w:lvl>
  </w:abstractNum>
  <w:abstractNum w:abstractNumId="44">
    <w:multiLevelType w:val="hybridMultilevel"/>
    <w:lvl w:ilvl="0">
      <w:start w:val="1"/>
      <w:numFmt w:val="decimal"/>
      <w:lvlText w:val="（%1）"/>
      <w:lvlJc w:val="left"/>
      <w:pPr>
        <w:ind w:left="1188" w:hanging="601"/>
        <w:jc w:val="left"/>
      </w:pPr>
      <w:rPr>
        <w:rFonts w:hint="default" w:ascii="宋体" w:hAnsi="宋体" w:eastAsia="宋体" w:cs="宋体"/>
        <w:spacing w:val="-3"/>
        <w:w w:val="100"/>
        <w:sz w:val="22"/>
        <w:szCs w:val="22"/>
        <w:lang w:val="zh-CN" w:eastAsia="zh-CN" w:bidi="zh-CN"/>
      </w:rPr>
    </w:lvl>
    <w:lvl w:ilvl="1">
      <w:start w:val="0"/>
      <w:numFmt w:val="bullet"/>
      <w:lvlText w:val="•"/>
      <w:lvlJc w:val="left"/>
      <w:pPr>
        <w:ind w:left="2133" w:hanging="601"/>
      </w:pPr>
      <w:rPr>
        <w:rFonts w:hint="default"/>
        <w:lang w:val="zh-CN" w:eastAsia="zh-CN" w:bidi="zh-CN"/>
      </w:rPr>
    </w:lvl>
    <w:lvl w:ilvl="2">
      <w:start w:val="0"/>
      <w:numFmt w:val="bullet"/>
      <w:lvlText w:val="•"/>
      <w:lvlJc w:val="left"/>
      <w:pPr>
        <w:ind w:left="3086" w:hanging="601"/>
      </w:pPr>
      <w:rPr>
        <w:rFonts w:hint="default"/>
        <w:lang w:val="zh-CN" w:eastAsia="zh-CN" w:bidi="zh-CN"/>
      </w:rPr>
    </w:lvl>
    <w:lvl w:ilvl="3">
      <w:start w:val="0"/>
      <w:numFmt w:val="bullet"/>
      <w:lvlText w:val="•"/>
      <w:lvlJc w:val="left"/>
      <w:pPr>
        <w:ind w:left="4039" w:hanging="601"/>
      </w:pPr>
      <w:rPr>
        <w:rFonts w:hint="default"/>
        <w:lang w:val="zh-CN" w:eastAsia="zh-CN" w:bidi="zh-CN"/>
      </w:rPr>
    </w:lvl>
    <w:lvl w:ilvl="4">
      <w:start w:val="0"/>
      <w:numFmt w:val="bullet"/>
      <w:lvlText w:val="•"/>
      <w:lvlJc w:val="left"/>
      <w:pPr>
        <w:ind w:left="4992" w:hanging="601"/>
      </w:pPr>
      <w:rPr>
        <w:rFonts w:hint="default"/>
        <w:lang w:val="zh-CN" w:eastAsia="zh-CN" w:bidi="zh-CN"/>
      </w:rPr>
    </w:lvl>
    <w:lvl w:ilvl="5">
      <w:start w:val="0"/>
      <w:numFmt w:val="bullet"/>
      <w:lvlText w:val="•"/>
      <w:lvlJc w:val="left"/>
      <w:pPr>
        <w:ind w:left="5945" w:hanging="601"/>
      </w:pPr>
      <w:rPr>
        <w:rFonts w:hint="default"/>
        <w:lang w:val="zh-CN" w:eastAsia="zh-CN" w:bidi="zh-CN"/>
      </w:rPr>
    </w:lvl>
    <w:lvl w:ilvl="6">
      <w:start w:val="0"/>
      <w:numFmt w:val="bullet"/>
      <w:lvlText w:val="•"/>
      <w:lvlJc w:val="left"/>
      <w:pPr>
        <w:ind w:left="6898" w:hanging="601"/>
      </w:pPr>
      <w:rPr>
        <w:rFonts w:hint="default"/>
        <w:lang w:val="zh-CN" w:eastAsia="zh-CN" w:bidi="zh-CN"/>
      </w:rPr>
    </w:lvl>
    <w:lvl w:ilvl="7">
      <w:start w:val="0"/>
      <w:numFmt w:val="bullet"/>
      <w:lvlText w:val="•"/>
      <w:lvlJc w:val="left"/>
      <w:pPr>
        <w:ind w:left="7851" w:hanging="601"/>
      </w:pPr>
      <w:rPr>
        <w:rFonts w:hint="default"/>
        <w:lang w:val="zh-CN" w:eastAsia="zh-CN" w:bidi="zh-CN"/>
      </w:rPr>
    </w:lvl>
    <w:lvl w:ilvl="8">
      <w:start w:val="0"/>
      <w:numFmt w:val="bullet"/>
      <w:lvlText w:val="•"/>
      <w:lvlJc w:val="left"/>
      <w:pPr>
        <w:ind w:left="8804" w:hanging="601"/>
      </w:pPr>
      <w:rPr>
        <w:rFonts w:hint="default"/>
        <w:lang w:val="zh-CN" w:eastAsia="zh-CN" w:bidi="zh-CN"/>
      </w:rPr>
    </w:lvl>
  </w:abstractNum>
  <w:abstractNum w:abstractNumId="43">
    <w:multiLevelType w:val="hybridMultilevel"/>
    <w:lvl w:ilvl="0">
      <w:start w:val="1"/>
      <w:numFmt w:val="decimal"/>
      <w:lvlText w:val="(%1)"/>
      <w:lvlJc w:val="left"/>
      <w:pPr>
        <w:ind w:left="1068" w:hanging="361"/>
        <w:jc w:val="left"/>
      </w:pPr>
      <w:rPr>
        <w:rFonts w:hint="default" w:ascii="宋体" w:hAnsi="宋体" w:eastAsia="宋体" w:cs="宋体"/>
        <w:spacing w:val="-3"/>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42">
    <w:multiLevelType w:val="hybridMultilevel"/>
    <w:lvl w:ilvl="0">
      <w:start w:val="4"/>
      <w:numFmt w:val="decimal"/>
      <w:lvlText w:val="(%1)"/>
      <w:lvlJc w:val="left"/>
      <w:pPr>
        <w:ind w:left="978" w:hanging="271"/>
        <w:jc w:val="left"/>
      </w:pPr>
      <w:rPr>
        <w:rFonts w:hint="default" w:ascii="Calibri" w:hAnsi="Calibri" w:eastAsia="Calibri" w:cs="Calibri"/>
        <w:spacing w:val="-2"/>
        <w:w w:val="100"/>
        <w:sz w:val="22"/>
        <w:szCs w:val="22"/>
        <w:lang w:val="zh-CN" w:eastAsia="zh-CN" w:bidi="zh-CN"/>
      </w:rPr>
    </w:lvl>
    <w:lvl w:ilvl="1">
      <w:start w:val="0"/>
      <w:numFmt w:val="bullet"/>
      <w:lvlText w:val="•"/>
      <w:lvlJc w:val="left"/>
      <w:pPr>
        <w:ind w:left="1953" w:hanging="271"/>
      </w:pPr>
      <w:rPr>
        <w:rFonts w:hint="default"/>
        <w:lang w:val="zh-CN" w:eastAsia="zh-CN" w:bidi="zh-CN"/>
      </w:rPr>
    </w:lvl>
    <w:lvl w:ilvl="2">
      <w:start w:val="0"/>
      <w:numFmt w:val="bullet"/>
      <w:lvlText w:val="•"/>
      <w:lvlJc w:val="left"/>
      <w:pPr>
        <w:ind w:left="2926" w:hanging="271"/>
      </w:pPr>
      <w:rPr>
        <w:rFonts w:hint="default"/>
        <w:lang w:val="zh-CN" w:eastAsia="zh-CN" w:bidi="zh-CN"/>
      </w:rPr>
    </w:lvl>
    <w:lvl w:ilvl="3">
      <w:start w:val="0"/>
      <w:numFmt w:val="bullet"/>
      <w:lvlText w:val="•"/>
      <w:lvlJc w:val="left"/>
      <w:pPr>
        <w:ind w:left="3899" w:hanging="271"/>
      </w:pPr>
      <w:rPr>
        <w:rFonts w:hint="default"/>
        <w:lang w:val="zh-CN" w:eastAsia="zh-CN" w:bidi="zh-CN"/>
      </w:rPr>
    </w:lvl>
    <w:lvl w:ilvl="4">
      <w:start w:val="0"/>
      <w:numFmt w:val="bullet"/>
      <w:lvlText w:val="•"/>
      <w:lvlJc w:val="left"/>
      <w:pPr>
        <w:ind w:left="4872" w:hanging="271"/>
      </w:pPr>
      <w:rPr>
        <w:rFonts w:hint="default"/>
        <w:lang w:val="zh-CN" w:eastAsia="zh-CN" w:bidi="zh-CN"/>
      </w:rPr>
    </w:lvl>
    <w:lvl w:ilvl="5">
      <w:start w:val="0"/>
      <w:numFmt w:val="bullet"/>
      <w:lvlText w:val="•"/>
      <w:lvlJc w:val="left"/>
      <w:pPr>
        <w:ind w:left="5845" w:hanging="271"/>
      </w:pPr>
      <w:rPr>
        <w:rFonts w:hint="default"/>
        <w:lang w:val="zh-CN" w:eastAsia="zh-CN" w:bidi="zh-CN"/>
      </w:rPr>
    </w:lvl>
    <w:lvl w:ilvl="6">
      <w:start w:val="0"/>
      <w:numFmt w:val="bullet"/>
      <w:lvlText w:val="•"/>
      <w:lvlJc w:val="left"/>
      <w:pPr>
        <w:ind w:left="6818" w:hanging="271"/>
      </w:pPr>
      <w:rPr>
        <w:rFonts w:hint="default"/>
        <w:lang w:val="zh-CN" w:eastAsia="zh-CN" w:bidi="zh-CN"/>
      </w:rPr>
    </w:lvl>
    <w:lvl w:ilvl="7">
      <w:start w:val="0"/>
      <w:numFmt w:val="bullet"/>
      <w:lvlText w:val="•"/>
      <w:lvlJc w:val="left"/>
      <w:pPr>
        <w:ind w:left="7791" w:hanging="271"/>
      </w:pPr>
      <w:rPr>
        <w:rFonts w:hint="default"/>
        <w:lang w:val="zh-CN" w:eastAsia="zh-CN" w:bidi="zh-CN"/>
      </w:rPr>
    </w:lvl>
    <w:lvl w:ilvl="8">
      <w:start w:val="0"/>
      <w:numFmt w:val="bullet"/>
      <w:lvlText w:val="•"/>
      <w:lvlJc w:val="left"/>
      <w:pPr>
        <w:ind w:left="8764" w:hanging="271"/>
      </w:pPr>
      <w:rPr>
        <w:rFonts w:hint="default"/>
        <w:lang w:val="zh-CN" w:eastAsia="zh-CN" w:bidi="zh-CN"/>
      </w:rPr>
    </w:lvl>
  </w:abstractNum>
  <w:abstractNum w:abstractNumId="41">
    <w:multiLevelType w:val="hybridMultilevel"/>
    <w:lvl w:ilvl="0">
      <w:start w:val="1"/>
      <w:numFmt w:val="decimal"/>
      <w:lvlText w:val="(%1)"/>
      <w:lvlJc w:val="left"/>
      <w:pPr>
        <w:ind w:left="978" w:hanging="271"/>
        <w:jc w:val="left"/>
      </w:pPr>
      <w:rPr>
        <w:rFonts w:hint="default" w:ascii="Calibri" w:hAnsi="Calibri" w:eastAsia="Calibri" w:cs="Calibri"/>
        <w:spacing w:val="-2"/>
        <w:w w:val="100"/>
        <w:sz w:val="22"/>
        <w:szCs w:val="22"/>
        <w:lang w:val="zh-CN" w:eastAsia="zh-CN" w:bidi="zh-CN"/>
      </w:rPr>
    </w:lvl>
    <w:lvl w:ilvl="1">
      <w:start w:val="0"/>
      <w:numFmt w:val="bullet"/>
      <w:lvlText w:val="•"/>
      <w:lvlJc w:val="left"/>
      <w:pPr>
        <w:ind w:left="1953" w:hanging="271"/>
      </w:pPr>
      <w:rPr>
        <w:rFonts w:hint="default"/>
        <w:lang w:val="zh-CN" w:eastAsia="zh-CN" w:bidi="zh-CN"/>
      </w:rPr>
    </w:lvl>
    <w:lvl w:ilvl="2">
      <w:start w:val="0"/>
      <w:numFmt w:val="bullet"/>
      <w:lvlText w:val="•"/>
      <w:lvlJc w:val="left"/>
      <w:pPr>
        <w:ind w:left="2926" w:hanging="271"/>
      </w:pPr>
      <w:rPr>
        <w:rFonts w:hint="default"/>
        <w:lang w:val="zh-CN" w:eastAsia="zh-CN" w:bidi="zh-CN"/>
      </w:rPr>
    </w:lvl>
    <w:lvl w:ilvl="3">
      <w:start w:val="0"/>
      <w:numFmt w:val="bullet"/>
      <w:lvlText w:val="•"/>
      <w:lvlJc w:val="left"/>
      <w:pPr>
        <w:ind w:left="3899" w:hanging="271"/>
      </w:pPr>
      <w:rPr>
        <w:rFonts w:hint="default"/>
        <w:lang w:val="zh-CN" w:eastAsia="zh-CN" w:bidi="zh-CN"/>
      </w:rPr>
    </w:lvl>
    <w:lvl w:ilvl="4">
      <w:start w:val="0"/>
      <w:numFmt w:val="bullet"/>
      <w:lvlText w:val="•"/>
      <w:lvlJc w:val="left"/>
      <w:pPr>
        <w:ind w:left="4872" w:hanging="271"/>
      </w:pPr>
      <w:rPr>
        <w:rFonts w:hint="default"/>
        <w:lang w:val="zh-CN" w:eastAsia="zh-CN" w:bidi="zh-CN"/>
      </w:rPr>
    </w:lvl>
    <w:lvl w:ilvl="5">
      <w:start w:val="0"/>
      <w:numFmt w:val="bullet"/>
      <w:lvlText w:val="•"/>
      <w:lvlJc w:val="left"/>
      <w:pPr>
        <w:ind w:left="5845" w:hanging="271"/>
      </w:pPr>
      <w:rPr>
        <w:rFonts w:hint="default"/>
        <w:lang w:val="zh-CN" w:eastAsia="zh-CN" w:bidi="zh-CN"/>
      </w:rPr>
    </w:lvl>
    <w:lvl w:ilvl="6">
      <w:start w:val="0"/>
      <w:numFmt w:val="bullet"/>
      <w:lvlText w:val="•"/>
      <w:lvlJc w:val="left"/>
      <w:pPr>
        <w:ind w:left="6818" w:hanging="271"/>
      </w:pPr>
      <w:rPr>
        <w:rFonts w:hint="default"/>
        <w:lang w:val="zh-CN" w:eastAsia="zh-CN" w:bidi="zh-CN"/>
      </w:rPr>
    </w:lvl>
    <w:lvl w:ilvl="7">
      <w:start w:val="0"/>
      <w:numFmt w:val="bullet"/>
      <w:lvlText w:val="•"/>
      <w:lvlJc w:val="left"/>
      <w:pPr>
        <w:ind w:left="7791" w:hanging="271"/>
      </w:pPr>
      <w:rPr>
        <w:rFonts w:hint="default"/>
        <w:lang w:val="zh-CN" w:eastAsia="zh-CN" w:bidi="zh-CN"/>
      </w:rPr>
    </w:lvl>
    <w:lvl w:ilvl="8">
      <w:start w:val="0"/>
      <w:numFmt w:val="bullet"/>
      <w:lvlText w:val="•"/>
      <w:lvlJc w:val="left"/>
      <w:pPr>
        <w:ind w:left="8764" w:hanging="271"/>
      </w:pPr>
      <w:rPr>
        <w:rFonts w:hint="default"/>
        <w:lang w:val="zh-CN" w:eastAsia="zh-CN" w:bidi="zh-CN"/>
      </w:rPr>
    </w:lvl>
  </w:abstractNum>
  <w:abstractNum w:abstractNumId="40">
    <w:multiLevelType w:val="hybridMultilevel"/>
    <w:lvl w:ilvl="0">
      <w:start w:val="5"/>
      <w:numFmt w:val="decimal"/>
      <w:lvlText w:val="(%1)"/>
      <w:lvlJc w:val="left"/>
      <w:pPr>
        <w:ind w:left="1068" w:hanging="361"/>
        <w:jc w:val="left"/>
      </w:pPr>
      <w:rPr>
        <w:rFonts w:hint="default" w:ascii="宋体" w:hAnsi="宋体" w:eastAsia="宋体" w:cs="宋体"/>
        <w:spacing w:val="-1"/>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39">
    <w:multiLevelType w:val="hybridMultilevel"/>
    <w:lvl w:ilvl="0">
      <w:start w:val="1"/>
      <w:numFmt w:val="decimal"/>
      <w:lvlText w:val="(%1)"/>
      <w:lvlJc w:val="left"/>
      <w:pPr>
        <w:ind w:left="1068" w:hanging="361"/>
        <w:jc w:val="left"/>
      </w:pPr>
      <w:rPr>
        <w:rFonts w:hint="default" w:ascii="宋体" w:hAnsi="宋体" w:eastAsia="宋体" w:cs="宋体"/>
        <w:spacing w:val="-2"/>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38">
    <w:multiLevelType w:val="hybridMultilevel"/>
    <w:lvl w:ilvl="0">
      <w:start w:val="1"/>
      <w:numFmt w:val="decimal"/>
      <w:lvlText w:val="（%1）"/>
      <w:lvlJc w:val="left"/>
      <w:pPr>
        <w:ind w:left="1188" w:hanging="601"/>
        <w:jc w:val="left"/>
      </w:pPr>
      <w:rPr>
        <w:rFonts w:hint="default" w:ascii="宋体" w:hAnsi="宋体" w:eastAsia="宋体" w:cs="宋体"/>
        <w:spacing w:val="-5"/>
        <w:w w:val="100"/>
        <w:sz w:val="22"/>
        <w:szCs w:val="22"/>
        <w:lang w:val="zh-CN" w:eastAsia="zh-CN" w:bidi="zh-CN"/>
      </w:rPr>
    </w:lvl>
    <w:lvl w:ilvl="1">
      <w:start w:val="0"/>
      <w:numFmt w:val="bullet"/>
      <w:lvlText w:val="•"/>
      <w:lvlJc w:val="left"/>
      <w:pPr>
        <w:ind w:left="2133" w:hanging="601"/>
      </w:pPr>
      <w:rPr>
        <w:rFonts w:hint="default"/>
        <w:lang w:val="zh-CN" w:eastAsia="zh-CN" w:bidi="zh-CN"/>
      </w:rPr>
    </w:lvl>
    <w:lvl w:ilvl="2">
      <w:start w:val="0"/>
      <w:numFmt w:val="bullet"/>
      <w:lvlText w:val="•"/>
      <w:lvlJc w:val="left"/>
      <w:pPr>
        <w:ind w:left="3086" w:hanging="601"/>
      </w:pPr>
      <w:rPr>
        <w:rFonts w:hint="default"/>
        <w:lang w:val="zh-CN" w:eastAsia="zh-CN" w:bidi="zh-CN"/>
      </w:rPr>
    </w:lvl>
    <w:lvl w:ilvl="3">
      <w:start w:val="0"/>
      <w:numFmt w:val="bullet"/>
      <w:lvlText w:val="•"/>
      <w:lvlJc w:val="left"/>
      <w:pPr>
        <w:ind w:left="4039" w:hanging="601"/>
      </w:pPr>
      <w:rPr>
        <w:rFonts w:hint="default"/>
        <w:lang w:val="zh-CN" w:eastAsia="zh-CN" w:bidi="zh-CN"/>
      </w:rPr>
    </w:lvl>
    <w:lvl w:ilvl="4">
      <w:start w:val="0"/>
      <w:numFmt w:val="bullet"/>
      <w:lvlText w:val="•"/>
      <w:lvlJc w:val="left"/>
      <w:pPr>
        <w:ind w:left="4992" w:hanging="601"/>
      </w:pPr>
      <w:rPr>
        <w:rFonts w:hint="default"/>
        <w:lang w:val="zh-CN" w:eastAsia="zh-CN" w:bidi="zh-CN"/>
      </w:rPr>
    </w:lvl>
    <w:lvl w:ilvl="5">
      <w:start w:val="0"/>
      <w:numFmt w:val="bullet"/>
      <w:lvlText w:val="•"/>
      <w:lvlJc w:val="left"/>
      <w:pPr>
        <w:ind w:left="5945" w:hanging="601"/>
      </w:pPr>
      <w:rPr>
        <w:rFonts w:hint="default"/>
        <w:lang w:val="zh-CN" w:eastAsia="zh-CN" w:bidi="zh-CN"/>
      </w:rPr>
    </w:lvl>
    <w:lvl w:ilvl="6">
      <w:start w:val="0"/>
      <w:numFmt w:val="bullet"/>
      <w:lvlText w:val="•"/>
      <w:lvlJc w:val="left"/>
      <w:pPr>
        <w:ind w:left="6898" w:hanging="601"/>
      </w:pPr>
      <w:rPr>
        <w:rFonts w:hint="default"/>
        <w:lang w:val="zh-CN" w:eastAsia="zh-CN" w:bidi="zh-CN"/>
      </w:rPr>
    </w:lvl>
    <w:lvl w:ilvl="7">
      <w:start w:val="0"/>
      <w:numFmt w:val="bullet"/>
      <w:lvlText w:val="•"/>
      <w:lvlJc w:val="left"/>
      <w:pPr>
        <w:ind w:left="7851" w:hanging="601"/>
      </w:pPr>
      <w:rPr>
        <w:rFonts w:hint="default"/>
        <w:lang w:val="zh-CN" w:eastAsia="zh-CN" w:bidi="zh-CN"/>
      </w:rPr>
    </w:lvl>
    <w:lvl w:ilvl="8">
      <w:start w:val="0"/>
      <w:numFmt w:val="bullet"/>
      <w:lvlText w:val="•"/>
      <w:lvlJc w:val="left"/>
      <w:pPr>
        <w:ind w:left="8804" w:hanging="601"/>
      </w:pPr>
      <w:rPr>
        <w:rFonts w:hint="default"/>
        <w:lang w:val="zh-CN" w:eastAsia="zh-CN" w:bidi="zh-CN"/>
      </w:rPr>
    </w:lvl>
  </w:abstractNum>
  <w:abstractNum w:abstractNumId="37">
    <w:multiLevelType w:val="hybridMultilevel"/>
    <w:lvl w:ilvl="0">
      <w:start w:val="9"/>
      <w:numFmt w:val="decimal"/>
      <w:lvlText w:val="%1"/>
      <w:lvlJc w:val="left"/>
      <w:pPr>
        <w:ind w:left="467" w:hanging="240"/>
        <w:jc w:val="left"/>
      </w:pPr>
      <w:rPr>
        <w:rFonts w:hint="default" w:ascii="黑体" w:hAnsi="黑体" w:eastAsia="黑体" w:cs="黑体"/>
        <w:b/>
        <w:bCs/>
        <w:w w:val="100"/>
        <w:sz w:val="28"/>
        <w:szCs w:val="28"/>
        <w:lang w:val="zh-CN" w:eastAsia="zh-CN" w:bidi="zh-CN"/>
      </w:rPr>
    </w:lvl>
    <w:lvl w:ilvl="1">
      <w:start w:val="1"/>
      <w:numFmt w:val="decimal"/>
      <w:lvlText w:val="%1.%2"/>
      <w:lvlJc w:val="left"/>
      <w:pPr>
        <w:ind w:left="647" w:hanging="421"/>
        <w:jc w:val="left"/>
      </w:pPr>
      <w:rPr>
        <w:rFonts w:hint="default" w:ascii="黑体" w:hAnsi="黑体" w:eastAsia="黑体" w:cs="黑体"/>
        <w:w w:val="100"/>
        <w:sz w:val="24"/>
        <w:szCs w:val="24"/>
        <w:lang w:val="zh-CN" w:eastAsia="zh-CN" w:bidi="zh-CN"/>
      </w:rPr>
    </w:lvl>
    <w:lvl w:ilvl="2">
      <w:start w:val="1"/>
      <w:numFmt w:val="decimal"/>
      <w:lvlText w:val="%1.%2.%3"/>
      <w:lvlJc w:val="left"/>
      <w:pPr>
        <w:ind w:left="227" w:hanging="541"/>
        <w:jc w:val="left"/>
      </w:pPr>
      <w:rPr>
        <w:rFonts w:hint="default" w:ascii="Calibri" w:hAnsi="Calibri" w:eastAsia="Calibri" w:cs="Calibri"/>
        <w:spacing w:val="-3"/>
        <w:w w:val="100"/>
        <w:sz w:val="24"/>
        <w:szCs w:val="24"/>
        <w:lang w:val="zh-CN" w:eastAsia="zh-CN" w:bidi="zh-CN"/>
      </w:rPr>
    </w:lvl>
    <w:lvl w:ilvl="3">
      <w:start w:val="1"/>
      <w:numFmt w:val="decimal"/>
      <w:lvlText w:val="（%4）"/>
      <w:lvlJc w:val="left"/>
      <w:pPr>
        <w:ind w:left="1188" w:hanging="601"/>
        <w:jc w:val="left"/>
      </w:pPr>
      <w:rPr>
        <w:rFonts w:hint="default" w:ascii="宋体" w:hAnsi="宋体" w:eastAsia="宋体" w:cs="宋体"/>
        <w:spacing w:val="-2"/>
        <w:w w:val="100"/>
        <w:sz w:val="22"/>
        <w:szCs w:val="22"/>
        <w:lang w:val="zh-CN" w:eastAsia="zh-CN" w:bidi="zh-CN"/>
      </w:rPr>
    </w:lvl>
    <w:lvl w:ilvl="4">
      <w:start w:val="0"/>
      <w:numFmt w:val="bullet"/>
      <w:lvlText w:val="•"/>
      <w:lvlJc w:val="left"/>
      <w:pPr>
        <w:ind w:left="1180" w:hanging="601"/>
      </w:pPr>
      <w:rPr>
        <w:rFonts w:hint="default"/>
        <w:lang w:val="zh-CN" w:eastAsia="zh-CN" w:bidi="zh-CN"/>
      </w:rPr>
    </w:lvl>
    <w:lvl w:ilvl="5">
      <w:start w:val="0"/>
      <w:numFmt w:val="bullet"/>
      <w:lvlText w:val="•"/>
      <w:lvlJc w:val="left"/>
      <w:pPr>
        <w:ind w:left="1240" w:hanging="601"/>
      </w:pPr>
      <w:rPr>
        <w:rFonts w:hint="default"/>
        <w:lang w:val="zh-CN" w:eastAsia="zh-CN" w:bidi="zh-CN"/>
      </w:rPr>
    </w:lvl>
    <w:lvl w:ilvl="6">
      <w:start w:val="0"/>
      <w:numFmt w:val="bullet"/>
      <w:lvlText w:val="•"/>
      <w:lvlJc w:val="left"/>
      <w:pPr>
        <w:ind w:left="1360" w:hanging="601"/>
      </w:pPr>
      <w:rPr>
        <w:rFonts w:hint="default"/>
        <w:lang w:val="zh-CN" w:eastAsia="zh-CN" w:bidi="zh-CN"/>
      </w:rPr>
    </w:lvl>
    <w:lvl w:ilvl="7">
      <w:start w:val="0"/>
      <w:numFmt w:val="bullet"/>
      <w:lvlText w:val="•"/>
      <w:lvlJc w:val="left"/>
      <w:pPr>
        <w:ind w:left="1420" w:hanging="601"/>
      </w:pPr>
      <w:rPr>
        <w:rFonts w:hint="default"/>
        <w:lang w:val="zh-CN" w:eastAsia="zh-CN" w:bidi="zh-CN"/>
      </w:rPr>
    </w:lvl>
    <w:lvl w:ilvl="8">
      <w:start w:val="0"/>
      <w:numFmt w:val="bullet"/>
      <w:lvlText w:val="•"/>
      <w:lvlJc w:val="left"/>
      <w:pPr>
        <w:ind w:left="1440" w:hanging="601"/>
      </w:pPr>
      <w:rPr>
        <w:rFonts w:hint="default"/>
        <w:lang w:val="zh-CN" w:eastAsia="zh-CN" w:bidi="zh-CN"/>
      </w:rPr>
    </w:lvl>
  </w:abstractNum>
  <w:abstractNum w:abstractNumId="36">
    <w:multiLevelType w:val="hybridMultilevel"/>
    <w:lvl w:ilvl="0">
      <w:start w:val="7"/>
      <w:numFmt w:val="decimal"/>
      <w:lvlText w:val="%1."/>
      <w:lvlJc w:val="left"/>
      <w:pPr>
        <w:ind w:left="542" w:hanging="315"/>
        <w:jc w:val="left"/>
      </w:pPr>
      <w:rPr>
        <w:rFonts w:hint="default" w:ascii="黑体" w:hAnsi="黑体" w:eastAsia="黑体" w:cs="黑体"/>
        <w:b/>
        <w:bCs/>
        <w:spacing w:val="7"/>
        <w:w w:val="100"/>
        <w:sz w:val="26"/>
        <w:szCs w:val="26"/>
        <w:lang w:val="zh-CN" w:eastAsia="zh-CN" w:bidi="zh-CN"/>
      </w:rPr>
    </w:lvl>
    <w:lvl w:ilvl="1">
      <w:start w:val="1"/>
      <w:numFmt w:val="decimal"/>
      <w:lvlText w:val="%1.%2"/>
      <w:lvlJc w:val="left"/>
      <w:pPr>
        <w:ind w:left="647" w:hanging="421"/>
        <w:jc w:val="left"/>
      </w:pPr>
      <w:rPr>
        <w:rFonts w:hint="default" w:ascii="黑体" w:hAnsi="黑体" w:eastAsia="黑体" w:cs="黑体"/>
        <w:w w:val="100"/>
        <w:sz w:val="24"/>
        <w:szCs w:val="24"/>
        <w:lang w:val="zh-CN" w:eastAsia="zh-CN" w:bidi="zh-CN"/>
      </w:rPr>
    </w:lvl>
    <w:lvl w:ilvl="2">
      <w:start w:val="1"/>
      <w:numFmt w:val="decimal"/>
      <w:lvlText w:val="%1.%2.%3"/>
      <w:lvlJc w:val="left"/>
      <w:pPr>
        <w:ind w:left="1233" w:hanging="541"/>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1240" w:hanging="541"/>
      </w:pPr>
      <w:rPr>
        <w:rFonts w:hint="default"/>
        <w:lang w:val="zh-CN" w:eastAsia="zh-CN" w:bidi="zh-CN"/>
      </w:rPr>
    </w:lvl>
    <w:lvl w:ilvl="4">
      <w:start w:val="0"/>
      <w:numFmt w:val="bullet"/>
      <w:lvlText w:val="•"/>
      <w:lvlJc w:val="left"/>
      <w:pPr>
        <w:ind w:left="2592" w:hanging="541"/>
      </w:pPr>
      <w:rPr>
        <w:rFonts w:hint="default"/>
        <w:lang w:val="zh-CN" w:eastAsia="zh-CN" w:bidi="zh-CN"/>
      </w:rPr>
    </w:lvl>
    <w:lvl w:ilvl="5">
      <w:start w:val="0"/>
      <w:numFmt w:val="bullet"/>
      <w:lvlText w:val="•"/>
      <w:lvlJc w:val="left"/>
      <w:pPr>
        <w:ind w:left="3945" w:hanging="541"/>
      </w:pPr>
      <w:rPr>
        <w:rFonts w:hint="default"/>
        <w:lang w:val="zh-CN" w:eastAsia="zh-CN" w:bidi="zh-CN"/>
      </w:rPr>
    </w:lvl>
    <w:lvl w:ilvl="6">
      <w:start w:val="0"/>
      <w:numFmt w:val="bullet"/>
      <w:lvlText w:val="•"/>
      <w:lvlJc w:val="left"/>
      <w:pPr>
        <w:ind w:left="5298" w:hanging="541"/>
      </w:pPr>
      <w:rPr>
        <w:rFonts w:hint="default"/>
        <w:lang w:val="zh-CN" w:eastAsia="zh-CN" w:bidi="zh-CN"/>
      </w:rPr>
    </w:lvl>
    <w:lvl w:ilvl="7">
      <w:start w:val="0"/>
      <w:numFmt w:val="bullet"/>
      <w:lvlText w:val="•"/>
      <w:lvlJc w:val="left"/>
      <w:pPr>
        <w:ind w:left="6651" w:hanging="541"/>
      </w:pPr>
      <w:rPr>
        <w:rFonts w:hint="default"/>
        <w:lang w:val="zh-CN" w:eastAsia="zh-CN" w:bidi="zh-CN"/>
      </w:rPr>
    </w:lvl>
    <w:lvl w:ilvl="8">
      <w:start w:val="0"/>
      <w:numFmt w:val="bullet"/>
      <w:lvlText w:val="•"/>
      <w:lvlJc w:val="left"/>
      <w:pPr>
        <w:ind w:left="8004" w:hanging="541"/>
      </w:pPr>
      <w:rPr>
        <w:rFonts w:hint="default"/>
        <w:lang w:val="zh-CN" w:eastAsia="zh-CN" w:bidi="zh-CN"/>
      </w:rPr>
    </w:lvl>
  </w:abstractNum>
  <w:abstractNum w:abstractNumId="35">
    <w:multiLevelType w:val="hybridMultilevel"/>
    <w:lvl w:ilvl="0">
      <w:start w:val="6"/>
      <w:numFmt w:val="decimal"/>
      <w:lvlText w:val="%1"/>
      <w:lvlJc w:val="left"/>
      <w:pPr>
        <w:ind w:left="227" w:hanging="541"/>
        <w:jc w:val="left"/>
      </w:pPr>
      <w:rPr>
        <w:rFonts w:hint="default"/>
        <w:lang w:val="zh-CN" w:eastAsia="zh-CN" w:bidi="zh-CN"/>
      </w:rPr>
    </w:lvl>
    <w:lvl w:ilvl="1">
      <w:start w:val="4"/>
      <w:numFmt w:val="decimal"/>
      <w:lvlText w:val="%1.%2"/>
      <w:lvlJc w:val="left"/>
      <w:pPr>
        <w:ind w:left="227" w:hanging="541"/>
        <w:jc w:val="left"/>
      </w:pPr>
      <w:rPr>
        <w:rFonts w:hint="default"/>
        <w:lang w:val="zh-CN" w:eastAsia="zh-CN" w:bidi="zh-CN"/>
      </w:rPr>
    </w:lvl>
    <w:lvl w:ilvl="2">
      <w:start w:val="1"/>
      <w:numFmt w:val="decimal"/>
      <w:lvlText w:val="%1.%2.%3"/>
      <w:lvlJc w:val="left"/>
      <w:pPr>
        <w:ind w:left="227" w:hanging="541"/>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3367" w:hanging="541"/>
      </w:pPr>
      <w:rPr>
        <w:rFonts w:hint="default"/>
        <w:lang w:val="zh-CN" w:eastAsia="zh-CN" w:bidi="zh-CN"/>
      </w:rPr>
    </w:lvl>
    <w:lvl w:ilvl="4">
      <w:start w:val="0"/>
      <w:numFmt w:val="bullet"/>
      <w:lvlText w:val="•"/>
      <w:lvlJc w:val="left"/>
      <w:pPr>
        <w:ind w:left="4416" w:hanging="541"/>
      </w:pPr>
      <w:rPr>
        <w:rFonts w:hint="default"/>
        <w:lang w:val="zh-CN" w:eastAsia="zh-CN" w:bidi="zh-CN"/>
      </w:rPr>
    </w:lvl>
    <w:lvl w:ilvl="5">
      <w:start w:val="0"/>
      <w:numFmt w:val="bullet"/>
      <w:lvlText w:val="•"/>
      <w:lvlJc w:val="left"/>
      <w:pPr>
        <w:ind w:left="5465" w:hanging="541"/>
      </w:pPr>
      <w:rPr>
        <w:rFonts w:hint="default"/>
        <w:lang w:val="zh-CN" w:eastAsia="zh-CN" w:bidi="zh-CN"/>
      </w:rPr>
    </w:lvl>
    <w:lvl w:ilvl="6">
      <w:start w:val="0"/>
      <w:numFmt w:val="bullet"/>
      <w:lvlText w:val="•"/>
      <w:lvlJc w:val="left"/>
      <w:pPr>
        <w:ind w:left="6514" w:hanging="541"/>
      </w:pPr>
      <w:rPr>
        <w:rFonts w:hint="default"/>
        <w:lang w:val="zh-CN" w:eastAsia="zh-CN" w:bidi="zh-CN"/>
      </w:rPr>
    </w:lvl>
    <w:lvl w:ilvl="7">
      <w:start w:val="0"/>
      <w:numFmt w:val="bullet"/>
      <w:lvlText w:val="•"/>
      <w:lvlJc w:val="left"/>
      <w:pPr>
        <w:ind w:left="7563" w:hanging="541"/>
      </w:pPr>
      <w:rPr>
        <w:rFonts w:hint="default"/>
        <w:lang w:val="zh-CN" w:eastAsia="zh-CN" w:bidi="zh-CN"/>
      </w:rPr>
    </w:lvl>
    <w:lvl w:ilvl="8">
      <w:start w:val="0"/>
      <w:numFmt w:val="bullet"/>
      <w:lvlText w:val="•"/>
      <w:lvlJc w:val="left"/>
      <w:pPr>
        <w:ind w:left="8612" w:hanging="541"/>
      </w:pPr>
      <w:rPr>
        <w:rFonts w:hint="default"/>
        <w:lang w:val="zh-CN" w:eastAsia="zh-CN" w:bidi="zh-CN"/>
      </w:rPr>
    </w:lvl>
  </w:abstractNum>
  <w:abstractNum w:abstractNumId="34">
    <w:multiLevelType w:val="hybridMultilevel"/>
    <w:lvl w:ilvl="0">
      <w:start w:val="6"/>
      <w:numFmt w:val="decimal"/>
      <w:lvlText w:val="%1"/>
      <w:lvlJc w:val="left"/>
      <w:pPr>
        <w:ind w:left="467" w:hanging="240"/>
        <w:jc w:val="left"/>
      </w:pPr>
      <w:rPr>
        <w:rFonts w:hint="default" w:ascii="黑体" w:hAnsi="黑体" w:eastAsia="黑体" w:cs="黑体"/>
        <w:b/>
        <w:bCs/>
        <w:w w:val="100"/>
        <w:sz w:val="28"/>
        <w:szCs w:val="28"/>
        <w:lang w:val="zh-CN" w:eastAsia="zh-CN" w:bidi="zh-CN"/>
      </w:rPr>
    </w:lvl>
    <w:lvl w:ilvl="1">
      <w:start w:val="1"/>
      <w:numFmt w:val="decimal"/>
      <w:lvlText w:val="%1.%2"/>
      <w:lvlJc w:val="left"/>
      <w:pPr>
        <w:ind w:left="647" w:hanging="421"/>
        <w:jc w:val="left"/>
      </w:pPr>
      <w:rPr>
        <w:rFonts w:hint="default" w:ascii="黑体" w:hAnsi="黑体" w:eastAsia="黑体" w:cs="黑体"/>
        <w:w w:val="100"/>
        <w:sz w:val="24"/>
        <w:szCs w:val="24"/>
        <w:lang w:val="zh-CN" w:eastAsia="zh-CN" w:bidi="zh-CN"/>
      </w:rPr>
    </w:lvl>
    <w:lvl w:ilvl="2">
      <w:start w:val="1"/>
      <w:numFmt w:val="decimal"/>
      <w:lvlText w:val="%1.%2.%3"/>
      <w:lvlJc w:val="left"/>
      <w:pPr>
        <w:ind w:left="227" w:hanging="541"/>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1898" w:hanging="541"/>
      </w:pPr>
      <w:rPr>
        <w:rFonts w:hint="default"/>
        <w:lang w:val="zh-CN" w:eastAsia="zh-CN" w:bidi="zh-CN"/>
      </w:rPr>
    </w:lvl>
    <w:lvl w:ilvl="4">
      <w:start w:val="0"/>
      <w:numFmt w:val="bullet"/>
      <w:lvlText w:val="•"/>
      <w:lvlJc w:val="left"/>
      <w:pPr>
        <w:ind w:left="3157" w:hanging="541"/>
      </w:pPr>
      <w:rPr>
        <w:rFonts w:hint="default"/>
        <w:lang w:val="zh-CN" w:eastAsia="zh-CN" w:bidi="zh-CN"/>
      </w:rPr>
    </w:lvl>
    <w:lvl w:ilvl="5">
      <w:start w:val="0"/>
      <w:numFmt w:val="bullet"/>
      <w:lvlText w:val="•"/>
      <w:lvlJc w:val="left"/>
      <w:pPr>
        <w:ind w:left="4416" w:hanging="541"/>
      </w:pPr>
      <w:rPr>
        <w:rFonts w:hint="default"/>
        <w:lang w:val="zh-CN" w:eastAsia="zh-CN" w:bidi="zh-CN"/>
      </w:rPr>
    </w:lvl>
    <w:lvl w:ilvl="6">
      <w:start w:val="0"/>
      <w:numFmt w:val="bullet"/>
      <w:lvlText w:val="•"/>
      <w:lvlJc w:val="left"/>
      <w:pPr>
        <w:ind w:left="5675" w:hanging="541"/>
      </w:pPr>
      <w:rPr>
        <w:rFonts w:hint="default"/>
        <w:lang w:val="zh-CN" w:eastAsia="zh-CN" w:bidi="zh-CN"/>
      </w:rPr>
    </w:lvl>
    <w:lvl w:ilvl="7">
      <w:start w:val="0"/>
      <w:numFmt w:val="bullet"/>
      <w:lvlText w:val="•"/>
      <w:lvlJc w:val="left"/>
      <w:pPr>
        <w:ind w:left="6933" w:hanging="541"/>
      </w:pPr>
      <w:rPr>
        <w:rFonts w:hint="default"/>
        <w:lang w:val="zh-CN" w:eastAsia="zh-CN" w:bidi="zh-CN"/>
      </w:rPr>
    </w:lvl>
    <w:lvl w:ilvl="8">
      <w:start w:val="0"/>
      <w:numFmt w:val="bullet"/>
      <w:lvlText w:val="•"/>
      <w:lvlJc w:val="left"/>
      <w:pPr>
        <w:ind w:left="8192" w:hanging="541"/>
      </w:pPr>
      <w:rPr>
        <w:rFonts w:hint="default"/>
        <w:lang w:val="zh-CN" w:eastAsia="zh-CN" w:bidi="zh-CN"/>
      </w:rPr>
    </w:lvl>
  </w:abstractNum>
  <w:abstractNum w:abstractNumId="33">
    <w:multiLevelType w:val="hybridMultilevel"/>
    <w:lvl w:ilvl="0">
      <w:start w:val="4"/>
      <w:numFmt w:val="decimal"/>
      <w:lvlText w:val="%1"/>
      <w:lvlJc w:val="left"/>
      <w:pPr>
        <w:ind w:left="227" w:hanging="662"/>
        <w:jc w:val="left"/>
      </w:pPr>
      <w:rPr>
        <w:rFonts w:hint="default"/>
        <w:lang w:val="zh-CN" w:eastAsia="zh-CN" w:bidi="zh-CN"/>
      </w:rPr>
    </w:lvl>
    <w:lvl w:ilvl="1">
      <w:start w:val="11"/>
      <w:numFmt w:val="decimal"/>
      <w:lvlText w:val="%1.%2"/>
      <w:lvlJc w:val="left"/>
      <w:pPr>
        <w:ind w:left="227" w:hanging="662"/>
        <w:jc w:val="left"/>
      </w:pPr>
      <w:rPr>
        <w:rFonts w:hint="default"/>
        <w:lang w:val="zh-CN" w:eastAsia="zh-CN" w:bidi="zh-CN"/>
      </w:rPr>
    </w:lvl>
    <w:lvl w:ilvl="2">
      <w:start w:val="1"/>
      <w:numFmt w:val="decimal"/>
      <w:lvlText w:val="%1.%2.%3"/>
      <w:lvlJc w:val="left"/>
      <w:pPr>
        <w:ind w:left="227" w:hanging="662"/>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3367" w:hanging="662"/>
      </w:pPr>
      <w:rPr>
        <w:rFonts w:hint="default"/>
        <w:lang w:val="zh-CN" w:eastAsia="zh-CN" w:bidi="zh-CN"/>
      </w:rPr>
    </w:lvl>
    <w:lvl w:ilvl="4">
      <w:start w:val="0"/>
      <w:numFmt w:val="bullet"/>
      <w:lvlText w:val="•"/>
      <w:lvlJc w:val="left"/>
      <w:pPr>
        <w:ind w:left="4416" w:hanging="662"/>
      </w:pPr>
      <w:rPr>
        <w:rFonts w:hint="default"/>
        <w:lang w:val="zh-CN" w:eastAsia="zh-CN" w:bidi="zh-CN"/>
      </w:rPr>
    </w:lvl>
    <w:lvl w:ilvl="5">
      <w:start w:val="0"/>
      <w:numFmt w:val="bullet"/>
      <w:lvlText w:val="•"/>
      <w:lvlJc w:val="left"/>
      <w:pPr>
        <w:ind w:left="5465" w:hanging="662"/>
      </w:pPr>
      <w:rPr>
        <w:rFonts w:hint="default"/>
        <w:lang w:val="zh-CN" w:eastAsia="zh-CN" w:bidi="zh-CN"/>
      </w:rPr>
    </w:lvl>
    <w:lvl w:ilvl="6">
      <w:start w:val="0"/>
      <w:numFmt w:val="bullet"/>
      <w:lvlText w:val="•"/>
      <w:lvlJc w:val="left"/>
      <w:pPr>
        <w:ind w:left="6514" w:hanging="662"/>
      </w:pPr>
      <w:rPr>
        <w:rFonts w:hint="default"/>
        <w:lang w:val="zh-CN" w:eastAsia="zh-CN" w:bidi="zh-CN"/>
      </w:rPr>
    </w:lvl>
    <w:lvl w:ilvl="7">
      <w:start w:val="0"/>
      <w:numFmt w:val="bullet"/>
      <w:lvlText w:val="•"/>
      <w:lvlJc w:val="left"/>
      <w:pPr>
        <w:ind w:left="7563" w:hanging="662"/>
      </w:pPr>
      <w:rPr>
        <w:rFonts w:hint="default"/>
        <w:lang w:val="zh-CN" w:eastAsia="zh-CN" w:bidi="zh-CN"/>
      </w:rPr>
    </w:lvl>
    <w:lvl w:ilvl="8">
      <w:start w:val="0"/>
      <w:numFmt w:val="bullet"/>
      <w:lvlText w:val="•"/>
      <w:lvlJc w:val="left"/>
      <w:pPr>
        <w:ind w:left="8612" w:hanging="662"/>
      </w:pPr>
      <w:rPr>
        <w:rFonts w:hint="default"/>
        <w:lang w:val="zh-CN" w:eastAsia="zh-CN" w:bidi="zh-CN"/>
      </w:rPr>
    </w:lvl>
  </w:abstractNum>
  <w:abstractNum w:abstractNumId="32">
    <w:multiLevelType w:val="hybridMultilevel"/>
    <w:lvl w:ilvl="0">
      <w:start w:val="4"/>
      <w:numFmt w:val="decimal"/>
      <w:lvlText w:val="%1"/>
      <w:lvlJc w:val="left"/>
      <w:pPr>
        <w:ind w:left="227" w:hanging="662"/>
        <w:jc w:val="left"/>
      </w:pPr>
      <w:rPr>
        <w:rFonts w:hint="default"/>
        <w:lang w:val="zh-CN" w:eastAsia="zh-CN" w:bidi="zh-CN"/>
      </w:rPr>
    </w:lvl>
    <w:lvl w:ilvl="1">
      <w:start w:val="10"/>
      <w:numFmt w:val="decimal"/>
      <w:lvlText w:val="%1.%2"/>
      <w:lvlJc w:val="left"/>
      <w:pPr>
        <w:ind w:left="227" w:hanging="662"/>
        <w:jc w:val="left"/>
      </w:pPr>
      <w:rPr>
        <w:rFonts w:hint="default"/>
        <w:lang w:val="zh-CN" w:eastAsia="zh-CN" w:bidi="zh-CN"/>
      </w:rPr>
    </w:lvl>
    <w:lvl w:ilvl="2">
      <w:start w:val="1"/>
      <w:numFmt w:val="decimal"/>
      <w:lvlText w:val="%1.%2.%3"/>
      <w:lvlJc w:val="left"/>
      <w:pPr>
        <w:ind w:left="227" w:hanging="662"/>
        <w:jc w:val="left"/>
      </w:pPr>
      <w:rPr>
        <w:rFonts w:hint="default" w:ascii="Calibri" w:hAnsi="Calibri" w:eastAsia="Calibri" w:cs="Calibri"/>
        <w:spacing w:val="-3"/>
        <w:w w:val="100"/>
        <w:sz w:val="24"/>
        <w:szCs w:val="24"/>
        <w:lang w:val="zh-CN" w:eastAsia="zh-CN" w:bidi="zh-CN"/>
      </w:rPr>
    </w:lvl>
    <w:lvl w:ilvl="3">
      <w:start w:val="0"/>
      <w:numFmt w:val="bullet"/>
      <w:lvlText w:val="•"/>
      <w:lvlJc w:val="left"/>
      <w:pPr>
        <w:ind w:left="3367" w:hanging="662"/>
      </w:pPr>
      <w:rPr>
        <w:rFonts w:hint="default"/>
        <w:lang w:val="zh-CN" w:eastAsia="zh-CN" w:bidi="zh-CN"/>
      </w:rPr>
    </w:lvl>
    <w:lvl w:ilvl="4">
      <w:start w:val="0"/>
      <w:numFmt w:val="bullet"/>
      <w:lvlText w:val="•"/>
      <w:lvlJc w:val="left"/>
      <w:pPr>
        <w:ind w:left="4416" w:hanging="662"/>
      </w:pPr>
      <w:rPr>
        <w:rFonts w:hint="default"/>
        <w:lang w:val="zh-CN" w:eastAsia="zh-CN" w:bidi="zh-CN"/>
      </w:rPr>
    </w:lvl>
    <w:lvl w:ilvl="5">
      <w:start w:val="0"/>
      <w:numFmt w:val="bullet"/>
      <w:lvlText w:val="•"/>
      <w:lvlJc w:val="left"/>
      <w:pPr>
        <w:ind w:left="5465" w:hanging="662"/>
      </w:pPr>
      <w:rPr>
        <w:rFonts w:hint="default"/>
        <w:lang w:val="zh-CN" w:eastAsia="zh-CN" w:bidi="zh-CN"/>
      </w:rPr>
    </w:lvl>
    <w:lvl w:ilvl="6">
      <w:start w:val="0"/>
      <w:numFmt w:val="bullet"/>
      <w:lvlText w:val="•"/>
      <w:lvlJc w:val="left"/>
      <w:pPr>
        <w:ind w:left="6514" w:hanging="662"/>
      </w:pPr>
      <w:rPr>
        <w:rFonts w:hint="default"/>
        <w:lang w:val="zh-CN" w:eastAsia="zh-CN" w:bidi="zh-CN"/>
      </w:rPr>
    </w:lvl>
    <w:lvl w:ilvl="7">
      <w:start w:val="0"/>
      <w:numFmt w:val="bullet"/>
      <w:lvlText w:val="•"/>
      <w:lvlJc w:val="left"/>
      <w:pPr>
        <w:ind w:left="7563" w:hanging="662"/>
      </w:pPr>
      <w:rPr>
        <w:rFonts w:hint="default"/>
        <w:lang w:val="zh-CN" w:eastAsia="zh-CN" w:bidi="zh-CN"/>
      </w:rPr>
    </w:lvl>
    <w:lvl w:ilvl="8">
      <w:start w:val="0"/>
      <w:numFmt w:val="bullet"/>
      <w:lvlText w:val="•"/>
      <w:lvlJc w:val="left"/>
      <w:pPr>
        <w:ind w:left="8612" w:hanging="662"/>
      </w:pPr>
      <w:rPr>
        <w:rFonts w:hint="default"/>
        <w:lang w:val="zh-CN" w:eastAsia="zh-CN" w:bidi="zh-CN"/>
      </w:rPr>
    </w:lvl>
  </w:abstractNum>
  <w:abstractNum w:abstractNumId="31">
    <w:multiLevelType w:val="hybridMultilevel"/>
    <w:lvl w:ilvl="0">
      <w:start w:val="2"/>
      <w:numFmt w:val="decimal"/>
      <w:lvlText w:val="(%1)"/>
      <w:lvlJc w:val="left"/>
      <w:pPr>
        <w:ind w:left="1068" w:hanging="361"/>
        <w:jc w:val="left"/>
      </w:pPr>
      <w:rPr>
        <w:rFonts w:hint="default" w:ascii="宋体" w:hAnsi="宋体" w:eastAsia="宋体" w:cs="宋体"/>
        <w:spacing w:val="-3"/>
        <w:w w:val="100"/>
        <w:sz w:val="22"/>
        <w:szCs w:val="22"/>
        <w:lang w:val="zh-CN" w:eastAsia="zh-CN" w:bidi="zh-CN"/>
      </w:rPr>
    </w:lvl>
    <w:lvl w:ilvl="1">
      <w:start w:val="0"/>
      <w:numFmt w:val="bullet"/>
      <w:lvlText w:val="•"/>
      <w:lvlJc w:val="left"/>
      <w:pPr>
        <w:ind w:left="2025" w:hanging="361"/>
      </w:pPr>
      <w:rPr>
        <w:rFonts w:hint="default"/>
        <w:lang w:val="zh-CN" w:eastAsia="zh-CN" w:bidi="zh-CN"/>
      </w:rPr>
    </w:lvl>
    <w:lvl w:ilvl="2">
      <w:start w:val="0"/>
      <w:numFmt w:val="bullet"/>
      <w:lvlText w:val="•"/>
      <w:lvlJc w:val="left"/>
      <w:pPr>
        <w:ind w:left="2990" w:hanging="361"/>
      </w:pPr>
      <w:rPr>
        <w:rFonts w:hint="default"/>
        <w:lang w:val="zh-CN" w:eastAsia="zh-CN" w:bidi="zh-CN"/>
      </w:rPr>
    </w:lvl>
    <w:lvl w:ilvl="3">
      <w:start w:val="0"/>
      <w:numFmt w:val="bullet"/>
      <w:lvlText w:val="•"/>
      <w:lvlJc w:val="left"/>
      <w:pPr>
        <w:ind w:left="3955" w:hanging="361"/>
      </w:pPr>
      <w:rPr>
        <w:rFonts w:hint="default"/>
        <w:lang w:val="zh-CN" w:eastAsia="zh-CN" w:bidi="zh-CN"/>
      </w:rPr>
    </w:lvl>
    <w:lvl w:ilvl="4">
      <w:start w:val="0"/>
      <w:numFmt w:val="bullet"/>
      <w:lvlText w:val="•"/>
      <w:lvlJc w:val="left"/>
      <w:pPr>
        <w:ind w:left="4920" w:hanging="361"/>
      </w:pPr>
      <w:rPr>
        <w:rFonts w:hint="default"/>
        <w:lang w:val="zh-CN" w:eastAsia="zh-CN" w:bidi="zh-CN"/>
      </w:rPr>
    </w:lvl>
    <w:lvl w:ilvl="5">
      <w:start w:val="0"/>
      <w:numFmt w:val="bullet"/>
      <w:lvlText w:val="•"/>
      <w:lvlJc w:val="left"/>
      <w:pPr>
        <w:ind w:left="5885" w:hanging="361"/>
      </w:pPr>
      <w:rPr>
        <w:rFonts w:hint="default"/>
        <w:lang w:val="zh-CN" w:eastAsia="zh-CN" w:bidi="zh-CN"/>
      </w:rPr>
    </w:lvl>
    <w:lvl w:ilvl="6">
      <w:start w:val="0"/>
      <w:numFmt w:val="bullet"/>
      <w:lvlText w:val="•"/>
      <w:lvlJc w:val="left"/>
      <w:pPr>
        <w:ind w:left="6850" w:hanging="361"/>
      </w:pPr>
      <w:rPr>
        <w:rFonts w:hint="default"/>
        <w:lang w:val="zh-CN" w:eastAsia="zh-CN" w:bidi="zh-CN"/>
      </w:rPr>
    </w:lvl>
    <w:lvl w:ilvl="7">
      <w:start w:val="0"/>
      <w:numFmt w:val="bullet"/>
      <w:lvlText w:val="•"/>
      <w:lvlJc w:val="left"/>
      <w:pPr>
        <w:ind w:left="7815" w:hanging="361"/>
      </w:pPr>
      <w:rPr>
        <w:rFonts w:hint="default"/>
        <w:lang w:val="zh-CN" w:eastAsia="zh-CN" w:bidi="zh-CN"/>
      </w:rPr>
    </w:lvl>
    <w:lvl w:ilvl="8">
      <w:start w:val="0"/>
      <w:numFmt w:val="bullet"/>
      <w:lvlText w:val="•"/>
      <w:lvlJc w:val="left"/>
      <w:pPr>
        <w:ind w:left="8780" w:hanging="361"/>
      </w:pPr>
      <w:rPr>
        <w:rFonts w:hint="default"/>
        <w:lang w:val="zh-CN" w:eastAsia="zh-CN" w:bidi="zh-CN"/>
      </w:rPr>
    </w:lvl>
  </w:abstractNum>
  <w:abstractNum w:abstractNumId="30">
    <w:multiLevelType w:val="hybridMultilevel"/>
    <w:lvl w:ilvl="0">
      <w:start w:val="1"/>
      <w:numFmt w:val="decimal"/>
      <w:lvlText w:val="%1"/>
      <w:lvlJc w:val="left"/>
      <w:pPr>
        <w:ind w:left="1428" w:hanging="722"/>
        <w:jc w:val="left"/>
      </w:pPr>
      <w:rPr>
        <w:rFonts w:hint="default"/>
        <w:lang w:val="zh-CN" w:eastAsia="zh-CN" w:bidi="zh-CN"/>
      </w:rPr>
    </w:lvl>
    <w:lvl w:ilvl="1">
      <w:start w:val="1"/>
      <w:numFmt w:val="decimal"/>
      <w:lvlText w:val="%1.%2"/>
      <w:lvlJc w:val="left"/>
      <w:pPr>
        <w:ind w:left="1428" w:hanging="722"/>
        <w:jc w:val="left"/>
      </w:pPr>
      <w:rPr>
        <w:rFonts w:hint="default"/>
        <w:lang w:val="zh-CN" w:eastAsia="zh-CN" w:bidi="zh-CN"/>
      </w:rPr>
    </w:lvl>
    <w:lvl w:ilvl="2">
      <w:start w:val="4"/>
      <w:numFmt w:val="decimal"/>
      <w:lvlText w:val="%1.%2.%3"/>
      <w:lvlJc w:val="left"/>
      <w:pPr>
        <w:ind w:left="1428" w:hanging="722"/>
        <w:jc w:val="left"/>
      </w:pPr>
      <w:rPr>
        <w:rFonts w:hint="default"/>
        <w:lang w:val="zh-CN" w:eastAsia="zh-CN" w:bidi="zh-CN"/>
      </w:rPr>
    </w:lvl>
    <w:lvl w:ilvl="3">
      <w:start w:val="2"/>
      <w:numFmt w:val="decimal"/>
      <w:lvlText w:val="%1.%2.%3.%4"/>
      <w:lvlJc w:val="left"/>
      <w:pPr>
        <w:ind w:left="1428" w:hanging="722"/>
        <w:jc w:val="left"/>
      </w:pPr>
      <w:rPr>
        <w:rFonts w:hint="default" w:ascii="Calibri" w:hAnsi="Calibri" w:eastAsia="Calibri" w:cs="Calibri"/>
        <w:spacing w:val="-3"/>
        <w:w w:val="100"/>
        <w:sz w:val="24"/>
        <w:szCs w:val="24"/>
        <w:lang w:val="zh-CN" w:eastAsia="zh-CN" w:bidi="zh-CN"/>
      </w:rPr>
    </w:lvl>
    <w:lvl w:ilvl="4">
      <w:start w:val="0"/>
      <w:numFmt w:val="bullet"/>
      <w:lvlText w:val="•"/>
      <w:lvlJc w:val="left"/>
      <w:pPr>
        <w:ind w:left="5136" w:hanging="722"/>
      </w:pPr>
      <w:rPr>
        <w:rFonts w:hint="default"/>
        <w:lang w:val="zh-CN" w:eastAsia="zh-CN" w:bidi="zh-CN"/>
      </w:rPr>
    </w:lvl>
    <w:lvl w:ilvl="5">
      <w:start w:val="0"/>
      <w:numFmt w:val="bullet"/>
      <w:lvlText w:val="•"/>
      <w:lvlJc w:val="left"/>
      <w:pPr>
        <w:ind w:left="6065" w:hanging="722"/>
      </w:pPr>
      <w:rPr>
        <w:rFonts w:hint="default"/>
        <w:lang w:val="zh-CN" w:eastAsia="zh-CN" w:bidi="zh-CN"/>
      </w:rPr>
    </w:lvl>
    <w:lvl w:ilvl="6">
      <w:start w:val="0"/>
      <w:numFmt w:val="bullet"/>
      <w:lvlText w:val="•"/>
      <w:lvlJc w:val="left"/>
      <w:pPr>
        <w:ind w:left="6994" w:hanging="722"/>
      </w:pPr>
      <w:rPr>
        <w:rFonts w:hint="default"/>
        <w:lang w:val="zh-CN" w:eastAsia="zh-CN" w:bidi="zh-CN"/>
      </w:rPr>
    </w:lvl>
    <w:lvl w:ilvl="7">
      <w:start w:val="0"/>
      <w:numFmt w:val="bullet"/>
      <w:lvlText w:val="•"/>
      <w:lvlJc w:val="left"/>
      <w:pPr>
        <w:ind w:left="7923" w:hanging="722"/>
      </w:pPr>
      <w:rPr>
        <w:rFonts w:hint="default"/>
        <w:lang w:val="zh-CN" w:eastAsia="zh-CN" w:bidi="zh-CN"/>
      </w:rPr>
    </w:lvl>
    <w:lvl w:ilvl="8">
      <w:start w:val="0"/>
      <w:numFmt w:val="bullet"/>
      <w:lvlText w:val="•"/>
      <w:lvlJc w:val="left"/>
      <w:pPr>
        <w:ind w:left="8852" w:hanging="722"/>
      </w:pPr>
      <w:rPr>
        <w:rFonts w:hint="default"/>
        <w:lang w:val="zh-CN" w:eastAsia="zh-CN" w:bidi="zh-CN"/>
      </w:rPr>
    </w:lvl>
  </w:abstractNum>
  <w:abstractNum w:abstractNumId="29">
    <w:multiLevelType w:val="hybridMultilevel"/>
    <w:lvl w:ilvl="0">
      <w:start w:val="1"/>
      <w:numFmt w:val="decimal"/>
      <w:lvlText w:val="%1."/>
      <w:lvlJc w:val="left"/>
      <w:pPr>
        <w:ind w:left="542" w:hanging="315"/>
        <w:jc w:val="left"/>
      </w:pPr>
      <w:rPr>
        <w:rFonts w:hint="default" w:ascii="黑体" w:hAnsi="黑体" w:eastAsia="黑体" w:cs="黑体"/>
        <w:b/>
        <w:bCs/>
        <w:spacing w:val="7"/>
        <w:w w:val="100"/>
        <w:sz w:val="26"/>
        <w:szCs w:val="26"/>
        <w:lang w:val="zh-CN" w:eastAsia="zh-CN" w:bidi="zh-CN"/>
      </w:rPr>
    </w:lvl>
    <w:lvl w:ilvl="1">
      <w:start w:val="1"/>
      <w:numFmt w:val="decimal"/>
      <w:lvlText w:val="%1.%2"/>
      <w:lvlJc w:val="left"/>
      <w:pPr>
        <w:ind w:left="647" w:hanging="421"/>
        <w:jc w:val="left"/>
      </w:pPr>
      <w:rPr>
        <w:rFonts w:hint="default" w:ascii="黑体" w:hAnsi="黑体" w:eastAsia="黑体" w:cs="黑体"/>
        <w:w w:val="100"/>
        <w:sz w:val="24"/>
        <w:szCs w:val="24"/>
        <w:lang w:val="zh-CN" w:eastAsia="zh-CN" w:bidi="zh-CN"/>
      </w:rPr>
    </w:lvl>
    <w:lvl w:ilvl="2">
      <w:start w:val="1"/>
      <w:numFmt w:val="decimal"/>
      <w:lvlText w:val="%1.%2.%3"/>
      <w:lvlJc w:val="left"/>
      <w:pPr>
        <w:ind w:left="1248" w:hanging="541"/>
        <w:jc w:val="left"/>
      </w:pPr>
      <w:rPr>
        <w:rFonts w:hint="default" w:ascii="Calibri" w:hAnsi="Calibri" w:eastAsia="Calibri" w:cs="Calibri"/>
        <w:spacing w:val="-3"/>
        <w:w w:val="100"/>
        <w:sz w:val="24"/>
        <w:szCs w:val="24"/>
        <w:lang w:val="zh-CN" w:eastAsia="zh-CN" w:bidi="zh-CN"/>
      </w:rPr>
    </w:lvl>
    <w:lvl w:ilvl="3">
      <w:start w:val="1"/>
      <w:numFmt w:val="decimal"/>
      <w:lvlText w:val="%1.%2.%3.%4"/>
      <w:lvlJc w:val="left"/>
      <w:pPr>
        <w:ind w:left="227" w:hanging="722"/>
        <w:jc w:val="left"/>
      </w:pPr>
      <w:rPr>
        <w:rFonts w:hint="default" w:ascii="Calibri" w:hAnsi="Calibri" w:eastAsia="Calibri" w:cs="Calibri"/>
        <w:spacing w:val="-3"/>
        <w:w w:val="100"/>
        <w:sz w:val="24"/>
        <w:szCs w:val="24"/>
        <w:lang w:val="zh-CN" w:eastAsia="zh-CN" w:bidi="zh-CN"/>
      </w:rPr>
    </w:lvl>
    <w:lvl w:ilvl="4">
      <w:start w:val="0"/>
      <w:numFmt w:val="bullet"/>
      <w:lvlText w:val="•"/>
      <w:lvlJc w:val="left"/>
      <w:pPr>
        <w:ind w:left="1400" w:hanging="722"/>
      </w:pPr>
      <w:rPr>
        <w:rFonts w:hint="default"/>
        <w:lang w:val="zh-CN" w:eastAsia="zh-CN" w:bidi="zh-CN"/>
      </w:rPr>
    </w:lvl>
    <w:lvl w:ilvl="5">
      <w:start w:val="0"/>
      <w:numFmt w:val="bullet"/>
      <w:lvlText w:val="•"/>
      <w:lvlJc w:val="left"/>
      <w:pPr>
        <w:ind w:left="1420" w:hanging="722"/>
      </w:pPr>
      <w:rPr>
        <w:rFonts w:hint="default"/>
        <w:lang w:val="zh-CN" w:eastAsia="zh-CN" w:bidi="zh-CN"/>
      </w:rPr>
    </w:lvl>
    <w:lvl w:ilvl="6">
      <w:start w:val="0"/>
      <w:numFmt w:val="bullet"/>
      <w:lvlText w:val="•"/>
      <w:lvlJc w:val="left"/>
      <w:pPr>
        <w:ind w:left="3278" w:hanging="722"/>
      </w:pPr>
      <w:rPr>
        <w:rFonts w:hint="default"/>
        <w:lang w:val="zh-CN" w:eastAsia="zh-CN" w:bidi="zh-CN"/>
      </w:rPr>
    </w:lvl>
    <w:lvl w:ilvl="7">
      <w:start w:val="0"/>
      <w:numFmt w:val="bullet"/>
      <w:lvlText w:val="•"/>
      <w:lvlJc w:val="left"/>
      <w:pPr>
        <w:ind w:left="5136" w:hanging="722"/>
      </w:pPr>
      <w:rPr>
        <w:rFonts w:hint="default"/>
        <w:lang w:val="zh-CN" w:eastAsia="zh-CN" w:bidi="zh-CN"/>
      </w:rPr>
    </w:lvl>
    <w:lvl w:ilvl="8">
      <w:start w:val="0"/>
      <w:numFmt w:val="bullet"/>
      <w:lvlText w:val="•"/>
      <w:lvlJc w:val="left"/>
      <w:pPr>
        <w:ind w:left="6994" w:hanging="722"/>
      </w:pPr>
      <w:rPr>
        <w:rFonts w:hint="default"/>
        <w:lang w:val="zh-CN" w:eastAsia="zh-CN" w:bidi="zh-CN"/>
      </w:rPr>
    </w:lvl>
  </w:abstractNum>
  <w:abstractNum w:abstractNumId="28">
    <w:multiLevelType w:val="hybridMultilevel"/>
    <w:lvl w:ilvl="0">
      <w:start w:val="3"/>
      <w:numFmt w:val="decimal"/>
      <w:lvlText w:val="%1"/>
      <w:lvlJc w:val="left"/>
      <w:pPr>
        <w:ind w:left="1173" w:hanging="526"/>
        <w:jc w:val="left"/>
      </w:pPr>
      <w:rPr>
        <w:rFonts w:hint="default"/>
        <w:lang w:val="zh-CN" w:eastAsia="zh-CN" w:bidi="zh-CN"/>
      </w:rPr>
    </w:lvl>
    <w:lvl w:ilvl="1">
      <w:start w:val="2"/>
      <w:numFmt w:val="decimal"/>
      <w:lvlText w:val="%1.%2"/>
      <w:lvlJc w:val="left"/>
      <w:pPr>
        <w:ind w:left="1173" w:hanging="526"/>
        <w:jc w:val="left"/>
      </w:pPr>
      <w:rPr>
        <w:rFonts w:hint="default"/>
        <w:lang w:val="zh-CN" w:eastAsia="zh-CN" w:bidi="zh-CN"/>
      </w:rPr>
    </w:lvl>
    <w:lvl w:ilvl="2">
      <w:start w:val="3"/>
      <w:numFmt w:val="decimal"/>
      <w:lvlText w:val="%1.%2.%3"/>
      <w:lvlJc w:val="left"/>
      <w:pPr>
        <w:ind w:left="1173" w:hanging="526"/>
        <w:jc w:val="left"/>
      </w:pPr>
      <w:rPr>
        <w:rFonts w:hint="default" w:ascii="宋体" w:hAnsi="宋体" w:eastAsia="宋体" w:cs="宋体"/>
        <w:spacing w:val="-1"/>
        <w:w w:val="100"/>
        <w:sz w:val="19"/>
        <w:szCs w:val="19"/>
        <w:lang w:val="zh-CN" w:eastAsia="zh-CN" w:bidi="zh-CN"/>
      </w:rPr>
    </w:lvl>
    <w:lvl w:ilvl="3">
      <w:start w:val="0"/>
      <w:numFmt w:val="bullet"/>
      <w:lvlText w:val="•"/>
      <w:lvlJc w:val="left"/>
      <w:pPr>
        <w:ind w:left="4039" w:hanging="526"/>
      </w:pPr>
      <w:rPr>
        <w:rFonts w:hint="default"/>
        <w:lang w:val="zh-CN" w:eastAsia="zh-CN" w:bidi="zh-CN"/>
      </w:rPr>
    </w:lvl>
    <w:lvl w:ilvl="4">
      <w:start w:val="0"/>
      <w:numFmt w:val="bullet"/>
      <w:lvlText w:val="•"/>
      <w:lvlJc w:val="left"/>
      <w:pPr>
        <w:ind w:left="4992" w:hanging="526"/>
      </w:pPr>
      <w:rPr>
        <w:rFonts w:hint="default"/>
        <w:lang w:val="zh-CN" w:eastAsia="zh-CN" w:bidi="zh-CN"/>
      </w:rPr>
    </w:lvl>
    <w:lvl w:ilvl="5">
      <w:start w:val="0"/>
      <w:numFmt w:val="bullet"/>
      <w:lvlText w:val="•"/>
      <w:lvlJc w:val="left"/>
      <w:pPr>
        <w:ind w:left="5945" w:hanging="526"/>
      </w:pPr>
      <w:rPr>
        <w:rFonts w:hint="default"/>
        <w:lang w:val="zh-CN" w:eastAsia="zh-CN" w:bidi="zh-CN"/>
      </w:rPr>
    </w:lvl>
    <w:lvl w:ilvl="6">
      <w:start w:val="0"/>
      <w:numFmt w:val="bullet"/>
      <w:lvlText w:val="•"/>
      <w:lvlJc w:val="left"/>
      <w:pPr>
        <w:ind w:left="6898" w:hanging="526"/>
      </w:pPr>
      <w:rPr>
        <w:rFonts w:hint="default"/>
        <w:lang w:val="zh-CN" w:eastAsia="zh-CN" w:bidi="zh-CN"/>
      </w:rPr>
    </w:lvl>
    <w:lvl w:ilvl="7">
      <w:start w:val="0"/>
      <w:numFmt w:val="bullet"/>
      <w:lvlText w:val="•"/>
      <w:lvlJc w:val="left"/>
      <w:pPr>
        <w:ind w:left="7851" w:hanging="526"/>
      </w:pPr>
      <w:rPr>
        <w:rFonts w:hint="default"/>
        <w:lang w:val="zh-CN" w:eastAsia="zh-CN" w:bidi="zh-CN"/>
      </w:rPr>
    </w:lvl>
    <w:lvl w:ilvl="8">
      <w:start w:val="0"/>
      <w:numFmt w:val="bullet"/>
      <w:lvlText w:val="•"/>
      <w:lvlJc w:val="left"/>
      <w:pPr>
        <w:ind w:left="8804" w:hanging="526"/>
      </w:pPr>
      <w:rPr>
        <w:rFonts w:hint="default"/>
        <w:lang w:val="zh-CN" w:eastAsia="zh-CN" w:bidi="zh-CN"/>
      </w:rPr>
    </w:lvl>
  </w:abstractNum>
  <w:abstractNum w:abstractNumId="27">
    <w:multiLevelType w:val="hybridMultilevel"/>
    <w:lvl w:ilvl="0">
      <w:start w:val="2"/>
      <w:numFmt w:val="decimal"/>
      <w:lvlText w:val="（%1）"/>
      <w:lvlJc w:val="left"/>
      <w:pPr>
        <w:ind w:left="963" w:hanging="527"/>
        <w:jc w:val="left"/>
      </w:pPr>
      <w:rPr>
        <w:rFonts w:hint="default" w:ascii="宋体" w:hAnsi="宋体" w:eastAsia="宋体" w:cs="宋体"/>
        <w:w w:val="100"/>
        <w:sz w:val="19"/>
        <w:szCs w:val="19"/>
        <w:lang w:val="zh-CN" w:eastAsia="zh-CN" w:bidi="zh-CN"/>
      </w:rPr>
    </w:lvl>
    <w:lvl w:ilvl="1">
      <w:start w:val="3"/>
      <w:numFmt w:val="decimal"/>
      <w:lvlText w:val="（%2）"/>
      <w:lvlJc w:val="left"/>
      <w:pPr>
        <w:ind w:left="1068" w:hanging="527"/>
        <w:jc w:val="left"/>
      </w:pPr>
      <w:rPr>
        <w:rFonts w:hint="default" w:ascii="宋体" w:hAnsi="宋体" w:eastAsia="宋体" w:cs="宋体"/>
        <w:spacing w:val="-5"/>
        <w:w w:val="100"/>
        <w:sz w:val="19"/>
        <w:szCs w:val="19"/>
        <w:lang w:val="zh-CN" w:eastAsia="zh-CN" w:bidi="zh-CN"/>
      </w:rPr>
    </w:lvl>
    <w:lvl w:ilvl="2">
      <w:start w:val="0"/>
      <w:numFmt w:val="bullet"/>
      <w:lvlText w:val="•"/>
      <w:lvlJc w:val="left"/>
      <w:pPr>
        <w:ind w:left="2132" w:hanging="527"/>
      </w:pPr>
      <w:rPr>
        <w:rFonts w:hint="default"/>
        <w:lang w:val="zh-CN" w:eastAsia="zh-CN" w:bidi="zh-CN"/>
      </w:rPr>
    </w:lvl>
    <w:lvl w:ilvl="3">
      <w:start w:val="0"/>
      <w:numFmt w:val="bullet"/>
      <w:lvlText w:val="•"/>
      <w:lvlJc w:val="left"/>
      <w:pPr>
        <w:ind w:left="3204" w:hanging="527"/>
      </w:pPr>
      <w:rPr>
        <w:rFonts w:hint="default"/>
        <w:lang w:val="zh-CN" w:eastAsia="zh-CN" w:bidi="zh-CN"/>
      </w:rPr>
    </w:lvl>
    <w:lvl w:ilvl="4">
      <w:start w:val="0"/>
      <w:numFmt w:val="bullet"/>
      <w:lvlText w:val="•"/>
      <w:lvlJc w:val="left"/>
      <w:pPr>
        <w:ind w:left="4276" w:hanging="527"/>
      </w:pPr>
      <w:rPr>
        <w:rFonts w:hint="default"/>
        <w:lang w:val="zh-CN" w:eastAsia="zh-CN" w:bidi="zh-CN"/>
      </w:rPr>
    </w:lvl>
    <w:lvl w:ilvl="5">
      <w:start w:val="0"/>
      <w:numFmt w:val="bullet"/>
      <w:lvlText w:val="•"/>
      <w:lvlJc w:val="left"/>
      <w:pPr>
        <w:ind w:left="5348" w:hanging="527"/>
      </w:pPr>
      <w:rPr>
        <w:rFonts w:hint="default"/>
        <w:lang w:val="zh-CN" w:eastAsia="zh-CN" w:bidi="zh-CN"/>
      </w:rPr>
    </w:lvl>
    <w:lvl w:ilvl="6">
      <w:start w:val="0"/>
      <w:numFmt w:val="bullet"/>
      <w:lvlText w:val="•"/>
      <w:lvlJc w:val="left"/>
      <w:pPr>
        <w:ind w:left="6421" w:hanging="527"/>
      </w:pPr>
      <w:rPr>
        <w:rFonts w:hint="default"/>
        <w:lang w:val="zh-CN" w:eastAsia="zh-CN" w:bidi="zh-CN"/>
      </w:rPr>
    </w:lvl>
    <w:lvl w:ilvl="7">
      <w:start w:val="0"/>
      <w:numFmt w:val="bullet"/>
      <w:lvlText w:val="•"/>
      <w:lvlJc w:val="left"/>
      <w:pPr>
        <w:ind w:left="7493" w:hanging="527"/>
      </w:pPr>
      <w:rPr>
        <w:rFonts w:hint="default"/>
        <w:lang w:val="zh-CN" w:eastAsia="zh-CN" w:bidi="zh-CN"/>
      </w:rPr>
    </w:lvl>
    <w:lvl w:ilvl="8">
      <w:start w:val="0"/>
      <w:numFmt w:val="bullet"/>
      <w:lvlText w:val="•"/>
      <w:lvlJc w:val="left"/>
      <w:pPr>
        <w:ind w:left="8565" w:hanging="527"/>
      </w:pPr>
      <w:rPr>
        <w:rFonts w:hint="default"/>
        <w:lang w:val="zh-CN" w:eastAsia="zh-CN" w:bidi="zh-CN"/>
      </w:rPr>
    </w:lvl>
  </w:abstractNum>
  <w:abstractNum w:abstractNumId="26">
    <w:multiLevelType w:val="hybridMultilevel"/>
    <w:lvl w:ilvl="0">
      <w:start w:val="1"/>
      <w:numFmt w:val="decimal"/>
      <w:lvlText w:val="（%1）"/>
      <w:lvlJc w:val="left"/>
      <w:pPr>
        <w:ind w:left="1173" w:hanging="526"/>
        <w:jc w:val="left"/>
      </w:pPr>
      <w:rPr>
        <w:rFonts w:hint="default" w:ascii="宋体" w:hAnsi="宋体" w:eastAsia="宋体" w:cs="宋体"/>
        <w:spacing w:val="-3"/>
        <w:w w:val="100"/>
        <w:sz w:val="19"/>
        <w:szCs w:val="19"/>
        <w:lang w:val="zh-CN" w:eastAsia="zh-CN" w:bidi="zh-CN"/>
      </w:rPr>
    </w:lvl>
    <w:lvl w:ilvl="1">
      <w:start w:val="0"/>
      <w:numFmt w:val="bullet"/>
      <w:lvlText w:val="•"/>
      <w:lvlJc w:val="left"/>
      <w:pPr>
        <w:ind w:left="2133" w:hanging="526"/>
      </w:pPr>
      <w:rPr>
        <w:rFonts w:hint="default"/>
        <w:lang w:val="zh-CN" w:eastAsia="zh-CN" w:bidi="zh-CN"/>
      </w:rPr>
    </w:lvl>
    <w:lvl w:ilvl="2">
      <w:start w:val="0"/>
      <w:numFmt w:val="bullet"/>
      <w:lvlText w:val="•"/>
      <w:lvlJc w:val="left"/>
      <w:pPr>
        <w:ind w:left="3086" w:hanging="526"/>
      </w:pPr>
      <w:rPr>
        <w:rFonts w:hint="default"/>
        <w:lang w:val="zh-CN" w:eastAsia="zh-CN" w:bidi="zh-CN"/>
      </w:rPr>
    </w:lvl>
    <w:lvl w:ilvl="3">
      <w:start w:val="0"/>
      <w:numFmt w:val="bullet"/>
      <w:lvlText w:val="•"/>
      <w:lvlJc w:val="left"/>
      <w:pPr>
        <w:ind w:left="4039" w:hanging="526"/>
      </w:pPr>
      <w:rPr>
        <w:rFonts w:hint="default"/>
        <w:lang w:val="zh-CN" w:eastAsia="zh-CN" w:bidi="zh-CN"/>
      </w:rPr>
    </w:lvl>
    <w:lvl w:ilvl="4">
      <w:start w:val="0"/>
      <w:numFmt w:val="bullet"/>
      <w:lvlText w:val="•"/>
      <w:lvlJc w:val="left"/>
      <w:pPr>
        <w:ind w:left="4992" w:hanging="526"/>
      </w:pPr>
      <w:rPr>
        <w:rFonts w:hint="default"/>
        <w:lang w:val="zh-CN" w:eastAsia="zh-CN" w:bidi="zh-CN"/>
      </w:rPr>
    </w:lvl>
    <w:lvl w:ilvl="5">
      <w:start w:val="0"/>
      <w:numFmt w:val="bullet"/>
      <w:lvlText w:val="•"/>
      <w:lvlJc w:val="left"/>
      <w:pPr>
        <w:ind w:left="5945" w:hanging="526"/>
      </w:pPr>
      <w:rPr>
        <w:rFonts w:hint="default"/>
        <w:lang w:val="zh-CN" w:eastAsia="zh-CN" w:bidi="zh-CN"/>
      </w:rPr>
    </w:lvl>
    <w:lvl w:ilvl="6">
      <w:start w:val="0"/>
      <w:numFmt w:val="bullet"/>
      <w:lvlText w:val="•"/>
      <w:lvlJc w:val="left"/>
      <w:pPr>
        <w:ind w:left="6898" w:hanging="526"/>
      </w:pPr>
      <w:rPr>
        <w:rFonts w:hint="default"/>
        <w:lang w:val="zh-CN" w:eastAsia="zh-CN" w:bidi="zh-CN"/>
      </w:rPr>
    </w:lvl>
    <w:lvl w:ilvl="7">
      <w:start w:val="0"/>
      <w:numFmt w:val="bullet"/>
      <w:lvlText w:val="•"/>
      <w:lvlJc w:val="left"/>
      <w:pPr>
        <w:ind w:left="7851" w:hanging="526"/>
      </w:pPr>
      <w:rPr>
        <w:rFonts w:hint="default"/>
        <w:lang w:val="zh-CN" w:eastAsia="zh-CN" w:bidi="zh-CN"/>
      </w:rPr>
    </w:lvl>
    <w:lvl w:ilvl="8">
      <w:start w:val="0"/>
      <w:numFmt w:val="bullet"/>
      <w:lvlText w:val="•"/>
      <w:lvlJc w:val="left"/>
      <w:pPr>
        <w:ind w:left="8804" w:hanging="526"/>
      </w:pPr>
      <w:rPr>
        <w:rFonts w:hint="default"/>
        <w:lang w:val="zh-CN" w:eastAsia="zh-CN" w:bidi="zh-CN"/>
      </w:rPr>
    </w:lvl>
  </w:abstractNum>
  <w:abstractNum w:abstractNumId="25">
    <w:multiLevelType w:val="hybridMultilevel"/>
    <w:lvl w:ilvl="0">
      <w:start w:val="2"/>
      <w:numFmt w:val="decimal"/>
      <w:lvlText w:val="%1"/>
      <w:lvlJc w:val="left"/>
      <w:pPr>
        <w:ind w:left="1007" w:hanging="360"/>
        <w:jc w:val="left"/>
      </w:pPr>
      <w:rPr>
        <w:rFonts w:hint="default"/>
        <w:lang w:val="zh-CN" w:eastAsia="zh-CN" w:bidi="zh-CN"/>
      </w:rPr>
    </w:lvl>
    <w:lvl w:ilvl="1">
      <w:start w:val="1"/>
      <w:numFmt w:val="decimal"/>
      <w:lvlText w:val="%1.%2"/>
      <w:lvlJc w:val="left"/>
      <w:pPr>
        <w:ind w:left="1007" w:hanging="360"/>
        <w:jc w:val="left"/>
      </w:pPr>
      <w:rPr>
        <w:rFonts w:hint="default" w:ascii="宋体" w:hAnsi="宋体" w:eastAsia="宋体" w:cs="宋体"/>
        <w:b/>
        <w:bCs/>
        <w:spacing w:val="15"/>
        <w:w w:val="99"/>
        <w:sz w:val="19"/>
        <w:szCs w:val="19"/>
        <w:lang w:val="zh-CN" w:eastAsia="zh-CN" w:bidi="zh-CN"/>
      </w:rPr>
    </w:lvl>
    <w:lvl w:ilvl="2">
      <w:start w:val="1"/>
      <w:numFmt w:val="decimal"/>
      <w:lvlText w:val="%1.%2.%3"/>
      <w:lvlJc w:val="left"/>
      <w:pPr>
        <w:ind w:left="1173" w:hanging="526"/>
        <w:jc w:val="left"/>
      </w:pPr>
      <w:rPr>
        <w:rFonts w:hint="default" w:ascii="宋体" w:hAnsi="宋体" w:eastAsia="宋体" w:cs="宋体"/>
        <w:spacing w:val="-3"/>
        <w:w w:val="100"/>
        <w:sz w:val="19"/>
        <w:szCs w:val="19"/>
        <w:lang w:val="zh-CN" w:eastAsia="zh-CN" w:bidi="zh-CN"/>
      </w:rPr>
    </w:lvl>
    <w:lvl w:ilvl="3">
      <w:start w:val="0"/>
      <w:numFmt w:val="bullet"/>
      <w:lvlText w:val="•"/>
      <w:lvlJc w:val="left"/>
      <w:pPr>
        <w:ind w:left="3297" w:hanging="526"/>
      </w:pPr>
      <w:rPr>
        <w:rFonts w:hint="default"/>
        <w:lang w:val="zh-CN" w:eastAsia="zh-CN" w:bidi="zh-CN"/>
      </w:rPr>
    </w:lvl>
    <w:lvl w:ilvl="4">
      <w:start w:val="0"/>
      <w:numFmt w:val="bullet"/>
      <w:lvlText w:val="•"/>
      <w:lvlJc w:val="left"/>
      <w:pPr>
        <w:ind w:left="4356" w:hanging="526"/>
      </w:pPr>
      <w:rPr>
        <w:rFonts w:hint="default"/>
        <w:lang w:val="zh-CN" w:eastAsia="zh-CN" w:bidi="zh-CN"/>
      </w:rPr>
    </w:lvl>
    <w:lvl w:ilvl="5">
      <w:start w:val="0"/>
      <w:numFmt w:val="bullet"/>
      <w:lvlText w:val="•"/>
      <w:lvlJc w:val="left"/>
      <w:pPr>
        <w:ind w:left="5415" w:hanging="526"/>
      </w:pPr>
      <w:rPr>
        <w:rFonts w:hint="default"/>
        <w:lang w:val="zh-CN" w:eastAsia="zh-CN" w:bidi="zh-CN"/>
      </w:rPr>
    </w:lvl>
    <w:lvl w:ilvl="6">
      <w:start w:val="0"/>
      <w:numFmt w:val="bullet"/>
      <w:lvlText w:val="•"/>
      <w:lvlJc w:val="left"/>
      <w:pPr>
        <w:ind w:left="6474" w:hanging="526"/>
      </w:pPr>
      <w:rPr>
        <w:rFonts w:hint="default"/>
        <w:lang w:val="zh-CN" w:eastAsia="zh-CN" w:bidi="zh-CN"/>
      </w:rPr>
    </w:lvl>
    <w:lvl w:ilvl="7">
      <w:start w:val="0"/>
      <w:numFmt w:val="bullet"/>
      <w:lvlText w:val="•"/>
      <w:lvlJc w:val="left"/>
      <w:pPr>
        <w:ind w:left="7533" w:hanging="526"/>
      </w:pPr>
      <w:rPr>
        <w:rFonts w:hint="default"/>
        <w:lang w:val="zh-CN" w:eastAsia="zh-CN" w:bidi="zh-CN"/>
      </w:rPr>
    </w:lvl>
    <w:lvl w:ilvl="8">
      <w:start w:val="0"/>
      <w:numFmt w:val="bullet"/>
      <w:lvlText w:val="•"/>
      <w:lvlJc w:val="left"/>
      <w:pPr>
        <w:ind w:left="8592" w:hanging="526"/>
      </w:pPr>
      <w:rPr>
        <w:rFonts w:hint="default"/>
        <w:lang w:val="zh-CN" w:eastAsia="zh-CN" w:bidi="zh-CN"/>
      </w:rPr>
    </w:lvl>
  </w:abstractNum>
  <w:abstractNum w:abstractNumId="24">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2"/>
      <w:numFmt w:val="decimal"/>
      <w:lvlText w:val="（%2）"/>
      <w:lvlJc w:val="left"/>
      <w:pPr>
        <w:ind w:left="227" w:hanging="526"/>
        <w:jc w:val="left"/>
      </w:pPr>
      <w:rPr>
        <w:rFonts w:hint="default" w:ascii="宋体" w:hAnsi="宋体" w:eastAsia="宋体" w:cs="宋体"/>
        <w:spacing w:val="-4"/>
        <w:w w:val="100"/>
        <w:sz w:val="19"/>
        <w:szCs w:val="19"/>
        <w:lang w:val="zh-CN" w:eastAsia="zh-CN" w:bidi="zh-CN"/>
      </w:rPr>
    </w:lvl>
    <w:lvl w:ilvl="2">
      <w:start w:val="0"/>
      <w:numFmt w:val="bullet"/>
      <w:lvlText w:val="•"/>
      <w:lvlJc w:val="left"/>
      <w:pPr>
        <w:ind w:left="1865" w:hanging="526"/>
      </w:pPr>
      <w:rPr>
        <w:rFonts w:hint="default"/>
        <w:lang w:val="zh-CN" w:eastAsia="zh-CN" w:bidi="zh-CN"/>
      </w:rPr>
    </w:lvl>
    <w:lvl w:ilvl="3">
      <w:start w:val="0"/>
      <w:numFmt w:val="bullet"/>
      <w:lvlText w:val="•"/>
      <w:lvlJc w:val="left"/>
      <w:pPr>
        <w:ind w:left="2971" w:hanging="526"/>
      </w:pPr>
      <w:rPr>
        <w:rFonts w:hint="default"/>
        <w:lang w:val="zh-CN" w:eastAsia="zh-CN" w:bidi="zh-CN"/>
      </w:rPr>
    </w:lvl>
    <w:lvl w:ilvl="4">
      <w:start w:val="0"/>
      <w:numFmt w:val="bullet"/>
      <w:lvlText w:val="•"/>
      <w:lvlJc w:val="left"/>
      <w:pPr>
        <w:ind w:left="4076" w:hanging="526"/>
      </w:pPr>
      <w:rPr>
        <w:rFonts w:hint="default"/>
        <w:lang w:val="zh-CN" w:eastAsia="zh-CN" w:bidi="zh-CN"/>
      </w:rPr>
    </w:lvl>
    <w:lvl w:ilvl="5">
      <w:start w:val="0"/>
      <w:numFmt w:val="bullet"/>
      <w:lvlText w:val="•"/>
      <w:lvlJc w:val="left"/>
      <w:pPr>
        <w:ind w:left="5182" w:hanging="526"/>
      </w:pPr>
      <w:rPr>
        <w:rFonts w:hint="default"/>
        <w:lang w:val="zh-CN" w:eastAsia="zh-CN" w:bidi="zh-CN"/>
      </w:rPr>
    </w:lvl>
    <w:lvl w:ilvl="6">
      <w:start w:val="0"/>
      <w:numFmt w:val="bullet"/>
      <w:lvlText w:val="•"/>
      <w:lvlJc w:val="left"/>
      <w:pPr>
        <w:ind w:left="6287" w:hanging="526"/>
      </w:pPr>
      <w:rPr>
        <w:rFonts w:hint="default"/>
        <w:lang w:val="zh-CN" w:eastAsia="zh-CN" w:bidi="zh-CN"/>
      </w:rPr>
    </w:lvl>
    <w:lvl w:ilvl="7">
      <w:start w:val="0"/>
      <w:numFmt w:val="bullet"/>
      <w:lvlText w:val="•"/>
      <w:lvlJc w:val="left"/>
      <w:pPr>
        <w:ind w:left="7393" w:hanging="526"/>
      </w:pPr>
      <w:rPr>
        <w:rFonts w:hint="default"/>
        <w:lang w:val="zh-CN" w:eastAsia="zh-CN" w:bidi="zh-CN"/>
      </w:rPr>
    </w:lvl>
    <w:lvl w:ilvl="8">
      <w:start w:val="0"/>
      <w:numFmt w:val="bullet"/>
      <w:lvlText w:val="•"/>
      <w:lvlJc w:val="left"/>
      <w:pPr>
        <w:ind w:left="8498" w:hanging="526"/>
      </w:pPr>
      <w:rPr>
        <w:rFonts w:hint="default"/>
        <w:lang w:val="zh-CN" w:eastAsia="zh-CN" w:bidi="zh-CN"/>
      </w:rPr>
    </w:lvl>
  </w:abstractNum>
  <w:abstractNum w:abstractNumId="23">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22">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21">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20">
    <w:multiLevelType w:val="hybridMultilevel"/>
    <w:lvl w:ilvl="0">
      <w:start w:val="2"/>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9">
    <w:multiLevelType w:val="hybridMultilevel"/>
    <w:lvl w:ilvl="0">
      <w:start w:val="3"/>
      <w:numFmt w:val="decimal"/>
      <w:lvlText w:val="（%1）"/>
      <w:lvlJc w:val="left"/>
      <w:pPr>
        <w:ind w:left="753" w:hanging="526"/>
        <w:jc w:val="left"/>
      </w:pPr>
      <w:rPr>
        <w:rFonts w:hint="default" w:ascii="宋体" w:hAnsi="宋体" w:eastAsia="宋体" w:cs="宋体"/>
        <w:spacing w:val="-51"/>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8">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7">
    <w:multiLevelType w:val="hybridMultilevel"/>
    <w:lvl w:ilvl="0">
      <w:start w:val="3"/>
      <w:numFmt w:val="decimal"/>
      <w:lvlText w:val="%1"/>
      <w:lvlJc w:val="left"/>
      <w:pPr>
        <w:ind w:left="557" w:hanging="330"/>
        <w:jc w:val="left"/>
      </w:pPr>
      <w:rPr>
        <w:rFonts w:hint="default"/>
        <w:lang w:val="zh-CN" w:eastAsia="zh-CN" w:bidi="zh-CN"/>
      </w:rPr>
    </w:lvl>
    <w:lvl w:ilvl="1">
      <w:start w:val="5"/>
      <w:numFmt w:val="decimal"/>
      <w:lvlText w:val="%1.%2"/>
      <w:lvlJc w:val="left"/>
      <w:pPr>
        <w:ind w:left="557" w:hanging="330"/>
        <w:jc w:val="left"/>
      </w:pPr>
      <w:rPr>
        <w:rFonts w:hint="default" w:ascii="Calibri" w:hAnsi="Calibri" w:eastAsia="Calibri" w:cs="Calibri"/>
        <w:spacing w:val="-2"/>
        <w:w w:val="100"/>
        <w:sz w:val="21"/>
        <w:szCs w:val="21"/>
        <w:lang w:val="zh-CN" w:eastAsia="zh-CN" w:bidi="zh-CN"/>
      </w:rPr>
    </w:lvl>
    <w:lvl w:ilvl="2">
      <w:start w:val="1"/>
      <w:numFmt w:val="decimal"/>
      <w:lvlText w:val="%1.%2.%3"/>
      <w:lvlJc w:val="left"/>
      <w:pPr>
        <w:ind w:left="227" w:hanging="438"/>
        <w:jc w:val="left"/>
      </w:pPr>
      <w:rPr>
        <w:rFonts w:hint="default" w:ascii="Calibri" w:hAnsi="Calibri" w:eastAsia="Calibri" w:cs="Calibri"/>
        <w:spacing w:val="-2"/>
        <w:w w:val="100"/>
        <w:sz w:val="19"/>
        <w:szCs w:val="19"/>
        <w:lang w:val="zh-CN" w:eastAsia="zh-CN" w:bidi="zh-CN"/>
      </w:rPr>
    </w:lvl>
    <w:lvl w:ilvl="3">
      <w:start w:val="0"/>
      <w:numFmt w:val="bullet"/>
      <w:lvlText w:val="•"/>
      <w:lvlJc w:val="left"/>
      <w:pPr>
        <w:ind w:left="2815" w:hanging="438"/>
      </w:pPr>
      <w:rPr>
        <w:rFonts w:hint="default"/>
        <w:lang w:val="zh-CN" w:eastAsia="zh-CN" w:bidi="zh-CN"/>
      </w:rPr>
    </w:lvl>
    <w:lvl w:ilvl="4">
      <w:start w:val="0"/>
      <w:numFmt w:val="bullet"/>
      <w:lvlText w:val="•"/>
      <w:lvlJc w:val="left"/>
      <w:pPr>
        <w:ind w:left="3943" w:hanging="438"/>
      </w:pPr>
      <w:rPr>
        <w:rFonts w:hint="default"/>
        <w:lang w:val="zh-CN" w:eastAsia="zh-CN" w:bidi="zh-CN"/>
      </w:rPr>
    </w:lvl>
    <w:lvl w:ilvl="5">
      <w:start w:val="0"/>
      <w:numFmt w:val="bullet"/>
      <w:lvlText w:val="•"/>
      <w:lvlJc w:val="left"/>
      <w:pPr>
        <w:ind w:left="5071" w:hanging="438"/>
      </w:pPr>
      <w:rPr>
        <w:rFonts w:hint="default"/>
        <w:lang w:val="zh-CN" w:eastAsia="zh-CN" w:bidi="zh-CN"/>
      </w:rPr>
    </w:lvl>
    <w:lvl w:ilvl="6">
      <w:start w:val="0"/>
      <w:numFmt w:val="bullet"/>
      <w:lvlText w:val="•"/>
      <w:lvlJc w:val="left"/>
      <w:pPr>
        <w:ind w:left="6198" w:hanging="438"/>
      </w:pPr>
      <w:rPr>
        <w:rFonts w:hint="default"/>
        <w:lang w:val="zh-CN" w:eastAsia="zh-CN" w:bidi="zh-CN"/>
      </w:rPr>
    </w:lvl>
    <w:lvl w:ilvl="7">
      <w:start w:val="0"/>
      <w:numFmt w:val="bullet"/>
      <w:lvlText w:val="•"/>
      <w:lvlJc w:val="left"/>
      <w:pPr>
        <w:ind w:left="7326" w:hanging="438"/>
      </w:pPr>
      <w:rPr>
        <w:rFonts w:hint="default"/>
        <w:lang w:val="zh-CN" w:eastAsia="zh-CN" w:bidi="zh-CN"/>
      </w:rPr>
    </w:lvl>
    <w:lvl w:ilvl="8">
      <w:start w:val="0"/>
      <w:numFmt w:val="bullet"/>
      <w:lvlText w:val="•"/>
      <w:lvlJc w:val="left"/>
      <w:pPr>
        <w:ind w:left="8454" w:hanging="438"/>
      </w:pPr>
      <w:rPr>
        <w:rFonts w:hint="default"/>
        <w:lang w:val="zh-CN" w:eastAsia="zh-CN" w:bidi="zh-CN"/>
      </w:rPr>
    </w:lvl>
  </w:abstractNum>
  <w:abstractNum w:abstractNumId="16">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5">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4">
    <w:multiLevelType w:val="hybridMultilevel"/>
    <w:lvl w:ilvl="0">
      <w:start w:val="1"/>
      <w:numFmt w:val="decimal"/>
      <w:lvlText w:val="（%1）"/>
      <w:lvlJc w:val="left"/>
      <w:pPr>
        <w:ind w:left="753" w:hanging="526"/>
        <w:jc w:val="left"/>
      </w:pPr>
      <w:rPr>
        <w:rFonts w:hint="default" w:ascii="宋体" w:hAnsi="宋体" w:eastAsia="宋体" w:cs="宋体"/>
        <w:spacing w:val="-105"/>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3">
    <w:multiLevelType w:val="hybridMultilevel"/>
    <w:lvl w:ilvl="0">
      <w:start w:val="4"/>
      <w:numFmt w:val="decimal"/>
      <w:lvlText w:val="(%1)"/>
      <w:lvlJc w:val="left"/>
      <w:pPr>
        <w:ind w:left="456" w:hanging="230"/>
        <w:jc w:val="left"/>
      </w:pPr>
      <w:rPr>
        <w:rFonts w:hint="default" w:ascii="Calibri" w:hAnsi="Calibri" w:eastAsia="Calibri" w:cs="Calibri"/>
        <w:spacing w:val="-4"/>
        <w:w w:val="100"/>
        <w:sz w:val="19"/>
        <w:szCs w:val="19"/>
        <w:lang w:val="zh-CN" w:eastAsia="zh-CN" w:bidi="zh-CN"/>
      </w:rPr>
    </w:lvl>
    <w:lvl w:ilvl="1">
      <w:start w:val="0"/>
      <w:numFmt w:val="bullet"/>
      <w:lvlText w:val="•"/>
      <w:lvlJc w:val="left"/>
      <w:pPr>
        <w:ind w:left="1485" w:hanging="230"/>
      </w:pPr>
      <w:rPr>
        <w:rFonts w:hint="default"/>
        <w:lang w:val="zh-CN" w:eastAsia="zh-CN" w:bidi="zh-CN"/>
      </w:rPr>
    </w:lvl>
    <w:lvl w:ilvl="2">
      <w:start w:val="0"/>
      <w:numFmt w:val="bullet"/>
      <w:lvlText w:val="•"/>
      <w:lvlJc w:val="left"/>
      <w:pPr>
        <w:ind w:left="2510" w:hanging="230"/>
      </w:pPr>
      <w:rPr>
        <w:rFonts w:hint="default"/>
        <w:lang w:val="zh-CN" w:eastAsia="zh-CN" w:bidi="zh-CN"/>
      </w:rPr>
    </w:lvl>
    <w:lvl w:ilvl="3">
      <w:start w:val="0"/>
      <w:numFmt w:val="bullet"/>
      <w:lvlText w:val="•"/>
      <w:lvlJc w:val="left"/>
      <w:pPr>
        <w:ind w:left="3535" w:hanging="230"/>
      </w:pPr>
      <w:rPr>
        <w:rFonts w:hint="default"/>
        <w:lang w:val="zh-CN" w:eastAsia="zh-CN" w:bidi="zh-CN"/>
      </w:rPr>
    </w:lvl>
    <w:lvl w:ilvl="4">
      <w:start w:val="0"/>
      <w:numFmt w:val="bullet"/>
      <w:lvlText w:val="•"/>
      <w:lvlJc w:val="left"/>
      <w:pPr>
        <w:ind w:left="4560" w:hanging="230"/>
      </w:pPr>
      <w:rPr>
        <w:rFonts w:hint="default"/>
        <w:lang w:val="zh-CN" w:eastAsia="zh-CN" w:bidi="zh-CN"/>
      </w:rPr>
    </w:lvl>
    <w:lvl w:ilvl="5">
      <w:start w:val="0"/>
      <w:numFmt w:val="bullet"/>
      <w:lvlText w:val="•"/>
      <w:lvlJc w:val="left"/>
      <w:pPr>
        <w:ind w:left="5585" w:hanging="230"/>
      </w:pPr>
      <w:rPr>
        <w:rFonts w:hint="default"/>
        <w:lang w:val="zh-CN" w:eastAsia="zh-CN" w:bidi="zh-CN"/>
      </w:rPr>
    </w:lvl>
    <w:lvl w:ilvl="6">
      <w:start w:val="0"/>
      <w:numFmt w:val="bullet"/>
      <w:lvlText w:val="•"/>
      <w:lvlJc w:val="left"/>
      <w:pPr>
        <w:ind w:left="6610" w:hanging="230"/>
      </w:pPr>
      <w:rPr>
        <w:rFonts w:hint="default"/>
        <w:lang w:val="zh-CN" w:eastAsia="zh-CN" w:bidi="zh-CN"/>
      </w:rPr>
    </w:lvl>
    <w:lvl w:ilvl="7">
      <w:start w:val="0"/>
      <w:numFmt w:val="bullet"/>
      <w:lvlText w:val="•"/>
      <w:lvlJc w:val="left"/>
      <w:pPr>
        <w:ind w:left="7635" w:hanging="230"/>
      </w:pPr>
      <w:rPr>
        <w:rFonts w:hint="default"/>
        <w:lang w:val="zh-CN" w:eastAsia="zh-CN" w:bidi="zh-CN"/>
      </w:rPr>
    </w:lvl>
    <w:lvl w:ilvl="8">
      <w:start w:val="0"/>
      <w:numFmt w:val="bullet"/>
      <w:lvlText w:val="•"/>
      <w:lvlJc w:val="left"/>
      <w:pPr>
        <w:ind w:left="8660" w:hanging="230"/>
      </w:pPr>
      <w:rPr>
        <w:rFonts w:hint="default"/>
        <w:lang w:val="zh-CN" w:eastAsia="zh-CN" w:bidi="zh-CN"/>
      </w:rPr>
    </w:lvl>
  </w:abstractNum>
  <w:abstractNum w:abstractNumId="12">
    <w:multiLevelType w:val="hybridMultilevel"/>
    <w:lvl w:ilvl="0">
      <w:start w:val="1"/>
      <w:numFmt w:val="decimal"/>
      <w:lvlText w:val="（%1）"/>
      <w:lvlJc w:val="left"/>
      <w:pPr>
        <w:ind w:left="753" w:hanging="526"/>
        <w:jc w:val="left"/>
      </w:pPr>
      <w:rPr>
        <w:rFonts w:hint="default" w:ascii="宋体" w:hAnsi="宋体" w:eastAsia="宋体" w:cs="宋体"/>
        <w:spacing w:val="-2"/>
        <w:w w:val="100"/>
        <w:sz w:val="19"/>
        <w:szCs w:val="19"/>
        <w:lang w:val="zh-CN" w:eastAsia="zh-CN" w:bidi="zh-CN"/>
      </w:rPr>
    </w:lvl>
    <w:lvl w:ilvl="1">
      <w:start w:val="0"/>
      <w:numFmt w:val="bullet"/>
      <w:lvlText w:val="•"/>
      <w:lvlJc w:val="left"/>
      <w:pPr>
        <w:ind w:left="1755" w:hanging="526"/>
      </w:pPr>
      <w:rPr>
        <w:rFonts w:hint="default"/>
        <w:lang w:val="zh-CN" w:eastAsia="zh-CN" w:bidi="zh-CN"/>
      </w:rPr>
    </w:lvl>
    <w:lvl w:ilvl="2">
      <w:start w:val="0"/>
      <w:numFmt w:val="bullet"/>
      <w:lvlText w:val="•"/>
      <w:lvlJc w:val="left"/>
      <w:pPr>
        <w:ind w:left="2750" w:hanging="526"/>
      </w:pPr>
      <w:rPr>
        <w:rFonts w:hint="default"/>
        <w:lang w:val="zh-CN" w:eastAsia="zh-CN" w:bidi="zh-CN"/>
      </w:rPr>
    </w:lvl>
    <w:lvl w:ilvl="3">
      <w:start w:val="0"/>
      <w:numFmt w:val="bullet"/>
      <w:lvlText w:val="•"/>
      <w:lvlJc w:val="left"/>
      <w:pPr>
        <w:ind w:left="3745" w:hanging="526"/>
      </w:pPr>
      <w:rPr>
        <w:rFonts w:hint="default"/>
        <w:lang w:val="zh-CN" w:eastAsia="zh-CN" w:bidi="zh-CN"/>
      </w:rPr>
    </w:lvl>
    <w:lvl w:ilvl="4">
      <w:start w:val="0"/>
      <w:numFmt w:val="bullet"/>
      <w:lvlText w:val="•"/>
      <w:lvlJc w:val="left"/>
      <w:pPr>
        <w:ind w:left="4740" w:hanging="526"/>
      </w:pPr>
      <w:rPr>
        <w:rFonts w:hint="default"/>
        <w:lang w:val="zh-CN" w:eastAsia="zh-CN" w:bidi="zh-CN"/>
      </w:rPr>
    </w:lvl>
    <w:lvl w:ilvl="5">
      <w:start w:val="0"/>
      <w:numFmt w:val="bullet"/>
      <w:lvlText w:val="•"/>
      <w:lvlJc w:val="left"/>
      <w:pPr>
        <w:ind w:left="5735" w:hanging="526"/>
      </w:pPr>
      <w:rPr>
        <w:rFonts w:hint="default"/>
        <w:lang w:val="zh-CN" w:eastAsia="zh-CN" w:bidi="zh-CN"/>
      </w:rPr>
    </w:lvl>
    <w:lvl w:ilvl="6">
      <w:start w:val="0"/>
      <w:numFmt w:val="bullet"/>
      <w:lvlText w:val="•"/>
      <w:lvlJc w:val="left"/>
      <w:pPr>
        <w:ind w:left="6730" w:hanging="526"/>
      </w:pPr>
      <w:rPr>
        <w:rFonts w:hint="default"/>
        <w:lang w:val="zh-CN" w:eastAsia="zh-CN" w:bidi="zh-CN"/>
      </w:rPr>
    </w:lvl>
    <w:lvl w:ilvl="7">
      <w:start w:val="0"/>
      <w:numFmt w:val="bullet"/>
      <w:lvlText w:val="•"/>
      <w:lvlJc w:val="left"/>
      <w:pPr>
        <w:ind w:left="7725" w:hanging="526"/>
      </w:pPr>
      <w:rPr>
        <w:rFonts w:hint="default"/>
        <w:lang w:val="zh-CN" w:eastAsia="zh-CN" w:bidi="zh-CN"/>
      </w:rPr>
    </w:lvl>
    <w:lvl w:ilvl="8">
      <w:start w:val="0"/>
      <w:numFmt w:val="bullet"/>
      <w:lvlText w:val="•"/>
      <w:lvlJc w:val="left"/>
      <w:pPr>
        <w:ind w:left="8720" w:hanging="526"/>
      </w:pPr>
      <w:rPr>
        <w:rFonts w:hint="default"/>
        <w:lang w:val="zh-CN" w:eastAsia="zh-CN" w:bidi="zh-CN"/>
      </w:rPr>
    </w:lvl>
  </w:abstractNum>
  <w:abstractNum w:abstractNumId="11">
    <w:multiLevelType w:val="hybridMultilevel"/>
    <w:lvl w:ilvl="0">
      <w:start w:val="1"/>
      <w:numFmt w:val="decimal"/>
      <w:lvlText w:val="%1"/>
      <w:lvlJc w:val="left"/>
      <w:pPr>
        <w:ind w:left="512" w:hanging="285"/>
        <w:jc w:val="left"/>
      </w:pPr>
      <w:rPr>
        <w:rFonts w:hint="default" w:ascii="Calibri" w:hAnsi="Calibri" w:eastAsia="Calibri" w:cs="Calibri"/>
        <w:w w:val="101"/>
        <w:sz w:val="28"/>
        <w:szCs w:val="28"/>
        <w:lang w:val="zh-CN" w:eastAsia="zh-CN" w:bidi="zh-CN"/>
      </w:rPr>
    </w:lvl>
    <w:lvl w:ilvl="1">
      <w:start w:val="1"/>
      <w:numFmt w:val="decimal"/>
      <w:lvlText w:val="%1.%2"/>
      <w:lvlJc w:val="left"/>
      <w:pPr>
        <w:ind w:left="557" w:hanging="330"/>
        <w:jc w:val="left"/>
      </w:pPr>
      <w:rPr>
        <w:rFonts w:hint="default" w:ascii="Calibri" w:hAnsi="Calibri" w:eastAsia="Calibri" w:cs="Calibri"/>
        <w:spacing w:val="-2"/>
        <w:w w:val="100"/>
        <w:sz w:val="21"/>
        <w:szCs w:val="21"/>
        <w:lang w:val="zh-CN" w:eastAsia="zh-CN" w:bidi="zh-CN"/>
      </w:rPr>
    </w:lvl>
    <w:lvl w:ilvl="2">
      <w:start w:val="1"/>
      <w:numFmt w:val="decimal"/>
      <w:lvlText w:val="%1.%2.%3"/>
      <w:lvlJc w:val="left"/>
      <w:pPr>
        <w:ind w:left="227" w:hanging="496"/>
        <w:jc w:val="left"/>
      </w:pPr>
      <w:rPr>
        <w:rFonts w:hint="default" w:ascii="Calibri" w:hAnsi="Calibri" w:eastAsia="Calibri" w:cs="Calibri"/>
        <w:spacing w:val="-2"/>
        <w:w w:val="100"/>
        <w:sz w:val="21"/>
        <w:szCs w:val="21"/>
        <w:lang w:val="zh-CN" w:eastAsia="zh-CN" w:bidi="zh-CN"/>
      </w:rPr>
    </w:lvl>
    <w:lvl w:ilvl="3">
      <w:start w:val="1"/>
      <w:numFmt w:val="decimal"/>
      <w:lvlText w:val="(%4)"/>
      <w:lvlJc w:val="left"/>
      <w:pPr>
        <w:ind w:left="877" w:hanging="230"/>
        <w:jc w:val="right"/>
      </w:pPr>
      <w:rPr>
        <w:rFonts w:hint="default" w:ascii="Calibri" w:hAnsi="Calibri" w:eastAsia="Calibri" w:cs="Calibri"/>
        <w:spacing w:val="-4"/>
        <w:w w:val="100"/>
        <w:sz w:val="19"/>
        <w:szCs w:val="19"/>
        <w:lang w:val="zh-CN" w:eastAsia="zh-CN" w:bidi="zh-CN"/>
      </w:rPr>
    </w:lvl>
    <w:lvl w:ilvl="4">
      <w:start w:val="0"/>
      <w:numFmt w:val="bullet"/>
      <w:lvlText w:val="•"/>
      <w:lvlJc w:val="left"/>
      <w:pPr>
        <w:ind w:left="760" w:hanging="230"/>
      </w:pPr>
      <w:rPr>
        <w:rFonts w:hint="default"/>
        <w:lang w:val="zh-CN" w:eastAsia="zh-CN" w:bidi="zh-CN"/>
      </w:rPr>
    </w:lvl>
    <w:lvl w:ilvl="5">
      <w:start w:val="0"/>
      <w:numFmt w:val="bullet"/>
      <w:lvlText w:val="•"/>
      <w:lvlJc w:val="left"/>
      <w:pPr>
        <w:ind w:left="880" w:hanging="230"/>
      </w:pPr>
      <w:rPr>
        <w:rFonts w:hint="default"/>
        <w:lang w:val="zh-CN" w:eastAsia="zh-CN" w:bidi="zh-CN"/>
      </w:rPr>
    </w:lvl>
    <w:lvl w:ilvl="6">
      <w:start w:val="0"/>
      <w:numFmt w:val="bullet"/>
      <w:lvlText w:val="•"/>
      <w:lvlJc w:val="left"/>
      <w:pPr>
        <w:ind w:left="940" w:hanging="230"/>
      </w:pPr>
      <w:rPr>
        <w:rFonts w:hint="default"/>
        <w:lang w:val="zh-CN" w:eastAsia="zh-CN" w:bidi="zh-CN"/>
      </w:rPr>
    </w:lvl>
    <w:lvl w:ilvl="7">
      <w:start w:val="0"/>
      <w:numFmt w:val="bullet"/>
      <w:lvlText w:val="•"/>
      <w:lvlJc w:val="left"/>
      <w:pPr>
        <w:ind w:left="3382" w:hanging="230"/>
      </w:pPr>
      <w:rPr>
        <w:rFonts w:hint="default"/>
        <w:lang w:val="zh-CN" w:eastAsia="zh-CN" w:bidi="zh-CN"/>
      </w:rPr>
    </w:lvl>
    <w:lvl w:ilvl="8">
      <w:start w:val="0"/>
      <w:numFmt w:val="bullet"/>
      <w:lvlText w:val="•"/>
      <w:lvlJc w:val="left"/>
      <w:pPr>
        <w:ind w:left="5825" w:hanging="230"/>
      </w:pPr>
      <w:rPr>
        <w:rFonts w:hint="default"/>
        <w:lang w:val="zh-CN" w:eastAsia="zh-CN" w:bidi="zh-CN"/>
      </w:rPr>
    </w:lvl>
  </w:abstractNum>
  <w:abstractNum w:abstractNumId="10">
    <w:multiLevelType w:val="hybridMultilevel"/>
    <w:lvl w:ilvl="0">
      <w:start w:val="1"/>
      <w:numFmt w:val="decimal"/>
      <w:lvlText w:val="（%1）"/>
      <w:lvlJc w:val="left"/>
      <w:pPr>
        <w:ind w:left="96" w:hanging="541"/>
        <w:jc w:val="left"/>
      </w:pPr>
      <w:rPr>
        <w:rFonts w:hint="default" w:ascii="hakuyoxingshu7000" w:hAnsi="hakuyoxingshu7000" w:eastAsia="hakuyoxingshu7000" w:cs="hakuyoxingshu7000"/>
        <w:spacing w:val="-15"/>
        <w:w w:val="100"/>
        <w:sz w:val="19"/>
        <w:szCs w:val="19"/>
        <w:lang w:val="zh-CN" w:eastAsia="zh-CN" w:bidi="zh-CN"/>
      </w:rPr>
    </w:lvl>
    <w:lvl w:ilvl="1">
      <w:start w:val="0"/>
      <w:numFmt w:val="bullet"/>
      <w:lvlText w:val="•"/>
      <w:lvlJc w:val="left"/>
      <w:pPr>
        <w:ind w:left="662" w:hanging="541"/>
      </w:pPr>
      <w:rPr>
        <w:rFonts w:hint="default"/>
        <w:lang w:val="zh-CN" w:eastAsia="zh-CN" w:bidi="zh-CN"/>
      </w:rPr>
    </w:lvl>
    <w:lvl w:ilvl="2">
      <w:start w:val="0"/>
      <w:numFmt w:val="bullet"/>
      <w:lvlText w:val="•"/>
      <w:lvlJc w:val="left"/>
      <w:pPr>
        <w:ind w:left="1224" w:hanging="541"/>
      </w:pPr>
      <w:rPr>
        <w:rFonts w:hint="default"/>
        <w:lang w:val="zh-CN" w:eastAsia="zh-CN" w:bidi="zh-CN"/>
      </w:rPr>
    </w:lvl>
    <w:lvl w:ilvl="3">
      <w:start w:val="0"/>
      <w:numFmt w:val="bullet"/>
      <w:lvlText w:val="•"/>
      <w:lvlJc w:val="left"/>
      <w:pPr>
        <w:ind w:left="1786" w:hanging="541"/>
      </w:pPr>
      <w:rPr>
        <w:rFonts w:hint="default"/>
        <w:lang w:val="zh-CN" w:eastAsia="zh-CN" w:bidi="zh-CN"/>
      </w:rPr>
    </w:lvl>
    <w:lvl w:ilvl="4">
      <w:start w:val="0"/>
      <w:numFmt w:val="bullet"/>
      <w:lvlText w:val="•"/>
      <w:lvlJc w:val="left"/>
      <w:pPr>
        <w:ind w:left="2349" w:hanging="541"/>
      </w:pPr>
      <w:rPr>
        <w:rFonts w:hint="default"/>
        <w:lang w:val="zh-CN" w:eastAsia="zh-CN" w:bidi="zh-CN"/>
      </w:rPr>
    </w:lvl>
    <w:lvl w:ilvl="5">
      <w:start w:val="0"/>
      <w:numFmt w:val="bullet"/>
      <w:lvlText w:val="•"/>
      <w:lvlJc w:val="left"/>
      <w:pPr>
        <w:ind w:left="2911" w:hanging="541"/>
      </w:pPr>
      <w:rPr>
        <w:rFonts w:hint="default"/>
        <w:lang w:val="zh-CN" w:eastAsia="zh-CN" w:bidi="zh-CN"/>
      </w:rPr>
    </w:lvl>
    <w:lvl w:ilvl="6">
      <w:start w:val="0"/>
      <w:numFmt w:val="bullet"/>
      <w:lvlText w:val="•"/>
      <w:lvlJc w:val="left"/>
      <w:pPr>
        <w:ind w:left="3473" w:hanging="541"/>
      </w:pPr>
      <w:rPr>
        <w:rFonts w:hint="default"/>
        <w:lang w:val="zh-CN" w:eastAsia="zh-CN" w:bidi="zh-CN"/>
      </w:rPr>
    </w:lvl>
    <w:lvl w:ilvl="7">
      <w:start w:val="0"/>
      <w:numFmt w:val="bullet"/>
      <w:lvlText w:val="•"/>
      <w:lvlJc w:val="left"/>
      <w:pPr>
        <w:ind w:left="4036" w:hanging="541"/>
      </w:pPr>
      <w:rPr>
        <w:rFonts w:hint="default"/>
        <w:lang w:val="zh-CN" w:eastAsia="zh-CN" w:bidi="zh-CN"/>
      </w:rPr>
    </w:lvl>
    <w:lvl w:ilvl="8">
      <w:start w:val="0"/>
      <w:numFmt w:val="bullet"/>
      <w:lvlText w:val="•"/>
      <w:lvlJc w:val="left"/>
      <w:pPr>
        <w:ind w:left="4598" w:hanging="541"/>
      </w:pPr>
      <w:rPr>
        <w:rFonts w:hint="default"/>
        <w:lang w:val="zh-CN" w:eastAsia="zh-CN" w:bidi="zh-CN"/>
      </w:rPr>
    </w:lvl>
  </w:abstractNum>
  <w:abstractNum w:abstractNumId="9">
    <w:multiLevelType w:val="hybridMultilevel"/>
    <w:lvl w:ilvl="0">
      <w:start w:val="9"/>
      <w:numFmt w:val="decimal"/>
      <w:lvlText w:val="（%1）"/>
      <w:lvlJc w:val="left"/>
      <w:pPr>
        <w:ind w:left="637" w:hanging="541"/>
        <w:jc w:val="left"/>
      </w:pPr>
      <w:rPr>
        <w:rFonts w:hint="default" w:ascii="hakuyoxingshu7000" w:hAnsi="hakuyoxingshu7000" w:eastAsia="hakuyoxingshu7000" w:cs="hakuyoxingshu7000"/>
        <w:w w:val="100"/>
        <w:sz w:val="19"/>
        <w:szCs w:val="19"/>
        <w:lang w:val="zh-CN" w:eastAsia="zh-CN" w:bidi="zh-CN"/>
      </w:rPr>
    </w:lvl>
    <w:lvl w:ilvl="1">
      <w:start w:val="0"/>
      <w:numFmt w:val="bullet"/>
      <w:lvlText w:val="•"/>
      <w:lvlJc w:val="left"/>
      <w:pPr>
        <w:ind w:left="1148" w:hanging="541"/>
      </w:pPr>
      <w:rPr>
        <w:rFonts w:hint="default"/>
        <w:lang w:val="zh-CN" w:eastAsia="zh-CN" w:bidi="zh-CN"/>
      </w:rPr>
    </w:lvl>
    <w:lvl w:ilvl="2">
      <w:start w:val="0"/>
      <w:numFmt w:val="bullet"/>
      <w:lvlText w:val="•"/>
      <w:lvlJc w:val="left"/>
      <w:pPr>
        <w:ind w:left="1656" w:hanging="541"/>
      </w:pPr>
      <w:rPr>
        <w:rFonts w:hint="default"/>
        <w:lang w:val="zh-CN" w:eastAsia="zh-CN" w:bidi="zh-CN"/>
      </w:rPr>
    </w:lvl>
    <w:lvl w:ilvl="3">
      <w:start w:val="0"/>
      <w:numFmt w:val="bullet"/>
      <w:lvlText w:val="•"/>
      <w:lvlJc w:val="left"/>
      <w:pPr>
        <w:ind w:left="2164" w:hanging="541"/>
      </w:pPr>
      <w:rPr>
        <w:rFonts w:hint="default"/>
        <w:lang w:val="zh-CN" w:eastAsia="zh-CN" w:bidi="zh-CN"/>
      </w:rPr>
    </w:lvl>
    <w:lvl w:ilvl="4">
      <w:start w:val="0"/>
      <w:numFmt w:val="bullet"/>
      <w:lvlText w:val="•"/>
      <w:lvlJc w:val="left"/>
      <w:pPr>
        <w:ind w:left="2673" w:hanging="541"/>
      </w:pPr>
      <w:rPr>
        <w:rFonts w:hint="default"/>
        <w:lang w:val="zh-CN" w:eastAsia="zh-CN" w:bidi="zh-CN"/>
      </w:rPr>
    </w:lvl>
    <w:lvl w:ilvl="5">
      <w:start w:val="0"/>
      <w:numFmt w:val="bullet"/>
      <w:lvlText w:val="•"/>
      <w:lvlJc w:val="left"/>
      <w:pPr>
        <w:ind w:left="3181" w:hanging="541"/>
      </w:pPr>
      <w:rPr>
        <w:rFonts w:hint="default"/>
        <w:lang w:val="zh-CN" w:eastAsia="zh-CN" w:bidi="zh-CN"/>
      </w:rPr>
    </w:lvl>
    <w:lvl w:ilvl="6">
      <w:start w:val="0"/>
      <w:numFmt w:val="bullet"/>
      <w:lvlText w:val="•"/>
      <w:lvlJc w:val="left"/>
      <w:pPr>
        <w:ind w:left="3689" w:hanging="541"/>
      </w:pPr>
      <w:rPr>
        <w:rFonts w:hint="default"/>
        <w:lang w:val="zh-CN" w:eastAsia="zh-CN" w:bidi="zh-CN"/>
      </w:rPr>
    </w:lvl>
    <w:lvl w:ilvl="7">
      <w:start w:val="0"/>
      <w:numFmt w:val="bullet"/>
      <w:lvlText w:val="•"/>
      <w:lvlJc w:val="left"/>
      <w:pPr>
        <w:ind w:left="4198" w:hanging="541"/>
      </w:pPr>
      <w:rPr>
        <w:rFonts w:hint="default"/>
        <w:lang w:val="zh-CN" w:eastAsia="zh-CN" w:bidi="zh-CN"/>
      </w:rPr>
    </w:lvl>
    <w:lvl w:ilvl="8">
      <w:start w:val="0"/>
      <w:numFmt w:val="bullet"/>
      <w:lvlText w:val="•"/>
      <w:lvlJc w:val="left"/>
      <w:pPr>
        <w:ind w:left="4706" w:hanging="541"/>
      </w:pPr>
      <w:rPr>
        <w:rFonts w:hint="default"/>
        <w:lang w:val="zh-CN" w:eastAsia="zh-CN" w:bidi="zh-CN"/>
      </w:rPr>
    </w:lvl>
  </w:abstractNum>
  <w:abstractNum w:abstractNumId="8">
    <w:multiLevelType w:val="hybridMultilevel"/>
    <w:lvl w:ilvl="0">
      <w:start w:val="1"/>
      <w:numFmt w:val="decimal"/>
      <w:lvlText w:val="（%1）"/>
      <w:lvlJc w:val="left"/>
      <w:pPr>
        <w:ind w:left="96" w:hanging="541"/>
        <w:jc w:val="left"/>
      </w:pPr>
      <w:rPr>
        <w:rFonts w:hint="default" w:ascii="hakuyoxingshu7000" w:hAnsi="hakuyoxingshu7000" w:eastAsia="hakuyoxingshu7000" w:cs="hakuyoxingshu7000"/>
        <w:spacing w:val="-15"/>
        <w:w w:val="100"/>
        <w:sz w:val="19"/>
        <w:szCs w:val="19"/>
        <w:lang w:val="zh-CN" w:eastAsia="zh-CN" w:bidi="zh-CN"/>
      </w:rPr>
    </w:lvl>
    <w:lvl w:ilvl="1">
      <w:start w:val="0"/>
      <w:numFmt w:val="bullet"/>
      <w:lvlText w:val="•"/>
      <w:lvlJc w:val="left"/>
      <w:pPr>
        <w:ind w:left="662" w:hanging="541"/>
      </w:pPr>
      <w:rPr>
        <w:rFonts w:hint="default"/>
        <w:lang w:val="zh-CN" w:eastAsia="zh-CN" w:bidi="zh-CN"/>
      </w:rPr>
    </w:lvl>
    <w:lvl w:ilvl="2">
      <w:start w:val="0"/>
      <w:numFmt w:val="bullet"/>
      <w:lvlText w:val="•"/>
      <w:lvlJc w:val="left"/>
      <w:pPr>
        <w:ind w:left="1224" w:hanging="541"/>
      </w:pPr>
      <w:rPr>
        <w:rFonts w:hint="default"/>
        <w:lang w:val="zh-CN" w:eastAsia="zh-CN" w:bidi="zh-CN"/>
      </w:rPr>
    </w:lvl>
    <w:lvl w:ilvl="3">
      <w:start w:val="0"/>
      <w:numFmt w:val="bullet"/>
      <w:lvlText w:val="•"/>
      <w:lvlJc w:val="left"/>
      <w:pPr>
        <w:ind w:left="1786" w:hanging="541"/>
      </w:pPr>
      <w:rPr>
        <w:rFonts w:hint="default"/>
        <w:lang w:val="zh-CN" w:eastAsia="zh-CN" w:bidi="zh-CN"/>
      </w:rPr>
    </w:lvl>
    <w:lvl w:ilvl="4">
      <w:start w:val="0"/>
      <w:numFmt w:val="bullet"/>
      <w:lvlText w:val="•"/>
      <w:lvlJc w:val="left"/>
      <w:pPr>
        <w:ind w:left="2349" w:hanging="541"/>
      </w:pPr>
      <w:rPr>
        <w:rFonts w:hint="default"/>
        <w:lang w:val="zh-CN" w:eastAsia="zh-CN" w:bidi="zh-CN"/>
      </w:rPr>
    </w:lvl>
    <w:lvl w:ilvl="5">
      <w:start w:val="0"/>
      <w:numFmt w:val="bullet"/>
      <w:lvlText w:val="•"/>
      <w:lvlJc w:val="left"/>
      <w:pPr>
        <w:ind w:left="2911" w:hanging="541"/>
      </w:pPr>
      <w:rPr>
        <w:rFonts w:hint="default"/>
        <w:lang w:val="zh-CN" w:eastAsia="zh-CN" w:bidi="zh-CN"/>
      </w:rPr>
    </w:lvl>
    <w:lvl w:ilvl="6">
      <w:start w:val="0"/>
      <w:numFmt w:val="bullet"/>
      <w:lvlText w:val="•"/>
      <w:lvlJc w:val="left"/>
      <w:pPr>
        <w:ind w:left="3473" w:hanging="541"/>
      </w:pPr>
      <w:rPr>
        <w:rFonts w:hint="default"/>
        <w:lang w:val="zh-CN" w:eastAsia="zh-CN" w:bidi="zh-CN"/>
      </w:rPr>
    </w:lvl>
    <w:lvl w:ilvl="7">
      <w:start w:val="0"/>
      <w:numFmt w:val="bullet"/>
      <w:lvlText w:val="•"/>
      <w:lvlJc w:val="left"/>
      <w:pPr>
        <w:ind w:left="4036" w:hanging="541"/>
      </w:pPr>
      <w:rPr>
        <w:rFonts w:hint="default"/>
        <w:lang w:val="zh-CN" w:eastAsia="zh-CN" w:bidi="zh-CN"/>
      </w:rPr>
    </w:lvl>
    <w:lvl w:ilvl="8">
      <w:start w:val="0"/>
      <w:numFmt w:val="bullet"/>
      <w:lvlText w:val="•"/>
      <w:lvlJc w:val="left"/>
      <w:pPr>
        <w:ind w:left="4598" w:hanging="541"/>
      </w:pPr>
      <w:rPr>
        <w:rFonts w:hint="default"/>
        <w:lang w:val="zh-CN" w:eastAsia="zh-CN" w:bidi="zh-CN"/>
      </w:rPr>
    </w:lvl>
  </w:abstractNum>
  <w:abstractNum w:abstractNumId="7">
    <w:multiLevelType w:val="hybridMultilevel"/>
    <w:lvl w:ilvl="0">
      <w:start w:val="1"/>
      <w:numFmt w:val="decimal"/>
      <w:lvlText w:val="（%1）"/>
      <w:lvlJc w:val="left"/>
      <w:pPr>
        <w:ind w:left="955" w:hanging="542"/>
        <w:jc w:val="left"/>
      </w:pPr>
      <w:rPr>
        <w:rFonts w:hint="default" w:ascii="Microsoft JhengHei" w:hAnsi="Microsoft JhengHei" w:eastAsia="Microsoft JhengHei" w:cs="Microsoft JhengHei"/>
        <w:b/>
        <w:bCs/>
        <w:w w:val="93"/>
        <w:sz w:val="19"/>
        <w:szCs w:val="19"/>
        <w:lang w:val="zh-CN" w:eastAsia="zh-CN" w:bidi="zh-CN"/>
      </w:rPr>
    </w:lvl>
    <w:lvl w:ilvl="1">
      <w:start w:val="0"/>
      <w:numFmt w:val="bullet"/>
      <w:lvlText w:val="•"/>
      <w:lvlJc w:val="left"/>
      <w:pPr>
        <w:ind w:left="1436" w:hanging="542"/>
      </w:pPr>
      <w:rPr>
        <w:rFonts w:hint="default"/>
        <w:lang w:val="zh-CN" w:eastAsia="zh-CN" w:bidi="zh-CN"/>
      </w:rPr>
    </w:lvl>
    <w:lvl w:ilvl="2">
      <w:start w:val="0"/>
      <w:numFmt w:val="bullet"/>
      <w:lvlText w:val="•"/>
      <w:lvlJc w:val="left"/>
      <w:pPr>
        <w:ind w:left="1912" w:hanging="542"/>
      </w:pPr>
      <w:rPr>
        <w:rFonts w:hint="default"/>
        <w:lang w:val="zh-CN" w:eastAsia="zh-CN" w:bidi="zh-CN"/>
      </w:rPr>
    </w:lvl>
    <w:lvl w:ilvl="3">
      <w:start w:val="0"/>
      <w:numFmt w:val="bullet"/>
      <w:lvlText w:val="•"/>
      <w:lvlJc w:val="left"/>
      <w:pPr>
        <w:ind w:left="2388" w:hanging="542"/>
      </w:pPr>
      <w:rPr>
        <w:rFonts w:hint="default"/>
        <w:lang w:val="zh-CN" w:eastAsia="zh-CN" w:bidi="zh-CN"/>
      </w:rPr>
    </w:lvl>
    <w:lvl w:ilvl="4">
      <w:start w:val="0"/>
      <w:numFmt w:val="bullet"/>
      <w:lvlText w:val="•"/>
      <w:lvlJc w:val="left"/>
      <w:pPr>
        <w:ind w:left="2864" w:hanging="542"/>
      </w:pPr>
      <w:rPr>
        <w:rFonts w:hint="default"/>
        <w:lang w:val="zh-CN" w:eastAsia="zh-CN" w:bidi="zh-CN"/>
      </w:rPr>
    </w:lvl>
    <w:lvl w:ilvl="5">
      <w:start w:val="0"/>
      <w:numFmt w:val="bullet"/>
      <w:lvlText w:val="•"/>
      <w:lvlJc w:val="left"/>
      <w:pPr>
        <w:ind w:left="3341" w:hanging="542"/>
      </w:pPr>
      <w:rPr>
        <w:rFonts w:hint="default"/>
        <w:lang w:val="zh-CN" w:eastAsia="zh-CN" w:bidi="zh-CN"/>
      </w:rPr>
    </w:lvl>
    <w:lvl w:ilvl="6">
      <w:start w:val="0"/>
      <w:numFmt w:val="bullet"/>
      <w:lvlText w:val="•"/>
      <w:lvlJc w:val="left"/>
      <w:pPr>
        <w:ind w:left="3817" w:hanging="542"/>
      </w:pPr>
      <w:rPr>
        <w:rFonts w:hint="default"/>
        <w:lang w:val="zh-CN" w:eastAsia="zh-CN" w:bidi="zh-CN"/>
      </w:rPr>
    </w:lvl>
    <w:lvl w:ilvl="7">
      <w:start w:val="0"/>
      <w:numFmt w:val="bullet"/>
      <w:lvlText w:val="•"/>
      <w:lvlJc w:val="left"/>
      <w:pPr>
        <w:ind w:left="4293" w:hanging="542"/>
      </w:pPr>
      <w:rPr>
        <w:rFonts w:hint="default"/>
        <w:lang w:val="zh-CN" w:eastAsia="zh-CN" w:bidi="zh-CN"/>
      </w:rPr>
    </w:lvl>
    <w:lvl w:ilvl="8">
      <w:start w:val="0"/>
      <w:numFmt w:val="bullet"/>
      <w:lvlText w:val="•"/>
      <w:lvlJc w:val="left"/>
      <w:pPr>
        <w:ind w:left="4769" w:hanging="542"/>
      </w:pPr>
      <w:rPr>
        <w:rFonts w:hint="default"/>
        <w:lang w:val="zh-CN" w:eastAsia="zh-CN" w:bidi="zh-CN"/>
      </w:rPr>
    </w:lvl>
  </w:abstractNum>
  <w:abstractNum w:abstractNumId="5">
    <w:multiLevelType w:val="hybridMultilevel"/>
    <w:lvl w:ilvl="0">
      <w:start w:val="5"/>
      <w:numFmt w:val="decimal"/>
      <w:lvlText w:val="%1"/>
      <w:lvlJc w:val="left"/>
      <w:pPr>
        <w:ind w:left="227" w:hanging="466"/>
        <w:jc w:val="left"/>
      </w:pPr>
      <w:rPr>
        <w:rFonts w:hint="default"/>
        <w:lang w:val="zh-CN" w:eastAsia="zh-CN" w:bidi="zh-CN"/>
      </w:rPr>
    </w:lvl>
    <w:lvl w:ilvl="1">
      <w:start w:val="1"/>
      <w:numFmt w:val="decimal"/>
      <w:lvlText w:val="%1.%2"/>
      <w:lvlJc w:val="left"/>
      <w:pPr>
        <w:ind w:left="227" w:hanging="466"/>
        <w:jc w:val="left"/>
      </w:pPr>
      <w:rPr>
        <w:rFonts w:hint="default" w:ascii="PMingLiU" w:hAnsi="PMingLiU" w:eastAsia="PMingLiU" w:cs="PMingLiU"/>
        <w:spacing w:val="-3"/>
        <w:w w:val="94"/>
        <w:sz w:val="28"/>
        <w:szCs w:val="28"/>
        <w:lang w:val="zh-CN" w:eastAsia="zh-CN" w:bidi="zh-CN"/>
      </w:rPr>
    </w:lvl>
    <w:lvl w:ilvl="2">
      <w:start w:val="0"/>
      <w:numFmt w:val="bullet"/>
      <w:lvlText w:val="•"/>
      <w:lvlJc w:val="left"/>
      <w:pPr>
        <w:ind w:left="2318" w:hanging="466"/>
      </w:pPr>
      <w:rPr>
        <w:rFonts w:hint="default"/>
        <w:lang w:val="zh-CN" w:eastAsia="zh-CN" w:bidi="zh-CN"/>
      </w:rPr>
    </w:lvl>
    <w:lvl w:ilvl="3">
      <w:start w:val="0"/>
      <w:numFmt w:val="bullet"/>
      <w:lvlText w:val="•"/>
      <w:lvlJc w:val="left"/>
      <w:pPr>
        <w:ind w:left="3367" w:hanging="466"/>
      </w:pPr>
      <w:rPr>
        <w:rFonts w:hint="default"/>
        <w:lang w:val="zh-CN" w:eastAsia="zh-CN" w:bidi="zh-CN"/>
      </w:rPr>
    </w:lvl>
    <w:lvl w:ilvl="4">
      <w:start w:val="0"/>
      <w:numFmt w:val="bullet"/>
      <w:lvlText w:val="•"/>
      <w:lvlJc w:val="left"/>
      <w:pPr>
        <w:ind w:left="4416" w:hanging="466"/>
      </w:pPr>
      <w:rPr>
        <w:rFonts w:hint="default"/>
        <w:lang w:val="zh-CN" w:eastAsia="zh-CN" w:bidi="zh-CN"/>
      </w:rPr>
    </w:lvl>
    <w:lvl w:ilvl="5">
      <w:start w:val="0"/>
      <w:numFmt w:val="bullet"/>
      <w:lvlText w:val="•"/>
      <w:lvlJc w:val="left"/>
      <w:pPr>
        <w:ind w:left="5465" w:hanging="466"/>
      </w:pPr>
      <w:rPr>
        <w:rFonts w:hint="default"/>
        <w:lang w:val="zh-CN" w:eastAsia="zh-CN" w:bidi="zh-CN"/>
      </w:rPr>
    </w:lvl>
    <w:lvl w:ilvl="6">
      <w:start w:val="0"/>
      <w:numFmt w:val="bullet"/>
      <w:lvlText w:val="•"/>
      <w:lvlJc w:val="left"/>
      <w:pPr>
        <w:ind w:left="6514" w:hanging="466"/>
      </w:pPr>
      <w:rPr>
        <w:rFonts w:hint="default"/>
        <w:lang w:val="zh-CN" w:eastAsia="zh-CN" w:bidi="zh-CN"/>
      </w:rPr>
    </w:lvl>
    <w:lvl w:ilvl="7">
      <w:start w:val="0"/>
      <w:numFmt w:val="bullet"/>
      <w:lvlText w:val="•"/>
      <w:lvlJc w:val="left"/>
      <w:pPr>
        <w:ind w:left="7563" w:hanging="466"/>
      </w:pPr>
      <w:rPr>
        <w:rFonts w:hint="default"/>
        <w:lang w:val="zh-CN" w:eastAsia="zh-CN" w:bidi="zh-CN"/>
      </w:rPr>
    </w:lvl>
    <w:lvl w:ilvl="8">
      <w:start w:val="0"/>
      <w:numFmt w:val="bullet"/>
      <w:lvlText w:val="•"/>
      <w:lvlJc w:val="left"/>
      <w:pPr>
        <w:ind w:left="8612" w:hanging="466"/>
      </w:pPr>
      <w:rPr>
        <w:rFonts w:hint="default"/>
        <w:lang w:val="zh-CN" w:eastAsia="zh-CN" w:bidi="zh-CN"/>
      </w:rPr>
    </w:lvl>
  </w:abstractNum>
  <w:abstractNum w:abstractNumId="4">
    <w:multiLevelType w:val="hybridMultilevel"/>
    <w:lvl w:ilvl="0">
      <w:start w:val="4"/>
      <w:numFmt w:val="decimal"/>
      <w:lvlText w:val="%1"/>
      <w:lvlJc w:val="left"/>
      <w:pPr>
        <w:ind w:left="227" w:hanging="481"/>
        <w:jc w:val="left"/>
      </w:pPr>
      <w:rPr>
        <w:rFonts w:hint="default"/>
        <w:lang w:val="zh-CN" w:eastAsia="zh-CN" w:bidi="zh-CN"/>
      </w:rPr>
    </w:lvl>
    <w:lvl w:ilvl="1">
      <w:start w:val="1"/>
      <w:numFmt w:val="decimal"/>
      <w:lvlText w:val="%1.%2"/>
      <w:lvlJc w:val="left"/>
      <w:pPr>
        <w:ind w:left="227" w:hanging="481"/>
        <w:jc w:val="left"/>
      </w:pPr>
      <w:rPr>
        <w:rFonts w:hint="default" w:ascii="PMingLiU" w:hAnsi="PMingLiU" w:eastAsia="PMingLiU" w:cs="PMingLiU"/>
        <w:spacing w:val="-3"/>
        <w:w w:val="94"/>
        <w:sz w:val="28"/>
        <w:szCs w:val="28"/>
        <w:lang w:val="zh-CN" w:eastAsia="zh-CN" w:bidi="zh-CN"/>
      </w:rPr>
    </w:lvl>
    <w:lvl w:ilvl="2">
      <w:start w:val="0"/>
      <w:numFmt w:val="bullet"/>
      <w:lvlText w:val="•"/>
      <w:lvlJc w:val="left"/>
      <w:pPr>
        <w:ind w:left="2318" w:hanging="481"/>
      </w:pPr>
      <w:rPr>
        <w:rFonts w:hint="default"/>
        <w:lang w:val="zh-CN" w:eastAsia="zh-CN" w:bidi="zh-CN"/>
      </w:rPr>
    </w:lvl>
    <w:lvl w:ilvl="3">
      <w:start w:val="0"/>
      <w:numFmt w:val="bullet"/>
      <w:lvlText w:val="•"/>
      <w:lvlJc w:val="left"/>
      <w:pPr>
        <w:ind w:left="3367" w:hanging="481"/>
      </w:pPr>
      <w:rPr>
        <w:rFonts w:hint="default"/>
        <w:lang w:val="zh-CN" w:eastAsia="zh-CN" w:bidi="zh-CN"/>
      </w:rPr>
    </w:lvl>
    <w:lvl w:ilvl="4">
      <w:start w:val="0"/>
      <w:numFmt w:val="bullet"/>
      <w:lvlText w:val="•"/>
      <w:lvlJc w:val="left"/>
      <w:pPr>
        <w:ind w:left="4416" w:hanging="481"/>
      </w:pPr>
      <w:rPr>
        <w:rFonts w:hint="default"/>
        <w:lang w:val="zh-CN" w:eastAsia="zh-CN" w:bidi="zh-CN"/>
      </w:rPr>
    </w:lvl>
    <w:lvl w:ilvl="5">
      <w:start w:val="0"/>
      <w:numFmt w:val="bullet"/>
      <w:lvlText w:val="•"/>
      <w:lvlJc w:val="left"/>
      <w:pPr>
        <w:ind w:left="5465" w:hanging="481"/>
      </w:pPr>
      <w:rPr>
        <w:rFonts w:hint="default"/>
        <w:lang w:val="zh-CN" w:eastAsia="zh-CN" w:bidi="zh-CN"/>
      </w:rPr>
    </w:lvl>
    <w:lvl w:ilvl="6">
      <w:start w:val="0"/>
      <w:numFmt w:val="bullet"/>
      <w:lvlText w:val="•"/>
      <w:lvlJc w:val="left"/>
      <w:pPr>
        <w:ind w:left="6514" w:hanging="481"/>
      </w:pPr>
      <w:rPr>
        <w:rFonts w:hint="default"/>
        <w:lang w:val="zh-CN" w:eastAsia="zh-CN" w:bidi="zh-CN"/>
      </w:rPr>
    </w:lvl>
    <w:lvl w:ilvl="7">
      <w:start w:val="0"/>
      <w:numFmt w:val="bullet"/>
      <w:lvlText w:val="•"/>
      <w:lvlJc w:val="left"/>
      <w:pPr>
        <w:ind w:left="7563" w:hanging="481"/>
      </w:pPr>
      <w:rPr>
        <w:rFonts w:hint="default"/>
        <w:lang w:val="zh-CN" w:eastAsia="zh-CN" w:bidi="zh-CN"/>
      </w:rPr>
    </w:lvl>
    <w:lvl w:ilvl="8">
      <w:start w:val="0"/>
      <w:numFmt w:val="bullet"/>
      <w:lvlText w:val="•"/>
      <w:lvlJc w:val="left"/>
      <w:pPr>
        <w:ind w:left="8612" w:hanging="481"/>
      </w:pPr>
      <w:rPr>
        <w:rFonts w:hint="default"/>
        <w:lang w:val="zh-CN" w:eastAsia="zh-CN" w:bidi="zh-CN"/>
      </w:rPr>
    </w:lvl>
  </w:abstractNum>
  <w:abstractNum w:abstractNumId="3">
    <w:multiLevelType w:val="hybridMultilevel"/>
    <w:lvl w:ilvl="0">
      <w:start w:val="3"/>
      <w:numFmt w:val="decimal"/>
      <w:lvlText w:val="%1"/>
      <w:lvlJc w:val="left"/>
      <w:pPr>
        <w:ind w:left="227" w:hanging="482"/>
        <w:jc w:val="left"/>
      </w:pPr>
      <w:rPr>
        <w:rFonts w:hint="default"/>
        <w:lang w:val="zh-CN" w:eastAsia="zh-CN" w:bidi="zh-CN"/>
      </w:rPr>
    </w:lvl>
    <w:lvl w:ilvl="1">
      <w:start w:val="1"/>
      <w:numFmt w:val="decimal"/>
      <w:lvlText w:val="%1.%2"/>
      <w:lvlJc w:val="left"/>
      <w:pPr>
        <w:ind w:left="227" w:hanging="482"/>
        <w:jc w:val="left"/>
      </w:pPr>
      <w:rPr>
        <w:rFonts w:hint="default" w:ascii="PMingLiU" w:hAnsi="PMingLiU" w:eastAsia="PMingLiU" w:cs="PMingLiU"/>
        <w:spacing w:val="-3"/>
        <w:w w:val="94"/>
        <w:sz w:val="28"/>
        <w:szCs w:val="28"/>
        <w:lang w:val="zh-CN" w:eastAsia="zh-CN" w:bidi="zh-CN"/>
      </w:rPr>
    </w:lvl>
    <w:lvl w:ilvl="2">
      <w:start w:val="0"/>
      <w:numFmt w:val="bullet"/>
      <w:lvlText w:val="•"/>
      <w:lvlJc w:val="left"/>
      <w:pPr>
        <w:ind w:left="2318" w:hanging="482"/>
      </w:pPr>
      <w:rPr>
        <w:rFonts w:hint="default"/>
        <w:lang w:val="zh-CN" w:eastAsia="zh-CN" w:bidi="zh-CN"/>
      </w:rPr>
    </w:lvl>
    <w:lvl w:ilvl="3">
      <w:start w:val="0"/>
      <w:numFmt w:val="bullet"/>
      <w:lvlText w:val="•"/>
      <w:lvlJc w:val="left"/>
      <w:pPr>
        <w:ind w:left="3367" w:hanging="482"/>
      </w:pPr>
      <w:rPr>
        <w:rFonts w:hint="default"/>
        <w:lang w:val="zh-CN" w:eastAsia="zh-CN" w:bidi="zh-CN"/>
      </w:rPr>
    </w:lvl>
    <w:lvl w:ilvl="4">
      <w:start w:val="0"/>
      <w:numFmt w:val="bullet"/>
      <w:lvlText w:val="•"/>
      <w:lvlJc w:val="left"/>
      <w:pPr>
        <w:ind w:left="4416" w:hanging="482"/>
      </w:pPr>
      <w:rPr>
        <w:rFonts w:hint="default"/>
        <w:lang w:val="zh-CN" w:eastAsia="zh-CN" w:bidi="zh-CN"/>
      </w:rPr>
    </w:lvl>
    <w:lvl w:ilvl="5">
      <w:start w:val="0"/>
      <w:numFmt w:val="bullet"/>
      <w:lvlText w:val="•"/>
      <w:lvlJc w:val="left"/>
      <w:pPr>
        <w:ind w:left="5465" w:hanging="482"/>
      </w:pPr>
      <w:rPr>
        <w:rFonts w:hint="default"/>
        <w:lang w:val="zh-CN" w:eastAsia="zh-CN" w:bidi="zh-CN"/>
      </w:rPr>
    </w:lvl>
    <w:lvl w:ilvl="6">
      <w:start w:val="0"/>
      <w:numFmt w:val="bullet"/>
      <w:lvlText w:val="•"/>
      <w:lvlJc w:val="left"/>
      <w:pPr>
        <w:ind w:left="6514" w:hanging="482"/>
      </w:pPr>
      <w:rPr>
        <w:rFonts w:hint="default"/>
        <w:lang w:val="zh-CN" w:eastAsia="zh-CN" w:bidi="zh-CN"/>
      </w:rPr>
    </w:lvl>
    <w:lvl w:ilvl="7">
      <w:start w:val="0"/>
      <w:numFmt w:val="bullet"/>
      <w:lvlText w:val="•"/>
      <w:lvlJc w:val="left"/>
      <w:pPr>
        <w:ind w:left="7563" w:hanging="482"/>
      </w:pPr>
      <w:rPr>
        <w:rFonts w:hint="default"/>
        <w:lang w:val="zh-CN" w:eastAsia="zh-CN" w:bidi="zh-CN"/>
      </w:rPr>
    </w:lvl>
    <w:lvl w:ilvl="8">
      <w:start w:val="0"/>
      <w:numFmt w:val="bullet"/>
      <w:lvlText w:val="•"/>
      <w:lvlJc w:val="left"/>
      <w:pPr>
        <w:ind w:left="8612" w:hanging="482"/>
      </w:pPr>
      <w:rPr>
        <w:rFonts w:hint="default"/>
        <w:lang w:val="zh-CN" w:eastAsia="zh-CN" w:bidi="zh-CN"/>
      </w:rPr>
    </w:lvl>
  </w:abstractNum>
  <w:abstractNum w:abstractNumId="1">
    <w:multiLevelType w:val="hybridMultilevel"/>
    <w:lvl w:ilvl="0">
      <w:start w:val="7"/>
      <w:numFmt w:val="decimal"/>
      <w:lvlText w:val="%1"/>
      <w:lvlJc w:val="left"/>
      <w:pPr>
        <w:ind w:left="857" w:hanging="210"/>
        <w:jc w:val="left"/>
      </w:pPr>
      <w:rPr>
        <w:rFonts w:hint="default" w:ascii="Calibri" w:hAnsi="Calibri" w:eastAsia="Calibri" w:cs="Calibri"/>
        <w:w w:val="102"/>
        <w:sz w:val="19"/>
        <w:szCs w:val="19"/>
        <w:lang w:val="zh-CN" w:eastAsia="zh-CN" w:bidi="zh-CN"/>
      </w:rPr>
    </w:lvl>
    <w:lvl w:ilvl="1">
      <w:start w:val="0"/>
      <w:numFmt w:val="bullet"/>
      <w:lvlText w:val="•"/>
      <w:lvlJc w:val="left"/>
      <w:pPr>
        <w:ind w:left="1845" w:hanging="210"/>
      </w:pPr>
      <w:rPr>
        <w:rFonts w:hint="default"/>
        <w:lang w:val="zh-CN" w:eastAsia="zh-CN" w:bidi="zh-CN"/>
      </w:rPr>
    </w:lvl>
    <w:lvl w:ilvl="2">
      <w:start w:val="0"/>
      <w:numFmt w:val="bullet"/>
      <w:lvlText w:val="•"/>
      <w:lvlJc w:val="left"/>
      <w:pPr>
        <w:ind w:left="2830" w:hanging="210"/>
      </w:pPr>
      <w:rPr>
        <w:rFonts w:hint="default"/>
        <w:lang w:val="zh-CN" w:eastAsia="zh-CN" w:bidi="zh-CN"/>
      </w:rPr>
    </w:lvl>
    <w:lvl w:ilvl="3">
      <w:start w:val="0"/>
      <w:numFmt w:val="bullet"/>
      <w:lvlText w:val="•"/>
      <w:lvlJc w:val="left"/>
      <w:pPr>
        <w:ind w:left="3815" w:hanging="210"/>
      </w:pPr>
      <w:rPr>
        <w:rFonts w:hint="default"/>
        <w:lang w:val="zh-CN" w:eastAsia="zh-CN" w:bidi="zh-CN"/>
      </w:rPr>
    </w:lvl>
    <w:lvl w:ilvl="4">
      <w:start w:val="0"/>
      <w:numFmt w:val="bullet"/>
      <w:lvlText w:val="•"/>
      <w:lvlJc w:val="left"/>
      <w:pPr>
        <w:ind w:left="4800" w:hanging="210"/>
      </w:pPr>
      <w:rPr>
        <w:rFonts w:hint="default"/>
        <w:lang w:val="zh-CN" w:eastAsia="zh-CN" w:bidi="zh-CN"/>
      </w:rPr>
    </w:lvl>
    <w:lvl w:ilvl="5">
      <w:start w:val="0"/>
      <w:numFmt w:val="bullet"/>
      <w:lvlText w:val="•"/>
      <w:lvlJc w:val="left"/>
      <w:pPr>
        <w:ind w:left="5785" w:hanging="210"/>
      </w:pPr>
      <w:rPr>
        <w:rFonts w:hint="default"/>
        <w:lang w:val="zh-CN" w:eastAsia="zh-CN" w:bidi="zh-CN"/>
      </w:rPr>
    </w:lvl>
    <w:lvl w:ilvl="6">
      <w:start w:val="0"/>
      <w:numFmt w:val="bullet"/>
      <w:lvlText w:val="•"/>
      <w:lvlJc w:val="left"/>
      <w:pPr>
        <w:ind w:left="6770" w:hanging="210"/>
      </w:pPr>
      <w:rPr>
        <w:rFonts w:hint="default"/>
        <w:lang w:val="zh-CN" w:eastAsia="zh-CN" w:bidi="zh-CN"/>
      </w:rPr>
    </w:lvl>
    <w:lvl w:ilvl="7">
      <w:start w:val="0"/>
      <w:numFmt w:val="bullet"/>
      <w:lvlText w:val="•"/>
      <w:lvlJc w:val="left"/>
      <w:pPr>
        <w:ind w:left="7755" w:hanging="210"/>
      </w:pPr>
      <w:rPr>
        <w:rFonts w:hint="default"/>
        <w:lang w:val="zh-CN" w:eastAsia="zh-CN" w:bidi="zh-CN"/>
      </w:rPr>
    </w:lvl>
    <w:lvl w:ilvl="8">
      <w:start w:val="0"/>
      <w:numFmt w:val="bullet"/>
      <w:lvlText w:val="•"/>
      <w:lvlJc w:val="left"/>
      <w:pPr>
        <w:ind w:left="8740" w:hanging="210"/>
      </w:pPr>
      <w:rPr>
        <w:rFonts w:hint="default"/>
        <w:lang w:val="zh-CN" w:eastAsia="zh-CN" w:bidi="zh-CN"/>
      </w:rPr>
    </w:lvl>
  </w:abstractNum>
  <w:abstractNum w:abstractNumId="0">
    <w:multiLevelType w:val="hybridMultilevel"/>
    <w:lvl w:ilvl="0">
      <w:start w:val="2"/>
      <w:numFmt w:val="decimal"/>
      <w:lvlText w:val="%1"/>
      <w:lvlJc w:val="left"/>
      <w:pPr>
        <w:ind w:left="857" w:hanging="210"/>
        <w:jc w:val="left"/>
      </w:pPr>
      <w:rPr>
        <w:rFonts w:hint="default" w:ascii="Calibri" w:hAnsi="Calibri" w:eastAsia="Calibri" w:cs="Calibri"/>
        <w:w w:val="102"/>
        <w:sz w:val="19"/>
        <w:szCs w:val="19"/>
        <w:lang w:val="zh-CN" w:eastAsia="zh-CN" w:bidi="zh-CN"/>
      </w:rPr>
    </w:lvl>
    <w:lvl w:ilvl="1">
      <w:start w:val="0"/>
      <w:numFmt w:val="bullet"/>
      <w:lvlText w:val="•"/>
      <w:lvlJc w:val="left"/>
      <w:pPr>
        <w:ind w:left="1845" w:hanging="210"/>
      </w:pPr>
      <w:rPr>
        <w:rFonts w:hint="default"/>
        <w:lang w:val="zh-CN" w:eastAsia="zh-CN" w:bidi="zh-CN"/>
      </w:rPr>
    </w:lvl>
    <w:lvl w:ilvl="2">
      <w:start w:val="0"/>
      <w:numFmt w:val="bullet"/>
      <w:lvlText w:val="•"/>
      <w:lvlJc w:val="left"/>
      <w:pPr>
        <w:ind w:left="2830" w:hanging="210"/>
      </w:pPr>
      <w:rPr>
        <w:rFonts w:hint="default"/>
        <w:lang w:val="zh-CN" w:eastAsia="zh-CN" w:bidi="zh-CN"/>
      </w:rPr>
    </w:lvl>
    <w:lvl w:ilvl="3">
      <w:start w:val="0"/>
      <w:numFmt w:val="bullet"/>
      <w:lvlText w:val="•"/>
      <w:lvlJc w:val="left"/>
      <w:pPr>
        <w:ind w:left="3815" w:hanging="210"/>
      </w:pPr>
      <w:rPr>
        <w:rFonts w:hint="default"/>
        <w:lang w:val="zh-CN" w:eastAsia="zh-CN" w:bidi="zh-CN"/>
      </w:rPr>
    </w:lvl>
    <w:lvl w:ilvl="4">
      <w:start w:val="0"/>
      <w:numFmt w:val="bullet"/>
      <w:lvlText w:val="•"/>
      <w:lvlJc w:val="left"/>
      <w:pPr>
        <w:ind w:left="4800" w:hanging="210"/>
      </w:pPr>
      <w:rPr>
        <w:rFonts w:hint="default"/>
        <w:lang w:val="zh-CN" w:eastAsia="zh-CN" w:bidi="zh-CN"/>
      </w:rPr>
    </w:lvl>
    <w:lvl w:ilvl="5">
      <w:start w:val="0"/>
      <w:numFmt w:val="bullet"/>
      <w:lvlText w:val="•"/>
      <w:lvlJc w:val="left"/>
      <w:pPr>
        <w:ind w:left="5785" w:hanging="210"/>
      </w:pPr>
      <w:rPr>
        <w:rFonts w:hint="default"/>
        <w:lang w:val="zh-CN" w:eastAsia="zh-CN" w:bidi="zh-CN"/>
      </w:rPr>
    </w:lvl>
    <w:lvl w:ilvl="6">
      <w:start w:val="0"/>
      <w:numFmt w:val="bullet"/>
      <w:lvlText w:val="•"/>
      <w:lvlJc w:val="left"/>
      <w:pPr>
        <w:ind w:left="6770" w:hanging="210"/>
      </w:pPr>
      <w:rPr>
        <w:rFonts w:hint="default"/>
        <w:lang w:val="zh-CN" w:eastAsia="zh-CN" w:bidi="zh-CN"/>
      </w:rPr>
    </w:lvl>
    <w:lvl w:ilvl="7">
      <w:start w:val="0"/>
      <w:numFmt w:val="bullet"/>
      <w:lvlText w:val="•"/>
      <w:lvlJc w:val="left"/>
      <w:pPr>
        <w:ind w:left="7755" w:hanging="210"/>
      </w:pPr>
      <w:rPr>
        <w:rFonts w:hint="default"/>
        <w:lang w:val="zh-CN" w:eastAsia="zh-CN" w:bidi="zh-CN"/>
      </w:rPr>
    </w:lvl>
    <w:lvl w:ilvl="8">
      <w:start w:val="0"/>
      <w:numFmt w:val="bullet"/>
      <w:lvlText w:val="•"/>
      <w:lvlJc w:val="left"/>
      <w:pPr>
        <w:ind w:left="8740" w:hanging="210"/>
      </w:pPr>
      <w:rPr>
        <w:rFonts w:hint="default"/>
        <w:lang w:val="zh-CN" w:eastAsia="zh-CN" w:bidi="zh-CN"/>
      </w:rPr>
    </w:lvl>
  </w:abstractNum>
  <w:num w:numId="7">
    <w:abstractNumId w:val="6"/>
  </w:num>
  <w:num w:numId="3">
    <w:abstractNumId w:val="2"/>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6">
    <w:abstractNumId w:val="5"/>
  </w:num>
  <w:num w:numId="5">
    <w:abstractNumId w:val="4"/>
  </w:num>
  <w:num w:numId="4">
    <w:abstractNumId w:val="3"/>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zh-CN" w:eastAsia="zh-CN" w:bidi="zh-CN"/>
    </w:rPr>
  </w:style>
  <w:style w:styleId="TOC1" w:type="paragraph">
    <w:name w:val="TOC 1"/>
    <w:basedOn w:val="Normal"/>
    <w:uiPriority w:val="1"/>
    <w:qFormat/>
    <w:pPr>
      <w:spacing w:before="177"/>
      <w:ind w:right="1122"/>
      <w:jc w:val="center"/>
    </w:pPr>
    <w:rPr>
      <w:rFonts w:ascii="宋体" w:hAnsi="宋体" w:eastAsia="宋体" w:cs="宋体"/>
      <w:b/>
      <w:bCs/>
      <w:sz w:val="19"/>
      <w:szCs w:val="19"/>
      <w:lang w:val="zh-CN" w:eastAsia="zh-CN" w:bidi="zh-CN"/>
    </w:rPr>
  </w:style>
  <w:style w:styleId="TOC2" w:type="paragraph">
    <w:name w:val="TOC 2"/>
    <w:basedOn w:val="Normal"/>
    <w:uiPriority w:val="1"/>
    <w:qFormat/>
    <w:pPr>
      <w:spacing w:before="72"/>
      <w:ind w:right="1349"/>
      <w:jc w:val="right"/>
    </w:pPr>
    <w:rPr>
      <w:rFonts w:ascii="宋体" w:hAnsi="宋体" w:eastAsia="宋体" w:cs="宋体"/>
      <w:sz w:val="19"/>
      <w:szCs w:val="19"/>
      <w:lang w:val="zh-CN" w:eastAsia="zh-CN" w:bidi="zh-CN"/>
    </w:rPr>
  </w:style>
  <w:style w:styleId="TOC3" w:type="paragraph">
    <w:name w:val="TOC 3"/>
    <w:basedOn w:val="Normal"/>
    <w:uiPriority w:val="1"/>
    <w:qFormat/>
    <w:pPr>
      <w:spacing w:before="57"/>
      <w:ind w:left="436"/>
    </w:pPr>
    <w:rPr>
      <w:rFonts w:ascii="黑体" w:hAnsi="黑体" w:eastAsia="黑体" w:cs="黑体"/>
      <w:b/>
      <w:bCs/>
      <w:sz w:val="19"/>
      <w:szCs w:val="19"/>
      <w:lang w:val="zh-CN" w:eastAsia="zh-CN" w:bidi="zh-CN"/>
    </w:rPr>
  </w:style>
  <w:style w:styleId="TOC4" w:type="paragraph">
    <w:name w:val="TOC 4"/>
    <w:basedOn w:val="Normal"/>
    <w:uiPriority w:val="1"/>
    <w:qFormat/>
    <w:pPr>
      <w:spacing w:before="72"/>
      <w:ind w:left="436"/>
    </w:pPr>
    <w:rPr>
      <w:rFonts w:ascii="黑体" w:hAnsi="黑体" w:eastAsia="黑体" w:cs="黑体"/>
      <w:b/>
      <w:bCs/>
      <w:i/>
      <w:lang w:val="zh-CN" w:eastAsia="zh-CN" w:bidi="zh-CN"/>
    </w:rPr>
  </w:style>
  <w:style w:styleId="TOC5" w:type="paragraph">
    <w:name w:val="TOC 5"/>
    <w:basedOn w:val="Normal"/>
    <w:uiPriority w:val="1"/>
    <w:qFormat/>
    <w:pPr>
      <w:spacing w:before="71"/>
      <w:ind w:left="857" w:hanging="211"/>
    </w:pPr>
    <w:rPr>
      <w:rFonts w:ascii="宋体" w:hAnsi="宋体" w:eastAsia="宋体" w:cs="宋体"/>
      <w:sz w:val="19"/>
      <w:szCs w:val="19"/>
      <w:lang w:val="zh-CN" w:eastAsia="zh-CN" w:bidi="zh-CN"/>
    </w:rPr>
  </w:style>
  <w:style w:styleId="BodyText" w:type="paragraph">
    <w:name w:val="Body Text"/>
    <w:basedOn w:val="Normal"/>
    <w:uiPriority w:val="1"/>
    <w:qFormat/>
    <w:pPr/>
    <w:rPr>
      <w:rFonts w:ascii="宋体" w:hAnsi="宋体" w:eastAsia="宋体" w:cs="宋体"/>
      <w:sz w:val="24"/>
      <w:szCs w:val="24"/>
      <w:lang w:val="zh-CN" w:eastAsia="zh-CN" w:bidi="zh-CN"/>
    </w:rPr>
  </w:style>
  <w:style w:styleId="Heading1" w:type="paragraph">
    <w:name w:val="Heading 1"/>
    <w:basedOn w:val="Normal"/>
    <w:uiPriority w:val="1"/>
    <w:qFormat/>
    <w:pPr>
      <w:spacing w:before="32"/>
      <w:ind w:right="1313"/>
      <w:jc w:val="center"/>
      <w:outlineLvl w:val="1"/>
    </w:pPr>
    <w:rPr>
      <w:rFonts w:ascii="黑体" w:hAnsi="黑体" w:eastAsia="黑体" w:cs="黑体"/>
      <w:sz w:val="52"/>
      <w:szCs w:val="52"/>
      <w:lang w:val="zh-CN" w:eastAsia="zh-CN" w:bidi="zh-CN"/>
    </w:rPr>
  </w:style>
  <w:style w:styleId="Heading2" w:type="paragraph">
    <w:name w:val="Heading 2"/>
    <w:basedOn w:val="Normal"/>
    <w:uiPriority w:val="1"/>
    <w:qFormat/>
    <w:pPr>
      <w:spacing w:before="45"/>
      <w:ind w:right="1122"/>
      <w:jc w:val="center"/>
      <w:outlineLvl w:val="2"/>
    </w:pPr>
    <w:rPr>
      <w:rFonts w:ascii="黑体" w:hAnsi="黑体" w:eastAsia="黑体" w:cs="黑体"/>
      <w:sz w:val="43"/>
      <w:szCs w:val="43"/>
      <w:lang w:val="zh-CN" w:eastAsia="zh-CN" w:bidi="zh-CN"/>
    </w:rPr>
  </w:style>
  <w:style w:styleId="Heading3" w:type="paragraph">
    <w:name w:val="Heading 3"/>
    <w:basedOn w:val="Normal"/>
    <w:uiPriority w:val="1"/>
    <w:qFormat/>
    <w:pPr>
      <w:spacing w:before="156"/>
      <w:ind w:left="396"/>
      <w:outlineLvl w:val="3"/>
    </w:pPr>
    <w:rPr>
      <w:rFonts w:ascii="黑体" w:hAnsi="黑体" w:eastAsia="黑体" w:cs="黑体"/>
      <w:b/>
      <w:bCs/>
      <w:sz w:val="31"/>
      <w:szCs w:val="31"/>
      <w:lang w:val="zh-CN" w:eastAsia="zh-CN" w:bidi="zh-CN"/>
    </w:rPr>
  </w:style>
  <w:style w:styleId="Heading4" w:type="paragraph">
    <w:name w:val="Heading 4"/>
    <w:basedOn w:val="Normal"/>
    <w:uiPriority w:val="1"/>
    <w:qFormat/>
    <w:pPr>
      <w:spacing w:before="61"/>
      <w:outlineLvl w:val="4"/>
    </w:pPr>
    <w:rPr>
      <w:rFonts w:ascii="黑体" w:hAnsi="黑体" w:eastAsia="黑体" w:cs="黑体"/>
      <w:sz w:val="31"/>
      <w:szCs w:val="31"/>
      <w:lang w:val="zh-CN" w:eastAsia="zh-CN" w:bidi="zh-CN"/>
    </w:rPr>
  </w:style>
  <w:style w:styleId="Heading5" w:type="paragraph">
    <w:name w:val="Heading 5"/>
    <w:basedOn w:val="Normal"/>
    <w:uiPriority w:val="1"/>
    <w:qFormat/>
    <w:pPr>
      <w:spacing w:before="58"/>
      <w:ind w:left="1188" w:hanging="946"/>
      <w:outlineLvl w:val="5"/>
    </w:pPr>
    <w:rPr>
      <w:rFonts w:ascii="黑体" w:hAnsi="黑体" w:eastAsia="黑体" w:cs="黑体"/>
      <w:sz w:val="30"/>
      <w:szCs w:val="30"/>
      <w:lang w:val="zh-CN" w:eastAsia="zh-CN" w:bidi="zh-CN"/>
    </w:rPr>
  </w:style>
  <w:style w:styleId="Heading6" w:type="paragraph">
    <w:name w:val="Heading 6"/>
    <w:basedOn w:val="Normal"/>
    <w:uiPriority w:val="1"/>
    <w:qFormat/>
    <w:pPr>
      <w:ind w:left="617" w:hanging="392"/>
      <w:outlineLvl w:val="6"/>
    </w:pPr>
    <w:rPr>
      <w:rFonts w:ascii="黑体" w:hAnsi="黑体" w:eastAsia="黑体" w:cs="黑体"/>
      <w:b/>
      <w:bCs/>
      <w:sz w:val="28"/>
      <w:szCs w:val="28"/>
      <w:lang w:val="zh-CN" w:eastAsia="zh-CN" w:bidi="zh-CN"/>
    </w:rPr>
  </w:style>
  <w:style w:styleId="Heading7" w:type="paragraph">
    <w:name w:val="Heading 7"/>
    <w:basedOn w:val="Normal"/>
    <w:uiPriority w:val="1"/>
    <w:qFormat/>
    <w:pPr>
      <w:spacing w:before="65"/>
      <w:ind w:left="226"/>
      <w:outlineLvl w:val="7"/>
    </w:pPr>
    <w:rPr>
      <w:rFonts w:ascii="PMingLiU" w:hAnsi="PMingLiU" w:eastAsia="PMingLiU" w:cs="PMingLiU"/>
      <w:sz w:val="28"/>
      <w:szCs w:val="28"/>
      <w:lang w:val="zh-CN" w:eastAsia="zh-CN" w:bidi="zh-CN"/>
    </w:rPr>
  </w:style>
  <w:style w:styleId="Heading8" w:type="paragraph">
    <w:name w:val="Heading 8"/>
    <w:basedOn w:val="Normal"/>
    <w:uiPriority w:val="1"/>
    <w:qFormat/>
    <w:pPr>
      <w:outlineLvl w:val="8"/>
    </w:pPr>
    <w:rPr>
      <w:rFonts w:ascii="黑体" w:hAnsi="黑体" w:eastAsia="黑体" w:cs="黑体"/>
      <w:sz w:val="27"/>
      <w:szCs w:val="27"/>
      <w:lang w:val="zh-CN" w:eastAsia="zh-CN" w:bidi="zh-CN"/>
    </w:rPr>
  </w:style>
  <w:style w:styleId="Heading9" w:type="paragraph">
    <w:name w:val="Heading 9"/>
    <w:basedOn w:val="Normal"/>
    <w:uiPriority w:val="1"/>
    <w:qFormat/>
    <w:pPr>
      <w:spacing w:before="67"/>
      <w:ind w:left="226"/>
      <w:outlineLvl w:val="9"/>
    </w:pPr>
    <w:rPr>
      <w:rFonts w:ascii="宋体" w:hAnsi="宋体" w:eastAsia="宋体" w:cs="宋体"/>
      <w:b/>
      <w:bCs/>
      <w:sz w:val="24"/>
      <w:szCs w:val="24"/>
      <w:lang w:val="zh-CN" w:eastAsia="zh-CN" w:bidi="zh-CN"/>
    </w:rPr>
  </w:style>
  <w:style w:styleId="ListParagraph" w:type="paragraph">
    <w:name w:val="List Paragraph"/>
    <w:basedOn w:val="Normal"/>
    <w:uiPriority w:val="1"/>
    <w:qFormat/>
    <w:pPr>
      <w:ind w:left="226" w:firstLine="480"/>
    </w:pPr>
    <w:rPr>
      <w:rFonts w:ascii="宋体" w:hAnsi="宋体" w:eastAsia="宋体" w:cs="宋体"/>
      <w:lang w:val="zh-CN" w:eastAsia="zh-CN" w:bidi="zh-CN"/>
    </w:rPr>
  </w:style>
  <w:style w:styleId="TableParagraph" w:type="paragraph">
    <w:name w:val="Table Paragraph"/>
    <w:basedOn w:val="Normal"/>
    <w:uiPriority w:val="1"/>
    <w:qFormat/>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hyperlink" Target="http://www.qhdzzbfw.gov.cn/" TargetMode="External"/><Relationship Id="rId27" Type="http://schemas.openxmlformats.org/officeDocument/2006/relationships/hyperlink" Target="http://www.qhggzyjy.gov.cn/" TargetMode="External"/><Relationship Id="rId28" Type="http://schemas.openxmlformats.org/officeDocument/2006/relationships/hyperlink" Target="mailto:sdfzchusan163@163.com" TargetMode="External"/><Relationship Id="rId29" Type="http://schemas.openxmlformats.org/officeDocument/2006/relationships/hyperlink" Target="http://111.44.251.34/TPBidder/memberframe/FrameAll" TargetMode="External"/><Relationship Id="rId30" Type="http://schemas.openxmlformats.org/officeDocument/2006/relationships/hyperlink" Target="http://www.court.gov.cn/)" TargetMode="External"/><Relationship Id="rId31" Type="http://schemas.openxmlformats.org/officeDocument/2006/relationships/hyperlink" Target="http://shixin.court.gov.cn/" TargetMode="External"/><Relationship Id="rId32" Type="http://schemas.openxmlformats.org/officeDocument/2006/relationships/image" Target="media/image21.png"/><Relationship Id="rId33" Type="http://schemas.openxmlformats.org/officeDocument/2006/relationships/header" Target="header2.xml"/><Relationship Id="rId34" Type="http://schemas.openxmlformats.org/officeDocument/2006/relationships/image" Target="media/image22.png"/><Relationship Id="rId35" Type="http://schemas.openxmlformats.org/officeDocument/2006/relationships/header" Target="header3.xml"/><Relationship Id="rId36" Type="http://schemas.openxmlformats.org/officeDocument/2006/relationships/header" Target="header4.xml"/><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dc:title>贵德县河阴镇红柳滩</dc:title>
  <dcterms:created xsi:type="dcterms:W3CDTF">2020-09-16T09:41:34Z</dcterms:created>
  <dcterms:modified xsi:type="dcterms:W3CDTF">2020-09-16T09:41:34Z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2020-09-16T00:00:00Z</vt:filetime>
  </property>
  <property fmtid="{D5CDD505-2E9C-101B-9397-08002B2CF9AE}" pid="3" name="Creator">
    <vt:lpwstr>Microsoft® Word 2010</vt:lpwstr>
  </property>
  <property fmtid="{D5CDD505-2E9C-101B-9397-08002B2CF9AE}" pid="4" name="LastSaved">
    <vt:filetime>2020-09-16T00:00:00Z</vt:filetime>
  </property>
</Properties>
</file>