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4A286">
      <w:pPr>
        <w:autoSpaceDE w:val="0"/>
        <w:autoSpaceDN w:val="0"/>
        <w:adjustRightInd w:val="0"/>
        <w:spacing w:line="720" w:lineRule="auto"/>
        <w:ind w:firstLine="0" w:firstLineChars="0"/>
        <w:rPr>
          <w:rFonts w:hint="eastAsia" w:ascii="宋体" w:hAnsi="宋体" w:eastAsia="宋体" w:cs="宋体"/>
          <w:b/>
          <w:color w:val="000000" w:themeColor="text1"/>
          <w:sz w:val="24"/>
          <w:szCs w:val="24"/>
          <w:lang w:val="en-US" w:eastAsia="zh-CN"/>
          <w14:textFill>
            <w14:solidFill>
              <w14:schemeClr w14:val="tx1"/>
            </w14:solidFill>
          </w14:textFill>
        </w:rPr>
      </w:pPr>
    </w:p>
    <w:p w14:paraId="65021B2F">
      <w:pPr>
        <w:autoSpaceDE w:val="0"/>
        <w:autoSpaceDN w:val="0"/>
        <w:adjustRightInd w:val="0"/>
        <w:spacing w:line="720" w:lineRule="auto"/>
        <w:ind w:firstLine="0" w:firstLineChars="0"/>
        <w:rPr>
          <w:rFonts w:hint="eastAsia" w:ascii="宋体" w:hAnsi="宋体" w:eastAsia="宋体" w:cs="宋体"/>
          <w:b/>
          <w:color w:val="000000" w:themeColor="text1"/>
          <w:sz w:val="24"/>
          <w:szCs w:val="24"/>
          <w:lang w:val="zh-CN"/>
          <w14:textFill>
            <w14:solidFill>
              <w14:schemeClr w14:val="tx1"/>
            </w14:solidFill>
          </w14:textFill>
        </w:rPr>
      </w:pPr>
    </w:p>
    <w:p w14:paraId="3F600BC2">
      <w:pPr>
        <w:autoSpaceDE w:val="0"/>
        <w:autoSpaceDN w:val="0"/>
        <w:adjustRightInd w:val="0"/>
        <w:spacing w:line="720" w:lineRule="auto"/>
        <w:ind w:firstLine="0" w:firstLineChars="0"/>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lang w:val="zh-CN"/>
          <w14:textFill>
            <w14:solidFill>
              <w14:schemeClr w14:val="tx1"/>
            </w14:solidFill>
          </w14:textFill>
        </w:rPr>
        <w:t>磋商文件</w:t>
      </w:r>
    </w:p>
    <w:p w14:paraId="61659C5E">
      <w:pPr>
        <w:adjustRightInd w:val="0"/>
        <w:spacing w:line="72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51D70A6C">
      <w:pPr>
        <w:adjustRightInd w:val="0"/>
        <w:spacing w:line="72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3C4D9800">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青海华景竞磋（服务）2025-009</w:t>
      </w:r>
    </w:p>
    <w:p w14:paraId="7288325B">
      <w:pPr>
        <w:adjustRightInd w:val="0"/>
        <w:spacing w:line="720" w:lineRule="auto"/>
        <w:ind w:left="2530" w:right="420" w:rightChars="200" w:hanging="2530" w:hangingChars="700"/>
        <w:textAlignment w:val="baseline"/>
        <w:rPr>
          <w:rFonts w:hint="eastAsia" w:ascii="宋体" w:hAnsi="宋体" w:eastAsia="宋体" w:cs="宋体"/>
          <w:b/>
          <w:color w:val="000000" w:themeColor="text1"/>
          <w:sz w:val="36"/>
          <w:szCs w:val="36"/>
          <w:lang w:val="en-US"/>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采购项目名称：</w:t>
      </w:r>
      <w:r>
        <w:rPr>
          <w:rFonts w:hint="eastAsia" w:ascii="宋体" w:hAnsi="宋体" w:eastAsia="宋体" w:cs="宋体"/>
          <w:b/>
          <w:color w:val="000000" w:themeColor="text1"/>
          <w:sz w:val="36"/>
          <w:szCs w:val="36"/>
          <w:lang w:val="en-US" w:eastAsia="zh-CN"/>
          <w14:textFill>
            <w14:solidFill>
              <w14:schemeClr w14:val="tx1"/>
            </w14:solidFill>
          </w14:textFill>
        </w:rPr>
        <w:t>2025年称多县第十三届三江源嘎觉吾生态文化旅游季文化服务项目</w:t>
      </w:r>
    </w:p>
    <w:p w14:paraId="7904EC0E">
      <w:pPr>
        <w:adjustRightInd w:val="0"/>
        <w:spacing w:line="72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采 </w:t>
      </w:r>
      <w:r>
        <w:rPr>
          <w:rFonts w:hint="eastAsia" w:ascii="宋体" w:hAnsi="宋体" w:eastAsia="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 xml:space="preserve"> 购 </w:t>
      </w:r>
      <w:r>
        <w:rPr>
          <w:rFonts w:hint="eastAsia" w:ascii="宋体" w:hAnsi="宋体" w:eastAsia="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 xml:space="preserve"> 人：</w:t>
      </w:r>
      <w:r>
        <w:rPr>
          <w:rFonts w:hint="eastAsia" w:ascii="宋体" w:hAnsi="宋体" w:eastAsia="宋体" w:cs="宋体"/>
          <w:b/>
          <w:color w:val="000000" w:themeColor="text1"/>
          <w:sz w:val="36"/>
          <w:szCs w:val="36"/>
          <w:lang w:eastAsia="zh-CN"/>
          <w14:textFill>
            <w14:solidFill>
              <w14:schemeClr w14:val="tx1"/>
            </w14:solidFill>
          </w14:textFill>
        </w:rPr>
        <w:t>称多县文化旅游广播电视局</w:t>
      </w:r>
    </w:p>
    <w:p w14:paraId="743B9B1A">
      <w:pPr>
        <w:spacing w:line="720" w:lineRule="auto"/>
        <w:ind w:firstLine="0" w:firstLineChars="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w:t>
      </w:r>
      <w:r>
        <w:rPr>
          <w:rFonts w:hint="eastAsia" w:ascii="宋体" w:hAnsi="宋体" w:eastAsia="宋体" w:cs="宋体"/>
          <w:b/>
          <w:color w:val="000000" w:themeColor="text1"/>
          <w:sz w:val="36"/>
          <w:szCs w:val="36"/>
          <w:lang w:eastAsia="zh-CN"/>
          <w14:textFill>
            <w14:solidFill>
              <w14:schemeClr w14:val="tx1"/>
            </w14:solidFill>
          </w14:textFill>
        </w:rPr>
        <w:t>青海华景工程项目管理有限公司</w:t>
      </w:r>
    </w:p>
    <w:p w14:paraId="26E74650">
      <w:pPr>
        <w:spacing w:line="72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270ED44E">
      <w:pPr>
        <w:spacing w:line="72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6BFD69BE">
      <w:pPr>
        <w:spacing w:line="720" w:lineRule="auto"/>
        <w:ind w:firstLine="0" w:firstLineChars="0"/>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5</w:t>
      </w:r>
      <w:r>
        <w:rPr>
          <w:rFonts w:hint="eastAsia" w:ascii="宋体" w:hAnsi="宋体" w:eastAsia="宋体" w:cs="宋体"/>
          <w:b/>
          <w:bCs/>
          <w:color w:val="000000" w:themeColor="text1"/>
          <w:sz w:val="36"/>
          <w:szCs w:val="36"/>
          <w:lang w:eastAsia="zh-CN"/>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07</w:t>
      </w:r>
      <w:r>
        <w:rPr>
          <w:rFonts w:hint="eastAsia" w:ascii="宋体" w:hAnsi="宋体" w:eastAsia="宋体" w:cs="宋体"/>
          <w:b/>
          <w:bCs/>
          <w:color w:val="000000" w:themeColor="text1"/>
          <w:sz w:val="36"/>
          <w:szCs w:val="36"/>
          <w:lang w:eastAsia="zh-CN"/>
          <w14:textFill>
            <w14:solidFill>
              <w14:schemeClr w14:val="tx1"/>
            </w14:solidFill>
          </w14:textFill>
        </w:rPr>
        <w:t>月</w:t>
      </w:r>
    </w:p>
    <w:p w14:paraId="642A8D50">
      <w:pPr>
        <w:ind w:firstLine="723"/>
        <w:jc w:val="center"/>
        <w:rPr>
          <w:rFonts w:hint="eastAsia" w:ascii="宋体" w:hAnsi="宋体" w:eastAsia="宋体" w:cs="宋体"/>
          <w:b/>
          <w:bCs/>
          <w:color w:val="000000" w:themeColor="text1"/>
          <w:sz w:val="36"/>
          <w:szCs w:val="36"/>
          <w14:textFill>
            <w14:solidFill>
              <w14:schemeClr w14:val="tx1"/>
            </w14:solidFill>
          </w14:textFill>
        </w:rPr>
      </w:pPr>
    </w:p>
    <w:p w14:paraId="694113E6">
      <w:pPr>
        <w:keepNext/>
        <w:pageBreakBefore/>
        <w:adjustRightInd w:val="0"/>
        <w:spacing w:line="720" w:lineRule="auto"/>
        <w:ind w:firstLine="0" w:firstLineChars="0"/>
        <w:jc w:val="center"/>
        <w:textAlignment w:val="baseline"/>
        <w:rPr>
          <w:rFonts w:hint="eastAsia" w:ascii="宋体" w:hAnsi="宋体" w:eastAsia="宋体" w:cs="宋体"/>
          <w:b/>
          <w:color w:val="000000" w:themeColor="text1"/>
          <w:sz w:val="40"/>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9D4660E">
      <w:pPr>
        <w:keepNext/>
        <w:pageBreakBefore/>
        <w:adjustRightInd w:val="0"/>
        <w:spacing w:line="720" w:lineRule="auto"/>
        <w:ind w:firstLine="0" w:firstLineChars="0"/>
        <w:jc w:val="center"/>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14:paraId="12EE5EBA">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val="0"/>
          <w:bCs/>
          <w:i w:val="0"/>
          <w:iCs w:val="0"/>
          <w:color w:val="000000" w:themeColor="text1"/>
          <w:sz w:val="24"/>
          <w:szCs w:val="24"/>
          <w:lang w:val="zh-CN"/>
          <w14:textFill>
            <w14:solidFill>
              <w14:schemeClr w14:val="tx1"/>
            </w14:solidFill>
          </w14:textFill>
        </w:rPr>
        <w:fldChar w:fldCharType="begin"/>
      </w:r>
      <w:r>
        <w:rPr>
          <w:rStyle w:val="28"/>
          <w:rFonts w:hint="eastAsia" w:ascii="宋体" w:hAnsi="宋体" w:eastAsia="宋体" w:cs="宋体"/>
          <w:b w:val="0"/>
          <w:bCs/>
          <w:i w:val="0"/>
          <w:iCs w:val="0"/>
          <w:color w:val="000000" w:themeColor="text1"/>
          <w:sz w:val="24"/>
          <w:szCs w:val="24"/>
          <w:lang w:val="zh-CN"/>
          <w14:textFill>
            <w14:solidFill>
              <w14:schemeClr w14:val="tx1"/>
            </w14:solidFill>
          </w14:textFill>
        </w:rPr>
        <w:instrText xml:space="preserve"> TOC \o "1-3" \h \z \u </w:instrText>
      </w:r>
      <w:r>
        <w:rPr>
          <w:rFonts w:hint="eastAsia" w:ascii="宋体" w:hAnsi="宋体" w:eastAsia="宋体" w:cs="宋体"/>
          <w:b w:val="0"/>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_Toc26347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第一部分</w:t>
      </w: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lang w:val="zh-CN"/>
          <w14:textFill>
            <w14:solidFill>
              <w14:schemeClr w14:val="tx1"/>
            </w14:solidFill>
          </w14:textFill>
        </w:rPr>
        <w:t>投标邀请</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_Toc26347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5</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B59F2E7">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_Toc6206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第二部分</w:t>
      </w: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lang w:val="zh-CN"/>
          <w14:textFill>
            <w14:solidFill>
              <w14:schemeClr w14:val="tx1"/>
            </w14:solidFill>
          </w14:textFill>
        </w:rPr>
        <w:t>供应商须知前附表</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_Toc6206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42263A6">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_Toc21023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kern w:val="28"/>
          <w:sz w:val="24"/>
          <w:szCs w:val="24"/>
          <w14:textFill>
            <w14:solidFill>
              <w14:schemeClr w14:val="tx1"/>
            </w14:solidFill>
          </w14:textFill>
        </w:rPr>
        <w:t>第三部分  供应商须知</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_Toc21023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BFD6AA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_Toc23004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一、说  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_Toc23004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571917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_Toc1465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1.适用范围</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_Toc1465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A6ACC0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_Toc20313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2.采购方式、合格的供应商</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_Toc20313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3A2C80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_Toc1923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3.磋商费用</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_Toc1923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B03F53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_Toc27095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二、磋商文件说明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_Toc27095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DF16B8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_Toc1170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4.磋商文件的构成</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_Toc1170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B79CB1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_Toc2220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5.</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磋商</w:t>
      </w:r>
      <w:r>
        <w:rPr>
          <w:rFonts w:hint="eastAsia" w:ascii="宋体" w:hAnsi="宋体" w:eastAsia="宋体" w:cs="宋体"/>
          <w:bCs/>
          <w:i w:val="0"/>
          <w:iCs w:val="0"/>
          <w:color w:val="000000" w:themeColor="text1"/>
          <w:sz w:val="24"/>
          <w:szCs w:val="24"/>
          <w:lang w:val="zh-CN"/>
          <w14:textFill>
            <w14:solidFill>
              <w14:schemeClr w14:val="tx1"/>
            </w14:solidFill>
          </w14:textFill>
        </w:rPr>
        <w:t>文件、采购活动和</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成交</w:t>
      </w:r>
      <w:r>
        <w:rPr>
          <w:rFonts w:hint="eastAsia" w:ascii="宋体" w:hAnsi="宋体" w:eastAsia="宋体" w:cs="宋体"/>
          <w:bCs/>
          <w:i w:val="0"/>
          <w:iCs w:val="0"/>
          <w:color w:val="000000" w:themeColor="text1"/>
          <w:sz w:val="24"/>
          <w:szCs w:val="24"/>
          <w:lang w:val="zh-CN"/>
          <w14:textFill>
            <w14:solidFill>
              <w14:schemeClr w14:val="tx1"/>
            </w14:solidFill>
          </w14:textFill>
        </w:rPr>
        <w:t>结果的质疑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_Toc2220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03A93C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_Toc29489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6.磋商文件的澄清、修改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_Toc29489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26B5A9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_Toc13331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三、响应文件的编制</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_Toc13331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A87BF8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_Toc326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7.响应文件的语言及度量衡单位</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_Toc326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43EC65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_Toc30358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8.磋商保证金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_Toc30358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7F6C75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_Toc6817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9.磋商有效期</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_Toc6817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EC47C9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_Toc4733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10.响应文件构成</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_Toc4733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40D29F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_Toc28446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11.响应文件编印和签署</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_Toc28446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25541E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_Toc31755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四、响应文件的递交</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_Toc31755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868F70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_Toc24195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12.响应文件的密封和标记</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_Toc24195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A8A37F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_Toc1619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13.提交响应文件截止时间、地点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_Toc1619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07DCE5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_Toc8305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五、磋商过程</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_Toc8305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AD55FB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_Toc24541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14.磋商过程</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_Toc24541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047065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_Toc28917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六、磋商程序及方法</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_Toc28917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19FC01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_Toc9607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15.磋商小组</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_Toc9607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6FA70C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_Toc3698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16.磋商程序</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_Toc3698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3AF86E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_Toc17722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17.评审办法</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_Toc17722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FB1E77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_Toc31736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七、确定成交供应商</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_Toc31736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9481B1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_Toc30568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18.推荐并确定成交供应商</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_Toc30568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4757C4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_Toc21324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19.成交通知</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_Toc21324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079842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_Toc3447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八、授予合同</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_Toc3447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F94429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_Toc3109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20.签订合同</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_Toc3109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7A6C68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_Toc1151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九、磋商活动终止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_Toc1151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B1EB1B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_Toc2673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21.终止情形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_Toc2673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B65A36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十、处罚</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_Toc1803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117776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_Toc5020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22.处罚情形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_Toc5020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6798A6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_Toc7607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十一、其他</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_Toc7607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FA4D05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_Toc2862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23.中止或终止采购活动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_Toc2862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9D1894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_Toc3551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24.其他事项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_Toc3551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A3E3F93">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_Toc6462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第四部分  采购项目合同书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_Toc6462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A3D175C">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_Toc7874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第五部分  响应文件格式</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_Toc7874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C905C7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_Toc12676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附件1：响应文件封面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_Toc12676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54AADB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_Toc197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附件2：磋商函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_Toc197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8BC985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_Toc26652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附件3：投标报价一览表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_Toc26652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E724B8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_Toc21294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4</w:t>
      </w:r>
      <w:r>
        <w:rPr>
          <w:rFonts w:hint="eastAsia" w:ascii="宋体" w:hAnsi="宋体" w:eastAsia="宋体" w:cs="宋体"/>
          <w:bCs/>
          <w:i w:val="0"/>
          <w:iCs w:val="0"/>
          <w:color w:val="000000" w:themeColor="text1"/>
          <w:sz w:val="24"/>
          <w:szCs w:val="24"/>
          <w:lang w:val="zh-CN"/>
          <w14:textFill>
            <w14:solidFill>
              <w14:schemeClr w14:val="tx1"/>
            </w14:solidFill>
          </w14:textFill>
        </w:rPr>
        <w:t>：法定代表人证明书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_Toc21294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C6A6BC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_Toc18944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5</w:t>
      </w:r>
      <w:r>
        <w:rPr>
          <w:rFonts w:hint="eastAsia" w:ascii="宋体" w:hAnsi="宋体" w:eastAsia="宋体" w:cs="宋体"/>
          <w:bCs/>
          <w:i w:val="0"/>
          <w:iCs w:val="0"/>
          <w:color w:val="000000" w:themeColor="text1"/>
          <w:sz w:val="24"/>
          <w:szCs w:val="24"/>
          <w:lang w:val="zh-CN"/>
          <w14:textFill>
            <w14:solidFill>
              <w14:schemeClr w14:val="tx1"/>
            </w14:solidFill>
          </w14:textFill>
        </w:rPr>
        <w:t>：法定代表人授权书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_Toc18944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82A8A4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_Toc28439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6</w:t>
      </w:r>
      <w:r>
        <w:rPr>
          <w:rFonts w:hint="eastAsia" w:ascii="宋体" w:hAnsi="宋体" w:eastAsia="宋体" w:cs="宋体"/>
          <w:bCs/>
          <w:i w:val="0"/>
          <w:iCs w:val="0"/>
          <w:color w:val="000000" w:themeColor="text1"/>
          <w:sz w:val="24"/>
          <w:szCs w:val="24"/>
          <w:lang w:val="zh-CN"/>
          <w14:textFill>
            <w14:solidFill>
              <w14:schemeClr w14:val="tx1"/>
            </w14:solidFill>
          </w14:textFill>
        </w:rPr>
        <w:t>：供应商承诺函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_Toc28439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42B087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_Toc10912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7</w:t>
      </w:r>
      <w:r>
        <w:rPr>
          <w:rFonts w:hint="eastAsia" w:ascii="宋体" w:hAnsi="宋体" w:eastAsia="宋体" w:cs="宋体"/>
          <w:bCs/>
          <w:i w:val="0"/>
          <w:iCs w:val="0"/>
          <w:color w:val="000000" w:themeColor="text1"/>
          <w:sz w:val="24"/>
          <w:szCs w:val="24"/>
          <w:lang w:val="zh-CN"/>
          <w14:textFill>
            <w14:solidFill>
              <w14:schemeClr w14:val="tx1"/>
            </w14:solidFill>
          </w14:textFill>
        </w:rPr>
        <w:t>：供应商诚信承诺书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_Toc10912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DF79F1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_Toc24905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8</w:t>
      </w:r>
      <w:r>
        <w:rPr>
          <w:rFonts w:hint="eastAsia" w:ascii="宋体" w:hAnsi="宋体" w:eastAsia="宋体" w:cs="宋体"/>
          <w:bCs/>
          <w:i w:val="0"/>
          <w:iCs w:val="0"/>
          <w:color w:val="000000" w:themeColor="text1"/>
          <w:sz w:val="24"/>
          <w:szCs w:val="24"/>
          <w:lang w:val="zh-CN"/>
          <w14:textFill>
            <w14:solidFill>
              <w14:schemeClr w14:val="tx1"/>
            </w14:solidFill>
          </w14:textFill>
        </w:rPr>
        <w:t>：资格证明材料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_Toc24905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36</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28F4AB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_Toc1139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t>：财务状况证明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_Toc1139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2CA818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_Toc31927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0</w:t>
      </w:r>
      <w:r>
        <w:rPr>
          <w:rFonts w:hint="eastAsia" w:ascii="宋体" w:hAnsi="宋体" w:eastAsia="宋体" w:cs="宋体"/>
          <w:bCs/>
          <w:i w:val="0"/>
          <w:iCs w:val="0"/>
          <w:color w:val="000000" w:themeColor="text1"/>
          <w:sz w:val="24"/>
          <w:szCs w:val="24"/>
          <w:lang w:val="zh-CN"/>
          <w14:textFill>
            <w14:solidFill>
              <w14:schemeClr w14:val="tx1"/>
            </w14:solidFill>
          </w14:textFill>
        </w:rPr>
        <w:t>：具备履行合同所必须的设备和专业技术能力证明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_Toc31927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C5B67E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_Toc2319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1</w:t>
      </w:r>
      <w:r>
        <w:rPr>
          <w:rFonts w:hint="eastAsia" w:ascii="宋体" w:hAnsi="宋体" w:eastAsia="宋体" w:cs="宋体"/>
          <w:bCs/>
          <w:i w:val="0"/>
          <w:iCs w:val="0"/>
          <w:color w:val="000000" w:themeColor="text1"/>
          <w:sz w:val="24"/>
          <w:szCs w:val="24"/>
          <w:lang w:val="zh-CN"/>
          <w14:textFill>
            <w14:solidFill>
              <w14:schemeClr w14:val="tx1"/>
            </w14:solidFill>
          </w14:textFill>
        </w:rPr>
        <w:t>：无重大违法记录声明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_Toc2319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FC5CE4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w:t>
      </w:r>
      <w:r>
        <w:rPr>
          <w:rFonts w:hint="eastAsia" w:ascii="宋体" w:hAnsi="宋体" w:eastAsia="宋体" w:cs="宋体"/>
          <w:bCs/>
          <w:i w:val="0"/>
          <w:iCs w:val="0"/>
          <w:color w:val="000000" w:themeColor="text1"/>
          <w:sz w:val="24"/>
          <w:szCs w:val="24"/>
          <w:lang w:val="zh-CN"/>
          <w14:textFill>
            <w14:solidFill>
              <w14:schemeClr w14:val="tx1"/>
            </w14:solidFill>
          </w14:textFill>
        </w:rPr>
        <w:t>：磋商保证金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3AA07A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3</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项目管理机构</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98B272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4</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F78C00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_Toc27327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5</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中小企业声明函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_Toc27327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F6F284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_Toc21020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附件16：</w:t>
      </w:r>
      <w:r>
        <w:rPr>
          <w:rFonts w:hint="eastAsia" w:ascii="宋体" w:hAnsi="宋体" w:eastAsia="宋体" w:cs="宋体"/>
          <w:bCs/>
          <w:i w:val="0"/>
          <w:iCs w:val="0"/>
          <w:color w:val="000000" w:themeColor="text1"/>
          <w:sz w:val="24"/>
          <w:szCs w:val="24"/>
          <w:lang w:val="zh-CN" w:eastAsia="zh-CN"/>
          <w14:textFill>
            <w14:solidFill>
              <w14:schemeClr w14:val="tx1"/>
            </w14:solidFill>
          </w14:textFill>
        </w:rPr>
        <w:t>残疾人</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福利性单位声明函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_Toc21020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57FF67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_Toc8780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附件17：监狱企业证明材料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_Toc8780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249F51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_Toc18073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8</w:t>
      </w:r>
      <w:r>
        <w:rPr>
          <w:rFonts w:hint="eastAsia" w:ascii="宋体" w:hAnsi="宋体" w:eastAsia="宋体" w:cs="宋体"/>
          <w:bCs/>
          <w:i w:val="0"/>
          <w:iCs w:val="0"/>
          <w:color w:val="000000" w:themeColor="text1"/>
          <w:sz w:val="24"/>
          <w:szCs w:val="24"/>
          <w:lang w:val="zh-CN"/>
          <w14:textFill>
            <w14:solidFill>
              <w14:schemeClr w14:val="tx1"/>
            </w14:solidFill>
          </w14:textFill>
        </w:rPr>
        <w:t>：供应商最后报价表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_Toc18073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46</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CE06828">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_Toc25610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kern w:val="28"/>
          <w:sz w:val="24"/>
          <w:szCs w:val="24"/>
          <w14:textFill>
            <w14:solidFill>
              <w14:schemeClr w14:val="tx1"/>
            </w14:solidFill>
          </w14:textFill>
        </w:rPr>
        <w:t xml:space="preserve">第六部分  </w:t>
      </w:r>
      <w:r>
        <w:rPr>
          <w:rFonts w:hint="eastAsia" w:ascii="宋体" w:hAnsi="宋体" w:eastAsia="宋体" w:cs="宋体"/>
          <w:i w:val="0"/>
          <w:iCs w:val="0"/>
          <w:color w:val="000000" w:themeColor="text1"/>
          <w:kern w:val="28"/>
          <w:sz w:val="24"/>
          <w:szCs w:val="24"/>
          <w:lang w:eastAsia="zh-CN"/>
          <w14:textFill>
            <w14:solidFill>
              <w14:schemeClr w14:val="tx1"/>
            </w14:solidFill>
          </w14:textFill>
        </w:rPr>
        <w:t>采购项目要求</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_Toc25610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6DB18DD">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_Toc20959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1.投标说明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_Toc20959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C3FE20B">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_Toc18003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2.报价说明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_Toc18003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B5054B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i w:val="0"/>
          <w:iCs w:val="0"/>
          <w:color w:val="000000" w:themeColor="text1"/>
          <w:szCs w:val="24"/>
          <w:lang w:val="zh-CN"/>
          <w14:textFill>
            <w14:solidFill>
              <w14:schemeClr w14:val="tx1"/>
            </w14:solidFill>
          </w14:textFill>
        </w:rPr>
        <w:fldChar w:fldCharType="end"/>
      </w:r>
      <w:r>
        <w:rPr>
          <w:rFonts w:hint="eastAsia" w:ascii="宋体" w:hAnsi="宋体" w:eastAsia="宋体" w:cs="宋体"/>
          <w:bCs/>
          <w:color w:val="000000" w:themeColor="text1"/>
          <w:szCs w:val="24"/>
          <w:lang w:val="zh-CN"/>
          <w14:textFill>
            <w14:solidFill>
              <w14:schemeClr w14:val="tx1"/>
            </w14:solidFill>
          </w14:textFill>
        </w:rPr>
        <w:br w:type="page"/>
      </w:r>
    </w:p>
    <w:p w14:paraId="09777280">
      <w:pPr>
        <w:pStyle w:val="21"/>
        <w:spacing w:before="0" w:after="0" w:line="360" w:lineRule="auto"/>
        <w:ind w:firstLine="0" w:firstLineChars="0"/>
        <w:rPr>
          <w:rFonts w:hint="eastAsia" w:ascii="宋体" w:hAnsi="宋体" w:eastAsia="宋体" w:cs="宋体"/>
          <w:color w:val="000000" w:themeColor="text1"/>
          <w:szCs w:val="36"/>
          <w14:textFill>
            <w14:solidFill>
              <w14:schemeClr w14:val="tx1"/>
            </w14:solidFill>
          </w14:textFill>
        </w:rPr>
      </w:pPr>
      <w:bookmarkStart w:id="0" w:name="_Toc10494"/>
      <w:bookmarkStart w:id="1" w:name="_Toc26347"/>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0"/>
      <w:bookmarkEnd w:id="1"/>
    </w:p>
    <w:p w14:paraId="1BF2DB83">
      <w:pPr>
        <w:pStyle w:val="35"/>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青海华景工程项目管理有限公司（以下均简称“采购代理机构”）受称多县文化旅游广播电视局（以下均简称“采购人”）委托</w:t>
      </w:r>
      <w:r>
        <w:rPr>
          <w:rFonts w:hint="eastAsia" w:ascii="宋体" w:hAnsi="宋体" w:eastAsia="宋体" w:cs="宋体"/>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r>
        <w:rPr>
          <w:rFonts w:hint="eastAsia" w:ascii="宋体" w:hAnsi="宋体" w:eastAsia="宋体" w:cs="宋体"/>
          <w:color w:val="000000" w:themeColor="text1"/>
          <w:sz w:val="24"/>
          <w:szCs w:val="24"/>
          <w14:textFill>
            <w14:solidFill>
              <w14:schemeClr w14:val="tx1"/>
            </w14:solidFill>
          </w14:textFill>
        </w:rPr>
        <w:t>”进行国内</w:t>
      </w:r>
      <w:r>
        <w:rPr>
          <w:rFonts w:hint="eastAsia" w:ascii="宋体" w:hAnsi="宋体" w:eastAsia="宋体" w:cs="宋体"/>
          <w:color w:val="000000" w:themeColor="text1"/>
          <w:sz w:val="24"/>
          <w:szCs w:val="24"/>
          <w:lang w:val="zh-CN"/>
          <w14:textFill>
            <w14:solidFill>
              <w14:schemeClr w14:val="tx1"/>
            </w14:solidFill>
          </w14:textFill>
        </w:rPr>
        <w:t>竞争性磋商采购</w:t>
      </w:r>
      <w:r>
        <w:rPr>
          <w:rFonts w:hint="eastAsia" w:ascii="宋体" w:hAnsi="宋体" w:eastAsia="宋体" w:cs="宋体"/>
          <w:color w:val="000000" w:themeColor="text1"/>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sz w:val="24"/>
          <w:szCs w:val="24"/>
          <w:lang w:val="zh-CN"/>
          <w14:textFill>
            <w14:solidFill>
              <w14:schemeClr w14:val="tx1"/>
            </w14:solidFill>
          </w14:textFill>
        </w:rPr>
        <w:t>。</w:t>
      </w:r>
    </w:p>
    <w:tbl>
      <w:tblPr>
        <w:tblStyle w:val="23"/>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AD5C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00C38D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4A6D05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青海华景竞磋（服务）2025-009</w:t>
            </w:r>
          </w:p>
        </w:tc>
      </w:tr>
      <w:tr w14:paraId="79CC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7E9D99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9EAB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p>
        </w:tc>
      </w:tr>
      <w:tr w14:paraId="41F9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C129FC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3BD0C29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47D4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B073F7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7655F88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1980000.00元</w:t>
            </w:r>
          </w:p>
        </w:tc>
      </w:tr>
      <w:tr w14:paraId="6D42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DAAD32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1D4749B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14:paraId="6581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22CE68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4845D841">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磋商内容：具体内容</w:t>
            </w:r>
            <w:r>
              <w:rPr>
                <w:rFonts w:hint="eastAsia" w:ascii="宋体" w:hAnsi="宋体" w:eastAsia="宋体" w:cs="宋体"/>
                <w:color w:val="000000" w:themeColor="text1"/>
                <w:sz w:val="24"/>
                <w:szCs w:val="24"/>
                <w:lang w:val="zh-CN"/>
                <w14:textFill>
                  <w14:solidFill>
                    <w14:schemeClr w14:val="tx1"/>
                  </w14:solidFill>
                </w14:textFill>
              </w:rPr>
              <w:t>详见《磋商文件》。</w:t>
            </w:r>
          </w:p>
        </w:tc>
      </w:tr>
      <w:tr w14:paraId="297E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C14D87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4ABDC356">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符合《政府采购法》第22条条件，并提供下列材料：</w:t>
            </w:r>
          </w:p>
          <w:p w14:paraId="2873FF54">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的营业执照等证明文件，自然人的身份证明。</w:t>
            </w:r>
          </w:p>
          <w:p w14:paraId="7D335C0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）财务状况报告，依法缴纳税收和社会保障资金的相关材料。</w:t>
            </w:r>
          </w:p>
          <w:p w14:paraId="7AB26D33">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）具备履行合同所必需的设备和专业技术能力的证明材料。</w:t>
            </w:r>
          </w:p>
          <w:p w14:paraId="38B9075F">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）参加政府采购活动前3年内在经营活动中没有重大违法记录的书面声明。</w:t>
            </w:r>
          </w:p>
          <w:p w14:paraId="5936AEDD">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）具备法律、行政法规规定的其他条件的证明材料。</w:t>
            </w:r>
          </w:p>
          <w:p w14:paraId="5B6664C5">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eastAsia="zh-CN" w:bidi="ar-SA"/>
                <w14:textFill>
                  <w14:solidFill>
                    <w14:schemeClr w14:val="tx1"/>
                  </w14:solidFill>
                </w14:textFill>
              </w:rPr>
              <w:t>落实政府采购政策需满足的资格要求：本项目为专门面向中小企业采购，供应商须提供《中小企业声明函》或《残疾人福利性单位声明函》或《监狱企业证明材料》，本项目采购标的所属行业为其他未列明行业；</w:t>
            </w:r>
          </w:p>
          <w:p w14:paraId="7FCF547D">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14:paraId="79C0B8B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单位负责人为同一人或者存在直接控股、管理关系的不同</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，不得参加同一合同项下的政府采购活动。否则，皆取消投标资格；</w:t>
            </w:r>
          </w:p>
          <w:p w14:paraId="4A72B2AB">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为本采购项目提供整体设计、规范编制或者项目管理、监理、检测等服务的</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，不得再参加该采购项目的其他采购活动；</w:t>
            </w:r>
          </w:p>
          <w:p w14:paraId="222D5FC4">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本项目不接受</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以联合体方式进行投标。</w:t>
            </w:r>
          </w:p>
        </w:tc>
      </w:tr>
      <w:tr w14:paraId="11EA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6DFDD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A2A9AF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2025年07月09日</w:t>
            </w:r>
          </w:p>
        </w:tc>
      </w:tr>
      <w:tr w14:paraId="4C79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63354B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0F1929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2025年07月09日至07月1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日，每天上午00:00至12:00，下午12:00至23:59</w:t>
            </w:r>
          </w:p>
        </w:tc>
      </w:tr>
      <w:tr w14:paraId="7E4EE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0B906F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00E633B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登录政采云平台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在线申请获取采购文件（进入“项目采购”应用，在获取采购文件菜单中选择项目，申请获取采购文件）</w:t>
            </w:r>
          </w:p>
        </w:tc>
      </w:tr>
      <w:tr w14:paraId="1DE9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78118E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616C663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p>
        </w:tc>
      </w:tr>
      <w:tr w14:paraId="41EC7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090EE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5572EFE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12D9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C37966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3C8B03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48625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8FC20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4CF9ED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062D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7E7D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D83269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0D1A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DFD16C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2B5A8A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采购人：称多县文化旅游广播电视局</w:t>
            </w:r>
          </w:p>
          <w:p w14:paraId="40C78A8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联系人：索南老师 </w:t>
            </w:r>
          </w:p>
          <w:p w14:paraId="2EE2F5C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联系电话：0976-8865808  </w:t>
            </w:r>
          </w:p>
          <w:p w14:paraId="7C568A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联系地址：青海省玉树藏族自治州称多县新城区称多剧院2楼</w:t>
            </w:r>
          </w:p>
        </w:tc>
      </w:tr>
      <w:tr w14:paraId="24251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8A6D1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E40F9C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采购代理机构：青海华景工程项目管理有限公司</w:t>
            </w:r>
          </w:p>
          <w:p w14:paraId="6AF1DAB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lang w:val="en-US" w:eastAsia="zh-CN"/>
                <w14:textFill>
                  <w14:solidFill>
                    <w14:schemeClr w14:val="tx1"/>
                  </w14:solidFill>
                </w14:textFill>
              </w:rPr>
              <w:t>陈先生</w:t>
            </w:r>
          </w:p>
          <w:p w14:paraId="53712F6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联系电话：18074307424</w:t>
            </w:r>
          </w:p>
          <w:p w14:paraId="2E60CD5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联系地址：青海省西宁市城东区建国大街57号东方华府D区2号楼18层1181室</w:t>
            </w:r>
          </w:p>
        </w:tc>
      </w:tr>
      <w:tr w14:paraId="5DEB5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1A3738">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12AA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中国建设银行股份有限公司西宁万达广场支行</w:t>
            </w:r>
          </w:p>
        </w:tc>
      </w:tr>
      <w:tr w14:paraId="7980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EB1864F">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3A337AE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青海华景工程项目管理有限公司</w:t>
            </w:r>
          </w:p>
        </w:tc>
      </w:tr>
      <w:tr w14:paraId="459C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047B41A">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731DB0F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63050110251300000966</w:t>
            </w:r>
          </w:p>
        </w:tc>
      </w:tr>
      <w:tr w14:paraId="12CD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B81D128">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4B9FC9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zh-CN" w:eastAsia="zh-CN"/>
                <w14:textFill>
                  <w14:solidFill>
                    <w14:schemeClr w14:val="tx1"/>
                  </w14:solidFill>
                </w14:textFill>
              </w:rPr>
              <w:t>公告发布</w:t>
            </w:r>
            <w:r>
              <w:rPr>
                <w:rFonts w:hint="eastAsia" w:ascii="宋体" w:hAnsi="宋体" w:eastAsia="宋体" w:cs="宋体"/>
                <w:color w:val="000000" w:themeColor="text1"/>
                <w:kern w:val="0"/>
                <w:sz w:val="24"/>
                <w:szCs w:val="24"/>
                <w:lang w:val="en-US" w:eastAsia="zh-CN"/>
                <w14:textFill>
                  <w14:solidFill>
                    <w14:schemeClr w14:val="tx1"/>
                  </w14:solidFill>
                </w14:textFill>
              </w:rPr>
              <w:t>网站</w:t>
            </w:r>
            <w:r>
              <w:rPr>
                <w:rFonts w:hint="eastAsia" w:ascii="宋体" w:hAnsi="宋体" w:eastAsia="宋体" w:cs="宋体"/>
                <w:color w:val="000000" w:themeColor="text1"/>
                <w:kern w:val="0"/>
                <w:sz w:val="24"/>
                <w:szCs w:val="24"/>
                <w:lang w:val="zh-CN" w:eastAsia="zh-CN"/>
                <w14:textFill>
                  <w14:solidFill>
                    <w14:schemeClr w14:val="tx1"/>
                  </w14:solidFill>
                </w14:textFill>
              </w:rPr>
              <w:t>：《青海政府采购网》、《青海省电子招标投标公共服务平台》、《中国采购与招标网》，公告内容以《青海政府采购网》发布的为准。</w:t>
            </w:r>
          </w:p>
          <w:p w14:paraId="2FB4F96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2.本次采购采用线上提交电子响应文件的方式进行，电子响应文件在提交响应文件截止时间前上传。</w:t>
            </w:r>
          </w:p>
          <w:p w14:paraId="4F19DC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3.若对项目采购电子交易系统</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操作有疑问，可登录政采云平台点击右侧咨询小采或拨打政采云服务热线95763。</w:t>
            </w:r>
          </w:p>
        </w:tc>
      </w:tr>
      <w:tr w14:paraId="0A26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8D5637">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10558B4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监督单位：称多县财政局 </w:t>
            </w:r>
          </w:p>
          <w:p w14:paraId="35BA805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联系电话：0976-8553361</w:t>
            </w:r>
          </w:p>
        </w:tc>
      </w:tr>
    </w:tbl>
    <w:p w14:paraId="03EF7EF2">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p>
    <w:p w14:paraId="68DBD8D2">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青海华景工程项目管理有限公司</w:t>
      </w:r>
    </w:p>
    <w:p w14:paraId="10DE6D47">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2025年07月09日  </w:t>
      </w:r>
    </w:p>
    <w:p w14:paraId="227151D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8B7542A">
      <w:pPr>
        <w:pStyle w:val="21"/>
        <w:spacing w:before="0" w:after="0" w:line="360" w:lineRule="auto"/>
        <w:ind w:firstLine="0" w:firstLineChars="0"/>
        <w:rPr>
          <w:rFonts w:hint="eastAsia" w:ascii="宋体" w:hAnsi="宋体" w:eastAsia="宋体" w:cs="宋体"/>
          <w:color w:val="000000" w:themeColor="text1"/>
          <w:lang w:val="zh-CN"/>
          <w14:textFill>
            <w14:solidFill>
              <w14:schemeClr w14:val="tx1"/>
            </w14:solidFill>
          </w14:textFill>
        </w:rPr>
      </w:pPr>
      <w:bookmarkStart w:id="2" w:name="_Toc3201"/>
      <w:bookmarkStart w:id="3" w:name="_Toc6206"/>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2"/>
      <w:bookmarkEnd w:id="3"/>
    </w:p>
    <w:p w14:paraId="580F2CF4">
      <w:pPr>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14:paraId="2C4512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36E83">
            <w:pPr>
              <w:autoSpaceDE w:val="0"/>
              <w:autoSpaceDN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3813B6">
            <w:pPr>
              <w:autoSpaceDE w:val="0"/>
              <w:autoSpaceDN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内容</w:t>
            </w:r>
          </w:p>
        </w:tc>
      </w:tr>
      <w:tr w14:paraId="1EB80EA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072BA6">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AE7E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B2B4CD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青海华景竞磋（服务）2025-009</w:t>
            </w:r>
          </w:p>
        </w:tc>
      </w:tr>
      <w:tr w14:paraId="7C7A9A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2BE6C">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2C4B9D">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34C7F1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p>
        </w:tc>
      </w:tr>
      <w:tr w14:paraId="756EFF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84C4D">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06AD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4D3F9F6">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称多县文化旅游广播电视局</w:t>
            </w:r>
          </w:p>
        </w:tc>
      </w:tr>
      <w:tr w14:paraId="19D532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25FFF3">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66DE8">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8849BF">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青海华景工程项目管理有限公司</w:t>
            </w:r>
          </w:p>
        </w:tc>
      </w:tr>
      <w:tr w14:paraId="7BDA7571">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CC73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45609">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E5AD75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0C25C0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53A92">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DA29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488343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p>
        </w:tc>
      </w:tr>
      <w:tr w14:paraId="71A5B6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F7601">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10AD3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DDDFA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1980000.00元</w:t>
            </w:r>
          </w:p>
        </w:tc>
      </w:tr>
      <w:tr w14:paraId="1FD63C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8EDED">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385D0C">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D776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14:paraId="34A07C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957F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079AD">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DBD6C">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详见磋商文件第六部分</w:t>
            </w:r>
          </w:p>
        </w:tc>
      </w:tr>
      <w:tr w14:paraId="1733BB4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B3290">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B44235">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2D0A560">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tc>
      </w:tr>
      <w:tr w14:paraId="66C7FAA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DFC67">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5916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4F9481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磋商保证金金额：</w:t>
            </w:r>
            <w:r>
              <w:rPr>
                <w:rFonts w:hint="eastAsia" w:ascii="宋体" w:hAnsi="宋体" w:eastAsia="宋体" w:cs="宋体"/>
                <w:b/>
                <w:bCs/>
                <w:color w:val="000000" w:themeColor="text1"/>
                <w:sz w:val="24"/>
                <w:szCs w:val="24"/>
                <w:lang w:val="en-US" w:eastAsia="zh-CN"/>
                <w14:textFill>
                  <w14:solidFill>
                    <w14:schemeClr w14:val="tx1"/>
                  </w14:solidFill>
                </w14:textFill>
              </w:rPr>
              <w:t>3万</w:t>
            </w:r>
            <w:r>
              <w:rPr>
                <w:rFonts w:hint="eastAsia" w:ascii="宋体" w:hAnsi="宋体" w:eastAsia="宋体" w:cs="宋体"/>
                <w:b/>
                <w:bCs/>
                <w:color w:val="000000" w:themeColor="text1"/>
                <w:sz w:val="24"/>
                <w:szCs w:val="24"/>
                <w:u w:val="none"/>
                <w:lang w:val="en-US" w:eastAsia="zh-CN"/>
                <w14:textFill>
                  <w14:solidFill>
                    <w14:schemeClr w14:val="tx1"/>
                  </w14:solidFill>
                </w14:textFill>
              </w:rPr>
              <w:t>元</w:t>
            </w:r>
          </w:p>
          <w:p w14:paraId="2D0DE2C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收款单位：青海华景工程项目管理有限公司</w:t>
            </w:r>
          </w:p>
          <w:p w14:paraId="33A48079">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lang w:val="zh-CN" w:eastAsia="zh-CN"/>
                <w14:textFill>
                  <w14:solidFill>
                    <w14:schemeClr w14:val="tx1"/>
                  </w14:solidFill>
                </w14:textFill>
              </w:rPr>
              <w:t>中国建设银行股份有限公司西宁万达广场支行</w:t>
            </w:r>
          </w:p>
          <w:p w14:paraId="3FA60D2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lang w:val="zh-CN" w:eastAsia="zh-CN"/>
                <w14:textFill>
                  <w14:solidFill>
                    <w14:schemeClr w14:val="tx1"/>
                  </w14:solidFill>
                </w14:textFill>
              </w:rPr>
              <w:t>63050110251300000966</w:t>
            </w:r>
          </w:p>
          <w:p w14:paraId="6257B25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缴费时间：提交响应文件截止时间前，以银行到账时间为准。</w:t>
            </w:r>
          </w:p>
        </w:tc>
      </w:tr>
      <w:tr w14:paraId="53EAEB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CC5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4DE50">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2E5FE8">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46CF94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A93D5">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9E62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37EDCD">
            <w:pPr>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351CDC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DBFEC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05F8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F9C81">
            <w:pPr>
              <w:autoSpaceDE w:val="0"/>
              <w:autoSpaceDN w:val="0"/>
              <w:spacing w:line="360" w:lineRule="auto"/>
              <w:ind w:firstLine="0" w:firstLineChars="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政采云平台提交</w:t>
            </w:r>
          </w:p>
        </w:tc>
      </w:tr>
      <w:tr w14:paraId="07292B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FFDC1">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51D97">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4FDE6">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32D612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5284B">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2FDDB">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B1C70">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5E12380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3501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AC9D7">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6DBF7">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4F7F9DB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64DF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F3BA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A81511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评审中需要供应商对响应文件作出澄清、说明或者补正的，磋商小组和供应商应当通过电子交易系统交换数据电文，给予供应商提交澄清说明或补正的时间为60分钟，供应商已经明确表示澄清说明或补正完毕的除外。未在规定时间内进行澄清补正，视同默认原文相关内容。</w:t>
            </w:r>
          </w:p>
        </w:tc>
      </w:tr>
      <w:tr w14:paraId="16D416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C26C6">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01070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26DF1CF">
            <w:pPr>
              <w:autoSpaceDE w:val="0"/>
              <w:autoSpaceDN w:val="0"/>
              <w:spacing w:line="360" w:lineRule="auto"/>
              <w:ind w:firstLine="0" w:firstLineChars="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收取对象：</w:t>
            </w:r>
            <w:r>
              <w:rPr>
                <w:rFonts w:hint="eastAsia" w:ascii="宋体" w:hAnsi="宋体" w:eastAsia="宋体" w:cs="宋体"/>
                <w:b/>
                <w:bCs/>
                <w:color w:val="000000" w:themeColor="text1"/>
                <w:sz w:val="24"/>
                <w:szCs w:val="24"/>
                <w:lang w:val="en-US" w:eastAsia="zh-CN"/>
                <w14:textFill>
                  <w14:solidFill>
                    <w14:schemeClr w14:val="tx1"/>
                  </w14:solidFill>
                </w14:textFill>
              </w:rPr>
              <w:t>成交供应商</w:t>
            </w:r>
          </w:p>
          <w:p w14:paraId="58EC5727">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收取金额：</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eastAsia="zh-CN"/>
                <w14:textFill>
                  <w14:solidFill>
                    <w14:schemeClr w14:val="tx1"/>
                  </w14:solidFill>
                </w14:textFill>
              </w:rPr>
              <w:t>000.00元</w:t>
            </w:r>
          </w:p>
          <w:p w14:paraId="6E55A16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收款单位：青海华景工程项目管理有限公司</w:t>
            </w:r>
          </w:p>
          <w:p w14:paraId="6B34D02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lang w:val="zh-CN" w:eastAsia="zh-CN"/>
                <w14:textFill>
                  <w14:solidFill>
                    <w14:schemeClr w14:val="tx1"/>
                  </w14:solidFill>
                </w14:textFill>
              </w:rPr>
              <w:t>中国建设银行股份有限公司西宁万达广场支行</w:t>
            </w:r>
          </w:p>
          <w:p w14:paraId="35D782AD">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lang w:val="zh-CN" w:eastAsia="zh-CN"/>
                <w14:textFill>
                  <w14:solidFill>
                    <w14:schemeClr w14:val="tx1"/>
                  </w14:solidFill>
                </w14:textFill>
              </w:rPr>
              <w:t>63050110251300000966</w:t>
            </w:r>
          </w:p>
          <w:p w14:paraId="7DE520CD">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5B06D1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9FDC3">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98EAA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563DA5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自成交通知书发出之日起</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日内与采购人签订采购合同</w:t>
            </w:r>
          </w:p>
        </w:tc>
      </w:tr>
      <w:tr w14:paraId="49181C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EFB89">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0D47C">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26F5EF9">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采购合同全数返回采购代理机构鉴证，盖章。</w:t>
            </w:r>
          </w:p>
          <w:p w14:paraId="14116824">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采购代理机构留存</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val="zh-CN"/>
                <w14:textFill>
                  <w14:solidFill>
                    <w14:schemeClr w14:val="tx1"/>
                  </w14:solidFill>
                </w14:textFill>
              </w:rPr>
              <w:t>份原件备案。</w:t>
            </w:r>
          </w:p>
        </w:tc>
      </w:tr>
      <w:tr w14:paraId="5EF5C36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EB3587">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E00C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E900B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个日历日</w:t>
            </w:r>
          </w:p>
        </w:tc>
      </w:tr>
      <w:tr w14:paraId="0B948F0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532F4">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8B095">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CD3504D">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bl>
    <w:p w14:paraId="2C8536C0">
      <w:pPr>
        <w:wordWrap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282AD497">
      <w:pPr>
        <w:wordWrap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11B86281">
      <w:pPr>
        <w:keepNext/>
        <w:keepLines/>
        <w:pageBreakBefore/>
        <w:widowControl/>
        <w:snapToGrid w:val="0"/>
        <w:spacing w:line="360" w:lineRule="auto"/>
        <w:ind w:firstLine="0" w:firstLineChars="0"/>
        <w:jc w:val="center"/>
        <w:outlineLvl w:val="0"/>
        <w:rPr>
          <w:rFonts w:hint="eastAsia" w:ascii="宋体" w:hAnsi="宋体" w:eastAsia="宋体" w:cs="宋体"/>
          <w:b/>
          <w:color w:val="000000" w:themeColor="text1"/>
          <w:kern w:val="28"/>
          <w:sz w:val="36"/>
          <w:szCs w:val="20"/>
          <w14:textFill>
            <w14:solidFill>
              <w14:schemeClr w14:val="tx1"/>
            </w14:solidFill>
          </w14:textFill>
        </w:rPr>
      </w:pPr>
      <w:bookmarkStart w:id="4" w:name="_Toc21023"/>
      <w:bookmarkStart w:id="5"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
    </w:p>
    <w:p w14:paraId="46245A7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6" w:name="_Toc14943"/>
      <w:bookmarkStart w:id="7" w:name="_Toc23004"/>
      <w:bookmarkStart w:id="8" w:name="_Toc24622"/>
      <w:bookmarkStart w:id="9" w:name="_Toc376936728"/>
      <w:r>
        <w:rPr>
          <w:rFonts w:hint="eastAsia" w:ascii="宋体" w:hAnsi="宋体" w:eastAsia="宋体" w:cs="宋体"/>
          <w:b/>
          <w:bCs/>
          <w:color w:val="000000" w:themeColor="text1"/>
          <w:sz w:val="24"/>
          <w:szCs w:val="24"/>
          <w14:textFill>
            <w14:solidFill>
              <w14:schemeClr w14:val="tx1"/>
            </w14:solidFill>
          </w14:textFill>
        </w:rPr>
        <w:t>一、说  明</w:t>
      </w:r>
      <w:bookmarkEnd w:id="5"/>
      <w:bookmarkEnd w:id="6"/>
      <w:bookmarkEnd w:id="7"/>
      <w:bookmarkEnd w:id="8"/>
      <w:bookmarkEnd w:id="9"/>
    </w:p>
    <w:p w14:paraId="4A387AB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0" w:name="_Toc26944"/>
      <w:bookmarkStart w:id="11" w:name="_Toc376936729"/>
      <w:bookmarkStart w:id="12" w:name="_Toc325725998"/>
      <w:bookmarkStart w:id="13" w:name="_Toc1465"/>
      <w:bookmarkStart w:id="14" w:name="_Toc9770"/>
      <w:r>
        <w:rPr>
          <w:rFonts w:hint="eastAsia" w:ascii="宋体" w:hAnsi="宋体" w:eastAsia="宋体" w:cs="宋体"/>
          <w:b/>
          <w:bCs/>
          <w:color w:val="000000" w:themeColor="text1"/>
          <w:sz w:val="24"/>
          <w:szCs w:val="24"/>
          <w14:textFill>
            <w14:solidFill>
              <w14:schemeClr w14:val="tx1"/>
            </w14:solidFill>
          </w14:textFill>
        </w:rPr>
        <w:t>1.适用范围</w:t>
      </w:r>
      <w:bookmarkEnd w:id="10"/>
      <w:bookmarkEnd w:id="11"/>
      <w:bookmarkEnd w:id="12"/>
      <w:bookmarkEnd w:id="13"/>
      <w:bookmarkEnd w:id="14"/>
    </w:p>
    <w:p w14:paraId="1AD87F3C">
      <w:pPr>
        <w:tabs>
          <w:tab w:val="left" w:pos="84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本次采购依据采购人的采购计划，仅适用于本磋商文件中所叙述的项目。</w:t>
      </w:r>
    </w:p>
    <w:p w14:paraId="759FEAC6">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5" w:name="_Toc376936730"/>
      <w:bookmarkStart w:id="16" w:name="_Toc325725999"/>
      <w:bookmarkStart w:id="17" w:name="_Toc21998"/>
      <w:bookmarkStart w:id="18" w:name="_Toc31556"/>
      <w:bookmarkStart w:id="19" w:name="_Toc20313"/>
      <w:r>
        <w:rPr>
          <w:rFonts w:hint="eastAsia" w:ascii="宋体" w:hAnsi="宋体" w:eastAsia="宋体" w:cs="宋体"/>
          <w:b/>
          <w:bCs/>
          <w:color w:val="000000" w:themeColor="text1"/>
          <w:sz w:val="24"/>
          <w:szCs w:val="24"/>
          <w14:textFill>
            <w14:solidFill>
              <w14:schemeClr w14:val="tx1"/>
            </w14:solidFill>
          </w14:textFill>
        </w:rPr>
        <w:t>2.采购方式、合格的</w:t>
      </w:r>
      <w:bookmarkEnd w:id="15"/>
      <w:bookmarkEnd w:id="16"/>
      <w:bookmarkEnd w:id="17"/>
      <w:r>
        <w:rPr>
          <w:rFonts w:hint="eastAsia" w:ascii="宋体" w:hAnsi="宋体" w:eastAsia="宋体" w:cs="宋体"/>
          <w:b/>
          <w:bCs/>
          <w:color w:val="000000" w:themeColor="text1"/>
          <w:sz w:val="24"/>
          <w:szCs w:val="24"/>
          <w14:textFill>
            <w14:solidFill>
              <w14:schemeClr w14:val="tx1"/>
            </w14:solidFill>
          </w14:textFill>
        </w:rPr>
        <w:t>供应商</w:t>
      </w:r>
      <w:bookmarkEnd w:id="18"/>
      <w:bookmarkEnd w:id="19"/>
    </w:p>
    <w:p w14:paraId="56106C41">
      <w:pPr>
        <w:tabs>
          <w:tab w:val="left" w:pos="840"/>
        </w:tabs>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本次采购采取竞争性磋商方式。</w:t>
      </w:r>
    </w:p>
    <w:p w14:paraId="48124096">
      <w:pPr>
        <w:tabs>
          <w:tab w:val="left" w:pos="840"/>
        </w:tabs>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合格的供应商：</w:t>
      </w: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p w14:paraId="475176E7">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0" w:name="_Toc376936731"/>
      <w:bookmarkStart w:id="21" w:name="_Toc8805"/>
      <w:bookmarkStart w:id="22" w:name="_Toc8820"/>
      <w:bookmarkStart w:id="23" w:name="_Toc325726000"/>
      <w:bookmarkStart w:id="24" w:name="_Toc1923"/>
      <w:r>
        <w:rPr>
          <w:rFonts w:hint="eastAsia" w:ascii="宋体" w:hAnsi="宋体" w:eastAsia="宋体" w:cs="宋体"/>
          <w:b/>
          <w:bCs/>
          <w:color w:val="000000" w:themeColor="text1"/>
          <w:sz w:val="24"/>
          <w:szCs w:val="24"/>
          <w14:textFill>
            <w14:solidFill>
              <w14:schemeClr w14:val="tx1"/>
            </w14:solidFill>
          </w14:textFill>
        </w:rPr>
        <w:t>3.磋商费用</w:t>
      </w:r>
      <w:bookmarkEnd w:id="20"/>
      <w:bookmarkEnd w:id="21"/>
      <w:bookmarkEnd w:id="22"/>
      <w:bookmarkEnd w:id="23"/>
      <w:bookmarkEnd w:id="24"/>
    </w:p>
    <w:p w14:paraId="192A84BB">
      <w:pPr>
        <w:tabs>
          <w:tab w:val="left" w:pos="84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25" w:name="_Toc18155"/>
      <w:bookmarkStart w:id="26" w:name="_Toc325726001"/>
      <w:bookmarkStart w:id="27" w:name="_Toc376936732"/>
    </w:p>
    <w:p w14:paraId="4E3F2E9B">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8" w:name="_Toc27095"/>
      <w:r>
        <w:rPr>
          <w:rFonts w:hint="eastAsia" w:ascii="宋体" w:hAnsi="宋体" w:eastAsia="宋体" w:cs="宋体"/>
          <w:b/>
          <w:bCs/>
          <w:color w:val="000000" w:themeColor="text1"/>
          <w:sz w:val="24"/>
          <w:szCs w:val="24"/>
          <w14:textFill>
            <w14:solidFill>
              <w14:schemeClr w14:val="tx1"/>
            </w14:solidFill>
          </w14:textFill>
        </w:rPr>
        <w:t>二、磋商文件说明</w:t>
      </w:r>
      <w:bookmarkEnd w:id="25"/>
      <w:bookmarkEnd w:id="26"/>
      <w:bookmarkEnd w:id="27"/>
      <w:bookmarkEnd w:id="28"/>
    </w:p>
    <w:p w14:paraId="684D2F7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9" w:name="_Toc376936733"/>
      <w:bookmarkStart w:id="30" w:name="_Toc14153"/>
      <w:bookmarkStart w:id="31" w:name="_Toc325726002"/>
      <w:bookmarkStart w:id="32" w:name="_Toc10649"/>
      <w:bookmarkStart w:id="33" w:name="_Toc1170"/>
      <w:r>
        <w:rPr>
          <w:rFonts w:hint="eastAsia" w:ascii="宋体" w:hAnsi="宋体" w:eastAsia="宋体" w:cs="宋体"/>
          <w:b/>
          <w:bCs/>
          <w:color w:val="000000" w:themeColor="text1"/>
          <w:sz w:val="24"/>
          <w:szCs w:val="24"/>
          <w14:textFill>
            <w14:solidFill>
              <w14:schemeClr w14:val="tx1"/>
            </w14:solidFill>
          </w14:textFill>
        </w:rPr>
        <w:t>4.磋商文件的构成</w:t>
      </w:r>
      <w:bookmarkEnd w:id="29"/>
      <w:bookmarkEnd w:id="30"/>
      <w:bookmarkEnd w:id="31"/>
      <w:bookmarkEnd w:id="32"/>
      <w:bookmarkEnd w:id="33"/>
    </w:p>
    <w:p w14:paraId="4C68A04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磋商文件包括：</w:t>
      </w:r>
    </w:p>
    <w:p w14:paraId="3DED7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14:paraId="3C862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14:paraId="242AB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14:paraId="74E84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14:paraId="63236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14:paraId="78394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采购项目要求</w:t>
      </w:r>
    </w:p>
    <w:p w14:paraId="4169DC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14:paraId="16D4138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14:paraId="7273FA3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4" w:name="_Toc3451"/>
      <w:bookmarkStart w:id="35" w:name="_Toc325726003"/>
      <w:bookmarkStart w:id="36" w:name="_Toc6482"/>
      <w:bookmarkStart w:id="37" w:name="_Toc376936734"/>
      <w:bookmarkStart w:id="38" w:name="_Toc2220"/>
      <w:r>
        <w:rPr>
          <w:rFonts w:hint="eastAsia" w:ascii="宋体" w:hAnsi="宋体" w:eastAsia="宋体" w:cs="宋体"/>
          <w:b/>
          <w:bCs/>
          <w:color w:val="000000" w:themeColor="text1"/>
          <w:sz w:val="24"/>
          <w:szCs w:val="24"/>
          <w14:textFill>
            <w14:solidFill>
              <w14:schemeClr w14:val="tx1"/>
            </w14:solidFill>
          </w14:textFill>
        </w:rPr>
        <w:t>5.</w:t>
      </w:r>
      <w:bookmarkEnd w:id="34"/>
      <w:bookmarkEnd w:id="35"/>
      <w:bookmarkEnd w:id="36"/>
      <w:bookmarkEnd w:id="37"/>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val="zh-CN"/>
          <w14:textFill>
            <w14:solidFill>
              <w14:schemeClr w14:val="tx1"/>
            </w14:solidFill>
          </w14:textFill>
        </w:rPr>
        <w:t>文件、采购活动和</w:t>
      </w:r>
      <w:r>
        <w:rPr>
          <w:rFonts w:hint="eastAsia" w:ascii="宋体" w:hAnsi="宋体" w:eastAsia="宋体" w:cs="宋体"/>
          <w:b/>
          <w:bCs/>
          <w:color w:val="000000" w:themeColor="text1"/>
          <w:sz w:val="24"/>
          <w:szCs w:val="24"/>
          <w:lang w:val="en-US" w:eastAsia="zh-CN"/>
          <w14:textFill>
            <w14:solidFill>
              <w14:schemeClr w14:val="tx1"/>
            </w14:solidFill>
          </w14:textFill>
        </w:rPr>
        <w:t>成交</w:t>
      </w:r>
      <w:r>
        <w:rPr>
          <w:rFonts w:hint="eastAsia" w:ascii="宋体" w:hAnsi="宋体" w:eastAsia="宋体" w:cs="宋体"/>
          <w:b/>
          <w:bCs/>
          <w:color w:val="000000" w:themeColor="text1"/>
          <w:sz w:val="24"/>
          <w:szCs w:val="24"/>
          <w:lang w:val="zh-CN"/>
          <w14:textFill>
            <w14:solidFill>
              <w14:schemeClr w14:val="tx1"/>
            </w14:solidFill>
          </w14:textFill>
        </w:rPr>
        <w:t>结果的质疑</w:t>
      </w:r>
      <w:bookmarkEnd w:id="38"/>
    </w:p>
    <w:p w14:paraId="02A3B0D9">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认为</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文件、采购过程和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sz w:val="24"/>
          <w:szCs w:val="24"/>
          <w14:textFill>
            <w14:solidFill>
              <w14:schemeClr w14:val="tx1"/>
            </w14:solidFill>
          </w14:textFill>
        </w:rPr>
        <w:t>质疑函后7个工作日内作出答复</w:t>
      </w:r>
      <w:r>
        <w:rPr>
          <w:rFonts w:hint="eastAsia" w:ascii="宋体" w:hAnsi="宋体" w:eastAsia="宋体" w:cs="宋体"/>
          <w:color w:val="000000" w:themeColor="text1"/>
          <w:sz w:val="24"/>
          <w:szCs w:val="24"/>
          <w:lang w:val="zh-CN"/>
          <w14:textFill>
            <w14:solidFill>
              <w14:schemeClr w14:val="tx1"/>
            </w14:solidFill>
          </w14:textFill>
        </w:rPr>
        <w:t>。</w:t>
      </w:r>
    </w:p>
    <w:p w14:paraId="0B30C545">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参与采购活动的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E5C888A">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应知其权益受到损害之日，是指：</w:t>
      </w:r>
    </w:p>
    <w:p w14:paraId="653A7033">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）对可以质疑的</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文件提出质疑的，为收到</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文件之日或者</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文件公告期限届满之日；</w:t>
      </w:r>
    </w:p>
    <w:p w14:paraId="6F7719D6">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）对采购过程提出质疑的，为各采购程序环节结束之日；</w:t>
      </w:r>
    </w:p>
    <w:p w14:paraId="2C865CAF">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结果提出质疑的，为</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结果公告期限届满之日。</w:t>
      </w:r>
    </w:p>
    <w:p w14:paraId="3F1FFD48">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依据青海省财政厅关于开展政府采购线上质疑、投诉试点工作的通知（青财采字〔2024〕1412号）规定，本项目质疑、投诉可通过电子化系统线上受理并进行线上答复。线上质疑、投诉渠道为：政采云平台（</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"https://www.zcygov.cn。"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Style w:val="28"/>
          <w:rFonts w:hint="eastAsia" w:ascii="宋体" w:hAnsi="宋体" w:eastAsia="宋体" w:cs="宋体"/>
          <w:color w:val="000000" w:themeColor="text1"/>
          <w:sz w:val="24"/>
          <w:szCs w:val="24"/>
          <w:lang w:val="en-US" w:eastAsia="zh-CN"/>
          <w14:textFill>
            <w14:solidFill>
              <w14:schemeClr w14:val="tx1"/>
            </w14:solidFill>
          </w14:textFill>
        </w:rPr>
        <w:t>https://www.zcygov.cn</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28"/>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p>
    <w:p w14:paraId="629A3379">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线上质疑试点期间，供应商在法定质疑期内也可线下提出书面质疑函。</w:t>
      </w:r>
    </w:p>
    <w:p w14:paraId="08BAD0C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9" w:name="_Toc26515"/>
      <w:bookmarkStart w:id="40" w:name="_Toc13050"/>
      <w:bookmarkStart w:id="41" w:name="_Toc376936735"/>
      <w:bookmarkStart w:id="42" w:name="_Toc325726004"/>
      <w:bookmarkStart w:id="43" w:name="_Toc29489"/>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39"/>
      <w:bookmarkEnd w:id="40"/>
      <w:bookmarkEnd w:id="41"/>
      <w:bookmarkEnd w:id="42"/>
      <w:bookmarkEnd w:id="43"/>
    </w:p>
    <w:p w14:paraId="6B7804F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FBE63B4">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在提交响应文件截止时间前，采购代理机构可以视采购具体情况，延长提交响应文件截止时间和开启时间，并将变更公告发布在</w:t>
      </w:r>
      <w:r>
        <w:rPr>
          <w:rFonts w:hint="eastAsia" w:ascii="宋体" w:hAnsi="宋体" w:eastAsia="宋体" w:cs="宋体"/>
          <w:color w:val="000000" w:themeColor="text1"/>
          <w:sz w:val="24"/>
          <w:szCs w:val="24"/>
          <w:lang w:eastAsia="zh-CN"/>
          <w14:textFill>
            <w14:solidFill>
              <w14:schemeClr w14:val="tx1"/>
            </w14:solidFill>
          </w14:textFill>
        </w:rPr>
        <w:t>青海政府采购网</w:t>
      </w:r>
      <w:r>
        <w:rPr>
          <w:rFonts w:hint="eastAsia" w:ascii="宋体" w:hAnsi="宋体" w:eastAsia="宋体" w:cs="宋体"/>
          <w:color w:val="000000" w:themeColor="text1"/>
          <w:sz w:val="24"/>
          <w:szCs w:val="24"/>
          <w14:textFill>
            <w14:solidFill>
              <w14:schemeClr w14:val="tx1"/>
            </w14:solidFill>
          </w14:textFill>
        </w:rPr>
        <w:t>上。</w:t>
      </w:r>
      <w:bookmarkStart w:id="44" w:name="_Toc376936736"/>
      <w:bookmarkStart w:id="45" w:name="_Toc325726005"/>
      <w:bookmarkStart w:id="46" w:name="_Toc23340"/>
    </w:p>
    <w:p w14:paraId="57BFC899">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采购代理机构对采购文件进行澄清或修改的，应通过电子交易系统向已获取采购文件的供应商发送更正信息，澄清或修改的内容作为采购文件的组成部分。</w:t>
      </w:r>
    </w:p>
    <w:p w14:paraId="70BA061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47" w:name="_Toc13331"/>
      <w:r>
        <w:rPr>
          <w:rFonts w:hint="eastAsia" w:ascii="宋体" w:hAnsi="宋体" w:eastAsia="宋体" w:cs="宋体"/>
          <w:b/>
          <w:bCs/>
          <w:color w:val="000000" w:themeColor="text1"/>
          <w:sz w:val="24"/>
          <w:szCs w:val="24"/>
          <w14:textFill>
            <w14:solidFill>
              <w14:schemeClr w14:val="tx1"/>
            </w14:solidFill>
          </w14:textFill>
        </w:rPr>
        <w:t>三、响应文件的编制</w:t>
      </w:r>
      <w:bookmarkEnd w:id="44"/>
      <w:bookmarkEnd w:id="45"/>
      <w:bookmarkEnd w:id="46"/>
      <w:bookmarkEnd w:id="47"/>
    </w:p>
    <w:p w14:paraId="583BEA03">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48" w:name="_Toc325726006"/>
      <w:bookmarkStart w:id="49" w:name="_Toc326"/>
      <w:bookmarkStart w:id="50" w:name="_Toc376936737"/>
      <w:bookmarkStart w:id="51" w:name="_Toc13057"/>
      <w:bookmarkStart w:id="52" w:name="_Toc9674"/>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48"/>
      <w:bookmarkEnd w:id="49"/>
      <w:bookmarkEnd w:id="50"/>
      <w:bookmarkEnd w:id="51"/>
      <w:bookmarkEnd w:id="52"/>
    </w:p>
    <w:p w14:paraId="7C58591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14:paraId="6C91F4EE">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14:paraId="56DB81DD">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703548C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53" w:name="_Toc17093"/>
      <w:bookmarkStart w:id="54" w:name="_Toc21569"/>
      <w:bookmarkStart w:id="55" w:name="_Toc325726012"/>
      <w:bookmarkStart w:id="56" w:name="_Toc376936743"/>
      <w:bookmarkStart w:id="57" w:name="_Toc30358"/>
      <w:r>
        <w:rPr>
          <w:rFonts w:hint="eastAsia" w:ascii="宋体" w:hAnsi="宋体" w:eastAsia="宋体" w:cs="宋体"/>
          <w:b/>
          <w:bCs/>
          <w:color w:val="000000" w:themeColor="text1"/>
          <w:sz w:val="24"/>
          <w:szCs w:val="24"/>
          <w14:textFill>
            <w14:solidFill>
              <w14:schemeClr w14:val="tx1"/>
            </w14:solidFill>
          </w14:textFill>
        </w:rPr>
        <w:t>8.磋商保证金</w:t>
      </w:r>
      <w:bookmarkEnd w:id="53"/>
      <w:bookmarkEnd w:id="54"/>
      <w:bookmarkEnd w:id="55"/>
      <w:bookmarkEnd w:id="56"/>
      <w:bookmarkEnd w:id="57"/>
    </w:p>
    <w:p w14:paraId="59A09EDE">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p w14:paraId="3E0306F8">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 磋商保证金由供应商以转款方式直接缴入“青海华景工程项目管理有限公司”</w:t>
      </w:r>
      <w:r>
        <w:rPr>
          <w:rFonts w:hint="eastAsia" w:ascii="宋体" w:hAnsi="宋体" w:eastAsia="宋体" w:cs="宋体"/>
          <w:color w:val="000000" w:themeColor="text1"/>
          <w:sz w:val="24"/>
          <w:szCs w:val="24"/>
          <w14:textFill>
            <w14:solidFill>
              <w14:schemeClr w14:val="tx1"/>
            </w14:solidFill>
          </w14:textFill>
        </w:rPr>
        <w:t>保证金专用</w:t>
      </w:r>
      <w:r>
        <w:rPr>
          <w:rFonts w:hint="eastAsia" w:ascii="宋体" w:hAnsi="宋体" w:eastAsia="宋体" w:cs="宋体"/>
          <w:color w:val="000000" w:themeColor="text1"/>
          <w:sz w:val="24"/>
          <w:szCs w:val="24"/>
          <w:lang w:val="zh-CN"/>
          <w14:textFill>
            <w14:solidFill>
              <w14:schemeClr w14:val="tx1"/>
            </w14:solidFill>
          </w14:textFill>
        </w:rPr>
        <w:t>帐户。</w:t>
      </w:r>
    </w:p>
    <w:p w14:paraId="06FB0251">
      <w:pPr>
        <w:autoSpaceDE w:val="0"/>
        <w:autoSpaceDN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有下列情形之一的，磋商保证金不予退还：</w:t>
      </w:r>
    </w:p>
    <w:p w14:paraId="36A513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14:paraId="38A6DB7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14:paraId="331309A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（3）除因不可抗力或磋商文件认可的情形以外，成交供应商不与采购人签订合同的；</w:t>
      </w:r>
    </w:p>
    <w:p w14:paraId="5B925B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14:paraId="18F030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14:paraId="2B3BE19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58" w:name="_Toc6817"/>
      <w:bookmarkStart w:id="59" w:name="_Toc376936744"/>
      <w:bookmarkStart w:id="60" w:name="_Toc325726013"/>
      <w:bookmarkStart w:id="61" w:name="_Toc32704"/>
      <w:bookmarkStart w:id="62" w:name="_Toc22044"/>
      <w:r>
        <w:rPr>
          <w:rFonts w:hint="eastAsia" w:ascii="宋体" w:hAnsi="宋体" w:eastAsia="宋体" w:cs="宋体"/>
          <w:b/>
          <w:bCs/>
          <w:color w:val="000000" w:themeColor="text1"/>
          <w:sz w:val="24"/>
          <w:szCs w:val="24"/>
          <w14:textFill>
            <w14:solidFill>
              <w14:schemeClr w14:val="tx1"/>
            </w14:solidFill>
          </w14:textFill>
        </w:rPr>
        <w:t>9.磋商有效期</w:t>
      </w:r>
      <w:bookmarkEnd w:id="58"/>
      <w:bookmarkEnd w:id="59"/>
      <w:bookmarkEnd w:id="60"/>
      <w:bookmarkEnd w:id="61"/>
      <w:bookmarkEnd w:id="62"/>
    </w:p>
    <w:p w14:paraId="0B6398C9">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个日历日</w:t>
      </w:r>
    </w:p>
    <w:p w14:paraId="42B2BF6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63" w:name="_Toc31915"/>
      <w:bookmarkStart w:id="64" w:name="_Toc4733"/>
      <w:bookmarkStart w:id="65" w:name="_Toc325726008"/>
      <w:bookmarkStart w:id="66" w:name="_Toc16445"/>
      <w:bookmarkStart w:id="67" w:name="_Toc376936739"/>
      <w:r>
        <w:rPr>
          <w:rFonts w:hint="eastAsia" w:ascii="宋体" w:hAnsi="宋体" w:eastAsia="宋体" w:cs="宋体"/>
          <w:b/>
          <w:bCs/>
          <w:color w:val="000000" w:themeColor="text1"/>
          <w:sz w:val="24"/>
          <w:szCs w:val="24"/>
          <w14:textFill>
            <w14:solidFill>
              <w14:schemeClr w14:val="tx1"/>
            </w14:solidFill>
          </w14:textFill>
        </w:rPr>
        <w:t>10.响应文件构成</w:t>
      </w:r>
      <w:bookmarkEnd w:id="63"/>
      <w:bookmarkEnd w:id="64"/>
      <w:bookmarkEnd w:id="65"/>
      <w:bookmarkEnd w:id="66"/>
      <w:bookmarkEnd w:id="67"/>
    </w:p>
    <w:p w14:paraId="373C99A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14:paraId="3FB51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w:t>
      </w:r>
    </w:p>
    <w:p w14:paraId="0E38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（2）磋商函</w:t>
      </w:r>
    </w:p>
    <w:p w14:paraId="17ADD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w:t>
      </w:r>
      <w:r>
        <w:rPr>
          <w:rFonts w:hint="eastAsia" w:ascii="宋体" w:hAnsi="宋体" w:eastAsia="宋体" w:cs="宋体"/>
          <w:color w:val="000000" w:themeColor="text1"/>
          <w:sz w:val="24"/>
          <w:szCs w:val="24"/>
          <w:lang w:val="zh-CN"/>
          <w14:textFill>
            <w14:solidFill>
              <w14:schemeClr w14:val="tx1"/>
            </w14:solidFill>
          </w14:textFill>
        </w:rPr>
        <w:t>一览表</w:t>
      </w:r>
    </w:p>
    <w:p w14:paraId="693B3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法定代表人证明书</w:t>
      </w:r>
    </w:p>
    <w:p w14:paraId="17F35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）法定代表人授权书</w:t>
      </w:r>
    </w:p>
    <w:p w14:paraId="1141A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）供应商承诺函</w:t>
      </w:r>
    </w:p>
    <w:p w14:paraId="48AF1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）供应商诚信承诺书</w:t>
      </w:r>
    </w:p>
    <w:p w14:paraId="3B1C3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）资格证明材料</w:t>
      </w:r>
    </w:p>
    <w:p w14:paraId="4A100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）财务状况</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0C8E0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）具备履行合同所必须的设备和专业技术能力证明</w:t>
      </w:r>
    </w:p>
    <w:p w14:paraId="3BBFB7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）无重大违法记录声明</w:t>
      </w:r>
    </w:p>
    <w:p w14:paraId="062A7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）磋商保证金</w:t>
      </w:r>
    </w:p>
    <w:p w14:paraId="2A00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eastAsia="zh-CN"/>
          <w14:textFill>
            <w14:solidFill>
              <w14:schemeClr w14:val="tx1"/>
            </w14:solidFill>
          </w14:textFill>
        </w:rPr>
        <w:t>）项目管理机构</w:t>
      </w:r>
    </w:p>
    <w:p w14:paraId="24DBC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p>
    <w:p w14:paraId="755D5E24">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中小企业声明函</w:t>
      </w:r>
    </w:p>
    <w:p w14:paraId="1D90ADC0">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残疾人</w:t>
      </w:r>
      <w:r>
        <w:rPr>
          <w:rFonts w:hint="eastAsia" w:ascii="宋体" w:hAnsi="宋体" w:eastAsia="宋体" w:cs="宋体"/>
          <w:color w:val="000000" w:themeColor="text1"/>
          <w:sz w:val="24"/>
          <w:szCs w:val="24"/>
          <w:lang w:val="en-US" w:eastAsia="zh-CN"/>
          <w14:textFill>
            <w14:solidFill>
              <w14:schemeClr w14:val="tx1"/>
            </w14:solidFill>
          </w14:textFill>
        </w:rPr>
        <w:t>福利性单位声明函</w:t>
      </w:r>
    </w:p>
    <w:p w14:paraId="56DA9700">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监狱企业证明材料</w:t>
      </w:r>
    </w:p>
    <w:p w14:paraId="38C7AFE8">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）供应商认为在其他方面有必要说明的事项</w:t>
      </w:r>
    </w:p>
    <w:p w14:paraId="352D26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49DBAE5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68" w:name="_Toc11377"/>
      <w:bookmarkStart w:id="69" w:name="_Toc373392580"/>
      <w:bookmarkStart w:id="70" w:name="_Toc28446"/>
      <w:bookmarkStart w:id="71" w:name="_Toc16453"/>
      <w:bookmarkStart w:id="72" w:name="_Toc412617729"/>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68"/>
      <w:bookmarkEnd w:id="69"/>
      <w:bookmarkEnd w:id="70"/>
      <w:bookmarkEnd w:id="71"/>
      <w:bookmarkEnd w:id="72"/>
    </w:p>
    <w:p w14:paraId="0698ADDB">
      <w:pPr>
        <w:pStyle w:val="12"/>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须提交一份电子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为供应商按10.1要求编制并确认纸质响应文件后的扫描件。</w:t>
      </w:r>
    </w:p>
    <w:p w14:paraId="5162D444">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响应文件中不得行间插字、涂改或增删，如有修改错漏处，须由供应商法定代表人或其委托代理人签字和盖章。</w:t>
      </w:r>
      <w:bookmarkStart w:id="73" w:name="_Toc15102"/>
      <w:bookmarkStart w:id="74" w:name="_Toc412617730"/>
      <w:bookmarkStart w:id="75" w:name="_Toc376936748"/>
      <w:bookmarkStart w:id="76" w:name="_Toc371090029"/>
    </w:p>
    <w:p w14:paraId="0C6ACF04">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77" w:name="_Toc31755"/>
      <w:r>
        <w:rPr>
          <w:rFonts w:hint="eastAsia" w:ascii="宋体" w:hAnsi="宋体" w:eastAsia="宋体" w:cs="宋体"/>
          <w:b/>
          <w:bCs/>
          <w:color w:val="000000" w:themeColor="text1"/>
          <w:sz w:val="24"/>
          <w:szCs w:val="24"/>
          <w14:textFill>
            <w14:solidFill>
              <w14:schemeClr w14:val="tx1"/>
            </w14:solidFill>
          </w14:textFill>
        </w:rPr>
        <w:t>四、响应文件的递交</w:t>
      </w:r>
      <w:bookmarkEnd w:id="73"/>
      <w:bookmarkEnd w:id="74"/>
      <w:bookmarkEnd w:id="77"/>
    </w:p>
    <w:p w14:paraId="0A56B06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78" w:name="_Toc412617731"/>
      <w:bookmarkStart w:id="79" w:name="_Toc1176"/>
      <w:bookmarkStart w:id="80" w:name="_Toc24195"/>
      <w:bookmarkStart w:id="81" w:name="_Toc373392582"/>
      <w:bookmarkStart w:id="82" w:name="_Toc325726016"/>
      <w:bookmarkStart w:id="83" w:name="_Toc23823"/>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78"/>
      <w:bookmarkEnd w:id="79"/>
      <w:bookmarkEnd w:id="80"/>
      <w:bookmarkEnd w:id="81"/>
      <w:bookmarkEnd w:id="82"/>
      <w:bookmarkEnd w:id="83"/>
    </w:p>
    <w:p w14:paraId="2C90D09A">
      <w:pPr>
        <w:pStyle w:val="12"/>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bookmarkEnd w:id="75"/>
    <w:bookmarkEnd w:id="76"/>
    <w:p w14:paraId="4568D23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84" w:name="_Toc30756"/>
      <w:bookmarkStart w:id="85" w:name="_Toc4009"/>
      <w:bookmarkStart w:id="86" w:name="_Toc325726017"/>
      <w:bookmarkStart w:id="87" w:name="_Toc373392583"/>
      <w:bookmarkStart w:id="88" w:name="_Toc412617732"/>
      <w:bookmarkStart w:id="89" w:name="_Toc1619"/>
      <w:bookmarkStart w:id="90" w:name="_Toc371090030"/>
      <w:bookmarkStart w:id="91" w:name="_Toc376936749"/>
      <w:r>
        <w:rPr>
          <w:rFonts w:hint="eastAsia" w:ascii="宋体" w:hAnsi="宋体" w:eastAsia="宋体" w:cs="宋体"/>
          <w:b/>
          <w:bCs/>
          <w:color w:val="000000" w:themeColor="text1"/>
          <w:sz w:val="24"/>
          <w:szCs w:val="24"/>
          <w14:textFill>
            <w14:solidFill>
              <w14:schemeClr w14:val="tx1"/>
            </w14:solidFill>
          </w14:textFill>
        </w:rPr>
        <w:t>13.</w:t>
      </w:r>
      <w:bookmarkEnd w:id="84"/>
      <w:bookmarkEnd w:id="85"/>
      <w:bookmarkEnd w:id="86"/>
      <w:bookmarkEnd w:id="87"/>
      <w:bookmarkEnd w:id="88"/>
      <w:r>
        <w:rPr>
          <w:rFonts w:hint="eastAsia" w:ascii="宋体" w:hAnsi="宋体" w:eastAsia="宋体" w:cs="宋体"/>
          <w:b/>
          <w:bCs/>
          <w:color w:val="000000" w:themeColor="text1"/>
          <w:sz w:val="24"/>
          <w:szCs w:val="24"/>
          <w14:textFill>
            <w14:solidFill>
              <w14:schemeClr w14:val="tx1"/>
            </w14:solidFill>
          </w14:textFill>
        </w:rPr>
        <w:t>提交响应文件截止时间、地点</w:t>
      </w:r>
      <w:bookmarkEnd w:id="89"/>
    </w:p>
    <w:p w14:paraId="31106333">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提交响应文件截止时间及地点详见“供应商须知前附表”。</w:t>
      </w:r>
    </w:p>
    <w:bookmarkEnd w:id="90"/>
    <w:bookmarkEnd w:id="91"/>
    <w:p w14:paraId="46845B09">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bookmarkStart w:id="92" w:name="_Toc376936750"/>
      <w:bookmarkStart w:id="93" w:name="_Toc325726019"/>
      <w:bookmarkStart w:id="94" w:name="_Toc9147"/>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en-US" w:eastAsia="zh-CN"/>
          <w14:textFill>
            <w14:solidFill>
              <w14:schemeClr w14:val="tx1"/>
            </w14:solidFill>
          </w14:textFill>
        </w:rPr>
        <w:t xml:space="preserve"> 供应商应当按照磋商文件规定和电子交易系统操作规范的要求编制、确认、签章、加密响应文件，并在提交响应文件截止时间前通过电子交易系统上传已加密的响应文件。提交响应文件截止时间前未完成传输的，视为撤回响应文件。提交响应文件截止时间后递交的响应文件，电子交易系统应当拒收。</w:t>
      </w:r>
    </w:p>
    <w:p w14:paraId="5BDE1ED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95" w:name="_Toc5644"/>
      <w:bookmarkStart w:id="96" w:name="_Toc8305"/>
      <w:r>
        <w:rPr>
          <w:rFonts w:hint="eastAsia" w:ascii="宋体" w:hAnsi="宋体" w:eastAsia="宋体" w:cs="宋体"/>
          <w:b/>
          <w:bCs/>
          <w:color w:val="000000" w:themeColor="text1"/>
          <w:sz w:val="24"/>
          <w:szCs w:val="24"/>
          <w14:textFill>
            <w14:solidFill>
              <w14:schemeClr w14:val="tx1"/>
            </w14:solidFill>
          </w14:textFill>
        </w:rPr>
        <w:t>五、</w:t>
      </w:r>
      <w:bookmarkEnd w:id="92"/>
      <w:bookmarkEnd w:id="93"/>
      <w:r>
        <w:rPr>
          <w:rFonts w:hint="eastAsia" w:ascii="宋体" w:hAnsi="宋体" w:eastAsia="宋体" w:cs="宋体"/>
          <w:b/>
          <w:bCs/>
          <w:color w:val="000000" w:themeColor="text1"/>
          <w:sz w:val="24"/>
          <w:szCs w:val="24"/>
          <w14:textFill>
            <w14:solidFill>
              <w14:schemeClr w14:val="tx1"/>
            </w14:solidFill>
          </w14:textFill>
        </w:rPr>
        <w:t>磋商过程</w:t>
      </w:r>
      <w:bookmarkEnd w:id="94"/>
      <w:bookmarkEnd w:id="95"/>
      <w:bookmarkEnd w:id="96"/>
    </w:p>
    <w:p w14:paraId="5E698EE2">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97" w:name="_Toc325726020"/>
      <w:bookmarkStart w:id="98" w:name="_Toc376936751"/>
      <w:bookmarkStart w:id="99" w:name="_Toc24541"/>
      <w:bookmarkStart w:id="100" w:name="_Toc15630"/>
      <w:bookmarkStart w:id="101" w:name="_Toc26723"/>
      <w:r>
        <w:rPr>
          <w:rFonts w:hint="eastAsia" w:ascii="宋体" w:hAnsi="宋体" w:eastAsia="宋体" w:cs="宋体"/>
          <w:b/>
          <w:bCs/>
          <w:color w:val="000000" w:themeColor="text1"/>
          <w:sz w:val="24"/>
          <w:szCs w:val="24"/>
          <w14:textFill>
            <w14:solidFill>
              <w14:schemeClr w14:val="tx1"/>
            </w14:solidFill>
          </w14:textFill>
        </w:rPr>
        <w:t>14.</w:t>
      </w:r>
      <w:bookmarkEnd w:id="97"/>
      <w:bookmarkEnd w:id="98"/>
      <w:r>
        <w:rPr>
          <w:rFonts w:hint="eastAsia" w:ascii="宋体" w:hAnsi="宋体" w:eastAsia="宋体" w:cs="宋体"/>
          <w:b/>
          <w:bCs/>
          <w:color w:val="000000" w:themeColor="text1"/>
          <w:sz w:val="24"/>
          <w:szCs w:val="24"/>
          <w14:textFill>
            <w14:solidFill>
              <w14:schemeClr w14:val="tx1"/>
            </w14:solidFill>
          </w14:textFill>
        </w:rPr>
        <w:t>磋商过程</w:t>
      </w:r>
      <w:bookmarkEnd w:id="99"/>
      <w:bookmarkEnd w:id="100"/>
      <w:bookmarkEnd w:id="101"/>
    </w:p>
    <w:p w14:paraId="5399C22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en-US" w:eastAsia="zh-CN"/>
          <w14:textFill>
            <w14:solidFill>
              <w14:schemeClr w14:val="tx1"/>
            </w14:solidFill>
          </w14:textFill>
        </w:rPr>
        <w:t xml:space="preserve"> 采购代理机构</w:t>
      </w:r>
      <w:r>
        <w:rPr>
          <w:rFonts w:hint="eastAsia" w:ascii="宋体" w:hAnsi="宋体" w:eastAsia="宋体" w:cs="宋体"/>
          <w:color w:val="000000" w:themeColor="text1"/>
          <w:sz w:val="24"/>
          <w:szCs w:val="24"/>
          <w:lang w:val="zh-CN"/>
          <w14:textFill>
            <w14:solidFill>
              <w14:schemeClr w14:val="tx1"/>
            </w14:solidFill>
          </w14:textFill>
        </w:rPr>
        <w:t>通过电子交易系统按照</w:t>
      </w:r>
      <w:r>
        <w:rPr>
          <w:rFonts w:hint="eastAsia" w:ascii="宋体" w:hAnsi="宋体" w:eastAsia="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lang w:val="zh-CN"/>
          <w14:textFill>
            <w14:solidFill>
              <w14:schemeClr w14:val="tx1"/>
            </w14:solidFill>
          </w14:textFill>
        </w:rPr>
        <w:t>规定的时间、地点组织开启响应文件，电子化采购活动各参与方均应当准时在线参加</w:t>
      </w:r>
      <w:r>
        <w:rPr>
          <w:rFonts w:hint="eastAsia" w:ascii="宋体" w:hAnsi="宋体" w:eastAsia="宋体" w:cs="宋体"/>
          <w:color w:val="000000" w:themeColor="text1"/>
          <w:sz w:val="24"/>
          <w:szCs w:val="24"/>
          <w14:textFill>
            <w14:solidFill>
              <w14:schemeClr w14:val="tx1"/>
            </w14:solidFill>
          </w14:textFill>
        </w:rPr>
        <w:t>。</w:t>
      </w:r>
    </w:p>
    <w:p w14:paraId="7151899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b/>
          <w:bCs/>
          <w:color w:val="000000" w:themeColor="text1"/>
          <w:sz w:val="24"/>
          <w:szCs w:val="24"/>
          <w:lang w:val="zh-CN"/>
          <w14:textFill>
            <w14:solidFill>
              <w14:schemeClr w14:val="tx1"/>
            </w14:solidFill>
          </w14:textFill>
        </w:rPr>
        <w:t>开启</w:t>
      </w:r>
      <w:r>
        <w:rPr>
          <w:rFonts w:hint="eastAsia" w:ascii="宋体" w:hAnsi="宋体" w:eastAsia="宋体" w:cs="宋体"/>
          <w:b/>
          <w:bCs/>
          <w:color w:val="000000" w:themeColor="text1"/>
          <w:sz w:val="24"/>
          <w:szCs w:val="24"/>
          <w:lang w:val="en-US" w:eastAsia="zh-CN"/>
          <w14:textFill>
            <w14:solidFill>
              <w14:schemeClr w14:val="tx1"/>
            </w14:solidFill>
          </w14:textFill>
        </w:rPr>
        <w:t>时，电子交易系统自动提取所有响应文件，并提示供应商按照磋商文件规定按时在线解密，解密时间为60分钟。因供应商原因造成响应文件未解密的，视为撤销其响应文件。</w:t>
      </w:r>
    </w:p>
    <w:p w14:paraId="4121B074">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14.</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 xml:space="preserve">3 </w:t>
      </w:r>
      <w:r>
        <w:rPr>
          <w:rFonts w:hint="eastAsia" w:ascii="宋体" w:hAnsi="宋体" w:eastAsia="宋体" w:cs="宋体"/>
          <w:strike w:val="0"/>
          <w:dstrike w:val="0"/>
          <w:color w:val="000000" w:themeColor="text1"/>
          <w:sz w:val="24"/>
          <w:szCs w:val="24"/>
          <w14:textFill>
            <w14:solidFill>
              <w14:schemeClr w14:val="tx1"/>
            </w14:solidFill>
          </w14:textFill>
        </w:rPr>
        <w:t>磋商时，对不同文字文本响应文件的解释发生异议的，以中文文本为准。</w:t>
      </w:r>
    </w:p>
    <w:p w14:paraId="626FC8D6">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14:paraId="705033F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磋商过程有专人记录，并存档备查。</w:t>
      </w:r>
    </w:p>
    <w:p w14:paraId="0523084C">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02" w:name="_Toc18107"/>
      <w:bookmarkStart w:id="103" w:name="_Toc28917"/>
      <w:bookmarkStart w:id="104" w:name="_Toc376936752"/>
      <w:bookmarkStart w:id="105" w:name="_Toc19030"/>
      <w:bookmarkStart w:id="106" w:name="_Toc325726021"/>
      <w:r>
        <w:rPr>
          <w:rFonts w:hint="eastAsia" w:ascii="宋体" w:hAnsi="宋体" w:eastAsia="宋体" w:cs="宋体"/>
          <w:b/>
          <w:bCs/>
          <w:color w:val="000000" w:themeColor="text1"/>
          <w:sz w:val="24"/>
          <w:szCs w:val="24"/>
          <w14:textFill>
            <w14:solidFill>
              <w14:schemeClr w14:val="tx1"/>
            </w14:solidFill>
          </w14:textFill>
        </w:rPr>
        <w:t>六、磋商程序及方法</w:t>
      </w:r>
      <w:bookmarkEnd w:id="102"/>
      <w:bookmarkEnd w:id="103"/>
      <w:bookmarkEnd w:id="104"/>
      <w:bookmarkEnd w:id="105"/>
      <w:bookmarkEnd w:id="106"/>
    </w:p>
    <w:p w14:paraId="3F135B3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07" w:name="_Toc26121"/>
      <w:bookmarkStart w:id="108" w:name="_Toc16935"/>
      <w:bookmarkStart w:id="109" w:name="_Toc325726022"/>
      <w:bookmarkStart w:id="110" w:name="_Toc376936753"/>
      <w:bookmarkStart w:id="111" w:name="_Toc9607"/>
      <w:r>
        <w:rPr>
          <w:rFonts w:hint="eastAsia" w:ascii="宋体" w:hAnsi="宋体" w:eastAsia="宋体" w:cs="宋体"/>
          <w:b/>
          <w:bCs/>
          <w:color w:val="000000" w:themeColor="text1"/>
          <w:sz w:val="24"/>
          <w:szCs w:val="24"/>
          <w14:textFill>
            <w14:solidFill>
              <w14:schemeClr w14:val="tx1"/>
            </w14:solidFill>
          </w14:textFill>
        </w:rPr>
        <w:t>15.磋商小组</w:t>
      </w:r>
      <w:bookmarkEnd w:id="107"/>
      <w:bookmarkEnd w:id="108"/>
      <w:bookmarkEnd w:id="109"/>
      <w:bookmarkEnd w:id="110"/>
      <w:bookmarkEnd w:id="111"/>
    </w:p>
    <w:p w14:paraId="48A7AFD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CBC1A6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磋商由采购代理机构负责组织，具体磋商事务由依法组建的磋商小组负责，并独立履行下列职责：</w:t>
      </w:r>
    </w:p>
    <w:p w14:paraId="592042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14:paraId="5EA04F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14:paraId="203F8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14:paraId="02E6FB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（4）对非法干预评标工作的人员和机构进行举报或投诉。</w:t>
      </w:r>
    </w:p>
    <w:p w14:paraId="179027C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磋商小组应遵守并履行下列义务：</w:t>
      </w:r>
    </w:p>
    <w:p w14:paraId="664424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14:paraId="22032A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14:paraId="497C50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14:paraId="20958C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14:paraId="3038F3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14:paraId="65575D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14:paraId="43EDAE74">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磋商小组所有成员应当集中与单一供应商分别进行磋商，并给予所有参加磋商的供应商平等的磋商机会。</w:t>
      </w:r>
    </w:p>
    <w:p w14:paraId="27213E7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磋商工作在有关部门的监督和严格保密的情况下依法开展，任何单位和个人不得非法干预、影响磋商工作和磋商结果。</w:t>
      </w:r>
    </w:p>
    <w:p w14:paraId="366BB62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12" w:name="_Toc3698"/>
      <w:bookmarkStart w:id="113" w:name="_Toc325726023"/>
      <w:bookmarkStart w:id="114" w:name="_Toc376936754"/>
      <w:bookmarkStart w:id="115" w:name="_Toc14694"/>
      <w:bookmarkStart w:id="116" w:name="_Toc27086"/>
      <w:r>
        <w:rPr>
          <w:rFonts w:hint="eastAsia" w:ascii="宋体" w:hAnsi="宋体" w:eastAsia="宋体" w:cs="宋体"/>
          <w:b/>
          <w:bCs/>
          <w:color w:val="000000" w:themeColor="text1"/>
          <w:sz w:val="24"/>
          <w:szCs w:val="24"/>
          <w14:textFill>
            <w14:solidFill>
              <w14:schemeClr w14:val="tx1"/>
            </w14:solidFill>
          </w14:textFill>
        </w:rPr>
        <w:t>16.磋商程序</w:t>
      </w:r>
      <w:bookmarkEnd w:id="112"/>
      <w:bookmarkEnd w:id="113"/>
      <w:bookmarkEnd w:id="114"/>
      <w:bookmarkEnd w:id="115"/>
      <w:bookmarkEnd w:id="116"/>
    </w:p>
    <w:p w14:paraId="723ABA6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E21141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初审阶段为资格性审查和符合性审查。响应文件在响应磋商文件要求方面出现的偏离，分为实质性偏离和非实质性偏离。</w:t>
      </w:r>
    </w:p>
    <w:p w14:paraId="4E1DAA79">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实质性偏离是指响应文件未能实质性响应磋商文件的要求。以下情况属于实质性偏离，响应文件有下列情况之一的，按无效文件处理。</w:t>
      </w:r>
    </w:p>
    <w:p w14:paraId="7A139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14:paraId="2ACAA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14:paraId="4462C2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14:paraId="7C1C35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14:paraId="57E135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投标报价超过采购预算额度</w:t>
      </w:r>
      <w:r>
        <w:rPr>
          <w:rFonts w:hint="eastAsia" w:ascii="宋体" w:hAnsi="宋体" w:eastAsia="宋体" w:cs="宋体"/>
          <w:color w:val="000000" w:themeColor="text1"/>
          <w:sz w:val="24"/>
          <w:szCs w:val="24"/>
          <w:lang w:val="en-US" w:eastAsia="zh-CN"/>
          <w14:textFill>
            <w14:solidFill>
              <w14:schemeClr w14:val="tx1"/>
            </w14:solidFill>
          </w14:textFill>
        </w:rPr>
        <w:t>或招标</w:t>
      </w:r>
      <w:r>
        <w:rPr>
          <w:rFonts w:hint="eastAsia" w:ascii="宋体" w:hAnsi="宋体" w:eastAsia="宋体" w:cs="宋体"/>
          <w:color w:val="000000" w:themeColor="text1"/>
          <w:sz w:val="24"/>
          <w:szCs w:val="24"/>
          <w:lang w:val="zh-CN"/>
          <w14:textFill>
            <w14:solidFill>
              <w14:schemeClr w14:val="tx1"/>
            </w14:solidFill>
          </w14:textFill>
        </w:rPr>
        <w:t>单价的；</w:t>
      </w:r>
    </w:p>
    <w:p w14:paraId="00D883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14:paraId="4398DA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eastAsia="zh-CN"/>
          <w14:textFill>
            <w14:solidFill>
              <w14:schemeClr w14:val="tx1"/>
            </w14:solidFill>
          </w14:textFill>
        </w:rPr>
        <w:t>期限</w:t>
      </w:r>
      <w:r>
        <w:rPr>
          <w:rFonts w:hint="eastAsia" w:ascii="宋体" w:hAnsi="宋体" w:eastAsia="宋体" w:cs="宋体"/>
          <w:color w:val="000000" w:themeColor="text1"/>
          <w:sz w:val="24"/>
          <w:szCs w:val="24"/>
          <w14:textFill>
            <w14:solidFill>
              <w14:schemeClr w14:val="tx1"/>
            </w14:solidFill>
          </w14:textFill>
        </w:rPr>
        <w:t>、磋商有效期不能满足磋商文件要求的；</w:t>
      </w:r>
    </w:p>
    <w:p w14:paraId="54CAD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14:paraId="31A2D8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14:paraId="192A01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14:paraId="41A2F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14:paraId="2B8415E2">
      <w:pPr>
        <w:tabs>
          <w:tab w:val="left" w:pos="8787"/>
        </w:tabs>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6E4738">
      <w:pPr>
        <w:tabs>
          <w:tab w:val="left" w:pos="8787"/>
        </w:tabs>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1E6DB5D5">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030CD96">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905E19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0D28E5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17" w:name="_Toc20611"/>
      <w:bookmarkStart w:id="118" w:name="_Toc325726024"/>
      <w:bookmarkStart w:id="119" w:name="_Toc376936755"/>
      <w:bookmarkStart w:id="120" w:name="_Toc13668"/>
      <w:bookmarkStart w:id="121" w:name="_Toc17722"/>
      <w:r>
        <w:rPr>
          <w:rFonts w:hint="eastAsia" w:ascii="宋体" w:hAnsi="宋体" w:eastAsia="宋体" w:cs="宋体"/>
          <w:b/>
          <w:bCs/>
          <w:color w:val="000000" w:themeColor="text1"/>
          <w:sz w:val="24"/>
          <w:szCs w:val="24"/>
          <w14:textFill>
            <w14:solidFill>
              <w14:schemeClr w14:val="tx1"/>
            </w14:solidFill>
          </w14:textFill>
        </w:rPr>
        <w:t>17.评审办法</w:t>
      </w:r>
      <w:bookmarkEnd w:id="117"/>
      <w:bookmarkEnd w:id="118"/>
      <w:bookmarkEnd w:id="119"/>
      <w:bookmarkEnd w:id="120"/>
      <w:bookmarkEnd w:id="121"/>
    </w:p>
    <w:p w14:paraId="0E10847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14:paraId="361D47AA">
      <w:pPr>
        <w:spacing w:line="360" w:lineRule="auto"/>
        <w:ind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17.2</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评审标准和分值分配：</w:t>
      </w:r>
    </w:p>
    <w:tbl>
      <w:tblPr>
        <w:tblStyle w:val="23"/>
        <w:tblW w:w="49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49"/>
        <w:gridCol w:w="913"/>
        <w:gridCol w:w="1143"/>
        <w:gridCol w:w="5573"/>
      </w:tblGrid>
      <w:tr w14:paraId="4ED6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392" w:type="pct"/>
            <w:tcBorders>
              <w:tl2br w:val="nil"/>
              <w:tr2bl w:val="nil"/>
            </w:tcBorders>
            <w:noWrap w:val="0"/>
            <w:vAlign w:val="center"/>
          </w:tcPr>
          <w:p w14:paraId="75D979F1">
            <w:pPr>
              <w:spacing w:line="240" w:lineRule="auto"/>
              <w:ind w:firstLine="0" w:firstLineChars="0"/>
              <w:jc w:val="center"/>
              <w:rPr>
                <w:rFonts w:hint="eastAsia"/>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序号</w:t>
            </w:r>
          </w:p>
        </w:tc>
        <w:tc>
          <w:tcPr>
            <w:tcW w:w="551" w:type="pct"/>
            <w:tcBorders>
              <w:tl2br w:val="nil"/>
              <w:tr2bl w:val="nil"/>
            </w:tcBorders>
            <w:noWrap w:val="0"/>
            <w:vAlign w:val="center"/>
          </w:tcPr>
          <w:p w14:paraId="0E3D1100">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评分因素及权重</w:t>
            </w:r>
          </w:p>
        </w:tc>
        <w:tc>
          <w:tcPr>
            <w:tcW w:w="690" w:type="pct"/>
            <w:tcBorders>
              <w:tl2br w:val="nil"/>
              <w:tr2bl w:val="nil"/>
            </w:tcBorders>
            <w:noWrap w:val="0"/>
            <w:vAlign w:val="center"/>
          </w:tcPr>
          <w:p w14:paraId="39D5AD5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分值</w:t>
            </w:r>
          </w:p>
        </w:tc>
        <w:tc>
          <w:tcPr>
            <w:tcW w:w="3365" w:type="pct"/>
            <w:tcBorders>
              <w:tl2br w:val="nil"/>
              <w:tr2bl w:val="nil"/>
            </w:tcBorders>
            <w:noWrap w:val="0"/>
            <w:vAlign w:val="center"/>
          </w:tcPr>
          <w:p w14:paraId="7EEB95F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评分标准</w:t>
            </w:r>
          </w:p>
        </w:tc>
      </w:tr>
      <w:tr w14:paraId="2948B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392" w:type="pct"/>
            <w:tcBorders>
              <w:tl2br w:val="nil"/>
              <w:tr2bl w:val="nil"/>
            </w:tcBorders>
            <w:noWrap w:val="0"/>
            <w:vAlign w:val="center"/>
          </w:tcPr>
          <w:p w14:paraId="367E3DBC">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3B22808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投标</w:t>
            </w:r>
            <w:r>
              <w:rPr>
                <w:rFonts w:hint="eastAsia" w:ascii="宋体" w:hAnsi="宋体" w:cs="宋体"/>
                <w:color w:val="000000" w:themeColor="text1"/>
                <w:sz w:val="22"/>
                <w:szCs w:val="28"/>
                <w14:textFill>
                  <w14:solidFill>
                    <w14:schemeClr w14:val="tx1"/>
                  </w14:solidFill>
                </w14:textFill>
              </w:rPr>
              <w:t>报价</w:t>
            </w:r>
            <w:r>
              <w:rPr>
                <w:color w:val="000000" w:themeColor="text1"/>
                <w:sz w:val="22"/>
                <w:szCs w:val="28"/>
                <w14:textFill>
                  <w14:solidFill>
                    <w14:schemeClr w14:val="tx1"/>
                  </w14:solidFill>
                </w14:textFill>
              </w:rPr>
              <w:t>10%</w:t>
            </w:r>
          </w:p>
        </w:tc>
        <w:tc>
          <w:tcPr>
            <w:tcW w:w="690" w:type="pct"/>
            <w:tcBorders>
              <w:tl2br w:val="nil"/>
              <w:tr2bl w:val="nil"/>
            </w:tcBorders>
            <w:noWrap w:val="0"/>
            <w:vAlign w:val="center"/>
          </w:tcPr>
          <w:p w14:paraId="1AB0182C">
            <w:pPr>
              <w:spacing w:line="240" w:lineRule="auto"/>
              <w:ind w:firstLine="0" w:firstLineChars="0"/>
              <w:jc w:val="center"/>
              <w:rPr>
                <w:color w:val="000000" w:themeColor="text1"/>
                <w:sz w:val="22"/>
                <w:szCs w:val="28"/>
                <w14:textFill>
                  <w14:solidFill>
                    <w14:schemeClr w14:val="tx1"/>
                  </w14:solidFill>
                </w14:textFill>
              </w:rPr>
            </w:pPr>
            <w:r>
              <w:rPr>
                <w:color w:val="000000" w:themeColor="text1"/>
                <w:sz w:val="22"/>
                <w:szCs w:val="28"/>
                <w14:textFill>
                  <w14:solidFill>
                    <w14:schemeClr w14:val="tx1"/>
                  </w14:solidFill>
                </w14:textFill>
              </w:rPr>
              <w:t>10</w:t>
            </w:r>
            <w:r>
              <w:rPr>
                <w:rFonts w:hint="eastAsia" w:ascii="宋体" w:hAnsi="宋体" w:cs="宋体"/>
                <w:color w:val="000000" w:themeColor="text1"/>
                <w:sz w:val="22"/>
                <w:szCs w:val="28"/>
                <w14:textFill>
                  <w14:solidFill>
                    <w14:schemeClr w14:val="tx1"/>
                  </w14:solidFill>
                </w14:textFill>
              </w:rPr>
              <w:t>分</w:t>
            </w:r>
          </w:p>
        </w:tc>
        <w:tc>
          <w:tcPr>
            <w:tcW w:w="3365" w:type="pct"/>
            <w:tcBorders>
              <w:tl2br w:val="nil"/>
              <w:tr2bl w:val="nil"/>
            </w:tcBorders>
            <w:noWrap w:val="0"/>
            <w:vAlign w:val="center"/>
          </w:tcPr>
          <w:p w14:paraId="02CCFA89">
            <w:pPr>
              <w:spacing w:line="360" w:lineRule="auto"/>
              <w:ind w:firstLine="0" w:firstLineChars="0"/>
              <w:rPr>
                <w:rFonts w:hint="eastAsia" w:eastAsia="宋体"/>
                <w:color w:val="000000" w:themeColor="text1"/>
                <w:sz w:val="22"/>
                <w:szCs w:val="28"/>
                <w:lang w:eastAsia="zh-CN"/>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在所有的有效投标报价中，以最低投标报价为基准价，其价格分为满分。其他供应商的报价分统一按下列公式计算：投标报价得分=（评标基准价／投标报价)×价格权值（10%）×100（四舍五入后保留小数点后两位）。</w:t>
            </w:r>
          </w:p>
        </w:tc>
      </w:tr>
      <w:tr w14:paraId="71B1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1" w:hRule="atLeast"/>
        </w:trPr>
        <w:tc>
          <w:tcPr>
            <w:tcW w:w="392" w:type="pct"/>
            <w:tcBorders>
              <w:tl2br w:val="nil"/>
              <w:tr2bl w:val="nil"/>
            </w:tcBorders>
            <w:noWrap w:val="0"/>
            <w:vAlign w:val="center"/>
          </w:tcPr>
          <w:p w14:paraId="67EF93E3">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1C8E0960">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技术部分</w:t>
            </w:r>
            <w:r>
              <w:rPr>
                <w:rFonts w:hint="eastAsia"/>
                <w:color w:val="000000" w:themeColor="text1"/>
                <w:sz w:val="22"/>
                <w:szCs w:val="28"/>
                <w:lang w:val="en-US" w:eastAsia="zh-CN"/>
                <w14:textFill>
                  <w14:solidFill>
                    <w14:schemeClr w14:val="tx1"/>
                  </w14:solidFill>
                </w14:textFill>
              </w:rPr>
              <w:t>65</w:t>
            </w:r>
            <w:r>
              <w:rPr>
                <w:color w:val="000000" w:themeColor="text1"/>
                <w:sz w:val="22"/>
                <w:szCs w:val="28"/>
                <w14:textFill>
                  <w14:solidFill>
                    <w14:schemeClr w14:val="tx1"/>
                  </w14:solidFill>
                </w14:textFill>
              </w:rPr>
              <w:t>%</w:t>
            </w:r>
          </w:p>
        </w:tc>
        <w:tc>
          <w:tcPr>
            <w:tcW w:w="690" w:type="pct"/>
            <w:tcBorders>
              <w:tl2br w:val="nil"/>
              <w:tr2bl w:val="nil"/>
            </w:tcBorders>
            <w:noWrap w:val="0"/>
            <w:vAlign w:val="center"/>
          </w:tcPr>
          <w:p w14:paraId="3185191A">
            <w:pPr>
              <w:spacing w:line="240" w:lineRule="auto"/>
              <w:ind w:firstLine="0" w:firstLineChars="0"/>
              <w:jc w:val="center"/>
              <w:rPr>
                <w:color w:val="000000" w:themeColor="text1"/>
                <w:sz w:val="22"/>
                <w:szCs w:val="28"/>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65</w:t>
            </w:r>
            <w:r>
              <w:rPr>
                <w:rFonts w:hint="eastAsia" w:ascii="宋体" w:hAnsi="宋体" w:cs="宋体"/>
                <w:color w:val="000000" w:themeColor="text1"/>
                <w:sz w:val="22"/>
                <w:szCs w:val="28"/>
                <w14:textFill>
                  <w14:solidFill>
                    <w14:schemeClr w14:val="tx1"/>
                  </w14:solidFill>
                </w14:textFill>
              </w:rPr>
              <w:t>分</w:t>
            </w:r>
          </w:p>
        </w:tc>
        <w:tc>
          <w:tcPr>
            <w:tcW w:w="3365" w:type="pct"/>
            <w:tcBorders>
              <w:tl2br w:val="nil"/>
              <w:tr2bl w:val="nil"/>
            </w:tcBorders>
            <w:noWrap w:val="0"/>
            <w:vAlign w:val="center"/>
          </w:tcPr>
          <w:p w14:paraId="76D16E26">
            <w:pPr>
              <w:spacing w:line="360" w:lineRule="auto"/>
              <w:ind w:firstLine="0" w:firstLineChars="0"/>
              <w:rPr>
                <w:rFonts w:hint="eastAsia" w:ascii="宋体" w:hAnsi="宋体" w:cs="宋体"/>
                <w:color w:val="000000" w:themeColor="text1"/>
                <w:sz w:val="22"/>
                <w:szCs w:val="28"/>
                <w:lang w:val="en-US" w:eastAsia="zh-CN"/>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1.活动策划方案（25分）：根据项目实际编制活动策划方案，提供的活动方案（包括方案的合理完整，主题突出、特色鲜明、场面恢宏、构思独特、形式新颖、节目编排质朴感人、呈现形式及艺术种类多样化，演出集政治性、艺术性、观赏性融为一体等），包括但不限于：①对项目的总体认识、理解及策划思路；②舞美效果方案(包括从舞美、服装、道具、灯光等多方位能够清晰体现本次活动文化底</w:t>
            </w:r>
          </w:p>
          <w:p w14:paraId="5E045785">
            <w:pPr>
              <w:spacing w:line="360" w:lineRule="auto"/>
              <w:ind w:firstLine="0" w:firstLineChars="0"/>
              <w:rPr>
                <w:rFonts w:hint="eastAsia" w:ascii="宋体" w:hAnsi="宋体" w:cs="宋体"/>
                <w:color w:val="000000" w:themeColor="text1"/>
                <w:sz w:val="22"/>
                <w:szCs w:val="28"/>
                <w:lang w:val="en-US" w:eastAsia="zh-CN"/>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蕴及特色）；③活动内容总体安排；④活动举办方式；⑤项目服务团队组建；以上内容进行综合评审:内容分析准确到位、方案内容表述全面、有针对性、完整规范且完全满足采购需求得25分，每缺少一项内容扣5分，每项内容中每有一处内容缺陷扣2.5分。</w:t>
            </w:r>
          </w:p>
          <w:p w14:paraId="5B874BC2">
            <w:pPr>
              <w:spacing w:line="360" w:lineRule="auto"/>
              <w:ind w:firstLine="0" w:firstLineChars="0"/>
              <w:rPr>
                <w:rFonts w:hint="default" w:ascii="宋体" w:hAnsi="宋体" w:eastAsia="宋体" w:cs="宋体"/>
                <w:color w:val="000000" w:themeColor="text1"/>
                <w:sz w:val="22"/>
                <w:szCs w:val="28"/>
                <w:lang w:val="en-US"/>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4BE01F28">
            <w:pPr>
              <w:numPr>
                <w:ilvl w:val="0"/>
                <w:numId w:val="4"/>
              </w:numPr>
              <w:spacing w:line="360" w:lineRule="auto"/>
              <w:ind w:firstLine="0" w:firstLineChars="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活动展示设计方案（</w:t>
            </w:r>
            <w:r>
              <w:rPr>
                <w:rFonts w:hint="eastAsia" w:ascii="宋体" w:hAnsi="宋体" w:cs="宋体"/>
                <w:color w:val="000000" w:themeColor="text1"/>
                <w:sz w:val="22"/>
                <w:szCs w:val="28"/>
                <w:lang w:val="en-US" w:eastAsia="zh-CN"/>
                <w14:textFill>
                  <w14:solidFill>
                    <w14:schemeClr w14:val="tx1"/>
                  </w14:solidFill>
                </w14:textFill>
              </w:rPr>
              <w:t>15</w:t>
            </w:r>
            <w:r>
              <w:rPr>
                <w:rFonts w:hint="eastAsia" w:ascii="宋体" w:hAnsi="宋体" w:eastAsia="宋体" w:cs="宋体"/>
                <w:color w:val="000000" w:themeColor="text1"/>
                <w:sz w:val="22"/>
                <w:szCs w:val="28"/>
                <w14:textFill>
                  <w14:solidFill>
                    <w14:schemeClr w14:val="tx1"/>
                  </w14:solidFill>
                </w14:textFill>
              </w:rPr>
              <w:t>分）：根据项目实际编制活动展示设计方案，包括但不限于：①</w:t>
            </w:r>
            <w:r>
              <w:rPr>
                <w:rFonts w:hint="eastAsia" w:ascii="宋体" w:hAnsi="宋体" w:eastAsia="宋体" w:cs="宋体"/>
                <w:color w:val="000000" w:themeColor="text1"/>
                <w:sz w:val="22"/>
                <w:szCs w:val="28"/>
                <w:lang w:val="en-US" w:eastAsia="zh-CN"/>
                <w14:textFill>
                  <w14:solidFill>
                    <w14:schemeClr w14:val="tx1"/>
                  </w14:solidFill>
                </w14:textFill>
              </w:rPr>
              <w:t>活动舞台</w:t>
            </w:r>
            <w:r>
              <w:rPr>
                <w:rFonts w:hint="eastAsia" w:ascii="宋体" w:hAnsi="宋体" w:eastAsia="宋体" w:cs="宋体"/>
                <w:color w:val="000000" w:themeColor="text1"/>
                <w:sz w:val="22"/>
                <w:szCs w:val="28"/>
                <w14:textFill>
                  <w14:solidFill>
                    <w14:schemeClr w14:val="tx1"/>
                  </w14:solidFill>
                </w14:textFill>
              </w:rPr>
              <w:t>设计图；②各项活动现场平面图；③各项活动现场效果图。以上内容进行综合评审:内容分析准确到位、方案内容表述全面、有针对性、完整规范且完全满足采购需求得15分，每缺少一项内容扣5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2.5</w:t>
            </w:r>
            <w:r>
              <w:rPr>
                <w:rFonts w:hint="eastAsia" w:ascii="宋体" w:hAnsi="宋体" w:eastAsia="宋体" w:cs="宋体"/>
                <w:color w:val="000000" w:themeColor="text1"/>
                <w:sz w:val="22"/>
                <w:szCs w:val="28"/>
                <w14:textFill>
                  <w14:solidFill>
                    <w14:schemeClr w14:val="tx1"/>
                  </w14:solidFill>
                </w14:textFill>
              </w:rPr>
              <w:t>分</w:t>
            </w:r>
            <w:r>
              <w:rPr>
                <w:rFonts w:hint="eastAsia" w:ascii="宋体" w:hAnsi="宋体" w:cs="宋体"/>
                <w:color w:val="000000" w:themeColor="text1"/>
                <w:sz w:val="22"/>
                <w:szCs w:val="28"/>
                <w:lang w:eastAsia="zh-CN"/>
                <w14:textFill>
                  <w14:solidFill>
                    <w14:schemeClr w14:val="tx1"/>
                  </w14:solidFill>
                </w14:textFill>
              </w:rPr>
              <w:t>。</w:t>
            </w:r>
          </w:p>
          <w:p w14:paraId="74E8B716">
            <w:pPr>
              <w:numPr>
                <w:ilvl w:val="0"/>
                <w:numId w:val="0"/>
              </w:numPr>
              <w:spacing w:line="360" w:lineRule="auto"/>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78C49B9D">
            <w:pPr>
              <w:numPr>
                <w:ilvl w:val="0"/>
                <w:numId w:val="4"/>
              </w:numPr>
              <w:spacing w:line="360" w:lineRule="auto"/>
              <w:ind w:left="0" w:leftChars="0"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活动宣传推广方案（9分）：根据项目实际编制活动宣传推广方案，具备广泛宣传渠道和宣传网络（包括传统媒体和新媒体平台），能围绕项目开展多渠道、多层面的立体宣传，能协调国家或省市州级媒体共同开展、推进整个项目的社会宣传。包括但不限于：①媒体选择；②推广渠道；③具体宣传推广措施；以上内容进行综合评审:内容分析准确到位、方案内容表述全面、有针对性、完整规范且完全满足采购需求得9分，每缺少一项内容扣3分，每项内容中每有一处内容缺陷扣1</w:t>
            </w:r>
            <w:r>
              <w:rPr>
                <w:rFonts w:hint="eastAsia" w:ascii="宋体" w:hAnsi="宋体" w:cs="宋体"/>
                <w:color w:val="000000" w:themeColor="text1"/>
                <w:sz w:val="22"/>
                <w:szCs w:val="28"/>
                <w:lang w:val="en-US" w:eastAsia="zh-CN"/>
                <w14:textFill>
                  <w14:solidFill>
                    <w14:schemeClr w14:val="tx1"/>
                  </w14:solidFill>
                </w14:textFill>
              </w:rPr>
              <w:t>.5</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5C186311">
            <w:pPr>
              <w:numPr>
                <w:ilvl w:val="0"/>
                <w:numId w:val="0"/>
              </w:numPr>
              <w:spacing w:line="360" w:lineRule="auto"/>
              <w:ind w:left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07033FC2">
            <w:pPr>
              <w:numPr>
                <w:ilvl w:val="0"/>
                <w:numId w:val="4"/>
              </w:numPr>
              <w:spacing w:line="360" w:lineRule="auto"/>
              <w:ind w:left="0" w:leftChars="0"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活动保障措施方案（</w:t>
            </w:r>
            <w:r>
              <w:rPr>
                <w:rFonts w:hint="eastAsia" w:ascii="宋体" w:hAnsi="宋体" w:cs="宋体"/>
                <w:color w:val="000000" w:themeColor="text1"/>
                <w:sz w:val="22"/>
                <w:szCs w:val="28"/>
                <w:lang w:val="en-US" w:eastAsia="zh-CN"/>
                <w14:textFill>
                  <w14:solidFill>
                    <w14:schemeClr w14:val="tx1"/>
                  </w14:solidFill>
                </w14:textFill>
              </w:rPr>
              <w:t>8</w:t>
            </w:r>
            <w:r>
              <w:rPr>
                <w:rFonts w:hint="eastAsia" w:ascii="宋体" w:hAnsi="宋体" w:eastAsia="宋体" w:cs="宋体"/>
                <w:color w:val="000000" w:themeColor="text1"/>
                <w:sz w:val="22"/>
                <w:szCs w:val="28"/>
                <w:lang w:val="en-US" w:eastAsia="zh-CN"/>
                <w14:textFill>
                  <w14:solidFill>
                    <w14:schemeClr w14:val="tx1"/>
                  </w14:solidFill>
                </w14:textFill>
              </w:rPr>
              <w:t>分）：根据项目实际编制活动保障措施方案，包括但不限于：①安保方案；②活动效果保障方案；以上内容进行综合评审:内容分析准确到位、方案内容表述全面、有针对性、完整规范且完全满足采购需求得</w:t>
            </w:r>
            <w:r>
              <w:rPr>
                <w:rFonts w:hint="eastAsia" w:ascii="宋体" w:hAnsi="宋体" w:cs="宋体"/>
                <w:color w:val="000000" w:themeColor="text1"/>
                <w:sz w:val="22"/>
                <w:szCs w:val="28"/>
                <w:lang w:val="en-US" w:eastAsia="zh-CN"/>
                <w14:textFill>
                  <w14:solidFill>
                    <w14:schemeClr w14:val="tx1"/>
                  </w14:solidFill>
                </w14:textFill>
              </w:rPr>
              <w:t>8</w:t>
            </w:r>
            <w:r>
              <w:rPr>
                <w:rFonts w:hint="eastAsia" w:ascii="宋体" w:hAnsi="宋体" w:eastAsia="宋体" w:cs="宋体"/>
                <w:color w:val="000000" w:themeColor="text1"/>
                <w:sz w:val="22"/>
                <w:szCs w:val="28"/>
                <w:lang w:val="en-US" w:eastAsia="zh-CN"/>
                <w14:textFill>
                  <w14:solidFill>
                    <w14:schemeClr w14:val="tx1"/>
                  </w14:solidFill>
                </w14:textFill>
              </w:rPr>
              <w:t>分，每缺少一项内容扣</w:t>
            </w:r>
            <w:r>
              <w:rPr>
                <w:rFonts w:hint="eastAsia" w:ascii="宋体" w:hAnsi="宋体" w:cs="宋体"/>
                <w:color w:val="000000" w:themeColor="text1"/>
                <w:sz w:val="22"/>
                <w:szCs w:val="28"/>
                <w:lang w:val="en-US" w:eastAsia="zh-CN"/>
                <w14:textFill>
                  <w14:solidFill>
                    <w14:schemeClr w14:val="tx1"/>
                  </w14:solidFill>
                </w14:textFill>
              </w:rPr>
              <w:t>4</w:t>
            </w:r>
            <w:r>
              <w:rPr>
                <w:rFonts w:hint="eastAsia" w:ascii="宋体" w:hAnsi="宋体" w:eastAsia="宋体" w:cs="宋体"/>
                <w:color w:val="000000" w:themeColor="text1"/>
                <w:sz w:val="22"/>
                <w:szCs w:val="28"/>
                <w:lang w:val="en-US" w:eastAsia="zh-CN"/>
                <w14:textFill>
                  <w14:solidFill>
                    <w14:schemeClr w14:val="tx1"/>
                  </w14:solidFill>
                </w14:textFill>
              </w:rPr>
              <w:t>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2DB57A37">
            <w:pPr>
              <w:numPr>
                <w:ilvl w:val="0"/>
                <w:numId w:val="0"/>
              </w:numPr>
              <w:spacing w:line="360" w:lineRule="auto"/>
              <w:ind w:left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705DC2BA">
            <w:pPr>
              <w:numPr>
                <w:ilvl w:val="0"/>
                <w:numId w:val="4"/>
              </w:numPr>
              <w:spacing w:line="360" w:lineRule="auto"/>
              <w:ind w:left="0" w:leftChars="0" w:firstLine="0" w:firstLineChars="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应急方案（8分）应急方案包括但不限于①突发情况的处理能力(应急小组组建、紧急通讯联系等)、②人员安全及应急物资保障等方面。以上内容进行综合评审:内容分析准确到位、方案内容表述全面、有针对性、完整规范且完全满足采购需求得8分，每缺少一项内容扣4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78C8EDAE">
            <w:pPr>
              <w:numPr>
                <w:ilvl w:val="0"/>
                <w:numId w:val="0"/>
              </w:numPr>
              <w:spacing w:line="360" w:lineRule="auto"/>
              <w:ind w:leftChars="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tc>
      </w:tr>
      <w:tr w14:paraId="2BD5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66" w:hRule="atLeast"/>
        </w:trPr>
        <w:tc>
          <w:tcPr>
            <w:tcW w:w="392" w:type="pct"/>
            <w:tcBorders>
              <w:tl2br w:val="nil"/>
              <w:tr2bl w:val="nil"/>
            </w:tcBorders>
            <w:noWrap w:val="0"/>
            <w:vAlign w:val="center"/>
          </w:tcPr>
          <w:p w14:paraId="04B02E7D">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068A5879">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商务部分25</w:t>
            </w:r>
            <w:r>
              <w:rPr>
                <w:color w:val="000000" w:themeColor="text1"/>
                <w:sz w:val="22"/>
                <w:szCs w:val="28"/>
                <w14:textFill>
                  <w14:solidFill>
                    <w14:schemeClr w14:val="tx1"/>
                  </w14:solidFill>
                </w14:textFill>
              </w:rPr>
              <w:t>%</w:t>
            </w:r>
          </w:p>
        </w:tc>
        <w:tc>
          <w:tcPr>
            <w:tcW w:w="690" w:type="pct"/>
            <w:tcBorders>
              <w:tl2br w:val="nil"/>
              <w:tr2bl w:val="nil"/>
            </w:tcBorders>
            <w:noWrap w:val="0"/>
            <w:vAlign w:val="center"/>
          </w:tcPr>
          <w:p w14:paraId="3B319811">
            <w:pPr>
              <w:spacing w:line="240" w:lineRule="auto"/>
              <w:ind w:firstLine="0" w:firstLineChars="0"/>
              <w:jc w:val="center"/>
              <w:rPr>
                <w:rFonts w:hint="default" w:eastAsia="宋体"/>
                <w:color w:val="000000" w:themeColor="text1"/>
                <w:sz w:val="22"/>
                <w:szCs w:val="28"/>
                <w:lang w:val="en-US" w:eastAsia="zh-CN"/>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25分</w:t>
            </w:r>
          </w:p>
        </w:tc>
        <w:tc>
          <w:tcPr>
            <w:tcW w:w="3365" w:type="pct"/>
            <w:tcBorders>
              <w:tl2br w:val="nil"/>
              <w:tr2bl w:val="nil"/>
            </w:tcBorders>
            <w:noWrap w:val="0"/>
            <w:vAlign w:val="center"/>
          </w:tcPr>
          <w:p w14:paraId="33165586">
            <w:pPr>
              <w:spacing w:line="360" w:lineRule="auto"/>
              <w:ind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1.企业类似业绩（</w:t>
            </w:r>
            <w:r>
              <w:rPr>
                <w:rFonts w:hint="eastAsia" w:ascii="宋体" w:hAnsi="宋体" w:cs="宋体"/>
                <w:color w:val="000000" w:themeColor="text1"/>
                <w:sz w:val="22"/>
                <w:szCs w:val="28"/>
                <w:lang w:val="en-US" w:eastAsia="zh-CN"/>
                <w14:textFill>
                  <w14:solidFill>
                    <w14:schemeClr w14:val="tx1"/>
                  </w14:solidFill>
                </w14:textFill>
              </w:rPr>
              <w:t>10</w:t>
            </w:r>
            <w:r>
              <w:rPr>
                <w:rFonts w:hint="eastAsia" w:ascii="宋体" w:hAnsi="宋体" w:eastAsia="宋体" w:cs="宋体"/>
                <w:color w:val="000000" w:themeColor="text1"/>
                <w:sz w:val="22"/>
                <w:szCs w:val="28"/>
                <w:lang w:val="en-US" w:eastAsia="zh-CN"/>
                <w14:textFill>
                  <w14:solidFill>
                    <w14:schemeClr w14:val="tx1"/>
                  </w14:solidFill>
                </w14:textFill>
              </w:rPr>
              <w:t>分）：提供近年（2022年</w:t>
            </w:r>
            <w:r>
              <w:rPr>
                <w:rFonts w:hint="eastAsia" w:ascii="宋体" w:hAnsi="宋体" w:cs="宋体"/>
                <w:color w:val="000000" w:themeColor="text1"/>
                <w:sz w:val="22"/>
                <w:szCs w:val="28"/>
                <w:lang w:val="en-US" w:eastAsia="zh-CN"/>
                <w14:textFill>
                  <w14:solidFill>
                    <w14:schemeClr w14:val="tx1"/>
                  </w14:solidFill>
                </w14:textFill>
              </w:rPr>
              <w:t>1</w:t>
            </w:r>
            <w:r>
              <w:rPr>
                <w:rFonts w:hint="eastAsia" w:ascii="宋体" w:hAnsi="宋体" w:eastAsia="宋体" w:cs="宋体"/>
                <w:color w:val="000000" w:themeColor="text1"/>
                <w:sz w:val="22"/>
                <w:szCs w:val="28"/>
                <w:lang w:val="en-US" w:eastAsia="zh-CN"/>
                <w14:textFill>
                  <w14:solidFill>
                    <w14:schemeClr w14:val="tx1"/>
                  </w14:solidFill>
                </w14:textFill>
              </w:rPr>
              <w:t>月至今）类似项目业绩，每提供一个得</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分，满分1</w:t>
            </w:r>
            <w:r>
              <w:rPr>
                <w:rFonts w:hint="eastAsia" w:ascii="宋体" w:hAnsi="宋体" w:cs="宋体"/>
                <w:color w:val="000000" w:themeColor="text1"/>
                <w:sz w:val="22"/>
                <w:szCs w:val="28"/>
                <w:lang w:val="en-US" w:eastAsia="zh-CN"/>
                <w14:textFill>
                  <w14:solidFill>
                    <w14:schemeClr w14:val="tx1"/>
                  </w14:solidFill>
                </w14:textFill>
              </w:rPr>
              <w:t>0</w:t>
            </w:r>
            <w:r>
              <w:rPr>
                <w:rFonts w:hint="eastAsia" w:ascii="宋体" w:hAnsi="宋体" w:eastAsia="宋体" w:cs="宋体"/>
                <w:color w:val="000000" w:themeColor="text1"/>
                <w:sz w:val="22"/>
                <w:szCs w:val="28"/>
                <w:lang w:val="en-US" w:eastAsia="zh-CN"/>
                <w14:textFill>
                  <w14:solidFill>
                    <w14:schemeClr w14:val="tx1"/>
                  </w14:solidFill>
                </w14:textFill>
              </w:rPr>
              <w:t>分；（业绩证明材料以中标通知书或合同协议书等扫描或复印件为准）</w:t>
            </w:r>
            <w:r>
              <w:rPr>
                <w:rFonts w:hint="eastAsia" w:ascii="宋体" w:hAnsi="宋体" w:cs="宋体"/>
                <w:color w:val="000000" w:themeColor="text1"/>
                <w:sz w:val="22"/>
                <w:szCs w:val="28"/>
                <w:lang w:val="en-US" w:eastAsia="zh-CN"/>
                <w14:textFill>
                  <w14:solidFill>
                    <w14:schemeClr w14:val="tx1"/>
                  </w14:solidFill>
                </w14:textFill>
              </w:rPr>
              <w:t>。</w:t>
            </w:r>
          </w:p>
          <w:p w14:paraId="24628AD4">
            <w:pPr>
              <w:spacing w:line="360" w:lineRule="auto"/>
              <w:ind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2.服务团队（15分）：拟投入本项目服务团队人员，包括但不限于总导演、艺术总监、执行导演、舞美设计、音乐设计、灯光设计、音响设计、服装、道具设计、编导、后勤保障人员等共计10人，每缺少1人扣1.5分，需提供人员社保或邀请授权书资料扫描或复印件。</w:t>
            </w:r>
          </w:p>
        </w:tc>
      </w:tr>
    </w:tbl>
    <w:p w14:paraId="14A6EF0C">
      <w:pPr>
        <w:wordWrap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8A899A3">
      <w:pPr>
        <w:keepNext/>
        <w:pageBreakBefore/>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22" w:name="_Toc376936756"/>
      <w:bookmarkStart w:id="123" w:name="_Toc325726025"/>
      <w:bookmarkStart w:id="124" w:name="_Toc31736"/>
      <w:bookmarkStart w:id="125" w:name="_Toc2506"/>
      <w:bookmarkStart w:id="126" w:name="_Toc6689"/>
      <w:r>
        <w:rPr>
          <w:rFonts w:hint="eastAsia" w:ascii="宋体" w:hAnsi="宋体" w:eastAsia="宋体" w:cs="宋体"/>
          <w:b/>
          <w:bCs/>
          <w:color w:val="000000" w:themeColor="text1"/>
          <w:sz w:val="24"/>
          <w:szCs w:val="24"/>
          <w14:textFill>
            <w14:solidFill>
              <w14:schemeClr w14:val="tx1"/>
            </w14:solidFill>
          </w14:textFill>
        </w:rPr>
        <w:t>七、</w:t>
      </w:r>
      <w:bookmarkEnd w:id="122"/>
      <w:bookmarkEnd w:id="123"/>
      <w:r>
        <w:rPr>
          <w:rFonts w:hint="eastAsia" w:ascii="宋体" w:hAnsi="宋体" w:eastAsia="宋体" w:cs="宋体"/>
          <w:b/>
          <w:bCs/>
          <w:color w:val="000000" w:themeColor="text1"/>
          <w:sz w:val="24"/>
          <w:szCs w:val="24"/>
          <w14:textFill>
            <w14:solidFill>
              <w14:schemeClr w14:val="tx1"/>
            </w14:solidFill>
          </w14:textFill>
        </w:rPr>
        <w:t>确定成交供应商</w:t>
      </w:r>
      <w:bookmarkEnd w:id="124"/>
      <w:bookmarkEnd w:id="125"/>
      <w:bookmarkEnd w:id="126"/>
    </w:p>
    <w:p w14:paraId="1B2F758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27" w:name="_Toc325726026"/>
      <w:bookmarkStart w:id="128" w:name="_Toc376936757"/>
      <w:bookmarkStart w:id="129" w:name="_Toc30568"/>
      <w:bookmarkStart w:id="130" w:name="_Toc17038"/>
      <w:bookmarkStart w:id="131" w:name="_Toc28889"/>
      <w:r>
        <w:rPr>
          <w:rFonts w:hint="eastAsia" w:ascii="宋体" w:hAnsi="宋体" w:eastAsia="宋体" w:cs="宋体"/>
          <w:b/>
          <w:bCs/>
          <w:color w:val="000000" w:themeColor="text1"/>
          <w:sz w:val="24"/>
          <w:szCs w:val="24"/>
          <w14:textFill>
            <w14:solidFill>
              <w14:schemeClr w14:val="tx1"/>
            </w14:solidFill>
          </w14:textFill>
        </w:rPr>
        <w:t>18.推荐并确定成交</w:t>
      </w:r>
      <w:bookmarkEnd w:id="127"/>
      <w:bookmarkEnd w:id="128"/>
      <w:r>
        <w:rPr>
          <w:rFonts w:hint="eastAsia" w:ascii="宋体" w:hAnsi="宋体" w:eastAsia="宋体" w:cs="宋体"/>
          <w:b/>
          <w:bCs/>
          <w:color w:val="000000" w:themeColor="text1"/>
          <w:sz w:val="24"/>
          <w:szCs w:val="24"/>
          <w14:textFill>
            <w14:solidFill>
              <w14:schemeClr w14:val="tx1"/>
            </w14:solidFill>
          </w14:textFill>
        </w:rPr>
        <w:t>供应商</w:t>
      </w:r>
      <w:bookmarkEnd w:id="129"/>
      <w:bookmarkEnd w:id="130"/>
      <w:bookmarkEnd w:id="131"/>
    </w:p>
    <w:p w14:paraId="5ABAB3E0">
      <w:pPr>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8100B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32" w:name="_Toc21324"/>
      <w:bookmarkStart w:id="133" w:name="_Toc2346"/>
      <w:bookmarkStart w:id="134" w:name="_Toc325726028"/>
      <w:bookmarkStart w:id="135" w:name="_Toc2963"/>
      <w:bookmarkStart w:id="136" w:name="_Toc376936759"/>
      <w:bookmarkStart w:id="137"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32"/>
      <w:bookmarkEnd w:id="133"/>
      <w:bookmarkEnd w:id="134"/>
      <w:bookmarkEnd w:id="135"/>
      <w:bookmarkEnd w:id="136"/>
    </w:p>
    <w:p w14:paraId="572B51E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采购人或者采购代理机构应当在成交供应商确定后2个工作日内，在青海政府采购网上公告成交结果，同时向成交供应商发出成交通知书。</w:t>
      </w:r>
    </w:p>
    <w:p w14:paraId="2572EF1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14:paraId="5D5601B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38" w:name="_Toc376936758"/>
      <w:bookmarkStart w:id="139" w:name="_Toc3447"/>
      <w:bookmarkStart w:id="140" w:name="_Toc5556"/>
      <w:bookmarkStart w:id="141" w:name="_Toc18063"/>
      <w:r>
        <w:rPr>
          <w:rFonts w:hint="eastAsia" w:ascii="宋体" w:hAnsi="宋体" w:eastAsia="宋体" w:cs="宋体"/>
          <w:b/>
          <w:bCs/>
          <w:color w:val="000000" w:themeColor="text1"/>
          <w:sz w:val="24"/>
          <w:szCs w:val="24"/>
          <w14:textFill>
            <w14:solidFill>
              <w14:schemeClr w14:val="tx1"/>
            </w14:solidFill>
          </w14:textFill>
        </w:rPr>
        <w:t>八、授予合同</w:t>
      </w:r>
      <w:bookmarkEnd w:id="137"/>
      <w:bookmarkEnd w:id="138"/>
      <w:bookmarkEnd w:id="139"/>
      <w:bookmarkEnd w:id="140"/>
      <w:bookmarkEnd w:id="141"/>
    </w:p>
    <w:p w14:paraId="563B632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42" w:name="_Toc921"/>
      <w:bookmarkStart w:id="143" w:name="_Toc325726029"/>
      <w:bookmarkStart w:id="144" w:name="_Toc376936760"/>
      <w:bookmarkStart w:id="145" w:name="_Toc3109"/>
      <w:bookmarkStart w:id="146" w:name="_Toc28394"/>
      <w:r>
        <w:rPr>
          <w:rFonts w:hint="eastAsia" w:ascii="宋体" w:hAnsi="宋体" w:eastAsia="宋体" w:cs="宋体"/>
          <w:b/>
          <w:bCs/>
          <w:color w:val="000000" w:themeColor="text1"/>
          <w:sz w:val="24"/>
          <w:szCs w:val="24"/>
          <w14:textFill>
            <w14:solidFill>
              <w14:schemeClr w14:val="tx1"/>
            </w14:solidFill>
          </w14:textFill>
        </w:rPr>
        <w:t>20.签订合同</w:t>
      </w:r>
      <w:bookmarkEnd w:id="142"/>
      <w:bookmarkEnd w:id="143"/>
      <w:bookmarkEnd w:id="144"/>
      <w:bookmarkEnd w:id="145"/>
      <w:bookmarkEnd w:id="146"/>
    </w:p>
    <w:p w14:paraId="571453D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bookmarkStart w:id="147" w:name="_Toc376936761"/>
      <w:bookmarkStart w:id="148" w:name="_Toc325726030"/>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采购人与成交供应商应当在成交通知书发出之日起30日内，按照磋商文件确定的合同文本以及采购标的、规格型号、采购金额、采购数量、技术和服务要求等事项签订政府采购合同。</w:t>
      </w:r>
    </w:p>
    <w:p w14:paraId="7AECE834">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签订合同时，成交供应商应当</w:t>
      </w:r>
      <w:r>
        <w:rPr>
          <w:rFonts w:hint="eastAsia" w:ascii="宋体" w:hAnsi="宋体" w:eastAsia="宋体" w:cs="宋体"/>
          <w:color w:val="000000" w:themeColor="text1"/>
          <w:sz w:val="24"/>
          <w:lang w:val="zh-CN" w:eastAsia="zh-CN"/>
          <w14:textFill>
            <w14:solidFill>
              <w14:schemeClr w14:val="tx1"/>
            </w14:solidFill>
          </w14:textFill>
        </w:rPr>
        <w:t>以支票、汇票、本票或者金融机构、担保机构出具的保函等非现金形式</w:t>
      </w:r>
      <w:r>
        <w:rPr>
          <w:rFonts w:hint="eastAsia" w:ascii="宋体" w:hAnsi="宋体" w:eastAsia="宋体" w:cs="宋体"/>
          <w:color w:val="000000" w:themeColor="text1"/>
          <w:sz w:val="24"/>
          <w:lang w:val="zh-CN"/>
          <w14:textFill>
            <w14:solidFill>
              <w14:schemeClr w14:val="tx1"/>
            </w14:solidFill>
          </w14:textFill>
        </w:rPr>
        <w:t>向采购人指定的账户交纳履约保证金。</w:t>
      </w:r>
      <w:r>
        <w:rPr>
          <w:rFonts w:hint="eastAsia" w:ascii="宋体" w:hAnsi="宋体" w:eastAsia="宋体" w:cs="宋体"/>
          <w:b/>
          <w:bCs/>
          <w:color w:val="000000" w:themeColor="text1"/>
          <w:sz w:val="24"/>
          <w:lang w:val="zh-CN"/>
          <w14:textFill>
            <w14:solidFill>
              <w14:schemeClr w14:val="tx1"/>
            </w14:solidFill>
          </w14:textFill>
        </w:rPr>
        <w:t>本项目履约保证金</w:t>
      </w:r>
      <w:r>
        <w:rPr>
          <w:rFonts w:hint="eastAsia" w:ascii="宋体" w:hAnsi="宋体" w:eastAsia="宋体" w:cs="宋体"/>
          <w:b/>
          <w:bCs/>
          <w:color w:val="000000" w:themeColor="text1"/>
          <w:sz w:val="24"/>
          <w:lang w:val="en-US" w:eastAsia="zh-CN"/>
          <w14:textFill>
            <w14:solidFill>
              <w14:schemeClr w14:val="tx1"/>
            </w14:solidFill>
          </w14:textFill>
        </w:rPr>
        <w:t>不收取。</w:t>
      </w:r>
    </w:p>
    <w:p w14:paraId="3B83752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437F7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586D054">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49" w:name="_Toc1151"/>
      <w:bookmarkStart w:id="150" w:name="_Toc22442"/>
      <w:bookmarkStart w:id="151" w:name="_Toc896"/>
      <w:r>
        <w:rPr>
          <w:rFonts w:hint="eastAsia" w:ascii="宋体" w:hAnsi="宋体" w:eastAsia="宋体" w:cs="宋体"/>
          <w:b/>
          <w:bCs/>
          <w:color w:val="000000" w:themeColor="text1"/>
          <w:sz w:val="24"/>
          <w:szCs w:val="24"/>
          <w14:textFill>
            <w14:solidFill>
              <w14:schemeClr w14:val="tx1"/>
            </w14:solidFill>
          </w14:textFill>
        </w:rPr>
        <w:t>九、</w:t>
      </w:r>
      <w:bookmarkEnd w:id="147"/>
      <w:bookmarkEnd w:id="148"/>
      <w:r>
        <w:rPr>
          <w:rFonts w:hint="eastAsia" w:ascii="宋体" w:hAnsi="宋体" w:eastAsia="宋体" w:cs="宋体"/>
          <w:b/>
          <w:bCs/>
          <w:color w:val="000000" w:themeColor="text1"/>
          <w:sz w:val="24"/>
          <w:szCs w:val="24"/>
          <w14:textFill>
            <w14:solidFill>
              <w14:schemeClr w14:val="tx1"/>
            </w14:solidFill>
          </w14:textFill>
        </w:rPr>
        <w:t>磋商活动终止</w:t>
      </w:r>
      <w:bookmarkEnd w:id="149"/>
      <w:bookmarkEnd w:id="150"/>
      <w:bookmarkEnd w:id="151"/>
    </w:p>
    <w:p w14:paraId="2720397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52" w:name="_Toc2673"/>
      <w:bookmarkStart w:id="153" w:name="_Toc7098"/>
      <w:bookmarkStart w:id="154" w:name="_Toc11684"/>
      <w:bookmarkStart w:id="155" w:name="_Toc325726031"/>
      <w:bookmarkStart w:id="156" w:name="_Toc376936762"/>
      <w:r>
        <w:rPr>
          <w:rFonts w:hint="eastAsia" w:ascii="宋体" w:hAnsi="宋体" w:eastAsia="宋体" w:cs="宋体"/>
          <w:b/>
          <w:bCs/>
          <w:color w:val="000000" w:themeColor="text1"/>
          <w:sz w:val="24"/>
          <w:szCs w:val="24"/>
          <w14:textFill>
            <w14:solidFill>
              <w14:schemeClr w14:val="tx1"/>
            </w14:solidFill>
          </w14:textFill>
        </w:rPr>
        <w:t>21.终止情形</w:t>
      </w:r>
      <w:bookmarkEnd w:id="152"/>
      <w:bookmarkEnd w:id="153"/>
      <w:bookmarkEnd w:id="154"/>
    </w:p>
    <w:p w14:paraId="1533D86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55"/>
      <w:bookmarkEnd w:id="156"/>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6A4927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14:paraId="4AEDA9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09680A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（3）在采购过程中符合要求的供应商或者报价未超过采购预算的供应商不足</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家的。</w:t>
      </w:r>
    </w:p>
    <w:p w14:paraId="20B922C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终止磋商活动后，由采购代理机构发布终止公告并说明原因。</w:t>
      </w:r>
      <w:bookmarkStart w:id="157" w:name="_Toc325726032"/>
    </w:p>
    <w:p w14:paraId="747C0DAD">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58" w:name="_Toc1803"/>
      <w:bookmarkStart w:id="159" w:name="_Toc376936763"/>
      <w:bookmarkStart w:id="160" w:name="_Toc6646"/>
      <w:bookmarkStart w:id="161" w:name="_Toc27950"/>
      <w:r>
        <w:rPr>
          <w:rFonts w:hint="eastAsia" w:ascii="宋体" w:hAnsi="宋体" w:eastAsia="宋体" w:cs="宋体"/>
          <w:b/>
          <w:bCs/>
          <w:color w:val="000000" w:themeColor="text1"/>
          <w:sz w:val="24"/>
          <w:szCs w:val="24"/>
          <w14:textFill>
            <w14:solidFill>
              <w14:schemeClr w14:val="tx1"/>
            </w14:solidFill>
          </w14:textFill>
        </w:rPr>
        <w:t>十、处罚</w:t>
      </w:r>
      <w:bookmarkEnd w:id="157"/>
      <w:bookmarkEnd w:id="158"/>
      <w:bookmarkEnd w:id="159"/>
      <w:bookmarkEnd w:id="160"/>
      <w:bookmarkEnd w:id="161"/>
    </w:p>
    <w:p w14:paraId="4D494A52">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62" w:name="_Toc325726033"/>
      <w:bookmarkStart w:id="163" w:name="_Toc376936764"/>
      <w:bookmarkStart w:id="164" w:name="_Toc17567"/>
      <w:bookmarkStart w:id="165" w:name="_Toc28018"/>
      <w:bookmarkStart w:id="166" w:name="_Toc5020"/>
      <w:r>
        <w:rPr>
          <w:rFonts w:hint="eastAsia" w:ascii="宋体" w:hAnsi="宋体" w:eastAsia="宋体" w:cs="宋体"/>
          <w:b/>
          <w:bCs/>
          <w:color w:val="000000" w:themeColor="text1"/>
          <w:sz w:val="24"/>
          <w:szCs w:val="24"/>
          <w14:textFill>
            <w14:solidFill>
              <w14:schemeClr w14:val="tx1"/>
            </w14:solidFill>
          </w14:textFill>
        </w:rPr>
        <w:t>22.处罚情形</w:t>
      </w:r>
      <w:bookmarkEnd w:id="162"/>
      <w:bookmarkEnd w:id="163"/>
      <w:bookmarkEnd w:id="164"/>
      <w:bookmarkEnd w:id="165"/>
      <w:bookmarkEnd w:id="166"/>
    </w:p>
    <w:p w14:paraId="2F313C11">
      <w:pPr>
        <w:autoSpaceDE w:val="0"/>
        <w:autoSpaceDN w:val="0"/>
        <w:spacing w:line="360" w:lineRule="auto"/>
        <w:ind w:firstLine="48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成交供应商</w:t>
      </w:r>
      <w:r>
        <w:rPr>
          <w:rFonts w:hint="eastAsia" w:ascii="宋体" w:hAnsi="宋体" w:eastAsia="宋体" w:cs="宋体"/>
          <w:color w:val="000000" w:themeColor="text1"/>
          <w:sz w:val="24"/>
          <w:lang w:val="zh-CN"/>
          <w14:textFill>
            <w14:solidFill>
              <w14:schemeClr w14:val="tx1"/>
            </w14:solidFill>
          </w14:textFill>
        </w:rPr>
        <w:t>有下列情形之一的，</w:t>
      </w:r>
      <w:r>
        <w:rPr>
          <w:rFonts w:hint="eastAsia" w:ascii="宋体" w:hAnsi="宋体" w:eastAsia="宋体" w:cs="宋体"/>
          <w:color w:val="000000" w:themeColor="text1"/>
          <w:sz w:val="24"/>
          <w:lang w:val="en-US" w:eastAsia="zh-CN"/>
          <w14:textFill>
            <w14:solidFill>
              <w14:schemeClr w14:val="tx1"/>
            </w14:solidFill>
          </w14:textFill>
        </w:rPr>
        <w:t>成交</w:t>
      </w:r>
      <w:r>
        <w:rPr>
          <w:rFonts w:hint="eastAsia" w:ascii="宋体" w:hAnsi="宋体" w:eastAsia="宋体" w:cs="宋体"/>
          <w:color w:val="000000" w:themeColor="text1"/>
          <w:sz w:val="24"/>
          <w:lang w:val="zh-CN"/>
          <w14:textFill>
            <w14:solidFill>
              <w14:schemeClr w14:val="tx1"/>
            </w14:solidFill>
          </w14:textFill>
        </w:rPr>
        <w:t>无效，磋商保证金不予退还。情节严重的，报同级财政部门依法进行处理：</w:t>
      </w:r>
    </w:p>
    <w:p w14:paraId="050FE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14:paraId="1A4BAD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14:paraId="5BDA08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14:paraId="553076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14:paraId="31912C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14:paraId="340EEA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14:paraId="3A7F57DD">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67" w:name="_Toc19538"/>
      <w:bookmarkStart w:id="168" w:name="_Toc376936765"/>
      <w:bookmarkStart w:id="169" w:name="_Toc16406"/>
      <w:bookmarkStart w:id="170" w:name="_Toc325726034"/>
      <w:bookmarkStart w:id="171" w:name="_Toc7607"/>
      <w:r>
        <w:rPr>
          <w:rFonts w:hint="eastAsia" w:ascii="宋体" w:hAnsi="宋体" w:eastAsia="宋体" w:cs="宋体"/>
          <w:b/>
          <w:bCs/>
          <w:color w:val="000000" w:themeColor="text1"/>
          <w:sz w:val="24"/>
          <w:szCs w:val="24"/>
          <w14:textFill>
            <w14:solidFill>
              <w14:schemeClr w14:val="tx1"/>
            </w14:solidFill>
          </w14:textFill>
        </w:rPr>
        <w:t>十一、其他</w:t>
      </w:r>
      <w:bookmarkEnd w:id="167"/>
      <w:bookmarkEnd w:id="168"/>
      <w:bookmarkEnd w:id="169"/>
      <w:bookmarkEnd w:id="170"/>
      <w:bookmarkEnd w:id="171"/>
    </w:p>
    <w:p w14:paraId="49C28A75">
      <w:pPr>
        <w:widowControl/>
        <w:spacing w:line="360" w:lineRule="auto"/>
        <w:ind w:firstLine="0" w:firstLineChars="0"/>
        <w:jc w:val="left"/>
        <w:outlineLvl w:val="2"/>
        <w:rPr>
          <w:rFonts w:hint="eastAsia" w:ascii="宋体" w:hAnsi="宋体" w:eastAsia="宋体" w:cs="宋体"/>
          <w:color w:val="000000" w:themeColor="text1"/>
          <w:sz w:val="28"/>
          <w:szCs w:val="28"/>
          <w:lang w:val="en-US" w:eastAsia="zh-CN"/>
          <w14:textFill>
            <w14:solidFill>
              <w14:schemeClr w14:val="tx1"/>
            </w14:solidFill>
          </w14:textFill>
        </w:rPr>
      </w:pPr>
      <w:bookmarkStart w:id="172" w:name="_Toc2862"/>
      <w:r>
        <w:rPr>
          <w:rFonts w:hint="eastAsia" w:ascii="宋体" w:hAnsi="宋体" w:eastAsia="宋体" w:cs="宋体"/>
          <w:b/>
          <w:bCs/>
          <w:color w:val="000000" w:themeColor="text1"/>
          <w:sz w:val="24"/>
          <w:szCs w:val="24"/>
          <w:lang w:val="en-US" w:eastAsia="zh-CN"/>
          <w14:textFill>
            <w14:solidFill>
              <w14:schemeClr w14:val="tx1"/>
            </w14:solidFill>
          </w14:textFill>
        </w:rPr>
        <w:t>23.中止或终止采购活动</w:t>
      </w:r>
      <w:bookmarkEnd w:id="172"/>
    </w:p>
    <w:p w14:paraId="3105250F">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采购过程中出现以下情形，导致电子交易系统无法正常运行，或者无法保证电子交易的公平、公正和安全时，采购人及采购代理机构可中止电子交易活动：</w:t>
      </w:r>
    </w:p>
    <w:p w14:paraId="74D210AF">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（1）电子交易系统发生故障而无法登录访问的；</w:t>
      </w:r>
    </w:p>
    <w:p w14:paraId="117ED1B5">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（2）电子交易系统应用或数据库出现错误，不能进行正常操作的；</w:t>
      </w:r>
    </w:p>
    <w:p w14:paraId="4CACF5AD">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（3）电子交易系统发现严重安全漏洞，有潜在泄密危险的；</w:t>
      </w:r>
    </w:p>
    <w:p w14:paraId="6F3B1AEA">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（4）因计算机病毒发作导致不能进行正常操作的；</w:t>
      </w:r>
    </w:p>
    <w:p w14:paraId="3D8D6E30">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（5）其他无法保证电子交易的公平、公正和安全的情况。</w:t>
      </w:r>
    </w:p>
    <w:p w14:paraId="2ACD7E1F">
      <w:pPr>
        <w:wordWrap w:val="0"/>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2EF424F8">
      <w:pPr>
        <w:widowControl/>
        <w:spacing w:line="360" w:lineRule="auto"/>
        <w:ind w:firstLine="0" w:firstLineChars="0"/>
        <w:jc w:val="left"/>
        <w:outlineLvl w:val="2"/>
        <w:rPr>
          <w:rFonts w:hint="eastAsia" w:ascii="宋体" w:hAnsi="宋体" w:eastAsia="宋体" w:cs="宋体"/>
          <w:color w:val="000000" w:themeColor="text1"/>
          <w:sz w:val="24"/>
          <w:szCs w:val="24"/>
          <w:lang w:val="en-US" w:eastAsia="zh-CN"/>
          <w14:textFill>
            <w14:solidFill>
              <w14:schemeClr w14:val="tx1"/>
            </w14:solidFill>
          </w14:textFill>
        </w:rPr>
      </w:pPr>
      <w:bookmarkStart w:id="173" w:name="_Toc3551"/>
      <w:r>
        <w:rPr>
          <w:rFonts w:hint="eastAsia" w:ascii="宋体" w:hAnsi="宋体" w:eastAsia="宋体" w:cs="宋体"/>
          <w:b/>
          <w:bCs/>
          <w:color w:val="000000" w:themeColor="text1"/>
          <w:sz w:val="24"/>
          <w:szCs w:val="24"/>
          <w:lang w:val="en-US" w:eastAsia="zh-CN"/>
          <w14:textFill>
            <w14:solidFill>
              <w14:schemeClr w14:val="tx1"/>
            </w14:solidFill>
          </w14:textFill>
        </w:rPr>
        <w:t>24.其他事项</w:t>
      </w:r>
      <w:bookmarkEnd w:id="173"/>
    </w:p>
    <w:p w14:paraId="44F01F1C">
      <w:pPr>
        <w:wordWrap w:val="0"/>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w:t>
      </w:r>
      <w:r>
        <w:rPr>
          <w:rFonts w:hint="eastAsia" w:ascii="宋体" w:hAnsi="宋体" w:eastAsia="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、《中华人民共和国政府采购法实施条例》、《政府采购竞争性磋商采购方式管理暂行办法》等法律法规的有关条款执行。</w:t>
      </w:r>
    </w:p>
    <w:p w14:paraId="51040673">
      <w:pPr>
        <w:wordWrap w:val="0"/>
        <w:spacing w:line="360" w:lineRule="auto"/>
        <w:ind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160EAC2">
      <w:pPr>
        <w:keepNext/>
        <w:keepLines/>
        <w:widowControl/>
        <w:snapToGrid w:val="0"/>
        <w:spacing w:line="360" w:lineRule="auto"/>
        <w:ind w:firstLine="0" w:firstLineChars="0"/>
        <w:jc w:val="center"/>
        <w:outlineLvl w:val="0"/>
        <w:rPr>
          <w:rFonts w:hint="eastAsia" w:ascii="宋体" w:hAnsi="宋体" w:eastAsia="宋体" w:cs="宋体"/>
          <w:color w:val="000000" w:themeColor="text1"/>
          <w:sz w:val="24"/>
          <w:szCs w:val="24"/>
          <w14:textFill>
            <w14:solidFill>
              <w14:schemeClr w14:val="tx1"/>
            </w14:solidFill>
          </w14:textFill>
        </w:rPr>
      </w:pPr>
      <w:bookmarkStart w:id="174" w:name="_Toc6462"/>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4"/>
    </w:p>
    <w:p w14:paraId="19D8AA1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23C03F1">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6062092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F0C00E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077E318">
      <w:pPr>
        <w:autoSpaceDE w:val="0"/>
        <w:autoSpaceDN w:val="0"/>
        <w:spacing w:line="360" w:lineRule="auto"/>
        <w:ind w:firstLine="0" w:firstLineChars="0"/>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79285765">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eastAsia="zh-CN"/>
          <w14:textFill>
            <w14:solidFill>
              <w14:schemeClr w14:val="tx1"/>
            </w14:solidFill>
          </w14:textFill>
        </w:rPr>
      </w:pPr>
      <w:r>
        <w:rPr>
          <w:rFonts w:hint="eastAsia" w:ascii="宋体" w:hAnsi="宋体" w:eastAsia="宋体" w:cs="宋体"/>
          <w:b/>
          <w:bCs/>
          <w:color w:val="000000" w:themeColor="text1"/>
          <w:sz w:val="48"/>
          <w:szCs w:val="48"/>
          <w:lang w:val="zh-CN" w:eastAsia="zh-CN"/>
          <w14:textFill>
            <w14:solidFill>
              <w14:schemeClr w14:val="tx1"/>
            </w14:solidFill>
          </w14:textFill>
        </w:rPr>
        <w:t>（</w:t>
      </w:r>
      <w:r>
        <w:rPr>
          <w:rFonts w:hint="eastAsia" w:ascii="宋体" w:hAnsi="宋体" w:eastAsia="宋体" w:cs="宋体"/>
          <w:b/>
          <w:bCs/>
          <w:color w:val="000000" w:themeColor="text1"/>
          <w:sz w:val="48"/>
          <w:szCs w:val="48"/>
          <w:lang w:val="en-US" w:eastAsia="zh-CN"/>
          <w14:textFill>
            <w14:solidFill>
              <w14:schemeClr w14:val="tx1"/>
            </w14:solidFill>
          </w14:textFill>
        </w:rPr>
        <w:t>参考版</w:t>
      </w:r>
      <w:r>
        <w:rPr>
          <w:rFonts w:hint="eastAsia" w:ascii="宋体" w:hAnsi="宋体" w:eastAsia="宋体" w:cs="宋体"/>
          <w:b/>
          <w:bCs/>
          <w:color w:val="000000" w:themeColor="text1"/>
          <w:sz w:val="48"/>
          <w:szCs w:val="48"/>
          <w:lang w:val="zh-CN" w:eastAsia="zh-CN"/>
          <w14:textFill>
            <w14:solidFill>
              <w14:schemeClr w14:val="tx1"/>
            </w14:solidFill>
          </w14:textFill>
        </w:rPr>
        <w:t>）</w:t>
      </w:r>
    </w:p>
    <w:p w14:paraId="17799EF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4358E3FD">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F4239DC">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09F6A5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青海华景竞磋（服务）2025-009</w:t>
      </w:r>
    </w:p>
    <w:p w14:paraId="223AE04C">
      <w:pPr>
        <w:pStyle w:val="35"/>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eastAsia="zh-CN" w:bidi="ar-SA"/>
          <w14:textFill>
            <w14:solidFill>
              <w14:schemeClr w14:val="tx1"/>
            </w14:solidFill>
          </w14:textFill>
        </w:rPr>
        <w:t>2025年称多县第十三届三江源嘎觉吾生态文化旅游季文化服务项目</w:t>
      </w:r>
    </w:p>
    <w:p w14:paraId="74658A5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QH</w:t>
      </w:r>
      <w:r>
        <w:rPr>
          <w:rFonts w:hint="eastAsia" w:ascii="宋体" w:hAnsi="宋体" w:eastAsia="宋体" w:cs="宋体"/>
          <w:b/>
          <w:bCs/>
          <w:color w:val="000000" w:themeColor="text1"/>
          <w:sz w:val="30"/>
          <w:szCs w:val="30"/>
          <w:u w:val="single"/>
          <w:lang w:val="en-US" w:eastAsia="zh-CN"/>
          <w14:textFill>
            <w14:solidFill>
              <w14:schemeClr w14:val="tx1"/>
            </w14:solidFill>
          </w14:textFill>
        </w:rPr>
        <w:t>HJ</w:t>
      </w:r>
      <w:r>
        <w:rPr>
          <w:rFonts w:hint="eastAsia" w:ascii="宋体" w:hAnsi="宋体" w:eastAsia="宋体" w:cs="宋体"/>
          <w:b/>
          <w:bCs/>
          <w:color w:val="000000" w:themeColor="text1"/>
          <w:sz w:val="30"/>
          <w:szCs w:val="30"/>
          <w:u w:val="single"/>
          <w:lang w:val="zh-CN"/>
          <w14:textFill>
            <w14:solidFill>
              <w14:schemeClr w14:val="tx1"/>
            </w14:solidFill>
          </w14:textFill>
        </w:rPr>
        <w:t>-2025-009</w:t>
      </w:r>
    </w:p>
    <w:p w14:paraId="4614B9C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14:paraId="6AD5F30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采购人（甲方）：</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7FCF73C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供应商（乙方）：</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2A100B0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14:paraId="02A91FA4">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04F72B2F">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24EA9909">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5DBD0FD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sz w:val="28"/>
          <w:szCs w:val="28"/>
          <w:lang w:val="zh-CN"/>
          <w14:textFill>
            <w14:solidFill>
              <w14:schemeClr w14:val="tx1"/>
            </w14:solidFill>
          </w14:textFill>
        </w:rPr>
        <w:t>采购人（以下简称甲方）：</w:t>
      </w:r>
    </w:p>
    <w:p w14:paraId="2F22378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供应商（以下简称乙方）：</w:t>
      </w:r>
    </w:p>
    <w:p w14:paraId="1DC37862">
      <w:pPr>
        <w:pStyle w:val="35"/>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2025年称多县第十三届三江源嘎觉吾生态文化旅游季文化服务项目”（项目编号：青海华景竞磋（服务）2025-009）的磋商文件要求和青海华景工程项目管理有限公司出具的《成交通知书》，并经双方协商一致，签订本合同协议书。</w:t>
      </w:r>
    </w:p>
    <w:p w14:paraId="013D0DE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一、签订本政府采购合同的依据</w:t>
      </w:r>
    </w:p>
    <w:p w14:paraId="63EFEE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12420DC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1.磋商文件；</w:t>
      </w:r>
    </w:p>
    <w:p w14:paraId="004567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2.磋商文件的更正、变更公告；</w:t>
      </w:r>
    </w:p>
    <w:p w14:paraId="29E8161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val="zh-CN"/>
          <w14:textFill>
            <w14:solidFill>
              <w14:schemeClr w14:val="tx1"/>
            </w14:solidFill>
          </w14:textFill>
        </w:rPr>
        <w:t>提交的响应文件；</w:t>
      </w:r>
    </w:p>
    <w:p w14:paraId="4E2083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成交通知书；</w:t>
      </w:r>
    </w:p>
    <w:p w14:paraId="7615CA9D">
      <w:pPr>
        <w:autoSpaceDE w:val="0"/>
        <w:autoSpaceDN w:val="0"/>
        <w:spacing w:line="360" w:lineRule="auto"/>
        <w:jc w:val="left"/>
        <w:rPr>
          <w:rFonts w:ascii="宋体" w:hAnsi="宋体" w:cs="Arial"/>
          <w:color w:val="000000" w:themeColor="text1"/>
          <w:sz w:val="24"/>
          <w:lang w:val="zh-CN"/>
          <w14:textFill>
            <w14:solidFill>
              <w14:schemeClr w14:val="tx1"/>
            </w14:solidFill>
          </w14:textFill>
        </w:rPr>
      </w:pPr>
      <w:bookmarkStart w:id="175" w:name="_Toc7874"/>
      <w:r>
        <w:rPr>
          <w:rFonts w:ascii="宋体" w:hAnsi="宋体" w:cs="Arial"/>
          <w:b/>
          <w:color w:val="000000" w:themeColor="text1"/>
          <w:sz w:val="24"/>
          <w:lang w:val="zh-CN"/>
          <w14:textFill>
            <w14:solidFill>
              <w14:schemeClr w14:val="tx1"/>
            </w14:solidFill>
          </w14:textFill>
        </w:rPr>
        <w:t>二、合同标的及金额</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en-US" w:eastAsia="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en-US" w:eastAsia="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 xml:space="preserve">  单位：元</w:t>
      </w:r>
    </w:p>
    <w:tbl>
      <w:tblPr>
        <w:tblStyle w:val="23"/>
        <w:tblW w:w="9968" w:type="dxa"/>
        <w:jc w:val="center"/>
        <w:tblLayout w:type="fixed"/>
        <w:tblCellMar>
          <w:top w:w="0" w:type="dxa"/>
          <w:left w:w="108" w:type="dxa"/>
          <w:bottom w:w="0" w:type="dxa"/>
          <w:right w:w="108" w:type="dxa"/>
        </w:tblCellMar>
      </w:tblPr>
      <w:tblGrid>
        <w:gridCol w:w="975"/>
        <w:gridCol w:w="1685"/>
        <w:gridCol w:w="2835"/>
        <w:gridCol w:w="993"/>
        <w:gridCol w:w="1140"/>
        <w:gridCol w:w="2340"/>
      </w:tblGrid>
      <w:tr w14:paraId="1E8BED2F">
        <w:tblPrEx>
          <w:tblCellMar>
            <w:top w:w="0" w:type="dxa"/>
            <w:left w:w="108" w:type="dxa"/>
            <w:bottom w:w="0" w:type="dxa"/>
            <w:right w:w="108" w:type="dxa"/>
          </w:tblCellMar>
        </w:tblPrEx>
        <w:trPr>
          <w:cantSplit/>
          <w:trHeight w:val="32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5E86DF8">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序号</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7AC6C08A">
            <w:pPr>
              <w:autoSpaceDE w:val="0"/>
              <w:autoSpaceDN w:val="0"/>
              <w:spacing w:line="360" w:lineRule="auto"/>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E90BC4">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服务内容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84C8CCA">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FEBA26">
            <w:pPr>
              <w:autoSpaceDE w:val="0"/>
              <w:autoSpaceDN w:val="0"/>
              <w:spacing w:line="360" w:lineRule="auto"/>
              <w:ind w:left="0" w:leftChars="0" w:firstLine="0" w:firstLineChars="0"/>
              <w:jc w:val="both"/>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数量</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4118770">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备注</w:t>
            </w:r>
          </w:p>
        </w:tc>
      </w:tr>
      <w:tr w14:paraId="2BFAE616">
        <w:tblPrEx>
          <w:tblCellMar>
            <w:top w:w="0" w:type="dxa"/>
            <w:left w:w="108" w:type="dxa"/>
            <w:bottom w:w="0" w:type="dxa"/>
            <w:right w:w="108" w:type="dxa"/>
          </w:tblCellMar>
        </w:tblPrEx>
        <w:trPr>
          <w:cantSplit/>
          <w:trHeight w:val="38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D76FA75">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5D88547">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EE912CB">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86C7039">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ED32B89">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E9214AF">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314637AC">
        <w:tblPrEx>
          <w:tblCellMar>
            <w:top w:w="0" w:type="dxa"/>
            <w:left w:w="108" w:type="dxa"/>
            <w:bottom w:w="0" w:type="dxa"/>
            <w:right w:w="108" w:type="dxa"/>
          </w:tblCellMar>
        </w:tblPrEx>
        <w:trPr>
          <w:cantSplit/>
          <w:trHeight w:val="47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8720F4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0E957E4F">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D0F474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B6B41E">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7EF62EA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150A4DE">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35DE9623">
        <w:tblPrEx>
          <w:tblCellMar>
            <w:top w:w="0" w:type="dxa"/>
            <w:left w:w="108" w:type="dxa"/>
            <w:bottom w:w="0" w:type="dxa"/>
            <w:right w:w="108" w:type="dxa"/>
          </w:tblCellMar>
        </w:tblPrEx>
        <w:trPr>
          <w:cantSplit/>
          <w:trHeight w:val="420"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E354400">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33EF0E7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F0ADB4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FF133DA">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4C87C27">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7C49E2D">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bl>
    <w:p w14:paraId="4A44178D">
      <w:pPr>
        <w:autoSpaceDE w:val="0"/>
        <w:autoSpaceDN w:val="0"/>
        <w:spacing w:line="360" w:lineRule="auto"/>
        <w:ind w:firstLine="480" w:firstLineChars="200"/>
        <w:rPr>
          <w:rFonts w:ascii="宋体" w:hAnsi="宋体" w:cs="Arial"/>
          <w:color w:val="000000" w:themeColor="text1"/>
          <w:sz w:val="24"/>
          <w:u w:val="single"/>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根据上述政府采购合同文件要求，本政府采购合同的总金额为人民币</w:t>
      </w:r>
      <w:r>
        <w:rPr>
          <w:rFonts w:ascii="宋体" w:hAnsi="宋体" w:cs="Arial"/>
          <w:color w:val="000000" w:themeColor="text1"/>
          <w:sz w:val="24"/>
          <w:u w:val="single"/>
          <w:lang w:val="zh-CN"/>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lang w:val="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元（大写：</w:t>
      </w:r>
      <w:r>
        <w:rPr>
          <w:rFonts w:ascii="宋体" w:hAnsi="宋体" w:cs="Arial"/>
          <w:color w:val="000000" w:themeColor="text1"/>
          <w:sz w:val="24"/>
          <w:u w:val="single"/>
          <w:lang w:val="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w:t>
      </w:r>
    </w:p>
    <w:p w14:paraId="6923BB50">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本合同以人民币进行结算，合同总价包括：</w:t>
      </w:r>
      <w:r>
        <w:rPr>
          <w:rFonts w:hint="eastAsia" w:ascii="宋体" w:hAnsi="宋体" w:cs="宋体"/>
          <w:color w:val="000000" w:themeColor="text1"/>
          <w:kern w:val="0"/>
          <w:sz w:val="24"/>
          <w:lang w:val="zh-CN"/>
          <w14:textFill>
            <w14:solidFill>
              <w14:schemeClr w14:val="tx1"/>
            </w14:solidFill>
          </w14:textFill>
        </w:rPr>
        <w:t>完成本服务内容可能发生的各项费用，</w:t>
      </w:r>
      <w:r>
        <w:rPr>
          <w:rFonts w:hint="eastAsia" w:hAnsi="宋体"/>
          <w:color w:val="000000" w:themeColor="text1"/>
          <w:sz w:val="24"/>
          <w:szCs w:val="28"/>
          <w:highlight w:val="none"/>
          <w14:textFill>
            <w14:solidFill>
              <w14:schemeClr w14:val="tx1"/>
            </w14:solidFill>
          </w14:textFill>
        </w:rPr>
        <w:t>如</w:t>
      </w:r>
      <w:r>
        <w:rPr>
          <w:rFonts w:hint="eastAsia" w:ascii="宋体" w:hAnsi="宋体" w:cs="宋体"/>
          <w:color w:val="000000" w:themeColor="text1"/>
          <w:sz w:val="24"/>
          <w:highlight w:val="none"/>
          <w:lang w:val="zh-CN"/>
          <w14:textFill>
            <w14:solidFill>
              <w14:schemeClr w14:val="tx1"/>
            </w14:solidFill>
          </w14:textFill>
        </w:rPr>
        <w:t>人员工资、交通、通讯、设备、利润、税收、</w:t>
      </w:r>
      <w:r>
        <w:rPr>
          <w:rFonts w:hint="eastAsia" w:ascii="宋体" w:hAnsi="宋体" w:cs="宋体"/>
          <w:color w:val="000000" w:themeColor="text1"/>
          <w:sz w:val="24"/>
          <w:highlight w:val="none"/>
          <w:lang w:val="zh-CN" w:eastAsia="zh-CN"/>
          <w14:textFill>
            <w14:solidFill>
              <w14:schemeClr w14:val="tx1"/>
            </w14:solidFill>
          </w14:textFill>
        </w:rPr>
        <w:t>保险费、售前、售中、售后服务费、</w:t>
      </w:r>
      <w:r>
        <w:rPr>
          <w:rFonts w:hint="eastAsia" w:ascii="宋体" w:hAnsi="宋体" w:cs="宋体"/>
          <w:color w:val="000000" w:themeColor="text1"/>
          <w:sz w:val="24"/>
          <w:highlight w:val="none"/>
          <w:lang w:val="zh-CN"/>
          <w14:textFill>
            <w14:solidFill>
              <w14:schemeClr w14:val="tx1"/>
            </w14:solidFill>
          </w14:textFill>
        </w:rPr>
        <w:t>招标代理费以及所有有关的管理成本和其他不可预见费等全部费用。</w:t>
      </w:r>
    </w:p>
    <w:p w14:paraId="20C4E628">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三、交付时间、地点和要求</w:t>
      </w:r>
    </w:p>
    <w:p w14:paraId="06F5F730">
      <w:pPr>
        <w:autoSpaceDE w:val="0"/>
        <w:autoSpaceDN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w:t>
      </w:r>
      <w:r>
        <w:rPr>
          <w:rFonts w:hint="eastAsia" w:ascii="宋体" w:hAnsi="宋体" w:cs="宋体"/>
          <w:color w:val="000000" w:themeColor="text1"/>
          <w:sz w:val="24"/>
          <w:highlight w:val="none"/>
          <w:lang w:val="en-US" w:eastAsia="zh-CN"/>
          <w14:textFill>
            <w14:solidFill>
              <w14:schemeClr w14:val="tx1"/>
            </w14:solidFill>
          </w14:textFill>
        </w:rPr>
        <w:t>按合同约定执行。</w:t>
      </w:r>
    </w:p>
    <w:p w14:paraId="4EE1C180">
      <w:pPr>
        <w:autoSpaceDE w:val="0"/>
        <w:autoSpaceDN w:val="0"/>
        <w:adjustRightIn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服务地点：</w:t>
      </w:r>
      <w:r>
        <w:rPr>
          <w:rFonts w:hint="eastAsia" w:ascii="宋体" w:hAnsi="宋体" w:cs="宋体"/>
          <w:color w:val="000000" w:themeColor="text1"/>
          <w:sz w:val="24"/>
          <w:highlight w:val="none"/>
          <w:lang w:val="zh-CN"/>
          <w14:textFill>
            <w14:solidFill>
              <w14:schemeClr w14:val="tx1"/>
            </w14:solidFill>
          </w14:textFill>
        </w:rPr>
        <w:t>采购人指定的时间、地点进行服务</w:t>
      </w:r>
      <w:r>
        <w:rPr>
          <w:rFonts w:hint="eastAsia" w:ascii="宋体" w:hAnsi="宋体" w:cs="宋体"/>
          <w:color w:val="000000" w:themeColor="text1"/>
          <w:sz w:val="24"/>
          <w:highlight w:val="none"/>
          <w14:textFill>
            <w14:solidFill>
              <w14:schemeClr w14:val="tx1"/>
            </w14:solidFill>
          </w14:textFill>
        </w:rPr>
        <w:t>；</w:t>
      </w:r>
    </w:p>
    <w:p w14:paraId="22AF282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乙方提供不符合</w:t>
      </w:r>
      <w:r>
        <w:rPr>
          <w:rFonts w:hint="eastAsia" w:ascii="宋体" w:hAnsi="宋体" w:cs="Arial"/>
          <w:color w:val="000000" w:themeColor="text1"/>
          <w:sz w:val="24"/>
          <w:lang w:val="zh-CN"/>
          <w14:textFill>
            <w14:solidFill>
              <w14:schemeClr w14:val="tx1"/>
            </w14:solidFill>
          </w14:textFill>
        </w:rPr>
        <w:t>报价文件</w:t>
      </w:r>
      <w:r>
        <w:rPr>
          <w:rFonts w:ascii="宋体" w:hAnsi="宋体" w:cs="Arial"/>
          <w:color w:val="000000" w:themeColor="text1"/>
          <w:sz w:val="24"/>
          <w:lang w:val="zh-CN"/>
          <w14:textFill>
            <w14:solidFill>
              <w14:schemeClr w14:val="tx1"/>
            </w14:solidFill>
          </w14:textFill>
        </w:rPr>
        <w:t>和本合同规定的</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，甲方有权拒绝接受</w:t>
      </w:r>
      <w:r>
        <w:rPr>
          <w:rFonts w:hint="eastAsia" w:ascii="宋体" w:hAnsi="宋体" w:cs="Arial"/>
          <w:color w:val="000000" w:themeColor="text1"/>
          <w:sz w:val="24"/>
          <w:lang w:val="zh-CN"/>
          <w14:textFill>
            <w14:solidFill>
              <w14:schemeClr w14:val="tx1"/>
            </w14:solidFill>
          </w14:textFill>
        </w:rPr>
        <w:t>；</w:t>
      </w:r>
    </w:p>
    <w:p w14:paraId="233667A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乙方应将提供服务的清单资料等交付给甲方，如有缺失应及时补齐，否则视为逾期</w:t>
      </w:r>
      <w:r>
        <w:rPr>
          <w:rFonts w:hint="eastAsia" w:ascii="宋体" w:hAnsi="宋体" w:cs="Arial"/>
          <w:color w:val="000000" w:themeColor="text1"/>
          <w:sz w:val="24"/>
          <w:lang w:val="zh-CN"/>
          <w14:textFill>
            <w14:solidFill>
              <w14:schemeClr w14:val="tx1"/>
            </w14:solidFill>
          </w14:textFill>
        </w:rPr>
        <w:t>服务；</w:t>
      </w:r>
    </w:p>
    <w:p w14:paraId="640A4D94">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甲方在验收过程中发现乙方有违约问题，可按</w:t>
      </w:r>
      <w:r>
        <w:rPr>
          <w:rFonts w:hint="eastAsia" w:ascii="宋体" w:hAnsi="宋体" w:cs="Arial"/>
          <w:color w:val="000000" w:themeColor="text1"/>
          <w:sz w:val="24"/>
          <w:lang w:val="zh-CN"/>
          <w14:textFill>
            <w14:solidFill>
              <w14:schemeClr w14:val="tx1"/>
            </w14:solidFill>
          </w14:textFill>
        </w:rPr>
        <w:t>招标</w:t>
      </w:r>
      <w:r>
        <w:rPr>
          <w:rFonts w:ascii="宋体" w:hAnsi="宋体" w:cs="Arial"/>
          <w:color w:val="000000" w:themeColor="text1"/>
          <w:sz w:val="24"/>
          <w:lang w:val="zh-CN"/>
          <w14:textFill>
            <w14:solidFill>
              <w14:schemeClr w14:val="tx1"/>
            </w14:solidFill>
          </w14:textFill>
        </w:rPr>
        <w:t>文件</w:t>
      </w:r>
      <w:r>
        <w:rPr>
          <w:rFonts w:hint="eastAsia" w:ascii="宋体" w:hAnsi="宋体" w:cs="Arial"/>
          <w:color w:val="000000" w:themeColor="text1"/>
          <w:sz w:val="24"/>
          <w:lang w:val="zh-CN"/>
          <w14:textFill>
            <w14:solidFill>
              <w14:schemeClr w14:val="tx1"/>
            </w14:solidFill>
          </w14:textFill>
        </w:rPr>
        <w:t>、招标报价文件</w:t>
      </w:r>
      <w:r>
        <w:rPr>
          <w:rFonts w:ascii="宋体" w:hAnsi="宋体" w:cs="Arial"/>
          <w:color w:val="000000" w:themeColor="text1"/>
          <w:sz w:val="24"/>
          <w:lang w:val="zh-CN"/>
          <w14:textFill>
            <w14:solidFill>
              <w14:schemeClr w14:val="tx1"/>
            </w14:solidFill>
          </w14:textFill>
        </w:rPr>
        <w:t>的规定要求乙方及时予以解决</w:t>
      </w:r>
      <w:r>
        <w:rPr>
          <w:rFonts w:hint="eastAsia" w:ascii="宋体" w:hAnsi="宋体" w:cs="Arial"/>
          <w:color w:val="000000" w:themeColor="text1"/>
          <w:sz w:val="24"/>
          <w:lang w:val="zh-CN"/>
          <w14:textFill>
            <w14:solidFill>
              <w14:schemeClr w14:val="tx1"/>
            </w14:solidFill>
          </w14:textFill>
        </w:rPr>
        <w:t>；</w:t>
      </w:r>
    </w:p>
    <w:p w14:paraId="1635FBE1">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乙方向甲方提供服务相关完税销售发票。</w:t>
      </w:r>
    </w:p>
    <w:p w14:paraId="3D61B82D">
      <w:pPr>
        <w:autoSpaceDE w:val="0"/>
        <w:autoSpaceDN w:val="0"/>
        <w:spacing w:line="360" w:lineRule="auto"/>
        <w:rPr>
          <w:rFonts w:hint="eastAsia" w:ascii="宋体" w:hAnsi="宋体" w:cs="Arial"/>
          <w:b/>
          <w:color w:val="000000" w:themeColor="text1"/>
          <w:sz w:val="24"/>
          <w:lang w:val="zh-CN"/>
          <w14:textFill>
            <w14:solidFill>
              <w14:schemeClr w14:val="tx1"/>
            </w14:solidFill>
          </w14:textFill>
        </w:rPr>
      </w:pPr>
      <w:r>
        <w:rPr>
          <w:rFonts w:hint="eastAsia" w:ascii="宋体" w:hAnsi="宋体" w:cs="Arial"/>
          <w:b/>
          <w:color w:val="000000" w:themeColor="text1"/>
          <w:sz w:val="24"/>
          <w:lang w:val="zh-CN"/>
          <w14:textFill>
            <w14:solidFill>
              <w14:schemeClr w14:val="tx1"/>
            </w14:solidFill>
          </w14:textFill>
        </w:rPr>
        <w:t>四、付款方式</w:t>
      </w:r>
    </w:p>
    <w:p w14:paraId="7D838766">
      <w:pPr>
        <w:autoSpaceDE w:val="0"/>
        <w:autoSpaceDN w:val="0"/>
        <w:adjustRightInd w:val="0"/>
        <w:spacing w:line="360" w:lineRule="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（1）合同签订后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日,支付合同总金额的</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eastAsia="zh-CN"/>
          <w14:textFill>
            <w14:solidFill>
              <w14:schemeClr w14:val="tx1"/>
            </w14:solidFill>
          </w14:textFill>
        </w:rPr>
        <w:t>0.00%。</w:t>
      </w:r>
    </w:p>
    <w:p w14:paraId="4DFCD1B5">
      <w:pPr>
        <w:autoSpaceDE w:val="0"/>
        <w:autoSpaceDN w:val="0"/>
        <w:adjustRightInd w:val="0"/>
        <w:spacing w:line="360" w:lineRule="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活动开始后</w:t>
      </w:r>
      <w:r>
        <w:rPr>
          <w:rFonts w:hint="eastAsia" w:ascii="宋体" w:hAnsi="宋体" w:eastAsia="宋体" w:cs="宋体"/>
          <w:color w:val="000000" w:themeColor="text1"/>
          <w:sz w:val="24"/>
          <w:lang w:val="zh-CN"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并达到演出活动的90%至95%后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日，支付合同总金额的</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eastAsia="zh-CN"/>
          <w14:textFill>
            <w14:solidFill>
              <w14:schemeClr w14:val="tx1"/>
            </w14:solidFill>
          </w14:textFill>
        </w:rPr>
        <w:t>0.00%。</w:t>
      </w:r>
    </w:p>
    <w:p w14:paraId="33E03724">
      <w:pPr>
        <w:autoSpaceDE w:val="0"/>
        <w:autoSpaceDN w:val="0"/>
        <w:adjustRightInd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活动结束后</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日,支付合同总金额的</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zh-CN" w:eastAsia="zh-CN"/>
          <w14:textFill>
            <w14:solidFill>
              <w14:schemeClr w14:val="tx1"/>
            </w14:solidFill>
          </w14:textFill>
        </w:rPr>
        <w:t>0.00%。</w:t>
      </w:r>
    </w:p>
    <w:p w14:paraId="640529E6">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五、合同的变更、终止与转让</w:t>
      </w:r>
    </w:p>
    <w:p w14:paraId="490EEF1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除《中华人民共和国政府采购法》第</w:t>
      </w:r>
      <w:r>
        <w:rPr>
          <w:rFonts w:ascii="宋体" w:hAnsi="宋体" w:cs="Arial"/>
          <w:color w:val="000000" w:themeColor="text1"/>
          <w:sz w:val="24"/>
          <w14:textFill>
            <w14:solidFill>
              <w14:schemeClr w14:val="tx1"/>
            </w14:solidFill>
          </w14:textFill>
        </w:rPr>
        <w:t>50</w:t>
      </w:r>
      <w:r>
        <w:rPr>
          <w:rFonts w:ascii="宋体" w:hAnsi="宋体" w:cs="Arial"/>
          <w:color w:val="000000" w:themeColor="text1"/>
          <w:sz w:val="24"/>
          <w:lang w:val="zh-CN"/>
          <w14:textFill>
            <w14:solidFill>
              <w14:schemeClr w14:val="tx1"/>
            </w14:solidFill>
          </w14:textFill>
        </w:rPr>
        <w:t>条规定的情形外，本合同一经签订，甲乙双方不得擅自变更、中止或终止</w:t>
      </w:r>
      <w:r>
        <w:rPr>
          <w:rFonts w:hint="eastAsia" w:ascii="宋体" w:hAnsi="宋体" w:cs="Arial"/>
          <w:color w:val="000000" w:themeColor="text1"/>
          <w:sz w:val="24"/>
          <w:lang w:val="zh-CN"/>
          <w14:textFill>
            <w14:solidFill>
              <w14:schemeClr w14:val="tx1"/>
            </w14:solidFill>
          </w14:textFill>
        </w:rPr>
        <w:t>；</w:t>
      </w:r>
    </w:p>
    <w:p w14:paraId="23C2D27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乙方不得擅自转让其应履行的合同义务。</w:t>
      </w:r>
    </w:p>
    <w:p w14:paraId="3C00CBBC">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六、违约责任</w:t>
      </w:r>
    </w:p>
    <w:p w14:paraId="65057EB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zh-CN"/>
          <w14:textFill>
            <w14:solidFill>
              <w14:schemeClr w14:val="tx1"/>
            </w14:solidFill>
          </w14:textFill>
        </w:rPr>
        <w:t>乙方所提供的服务规格、技术标准、材料等质量不合格的，应及时更换；更换不及时的，按逾期服务处罚；因质量问题甲方不同意接收的，质保金全额扣除，并由乙方赔偿由此引起的甲方的一切经济损失；</w:t>
      </w:r>
    </w:p>
    <w:p w14:paraId="6C79C47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如侵犯了第三方权益而引发纠纷或诉讼的，均由乙方负责交涉并承担全部责任</w:t>
      </w:r>
      <w:r>
        <w:rPr>
          <w:rFonts w:hint="eastAsia" w:ascii="宋体" w:hAnsi="宋体" w:cs="Arial"/>
          <w:color w:val="000000" w:themeColor="text1"/>
          <w:sz w:val="24"/>
          <w:lang w:val="zh-CN"/>
          <w14:textFill>
            <w14:solidFill>
              <w14:schemeClr w14:val="tx1"/>
            </w14:solidFill>
          </w14:textFill>
        </w:rPr>
        <w:t>；</w:t>
      </w:r>
    </w:p>
    <w:p w14:paraId="42CDDE98">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甲方无故延期接受</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和乙方逾期</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的，每天应向对方偿付未交</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的款</w:t>
      </w:r>
      <w:r>
        <w:rPr>
          <w:rFonts w:ascii="宋体" w:hAnsi="宋体" w:cs="Arial"/>
          <w:color w:val="000000" w:themeColor="text1"/>
          <w:sz w:val="24"/>
          <w14:textFill>
            <w14:solidFill>
              <w14:schemeClr w14:val="tx1"/>
            </w14:solidFill>
          </w14:textFill>
        </w:rPr>
        <w:t>3</w:t>
      </w:r>
      <w:r>
        <w:rPr>
          <w:rFonts w:ascii="宋体" w:hAnsi="宋体" w:cs="Arial"/>
          <w:color w:val="000000" w:themeColor="text1"/>
          <w:sz w:val="24"/>
          <w:lang w:val="zh-CN"/>
          <w14:textFill>
            <w14:solidFill>
              <w14:schemeClr w14:val="tx1"/>
            </w14:solidFill>
          </w14:textFill>
        </w:rPr>
        <w:t>‰的违约金，但违约金累计不得超过违约款的</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，超过</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天对方有权解除合同，违约方承担因此给对方造成的经济损失</w:t>
      </w:r>
      <w:r>
        <w:rPr>
          <w:rFonts w:hint="eastAsia" w:ascii="宋体" w:hAnsi="宋体" w:cs="Arial"/>
          <w:color w:val="000000" w:themeColor="text1"/>
          <w:sz w:val="24"/>
          <w:lang w:val="zh-CN"/>
          <w14:textFill>
            <w14:solidFill>
              <w14:schemeClr w14:val="tx1"/>
            </w14:solidFill>
          </w14:textFill>
        </w:rPr>
        <w:t>；</w:t>
      </w:r>
    </w:p>
    <w:p w14:paraId="073F8D91">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乙方未按本合同和</w:t>
      </w:r>
      <w:r>
        <w:rPr>
          <w:rFonts w:hint="eastAsia" w:ascii="宋体" w:hAnsi="宋体" w:cs="Arial"/>
          <w:color w:val="000000" w:themeColor="text1"/>
          <w:sz w:val="24"/>
          <w:lang w:val="zh-CN"/>
          <w14:textFill>
            <w14:solidFill>
              <w14:schemeClr w14:val="tx1"/>
            </w14:solidFill>
          </w14:textFill>
        </w:rPr>
        <w:t>报价</w:t>
      </w:r>
      <w:r>
        <w:rPr>
          <w:rFonts w:ascii="宋体" w:hAnsi="宋体" w:cs="Arial"/>
          <w:color w:val="000000" w:themeColor="text1"/>
          <w:sz w:val="24"/>
          <w:lang w:val="zh-CN"/>
          <w14:textFill>
            <w14:solidFill>
              <w14:schemeClr w14:val="tx1"/>
            </w14:solidFill>
          </w14:textFill>
        </w:rPr>
        <w:t>文件中规定的服务承诺提供售后服务的，乙方应按本合同合计金额的</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向甲方支付违约金</w:t>
      </w:r>
      <w:r>
        <w:rPr>
          <w:rFonts w:hint="eastAsia" w:ascii="宋体" w:hAnsi="宋体" w:cs="Arial"/>
          <w:color w:val="000000" w:themeColor="text1"/>
          <w:sz w:val="24"/>
          <w:lang w:val="zh-CN"/>
          <w14:textFill>
            <w14:solidFill>
              <w14:schemeClr w14:val="tx1"/>
            </w14:solidFill>
          </w14:textFill>
        </w:rPr>
        <w:t>；</w:t>
      </w:r>
    </w:p>
    <w:p w14:paraId="733CB580">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乙方提供的货物在质量保证期内，因设计、工艺或材料的缺陷和其它质量原因造成的问题，由乙方负责，费用从</w:t>
      </w:r>
      <w:r>
        <w:rPr>
          <w:rFonts w:hint="eastAsia" w:ascii="宋体" w:hAnsi="宋体" w:cs="Arial"/>
          <w:color w:val="000000" w:themeColor="text1"/>
          <w:sz w:val="24"/>
          <w:lang w:val="zh-CN"/>
          <w14:textFill>
            <w14:solidFill>
              <w14:schemeClr w14:val="tx1"/>
            </w14:solidFill>
          </w14:textFill>
        </w:rPr>
        <w:t>质量</w:t>
      </w:r>
      <w:r>
        <w:rPr>
          <w:rFonts w:ascii="宋体" w:hAnsi="宋体" w:cs="Arial"/>
          <w:color w:val="000000" w:themeColor="text1"/>
          <w:sz w:val="24"/>
          <w:lang w:val="zh-CN"/>
          <w14:textFill>
            <w14:solidFill>
              <w14:schemeClr w14:val="tx1"/>
            </w14:solidFill>
          </w14:textFill>
        </w:rPr>
        <w:t>保证金中扣除，不足另补</w:t>
      </w:r>
      <w:r>
        <w:rPr>
          <w:rFonts w:hint="eastAsia" w:ascii="宋体" w:hAnsi="宋体" w:cs="Arial"/>
          <w:color w:val="000000" w:themeColor="text1"/>
          <w:sz w:val="24"/>
          <w:lang w:val="zh-CN"/>
          <w14:textFill>
            <w14:solidFill>
              <w14:schemeClr w14:val="tx1"/>
            </w14:solidFill>
          </w14:textFill>
        </w:rPr>
        <w:t>；</w:t>
      </w:r>
    </w:p>
    <w:p w14:paraId="57C120F2">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6</w:t>
      </w:r>
      <w:r>
        <w:rPr>
          <w:rFonts w:hint="eastAsia" w:ascii="宋体" w:hAnsi="宋体" w:cs="Arial"/>
          <w:color w:val="000000" w:themeColor="text1"/>
          <w:sz w:val="24"/>
          <w:lang w:val="zh-CN"/>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其它违约行为按违约款额</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收取违约金并赔偿经济损失。</w:t>
      </w:r>
    </w:p>
    <w:p w14:paraId="30DD7A3B">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七、不可抗力</w:t>
      </w:r>
    </w:p>
    <w:p w14:paraId="5F101C9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不可抗力使合同的某些内容有变更必要的，双方应通过协商在</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天内达成进一步履行合同的协议，因不可抗力致使合同不能履行的，合同终止</w:t>
      </w:r>
      <w:r>
        <w:rPr>
          <w:rFonts w:hint="eastAsia" w:ascii="宋体" w:hAnsi="宋体" w:cs="Arial"/>
          <w:color w:val="000000" w:themeColor="text1"/>
          <w:sz w:val="24"/>
          <w:lang w:val="zh-CN"/>
          <w14:textFill>
            <w14:solidFill>
              <w14:schemeClr w14:val="tx1"/>
            </w14:solidFill>
          </w14:textFill>
        </w:rPr>
        <w:t>；</w:t>
      </w:r>
    </w:p>
    <w:p w14:paraId="0663890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除法律、法规规定的不可抗力情形外，双方约定出现</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14:textFill>
            <w14:solidFill>
              <w14:schemeClr w14:val="tx1"/>
            </w14:solidFill>
          </w14:textFill>
        </w:rPr>
        <w:t>自然灾害</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情况亦视为不可抗力。</w:t>
      </w:r>
    </w:p>
    <w:p w14:paraId="7E078976">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八、知识产权</w:t>
      </w:r>
    </w:p>
    <w:p w14:paraId="2E439A62">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九、其他约定</w:t>
      </w:r>
    </w:p>
    <w:p w14:paraId="4CF3C0E2">
      <w:pPr>
        <w:autoSpaceDE w:val="0"/>
        <w:autoSpaceDN w:val="0"/>
        <w:spacing w:line="360" w:lineRule="auto"/>
        <w:ind w:firstLine="480" w:firstLineChars="200"/>
        <w:rPr>
          <w:rFonts w:hint="eastAsia" w:ascii="宋体" w:hAnsi="宋体" w:cs="Arial"/>
          <w:color w:val="000000" w:themeColor="text1"/>
          <w:sz w:val="24"/>
          <w:lang w:val="zh-CN"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风险管控措施</w:t>
      </w:r>
      <w:r>
        <w:rPr>
          <w:rFonts w:hint="eastAsia" w:ascii="宋体" w:hAnsi="宋体" w:cs="Arial"/>
          <w:color w:val="000000" w:themeColor="text1"/>
          <w:sz w:val="24"/>
          <w:lang w:val="zh-CN" w:eastAsia="zh-CN"/>
          <w14:textFill>
            <w14:solidFill>
              <w14:schemeClr w14:val="tx1"/>
            </w14:solidFill>
          </w14:textFill>
        </w:rPr>
        <w:t>：</w:t>
      </w:r>
    </w:p>
    <w:p w14:paraId="64ED3B1D">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1.如乙方在演出过程中出现自行变更演出时长、演员阵容，降低演出质量，或未演够采购场次等问题，甲方有权自行独立决定解除本合同，一律取消该演出团被采购资格，并酌情扣除采购补助，本合同自甲方解约通知书送达乙方时自动终止。此种情形不属于甲方违约，甲方不需为此向乙方支付任何违约金、赔偿金等，由此造成的甲方经济损失由乙方承担。</w:t>
      </w:r>
    </w:p>
    <w:p w14:paraId="48480D59">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2.未经甲方同意乙方不得私自将该服务转包第三方完成，一经发现，甲方有权自行独立决定解除本合同，本合同自甲方解约通知书送达乙方时自动终止。此种情形不属于甲方违约，甲方不需为此向乙方支付任何违约金、赔偿金等，由此造成的甲方经济损失由乙方承担。</w:t>
      </w:r>
    </w:p>
    <w:p w14:paraId="79C99F24">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3.如甲方在对采购剧目的演出效果进行督查中，乙方存在演出反映差、群众满意度低等情况，甲方有权自行独立决定解除本合同。本合同自甲方解约通知书送达乙方时自动终止。此种情形不属于甲方违约，甲方不需为此向乙方支付任何违约金、赔偿金等，由此造成的甲方经济损失由乙方承担。</w:t>
      </w:r>
    </w:p>
    <w:p w14:paraId="3D2B2397">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4.乙方作为服务提供者自愿接受并确认,如甲方认为乙方所提供的的服务质量低劣，甲方有权自行独立决定解除本合同，本合同自甲方解约通知书送达乙方时自动终止。此种情形不属于甲方违约，甲方不需为此向乙方支付任何违约金、赔偿金等。</w:t>
      </w:r>
    </w:p>
    <w:p w14:paraId="4BFE26DF">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十、合同争议解决</w:t>
      </w:r>
    </w:p>
    <w:p w14:paraId="21627EE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因服务</w:t>
      </w:r>
      <w:r>
        <w:rPr>
          <w:rFonts w:hint="eastAsia" w:ascii="宋体" w:hAnsi="宋体" w:cs="Arial"/>
          <w:color w:val="000000" w:themeColor="text1"/>
          <w:sz w:val="24"/>
          <w:lang w:val="zh-CN"/>
          <w14:textFill>
            <w14:solidFill>
              <w14:schemeClr w14:val="tx1"/>
            </w14:solidFill>
          </w14:textFill>
        </w:rPr>
        <w:t>质量</w:t>
      </w:r>
      <w:r>
        <w:rPr>
          <w:rFonts w:ascii="宋体" w:hAnsi="宋体" w:cs="Arial"/>
          <w:color w:val="000000" w:themeColor="text1"/>
          <w:sz w:val="24"/>
          <w:lang w:val="zh-CN"/>
          <w14:textFill>
            <w14:solidFill>
              <w14:schemeClr w14:val="tx1"/>
            </w14:solidFill>
          </w14:textFill>
        </w:rPr>
        <w:t>问题发生争议的，应邀请国家认可的机构进行鉴定。服务符合标准的，鉴定费由甲方承担；服务不符合标准的，鉴定费由乙方承担</w:t>
      </w:r>
      <w:r>
        <w:rPr>
          <w:rFonts w:hint="eastAsia" w:ascii="宋体" w:hAnsi="宋体" w:cs="Arial"/>
          <w:color w:val="000000" w:themeColor="text1"/>
          <w:sz w:val="24"/>
          <w:lang w:val="zh-CN"/>
          <w14:textFill>
            <w14:solidFill>
              <w14:schemeClr w14:val="tx1"/>
            </w14:solidFill>
          </w14:textFill>
        </w:rPr>
        <w:t>；</w:t>
      </w:r>
    </w:p>
    <w:p w14:paraId="00AF7A8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因履行本合同引起的或与本合同有关的争议，甲乙双方应首先通过友好协商解决，如果协商不能解决，可向</w:t>
      </w:r>
      <w:r>
        <w:rPr>
          <w:rFonts w:ascii="宋体" w:hAnsi="宋体" w:cs="Arial"/>
          <w:color w:val="000000" w:themeColor="text1"/>
          <w:sz w:val="24"/>
          <w:u w:val="single"/>
          <w:lang w:val="zh-CN"/>
          <w14:textFill>
            <w14:solidFill>
              <w14:schemeClr w14:val="tx1"/>
            </w14:solidFill>
          </w14:textFill>
        </w:rPr>
        <w:t>甲方</w:t>
      </w:r>
      <w:r>
        <w:rPr>
          <w:rFonts w:ascii="宋体" w:hAnsi="宋体" w:cs="Arial"/>
          <w:color w:val="000000" w:themeColor="text1"/>
          <w:sz w:val="24"/>
          <w:lang w:val="zh-CN"/>
          <w14:textFill>
            <w14:solidFill>
              <w14:schemeClr w14:val="tx1"/>
            </w14:solidFill>
          </w14:textFill>
        </w:rPr>
        <w:t>所在地仲裁委员会申请仲裁或向甲方所在地人民法院提起诉讼</w:t>
      </w:r>
      <w:r>
        <w:rPr>
          <w:rFonts w:hint="eastAsia" w:ascii="宋体" w:hAnsi="宋体" w:cs="Arial"/>
          <w:color w:val="000000" w:themeColor="text1"/>
          <w:sz w:val="24"/>
          <w:lang w:val="zh-CN"/>
          <w14:textFill>
            <w14:solidFill>
              <w14:schemeClr w14:val="tx1"/>
            </w14:solidFill>
          </w14:textFill>
        </w:rPr>
        <w:t>；</w:t>
      </w:r>
    </w:p>
    <w:p w14:paraId="2AA6D16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诉讼期间，本合同继续履行。</w:t>
      </w:r>
    </w:p>
    <w:p w14:paraId="7AEBC6E0">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十一、合同生效及其它</w:t>
      </w:r>
      <w:r>
        <w:rPr>
          <w:rFonts w:ascii="宋体" w:hAnsi="宋体" w:cs="Arial"/>
          <w:b/>
          <w:color w:val="000000" w:themeColor="text1"/>
          <w:sz w:val="24"/>
          <w14:textFill>
            <w14:solidFill>
              <w14:schemeClr w14:val="tx1"/>
            </w14:solidFill>
          </w14:textFill>
        </w:rPr>
        <w:t>：</w:t>
      </w:r>
    </w:p>
    <w:p w14:paraId="6007A66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本合同一式八份，经双方签字，并加盖公章即为生效</w:t>
      </w:r>
      <w:r>
        <w:rPr>
          <w:rFonts w:hint="eastAsia" w:ascii="宋体" w:hAnsi="宋体" w:cs="Arial"/>
          <w:color w:val="000000" w:themeColor="text1"/>
          <w:sz w:val="24"/>
          <w:lang w:val="zh-CN"/>
          <w14:textFill>
            <w14:solidFill>
              <w14:schemeClr w14:val="tx1"/>
            </w14:solidFill>
          </w14:textFill>
        </w:rPr>
        <w:t>；</w:t>
      </w:r>
    </w:p>
    <w:p w14:paraId="0EBF62F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本合同未尽事宜，按经济合同法有关规定处理</w:t>
      </w:r>
      <w:r>
        <w:rPr>
          <w:rFonts w:hint="eastAsia" w:ascii="宋体" w:hAnsi="宋体" w:cs="Arial"/>
          <w:color w:val="000000" w:themeColor="text1"/>
          <w:sz w:val="24"/>
          <w:lang w:val="zh-CN"/>
          <w14:textFill>
            <w14:solidFill>
              <w14:schemeClr w14:val="tx1"/>
            </w14:solidFill>
          </w14:textFill>
        </w:rPr>
        <w:t>；</w:t>
      </w:r>
    </w:p>
    <w:p w14:paraId="3AA58605">
      <w:pPr>
        <w:autoSpaceDE w:val="0"/>
        <w:autoSpaceDN w:val="0"/>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本合同的组成包含《合同通用条款》，可自行在青海政府采购网下载《合同通用条款》。</w:t>
      </w:r>
    </w:p>
    <w:p w14:paraId="1A4AD98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甲方</w:t>
      </w:r>
      <w:r>
        <w:rPr>
          <w:rFonts w:hint="eastAsia" w:ascii="宋体" w:hAnsi="宋体" w:cs="Arial"/>
          <w:color w:val="000000" w:themeColor="text1"/>
          <w:sz w:val="24"/>
          <w14:textFill>
            <w14:solidFill>
              <w14:schemeClr w14:val="tx1"/>
            </w14:solidFill>
          </w14:textFill>
        </w:rPr>
        <w:t xml:space="preserve">（盖章）：                     </w:t>
      </w:r>
      <w:r>
        <w:rPr>
          <w:rFonts w:ascii="宋体" w:hAnsi="宋体" w:cs="Arial"/>
          <w:color w:val="000000" w:themeColor="text1"/>
          <w:sz w:val="24"/>
          <w14:textFill>
            <w14:solidFill>
              <w14:schemeClr w14:val="tx1"/>
            </w14:solidFill>
          </w14:textFill>
        </w:rPr>
        <w:t>乙方</w:t>
      </w:r>
      <w:r>
        <w:rPr>
          <w:rFonts w:hint="eastAsia" w:ascii="宋体" w:hAnsi="宋体" w:cs="Arial"/>
          <w:color w:val="000000" w:themeColor="text1"/>
          <w:sz w:val="24"/>
          <w14:textFill>
            <w14:solidFill>
              <w14:schemeClr w14:val="tx1"/>
            </w14:solidFill>
          </w14:textFill>
        </w:rPr>
        <w:t>（盖章）：</w:t>
      </w:r>
    </w:p>
    <w:p w14:paraId="74BA5DC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法定代表人</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法定代表人</w:t>
      </w:r>
    </w:p>
    <w:p w14:paraId="6CA6332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或委托代理人</w:t>
      </w:r>
      <w:r>
        <w:rPr>
          <w:rFonts w:hint="eastAsia" w:ascii="宋体" w:hAnsi="宋体" w:cs="Arial"/>
          <w:color w:val="000000" w:themeColor="text1"/>
          <w:sz w:val="24"/>
          <w14:textFill>
            <w14:solidFill>
              <w14:schemeClr w14:val="tx1"/>
            </w14:solidFill>
          </w14:textFill>
        </w:rPr>
        <w:t xml:space="preserve">（签字）：         </w:t>
      </w:r>
      <w:r>
        <w:rPr>
          <w:rFonts w:ascii="宋体" w:hAnsi="宋体" w:cs="Arial"/>
          <w:color w:val="000000" w:themeColor="text1"/>
          <w:sz w:val="24"/>
          <w14:textFill>
            <w14:solidFill>
              <w14:schemeClr w14:val="tx1"/>
            </w14:solidFill>
          </w14:textFill>
        </w:rPr>
        <w:t xml:space="preserve">    或委托代理人</w:t>
      </w:r>
      <w:r>
        <w:rPr>
          <w:rFonts w:hint="eastAsia" w:ascii="宋体" w:hAnsi="宋体" w:cs="Arial"/>
          <w:color w:val="000000" w:themeColor="text1"/>
          <w:sz w:val="24"/>
          <w14:textFill>
            <w14:solidFill>
              <w14:schemeClr w14:val="tx1"/>
            </w14:solidFill>
          </w14:textFill>
        </w:rPr>
        <w:t>（签字）：</w:t>
      </w:r>
    </w:p>
    <w:p w14:paraId="653A40C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开户银行</w:t>
      </w:r>
      <w:r>
        <w:rPr>
          <w:rFonts w:hint="eastAsia" w:ascii="宋体" w:hAnsi="宋体" w:cs="Arial"/>
          <w:color w:val="000000" w:themeColor="text1"/>
          <w:sz w:val="24"/>
          <w14:textFill>
            <w14:solidFill>
              <w14:schemeClr w14:val="tx1"/>
            </w14:solidFill>
          </w14:textFill>
        </w:rPr>
        <w:t>：</w:t>
      </w:r>
    </w:p>
    <w:p w14:paraId="280DACD6">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账号</w:t>
      </w:r>
      <w:r>
        <w:rPr>
          <w:rFonts w:hint="eastAsia" w:ascii="宋体" w:hAnsi="宋体" w:cs="Arial"/>
          <w:color w:val="000000" w:themeColor="text1"/>
          <w:sz w:val="24"/>
          <w14:textFill>
            <w14:solidFill>
              <w14:schemeClr w14:val="tx1"/>
            </w14:solidFill>
          </w14:textFill>
        </w:rPr>
        <w:t>：</w:t>
      </w:r>
    </w:p>
    <w:p w14:paraId="1813165D">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w:t>
      </w:r>
    </w:p>
    <w:p w14:paraId="068C7DB0">
      <w:pPr>
        <w:autoSpaceDE w:val="0"/>
        <w:autoSpaceDN w:val="0"/>
        <w:spacing w:line="360" w:lineRule="auto"/>
        <w:jc w:val="right"/>
        <w:rPr>
          <w:rFonts w:hint="eastAsia"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签约时间：</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月</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日</w:t>
      </w:r>
    </w:p>
    <w:p w14:paraId="0010086B">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p>
    <w:p w14:paraId="3704D973">
      <w:pPr>
        <w:autoSpaceDE w:val="0"/>
        <w:autoSpaceDN w:val="0"/>
        <w:spacing w:line="360" w:lineRule="auto"/>
        <w:jc w:val="left"/>
        <w:rPr>
          <w:rFonts w:hint="eastAsia" w:ascii="宋体" w:hAnsi="宋体" w:cs="Arial"/>
          <w:color w:val="000000" w:themeColor="text1"/>
          <w:sz w:val="24"/>
          <w:lang w:val="zh-CN"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采购代理机构：</w:t>
      </w:r>
      <w:r>
        <w:rPr>
          <w:rFonts w:hint="eastAsia" w:ascii="宋体" w:hAnsi="宋体" w:cs="Arial"/>
          <w:color w:val="000000" w:themeColor="text1"/>
          <w:sz w:val="24"/>
          <w:lang w:val="zh-CN" w:eastAsia="zh-CN"/>
          <w14:textFill>
            <w14:solidFill>
              <w14:schemeClr w14:val="tx1"/>
            </w14:solidFill>
          </w14:textFill>
        </w:rPr>
        <w:t>青海华景工程项目管理有限公司</w:t>
      </w:r>
    </w:p>
    <w:p w14:paraId="36A66D10">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负责人或经办人：</w:t>
      </w:r>
    </w:p>
    <w:p w14:paraId="608A48E7">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时间：    年    月    日</w:t>
      </w:r>
    </w:p>
    <w:p w14:paraId="04B121C4">
      <w:pPr>
        <w:rPr>
          <w:rFonts w:ascii="宋体" w:hAnsi="宋体" w:cs="Arial"/>
          <w:b/>
          <w:bCs/>
          <w:color w:val="000000" w:themeColor="text1"/>
          <w:sz w:val="28"/>
          <w:lang w:val="zh-CN"/>
          <w14:textFill>
            <w14:solidFill>
              <w14:schemeClr w14:val="tx1"/>
            </w14:solidFill>
          </w14:textFill>
        </w:rPr>
      </w:pPr>
      <w:r>
        <w:rPr>
          <w:rFonts w:ascii="宋体" w:hAnsi="宋体" w:cs="Arial"/>
          <w:b/>
          <w:bCs/>
          <w:color w:val="000000" w:themeColor="text1"/>
          <w:sz w:val="28"/>
          <w:lang w:val="zh-CN"/>
          <w14:textFill>
            <w14:solidFill>
              <w14:schemeClr w14:val="tx1"/>
            </w14:solidFill>
          </w14:textFill>
        </w:rPr>
        <w:br w:type="page"/>
      </w:r>
    </w:p>
    <w:p w14:paraId="1A9EB49A">
      <w:pPr>
        <w:autoSpaceDE w:val="0"/>
        <w:autoSpaceDN w:val="0"/>
        <w:spacing w:line="360" w:lineRule="auto"/>
        <w:jc w:val="center"/>
        <w:rPr>
          <w:rFonts w:ascii="宋体" w:hAnsi="宋体" w:cs="Arial"/>
          <w:b/>
          <w:bCs/>
          <w:color w:val="000000" w:themeColor="text1"/>
          <w14:textFill>
            <w14:solidFill>
              <w14:schemeClr w14:val="tx1"/>
            </w14:solidFill>
          </w14:textFill>
        </w:rPr>
      </w:pPr>
      <w:r>
        <w:rPr>
          <w:rFonts w:ascii="宋体" w:hAnsi="宋体" w:cs="Arial"/>
          <w:b/>
          <w:bCs/>
          <w:color w:val="000000" w:themeColor="text1"/>
          <w:sz w:val="28"/>
          <w:lang w:val="zh-CN"/>
          <w14:textFill>
            <w14:solidFill>
              <w14:schemeClr w14:val="tx1"/>
            </w14:solidFill>
          </w14:textFill>
        </w:rPr>
        <w:t>合同通用条款</w:t>
      </w:r>
    </w:p>
    <w:p w14:paraId="75FDB700">
      <w:pPr>
        <w:autoSpaceDE w:val="0"/>
        <w:autoSpaceDN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根据《中华人民共和国</w:t>
      </w:r>
      <w:r>
        <w:rPr>
          <w:rFonts w:hint="eastAsia" w:ascii="宋体" w:hAnsi="宋体" w:cs="Arial"/>
          <w:color w:val="000000" w:themeColor="text1"/>
          <w:sz w:val="24"/>
          <w:lang w:val="zh-CN"/>
          <w14:textFill>
            <w14:solidFill>
              <w14:schemeClr w14:val="tx1"/>
            </w14:solidFill>
          </w14:textFill>
        </w:rPr>
        <w:t>民法典</w:t>
      </w:r>
      <w:r>
        <w:rPr>
          <w:rFonts w:ascii="宋体" w:hAnsi="宋体" w:cs="Arial"/>
          <w:color w:val="000000" w:themeColor="text1"/>
          <w:sz w:val="24"/>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3BC866F9">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w:t>
      </w:r>
      <w:r>
        <w:rPr>
          <w:rFonts w:hint="eastAsia" w:ascii="宋体" w:hAnsi="宋体" w:cs="Arial"/>
          <w:b/>
          <w:bCs/>
          <w:color w:val="000000" w:themeColor="text1"/>
          <w:sz w:val="24"/>
          <w14:textFill>
            <w14:solidFill>
              <w14:schemeClr w14:val="tx1"/>
            </w14:solidFill>
          </w14:textFill>
        </w:rPr>
        <w:t>．</w:t>
      </w:r>
      <w:r>
        <w:rPr>
          <w:rFonts w:ascii="宋体" w:hAnsi="宋体" w:cs="Arial"/>
          <w:b/>
          <w:bCs/>
          <w:color w:val="000000" w:themeColor="text1"/>
          <w:sz w:val="24"/>
          <w:lang w:val="zh-CN"/>
          <w14:textFill>
            <w14:solidFill>
              <w14:schemeClr w14:val="tx1"/>
            </w14:solidFill>
          </w14:textFill>
        </w:rPr>
        <w:t>定义</w:t>
      </w:r>
    </w:p>
    <w:p w14:paraId="746DE3B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本合同中的下列术语应解释为：</w:t>
      </w:r>
    </w:p>
    <w:p w14:paraId="657DF5B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w:t>
      </w:r>
      <w:r>
        <w:rPr>
          <w:rFonts w:ascii="宋体" w:hAnsi="宋体" w:cs="Arial"/>
          <w:color w:val="000000" w:themeColor="text1"/>
          <w:sz w:val="24"/>
          <w:lang w:val="zh-CN"/>
          <w14:textFill>
            <w14:solidFill>
              <w14:schemeClr w14:val="tx1"/>
            </w14:solidFill>
          </w14:textFill>
        </w:rPr>
        <w:t>“合同”指甲乙双方签署的、载明的甲乙双方权利义务的协议，包括所有的附件、附录和上述文件所提到的构成合同的所有文件。</w:t>
      </w:r>
    </w:p>
    <w:p w14:paraId="144C3F1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1.2</w:t>
      </w:r>
      <w:r>
        <w:rPr>
          <w:rFonts w:ascii="宋体" w:hAnsi="宋体" w:cs="Arial"/>
          <w:color w:val="000000" w:themeColor="text1"/>
          <w:sz w:val="24"/>
          <w:lang w:val="zh-CN"/>
          <w14:textFill>
            <w14:solidFill>
              <w14:schemeClr w14:val="tx1"/>
            </w14:solidFill>
          </w14:textFill>
        </w:rPr>
        <w:t>“合同金额”指根据合同规定，乙方在正确地完全履行合同义务后甲方应付给乙方的价款。</w:t>
      </w:r>
    </w:p>
    <w:p w14:paraId="5DA08C7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1.3</w:t>
      </w:r>
      <w:r>
        <w:rPr>
          <w:rFonts w:ascii="宋体" w:hAnsi="宋体" w:cs="Arial"/>
          <w:color w:val="000000" w:themeColor="text1"/>
          <w:sz w:val="24"/>
          <w:lang w:val="zh-CN"/>
          <w14:textFill>
            <w14:solidFill>
              <w14:schemeClr w14:val="tx1"/>
            </w14:solidFill>
          </w14:textFill>
        </w:rPr>
        <w:t>“合同条款”指本合同条款。</w:t>
      </w:r>
    </w:p>
    <w:p w14:paraId="0455C1D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w:t>
      </w:r>
      <w:r>
        <w:rPr>
          <w:rFonts w:ascii="宋体" w:hAnsi="宋体" w:cs="Arial"/>
          <w:color w:val="000000" w:themeColor="text1"/>
          <w:sz w:val="24"/>
          <w:lang w:val="zh-CN"/>
          <w14:textFill>
            <w14:solidFill>
              <w14:schemeClr w14:val="tx1"/>
            </w14:solidFill>
          </w14:textFill>
        </w:rPr>
        <w:t>“货物”指乙方根据合同约定须向甲方提供的一切产品、设备、机械、仪表、备件等，包括辅助工具、使用手册等相关资料。</w:t>
      </w:r>
    </w:p>
    <w:p w14:paraId="16CDCDA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w:t>
      </w:r>
      <w:r>
        <w:rPr>
          <w:rFonts w:ascii="宋体" w:hAnsi="宋体" w:cs="Arial"/>
          <w:color w:val="000000" w:themeColor="text1"/>
          <w:sz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141A251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1.6</w:t>
      </w:r>
      <w:r>
        <w:rPr>
          <w:rFonts w:ascii="宋体" w:hAnsi="宋体" w:cs="Arial"/>
          <w:color w:val="000000" w:themeColor="text1"/>
          <w:sz w:val="24"/>
          <w:lang w:val="zh-CN"/>
          <w14:textFill>
            <w14:solidFill>
              <w14:schemeClr w14:val="tx1"/>
            </w14:solidFill>
          </w14:textFill>
        </w:rPr>
        <w:t>“甲方”指购买货物和服务的单位。</w:t>
      </w:r>
    </w:p>
    <w:p w14:paraId="6C60F54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w:t>
      </w:r>
      <w:r>
        <w:rPr>
          <w:rFonts w:ascii="宋体" w:hAnsi="宋体" w:cs="Arial"/>
          <w:color w:val="000000" w:themeColor="text1"/>
          <w:sz w:val="24"/>
          <w:lang w:val="zh-CN"/>
          <w14:textFill>
            <w14:solidFill>
              <w14:schemeClr w14:val="tx1"/>
            </w14:solidFill>
          </w14:textFill>
        </w:rPr>
        <w:t>“乙方”指提供本合同条款下货物和服务的公司或其他实体。</w:t>
      </w:r>
    </w:p>
    <w:p w14:paraId="1B0EE81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1.8</w:t>
      </w:r>
      <w:r>
        <w:rPr>
          <w:rFonts w:ascii="宋体" w:hAnsi="宋体" w:cs="Arial"/>
          <w:color w:val="000000" w:themeColor="text1"/>
          <w:sz w:val="24"/>
          <w:lang w:val="zh-CN"/>
          <w14:textFill>
            <w14:solidFill>
              <w14:schemeClr w14:val="tx1"/>
            </w14:solidFill>
          </w14:textFill>
        </w:rPr>
        <w:t>“现场”指合同规定货物将要运至和安装的地点。</w:t>
      </w:r>
    </w:p>
    <w:p w14:paraId="6C158B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w:t>
      </w:r>
      <w:r>
        <w:rPr>
          <w:rFonts w:ascii="宋体" w:hAnsi="宋体" w:cs="Arial"/>
          <w:color w:val="000000" w:themeColor="text1"/>
          <w:sz w:val="24"/>
          <w:lang w:val="zh-CN"/>
          <w14:textFill>
            <w14:solidFill>
              <w14:schemeClr w14:val="tx1"/>
            </w14:solidFill>
          </w14:textFill>
        </w:rPr>
        <w:t>“验收”指合同双方依据强制性的国家技术质量规范和合同约定，确认合同条款下的货物符合合同规定的活动。</w:t>
      </w:r>
    </w:p>
    <w:p w14:paraId="7D603A1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1.10</w:t>
      </w:r>
      <w:r>
        <w:rPr>
          <w:rFonts w:ascii="宋体" w:hAnsi="宋体" w:cs="Arial"/>
          <w:color w:val="000000" w:themeColor="text1"/>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42E8E9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w:t>
      </w:r>
      <w:r>
        <w:rPr>
          <w:rFonts w:ascii="宋体" w:hAnsi="宋体" w:cs="Arial"/>
          <w:color w:val="000000" w:themeColor="text1"/>
          <w:sz w:val="24"/>
          <w:lang w:val="zh-CN"/>
          <w14:textFill>
            <w14:solidFill>
              <w14:schemeClr w14:val="tx1"/>
            </w14:solidFill>
          </w14:textFill>
        </w:rPr>
        <w:t>原产地：指产品的生产地，或提供服务的来源地。</w:t>
      </w:r>
    </w:p>
    <w:p w14:paraId="4C6B957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w:t>
      </w:r>
      <w:r>
        <w:rPr>
          <w:rFonts w:ascii="宋体" w:hAnsi="宋体" w:cs="Arial"/>
          <w:color w:val="000000" w:themeColor="text1"/>
          <w:sz w:val="24"/>
          <w:lang w:val="zh-CN"/>
          <w14:textFill>
            <w14:solidFill>
              <w14:schemeClr w14:val="tx1"/>
            </w14:solidFill>
          </w14:textFill>
        </w:rPr>
        <w:t>“工作日”指国家法定工作日，“天”指日历天数。</w:t>
      </w:r>
    </w:p>
    <w:p w14:paraId="3A8E5844">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w:t>
      </w:r>
      <w:r>
        <w:rPr>
          <w:rFonts w:ascii="宋体" w:hAnsi="宋体" w:cs="Arial"/>
          <w:b/>
          <w:bCs/>
          <w:color w:val="000000" w:themeColor="text1"/>
          <w:sz w:val="24"/>
          <w:lang w:val="zh-CN"/>
          <w14:textFill>
            <w14:solidFill>
              <w14:schemeClr w14:val="tx1"/>
            </w14:solidFill>
          </w14:textFill>
        </w:rPr>
        <w:t>技术规格要求</w:t>
      </w:r>
    </w:p>
    <w:p w14:paraId="7403DB3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2.1</w:t>
      </w:r>
      <w:r>
        <w:rPr>
          <w:rFonts w:ascii="宋体" w:hAnsi="宋体" w:cs="Arial"/>
          <w:color w:val="000000" w:themeColor="text1"/>
          <w:sz w:val="24"/>
          <w:lang w:val="zh-CN"/>
          <w14:textFill>
            <w14:solidFill>
              <w14:schemeClr w14:val="tx1"/>
            </w14:solidFill>
          </w14:textFill>
        </w:rPr>
        <w:t>本合同条款下提交货物的技术规格要求应等于或优于</w:t>
      </w:r>
      <w:r>
        <w:rPr>
          <w:rFonts w:hint="eastAsia" w:ascii="宋体" w:hAnsi="宋体" w:cs="Arial"/>
          <w:color w:val="000000" w:themeColor="text1"/>
          <w:sz w:val="24"/>
          <w:lang w:val="zh-CN"/>
          <w14:textFill>
            <w14:solidFill>
              <w14:schemeClr w14:val="tx1"/>
            </w14:solidFill>
          </w14:textFill>
        </w:rPr>
        <w:t>招标</w:t>
      </w:r>
      <w:r>
        <w:rPr>
          <w:rFonts w:ascii="宋体" w:hAnsi="宋体" w:cs="Arial"/>
          <w:color w:val="000000" w:themeColor="text1"/>
          <w:sz w:val="24"/>
          <w:lang w:val="zh-CN"/>
          <w14:textFill>
            <w14:solidFill>
              <w14:schemeClr w14:val="tx1"/>
            </w14:solidFill>
          </w14:textFill>
        </w:rPr>
        <w:t>文件</w:t>
      </w:r>
      <w:r>
        <w:rPr>
          <w:rFonts w:hint="eastAsia" w:ascii="宋体" w:hAnsi="宋体" w:cs="Arial"/>
          <w:color w:val="000000" w:themeColor="text1"/>
          <w:sz w:val="24"/>
          <w:lang w:val="zh-CN"/>
          <w14:textFill>
            <w14:solidFill>
              <w14:schemeClr w14:val="tx1"/>
            </w14:solidFill>
          </w14:textFill>
        </w:rPr>
        <w:t>/招标响应文件</w:t>
      </w:r>
      <w:r>
        <w:rPr>
          <w:rFonts w:ascii="宋体" w:hAnsi="宋体" w:cs="Arial"/>
          <w:color w:val="000000" w:themeColor="text1"/>
          <w:sz w:val="24"/>
          <w:lang w:val="zh-CN"/>
          <w14:textFill>
            <w14:solidFill>
              <w14:schemeClr w14:val="tx1"/>
            </w14:solidFill>
          </w14:textFill>
        </w:rPr>
        <w:t>技术规格要求。若技术规格要求中无相应规定，则应符合相应的国家有关部门最新颁布的相应正式标准。</w:t>
      </w:r>
    </w:p>
    <w:p w14:paraId="6E681E1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w:t>
      </w:r>
      <w:r>
        <w:rPr>
          <w:rFonts w:ascii="宋体" w:hAnsi="宋体" w:cs="Arial"/>
          <w:color w:val="000000" w:themeColor="text1"/>
          <w:sz w:val="24"/>
          <w:lang w:val="zh-CN"/>
          <w14:textFill>
            <w14:solidFill>
              <w14:schemeClr w14:val="tx1"/>
            </w14:solidFill>
          </w14:textFill>
        </w:rPr>
        <w:t>乙方应向甲方提供货物及服务有关的标准的中文文本。</w:t>
      </w:r>
    </w:p>
    <w:p w14:paraId="3DE9D67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2.3</w:t>
      </w:r>
      <w:r>
        <w:rPr>
          <w:rFonts w:ascii="宋体" w:hAnsi="宋体" w:cs="Arial"/>
          <w:color w:val="000000" w:themeColor="text1"/>
          <w:sz w:val="24"/>
          <w:lang w:val="zh-CN"/>
          <w14:textFill>
            <w14:solidFill>
              <w14:schemeClr w14:val="tx1"/>
            </w14:solidFill>
          </w14:textFill>
        </w:rPr>
        <w:t>除非技术规范中另有规定，计量单位均采用中华人民共和国法定计量单位。</w:t>
      </w:r>
    </w:p>
    <w:p w14:paraId="393EDA0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3.</w:t>
      </w:r>
      <w:r>
        <w:rPr>
          <w:rFonts w:ascii="宋体" w:hAnsi="宋体" w:cs="Arial"/>
          <w:b/>
          <w:bCs/>
          <w:color w:val="000000" w:themeColor="text1"/>
          <w:sz w:val="24"/>
          <w:lang w:val="zh-CN"/>
          <w14:textFill>
            <w14:solidFill>
              <w14:schemeClr w14:val="tx1"/>
            </w14:solidFill>
          </w14:textFill>
        </w:rPr>
        <w:t>合同范围</w:t>
      </w:r>
    </w:p>
    <w:p w14:paraId="703473C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3.1</w:t>
      </w:r>
      <w:r>
        <w:rPr>
          <w:rFonts w:ascii="宋体" w:hAnsi="宋体" w:cs="Arial"/>
          <w:color w:val="000000" w:themeColor="text1"/>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1793D9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3.2</w:t>
      </w:r>
      <w:r>
        <w:rPr>
          <w:rFonts w:ascii="宋体" w:hAnsi="宋体" w:cs="Arial"/>
          <w:color w:val="000000" w:themeColor="text1"/>
          <w:sz w:val="24"/>
          <w:lang w:val="zh-CN"/>
          <w14:textFill>
            <w14:solidFill>
              <w14:schemeClr w14:val="tx1"/>
            </w14:solidFill>
          </w14:textFill>
        </w:rPr>
        <w:t>乙方应负责培训甲方的技术人员。</w:t>
      </w:r>
    </w:p>
    <w:p w14:paraId="3E3563F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3.3</w:t>
      </w:r>
      <w:r>
        <w:rPr>
          <w:rFonts w:ascii="宋体" w:hAnsi="宋体" w:cs="Arial"/>
          <w:color w:val="000000" w:themeColor="text1"/>
          <w:sz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20440C">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4.</w:t>
      </w:r>
      <w:r>
        <w:rPr>
          <w:rFonts w:ascii="宋体" w:hAnsi="宋体" w:cs="Arial"/>
          <w:b/>
          <w:bCs/>
          <w:color w:val="000000" w:themeColor="text1"/>
          <w:sz w:val="24"/>
          <w:lang w:val="zh-CN"/>
          <w14:textFill>
            <w14:solidFill>
              <w14:schemeClr w14:val="tx1"/>
            </w14:solidFill>
          </w14:textFill>
        </w:rPr>
        <w:t>合同文件和资料</w:t>
      </w:r>
    </w:p>
    <w:p w14:paraId="68D3EE4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4.1</w:t>
      </w:r>
      <w:r>
        <w:rPr>
          <w:rFonts w:ascii="宋体" w:hAnsi="宋体" w:cs="Arial"/>
          <w:color w:val="000000" w:themeColor="text1"/>
          <w:sz w:val="24"/>
          <w:lang w:val="zh-CN"/>
          <w14:textFill>
            <w14:solidFill>
              <w14:schemeClr w14:val="tx1"/>
            </w14:solidFill>
          </w14:textFill>
        </w:rPr>
        <w:t>乙方在提供仪器设备时应同时提供中文版相关的技术资料，如目录索引、图纸、操作手册、使用指南、维修指南、服务手册等。</w:t>
      </w:r>
    </w:p>
    <w:p w14:paraId="3FEDB5F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4.2</w:t>
      </w:r>
      <w:r>
        <w:rPr>
          <w:rFonts w:ascii="宋体" w:hAnsi="宋体" w:cs="Arial"/>
          <w:color w:val="000000" w:themeColor="text1"/>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7A9121">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5.</w:t>
      </w:r>
      <w:r>
        <w:rPr>
          <w:rFonts w:ascii="宋体" w:hAnsi="宋体" w:cs="Arial"/>
          <w:b/>
          <w:bCs/>
          <w:color w:val="000000" w:themeColor="text1"/>
          <w:sz w:val="24"/>
          <w:lang w:val="zh-CN"/>
          <w14:textFill>
            <w14:solidFill>
              <w14:schemeClr w14:val="tx1"/>
            </w14:solidFill>
          </w14:textFill>
        </w:rPr>
        <w:t>知识产权</w:t>
      </w:r>
    </w:p>
    <w:p w14:paraId="5488142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5.1</w:t>
      </w:r>
      <w:r>
        <w:rPr>
          <w:rFonts w:ascii="宋体" w:hAnsi="宋体" w:cs="Arial"/>
          <w:color w:val="000000" w:themeColor="text1"/>
          <w:sz w:val="24"/>
          <w:lang w:val="zh-CN"/>
          <w14:textFill>
            <w14:solidFill>
              <w14:schemeClr w14:val="tx1"/>
            </w14:solidFill>
          </w14:textFill>
        </w:rPr>
        <w:t>乙方应保证甲方在使用该货物或其任何一部分时不受第三方提出的侵犯专利权、</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著作权、商标权和工业设计权等的起诉。</w:t>
      </w:r>
    </w:p>
    <w:p w14:paraId="3C40B72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5.2</w:t>
      </w:r>
      <w:r>
        <w:rPr>
          <w:rFonts w:ascii="宋体" w:hAnsi="宋体" w:cs="Arial"/>
          <w:color w:val="000000" w:themeColor="text1"/>
          <w:sz w:val="24"/>
          <w:lang w:val="zh-CN"/>
          <w14:textFill>
            <w14:solidFill>
              <w14:schemeClr w14:val="tx1"/>
            </w14:solidFill>
          </w14:textFill>
        </w:rPr>
        <w:t>任何第三方提出侵权指控，乙方须与第三方交涉并承担由此产生的一切责任、费用和经济赔偿。</w:t>
      </w:r>
    </w:p>
    <w:p w14:paraId="01642FB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5.3</w:t>
      </w:r>
      <w:r>
        <w:rPr>
          <w:rFonts w:ascii="宋体" w:hAnsi="宋体" w:cs="Arial"/>
          <w:color w:val="000000" w:themeColor="text1"/>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4D1B4EF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5.4</w:t>
      </w:r>
      <w:r>
        <w:rPr>
          <w:rFonts w:ascii="宋体" w:hAnsi="宋体" w:cs="Arial"/>
          <w:color w:val="000000" w:themeColor="text1"/>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3C598C0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5.5</w:t>
      </w:r>
      <w:r>
        <w:rPr>
          <w:rFonts w:ascii="宋体" w:hAnsi="宋体" w:cs="Arial"/>
          <w:color w:val="000000" w:themeColor="text1"/>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044B0E">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6.</w:t>
      </w:r>
      <w:r>
        <w:rPr>
          <w:rFonts w:ascii="宋体" w:hAnsi="宋体" w:cs="Arial"/>
          <w:b/>
          <w:bCs/>
          <w:color w:val="000000" w:themeColor="text1"/>
          <w:sz w:val="24"/>
          <w:lang w:val="zh-CN"/>
          <w14:textFill>
            <w14:solidFill>
              <w14:schemeClr w14:val="tx1"/>
            </w14:solidFill>
          </w14:textFill>
        </w:rPr>
        <w:t>保密</w:t>
      </w:r>
    </w:p>
    <w:p w14:paraId="4A1A432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6.1</w:t>
      </w:r>
      <w:r>
        <w:rPr>
          <w:rFonts w:ascii="宋体" w:hAnsi="宋体" w:cs="Arial"/>
          <w:color w:val="000000" w:themeColor="text1"/>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C433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w:t>
      </w:r>
      <w:r>
        <w:rPr>
          <w:rFonts w:ascii="宋体" w:hAnsi="宋体" w:cs="Arial"/>
          <w:color w:val="000000" w:themeColor="text1"/>
          <w:sz w:val="24"/>
          <w:lang w:val="zh-CN"/>
          <w14:textFill>
            <w14:solidFill>
              <w14:schemeClr w14:val="tx1"/>
            </w14:solidFill>
          </w14:textFill>
        </w:rPr>
        <w:t>保密信息指任何一方因履行本合同所知悉的任何以口头、书面、图表或电子形式存在的对方信息，具体包括：</w:t>
      </w:r>
    </w:p>
    <w:p w14:paraId="1F6AE0D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6.2.1</w:t>
      </w:r>
      <w:r>
        <w:rPr>
          <w:rFonts w:ascii="宋体" w:hAnsi="宋体" w:cs="Arial"/>
          <w:color w:val="000000" w:themeColor="text1"/>
          <w:sz w:val="24"/>
          <w:lang w:val="zh-CN"/>
          <w14:textFill>
            <w14:solidFill>
              <w14:schemeClr w14:val="tx1"/>
            </w14:solidFill>
          </w14:textFill>
        </w:rPr>
        <w:t>任何涉及对方过去、现在或将来的商业计划、规章制度、操作规程、处理手段、财务信息；</w:t>
      </w:r>
    </w:p>
    <w:p w14:paraId="45857EE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6.2.2</w:t>
      </w:r>
      <w:r>
        <w:rPr>
          <w:rFonts w:ascii="宋体" w:hAnsi="宋体" w:cs="Arial"/>
          <w:color w:val="000000" w:themeColor="text1"/>
          <w:sz w:val="24"/>
          <w:lang w:val="zh-CN"/>
          <w14:textFill>
            <w14:solidFill>
              <w14:schemeClr w14:val="tx1"/>
            </w14:solidFill>
          </w14:textFill>
        </w:rPr>
        <w:t>任何对方的技术措施、技术方案、软件应用及开发，硬件设备的品种、质量、数量、品牌等；</w:t>
      </w:r>
    </w:p>
    <w:p w14:paraId="54CB811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6.2.3</w:t>
      </w:r>
      <w:r>
        <w:rPr>
          <w:rFonts w:ascii="宋体" w:hAnsi="宋体" w:cs="Arial"/>
          <w:color w:val="000000" w:themeColor="text1"/>
          <w:sz w:val="24"/>
          <w:lang w:val="zh-CN"/>
          <w14:textFill>
            <w14:solidFill>
              <w14:schemeClr w14:val="tx1"/>
            </w14:solidFill>
          </w14:textFill>
        </w:rPr>
        <w:t>任何对方的技术秘密或专有知识、文件、报告、数据、客户软件、流程图、数据库、发明、知识、贸易秘密。</w:t>
      </w:r>
    </w:p>
    <w:p w14:paraId="0D1D466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6.3</w:t>
      </w:r>
      <w:r>
        <w:rPr>
          <w:rFonts w:ascii="宋体" w:hAnsi="宋体" w:cs="Arial"/>
          <w:color w:val="000000" w:themeColor="text1"/>
          <w:sz w:val="24"/>
          <w:lang w:val="zh-CN"/>
          <w14:textFill>
            <w14:solidFill>
              <w14:schemeClr w14:val="tx1"/>
            </w14:solidFill>
          </w14:textFill>
        </w:rPr>
        <w:t>乙方应根据甲方的要求签署相应的保密协议，保密协议与本条款存在不一致的，以保密协议为准。</w:t>
      </w:r>
    </w:p>
    <w:p w14:paraId="4AC6411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 xml:space="preserve">7. </w:t>
      </w:r>
      <w:r>
        <w:rPr>
          <w:rFonts w:ascii="宋体" w:hAnsi="宋体" w:cs="Arial"/>
          <w:b/>
          <w:bCs/>
          <w:color w:val="000000" w:themeColor="text1"/>
          <w:sz w:val="24"/>
          <w:lang w:val="zh-CN"/>
          <w14:textFill>
            <w14:solidFill>
              <w14:schemeClr w14:val="tx1"/>
            </w14:solidFill>
          </w14:textFill>
        </w:rPr>
        <w:t>质量保证</w:t>
      </w:r>
    </w:p>
    <w:p w14:paraId="03A0B6A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w:t>
      </w:r>
      <w:r>
        <w:rPr>
          <w:rFonts w:ascii="宋体" w:hAnsi="宋体" w:cs="Arial"/>
          <w:color w:val="000000" w:themeColor="text1"/>
          <w:sz w:val="24"/>
          <w:lang w:val="zh-CN"/>
          <w14:textFill>
            <w14:solidFill>
              <w14:schemeClr w14:val="tx1"/>
            </w14:solidFill>
          </w14:textFill>
        </w:rPr>
        <w:t>货物质量保证</w:t>
      </w:r>
    </w:p>
    <w:p w14:paraId="11D3767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7.1.1</w:t>
      </w:r>
      <w:r>
        <w:rPr>
          <w:rFonts w:ascii="宋体" w:hAnsi="宋体" w:cs="Arial"/>
          <w:color w:val="000000" w:themeColor="text1"/>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64079E5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7.1.2</w:t>
      </w:r>
      <w:r>
        <w:rPr>
          <w:rFonts w:ascii="宋体" w:hAnsi="宋体" w:cs="Arial"/>
          <w:color w:val="000000" w:themeColor="text1"/>
          <w:sz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F8551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7.1.3</w:t>
      </w:r>
      <w:r>
        <w:rPr>
          <w:rFonts w:ascii="宋体" w:hAnsi="宋体" w:cs="Arial"/>
          <w:color w:val="000000" w:themeColor="text1"/>
          <w:sz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1614C2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7.1.4</w:t>
      </w:r>
      <w:r>
        <w:rPr>
          <w:rFonts w:ascii="宋体" w:hAnsi="宋体" w:cs="Arial"/>
          <w:color w:val="000000" w:themeColor="text1"/>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BFC896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7.1.5</w:t>
      </w:r>
      <w:r>
        <w:rPr>
          <w:rFonts w:ascii="宋体" w:hAnsi="宋体" w:cs="Arial"/>
          <w:color w:val="000000" w:themeColor="text1"/>
          <w:sz w:val="24"/>
          <w:lang w:val="zh-CN"/>
          <w14:textFill>
            <w14:solidFill>
              <w14:schemeClr w14:val="tx1"/>
            </w14:solidFill>
          </w14:textFill>
        </w:rPr>
        <w:t>合同条款下货物的质量保证期自货物通过最终验收起算，合同另行规定除外。</w:t>
      </w:r>
    </w:p>
    <w:p w14:paraId="129D8B8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w:t>
      </w:r>
      <w:r>
        <w:rPr>
          <w:rFonts w:ascii="宋体" w:hAnsi="宋体" w:cs="Arial"/>
          <w:color w:val="000000" w:themeColor="text1"/>
          <w:sz w:val="24"/>
          <w:lang w:val="zh-CN"/>
          <w14:textFill>
            <w14:solidFill>
              <w14:schemeClr w14:val="tx1"/>
            </w14:solidFill>
          </w14:textFill>
        </w:rPr>
        <w:t>辅助服务质量保证</w:t>
      </w:r>
    </w:p>
    <w:p w14:paraId="1CBF6E1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7.2.1</w:t>
      </w:r>
      <w:r>
        <w:rPr>
          <w:rFonts w:ascii="宋体" w:hAnsi="宋体" w:cs="Arial"/>
          <w:color w:val="000000" w:themeColor="text1"/>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CF7FF0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7.2.2</w:t>
      </w:r>
      <w:r>
        <w:rPr>
          <w:rFonts w:ascii="宋体" w:hAnsi="宋体" w:cs="Arial"/>
          <w:color w:val="000000" w:themeColor="text1"/>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0403B8FF">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8.</w:t>
      </w:r>
      <w:r>
        <w:rPr>
          <w:rFonts w:ascii="宋体" w:hAnsi="宋体" w:cs="Arial"/>
          <w:b/>
          <w:bCs/>
          <w:color w:val="000000" w:themeColor="text1"/>
          <w:sz w:val="24"/>
          <w:lang w:val="zh-CN"/>
          <w14:textFill>
            <w14:solidFill>
              <w14:schemeClr w14:val="tx1"/>
            </w14:solidFill>
          </w14:textFill>
        </w:rPr>
        <w:t>包装要求</w:t>
      </w:r>
    </w:p>
    <w:p w14:paraId="7F437C6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8.1</w:t>
      </w:r>
      <w:r>
        <w:rPr>
          <w:rFonts w:ascii="宋体" w:hAnsi="宋体" w:cs="Arial"/>
          <w:color w:val="000000" w:themeColor="text1"/>
          <w:sz w:val="24"/>
          <w:lang w:val="zh-CN"/>
          <w14:textFill>
            <w14:solidFill>
              <w14:schemeClr w14:val="tx1"/>
            </w14:solidFill>
          </w14:textFill>
        </w:rPr>
        <w:t>除合同另有约定外</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乙方提供的全部货物</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均应采用本行业通用的方式进行包装，且该包装应符合国家有关包装的法律、法规的规定。</w:t>
      </w:r>
    </w:p>
    <w:p w14:paraId="46A2069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8.2</w:t>
      </w:r>
      <w:r>
        <w:rPr>
          <w:rFonts w:ascii="宋体" w:hAnsi="宋体" w:cs="Arial"/>
          <w:color w:val="000000" w:themeColor="text1"/>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183205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乙方应提供货物运至合同规定的最终目的地所需要的包装，以防止货物在转运中损坏或变质。</w:t>
      </w:r>
    </w:p>
    <w:p w14:paraId="5FDE127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8.3</w:t>
      </w:r>
      <w:r>
        <w:rPr>
          <w:rFonts w:ascii="宋体" w:hAnsi="宋体" w:cs="Arial"/>
          <w:color w:val="000000" w:themeColor="text1"/>
          <w:sz w:val="24"/>
          <w:lang w:val="zh-CN"/>
          <w14:textFill>
            <w14:solidFill>
              <w14:schemeClr w14:val="tx1"/>
            </w14:solidFill>
          </w14:textFill>
        </w:rPr>
        <w:t>乙方所提供的货物包装均为出厂时原包装。</w:t>
      </w:r>
    </w:p>
    <w:p w14:paraId="034F265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8.4</w:t>
      </w:r>
      <w:r>
        <w:rPr>
          <w:rFonts w:ascii="宋体" w:hAnsi="宋体" w:cs="Arial"/>
          <w:color w:val="000000" w:themeColor="text1"/>
          <w:sz w:val="24"/>
          <w:lang w:val="zh-CN"/>
          <w14:textFill>
            <w14:solidFill>
              <w14:schemeClr w14:val="tx1"/>
            </w14:solidFill>
          </w14:textFill>
        </w:rPr>
        <w:t>乙方所提供货物必须附有质量合格证，装箱清单，主机、附件、各种零部件和消耗品，有清楚的与装箱单相对应的名称和编号。</w:t>
      </w:r>
    </w:p>
    <w:p w14:paraId="311D0B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8.5</w:t>
      </w:r>
      <w:r>
        <w:rPr>
          <w:rFonts w:ascii="宋体" w:hAnsi="宋体" w:cs="Arial"/>
          <w:color w:val="000000" w:themeColor="text1"/>
          <w:sz w:val="24"/>
          <w:lang w:val="zh-CN"/>
          <w14:textFill>
            <w14:solidFill>
              <w14:schemeClr w14:val="tx1"/>
            </w14:solidFill>
          </w14:textFill>
        </w:rPr>
        <w:t>货物运输中的运输费用和保险费用均由乙方承担。运输过程中的一切损失、损坏均由乙方负责。</w:t>
      </w:r>
    </w:p>
    <w:p w14:paraId="06767358">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 xml:space="preserve">9. </w:t>
      </w:r>
      <w:r>
        <w:rPr>
          <w:rFonts w:ascii="宋体" w:hAnsi="宋体" w:cs="Arial"/>
          <w:b/>
          <w:bCs/>
          <w:color w:val="000000" w:themeColor="text1"/>
          <w:sz w:val="24"/>
          <w:lang w:val="zh-CN"/>
          <w14:textFill>
            <w14:solidFill>
              <w14:schemeClr w14:val="tx1"/>
            </w14:solidFill>
          </w14:textFill>
        </w:rPr>
        <w:t>价格</w:t>
      </w:r>
    </w:p>
    <w:p w14:paraId="5DE46CC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9.1</w:t>
      </w:r>
      <w:r>
        <w:rPr>
          <w:rFonts w:ascii="宋体" w:hAnsi="宋体" w:cs="Arial"/>
          <w:color w:val="000000" w:themeColor="text1"/>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7BB9E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9.2</w:t>
      </w:r>
      <w:r>
        <w:rPr>
          <w:rFonts w:ascii="宋体" w:hAnsi="宋体" w:cs="Arial"/>
          <w:color w:val="000000" w:themeColor="text1"/>
          <w:sz w:val="24"/>
          <w:lang w:val="zh-CN"/>
          <w14:textFill>
            <w14:solidFill>
              <w14:schemeClr w14:val="tx1"/>
            </w14:solidFill>
          </w14:textFill>
        </w:rPr>
        <w:t>本合同价格为固定价格，包括了乙方履行合同全过程产生的所有成本和费用以及乙方应承担的一切税费。</w:t>
      </w:r>
    </w:p>
    <w:p w14:paraId="403B2B4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w:t>
      </w:r>
      <w:r>
        <w:rPr>
          <w:rFonts w:ascii="宋体" w:hAnsi="宋体" w:cs="Arial"/>
          <w:color w:val="000000" w:themeColor="text1"/>
          <w:sz w:val="24"/>
          <w:lang w:val="zh-CN"/>
          <w14:textFill>
            <w14:solidFill>
              <w14:schemeClr w14:val="tx1"/>
            </w14:solidFill>
          </w14:textFill>
        </w:rPr>
        <w:t>检验费用</w:t>
      </w:r>
    </w:p>
    <w:p w14:paraId="22594B5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9.3.1</w:t>
      </w:r>
      <w:r>
        <w:rPr>
          <w:rFonts w:ascii="宋体" w:hAnsi="宋体" w:cs="Arial"/>
          <w:color w:val="000000" w:themeColor="text1"/>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385C4D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9.3.2</w:t>
      </w:r>
      <w:r>
        <w:rPr>
          <w:rFonts w:ascii="宋体" w:hAnsi="宋体" w:cs="Arial"/>
          <w:color w:val="000000" w:themeColor="text1"/>
          <w:sz w:val="24"/>
          <w:lang w:val="zh-CN"/>
          <w14:textFill>
            <w14:solidFill>
              <w14:schemeClr w14:val="tx1"/>
            </w14:solidFill>
          </w14:textFill>
        </w:rPr>
        <w:t>甲方按合同计划参加在乙方工厂所在地检验、测试和验收的费用全部由乙方负责并已包含在合同总价中。</w:t>
      </w:r>
    </w:p>
    <w:p w14:paraId="33A439A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9.3.3</w:t>
      </w:r>
      <w:r>
        <w:rPr>
          <w:rFonts w:ascii="宋体" w:hAnsi="宋体" w:cs="Arial"/>
          <w:color w:val="000000" w:themeColor="text1"/>
          <w:sz w:val="24"/>
          <w:lang w:val="zh-CN"/>
          <w14:textFill>
            <w14:solidFill>
              <w14:schemeClr w14:val="tx1"/>
            </w14:solidFill>
          </w14:textFill>
        </w:rPr>
        <w:t>甲方检验人员已到卖方所在地，测试无法依照合同进行，</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而引起甲方人员延长逗留时间，所有由此产生的包括甲方人员在内的直接费用及成本由乙方承担。</w:t>
      </w:r>
    </w:p>
    <w:p w14:paraId="6E7351C7">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10.</w:t>
      </w:r>
      <w:r>
        <w:rPr>
          <w:rFonts w:ascii="宋体" w:hAnsi="宋体" w:cs="Arial"/>
          <w:b/>
          <w:bCs/>
          <w:color w:val="000000" w:themeColor="text1"/>
          <w:sz w:val="24"/>
          <w:lang w:val="zh-CN"/>
          <w14:textFill>
            <w14:solidFill>
              <w14:schemeClr w14:val="tx1"/>
            </w14:solidFill>
          </w14:textFill>
        </w:rPr>
        <w:t>交货方式及交货日期</w:t>
      </w:r>
    </w:p>
    <w:p w14:paraId="795902E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交货方式：现场交货，乙方负责办理运输和保险，将货物运抵现场。</w:t>
      </w:r>
    </w:p>
    <w:p w14:paraId="78D89D6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交货期应根据产品的特点实事求是填写，进口产品90个工作日内，国产产品60个工作日内。特殊产品交货期需说明。</w:t>
      </w:r>
    </w:p>
    <w:p w14:paraId="4A930E50">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交货日期：所有货物运抵现场并经双方开箱验收合格之日。</w:t>
      </w:r>
    </w:p>
    <w:p w14:paraId="76344FC8">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11.检验和验收</w:t>
      </w:r>
    </w:p>
    <w:p w14:paraId="626F47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w:t>
      </w:r>
      <w:r>
        <w:rPr>
          <w:rFonts w:ascii="宋体" w:hAnsi="宋体" w:cs="Arial"/>
          <w:color w:val="000000" w:themeColor="text1"/>
          <w:sz w:val="24"/>
          <w:lang w:val="zh-CN"/>
          <w14:textFill>
            <w14:solidFill>
              <w14:schemeClr w14:val="tx1"/>
            </w14:solidFill>
          </w14:textFill>
        </w:rPr>
        <w:t>开箱验收</w:t>
      </w:r>
    </w:p>
    <w:p w14:paraId="65197ED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11.1.1</w:t>
      </w:r>
      <w:r>
        <w:rPr>
          <w:rFonts w:ascii="宋体" w:hAnsi="宋体" w:cs="Arial"/>
          <w:color w:val="000000" w:themeColor="text1"/>
          <w:sz w:val="24"/>
          <w:lang w:val="zh-CN"/>
          <w14:textFill>
            <w14:solidFill>
              <w14:schemeClr w14:val="tx1"/>
            </w14:solidFill>
          </w14:textFill>
        </w:rPr>
        <w:t>货物运抵现场后，双方应及时开箱验收，并制作验收记录，以确认与本合同约定的数量、型号等是否一致。</w:t>
      </w:r>
    </w:p>
    <w:p w14:paraId="0085CA4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11.1.2</w:t>
      </w:r>
      <w:r>
        <w:rPr>
          <w:rFonts w:ascii="宋体" w:hAnsi="宋体" w:cs="Arial"/>
          <w:color w:val="000000" w:themeColor="text1"/>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2F9E3F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11.1.3</w:t>
      </w:r>
      <w:r>
        <w:rPr>
          <w:rFonts w:ascii="宋体" w:hAnsi="宋体" w:cs="Arial"/>
          <w:color w:val="000000" w:themeColor="text1"/>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开箱验收中如发现货物的数量、规格与合同约定不符，甲方有权拒收货物，乙方应及时按甲方要求免费对拒收货物采取更换或其他必要的补救措施，直至开箱验收合格，方视为乙方完中标货。</w:t>
      </w:r>
    </w:p>
    <w:p w14:paraId="357250A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w:t>
      </w:r>
      <w:r>
        <w:rPr>
          <w:rFonts w:ascii="宋体" w:hAnsi="宋体" w:cs="Arial"/>
          <w:color w:val="000000" w:themeColor="text1"/>
          <w:sz w:val="24"/>
          <w:lang w:val="zh-CN"/>
          <w14:textFill>
            <w14:solidFill>
              <w14:schemeClr w14:val="tx1"/>
            </w14:solidFill>
          </w14:textFill>
        </w:rPr>
        <w:t>检验验收</w:t>
      </w:r>
    </w:p>
    <w:p w14:paraId="6CC44E7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11.2.1</w:t>
      </w:r>
      <w:r>
        <w:rPr>
          <w:rFonts w:ascii="宋体" w:hAnsi="宋体" w:cs="Arial"/>
          <w:color w:val="000000" w:themeColor="text1"/>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4937779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11.2.2</w:t>
      </w:r>
      <w:r>
        <w:rPr>
          <w:rFonts w:ascii="宋体" w:hAnsi="宋体" w:cs="Arial"/>
          <w:color w:val="000000" w:themeColor="text1"/>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2CC5895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11.2.3</w:t>
      </w:r>
      <w:r>
        <w:rPr>
          <w:rFonts w:ascii="宋体" w:hAnsi="宋体" w:cs="Arial"/>
          <w:color w:val="000000" w:themeColor="text1"/>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5D98893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11.2.4</w:t>
      </w:r>
      <w:r>
        <w:rPr>
          <w:rFonts w:ascii="宋体" w:hAnsi="宋体" w:cs="Arial"/>
          <w:color w:val="000000" w:themeColor="text1"/>
          <w:sz w:val="24"/>
          <w:lang w:val="zh-CN"/>
          <w14:textFill>
            <w14:solidFill>
              <w14:schemeClr w14:val="tx1"/>
            </w14:solidFill>
          </w14:textFill>
        </w:rPr>
        <w:t>检验测试出现全部或部分未达到本合同所约定的技术指标，甲方有权选择下列任一处理方式：</w:t>
      </w:r>
    </w:p>
    <w:p w14:paraId="1FC7C59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w:t>
      </w:r>
      <w:r>
        <w:rPr>
          <w:rFonts w:ascii="宋体" w:hAnsi="宋体" w:cs="Arial"/>
          <w:color w:val="000000" w:themeColor="text1"/>
          <w:sz w:val="24"/>
          <w:lang w:val="zh-CN"/>
          <w14:textFill>
            <w14:solidFill>
              <w14:schemeClr w14:val="tx1"/>
            </w14:solidFill>
          </w14:textFill>
        </w:rPr>
        <w:t>重新测试直至合格为止；</w:t>
      </w:r>
    </w:p>
    <w:p w14:paraId="3A100DC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b.</w:t>
      </w:r>
      <w:r>
        <w:rPr>
          <w:rFonts w:ascii="宋体" w:hAnsi="宋体" w:cs="Arial"/>
          <w:color w:val="000000" w:themeColor="text1"/>
          <w:sz w:val="24"/>
          <w:lang w:val="zh-CN"/>
          <w14:textFill>
            <w14:solidFill>
              <w14:schemeClr w14:val="tx1"/>
            </w14:solidFill>
          </w14:textFill>
        </w:rPr>
        <w:t>要求乙方对货物进行免费更换，然后重新测试直至合格为止；</w:t>
      </w:r>
    </w:p>
    <w:p w14:paraId="4F79366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无论选择何种方式，甲方因此而发生的因卖方原因引起的所有费用均由乙方负担。</w:t>
      </w:r>
    </w:p>
    <w:p w14:paraId="238529F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11.3 </w:t>
      </w:r>
      <w:r>
        <w:rPr>
          <w:rFonts w:ascii="宋体" w:hAnsi="宋体" w:cs="Arial"/>
          <w:color w:val="000000" w:themeColor="text1"/>
          <w:sz w:val="24"/>
          <w:lang w:val="zh-CN"/>
          <w14:textFill>
            <w14:solidFill>
              <w14:schemeClr w14:val="tx1"/>
            </w14:solidFill>
          </w14:textFill>
        </w:rPr>
        <w:t>使用过程检验</w:t>
      </w:r>
    </w:p>
    <w:p w14:paraId="6685F43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11.3.1</w:t>
      </w:r>
      <w:r>
        <w:rPr>
          <w:rFonts w:ascii="宋体" w:hAnsi="宋体" w:cs="Arial"/>
          <w:color w:val="000000" w:themeColor="text1"/>
          <w:sz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5B5FFF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11.3.2</w:t>
      </w:r>
      <w:r>
        <w:rPr>
          <w:rFonts w:ascii="宋体" w:hAnsi="宋体" w:cs="Arial"/>
          <w:color w:val="000000" w:themeColor="text1"/>
          <w:sz w:val="24"/>
          <w:lang w:val="zh-CN"/>
          <w14:textFill>
            <w14:solidFill>
              <w14:schemeClr w14:val="tx1"/>
            </w14:solidFill>
          </w14:textFill>
        </w:rPr>
        <w:t>如果合同双方对乙方提供的上述试验结果报告的解释有分歧，双方须于出现分歧后</w:t>
      </w:r>
      <w:r>
        <w:rPr>
          <w:rFonts w:ascii="宋体" w:hAnsi="宋体" w:cs="Arial"/>
          <w:color w:val="000000" w:themeColor="text1"/>
          <w:sz w:val="24"/>
          <w14:textFill>
            <w14:solidFill>
              <w14:schemeClr w14:val="tx1"/>
            </w14:solidFill>
          </w14:textFill>
        </w:rPr>
        <w:t>10</w:t>
      </w:r>
      <w:r>
        <w:rPr>
          <w:rFonts w:ascii="宋体" w:hAnsi="宋体" w:cs="Arial"/>
          <w:color w:val="000000" w:themeColor="text1"/>
          <w:sz w:val="24"/>
          <w:lang w:val="zh-CN"/>
          <w14:textFill>
            <w14:solidFill>
              <w14:schemeClr w14:val="tx1"/>
            </w14:solidFill>
          </w14:textFill>
        </w:rPr>
        <w:t>天内给对方声明，以陈述己方的观点。声明须附有关证据。分歧应通过协商解决。</w:t>
      </w:r>
    </w:p>
    <w:p w14:paraId="15A6DD6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12.</w:t>
      </w:r>
      <w:r>
        <w:rPr>
          <w:rFonts w:ascii="宋体" w:hAnsi="宋体" w:cs="Arial"/>
          <w:b/>
          <w:bCs/>
          <w:color w:val="000000" w:themeColor="text1"/>
          <w:sz w:val="24"/>
          <w:lang w:val="zh-CN"/>
          <w14:textFill>
            <w14:solidFill>
              <w14:schemeClr w14:val="tx1"/>
            </w14:solidFill>
          </w14:textFill>
        </w:rPr>
        <w:t>付款条件</w:t>
      </w:r>
    </w:p>
    <w:p w14:paraId="6654D282">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本合同条款下的付款方法和条件在“青海省政府采购项目合同书”中具体规定。</w:t>
      </w:r>
    </w:p>
    <w:p w14:paraId="71586CFE">
      <w:pPr>
        <w:autoSpaceDE w:val="0"/>
        <w:autoSpaceDN w:val="0"/>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13.履约保证金</w:t>
      </w:r>
    </w:p>
    <w:p w14:paraId="70CE59FC">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13.1乙方应在合同签订前，按约定提交履约保证金。</w:t>
      </w:r>
    </w:p>
    <w:p w14:paraId="10F7C284">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13.2履约保证金用于补偿甲方因乙方不能履行其合同义务而蒙受的损失。</w:t>
      </w:r>
    </w:p>
    <w:p w14:paraId="19833A38">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13.3履约保证金应使用本合同货币，按下述方式之一提交（招标文件中另有约定的除外）：</w:t>
      </w:r>
    </w:p>
    <w:p w14:paraId="79B9FF0F">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13.4甲方可接受的在中华人民共和国注册和营业的银行出具的履约保函；</w:t>
      </w:r>
    </w:p>
    <w:p w14:paraId="75B02F00">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13.5支票或汇票。</w:t>
      </w:r>
    </w:p>
    <w:p w14:paraId="6AAEA3E4">
      <w:pPr>
        <w:autoSpaceDE w:val="0"/>
        <w:autoSpaceDN w:val="0"/>
        <w:spacing w:line="360" w:lineRule="auto"/>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13.6乙方未能按合同规定履行其义务，甲方有权从履约保证金中取得补偿。货物验收合格后，甲方将履约保证金退还乙方或转为质量保证金。</w:t>
      </w:r>
    </w:p>
    <w:p w14:paraId="6D71AA9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14.</w:t>
      </w:r>
      <w:r>
        <w:rPr>
          <w:rFonts w:ascii="宋体" w:hAnsi="宋体" w:cs="Arial"/>
          <w:b/>
          <w:bCs/>
          <w:color w:val="000000" w:themeColor="text1"/>
          <w:sz w:val="24"/>
          <w:lang w:val="zh-CN"/>
          <w14:textFill>
            <w14:solidFill>
              <w14:schemeClr w14:val="tx1"/>
            </w14:solidFill>
          </w14:textFill>
        </w:rPr>
        <w:t>索赔</w:t>
      </w:r>
    </w:p>
    <w:p w14:paraId="1ECB49C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14.1</w:t>
      </w:r>
      <w:r>
        <w:rPr>
          <w:rFonts w:ascii="宋体" w:hAnsi="宋体" w:cs="Arial"/>
          <w:color w:val="000000" w:themeColor="text1"/>
          <w:sz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86FD39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w:t>
      </w:r>
      <w:r>
        <w:rPr>
          <w:rFonts w:ascii="宋体" w:hAnsi="宋体" w:cs="Arial"/>
          <w:color w:val="000000" w:themeColor="text1"/>
          <w:sz w:val="24"/>
          <w:lang w:val="zh-CN"/>
          <w14:textFill>
            <w14:solidFill>
              <w14:schemeClr w14:val="tx1"/>
            </w14:solidFill>
          </w14:textFill>
        </w:rPr>
        <w:t>在履约保证期和检验期内，乙方对甲方提出的索赔负有责任，乙方应按照甲方同意的下列一种或多种方式解决索赔事宜：</w:t>
      </w:r>
    </w:p>
    <w:p w14:paraId="4BA76B9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14.2.1</w:t>
      </w:r>
      <w:r>
        <w:rPr>
          <w:rFonts w:ascii="宋体" w:hAnsi="宋体" w:cs="Arial"/>
          <w:color w:val="000000" w:themeColor="text1"/>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4035D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14.2.2</w:t>
      </w:r>
      <w:r>
        <w:rPr>
          <w:rFonts w:ascii="宋体" w:hAnsi="宋体" w:cs="Arial"/>
          <w:color w:val="000000" w:themeColor="text1"/>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1CDFE50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14.2.3</w:t>
      </w:r>
      <w:r>
        <w:rPr>
          <w:rFonts w:ascii="宋体" w:hAnsi="宋体" w:cs="Arial"/>
          <w:color w:val="000000" w:themeColor="text1"/>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DA960B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14.3</w:t>
      </w:r>
      <w:r>
        <w:rPr>
          <w:rFonts w:ascii="宋体" w:hAnsi="宋体" w:cs="Arial"/>
          <w:color w:val="000000" w:themeColor="text1"/>
          <w:sz w:val="24"/>
          <w:lang w:val="zh-CN"/>
          <w14:textFill>
            <w14:solidFill>
              <w14:schemeClr w14:val="tx1"/>
            </w14:solidFill>
          </w14:textFill>
        </w:rPr>
        <w:t>乙方收到甲方发出的索赔通知之日起</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45BB59CB">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15.</w:t>
      </w:r>
      <w:r>
        <w:rPr>
          <w:rFonts w:ascii="宋体" w:hAnsi="宋体" w:cs="Arial"/>
          <w:b/>
          <w:bCs/>
          <w:color w:val="000000" w:themeColor="text1"/>
          <w:sz w:val="24"/>
          <w:lang w:val="zh-CN"/>
          <w14:textFill>
            <w14:solidFill>
              <w14:schemeClr w14:val="tx1"/>
            </w14:solidFill>
          </w14:textFill>
        </w:rPr>
        <w:t>迟延交货</w:t>
      </w:r>
    </w:p>
    <w:p w14:paraId="7FB4BBA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15.1</w:t>
      </w:r>
      <w:r>
        <w:rPr>
          <w:rFonts w:ascii="宋体" w:hAnsi="宋体" w:cs="Arial"/>
          <w:color w:val="000000" w:themeColor="text1"/>
          <w:sz w:val="24"/>
          <w:lang w:val="zh-CN"/>
          <w14:textFill>
            <w14:solidFill>
              <w14:schemeClr w14:val="tx1"/>
            </w14:solidFill>
          </w14:textFill>
        </w:rPr>
        <w:t>乙方应按照合同约定的时间交货和提供服务。</w:t>
      </w:r>
    </w:p>
    <w:p w14:paraId="10284FC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15.2</w:t>
      </w:r>
      <w:r>
        <w:rPr>
          <w:rFonts w:ascii="宋体" w:hAnsi="宋体" w:cs="Arial"/>
          <w:color w:val="000000" w:themeColor="text1"/>
          <w:sz w:val="24"/>
          <w:lang w:val="zh-CN"/>
          <w14:textFill>
            <w14:solidFill>
              <w14:schemeClr w14:val="tx1"/>
            </w14:solidFill>
          </w14:textFill>
        </w:rPr>
        <w:t>除不可抗力因素外，乙方迟延交货，甲方有权提出违约损失赔偿或解除合同。</w:t>
      </w:r>
    </w:p>
    <w:p w14:paraId="01AFB4E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15.3</w:t>
      </w:r>
      <w:r>
        <w:rPr>
          <w:rFonts w:ascii="宋体" w:hAnsi="宋体" w:cs="Arial"/>
          <w:color w:val="000000" w:themeColor="text1"/>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65ABC1F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16.</w:t>
      </w:r>
      <w:r>
        <w:rPr>
          <w:rFonts w:ascii="宋体" w:hAnsi="宋体" w:cs="Arial"/>
          <w:b/>
          <w:bCs/>
          <w:color w:val="000000" w:themeColor="text1"/>
          <w:sz w:val="24"/>
          <w:lang w:val="zh-CN"/>
          <w14:textFill>
            <w14:solidFill>
              <w14:schemeClr w14:val="tx1"/>
            </w14:solidFill>
          </w14:textFill>
        </w:rPr>
        <w:t>违约赔偿</w:t>
      </w:r>
    </w:p>
    <w:p w14:paraId="3636AA9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7CF2DBC">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17.</w:t>
      </w:r>
      <w:r>
        <w:rPr>
          <w:rFonts w:ascii="宋体" w:hAnsi="宋体" w:cs="Arial"/>
          <w:b/>
          <w:bCs/>
          <w:color w:val="000000" w:themeColor="text1"/>
          <w:sz w:val="24"/>
          <w:lang w:val="zh-CN"/>
          <w14:textFill>
            <w14:solidFill>
              <w14:schemeClr w14:val="tx1"/>
            </w14:solidFill>
          </w14:textFill>
        </w:rPr>
        <w:t>不可抗力</w:t>
      </w:r>
    </w:p>
    <w:p w14:paraId="5E6B24A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17.1</w:t>
      </w:r>
      <w:r>
        <w:rPr>
          <w:rFonts w:ascii="宋体" w:hAnsi="宋体" w:cs="Arial"/>
          <w:color w:val="000000" w:themeColor="text1"/>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73297A5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17.2</w:t>
      </w:r>
      <w:r>
        <w:rPr>
          <w:rFonts w:ascii="宋体" w:hAnsi="宋体" w:cs="Arial"/>
          <w:color w:val="000000" w:themeColor="text1"/>
          <w:sz w:val="24"/>
          <w:lang w:val="zh-CN"/>
          <w14:textFill>
            <w14:solidFill>
              <w14:schemeClr w14:val="tx1"/>
            </w14:solidFill>
          </w14:textFill>
        </w:rPr>
        <w:t>受事故影响的一方应在不可抗力的事故发生后以书面形式通知另一方。</w:t>
      </w:r>
    </w:p>
    <w:p w14:paraId="4011E4D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17.3</w:t>
      </w:r>
      <w:r>
        <w:rPr>
          <w:rFonts w:ascii="宋体" w:hAnsi="宋体" w:cs="Arial"/>
          <w:color w:val="000000" w:themeColor="text1"/>
          <w:sz w:val="24"/>
          <w:lang w:val="zh-CN"/>
          <w14:textFill>
            <w14:solidFill>
              <w14:schemeClr w14:val="tx1"/>
            </w14:solidFill>
          </w14:textFill>
        </w:rPr>
        <w:t>不可抗力使合同的某些内容有变更必要的，</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双方应通过协商达成进一步履行合同的协议，因不可抗力致使合同不能履行的，合同终止。</w:t>
      </w:r>
    </w:p>
    <w:p w14:paraId="1CDABF8A">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18.</w:t>
      </w:r>
      <w:r>
        <w:rPr>
          <w:rFonts w:ascii="宋体" w:hAnsi="宋体" w:cs="Arial"/>
          <w:b/>
          <w:bCs/>
          <w:color w:val="000000" w:themeColor="text1"/>
          <w:sz w:val="24"/>
          <w:lang w:val="zh-CN"/>
          <w14:textFill>
            <w14:solidFill>
              <w14:schemeClr w14:val="tx1"/>
            </w14:solidFill>
          </w14:textFill>
        </w:rPr>
        <w:t>税费</w:t>
      </w:r>
    </w:p>
    <w:p w14:paraId="5C9615D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与本合同有关的一切税费均由乙方承担。</w:t>
      </w:r>
    </w:p>
    <w:p w14:paraId="383D5E63">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19.</w:t>
      </w:r>
      <w:r>
        <w:rPr>
          <w:rFonts w:ascii="宋体" w:hAnsi="宋体" w:cs="Arial"/>
          <w:b/>
          <w:bCs/>
          <w:color w:val="000000" w:themeColor="text1"/>
          <w:sz w:val="24"/>
          <w:lang w:val="zh-CN"/>
          <w14:textFill>
            <w14:solidFill>
              <w14:schemeClr w14:val="tx1"/>
            </w14:solidFill>
          </w14:textFill>
        </w:rPr>
        <w:t>合同争议的解决</w:t>
      </w:r>
    </w:p>
    <w:p w14:paraId="50F8709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19.1</w:t>
      </w:r>
      <w:r>
        <w:rPr>
          <w:rFonts w:ascii="宋体" w:hAnsi="宋体" w:cs="Arial"/>
          <w:color w:val="000000" w:themeColor="text1"/>
          <w:sz w:val="24"/>
          <w:lang w:val="zh-CN"/>
          <w14:textFill>
            <w14:solidFill>
              <w14:schemeClr w14:val="tx1"/>
            </w14:solidFill>
          </w14:textFill>
        </w:rPr>
        <w:t>甲方和乙方由于本合同的履行而发生任何争议时，双方可先通过协商解决。</w:t>
      </w:r>
    </w:p>
    <w:p w14:paraId="6281B4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19.2</w:t>
      </w:r>
      <w:r>
        <w:rPr>
          <w:rFonts w:ascii="宋体" w:hAnsi="宋体" w:cs="Arial"/>
          <w:color w:val="000000" w:themeColor="text1"/>
          <w:sz w:val="24"/>
          <w:lang w:val="zh-CN"/>
          <w14:textFill>
            <w14:solidFill>
              <w14:schemeClr w14:val="tx1"/>
            </w14:solidFill>
          </w14:textFill>
        </w:rPr>
        <w:t>任何一方不愿通过协商或通过协商仍不能解决争议，则双方中任何一方均应向甲方所在地人民法院起诉。</w:t>
      </w:r>
    </w:p>
    <w:p w14:paraId="13B52C49">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20.</w:t>
      </w:r>
      <w:r>
        <w:rPr>
          <w:rFonts w:ascii="宋体" w:hAnsi="宋体" w:cs="Arial"/>
          <w:b/>
          <w:bCs/>
          <w:color w:val="000000" w:themeColor="text1"/>
          <w:sz w:val="24"/>
          <w:lang w:val="zh-CN"/>
          <w14:textFill>
            <w14:solidFill>
              <w14:schemeClr w14:val="tx1"/>
            </w14:solidFill>
          </w14:textFill>
        </w:rPr>
        <w:t>违约解除合同</w:t>
      </w:r>
    </w:p>
    <w:p w14:paraId="3700630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w:t>
      </w:r>
      <w:r>
        <w:rPr>
          <w:rFonts w:ascii="宋体" w:hAnsi="宋体" w:cs="Arial"/>
          <w:color w:val="000000" w:themeColor="text1"/>
          <w:sz w:val="24"/>
          <w:lang w:val="zh-CN"/>
          <w14:textFill>
            <w14:solidFill>
              <w14:schemeClr w14:val="tx1"/>
            </w14:solidFill>
          </w14:textFill>
        </w:rPr>
        <w:t>出现下列情形之一的，视为乙方违约。甲方可向乙方发出书面通知，部分或全部终止合同，同时保留向乙方索赔的权利。</w:t>
      </w:r>
    </w:p>
    <w:p w14:paraId="3216010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20.1.1</w:t>
      </w:r>
      <w:r>
        <w:rPr>
          <w:rFonts w:ascii="宋体" w:hAnsi="宋体" w:cs="Arial"/>
          <w:color w:val="000000" w:themeColor="text1"/>
          <w:sz w:val="24"/>
          <w:lang w:val="zh-CN"/>
          <w14:textFill>
            <w14:solidFill>
              <w14:schemeClr w14:val="tx1"/>
            </w14:solidFill>
          </w14:textFill>
        </w:rPr>
        <w:t>乙方未能在合同规定的限期或甲方同意延长的限期内，提供全部或部分货物的；</w:t>
      </w:r>
    </w:p>
    <w:p w14:paraId="76661C3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20.1.2</w:t>
      </w:r>
      <w:r>
        <w:rPr>
          <w:rFonts w:ascii="宋体" w:hAnsi="宋体" w:cs="Arial"/>
          <w:color w:val="000000" w:themeColor="text1"/>
          <w:sz w:val="24"/>
          <w:lang w:val="zh-CN"/>
          <w14:textFill>
            <w14:solidFill>
              <w14:schemeClr w14:val="tx1"/>
            </w14:solidFill>
          </w14:textFill>
        </w:rPr>
        <w:t>乙方未能履行合同规定的其它主要义务的；</w:t>
      </w:r>
    </w:p>
    <w:p w14:paraId="73DA974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20.1.3</w:t>
      </w:r>
      <w:r>
        <w:rPr>
          <w:rFonts w:ascii="宋体" w:hAnsi="宋体" w:cs="Arial"/>
          <w:color w:val="000000" w:themeColor="text1"/>
          <w:sz w:val="24"/>
          <w:lang w:val="zh-CN"/>
          <w14:textFill>
            <w14:solidFill>
              <w14:schemeClr w14:val="tx1"/>
            </w14:solidFill>
          </w14:textFill>
        </w:rPr>
        <w:t>乙方在本合同履行过程中有欺诈行为的。</w:t>
      </w:r>
    </w:p>
    <w:p w14:paraId="0A06D98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20.2</w:t>
      </w:r>
      <w:r>
        <w:rPr>
          <w:rFonts w:ascii="宋体" w:hAnsi="宋体" w:cs="Arial"/>
          <w:color w:val="000000" w:themeColor="text1"/>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5D843A">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21.</w:t>
      </w:r>
      <w:r>
        <w:rPr>
          <w:rFonts w:ascii="宋体" w:hAnsi="宋体" w:cs="Arial"/>
          <w:b/>
          <w:bCs/>
          <w:color w:val="000000" w:themeColor="text1"/>
          <w:sz w:val="24"/>
          <w:lang w:val="zh-CN"/>
          <w14:textFill>
            <w14:solidFill>
              <w14:schemeClr w14:val="tx1"/>
            </w14:solidFill>
          </w14:textFill>
        </w:rPr>
        <w:t>破产终止合同</w:t>
      </w:r>
    </w:p>
    <w:p w14:paraId="347B9B5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415C1B7">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22.</w:t>
      </w:r>
      <w:r>
        <w:rPr>
          <w:rFonts w:ascii="宋体" w:hAnsi="宋体" w:cs="Arial"/>
          <w:b/>
          <w:bCs/>
          <w:color w:val="000000" w:themeColor="text1"/>
          <w:sz w:val="24"/>
          <w:lang w:val="zh-CN"/>
          <w14:textFill>
            <w14:solidFill>
              <w14:schemeClr w14:val="tx1"/>
            </w14:solidFill>
          </w14:textFill>
        </w:rPr>
        <w:t>转让和分包</w:t>
      </w:r>
    </w:p>
    <w:p w14:paraId="343B047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22.1</w:t>
      </w:r>
      <w:r>
        <w:rPr>
          <w:rFonts w:ascii="宋体" w:hAnsi="宋体" w:cs="Arial"/>
          <w:color w:val="000000" w:themeColor="text1"/>
          <w:sz w:val="24"/>
          <w:lang w:val="zh-CN"/>
          <w14:textFill>
            <w14:solidFill>
              <w14:schemeClr w14:val="tx1"/>
            </w14:solidFill>
          </w14:textFill>
        </w:rPr>
        <w:t>政府采购合同不能转让。</w:t>
      </w:r>
    </w:p>
    <w:p w14:paraId="5581345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22.2</w:t>
      </w:r>
      <w:r>
        <w:rPr>
          <w:rFonts w:ascii="宋体" w:hAnsi="宋体" w:cs="Arial"/>
          <w:color w:val="000000" w:themeColor="text1"/>
          <w:sz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3022F8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23.</w:t>
      </w:r>
      <w:r>
        <w:rPr>
          <w:rFonts w:ascii="宋体" w:hAnsi="宋体" w:cs="Arial"/>
          <w:b/>
          <w:bCs/>
          <w:color w:val="000000" w:themeColor="text1"/>
          <w:sz w:val="24"/>
          <w:lang w:val="zh-CN"/>
          <w14:textFill>
            <w14:solidFill>
              <w14:schemeClr w14:val="tx1"/>
            </w14:solidFill>
          </w14:textFill>
        </w:rPr>
        <w:t>合同修改</w:t>
      </w:r>
    </w:p>
    <w:p w14:paraId="490E517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9891AE0">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24.</w:t>
      </w:r>
      <w:r>
        <w:rPr>
          <w:rFonts w:ascii="宋体" w:hAnsi="宋体" w:cs="Arial"/>
          <w:b/>
          <w:bCs/>
          <w:color w:val="000000" w:themeColor="text1"/>
          <w:sz w:val="24"/>
          <w:lang w:val="zh-CN"/>
          <w14:textFill>
            <w14:solidFill>
              <w14:schemeClr w14:val="tx1"/>
            </w14:solidFill>
          </w14:textFill>
        </w:rPr>
        <w:t>通知</w:t>
      </w:r>
    </w:p>
    <w:p w14:paraId="2FCEB45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本合同任何一方给另一方的通知，都应以书面形式发送，而另一方也应以书面形式确认并发送到对方明确的地址。</w:t>
      </w:r>
    </w:p>
    <w:p w14:paraId="517F9B0B">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25.</w:t>
      </w:r>
      <w:r>
        <w:rPr>
          <w:rFonts w:ascii="宋体" w:hAnsi="宋体" w:cs="Arial"/>
          <w:b/>
          <w:bCs/>
          <w:color w:val="000000" w:themeColor="text1"/>
          <w:sz w:val="24"/>
          <w:lang w:val="zh-CN"/>
          <w14:textFill>
            <w14:solidFill>
              <w14:schemeClr w14:val="tx1"/>
            </w14:solidFill>
          </w14:textFill>
        </w:rPr>
        <w:t>计量单位</w:t>
      </w:r>
    </w:p>
    <w:p w14:paraId="0B6C789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除技术规范中另有规定外</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计量单位均使用国家法定计量单位。</w:t>
      </w:r>
    </w:p>
    <w:p w14:paraId="0B3204EA">
      <w:pPr>
        <w:numPr>
          <w:ilvl w:val="0"/>
          <w:numId w:val="5"/>
        </w:numPr>
        <w:autoSpaceDE w:val="0"/>
        <w:autoSpaceDN w:val="0"/>
        <w:spacing w:line="360" w:lineRule="auto"/>
        <w:rPr>
          <w:rFonts w:ascii="宋体" w:hAnsi="宋体" w:cs="Arial"/>
          <w:b/>
          <w:bCs/>
          <w:color w:val="000000" w:themeColor="text1"/>
          <w:sz w:val="24"/>
          <w:lang w:val="zh-CN"/>
          <w14:textFill>
            <w14:solidFill>
              <w14:schemeClr w14:val="tx1"/>
            </w14:solidFill>
          </w14:textFill>
        </w:rPr>
      </w:pPr>
      <w:r>
        <w:rPr>
          <w:rFonts w:ascii="宋体" w:hAnsi="宋体" w:cs="Arial"/>
          <w:b/>
          <w:bCs/>
          <w:color w:val="000000" w:themeColor="text1"/>
          <w:sz w:val="24"/>
          <w:lang w:val="zh-CN"/>
          <w14:textFill>
            <w14:solidFill>
              <w14:schemeClr w14:val="tx1"/>
            </w14:solidFill>
          </w14:textFill>
        </w:rPr>
        <w:t>适用法律</w:t>
      </w:r>
      <w:bookmarkStart w:id="176" w:name="_Toc437511467"/>
    </w:p>
    <w:p w14:paraId="1452E7EC">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本合同按照中华人民共和国的相关法律进行解释。</w:t>
      </w:r>
      <w:bookmarkEnd w:id="176"/>
    </w:p>
    <w:p w14:paraId="4C90BD8E">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p>
    <w:p w14:paraId="783B4CBD">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p>
    <w:p w14:paraId="7B4AE684">
      <w:pPr>
        <w:pStyle w:val="2"/>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28"/>
          <w:sz w:val="36"/>
          <w:szCs w:val="20"/>
          <w:lang w:val="en-US" w:eastAsia="zh-CN" w:bidi="ar-SA"/>
          <w14:textFill>
            <w14:solidFill>
              <w14:schemeClr w14:val="tx1"/>
            </w14:solidFill>
          </w14:textFill>
        </w:rPr>
        <w:t>第五部分  响应文件格式</w:t>
      </w:r>
      <w:bookmarkEnd w:id="175"/>
    </w:p>
    <w:p w14:paraId="3E656A26">
      <w:pPr>
        <w:widowControl/>
        <w:snapToGrid w:val="0"/>
        <w:spacing w:line="360" w:lineRule="auto"/>
        <w:ind w:firstLine="0" w:firstLineChars="0"/>
        <w:outlineLvl w:val="1"/>
        <w:rPr>
          <w:rFonts w:hint="eastAsia" w:ascii="宋体" w:hAnsi="宋体" w:eastAsia="宋体" w:cs="宋体"/>
          <w:b/>
          <w:color w:val="000000" w:themeColor="text1"/>
          <w:kern w:val="28"/>
          <w:sz w:val="36"/>
          <w:szCs w:val="20"/>
          <w14:textFill>
            <w14:solidFill>
              <w14:schemeClr w14:val="tx1"/>
            </w14:solidFill>
          </w14:textFill>
        </w:rPr>
      </w:pPr>
      <w:bookmarkStart w:id="177" w:name="_Toc9848"/>
      <w:bookmarkStart w:id="178" w:name="_Toc16431"/>
      <w:bookmarkStart w:id="179" w:name="_Toc12676"/>
      <w:r>
        <w:rPr>
          <w:rFonts w:hint="eastAsia" w:ascii="宋体" w:hAnsi="宋体" w:eastAsia="宋体" w:cs="宋体"/>
          <w:b/>
          <w:color w:val="000000" w:themeColor="text1"/>
          <w:sz w:val="28"/>
          <w:szCs w:val="28"/>
          <w14:textFill>
            <w14:solidFill>
              <w14:schemeClr w14:val="tx1"/>
            </w14:solidFill>
          </w14:textFill>
        </w:rPr>
        <w:t>附件1：响应文件封面</w:t>
      </w:r>
      <w:bookmarkEnd w:id="177"/>
      <w:bookmarkEnd w:id="178"/>
      <w:bookmarkEnd w:id="179"/>
    </w:p>
    <w:p w14:paraId="776114C8">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1C5ADFB1">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3641357D">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37A32006">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14:paraId="24CFAC79">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35AE9F7C">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p>
    <w:p w14:paraId="5D616FA5">
      <w:pPr>
        <w:adjustRightInd w:val="0"/>
        <w:spacing w:line="360" w:lineRule="auto"/>
        <w:ind w:left="2530" w:hanging="2530" w:hangingChars="700"/>
        <w:textAlignment w:val="baseline"/>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p>
    <w:p w14:paraId="3E76187F">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717ED502">
      <w:pPr>
        <w:adjustRightInd w:val="0"/>
        <w:spacing w:line="360" w:lineRule="auto"/>
        <w:ind w:firstLine="0" w:firstLineChars="0"/>
        <w:textAlignment w:val="baseline"/>
        <w:rPr>
          <w:rFonts w:hint="eastAsia" w:ascii="宋体" w:hAnsi="宋体" w:eastAsia="宋体" w:cs="宋体"/>
          <w:b/>
          <w:color w:val="000000" w:themeColor="text1"/>
          <w:sz w:val="36"/>
          <w:szCs w:val="36"/>
          <w:lang w:val="en-US" w:eastAsia="zh-CN"/>
          <w14:textFill>
            <w14:solidFill>
              <w14:schemeClr w14:val="tx1"/>
            </w14:solidFill>
          </w14:textFill>
        </w:rPr>
      </w:pPr>
    </w:p>
    <w:p w14:paraId="5B5F06A4">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p>
    <w:p w14:paraId="6A169E04">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p>
    <w:p w14:paraId="0571B161">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b/>
          <w:color w:val="000000" w:themeColor="text1"/>
          <w:sz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0FE7FCC3">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b/>
          <w:color w:val="000000" w:themeColor="text1"/>
          <w:sz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925AA90">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 xml:space="preserve">年   月 </w:t>
      </w:r>
      <w:r>
        <w:rPr>
          <w:rFonts w:hint="eastAsia" w:ascii="宋体" w:hAnsi="宋体" w:eastAsia="宋体" w:cs="宋体"/>
          <w:b/>
          <w:color w:val="000000" w:themeColor="text1"/>
          <w:sz w:val="32"/>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 xml:space="preserve"> 日</w:t>
      </w:r>
    </w:p>
    <w:p w14:paraId="33334CC8">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1CCEB9C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bookmarkStart w:id="180" w:name="_Toc30269"/>
      <w:bookmarkStart w:id="181" w:name="_Toc17238"/>
      <w:bookmarkStart w:id="182" w:name="_Toc197"/>
      <w:r>
        <w:rPr>
          <w:rFonts w:hint="eastAsia" w:ascii="宋体" w:hAnsi="宋体" w:eastAsia="宋体" w:cs="宋体"/>
          <w:b/>
          <w:color w:val="000000" w:themeColor="text1"/>
          <w:sz w:val="24"/>
          <w:szCs w:val="24"/>
          <w14:textFill>
            <w14:solidFill>
              <w14:schemeClr w14:val="tx1"/>
            </w14:solidFill>
          </w14:textFill>
        </w:rPr>
        <w:t>附件2</w:t>
      </w:r>
      <w:bookmarkStart w:id="183" w:name="_Toc325726037"/>
      <w:bookmarkStart w:id="184" w:name="_Toc376936768"/>
      <w:r>
        <w:rPr>
          <w:rFonts w:hint="eastAsia" w:ascii="宋体" w:hAnsi="宋体" w:eastAsia="宋体" w:cs="宋体"/>
          <w:b/>
          <w:color w:val="000000" w:themeColor="text1"/>
          <w:sz w:val="24"/>
          <w:szCs w:val="24"/>
          <w14:textFill>
            <w14:solidFill>
              <w14:schemeClr w14:val="tx1"/>
            </w14:solidFill>
          </w14:textFill>
        </w:rPr>
        <w:t>：磋商函</w:t>
      </w:r>
      <w:bookmarkEnd w:id="180"/>
      <w:bookmarkEnd w:id="181"/>
      <w:bookmarkEnd w:id="182"/>
      <w:bookmarkEnd w:id="183"/>
      <w:bookmarkEnd w:id="184"/>
    </w:p>
    <w:p w14:paraId="106DB2B0">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7D0ACA8">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磋商函</w:t>
      </w:r>
    </w:p>
    <w:p w14:paraId="19BB0608">
      <w:pPr>
        <w:spacing w:line="36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46C0E743">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青海华景工程项目管理有限公司</w:t>
      </w:r>
    </w:p>
    <w:p w14:paraId="1AF61784">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4EE4F7F">
      <w:pPr>
        <w:spacing w:line="360" w:lineRule="auto"/>
        <w:ind w:firstLine="48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b/>
          <w:bCs/>
          <w:color w:val="000000" w:themeColor="text1"/>
          <w:sz w:val="24"/>
          <w:szCs w:val="24"/>
          <w:u w:val="single"/>
          <w:lang w:eastAsia="zh-CN"/>
          <w14:textFill>
            <w14:solidFill>
              <w14:schemeClr w14:val="tx1"/>
            </w14:solidFill>
          </w14:textFill>
        </w:rPr>
        <w:t>青海华景竞磋（服务）2025-009</w:t>
      </w:r>
      <w:r>
        <w:rPr>
          <w:rFonts w:hint="eastAsia" w:ascii="宋体" w:hAnsi="宋体" w:eastAsia="宋体" w:cs="宋体"/>
          <w:color w:val="000000" w:themeColor="text1"/>
          <w:sz w:val="24"/>
          <w:szCs w:val="24"/>
          <w14:textFill>
            <w14:solidFill>
              <w14:schemeClr w14:val="tx1"/>
            </w14:solidFill>
          </w14:textFill>
        </w:rPr>
        <w:t>磋商文件，经研究，法定代表人（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）提交响应文件。</w:t>
      </w:r>
    </w:p>
    <w:p w14:paraId="300D87B7">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41985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我方已详阅磋商文件的全部内容，包括澄清、修改条款等有关附件，承诺对其完全理解并接受。</w:t>
      </w:r>
    </w:p>
    <w:p w14:paraId="3EBCC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磋商有效期自磋商开始之日起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w:t>
      </w:r>
      <w:r>
        <w:rPr>
          <w:rFonts w:hint="eastAsia" w:ascii="宋体" w:hAnsi="宋体" w:eastAsia="宋体" w:cs="宋体"/>
          <w:color w:val="000000" w:themeColor="text1"/>
          <w:sz w:val="24"/>
          <w:szCs w:val="24"/>
          <w:lang w:eastAsia="zh-CN"/>
          <w14:textFill>
            <w14:solidFill>
              <w14:schemeClr w14:val="tx1"/>
            </w14:solidFill>
          </w14:textFill>
        </w:rPr>
        <w:t>内有效</w:t>
      </w:r>
      <w:r>
        <w:rPr>
          <w:rFonts w:hint="eastAsia" w:ascii="宋体" w:hAnsi="宋体" w:eastAsia="宋体" w:cs="宋体"/>
          <w:color w:val="000000" w:themeColor="text1"/>
          <w:sz w:val="24"/>
          <w:szCs w:val="24"/>
          <w14:textFill>
            <w14:solidFill>
              <w14:schemeClr w14:val="tx1"/>
            </w14:solidFill>
          </w14:textFill>
        </w:rPr>
        <w:t>。如果在规定的磋商时间后，我方在磋商有效期内撤回投标或成交后不签约的，磋商保证金将被贵方没收。</w:t>
      </w:r>
    </w:p>
    <w:p w14:paraId="3A5CF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我方同意按照贵方要求提供与磋商有关的一切数据或资料，理解并接受贵方制定的评标办法。</w:t>
      </w:r>
    </w:p>
    <w:p w14:paraId="3751E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与本磋商有关的一切正式往来通讯请寄：</w:t>
      </w:r>
    </w:p>
    <w:p w14:paraId="52A76CA5">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14:paraId="3D7563C2">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14:paraId="1E7BA37D">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 ___________ 职务：____________</w:t>
      </w:r>
    </w:p>
    <w:p w14:paraId="36DC3BF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2B88802B">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C08F19A">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BA78F42">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0ED088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8B1AF58">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51F28CB9">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7A00B4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bookmarkStart w:id="185" w:name="_Toc31069"/>
      <w:bookmarkStart w:id="186" w:name="_Toc26950"/>
      <w:bookmarkStart w:id="187" w:name="_Toc26652"/>
      <w:r>
        <w:rPr>
          <w:rFonts w:hint="eastAsia" w:ascii="宋体" w:hAnsi="宋体" w:eastAsia="宋体" w:cs="宋体"/>
          <w:b/>
          <w:color w:val="000000" w:themeColor="text1"/>
          <w:sz w:val="24"/>
          <w:szCs w:val="24"/>
          <w14:textFill>
            <w14:solidFill>
              <w14:schemeClr w14:val="tx1"/>
            </w14:solidFill>
          </w14:textFill>
        </w:rPr>
        <w:t>附件3</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投标报价一览表</w:t>
      </w:r>
      <w:bookmarkEnd w:id="185"/>
      <w:bookmarkEnd w:id="186"/>
      <w:bookmarkEnd w:id="187"/>
    </w:p>
    <w:p w14:paraId="564B290F">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0E715CE1">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14:paraId="7561ECB6">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4"/>
        <w:gridCol w:w="6163"/>
      </w:tblGrid>
      <w:tr w14:paraId="7294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39D1C083">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6163" w:type="dxa"/>
            <w:vAlign w:val="center"/>
          </w:tcPr>
          <w:p w14:paraId="66C30871">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6050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000554F9">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163" w:type="dxa"/>
            <w:vAlign w:val="center"/>
          </w:tcPr>
          <w:p w14:paraId="21EF19D7">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344E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1C02A4E5">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6163" w:type="dxa"/>
            <w:vAlign w:val="center"/>
          </w:tcPr>
          <w:p w14:paraId="1130F13F">
            <w:pPr>
              <w:pStyle w:val="6"/>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p>
        </w:tc>
      </w:tr>
      <w:tr w14:paraId="70E1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452CE8D4">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服务期限</w:t>
            </w:r>
          </w:p>
        </w:tc>
        <w:tc>
          <w:tcPr>
            <w:tcW w:w="6163" w:type="dxa"/>
            <w:vAlign w:val="center"/>
          </w:tcPr>
          <w:p w14:paraId="408704EE">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032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3E9116E5">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val="zh-CN"/>
                <w14:textFill>
                  <w14:solidFill>
                    <w14:schemeClr w14:val="tx1"/>
                  </w14:solidFill>
                </w14:textFill>
              </w:rPr>
              <w:t>：</w:t>
            </w:r>
          </w:p>
          <w:p w14:paraId="732D3AD8">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1BE14DBC">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464414D8">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45CCBAE5">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0A59F7CA">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r>
    </w:tbl>
    <w:p w14:paraId="62775BBC">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4117F36">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63DB018">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3CEDAD5">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94157AC">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E83BF73">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6372CE4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9CE548E">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88" w:name="_Toc14675"/>
      <w:bookmarkStart w:id="189" w:name="_Toc13693"/>
      <w:bookmarkStart w:id="190" w:name="_Toc21294"/>
      <w:r>
        <w:rPr>
          <w:rFonts w:hint="eastAsia" w:ascii="宋体" w:hAnsi="宋体" w:eastAsia="宋体" w:cs="宋体"/>
          <w:b/>
          <w:color w:val="000000" w:themeColor="text1"/>
          <w:sz w:val="24"/>
          <w:szCs w:val="24"/>
          <w14:textFill>
            <w14:solidFill>
              <w14:schemeClr w14:val="tx1"/>
            </w14:solidFill>
          </w14:textFill>
        </w:rPr>
        <w:t>附件</w:t>
      </w:r>
      <w:bookmarkStart w:id="191" w:name="_Toc325726043"/>
      <w:bookmarkStart w:id="192" w:name="_Toc376936774"/>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：法定代表人证明书</w:t>
      </w:r>
      <w:bookmarkEnd w:id="188"/>
      <w:bookmarkEnd w:id="189"/>
      <w:bookmarkEnd w:id="190"/>
      <w:bookmarkEnd w:id="191"/>
      <w:bookmarkEnd w:id="192"/>
    </w:p>
    <w:p w14:paraId="5EA5F506">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p>
    <w:p w14:paraId="77D35089">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14:paraId="6D287FC8">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60CE64A0">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7AD3ACC9">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75447207">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14:paraId="04B89A38">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6BF3556B">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14:paraId="5B2EE3B0">
      <w:pPr>
        <w:autoSpaceDE w:val="0"/>
        <w:autoSpaceDN w:val="0"/>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63C117A4">
      <w:pPr>
        <w:autoSpaceDE w:val="0"/>
        <w:autoSpaceDN w:val="0"/>
        <w:spacing w:line="360" w:lineRule="auto"/>
        <w:ind w:firstLine="0" w:firstLineChars="0"/>
        <w:jc w:val="lef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3EA94A24">
      <w:pPr>
        <w:autoSpaceDE w:val="0"/>
        <w:autoSpaceDN w:val="0"/>
        <w:spacing w:line="360" w:lineRule="auto"/>
        <w:ind w:firstLine="0" w:firstLineChars="0"/>
        <w:jc w:val="lef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2DE92547">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附法定代表人第二代身份证双面扫描件</w:t>
      </w:r>
    </w:p>
    <w:p w14:paraId="1B769E5F">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2EA77340">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5322B8CE">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7EED2AC4">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2D0A1F5C">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0CCE09E5">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54CB279C">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93" w:name="_Toc324756736"/>
      <w:bookmarkStart w:id="194" w:name="_Toc201287639"/>
      <w:bookmarkStart w:id="195" w:name="_Toc18944"/>
      <w:bookmarkStart w:id="196" w:name="_Toc31614"/>
      <w:bookmarkStart w:id="197" w:name="_Toc29201"/>
      <w:r>
        <w:rPr>
          <w:rFonts w:hint="eastAsia" w:ascii="宋体" w:hAnsi="宋体" w:eastAsia="宋体" w:cs="宋体"/>
          <w:b/>
          <w:color w:val="000000" w:themeColor="text1"/>
          <w:sz w:val="24"/>
          <w:szCs w:val="24"/>
          <w14:textFill>
            <w14:solidFill>
              <w14:schemeClr w14:val="tx1"/>
            </w14:solidFill>
          </w14:textFill>
        </w:rPr>
        <w:t>附件</w:t>
      </w:r>
      <w:bookmarkEnd w:id="193"/>
      <w:bookmarkEnd w:id="194"/>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：法定代表人授权书</w:t>
      </w:r>
      <w:bookmarkEnd w:id="195"/>
      <w:bookmarkEnd w:id="196"/>
      <w:bookmarkEnd w:id="197"/>
    </w:p>
    <w:p w14:paraId="49D91356">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4BA7D2E7">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14:paraId="137C29F6">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0EE69AEE">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2F2A33FC">
      <w:pPr>
        <w:spacing w:line="360" w:lineRule="auto"/>
        <w:ind w:firstLine="0" w:firstLineChars="0"/>
        <w:rPr>
          <w:rFonts w:hint="eastAsia" w:ascii="宋体" w:hAnsi="宋体" w:eastAsia="宋体" w:cs="宋体"/>
          <w:color w:val="000000" w:themeColor="text1"/>
          <w:sz w:val="24"/>
          <w:szCs w:val="24"/>
          <w:u w:val="single"/>
          <w14:textFill>
            <w14:solidFill>
              <w14:schemeClr w14:val="tx1"/>
            </w14:solidFill>
          </w14:textFill>
        </w:rPr>
      </w:pPr>
    </w:p>
    <w:p w14:paraId="7169F4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p>
    <w:p w14:paraId="7C09498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14:paraId="39B8F59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14:paraId="61DD45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在撤销授权的书面通知以前，本授权书一直有效，被授权人签署的所有文件不因授权的撤销而失效。</w:t>
      </w:r>
    </w:p>
    <w:p w14:paraId="2967E05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07D0653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8F93F9C">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7E07A00">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C79FBB4">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被授权人（委托代理人）签字：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授权人（法定代表人）签字：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5EDDFDE2">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312FFDD5">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附被授权人第二代身份证双面扫描件</w:t>
      </w:r>
    </w:p>
    <w:p w14:paraId="421A2DE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58BD7C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2B2C6466">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7EB59500">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1D514F0">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4463C5E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707FD8B">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98" w:name="_Toc30284"/>
      <w:bookmarkStart w:id="199" w:name="_Toc28439"/>
      <w:bookmarkStart w:id="200" w:name="_Toc25884"/>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：供应商承诺函</w:t>
      </w:r>
      <w:bookmarkEnd w:id="198"/>
      <w:bookmarkEnd w:id="199"/>
      <w:bookmarkEnd w:id="200"/>
    </w:p>
    <w:p w14:paraId="3C70793A">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p>
    <w:p w14:paraId="3E80B752">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14:paraId="0D24D603">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52BDF9C8">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70331504">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w:t>
      </w:r>
      <w:r>
        <w:rPr>
          <w:rFonts w:hint="eastAsia" w:ascii="宋体" w:hAnsi="宋体" w:eastAsia="宋体" w:cs="宋体"/>
          <w:color w:val="000000" w:themeColor="text1"/>
          <w:sz w:val="24"/>
          <w:szCs w:val="24"/>
          <w:lang w:eastAsia="zh-CN"/>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eastAsia="zh-CN"/>
          <w14:textFill>
            <w14:solidFill>
              <w14:schemeClr w14:val="tx1"/>
            </w14:solidFill>
          </w14:textFill>
        </w:rPr>
        <w:t>青海华景竞磋（服务）2025-009</w:t>
      </w:r>
      <w:r>
        <w:rPr>
          <w:rFonts w:hint="eastAsia" w:ascii="宋体" w:hAnsi="宋体" w:eastAsia="宋体" w:cs="宋体"/>
          <w:color w:val="000000" w:themeColor="text1"/>
          <w:sz w:val="24"/>
          <w:szCs w:val="24"/>
          <w14:textFill>
            <w14:solidFill>
              <w14:schemeClr w14:val="tx1"/>
            </w14:solidFill>
          </w14:textFill>
        </w:rPr>
        <w:t>采购项目，本签字人愿意参加磋商，提供</w:t>
      </w:r>
      <w:r>
        <w:rPr>
          <w:rFonts w:hint="eastAsia" w:ascii="宋体" w:hAnsi="宋体" w:eastAsia="宋体" w:cs="宋体"/>
          <w:color w:val="000000" w:themeColor="text1"/>
          <w:sz w:val="24"/>
          <w:szCs w:val="24"/>
          <w:lang w:eastAsia="zh-CN"/>
          <w14:textFill>
            <w14:solidFill>
              <w14:schemeClr w14:val="tx1"/>
            </w14:solidFill>
          </w14:textFill>
        </w:rPr>
        <w:t>采购项目要求</w:t>
      </w:r>
      <w:r>
        <w:rPr>
          <w:rFonts w:hint="eastAsia" w:ascii="宋体" w:hAnsi="宋体" w:eastAsia="宋体" w:cs="宋体"/>
          <w:color w:val="000000" w:themeColor="text1"/>
          <w:sz w:val="24"/>
          <w:szCs w:val="24"/>
          <w14:textFill>
            <w14:solidFill>
              <w14:schemeClr w14:val="tx1"/>
            </w14:solidFill>
          </w14:textFill>
        </w:rPr>
        <w:t>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14:paraId="3338A75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完全理解和接受磋商文件的一切规定和要求；</w:t>
      </w:r>
    </w:p>
    <w:p w14:paraId="7557256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BE12EE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在整个磋商过程中我方若有违规行为，贵方可按磋商文件之规定给予处罚，我方完全接受。</w:t>
      </w:r>
    </w:p>
    <w:p w14:paraId="171A8B0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.若成交，本承诺中明确的具体内容将成为合同不可分割的一部分，与合同具有同等的法律效力。</w:t>
      </w:r>
    </w:p>
    <w:p w14:paraId="0B3549E2">
      <w:pPr>
        <w:spacing w:line="360" w:lineRule="auto"/>
        <w:ind w:firstLine="0" w:firstLineChars="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p>
    <w:p w14:paraId="4D106F30">
      <w:pPr>
        <w:pStyle w:val="8"/>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p>
    <w:p w14:paraId="64D7774D">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1F4AF127">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2580A62">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698F1000">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7246FFA6">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5F01F60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82BE447">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01" w:name="_Toc11349"/>
      <w:bookmarkStart w:id="202" w:name="_Toc10912"/>
      <w:bookmarkStart w:id="203" w:name="_Toc11173"/>
      <w:r>
        <w:rPr>
          <w:rFonts w:hint="eastAsia" w:ascii="宋体" w:hAnsi="宋体" w:eastAsia="宋体" w:cs="宋体"/>
          <w:b/>
          <w:color w:val="000000" w:themeColor="text1"/>
          <w:sz w:val="24"/>
          <w:szCs w:val="24"/>
          <w14:textFill>
            <w14:solidFill>
              <w14:schemeClr w14:val="tx1"/>
            </w14:solidFill>
          </w14:textFill>
        </w:rPr>
        <w:t>附件</w:t>
      </w:r>
      <w:bookmarkStart w:id="204" w:name="_Toc351475542"/>
      <w:bookmarkStart w:id="205" w:name="_Toc376936779"/>
      <w:bookmarkStart w:id="206" w:name="_Toc365019584"/>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：供应商诚信承诺书</w:t>
      </w:r>
      <w:bookmarkEnd w:id="201"/>
      <w:bookmarkEnd w:id="202"/>
      <w:bookmarkEnd w:id="203"/>
      <w:bookmarkEnd w:id="204"/>
      <w:bookmarkEnd w:id="205"/>
      <w:bookmarkEnd w:id="206"/>
    </w:p>
    <w:p w14:paraId="5C6A0AC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AD4ADF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14:paraId="45745D6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09ED4C60">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451795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14:paraId="06AAEAB9">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自觉遵守各项法律、法规、规章、制度以及社会公德，维护廉洁环境，与同场竞争的供应商平等参加政府采购活动。</w:t>
      </w:r>
    </w:p>
    <w:p w14:paraId="76E6592B">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lang w:eastAsia="zh-CN"/>
          <w14:textFill>
            <w14:solidFill>
              <w14:schemeClr w14:val="tx1"/>
            </w14:solidFill>
          </w14:textFill>
        </w:rPr>
        <w:t>青海华景工程项目管理有限公司</w:t>
      </w:r>
      <w:r>
        <w:rPr>
          <w:rFonts w:hint="eastAsia" w:ascii="宋体" w:hAnsi="宋体" w:eastAsia="宋体" w:cs="宋体"/>
          <w:color w:val="000000" w:themeColor="text1"/>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353C9F93">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尊重参与政府采购活动各相关方的合法行为，接受政府采购活动依法形成的意见、结果。</w:t>
      </w:r>
    </w:p>
    <w:p w14:paraId="6640AA85">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依法参加政府采购活动，不围标、串标，维护市场秩序，不提供“三无”产品、以次充好。</w:t>
      </w:r>
    </w:p>
    <w:p w14:paraId="2C57FB92">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18CB80A6">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认真履行成交供应商应承担的责任和义务，全面执行采购合同规定的各项内容，保质保量地按时提供采购物品。</w:t>
      </w:r>
    </w:p>
    <w:p w14:paraId="3C7265A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6B57D7A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14:paraId="71D90DD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C6748B8">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166EE33A">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49728A59">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F2AFA6D">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16DFE7F">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7E884696">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B40C480">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07" w:name="_Toc7486"/>
      <w:bookmarkStart w:id="208" w:name="_Toc24905"/>
      <w:bookmarkStart w:id="209" w:name="_Toc25993"/>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：资格证明材料</w:t>
      </w:r>
      <w:bookmarkEnd w:id="207"/>
      <w:bookmarkEnd w:id="208"/>
      <w:bookmarkEnd w:id="209"/>
    </w:p>
    <w:p w14:paraId="1130F3F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1D670CD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14:paraId="0DCDAC0B">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072C4336">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14:paraId="0F0F385D">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8CCDD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2C99A88">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2.磋商</w:t>
      </w:r>
      <w:r>
        <w:rPr>
          <w:rFonts w:hint="eastAsia" w:ascii="宋体" w:hAnsi="宋体" w:eastAsia="宋体" w:cs="宋体"/>
          <w:color w:val="000000" w:themeColor="text1"/>
          <w:sz w:val="24"/>
          <w:szCs w:val="24"/>
          <w14:textFill>
            <w14:solidFill>
              <w14:schemeClr w14:val="tx1"/>
            </w14:solidFill>
          </w14:textFill>
        </w:rPr>
        <w:t>文件规定的有关资格证书、许可证书、认证等；</w:t>
      </w:r>
    </w:p>
    <w:p w14:paraId="2315864B">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w:t>
      </w:r>
      <w:r>
        <w:rPr>
          <w:rFonts w:hint="eastAsia" w:ascii="宋体" w:hAnsi="宋体" w:eastAsia="宋体" w:cs="宋体"/>
          <w:color w:val="000000" w:themeColor="text1"/>
          <w:sz w:val="24"/>
          <w:szCs w:val="24"/>
          <w14:textFill>
            <w14:solidFill>
              <w14:schemeClr w14:val="tx1"/>
            </w14:solidFill>
          </w14:textFill>
        </w:rPr>
        <w:t>认为有必要提供的其他资格证明文件。</w:t>
      </w:r>
    </w:p>
    <w:p w14:paraId="51956822">
      <w:pPr>
        <w:wordWrap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1B3CA66">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0" w:name="_Toc32130"/>
      <w:bookmarkStart w:id="211" w:name="_Toc19128"/>
      <w:bookmarkStart w:id="212" w:name="_Toc1139"/>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：财务状况证明</w:t>
      </w:r>
      <w:bookmarkEnd w:id="210"/>
      <w:bookmarkEnd w:id="211"/>
      <w:bookmarkEnd w:id="212"/>
    </w:p>
    <w:p w14:paraId="5631ABB9">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p>
    <w:p w14:paraId="4A3D9A15">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14:paraId="67CA0936">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p>
    <w:p w14:paraId="080AA496">
      <w:pPr>
        <w:wordWrap w:val="0"/>
        <w:spacing w:line="360" w:lineRule="auto"/>
        <w:ind w:firstLine="48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按照磋商文件“第一部分  投标邀请”各包供应商资格要求</w:t>
      </w:r>
      <w:r>
        <w:rPr>
          <w:rFonts w:hint="eastAsia" w:ascii="宋体" w:hAnsi="宋体" w:eastAsia="宋体" w:cs="宋体"/>
          <w:color w:val="000000" w:themeColor="text1"/>
          <w:sz w:val="24"/>
          <w:lang w:val="zh-CN"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中第（</w:t>
      </w:r>
      <w:r>
        <w:rPr>
          <w:rFonts w:hint="eastAsia" w:ascii="宋体" w:hAnsi="宋体" w:eastAsia="宋体" w:cs="宋体"/>
          <w:color w:val="000000" w:themeColor="text1"/>
          <w:sz w:val="24"/>
          <w:lang w:val="zh-CN" w:eastAsia="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）条规定提供以下相关材料</w:t>
      </w:r>
      <w:r>
        <w:rPr>
          <w:rFonts w:hint="eastAsia" w:ascii="宋体" w:hAnsi="宋体" w:eastAsia="宋体" w:cs="宋体"/>
          <w:color w:val="000000" w:themeColor="text1"/>
          <w:sz w:val="24"/>
          <w:lang w:val="zh-CN" w:eastAsia="zh-CN"/>
          <w14:textFill>
            <w14:solidFill>
              <w14:schemeClr w14:val="tx1"/>
            </w14:solidFill>
          </w14:textFill>
        </w:rPr>
        <w:t>：</w:t>
      </w:r>
    </w:p>
    <w:p w14:paraId="50487BE3">
      <w:pPr>
        <w:wordWrap w:val="0"/>
        <w:spacing w:line="360" w:lineRule="auto"/>
        <w:ind w:left="0" w:leftChars="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是法人的，提供基本开户银行近三个月内出具的资信证明（同时提供基本存款账户</w:t>
      </w:r>
      <w:r>
        <w:rPr>
          <w:rFonts w:hint="eastAsia" w:ascii="宋体" w:hAnsi="宋体" w:eastAsia="宋体" w:cs="宋体"/>
          <w:color w:val="000000" w:themeColor="text1"/>
          <w:sz w:val="24"/>
          <w:lang w:val="zh-CN" w:eastAsia="zh-CN"/>
          <w14:textFill>
            <w14:solidFill>
              <w14:schemeClr w14:val="tx1"/>
            </w14:solidFill>
          </w14:textFill>
        </w:rPr>
        <w:t>信息</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2023年或</w:t>
      </w:r>
      <w:r>
        <w:rPr>
          <w:rFonts w:hint="eastAsia" w:ascii="宋体" w:hAnsi="宋体" w:eastAsia="宋体" w:cs="宋体"/>
          <w:color w:val="000000" w:themeColor="text1"/>
          <w:sz w:val="24"/>
          <w:lang w:val="zh-CN"/>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24</w:t>
      </w:r>
      <w:r>
        <w:rPr>
          <w:rFonts w:hint="eastAsia" w:ascii="宋体" w:hAnsi="宋体" w:eastAsia="宋体" w:cs="宋体"/>
          <w:color w:val="000000" w:themeColor="text1"/>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是其他组织和自然人，没有经审计的财务报告，可以提供基本开户银行出具的资信证明（同时提供基本存款账户</w:t>
      </w:r>
      <w:r>
        <w:rPr>
          <w:rFonts w:hint="eastAsia" w:ascii="宋体" w:hAnsi="宋体" w:eastAsia="宋体" w:cs="宋体"/>
          <w:color w:val="000000" w:themeColor="text1"/>
          <w:sz w:val="24"/>
          <w:lang w:val="zh-CN" w:eastAsia="zh-CN"/>
          <w14:textFill>
            <w14:solidFill>
              <w14:schemeClr w14:val="tx1"/>
            </w14:solidFill>
          </w14:textFill>
        </w:rPr>
        <w:t>信息</w:t>
      </w:r>
      <w:r>
        <w:rPr>
          <w:rFonts w:hint="eastAsia" w:ascii="宋体" w:hAnsi="宋体" w:eastAsia="宋体" w:cs="宋体"/>
          <w:color w:val="000000" w:themeColor="text1"/>
          <w:sz w:val="24"/>
          <w:lang w:val="zh-CN"/>
          <w14:textFill>
            <w14:solidFill>
              <w14:schemeClr w14:val="tx1"/>
            </w14:solidFill>
          </w14:textFill>
        </w:rPr>
        <w:t>）。</w:t>
      </w:r>
    </w:p>
    <w:p w14:paraId="524F18B3">
      <w:pPr>
        <w:wordWrap w:val="0"/>
        <w:spacing w:line="360" w:lineRule="auto"/>
        <w:ind w:left="0" w:leftChars="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lang w:val="zh-CN"/>
          <w14:textFill>
            <w14:solidFill>
              <w14:schemeClr w14:val="tx1"/>
            </w14:solidFill>
          </w14:textFill>
        </w:rPr>
        <w:t>年内</w:t>
      </w:r>
      <w:r>
        <w:rPr>
          <w:rFonts w:hint="eastAsia" w:ascii="宋体" w:hAnsi="宋体" w:eastAsia="宋体" w:cs="宋体"/>
          <w:color w:val="000000" w:themeColor="text1"/>
          <w:sz w:val="24"/>
          <w:lang w:val="en-US" w:eastAsia="zh-CN"/>
          <w14:textFill>
            <w14:solidFill>
              <w14:schemeClr w14:val="tx1"/>
            </w14:solidFill>
          </w14:textFill>
        </w:rPr>
        <w:t>任意1个月的</w:t>
      </w:r>
      <w:r>
        <w:rPr>
          <w:rFonts w:hint="eastAsia" w:ascii="宋体" w:hAnsi="宋体" w:eastAsia="宋体" w:cs="宋体"/>
          <w:color w:val="000000" w:themeColor="text1"/>
          <w:sz w:val="24"/>
          <w:lang w:val="zh-CN"/>
          <w14:textFill>
            <w14:solidFill>
              <w14:schemeClr w14:val="tx1"/>
            </w14:solidFill>
          </w14:textFill>
        </w:rPr>
        <w:t>依法缴纳税收和社会保障资金记录的证明材料；依法免税或不需要缴纳社会保障资金的</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须提供相应文件证明其依法免税或不需要缴纳社会保障资金。</w:t>
      </w:r>
    </w:p>
    <w:p w14:paraId="0F1750CC">
      <w:pPr>
        <w:pStyle w:val="15"/>
        <w:rPr>
          <w:rFonts w:hint="eastAsia" w:ascii="宋体" w:hAnsi="宋体" w:eastAsia="宋体" w:cs="宋体"/>
          <w:color w:val="000000" w:themeColor="text1"/>
          <w:lang w:val="zh-CN"/>
          <w14:textFill>
            <w14:solidFill>
              <w14:schemeClr w14:val="tx1"/>
            </w14:solidFill>
          </w14:textFill>
        </w:rPr>
      </w:pPr>
    </w:p>
    <w:p w14:paraId="5742EB9B">
      <w:pPr>
        <w:wordWrap w:val="0"/>
        <w:spacing w:line="360" w:lineRule="auto"/>
        <w:ind w:firstLine="48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br w:type="page"/>
      </w:r>
    </w:p>
    <w:p w14:paraId="0B690E4A">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3" w:name="_Toc31927"/>
      <w:bookmarkStart w:id="214" w:name="_Toc27149"/>
      <w:bookmarkStart w:id="215" w:name="_Toc23114"/>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bookmarkEnd w:id="213"/>
    </w:p>
    <w:p w14:paraId="138B1526">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p>
    <w:p w14:paraId="6EC7279B">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1AD8169E">
      <w:pPr>
        <w:autoSpaceDE w:val="0"/>
        <w:autoSpaceDN w:val="0"/>
        <w:spacing w:line="360" w:lineRule="auto"/>
        <w:ind w:firstLine="482"/>
        <w:rPr>
          <w:rFonts w:hint="eastAsia" w:ascii="宋体" w:hAnsi="宋体" w:eastAsia="宋体" w:cs="宋体"/>
          <w:b/>
          <w:color w:val="000000" w:themeColor="text1"/>
          <w:sz w:val="24"/>
          <w:szCs w:val="24"/>
          <w:lang w:val="zh-CN"/>
          <w14:textFill>
            <w14:solidFill>
              <w14:schemeClr w14:val="tx1"/>
            </w14:solidFill>
          </w14:textFill>
        </w:rPr>
      </w:pPr>
    </w:p>
    <w:p w14:paraId="573A0512">
      <w:pPr>
        <w:autoSpaceDE w:val="0"/>
        <w:autoSpaceDN w:val="0"/>
        <w:spacing w:line="360" w:lineRule="auto"/>
        <w:ind w:firstLine="48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000000" w:themeColor="text1"/>
          <w:kern w:val="0"/>
          <w:sz w:val="24"/>
          <w:szCs w:val="24"/>
          <w:lang w:val="en-US" w:eastAsia="zh-CN"/>
          <w14:textFill>
            <w14:solidFill>
              <w14:schemeClr w14:val="tx1"/>
            </w14:solidFill>
          </w14:textFill>
        </w:rPr>
        <w:t>或</w:t>
      </w:r>
      <w:r>
        <w:rPr>
          <w:rFonts w:hint="eastAsia" w:ascii="宋体" w:hAnsi="宋体" w:eastAsia="宋体" w:cs="宋体"/>
          <w:color w:val="000000" w:themeColor="text1"/>
          <w:kern w:val="0"/>
          <w:sz w:val="24"/>
          <w:szCs w:val="24"/>
          <w:lang w:val="zh-CN"/>
          <w14:textFill>
            <w14:solidFill>
              <w14:schemeClr w14:val="tx1"/>
            </w14:solidFill>
          </w14:textFill>
        </w:rPr>
        <w:t>用工合同等证明材料。</w:t>
      </w:r>
    </w:p>
    <w:p w14:paraId="652CE883">
      <w:pPr>
        <w:ind w:firstLine="0" w:firstLineChars="0"/>
        <w:rPr>
          <w:rFonts w:hint="eastAsia" w:ascii="宋体" w:hAnsi="宋体" w:eastAsia="宋体" w:cs="宋体"/>
          <w:b/>
          <w:color w:val="000000" w:themeColor="text1"/>
          <w:sz w:val="24"/>
          <w:szCs w:val="24"/>
          <w14:textFill>
            <w14:solidFill>
              <w14:schemeClr w14:val="tx1"/>
            </w14:solidFill>
          </w14:textFill>
        </w:rPr>
      </w:pPr>
    </w:p>
    <w:p w14:paraId="001CFF6B">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6" w:name="_Toc2319"/>
      <w:r>
        <w:rPr>
          <w:rFonts w:hint="eastAsia" w:ascii="宋体" w:hAnsi="宋体" w:eastAsia="宋体" w:cs="宋体"/>
          <w:b/>
          <w:color w:val="000000" w:themeColor="text1"/>
          <w:sz w:val="24"/>
          <w:szCs w:val="24"/>
          <w14:textFill>
            <w14:solidFill>
              <w14:schemeClr w14:val="tx1"/>
            </w14:solidFill>
          </w14:textFill>
        </w:rPr>
        <w:t>附件</w:t>
      </w:r>
      <w:bookmarkStart w:id="217" w:name="_Toc376936781"/>
      <w:bookmarkStart w:id="218" w:name="_Toc325726049"/>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bookmarkEnd w:id="217"/>
      <w:bookmarkEnd w:id="218"/>
      <w:r>
        <w:rPr>
          <w:rFonts w:hint="eastAsia" w:ascii="宋体" w:hAnsi="宋体" w:eastAsia="宋体" w:cs="宋体"/>
          <w:b/>
          <w:color w:val="000000" w:themeColor="text1"/>
          <w:sz w:val="24"/>
          <w:szCs w:val="24"/>
          <w14:textFill>
            <w14:solidFill>
              <w14:schemeClr w14:val="tx1"/>
            </w14:solidFill>
          </w14:textFill>
        </w:rPr>
        <w:t>无重大违法记录声明</w:t>
      </w:r>
      <w:bookmarkEnd w:id="214"/>
      <w:bookmarkEnd w:id="215"/>
      <w:bookmarkEnd w:id="216"/>
    </w:p>
    <w:p w14:paraId="26523D6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779EDC44">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14:paraId="6C99D211">
      <w:pPr>
        <w:spacing w:line="360" w:lineRule="auto"/>
        <w:ind w:firstLine="482"/>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青海华景工程项目管理有限公司</w:t>
      </w:r>
    </w:p>
    <w:p w14:paraId="31A352F0">
      <w:pPr>
        <w:spacing w:line="360" w:lineRule="auto"/>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sz w:val="24"/>
          <w:szCs w:val="24"/>
          <w:shd w:val="clear" w:color="auto" w:fill="FFFFFF"/>
          <w14:textFill>
            <w14:solidFill>
              <w14:schemeClr w14:val="tx1"/>
            </w14:solidFill>
          </w14:textFill>
        </w:rPr>
        <w:t>件。我方对此声明负全部法律责任。</w:t>
      </w:r>
    </w:p>
    <w:p w14:paraId="34488433">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7F274148">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39D56BA0">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14625667">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4F045496">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7AFE1B8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348DB6F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74D3D218">
      <w:pPr>
        <w:wordWrap w:val="0"/>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5DA4853D">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9" w:name="_Toc24531"/>
      <w:bookmarkStart w:id="220" w:name="_Toc22957"/>
      <w:bookmarkStart w:id="221" w:name="_Toc30027"/>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：磋商保证金</w:t>
      </w:r>
      <w:bookmarkEnd w:id="219"/>
      <w:bookmarkEnd w:id="220"/>
      <w:bookmarkEnd w:id="221"/>
    </w:p>
    <w:p w14:paraId="40B3C2CE">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7312E1C1">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p w14:paraId="6E6E2A7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13BEDA31">
      <w:pPr>
        <w:wordWrap w:val="0"/>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附</w:t>
      </w:r>
      <w:r>
        <w:rPr>
          <w:rFonts w:hint="eastAsia" w:ascii="宋体" w:hAnsi="宋体" w:eastAsia="宋体" w:cs="宋体"/>
          <w:bCs/>
          <w:color w:val="000000" w:themeColor="text1"/>
          <w:sz w:val="24"/>
          <w:szCs w:val="24"/>
          <w14:textFill>
            <w14:solidFill>
              <w14:schemeClr w14:val="tx1"/>
            </w14:solidFill>
          </w14:textFill>
        </w:rPr>
        <w:t>银行开具的针对本项目投标的磋商保证金交款证明扫描件。</w:t>
      </w:r>
    </w:p>
    <w:p w14:paraId="2FEB6092">
      <w:pPr>
        <w:keepNext/>
        <w:pageBreakBefore/>
        <w:widowControl/>
        <w:spacing w:line="360" w:lineRule="auto"/>
        <w:ind w:firstLine="0" w:firstLineChars="0"/>
        <w:jc w:val="left"/>
        <w:outlineLvl w:val="1"/>
        <w:rPr>
          <w:rFonts w:hint="eastAsia" w:ascii="宋体" w:hAnsi="宋体" w:eastAsia="宋体" w:cs="宋体"/>
          <w:b/>
          <w:bCs/>
          <w:color w:val="000000" w:themeColor="text1"/>
          <w:kern w:val="0"/>
          <w:sz w:val="28"/>
          <w:szCs w:val="28"/>
          <w:lang w:val="zh-CN" w:eastAsia="zh-CN"/>
          <w14:textFill>
            <w14:solidFill>
              <w14:schemeClr w14:val="tx1"/>
            </w14:solidFill>
          </w14:textFill>
        </w:rPr>
      </w:pPr>
      <w:bookmarkStart w:id="222" w:name="_Toc12215"/>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bookmarkEnd w:id="222"/>
      <w:r>
        <w:rPr>
          <w:rFonts w:hint="eastAsia" w:ascii="宋体" w:hAnsi="宋体" w:eastAsia="宋体" w:cs="宋体"/>
          <w:b/>
          <w:color w:val="000000" w:themeColor="text1"/>
          <w:sz w:val="24"/>
          <w:szCs w:val="24"/>
          <w:lang w:eastAsia="zh-CN"/>
          <w14:textFill>
            <w14:solidFill>
              <w14:schemeClr w14:val="tx1"/>
            </w14:solidFill>
          </w14:textFill>
        </w:rPr>
        <w:t>项目管理机构</w:t>
      </w:r>
    </w:p>
    <w:p w14:paraId="1DC5094A">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拟投入服务人员情况表</w:t>
      </w:r>
    </w:p>
    <w:p w14:paraId="5DC6E6E3">
      <w:pPr>
        <w:autoSpaceDE w:val="0"/>
        <w:autoSpaceDN w:val="0"/>
        <w:adjustRightInd w:val="0"/>
        <w:jc w:val="left"/>
        <w:rPr>
          <w:rFonts w:hAnsi="宋体"/>
          <w:b/>
          <w:bCs/>
          <w:color w:val="000000" w:themeColor="text1"/>
          <w:sz w:val="32"/>
          <w:szCs w:val="28"/>
          <w:highlight w:val="yellow"/>
          <w14:textFill>
            <w14:solidFill>
              <w14:schemeClr w14:val="tx1"/>
            </w14:solidFill>
          </w14:textFill>
        </w:rPr>
      </w:pPr>
    </w:p>
    <w:p w14:paraId="6D839809">
      <w:pPr>
        <w:ind w:firstLine="199" w:firstLineChars="95"/>
        <w:jc w:val="center"/>
        <w:rPr>
          <w:rFonts w:ascii="宋体" w:hAnsi="宋体"/>
          <w:bCs/>
          <w:color w:val="000000" w:themeColor="text1"/>
          <w14:textFill>
            <w14:solidFill>
              <w14:schemeClr w14:val="tx1"/>
            </w14:solidFill>
          </w14:textFill>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942"/>
        <w:gridCol w:w="1240"/>
        <w:gridCol w:w="1930"/>
        <w:gridCol w:w="2169"/>
      </w:tblGrid>
      <w:tr w14:paraId="0904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9D9348F">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序号</w:t>
            </w:r>
          </w:p>
        </w:tc>
        <w:tc>
          <w:tcPr>
            <w:tcW w:w="1140" w:type="pct"/>
            <w:tcBorders>
              <w:top w:val="single" w:color="auto" w:sz="4" w:space="0"/>
              <w:left w:val="single" w:color="auto" w:sz="4" w:space="0"/>
              <w:bottom w:val="single" w:color="auto" w:sz="4" w:space="0"/>
              <w:right w:val="single" w:color="auto" w:sz="4" w:space="0"/>
            </w:tcBorders>
            <w:vAlign w:val="center"/>
          </w:tcPr>
          <w:p w14:paraId="566F330C">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姓名</w:t>
            </w:r>
          </w:p>
        </w:tc>
        <w:tc>
          <w:tcPr>
            <w:tcW w:w="728" w:type="pct"/>
            <w:tcBorders>
              <w:top w:val="single" w:color="auto" w:sz="4" w:space="0"/>
              <w:left w:val="single" w:color="auto" w:sz="4" w:space="0"/>
              <w:bottom w:val="single" w:color="auto" w:sz="4" w:space="0"/>
              <w:right w:val="single" w:color="auto" w:sz="4" w:space="0"/>
            </w:tcBorders>
            <w:vAlign w:val="center"/>
          </w:tcPr>
          <w:p w14:paraId="64CB7AA9">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性别</w:t>
            </w:r>
          </w:p>
        </w:tc>
        <w:tc>
          <w:tcPr>
            <w:tcW w:w="1133" w:type="pct"/>
            <w:tcBorders>
              <w:top w:val="single" w:color="auto" w:sz="4" w:space="0"/>
              <w:left w:val="single" w:color="auto" w:sz="4" w:space="0"/>
              <w:bottom w:val="single" w:color="auto" w:sz="4" w:space="0"/>
              <w:right w:val="single" w:color="auto" w:sz="4" w:space="0"/>
            </w:tcBorders>
            <w:vAlign w:val="center"/>
          </w:tcPr>
          <w:p w14:paraId="577A1CDF">
            <w:pPr>
              <w:ind w:firstLine="120" w:firstLineChars="5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岗位名称</w:t>
            </w:r>
          </w:p>
        </w:tc>
        <w:tc>
          <w:tcPr>
            <w:tcW w:w="1273" w:type="pct"/>
            <w:tcBorders>
              <w:top w:val="single" w:color="auto" w:sz="4" w:space="0"/>
              <w:left w:val="single" w:color="auto" w:sz="4" w:space="0"/>
              <w:bottom w:val="single" w:color="auto" w:sz="4" w:space="0"/>
              <w:right w:val="single" w:color="auto" w:sz="4" w:space="0"/>
            </w:tcBorders>
            <w:vAlign w:val="center"/>
          </w:tcPr>
          <w:p w14:paraId="358A38A2">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职称</w:t>
            </w:r>
          </w:p>
        </w:tc>
      </w:tr>
      <w:tr w14:paraId="439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4AFA2EE">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140" w:type="pct"/>
            <w:tcBorders>
              <w:top w:val="single" w:color="auto" w:sz="4" w:space="0"/>
              <w:left w:val="single" w:color="auto" w:sz="4" w:space="0"/>
              <w:bottom w:val="single" w:color="auto" w:sz="4" w:space="0"/>
              <w:right w:val="single" w:color="auto" w:sz="4" w:space="0"/>
            </w:tcBorders>
            <w:vAlign w:val="center"/>
          </w:tcPr>
          <w:p w14:paraId="2F9EC6E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401448F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2D9D1C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1AEDC4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2F3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E07EFC6">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140" w:type="pct"/>
            <w:tcBorders>
              <w:top w:val="single" w:color="auto" w:sz="4" w:space="0"/>
              <w:left w:val="single" w:color="auto" w:sz="4" w:space="0"/>
              <w:bottom w:val="single" w:color="auto" w:sz="4" w:space="0"/>
              <w:right w:val="single" w:color="auto" w:sz="4" w:space="0"/>
            </w:tcBorders>
            <w:vAlign w:val="center"/>
          </w:tcPr>
          <w:p w14:paraId="2CEE7C5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5CFF7E4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6ABF10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57FE5C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26F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70095F6">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1140" w:type="pct"/>
            <w:tcBorders>
              <w:top w:val="single" w:color="auto" w:sz="4" w:space="0"/>
              <w:left w:val="single" w:color="auto" w:sz="4" w:space="0"/>
              <w:bottom w:val="single" w:color="auto" w:sz="4" w:space="0"/>
              <w:right w:val="single" w:color="auto" w:sz="4" w:space="0"/>
            </w:tcBorders>
            <w:vAlign w:val="center"/>
          </w:tcPr>
          <w:p w14:paraId="1F2B468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F51FD2A">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29619C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61CECD6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9BD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A7AD4A7">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1140" w:type="pct"/>
            <w:tcBorders>
              <w:top w:val="single" w:color="auto" w:sz="4" w:space="0"/>
              <w:left w:val="single" w:color="auto" w:sz="4" w:space="0"/>
              <w:bottom w:val="single" w:color="auto" w:sz="4" w:space="0"/>
              <w:right w:val="single" w:color="auto" w:sz="4" w:space="0"/>
            </w:tcBorders>
            <w:vAlign w:val="center"/>
          </w:tcPr>
          <w:p w14:paraId="644B620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1940D01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2D4FDEE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78BB68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C4A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076F6AF">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1140" w:type="pct"/>
            <w:tcBorders>
              <w:top w:val="single" w:color="auto" w:sz="4" w:space="0"/>
              <w:left w:val="single" w:color="auto" w:sz="4" w:space="0"/>
              <w:bottom w:val="single" w:color="auto" w:sz="4" w:space="0"/>
              <w:right w:val="single" w:color="auto" w:sz="4" w:space="0"/>
            </w:tcBorders>
            <w:vAlign w:val="center"/>
          </w:tcPr>
          <w:p w14:paraId="4E72A8A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79FE5A9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64EDD3A">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EAC72F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0DB6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50AB99B">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p>
        </w:tc>
        <w:tc>
          <w:tcPr>
            <w:tcW w:w="1140" w:type="pct"/>
            <w:tcBorders>
              <w:top w:val="single" w:color="auto" w:sz="4" w:space="0"/>
              <w:left w:val="single" w:color="auto" w:sz="4" w:space="0"/>
              <w:bottom w:val="single" w:color="auto" w:sz="4" w:space="0"/>
              <w:right w:val="single" w:color="auto" w:sz="4" w:space="0"/>
            </w:tcBorders>
            <w:vAlign w:val="center"/>
          </w:tcPr>
          <w:p w14:paraId="1900B7D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25AA9A4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53F6A8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6FDE86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711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ED5D8C1">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w:t>
            </w:r>
          </w:p>
        </w:tc>
        <w:tc>
          <w:tcPr>
            <w:tcW w:w="1140" w:type="pct"/>
            <w:tcBorders>
              <w:top w:val="single" w:color="auto" w:sz="4" w:space="0"/>
              <w:left w:val="single" w:color="auto" w:sz="4" w:space="0"/>
              <w:bottom w:val="single" w:color="auto" w:sz="4" w:space="0"/>
              <w:right w:val="single" w:color="auto" w:sz="4" w:space="0"/>
            </w:tcBorders>
            <w:vAlign w:val="center"/>
          </w:tcPr>
          <w:p w14:paraId="5B1DC64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1A8A033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E21AA8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A60A97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6CB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4ADF986">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w:t>
            </w:r>
          </w:p>
        </w:tc>
        <w:tc>
          <w:tcPr>
            <w:tcW w:w="1140" w:type="pct"/>
            <w:tcBorders>
              <w:top w:val="single" w:color="auto" w:sz="4" w:space="0"/>
              <w:left w:val="single" w:color="auto" w:sz="4" w:space="0"/>
              <w:bottom w:val="single" w:color="auto" w:sz="4" w:space="0"/>
              <w:right w:val="single" w:color="auto" w:sz="4" w:space="0"/>
            </w:tcBorders>
            <w:vAlign w:val="center"/>
          </w:tcPr>
          <w:p w14:paraId="42FA52A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AEFB2D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6CA64C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2A0682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A2B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FFEEAE9">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9</w:t>
            </w:r>
          </w:p>
        </w:tc>
        <w:tc>
          <w:tcPr>
            <w:tcW w:w="1140" w:type="pct"/>
            <w:tcBorders>
              <w:top w:val="single" w:color="auto" w:sz="4" w:space="0"/>
              <w:left w:val="single" w:color="auto" w:sz="4" w:space="0"/>
              <w:bottom w:val="single" w:color="auto" w:sz="4" w:space="0"/>
              <w:right w:val="single" w:color="auto" w:sz="4" w:space="0"/>
            </w:tcBorders>
            <w:vAlign w:val="center"/>
          </w:tcPr>
          <w:p w14:paraId="4F525A40">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8F49E7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846D3A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E9B1F1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432E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03D71AE">
            <w:pPr>
              <w:jc w:val="both"/>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w:t>
            </w:r>
          </w:p>
        </w:tc>
        <w:tc>
          <w:tcPr>
            <w:tcW w:w="1140" w:type="pct"/>
            <w:tcBorders>
              <w:top w:val="single" w:color="auto" w:sz="4" w:space="0"/>
              <w:left w:val="single" w:color="auto" w:sz="4" w:space="0"/>
              <w:bottom w:val="single" w:color="auto" w:sz="4" w:space="0"/>
              <w:right w:val="single" w:color="auto" w:sz="4" w:space="0"/>
            </w:tcBorders>
            <w:vAlign w:val="center"/>
          </w:tcPr>
          <w:p w14:paraId="6A56CD8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0D9CD9B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F8B08B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6847E0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E69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3A2C6A0">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11</w:t>
            </w:r>
          </w:p>
        </w:tc>
        <w:tc>
          <w:tcPr>
            <w:tcW w:w="1140" w:type="pct"/>
            <w:tcBorders>
              <w:top w:val="single" w:color="auto" w:sz="4" w:space="0"/>
              <w:left w:val="single" w:color="auto" w:sz="4" w:space="0"/>
              <w:bottom w:val="single" w:color="auto" w:sz="4" w:space="0"/>
              <w:right w:val="single" w:color="auto" w:sz="4" w:space="0"/>
            </w:tcBorders>
            <w:vAlign w:val="center"/>
          </w:tcPr>
          <w:p w14:paraId="1E1CBAF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644699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AB1088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0E20F2C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485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57714AC">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12</w:t>
            </w:r>
          </w:p>
        </w:tc>
        <w:tc>
          <w:tcPr>
            <w:tcW w:w="1140" w:type="pct"/>
            <w:tcBorders>
              <w:top w:val="single" w:color="auto" w:sz="4" w:space="0"/>
              <w:left w:val="single" w:color="auto" w:sz="4" w:space="0"/>
              <w:bottom w:val="single" w:color="auto" w:sz="4" w:space="0"/>
              <w:right w:val="single" w:color="auto" w:sz="4" w:space="0"/>
            </w:tcBorders>
            <w:vAlign w:val="center"/>
          </w:tcPr>
          <w:p w14:paraId="623D54D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5814E1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80FA7D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D900DB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475C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590A13A">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13</w:t>
            </w:r>
          </w:p>
        </w:tc>
        <w:tc>
          <w:tcPr>
            <w:tcW w:w="1140" w:type="pct"/>
            <w:tcBorders>
              <w:top w:val="single" w:color="auto" w:sz="4" w:space="0"/>
              <w:left w:val="single" w:color="auto" w:sz="4" w:space="0"/>
              <w:bottom w:val="single" w:color="auto" w:sz="4" w:space="0"/>
              <w:right w:val="single" w:color="auto" w:sz="4" w:space="0"/>
            </w:tcBorders>
            <w:vAlign w:val="center"/>
          </w:tcPr>
          <w:p w14:paraId="12800F7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0AF909D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6DBCEC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DA668C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76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CD0068E">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14</w:t>
            </w:r>
          </w:p>
        </w:tc>
        <w:tc>
          <w:tcPr>
            <w:tcW w:w="1140" w:type="pct"/>
            <w:tcBorders>
              <w:top w:val="single" w:color="auto" w:sz="4" w:space="0"/>
              <w:left w:val="single" w:color="auto" w:sz="4" w:space="0"/>
              <w:bottom w:val="single" w:color="auto" w:sz="4" w:space="0"/>
              <w:right w:val="single" w:color="auto" w:sz="4" w:space="0"/>
            </w:tcBorders>
            <w:vAlign w:val="center"/>
          </w:tcPr>
          <w:p w14:paraId="53FB5DB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2E85B9A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14546B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4299C1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3F02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6B7D2BF">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15</w:t>
            </w:r>
          </w:p>
        </w:tc>
        <w:tc>
          <w:tcPr>
            <w:tcW w:w="1140" w:type="pct"/>
            <w:tcBorders>
              <w:top w:val="single" w:color="auto" w:sz="4" w:space="0"/>
              <w:left w:val="single" w:color="auto" w:sz="4" w:space="0"/>
              <w:bottom w:val="single" w:color="auto" w:sz="4" w:space="0"/>
              <w:right w:val="single" w:color="auto" w:sz="4" w:space="0"/>
            </w:tcBorders>
            <w:vAlign w:val="center"/>
          </w:tcPr>
          <w:p w14:paraId="1D0C252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375A1A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C8E722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E0EC08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3042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975D0A2">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16</w:t>
            </w:r>
          </w:p>
        </w:tc>
        <w:tc>
          <w:tcPr>
            <w:tcW w:w="1140" w:type="pct"/>
            <w:tcBorders>
              <w:top w:val="single" w:color="auto" w:sz="4" w:space="0"/>
              <w:left w:val="single" w:color="auto" w:sz="4" w:space="0"/>
              <w:bottom w:val="single" w:color="auto" w:sz="4" w:space="0"/>
              <w:right w:val="single" w:color="auto" w:sz="4" w:space="0"/>
            </w:tcBorders>
            <w:vAlign w:val="center"/>
          </w:tcPr>
          <w:p w14:paraId="1230FD2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F3EB1A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7750CF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573202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D04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0C46C16">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17</w:t>
            </w:r>
          </w:p>
        </w:tc>
        <w:tc>
          <w:tcPr>
            <w:tcW w:w="1140" w:type="pct"/>
            <w:tcBorders>
              <w:top w:val="single" w:color="auto" w:sz="4" w:space="0"/>
              <w:left w:val="single" w:color="auto" w:sz="4" w:space="0"/>
              <w:bottom w:val="single" w:color="auto" w:sz="4" w:space="0"/>
              <w:right w:val="single" w:color="auto" w:sz="4" w:space="0"/>
            </w:tcBorders>
            <w:vAlign w:val="center"/>
          </w:tcPr>
          <w:p w14:paraId="3A969F6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9358F9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CAF74F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6F36B2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71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5289B7C">
            <w:pPr>
              <w:jc w:val="both"/>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18</w:t>
            </w:r>
          </w:p>
        </w:tc>
        <w:tc>
          <w:tcPr>
            <w:tcW w:w="1140" w:type="pct"/>
            <w:tcBorders>
              <w:top w:val="single" w:color="auto" w:sz="4" w:space="0"/>
              <w:left w:val="single" w:color="auto" w:sz="4" w:space="0"/>
              <w:bottom w:val="single" w:color="auto" w:sz="4" w:space="0"/>
              <w:right w:val="single" w:color="auto" w:sz="4" w:space="0"/>
            </w:tcBorders>
            <w:vAlign w:val="center"/>
          </w:tcPr>
          <w:p w14:paraId="4A9A019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C836F4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F025A00">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C6256B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DB8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FFB008F">
            <w:p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w:t>
            </w:r>
          </w:p>
        </w:tc>
        <w:tc>
          <w:tcPr>
            <w:tcW w:w="1140" w:type="pct"/>
            <w:tcBorders>
              <w:top w:val="single" w:color="auto" w:sz="4" w:space="0"/>
              <w:left w:val="single" w:color="auto" w:sz="4" w:space="0"/>
              <w:bottom w:val="single" w:color="auto" w:sz="4" w:space="0"/>
              <w:right w:val="single" w:color="auto" w:sz="4" w:space="0"/>
            </w:tcBorders>
            <w:vAlign w:val="center"/>
          </w:tcPr>
          <w:p w14:paraId="191D7C9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410BB0F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5E4DA4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63FA90A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bl>
    <w:p w14:paraId="16CD6793">
      <w:pPr>
        <w:pStyle w:val="47"/>
        <w:ind w:firstLine="480"/>
        <w:jc w:val="left"/>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注：上表投标人可根据情况自行修改。以上人员须按评分标准要求提供相应证明材料。</w:t>
      </w:r>
    </w:p>
    <w:p w14:paraId="7AA93F51">
      <w:pPr>
        <w:pStyle w:val="32"/>
        <w:rPr>
          <w:rFonts w:hint="eastAsia" w:ascii="宋体" w:hAnsi="宋体" w:eastAsia="宋体" w:cs="宋体"/>
          <w:bCs/>
          <w:color w:val="000000" w:themeColor="text1"/>
          <w:sz w:val="24"/>
          <w:szCs w:val="24"/>
          <w14:textFill>
            <w14:solidFill>
              <w14:schemeClr w14:val="tx1"/>
            </w14:solidFill>
          </w14:textFill>
        </w:rPr>
      </w:pPr>
    </w:p>
    <w:p w14:paraId="4F4D1150">
      <w:pPr>
        <w:pStyle w:val="33"/>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72C0447E">
      <w:pPr>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2DAD4524">
      <w:pPr>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0F2E7EF0">
      <w:pPr>
        <w:pStyle w:val="21"/>
        <w:spacing w:before="0" w:after="0" w:line="360" w:lineRule="auto"/>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的类似业绩证明材料</w:t>
      </w:r>
    </w:p>
    <w:p w14:paraId="717069DA">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eastAsia="zh-CN"/>
          <w14:textFill>
            <w14:solidFill>
              <w14:schemeClr w14:val="tx1"/>
            </w14:solidFill>
          </w14:textFill>
        </w:rPr>
        <w:t>供应商</w:t>
      </w:r>
      <w:r>
        <w:rPr>
          <w:rFonts w:hint="eastAsia" w:ascii="宋体" w:hAnsi="宋体" w:cs="宋体"/>
          <w:b/>
          <w:bCs/>
          <w:color w:val="000000" w:themeColor="text1"/>
          <w:kern w:val="0"/>
          <w:sz w:val="28"/>
          <w:szCs w:val="28"/>
          <w:lang w:val="zh-CN"/>
          <w14:textFill>
            <w14:solidFill>
              <w14:schemeClr w14:val="tx1"/>
            </w14:solidFill>
          </w14:textFill>
        </w:rPr>
        <w:t>的类似业绩证明材料</w:t>
      </w:r>
    </w:p>
    <w:p w14:paraId="4633A133">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2D1373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提供自</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2022</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年以来的类似业绩证明材料。</w:t>
      </w:r>
      <w:r>
        <w:rPr>
          <w:rFonts w:hint="eastAsia" w:ascii="宋体" w:hAnsi="宋体" w:eastAsia="宋体" w:cs="宋体"/>
          <w:color w:val="000000" w:themeColor="text1"/>
          <w:sz w:val="24"/>
          <w:szCs w:val="24"/>
          <w14:textFill>
            <w14:solidFill>
              <w14:schemeClr w14:val="tx1"/>
            </w14:solidFill>
          </w14:textFill>
        </w:rPr>
        <w:t>类似业绩是指与采购项目在产品类型、使用功能、合同规模等方面相同或相近的项目</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需提供包含合同首页、标的及金额所在页、服务合同签字盖章页的扫描（或复印）件。</w:t>
      </w:r>
    </w:p>
    <w:p w14:paraId="75579D41">
      <w:pPr>
        <w:pStyle w:val="32"/>
        <w:rPr>
          <w:rFonts w:hint="eastAsia" w:ascii="宋体" w:hAnsi="宋体" w:eastAsia="宋体" w:cs="宋体"/>
          <w:bCs/>
          <w:color w:val="000000" w:themeColor="text1"/>
          <w:sz w:val="24"/>
          <w:szCs w:val="24"/>
          <w14:textFill>
            <w14:solidFill>
              <w14:schemeClr w14:val="tx1"/>
            </w14:solidFill>
          </w14:textFill>
        </w:rPr>
      </w:pPr>
    </w:p>
    <w:p w14:paraId="3A0C63C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D229A88">
      <w:pPr>
        <w:keepNext/>
        <w:pageBreakBefore/>
        <w:widowControl/>
        <w:spacing w:line="360" w:lineRule="auto"/>
        <w:ind w:firstLine="0" w:firstLineChars="0"/>
        <w:outlineLvl w:val="1"/>
        <w:rPr>
          <w:rFonts w:hint="eastAsia" w:ascii="宋体" w:hAnsi="宋体" w:eastAsia="宋体" w:cs="宋体"/>
          <w:color w:val="000000" w:themeColor="text1"/>
          <w:sz w:val="24"/>
          <w:szCs w:val="24"/>
          <w:lang w:val="en-US" w:eastAsia="zh-CN"/>
          <w14:textFill>
            <w14:solidFill>
              <w14:schemeClr w14:val="tx1"/>
            </w14:solidFill>
          </w14:textFill>
        </w:rPr>
      </w:pPr>
      <w:bookmarkStart w:id="223" w:name="_Toc4721"/>
      <w:bookmarkStart w:id="224" w:name="_Toc27327"/>
      <w:bookmarkStart w:id="225" w:name="_Toc29948"/>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中小企业声明函</w:t>
      </w:r>
      <w:bookmarkEnd w:id="223"/>
      <w:bookmarkEnd w:id="224"/>
      <w:bookmarkEnd w:id="225"/>
    </w:p>
    <w:p w14:paraId="49DD5225">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000000" w:themeColor="text1"/>
          <w:kern w:val="0"/>
          <w:sz w:val="24"/>
          <w:szCs w:val="24"/>
          <w:lang w:val="en-US" w:eastAsia="zh-CN" w:bidi="ar"/>
          <w14:textFill>
            <w14:solidFill>
              <w14:schemeClr w14:val="tx1"/>
            </w14:solidFill>
          </w14:textFill>
        </w:rPr>
      </w:pPr>
    </w:p>
    <w:p w14:paraId="175BADE2">
      <w:pPr>
        <w:autoSpaceDE w:val="0"/>
        <w:autoSpaceDN w:val="0"/>
        <w:spacing w:line="360" w:lineRule="auto"/>
        <w:jc w:val="center"/>
        <w:rPr>
          <w:rFonts w:hint="eastAsia" w:ascii="宋体" w:hAnsi="宋体" w:eastAsia="宋体" w:cs="宋体"/>
          <w:b/>
          <w:bCs/>
          <w:color w:val="000000" w:themeColor="text1"/>
          <w:kern w:val="0"/>
          <w:sz w:val="36"/>
          <w:szCs w:val="36"/>
          <w:lang w:val="zh-CN"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中小企业声明函</w:t>
      </w:r>
    </w:p>
    <w:p w14:paraId="5D08E217">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致：青海华景工程项目管理有限公司</w:t>
      </w:r>
    </w:p>
    <w:p w14:paraId="4C8D3147">
      <w:pPr>
        <w:keepNext w:val="0"/>
        <w:keepLines w:val="0"/>
        <w:widowControl/>
        <w:suppressLineNumbers w:val="0"/>
        <w:spacing w:line="360" w:lineRule="auto"/>
        <w:ind w:firstLine="480" w:firstLineChars="200"/>
        <w:jc w:val="both"/>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（单位名称）的（项目名称）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采购活动，服务全部由符合政策要求的中小企业承接。相关企业的具体情况如下：</w:t>
      </w:r>
    </w:p>
    <w:p w14:paraId="08E5BAAC">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（标的名称）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（采购文件中明确的所属行业）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（企业名称）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7207E541">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（标的名称）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（采购文件中明确的所属行业）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（企业名称）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786CE613">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36CD28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53D94873">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本企业对上述声明内容的真实性负责。如有虚假，将依法承担相应责任。</w:t>
      </w:r>
    </w:p>
    <w:p w14:paraId="4FDE4AD2">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70100535">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02D265A2">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75B99EC0">
      <w:pPr>
        <w:keepNext w:val="0"/>
        <w:keepLines w:val="0"/>
        <w:widowControl/>
        <w:suppressLineNumbers w:val="0"/>
        <w:spacing w:line="360" w:lineRule="auto"/>
        <w:jc w:val="center"/>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kern w:val="0"/>
          <w:sz w:val="24"/>
          <w:szCs w:val="24"/>
          <w:lang w:val="en-US" w:eastAsia="zh-CN" w:bidi="ar"/>
          <w14:textFill>
            <w14:solidFill>
              <w14:schemeClr w14:val="tx1"/>
            </w14:solidFill>
          </w14:textFill>
        </w:rPr>
        <w:t>企业名称（盖章）：</w:t>
      </w:r>
    </w:p>
    <w:p w14:paraId="15033E21">
      <w:pPr>
        <w:keepNext w:val="0"/>
        <w:keepLines w:val="0"/>
        <w:widowControl/>
        <w:suppressLineNumbers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i w:val="0"/>
          <w:iCs w:val="0"/>
          <w:color w:val="000000" w:themeColor="text1"/>
          <w:kern w:val="0"/>
          <w:sz w:val="24"/>
          <w:szCs w:val="24"/>
          <w:lang w:val="en-US" w:eastAsia="zh-CN" w:bidi="ar"/>
          <w14:textFill>
            <w14:solidFill>
              <w14:schemeClr w14:val="tx1"/>
            </w14:solidFill>
          </w14:textFill>
        </w:rPr>
        <w:t>日 期：</w:t>
      </w:r>
    </w:p>
    <w:p w14:paraId="01B27792">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注：1.</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从业人员、营业收入、资产总额填报上一年度数据，无上一年度数据的新成立企业可不填报。</w:t>
      </w:r>
    </w:p>
    <w:p w14:paraId="215BD4F0">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4CAAF6B5">
      <w:pPr>
        <w:keepNext w:val="0"/>
        <w:keepLines w:val="0"/>
        <w:widowControl/>
        <w:suppressLineNumbers w:val="0"/>
        <w:spacing w:line="360" w:lineRule="auto"/>
        <w:ind w:left="0" w:leftChars="0" w:firstLine="480" w:firstLineChars="20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1B373EA1">
      <w:pPr>
        <w:pStyle w:val="8"/>
        <w:numPr>
          <w:ilvl w:val="0"/>
          <w:numId w:val="0"/>
        </w:numPr>
        <w:rPr>
          <w:rFonts w:hint="eastAsia" w:ascii="宋体" w:hAnsi="宋体" w:eastAsia="宋体" w:cs="宋体"/>
          <w:color w:val="000000" w:themeColor="text1"/>
          <w:szCs w:val="24"/>
          <w:lang w:bidi="ar"/>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05FCB35">
      <w:pPr>
        <w:widowControl/>
        <w:spacing w:line="240" w:lineRule="auto"/>
        <w:ind w:left="0" w:leftChars="0" w:firstLine="0" w:firstLineChars="0"/>
        <w:jc w:val="left"/>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附表</w:t>
      </w:r>
    </w:p>
    <w:p w14:paraId="56DA75DF">
      <w:pPr>
        <w:widowControl/>
        <w:spacing w:line="360" w:lineRule="auto"/>
        <w:ind w:left="0" w:leftChars="0" w:firstLine="0" w:firstLineChars="0"/>
        <w:jc w:val="center"/>
        <w:rPr>
          <w:rFonts w:hint="eastAsia" w:ascii="宋体" w:hAnsi="宋体" w:eastAsia="宋体" w:cs="宋体"/>
          <w:color w:val="000000" w:themeColor="text1"/>
          <w:kern w:val="0"/>
          <w:sz w:val="36"/>
          <w:szCs w:val="32"/>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大中小微型企业划分标准</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59C9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5B89A2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行业名称</w:t>
            </w:r>
          </w:p>
        </w:tc>
        <w:tc>
          <w:tcPr>
            <w:tcW w:w="1410" w:type="dxa"/>
            <w:noWrap w:val="0"/>
            <w:vAlign w:val="center"/>
          </w:tcPr>
          <w:p w14:paraId="76CB12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指标名称</w:t>
            </w:r>
          </w:p>
        </w:tc>
        <w:tc>
          <w:tcPr>
            <w:tcW w:w="1065" w:type="dxa"/>
            <w:noWrap w:val="0"/>
            <w:vAlign w:val="center"/>
          </w:tcPr>
          <w:p w14:paraId="499D614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计量单位</w:t>
            </w:r>
          </w:p>
        </w:tc>
        <w:tc>
          <w:tcPr>
            <w:tcW w:w="1217" w:type="dxa"/>
            <w:noWrap w:val="0"/>
            <w:vAlign w:val="center"/>
          </w:tcPr>
          <w:p w14:paraId="63E88E2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大型</w:t>
            </w:r>
          </w:p>
        </w:tc>
        <w:tc>
          <w:tcPr>
            <w:tcW w:w="1708" w:type="dxa"/>
            <w:noWrap w:val="0"/>
            <w:vAlign w:val="center"/>
          </w:tcPr>
          <w:p w14:paraId="5C0038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中型</w:t>
            </w:r>
          </w:p>
        </w:tc>
        <w:tc>
          <w:tcPr>
            <w:tcW w:w="1674" w:type="dxa"/>
            <w:noWrap w:val="0"/>
            <w:vAlign w:val="center"/>
          </w:tcPr>
          <w:p w14:paraId="3EB948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小型</w:t>
            </w:r>
          </w:p>
        </w:tc>
        <w:tc>
          <w:tcPr>
            <w:tcW w:w="1073" w:type="dxa"/>
            <w:noWrap w:val="0"/>
            <w:vAlign w:val="center"/>
          </w:tcPr>
          <w:p w14:paraId="0E36F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微型</w:t>
            </w:r>
          </w:p>
        </w:tc>
      </w:tr>
      <w:tr w14:paraId="0D81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777E323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农、林、牧、渔业</w:t>
            </w:r>
          </w:p>
        </w:tc>
        <w:tc>
          <w:tcPr>
            <w:tcW w:w="1410" w:type="dxa"/>
            <w:noWrap w:val="0"/>
            <w:vAlign w:val="center"/>
          </w:tcPr>
          <w:p w14:paraId="00DE44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2EF9CE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5A6060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w:t>
            </w:r>
          </w:p>
        </w:tc>
        <w:tc>
          <w:tcPr>
            <w:tcW w:w="1708" w:type="dxa"/>
            <w:noWrap w:val="0"/>
            <w:vAlign w:val="center"/>
          </w:tcPr>
          <w:p w14:paraId="6EEC843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674" w:type="dxa"/>
            <w:noWrap w:val="0"/>
            <w:vAlign w:val="center"/>
          </w:tcPr>
          <w:p w14:paraId="0F91F6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50≤Y＜500</w:t>
            </w:r>
          </w:p>
        </w:tc>
        <w:tc>
          <w:tcPr>
            <w:tcW w:w="1073" w:type="dxa"/>
            <w:noWrap w:val="0"/>
            <w:vAlign w:val="center"/>
          </w:tcPr>
          <w:p w14:paraId="4DDB13F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w:t>
            </w:r>
          </w:p>
        </w:tc>
      </w:tr>
      <w:tr w14:paraId="3333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874D8C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工业*</w:t>
            </w:r>
          </w:p>
        </w:tc>
        <w:tc>
          <w:tcPr>
            <w:tcW w:w="1410" w:type="dxa"/>
            <w:noWrap w:val="0"/>
            <w:vAlign w:val="center"/>
          </w:tcPr>
          <w:p w14:paraId="198D28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64DF8E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2652A9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X≥1000</w:t>
            </w:r>
          </w:p>
        </w:tc>
        <w:tc>
          <w:tcPr>
            <w:tcW w:w="1708" w:type="dxa"/>
            <w:noWrap w:val="0"/>
            <w:vAlign w:val="center"/>
          </w:tcPr>
          <w:p w14:paraId="4C0B9B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300≤X＜1000</w:t>
            </w:r>
          </w:p>
        </w:tc>
        <w:tc>
          <w:tcPr>
            <w:tcW w:w="1674" w:type="dxa"/>
            <w:noWrap w:val="0"/>
            <w:vAlign w:val="center"/>
          </w:tcPr>
          <w:p w14:paraId="498ED0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20≤X＜300</w:t>
            </w:r>
          </w:p>
        </w:tc>
        <w:tc>
          <w:tcPr>
            <w:tcW w:w="1073" w:type="dxa"/>
            <w:noWrap w:val="0"/>
            <w:vAlign w:val="center"/>
          </w:tcPr>
          <w:p w14:paraId="7584F3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X＜20</w:t>
            </w:r>
          </w:p>
        </w:tc>
      </w:tr>
      <w:tr w14:paraId="7E8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3FED9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66C28F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营业收入(Y)</w:t>
            </w:r>
          </w:p>
        </w:tc>
        <w:tc>
          <w:tcPr>
            <w:tcW w:w="1065" w:type="dxa"/>
            <w:noWrap w:val="0"/>
            <w:vAlign w:val="center"/>
          </w:tcPr>
          <w:p w14:paraId="123AB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2D8A15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Y≥40000</w:t>
            </w:r>
          </w:p>
        </w:tc>
        <w:tc>
          <w:tcPr>
            <w:tcW w:w="1708" w:type="dxa"/>
            <w:noWrap w:val="0"/>
            <w:vAlign w:val="center"/>
          </w:tcPr>
          <w:p w14:paraId="6B3FC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2000≤Y＜40000</w:t>
            </w:r>
          </w:p>
        </w:tc>
        <w:tc>
          <w:tcPr>
            <w:tcW w:w="1674" w:type="dxa"/>
            <w:noWrap w:val="0"/>
            <w:vAlign w:val="center"/>
          </w:tcPr>
          <w:p w14:paraId="1155E21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300≤Y＜2000</w:t>
            </w:r>
          </w:p>
        </w:tc>
        <w:tc>
          <w:tcPr>
            <w:tcW w:w="1073" w:type="dxa"/>
            <w:noWrap w:val="0"/>
            <w:vAlign w:val="center"/>
          </w:tcPr>
          <w:p w14:paraId="063D19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Y＜300</w:t>
            </w:r>
          </w:p>
        </w:tc>
      </w:tr>
      <w:tr w14:paraId="7C6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BB9F4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建筑业</w:t>
            </w:r>
          </w:p>
        </w:tc>
        <w:tc>
          <w:tcPr>
            <w:tcW w:w="1410" w:type="dxa"/>
            <w:noWrap w:val="0"/>
            <w:vAlign w:val="center"/>
          </w:tcPr>
          <w:p w14:paraId="758045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营业收入(Y)</w:t>
            </w:r>
          </w:p>
        </w:tc>
        <w:tc>
          <w:tcPr>
            <w:tcW w:w="1065" w:type="dxa"/>
            <w:noWrap w:val="0"/>
            <w:vAlign w:val="center"/>
          </w:tcPr>
          <w:p w14:paraId="3818E7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6134AC1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Y≥80000</w:t>
            </w:r>
          </w:p>
        </w:tc>
        <w:tc>
          <w:tcPr>
            <w:tcW w:w="1708" w:type="dxa"/>
            <w:noWrap w:val="0"/>
            <w:vAlign w:val="center"/>
          </w:tcPr>
          <w:p w14:paraId="3FA699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6000≤Y＜80000</w:t>
            </w:r>
          </w:p>
        </w:tc>
        <w:tc>
          <w:tcPr>
            <w:tcW w:w="1674" w:type="dxa"/>
            <w:noWrap w:val="0"/>
            <w:vAlign w:val="center"/>
          </w:tcPr>
          <w:p w14:paraId="4642D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300≤Y＜6000</w:t>
            </w:r>
          </w:p>
        </w:tc>
        <w:tc>
          <w:tcPr>
            <w:tcW w:w="1073" w:type="dxa"/>
            <w:noWrap w:val="0"/>
            <w:vAlign w:val="center"/>
          </w:tcPr>
          <w:p w14:paraId="6EC3E1B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Y＜300</w:t>
            </w:r>
          </w:p>
        </w:tc>
      </w:tr>
      <w:tr w14:paraId="6B91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31272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1ED6F1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资产总额(Z)</w:t>
            </w:r>
          </w:p>
        </w:tc>
        <w:tc>
          <w:tcPr>
            <w:tcW w:w="1065" w:type="dxa"/>
            <w:noWrap w:val="0"/>
            <w:vAlign w:val="center"/>
          </w:tcPr>
          <w:p w14:paraId="3821440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58292DB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Z≥80000</w:t>
            </w:r>
          </w:p>
        </w:tc>
        <w:tc>
          <w:tcPr>
            <w:tcW w:w="1708" w:type="dxa"/>
            <w:noWrap w:val="0"/>
            <w:vAlign w:val="center"/>
          </w:tcPr>
          <w:p w14:paraId="268B4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5000≤Z＜80000</w:t>
            </w:r>
          </w:p>
        </w:tc>
        <w:tc>
          <w:tcPr>
            <w:tcW w:w="1674" w:type="dxa"/>
            <w:noWrap w:val="0"/>
            <w:vAlign w:val="center"/>
          </w:tcPr>
          <w:p w14:paraId="50D8BE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300≤Z＜5000</w:t>
            </w:r>
          </w:p>
        </w:tc>
        <w:tc>
          <w:tcPr>
            <w:tcW w:w="1073" w:type="dxa"/>
            <w:noWrap w:val="0"/>
            <w:vAlign w:val="center"/>
          </w:tcPr>
          <w:p w14:paraId="4A5C14F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Z＜300</w:t>
            </w:r>
          </w:p>
        </w:tc>
      </w:tr>
      <w:tr w14:paraId="4063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CDBF1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批发业</w:t>
            </w:r>
          </w:p>
        </w:tc>
        <w:tc>
          <w:tcPr>
            <w:tcW w:w="1410" w:type="dxa"/>
            <w:noWrap w:val="0"/>
            <w:vAlign w:val="center"/>
          </w:tcPr>
          <w:p w14:paraId="616D32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41A4E8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D2033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w:t>
            </w:r>
          </w:p>
        </w:tc>
        <w:tc>
          <w:tcPr>
            <w:tcW w:w="1708" w:type="dxa"/>
            <w:noWrap w:val="0"/>
            <w:vAlign w:val="center"/>
          </w:tcPr>
          <w:p w14:paraId="3604CC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20≤X＜200</w:t>
            </w:r>
          </w:p>
        </w:tc>
        <w:tc>
          <w:tcPr>
            <w:tcW w:w="1674" w:type="dxa"/>
            <w:noWrap w:val="0"/>
            <w:vAlign w:val="center"/>
          </w:tcPr>
          <w:p w14:paraId="2D54D5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5≤X＜20</w:t>
            </w:r>
          </w:p>
        </w:tc>
        <w:tc>
          <w:tcPr>
            <w:tcW w:w="1073" w:type="dxa"/>
            <w:noWrap w:val="0"/>
            <w:vAlign w:val="center"/>
          </w:tcPr>
          <w:p w14:paraId="719C6D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X＜5</w:t>
            </w:r>
          </w:p>
        </w:tc>
      </w:tr>
      <w:tr w14:paraId="31C7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273624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7FA882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1F7C70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19AF5F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Y≥40000</w:t>
            </w:r>
          </w:p>
        </w:tc>
        <w:tc>
          <w:tcPr>
            <w:tcW w:w="1708" w:type="dxa"/>
            <w:noWrap w:val="0"/>
            <w:vAlign w:val="center"/>
          </w:tcPr>
          <w:p w14:paraId="5B4B4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5000≤Y＜40000</w:t>
            </w:r>
          </w:p>
        </w:tc>
        <w:tc>
          <w:tcPr>
            <w:tcW w:w="1674" w:type="dxa"/>
            <w:noWrap w:val="0"/>
            <w:vAlign w:val="center"/>
          </w:tcPr>
          <w:p w14:paraId="2E5B2E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073" w:type="dxa"/>
            <w:noWrap w:val="0"/>
            <w:vAlign w:val="center"/>
          </w:tcPr>
          <w:p w14:paraId="181822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w:t>
            </w:r>
          </w:p>
        </w:tc>
      </w:tr>
      <w:tr w14:paraId="1374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F1EBF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零售业</w:t>
            </w:r>
          </w:p>
        </w:tc>
        <w:tc>
          <w:tcPr>
            <w:tcW w:w="1410" w:type="dxa"/>
            <w:noWrap w:val="0"/>
            <w:vAlign w:val="center"/>
          </w:tcPr>
          <w:p w14:paraId="355B26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736EB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4E7761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3CDC25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50≤X＜300</w:t>
            </w:r>
          </w:p>
        </w:tc>
        <w:tc>
          <w:tcPr>
            <w:tcW w:w="1674" w:type="dxa"/>
            <w:noWrap w:val="0"/>
            <w:vAlign w:val="center"/>
          </w:tcPr>
          <w:p w14:paraId="0A7568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10≤X＜50</w:t>
            </w:r>
          </w:p>
        </w:tc>
        <w:tc>
          <w:tcPr>
            <w:tcW w:w="1073" w:type="dxa"/>
            <w:noWrap w:val="0"/>
            <w:vAlign w:val="center"/>
          </w:tcPr>
          <w:p w14:paraId="1C23EE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4A0C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1475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38BB80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5C34E6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C1F16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w:t>
            </w:r>
          </w:p>
        </w:tc>
        <w:tc>
          <w:tcPr>
            <w:tcW w:w="1708" w:type="dxa"/>
            <w:noWrap w:val="0"/>
            <w:vAlign w:val="center"/>
          </w:tcPr>
          <w:p w14:paraId="6BFEBB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674" w:type="dxa"/>
            <w:noWrap w:val="0"/>
            <w:vAlign w:val="center"/>
          </w:tcPr>
          <w:p w14:paraId="37D82C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100≤Y＜500</w:t>
            </w:r>
          </w:p>
        </w:tc>
        <w:tc>
          <w:tcPr>
            <w:tcW w:w="1073" w:type="dxa"/>
            <w:noWrap w:val="0"/>
            <w:vAlign w:val="center"/>
          </w:tcPr>
          <w:p w14:paraId="3202C4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29ED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70E73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交通运输业*</w:t>
            </w:r>
          </w:p>
        </w:tc>
        <w:tc>
          <w:tcPr>
            <w:tcW w:w="1410" w:type="dxa"/>
            <w:noWrap w:val="0"/>
            <w:vAlign w:val="center"/>
          </w:tcPr>
          <w:p w14:paraId="7D80E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6D4752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F1CB9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6A2C29C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07DD4B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073" w:type="dxa"/>
            <w:noWrap w:val="0"/>
            <w:vAlign w:val="center"/>
          </w:tcPr>
          <w:p w14:paraId="53013E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4775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6F9F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3E89344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7752AF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33B72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0744CE6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3000≤Y＜30000</w:t>
            </w:r>
          </w:p>
        </w:tc>
        <w:tc>
          <w:tcPr>
            <w:tcW w:w="1674" w:type="dxa"/>
            <w:noWrap w:val="0"/>
            <w:vAlign w:val="center"/>
          </w:tcPr>
          <w:p w14:paraId="14200BD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200≤Y＜3000</w:t>
            </w:r>
          </w:p>
        </w:tc>
        <w:tc>
          <w:tcPr>
            <w:tcW w:w="1073" w:type="dxa"/>
            <w:noWrap w:val="0"/>
            <w:vAlign w:val="center"/>
          </w:tcPr>
          <w:p w14:paraId="5D69B4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w:t>
            </w:r>
          </w:p>
        </w:tc>
      </w:tr>
      <w:tr w14:paraId="6B1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A34BE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仓储业*</w:t>
            </w:r>
          </w:p>
        </w:tc>
        <w:tc>
          <w:tcPr>
            <w:tcW w:w="1410" w:type="dxa"/>
            <w:noWrap w:val="0"/>
            <w:vAlign w:val="center"/>
          </w:tcPr>
          <w:p w14:paraId="2957E80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33810D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33F8B56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w:t>
            </w:r>
          </w:p>
        </w:tc>
        <w:tc>
          <w:tcPr>
            <w:tcW w:w="1708" w:type="dxa"/>
            <w:noWrap w:val="0"/>
            <w:vAlign w:val="center"/>
          </w:tcPr>
          <w:p w14:paraId="7767D6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w:t>
            </w:r>
          </w:p>
        </w:tc>
        <w:tc>
          <w:tcPr>
            <w:tcW w:w="1674" w:type="dxa"/>
            <w:noWrap w:val="0"/>
            <w:vAlign w:val="center"/>
          </w:tcPr>
          <w:p w14:paraId="4C2963E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20≤X＜100</w:t>
            </w:r>
          </w:p>
        </w:tc>
        <w:tc>
          <w:tcPr>
            <w:tcW w:w="1073" w:type="dxa"/>
            <w:noWrap w:val="0"/>
            <w:vAlign w:val="center"/>
          </w:tcPr>
          <w:p w14:paraId="0A70C9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162A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1B87FB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5FB6A3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224538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6DBFB74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25CAE57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1000≤Y＜30000</w:t>
            </w:r>
          </w:p>
        </w:tc>
        <w:tc>
          <w:tcPr>
            <w:tcW w:w="1674" w:type="dxa"/>
            <w:noWrap w:val="0"/>
            <w:vAlign w:val="center"/>
          </w:tcPr>
          <w:p w14:paraId="3DC037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167C9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1633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6E587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邮政业</w:t>
            </w:r>
          </w:p>
        </w:tc>
        <w:tc>
          <w:tcPr>
            <w:tcW w:w="1410" w:type="dxa"/>
            <w:noWrap w:val="0"/>
            <w:vAlign w:val="center"/>
          </w:tcPr>
          <w:p w14:paraId="6E3A6A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079411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56302D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235E8FA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230921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073" w:type="dxa"/>
            <w:noWrap w:val="0"/>
            <w:vAlign w:val="center"/>
          </w:tcPr>
          <w:p w14:paraId="5A1917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018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3C9CE4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5DC0D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66A74A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6784F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56A8574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2000≤Y＜30000</w:t>
            </w:r>
          </w:p>
        </w:tc>
        <w:tc>
          <w:tcPr>
            <w:tcW w:w="1674" w:type="dxa"/>
            <w:noWrap w:val="0"/>
            <w:vAlign w:val="center"/>
          </w:tcPr>
          <w:p w14:paraId="4DC401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1E9C3B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00B6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11E2A3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住宿业</w:t>
            </w:r>
          </w:p>
        </w:tc>
        <w:tc>
          <w:tcPr>
            <w:tcW w:w="1410" w:type="dxa"/>
            <w:noWrap w:val="0"/>
            <w:vAlign w:val="center"/>
          </w:tcPr>
          <w:p w14:paraId="59F9F5D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7D47F4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10F1D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51174F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674" w:type="dxa"/>
            <w:noWrap w:val="0"/>
            <w:vAlign w:val="center"/>
          </w:tcPr>
          <w:p w14:paraId="5C7C21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61FA42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3E06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1C722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7EE946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330771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F2734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w:t>
            </w:r>
          </w:p>
        </w:tc>
        <w:tc>
          <w:tcPr>
            <w:tcW w:w="1708" w:type="dxa"/>
            <w:noWrap w:val="0"/>
            <w:vAlign w:val="center"/>
          </w:tcPr>
          <w:p w14:paraId="6A999E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674" w:type="dxa"/>
            <w:noWrap w:val="0"/>
            <w:vAlign w:val="center"/>
          </w:tcPr>
          <w:p w14:paraId="64D77CF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1E5FC6D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7BCB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369A6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餐饮业</w:t>
            </w:r>
          </w:p>
        </w:tc>
        <w:tc>
          <w:tcPr>
            <w:tcW w:w="1410" w:type="dxa"/>
            <w:noWrap w:val="0"/>
            <w:vAlign w:val="center"/>
          </w:tcPr>
          <w:p w14:paraId="229E8E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5A6C10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6B7998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6D5D94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674" w:type="dxa"/>
            <w:noWrap w:val="0"/>
            <w:vAlign w:val="center"/>
          </w:tcPr>
          <w:p w14:paraId="3580CF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09FDBD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433A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76E7C3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17B468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60F34A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532C2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w:t>
            </w:r>
          </w:p>
        </w:tc>
        <w:tc>
          <w:tcPr>
            <w:tcW w:w="1708" w:type="dxa"/>
            <w:noWrap w:val="0"/>
            <w:vAlign w:val="center"/>
          </w:tcPr>
          <w:p w14:paraId="3E0B5C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674" w:type="dxa"/>
            <w:noWrap w:val="0"/>
            <w:vAlign w:val="center"/>
          </w:tcPr>
          <w:p w14:paraId="1E43F34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25A945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0BD6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FEA66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信息传输业*</w:t>
            </w:r>
          </w:p>
        </w:tc>
        <w:tc>
          <w:tcPr>
            <w:tcW w:w="1410" w:type="dxa"/>
            <w:noWrap w:val="0"/>
            <w:vAlign w:val="center"/>
          </w:tcPr>
          <w:p w14:paraId="02EB977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7FA3C2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32C68B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X≥2000</w:t>
            </w:r>
          </w:p>
        </w:tc>
        <w:tc>
          <w:tcPr>
            <w:tcW w:w="1708" w:type="dxa"/>
            <w:noWrap w:val="0"/>
            <w:vAlign w:val="center"/>
          </w:tcPr>
          <w:p w14:paraId="6A3284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100≤X＜2000</w:t>
            </w:r>
          </w:p>
        </w:tc>
        <w:tc>
          <w:tcPr>
            <w:tcW w:w="1674" w:type="dxa"/>
            <w:noWrap w:val="0"/>
            <w:vAlign w:val="center"/>
          </w:tcPr>
          <w:p w14:paraId="3F7FFE9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7C87CC3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0660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510C9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04229D7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70BC15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319CB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Y≥100000</w:t>
            </w:r>
          </w:p>
        </w:tc>
        <w:tc>
          <w:tcPr>
            <w:tcW w:w="1708" w:type="dxa"/>
            <w:noWrap w:val="0"/>
            <w:vAlign w:val="center"/>
          </w:tcPr>
          <w:p w14:paraId="64C8DB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1000≤Y＜100000</w:t>
            </w:r>
          </w:p>
        </w:tc>
        <w:tc>
          <w:tcPr>
            <w:tcW w:w="1674" w:type="dxa"/>
            <w:noWrap w:val="0"/>
            <w:vAlign w:val="center"/>
          </w:tcPr>
          <w:p w14:paraId="5FDC15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61FAACF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281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F5217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000000" w:themeColor="text1"/>
                <w:spacing w:val="-12"/>
                <w:kern w:val="0"/>
                <w:sz w:val="21"/>
                <w:szCs w:val="21"/>
                <w:lang w:eastAsia="zh-CN"/>
                <w14:textFill>
                  <w14:solidFill>
                    <w14:schemeClr w14:val="tx1"/>
                  </w14:solidFill>
                </w14:textFill>
              </w:rPr>
            </w:pPr>
            <w:r>
              <w:rPr>
                <w:rFonts w:hint="eastAsia" w:ascii="宋体" w:hAnsi="宋体" w:eastAsia="宋体" w:cs="宋体"/>
                <w:b/>
                <w:bCs/>
                <w:color w:val="000000" w:themeColor="text1"/>
                <w:spacing w:val="-12"/>
                <w:kern w:val="0"/>
                <w:sz w:val="21"/>
                <w:szCs w:val="21"/>
                <w:lang w:eastAsia="zh-CN"/>
                <w14:textFill>
                  <w14:solidFill>
                    <w14:schemeClr w14:val="tx1"/>
                  </w14:solidFill>
                </w14:textFill>
              </w:rPr>
              <w:t>其他未列明行业</w:t>
            </w:r>
          </w:p>
        </w:tc>
        <w:tc>
          <w:tcPr>
            <w:tcW w:w="1410" w:type="dxa"/>
            <w:noWrap w:val="0"/>
            <w:vAlign w:val="center"/>
          </w:tcPr>
          <w:p w14:paraId="4DA316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从业人员(X)</w:t>
            </w:r>
          </w:p>
        </w:tc>
        <w:tc>
          <w:tcPr>
            <w:tcW w:w="1065" w:type="dxa"/>
            <w:noWrap w:val="0"/>
            <w:vAlign w:val="center"/>
          </w:tcPr>
          <w:p w14:paraId="4A3C0E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人</w:t>
            </w:r>
          </w:p>
        </w:tc>
        <w:tc>
          <w:tcPr>
            <w:tcW w:w="1217" w:type="dxa"/>
            <w:noWrap w:val="0"/>
            <w:vAlign w:val="center"/>
          </w:tcPr>
          <w:p w14:paraId="25CEDA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X≥300</w:t>
            </w:r>
          </w:p>
        </w:tc>
        <w:tc>
          <w:tcPr>
            <w:tcW w:w="1708" w:type="dxa"/>
            <w:noWrap w:val="0"/>
            <w:vAlign w:val="center"/>
          </w:tcPr>
          <w:p w14:paraId="30FEE2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100≤X＜300</w:t>
            </w:r>
          </w:p>
        </w:tc>
        <w:tc>
          <w:tcPr>
            <w:tcW w:w="1674" w:type="dxa"/>
            <w:noWrap w:val="0"/>
            <w:vAlign w:val="center"/>
          </w:tcPr>
          <w:p w14:paraId="13E0B62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10≤X＜100</w:t>
            </w:r>
          </w:p>
        </w:tc>
        <w:tc>
          <w:tcPr>
            <w:tcW w:w="1073" w:type="dxa"/>
            <w:noWrap w:val="0"/>
            <w:vAlign w:val="center"/>
          </w:tcPr>
          <w:p w14:paraId="35BEE4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X＜10</w:t>
            </w:r>
          </w:p>
        </w:tc>
      </w:tr>
      <w:tr w14:paraId="1EE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02978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000000" w:themeColor="text1"/>
                <w:spacing w:val="-12"/>
                <w:kern w:val="0"/>
                <w:sz w:val="21"/>
                <w:szCs w:val="21"/>
                <w14:textFill>
                  <w14:solidFill>
                    <w14:schemeClr w14:val="tx1"/>
                  </w14:solidFill>
                </w14:textFill>
              </w:rPr>
            </w:pPr>
          </w:p>
        </w:tc>
        <w:tc>
          <w:tcPr>
            <w:tcW w:w="1410" w:type="dxa"/>
            <w:noWrap w:val="0"/>
            <w:vAlign w:val="center"/>
          </w:tcPr>
          <w:p w14:paraId="7140620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营业收入(Y)</w:t>
            </w:r>
          </w:p>
        </w:tc>
        <w:tc>
          <w:tcPr>
            <w:tcW w:w="1065" w:type="dxa"/>
            <w:noWrap w:val="0"/>
            <w:vAlign w:val="center"/>
          </w:tcPr>
          <w:p w14:paraId="0DC579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万元</w:t>
            </w:r>
          </w:p>
        </w:tc>
        <w:tc>
          <w:tcPr>
            <w:tcW w:w="1217" w:type="dxa"/>
            <w:noWrap w:val="0"/>
            <w:vAlign w:val="center"/>
          </w:tcPr>
          <w:p w14:paraId="7B9E90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Y≥10000</w:t>
            </w:r>
          </w:p>
        </w:tc>
        <w:tc>
          <w:tcPr>
            <w:tcW w:w="1708" w:type="dxa"/>
            <w:noWrap w:val="0"/>
            <w:vAlign w:val="center"/>
          </w:tcPr>
          <w:p w14:paraId="3A061C2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1000≤Y＜10000</w:t>
            </w:r>
          </w:p>
        </w:tc>
        <w:tc>
          <w:tcPr>
            <w:tcW w:w="1674" w:type="dxa"/>
            <w:noWrap w:val="0"/>
            <w:vAlign w:val="center"/>
          </w:tcPr>
          <w:p w14:paraId="437D97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50≤Y＜1000</w:t>
            </w:r>
          </w:p>
        </w:tc>
        <w:tc>
          <w:tcPr>
            <w:tcW w:w="1073" w:type="dxa"/>
            <w:noWrap w:val="0"/>
            <w:vAlign w:val="center"/>
          </w:tcPr>
          <w:p w14:paraId="543248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Y＜50</w:t>
            </w:r>
          </w:p>
        </w:tc>
      </w:tr>
      <w:tr w14:paraId="0C5D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A8CE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房地产开发经营</w:t>
            </w:r>
          </w:p>
        </w:tc>
        <w:tc>
          <w:tcPr>
            <w:tcW w:w="1410" w:type="dxa"/>
            <w:noWrap w:val="0"/>
            <w:vAlign w:val="center"/>
          </w:tcPr>
          <w:p w14:paraId="6478BC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0AD21E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6241FF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Y≥200000</w:t>
            </w:r>
          </w:p>
        </w:tc>
        <w:tc>
          <w:tcPr>
            <w:tcW w:w="1708" w:type="dxa"/>
            <w:noWrap w:val="0"/>
            <w:vAlign w:val="center"/>
          </w:tcPr>
          <w:p w14:paraId="1A1D5C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1000≤Y＜200000</w:t>
            </w:r>
          </w:p>
        </w:tc>
        <w:tc>
          <w:tcPr>
            <w:tcW w:w="1674" w:type="dxa"/>
            <w:noWrap w:val="0"/>
            <w:vAlign w:val="center"/>
          </w:tcPr>
          <w:p w14:paraId="32BD35D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54E827F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4C71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21B7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09A90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资产总额(Z)</w:t>
            </w:r>
          </w:p>
        </w:tc>
        <w:tc>
          <w:tcPr>
            <w:tcW w:w="1065" w:type="dxa"/>
            <w:noWrap w:val="0"/>
            <w:vAlign w:val="center"/>
          </w:tcPr>
          <w:p w14:paraId="774740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27F44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Z≥10000</w:t>
            </w:r>
          </w:p>
        </w:tc>
        <w:tc>
          <w:tcPr>
            <w:tcW w:w="1708" w:type="dxa"/>
            <w:noWrap w:val="0"/>
            <w:vAlign w:val="center"/>
          </w:tcPr>
          <w:p w14:paraId="7F7516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5000≤Z＜10000</w:t>
            </w:r>
          </w:p>
        </w:tc>
        <w:tc>
          <w:tcPr>
            <w:tcW w:w="1674" w:type="dxa"/>
            <w:noWrap w:val="0"/>
            <w:vAlign w:val="center"/>
          </w:tcPr>
          <w:p w14:paraId="466745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2000≤Z＜5000</w:t>
            </w:r>
          </w:p>
        </w:tc>
        <w:tc>
          <w:tcPr>
            <w:tcW w:w="1073" w:type="dxa"/>
            <w:noWrap w:val="0"/>
            <w:vAlign w:val="center"/>
          </w:tcPr>
          <w:p w14:paraId="46C8E6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Z＜2000</w:t>
            </w:r>
          </w:p>
        </w:tc>
      </w:tr>
      <w:tr w14:paraId="59B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01FAD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物业管理</w:t>
            </w:r>
          </w:p>
        </w:tc>
        <w:tc>
          <w:tcPr>
            <w:tcW w:w="1410" w:type="dxa"/>
            <w:noWrap w:val="0"/>
            <w:vAlign w:val="center"/>
          </w:tcPr>
          <w:p w14:paraId="5F78C2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A0BB5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24DEA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7A71CB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6F07B05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073" w:type="dxa"/>
            <w:noWrap w:val="0"/>
            <w:vAlign w:val="center"/>
          </w:tcPr>
          <w:p w14:paraId="4E6929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w:t>
            </w:r>
          </w:p>
        </w:tc>
      </w:tr>
      <w:tr w14:paraId="12E5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A09FE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1CC02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32F634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D6A45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Y≥5000</w:t>
            </w:r>
          </w:p>
        </w:tc>
        <w:tc>
          <w:tcPr>
            <w:tcW w:w="1708" w:type="dxa"/>
            <w:noWrap w:val="0"/>
            <w:vAlign w:val="center"/>
          </w:tcPr>
          <w:p w14:paraId="1B911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674" w:type="dxa"/>
            <w:noWrap w:val="0"/>
            <w:vAlign w:val="center"/>
          </w:tcPr>
          <w:p w14:paraId="6D12DA8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500≤Y＜1000</w:t>
            </w:r>
          </w:p>
        </w:tc>
        <w:tc>
          <w:tcPr>
            <w:tcW w:w="1073" w:type="dxa"/>
            <w:noWrap w:val="0"/>
            <w:vAlign w:val="center"/>
          </w:tcPr>
          <w:p w14:paraId="79F0A18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Y＜500</w:t>
            </w:r>
          </w:p>
        </w:tc>
      </w:tr>
      <w:tr w14:paraId="20B1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25A6E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租赁和商务服务业</w:t>
            </w:r>
          </w:p>
        </w:tc>
        <w:tc>
          <w:tcPr>
            <w:tcW w:w="1410" w:type="dxa"/>
            <w:noWrap w:val="0"/>
            <w:vAlign w:val="center"/>
          </w:tcPr>
          <w:p w14:paraId="49A3CF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0574944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5569FF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X≥300</w:t>
            </w:r>
          </w:p>
        </w:tc>
        <w:tc>
          <w:tcPr>
            <w:tcW w:w="1708" w:type="dxa"/>
            <w:noWrap w:val="0"/>
            <w:vAlign w:val="center"/>
          </w:tcPr>
          <w:p w14:paraId="1F0731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100≤X＜300</w:t>
            </w:r>
          </w:p>
        </w:tc>
        <w:tc>
          <w:tcPr>
            <w:tcW w:w="1674" w:type="dxa"/>
            <w:noWrap w:val="0"/>
            <w:vAlign w:val="center"/>
          </w:tcPr>
          <w:p w14:paraId="1EB732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10≤X＜100</w:t>
            </w:r>
          </w:p>
        </w:tc>
        <w:tc>
          <w:tcPr>
            <w:tcW w:w="1073" w:type="dxa"/>
            <w:noWrap w:val="0"/>
            <w:vAlign w:val="center"/>
          </w:tcPr>
          <w:p w14:paraId="35F051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w:t>
            </w:r>
          </w:p>
        </w:tc>
      </w:tr>
      <w:tr w14:paraId="70E6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62C000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273F414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资产总额(Z)</w:t>
            </w:r>
          </w:p>
        </w:tc>
        <w:tc>
          <w:tcPr>
            <w:tcW w:w="1065" w:type="dxa"/>
            <w:noWrap w:val="0"/>
            <w:vAlign w:val="center"/>
          </w:tcPr>
          <w:p w14:paraId="20B435A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0E1E90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Z≥120000</w:t>
            </w:r>
          </w:p>
        </w:tc>
        <w:tc>
          <w:tcPr>
            <w:tcW w:w="1708" w:type="dxa"/>
            <w:noWrap w:val="0"/>
            <w:vAlign w:val="center"/>
          </w:tcPr>
          <w:p w14:paraId="022F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8000≤Z＜120000</w:t>
            </w:r>
          </w:p>
        </w:tc>
        <w:tc>
          <w:tcPr>
            <w:tcW w:w="1674" w:type="dxa"/>
            <w:noWrap w:val="0"/>
            <w:vAlign w:val="center"/>
          </w:tcPr>
          <w:p w14:paraId="5F2DE8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100≤Z＜8000</w:t>
            </w:r>
          </w:p>
        </w:tc>
        <w:tc>
          <w:tcPr>
            <w:tcW w:w="1073" w:type="dxa"/>
            <w:noWrap w:val="0"/>
            <w:vAlign w:val="center"/>
          </w:tcPr>
          <w:p w14:paraId="611A409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Z＜100</w:t>
            </w:r>
          </w:p>
        </w:tc>
      </w:tr>
      <w:tr w14:paraId="445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242C45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其他未列明行业*</w:t>
            </w:r>
          </w:p>
        </w:tc>
        <w:tc>
          <w:tcPr>
            <w:tcW w:w="1410" w:type="dxa"/>
            <w:noWrap w:val="0"/>
            <w:vAlign w:val="center"/>
          </w:tcPr>
          <w:p w14:paraId="7FF060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6815F5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016EDF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X≥300</w:t>
            </w:r>
          </w:p>
        </w:tc>
        <w:tc>
          <w:tcPr>
            <w:tcW w:w="1708" w:type="dxa"/>
            <w:noWrap w:val="0"/>
            <w:vAlign w:val="center"/>
          </w:tcPr>
          <w:p w14:paraId="3F9EE4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100≤X＜300</w:t>
            </w:r>
          </w:p>
        </w:tc>
        <w:tc>
          <w:tcPr>
            <w:tcW w:w="1674" w:type="dxa"/>
            <w:noWrap w:val="0"/>
            <w:vAlign w:val="center"/>
          </w:tcPr>
          <w:p w14:paraId="510EA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10≤X＜100</w:t>
            </w:r>
          </w:p>
        </w:tc>
        <w:tc>
          <w:tcPr>
            <w:tcW w:w="1073" w:type="dxa"/>
            <w:noWrap w:val="0"/>
            <w:vAlign w:val="center"/>
          </w:tcPr>
          <w:p w14:paraId="1319DF0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w:t>
            </w:r>
          </w:p>
        </w:tc>
      </w:tr>
    </w:tbl>
    <w:p w14:paraId="2A789864">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11C83F0">
      <w:pPr>
        <w:widowControl/>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b/>
          <w:bCs/>
          <w:color w:val="000000" w:themeColor="text1"/>
          <w:spacing w:val="8"/>
          <w:kern w:val="0"/>
          <w:sz w:val="24"/>
          <w:szCs w:val="24"/>
          <w14:textFill>
            <w14:solidFill>
              <w14:schemeClr w14:val="tx1"/>
            </w14:solidFill>
          </w14:textFill>
        </w:rPr>
        <w:t>说明：</w:t>
      </w:r>
    </w:p>
    <w:p w14:paraId="569E8706">
      <w:pPr>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1.大型、中型和小型企业须同时满足所列指标的</w:t>
      </w:r>
      <w:r>
        <w:rPr>
          <w:rFonts w:hint="eastAsia" w:ascii="宋体" w:hAnsi="宋体" w:eastAsia="宋体" w:cs="宋体"/>
          <w:b/>
          <w:bCs/>
          <w:color w:val="000000" w:themeColor="text1"/>
          <w:spacing w:val="8"/>
          <w:kern w:val="0"/>
          <w:sz w:val="24"/>
          <w:szCs w:val="24"/>
          <w14:textFill>
            <w14:solidFill>
              <w14:schemeClr w14:val="tx1"/>
            </w14:solidFill>
          </w14:textFill>
        </w:rPr>
        <w:t>下限</w:t>
      </w:r>
      <w:r>
        <w:rPr>
          <w:rFonts w:hint="eastAsia" w:ascii="宋体" w:hAnsi="宋体" w:eastAsia="宋体" w:cs="宋体"/>
          <w:color w:val="000000" w:themeColor="text1"/>
          <w:spacing w:val="8"/>
          <w:kern w:val="0"/>
          <w:sz w:val="24"/>
          <w:szCs w:val="24"/>
          <w14:textFill>
            <w14:solidFill>
              <w14:schemeClr w14:val="tx1"/>
            </w14:solidFill>
          </w14:textFill>
        </w:rPr>
        <w:t>，</w:t>
      </w:r>
      <w:r>
        <w:rPr>
          <w:rFonts w:hint="eastAsia" w:ascii="宋体" w:hAnsi="宋体" w:eastAsia="宋体" w:cs="宋体"/>
          <w:b/>
          <w:bCs/>
          <w:color w:val="000000" w:themeColor="text1"/>
          <w:spacing w:val="8"/>
          <w:kern w:val="0"/>
          <w:sz w:val="24"/>
          <w:szCs w:val="24"/>
          <w14:textFill>
            <w14:solidFill>
              <w14:schemeClr w14:val="tx1"/>
            </w14:solidFill>
          </w14:textFill>
        </w:rPr>
        <w:t>否则下划一档</w:t>
      </w:r>
      <w:r>
        <w:rPr>
          <w:rFonts w:hint="eastAsia" w:ascii="宋体" w:hAnsi="宋体" w:eastAsia="宋体" w:cs="宋体"/>
          <w:color w:val="000000" w:themeColor="text1"/>
          <w:spacing w:val="8"/>
          <w:kern w:val="0"/>
          <w:sz w:val="24"/>
          <w:szCs w:val="24"/>
          <w14:textFill>
            <w14:solidFill>
              <w14:schemeClr w14:val="tx1"/>
            </w14:solidFill>
          </w14:textFill>
        </w:rPr>
        <w:t>；微型企业只须满足所列指标中的</w:t>
      </w:r>
      <w:r>
        <w:rPr>
          <w:rFonts w:hint="eastAsia" w:ascii="宋体" w:hAnsi="宋体" w:eastAsia="宋体" w:cs="宋体"/>
          <w:b/>
          <w:bCs/>
          <w:color w:val="000000" w:themeColor="text1"/>
          <w:spacing w:val="8"/>
          <w:kern w:val="0"/>
          <w:sz w:val="24"/>
          <w:szCs w:val="24"/>
          <w14:textFill>
            <w14:solidFill>
              <w14:schemeClr w14:val="tx1"/>
            </w14:solidFill>
          </w14:textFill>
        </w:rPr>
        <w:t>一项</w:t>
      </w:r>
      <w:r>
        <w:rPr>
          <w:rFonts w:hint="eastAsia" w:ascii="宋体" w:hAnsi="宋体" w:eastAsia="宋体" w:cs="宋体"/>
          <w:color w:val="000000" w:themeColor="text1"/>
          <w:spacing w:val="8"/>
          <w:kern w:val="0"/>
          <w:sz w:val="24"/>
          <w:szCs w:val="24"/>
          <w14:textFill>
            <w14:solidFill>
              <w14:schemeClr w14:val="tx1"/>
            </w14:solidFill>
          </w14:textFill>
        </w:rPr>
        <w:t>即可。</w:t>
      </w:r>
    </w:p>
    <w:p w14:paraId="6267ED0F">
      <w:pPr>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2.附表中各行业的范围以《国民经济行业分类》（GB/T4754-2017）为准。带*的项为行业组合类别，其中，</w:t>
      </w:r>
      <w:r>
        <w:rPr>
          <w:rFonts w:hint="eastAsia" w:ascii="宋体" w:hAnsi="宋体" w:eastAsia="宋体" w:cs="宋体"/>
          <w:b/>
          <w:bCs/>
          <w:color w:val="000000" w:themeColor="text1"/>
          <w:spacing w:val="8"/>
          <w:kern w:val="0"/>
          <w:sz w:val="24"/>
          <w:szCs w:val="24"/>
          <w14:textFill>
            <w14:solidFill>
              <w14:schemeClr w14:val="tx1"/>
            </w14:solidFill>
          </w14:textFill>
        </w:rPr>
        <w:t>工业</w:t>
      </w:r>
      <w:r>
        <w:rPr>
          <w:rFonts w:hint="eastAsia" w:ascii="宋体" w:hAnsi="宋体" w:eastAsia="宋体" w:cs="宋体"/>
          <w:color w:val="000000" w:themeColor="text1"/>
          <w:spacing w:val="8"/>
          <w:kern w:val="0"/>
          <w:sz w:val="24"/>
          <w:szCs w:val="24"/>
          <w14:textFill>
            <w14:solidFill>
              <w14:schemeClr w14:val="tx1"/>
            </w14:solidFill>
          </w14:textFill>
        </w:rPr>
        <w:t>包括采矿业，制造业，电力、热力、燃气及水生产和供应业；</w:t>
      </w:r>
      <w:r>
        <w:rPr>
          <w:rFonts w:hint="eastAsia" w:ascii="宋体" w:hAnsi="宋体" w:eastAsia="宋体" w:cs="宋体"/>
          <w:b/>
          <w:bCs/>
          <w:color w:val="000000" w:themeColor="text1"/>
          <w:spacing w:val="8"/>
          <w:kern w:val="0"/>
          <w:sz w:val="24"/>
          <w:szCs w:val="24"/>
          <w14:textFill>
            <w14:solidFill>
              <w14:schemeClr w14:val="tx1"/>
            </w14:solidFill>
          </w14:textFill>
        </w:rPr>
        <w:t>交通运输业</w:t>
      </w:r>
      <w:r>
        <w:rPr>
          <w:rFonts w:hint="eastAsia" w:ascii="宋体" w:hAnsi="宋体" w:eastAsia="宋体" w:cs="宋体"/>
          <w:color w:val="000000" w:themeColor="text1"/>
          <w:spacing w:val="8"/>
          <w:kern w:val="0"/>
          <w:sz w:val="24"/>
          <w:szCs w:val="24"/>
          <w14:textFill>
            <w14:solidFill>
              <w14:schemeClr w14:val="tx1"/>
            </w14:solidFill>
          </w14:textFill>
        </w:rPr>
        <w:t>包括道路运输业，水上运输业，航空运输业，管道运输业，多式联运和运输代理业、装卸搬运，不包括铁路运输业；</w:t>
      </w:r>
      <w:r>
        <w:rPr>
          <w:rFonts w:hint="eastAsia" w:ascii="宋体" w:hAnsi="宋体" w:eastAsia="宋体" w:cs="宋体"/>
          <w:b/>
          <w:bCs/>
          <w:color w:val="000000" w:themeColor="text1"/>
          <w:spacing w:val="8"/>
          <w:kern w:val="0"/>
          <w:sz w:val="24"/>
          <w:szCs w:val="24"/>
          <w14:textFill>
            <w14:solidFill>
              <w14:schemeClr w14:val="tx1"/>
            </w14:solidFill>
          </w14:textFill>
        </w:rPr>
        <w:t>仓储业</w:t>
      </w:r>
      <w:r>
        <w:rPr>
          <w:rFonts w:hint="eastAsia" w:ascii="宋体" w:hAnsi="宋体" w:eastAsia="宋体" w:cs="宋体"/>
          <w:color w:val="000000" w:themeColor="text1"/>
          <w:spacing w:val="8"/>
          <w:kern w:val="0"/>
          <w:sz w:val="24"/>
          <w:szCs w:val="24"/>
          <w14:textFill>
            <w14:solidFill>
              <w14:schemeClr w14:val="tx1"/>
            </w14:solidFill>
          </w14:textFill>
        </w:rPr>
        <w:t>包括通用仓储，低温仓储，危险品仓储，谷物、棉花等农产品仓储，中药材仓储和其他仓储业</w:t>
      </w:r>
      <w:r>
        <w:rPr>
          <w:rFonts w:hint="eastAsia" w:ascii="宋体" w:hAnsi="宋体" w:eastAsia="宋体" w:cs="宋体"/>
          <w:color w:val="000000" w:themeColor="text1"/>
          <w:spacing w:val="8"/>
          <w:kern w:val="0"/>
          <w:sz w:val="24"/>
          <w:szCs w:val="24"/>
          <w:lang w:eastAsia="zh-CN"/>
          <w14:textFill>
            <w14:solidFill>
              <w14:schemeClr w14:val="tx1"/>
            </w14:solidFill>
          </w14:textFill>
        </w:rPr>
        <w:t>；</w:t>
      </w:r>
      <w:r>
        <w:rPr>
          <w:rFonts w:hint="eastAsia" w:ascii="宋体" w:hAnsi="宋体" w:eastAsia="宋体" w:cs="宋体"/>
          <w:b/>
          <w:bCs/>
          <w:color w:val="000000" w:themeColor="text1"/>
          <w:spacing w:val="8"/>
          <w:kern w:val="0"/>
          <w:sz w:val="24"/>
          <w:szCs w:val="24"/>
          <w14:textFill>
            <w14:solidFill>
              <w14:schemeClr w14:val="tx1"/>
            </w14:solidFill>
          </w14:textFill>
        </w:rPr>
        <w:t>信息传输业</w:t>
      </w:r>
      <w:r>
        <w:rPr>
          <w:rFonts w:hint="eastAsia" w:ascii="宋体" w:hAnsi="宋体" w:eastAsia="宋体" w:cs="宋体"/>
          <w:color w:val="000000" w:themeColor="text1"/>
          <w:spacing w:val="8"/>
          <w:kern w:val="0"/>
          <w:sz w:val="24"/>
          <w:szCs w:val="24"/>
          <w14:textFill>
            <w14:solidFill>
              <w14:schemeClr w14:val="tx1"/>
            </w14:solidFill>
          </w14:textFill>
        </w:rPr>
        <w:t>包括电信、广播电视和卫星传输服务，互联网和相关服务；</w:t>
      </w:r>
      <w:r>
        <w:rPr>
          <w:rFonts w:hint="eastAsia" w:ascii="宋体" w:hAnsi="宋体" w:eastAsia="宋体" w:cs="宋体"/>
          <w:b/>
          <w:bCs/>
          <w:color w:val="000000" w:themeColor="text1"/>
          <w:spacing w:val="8"/>
          <w:kern w:val="0"/>
          <w:sz w:val="24"/>
          <w:szCs w:val="24"/>
          <w14:textFill>
            <w14:solidFill>
              <w14:schemeClr w14:val="tx1"/>
            </w14:solidFill>
          </w14:textFill>
        </w:rPr>
        <w:t>其他未列明行业</w:t>
      </w:r>
      <w:r>
        <w:rPr>
          <w:rFonts w:hint="eastAsia" w:ascii="宋体" w:hAnsi="宋体" w:eastAsia="宋体" w:cs="宋体"/>
          <w:color w:val="000000" w:themeColor="text1"/>
          <w:spacing w:val="8"/>
          <w:kern w:val="0"/>
          <w:sz w:val="24"/>
          <w:szCs w:val="24"/>
          <w14:textFill>
            <w14:solidFill>
              <w14:schemeClr w14:val="tx1"/>
            </w14:solidFill>
          </w14:textFill>
        </w:rPr>
        <w:t>包括科学研究和技术服务业，水利、环境和公共设施管理业，居民服务、修理和其他服务业，社会工作，文化、体育和娱乐业，以及房地产中介服务，其他房地产业等，不包括自有房地产经营活动。</w:t>
      </w:r>
    </w:p>
    <w:p w14:paraId="5D4DBE57">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3.企业划分指标以现行统计制度为准。（1）</w:t>
      </w:r>
      <w:r>
        <w:rPr>
          <w:rFonts w:hint="eastAsia" w:ascii="宋体" w:hAnsi="宋体" w:eastAsia="宋体" w:cs="宋体"/>
          <w:b/>
          <w:bCs/>
          <w:color w:val="000000" w:themeColor="text1"/>
          <w:spacing w:val="8"/>
          <w:kern w:val="0"/>
          <w:sz w:val="24"/>
          <w:szCs w:val="24"/>
          <w14:textFill>
            <w14:solidFill>
              <w14:schemeClr w14:val="tx1"/>
            </w14:solidFill>
          </w14:textFill>
        </w:rPr>
        <w:t>从业人员</w:t>
      </w:r>
      <w:r>
        <w:rPr>
          <w:rFonts w:hint="eastAsia" w:ascii="宋体" w:hAnsi="宋体" w:eastAsia="宋体" w:cs="宋体"/>
          <w:color w:val="000000" w:themeColor="text1"/>
          <w:spacing w:val="8"/>
          <w:kern w:val="0"/>
          <w:sz w:val="24"/>
          <w:szCs w:val="24"/>
          <w14:textFill>
            <w14:solidFill>
              <w14:schemeClr w14:val="tx1"/>
            </w14:solidFill>
          </w14:textFill>
        </w:rPr>
        <w:t>，是指期末从业人员数，没有期末从业人员数的，采用全年平均人员数代替。（2）</w:t>
      </w:r>
      <w:r>
        <w:rPr>
          <w:rFonts w:hint="eastAsia" w:ascii="宋体" w:hAnsi="宋体" w:eastAsia="宋体" w:cs="宋体"/>
          <w:b/>
          <w:bCs/>
          <w:color w:val="000000" w:themeColor="text1"/>
          <w:spacing w:val="8"/>
          <w:kern w:val="0"/>
          <w:sz w:val="24"/>
          <w:szCs w:val="24"/>
          <w14:textFill>
            <w14:solidFill>
              <w14:schemeClr w14:val="tx1"/>
            </w14:solidFill>
          </w14:textFill>
        </w:rPr>
        <w:t>营业收入</w:t>
      </w:r>
      <w:r>
        <w:rPr>
          <w:rFonts w:hint="eastAsia" w:ascii="宋体" w:hAnsi="宋体" w:eastAsia="宋体" w:cs="宋体"/>
          <w:color w:val="000000" w:themeColor="text1"/>
          <w:spacing w:val="8"/>
          <w:kern w:val="0"/>
          <w:sz w:val="24"/>
          <w:szCs w:val="24"/>
          <w14:textFill>
            <w14:solidFill>
              <w14:schemeClr w14:val="tx1"/>
            </w14:solidFill>
          </w14:textFill>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000000" w:themeColor="text1"/>
          <w:spacing w:val="8"/>
          <w:kern w:val="0"/>
          <w:sz w:val="24"/>
          <w:szCs w:val="24"/>
          <w14:textFill>
            <w14:solidFill>
              <w14:schemeClr w14:val="tx1"/>
            </w14:solidFill>
          </w14:textFill>
        </w:rPr>
        <w:t>资产总额</w:t>
      </w:r>
      <w:r>
        <w:rPr>
          <w:rFonts w:hint="eastAsia" w:ascii="宋体" w:hAnsi="宋体" w:eastAsia="宋体" w:cs="宋体"/>
          <w:color w:val="000000" w:themeColor="text1"/>
          <w:spacing w:val="8"/>
          <w:kern w:val="0"/>
          <w:sz w:val="24"/>
          <w:szCs w:val="24"/>
          <w14:textFill>
            <w14:solidFill>
              <w14:schemeClr w14:val="tx1"/>
            </w14:solidFill>
          </w14:textFill>
        </w:rPr>
        <w:t>，采用资产总计代替。</w:t>
      </w:r>
    </w:p>
    <w:p w14:paraId="15D09DED">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BC1AA4E">
      <w:pPr>
        <w:widowControl/>
        <w:snapToGrid w:val="0"/>
        <w:spacing w:line="360" w:lineRule="auto"/>
        <w:ind w:firstLine="0" w:firstLineChars="0"/>
        <w:outlineLvl w:val="1"/>
        <w:rPr>
          <w:rFonts w:hint="eastAsia" w:ascii="宋体" w:hAnsi="宋体" w:eastAsia="宋体" w:cs="宋体"/>
          <w:b/>
          <w:color w:val="000000" w:themeColor="text1"/>
          <w:sz w:val="24"/>
          <w:szCs w:val="24"/>
          <w:lang w:val="en-US" w:eastAsia="zh-CN" w:bidi="ar-SA"/>
          <w14:textFill>
            <w14:solidFill>
              <w14:schemeClr w14:val="tx1"/>
            </w14:solidFill>
          </w14:textFill>
        </w:rPr>
      </w:pPr>
      <w:bookmarkStart w:id="226" w:name="_Toc21020"/>
      <w:r>
        <w:rPr>
          <w:rFonts w:hint="eastAsia" w:ascii="宋体" w:hAnsi="宋体" w:eastAsia="宋体" w:cs="宋体"/>
          <w:b/>
          <w:color w:val="000000" w:themeColor="text1"/>
          <w:sz w:val="24"/>
          <w:szCs w:val="24"/>
          <w:lang w:val="en-US" w:eastAsia="zh-CN" w:bidi="ar-SA"/>
          <w14:textFill>
            <w14:solidFill>
              <w14:schemeClr w14:val="tx1"/>
            </w14:solidFill>
          </w14:textFill>
        </w:rPr>
        <w:t>附件16：</w:t>
      </w:r>
      <w:r>
        <w:rPr>
          <w:rFonts w:hint="eastAsia" w:ascii="宋体" w:hAnsi="宋体" w:eastAsia="宋体" w:cs="宋体"/>
          <w:b/>
          <w:color w:val="000000" w:themeColor="text1"/>
          <w:sz w:val="24"/>
          <w:szCs w:val="24"/>
          <w:lang w:val="zh-CN" w:eastAsia="zh-CN" w:bidi="ar-SA"/>
          <w14:textFill>
            <w14:solidFill>
              <w14:schemeClr w14:val="tx1"/>
            </w14:solidFill>
          </w14:textFill>
        </w:rPr>
        <w:t>残疾人</w:t>
      </w:r>
      <w:r>
        <w:rPr>
          <w:rFonts w:hint="eastAsia" w:ascii="宋体" w:hAnsi="宋体" w:eastAsia="宋体" w:cs="宋体"/>
          <w:b/>
          <w:color w:val="000000" w:themeColor="text1"/>
          <w:sz w:val="24"/>
          <w:szCs w:val="24"/>
          <w:lang w:val="en-US" w:eastAsia="zh-CN" w:bidi="ar-SA"/>
          <w14:textFill>
            <w14:solidFill>
              <w14:schemeClr w14:val="tx1"/>
            </w14:solidFill>
          </w14:textFill>
        </w:rPr>
        <w:t>福利性单位声明函</w:t>
      </w:r>
      <w:bookmarkEnd w:id="226"/>
    </w:p>
    <w:p w14:paraId="3D497D4A">
      <w:pPr>
        <w:pStyle w:val="32"/>
        <w:rPr>
          <w:rFonts w:hint="eastAsia" w:ascii="宋体" w:hAnsi="宋体" w:eastAsia="宋体" w:cs="宋体"/>
          <w:b/>
          <w:color w:val="000000" w:themeColor="text1"/>
          <w:sz w:val="24"/>
          <w:szCs w:val="24"/>
          <w:lang w:val="en-US" w:eastAsia="zh-CN" w:bidi="ar-SA"/>
          <w14:textFill>
            <w14:solidFill>
              <w14:schemeClr w14:val="tx1"/>
            </w14:solidFill>
          </w14:textFill>
        </w:rPr>
      </w:pPr>
    </w:p>
    <w:p w14:paraId="401E8AC4">
      <w:pPr>
        <w:autoSpaceDE w:val="0"/>
        <w:autoSpaceDN w:val="0"/>
        <w:spacing w:line="360" w:lineRule="auto"/>
        <w:jc w:val="center"/>
        <w:rPr>
          <w:rFonts w:hint="eastAsia" w:ascii="宋体" w:hAnsi="宋体" w:eastAsia="宋体" w:cs="宋体"/>
          <w:b/>
          <w:bCs/>
          <w:color w:val="000000" w:themeColor="text1"/>
          <w:kern w:val="0"/>
          <w:sz w:val="28"/>
          <w:szCs w:val="28"/>
          <w:lang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残疾人福利性单位声明函</w:t>
      </w:r>
    </w:p>
    <w:p w14:paraId="04255AE7">
      <w:pPr>
        <w:spacing w:after="120" w:afterLines="50" w:line="360" w:lineRule="auto"/>
        <w:rPr>
          <w:rFonts w:hint="eastAsia" w:ascii="宋体" w:hAnsi="宋体" w:eastAsia="宋体" w:cs="宋体"/>
          <w:b/>
          <w:bCs/>
          <w:color w:val="000000" w:themeColor="text1"/>
          <w:sz w:val="24"/>
          <w:szCs w:val="24"/>
          <w14:textFill>
            <w14:solidFill>
              <w14:schemeClr w14:val="tx1"/>
            </w14:solidFill>
          </w14:textFill>
        </w:rPr>
      </w:pPr>
    </w:p>
    <w:p w14:paraId="013627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青海华景工程项目管理有限公司</w:t>
      </w:r>
    </w:p>
    <w:p w14:paraId="1863F189">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5FA55C52">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72903714">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p>
    <w:p w14:paraId="0E0731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14:paraId="04604CE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p>
    <w:p w14:paraId="05297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企业名称：</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2672B72C">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企业法定代表人：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A5E33A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年   月   日</w:t>
      </w:r>
    </w:p>
    <w:p w14:paraId="5123A96A">
      <w:pPr>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p>
    <w:p w14:paraId="631728B6">
      <w:pPr>
        <w:spacing w:line="360" w:lineRule="auto"/>
        <w:ind w:firstLine="0" w:firstLineChars="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注：</w:t>
      </w:r>
      <w:r>
        <w:rPr>
          <w:rFonts w:hint="eastAsia" w:ascii="宋体" w:hAnsi="宋体" w:eastAsia="宋体" w:cs="宋体"/>
          <w:color w:val="000000" w:themeColor="text1"/>
          <w:kern w:val="2"/>
          <w:sz w:val="24"/>
          <w:szCs w:val="24"/>
          <w:lang w:val="en-US" w:eastAsia="zh-CN"/>
          <w14:textFill>
            <w14:solidFill>
              <w14:schemeClr w14:val="tx1"/>
            </w14:solidFill>
          </w14:textFill>
        </w:rPr>
        <w:t>1.成交供应商为残疾人福利性单位的，采购代理机构应当随成交结果同时公告其《残疾人福利性单位声明函》。</w:t>
      </w:r>
    </w:p>
    <w:p w14:paraId="22FDCA4F">
      <w:pPr>
        <w:ind w:firstLine="482"/>
        <w:jc w:val="both"/>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14:textFill>
            <w14:solidFill>
              <w14:schemeClr w14:val="tx1"/>
            </w14:solidFill>
          </w14:textFill>
        </w:rPr>
        <w:t>若无此项内容，可不提供此函。</w:t>
      </w:r>
    </w:p>
    <w:p w14:paraId="4831AC0A">
      <w:pPr>
        <w:ind w:left="0" w:leftChars="0" w:firstLine="0" w:firstLineChars="0"/>
        <w:outlineLvl w:val="1"/>
        <w:rPr>
          <w:rFonts w:hint="eastAsia"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bookmarkStart w:id="227" w:name="_Toc8780"/>
      <w:r>
        <w:rPr>
          <w:rFonts w:hint="eastAsia" w:ascii="宋体" w:hAnsi="宋体" w:eastAsia="宋体" w:cs="宋体"/>
          <w:b/>
          <w:color w:val="000000" w:themeColor="text1"/>
          <w:sz w:val="24"/>
          <w:szCs w:val="24"/>
          <w:lang w:val="en-US" w:eastAsia="zh-CN" w:bidi="ar-SA"/>
          <w14:textFill>
            <w14:solidFill>
              <w14:schemeClr w14:val="tx1"/>
            </w14:solidFill>
          </w14:textFill>
        </w:rPr>
        <w:t>附件17：监狱企业证明材料</w:t>
      </w:r>
      <w:bookmarkEnd w:id="227"/>
    </w:p>
    <w:p w14:paraId="3C2838F2">
      <w:pPr>
        <w:rPr>
          <w:rFonts w:hint="eastAsia" w:ascii="宋体" w:hAnsi="宋体" w:eastAsia="宋体" w:cs="宋体"/>
          <w:color w:val="000000" w:themeColor="text1"/>
          <w14:textFill>
            <w14:solidFill>
              <w14:schemeClr w14:val="tx1"/>
            </w14:solidFill>
          </w14:textFill>
        </w:rPr>
      </w:pPr>
    </w:p>
    <w:p w14:paraId="5E5DDC44">
      <w:pPr>
        <w:spacing w:line="360" w:lineRule="auto"/>
        <w:ind w:firstLine="480" w:firstLineChars="20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1A4D8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14:paraId="02E5190B">
      <w:pPr>
        <w:spacing w:line="360" w:lineRule="auto"/>
        <w:rPr>
          <w:rFonts w:hint="eastAsia" w:ascii="宋体" w:hAnsi="宋体" w:eastAsia="宋体" w:cs="宋体"/>
          <w:color w:val="000000" w:themeColor="text1"/>
          <w:sz w:val="24"/>
          <w:szCs w:val="24"/>
          <w14:textFill>
            <w14:solidFill>
              <w14:schemeClr w14:val="tx1"/>
            </w14:solidFill>
          </w14:textFill>
        </w:rPr>
      </w:pPr>
    </w:p>
    <w:p w14:paraId="50147DC2">
      <w:pPr>
        <w:spacing w:line="360" w:lineRule="auto"/>
        <w:rPr>
          <w:rFonts w:hint="eastAsia" w:ascii="宋体" w:hAnsi="宋体" w:eastAsia="宋体" w:cs="宋体"/>
          <w:color w:val="000000" w:themeColor="text1"/>
          <w:sz w:val="24"/>
          <w:szCs w:val="24"/>
          <w14:textFill>
            <w14:solidFill>
              <w14:schemeClr w14:val="tx1"/>
            </w14:solidFill>
          </w14:textFill>
        </w:rPr>
      </w:pPr>
    </w:p>
    <w:p w14:paraId="0E41C79A">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注：若无此项内容，可不提供。</w:t>
      </w:r>
    </w:p>
    <w:p w14:paraId="67940701">
      <w:pPr>
        <w:rPr>
          <w:rFonts w:hint="eastAsia" w:ascii="宋体" w:hAnsi="宋体" w:eastAsia="宋体" w:cs="宋体"/>
          <w:color w:val="000000" w:themeColor="text1"/>
          <w:sz w:val="24"/>
          <w:szCs w:val="24"/>
          <w14:textFill>
            <w14:solidFill>
              <w14:schemeClr w14:val="tx1"/>
            </w14:solidFill>
          </w14:textFill>
        </w:rPr>
      </w:pPr>
    </w:p>
    <w:p w14:paraId="4D4DF6C8">
      <w:pPr>
        <w:rPr>
          <w:rFonts w:hint="eastAsia" w:ascii="宋体" w:hAnsi="宋体" w:eastAsia="宋体" w:cs="宋体"/>
          <w:color w:val="000000" w:themeColor="text1"/>
          <w:sz w:val="24"/>
          <w:szCs w:val="24"/>
          <w14:textFill>
            <w14:solidFill>
              <w14:schemeClr w14:val="tx1"/>
            </w14:solidFill>
          </w14:textFill>
        </w:rPr>
      </w:pPr>
    </w:p>
    <w:p w14:paraId="746BD7CC">
      <w:pPr>
        <w:rPr>
          <w:rFonts w:hint="eastAsia" w:ascii="宋体" w:hAnsi="宋体" w:eastAsia="宋体" w:cs="宋体"/>
          <w:color w:val="000000" w:themeColor="text1"/>
          <w:sz w:val="24"/>
          <w:szCs w:val="24"/>
          <w14:textFill>
            <w14:solidFill>
              <w14:schemeClr w14:val="tx1"/>
            </w14:solidFill>
          </w14:textFill>
        </w:rPr>
      </w:pPr>
    </w:p>
    <w:p w14:paraId="42413187">
      <w:pPr>
        <w:rPr>
          <w:rFonts w:hint="eastAsia" w:ascii="宋体" w:hAnsi="宋体" w:eastAsia="宋体" w:cs="宋体"/>
          <w:color w:val="000000" w:themeColor="text1"/>
          <w:sz w:val="24"/>
          <w:szCs w:val="24"/>
          <w14:textFill>
            <w14:solidFill>
              <w14:schemeClr w14:val="tx1"/>
            </w14:solidFill>
          </w14:textFill>
        </w:rPr>
      </w:pPr>
    </w:p>
    <w:p w14:paraId="222BFF55">
      <w:pPr>
        <w:rPr>
          <w:rFonts w:hint="eastAsia" w:ascii="宋体" w:hAnsi="宋体" w:eastAsia="宋体" w:cs="宋体"/>
          <w:color w:val="000000" w:themeColor="text1"/>
          <w:sz w:val="24"/>
          <w:szCs w:val="24"/>
          <w14:textFill>
            <w14:solidFill>
              <w14:schemeClr w14:val="tx1"/>
            </w14:solidFill>
          </w14:textFill>
        </w:rPr>
      </w:pPr>
    </w:p>
    <w:p w14:paraId="0E49A454">
      <w:pPr>
        <w:rPr>
          <w:rFonts w:hint="eastAsia" w:ascii="宋体" w:hAnsi="宋体" w:eastAsia="宋体" w:cs="宋体"/>
          <w:color w:val="000000" w:themeColor="text1"/>
          <w:sz w:val="24"/>
          <w:szCs w:val="24"/>
          <w14:textFill>
            <w14:solidFill>
              <w14:schemeClr w14:val="tx1"/>
            </w14:solidFill>
          </w14:textFill>
        </w:rPr>
      </w:pPr>
    </w:p>
    <w:p w14:paraId="22D0F5A5">
      <w:pPr>
        <w:rPr>
          <w:rFonts w:hint="eastAsia" w:ascii="宋体" w:hAnsi="宋体" w:eastAsia="宋体" w:cs="宋体"/>
          <w:color w:val="000000" w:themeColor="text1"/>
          <w:sz w:val="24"/>
          <w:szCs w:val="24"/>
          <w14:textFill>
            <w14:solidFill>
              <w14:schemeClr w14:val="tx1"/>
            </w14:solidFill>
          </w14:textFill>
        </w:rPr>
      </w:pPr>
    </w:p>
    <w:p w14:paraId="43CEA9D7">
      <w:pPr>
        <w:rPr>
          <w:rFonts w:hint="eastAsia" w:ascii="宋体" w:hAnsi="宋体" w:eastAsia="宋体" w:cs="宋体"/>
          <w:color w:val="000000" w:themeColor="text1"/>
          <w:sz w:val="24"/>
          <w:szCs w:val="24"/>
          <w14:textFill>
            <w14:solidFill>
              <w14:schemeClr w14:val="tx1"/>
            </w14:solidFill>
          </w14:textFill>
        </w:rPr>
      </w:pPr>
    </w:p>
    <w:p w14:paraId="6431EC50">
      <w:pPr>
        <w:rPr>
          <w:rFonts w:hint="eastAsia" w:ascii="宋体" w:hAnsi="宋体" w:eastAsia="宋体" w:cs="宋体"/>
          <w:color w:val="000000" w:themeColor="text1"/>
          <w:sz w:val="24"/>
          <w:szCs w:val="24"/>
          <w14:textFill>
            <w14:solidFill>
              <w14:schemeClr w14:val="tx1"/>
            </w14:solidFill>
          </w14:textFill>
        </w:rPr>
      </w:pPr>
    </w:p>
    <w:p w14:paraId="557B92ED">
      <w:pPr>
        <w:rPr>
          <w:rFonts w:hint="eastAsia" w:ascii="宋体" w:hAnsi="宋体" w:eastAsia="宋体" w:cs="宋体"/>
          <w:color w:val="000000" w:themeColor="text1"/>
          <w:sz w:val="24"/>
          <w:szCs w:val="24"/>
          <w14:textFill>
            <w14:solidFill>
              <w14:schemeClr w14:val="tx1"/>
            </w14:solidFill>
          </w14:textFill>
        </w:rPr>
      </w:pPr>
    </w:p>
    <w:p w14:paraId="5577F9E9">
      <w:pPr>
        <w:rPr>
          <w:rFonts w:hint="eastAsia" w:ascii="宋体" w:hAnsi="宋体" w:eastAsia="宋体" w:cs="宋体"/>
          <w:color w:val="000000" w:themeColor="text1"/>
          <w:sz w:val="24"/>
          <w:szCs w:val="24"/>
          <w14:textFill>
            <w14:solidFill>
              <w14:schemeClr w14:val="tx1"/>
            </w14:solidFill>
          </w14:textFill>
        </w:rPr>
      </w:pPr>
    </w:p>
    <w:p w14:paraId="4540D8E5">
      <w:pPr>
        <w:rPr>
          <w:rFonts w:hint="eastAsia" w:ascii="宋体" w:hAnsi="宋体" w:eastAsia="宋体" w:cs="宋体"/>
          <w:color w:val="000000" w:themeColor="text1"/>
          <w:sz w:val="24"/>
          <w:szCs w:val="24"/>
          <w14:textFill>
            <w14:solidFill>
              <w14:schemeClr w14:val="tx1"/>
            </w14:solidFill>
          </w14:textFill>
        </w:rPr>
      </w:pPr>
    </w:p>
    <w:p w14:paraId="7099718C">
      <w:pPr>
        <w:rPr>
          <w:rFonts w:hint="eastAsia" w:ascii="宋体" w:hAnsi="宋体" w:eastAsia="宋体" w:cs="宋体"/>
          <w:color w:val="000000" w:themeColor="text1"/>
          <w:sz w:val="24"/>
          <w:szCs w:val="24"/>
          <w14:textFill>
            <w14:solidFill>
              <w14:schemeClr w14:val="tx1"/>
            </w14:solidFill>
          </w14:textFill>
        </w:rPr>
      </w:pPr>
    </w:p>
    <w:p w14:paraId="4A20F5E6">
      <w:pPr>
        <w:rPr>
          <w:rFonts w:hint="eastAsia" w:ascii="宋体" w:hAnsi="宋体" w:eastAsia="宋体" w:cs="宋体"/>
          <w:color w:val="000000" w:themeColor="text1"/>
          <w:sz w:val="24"/>
          <w:szCs w:val="24"/>
          <w14:textFill>
            <w14:solidFill>
              <w14:schemeClr w14:val="tx1"/>
            </w14:solidFill>
          </w14:textFill>
        </w:rPr>
      </w:pPr>
    </w:p>
    <w:p w14:paraId="269931BF">
      <w:pPr>
        <w:rPr>
          <w:rFonts w:hint="eastAsia" w:ascii="宋体" w:hAnsi="宋体" w:eastAsia="宋体" w:cs="宋体"/>
          <w:color w:val="000000" w:themeColor="text1"/>
          <w:sz w:val="24"/>
          <w:szCs w:val="24"/>
          <w14:textFill>
            <w14:solidFill>
              <w14:schemeClr w14:val="tx1"/>
            </w14:solidFill>
          </w14:textFill>
        </w:rPr>
      </w:pPr>
    </w:p>
    <w:p w14:paraId="451EE76A">
      <w:pPr>
        <w:rPr>
          <w:rFonts w:hint="eastAsia" w:ascii="宋体" w:hAnsi="宋体" w:eastAsia="宋体" w:cs="宋体"/>
          <w:color w:val="000000" w:themeColor="text1"/>
          <w:sz w:val="24"/>
          <w:szCs w:val="24"/>
          <w14:textFill>
            <w14:solidFill>
              <w14:schemeClr w14:val="tx1"/>
            </w14:solidFill>
          </w14:textFill>
        </w:rPr>
      </w:pPr>
    </w:p>
    <w:p w14:paraId="1F0F37C0">
      <w:pPr>
        <w:rPr>
          <w:rFonts w:hint="eastAsia" w:ascii="宋体" w:hAnsi="宋体" w:eastAsia="宋体" w:cs="宋体"/>
          <w:color w:val="000000" w:themeColor="text1"/>
          <w:sz w:val="24"/>
          <w:szCs w:val="24"/>
          <w14:textFill>
            <w14:solidFill>
              <w14:schemeClr w14:val="tx1"/>
            </w14:solidFill>
          </w14:textFill>
        </w:rPr>
      </w:pPr>
    </w:p>
    <w:p w14:paraId="3825E8F5">
      <w:pPr>
        <w:rPr>
          <w:rFonts w:hint="eastAsia" w:ascii="宋体" w:hAnsi="宋体" w:eastAsia="宋体" w:cs="宋体"/>
          <w:color w:val="000000" w:themeColor="text1"/>
          <w:sz w:val="24"/>
          <w:szCs w:val="24"/>
          <w14:textFill>
            <w14:solidFill>
              <w14:schemeClr w14:val="tx1"/>
            </w14:solidFill>
          </w14:textFill>
        </w:rPr>
      </w:pPr>
    </w:p>
    <w:p w14:paraId="5B9FACA3">
      <w:pPr>
        <w:rPr>
          <w:rFonts w:hint="eastAsia" w:ascii="宋体" w:hAnsi="宋体" w:eastAsia="宋体" w:cs="宋体"/>
          <w:color w:val="000000" w:themeColor="text1"/>
          <w:sz w:val="24"/>
          <w:szCs w:val="24"/>
          <w14:textFill>
            <w14:solidFill>
              <w14:schemeClr w14:val="tx1"/>
            </w14:solidFill>
          </w14:textFill>
        </w:rPr>
      </w:pPr>
    </w:p>
    <w:p w14:paraId="7D41110A">
      <w:pPr>
        <w:rPr>
          <w:rFonts w:hint="eastAsia" w:ascii="宋体" w:hAnsi="宋体" w:eastAsia="宋体" w:cs="宋体"/>
          <w:color w:val="000000" w:themeColor="text1"/>
          <w:sz w:val="24"/>
          <w:szCs w:val="24"/>
          <w14:textFill>
            <w14:solidFill>
              <w14:schemeClr w14:val="tx1"/>
            </w14:solidFill>
          </w14:textFill>
        </w:rPr>
      </w:pPr>
    </w:p>
    <w:p w14:paraId="22BC4C9C">
      <w:pPr>
        <w:rPr>
          <w:rFonts w:hint="eastAsia" w:ascii="宋体" w:hAnsi="宋体" w:eastAsia="宋体" w:cs="宋体"/>
          <w:color w:val="000000" w:themeColor="text1"/>
          <w:sz w:val="24"/>
          <w:szCs w:val="24"/>
          <w14:textFill>
            <w14:solidFill>
              <w14:schemeClr w14:val="tx1"/>
            </w14:solidFill>
          </w14:textFill>
        </w:rPr>
      </w:pPr>
    </w:p>
    <w:p w14:paraId="3AA698EA">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4F2A2268">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认为在其他方面有必要说明的事项</w:t>
      </w:r>
    </w:p>
    <w:p w14:paraId="54679F29">
      <w:pPr>
        <w:autoSpaceDE w:val="0"/>
        <w:autoSpaceDN w:val="0"/>
        <w:spacing w:line="360" w:lineRule="auto"/>
        <w:rPr>
          <w:rFonts w:hint="eastAsia" w:ascii="宋体" w:hAnsi="宋体" w:eastAsia="宋体" w:cs="宋体"/>
          <w:color w:val="000000" w:themeColor="text1"/>
          <w:kern w:val="0"/>
          <w:sz w:val="28"/>
          <w:szCs w:val="28"/>
          <w:lang w:val="zh-CN"/>
          <w14:textFill>
            <w14:solidFill>
              <w14:schemeClr w14:val="tx1"/>
            </w14:solidFill>
          </w14:textFill>
        </w:rPr>
      </w:pPr>
    </w:p>
    <w:p w14:paraId="7869E5BD">
      <w:pPr>
        <w:spacing w:line="360" w:lineRule="auto"/>
        <w:ind w:firstLine="0" w:firstLineChars="0"/>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认为在其他方面有必要说明的事项</w:t>
      </w:r>
    </w:p>
    <w:p w14:paraId="215182DC">
      <w:pPr>
        <w:autoSpaceDE w:val="0"/>
        <w:autoSpaceDN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格式自定。</w:t>
      </w:r>
    </w:p>
    <w:p w14:paraId="4C34034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7850C12">
      <w:pPr>
        <w:keepNext/>
        <w:pageBreakBefore/>
        <w:widowControl/>
        <w:spacing w:line="360" w:lineRule="auto"/>
        <w:ind w:firstLine="0" w:firstLineChars="0"/>
        <w:outlineLvl w:val="1"/>
        <w:rPr>
          <w:rFonts w:hint="eastAsia" w:ascii="宋体" w:hAnsi="宋体" w:eastAsia="宋体" w:cs="宋体"/>
          <w:b/>
          <w:bCs/>
          <w:color w:val="000000" w:themeColor="text1"/>
          <w:sz w:val="24"/>
          <w:szCs w:val="24"/>
          <w14:textFill>
            <w14:solidFill>
              <w14:schemeClr w14:val="tx1"/>
            </w14:solidFill>
          </w14:textFill>
        </w:rPr>
      </w:pPr>
      <w:bookmarkStart w:id="228" w:name="_Toc18073"/>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：供应商最后报价表</w:t>
      </w:r>
      <w:bookmarkEnd w:id="228"/>
    </w:p>
    <w:p w14:paraId="58C13443">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A31B8D5">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bookmarkStart w:id="229" w:name="_Toc408326292"/>
      <w:r>
        <w:rPr>
          <w:rFonts w:hint="eastAsia" w:ascii="宋体" w:hAnsi="宋体" w:eastAsia="宋体" w:cs="宋体"/>
          <w:b/>
          <w:color w:val="000000" w:themeColor="text1"/>
          <w:sz w:val="24"/>
          <w:szCs w:val="24"/>
          <w14:textFill>
            <w14:solidFill>
              <w14:schemeClr w14:val="tx1"/>
            </w14:solidFill>
          </w14:textFill>
        </w:rPr>
        <w:t>供应商最后报价表</w:t>
      </w:r>
      <w:bookmarkEnd w:id="229"/>
    </w:p>
    <w:p w14:paraId="20249D72">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39848BE">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p w14:paraId="0C5C483C">
      <w:pPr>
        <w:pStyle w:val="15"/>
        <w:ind w:left="0" w:leftChars="0" w:firstLine="0" w:firstLineChars="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项目编号：</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240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467D03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最初</w:t>
            </w:r>
            <w:r>
              <w:rPr>
                <w:rFonts w:hint="eastAsia" w:ascii="宋体" w:hAnsi="宋体" w:eastAsia="宋体" w:cs="宋体"/>
                <w:bCs/>
                <w:color w:val="000000" w:themeColor="text1"/>
                <w:sz w:val="24"/>
                <w:szCs w:val="24"/>
                <w:lang w:val="en-US" w:eastAsia="zh-CN"/>
                <w14:textFill>
                  <w14:solidFill>
                    <w14:schemeClr w14:val="tx1"/>
                  </w14:solidFill>
                </w14:textFill>
              </w:rPr>
              <w:t>报价</w:t>
            </w:r>
          </w:p>
        </w:tc>
        <w:tc>
          <w:tcPr>
            <w:tcW w:w="1246" w:type="dxa"/>
            <w:vAlign w:val="center"/>
          </w:tcPr>
          <w:p w14:paraId="145C96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调整因素</w:t>
            </w:r>
          </w:p>
        </w:tc>
        <w:tc>
          <w:tcPr>
            <w:tcW w:w="3329" w:type="dxa"/>
            <w:vAlign w:val="center"/>
          </w:tcPr>
          <w:p w14:paraId="4BA544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w:t>
            </w:r>
            <w:r>
              <w:rPr>
                <w:rFonts w:hint="eastAsia" w:ascii="宋体" w:hAnsi="宋体" w:eastAsia="宋体" w:cs="宋体"/>
                <w:color w:val="000000" w:themeColor="text1"/>
                <w:sz w:val="24"/>
                <w:szCs w:val="24"/>
                <w:lang w:eastAsia="zh-CN"/>
                <w14:textFill>
                  <w14:solidFill>
                    <w14:schemeClr w14:val="tx1"/>
                  </w14:solidFill>
                </w14:textFill>
              </w:rPr>
              <w:t>后</w:t>
            </w:r>
            <w:r>
              <w:rPr>
                <w:rFonts w:hint="eastAsia" w:ascii="宋体" w:hAnsi="宋体" w:eastAsia="宋体" w:cs="宋体"/>
                <w:color w:val="000000" w:themeColor="text1"/>
                <w:sz w:val="24"/>
                <w:szCs w:val="24"/>
                <w:lang w:val="en-US" w:eastAsia="zh-CN"/>
                <w14:textFill>
                  <w14:solidFill>
                    <w14:schemeClr w14:val="tx1"/>
                  </w14:solidFill>
                </w14:textFill>
              </w:rPr>
              <w:t>报价</w:t>
            </w:r>
          </w:p>
        </w:tc>
        <w:tc>
          <w:tcPr>
            <w:tcW w:w="1672" w:type="dxa"/>
            <w:vAlign w:val="center"/>
          </w:tcPr>
          <w:p w14:paraId="297DC1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服务</w:t>
            </w:r>
            <w:r>
              <w:rPr>
                <w:rFonts w:hint="eastAsia" w:ascii="宋体" w:hAnsi="宋体" w:eastAsia="宋体" w:cs="宋体"/>
                <w:bCs/>
                <w:color w:val="000000" w:themeColor="text1"/>
                <w:sz w:val="24"/>
                <w:szCs w:val="24"/>
                <w:lang w:eastAsia="zh-CN"/>
                <w14:textFill>
                  <w14:solidFill>
                    <w14:schemeClr w14:val="tx1"/>
                  </w14:solidFill>
                </w14:textFill>
              </w:rPr>
              <w:t>期限</w:t>
            </w:r>
          </w:p>
        </w:tc>
      </w:tr>
      <w:tr w14:paraId="0B83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3979A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46" w:type="dxa"/>
            <w:vAlign w:val="center"/>
          </w:tcPr>
          <w:p w14:paraId="09FB83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29" w:type="dxa"/>
            <w:vAlign w:val="center"/>
          </w:tcPr>
          <w:p w14:paraId="598A0B5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672" w:type="dxa"/>
          </w:tcPr>
          <w:p w14:paraId="3C0469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14:paraId="65A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7DF9CB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最终确定的质量保证及服务承诺（优惠条件）</w:t>
            </w:r>
          </w:p>
          <w:p w14:paraId="6934AD4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p w14:paraId="748FC0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bl>
    <w:p w14:paraId="01339323">
      <w:pPr>
        <w:spacing w:line="360" w:lineRule="auto"/>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此表不需</w:t>
      </w:r>
      <w:r>
        <w:rPr>
          <w:rFonts w:hint="eastAsia" w:ascii="宋体" w:hAnsi="宋体" w:eastAsia="宋体" w:cs="宋体"/>
          <w:color w:val="000000" w:themeColor="text1"/>
          <w:sz w:val="24"/>
          <w:szCs w:val="24"/>
          <w:highlight w:val="none"/>
          <w:lang w:val="en-US" w:eastAsia="zh-CN"/>
          <w14:textFill>
            <w14:solidFill>
              <w14:schemeClr w14:val="tx1"/>
            </w14:solidFill>
          </w14:textFill>
        </w:rPr>
        <w:t>附</w:t>
      </w:r>
      <w:r>
        <w:rPr>
          <w:rFonts w:hint="eastAsia" w:ascii="宋体" w:hAnsi="宋体" w:eastAsia="宋体" w:cs="宋体"/>
          <w:color w:val="000000" w:themeColor="text1"/>
          <w:sz w:val="24"/>
          <w:szCs w:val="24"/>
          <w:highlight w:val="none"/>
          <w14:textFill>
            <w14:solidFill>
              <w14:schemeClr w14:val="tx1"/>
            </w14:solidFill>
          </w14:textFill>
        </w:rPr>
        <w:t>在响应文件中，供应商事先须盖章、签字。在磋商期间，由磋商小组确定合格的供应商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填写</w:t>
      </w:r>
      <w:r>
        <w:rPr>
          <w:rFonts w:hint="eastAsia" w:ascii="宋体" w:hAnsi="宋体" w:eastAsia="宋体" w:cs="宋体"/>
          <w:color w:val="000000" w:themeColor="text1"/>
          <w:sz w:val="24"/>
          <w:szCs w:val="24"/>
          <w:highlight w:val="none"/>
          <w:lang w:val="en-US" w:eastAsia="zh-CN"/>
          <w14:textFill>
            <w14:solidFill>
              <w14:schemeClr w14:val="tx1"/>
            </w14:solidFill>
          </w14:textFill>
        </w:rPr>
        <w:t>并上传</w:t>
      </w:r>
      <w:r>
        <w:rPr>
          <w:rFonts w:hint="eastAsia" w:ascii="宋体" w:hAnsi="宋体" w:eastAsia="宋体" w:cs="宋体"/>
          <w:color w:val="000000" w:themeColor="text1"/>
          <w:sz w:val="24"/>
          <w:szCs w:val="24"/>
          <w:highlight w:val="none"/>
          <w14:textFill>
            <w14:solidFill>
              <w14:schemeClr w14:val="tx1"/>
            </w14:solidFill>
          </w14:textFill>
        </w:rPr>
        <w:t>。</w:t>
      </w:r>
    </w:p>
    <w:p w14:paraId="40A3EC9F">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5BBD8FDC">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3F778D70">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5513C4E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7E25FBE9">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1ED39F9">
      <w:pPr>
        <w:pStyle w:val="15"/>
        <w:ind w:left="0" w:leftChars="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7B3FC686">
      <w:pPr>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050B908">
      <w:pPr>
        <w:keepNext/>
        <w:keepLines/>
        <w:widowControl/>
        <w:snapToGrid w:val="0"/>
        <w:spacing w:line="360" w:lineRule="auto"/>
        <w:ind w:firstLine="0" w:firstLineChars="0"/>
        <w:jc w:val="center"/>
        <w:outlineLvl w:val="0"/>
        <w:rPr>
          <w:rFonts w:hint="eastAsia" w:ascii="宋体" w:hAnsi="宋体" w:eastAsia="宋体" w:cs="宋体"/>
          <w:color w:val="000000" w:themeColor="text1"/>
          <w14:textFill>
            <w14:solidFill>
              <w14:schemeClr w14:val="tx1"/>
            </w14:solidFill>
          </w14:textFill>
        </w:rPr>
      </w:pPr>
      <w:bookmarkStart w:id="230" w:name="_Toc25610"/>
      <w:r>
        <w:rPr>
          <w:rFonts w:hint="eastAsia" w:ascii="宋体" w:hAnsi="宋体" w:eastAsia="宋体" w:cs="宋体"/>
          <w:b/>
          <w:color w:val="000000" w:themeColor="text1"/>
          <w:kern w:val="28"/>
          <w:sz w:val="36"/>
          <w:szCs w:val="20"/>
          <w14:textFill>
            <w14:solidFill>
              <w14:schemeClr w14:val="tx1"/>
            </w14:solidFill>
          </w14:textFill>
        </w:rPr>
        <w:t xml:space="preserve">第六部分  </w:t>
      </w:r>
      <w:r>
        <w:rPr>
          <w:rFonts w:hint="eastAsia" w:ascii="宋体" w:hAnsi="宋体" w:eastAsia="宋体" w:cs="宋体"/>
          <w:b/>
          <w:color w:val="000000" w:themeColor="text1"/>
          <w:kern w:val="28"/>
          <w:sz w:val="36"/>
          <w:szCs w:val="20"/>
          <w:lang w:eastAsia="zh-CN"/>
          <w14:textFill>
            <w14:solidFill>
              <w14:schemeClr w14:val="tx1"/>
            </w14:solidFill>
          </w14:textFill>
        </w:rPr>
        <w:t>采购项目要求</w:t>
      </w:r>
      <w:bookmarkEnd w:id="230"/>
    </w:p>
    <w:p w14:paraId="3CCE982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、投标要求：</w:t>
      </w:r>
    </w:p>
    <w:p w14:paraId="4509E704">
      <w:pPr>
        <w:pStyle w:val="21"/>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bookmarkStart w:id="231" w:name="_Toc20417"/>
      <w:bookmarkStart w:id="232" w:name="_Toc4635"/>
      <w:bookmarkStart w:id="233" w:name="_Toc15074"/>
      <w:r>
        <w:rPr>
          <w:rFonts w:hint="eastAsia" w:ascii="宋体" w:hAnsi="宋体" w:eastAsia="宋体" w:cs="宋体"/>
          <w:color w:val="000000" w:themeColor="text1"/>
          <w:sz w:val="24"/>
          <w:szCs w:val="24"/>
          <w:lang w:val="zh-CN"/>
          <w14:textFill>
            <w14:solidFill>
              <w14:schemeClr w14:val="tx1"/>
            </w14:solidFill>
          </w14:textFill>
        </w:rPr>
        <w:t>1.投标说明</w:t>
      </w:r>
      <w:bookmarkEnd w:id="231"/>
      <w:bookmarkEnd w:id="232"/>
      <w:bookmarkEnd w:id="233"/>
    </w:p>
    <w:p w14:paraId="5FA66F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供应商必须对</w:t>
      </w:r>
      <w:r>
        <w:rPr>
          <w:rFonts w:hint="eastAsia" w:ascii="宋体" w:hAnsi="宋体" w:eastAsia="宋体" w:cs="宋体"/>
          <w:color w:val="000000" w:themeColor="text1"/>
          <w:sz w:val="24"/>
          <w:szCs w:val="24"/>
          <w:lang w:val="en-US" w:eastAsia="zh-CN"/>
          <w14:textFill>
            <w14:solidFill>
              <w14:schemeClr w14:val="tx1"/>
            </w14:solidFill>
          </w14:textFill>
        </w:rPr>
        <w:t>本文件</w:t>
      </w:r>
      <w:r>
        <w:rPr>
          <w:rFonts w:hint="eastAsia" w:ascii="宋体" w:hAnsi="宋体" w:eastAsia="宋体" w:cs="宋体"/>
          <w:color w:val="000000" w:themeColor="text1"/>
          <w:sz w:val="24"/>
          <w:szCs w:val="24"/>
          <w:lang w:val="zh-CN"/>
          <w14:textFill>
            <w14:solidFill>
              <w14:schemeClr w14:val="tx1"/>
            </w14:solidFill>
          </w14:textFill>
        </w:rPr>
        <w:t>中的所有内容作为一个整体进行投标，不能拆分或少报。否则，投标无效。</w:t>
      </w:r>
    </w:p>
    <w:p w14:paraId="4CD54DD3">
      <w:pPr>
        <w:pStyle w:val="21"/>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234" w:name="_Toc21805"/>
      <w:bookmarkStart w:id="235" w:name="_Toc8172"/>
      <w:bookmarkStart w:id="236" w:name="_Toc17561"/>
      <w:r>
        <w:rPr>
          <w:rFonts w:hint="eastAsia" w:ascii="宋体" w:hAnsi="宋体" w:eastAsia="宋体" w:cs="宋体"/>
          <w:color w:val="000000" w:themeColor="text1"/>
          <w:sz w:val="24"/>
          <w:szCs w:val="24"/>
          <w14:textFill>
            <w14:solidFill>
              <w14:schemeClr w14:val="tx1"/>
            </w14:solidFill>
          </w14:textFill>
        </w:rPr>
        <w:t>2.报价说明</w:t>
      </w:r>
      <w:bookmarkEnd w:id="234"/>
      <w:bookmarkEnd w:id="235"/>
      <w:bookmarkEnd w:id="236"/>
    </w:p>
    <w:p w14:paraId="3AEA82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本次磋商文件中规定的采购预算额度为招标最高限价，供应商的投标报价不得超出此额度。否则，投标无效。</w:t>
      </w:r>
    </w:p>
    <w:p w14:paraId="335FA6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投标报价为投标总价。投标报价应包括：完成本次招标所有服务内容的费用，包含：如人员工资、交通、通讯、设备、利润、税收、保险费、售前、售中、售后服务费、招标代理费以及所有有关的管理成本和其他不可预见费等全部费用。。</w:t>
      </w:r>
    </w:p>
    <w:p w14:paraId="3B2EE551">
      <w:pPr>
        <w:pStyle w:val="15"/>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val="0"/>
          <w:color w:val="000000" w:themeColor="text1"/>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lang w:val="en-US" w:eastAsia="zh-CN" w:bidi="ar-SA"/>
          <w14:textFill>
            <w14:solidFill>
              <w14:schemeClr w14:val="tx1"/>
            </w14:solidFill>
          </w14:textFill>
        </w:rPr>
        <w:t>二）、服务要求</w:t>
      </w:r>
    </w:p>
    <w:p w14:paraId="2436DA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服务期限：</w:t>
      </w:r>
      <w:r>
        <w:rPr>
          <w:rFonts w:hint="eastAsia" w:ascii="宋体" w:hAnsi="宋体" w:eastAsia="宋体" w:cs="宋体"/>
          <w:color w:val="000000" w:themeColor="text1"/>
          <w:sz w:val="24"/>
          <w:szCs w:val="24"/>
          <w:lang w:val="en-US" w:eastAsia="zh-CN"/>
          <w14:textFill>
            <w14:solidFill>
              <w14:schemeClr w14:val="tx1"/>
            </w14:solidFill>
          </w14:textFill>
        </w:rPr>
        <w:t>按合同约定执行。</w:t>
      </w:r>
    </w:p>
    <w:p w14:paraId="5C6DC8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zh-CN"/>
          <w14:textFill>
            <w14:solidFill>
              <w14:schemeClr w14:val="tx1"/>
            </w14:solidFill>
          </w14:textFill>
        </w:rPr>
        <w:t>服务地点：玉树藏族自治州称多县</w:t>
      </w:r>
    </w:p>
    <w:p w14:paraId="7A34D7AF">
      <w:pPr>
        <w:pStyle w:val="48"/>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2.3.质量要求：满足行业规范及招标人要求，确保活动安全性、文化性、 生态性与观赏性。</w:t>
      </w:r>
    </w:p>
    <w:p w14:paraId="3992EEC0">
      <w:pPr>
        <w:pStyle w:val="8"/>
        <w:spacing w:before="1" w:line="219" w:lineRule="auto"/>
        <w:ind w:left="0" w:leftChars="0" w:firstLine="0" w:firstLineChars="0"/>
        <w:rPr>
          <w:color w:val="000000" w:themeColor="text1"/>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三）、</w:t>
      </w:r>
      <w:r>
        <w:rPr>
          <w:b/>
          <w:bCs/>
          <w:color w:val="000000" w:themeColor="text1"/>
          <w:spacing w:val="-6"/>
          <w14:textFill>
            <w14:solidFill>
              <w14:schemeClr w14:val="tx1"/>
            </w14:solidFill>
          </w14:textFill>
        </w:rPr>
        <w:t>活动内容：</w:t>
      </w:r>
    </w:p>
    <w:p w14:paraId="642BB9E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jc w:val="both"/>
        <w:textAlignment w:val="baseline"/>
        <w:outlineLvl w:val="1"/>
        <w:rPr>
          <w:sz w:val="24"/>
          <w:szCs w:val="24"/>
        </w:rPr>
      </w:pPr>
      <w:r>
        <w:rPr>
          <w:b/>
          <w:bCs/>
          <w:spacing w:val="-3"/>
          <w:sz w:val="24"/>
          <w:szCs w:val="24"/>
        </w:rPr>
        <w:t>（1）2025</w:t>
      </w:r>
      <w:r>
        <w:rPr>
          <w:spacing w:val="-60"/>
          <w:sz w:val="24"/>
          <w:szCs w:val="24"/>
        </w:rPr>
        <w:t xml:space="preserve"> </w:t>
      </w:r>
      <w:r>
        <w:rPr>
          <w:b/>
          <w:bCs/>
          <w:spacing w:val="-3"/>
          <w:sz w:val="24"/>
          <w:szCs w:val="24"/>
        </w:rPr>
        <w:t>年称多县第十三届三江源嘎觉吾生态文化旅游季</w:t>
      </w:r>
      <w:r>
        <w:rPr>
          <w:sz w:val="24"/>
          <w:szCs w:val="24"/>
        </w:rPr>
        <w:t xml:space="preserve">  </w:t>
      </w:r>
      <w:r>
        <w:rPr>
          <w:b/>
          <w:bCs/>
          <w:spacing w:val="11"/>
          <w:sz w:val="24"/>
          <w:szCs w:val="24"/>
        </w:rPr>
        <w:t>——“开幕式</w:t>
      </w:r>
      <w:r>
        <w:rPr>
          <w:spacing w:val="-102"/>
          <w:sz w:val="24"/>
          <w:szCs w:val="24"/>
        </w:rPr>
        <w:t xml:space="preserve"> </w:t>
      </w:r>
      <w:r>
        <w:rPr>
          <w:b/>
          <w:bCs/>
          <w:spacing w:val="11"/>
          <w:sz w:val="24"/>
          <w:szCs w:val="24"/>
        </w:rPr>
        <w:t>”</w:t>
      </w:r>
    </w:p>
    <w:p w14:paraId="14188D7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活动地点：玉树藏族自治州称多县嘉塘草原生态景区</w:t>
      </w:r>
    </w:p>
    <w:p w14:paraId="25DAF3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3"/>
          <w:sz w:val="24"/>
          <w:szCs w:val="24"/>
        </w:rPr>
        <w:t>活动内容：</w:t>
      </w:r>
    </w:p>
    <w:p w14:paraId="00B2EEA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①仪式流程：领导致辞、歌舞表演等活动策划、编排、执行。</w:t>
      </w:r>
    </w:p>
    <w:p w14:paraId="137016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②舞台搭建需环保材料，背景以三江源自然风光为主题。</w:t>
      </w:r>
    </w:p>
    <w:p w14:paraId="6A589C3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sz w:val="24"/>
          <w:szCs w:val="24"/>
        </w:rPr>
      </w:pPr>
      <w:r>
        <w:rPr>
          <w:spacing w:val="-1"/>
        </w:rPr>
        <w:t>③</w:t>
      </w:r>
      <w:bookmarkStart w:id="237" w:name="_GoBack"/>
      <w:bookmarkEnd w:id="237"/>
      <w:r>
        <w:rPr>
          <w:spacing w:val="-3"/>
          <w:sz w:val="24"/>
          <w:szCs w:val="24"/>
        </w:rPr>
        <w:t>安排本地歌舞团表演，展示“非遗</w:t>
      </w:r>
      <w:r>
        <w:rPr>
          <w:spacing w:val="-89"/>
          <w:sz w:val="24"/>
          <w:szCs w:val="24"/>
        </w:rPr>
        <w:t xml:space="preserve"> </w:t>
      </w:r>
      <w:r>
        <w:rPr>
          <w:spacing w:val="-3"/>
          <w:sz w:val="24"/>
          <w:szCs w:val="24"/>
        </w:rPr>
        <w:t>”文化。</w:t>
      </w:r>
    </w:p>
    <w:p w14:paraId="5492F28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textAlignment w:val="baseline"/>
        <w:outlineLvl w:val="1"/>
        <w:rPr>
          <w:sz w:val="24"/>
          <w:szCs w:val="24"/>
        </w:rPr>
      </w:pPr>
      <w:r>
        <w:rPr>
          <w:b/>
          <w:bCs/>
          <w:spacing w:val="-3"/>
          <w:sz w:val="24"/>
          <w:szCs w:val="24"/>
        </w:rPr>
        <w:t>（2）2025</w:t>
      </w:r>
      <w:r>
        <w:rPr>
          <w:spacing w:val="-60"/>
          <w:sz w:val="24"/>
          <w:szCs w:val="24"/>
        </w:rPr>
        <w:t xml:space="preserve"> </w:t>
      </w:r>
      <w:r>
        <w:rPr>
          <w:b/>
          <w:bCs/>
          <w:spacing w:val="-3"/>
          <w:sz w:val="24"/>
          <w:szCs w:val="24"/>
        </w:rPr>
        <w:t>年称多县第十三届三江源嘎觉吾生态文化旅游季——旅游季系列活动</w:t>
      </w:r>
    </w:p>
    <w:p w14:paraId="4E476E6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sz w:val="24"/>
          <w:szCs w:val="24"/>
        </w:rPr>
      </w:pPr>
      <w:r>
        <w:rPr>
          <w:spacing w:val="-9"/>
          <w:sz w:val="24"/>
          <w:szCs w:val="24"/>
        </w:rPr>
        <w:t>（1）藏式自助美食</w:t>
      </w:r>
      <w:r>
        <w:rPr>
          <w:spacing w:val="-25"/>
          <w:sz w:val="24"/>
          <w:szCs w:val="24"/>
        </w:rPr>
        <w:t xml:space="preserve"> </w:t>
      </w:r>
      <w:r>
        <w:rPr>
          <w:spacing w:val="-9"/>
          <w:sz w:val="24"/>
          <w:szCs w:val="24"/>
        </w:rPr>
        <w:t>·沉浸式体验</w:t>
      </w:r>
      <w:r>
        <w:rPr>
          <w:sz w:val="24"/>
          <w:szCs w:val="24"/>
        </w:rPr>
        <w:t xml:space="preserve"> </w:t>
      </w:r>
      <w:r>
        <w:rPr>
          <w:spacing w:val="-1"/>
          <w:sz w:val="24"/>
          <w:szCs w:val="24"/>
        </w:rPr>
        <w:t>地点：黑帐篷游牧文化体验区</w:t>
      </w:r>
    </w:p>
    <w:p w14:paraId="6ACDCE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3"/>
          <w:sz w:val="24"/>
          <w:szCs w:val="24"/>
        </w:rPr>
        <w:t>内容：提供</w:t>
      </w:r>
      <w:r>
        <w:rPr>
          <w:spacing w:val="-53"/>
          <w:sz w:val="24"/>
          <w:szCs w:val="24"/>
        </w:rPr>
        <w:t xml:space="preserve"> </w:t>
      </w:r>
      <w:r>
        <w:rPr>
          <w:spacing w:val="-3"/>
          <w:sz w:val="24"/>
          <w:szCs w:val="24"/>
        </w:rPr>
        <w:t>20</w:t>
      </w:r>
      <w:r>
        <w:rPr>
          <w:spacing w:val="-61"/>
          <w:sz w:val="24"/>
          <w:szCs w:val="24"/>
        </w:rPr>
        <w:t xml:space="preserve"> </w:t>
      </w:r>
      <w:r>
        <w:rPr>
          <w:spacing w:val="-3"/>
          <w:sz w:val="24"/>
          <w:szCs w:val="24"/>
        </w:rPr>
        <w:t>种藏式特色美食（如糌粑、牦牛肉、酥油茶</w:t>
      </w:r>
      <w:r>
        <w:rPr>
          <w:spacing w:val="29"/>
          <w:sz w:val="24"/>
          <w:szCs w:val="24"/>
        </w:rPr>
        <w:t>），</w:t>
      </w:r>
      <w:r>
        <w:rPr>
          <w:spacing w:val="-3"/>
          <w:sz w:val="24"/>
          <w:szCs w:val="24"/>
        </w:rPr>
        <w:t>由本</w:t>
      </w:r>
      <w:r>
        <w:rPr>
          <w:spacing w:val="-1"/>
          <w:sz w:val="24"/>
          <w:szCs w:val="24"/>
        </w:rPr>
        <w:t>地厨师现场制作；安排牧民生活展示（挤奶、织毡等）。</w:t>
      </w:r>
    </w:p>
    <w:p w14:paraId="472A2D6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
        <w:textAlignment w:val="baseline"/>
        <w:rPr>
          <w:sz w:val="24"/>
          <w:szCs w:val="24"/>
        </w:rPr>
      </w:pPr>
      <w:r>
        <w:rPr>
          <w:spacing w:val="-2"/>
          <w:sz w:val="24"/>
          <w:szCs w:val="24"/>
        </w:rPr>
        <w:t>（2）地标性农畜产品展销</w:t>
      </w:r>
      <w:r>
        <w:rPr>
          <w:spacing w:val="2"/>
          <w:sz w:val="24"/>
          <w:szCs w:val="24"/>
        </w:rPr>
        <w:t xml:space="preserve">  </w:t>
      </w:r>
      <w:r>
        <w:rPr>
          <w:spacing w:val="-1"/>
          <w:sz w:val="24"/>
          <w:szCs w:val="24"/>
        </w:rPr>
        <w:t>地点：嘉塘草原绿色展示区</w:t>
      </w:r>
    </w:p>
    <w:p w14:paraId="3FAF99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0"/>
        <w:textAlignment w:val="baseline"/>
        <w:rPr>
          <w:sz w:val="24"/>
          <w:szCs w:val="24"/>
        </w:rPr>
      </w:pPr>
      <w:r>
        <w:rPr>
          <w:spacing w:val="-1"/>
          <w:sz w:val="24"/>
          <w:szCs w:val="24"/>
        </w:rPr>
        <w:t>内容：设立</w:t>
      </w:r>
      <w:r>
        <w:rPr>
          <w:spacing w:val="-49"/>
          <w:sz w:val="24"/>
          <w:szCs w:val="24"/>
        </w:rPr>
        <w:t xml:space="preserve"> </w:t>
      </w:r>
      <w:r>
        <w:rPr>
          <w:spacing w:val="-1"/>
          <w:sz w:val="24"/>
          <w:szCs w:val="24"/>
        </w:rPr>
        <w:t>30</w:t>
      </w:r>
      <w:r>
        <w:rPr>
          <w:spacing w:val="-61"/>
          <w:sz w:val="24"/>
          <w:szCs w:val="24"/>
        </w:rPr>
        <w:t xml:space="preserve"> </w:t>
      </w:r>
      <w:r>
        <w:rPr>
          <w:spacing w:val="-1"/>
          <w:sz w:val="24"/>
          <w:szCs w:val="24"/>
        </w:rPr>
        <w:t>个展位，展销称多县特产（如牦牛乳制品、藏药、手</w:t>
      </w:r>
      <w:r>
        <w:rPr>
          <w:sz w:val="24"/>
          <w:szCs w:val="24"/>
        </w:rPr>
        <w:t xml:space="preserve"> </w:t>
      </w:r>
      <w:r>
        <w:rPr>
          <w:spacing w:val="-3"/>
          <w:sz w:val="24"/>
          <w:szCs w:val="24"/>
        </w:rPr>
        <w:t>工艺品</w:t>
      </w:r>
      <w:r>
        <w:rPr>
          <w:spacing w:val="8"/>
          <w:sz w:val="24"/>
          <w:szCs w:val="24"/>
        </w:rPr>
        <w:t>）；</w:t>
      </w:r>
      <w:r>
        <w:rPr>
          <w:spacing w:val="-3"/>
          <w:sz w:val="24"/>
          <w:szCs w:val="24"/>
        </w:rPr>
        <w:t>安排直播宣传。</w:t>
      </w:r>
    </w:p>
    <w:p w14:paraId="59DB30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textAlignment w:val="baseline"/>
        <w:outlineLvl w:val="1"/>
        <w:rPr>
          <w:sz w:val="24"/>
          <w:szCs w:val="24"/>
        </w:rPr>
      </w:pPr>
      <w:r>
        <w:rPr>
          <w:b/>
          <w:bCs/>
          <w:spacing w:val="-3"/>
          <w:sz w:val="24"/>
          <w:szCs w:val="24"/>
        </w:rPr>
        <w:t>（3）2025</w:t>
      </w:r>
      <w:r>
        <w:rPr>
          <w:spacing w:val="-60"/>
          <w:sz w:val="24"/>
          <w:szCs w:val="24"/>
        </w:rPr>
        <w:t xml:space="preserve"> </w:t>
      </w:r>
      <w:r>
        <w:rPr>
          <w:b/>
          <w:bCs/>
          <w:spacing w:val="-3"/>
          <w:sz w:val="24"/>
          <w:szCs w:val="24"/>
        </w:rPr>
        <w:t>年称多县第十三届三江源嘎觉吾生态文化旅游季</w:t>
      </w:r>
      <w:r>
        <w:rPr>
          <w:rFonts w:hint="eastAsia"/>
          <w:sz w:val="24"/>
          <w:szCs w:val="24"/>
          <w:lang w:val="en-US" w:eastAsia="zh-CN"/>
        </w:rPr>
        <w:t xml:space="preserve"> </w:t>
      </w:r>
      <w:r>
        <w:rPr>
          <w:b/>
          <w:bCs/>
          <w:spacing w:val="11"/>
          <w:sz w:val="24"/>
          <w:szCs w:val="24"/>
        </w:rPr>
        <w:t>——“音乐节</w:t>
      </w:r>
      <w:r>
        <w:rPr>
          <w:spacing w:val="-102"/>
          <w:sz w:val="24"/>
          <w:szCs w:val="24"/>
        </w:rPr>
        <w:t xml:space="preserve"> </w:t>
      </w:r>
      <w:r>
        <w:rPr>
          <w:b/>
          <w:bCs/>
          <w:spacing w:val="11"/>
          <w:sz w:val="24"/>
          <w:szCs w:val="24"/>
        </w:rPr>
        <w:t>”</w:t>
      </w:r>
    </w:p>
    <w:p w14:paraId="11F505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活动地点：玉树藏族自治州称多县嘉塘草原音乐节舞台区</w:t>
      </w:r>
    </w:p>
    <w:p w14:paraId="2C28DA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3"/>
          <w:sz w:val="24"/>
          <w:szCs w:val="24"/>
        </w:rPr>
        <w:t>活动内容：</w:t>
      </w:r>
    </w:p>
    <w:p w14:paraId="7FD348D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①邀请组艺人（含藏族歌手、流行乐队）演出时长2</w:t>
      </w:r>
      <w:r>
        <w:rPr>
          <w:spacing w:val="-36"/>
          <w:sz w:val="24"/>
          <w:szCs w:val="24"/>
        </w:rPr>
        <w:t xml:space="preserve"> </w:t>
      </w:r>
      <w:r>
        <w:rPr>
          <w:spacing w:val="1"/>
          <w:sz w:val="24"/>
          <w:szCs w:val="24"/>
        </w:rPr>
        <w:t>小时。</w:t>
      </w:r>
    </w:p>
    <w:p w14:paraId="6037B0F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②舞台设计分主舞台与副舞符合音乐节舞台设置需求。</w:t>
      </w:r>
    </w:p>
    <w:p w14:paraId="6AEF5B4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spacing w:val="-1"/>
          <w:sz w:val="24"/>
          <w:szCs w:val="24"/>
        </w:rPr>
      </w:pPr>
      <w:r>
        <w:rPr>
          <w:spacing w:val="-1"/>
          <w:sz w:val="24"/>
          <w:szCs w:val="24"/>
        </w:rPr>
        <w:t>③需提供安保、医疗及紧急疏散方案。</w:t>
      </w:r>
    </w:p>
    <w:p w14:paraId="2BBAD82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textAlignment w:val="baseline"/>
        <w:outlineLvl w:val="1"/>
        <w:rPr>
          <w:sz w:val="24"/>
          <w:szCs w:val="24"/>
        </w:rPr>
      </w:pPr>
      <w:r>
        <w:rPr>
          <w:b/>
          <w:bCs/>
          <w:spacing w:val="-3"/>
          <w:sz w:val="24"/>
          <w:szCs w:val="24"/>
        </w:rPr>
        <w:t>（4）2025</w:t>
      </w:r>
      <w:r>
        <w:rPr>
          <w:spacing w:val="-60"/>
          <w:sz w:val="24"/>
          <w:szCs w:val="24"/>
        </w:rPr>
        <w:t xml:space="preserve"> </w:t>
      </w:r>
      <w:r>
        <w:rPr>
          <w:b/>
          <w:bCs/>
          <w:spacing w:val="-3"/>
          <w:sz w:val="24"/>
          <w:szCs w:val="24"/>
        </w:rPr>
        <w:t>年称多县第十三届三江源嘎觉吾生态文化旅游季</w:t>
      </w:r>
      <w:r>
        <w:rPr>
          <w:b/>
          <w:bCs/>
          <w:spacing w:val="-11"/>
          <w:sz w:val="24"/>
          <w:szCs w:val="24"/>
        </w:rPr>
        <w:t>——称多县传承千年</w:t>
      </w:r>
      <w:r>
        <w:rPr>
          <w:spacing w:val="-24"/>
          <w:sz w:val="24"/>
          <w:szCs w:val="24"/>
        </w:rPr>
        <w:t xml:space="preserve"> </w:t>
      </w:r>
      <w:r>
        <w:rPr>
          <w:b/>
          <w:bCs/>
          <w:spacing w:val="-11"/>
          <w:sz w:val="24"/>
          <w:szCs w:val="24"/>
        </w:rPr>
        <w:t>·</w:t>
      </w:r>
      <w:r>
        <w:rPr>
          <w:spacing w:val="40"/>
          <w:sz w:val="24"/>
          <w:szCs w:val="24"/>
        </w:rPr>
        <w:t xml:space="preserve"> </w:t>
      </w:r>
      <w:r>
        <w:rPr>
          <w:b/>
          <w:bCs/>
          <w:spacing w:val="-11"/>
          <w:sz w:val="24"/>
          <w:szCs w:val="24"/>
        </w:rPr>
        <w:t>民俗马术文化演绎</w:t>
      </w:r>
    </w:p>
    <w:p w14:paraId="37AB9FE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活动地点：嘉塘草原生态赛马比赛场地</w:t>
      </w:r>
    </w:p>
    <w:p w14:paraId="6C27876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活动内容：跑马、走马、赛马汉子秀、赛马秀</w:t>
      </w:r>
    </w:p>
    <w:p w14:paraId="56F47B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①跑马比赛：多公里数耐力赛。</w:t>
      </w:r>
    </w:p>
    <w:p w14:paraId="7526943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②走马比赛：评选马匹步伐优雅度，设裁判组。</w:t>
      </w:r>
    </w:p>
    <w:p w14:paraId="77288AE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③赛马汉子秀、赛马秀：骑手展示传统服饰及马术技巧。</w:t>
      </w:r>
    </w:p>
    <w:p w14:paraId="041DCE6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76" w:firstLineChars="200"/>
        <w:textAlignment w:val="auto"/>
        <w:rPr>
          <w:spacing w:val="-1"/>
          <w:sz w:val="24"/>
          <w:szCs w:val="24"/>
        </w:rPr>
      </w:pPr>
      <w:r>
        <w:rPr>
          <w:spacing w:val="-1"/>
          <w:sz w:val="24"/>
          <w:szCs w:val="24"/>
        </w:rPr>
        <w:t>④安排解说员解说马术文化及现场情况。</w:t>
      </w:r>
    </w:p>
    <w:p w14:paraId="6D3031D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textAlignment w:val="baseline"/>
        <w:outlineLvl w:val="1"/>
        <w:rPr>
          <w:sz w:val="24"/>
          <w:szCs w:val="24"/>
        </w:rPr>
      </w:pPr>
      <w:r>
        <w:rPr>
          <w:b/>
          <w:bCs/>
          <w:spacing w:val="-3"/>
          <w:sz w:val="24"/>
          <w:szCs w:val="24"/>
        </w:rPr>
        <w:t>（5）2025</w:t>
      </w:r>
      <w:r>
        <w:rPr>
          <w:spacing w:val="-60"/>
          <w:sz w:val="24"/>
          <w:szCs w:val="24"/>
        </w:rPr>
        <w:t xml:space="preserve"> </w:t>
      </w:r>
      <w:r>
        <w:rPr>
          <w:b/>
          <w:bCs/>
          <w:spacing w:val="-3"/>
          <w:sz w:val="24"/>
          <w:szCs w:val="24"/>
        </w:rPr>
        <w:t>年称多县第十三届三江源嘎觉吾生态文化旅游季——乡镇文艺专场、阿若康巴</w:t>
      </w:r>
      <w:r>
        <w:rPr>
          <w:rFonts w:ascii="MS PGothic" w:hAnsi="MS PGothic" w:eastAsia="MS PGothic" w:cs="MS PGothic"/>
          <w:b/>
          <w:bCs/>
          <w:spacing w:val="-3"/>
          <w:sz w:val="24"/>
          <w:szCs w:val="24"/>
        </w:rPr>
        <w:t>・</w:t>
      </w:r>
      <w:r>
        <w:rPr>
          <w:b/>
          <w:bCs/>
          <w:spacing w:val="-3"/>
          <w:sz w:val="24"/>
          <w:szCs w:val="24"/>
        </w:rPr>
        <w:t>民族风情走秀展演</w:t>
      </w:r>
    </w:p>
    <w:p w14:paraId="12D011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活动地点：嘉塘草原文艺展演舞台区</w:t>
      </w:r>
    </w:p>
    <w:p w14:paraId="58904C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3"/>
          <w:sz w:val="24"/>
          <w:szCs w:val="24"/>
        </w:rPr>
        <w:t>活动内容：</w:t>
      </w:r>
    </w:p>
    <w:p w14:paraId="3A9484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（1）称文镇文艺展演</w:t>
      </w:r>
    </w:p>
    <w:p w14:paraId="052D0FF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（2）清水河镇文艺展演</w:t>
      </w:r>
    </w:p>
    <w:p w14:paraId="7974505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（3）歇武镇文艺展演</w:t>
      </w:r>
    </w:p>
    <w:p w14:paraId="4A63A5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（4）珍秦镇文艺展演</w:t>
      </w:r>
    </w:p>
    <w:p w14:paraId="0D4044F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（5）阿若康巴</w:t>
      </w:r>
      <w:r>
        <w:rPr>
          <w:rFonts w:ascii="MS PGothic" w:hAnsi="MS PGothic" w:eastAsia="MS PGothic" w:cs="MS PGothic"/>
          <w:spacing w:val="-2"/>
          <w:sz w:val="24"/>
          <w:szCs w:val="24"/>
        </w:rPr>
        <w:t>・</w:t>
      </w:r>
      <w:r>
        <w:rPr>
          <w:spacing w:val="-2"/>
          <w:sz w:val="24"/>
          <w:szCs w:val="24"/>
        </w:rPr>
        <w:t>民族风情走秀展演</w:t>
      </w:r>
    </w:p>
    <w:p w14:paraId="0ECC1F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（7）扎朵镇文艺展演</w:t>
      </w:r>
    </w:p>
    <w:p w14:paraId="436AA57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（8）拉布乡文艺展演</w:t>
      </w:r>
    </w:p>
    <w:p w14:paraId="6A6FD4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（9）尕朵乡文艺展演</w:t>
      </w:r>
    </w:p>
    <w:p w14:paraId="5F625DE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（10）本土星秀及通天河艺术团专场演出</w:t>
      </w:r>
    </w:p>
    <w:p w14:paraId="4B1FFC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6"/>
        <w:jc w:val="both"/>
        <w:textAlignment w:val="baseline"/>
        <w:rPr>
          <w:rFonts w:ascii="Arial"/>
          <w:sz w:val="24"/>
          <w:szCs w:val="24"/>
        </w:rPr>
      </w:pPr>
      <w:r>
        <w:rPr>
          <w:spacing w:val="-3"/>
          <w:sz w:val="24"/>
          <w:szCs w:val="24"/>
        </w:rPr>
        <w:t>每场</w:t>
      </w:r>
      <w:r>
        <w:rPr>
          <w:spacing w:val="-61"/>
          <w:sz w:val="24"/>
          <w:szCs w:val="24"/>
        </w:rPr>
        <w:t xml:space="preserve"> </w:t>
      </w:r>
      <w:r>
        <w:rPr>
          <w:spacing w:val="-3"/>
          <w:sz w:val="24"/>
          <w:szCs w:val="24"/>
        </w:rPr>
        <w:t>90</w:t>
      </w:r>
      <w:r>
        <w:rPr>
          <w:spacing w:val="-58"/>
          <w:sz w:val="24"/>
          <w:szCs w:val="24"/>
        </w:rPr>
        <w:t xml:space="preserve"> </w:t>
      </w:r>
      <w:r>
        <w:rPr>
          <w:spacing w:val="-3"/>
          <w:sz w:val="24"/>
          <w:szCs w:val="24"/>
        </w:rPr>
        <w:t>分钟，覆盖</w:t>
      </w:r>
      <w:r>
        <w:rPr>
          <w:spacing w:val="-59"/>
          <w:sz w:val="24"/>
          <w:szCs w:val="24"/>
        </w:rPr>
        <w:t xml:space="preserve"> </w:t>
      </w:r>
      <w:r>
        <w:rPr>
          <w:spacing w:val="-3"/>
          <w:sz w:val="24"/>
          <w:szCs w:val="24"/>
        </w:rPr>
        <w:t>9</w:t>
      </w:r>
      <w:r>
        <w:rPr>
          <w:spacing w:val="-61"/>
          <w:sz w:val="24"/>
          <w:szCs w:val="24"/>
        </w:rPr>
        <w:t xml:space="preserve"> </w:t>
      </w:r>
      <w:r>
        <w:rPr>
          <w:spacing w:val="-3"/>
          <w:sz w:val="24"/>
          <w:szCs w:val="24"/>
        </w:rPr>
        <w:t>个乡镇特色节目；“阿若康巴</w:t>
      </w:r>
      <w:r>
        <w:rPr>
          <w:spacing w:val="-102"/>
          <w:sz w:val="24"/>
          <w:szCs w:val="24"/>
        </w:rPr>
        <w:t xml:space="preserve"> </w:t>
      </w:r>
      <w:r>
        <w:rPr>
          <w:spacing w:val="-3"/>
          <w:sz w:val="24"/>
          <w:szCs w:val="24"/>
        </w:rPr>
        <w:t>”走秀：展示传</w:t>
      </w:r>
      <w:r>
        <w:rPr>
          <w:sz w:val="24"/>
          <w:szCs w:val="24"/>
        </w:rPr>
        <w:t xml:space="preserve">  </w:t>
      </w:r>
      <w:r>
        <w:rPr>
          <w:spacing w:val="-10"/>
          <w:sz w:val="24"/>
          <w:szCs w:val="24"/>
        </w:rPr>
        <w:t>统藏族服饰，搭配非遗手工艺品。本土星秀及通天河艺</w:t>
      </w:r>
      <w:r>
        <w:rPr>
          <w:spacing w:val="-11"/>
          <w:sz w:val="24"/>
          <w:szCs w:val="24"/>
        </w:rPr>
        <w:t>术团压轴演出，</w:t>
      </w:r>
      <w:r>
        <w:rPr>
          <w:sz w:val="24"/>
          <w:szCs w:val="24"/>
        </w:rPr>
        <w:t xml:space="preserve"> </w:t>
      </w:r>
      <w:r>
        <w:rPr>
          <w:spacing w:val="-2"/>
          <w:sz w:val="24"/>
          <w:szCs w:val="24"/>
        </w:rPr>
        <w:t>融合现代舞与藏族音乐。</w:t>
      </w:r>
    </w:p>
    <w:p w14:paraId="73FA2E7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35" w:firstLineChars="100"/>
        <w:textAlignment w:val="baseline"/>
        <w:outlineLvl w:val="1"/>
        <w:rPr>
          <w:sz w:val="24"/>
          <w:szCs w:val="24"/>
        </w:rPr>
      </w:pPr>
      <w:r>
        <w:rPr>
          <w:b/>
          <w:bCs/>
          <w:spacing w:val="-3"/>
          <w:sz w:val="24"/>
          <w:szCs w:val="24"/>
        </w:rPr>
        <w:t>（6）2025</w:t>
      </w:r>
      <w:r>
        <w:rPr>
          <w:spacing w:val="-60"/>
          <w:sz w:val="24"/>
          <w:szCs w:val="24"/>
        </w:rPr>
        <w:t xml:space="preserve"> </w:t>
      </w:r>
      <w:r>
        <w:rPr>
          <w:b/>
          <w:bCs/>
          <w:spacing w:val="-3"/>
          <w:sz w:val="24"/>
          <w:szCs w:val="24"/>
        </w:rPr>
        <w:t>年称多县第十三届三江源嘎觉吾生态文化旅游季——沉浸式体验游牧文化体验；传统体育竞技；</w:t>
      </w:r>
    </w:p>
    <w:p w14:paraId="2CFA61E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b/>
          <w:bCs/>
          <w:spacing w:val="-3"/>
          <w:sz w:val="24"/>
          <w:szCs w:val="24"/>
        </w:rPr>
        <w:t>康巴拉伊</w:t>
      </w:r>
      <w:r>
        <w:rPr>
          <w:rFonts w:ascii="MS PGothic" w:hAnsi="MS PGothic" w:eastAsia="MS PGothic" w:cs="MS PGothic"/>
          <w:b/>
          <w:bCs/>
          <w:spacing w:val="-3"/>
          <w:sz w:val="24"/>
          <w:szCs w:val="24"/>
        </w:rPr>
        <w:t>・</w:t>
      </w:r>
      <w:r>
        <w:rPr>
          <w:b/>
          <w:bCs/>
          <w:spacing w:val="-3"/>
          <w:sz w:val="24"/>
          <w:szCs w:val="24"/>
        </w:rPr>
        <w:t>高原天籁山歌擂台赛</w:t>
      </w:r>
    </w:p>
    <w:p w14:paraId="3D5CF03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活动地点：嘉塘草原竞技活动区、嘉塘草原文艺展演舞台区</w:t>
      </w:r>
      <w:r>
        <w:rPr>
          <w:spacing w:val="-3"/>
          <w:sz w:val="24"/>
          <w:szCs w:val="24"/>
        </w:rPr>
        <w:t>活动内容：</w:t>
      </w:r>
    </w:p>
    <w:p w14:paraId="508A651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z w:val="24"/>
          <w:szCs w:val="24"/>
        </w:rPr>
        <w:t>1.游牧文化体验：</w:t>
      </w:r>
    </w:p>
    <w:p w14:paraId="7F2EBA3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2.牦牛竞技赛</w:t>
      </w:r>
    </w:p>
    <w:p w14:paraId="090C165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3.拔河对抗比赛</w:t>
      </w:r>
    </w:p>
    <w:p w14:paraId="3233EEC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3.沙包举重挑战赛</w:t>
      </w:r>
    </w:p>
    <w:p w14:paraId="4A262D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1"/>
          <w:sz w:val="24"/>
          <w:szCs w:val="24"/>
        </w:rPr>
        <w:t>4.传统押加拉力赛</w:t>
      </w:r>
    </w:p>
    <w:p w14:paraId="4CE0941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spacing w:val="-2"/>
          <w:sz w:val="24"/>
          <w:szCs w:val="24"/>
        </w:rPr>
        <w:t>5.马鞍酸奶速食赛</w:t>
      </w:r>
    </w:p>
    <w:p w14:paraId="68839E6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spacing w:val="-1"/>
          <w:sz w:val="24"/>
          <w:szCs w:val="24"/>
        </w:rPr>
        <w:t>6.康巴拉伊</w:t>
      </w:r>
      <w:r>
        <w:rPr>
          <w:rFonts w:ascii="MS PGothic" w:hAnsi="MS PGothic" w:eastAsia="MS PGothic" w:cs="MS PGothic"/>
          <w:spacing w:val="-1"/>
          <w:sz w:val="24"/>
          <w:szCs w:val="24"/>
        </w:rPr>
        <w:t>・</w:t>
      </w:r>
      <w:r>
        <w:rPr>
          <w:spacing w:val="-1"/>
          <w:sz w:val="24"/>
          <w:szCs w:val="24"/>
        </w:rPr>
        <w:t>高原天籁山歌擂台赛</w:t>
      </w:r>
    </w:p>
    <w:p w14:paraId="602D456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eastAsia"/>
          <w:spacing w:val="-1"/>
          <w:lang w:val="en-US" w:eastAsia="zh-CN"/>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MS P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6E95">
    <w:pPr>
      <w:pStyle w:val="15"/>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8B9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D8B9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24A3">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D538D">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8B81">
    <w:pPr>
      <w:pStyle w:val="15"/>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F7344">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5F7344">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B4BC">
    <w:pPr>
      <w:pStyle w:val="16"/>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青海华景工程项目管理有限公司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青海华景竞磋（服务）2025-009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C6C4">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2179">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F8C7">
    <w:pPr>
      <w:keepNext w:val="0"/>
      <w:keepLines w:val="0"/>
      <w:pageBreakBefore w:val="0"/>
      <w:widowControl w:val="0"/>
      <w:pBdr>
        <w:bottom w:val="none" w:color="auto" w:sz="0" w:space="0"/>
      </w:pBdr>
      <w:kinsoku/>
      <w:wordWrap/>
      <w:overflowPunct/>
      <w:topLinePunct w:val="0"/>
      <w:bidi w:val="0"/>
      <w:adjustRightInd/>
      <w:snapToGrid/>
      <w:spacing w:line="400" w:lineRule="exact"/>
      <w:ind w:left="0" w:leftChars="0" w:firstLine="0" w:firstLineChars="0"/>
      <w:textAlignment w:val="auto"/>
      <w:rPr>
        <w:rFonts w:ascii="宋体" w:hAnsi="宋体" w:eastAsia="宋体" w:cs="宋体"/>
        <w:sz w:val="18"/>
        <w:szCs w:val="18"/>
      </w:rPr>
    </w:pPr>
    <w:r>
      <w:rPr>
        <w:rFonts w:hint="eastAsia" w:ascii="宋体" w:hAnsi="宋体" w:eastAsia="宋体" w:cs="宋体"/>
        <w:b/>
        <w:bCs/>
        <w:sz w:val="21"/>
        <w:szCs w:val="21"/>
        <w:u w:val="single"/>
        <w:lang w:val="en-US" w:eastAsia="zh-CN" w:bidi="ar-SA"/>
      </w:rPr>
      <w:t>青海华景工程项目管理有限公司磋商文件              青海华景竞磋（服务）2025-009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30DE0"/>
    <w:multiLevelType w:val="singleLevel"/>
    <w:tmpl w:val="C2A30DE0"/>
    <w:lvl w:ilvl="0" w:tentative="0">
      <w:start w:val="2"/>
      <w:numFmt w:val="decimal"/>
      <w:lvlText w:val="%1."/>
      <w:lvlJc w:val="left"/>
      <w:pPr>
        <w:tabs>
          <w:tab w:val="left" w:pos="312"/>
        </w:tabs>
      </w:pPr>
    </w:lvl>
  </w:abstractNum>
  <w:abstractNum w:abstractNumId="1">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5F54C77"/>
    <w:multiLevelType w:val="singleLevel"/>
    <w:tmpl w:val="15F54C77"/>
    <w:lvl w:ilvl="0" w:tentative="0">
      <w:start w:val="26"/>
      <w:numFmt w:val="decimal"/>
      <w:lvlText w:val="%1."/>
      <w:lvlJc w:val="left"/>
      <w:pPr>
        <w:tabs>
          <w:tab w:val="left" w:pos="312"/>
        </w:tabs>
      </w:pPr>
    </w:lvl>
  </w:abstractNum>
  <w:abstractNum w:abstractNumId="3">
    <w:nsid w:val="2C154F0F"/>
    <w:multiLevelType w:val="multilevel"/>
    <w:tmpl w:val="2C154F0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YjU0MGM0ODg4Y2RlMGRjOGYzNGY4ZGFhNTZmMWYifQ=="/>
    <w:docVar w:name="KSO_WPS_MARK_KEY" w:val="2af36403-74a5-4392-b4c1-78c6de48ca45"/>
  </w:docVars>
  <w:rsids>
    <w:rsidRoot w:val="6F3A01D0"/>
    <w:rsid w:val="0011729F"/>
    <w:rsid w:val="00133528"/>
    <w:rsid w:val="0018099E"/>
    <w:rsid w:val="00285085"/>
    <w:rsid w:val="002C5D0F"/>
    <w:rsid w:val="002E1E1C"/>
    <w:rsid w:val="00327CB1"/>
    <w:rsid w:val="003532FE"/>
    <w:rsid w:val="005E0AA6"/>
    <w:rsid w:val="0067722F"/>
    <w:rsid w:val="006D2A98"/>
    <w:rsid w:val="007076D2"/>
    <w:rsid w:val="00796EA1"/>
    <w:rsid w:val="007C2CDB"/>
    <w:rsid w:val="007F6C6F"/>
    <w:rsid w:val="00867FFD"/>
    <w:rsid w:val="008D138C"/>
    <w:rsid w:val="008D313A"/>
    <w:rsid w:val="009049D8"/>
    <w:rsid w:val="00983BE2"/>
    <w:rsid w:val="009B76F9"/>
    <w:rsid w:val="00A16BE5"/>
    <w:rsid w:val="00A22D1A"/>
    <w:rsid w:val="00AE5A2B"/>
    <w:rsid w:val="00B102E6"/>
    <w:rsid w:val="00B32474"/>
    <w:rsid w:val="00B52690"/>
    <w:rsid w:val="00B95CDD"/>
    <w:rsid w:val="00BE7797"/>
    <w:rsid w:val="00C50B26"/>
    <w:rsid w:val="00CF3752"/>
    <w:rsid w:val="00D14A56"/>
    <w:rsid w:val="00D656C9"/>
    <w:rsid w:val="00D728E7"/>
    <w:rsid w:val="00E22C49"/>
    <w:rsid w:val="00E24720"/>
    <w:rsid w:val="00E32D5A"/>
    <w:rsid w:val="00EB4D82"/>
    <w:rsid w:val="00EF16FF"/>
    <w:rsid w:val="00F10486"/>
    <w:rsid w:val="00F10986"/>
    <w:rsid w:val="01017684"/>
    <w:rsid w:val="010333FC"/>
    <w:rsid w:val="01062EEC"/>
    <w:rsid w:val="01066A48"/>
    <w:rsid w:val="011D7E3A"/>
    <w:rsid w:val="012D0479"/>
    <w:rsid w:val="012D5BC8"/>
    <w:rsid w:val="01390BCC"/>
    <w:rsid w:val="013E61E2"/>
    <w:rsid w:val="014622CC"/>
    <w:rsid w:val="014D4677"/>
    <w:rsid w:val="015974C0"/>
    <w:rsid w:val="015E0632"/>
    <w:rsid w:val="0160084E"/>
    <w:rsid w:val="01730582"/>
    <w:rsid w:val="018362EB"/>
    <w:rsid w:val="018856AF"/>
    <w:rsid w:val="01967DCC"/>
    <w:rsid w:val="01987FE8"/>
    <w:rsid w:val="01AE3368"/>
    <w:rsid w:val="01B666C0"/>
    <w:rsid w:val="01BB7833"/>
    <w:rsid w:val="01BC2907"/>
    <w:rsid w:val="01BD17FD"/>
    <w:rsid w:val="01D036F5"/>
    <w:rsid w:val="01EB45BC"/>
    <w:rsid w:val="01F36FCC"/>
    <w:rsid w:val="01FB2325"/>
    <w:rsid w:val="020236B3"/>
    <w:rsid w:val="020C4532"/>
    <w:rsid w:val="021138F7"/>
    <w:rsid w:val="02145195"/>
    <w:rsid w:val="021533E7"/>
    <w:rsid w:val="02290C40"/>
    <w:rsid w:val="022C0730"/>
    <w:rsid w:val="022E65D5"/>
    <w:rsid w:val="02337D11"/>
    <w:rsid w:val="023668BD"/>
    <w:rsid w:val="02441F1E"/>
    <w:rsid w:val="025161A5"/>
    <w:rsid w:val="025832D3"/>
    <w:rsid w:val="0261487E"/>
    <w:rsid w:val="02634F9F"/>
    <w:rsid w:val="02694478"/>
    <w:rsid w:val="026B74AB"/>
    <w:rsid w:val="026D3223"/>
    <w:rsid w:val="026E6F9B"/>
    <w:rsid w:val="027A149C"/>
    <w:rsid w:val="027C16B8"/>
    <w:rsid w:val="027F3A06"/>
    <w:rsid w:val="029108A9"/>
    <w:rsid w:val="0295277A"/>
    <w:rsid w:val="02954528"/>
    <w:rsid w:val="029C3B08"/>
    <w:rsid w:val="02BA21E0"/>
    <w:rsid w:val="02C170CB"/>
    <w:rsid w:val="02D45050"/>
    <w:rsid w:val="02DA018C"/>
    <w:rsid w:val="02E903CF"/>
    <w:rsid w:val="02F54FC6"/>
    <w:rsid w:val="02FE031F"/>
    <w:rsid w:val="03062D2F"/>
    <w:rsid w:val="030D40BE"/>
    <w:rsid w:val="031A4A2D"/>
    <w:rsid w:val="031A67DB"/>
    <w:rsid w:val="03215DBB"/>
    <w:rsid w:val="032633D2"/>
    <w:rsid w:val="032D650E"/>
    <w:rsid w:val="03353615"/>
    <w:rsid w:val="03465822"/>
    <w:rsid w:val="035241C7"/>
    <w:rsid w:val="03555A65"/>
    <w:rsid w:val="036F2FCB"/>
    <w:rsid w:val="037405E1"/>
    <w:rsid w:val="03782B4D"/>
    <w:rsid w:val="037979A5"/>
    <w:rsid w:val="0383077C"/>
    <w:rsid w:val="03863E70"/>
    <w:rsid w:val="038C592B"/>
    <w:rsid w:val="03914CEF"/>
    <w:rsid w:val="03920A67"/>
    <w:rsid w:val="039B3DC0"/>
    <w:rsid w:val="03AC1C47"/>
    <w:rsid w:val="03B409DD"/>
    <w:rsid w:val="03B60BF9"/>
    <w:rsid w:val="03C055D4"/>
    <w:rsid w:val="03CC3F79"/>
    <w:rsid w:val="03D1333D"/>
    <w:rsid w:val="03D66BA6"/>
    <w:rsid w:val="03D90444"/>
    <w:rsid w:val="03DD7F34"/>
    <w:rsid w:val="03E5503B"/>
    <w:rsid w:val="03F41C04"/>
    <w:rsid w:val="03FA6D38"/>
    <w:rsid w:val="03FB485E"/>
    <w:rsid w:val="04091C6F"/>
    <w:rsid w:val="040E3C03"/>
    <w:rsid w:val="040E4592"/>
    <w:rsid w:val="04117BDE"/>
    <w:rsid w:val="041476CE"/>
    <w:rsid w:val="0422003D"/>
    <w:rsid w:val="04227417"/>
    <w:rsid w:val="042711AF"/>
    <w:rsid w:val="04441D61"/>
    <w:rsid w:val="04473600"/>
    <w:rsid w:val="044E6387"/>
    <w:rsid w:val="04543C07"/>
    <w:rsid w:val="0457091C"/>
    <w:rsid w:val="045F4DED"/>
    <w:rsid w:val="046917C8"/>
    <w:rsid w:val="04730898"/>
    <w:rsid w:val="04754611"/>
    <w:rsid w:val="047F723D"/>
    <w:rsid w:val="04842AA6"/>
    <w:rsid w:val="0495080F"/>
    <w:rsid w:val="049C1B9D"/>
    <w:rsid w:val="049F51EA"/>
    <w:rsid w:val="04BC5D9C"/>
    <w:rsid w:val="04BE5FB8"/>
    <w:rsid w:val="04C048E2"/>
    <w:rsid w:val="04C42EA2"/>
    <w:rsid w:val="04C64E6C"/>
    <w:rsid w:val="04C74740"/>
    <w:rsid w:val="04E62E18"/>
    <w:rsid w:val="04F33787"/>
    <w:rsid w:val="05025778"/>
    <w:rsid w:val="050B17DB"/>
    <w:rsid w:val="050D2A9B"/>
    <w:rsid w:val="050D65F7"/>
    <w:rsid w:val="05143E2A"/>
    <w:rsid w:val="05151950"/>
    <w:rsid w:val="05213046"/>
    <w:rsid w:val="053022E6"/>
    <w:rsid w:val="05341E77"/>
    <w:rsid w:val="0539593F"/>
    <w:rsid w:val="053B7608"/>
    <w:rsid w:val="053F69CD"/>
    <w:rsid w:val="054144F3"/>
    <w:rsid w:val="0543026B"/>
    <w:rsid w:val="05432019"/>
    <w:rsid w:val="05502988"/>
    <w:rsid w:val="0552282F"/>
    <w:rsid w:val="056401E1"/>
    <w:rsid w:val="056D353A"/>
    <w:rsid w:val="05740424"/>
    <w:rsid w:val="0575419C"/>
    <w:rsid w:val="05790131"/>
    <w:rsid w:val="05834B0B"/>
    <w:rsid w:val="058954CE"/>
    <w:rsid w:val="05920F04"/>
    <w:rsid w:val="05A07941"/>
    <w:rsid w:val="05A827C4"/>
    <w:rsid w:val="05B253F0"/>
    <w:rsid w:val="05BB24F7"/>
    <w:rsid w:val="05BD220F"/>
    <w:rsid w:val="05C07B0D"/>
    <w:rsid w:val="05C649F8"/>
    <w:rsid w:val="05C944DE"/>
    <w:rsid w:val="05CD3091"/>
    <w:rsid w:val="05D830A9"/>
    <w:rsid w:val="05E01F5E"/>
    <w:rsid w:val="05E27A84"/>
    <w:rsid w:val="05E732EC"/>
    <w:rsid w:val="05F02CD2"/>
    <w:rsid w:val="05F94DCD"/>
    <w:rsid w:val="05FE0636"/>
    <w:rsid w:val="0600615C"/>
    <w:rsid w:val="060A2B37"/>
    <w:rsid w:val="060D2627"/>
    <w:rsid w:val="060F2843"/>
    <w:rsid w:val="06135E8F"/>
    <w:rsid w:val="0616772D"/>
    <w:rsid w:val="061F2A86"/>
    <w:rsid w:val="062C0CFF"/>
    <w:rsid w:val="063A78C0"/>
    <w:rsid w:val="064222D0"/>
    <w:rsid w:val="06454043"/>
    <w:rsid w:val="064C75F3"/>
    <w:rsid w:val="06565D7C"/>
    <w:rsid w:val="065B15E4"/>
    <w:rsid w:val="065B2521"/>
    <w:rsid w:val="06624721"/>
    <w:rsid w:val="06652463"/>
    <w:rsid w:val="066E57BB"/>
    <w:rsid w:val="0676069E"/>
    <w:rsid w:val="06782196"/>
    <w:rsid w:val="067B1C86"/>
    <w:rsid w:val="067B3A34"/>
    <w:rsid w:val="06813928"/>
    <w:rsid w:val="06905732"/>
    <w:rsid w:val="069468A4"/>
    <w:rsid w:val="0696086E"/>
    <w:rsid w:val="069B5E85"/>
    <w:rsid w:val="06A765D7"/>
    <w:rsid w:val="06C47189"/>
    <w:rsid w:val="06D33870"/>
    <w:rsid w:val="06D575E9"/>
    <w:rsid w:val="06D80E87"/>
    <w:rsid w:val="06E15F8D"/>
    <w:rsid w:val="06E17D3B"/>
    <w:rsid w:val="06FC4B75"/>
    <w:rsid w:val="070E6657"/>
    <w:rsid w:val="071F2612"/>
    <w:rsid w:val="073267E9"/>
    <w:rsid w:val="0744651C"/>
    <w:rsid w:val="0748600C"/>
    <w:rsid w:val="07550729"/>
    <w:rsid w:val="07571DAC"/>
    <w:rsid w:val="076369A2"/>
    <w:rsid w:val="07702E6D"/>
    <w:rsid w:val="07797F74"/>
    <w:rsid w:val="077E1A2E"/>
    <w:rsid w:val="0788465B"/>
    <w:rsid w:val="078B5EF9"/>
    <w:rsid w:val="078D2A34"/>
    <w:rsid w:val="0790350F"/>
    <w:rsid w:val="079324B8"/>
    <w:rsid w:val="07972AF0"/>
    <w:rsid w:val="079F3753"/>
    <w:rsid w:val="07A64AE1"/>
    <w:rsid w:val="07B92A66"/>
    <w:rsid w:val="07BE62CF"/>
    <w:rsid w:val="07C54232"/>
    <w:rsid w:val="07CA4691"/>
    <w:rsid w:val="07CF228A"/>
    <w:rsid w:val="07D16002"/>
    <w:rsid w:val="07D7113E"/>
    <w:rsid w:val="07D75CBB"/>
    <w:rsid w:val="07E3578E"/>
    <w:rsid w:val="07EF6488"/>
    <w:rsid w:val="07F817E1"/>
    <w:rsid w:val="07F92F02"/>
    <w:rsid w:val="080041F1"/>
    <w:rsid w:val="08033CE1"/>
    <w:rsid w:val="080C703A"/>
    <w:rsid w:val="080D690E"/>
    <w:rsid w:val="080F2686"/>
    <w:rsid w:val="081859DF"/>
    <w:rsid w:val="081D2FF5"/>
    <w:rsid w:val="08202AE5"/>
    <w:rsid w:val="082A74C0"/>
    <w:rsid w:val="08393BA7"/>
    <w:rsid w:val="083E2F6B"/>
    <w:rsid w:val="08430582"/>
    <w:rsid w:val="08432C65"/>
    <w:rsid w:val="08491FD0"/>
    <w:rsid w:val="085A5FF7"/>
    <w:rsid w:val="08602EE2"/>
    <w:rsid w:val="08611C36"/>
    <w:rsid w:val="086C5D2B"/>
    <w:rsid w:val="086F75C9"/>
    <w:rsid w:val="08712E62"/>
    <w:rsid w:val="087150EF"/>
    <w:rsid w:val="087370B9"/>
    <w:rsid w:val="08951775"/>
    <w:rsid w:val="089A4646"/>
    <w:rsid w:val="089B216C"/>
    <w:rsid w:val="08A54D99"/>
    <w:rsid w:val="08DD2784"/>
    <w:rsid w:val="08F17FDE"/>
    <w:rsid w:val="08F24482"/>
    <w:rsid w:val="08F301FA"/>
    <w:rsid w:val="08F40EEB"/>
    <w:rsid w:val="08FA50E4"/>
    <w:rsid w:val="08FF6B9F"/>
    <w:rsid w:val="09017684"/>
    <w:rsid w:val="09093579"/>
    <w:rsid w:val="091A12E3"/>
    <w:rsid w:val="091D7025"/>
    <w:rsid w:val="09287EA3"/>
    <w:rsid w:val="09297778"/>
    <w:rsid w:val="092E2FE0"/>
    <w:rsid w:val="094840A2"/>
    <w:rsid w:val="094D16B8"/>
    <w:rsid w:val="094D790A"/>
    <w:rsid w:val="09524F20"/>
    <w:rsid w:val="09554A11"/>
    <w:rsid w:val="095C5D9F"/>
    <w:rsid w:val="095F13EB"/>
    <w:rsid w:val="095F763D"/>
    <w:rsid w:val="096133B5"/>
    <w:rsid w:val="096B7D90"/>
    <w:rsid w:val="097924AD"/>
    <w:rsid w:val="097E3F67"/>
    <w:rsid w:val="097F04D1"/>
    <w:rsid w:val="098175B4"/>
    <w:rsid w:val="098826F0"/>
    <w:rsid w:val="0993176D"/>
    <w:rsid w:val="09A514F4"/>
    <w:rsid w:val="09B01C47"/>
    <w:rsid w:val="09B4447A"/>
    <w:rsid w:val="09B94F9F"/>
    <w:rsid w:val="09C53944"/>
    <w:rsid w:val="09E65669"/>
    <w:rsid w:val="09E85885"/>
    <w:rsid w:val="09EA5816"/>
    <w:rsid w:val="09F63AFE"/>
    <w:rsid w:val="0A0501E5"/>
    <w:rsid w:val="0A081A83"/>
    <w:rsid w:val="0A0F2E11"/>
    <w:rsid w:val="0A110938"/>
    <w:rsid w:val="0A1641A0"/>
    <w:rsid w:val="0A193C90"/>
    <w:rsid w:val="0A1D5CB7"/>
    <w:rsid w:val="0A375EC4"/>
    <w:rsid w:val="0A3B59B5"/>
    <w:rsid w:val="0A3E36F7"/>
    <w:rsid w:val="0A402FCB"/>
    <w:rsid w:val="0A426D43"/>
    <w:rsid w:val="0A4D7496"/>
    <w:rsid w:val="0A5922DF"/>
    <w:rsid w:val="0A5D1DCF"/>
    <w:rsid w:val="0A6F1B02"/>
    <w:rsid w:val="0A70061F"/>
    <w:rsid w:val="0A73246A"/>
    <w:rsid w:val="0A7945D4"/>
    <w:rsid w:val="0A79472F"/>
    <w:rsid w:val="0A981059"/>
    <w:rsid w:val="0A9A6B7F"/>
    <w:rsid w:val="0AA51080"/>
    <w:rsid w:val="0AA55F2A"/>
    <w:rsid w:val="0AAD755F"/>
    <w:rsid w:val="0AAF1EFF"/>
    <w:rsid w:val="0ABB6AF5"/>
    <w:rsid w:val="0AC41E4E"/>
    <w:rsid w:val="0AC91212"/>
    <w:rsid w:val="0ACE28E8"/>
    <w:rsid w:val="0ADB7197"/>
    <w:rsid w:val="0ADD4CBE"/>
    <w:rsid w:val="0AF10769"/>
    <w:rsid w:val="0AF357C2"/>
    <w:rsid w:val="0B09160F"/>
    <w:rsid w:val="0B097861"/>
    <w:rsid w:val="0B0E131B"/>
    <w:rsid w:val="0B13248D"/>
    <w:rsid w:val="0B1701D0"/>
    <w:rsid w:val="0B1B1342"/>
    <w:rsid w:val="0B1B7594"/>
    <w:rsid w:val="0B1E4F61"/>
    <w:rsid w:val="0B272091"/>
    <w:rsid w:val="0B293A5F"/>
    <w:rsid w:val="0B3A5C6C"/>
    <w:rsid w:val="0B3D750A"/>
    <w:rsid w:val="0B420FC5"/>
    <w:rsid w:val="0B46416C"/>
    <w:rsid w:val="0B4D1E43"/>
    <w:rsid w:val="0B5605CC"/>
    <w:rsid w:val="0B574A70"/>
    <w:rsid w:val="0B6C09CE"/>
    <w:rsid w:val="0B776EC0"/>
    <w:rsid w:val="0B7A075E"/>
    <w:rsid w:val="0B8415DD"/>
    <w:rsid w:val="0B887EEE"/>
    <w:rsid w:val="0B931985"/>
    <w:rsid w:val="0B957346"/>
    <w:rsid w:val="0B9F01C5"/>
    <w:rsid w:val="0BA47589"/>
    <w:rsid w:val="0BC419DA"/>
    <w:rsid w:val="0BCB0FBA"/>
    <w:rsid w:val="0BCD4D32"/>
    <w:rsid w:val="0BD061CE"/>
    <w:rsid w:val="0BD936D7"/>
    <w:rsid w:val="0BDA11FD"/>
    <w:rsid w:val="0BDA2FAB"/>
    <w:rsid w:val="0BDC31C7"/>
    <w:rsid w:val="0BE429B8"/>
    <w:rsid w:val="0BE45BD8"/>
    <w:rsid w:val="0BEB51B8"/>
    <w:rsid w:val="0BEC70D3"/>
    <w:rsid w:val="0BEF4CA9"/>
    <w:rsid w:val="0BF00A21"/>
    <w:rsid w:val="0BFA7A74"/>
    <w:rsid w:val="0BFE6C9A"/>
    <w:rsid w:val="0C0149DC"/>
    <w:rsid w:val="0C0A3890"/>
    <w:rsid w:val="0C0B585A"/>
    <w:rsid w:val="0C120997"/>
    <w:rsid w:val="0C126BE9"/>
    <w:rsid w:val="0C14470F"/>
    <w:rsid w:val="0C1B4A4E"/>
    <w:rsid w:val="0C1C35C4"/>
    <w:rsid w:val="0C22507E"/>
    <w:rsid w:val="0C264442"/>
    <w:rsid w:val="0C28640C"/>
    <w:rsid w:val="0C2D57D1"/>
    <w:rsid w:val="0C300E1D"/>
    <w:rsid w:val="0C34090D"/>
    <w:rsid w:val="0C35159A"/>
    <w:rsid w:val="0C443F22"/>
    <w:rsid w:val="0C460641"/>
    <w:rsid w:val="0C4B5C57"/>
    <w:rsid w:val="0C4D19CF"/>
    <w:rsid w:val="0C5B40EC"/>
    <w:rsid w:val="0C676F35"/>
    <w:rsid w:val="0C6A2581"/>
    <w:rsid w:val="0C7D22B4"/>
    <w:rsid w:val="0C7F1621"/>
    <w:rsid w:val="0C846CD5"/>
    <w:rsid w:val="0C882A07"/>
    <w:rsid w:val="0C8D0F7C"/>
    <w:rsid w:val="0CA05FA3"/>
    <w:rsid w:val="0CA57A5D"/>
    <w:rsid w:val="0CA710DF"/>
    <w:rsid w:val="0CB97065"/>
    <w:rsid w:val="0CBE28CD"/>
    <w:rsid w:val="0CC04897"/>
    <w:rsid w:val="0CC7352F"/>
    <w:rsid w:val="0CCF6888"/>
    <w:rsid w:val="0CD21ED4"/>
    <w:rsid w:val="0CDA7707"/>
    <w:rsid w:val="0CDD71F7"/>
    <w:rsid w:val="0CE642FD"/>
    <w:rsid w:val="0CF34325"/>
    <w:rsid w:val="0CFB142B"/>
    <w:rsid w:val="0CFB767D"/>
    <w:rsid w:val="0D054058"/>
    <w:rsid w:val="0D074274"/>
    <w:rsid w:val="0D116EA1"/>
    <w:rsid w:val="0D3A01A5"/>
    <w:rsid w:val="0D4234FE"/>
    <w:rsid w:val="0D4508F8"/>
    <w:rsid w:val="0D4B23B2"/>
    <w:rsid w:val="0D5154EF"/>
    <w:rsid w:val="0D5A25F6"/>
    <w:rsid w:val="0D613984"/>
    <w:rsid w:val="0D685587"/>
    <w:rsid w:val="0D7501A0"/>
    <w:rsid w:val="0D7A4A46"/>
    <w:rsid w:val="0D817B82"/>
    <w:rsid w:val="0D832544"/>
    <w:rsid w:val="0D8B758F"/>
    <w:rsid w:val="0D9D24E2"/>
    <w:rsid w:val="0D9F26FE"/>
    <w:rsid w:val="0DA015BB"/>
    <w:rsid w:val="0DA27AF9"/>
    <w:rsid w:val="0DA75F99"/>
    <w:rsid w:val="0DBA3094"/>
    <w:rsid w:val="0DC539CC"/>
    <w:rsid w:val="0DCF2D63"/>
    <w:rsid w:val="0DD04666"/>
    <w:rsid w:val="0DD203DE"/>
    <w:rsid w:val="0DD46331"/>
    <w:rsid w:val="0DE3083D"/>
    <w:rsid w:val="0DE440BD"/>
    <w:rsid w:val="0DF77E44"/>
    <w:rsid w:val="0DFA5B87"/>
    <w:rsid w:val="0DFB23C6"/>
    <w:rsid w:val="0E07353A"/>
    <w:rsid w:val="0E0D7668"/>
    <w:rsid w:val="0E19600D"/>
    <w:rsid w:val="0E250E55"/>
    <w:rsid w:val="0E302379"/>
    <w:rsid w:val="0E33255C"/>
    <w:rsid w:val="0E456E02"/>
    <w:rsid w:val="0E472F86"/>
    <w:rsid w:val="0E5005EE"/>
    <w:rsid w:val="0E5B6625"/>
    <w:rsid w:val="0E5E7EC3"/>
    <w:rsid w:val="0E71409B"/>
    <w:rsid w:val="0E745939"/>
    <w:rsid w:val="0EB421D9"/>
    <w:rsid w:val="0EB5630C"/>
    <w:rsid w:val="0EC73CBB"/>
    <w:rsid w:val="0EE228A3"/>
    <w:rsid w:val="0EE77EB9"/>
    <w:rsid w:val="0EED1247"/>
    <w:rsid w:val="0EFB1BB6"/>
    <w:rsid w:val="0EFE3455"/>
    <w:rsid w:val="0F00541F"/>
    <w:rsid w:val="0F0C3DC3"/>
    <w:rsid w:val="0F0D5446"/>
    <w:rsid w:val="0F0F7410"/>
    <w:rsid w:val="0F1113DA"/>
    <w:rsid w:val="0F136F00"/>
    <w:rsid w:val="0F1862C4"/>
    <w:rsid w:val="0F2509E1"/>
    <w:rsid w:val="0F274759"/>
    <w:rsid w:val="0F3330FE"/>
    <w:rsid w:val="0F36499C"/>
    <w:rsid w:val="0F3D5D2B"/>
    <w:rsid w:val="0F44530B"/>
    <w:rsid w:val="0F4E618A"/>
    <w:rsid w:val="0F4F5A5E"/>
    <w:rsid w:val="0F56503F"/>
    <w:rsid w:val="0F630EA8"/>
    <w:rsid w:val="0F657030"/>
    <w:rsid w:val="0F6E2388"/>
    <w:rsid w:val="0F786D63"/>
    <w:rsid w:val="0F7F6343"/>
    <w:rsid w:val="0F8E47D8"/>
    <w:rsid w:val="0F9A317D"/>
    <w:rsid w:val="0F9C5147"/>
    <w:rsid w:val="0FA638D0"/>
    <w:rsid w:val="0FAD1102"/>
    <w:rsid w:val="0FB029A1"/>
    <w:rsid w:val="0FB81855"/>
    <w:rsid w:val="0FB87AA7"/>
    <w:rsid w:val="0FBA55CD"/>
    <w:rsid w:val="0FBA737B"/>
    <w:rsid w:val="0FC63F72"/>
    <w:rsid w:val="0FCF7D7A"/>
    <w:rsid w:val="0FD3043D"/>
    <w:rsid w:val="0FDC5544"/>
    <w:rsid w:val="0FED59A3"/>
    <w:rsid w:val="0FEE5277"/>
    <w:rsid w:val="0FFA7A32"/>
    <w:rsid w:val="0FFE195E"/>
    <w:rsid w:val="10023AD4"/>
    <w:rsid w:val="100827DD"/>
    <w:rsid w:val="100D394F"/>
    <w:rsid w:val="100D4AC2"/>
    <w:rsid w:val="10156CA8"/>
    <w:rsid w:val="101E3DAE"/>
    <w:rsid w:val="102313C5"/>
    <w:rsid w:val="102D5D9F"/>
    <w:rsid w:val="1030763E"/>
    <w:rsid w:val="10345380"/>
    <w:rsid w:val="10402ABE"/>
    <w:rsid w:val="10433815"/>
    <w:rsid w:val="10437371"/>
    <w:rsid w:val="1045133B"/>
    <w:rsid w:val="104533D0"/>
    <w:rsid w:val="10463305"/>
    <w:rsid w:val="10484987"/>
    <w:rsid w:val="1054157E"/>
    <w:rsid w:val="105552F6"/>
    <w:rsid w:val="105772C0"/>
    <w:rsid w:val="10606175"/>
    <w:rsid w:val="10611EED"/>
    <w:rsid w:val="10634E18"/>
    <w:rsid w:val="10710382"/>
    <w:rsid w:val="1081433D"/>
    <w:rsid w:val="108A4FA0"/>
    <w:rsid w:val="109122EB"/>
    <w:rsid w:val="10945E1E"/>
    <w:rsid w:val="10953945"/>
    <w:rsid w:val="109764CF"/>
    <w:rsid w:val="109951E3"/>
    <w:rsid w:val="109A3B9B"/>
    <w:rsid w:val="10A1053B"/>
    <w:rsid w:val="10A71125"/>
    <w:rsid w:val="10B043A5"/>
    <w:rsid w:val="10C1473A"/>
    <w:rsid w:val="10CC380A"/>
    <w:rsid w:val="10DE709A"/>
    <w:rsid w:val="10E24DDC"/>
    <w:rsid w:val="10EA3C90"/>
    <w:rsid w:val="11020FDA"/>
    <w:rsid w:val="11024BFB"/>
    <w:rsid w:val="110805BA"/>
    <w:rsid w:val="11082369"/>
    <w:rsid w:val="110C3C07"/>
    <w:rsid w:val="111A4579"/>
    <w:rsid w:val="111C2B53"/>
    <w:rsid w:val="1122167C"/>
    <w:rsid w:val="1129001A"/>
    <w:rsid w:val="11472E91"/>
    <w:rsid w:val="11513D10"/>
    <w:rsid w:val="11592BC4"/>
    <w:rsid w:val="116457F1"/>
    <w:rsid w:val="116E041E"/>
    <w:rsid w:val="1173012A"/>
    <w:rsid w:val="1178129C"/>
    <w:rsid w:val="117A14B8"/>
    <w:rsid w:val="11800378"/>
    <w:rsid w:val="11875983"/>
    <w:rsid w:val="11934328"/>
    <w:rsid w:val="11A007F3"/>
    <w:rsid w:val="11A7392F"/>
    <w:rsid w:val="11C10E95"/>
    <w:rsid w:val="11D64215"/>
    <w:rsid w:val="11DA1F57"/>
    <w:rsid w:val="11E3705D"/>
    <w:rsid w:val="11E9219A"/>
    <w:rsid w:val="11FE3E97"/>
    <w:rsid w:val="12107727"/>
    <w:rsid w:val="12307DC9"/>
    <w:rsid w:val="123E0181"/>
    <w:rsid w:val="123F000C"/>
    <w:rsid w:val="124318AA"/>
    <w:rsid w:val="12435D4E"/>
    <w:rsid w:val="12485112"/>
    <w:rsid w:val="12623510"/>
    <w:rsid w:val="126D4B79"/>
    <w:rsid w:val="126D7900"/>
    <w:rsid w:val="126E269F"/>
    <w:rsid w:val="126F3EC0"/>
    <w:rsid w:val="127204A3"/>
    <w:rsid w:val="12747CB6"/>
    <w:rsid w:val="12753A2E"/>
    <w:rsid w:val="12776593"/>
    <w:rsid w:val="127A7296"/>
    <w:rsid w:val="127F665A"/>
    <w:rsid w:val="12802AFE"/>
    <w:rsid w:val="12883761"/>
    <w:rsid w:val="1288550F"/>
    <w:rsid w:val="12925110"/>
    <w:rsid w:val="129C0FBA"/>
    <w:rsid w:val="12AD766B"/>
    <w:rsid w:val="12BB3B36"/>
    <w:rsid w:val="12BC165D"/>
    <w:rsid w:val="12C7072D"/>
    <w:rsid w:val="12D4409A"/>
    <w:rsid w:val="12D544CC"/>
    <w:rsid w:val="12D6271E"/>
    <w:rsid w:val="12D7645A"/>
    <w:rsid w:val="12E0534B"/>
    <w:rsid w:val="12E5656D"/>
    <w:rsid w:val="12ED1816"/>
    <w:rsid w:val="12F11306"/>
    <w:rsid w:val="12F232D0"/>
    <w:rsid w:val="12F42BA4"/>
    <w:rsid w:val="12FD414F"/>
    <w:rsid w:val="12FE7EC7"/>
    <w:rsid w:val="1309024B"/>
    <w:rsid w:val="130F5C30"/>
    <w:rsid w:val="1319260B"/>
    <w:rsid w:val="131B45D5"/>
    <w:rsid w:val="13201BEB"/>
    <w:rsid w:val="1326387E"/>
    <w:rsid w:val="132C6AC6"/>
    <w:rsid w:val="133D02CB"/>
    <w:rsid w:val="13405DEA"/>
    <w:rsid w:val="134358DA"/>
    <w:rsid w:val="134E49AB"/>
    <w:rsid w:val="1356385F"/>
    <w:rsid w:val="135B70C7"/>
    <w:rsid w:val="135D2E40"/>
    <w:rsid w:val="135D699C"/>
    <w:rsid w:val="135E4911"/>
    <w:rsid w:val="1360648C"/>
    <w:rsid w:val="13620456"/>
    <w:rsid w:val="136441CE"/>
    <w:rsid w:val="136E0BA9"/>
    <w:rsid w:val="136E6DFB"/>
    <w:rsid w:val="13702B73"/>
    <w:rsid w:val="137D5290"/>
    <w:rsid w:val="138D3DF0"/>
    <w:rsid w:val="13906D71"/>
    <w:rsid w:val="139A199E"/>
    <w:rsid w:val="139F5206"/>
    <w:rsid w:val="13A02D2C"/>
    <w:rsid w:val="13A22600"/>
    <w:rsid w:val="13A26AA4"/>
    <w:rsid w:val="13A31C56"/>
    <w:rsid w:val="13A4281C"/>
    <w:rsid w:val="13A55415"/>
    <w:rsid w:val="13AF4D1D"/>
    <w:rsid w:val="13B642FE"/>
    <w:rsid w:val="13BA5B9C"/>
    <w:rsid w:val="13BC5DB8"/>
    <w:rsid w:val="13BD568C"/>
    <w:rsid w:val="13C06F2A"/>
    <w:rsid w:val="13C24A51"/>
    <w:rsid w:val="13D529D6"/>
    <w:rsid w:val="13D749A0"/>
    <w:rsid w:val="13D824C6"/>
    <w:rsid w:val="13DA4490"/>
    <w:rsid w:val="13E7095B"/>
    <w:rsid w:val="13EB044B"/>
    <w:rsid w:val="13ED4CBD"/>
    <w:rsid w:val="13FA243C"/>
    <w:rsid w:val="14011A1D"/>
    <w:rsid w:val="14264FE0"/>
    <w:rsid w:val="14276171"/>
    <w:rsid w:val="14290F74"/>
    <w:rsid w:val="142B0848"/>
    <w:rsid w:val="142E20E6"/>
    <w:rsid w:val="142E658A"/>
    <w:rsid w:val="14305E5E"/>
    <w:rsid w:val="1433594E"/>
    <w:rsid w:val="14506500"/>
    <w:rsid w:val="145E0C1D"/>
    <w:rsid w:val="145F4995"/>
    <w:rsid w:val="147321EF"/>
    <w:rsid w:val="147F6DE6"/>
    <w:rsid w:val="14810582"/>
    <w:rsid w:val="14847F58"/>
    <w:rsid w:val="149C1746"/>
    <w:rsid w:val="149D101A"/>
    <w:rsid w:val="14A14FAE"/>
    <w:rsid w:val="14A423A8"/>
    <w:rsid w:val="14AD5701"/>
    <w:rsid w:val="14AE3227"/>
    <w:rsid w:val="14B24AC5"/>
    <w:rsid w:val="14B37C3C"/>
    <w:rsid w:val="14B4083D"/>
    <w:rsid w:val="14C111AC"/>
    <w:rsid w:val="14C53F76"/>
    <w:rsid w:val="14D25708"/>
    <w:rsid w:val="14E135FC"/>
    <w:rsid w:val="14F21366"/>
    <w:rsid w:val="14F53680"/>
    <w:rsid w:val="15080B89"/>
    <w:rsid w:val="150A777D"/>
    <w:rsid w:val="15113EE2"/>
    <w:rsid w:val="15127C5A"/>
    <w:rsid w:val="15155054"/>
    <w:rsid w:val="1525173B"/>
    <w:rsid w:val="152626AF"/>
    <w:rsid w:val="15267261"/>
    <w:rsid w:val="15284D87"/>
    <w:rsid w:val="152E4A94"/>
    <w:rsid w:val="152F6116"/>
    <w:rsid w:val="154C316C"/>
    <w:rsid w:val="1553307A"/>
    <w:rsid w:val="15545B7C"/>
    <w:rsid w:val="155C7BF4"/>
    <w:rsid w:val="155D0ED5"/>
    <w:rsid w:val="1568787A"/>
    <w:rsid w:val="15695ACC"/>
    <w:rsid w:val="158C165B"/>
    <w:rsid w:val="15966195"/>
    <w:rsid w:val="15A22D8C"/>
    <w:rsid w:val="15A308B2"/>
    <w:rsid w:val="15A7459D"/>
    <w:rsid w:val="15AB60E4"/>
    <w:rsid w:val="15B12FCF"/>
    <w:rsid w:val="15BD1974"/>
    <w:rsid w:val="15CA5E3E"/>
    <w:rsid w:val="15D37A49"/>
    <w:rsid w:val="15D54F0F"/>
    <w:rsid w:val="15EA64E1"/>
    <w:rsid w:val="15EC4007"/>
    <w:rsid w:val="15F80BFE"/>
    <w:rsid w:val="15FD7FC2"/>
    <w:rsid w:val="15FF3D3A"/>
    <w:rsid w:val="16041350"/>
    <w:rsid w:val="16050CEC"/>
    <w:rsid w:val="160C28FB"/>
    <w:rsid w:val="160F0324"/>
    <w:rsid w:val="161407E8"/>
    <w:rsid w:val="162A0C4B"/>
    <w:rsid w:val="162C08A7"/>
    <w:rsid w:val="16302145"/>
    <w:rsid w:val="1635775C"/>
    <w:rsid w:val="16377978"/>
    <w:rsid w:val="163966A8"/>
    <w:rsid w:val="164D719B"/>
    <w:rsid w:val="164E6A70"/>
    <w:rsid w:val="165322D8"/>
    <w:rsid w:val="1666025D"/>
    <w:rsid w:val="16691AFB"/>
    <w:rsid w:val="166B7621"/>
    <w:rsid w:val="1672275E"/>
    <w:rsid w:val="167249BF"/>
    <w:rsid w:val="16751125"/>
    <w:rsid w:val="16775FC6"/>
    <w:rsid w:val="16797F90"/>
    <w:rsid w:val="16924BAE"/>
    <w:rsid w:val="169E79F7"/>
    <w:rsid w:val="16A20B69"/>
    <w:rsid w:val="16A62408"/>
    <w:rsid w:val="16AB2114"/>
    <w:rsid w:val="16AB4A01"/>
    <w:rsid w:val="16AD3796"/>
    <w:rsid w:val="16AD7C3A"/>
    <w:rsid w:val="16B05813"/>
    <w:rsid w:val="16B31A52"/>
    <w:rsid w:val="16C60CFC"/>
    <w:rsid w:val="16DB47A7"/>
    <w:rsid w:val="16EB42BE"/>
    <w:rsid w:val="16F05D79"/>
    <w:rsid w:val="170610F8"/>
    <w:rsid w:val="17092996"/>
    <w:rsid w:val="1715758D"/>
    <w:rsid w:val="171B2DF6"/>
    <w:rsid w:val="171C4DC0"/>
    <w:rsid w:val="172F064F"/>
    <w:rsid w:val="17321EED"/>
    <w:rsid w:val="173B5246"/>
    <w:rsid w:val="173C2D6C"/>
    <w:rsid w:val="1740460A"/>
    <w:rsid w:val="17471E3D"/>
    <w:rsid w:val="174A5489"/>
    <w:rsid w:val="17620A24"/>
    <w:rsid w:val="17681DB3"/>
    <w:rsid w:val="176E561B"/>
    <w:rsid w:val="176F3141"/>
    <w:rsid w:val="17742506"/>
    <w:rsid w:val="177469AA"/>
    <w:rsid w:val="177D585E"/>
    <w:rsid w:val="178169D1"/>
    <w:rsid w:val="178F10EE"/>
    <w:rsid w:val="17966920"/>
    <w:rsid w:val="179E3A27"/>
    <w:rsid w:val="17AA4179"/>
    <w:rsid w:val="17AD5A18"/>
    <w:rsid w:val="17B2302E"/>
    <w:rsid w:val="17B31280"/>
    <w:rsid w:val="17CF1E32"/>
    <w:rsid w:val="17DB4333"/>
    <w:rsid w:val="17DD00AB"/>
    <w:rsid w:val="17DF2075"/>
    <w:rsid w:val="17E458DD"/>
    <w:rsid w:val="17FD074D"/>
    <w:rsid w:val="17FF44C5"/>
    <w:rsid w:val="18023FB5"/>
    <w:rsid w:val="18047D2E"/>
    <w:rsid w:val="18090EA0"/>
    <w:rsid w:val="180C273E"/>
    <w:rsid w:val="1811244B"/>
    <w:rsid w:val="181D494B"/>
    <w:rsid w:val="182E68ED"/>
    <w:rsid w:val="183F48C2"/>
    <w:rsid w:val="18420856"/>
    <w:rsid w:val="184C6FDF"/>
    <w:rsid w:val="1853036D"/>
    <w:rsid w:val="18534811"/>
    <w:rsid w:val="18585984"/>
    <w:rsid w:val="185A5BA0"/>
    <w:rsid w:val="185D2F9A"/>
    <w:rsid w:val="18602A8A"/>
    <w:rsid w:val="187D53EA"/>
    <w:rsid w:val="187F3B68"/>
    <w:rsid w:val="18820C52"/>
    <w:rsid w:val="18876269"/>
    <w:rsid w:val="188E3A9B"/>
    <w:rsid w:val="189270E7"/>
    <w:rsid w:val="18960420"/>
    <w:rsid w:val="189D4520"/>
    <w:rsid w:val="18A45C5D"/>
    <w:rsid w:val="18AB63FB"/>
    <w:rsid w:val="18AE3758"/>
    <w:rsid w:val="18D21BDA"/>
    <w:rsid w:val="18D55226"/>
    <w:rsid w:val="18D906A0"/>
    <w:rsid w:val="18DD40DB"/>
    <w:rsid w:val="18E15979"/>
    <w:rsid w:val="18E91BA8"/>
    <w:rsid w:val="18EE0096"/>
    <w:rsid w:val="18F27B86"/>
    <w:rsid w:val="18F338FE"/>
    <w:rsid w:val="19037FE5"/>
    <w:rsid w:val="190B6E9A"/>
    <w:rsid w:val="190F5EFD"/>
    <w:rsid w:val="19120228"/>
    <w:rsid w:val="19121FD6"/>
    <w:rsid w:val="19163285"/>
    <w:rsid w:val="191904C5"/>
    <w:rsid w:val="192166BD"/>
    <w:rsid w:val="193208CA"/>
    <w:rsid w:val="19355CC5"/>
    <w:rsid w:val="19362BA0"/>
    <w:rsid w:val="19393A07"/>
    <w:rsid w:val="1941466A"/>
    <w:rsid w:val="19434886"/>
    <w:rsid w:val="196B7938"/>
    <w:rsid w:val="19704F4F"/>
    <w:rsid w:val="197655A6"/>
    <w:rsid w:val="19847484"/>
    <w:rsid w:val="1990114D"/>
    <w:rsid w:val="199155F1"/>
    <w:rsid w:val="19940C3D"/>
    <w:rsid w:val="19946E8F"/>
    <w:rsid w:val="19A35324"/>
    <w:rsid w:val="19D43730"/>
    <w:rsid w:val="19EC2827"/>
    <w:rsid w:val="19EF40C6"/>
    <w:rsid w:val="19FA13E8"/>
    <w:rsid w:val="19FE6D49"/>
    <w:rsid w:val="1A0900A3"/>
    <w:rsid w:val="1A091536"/>
    <w:rsid w:val="1A1104E0"/>
    <w:rsid w:val="1A204BC7"/>
    <w:rsid w:val="1A2521DD"/>
    <w:rsid w:val="1A27385F"/>
    <w:rsid w:val="1A2C531A"/>
    <w:rsid w:val="1A304E0A"/>
    <w:rsid w:val="1A361CF4"/>
    <w:rsid w:val="1A385A6D"/>
    <w:rsid w:val="1A3B555D"/>
    <w:rsid w:val="1A3E2C9D"/>
    <w:rsid w:val="1A4A39F2"/>
    <w:rsid w:val="1A4B7D94"/>
    <w:rsid w:val="1A534654"/>
    <w:rsid w:val="1A562397"/>
    <w:rsid w:val="1A5F124B"/>
    <w:rsid w:val="1A6525DA"/>
    <w:rsid w:val="1A75281D"/>
    <w:rsid w:val="1A8C7B66"/>
    <w:rsid w:val="1A907657"/>
    <w:rsid w:val="1A9133CF"/>
    <w:rsid w:val="1A935399"/>
    <w:rsid w:val="1A936D44"/>
    <w:rsid w:val="1AA72BF2"/>
    <w:rsid w:val="1AA90718"/>
    <w:rsid w:val="1AA94BBC"/>
    <w:rsid w:val="1AB84DFF"/>
    <w:rsid w:val="1AB86BAD"/>
    <w:rsid w:val="1ABA46D4"/>
    <w:rsid w:val="1AE31E7C"/>
    <w:rsid w:val="1AE452E6"/>
    <w:rsid w:val="1AEE25CF"/>
    <w:rsid w:val="1AEF6A73"/>
    <w:rsid w:val="1AF000F5"/>
    <w:rsid w:val="1AF5570C"/>
    <w:rsid w:val="1AFA5418"/>
    <w:rsid w:val="1B03607B"/>
    <w:rsid w:val="1B041DF3"/>
    <w:rsid w:val="1B067919"/>
    <w:rsid w:val="1B097409"/>
    <w:rsid w:val="1B0B4F2F"/>
    <w:rsid w:val="1B122762"/>
    <w:rsid w:val="1B171B26"/>
    <w:rsid w:val="1B1A7868"/>
    <w:rsid w:val="1B2E6E70"/>
    <w:rsid w:val="1B2F36F2"/>
    <w:rsid w:val="1B334486"/>
    <w:rsid w:val="1B34092A"/>
    <w:rsid w:val="1B395F40"/>
    <w:rsid w:val="1B3A68FE"/>
    <w:rsid w:val="1B3B1CB8"/>
    <w:rsid w:val="1B410951"/>
    <w:rsid w:val="1B46065D"/>
    <w:rsid w:val="1B4F12C0"/>
    <w:rsid w:val="1B530684"/>
    <w:rsid w:val="1B612DA1"/>
    <w:rsid w:val="1B6F3710"/>
    <w:rsid w:val="1B792E95"/>
    <w:rsid w:val="1B7E3953"/>
    <w:rsid w:val="1B854CE1"/>
    <w:rsid w:val="1B8D3B96"/>
    <w:rsid w:val="1B9211AC"/>
    <w:rsid w:val="1B9273FE"/>
    <w:rsid w:val="1B950C9D"/>
    <w:rsid w:val="1BA832AD"/>
    <w:rsid w:val="1BA84E74"/>
    <w:rsid w:val="1BAD5FE6"/>
    <w:rsid w:val="1BAF484F"/>
    <w:rsid w:val="1BB27AA1"/>
    <w:rsid w:val="1BB43819"/>
    <w:rsid w:val="1BBD091F"/>
    <w:rsid w:val="1BCA6B98"/>
    <w:rsid w:val="1BD143CB"/>
    <w:rsid w:val="1BD619E1"/>
    <w:rsid w:val="1BDB0DA5"/>
    <w:rsid w:val="1BE539D2"/>
    <w:rsid w:val="1BF133B3"/>
    <w:rsid w:val="1BF73705"/>
    <w:rsid w:val="1BFD6F6E"/>
    <w:rsid w:val="1BFFC39F"/>
    <w:rsid w:val="1C057BD0"/>
    <w:rsid w:val="1C123D07"/>
    <w:rsid w:val="1C1438B9"/>
    <w:rsid w:val="1C2F4C4D"/>
    <w:rsid w:val="1C3109C5"/>
    <w:rsid w:val="1C3F14A8"/>
    <w:rsid w:val="1C3F7586"/>
    <w:rsid w:val="1C422BD3"/>
    <w:rsid w:val="1C493F61"/>
    <w:rsid w:val="1C4C3A51"/>
    <w:rsid w:val="1C4F709D"/>
    <w:rsid w:val="1C5A616E"/>
    <w:rsid w:val="1C5B5A42"/>
    <w:rsid w:val="1C627CB7"/>
    <w:rsid w:val="1C676ADD"/>
    <w:rsid w:val="1C6963B1"/>
    <w:rsid w:val="1C6E1C1A"/>
    <w:rsid w:val="1C775737"/>
    <w:rsid w:val="1C7D3C0B"/>
    <w:rsid w:val="1C80194D"/>
    <w:rsid w:val="1C8C20A0"/>
    <w:rsid w:val="1C8E16BB"/>
    <w:rsid w:val="1C8F393E"/>
    <w:rsid w:val="1CA613B3"/>
    <w:rsid w:val="1CB021A4"/>
    <w:rsid w:val="1CB735C0"/>
    <w:rsid w:val="1CBD494F"/>
    <w:rsid w:val="1CBF5FD1"/>
    <w:rsid w:val="1CC122B1"/>
    <w:rsid w:val="1CC25AC1"/>
    <w:rsid w:val="1CC45CDD"/>
    <w:rsid w:val="1CD001DE"/>
    <w:rsid w:val="1CD203FA"/>
    <w:rsid w:val="1CDD7C08"/>
    <w:rsid w:val="1CEE2D5A"/>
    <w:rsid w:val="1D0205B4"/>
    <w:rsid w:val="1D0B56BA"/>
    <w:rsid w:val="1D0C4F8F"/>
    <w:rsid w:val="1D2624F4"/>
    <w:rsid w:val="1D3764AF"/>
    <w:rsid w:val="1D3A1AFC"/>
    <w:rsid w:val="1D3B3901"/>
    <w:rsid w:val="1D436C02"/>
    <w:rsid w:val="1D554B87"/>
    <w:rsid w:val="1D5A219E"/>
    <w:rsid w:val="1D69418F"/>
    <w:rsid w:val="1D725739"/>
    <w:rsid w:val="1D74500E"/>
    <w:rsid w:val="1D7C3EC2"/>
    <w:rsid w:val="1D7F1C04"/>
    <w:rsid w:val="1D81597C"/>
    <w:rsid w:val="1D8B05A9"/>
    <w:rsid w:val="1D8F1387"/>
    <w:rsid w:val="1D951428"/>
    <w:rsid w:val="1D9751A0"/>
    <w:rsid w:val="1D9A5230"/>
    <w:rsid w:val="1DA36D9A"/>
    <w:rsid w:val="1DA376A1"/>
    <w:rsid w:val="1DA8115B"/>
    <w:rsid w:val="1DB16262"/>
    <w:rsid w:val="1DB4365C"/>
    <w:rsid w:val="1DB7314C"/>
    <w:rsid w:val="1DBA3241"/>
    <w:rsid w:val="1DC51D0D"/>
    <w:rsid w:val="1DC87107"/>
    <w:rsid w:val="1DD2442A"/>
    <w:rsid w:val="1DDC5928"/>
    <w:rsid w:val="1DE604FF"/>
    <w:rsid w:val="1DE64446"/>
    <w:rsid w:val="1DEC54EC"/>
    <w:rsid w:val="1DEC729A"/>
    <w:rsid w:val="1DEF0B38"/>
    <w:rsid w:val="1DEF28E6"/>
    <w:rsid w:val="1DF0665E"/>
    <w:rsid w:val="1DF60118"/>
    <w:rsid w:val="1DF63C75"/>
    <w:rsid w:val="1DF75C3F"/>
    <w:rsid w:val="1DF779ED"/>
    <w:rsid w:val="1E07408D"/>
    <w:rsid w:val="1E0D0FBE"/>
    <w:rsid w:val="1E171E3D"/>
    <w:rsid w:val="1E2307E2"/>
    <w:rsid w:val="1E262080"/>
    <w:rsid w:val="1E2F362A"/>
    <w:rsid w:val="1E3653CF"/>
    <w:rsid w:val="1E472722"/>
    <w:rsid w:val="1E4F496B"/>
    <w:rsid w:val="1E537319"/>
    <w:rsid w:val="1E560BB7"/>
    <w:rsid w:val="1E642BAC"/>
    <w:rsid w:val="1E65704C"/>
    <w:rsid w:val="1E6C5291"/>
    <w:rsid w:val="1E6F1C79"/>
    <w:rsid w:val="1E733517"/>
    <w:rsid w:val="1E74728F"/>
    <w:rsid w:val="1E8E65A3"/>
    <w:rsid w:val="1E933BB9"/>
    <w:rsid w:val="1EA27958"/>
    <w:rsid w:val="1EA47B74"/>
    <w:rsid w:val="1EA57449"/>
    <w:rsid w:val="1EAC4C7B"/>
    <w:rsid w:val="1EAE0E48"/>
    <w:rsid w:val="1EB61656"/>
    <w:rsid w:val="1EC65D3D"/>
    <w:rsid w:val="1EC73863"/>
    <w:rsid w:val="1EC975DB"/>
    <w:rsid w:val="1ECB0BA8"/>
    <w:rsid w:val="1ED32208"/>
    <w:rsid w:val="1EDA3596"/>
    <w:rsid w:val="1EE461C3"/>
    <w:rsid w:val="1EE937D9"/>
    <w:rsid w:val="1EE95587"/>
    <w:rsid w:val="1EEC5078"/>
    <w:rsid w:val="1EEE0DF0"/>
    <w:rsid w:val="1F010B23"/>
    <w:rsid w:val="1F0C1276"/>
    <w:rsid w:val="1F0C74C8"/>
    <w:rsid w:val="1F1A514E"/>
    <w:rsid w:val="1F1F369F"/>
    <w:rsid w:val="1F234F3D"/>
    <w:rsid w:val="1F26058A"/>
    <w:rsid w:val="1F2760B0"/>
    <w:rsid w:val="1F2E743E"/>
    <w:rsid w:val="1F316F2E"/>
    <w:rsid w:val="1F3233D2"/>
    <w:rsid w:val="1F3A5DE3"/>
    <w:rsid w:val="1F3F5AEF"/>
    <w:rsid w:val="1F43738D"/>
    <w:rsid w:val="1F4B6242"/>
    <w:rsid w:val="1F536EA5"/>
    <w:rsid w:val="1F5C21FD"/>
    <w:rsid w:val="1F5C3FAB"/>
    <w:rsid w:val="1F62093A"/>
    <w:rsid w:val="1F63358C"/>
    <w:rsid w:val="1F642E60"/>
    <w:rsid w:val="1F647304"/>
    <w:rsid w:val="1F686DF4"/>
    <w:rsid w:val="1F6D7F66"/>
    <w:rsid w:val="1F75506D"/>
    <w:rsid w:val="1F784B5D"/>
    <w:rsid w:val="1F8D0609"/>
    <w:rsid w:val="1F8F0C22"/>
    <w:rsid w:val="1F90634B"/>
    <w:rsid w:val="1F9A4AD4"/>
    <w:rsid w:val="1F9F033C"/>
    <w:rsid w:val="1FA85442"/>
    <w:rsid w:val="1FAF4A23"/>
    <w:rsid w:val="1FBC7140"/>
    <w:rsid w:val="1FC63B1B"/>
    <w:rsid w:val="1FCB2EDF"/>
    <w:rsid w:val="1FD20711"/>
    <w:rsid w:val="1FD71884"/>
    <w:rsid w:val="1FD9384E"/>
    <w:rsid w:val="1FD955FC"/>
    <w:rsid w:val="1FE913A2"/>
    <w:rsid w:val="1FEA5A5B"/>
    <w:rsid w:val="200731AA"/>
    <w:rsid w:val="2020147D"/>
    <w:rsid w:val="202A5E57"/>
    <w:rsid w:val="202B1BD0"/>
    <w:rsid w:val="20340A84"/>
    <w:rsid w:val="203942EC"/>
    <w:rsid w:val="20466DF8"/>
    <w:rsid w:val="2048658C"/>
    <w:rsid w:val="20494F46"/>
    <w:rsid w:val="204A64FA"/>
    <w:rsid w:val="204D7D98"/>
    <w:rsid w:val="206C6470"/>
    <w:rsid w:val="20711CD8"/>
    <w:rsid w:val="20717F2A"/>
    <w:rsid w:val="207215AC"/>
    <w:rsid w:val="20755732"/>
    <w:rsid w:val="2076109D"/>
    <w:rsid w:val="207672EF"/>
    <w:rsid w:val="20783067"/>
    <w:rsid w:val="208E288A"/>
    <w:rsid w:val="20A0611A"/>
    <w:rsid w:val="20A26336"/>
    <w:rsid w:val="20A34372"/>
    <w:rsid w:val="20AD0837"/>
    <w:rsid w:val="20B87907"/>
    <w:rsid w:val="20C242E2"/>
    <w:rsid w:val="20C444FE"/>
    <w:rsid w:val="20C91B14"/>
    <w:rsid w:val="20D34741"/>
    <w:rsid w:val="20D52267"/>
    <w:rsid w:val="20E95D13"/>
    <w:rsid w:val="20F85F56"/>
    <w:rsid w:val="20FA7F20"/>
    <w:rsid w:val="21004E0A"/>
    <w:rsid w:val="2105452D"/>
    <w:rsid w:val="2120725A"/>
    <w:rsid w:val="21274A8D"/>
    <w:rsid w:val="212925B3"/>
    <w:rsid w:val="212A7796"/>
    <w:rsid w:val="213236FF"/>
    <w:rsid w:val="21355D04"/>
    <w:rsid w:val="21367878"/>
    <w:rsid w:val="214B077B"/>
    <w:rsid w:val="21562C7C"/>
    <w:rsid w:val="216058A9"/>
    <w:rsid w:val="21613AFB"/>
    <w:rsid w:val="217001E2"/>
    <w:rsid w:val="217F6677"/>
    <w:rsid w:val="21902632"/>
    <w:rsid w:val="21933B4E"/>
    <w:rsid w:val="219C2D85"/>
    <w:rsid w:val="219E6AFD"/>
    <w:rsid w:val="21A57604"/>
    <w:rsid w:val="21A954A2"/>
    <w:rsid w:val="21A97250"/>
    <w:rsid w:val="21AF7B35"/>
    <w:rsid w:val="21B05C47"/>
    <w:rsid w:val="21B63D65"/>
    <w:rsid w:val="21B87493"/>
    <w:rsid w:val="21BA145D"/>
    <w:rsid w:val="21BE719F"/>
    <w:rsid w:val="21BF6A73"/>
    <w:rsid w:val="21D50045"/>
    <w:rsid w:val="21D70261"/>
    <w:rsid w:val="21DA565B"/>
    <w:rsid w:val="21DE339D"/>
    <w:rsid w:val="21E40288"/>
    <w:rsid w:val="21E53585"/>
    <w:rsid w:val="21E93AF0"/>
    <w:rsid w:val="21F4496F"/>
    <w:rsid w:val="21F7620D"/>
    <w:rsid w:val="21FC6C05"/>
    <w:rsid w:val="2205092A"/>
    <w:rsid w:val="220F2458"/>
    <w:rsid w:val="22192627"/>
    <w:rsid w:val="221C624F"/>
    <w:rsid w:val="221E19EC"/>
    <w:rsid w:val="2221328A"/>
    <w:rsid w:val="22394A78"/>
    <w:rsid w:val="223C1E72"/>
    <w:rsid w:val="22433200"/>
    <w:rsid w:val="224340F6"/>
    <w:rsid w:val="22443F9F"/>
    <w:rsid w:val="224F7DF7"/>
    <w:rsid w:val="22590C76"/>
    <w:rsid w:val="22671FB6"/>
    <w:rsid w:val="227B6E3E"/>
    <w:rsid w:val="22934188"/>
    <w:rsid w:val="229B128E"/>
    <w:rsid w:val="22A53EBB"/>
    <w:rsid w:val="22AA7723"/>
    <w:rsid w:val="22B81E40"/>
    <w:rsid w:val="22C5455D"/>
    <w:rsid w:val="22C97BAA"/>
    <w:rsid w:val="22CE22D7"/>
    <w:rsid w:val="22D97467"/>
    <w:rsid w:val="22DF561F"/>
    <w:rsid w:val="22DF73CD"/>
    <w:rsid w:val="22E03145"/>
    <w:rsid w:val="22E36792"/>
    <w:rsid w:val="22E449E3"/>
    <w:rsid w:val="22F32E79"/>
    <w:rsid w:val="22F50136"/>
    <w:rsid w:val="22F64717"/>
    <w:rsid w:val="22F95FB5"/>
    <w:rsid w:val="23024E6A"/>
    <w:rsid w:val="23040BE2"/>
    <w:rsid w:val="23045B21"/>
    <w:rsid w:val="23121DAA"/>
    <w:rsid w:val="23356FED"/>
    <w:rsid w:val="233B037C"/>
    <w:rsid w:val="233F7E6C"/>
    <w:rsid w:val="2342795C"/>
    <w:rsid w:val="234E64B5"/>
    <w:rsid w:val="235063ED"/>
    <w:rsid w:val="2351194D"/>
    <w:rsid w:val="2355143D"/>
    <w:rsid w:val="236478D2"/>
    <w:rsid w:val="23767606"/>
    <w:rsid w:val="237C2E6E"/>
    <w:rsid w:val="23825FAA"/>
    <w:rsid w:val="238B30B1"/>
    <w:rsid w:val="23971A56"/>
    <w:rsid w:val="239A32F4"/>
    <w:rsid w:val="239D2DE4"/>
    <w:rsid w:val="23A203FB"/>
    <w:rsid w:val="23A501AD"/>
    <w:rsid w:val="23A67EEB"/>
    <w:rsid w:val="23B26890"/>
    <w:rsid w:val="23B43CB0"/>
    <w:rsid w:val="23B87C1E"/>
    <w:rsid w:val="23BD6FE3"/>
    <w:rsid w:val="23BE3486"/>
    <w:rsid w:val="23D04F68"/>
    <w:rsid w:val="23DC56BB"/>
    <w:rsid w:val="23E35D90"/>
    <w:rsid w:val="23EB3B50"/>
    <w:rsid w:val="23F47ADC"/>
    <w:rsid w:val="23F52C20"/>
    <w:rsid w:val="23F76998"/>
    <w:rsid w:val="23FC09CC"/>
    <w:rsid w:val="23FE7D27"/>
    <w:rsid w:val="24003A9F"/>
    <w:rsid w:val="240F3CE2"/>
    <w:rsid w:val="24407927"/>
    <w:rsid w:val="24482D50"/>
    <w:rsid w:val="24594F5D"/>
    <w:rsid w:val="245A2A83"/>
    <w:rsid w:val="246011EC"/>
    <w:rsid w:val="246102B6"/>
    <w:rsid w:val="246A716A"/>
    <w:rsid w:val="246E6870"/>
    <w:rsid w:val="24704055"/>
    <w:rsid w:val="247753E3"/>
    <w:rsid w:val="247D50F0"/>
    <w:rsid w:val="24883A94"/>
    <w:rsid w:val="248D4C07"/>
    <w:rsid w:val="248E5C7D"/>
    <w:rsid w:val="249661B1"/>
    <w:rsid w:val="24977834"/>
    <w:rsid w:val="24A501A2"/>
    <w:rsid w:val="24A75516"/>
    <w:rsid w:val="24A87C93"/>
    <w:rsid w:val="24B14D99"/>
    <w:rsid w:val="24B2466D"/>
    <w:rsid w:val="24B65F0C"/>
    <w:rsid w:val="24BC54EC"/>
    <w:rsid w:val="24BE3F37"/>
    <w:rsid w:val="24C50845"/>
    <w:rsid w:val="24CD76F9"/>
    <w:rsid w:val="24CF521F"/>
    <w:rsid w:val="24CF6FCD"/>
    <w:rsid w:val="24D34D10"/>
    <w:rsid w:val="24DE1906"/>
    <w:rsid w:val="24EA3E07"/>
    <w:rsid w:val="250A6257"/>
    <w:rsid w:val="250C6474"/>
    <w:rsid w:val="251000EC"/>
    <w:rsid w:val="251315B0"/>
    <w:rsid w:val="251B0465"/>
    <w:rsid w:val="251B66B7"/>
    <w:rsid w:val="25387269"/>
    <w:rsid w:val="254479BB"/>
    <w:rsid w:val="254A2AF8"/>
    <w:rsid w:val="254F010E"/>
    <w:rsid w:val="25506360"/>
    <w:rsid w:val="2556149D"/>
    <w:rsid w:val="255676EF"/>
    <w:rsid w:val="256242E5"/>
    <w:rsid w:val="25665B84"/>
    <w:rsid w:val="25795F88"/>
    <w:rsid w:val="259124D5"/>
    <w:rsid w:val="259D3570"/>
    <w:rsid w:val="25A20B86"/>
    <w:rsid w:val="25B12B77"/>
    <w:rsid w:val="25BD5036"/>
    <w:rsid w:val="25C64874"/>
    <w:rsid w:val="25CB3C39"/>
    <w:rsid w:val="25D40C60"/>
    <w:rsid w:val="25DD571A"/>
    <w:rsid w:val="25E90563"/>
    <w:rsid w:val="25F0369F"/>
    <w:rsid w:val="2604539D"/>
    <w:rsid w:val="26154EB4"/>
    <w:rsid w:val="26176E7E"/>
    <w:rsid w:val="261E151D"/>
    <w:rsid w:val="26215F4F"/>
    <w:rsid w:val="26296BB1"/>
    <w:rsid w:val="262D2C9E"/>
    <w:rsid w:val="262E41C8"/>
    <w:rsid w:val="26307F40"/>
    <w:rsid w:val="2637307C"/>
    <w:rsid w:val="26431A21"/>
    <w:rsid w:val="264439EB"/>
    <w:rsid w:val="264A1001"/>
    <w:rsid w:val="264D6D44"/>
    <w:rsid w:val="265505E9"/>
    <w:rsid w:val="265C0D35"/>
    <w:rsid w:val="265E4AAD"/>
    <w:rsid w:val="26663961"/>
    <w:rsid w:val="266D6A9E"/>
    <w:rsid w:val="26712A32"/>
    <w:rsid w:val="26775B6F"/>
    <w:rsid w:val="26806A2A"/>
    <w:rsid w:val="26813488"/>
    <w:rsid w:val="26865DB2"/>
    <w:rsid w:val="268D0EEE"/>
    <w:rsid w:val="26906C30"/>
    <w:rsid w:val="269D3BA8"/>
    <w:rsid w:val="26A16E16"/>
    <w:rsid w:val="26BB1EFF"/>
    <w:rsid w:val="26CD578F"/>
    <w:rsid w:val="26D44D6F"/>
    <w:rsid w:val="26E33204"/>
    <w:rsid w:val="26E52AD8"/>
    <w:rsid w:val="26F61189"/>
    <w:rsid w:val="26FD2518"/>
    <w:rsid w:val="270D202F"/>
    <w:rsid w:val="270F023A"/>
    <w:rsid w:val="271B474C"/>
    <w:rsid w:val="271D56D4"/>
    <w:rsid w:val="272A2BE1"/>
    <w:rsid w:val="272C0707"/>
    <w:rsid w:val="27360209"/>
    <w:rsid w:val="27361586"/>
    <w:rsid w:val="273E668C"/>
    <w:rsid w:val="27400656"/>
    <w:rsid w:val="275163C0"/>
    <w:rsid w:val="2753038A"/>
    <w:rsid w:val="27533EE6"/>
    <w:rsid w:val="275A34C6"/>
    <w:rsid w:val="275E4BA2"/>
    <w:rsid w:val="27602AA7"/>
    <w:rsid w:val="27710810"/>
    <w:rsid w:val="27750300"/>
    <w:rsid w:val="277D71B5"/>
    <w:rsid w:val="27802801"/>
    <w:rsid w:val="27873B8F"/>
    <w:rsid w:val="278B7B24"/>
    <w:rsid w:val="278C389C"/>
    <w:rsid w:val="278E4F1E"/>
    <w:rsid w:val="27912C60"/>
    <w:rsid w:val="279462AC"/>
    <w:rsid w:val="279A7D67"/>
    <w:rsid w:val="27A44741"/>
    <w:rsid w:val="27B23302"/>
    <w:rsid w:val="27B626C7"/>
    <w:rsid w:val="27B84691"/>
    <w:rsid w:val="27C13545"/>
    <w:rsid w:val="27C9064C"/>
    <w:rsid w:val="27D019DA"/>
    <w:rsid w:val="27D6206B"/>
    <w:rsid w:val="27D74B17"/>
    <w:rsid w:val="27DE7237"/>
    <w:rsid w:val="27E040D7"/>
    <w:rsid w:val="27E62FAC"/>
    <w:rsid w:val="27E64DFD"/>
    <w:rsid w:val="27E92A9C"/>
    <w:rsid w:val="27EE1E60"/>
    <w:rsid w:val="27F219B8"/>
    <w:rsid w:val="27F531EF"/>
    <w:rsid w:val="27F60D15"/>
    <w:rsid w:val="27FA25B3"/>
    <w:rsid w:val="27FE6547"/>
    <w:rsid w:val="27FF372E"/>
    <w:rsid w:val="28053985"/>
    <w:rsid w:val="28124EC5"/>
    <w:rsid w:val="281713B7"/>
    <w:rsid w:val="2818512F"/>
    <w:rsid w:val="281C077C"/>
    <w:rsid w:val="281D44F4"/>
    <w:rsid w:val="283C0E1E"/>
    <w:rsid w:val="283E4B96"/>
    <w:rsid w:val="28442F27"/>
    <w:rsid w:val="285272AD"/>
    <w:rsid w:val="2858552C"/>
    <w:rsid w:val="285F27BE"/>
    <w:rsid w:val="28642123"/>
    <w:rsid w:val="286E4D4F"/>
    <w:rsid w:val="286F11F3"/>
    <w:rsid w:val="28722A91"/>
    <w:rsid w:val="287265EE"/>
    <w:rsid w:val="2874680A"/>
    <w:rsid w:val="28814A83"/>
    <w:rsid w:val="288325A9"/>
    <w:rsid w:val="289447B6"/>
    <w:rsid w:val="28CA642A"/>
    <w:rsid w:val="28CC03F4"/>
    <w:rsid w:val="28CD1A76"/>
    <w:rsid w:val="28CF1C92"/>
    <w:rsid w:val="28D0506B"/>
    <w:rsid w:val="28D728F5"/>
    <w:rsid w:val="28D9041B"/>
    <w:rsid w:val="28D948BF"/>
    <w:rsid w:val="28DB0637"/>
    <w:rsid w:val="28DF17A9"/>
    <w:rsid w:val="28E82D54"/>
    <w:rsid w:val="28F6721F"/>
    <w:rsid w:val="29023E15"/>
    <w:rsid w:val="290A4A78"/>
    <w:rsid w:val="291D0CF0"/>
    <w:rsid w:val="29220014"/>
    <w:rsid w:val="29244AEE"/>
    <w:rsid w:val="2927562A"/>
    <w:rsid w:val="292813A2"/>
    <w:rsid w:val="293164A9"/>
    <w:rsid w:val="29341AF5"/>
    <w:rsid w:val="293D6BFB"/>
    <w:rsid w:val="29455AB0"/>
    <w:rsid w:val="294C6E3F"/>
    <w:rsid w:val="29543F45"/>
    <w:rsid w:val="2959155B"/>
    <w:rsid w:val="295E6B72"/>
    <w:rsid w:val="296C5733"/>
    <w:rsid w:val="29763EBB"/>
    <w:rsid w:val="297D524A"/>
    <w:rsid w:val="29804D3A"/>
    <w:rsid w:val="29856970"/>
    <w:rsid w:val="298A5BB9"/>
    <w:rsid w:val="299A22A0"/>
    <w:rsid w:val="299B1B74"/>
    <w:rsid w:val="299B6018"/>
    <w:rsid w:val="299D3B3E"/>
    <w:rsid w:val="29AB414D"/>
    <w:rsid w:val="29B13E72"/>
    <w:rsid w:val="29B83B80"/>
    <w:rsid w:val="29BF3A53"/>
    <w:rsid w:val="29C015DB"/>
    <w:rsid w:val="29C27101"/>
    <w:rsid w:val="29D37560"/>
    <w:rsid w:val="29E4176D"/>
    <w:rsid w:val="29EC6874"/>
    <w:rsid w:val="29EE6148"/>
    <w:rsid w:val="29F51284"/>
    <w:rsid w:val="29F64FFC"/>
    <w:rsid w:val="29FB37E0"/>
    <w:rsid w:val="29FD4568"/>
    <w:rsid w:val="2A077209"/>
    <w:rsid w:val="2A1115B5"/>
    <w:rsid w:val="2A16744D"/>
    <w:rsid w:val="2A2953D2"/>
    <w:rsid w:val="2A297180"/>
    <w:rsid w:val="2A2C3390"/>
    <w:rsid w:val="2A306760"/>
    <w:rsid w:val="2A383867"/>
    <w:rsid w:val="2A3C5105"/>
    <w:rsid w:val="2A481CFC"/>
    <w:rsid w:val="2A4915D0"/>
    <w:rsid w:val="2A5E32AB"/>
    <w:rsid w:val="2A6308E4"/>
    <w:rsid w:val="2A6813DA"/>
    <w:rsid w:val="2A703001"/>
    <w:rsid w:val="2A73489F"/>
    <w:rsid w:val="2A7C3754"/>
    <w:rsid w:val="2A862824"/>
    <w:rsid w:val="2A8A2314"/>
    <w:rsid w:val="2A900FAD"/>
    <w:rsid w:val="2A97058D"/>
    <w:rsid w:val="2A9860B3"/>
    <w:rsid w:val="2A9F7442"/>
    <w:rsid w:val="2AA35184"/>
    <w:rsid w:val="2ABA427C"/>
    <w:rsid w:val="2AC05D36"/>
    <w:rsid w:val="2AC46EA9"/>
    <w:rsid w:val="2AC944BF"/>
    <w:rsid w:val="2AD409FF"/>
    <w:rsid w:val="2ADC0696"/>
    <w:rsid w:val="2AF05EF0"/>
    <w:rsid w:val="2AFC6642"/>
    <w:rsid w:val="2B073965"/>
    <w:rsid w:val="2B0E45AA"/>
    <w:rsid w:val="2B1020EE"/>
    <w:rsid w:val="2B177920"/>
    <w:rsid w:val="2B193698"/>
    <w:rsid w:val="2B195446"/>
    <w:rsid w:val="2B231E21"/>
    <w:rsid w:val="2B312790"/>
    <w:rsid w:val="2B420AE1"/>
    <w:rsid w:val="2B430715"/>
    <w:rsid w:val="2B45448D"/>
    <w:rsid w:val="2B4C75CA"/>
    <w:rsid w:val="2B4D7ADE"/>
    <w:rsid w:val="2B4F70BA"/>
    <w:rsid w:val="2B595843"/>
    <w:rsid w:val="2B5E72FD"/>
    <w:rsid w:val="2B606BD1"/>
    <w:rsid w:val="2B715282"/>
    <w:rsid w:val="2B797443"/>
    <w:rsid w:val="2B7B1C5D"/>
    <w:rsid w:val="2B7B3A0B"/>
    <w:rsid w:val="2B8E4E3B"/>
    <w:rsid w:val="2B920D55"/>
    <w:rsid w:val="2B956DFA"/>
    <w:rsid w:val="2BB36004"/>
    <w:rsid w:val="2BCE6231"/>
    <w:rsid w:val="2BCE740C"/>
    <w:rsid w:val="2BCE7FDF"/>
    <w:rsid w:val="2BD61589"/>
    <w:rsid w:val="2BDD0222"/>
    <w:rsid w:val="2BDD6474"/>
    <w:rsid w:val="2BDF21EC"/>
    <w:rsid w:val="2BE07D12"/>
    <w:rsid w:val="2BE219F2"/>
    <w:rsid w:val="2BE912BD"/>
    <w:rsid w:val="2BE9306B"/>
    <w:rsid w:val="2BF37A45"/>
    <w:rsid w:val="2BF612E4"/>
    <w:rsid w:val="2BF66CC1"/>
    <w:rsid w:val="2BFB4B4C"/>
    <w:rsid w:val="2C097269"/>
    <w:rsid w:val="2C0D3E59"/>
    <w:rsid w:val="2C11436F"/>
    <w:rsid w:val="2C161986"/>
    <w:rsid w:val="2C324A12"/>
    <w:rsid w:val="2C387B4E"/>
    <w:rsid w:val="2C3D5164"/>
    <w:rsid w:val="2C46065A"/>
    <w:rsid w:val="2C4958B7"/>
    <w:rsid w:val="2C550700"/>
    <w:rsid w:val="2C583D4C"/>
    <w:rsid w:val="2C5A3F68"/>
    <w:rsid w:val="2C6A106A"/>
    <w:rsid w:val="2C6D5A4A"/>
    <w:rsid w:val="2C6D60A4"/>
    <w:rsid w:val="2C781ABD"/>
    <w:rsid w:val="2C8C3BA3"/>
    <w:rsid w:val="2C901738"/>
    <w:rsid w:val="2C923702"/>
    <w:rsid w:val="2C931228"/>
    <w:rsid w:val="2C9A4365"/>
    <w:rsid w:val="2C9D5C03"/>
    <w:rsid w:val="2CA156F3"/>
    <w:rsid w:val="2CA43435"/>
    <w:rsid w:val="2CA451E4"/>
    <w:rsid w:val="2CB5119F"/>
    <w:rsid w:val="2CBD0053"/>
    <w:rsid w:val="2CC472B9"/>
    <w:rsid w:val="2CCB09C2"/>
    <w:rsid w:val="2CCB6C14"/>
    <w:rsid w:val="2CCE400E"/>
    <w:rsid w:val="2CD755B9"/>
    <w:rsid w:val="2CE455E0"/>
    <w:rsid w:val="2CEB4BC0"/>
    <w:rsid w:val="2CEF46B1"/>
    <w:rsid w:val="2CF33A75"/>
    <w:rsid w:val="2CF41CC7"/>
    <w:rsid w:val="2CF66EF2"/>
    <w:rsid w:val="2CF9552F"/>
    <w:rsid w:val="2D0068BE"/>
    <w:rsid w:val="2D1F2D15"/>
    <w:rsid w:val="2D376BAE"/>
    <w:rsid w:val="2D3E2F42"/>
    <w:rsid w:val="2D482013"/>
    <w:rsid w:val="2D4A5D8B"/>
    <w:rsid w:val="2D5E3BF4"/>
    <w:rsid w:val="2D6055AE"/>
    <w:rsid w:val="2D6230D5"/>
    <w:rsid w:val="2D656721"/>
    <w:rsid w:val="2D776454"/>
    <w:rsid w:val="2D8A262B"/>
    <w:rsid w:val="2D986AF6"/>
    <w:rsid w:val="2D9E1C33"/>
    <w:rsid w:val="2DA74F8B"/>
    <w:rsid w:val="2DA76D39"/>
    <w:rsid w:val="2DAA682A"/>
    <w:rsid w:val="2DAC4350"/>
    <w:rsid w:val="2DBD030B"/>
    <w:rsid w:val="2DBE22D5"/>
    <w:rsid w:val="2DBF0527"/>
    <w:rsid w:val="2DC31699"/>
    <w:rsid w:val="2DCD42C6"/>
    <w:rsid w:val="2DCF6290"/>
    <w:rsid w:val="2DD12008"/>
    <w:rsid w:val="2DDE64D3"/>
    <w:rsid w:val="2DE55AB4"/>
    <w:rsid w:val="2DE955A4"/>
    <w:rsid w:val="2DEA30CA"/>
    <w:rsid w:val="2DEE768F"/>
    <w:rsid w:val="2DEF248E"/>
    <w:rsid w:val="2E100D83"/>
    <w:rsid w:val="2E1A575D"/>
    <w:rsid w:val="2E1B14D5"/>
    <w:rsid w:val="2E1F0FC6"/>
    <w:rsid w:val="2E204D3E"/>
    <w:rsid w:val="2E277E7A"/>
    <w:rsid w:val="2E2F6D2F"/>
    <w:rsid w:val="2E314855"/>
    <w:rsid w:val="2E382087"/>
    <w:rsid w:val="2E3F3416"/>
    <w:rsid w:val="2E3F51C4"/>
    <w:rsid w:val="2E505623"/>
    <w:rsid w:val="2E5549E7"/>
    <w:rsid w:val="2E583FB3"/>
    <w:rsid w:val="2E60666A"/>
    <w:rsid w:val="2E644C2A"/>
    <w:rsid w:val="2E6469D8"/>
    <w:rsid w:val="2E6A4C84"/>
    <w:rsid w:val="2E6C6E5B"/>
    <w:rsid w:val="2E6E7857"/>
    <w:rsid w:val="2E7110F5"/>
    <w:rsid w:val="2E731311"/>
    <w:rsid w:val="2E756E38"/>
    <w:rsid w:val="2E76670C"/>
    <w:rsid w:val="2E884DBD"/>
    <w:rsid w:val="2E9279E9"/>
    <w:rsid w:val="2E951288"/>
    <w:rsid w:val="2E960B5C"/>
    <w:rsid w:val="2EAB2859"/>
    <w:rsid w:val="2EB060C2"/>
    <w:rsid w:val="2EC8340B"/>
    <w:rsid w:val="2ED27DE6"/>
    <w:rsid w:val="2ED7364E"/>
    <w:rsid w:val="2EDE49DD"/>
    <w:rsid w:val="2EE353EB"/>
    <w:rsid w:val="2EE47B19"/>
    <w:rsid w:val="2EED10C4"/>
    <w:rsid w:val="2EF97A69"/>
    <w:rsid w:val="2F032695"/>
    <w:rsid w:val="2F1403FE"/>
    <w:rsid w:val="2F1877C3"/>
    <w:rsid w:val="2F2820FC"/>
    <w:rsid w:val="2F2B1BEC"/>
    <w:rsid w:val="2F2F5238"/>
    <w:rsid w:val="2F322206"/>
    <w:rsid w:val="2F370591"/>
    <w:rsid w:val="2F3A598B"/>
    <w:rsid w:val="2F3B1E2F"/>
    <w:rsid w:val="2F500B3A"/>
    <w:rsid w:val="2F503401"/>
    <w:rsid w:val="2F5922B5"/>
    <w:rsid w:val="2F596BB6"/>
    <w:rsid w:val="2F5C1DA5"/>
    <w:rsid w:val="2F5E167A"/>
    <w:rsid w:val="2F633134"/>
    <w:rsid w:val="2F642A08"/>
    <w:rsid w:val="2F68699C"/>
    <w:rsid w:val="2F754C15"/>
    <w:rsid w:val="2F762E67"/>
    <w:rsid w:val="2F803CE6"/>
    <w:rsid w:val="2F8337D6"/>
    <w:rsid w:val="2F833C37"/>
    <w:rsid w:val="2F8F2AF6"/>
    <w:rsid w:val="2F927575"/>
    <w:rsid w:val="2F963509"/>
    <w:rsid w:val="2FA31782"/>
    <w:rsid w:val="2FA379D4"/>
    <w:rsid w:val="2FAB0637"/>
    <w:rsid w:val="2FB53032"/>
    <w:rsid w:val="2FB63264"/>
    <w:rsid w:val="2FBF705B"/>
    <w:rsid w:val="2FC17E5A"/>
    <w:rsid w:val="2FC5794B"/>
    <w:rsid w:val="2FC75471"/>
    <w:rsid w:val="2FCE2CA3"/>
    <w:rsid w:val="2FCF34F1"/>
    <w:rsid w:val="2FD162F0"/>
    <w:rsid w:val="2FD65F6C"/>
    <w:rsid w:val="2FD8767E"/>
    <w:rsid w:val="2FEA115F"/>
    <w:rsid w:val="2FEA73B1"/>
    <w:rsid w:val="2FEC5819"/>
    <w:rsid w:val="2FF63FA8"/>
    <w:rsid w:val="30000983"/>
    <w:rsid w:val="30006BD5"/>
    <w:rsid w:val="30112B90"/>
    <w:rsid w:val="301E705B"/>
    <w:rsid w:val="30274161"/>
    <w:rsid w:val="303F4F25"/>
    <w:rsid w:val="3049057C"/>
    <w:rsid w:val="3049232A"/>
    <w:rsid w:val="30595E14"/>
    <w:rsid w:val="30662EDC"/>
    <w:rsid w:val="306C426A"/>
    <w:rsid w:val="306E08CA"/>
    <w:rsid w:val="306E1D90"/>
    <w:rsid w:val="30731155"/>
    <w:rsid w:val="307D6477"/>
    <w:rsid w:val="3082509F"/>
    <w:rsid w:val="3086532C"/>
    <w:rsid w:val="309A4933"/>
    <w:rsid w:val="309C4B4F"/>
    <w:rsid w:val="309D2676"/>
    <w:rsid w:val="30A25EDE"/>
    <w:rsid w:val="30A77050"/>
    <w:rsid w:val="30A92DC8"/>
    <w:rsid w:val="30B8125D"/>
    <w:rsid w:val="30C419B0"/>
    <w:rsid w:val="30CC6AB7"/>
    <w:rsid w:val="30CE6CD3"/>
    <w:rsid w:val="30D36097"/>
    <w:rsid w:val="30DC13F0"/>
    <w:rsid w:val="30EE4C7F"/>
    <w:rsid w:val="31012C04"/>
    <w:rsid w:val="310446E2"/>
    <w:rsid w:val="311B08F6"/>
    <w:rsid w:val="311F308B"/>
    <w:rsid w:val="31230DCD"/>
    <w:rsid w:val="31294F6D"/>
    <w:rsid w:val="312E1520"/>
    <w:rsid w:val="314174A5"/>
    <w:rsid w:val="31442AF1"/>
    <w:rsid w:val="31464ABB"/>
    <w:rsid w:val="31490108"/>
    <w:rsid w:val="314D409C"/>
    <w:rsid w:val="31501496"/>
    <w:rsid w:val="315076E8"/>
    <w:rsid w:val="31532D34"/>
    <w:rsid w:val="31605B7D"/>
    <w:rsid w:val="316136A3"/>
    <w:rsid w:val="31615451"/>
    <w:rsid w:val="31653193"/>
    <w:rsid w:val="316D3DF6"/>
    <w:rsid w:val="316E7B6E"/>
    <w:rsid w:val="31755DD2"/>
    <w:rsid w:val="31771119"/>
    <w:rsid w:val="318F6462"/>
    <w:rsid w:val="319B6BB5"/>
    <w:rsid w:val="31A11CF2"/>
    <w:rsid w:val="31A33CBC"/>
    <w:rsid w:val="31A55C86"/>
    <w:rsid w:val="31A83080"/>
    <w:rsid w:val="31AA504A"/>
    <w:rsid w:val="31AF2660"/>
    <w:rsid w:val="31B639EF"/>
    <w:rsid w:val="31BC5392"/>
    <w:rsid w:val="31BC6B2B"/>
    <w:rsid w:val="31BD2FCF"/>
    <w:rsid w:val="31C559E0"/>
    <w:rsid w:val="31CC3212"/>
    <w:rsid w:val="31D2634F"/>
    <w:rsid w:val="31D64091"/>
    <w:rsid w:val="31DB3455"/>
    <w:rsid w:val="31DB5204"/>
    <w:rsid w:val="31DD71CE"/>
    <w:rsid w:val="31EF0CAF"/>
    <w:rsid w:val="31EF147B"/>
    <w:rsid w:val="31EF6F01"/>
    <w:rsid w:val="31FC517A"/>
    <w:rsid w:val="320504D2"/>
    <w:rsid w:val="3207249C"/>
    <w:rsid w:val="320F30FF"/>
    <w:rsid w:val="32140715"/>
    <w:rsid w:val="321A09C1"/>
    <w:rsid w:val="321D3A6E"/>
    <w:rsid w:val="322A7F39"/>
    <w:rsid w:val="323E597C"/>
    <w:rsid w:val="32496611"/>
    <w:rsid w:val="324C4353"/>
    <w:rsid w:val="324C7EAF"/>
    <w:rsid w:val="324E1E79"/>
    <w:rsid w:val="3251196A"/>
    <w:rsid w:val="3255145A"/>
    <w:rsid w:val="325E7BE3"/>
    <w:rsid w:val="325F5E35"/>
    <w:rsid w:val="32607DFF"/>
    <w:rsid w:val="326276D3"/>
    <w:rsid w:val="326F1DF0"/>
    <w:rsid w:val="32717916"/>
    <w:rsid w:val="32737B32"/>
    <w:rsid w:val="32870EE7"/>
    <w:rsid w:val="32B31CDC"/>
    <w:rsid w:val="32BA306B"/>
    <w:rsid w:val="32C263C3"/>
    <w:rsid w:val="32CB5278"/>
    <w:rsid w:val="32D00AE0"/>
    <w:rsid w:val="32D22AAA"/>
    <w:rsid w:val="32D3412D"/>
    <w:rsid w:val="32D81743"/>
    <w:rsid w:val="32DC56D7"/>
    <w:rsid w:val="32E427DE"/>
    <w:rsid w:val="32E53E60"/>
    <w:rsid w:val="32F12805"/>
    <w:rsid w:val="33010C9A"/>
    <w:rsid w:val="33082597"/>
    <w:rsid w:val="330B38C7"/>
    <w:rsid w:val="33114C55"/>
    <w:rsid w:val="33152997"/>
    <w:rsid w:val="33174961"/>
    <w:rsid w:val="331D7A9E"/>
    <w:rsid w:val="33240E2C"/>
    <w:rsid w:val="332932E2"/>
    <w:rsid w:val="332B5D17"/>
    <w:rsid w:val="333252F7"/>
    <w:rsid w:val="33482D6D"/>
    <w:rsid w:val="334943EF"/>
    <w:rsid w:val="33527747"/>
    <w:rsid w:val="33542A82"/>
    <w:rsid w:val="335A484E"/>
    <w:rsid w:val="335C2896"/>
    <w:rsid w:val="335C309B"/>
    <w:rsid w:val="335E17F2"/>
    <w:rsid w:val="33660CCD"/>
    <w:rsid w:val="336D632F"/>
    <w:rsid w:val="33721B98"/>
    <w:rsid w:val="337E678E"/>
    <w:rsid w:val="33857B1D"/>
    <w:rsid w:val="338F0E0F"/>
    <w:rsid w:val="3392223A"/>
    <w:rsid w:val="339733AC"/>
    <w:rsid w:val="33997124"/>
    <w:rsid w:val="33A8380B"/>
    <w:rsid w:val="33A855B9"/>
    <w:rsid w:val="33AFEC5B"/>
    <w:rsid w:val="33B3020A"/>
    <w:rsid w:val="33BE6B8B"/>
    <w:rsid w:val="33BF2903"/>
    <w:rsid w:val="33C06DA7"/>
    <w:rsid w:val="33C87A09"/>
    <w:rsid w:val="33D740F0"/>
    <w:rsid w:val="33DA14EB"/>
    <w:rsid w:val="33DB773D"/>
    <w:rsid w:val="33DC5263"/>
    <w:rsid w:val="33DF6B01"/>
    <w:rsid w:val="33E76902"/>
    <w:rsid w:val="33EC194A"/>
    <w:rsid w:val="33EC7B9C"/>
    <w:rsid w:val="33ED56C2"/>
    <w:rsid w:val="33F425AD"/>
    <w:rsid w:val="33F54A0C"/>
    <w:rsid w:val="33FB1B8D"/>
    <w:rsid w:val="33FD3B57"/>
    <w:rsid w:val="33FE342B"/>
    <w:rsid w:val="34052A0C"/>
    <w:rsid w:val="340A7BE9"/>
    <w:rsid w:val="340F5638"/>
    <w:rsid w:val="34160775"/>
    <w:rsid w:val="341744ED"/>
    <w:rsid w:val="341B5D8B"/>
    <w:rsid w:val="34213243"/>
    <w:rsid w:val="3424150B"/>
    <w:rsid w:val="34243CCB"/>
    <w:rsid w:val="342D5ABF"/>
    <w:rsid w:val="34311A53"/>
    <w:rsid w:val="3434509F"/>
    <w:rsid w:val="343706EB"/>
    <w:rsid w:val="3442156A"/>
    <w:rsid w:val="345D45F6"/>
    <w:rsid w:val="34607C42"/>
    <w:rsid w:val="346314E0"/>
    <w:rsid w:val="34694D37"/>
    <w:rsid w:val="348D682D"/>
    <w:rsid w:val="349D0E96"/>
    <w:rsid w:val="34A51AF9"/>
    <w:rsid w:val="34AC2E87"/>
    <w:rsid w:val="34AF1EA4"/>
    <w:rsid w:val="34B14942"/>
    <w:rsid w:val="34C44675"/>
    <w:rsid w:val="34C75F13"/>
    <w:rsid w:val="34CA484F"/>
    <w:rsid w:val="34CC3529"/>
    <w:rsid w:val="34CE2DFE"/>
    <w:rsid w:val="34D16D92"/>
    <w:rsid w:val="34E00D75"/>
    <w:rsid w:val="34E40873"/>
    <w:rsid w:val="34EB33C6"/>
    <w:rsid w:val="34F860CC"/>
    <w:rsid w:val="34FA1E45"/>
    <w:rsid w:val="35004F81"/>
    <w:rsid w:val="351A4295"/>
    <w:rsid w:val="352073D1"/>
    <w:rsid w:val="352670DE"/>
    <w:rsid w:val="352E457E"/>
    <w:rsid w:val="35357321"/>
    <w:rsid w:val="35380BBF"/>
    <w:rsid w:val="35441312"/>
    <w:rsid w:val="35466E38"/>
    <w:rsid w:val="35496928"/>
    <w:rsid w:val="3550415A"/>
    <w:rsid w:val="35523A2F"/>
    <w:rsid w:val="3555351F"/>
    <w:rsid w:val="356E2833"/>
    <w:rsid w:val="3575596F"/>
    <w:rsid w:val="357A2F85"/>
    <w:rsid w:val="358636D8"/>
    <w:rsid w:val="358838F4"/>
    <w:rsid w:val="35887450"/>
    <w:rsid w:val="35980BD9"/>
    <w:rsid w:val="35A3428A"/>
    <w:rsid w:val="35A72150"/>
    <w:rsid w:val="35AF0E81"/>
    <w:rsid w:val="35B30245"/>
    <w:rsid w:val="35B37551"/>
    <w:rsid w:val="35B77D36"/>
    <w:rsid w:val="35BC70FA"/>
    <w:rsid w:val="35C80195"/>
    <w:rsid w:val="35CB558F"/>
    <w:rsid w:val="35CF1523"/>
    <w:rsid w:val="35D22DC1"/>
    <w:rsid w:val="35D41965"/>
    <w:rsid w:val="35D47806"/>
    <w:rsid w:val="35D94150"/>
    <w:rsid w:val="35F5260C"/>
    <w:rsid w:val="35FE3BB6"/>
    <w:rsid w:val="360B1E2F"/>
    <w:rsid w:val="361231BE"/>
    <w:rsid w:val="36146F36"/>
    <w:rsid w:val="36280C33"/>
    <w:rsid w:val="362A0508"/>
    <w:rsid w:val="362D5DAF"/>
    <w:rsid w:val="362F3D70"/>
    <w:rsid w:val="36306450"/>
    <w:rsid w:val="36372206"/>
    <w:rsid w:val="36394BEF"/>
    <w:rsid w:val="36415851"/>
    <w:rsid w:val="3647730B"/>
    <w:rsid w:val="36486BE0"/>
    <w:rsid w:val="365732C7"/>
    <w:rsid w:val="365932DD"/>
    <w:rsid w:val="365C268B"/>
    <w:rsid w:val="36610A6A"/>
    <w:rsid w:val="366559E4"/>
    <w:rsid w:val="367B0D63"/>
    <w:rsid w:val="36826596"/>
    <w:rsid w:val="36857E34"/>
    <w:rsid w:val="369167D9"/>
    <w:rsid w:val="369E0EF6"/>
    <w:rsid w:val="36B14785"/>
    <w:rsid w:val="36D13079"/>
    <w:rsid w:val="36D16BD5"/>
    <w:rsid w:val="36D861B6"/>
    <w:rsid w:val="36DA1F2E"/>
    <w:rsid w:val="36DB3EF8"/>
    <w:rsid w:val="36EA13FE"/>
    <w:rsid w:val="36EA5EE9"/>
    <w:rsid w:val="36F079A3"/>
    <w:rsid w:val="36F17277"/>
    <w:rsid w:val="36F823B4"/>
    <w:rsid w:val="36FA437E"/>
    <w:rsid w:val="36FD79CA"/>
    <w:rsid w:val="36FF7BE6"/>
    <w:rsid w:val="37076A9B"/>
    <w:rsid w:val="370E607B"/>
    <w:rsid w:val="371116C7"/>
    <w:rsid w:val="371B1451"/>
    <w:rsid w:val="371F2036"/>
    <w:rsid w:val="372E2279"/>
    <w:rsid w:val="373A29CC"/>
    <w:rsid w:val="374101FF"/>
    <w:rsid w:val="37500442"/>
    <w:rsid w:val="37555A58"/>
    <w:rsid w:val="375D2B5F"/>
    <w:rsid w:val="37647A49"/>
    <w:rsid w:val="3768578B"/>
    <w:rsid w:val="376B0DD8"/>
    <w:rsid w:val="376E6B1A"/>
    <w:rsid w:val="37702892"/>
    <w:rsid w:val="37751C56"/>
    <w:rsid w:val="37773C20"/>
    <w:rsid w:val="378974B0"/>
    <w:rsid w:val="3790083E"/>
    <w:rsid w:val="379540A7"/>
    <w:rsid w:val="379950AD"/>
    <w:rsid w:val="379E73FF"/>
    <w:rsid w:val="37AB1B1C"/>
    <w:rsid w:val="37AC6F17"/>
    <w:rsid w:val="37B02C8E"/>
    <w:rsid w:val="37BF2ED1"/>
    <w:rsid w:val="37C239D4"/>
    <w:rsid w:val="37CB1876"/>
    <w:rsid w:val="37CB5D1A"/>
    <w:rsid w:val="37D01583"/>
    <w:rsid w:val="37DD15AA"/>
    <w:rsid w:val="37E172EC"/>
    <w:rsid w:val="37E34E12"/>
    <w:rsid w:val="37ED3EE3"/>
    <w:rsid w:val="37ED7A3F"/>
    <w:rsid w:val="37F60FE9"/>
    <w:rsid w:val="38022BDC"/>
    <w:rsid w:val="3814321D"/>
    <w:rsid w:val="381C20D2"/>
    <w:rsid w:val="38213B8C"/>
    <w:rsid w:val="3821593A"/>
    <w:rsid w:val="38237904"/>
    <w:rsid w:val="38244AE6"/>
    <w:rsid w:val="382673F4"/>
    <w:rsid w:val="38327B47"/>
    <w:rsid w:val="38433B03"/>
    <w:rsid w:val="384B29B7"/>
    <w:rsid w:val="385201EA"/>
    <w:rsid w:val="38561A88"/>
    <w:rsid w:val="385B709E"/>
    <w:rsid w:val="386341A5"/>
    <w:rsid w:val="386D5023"/>
    <w:rsid w:val="38795776"/>
    <w:rsid w:val="387B504A"/>
    <w:rsid w:val="388163D9"/>
    <w:rsid w:val="388C36FB"/>
    <w:rsid w:val="388D4D7E"/>
    <w:rsid w:val="38983E4E"/>
    <w:rsid w:val="38991974"/>
    <w:rsid w:val="38A30A45"/>
    <w:rsid w:val="38A74091"/>
    <w:rsid w:val="38A87E0A"/>
    <w:rsid w:val="38B22A36"/>
    <w:rsid w:val="38C06F01"/>
    <w:rsid w:val="38C904AC"/>
    <w:rsid w:val="38D64977"/>
    <w:rsid w:val="38DB1F8D"/>
    <w:rsid w:val="38DD49CB"/>
    <w:rsid w:val="38DE1A7D"/>
    <w:rsid w:val="38DF7A7F"/>
    <w:rsid w:val="38E54BBA"/>
    <w:rsid w:val="38ED3A6E"/>
    <w:rsid w:val="38EF3C8A"/>
    <w:rsid w:val="38F117B0"/>
    <w:rsid w:val="38F65019"/>
    <w:rsid w:val="38F848ED"/>
    <w:rsid w:val="38FF3ECD"/>
    <w:rsid w:val="3902751A"/>
    <w:rsid w:val="391334D5"/>
    <w:rsid w:val="391D4354"/>
    <w:rsid w:val="39276F80"/>
    <w:rsid w:val="392B4CC2"/>
    <w:rsid w:val="39350A01"/>
    <w:rsid w:val="393C6ED0"/>
    <w:rsid w:val="394B57D9"/>
    <w:rsid w:val="394E6C03"/>
    <w:rsid w:val="39677CC5"/>
    <w:rsid w:val="39706B79"/>
    <w:rsid w:val="397B70F5"/>
    <w:rsid w:val="397B72CC"/>
    <w:rsid w:val="3991089E"/>
    <w:rsid w:val="39916AF0"/>
    <w:rsid w:val="399565E0"/>
    <w:rsid w:val="399D7F94"/>
    <w:rsid w:val="39AC4D26"/>
    <w:rsid w:val="39AE31FE"/>
    <w:rsid w:val="39BF18AF"/>
    <w:rsid w:val="39BF540B"/>
    <w:rsid w:val="39C24EFB"/>
    <w:rsid w:val="39C62C3D"/>
    <w:rsid w:val="39CB0253"/>
    <w:rsid w:val="39CD7B28"/>
    <w:rsid w:val="39D07618"/>
    <w:rsid w:val="39E44E71"/>
    <w:rsid w:val="39E7589A"/>
    <w:rsid w:val="39F552D0"/>
    <w:rsid w:val="39F74BA5"/>
    <w:rsid w:val="39FD5F33"/>
    <w:rsid w:val="3A0948D8"/>
    <w:rsid w:val="3A137505"/>
    <w:rsid w:val="3A257964"/>
    <w:rsid w:val="3A26548A"/>
    <w:rsid w:val="3A2B484E"/>
    <w:rsid w:val="3A2B6F44"/>
    <w:rsid w:val="3A325BDD"/>
    <w:rsid w:val="3A396F6B"/>
    <w:rsid w:val="3A4122C4"/>
    <w:rsid w:val="3A43428E"/>
    <w:rsid w:val="3A441E84"/>
    <w:rsid w:val="3A4B3142"/>
    <w:rsid w:val="3A577D39"/>
    <w:rsid w:val="3A5B3385"/>
    <w:rsid w:val="3A5D5AD7"/>
    <w:rsid w:val="3A766411"/>
    <w:rsid w:val="3A7E38B2"/>
    <w:rsid w:val="3A7E7074"/>
    <w:rsid w:val="3A886145"/>
    <w:rsid w:val="3A8D158F"/>
    <w:rsid w:val="3A98366A"/>
    <w:rsid w:val="3A9D4A5A"/>
    <w:rsid w:val="3A9D6889"/>
    <w:rsid w:val="3AB42FBD"/>
    <w:rsid w:val="3AB962FE"/>
    <w:rsid w:val="3AC30F2B"/>
    <w:rsid w:val="3AC56A51"/>
    <w:rsid w:val="3ACD3B57"/>
    <w:rsid w:val="3AD1189A"/>
    <w:rsid w:val="3AE315CD"/>
    <w:rsid w:val="3AE3337B"/>
    <w:rsid w:val="3AE80991"/>
    <w:rsid w:val="3AE96BE3"/>
    <w:rsid w:val="3AFB06C4"/>
    <w:rsid w:val="3B045A41"/>
    <w:rsid w:val="3B0A6B5A"/>
    <w:rsid w:val="3B1654FE"/>
    <w:rsid w:val="3B2714BA"/>
    <w:rsid w:val="3B2C4D22"/>
    <w:rsid w:val="3B2F65C0"/>
    <w:rsid w:val="3B4262F3"/>
    <w:rsid w:val="3B455DE4"/>
    <w:rsid w:val="3B457B92"/>
    <w:rsid w:val="3B6224F2"/>
    <w:rsid w:val="3B781D15"/>
    <w:rsid w:val="3B7F12F6"/>
    <w:rsid w:val="3B824942"/>
    <w:rsid w:val="3B895CD0"/>
    <w:rsid w:val="3B8E778B"/>
    <w:rsid w:val="3B914B85"/>
    <w:rsid w:val="3BBC42F8"/>
    <w:rsid w:val="3BD056AD"/>
    <w:rsid w:val="3BD75073"/>
    <w:rsid w:val="3BE64ED1"/>
    <w:rsid w:val="3BEE1C53"/>
    <w:rsid w:val="3BFF5F92"/>
    <w:rsid w:val="3C0435A9"/>
    <w:rsid w:val="3C065573"/>
    <w:rsid w:val="3C12216A"/>
    <w:rsid w:val="3C177CC1"/>
    <w:rsid w:val="3C1A7FC5"/>
    <w:rsid w:val="3C1C4D96"/>
    <w:rsid w:val="3C1F03E3"/>
    <w:rsid w:val="3C265C15"/>
    <w:rsid w:val="3C2679C3"/>
    <w:rsid w:val="3C2854E9"/>
    <w:rsid w:val="3C2B6D87"/>
    <w:rsid w:val="3C2D0D52"/>
    <w:rsid w:val="3C2D6FA3"/>
    <w:rsid w:val="3C2E0626"/>
    <w:rsid w:val="3C300842"/>
    <w:rsid w:val="3C357C06"/>
    <w:rsid w:val="3C37397E"/>
    <w:rsid w:val="3C4E2A76"/>
    <w:rsid w:val="3C5349E3"/>
    <w:rsid w:val="3C5E53AF"/>
    <w:rsid w:val="3C7E15AD"/>
    <w:rsid w:val="3C8841DA"/>
    <w:rsid w:val="3C9C5ED7"/>
    <w:rsid w:val="3C9E1C4F"/>
    <w:rsid w:val="3CAF1767"/>
    <w:rsid w:val="3CB274A9"/>
    <w:rsid w:val="3CBA010B"/>
    <w:rsid w:val="3CBE7BFC"/>
    <w:rsid w:val="3CCD6091"/>
    <w:rsid w:val="3CCF3BB7"/>
    <w:rsid w:val="3CD236A7"/>
    <w:rsid w:val="3CD70CBD"/>
    <w:rsid w:val="3CD72A6B"/>
    <w:rsid w:val="3CE5162C"/>
    <w:rsid w:val="3CE60F00"/>
    <w:rsid w:val="3CE704BC"/>
    <w:rsid w:val="3CEF6007"/>
    <w:rsid w:val="3CF03B2D"/>
    <w:rsid w:val="3CF208B5"/>
    <w:rsid w:val="3D073351"/>
    <w:rsid w:val="3D0870C9"/>
    <w:rsid w:val="3D0A4004"/>
    <w:rsid w:val="3D0B5494"/>
    <w:rsid w:val="3D112421"/>
    <w:rsid w:val="3D1837B0"/>
    <w:rsid w:val="3D1B6DFC"/>
    <w:rsid w:val="3D314871"/>
    <w:rsid w:val="3D3D4FC4"/>
    <w:rsid w:val="3D3E0D3C"/>
    <w:rsid w:val="3D4C3459"/>
    <w:rsid w:val="3D510A70"/>
    <w:rsid w:val="3D567E34"/>
    <w:rsid w:val="3D624A2B"/>
    <w:rsid w:val="3D6562C9"/>
    <w:rsid w:val="3D801355"/>
    <w:rsid w:val="3D87623F"/>
    <w:rsid w:val="3D89645B"/>
    <w:rsid w:val="3D8A5D30"/>
    <w:rsid w:val="3D9D1F07"/>
    <w:rsid w:val="3D9F5C7F"/>
    <w:rsid w:val="3DAE0F7D"/>
    <w:rsid w:val="3DB159B2"/>
    <w:rsid w:val="3DB80AEF"/>
    <w:rsid w:val="3DB86D41"/>
    <w:rsid w:val="3DBA4867"/>
    <w:rsid w:val="3DBD4357"/>
    <w:rsid w:val="3DBF4E21"/>
    <w:rsid w:val="3DC01751"/>
    <w:rsid w:val="3DC0640E"/>
    <w:rsid w:val="3DC47494"/>
    <w:rsid w:val="3DCB2BE5"/>
    <w:rsid w:val="3DCE20C0"/>
    <w:rsid w:val="3DD1395F"/>
    <w:rsid w:val="3DD376D7"/>
    <w:rsid w:val="3DE2791A"/>
    <w:rsid w:val="3DEB22C0"/>
    <w:rsid w:val="3DEE2762"/>
    <w:rsid w:val="3E06185A"/>
    <w:rsid w:val="3E0B6E71"/>
    <w:rsid w:val="3E135D25"/>
    <w:rsid w:val="3E2B7513"/>
    <w:rsid w:val="3E39336E"/>
    <w:rsid w:val="3E3A1504"/>
    <w:rsid w:val="3E3B007D"/>
    <w:rsid w:val="3E3F4D6C"/>
    <w:rsid w:val="3E467EA9"/>
    <w:rsid w:val="3E570308"/>
    <w:rsid w:val="3E5720B6"/>
    <w:rsid w:val="3E5E4B58"/>
    <w:rsid w:val="3E5F0F6A"/>
    <w:rsid w:val="3E642A25"/>
    <w:rsid w:val="3E6A003B"/>
    <w:rsid w:val="3E6B5B61"/>
    <w:rsid w:val="3E734A16"/>
    <w:rsid w:val="3E75078E"/>
    <w:rsid w:val="3E78202C"/>
    <w:rsid w:val="3E95498C"/>
    <w:rsid w:val="3E974BA8"/>
    <w:rsid w:val="3E976956"/>
    <w:rsid w:val="3E990920"/>
    <w:rsid w:val="3E9C21BE"/>
    <w:rsid w:val="3E9C5D1B"/>
    <w:rsid w:val="3EAB0654"/>
    <w:rsid w:val="3EAF1EF2"/>
    <w:rsid w:val="3EB05C6A"/>
    <w:rsid w:val="3EB72B54"/>
    <w:rsid w:val="3EB968CD"/>
    <w:rsid w:val="3EBA4F51"/>
    <w:rsid w:val="3EBC016B"/>
    <w:rsid w:val="3EBE3EE3"/>
    <w:rsid w:val="3EBF7C5B"/>
    <w:rsid w:val="3ECD2378"/>
    <w:rsid w:val="3ED5122D"/>
    <w:rsid w:val="3ED70A3A"/>
    <w:rsid w:val="3EDB2CE7"/>
    <w:rsid w:val="3EDF3E59"/>
    <w:rsid w:val="3EE14075"/>
    <w:rsid w:val="3EEF22EE"/>
    <w:rsid w:val="3F081602"/>
    <w:rsid w:val="3F082449"/>
    <w:rsid w:val="3F163D1F"/>
    <w:rsid w:val="3F1B30E3"/>
    <w:rsid w:val="3F1C50AD"/>
    <w:rsid w:val="3F1E0E25"/>
    <w:rsid w:val="3F2B709E"/>
    <w:rsid w:val="3F3423F7"/>
    <w:rsid w:val="3F36616F"/>
    <w:rsid w:val="3F392CE3"/>
    <w:rsid w:val="3F446ADE"/>
    <w:rsid w:val="3F4871AE"/>
    <w:rsid w:val="3F4A5777"/>
    <w:rsid w:val="3F514D57"/>
    <w:rsid w:val="3F52287D"/>
    <w:rsid w:val="3F584337"/>
    <w:rsid w:val="3F60143E"/>
    <w:rsid w:val="3F6A406B"/>
    <w:rsid w:val="3F7153F9"/>
    <w:rsid w:val="3F76656C"/>
    <w:rsid w:val="3F823162"/>
    <w:rsid w:val="3F8F762D"/>
    <w:rsid w:val="3F942E96"/>
    <w:rsid w:val="3F9B5FD2"/>
    <w:rsid w:val="3F9B6B83"/>
    <w:rsid w:val="3FA05CDE"/>
    <w:rsid w:val="3FA550A3"/>
    <w:rsid w:val="3FA82F37"/>
    <w:rsid w:val="3FC01EDD"/>
    <w:rsid w:val="3FC4377B"/>
    <w:rsid w:val="3FCB2D5B"/>
    <w:rsid w:val="3FCF2120"/>
    <w:rsid w:val="3FD5747A"/>
    <w:rsid w:val="3FDF6807"/>
    <w:rsid w:val="3FE21E53"/>
    <w:rsid w:val="3FE94F8F"/>
    <w:rsid w:val="3FF027C2"/>
    <w:rsid w:val="3FF658FE"/>
    <w:rsid w:val="3FFE0A32"/>
    <w:rsid w:val="3FFF2A05"/>
    <w:rsid w:val="400718BA"/>
    <w:rsid w:val="400C5122"/>
    <w:rsid w:val="400D32E3"/>
    <w:rsid w:val="400F2EC6"/>
    <w:rsid w:val="401144E6"/>
    <w:rsid w:val="401364B0"/>
    <w:rsid w:val="40251D40"/>
    <w:rsid w:val="402E5098"/>
    <w:rsid w:val="40420B44"/>
    <w:rsid w:val="404228F2"/>
    <w:rsid w:val="404448BC"/>
    <w:rsid w:val="40464190"/>
    <w:rsid w:val="40556AC9"/>
    <w:rsid w:val="40564282"/>
    <w:rsid w:val="405A7C3B"/>
    <w:rsid w:val="405D772B"/>
    <w:rsid w:val="40640ABA"/>
    <w:rsid w:val="407056B1"/>
    <w:rsid w:val="407231D7"/>
    <w:rsid w:val="407F58F4"/>
    <w:rsid w:val="4081166C"/>
    <w:rsid w:val="4081341A"/>
    <w:rsid w:val="408353E4"/>
    <w:rsid w:val="40923879"/>
    <w:rsid w:val="40932860"/>
    <w:rsid w:val="409749EB"/>
    <w:rsid w:val="40980764"/>
    <w:rsid w:val="40A11D0E"/>
    <w:rsid w:val="40AA0BC3"/>
    <w:rsid w:val="40AF442B"/>
    <w:rsid w:val="40BC4452"/>
    <w:rsid w:val="40D7128C"/>
    <w:rsid w:val="40D93256"/>
    <w:rsid w:val="40DA6FCE"/>
    <w:rsid w:val="40EC6DDC"/>
    <w:rsid w:val="40F170AA"/>
    <w:rsid w:val="40F462E2"/>
    <w:rsid w:val="40FA31CC"/>
    <w:rsid w:val="40FB76FB"/>
    <w:rsid w:val="410042A8"/>
    <w:rsid w:val="410B53D9"/>
    <w:rsid w:val="411029F0"/>
    <w:rsid w:val="41110C42"/>
    <w:rsid w:val="411424E0"/>
    <w:rsid w:val="41151DB4"/>
    <w:rsid w:val="41165E8B"/>
    <w:rsid w:val="411918A4"/>
    <w:rsid w:val="411B386E"/>
    <w:rsid w:val="411E335F"/>
    <w:rsid w:val="411E6EBB"/>
    <w:rsid w:val="41313092"/>
    <w:rsid w:val="413F3272"/>
    <w:rsid w:val="41406E31"/>
    <w:rsid w:val="414553E3"/>
    <w:rsid w:val="4151103E"/>
    <w:rsid w:val="41526B64"/>
    <w:rsid w:val="41596145"/>
    <w:rsid w:val="415B3C6B"/>
    <w:rsid w:val="415C79E3"/>
    <w:rsid w:val="415D5C35"/>
    <w:rsid w:val="416C40CA"/>
    <w:rsid w:val="41796A32"/>
    <w:rsid w:val="418A27A2"/>
    <w:rsid w:val="41911D83"/>
    <w:rsid w:val="4194717D"/>
    <w:rsid w:val="419E7FFC"/>
    <w:rsid w:val="41A53138"/>
    <w:rsid w:val="41A73354"/>
    <w:rsid w:val="41AA69A0"/>
    <w:rsid w:val="41B45A71"/>
    <w:rsid w:val="41BB0BAE"/>
    <w:rsid w:val="41BF069E"/>
    <w:rsid w:val="41C061C4"/>
    <w:rsid w:val="41C863AE"/>
    <w:rsid w:val="41CC4B69"/>
    <w:rsid w:val="41E066CC"/>
    <w:rsid w:val="41E55C2A"/>
    <w:rsid w:val="41FB544E"/>
    <w:rsid w:val="42002A64"/>
    <w:rsid w:val="42091919"/>
    <w:rsid w:val="42196C84"/>
    <w:rsid w:val="421B164C"/>
    <w:rsid w:val="42295B17"/>
    <w:rsid w:val="422B5D33"/>
    <w:rsid w:val="423544BC"/>
    <w:rsid w:val="423A41C8"/>
    <w:rsid w:val="423C6C0F"/>
    <w:rsid w:val="423F533B"/>
    <w:rsid w:val="42462B6D"/>
    <w:rsid w:val="424A5D19"/>
    <w:rsid w:val="4250579A"/>
    <w:rsid w:val="425C5EED"/>
    <w:rsid w:val="425D1C65"/>
    <w:rsid w:val="426254CD"/>
    <w:rsid w:val="42660B19"/>
    <w:rsid w:val="42674891"/>
    <w:rsid w:val="42733236"/>
    <w:rsid w:val="427E62E2"/>
    <w:rsid w:val="4289147A"/>
    <w:rsid w:val="428C42F8"/>
    <w:rsid w:val="429A4C67"/>
    <w:rsid w:val="429C09DF"/>
    <w:rsid w:val="42A653BA"/>
    <w:rsid w:val="42AD1AEC"/>
    <w:rsid w:val="42BC2E2F"/>
    <w:rsid w:val="42BF022A"/>
    <w:rsid w:val="42C121F4"/>
    <w:rsid w:val="42C910A8"/>
    <w:rsid w:val="42DC0934"/>
    <w:rsid w:val="42DE4B4E"/>
    <w:rsid w:val="42E14644"/>
    <w:rsid w:val="42E3660E"/>
    <w:rsid w:val="42ED123B"/>
    <w:rsid w:val="42ED4D97"/>
    <w:rsid w:val="42EF6D61"/>
    <w:rsid w:val="42F04887"/>
    <w:rsid w:val="42F223AD"/>
    <w:rsid w:val="42F8373B"/>
    <w:rsid w:val="42FF4201"/>
    <w:rsid w:val="430622FC"/>
    <w:rsid w:val="43092A55"/>
    <w:rsid w:val="43100A85"/>
    <w:rsid w:val="431E13F4"/>
    <w:rsid w:val="431E7646"/>
    <w:rsid w:val="432F3601"/>
    <w:rsid w:val="433504EC"/>
    <w:rsid w:val="433517D1"/>
    <w:rsid w:val="43432C09"/>
    <w:rsid w:val="434B7D0F"/>
    <w:rsid w:val="434D2C25"/>
    <w:rsid w:val="4355293C"/>
    <w:rsid w:val="4356105B"/>
    <w:rsid w:val="435B43F6"/>
    <w:rsid w:val="435C1F1C"/>
    <w:rsid w:val="4361198C"/>
    <w:rsid w:val="437E1E93"/>
    <w:rsid w:val="43993170"/>
    <w:rsid w:val="439B778F"/>
    <w:rsid w:val="43A075A0"/>
    <w:rsid w:val="43B92ECB"/>
    <w:rsid w:val="43C755E8"/>
    <w:rsid w:val="43E91A02"/>
    <w:rsid w:val="43EF2D90"/>
    <w:rsid w:val="43F16B09"/>
    <w:rsid w:val="43F32881"/>
    <w:rsid w:val="43F62371"/>
    <w:rsid w:val="43FE4D82"/>
    <w:rsid w:val="441427F7"/>
    <w:rsid w:val="44157B0F"/>
    <w:rsid w:val="4416066E"/>
    <w:rsid w:val="442073EE"/>
    <w:rsid w:val="4427252A"/>
    <w:rsid w:val="442A5B77"/>
    <w:rsid w:val="44376732"/>
    <w:rsid w:val="443C6934"/>
    <w:rsid w:val="443D1D4E"/>
    <w:rsid w:val="443D3AFC"/>
    <w:rsid w:val="443F17B1"/>
    <w:rsid w:val="44507CD3"/>
    <w:rsid w:val="44564BBE"/>
    <w:rsid w:val="445826E4"/>
    <w:rsid w:val="445C6678"/>
    <w:rsid w:val="445F3A72"/>
    <w:rsid w:val="44642C0C"/>
    <w:rsid w:val="447339C1"/>
    <w:rsid w:val="4484797D"/>
    <w:rsid w:val="44867251"/>
    <w:rsid w:val="4487121B"/>
    <w:rsid w:val="449D27EC"/>
    <w:rsid w:val="44AD0606"/>
    <w:rsid w:val="44B27F70"/>
    <w:rsid w:val="44B87626"/>
    <w:rsid w:val="44C24001"/>
    <w:rsid w:val="44C71617"/>
    <w:rsid w:val="44CB1108"/>
    <w:rsid w:val="44CE0BF8"/>
    <w:rsid w:val="44E4666D"/>
    <w:rsid w:val="44E86CCF"/>
    <w:rsid w:val="44F00B6E"/>
    <w:rsid w:val="44F80CE9"/>
    <w:rsid w:val="44F87A23"/>
    <w:rsid w:val="44FC39B7"/>
    <w:rsid w:val="44FD328B"/>
    <w:rsid w:val="45010FCD"/>
    <w:rsid w:val="4504461A"/>
    <w:rsid w:val="450B1E4C"/>
    <w:rsid w:val="45124F88"/>
    <w:rsid w:val="4513485D"/>
    <w:rsid w:val="451F76A5"/>
    <w:rsid w:val="453E18DA"/>
    <w:rsid w:val="454315E6"/>
    <w:rsid w:val="454669E0"/>
    <w:rsid w:val="454A4722"/>
    <w:rsid w:val="456450B8"/>
    <w:rsid w:val="456652D4"/>
    <w:rsid w:val="456D21BF"/>
    <w:rsid w:val="456D6663"/>
    <w:rsid w:val="457572C5"/>
    <w:rsid w:val="457B0D80"/>
    <w:rsid w:val="457C68A6"/>
    <w:rsid w:val="45837329"/>
    <w:rsid w:val="458F482B"/>
    <w:rsid w:val="45912351"/>
    <w:rsid w:val="45984FD7"/>
    <w:rsid w:val="45A02594"/>
    <w:rsid w:val="45A831F7"/>
    <w:rsid w:val="45B147A1"/>
    <w:rsid w:val="45BE6EBE"/>
    <w:rsid w:val="45C36283"/>
    <w:rsid w:val="45D16BF2"/>
    <w:rsid w:val="45D40490"/>
    <w:rsid w:val="45D71D2E"/>
    <w:rsid w:val="45E00BE3"/>
    <w:rsid w:val="45E06E35"/>
    <w:rsid w:val="45E76415"/>
    <w:rsid w:val="45EC7588"/>
    <w:rsid w:val="45F14B9E"/>
    <w:rsid w:val="45F46806"/>
    <w:rsid w:val="46026DAD"/>
    <w:rsid w:val="46113492"/>
    <w:rsid w:val="462036D5"/>
    <w:rsid w:val="46260101"/>
    <w:rsid w:val="462C6948"/>
    <w:rsid w:val="462E490D"/>
    <w:rsid w:val="463902F3"/>
    <w:rsid w:val="463B22BD"/>
    <w:rsid w:val="464C0026"/>
    <w:rsid w:val="464F42E8"/>
    <w:rsid w:val="465A0995"/>
    <w:rsid w:val="465A2875"/>
    <w:rsid w:val="46625A9C"/>
    <w:rsid w:val="466730B2"/>
    <w:rsid w:val="466F1F67"/>
    <w:rsid w:val="4670640B"/>
    <w:rsid w:val="467F664E"/>
    <w:rsid w:val="46850939"/>
    <w:rsid w:val="46893028"/>
    <w:rsid w:val="468E6891"/>
    <w:rsid w:val="46A55988"/>
    <w:rsid w:val="46B06807"/>
    <w:rsid w:val="46B362F7"/>
    <w:rsid w:val="46B81B60"/>
    <w:rsid w:val="46C027C2"/>
    <w:rsid w:val="46D02A05"/>
    <w:rsid w:val="46F34946"/>
    <w:rsid w:val="47064679"/>
    <w:rsid w:val="47125265"/>
    <w:rsid w:val="471A6376"/>
    <w:rsid w:val="473E02B7"/>
    <w:rsid w:val="474E6C61"/>
    <w:rsid w:val="47501D98"/>
    <w:rsid w:val="476D294A"/>
    <w:rsid w:val="47700BE5"/>
    <w:rsid w:val="477C2ED7"/>
    <w:rsid w:val="477C493B"/>
    <w:rsid w:val="478163F5"/>
    <w:rsid w:val="47881532"/>
    <w:rsid w:val="4792415F"/>
    <w:rsid w:val="479E2B03"/>
    <w:rsid w:val="47A45C40"/>
    <w:rsid w:val="47A70D1B"/>
    <w:rsid w:val="47AA594C"/>
    <w:rsid w:val="47B42327"/>
    <w:rsid w:val="47B56610"/>
    <w:rsid w:val="47C22C96"/>
    <w:rsid w:val="47C702AC"/>
    <w:rsid w:val="47CF7161"/>
    <w:rsid w:val="47D227AD"/>
    <w:rsid w:val="47D420AB"/>
    <w:rsid w:val="47DE55F6"/>
    <w:rsid w:val="47E0311C"/>
    <w:rsid w:val="47F15FD3"/>
    <w:rsid w:val="47FB1D04"/>
    <w:rsid w:val="480A1F47"/>
    <w:rsid w:val="481132D5"/>
    <w:rsid w:val="48180B08"/>
    <w:rsid w:val="481B4154"/>
    <w:rsid w:val="481D7ECC"/>
    <w:rsid w:val="48223734"/>
    <w:rsid w:val="48376AB4"/>
    <w:rsid w:val="483E36C7"/>
    <w:rsid w:val="483E6094"/>
    <w:rsid w:val="484A2C8B"/>
    <w:rsid w:val="485853A8"/>
    <w:rsid w:val="48587156"/>
    <w:rsid w:val="48592ECE"/>
    <w:rsid w:val="485B27A2"/>
    <w:rsid w:val="485D29BF"/>
    <w:rsid w:val="486024AF"/>
    <w:rsid w:val="4860425D"/>
    <w:rsid w:val="486E0837"/>
    <w:rsid w:val="4875070A"/>
    <w:rsid w:val="48776B62"/>
    <w:rsid w:val="487839B2"/>
    <w:rsid w:val="487C662B"/>
    <w:rsid w:val="488937B4"/>
    <w:rsid w:val="48C20A74"/>
    <w:rsid w:val="48D12A65"/>
    <w:rsid w:val="48D367DD"/>
    <w:rsid w:val="48D51A77"/>
    <w:rsid w:val="48E22EC4"/>
    <w:rsid w:val="48FA1FBB"/>
    <w:rsid w:val="490115D2"/>
    <w:rsid w:val="490B41C9"/>
    <w:rsid w:val="490C799C"/>
    <w:rsid w:val="4910358D"/>
    <w:rsid w:val="49267254"/>
    <w:rsid w:val="49296D45"/>
    <w:rsid w:val="493279A7"/>
    <w:rsid w:val="49351245"/>
    <w:rsid w:val="49373210"/>
    <w:rsid w:val="49396F88"/>
    <w:rsid w:val="493C4382"/>
    <w:rsid w:val="49404145"/>
    <w:rsid w:val="4944592C"/>
    <w:rsid w:val="494B6CBB"/>
    <w:rsid w:val="4953791E"/>
    <w:rsid w:val="49543DC1"/>
    <w:rsid w:val="49575660"/>
    <w:rsid w:val="495E69EE"/>
    <w:rsid w:val="496438D9"/>
    <w:rsid w:val="49706721"/>
    <w:rsid w:val="49777AB0"/>
    <w:rsid w:val="497F0713"/>
    <w:rsid w:val="49845D29"/>
    <w:rsid w:val="49886629"/>
    <w:rsid w:val="498B70B7"/>
    <w:rsid w:val="498D2E30"/>
    <w:rsid w:val="49971F00"/>
    <w:rsid w:val="499860A6"/>
    <w:rsid w:val="49A563CB"/>
    <w:rsid w:val="49A95790"/>
    <w:rsid w:val="49AA1C33"/>
    <w:rsid w:val="49B900C8"/>
    <w:rsid w:val="49C03205"/>
    <w:rsid w:val="49F11610"/>
    <w:rsid w:val="49F27137"/>
    <w:rsid w:val="49FB248F"/>
    <w:rsid w:val="4A0550BC"/>
    <w:rsid w:val="4A08695A"/>
    <w:rsid w:val="4A143551"/>
    <w:rsid w:val="4A2319E6"/>
    <w:rsid w:val="4A3027A7"/>
    <w:rsid w:val="4A315EB1"/>
    <w:rsid w:val="4A413C1A"/>
    <w:rsid w:val="4A49144C"/>
    <w:rsid w:val="4A4C2CEB"/>
    <w:rsid w:val="4A563B69"/>
    <w:rsid w:val="4A591F38"/>
    <w:rsid w:val="4A745D9D"/>
    <w:rsid w:val="4A7D10F6"/>
    <w:rsid w:val="4A8E6E5F"/>
    <w:rsid w:val="4A9D3546"/>
    <w:rsid w:val="4A9F106C"/>
    <w:rsid w:val="4AA06B93"/>
    <w:rsid w:val="4ABD14F2"/>
    <w:rsid w:val="4AC26B09"/>
    <w:rsid w:val="4AC40AD3"/>
    <w:rsid w:val="4ACE3700"/>
    <w:rsid w:val="4ADF76BB"/>
    <w:rsid w:val="4AE01685"/>
    <w:rsid w:val="4AE42F23"/>
    <w:rsid w:val="4AEB2504"/>
    <w:rsid w:val="4AF56EDE"/>
    <w:rsid w:val="4AFD3FE5"/>
    <w:rsid w:val="4AFD5D93"/>
    <w:rsid w:val="4B02784D"/>
    <w:rsid w:val="4B0E61F2"/>
    <w:rsid w:val="4B15132F"/>
    <w:rsid w:val="4B293685"/>
    <w:rsid w:val="4B2C0426"/>
    <w:rsid w:val="4B38501D"/>
    <w:rsid w:val="4B5005B9"/>
    <w:rsid w:val="4B564639"/>
    <w:rsid w:val="4B5A1437"/>
    <w:rsid w:val="4B5C0D0B"/>
    <w:rsid w:val="4B6C4D31"/>
    <w:rsid w:val="4B6E6C91"/>
    <w:rsid w:val="4B702A09"/>
    <w:rsid w:val="4B80314D"/>
    <w:rsid w:val="4B810772"/>
    <w:rsid w:val="4B865D88"/>
    <w:rsid w:val="4B985ABC"/>
    <w:rsid w:val="4BA72908"/>
    <w:rsid w:val="4BB52B12"/>
    <w:rsid w:val="4BBA69BC"/>
    <w:rsid w:val="4BD034A7"/>
    <w:rsid w:val="4BD905AE"/>
    <w:rsid w:val="4BD9235C"/>
    <w:rsid w:val="4BDB2578"/>
    <w:rsid w:val="4BDF36EB"/>
    <w:rsid w:val="4BE16C2F"/>
    <w:rsid w:val="4BE47401"/>
    <w:rsid w:val="4BE8259F"/>
    <w:rsid w:val="4BEE392E"/>
    <w:rsid w:val="4BF03B4A"/>
    <w:rsid w:val="4BFC604B"/>
    <w:rsid w:val="4C15710C"/>
    <w:rsid w:val="4C1930A0"/>
    <w:rsid w:val="4C1C493F"/>
    <w:rsid w:val="4C2D08FA"/>
    <w:rsid w:val="4C3707CB"/>
    <w:rsid w:val="4C455C43"/>
    <w:rsid w:val="4C4F0870"/>
    <w:rsid w:val="4C553F36"/>
    <w:rsid w:val="4C572BCB"/>
    <w:rsid w:val="4C6053BE"/>
    <w:rsid w:val="4C6267F5"/>
    <w:rsid w:val="4C6C2B44"/>
    <w:rsid w:val="4C6F2CC0"/>
    <w:rsid w:val="4C7402D7"/>
    <w:rsid w:val="4C806D7F"/>
    <w:rsid w:val="4C8147A2"/>
    <w:rsid w:val="4C9D5A7F"/>
    <w:rsid w:val="4C9E35A6"/>
    <w:rsid w:val="4CA02E7A"/>
    <w:rsid w:val="4CAC5739"/>
    <w:rsid w:val="4CB44B77"/>
    <w:rsid w:val="4CB46925"/>
    <w:rsid w:val="4CBD0415"/>
    <w:rsid w:val="4CCA7EF7"/>
    <w:rsid w:val="4CD40D75"/>
    <w:rsid w:val="4CE92A73"/>
    <w:rsid w:val="4CED2C69"/>
    <w:rsid w:val="4CEF795D"/>
    <w:rsid w:val="4CF3569F"/>
    <w:rsid w:val="4CF3744D"/>
    <w:rsid w:val="4CF66298"/>
    <w:rsid w:val="4CFF4044"/>
    <w:rsid w:val="4D07739D"/>
    <w:rsid w:val="4D0C050F"/>
    <w:rsid w:val="4D106251"/>
    <w:rsid w:val="4D186EB4"/>
    <w:rsid w:val="4D1A70D0"/>
    <w:rsid w:val="4D2243EF"/>
    <w:rsid w:val="4D2E492A"/>
    <w:rsid w:val="4D2F3ED8"/>
    <w:rsid w:val="4D3161C8"/>
    <w:rsid w:val="4D317F76"/>
    <w:rsid w:val="4D337467"/>
    <w:rsid w:val="4D3C5E91"/>
    <w:rsid w:val="4D4C3002"/>
    <w:rsid w:val="4D5123C6"/>
    <w:rsid w:val="4D5A3970"/>
    <w:rsid w:val="4D5A74CD"/>
    <w:rsid w:val="4D5D520F"/>
    <w:rsid w:val="4D622825"/>
    <w:rsid w:val="4D7D7304"/>
    <w:rsid w:val="4D7F0CE1"/>
    <w:rsid w:val="4D826A23"/>
    <w:rsid w:val="4D8B3B2A"/>
    <w:rsid w:val="4D8C1650"/>
    <w:rsid w:val="4D8E53C8"/>
    <w:rsid w:val="4D986247"/>
    <w:rsid w:val="4D9F4273"/>
    <w:rsid w:val="4DA93FB0"/>
    <w:rsid w:val="4DB26FA1"/>
    <w:rsid w:val="4DB52955"/>
    <w:rsid w:val="4DC041CF"/>
    <w:rsid w:val="4DC4528E"/>
    <w:rsid w:val="4DC66910"/>
    <w:rsid w:val="4DE4148C"/>
    <w:rsid w:val="4DE44FE8"/>
    <w:rsid w:val="4DED2394"/>
    <w:rsid w:val="4E031912"/>
    <w:rsid w:val="4E035DB6"/>
    <w:rsid w:val="4E0631B0"/>
    <w:rsid w:val="4E0A0EF3"/>
    <w:rsid w:val="4E0F6509"/>
    <w:rsid w:val="4E17716C"/>
    <w:rsid w:val="4E180282"/>
    <w:rsid w:val="4E197388"/>
    <w:rsid w:val="4E2B70BB"/>
    <w:rsid w:val="4E393586"/>
    <w:rsid w:val="4E3A10AC"/>
    <w:rsid w:val="4E3C3076"/>
    <w:rsid w:val="4E434405"/>
    <w:rsid w:val="4E487C6D"/>
    <w:rsid w:val="4E4D7031"/>
    <w:rsid w:val="4E5403C0"/>
    <w:rsid w:val="4E573921"/>
    <w:rsid w:val="4E5A7363"/>
    <w:rsid w:val="4E615575"/>
    <w:rsid w:val="4E6A373F"/>
    <w:rsid w:val="4E6B74B7"/>
    <w:rsid w:val="4E7E1C21"/>
    <w:rsid w:val="4E872543"/>
    <w:rsid w:val="4E922C96"/>
    <w:rsid w:val="4E962786"/>
    <w:rsid w:val="4EAA7FE0"/>
    <w:rsid w:val="4EB25DBB"/>
    <w:rsid w:val="4EB42C0C"/>
    <w:rsid w:val="4EBB043F"/>
    <w:rsid w:val="4EBD41B7"/>
    <w:rsid w:val="4ECC61A8"/>
    <w:rsid w:val="4EE96D5A"/>
    <w:rsid w:val="4EF456FF"/>
    <w:rsid w:val="4EFB083B"/>
    <w:rsid w:val="4F0718D0"/>
    <w:rsid w:val="4F0C2A48"/>
    <w:rsid w:val="4F0E4A13"/>
    <w:rsid w:val="4F195165"/>
    <w:rsid w:val="4F251D5C"/>
    <w:rsid w:val="4F3A01B4"/>
    <w:rsid w:val="4F3B50DC"/>
    <w:rsid w:val="4F4F2935"/>
    <w:rsid w:val="4F5B752C"/>
    <w:rsid w:val="4F7A5C04"/>
    <w:rsid w:val="4F824AB9"/>
    <w:rsid w:val="4F8847C5"/>
    <w:rsid w:val="4FAA76DD"/>
    <w:rsid w:val="4FAB1E17"/>
    <w:rsid w:val="4FCC15FF"/>
    <w:rsid w:val="4FD35314"/>
    <w:rsid w:val="4FD61EBC"/>
    <w:rsid w:val="4FE055FC"/>
    <w:rsid w:val="4FE535DF"/>
    <w:rsid w:val="4FE63299"/>
    <w:rsid w:val="4FEB6B02"/>
    <w:rsid w:val="4FEE0D10"/>
    <w:rsid w:val="4FF359B6"/>
    <w:rsid w:val="4FF5172F"/>
    <w:rsid w:val="4FF97471"/>
    <w:rsid w:val="4FFE6835"/>
    <w:rsid w:val="50016325"/>
    <w:rsid w:val="500B2D00"/>
    <w:rsid w:val="501E6ED7"/>
    <w:rsid w:val="501F0559"/>
    <w:rsid w:val="5024289C"/>
    <w:rsid w:val="50265D8C"/>
    <w:rsid w:val="50267B3A"/>
    <w:rsid w:val="502913D8"/>
    <w:rsid w:val="502A762A"/>
    <w:rsid w:val="502D0EC8"/>
    <w:rsid w:val="50373AF5"/>
    <w:rsid w:val="50377F99"/>
    <w:rsid w:val="503C735D"/>
    <w:rsid w:val="503F0BFC"/>
    <w:rsid w:val="504306EC"/>
    <w:rsid w:val="5043693E"/>
    <w:rsid w:val="50483F54"/>
    <w:rsid w:val="504A7CCC"/>
    <w:rsid w:val="504D156B"/>
    <w:rsid w:val="50630D8E"/>
    <w:rsid w:val="50697A27"/>
    <w:rsid w:val="506B7C43"/>
    <w:rsid w:val="50715259"/>
    <w:rsid w:val="50792360"/>
    <w:rsid w:val="508D1967"/>
    <w:rsid w:val="50903205"/>
    <w:rsid w:val="50947199"/>
    <w:rsid w:val="50A05B3E"/>
    <w:rsid w:val="50A602ED"/>
    <w:rsid w:val="50B05655"/>
    <w:rsid w:val="50B45146"/>
    <w:rsid w:val="50BA160C"/>
    <w:rsid w:val="50CF01D2"/>
    <w:rsid w:val="50DD469C"/>
    <w:rsid w:val="50E81293"/>
    <w:rsid w:val="50EA500B"/>
    <w:rsid w:val="50ED2406"/>
    <w:rsid w:val="50F25C6E"/>
    <w:rsid w:val="50F33BA4"/>
    <w:rsid w:val="50FB2D75"/>
    <w:rsid w:val="50FD6AED"/>
    <w:rsid w:val="510A120A"/>
    <w:rsid w:val="510A745C"/>
    <w:rsid w:val="51114346"/>
    <w:rsid w:val="5116195C"/>
    <w:rsid w:val="512A365A"/>
    <w:rsid w:val="512E314A"/>
    <w:rsid w:val="512F2A1E"/>
    <w:rsid w:val="51330760"/>
    <w:rsid w:val="51392E48"/>
    <w:rsid w:val="514E7348"/>
    <w:rsid w:val="51516E38"/>
    <w:rsid w:val="5153495F"/>
    <w:rsid w:val="515A3F3F"/>
    <w:rsid w:val="51610292"/>
    <w:rsid w:val="516115B4"/>
    <w:rsid w:val="51630E60"/>
    <w:rsid w:val="516A1CA8"/>
    <w:rsid w:val="516B614C"/>
    <w:rsid w:val="5176064D"/>
    <w:rsid w:val="5176689F"/>
    <w:rsid w:val="517B5C63"/>
    <w:rsid w:val="51824063"/>
    <w:rsid w:val="51915487"/>
    <w:rsid w:val="5195362C"/>
    <w:rsid w:val="51964435"/>
    <w:rsid w:val="51984A67"/>
    <w:rsid w:val="519B6306"/>
    <w:rsid w:val="519D3E2C"/>
    <w:rsid w:val="51A0391C"/>
    <w:rsid w:val="51A927D1"/>
    <w:rsid w:val="51AC406F"/>
    <w:rsid w:val="51B178D7"/>
    <w:rsid w:val="51BA2C30"/>
    <w:rsid w:val="51BD44CE"/>
    <w:rsid w:val="51D51818"/>
    <w:rsid w:val="51DF2696"/>
    <w:rsid w:val="51E1640E"/>
    <w:rsid w:val="51EE4372"/>
    <w:rsid w:val="51FA127E"/>
    <w:rsid w:val="51FE5F02"/>
    <w:rsid w:val="5207347D"/>
    <w:rsid w:val="5208399B"/>
    <w:rsid w:val="521D4F6D"/>
    <w:rsid w:val="5224454D"/>
    <w:rsid w:val="522462FB"/>
    <w:rsid w:val="522E717A"/>
    <w:rsid w:val="52397FF8"/>
    <w:rsid w:val="52416EAD"/>
    <w:rsid w:val="524D13AE"/>
    <w:rsid w:val="52522E68"/>
    <w:rsid w:val="526112FD"/>
    <w:rsid w:val="52691F60"/>
    <w:rsid w:val="526B3F2A"/>
    <w:rsid w:val="526E7576"/>
    <w:rsid w:val="527032EE"/>
    <w:rsid w:val="527A1055"/>
    <w:rsid w:val="527A5F1B"/>
    <w:rsid w:val="52831274"/>
    <w:rsid w:val="52860D64"/>
    <w:rsid w:val="529A65BD"/>
    <w:rsid w:val="52A1794C"/>
    <w:rsid w:val="52AA4A52"/>
    <w:rsid w:val="52AB7845"/>
    <w:rsid w:val="52B92EE7"/>
    <w:rsid w:val="52BA27BB"/>
    <w:rsid w:val="52BC29D7"/>
    <w:rsid w:val="52C673B2"/>
    <w:rsid w:val="52D03D8D"/>
    <w:rsid w:val="52D41ACF"/>
    <w:rsid w:val="52D7336D"/>
    <w:rsid w:val="52D7511B"/>
    <w:rsid w:val="52D970E6"/>
    <w:rsid w:val="52DB10B0"/>
    <w:rsid w:val="52EA12F3"/>
    <w:rsid w:val="52EF6909"/>
    <w:rsid w:val="52F43F1F"/>
    <w:rsid w:val="52FB52AE"/>
    <w:rsid w:val="53000B16"/>
    <w:rsid w:val="53073C53"/>
    <w:rsid w:val="530E3233"/>
    <w:rsid w:val="53165C44"/>
    <w:rsid w:val="53177C0E"/>
    <w:rsid w:val="53185E60"/>
    <w:rsid w:val="53195734"/>
    <w:rsid w:val="531B76FE"/>
    <w:rsid w:val="531B78B9"/>
    <w:rsid w:val="531E0F9C"/>
    <w:rsid w:val="53202F66"/>
    <w:rsid w:val="532760A3"/>
    <w:rsid w:val="532C5467"/>
    <w:rsid w:val="5334256E"/>
    <w:rsid w:val="53373E0C"/>
    <w:rsid w:val="534327B1"/>
    <w:rsid w:val="534704F3"/>
    <w:rsid w:val="5349426B"/>
    <w:rsid w:val="534A7FE3"/>
    <w:rsid w:val="534C78B7"/>
    <w:rsid w:val="534E1882"/>
    <w:rsid w:val="53530C46"/>
    <w:rsid w:val="5354676C"/>
    <w:rsid w:val="535D1AC5"/>
    <w:rsid w:val="535E75EB"/>
    <w:rsid w:val="53642E53"/>
    <w:rsid w:val="536C721C"/>
    <w:rsid w:val="53702858"/>
    <w:rsid w:val="537312E8"/>
    <w:rsid w:val="53755060"/>
    <w:rsid w:val="537E1A3B"/>
    <w:rsid w:val="5382152B"/>
    <w:rsid w:val="538708F0"/>
    <w:rsid w:val="538B502A"/>
    <w:rsid w:val="538E7ED0"/>
    <w:rsid w:val="53915C12"/>
    <w:rsid w:val="53A019B1"/>
    <w:rsid w:val="53A45945"/>
    <w:rsid w:val="53A5346C"/>
    <w:rsid w:val="53A577D0"/>
    <w:rsid w:val="53AA2830"/>
    <w:rsid w:val="53AB0A82"/>
    <w:rsid w:val="53AC0356"/>
    <w:rsid w:val="53AE40CE"/>
    <w:rsid w:val="53B10062"/>
    <w:rsid w:val="53B316E5"/>
    <w:rsid w:val="53B84F69"/>
    <w:rsid w:val="53BA19C2"/>
    <w:rsid w:val="53C02053"/>
    <w:rsid w:val="53CA0834"/>
    <w:rsid w:val="53D55AFF"/>
    <w:rsid w:val="53D72ACA"/>
    <w:rsid w:val="53E47AF0"/>
    <w:rsid w:val="53E915AA"/>
    <w:rsid w:val="53EC0951"/>
    <w:rsid w:val="53EE0EFD"/>
    <w:rsid w:val="53F32429"/>
    <w:rsid w:val="53FD53DF"/>
    <w:rsid w:val="540957A8"/>
    <w:rsid w:val="540E7263"/>
    <w:rsid w:val="541303D5"/>
    <w:rsid w:val="541D3002"/>
    <w:rsid w:val="541F6D7A"/>
    <w:rsid w:val="54240834"/>
    <w:rsid w:val="54260108"/>
    <w:rsid w:val="542645AC"/>
    <w:rsid w:val="542C1085"/>
    <w:rsid w:val="54352A41"/>
    <w:rsid w:val="54370568"/>
    <w:rsid w:val="54384218"/>
    <w:rsid w:val="543842E0"/>
    <w:rsid w:val="543F741C"/>
    <w:rsid w:val="54442C85"/>
    <w:rsid w:val="54482775"/>
    <w:rsid w:val="5454111A"/>
    <w:rsid w:val="546D5D37"/>
    <w:rsid w:val="546E7D01"/>
    <w:rsid w:val="5492579E"/>
    <w:rsid w:val="5495703C"/>
    <w:rsid w:val="54A86D6F"/>
    <w:rsid w:val="54AD6A7C"/>
    <w:rsid w:val="54B02D4F"/>
    <w:rsid w:val="54B55930"/>
    <w:rsid w:val="54C811C0"/>
    <w:rsid w:val="54CA13DC"/>
    <w:rsid w:val="54CC5D0E"/>
    <w:rsid w:val="54D23DEC"/>
    <w:rsid w:val="54D933CD"/>
    <w:rsid w:val="54DE6C35"/>
    <w:rsid w:val="54E104D3"/>
    <w:rsid w:val="54E87AB4"/>
    <w:rsid w:val="54EA3781"/>
    <w:rsid w:val="54ED376F"/>
    <w:rsid w:val="54F226E1"/>
    <w:rsid w:val="54F2623D"/>
    <w:rsid w:val="54FE2E33"/>
    <w:rsid w:val="55054147"/>
    <w:rsid w:val="55081F04"/>
    <w:rsid w:val="551268DF"/>
    <w:rsid w:val="551B39E5"/>
    <w:rsid w:val="551C150B"/>
    <w:rsid w:val="55265A7D"/>
    <w:rsid w:val="552669B6"/>
    <w:rsid w:val="55376345"/>
    <w:rsid w:val="55572544"/>
    <w:rsid w:val="557F3E00"/>
    <w:rsid w:val="558477DD"/>
    <w:rsid w:val="558570B1"/>
    <w:rsid w:val="5588094F"/>
    <w:rsid w:val="558C6691"/>
    <w:rsid w:val="55B61960"/>
    <w:rsid w:val="55B87486"/>
    <w:rsid w:val="55BF108B"/>
    <w:rsid w:val="55C94D0E"/>
    <w:rsid w:val="55DC0515"/>
    <w:rsid w:val="55F14746"/>
    <w:rsid w:val="55F54236"/>
    <w:rsid w:val="55FF3307"/>
    <w:rsid w:val="55FF6E63"/>
    <w:rsid w:val="56091A90"/>
    <w:rsid w:val="560E52F8"/>
    <w:rsid w:val="561F7505"/>
    <w:rsid w:val="56220DA3"/>
    <w:rsid w:val="56244B1C"/>
    <w:rsid w:val="56253F4F"/>
    <w:rsid w:val="56336B0D"/>
    <w:rsid w:val="563551E8"/>
    <w:rsid w:val="563B3C13"/>
    <w:rsid w:val="563C1E65"/>
    <w:rsid w:val="566118CC"/>
    <w:rsid w:val="566D0271"/>
    <w:rsid w:val="56725887"/>
    <w:rsid w:val="56794E67"/>
    <w:rsid w:val="567A0BDF"/>
    <w:rsid w:val="56861332"/>
    <w:rsid w:val="568630E0"/>
    <w:rsid w:val="56867584"/>
    <w:rsid w:val="56982E14"/>
    <w:rsid w:val="56A8574D"/>
    <w:rsid w:val="56AE2637"/>
    <w:rsid w:val="56B20379"/>
    <w:rsid w:val="56B45E9F"/>
    <w:rsid w:val="56BA0FDC"/>
    <w:rsid w:val="56BA5480"/>
    <w:rsid w:val="56C105BC"/>
    <w:rsid w:val="56C7337E"/>
    <w:rsid w:val="56CD51B3"/>
    <w:rsid w:val="56DA167E"/>
    <w:rsid w:val="56DE2F1C"/>
    <w:rsid w:val="56DE4CCA"/>
    <w:rsid w:val="56F72230"/>
    <w:rsid w:val="56F95FA8"/>
    <w:rsid w:val="56FE35BF"/>
    <w:rsid w:val="570404A9"/>
    <w:rsid w:val="57234DD3"/>
    <w:rsid w:val="573413CC"/>
    <w:rsid w:val="573B211D"/>
    <w:rsid w:val="57482A8C"/>
    <w:rsid w:val="574F5BC8"/>
    <w:rsid w:val="575136EE"/>
    <w:rsid w:val="575E22AF"/>
    <w:rsid w:val="575F2360"/>
    <w:rsid w:val="57664CC0"/>
    <w:rsid w:val="577B076B"/>
    <w:rsid w:val="577B683B"/>
    <w:rsid w:val="578A30A4"/>
    <w:rsid w:val="578E22E5"/>
    <w:rsid w:val="57931F59"/>
    <w:rsid w:val="579D6934"/>
    <w:rsid w:val="57AF2B0B"/>
    <w:rsid w:val="57B31820"/>
    <w:rsid w:val="57B41ECF"/>
    <w:rsid w:val="57CA524F"/>
    <w:rsid w:val="57D936E4"/>
    <w:rsid w:val="57DB56AE"/>
    <w:rsid w:val="57DF519E"/>
    <w:rsid w:val="57E26A3C"/>
    <w:rsid w:val="57E26ABC"/>
    <w:rsid w:val="57F54A48"/>
    <w:rsid w:val="57F55ADD"/>
    <w:rsid w:val="57F77651"/>
    <w:rsid w:val="58003366"/>
    <w:rsid w:val="58090325"/>
    <w:rsid w:val="580F7106"/>
    <w:rsid w:val="58161499"/>
    <w:rsid w:val="582C5F09"/>
    <w:rsid w:val="582D0E61"/>
    <w:rsid w:val="583354EA"/>
    <w:rsid w:val="58496ABB"/>
    <w:rsid w:val="58535244"/>
    <w:rsid w:val="5875165E"/>
    <w:rsid w:val="58951D01"/>
    <w:rsid w:val="58B32187"/>
    <w:rsid w:val="58B8779D"/>
    <w:rsid w:val="58BB59C9"/>
    <w:rsid w:val="58C85C32"/>
    <w:rsid w:val="58CE6FC1"/>
    <w:rsid w:val="58D00F8B"/>
    <w:rsid w:val="58D72319"/>
    <w:rsid w:val="58D8399B"/>
    <w:rsid w:val="58F033DB"/>
    <w:rsid w:val="58FF6AF9"/>
    <w:rsid w:val="59041A49"/>
    <w:rsid w:val="591075D9"/>
    <w:rsid w:val="591470C9"/>
    <w:rsid w:val="591946E0"/>
    <w:rsid w:val="591A3FB4"/>
    <w:rsid w:val="591E5852"/>
    <w:rsid w:val="59262959"/>
    <w:rsid w:val="59282B75"/>
    <w:rsid w:val="592F249A"/>
    <w:rsid w:val="593432C8"/>
    <w:rsid w:val="59350DEE"/>
    <w:rsid w:val="59396B30"/>
    <w:rsid w:val="59464DA9"/>
    <w:rsid w:val="59483BA3"/>
    <w:rsid w:val="596147DC"/>
    <w:rsid w:val="596811C3"/>
    <w:rsid w:val="59682F71"/>
    <w:rsid w:val="596A4F3B"/>
    <w:rsid w:val="596C0CB3"/>
    <w:rsid w:val="597E09E7"/>
    <w:rsid w:val="59822285"/>
    <w:rsid w:val="59A541C5"/>
    <w:rsid w:val="59AF294E"/>
    <w:rsid w:val="59B2243E"/>
    <w:rsid w:val="59B61F2F"/>
    <w:rsid w:val="59C363FA"/>
    <w:rsid w:val="59C77C98"/>
    <w:rsid w:val="59CF2FF0"/>
    <w:rsid w:val="59D10B16"/>
    <w:rsid w:val="59D9224D"/>
    <w:rsid w:val="59E06FAB"/>
    <w:rsid w:val="59E22D24"/>
    <w:rsid w:val="59EA607C"/>
    <w:rsid w:val="59EE791A"/>
    <w:rsid w:val="59F40CA9"/>
    <w:rsid w:val="5A04713E"/>
    <w:rsid w:val="5A1804F3"/>
    <w:rsid w:val="5A1D5B0A"/>
    <w:rsid w:val="5A292701"/>
    <w:rsid w:val="5A2C3F9F"/>
    <w:rsid w:val="5A30765B"/>
    <w:rsid w:val="5A334ECC"/>
    <w:rsid w:val="5A407A4A"/>
    <w:rsid w:val="5A5B66E3"/>
    <w:rsid w:val="5A5F3EBC"/>
    <w:rsid w:val="5A600625"/>
    <w:rsid w:val="5A6279C1"/>
    <w:rsid w:val="5A672A61"/>
    <w:rsid w:val="5A690D4F"/>
    <w:rsid w:val="5A6E2809"/>
    <w:rsid w:val="5A751DEA"/>
    <w:rsid w:val="5A7A11AE"/>
    <w:rsid w:val="5A7B493B"/>
    <w:rsid w:val="5A7D2A4C"/>
    <w:rsid w:val="5A8262B5"/>
    <w:rsid w:val="5A84202D"/>
    <w:rsid w:val="5A851901"/>
    <w:rsid w:val="5A89132E"/>
    <w:rsid w:val="5A8A6DCB"/>
    <w:rsid w:val="5A8C7845"/>
    <w:rsid w:val="5A932270"/>
    <w:rsid w:val="5A9B1124"/>
    <w:rsid w:val="5AA1498D"/>
    <w:rsid w:val="5AA75D1B"/>
    <w:rsid w:val="5AB04BD0"/>
    <w:rsid w:val="5ABC17C7"/>
    <w:rsid w:val="5AC42429"/>
    <w:rsid w:val="5ACB37B8"/>
    <w:rsid w:val="5ACB7C5C"/>
    <w:rsid w:val="5AD05272"/>
    <w:rsid w:val="5AD20FEA"/>
    <w:rsid w:val="5AD36B10"/>
    <w:rsid w:val="5ADC7773"/>
    <w:rsid w:val="5AE76118"/>
    <w:rsid w:val="5AE85938"/>
    <w:rsid w:val="5AF32D0E"/>
    <w:rsid w:val="5B0B44FC"/>
    <w:rsid w:val="5B1C04B7"/>
    <w:rsid w:val="5B2829B8"/>
    <w:rsid w:val="5B2B06FA"/>
    <w:rsid w:val="5B2D6220"/>
    <w:rsid w:val="5B303F63"/>
    <w:rsid w:val="5B370E4D"/>
    <w:rsid w:val="5B3752F1"/>
    <w:rsid w:val="5B4041A6"/>
    <w:rsid w:val="5B5A2D8E"/>
    <w:rsid w:val="5B5A4B3C"/>
    <w:rsid w:val="5B5B6C00"/>
    <w:rsid w:val="5B661732"/>
    <w:rsid w:val="5B800A46"/>
    <w:rsid w:val="5B8147BE"/>
    <w:rsid w:val="5B8322E4"/>
    <w:rsid w:val="5B865931"/>
    <w:rsid w:val="5B8A5421"/>
    <w:rsid w:val="5B975D90"/>
    <w:rsid w:val="5BA81D4B"/>
    <w:rsid w:val="5BAA7871"/>
    <w:rsid w:val="5BB57FC4"/>
    <w:rsid w:val="5BB727DA"/>
    <w:rsid w:val="5BC22E0D"/>
    <w:rsid w:val="5BC36B85"/>
    <w:rsid w:val="5BCB77E7"/>
    <w:rsid w:val="5BE371A1"/>
    <w:rsid w:val="5BE663CF"/>
    <w:rsid w:val="5BEA2363"/>
    <w:rsid w:val="5BEC7F89"/>
    <w:rsid w:val="5BF8682E"/>
    <w:rsid w:val="5BFE5E0F"/>
    <w:rsid w:val="5C0276AD"/>
    <w:rsid w:val="5C0A0310"/>
    <w:rsid w:val="5C0A1DD1"/>
    <w:rsid w:val="5C1271C4"/>
    <w:rsid w:val="5C174245"/>
    <w:rsid w:val="5C317F92"/>
    <w:rsid w:val="5C3D6937"/>
    <w:rsid w:val="5C43431F"/>
    <w:rsid w:val="5C473312"/>
    <w:rsid w:val="5C5D48E3"/>
    <w:rsid w:val="5C69772C"/>
    <w:rsid w:val="5C6C4B26"/>
    <w:rsid w:val="5C6E089F"/>
    <w:rsid w:val="5C6E7413"/>
    <w:rsid w:val="5C741C2D"/>
    <w:rsid w:val="5C7560D1"/>
    <w:rsid w:val="5C891B7C"/>
    <w:rsid w:val="5CA22C3E"/>
    <w:rsid w:val="5CA70BD7"/>
    <w:rsid w:val="5CBC3D00"/>
    <w:rsid w:val="5CBC5AAE"/>
    <w:rsid w:val="5CC04E72"/>
    <w:rsid w:val="5CCE57E1"/>
    <w:rsid w:val="5CD56B70"/>
    <w:rsid w:val="5CD64ACB"/>
    <w:rsid w:val="5CD8040E"/>
    <w:rsid w:val="5CD85CEA"/>
    <w:rsid w:val="5CE172C2"/>
    <w:rsid w:val="5CE24DE9"/>
    <w:rsid w:val="5CE62B2B"/>
    <w:rsid w:val="5CE768A3"/>
    <w:rsid w:val="5CEB6393"/>
    <w:rsid w:val="5CF35248"/>
    <w:rsid w:val="5CF37ADF"/>
    <w:rsid w:val="5CF8460C"/>
    <w:rsid w:val="5D066D29"/>
    <w:rsid w:val="5D0E2082"/>
    <w:rsid w:val="5D0E3E30"/>
    <w:rsid w:val="5D0F205D"/>
    <w:rsid w:val="5D1256CE"/>
    <w:rsid w:val="5D284EF1"/>
    <w:rsid w:val="5D2E002E"/>
    <w:rsid w:val="5D347D3A"/>
    <w:rsid w:val="5D395350"/>
    <w:rsid w:val="5D430142"/>
    <w:rsid w:val="5D437F7D"/>
    <w:rsid w:val="5D4806FF"/>
    <w:rsid w:val="5D59154F"/>
    <w:rsid w:val="5D656145"/>
    <w:rsid w:val="5D7C6FEB"/>
    <w:rsid w:val="5D8F31C2"/>
    <w:rsid w:val="5D8F4F70"/>
    <w:rsid w:val="5D902A97"/>
    <w:rsid w:val="5D981878"/>
    <w:rsid w:val="5D995DEF"/>
    <w:rsid w:val="5D9E3405"/>
    <w:rsid w:val="5DAA7FFC"/>
    <w:rsid w:val="5DB26EB1"/>
    <w:rsid w:val="5DBE321D"/>
    <w:rsid w:val="5DC56BE4"/>
    <w:rsid w:val="5DCA244C"/>
    <w:rsid w:val="5DCF1811"/>
    <w:rsid w:val="5DD46E27"/>
    <w:rsid w:val="5DD706C5"/>
    <w:rsid w:val="5DE30E18"/>
    <w:rsid w:val="5DE93060"/>
    <w:rsid w:val="5DF50B4C"/>
    <w:rsid w:val="5DFB1D6B"/>
    <w:rsid w:val="5E0019CA"/>
    <w:rsid w:val="5E056FE1"/>
    <w:rsid w:val="5E111E29"/>
    <w:rsid w:val="5E1216FE"/>
    <w:rsid w:val="5E1B4A56"/>
    <w:rsid w:val="5E1E4546"/>
    <w:rsid w:val="5E231B5D"/>
    <w:rsid w:val="5E257683"/>
    <w:rsid w:val="5E315472"/>
    <w:rsid w:val="5E3C677A"/>
    <w:rsid w:val="5E484884"/>
    <w:rsid w:val="5E58579A"/>
    <w:rsid w:val="5E5A37D0"/>
    <w:rsid w:val="5E6C9980"/>
    <w:rsid w:val="5E7128C8"/>
    <w:rsid w:val="5E714676"/>
    <w:rsid w:val="5E770717"/>
    <w:rsid w:val="5E7B54F5"/>
    <w:rsid w:val="5E802B0B"/>
    <w:rsid w:val="5E8425FB"/>
    <w:rsid w:val="5E873E9A"/>
    <w:rsid w:val="5E914D18"/>
    <w:rsid w:val="5E9D546B"/>
    <w:rsid w:val="5EA26944"/>
    <w:rsid w:val="5EA70098"/>
    <w:rsid w:val="5EA7453C"/>
    <w:rsid w:val="5EA902B4"/>
    <w:rsid w:val="5EA92062"/>
    <w:rsid w:val="5EAF519E"/>
    <w:rsid w:val="5EB01642"/>
    <w:rsid w:val="5EC21376"/>
    <w:rsid w:val="5ECE7D1A"/>
    <w:rsid w:val="5ED13367"/>
    <w:rsid w:val="5ED2780B"/>
    <w:rsid w:val="5ED370DF"/>
    <w:rsid w:val="5ED976DB"/>
    <w:rsid w:val="5EDA66BF"/>
    <w:rsid w:val="5EDB5F93"/>
    <w:rsid w:val="5EE70DDC"/>
    <w:rsid w:val="5EF77271"/>
    <w:rsid w:val="5EFB027D"/>
    <w:rsid w:val="5F024A3E"/>
    <w:rsid w:val="5F0B4089"/>
    <w:rsid w:val="5F0C25F1"/>
    <w:rsid w:val="5F0C439F"/>
    <w:rsid w:val="5F1C2834"/>
    <w:rsid w:val="5F1C6CD8"/>
    <w:rsid w:val="5F265461"/>
    <w:rsid w:val="5F304BF4"/>
    <w:rsid w:val="5F357D99"/>
    <w:rsid w:val="5F3A53B0"/>
    <w:rsid w:val="5F3C2ED6"/>
    <w:rsid w:val="5F426012"/>
    <w:rsid w:val="5F4A5A61"/>
    <w:rsid w:val="5F5521EA"/>
    <w:rsid w:val="5F5D2E4C"/>
    <w:rsid w:val="5F621FFB"/>
    <w:rsid w:val="5F6A180A"/>
    <w:rsid w:val="5F812FDF"/>
    <w:rsid w:val="5F8328B3"/>
    <w:rsid w:val="5F893C41"/>
    <w:rsid w:val="5F8D1984"/>
    <w:rsid w:val="5F8D3732"/>
    <w:rsid w:val="5F8D54E0"/>
    <w:rsid w:val="5F9E76ED"/>
    <w:rsid w:val="5F9F5213"/>
    <w:rsid w:val="5FB40CBE"/>
    <w:rsid w:val="5FC52ECB"/>
    <w:rsid w:val="5FCD3B2E"/>
    <w:rsid w:val="5FCF5AF8"/>
    <w:rsid w:val="5FE948E4"/>
    <w:rsid w:val="60123C37"/>
    <w:rsid w:val="60161979"/>
    <w:rsid w:val="601D2D07"/>
    <w:rsid w:val="602471D7"/>
    <w:rsid w:val="603B4F3C"/>
    <w:rsid w:val="604858AA"/>
    <w:rsid w:val="604D4C6F"/>
    <w:rsid w:val="605204D7"/>
    <w:rsid w:val="60522285"/>
    <w:rsid w:val="6054383A"/>
    <w:rsid w:val="606F72DB"/>
    <w:rsid w:val="60716BAF"/>
    <w:rsid w:val="60732927"/>
    <w:rsid w:val="60762418"/>
    <w:rsid w:val="60786190"/>
    <w:rsid w:val="60793CB6"/>
    <w:rsid w:val="60820DBC"/>
    <w:rsid w:val="60854409"/>
    <w:rsid w:val="608A66C7"/>
    <w:rsid w:val="608F34D9"/>
    <w:rsid w:val="609B59DA"/>
    <w:rsid w:val="609D79A4"/>
    <w:rsid w:val="60A725D1"/>
    <w:rsid w:val="60AE7E03"/>
    <w:rsid w:val="60B8658C"/>
    <w:rsid w:val="60D4713E"/>
    <w:rsid w:val="60D61108"/>
    <w:rsid w:val="60DA0BF8"/>
    <w:rsid w:val="60DF6178"/>
    <w:rsid w:val="60EC4488"/>
    <w:rsid w:val="6112750A"/>
    <w:rsid w:val="61135EB8"/>
    <w:rsid w:val="611539DF"/>
    <w:rsid w:val="611C2FBF"/>
    <w:rsid w:val="612B1454"/>
    <w:rsid w:val="612E2CF2"/>
    <w:rsid w:val="613876CD"/>
    <w:rsid w:val="613D2F35"/>
    <w:rsid w:val="61475B62"/>
    <w:rsid w:val="614B11AE"/>
    <w:rsid w:val="615E35D8"/>
    <w:rsid w:val="616C7377"/>
    <w:rsid w:val="6171498D"/>
    <w:rsid w:val="61750921"/>
    <w:rsid w:val="617D3332"/>
    <w:rsid w:val="61880654"/>
    <w:rsid w:val="618943CD"/>
    <w:rsid w:val="618D7A19"/>
    <w:rsid w:val="619863BE"/>
    <w:rsid w:val="619A0388"/>
    <w:rsid w:val="619A3EE4"/>
    <w:rsid w:val="61A253BE"/>
    <w:rsid w:val="61B72CE8"/>
    <w:rsid w:val="61C947C9"/>
    <w:rsid w:val="61C94AD0"/>
    <w:rsid w:val="61CB0541"/>
    <w:rsid w:val="61CF66BD"/>
    <w:rsid w:val="61D513C0"/>
    <w:rsid w:val="61D75138"/>
    <w:rsid w:val="61E84C4F"/>
    <w:rsid w:val="61F25ACE"/>
    <w:rsid w:val="62051CA5"/>
    <w:rsid w:val="621A6DD3"/>
    <w:rsid w:val="6222429B"/>
    <w:rsid w:val="622540F5"/>
    <w:rsid w:val="622D2FAA"/>
    <w:rsid w:val="623468A3"/>
    <w:rsid w:val="624327CD"/>
    <w:rsid w:val="62500A46"/>
    <w:rsid w:val="6252656D"/>
    <w:rsid w:val="62540537"/>
    <w:rsid w:val="62612C54"/>
    <w:rsid w:val="62707F48"/>
    <w:rsid w:val="62712E97"/>
    <w:rsid w:val="62750C70"/>
    <w:rsid w:val="62774225"/>
    <w:rsid w:val="62791502"/>
    <w:rsid w:val="628506F0"/>
    <w:rsid w:val="629628FD"/>
    <w:rsid w:val="629B6165"/>
    <w:rsid w:val="629D0130"/>
    <w:rsid w:val="62A50D92"/>
    <w:rsid w:val="62A74B0A"/>
    <w:rsid w:val="62AC0373"/>
    <w:rsid w:val="62AF7E63"/>
    <w:rsid w:val="62B334AF"/>
    <w:rsid w:val="62B86D17"/>
    <w:rsid w:val="62B965EC"/>
    <w:rsid w:val="62BF00A6"/>
    <w:rsid w:val="62C56307"/>
    <w:rsid w:val="62D578C9"/>
    <w:rsid w:val="62E0626E"/>
    <w:rsid w:val="62E55633"/>
    <w:rsid w:val="62E573E1"/>
    <w:rsid w:val="62EC4C13"/>
    <w:rsid w:val="62F12229"/>
    <w:rsid w:val="62FB09B2"/>
    <w:rsid w:val="62FD472A"/>
    <w:rsid w:val="62FF4946"/>
    <w:rsid w:val="630006BE"/>
    <w:rsid w:val="63051831"/>
    <w:rsid w:val="630A5099"/>
    <w:rsid w:val="630D00D6"/>
    <w:rsid w:val="630F445E"/>
    <w:rsid w:val="631B2E02"/>
    <w:rsid w:val="631F28F3"/>
    <w:rsid w:val="63350368"/>
    <w:rsid w:val="633B16F7"/>
    <w:rsid w:val="633E0520"/>
    <w:rsid w:val="634405AB"/>
    <w:rsid w:val="634467FD"/>
    <w:rsid w:val="634B1E4B"/>
    <w:rsid w:val="63612F0B"/>
    <w:rsid w:val="63691DC0"/>
    <w:rsid w:val="6381535B"/>
    <w:rsid w:val="63864720"/>
    <w:rsid w:val="638E7A78"/>
    <w:rsid w:val="63911317"/>
    <w:rsid w:val="639C3F43"/>
    <w:rsid w:val="63B15515"/>
    <w:rsid w:val="63B472ED"/>
    <w:rsid w:val="63B82D47"/>
    <w:rsid w:val="63C4349A"/>
    <w:rsid w:val="63C82F8A"/>
    <w:rsid w:val="63CC234F"/>
    <w:rsid w:val="63DA4A6C"/>
    <w:rsid w:val="63DC6A36"/>
    <w:rsid w:val="63E9766D"/>
    <w:rsid w:val="63EA73A4"/>
    <w:rsid w:val="63EE6769"/>
    <w:rsid w:val="63F773CC"/>
    <w:rsid w:val="6410048D"/>
    <w:rsid w:val="641F6922"/>
    <w:rsid w:val="64202DC6"/>
    <w:rsid w:val="64370110"/>
    <w:rsid w:val="643E149E"/>
    <w:rsid w:val="64446389"/>
    <w:rsid w:val="644A7E43"/>
    <w:rsid w:val="64504D2E"/>
    <w:rsid w:val="646B1B68"/>
    <w:rsid w:val="64713622"/>
    <w:rsid w:val="64727679"/>
    <w:rsid w:val="64760C38"/>
    <w:rsid w:val="64764597"/>
    <w:rsid w:val="64805613"/>
    <w:rsid w:val="64832A3F"/>
    <w:rsid w:val="64852C29"/>
    <w:rsid w:val="648A6492"/>
    <w:rsid w:val="64915A72"/>
    <w:rsid w:val="64A04C33"/>
    <w:rsid w:val="64A82DBC"/>
    <w:rsid w:val="64A86918"/>
    <w:rsid w:val="64AD2180"/>
    <w:rsid w:val="64AD6236"/>
    <w:rsid w:val="64B11C70"/>
    <w:rsid w:val="64B17EC2"/>
    <w:rsid w:val="64B33C3A"/>
    <w:rsid w:val="64B90B25"/>
    <w:rsid w:val="64D94D23"/>
    <w:rsid w:val="64E02555"/>
    <w:rsid w:val="64E47800"/>
    <w:rsid w:val="64EB71D9"/>
    <w:rsid w:val="64EC0EFA"/>
    <w:rsid w:val="64F16511"/>
    <w:rsid w:val="64F63B27"/>
    <w:rsid w:val="6502427A"/>
    <w:rsid w:val="65091AAC"/>
    <w:rsid w:val="650F4BE9"/>
    <w:rsid w:val="6511659F"/>
    <w:rsid w:val="651D7306"/>
    <w:rsid w:val="65212235"/>
    <w:rsid w:val="65255F5E"/>
    <w:rsid w:val="65312DB1"/>
    <w:rsid w:val="65362175"/>
    <w:rsid w:val="65387C9C"/>
    <w:rsid w:val="653A2CD0"/>
    <w:rsid w:val="65404DA2"/>
    <w:rsid w:val="65556AA0"/>
    <w:rsid w:val="655B1BDC"/>
    <w:rsid w:val="655C6080"/>
    <w:rsid w:val="656B0071"/>
    <w:rsid w:val="65735178"/>
    <w:rsid w:val="657459E4"/>
    <w:rsid w:val="658A426F"/>
    <w:rsid w:val="658C233E"/>
    <w:rsid w:val="658D448B"/>
    <w:rsid w:val="659A6BA8"/>
    <w:rsid w:val="659B022A"/>
    <w:rsid w:val="65A73073"/>
    <w:rsid w:val="65B01F28"/>
    <w:rsid w:val="65B35574"/>
    <w:rsid w:val="65B85280"/>
    <w:rsid w:val="65BD4645"/>
    <w:rsid w:val="65BF216B"/>
    <w:rsid w:val="65CF759F"/>
    <w:rsid w:val="65D379C4"/>
    <w:rsid w:val="65DF280D"/>
    <w:rsid w:val="65EB11B2"/>
    <w:rsid w:val="65EC0A86"/>
    <w:rsid w:val="65F04A1A"/>
    <w:rsid w:val="65F30067"/>
    <w:rsid w:val="65F52C07"/>
    <w:rsid w:val="65FF4C5D"/>
    <w:rsid w:val="660B715E"/>
    <w:rsid w:val="66157FDD"/>
    <w:rsid w:val="66173D55"/>
    <w:rsid w:val="661A3845"/>
    <w:rsid w:val="66263F98"/>
    <w:rsid w:val="66291CDA"/>
    <w:rsid w:val="6635067F"/>
    <w:rsid w:val="663F505A"/>
    <w:rsid w:val="664A412A"/>
    <w:rsid w:val="664D3C1B"/>
    <w:rsid w:val="664D59C9"/>
    <w:rsid w:val="664D7777"/>
    <w:rsid w:val="665925BF"/>
    <w:rsid w:val="6659611C"/>
    <w:rsid w:val="66703465"/>
    <w:rsid w:val="667747F4"/>
    <w:rsid w:val="668922D2"/>
    <w:rsid w:val="669037AE"/>
    <w:rsid w:val="669058B5"/>
    <w:rsid w:val="6695111E"/>
    <w:rsid w:val="66967370"/>
    <w:rsid w:val="669E4476"/>
    <w:rsid w:val="66A51361"/>
    <w:rsid w:val="66A575B3"/>
    <w:rsid w:val="66B75538"/>
    <w:rsid w:val="66BB6DD6"/>
    <w:rsid w:val="66BC37E2"/>
    <w:rsid w:val="66C13CC1"/>
    <w:rsid w:val="66C814F3"/>
    <w:rsid w:val="66CF63DE"/>
    <w:rsid w:val="66DB1226"/>
    <w:rsid w:val="66DF0F5D"/>
    <w:rsid w:val="66E300DB"/>
    <w:rsid w:val="66EC3434"/>
    <w:rsid w:val="66ED2D08"/>
    <w:rsid w:val="66EF6A80"/>
    <w:rsid w:val="66F145A6"/>
    <w:rsid w:val="66F67E0E"/>
    <w:rsid w:val="670A38BA"/>
    <w:rsid w:val="670C13E0"/>
    <w:rsid w:val="670F7122"/>
    <w:rsid w:val="6727446C"/>
    <w:rsid w:val="67281F92"/>
    <w:rsid w:val="672901E4"/>
    <w:rsid w:val="672E57FA"/>
    <w:rsid w:val="673152EA"/>
    <w:rsid w:val="6732696D"/>
    <w:rsid w:val="67346B89"/>
    <w:rsid w:val="67362901"/>
    <w:rsid w:val="673821D5"/>
    <w:rsid w:val="67452B44"/>
    <w:rsid w:val="67515045"/>
    <w:rsid w:val="6751773B"/>
    <w:rsid w:val="67780823"/>
    <w:rsid w:val="67786A75"/>
    <w:rsid w:val="6780605E"/>
    <w:rsid w:val="67825B46"/>
    <w:rsid w:val="6789494D"/>
    <w:rsid w:val="678C2521"/>
    <w:rsid w:val="678E0047"/>
    <w:rsid w:val="67A21D44"/>
    <w:rsid w:val="67A41555"/>
    <w:rsid w:val="67AE693B"/>
    <w:rsid w:val="67B13D35"/>
    <w:rsid w:val="67BD6B7E"/>
    <w:rsid w:val="67C55A8E"/>
    <w:rsid w:val="67CA4DF7"/>
    <w:rsid w:val="67CB7C26"/>
    <w:rsid w:val="67CE2B39"/>
    <w:rsid w:val="67D5211A"/>
    <w:rsid w:val="67D61813"/>
    <w:rsid w:val="67D6379C"/>
    <w:rsid w:val="67D839B8"/>
    <w:rsid w:val="67DF4D46"/>
    <w:rsid w:val="67E4235D"/>
    <w:rsid w:val="67E81E4D"/>
    <w:rsid w:val="67E91721"/>
    <w:rsid w:val="67E97973"/>
    <w:rsid w:val="67FD341E"/>
    <w:rsid w:val="68014CBD"/>
    <w:rsid w:val="68106CAE"/>
    <w:rsid w:val="68202928"/>
    <w:rsid w:val="6821710D"/>
    <w:rsid w:val="68232E85"/>
    <w:rsid w:val="68246BFD"/>
    <w:rsid w:val="682D7860"/>
    <w:rsid w:val="68362CCE"/>
    <w:rsid w:val="683706DE"/>
    <w:rsid w:val="683A3D2B"/>
    <w:rsid w:val="68405094"/>
    <w:rsid w:val="68437083"/>
    <w:rsid w:val="684B418A"/>
    <w:rsid w:val="684E2DD5"/>
    <w:rsid w:val="685272C6"/>
    <w:rsid w:val="68527809"/>
    <w:rsid w:val="68541290"/>
    <w:rsid w:val="68594AF9"/>
    <w:rsid w:val="685C6397"/>
    <w:rsid w:val="68602477"/>
    <w:rsid w:val="68622876"/>
    <w:rsid w:val="68684D3C"/>
    <w:rsid w:val="686F695A"/>
    <w:rsid w:val="687A681D"/>
    <w:rsid w:val="68882CE8"/>
    <w:rsid w:val="688B27D8"/>
    <w:rsid w:val="68953657"/>
    <w:rsid w:val="689834F3"/>
    <w:rsid w:val="68A13DAA"/>
    <w:rsid w:val="68A564EF"/>
    <w:rsid w:val="68A928FF"/>
    <w:rsid w:val="68AA0EB0"/>
    <w:rsid w:val="68AD6BF3"/>
    <w:rsid w:val="68B03FED"/>
    <w:rsid w:val="68C53F3C"/>
    <w:rsid w:val="68C63810"/>
    <w:rsid w:val="68CB7079"/>
    <w:rsid w:val="68D26659"/>
    <w:rsid w:val="68D45F2D"/>
    <w:rsid w:val="68D777CC"/>
    <w:rsid w:val="68D979E8"/>
    <w:rsid w:val="68DE6DAC"/>
    <w:rsid w:val="68E1064A"/>
    <w:rsid w:val="68E31B1E"/>
    <w:rsid w:val="68F62348"/>
    <w:rsid w:val="68F77E6E"/>
    <w:rsid w:val="690600B1"/>
    <w:rsid w:val="69074555"/>
    <w:rsid w:val="69164798"/>
    <w:rsid w:val="691B0000"/>
    <w:rsid w:val="692F585A"/>
    <w:rsid w:val="6947305B"/>
    <w:rsid w:val="695218D5"/>
    <w:rsid w:val="696574CD"/>
    <w:rsid w:val="69692B1A"/>
    <w:rsid w:val="696D2228"/>
    <w:rsid w:val="696D4097"/>
    <w:rsid w:val="69731BEA"/>
    <w:rsid w:val="6973469A"/>
    <w:rsid w:val="69790883"/>
    <w:rsid w:val="697F058F"/>
    <w:rsid w:val="69931944"/>
    <w:rsid w:val="69B47B0D"/>
    <w:rsid w:val="69BD10B7"/>
    <w:rsid w:val="69BF098B"/>
    <w:rsid w:val="69C064B2"/>
    <w:rsid w:val="69CE6E20"/>
    <w:rsid w:val="69D56401"/>
    <w:rsid w:val="69DD7064"/>
    <w:rsid w:val="69E403F2"/>
    <w:rsid w:val="69EB1780"/>
    <w:rsid w:val="69F47C99"/>
    <w:rsid w:val="69F51147"/>
    <w:rsid w:val="69F83E9D"/>
    <w:rsid w:val="69F85C4B"/>
    <w:rsid w:val="69FF6FDA"/>
    <w:rsid w:val="6A0740E0"/>
    <w:rsid w:val="6A0D5B9B"/>
    <w:rsid w:val="6A0D6879"/>
    <w:rsid w:val="6A102F95"/>
    <w:rsid w:val="6A22716C"/>
    <w:rsid w:val="6A244C92"/>
    <w:rsid w:val="6A2922A9"/>
    <w:rsid w:val="6A314603"/>
    <w:rsid w:val="6A3A2708"/>
    <w:rsid w:val="6A4175F2"/>
    <w:rsid w:val="6A4B0471"/>
    <w:rsid w:val="6A4B791D"/>
    <w:rsid w:val="6A4C5F97"/>
    <w:rsid w:val="6A5A63E0"/>
    <w:rsid w:val="6A6E23B2"/>
    <w:rsid w:val="6A79150D"/>
    <w:rsid w:val="6A8077CB"/>
    <w:rsid w:val="6A845731"/>
    <w:rsid w:val="6A8E65B0"/>
    <w:rsid w:val="6A9040D6"/>
    <w:rsid w:val="6A9C0CCD"/>
    <w:rsid w:val="6AA54025"/>
    <w:rsid w:val="6AAE27AE"/>
    <w:rsid w:val="6AB97AD1"/>
    <w:rsid w:val="6AC10733"/>
    <w:rsid w:val="6AD06BC8"/>
    <w:rsid w:val="6ADB7A47"/>
    <w:rsid w:val="6AE14931"/>
    <w:rsid w:val="6AEC0BB1"/>
    <w:rsid w:val="6B016D82"/>
    <w:rsid w:val="6B0D1BCA"/>
    <w:rsid w:val="6B0F149F"/>
    <w:rsid w:val="6B1E16E2"/>
    <w:rsid w:val="6B217424"/>
    <w:rsid w:val="6B295089"/>
    <w:rsid w:val="6B334A90"/>
    <w:rsid w:val="6B3453A9"/>
    <w:rsid w:val="6B405AFC"/>
    <w:rsid w:val="6B451364"/>
    <w:rsid w:val="6B453112"/>
    <w:rsid w:val="6B476E8A"/>
    <w:rsid w:val="6B4B624F"/>
    <w:rsid w:val="6B4F3F91"/>
    <w:rsid w:val="6B623CC4"/>
    <w:rsid w:val="6B6317EA"/>
    <w:rsid w:val="6B686E01"/>
    <w:rsid w:val="6B7457A6"/>
    <w:rsid w:val="6B752525"/>
    <w:rsid w:val="6B87197D"/>
    <w:rsid w:val="6B945E48"/>
    <w:rsid w:val="6B9823DF"/>
    <w:rsid w:val="6BA442DD"/>
    <w:rsid w:val="6BA55F62"/>
    <w:rsid w:val="6BB87D88"/>
    <w:rsid w:val="6BB90B20"/>
    <w:rsid w:val="6BBA58AE"/>
    <w:rsid w:val="6BC06C3D"/>
    <w:rsid w:val="6BC26511"/>
    <w:rsid w:val="6BCB7ABB"/>
    <w:rsid w:val="6BCF0C2E"/>
    <w:rsid w:val="6BD66B78"/>
    <w:rsid w:val="6BDA5F51"/>
    <w:rsid w:val="6BE15A0A"/>
    <w:rsid w:val="6BF16DF6"/>
    <w:rsid w:val="6BF608B1"/>
    <w:rsid w:val="6BF95CAB"/>
    <w:rsid w:val="6C046B2A"/>
    <w:rsid w:val="6C133210"/>
    <w:rsid w:val="6C134FBF"/>
    <w:rsid w:val="6C205F48"/>
    <w:rsid w:val="6C2B67AC"/>
    <w:rsid w:val="6C2E004A"/>
    <w:rsid w:val="6C33740F"/>
    <w:rsid w:val="6C3F7B62"/>
    <w:rsid w:val="6C4B29AA"/>
    <w:rsid w:val="6C523D39"/>
    <w:rsid w:val="6C5850C7"/>
    <w:rsid w:val="6C5F1FB2"/>
    <w:rsid w:val="6C613F7C"/>
    <w:rsid w:val="6C64581A"/>
    <w:rsid w:val="6C6F2A4C"/>
    <w:rsid w:val="6C755C79"/>
    <w:rsid w:val="6C81017A"/>
    <w:rsid w:val="6C861C34"/>
    <w:rsid w:val="6C89702F"/>
    <w:rsid w:val="6C8D73F3"/>
    <w:rsid w:val="6C8E6D3B"/>
    <w:rsid w:val="6C9003BD"/>
    <w:rsid w:val="6C937EAD"/>
    <w:rsid w:val="6CA87DFD"/>
    <w:rsid w:val="6CB0280D"/>
    <w:rsid w:val="6CB0493B"/>
    <w:rsid w:val="6CBF5146"/>
    <w:rsid w:val="6CC573C5"/>
    <w:rsid w:val="6CC85DA9"/>
    <w:rsid w:val="6CD504C6"/>
    <w:rsid w:val="6CE93F71"/>
    <w:rsid w:val="6CEB5F3B"/>
    <w:rsid w:val="6CED3A62"/>
    <w:rsid w:val="6CF05300"/>
    <w:rsid w:val="6CFA0F76"/>
    <w:rsid w:val="6D003795"/>
    <w:rsid w:val="6D19473D"/>
    <w:rsid w:val="6D1C7EA3"/>
    <w:rsid w:val="6D2B6338"/>
    <w:rsid w:val="6D2D0302"/>
    <w:rsid w:val="6D2D3E5E"/>
    <w:rsid w:val="6D317DF2"/>
    <w:rsid w:val="6D48513C"/>
    <w:rsid w:val="6D4F0278"/>
    <w:rsid w:val="6D4F2026"/>
    <w:rsid w:val="6D4F320D"/>
    <w:rsid w:val="6D561607"/>
    <w:rsid w:val="6D5B4E6F"/>
    <w:rsid w:val="6D5C2995"/>
    <w:rsid w:val="6D6104D7"/>
    <w:rsid w:val="6D714693"/>
    <w:rsid w:val="6D7221B9"/>
    <w:rsid w:val="6D732E4B"/>
    <w:rsid w:val="6D7D4DE5"/>
    <w:rsid w:val="6D9B34BE"/>
    <w:rsid w:val="6D9E4D5C"/>
    <w:rsid w:val="6D9E6B0A"/>
    <w:rsid w:val="6DA02882"/>
    <w:rsid w:val="6DA2484C"/>
    <w:rsid w:val="6DBC51E2"/>
    <w:rsid w:val="6DBD3434"/>
    <w:rsid w:val="6DC72505"/>
    <w:rsid w:val="6DCF72B7"/>
    <w:rsid w:val="6DD10C8D"/>
    <w:rsid w:val="6DD45363"/>
    <w:rsid w:val="6DD90074"/>
    <w:rsid w:val="6DDA2238"/>
    <w:rsid w:val="6DE50BDD"/>
    <w:rsid w:val="6DFA4688"/>
    <w:rsid w:val="6E001573"/>
    <w:rsid w:val="6E027099"/>
    <w:rsid w:val="6E05302D"/>
    <w:rsid w:val="6E072901"/>
    <w:rsid w:val="6E0E705B"/>
    <w:rsid w:val="6E1119D2"/>
    <w:rsid w:val="6E113780"/>
    <w:rsid w:val="6E162B44"/>
    <w:rsid w:val="6E166336"/>
    <w:rsid w:val="6E182D60"/>
    <w:rsid w:val="6E1A6AD8"/>
    <w:rsid w:val="6E1C6898"/>
    <w:rsid w:val="6E1F5E9D"/>
    <w:rsid w:val="6E2434B3"/>
    <w:rsid w:val="6E26547D"/>
    <w:rsid w:val="6E2A65EF"/>
    <w:rsid w:val="6E386F5E"/>
    <w:rsid w:val="6E4678CD"/>
    <w:rsid w:val="6E470F4F"/>
    <w:rsid w:val="6E4F283B"/>
    <w:rsid w:val="6E573888"/>
    <w:rsid w:val="6E58315D"/>
    <w:rsid w:val="6E5A6ED5"/>
    <w:rsid w:val="6E606037"/>
    <w:rsid w:val="6E614AB8"/>
    <w:rsid w:val="6E7066F8"/>
    <w:rsid w:val="6E71421E"/>
    <w:rsid w:val="6E76518E"/>
    <w:rsid w:val="6E971ED7"/>
    <w:rsid w:val="6E9A3775"/>
    <w:rsid w:val="6E9F0D8B"/>
    <w:rsid w:val="6EB5235D"/>
    <w:rsid w:val="6EC16F54"/>
    <w:rsid w:val="6EC30F1E"/>
    <w:rsid w:val="6EC86534"/>
    <w:rsid w:val="6EC9405A"/>
    <w:rsid w:val="6ECB392F"/>
    <w:rsid w:val="6ED053E9"/>
    <w:rsid w:val="6ED21161"/>
    <w:rsid w:val="6ED315EE"/>
    <w:rsid w:val="6ED8604B"/>
    <w:rsid w:val="6EED5F9B"/>
    <w:rsid w:val="6EF410D7"/>
    <w:rsid w:val="6EF70BC7"/>
    <w:rsid w:val="6EF966EE"/>
    <w:rsid w:val="6EFC7F8C"/>
    <w:rsid w:val="6F0357BE"/>
    <w:rsid w:val="6F03756C"/>
    <w:rsid w:val="6F060E0B"/>
    <w:rsid w:val="6F0D2199"/>
    <w:rsid w:val="6F141779"/>
    <w:rsid w:val="6F1C418A"/>
    <w:rsid w:val="6F2614AD"/>
    <w:rsid w:val="6F285225"/>
    <w:rsid w:val="6F2B0CA8"/>
    <w:rsid w:val="6F2B6AC3"/>
    <w:rsid w:val="6F2F65B3"/>
    <w:rsid w:val="6F307C36"/>
    <w:rsid w:val="6F3A01D0"/>
    <w:rsid w:val="6F51652A"/>
    <w:rsid w:val="6F5C6C7D"/>
    <w:rsid w:val="6F6A1399"/>
    <w:rsid w:val="6F745D74"/>
    <w:rsid w:val="6F767D3E"/>
    <w:rsid w:val="6F773AB6"/>
    <w:rsid w:val="6F7C10CD"/>
    <w:rsid w:val="6F800BBD"/>
    <w:rsid w:val="6F871F4B"/>
    <w:rsid w:val="6F946416"/>
    <w:rsid w:val="6F993A2D"/>
    <w:rsid w:val="6FA128E1"/>
    <w:rsid w:val="6FAC7C04"/>
    <w:rsid w:val="6FB46AB9"/>
    <w:rsid w:val="6FCD1928"/>
    <w:rsid w:val="6FD748C9"/>
    <w:rsid w:val="6FDD5985"/>
    <w:rsid w:val="6FE54EC4"/>
    <w:rsid w:val="6FF15617"/>
    <w:rsid w:val="6FFB46E7"/>
    <w:rsid w:val="700E447F"/>
    <w:rsid w:val="70115CB9"/>
    <w:rsid w:val="7019691C"/>
    <w:rsid w:val="70205EFC"/>
    <w:rsid w:val="702459EC"/>
    <w:rsid w:val="70271038"/>
    <w:rsid w:val="7027728A"/>
    <w:rsid w:val="702A0B29"/>
    <w:rsid w:val="702E686B"/>
    <w:rsid w:val="702F4391"/>
    <w:rsid w:val="70357BF9"/>
    <w:rsid w:val="703E6382"/>
    <w:rsid w:val="7053007F"/>
    <w:rsid w:val="705362D1"/>
    <w:rsid w:val="7056191E"/>
    <w:rsid w:val="705B5186"/>
    <w:rsid w:val="705D0EFE"/>
    <w:rsid w:val="70645DE9"/>
    <w:rsid w:val="7080699B"/>
    <w:rsid w:val="708741CD"/>
    <w:rsid w:val="708B5A6B"/>
    <w:rsid w:val="708C3591"/>
    <w:rsid w:val="70906068"/>
    <w:rsid w:val="70974410"/>
    <w:rsid w:val="709D579F"/>
    <w:rsid w:val="70AE52B6"/>
    <w:rsid w:val="70B054D2"/>
    <w:rsid w:val="70B74010"/>
    <w:rsid w:val="70B743C1"/>
    <w:rsid w:val="70B76860"/>
    <w:rsid w:val="70B825D8"/>
    <w:rsid w:val="70BF5715"/>
    <w:rsid w:val="70C90342"/>
    <w:rsid w:val="70CD7E32"/>
    <w:rsid w:val="70E045F5"/>
    <w:rsid w:val="70E64A50"/>
    <w:rsid w:val="70E909E4"/>
    <w:rsid w:val="70E92792"/>
    <w:rsid w:val="70EB475C"/>
    <w:rsid w:val="70F076DF"/>
    <w:rsid w:val="70F76C5D"/>
    <w:rsid w:val="71123A97"/>
    <w:rsid w:val="71124563"/>
    <w:rsid w:val="711315BD"/>
    <w:rsid w:val="71155335"/>
    <w:rsid w:val="71162F65"/>
    <w:rsid w:val="71171B91"/>
    <w:rsid w:val="71175551"/>
    <w:rsid w:val="711772FF"/>
    <w:rsid w:val="711E68DF"/>
    <w:rsid w:val="712832BA"/>
    <w:rsid w:val="712B6906"/>
    <w:rsid w:val="714125CE"/>
    <w:rsid w:val="71494FDF"/>
    <w:rsid w:val="714B0D57"/>
    <w:rsid w:val="715776FB"/>
    <w:rsid w:val="71597917"/>
    <w:rsid w:val="716562BC"/>
    <w:rsid w:val="71687B5B"/>
    <w:rsid w:val="716F0EE9"/>
    <w:rsid w:val="718030F6"/>
    <w:rsid w:val="71810C1C"/>
    <w:rsid w:val="71881FAB"/>
    <w:rsid w:val="71926986"/>
    <w:rsid w:val="719E17CE"/>
    <w:rsid w:val="71A17E6E"/>
    <w:rsid w:val="71AB7A47"/>
    <w:rsid w:val="71AC3EEB"/>
    <w:rsid w:val="71B2527A"/>
    <w:rsid w:val="71BC7EA6"/>
    <w:rsid w:val="71C254BD"/>
    <w:rsid w:val="71C32FE3"/>
    <w:rsid w:val="71C54E5B"/>
    <w:rsid w:val="71C56D5B"/>
    <w:rsid w:val="71C81E4D"/>
    <w:rsid w:val="71C8684B"/>
    <w:rsid w:val="71CD20B4"/>
    <w:rsid w:val="71CF5DCD"/>
    <w:rsid w:val="71D03DC0"/>
    <w:rsid w:val="71D64AC4"/>
    <w:rsid w:val="71D92806"/>
    <w:rsid w:val="71E35433"/>
    <w:rsid w:val="71E76CD1"/>
    <w:rsid w:val="71F66F14"/>
    <w:rsid w:val="71FD4747"/>
    <w:rsid w:val="72005FE5"/>
    <w:rsid w:val="720535FB"/>
    <w:rsid w:val="720A29C0"/>
    <w:rsid w:val="720D425E"/>
    <w:rsid w:val="72161365"/>
    <w:rsid w:val="72165809"/>
    <w:rsid w:val="72227D09"/>
    <w:rsid w:val="72247F25"/>
    <w:rsid w:val="7231619E"/>
    <w:rsid w:val="72323CC5"/>
    <w:rsid w:val="724834E8"/>
    <w:rsid w:val="7258372B"/>
    <w:rsid w:val="726227FC"/>
    <w:rsid w:val="726245AA"/>
    <w:rsid w:val="727918F3"/>
    <w:rsid w:val="728C7879"/>
    <w:rsid w:val="729329B5"/>
    <w:rsid w:val="72AE5A41"/>
    <w:rsid w:val="72B06C75"/>
    <w:rsid w:val="72B4703F"/>
    <w:rsid w:val="72C74D55"/>
    <w:rsid w:val="72C76B03"/>
    <w:rsid w:val="72CC236B"/>
    <w:rsid w:val="72CC5EC7"/>
    <w:rsid w:val="72D80D10"/>
    <w:rsid w:val="72D82ABE"/>
    <w:rsid w:val="72DD00D4"/>
    <w:rsid w:val="72E66F89"/>
    <w:rsid w:val="72EE22E1"/>
    <w:rsid w:val="72F07E08"/>
    <w:rsid w:val="72FF004B"/>
    <w:rsid w:val="730218E9"/>
    <w:rsid w:val="73120080"/>
    <w:rsid w:val="73155AC0"/>
    <w:rsid w:val="73171838"/>
    <w:rsid w:val="731E2BC7"/>
    <w:rsid w:val="73243F55"/>
    <w:rsid w:val="732857F3"/>
    <w:rsid w:val="7329331A"/>
    <w:rsid w:val="73335F46"/>
    <w:rsid w:val="73375A36"/>
    <w:rsid w:val="733A5527"/>
    <w:rsid w:val="73440153"/>
    <w:rsid w:val="734D525A"/>
    <w:rsid w:val="73506AF8"/>
    <w:rsid w:val="73552361"/>
    <w:rsid w:val="735E1215"/>
    <w:rsid w:val="736305DA"/>
    <w:rsid w:val="7375030D"/>
    <w:rsid w:val="73852C46"/>
    <w:rsid w:val="738642C8"/>
    <w:rsid w:val="738844E4"/>
    <w:rsid w:val="738B18DE"/>
    <w:rsid w:val="739509AF"/>
    <w:rsid w:val="7399049F"/>
    <w:rsid w:val="739B229B"/>
    <w:rsid w:val="73B766DC"/>
    <w:rsid w:val="73BE3A62"/>
    <w:rsid w:val="73C51294"/>
    <w:rsid w:val="73C55A7E"/>
    <w:rsid w:val="73CA68AB"/>
    <w:rsid w:val="73D74B24"/>
    <w:rsid w:val="73F73418"/>
    <w:rsid w:val="73FB2F08"/>
    <w:rsid w:val="73FC458A"/>
    <w:rsid w:val="73FE5C0F"/>
    <w:rsid w:val="740F250F"/>
    <w:rsid w:val="740F42BD"/>
    <w:rsid w:val="7419338E"/>
    <w:rsid w:val="7420296E"/>
    <w:rsid w:val="74277859"/>
    <w:rsid w:val="742C4E6F"/>
    <w:rsid w:val="742E508B"/>
    <w:rsid w:val="74393A30"/>
    <w:rsid w:val="743E1047"/>
    <w:rsid w:val="74477EFB"/>
    <w:rsid w:val="744F0B5E"/>
    <w:rsid w:val="7452064E"/>
    <w:rsid w:val="745E6FF3"/>
    <w:rsid w:val="74607B5C"/>
    <w:rsid w:val="74640AAD"/>
    <w:rsid w:val="74650381"/>
    <w:rsid w:val="747131CA"/>
    <w:rsid w:val="74716D26"/>
    <w:rsid w:val="7476433D"/>
    <w:rsid w:val="747855EE"/>
    <w:rsid w:val="747E57F8"/>
    <w:rsid w:val="748A428C"/>
    <w:rsid w:val="748C0004"/>
    <w:rsid w:val="748C1A26"/>
    <w:rsid w:val="748C590E"/>
    <w:rsid w:val="748D1686"/>
    <w:rsid w:val="748F3650"/>
    <w:rsid w:val="74982505"/>
    <w:rsid w:val="749D7B1B"/>
    <w:rsid w:val="749F7D37"/>
    <w:rsid w:val="74A40EAA"/>
    <w:rsid w:val="74A72748"/>
    <w:rsid w:val="74AC7D5E"/>
    <w:rsid w:val="74C26F1A"/>
    <w:rsid w:val="74EC2851"/>
    <w:rsid w:val="74EC45FF"/>
    <w:rsid w:val="7507768A"/>
    <w:rsid w:val="75137DDD"/>
    <w:rsid w:val="751D6EAE"/>
    <w:rsid w:val="75263FB5"/>
    <w:rsid w:val="753C7334"/>
    <w:rsid w:val="75491A51"/>
    <w:rsid w:val="75622B13"/>
    <w:rsid w:val="75662603"/>
    <w:rsid w:val="756E770A"/>
    <w:rsid w:val="75710B04"/>
    <w:rsid w:val="75792336"/>
    <w:rsid w:val="758000A0"/>
    <w:rsid w:val="75866801"/>
    <w:rsid w:val="7589009F"/>
    <w:rsid w:val="758D095C"/>
    <w:rsid w:val="759F5B15"/>
    <w:rsid w:val="75A35605"/>
    <w:rsid w:val="75A44ED9"/>
    <w:rsid w:val="75A5137D"/>
    <w:rsid w:val="75A86778"/>
    <w:rsid w:val="75AB6268"/>
    <w:rsid w:val="75AE7B06"/>
    <w:rsid w:val="75AF3FAA"/>
    <w:rsid w:val="75B415C0"/>
    <w:rsid w:val="75C13CDD"/>
    <w:rsid w:val="75C630A2"/>
    <w:rsid w:val="75C94940"/>
    <w:rsid w:val="75CF63FA"/>
    <w:rsid w:val="75D70262"/>
    <w:rsid w:val="75E33C54"/>
    <w:rsid w:val="75E83018"/>
    <w:rsid w:val="76067942"/>
    <w:rsid w:val="76085468"/>
    <w:rsid w:val="761D1EEE"/>
    <w:rsid w:val="76285B0A"/>
    <w:rsid w:val="762878B8"/>
    <w:rsid w:val="762B70C3"/>
    <w:rsid w:val="763D7808"/>
    <w:rsid w:val="76402E54"/>
    <w:rsid w:val="764364A0"/>
    <w:rsid w:val="764A3CD3"/>
    <w:rsid w:val="764C17F9"/>
    <w:rsid w:val="76500BBD"/>
    <w:rsid w:val="76564426"/>
    <w:rsid w:val="7657019E"/>
    <w:rsid w:val="76684159"/>
    <w:rsid w:val="766C3C49"/>
    <w:rsid w:val="766D176F"/>
    <w:rsid w:val="766F3DA0"/>
    <w:rsid w:val="76746FA2"/>
    <w:rsid w:val="76760624"/>
    <w:rsid w:val="76766876"/>
    <w:rsid w:val="768216BE"/>
    <w:rsid w:val="76826FE0"/>
    <w:rsid w:val="76870A83"/>
    <w:rsid w:val="768A0573"/>
    <w:rsid w:val="7691545E"/>
    <w:rsid w:val="76933762"/>
    <w:rsid w:val="769E7B7B"/>
    <w:rsid w:val="76A15AC2"/>
    <w:rsid w:val="76A60CD0"/>
    <w:rsid w:val="76A71125"/>
    <w:rsid w:val="76BB072D"/>
    <w:rsid w:val="76C03F95"/>
    <w:rsid w:val="76C659F8"/>
    <w:rsid w:val="76CE0460"/>
    <w:rsid w:val="76E61C4D"/>
    <w:rsid w:val="76E71522"/>
    <w:rsid w:val="76E934EC"/>
    <w:rsid w:val="76EA1012"/>
    <w:rsid w:val="76F123A0"/>
    <w:rsid w:val="76F82369"/>
    <w:rsid w:val="770519A8"/>
    <w:rsid w:val="77106CCA"/>
    <w:rsid w:val="771A36A5"/>
    <w:rsid w:val="772A6B6C"/>
    <w:rsid w:val="772E53A2"/>
    <w:rsid w:val="77364257"/>
    <w:rsid w:val="774626EC"/>
    <w:rsid w:val="774A385E"/>
    <w:rsid w:val="77514BED"/>
    <w:rsid w:val="77546CC9"/>
    <w:rsid w:val="7758241F"/>
    <w:rsid w:val="776C1A27"/>
    <w:rsid w:val="776E1C43"/>
    <w:rsid w:val="7771703D"/>
    <w:rsid w:val="77756B2D"/>
    <w:rsid w:val="77847B6B"/>
    <w:rsid w:val="778B45A3"/>
    <w:rsid w:val="779571D0"/>
    <w:rsid w:val="77972F48"/>
    <w:rsid w:val="779F1DFC"/>
    <w:rsid w:val="77A92C7B"/>
    <w:rsid w:val="77B16F55"/>
    <w:rsid w:val="77B66F3B"/>
    <w:rsid w:val="77C47AB5"/>
    <w:rsid w:val="77CE623E"/>
    <w:rsid w:val="77EF630B"/>
    <w:rsid w:val="77F816A9"/>
    <w:rsid w:val="77FE6825"/>
    <w:rsid w:val="78000AED"/>
    <w:rsid w:val="780A371A"/>
    <w:rsid w:val="78197E01"/>
    <w:rsid w:val="781E0F73"/>
    <w:rsid w:val="782C7B34"/>
    <w:rsid w:val="782D12A8"/>
    <w:rsid w:val="783B7D77"/>
    <w:rsid w:val="783F0EE9"/>
    <w:rsid w:val="78434E7D"/>
    <w:rsid w:val="78482494"/>
    <w:rsid w:val="78652314"/>
    <w:rsid w:val="786B1CDE"/>
    <w:rsid w:val="786D3CA8"/>
    <w:rsid w:val="786F17CF"/>
    <w:rsid w:val="787119EB"/>
    <w:rsid w:val="7883527A"/>
    <w:rsid w:val="788D434B"/>
    <w:rsid w:val="788E3053"/>
    <w:rsid w:val="78955947"/>
    <w:rsid w:val="78A3591C"/>
    <w:rsid w:val="78AA5DBB"/>
    <w:rsid w:val="78AE0187"/>
    <w:rsid w:val="78AF42C1"/>
    <w:rsid w:val="78BC5321"/>
    <w:rsid w:val="78C064CE"/>
    <w:rsid w:val="78DD0E2E"/>
    <w:rsid w:val="78DD2BDC"/>
    <w:rsid w:val="78E24696"/>
    <w:rsid w:val="78EC06E7"/>
    <w:rsid w:val="78EE6B97"/>
    <w:rsid w:val="79052133"/>
    <w:rsid w:val="790A7749"/>
    <w:rsid w:val="790C34C1"/>
    <w:rsid w:val="790E2D96"/>
    <w:rsid w:val="790E548B"/>
    <w:rsid w:val="79182EA4"/>
    <w:rsid w:val="79183C14"/>
    <w:rsid w:val="79224A93"/>
    <w:rsid w:val="792627D5"/>
    <w:rsid w:val="79273E57"/>
    <w:rsid w:val="79393B8B"/>
    <w:rsid w:val="793C234D"/>
    <w:rsid w:val="793D7B1F"/>
    <w:rsid w:val="79420C91"/>
    <w:rsid w:val="79556C16"/>
    <w:rsid w:val="795A247F"/>
    <w:rsid w:val="795B7FA5"/>
    <w:rsid w:val="79642D04"/>
    <w:rsid w:val="796450AB"/>
    <w:rsid w:val="796706F8"/>
    <w:rsid w:val="798968C0"/>
    <w:rsid w:val="798D4602"/>
    <w:rsid w:val="79A67472"/>
    <w:rsid w:val="79A84102"/>
    <w:rsid w:val="79AC25AE"/>
    <w:rsid w:val="79BA116F"/>
    <w:rsid w:val="79BD2A0E"/>
    <w:rsid w:val="79C30024"/>
    <w:rsid w:val="79CA6C00"/>
    <w:rsid w:val="79CE0777"/>
    <w:rsid w:val="79D20FEE"/>
    <w:rsid w:val="79DA35C0"/>
    <w:rsid w:val="79DF0BD6"/>
    <w:rsid w:val="79E85CDC"/>
    <w:rsid w:val="79FE330B"/>
    <w:rsid w:val="7A08012D"/>
    <w:rsid w:val="7A1940E8"/>
    <w:rsid w:val="7A1B6F32"/>
    <w:rsid w:val="7A2F7467"/>
    <w:rsid w:val="7A320489"/>
    <w:rsid w:val="7A3730B0"/>
    <w:rsid w:val="7A3902E6"/>
    <w:rsid w:val="7A3D6F22"/>
    <w:rsid w:val="7A3E58FC"/>
    <w:rsid w:val="7A3E76AA"/>
    <w:rsid w:val="7A424439"/>
    <w:rsid w:val="7A5769BE"/>
    <w:rsid w:val="7A65732D"/>
    <w:rsid w:val="7A680BCB"/>
    <w:rsid w:val="7A6B4218"/>
    <w:rsid w:val="7A6F5AB6"/>
    <w:rsid w:val="7A731BC2"/>
    <w:rsid w:val="7A8C54B0"/>
    <w:rsid w:val="7A8D418E"/>
    <w:rsid w:val="7A8F3748"/>
    <w:rsid w:val="7A9D6AC7"/>
    <w:rsid w:val="7AA40E74"/>
    <w:rsid w:val="7AAD65DE"/>
    <w:rsid w:val="7AB45BBF"/>
    <w:rsid w:val="7AB756AF"/>
    <w:rsid w:val="7AC027B5"/>
    <w:rsid w:val="7AC202DC"/>
    <w:rsid w:val="7AC322A6"/>
    <w:rsid w:val="7ACC5CEF"/>
    <w:rsid w:val="7ACF47A6"/>
    <w:rsid w:val="7AD24297"/>
    <w:rsid w:val="7AD65B35"/>
    <w:rsid w:val="7AD93877"/>
    <w:rsid w:val="7ADB314B"/>
    <w:rsid w:val="7ADE49EA"/>
    <w:rsid w:val="7AE71AF0"/>
    <w:rsid w:val="7AEA5A84"/>
    <w:rsid w:val="7AEE7323"/>
    <w:rsid w:val="7AF1296F"/>
    <w:rsid w:val="7AF1471D"/>
    <w:rsid w:val="7B0703E4"/>
    <w:rsid w:val="7B09415C"/>
    <w:rsid w:val="7B22521E"/>
    <w:rsid w:val="7B272834"/>
    <w:rsid w:val="7B2A7C2F"/>
    <w:rsid w:val="7B2C39A7"/>
    <w:rsid w:val="7B436B05"/>
    <w:rsid w:val="7B4E1B6F"/>
    <w:rsid w:val="7B62561B"/>
    <w:rsid w:val="7B6475E5"/>
    <w:rsid w:val="7B694BFB"/>
    <w:rsid w:val="7B6E5D6D"/>
    <w:rsid w:val="7B784E3E"/>
    <w:rsid w:val="7B7A2964"/>
    <w:rsid w:val="7B8B2DF6"/>
    <w:rsid w:val="7B8D7AD7"/>
    <w:rsid w:val="7B8E01BE"/>
    <w:rsid w:val="7B8E6410"/>
    <w:rsid w:val="7B917CAE"/>
    <w:rsid w:val="7B9B0B2D"/>
    <w:rsid w:val="7B9D6653"/>
    <w:rsid w:val="7BA42612"/>
    <w:rsid w:val="7BA600C3"/>
    <w:rsid w:val="7BA63759"/>
    <w:rsid w:val="7BA7127F"/>
    <w:rsid w:val="7BAE1B6F"/>
    <w:rsid w:val="7BBA5457"/>
    <w:rsid w:val="7BC94A41"/>
    <w:rsid w:val="7BCC0CE6"/>
    <w:rsid w:val="7BD07F2F"/>
    <w:rsid w:val="7BDC53CD"/>
    <w:rsid w:val="7BDF4EBD"/>
    <w:rsid w:val="7BE14791"/>
    <w:rsid w:val="7BEC1388"/>
    <w:rsid w:val="7BED75DA"/>
    <w:rsid w:val="7BF22E42"/>
    <w:rsid w:val="7BF81ADB"/>
    <w:rsid w:val="7C014E34"/>
    <w:rsid w:val="7C091F3A"/>
    <w:rsid w:val="7C122B9D"/>
    <w:rsid w:val="7C2166BD"/>
    <w:rsid w:val="7C2C0434"/>
    <w:rsid w:val="7C2D3E7B"/>
    <w:rsid w:val="7C380C59"/>
    <w:rsid w:val="7C3A0345"/>
    <w:rsid w:val="7C3C5E6C"/>
    <w:rsid w:val="7C43369E"/>
    <w:rsid w:val="7C4579C7"/>
    <w:rsid w:val="7C484810"/>
    <w:rsid w:val="7C541407"/>
    <w:rsid w:val="7C5533D1"/>
    <w:rsid w:val="7C605FFE"/>
    <w:rsid w:val="7C6453C2"/>
    <w:rsid w:val="7C703D67"/>
    <w:rsid w:val="7C741AA9"/>
    <w:rsid w:val="7C7C44BA"/>
    <w:rsid w:val="7C865339"/>
    <w:rsid w:val="7C9061B7"/>
    <w:rsid w:val="7C907F65"/>
    <w:rsid w:val="7C9378B1"/>
    <w:rsid w:val="7C9C690A"/>
    <w:rsid w:val="7C9E462D"/>
    <w:rsid w:val="7CA3413D"/>
    <w:rsid w:val="7CB225D2"/>
    <w:rsid w:val="7CC04CEF"/>
    <w:rsid w:val="7CE00EED"/>
    <w:rsid w:val="7CE61163"/>
    <w:rsid w:val="7CE86C9A"/>
    <w:rsid w:val="7CEC1640"/>
    <w:rsid w:val="7CF90201"/>
    <w:rsid w:val="7D0050EB"/>
    <w:rsid w:val="7D0A41BC"/>
    <w:rsid w:val="7D0A5F6A"/>
    <w:rsid w:val="7D11554A"/>
    <w:rsid w:val="7D16490F"/>
    <w:rsid w:val="7D1D3EEF"/>
    <w:rsid w:val="7D2E7EAA"/>
    <w:rsid w:val="7D3B6123"/>
    <w:rsid w:val="7D507498"/>
    <w:rsid w:val="7D5471E5"/>
    <w:rsid w:val="7D553689"/>
    <w:rsid w:val="7D562F5D"/>
    <w:rsid w:val="7D580A83"/>
    <w:rsid w:val="7D625DA6"/>
    <w:rsid w:val="7D6513F2"/>
    <w:rsid w:val="7D67516A"/>
    <w:rsid w:val="7D741635"/>
    <w:rsid w:val="7D761851"/>
    <w:rsid w:val="7D7635FF"/>
    <w:rsid w:val="7D835CBB"/>
    <w:rsid w:val="7D890306"/>
    <w:rsid w:val="7D9615AC"/>
    <w:rsid w:val="7D9B4E14"/>
    <w:rsid w:val="7D9F2B56"/>
    <w:rsid w:val="7DBF6D54"/>
    <w:rsid w:val="7DCC1471"/>
    <w:rsid w:val="7DD345AE"/>
    <w:rsid w:val="7DD50326"/>
    <w:rsid w:val="7DD722F0"/>
    <w:rsid w:val="7DDA2CEF"/>
    <w:rsid w:val="7DE46300"/>
    <w:rsid w:val="7DEB4668"/>
    <w:rsid w:val="7DF82266"/>
    <w:rsid w:val="7E002EC9"/>
    <w:rsid w:val="7E01736D"/>
    <w:rsid w:val="7E024E93"/>
    <w:rsid w:val="7E0E041C"/>
    <w:rsid w:val="7E1352F2"/>
    <w:rsid w:val="7E176B90"/>
    <w:rsid w:val="7E1C193F"/>
    <w:rsid w:val="7E2B263C"/>
    <w:rsid w:val="7E2D63B4"/>
    <w:rsid w:val="7E3239CA"/>
    <w:rsid w:val="7E3E411D"/>
    <w:rsid w:val="7E431733"/>
    <w:rsid w:val="7E447259"/>
    <w:rsid w:val="7E4C610E"/>
    <w:rsid w:val="7E5E47BF"/>
    <w:rsid w:val="7E61605D"/>
    <w:rsid w:val="7E745D91"/>
    <w:rsid w:val="7E751B09"/>
    <w:rsid w:val="7E77762F"/>
    <w:rsid w:val="7E7A2C7B"/>
    <w:rsid w:val="7E88183C"/>
    <w:rsid w:val="7E8B6C36"/>
    <w:rsid w:val="7E9E222E"/>
    <w:rsid w:val="7E9F58CF"/>
    <w:rsid w:val="7EAB3B49"/>
    <w:rsid w:val="7EB4618D"/>
    <w:rsid w:val="7EB77A2B"/>
    <w:rsid w:val="7EC00FD6"/>
    <w:rsid w:val="7EC15CA3"/>
    <w:rsid w:val="7EC30AC6"/>
    <w:rsid w:val="7EE04211"/>
    <w:rsid w:val="7EE747B5"/>
    <w:rsid w:val="7EF50554"/>
    <w:rsid w:val="7F0A2251"/>
    <w:rsid w:val="7F0D1FD5"/>
    <w:rsid w:val="7F141322"/>
    <w:rsid w:val="7F1C3D32"/>
    <w:rsid w:val="7F207CC7"/>
    <w:rsid w:val="7F250FD5"/>
    <w:rsid w:val="7F477001"/>
    <w:rsid w:val="7F4974F7"/>
    <w:rsid w:val="7F5160D2"/>
    <w:rsid w:val="7F565496"/>
    <w:rsid w:val="7F606315"/>
    <w:rsid w:val="7F6A0F42"/>
    <w:rsid w:val="7F6A7194"/>
    <w:rsid w:val="7F6C4CBA"/>
    <w:rsid w:val="7F6F47AA"/>
    <w:rsid w:val="7F736048"/>
    <w:rsid w:val="7F791185"/>
    <w:rsid w:val="7F7B314F"/>
    <w:rsid w:val="7F8C0BDE"/>
    <w:rsid w:val="7F967D36"/>
    <w:rsid w:val="7F995383"/>
    <w:rsid w:val="7F9B10FB"/>
    <w:rsid w:val="7FA426A6"/>
    <w:rsid w:val="7FAE52D2"/>
    <w:rsid w:val="7FB0104A"/>
    <w:rsid w:val="7FB56661"/>
    <w:rsid w:val="7FB81705"/>
    <w:rsid w:val="7FBA3C77"/>
    <w:rsid w:val="7FC11EE8"/>
    <w:rsid w:val="7FC16F0E"/>
    <w:rsid w:val="7FC248DA"/>
    <w:rsid w:val="7FC70142"/>
    <w:rsid w:val="7FCE14D1"/>
    <w:rsid w:val="7FD64829"/>
    <w:rsid w:val="7FE74340"/>
    <w:rsid w:val="7FEA5BDF"/>
    <w:rsid w:val="7FF058EB"/>
    <w:rsid w:val="7FF37189"/>
    <w:rsid w:val="7FFD5912"/>
    <w:rsid w:val="F4ED29D4"/>
    <w:rsid w:val="FCFFE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60" w:beforeLines="0" w:beforeAutospacing="0" w:after="60" w:afterLines="0" w:afterAutospacing="0" w:line="360" w:lineRule="auto"/>
      <w:ind w:left="575" w:hanging="575"/>
      <w:outlineLvl w:val="1"/>
    </w:pPr>
    <w:rPr>
      <w:rFonts w:ascii="Arial" w:hAnsi="Arial" w:eastAsia="宋体" w:cs="Times New Roman"/>
      <w:b/>
      <w:sz w:val="30"/>
    </w:rPr>
  </w:style>
  <w:style w:type="paragraph" w:styleId="4">
    <w:name w:val="heading 3"/>
    <w:basedOn w:val="1"/>
    <w:next w:val="1"/>
    <w:semiHidden/>
    <w:unhideWhenUsed/>
    <w:qFormat/>
    <w:uiPriority w:val="0"/>
    <w:pPr>
      <w:keepNext/>
      <w:keepLines/>
      <w:numPr>
        <w:ilvl w:val="2"/>
        <w:numId w:val="1"/>
      </w:numPr>
      <w:tabs>
        <w:tab w:val="left" w:pos="0"/>
      </w:tabs>
      <w:spacing w:beforeLines="0" w:beforeAutospacing="0" w:after="50" w:afterLines="50" w:afterAutospacing="0" w:line="360" w:lineRule="auto"/>
      <w:ind w:left="720" w:leftChars="0" w:right="0" w:rightChars="0" w:hanging="720" w:firstLineChars="0"/>
      <w:jc w:val="left"/>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keepNext/>
      <w:keepLines/>
      <w:numPr>
        <w:ilvl w:val="3"/>
        <w:numId w:val="1"/>
      </w:numPr>
      <w:spacing w:before="140" w:beforeLines="0" w:beforeAutospacing="0" w:after="140" w:afterLines="0" w:afterAutospacing="0" w:line="360" w:lineRule="auto"/>
      <w:ind w:left="862" w:hanging="862"/>
      <w:outlineLvl w:val="3"/>
    </w:pPr>
    <w:rPr>
      <w:rFonts w:ascii="Arial" w:hAnsi="Arial" w:eastAsia="宋体" w:cs="Times New Roman"/>
      <w:b/>
      <w:sz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qFormat/>
    <w:uiPriority w:val="99"/>
    <w:pPr>
      <w:tabs>
        <w:tab w:val="left" w:pos="2160"/>
      </w:tabs>
      <w:spacing w:after="120" w:line="480" w:lineRule="auto"/>
      <w:ind w:left="418" w:leftChars="0" w:firstLine="216"/>
    </w:pPr>
    <w:rPr>
      <w:rFonts w:eastAsia="仿宋_GB2312"/>
      <w:sz w:val="24"/>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toc 6"/>
    <w:basedOn w:val="1"/>
    <w:next w:val="1"/>
    <w:semiHidden/>
    <w:qFormat/>
    <w:uiPriority w:val="0"/>
    <w:pPr>
      <w:ind w:left="1200"/>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8"/>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style>
  <w:style w:type="character" w:styleId="27">
    <w:name w:val="page number"/>
    <w:basedOn w:val="25"/>
    <w:qFormat/>
    <w:uiPriority w:val="0"/>
  </w:style>
  <w:style w:type="character" w:styleId="28">
    <w:name w:val="Hyperlink"/>
    <w:qFormat/>
    <w:uiPriority w:val="0"/>
    <w:rPr>
      <w:color w:val="000099"/>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样式 标题 3 + 首行缩进:  2 字符"/>
    <w:basedOn w:val="4"/>
    <w:qFormat/>
    <w:uiPriority w:val="0"/>
    <w:pPr>
      <w:spacing w:before="0" w:after="0" w:line="480" w:lineRule="exact"/>
    </w:pPr>
    <w:rPr>
      <w:sz w:val="28"/>
      <w:szCs w:val="28"/>
      <w:lang w:bidi="ar-DZ"/>
    </w:rPr>
  </w:style>
  <w:style w:type="paragraph" w:customStyle="1" w:styleId="35">
    <w:name w:val="列出段落1"/>
    <w:basedOn w:val="1"/>
    <w:qFormat/>
    <w:uiPriority w:val="34"/>
    <w:pPr>
      <w:ind w:firstLine="420"/>
    </w:pPr>
    <w:rPr>
      <w:rFonts w:ascii="Calibri" w:hAnsi="Calibri"/>
    </w:rPr>
  </w:style>
  <w:style w:type="character" w:customStyle="1" w:styleId="36">
    <w:name w:val="批注框文本 Char"/>
    <w:basedOn w:val="25"/>
    <w:link w:val="14"/>
    <w:qFormat/>
    <w:uiPriority w:val="0"/>
    <w:rPr>
      <w:sz w:val="18"/>
      <w:szCs w:val="18"/>
    </w:rPr>
  </w:style>
  <w:style w:type="character" w:customStyle="1" w:styleId="37">
    <w:name w:val="font41"/>
    <w:basedOn w:val="25"/>
    <w:qFormat/>
    <w:uiPriority w:val="0"/>
    <w:rPr>
      <w:rFonts w:hint="default" w:ascii="Tahoma" w:hAnsi="Tahoma" w:eastAsia="Tahoma" w:cs="Tahoma"/>
      <w:color w:val="000000"/>
      <w:sz w:val="18"/>
      <w:szCs w:val="18"/>
      <w:u w:val="none"/>
    </w:rPr>
  </w:style>
  <w:style w:type="character" w:customStyle="1" w:styleId="38">
    <w:name w:val="font11"/>
    <w:basedOn w:val="25"/>
    <w:qFormat/>
    <w:uiPriority w:val="0"/>
    <w:rPr>
      <w:rFonts w:hint="eastAsia" w:ascii="宋体" w:hAnsi="宋体" w:eastAsia="宋体" w:cs="宋体"/>
      <w:color w:val="000000"/>
      <w:sz w:val="24"/>
      <w:szCs w:val="24"/>
      <w:u w:val="none"/>
      <w:vertAlign w:val="subscript"/>
    </w:rPr>
  </w:style>
  <w:style w:type="character" w:customStyle="1" w:styleId="39">
    <w:name w:val="int_huang_12_b1"/>
    <w:qFormat/>
    <w:uiPriority w:val="0"/>
    <w:rPr>
      <w:rFonts w:hint="default" w:ascii="Verdana" w:hAnsi="Verdana"/>
      <w:b/>
      <w:bCs/>
      <w:color w:val="EECC77"/>
      <w:sz w:val="18"/>
      <w:szCs w:val="18"/>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正文文本缩进 21"/>
    <w:basedOn w:val="1"/>
    <w:qFormat/>
    <w:uiPriority w:val="0"/>
    <w:pPr>
      <w:spacing w:after="120" w:line="480" w:lineRule="auto"/>
      <w:ind w:left="200" w:leftChars="200"/>
    </w:pPr>
  </w:style>
  <w:style w:type="paragraph" w:customStyle="1" w:styleId="42">
    <w:name w:val="List Paragraph"/>
    <w:basedOn w:val="1"/>
    <w:qFormat/>
    <w:uiPriority w:val="99"/>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4"/>
      <w:szCs w:val="24"/>
      <w:lang w:val="en-US" w:eastAsia="en-US" w:bidi="ar-SA"/>
    </w:rPr>
  </w:style>
  <w:style w:type="paragraph" w:customStyle="1" w:styleId="45">
    <w:name w:val="表格"/>
    <w:basedOn w:val="1"/>
    <w:qFormat/>
    <w:uiPriority w:val="0"/>
    <w:pPr>
      <w:spacing w:line="240" w:lineRule="auto"/>
      <w:ind w:firstLine="0" w:firstLineChars="0"/>
      <w:jc w:val="center"/>
    </w:pPr>
    <w:rPr>
      <w:rFonts w:ascii="Times New Roman" w:hAnsi="Times New Roman" w:eastAsia="宋体" w:cs="Times New Roman"/>
      <w:sz w:val="21"/>
      <w:szCs w:val="28"/>
    </w:rPr>
  </w:style>
  <w:style w:type="character" w:customStyle="1" w:styleId="46">
    <w:name w:val="font01"/>
    <w:basedOn w:val="25"/>
    <w:qFormat/>
    <w:uiPriority w:val="0"/>
    <w:rPr>
      <w:rFonts w:hint="eastAsia" w:ascii="宋体" w:hAnsi="宋体" w:eastAsia="宋体" w:cs="宋体"/>
      <w:color w:val="000000"/>
      <w:sz w:val="22"/>
      <w:szCs w:val="22"/>
      <w:u w:val="none"/>
    </w:rPr>
  </w:style>
  <w:style w:type="paragraph" w:customStyle="1" w:styleId="47">
    <w:name w:val="样式 小四 段前: 5 磅 段后: 5 磅 首行缩进:  2 字符"/>
    <w:basedOn w:val="1"/>
    <w:qFormat/>
    <w:uiPriority w:val="0"/>
    <w:pPr>
      <w:spacing w:line="360" w:lineRule="auto"/>
    </w:pPr>
    <w:rPr>
      <w:rFonts w:ascii="宋体" w:hAnsi="宋体"/>
      <w:szCs w:val="21"/>
    </w:rPr>
  </w:style>
  <w:style w:type="paragraph" w:customStyle="1" w:styleId="48">
    <w:name w:val="样式 首行缩进:  2 字符"/>
    <w:basedOn w:val="1"/>
    <w:qFormat/>
    <w:uiPriority w:val="0"/>
    <w:pPr>
      <w:ind w:firstLine="560"/>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12257</Words>
  <Characters>13040</Characters>
  <Lines>32</Lines>
  <Paragraphs>58</Paragraphs>
  <TotalTime>1</TotalTime>
  <ScaleCrop>false</ScaleCrop>
  <LinksUpToDate>false</LinksUpToDate>
  <CharactersWithSpaces>13342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陈生瑞(不忘初心)</cp:lastModifiedBy>
  <cp:lastPrinted>2021-04-09T15:18:00Z</cp:lastPrinted>
  <dcterms:modified xsi:type="dcterms:W3CDTF">2025-07-10T13:04:37Z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53E56ABA48674C6B8C13E4CB0542057E_13</vt:lpwstr>
  </property>
  <property fmtid="{D5CDD505-2E9C-101B-9397-08002B2CF9AE}" pid="4" name="KSOTemplateDocerSaveRecord">
    <vt:lpwstr>eyJoZGlkIjoiOTIxODE3NjRhZDE3N2MwNzhlYjFkNTg4Y2MzMThmZTMiLCJ1c2VySWQiOiIyNDUxOTYyMzgifQ==</vt:lpwstr>
  </property>
</Properties>
</file>