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spacing w:before="169"/>
        <w:ind w:left="2015" w:right="1615" w:firstLine="0"/>
        <w:jc w:val="center"/>
        <w:rPr>
          <w:b/>
          <w:sz w:val="72"/>
        </w:rPr>
      </w:pPr>
      <w:r>
        <w:rPr>
          <w:b/>
          <w:sz w:val="72"/>
        </w:rPr>
        <w:t>竞争性磋商文件</w:t>
      </w:r>
    </w:p>
    <w:p>
      <w:pPr>
        <w:spacing w:before="562"/>
        <w:ind w:left="2015" w:right="1613" w:firstLine="0"/>
        <w:jc w:val="center"/>
        <w:rPr>
          <w:sz w:val="32"/>
        </w:rPr>
      </w:pPr>
      <w:r>
        <w:rPr>
          <w:sz w:val="32"/>
        </w:rPr>
        <w:t>(货物类）</w:t>
      </w:r>
    </w:p>
    <w:p>
      <w:pPr>
        <w:pStyle w:val="2"/>
        <w:ind w:left="0"/>
        <w:rPr>
          <w:sz w:val="32"/>
        </w:rPr>
      </w:pPr>
    </w:p>
    <w:p>
      <w:pPr>
        <w:pStyle w:val="2"/>
        <w:ind w:left="0"/>
        <w:rPr>
          <w:sz w:val="32"/>
        </w:rPr>
      </w:pPr>
    </w:p>
    <w:p>
      <w:pPr>
        <w:pStyle w:val="2"/>
        <w:ind w:left="0"/>
        <w:rPr>
          <w:sz w:val="32"/>
        </w:rPr>
      </w:pPr>
    </w:p>
    <w:p>
      <w:pPr>
        <w:pStyle w:val="2"/>
        <w:ind w:left="0"/>
        <w:rPr>
          <w:sz w:val="32"/>
        </w:rPr>
      </w:pPr>
    </w:p>
    <w:p>
      <w:pPr>
        <w:pStyle w:val="2"/>
        <w:ind w:left="0"/>
        <w:rPr>
          <w:sz w:val="32"/>
        </w:rPr>
      </w:pPr>
    </w:p>
    <w:p>
      <w:pPr>
        <w:pStyle w:val="2"/>
        <w:spacing w:before="8"/>
        <w:ind w:left="0"/>
        <w:rPr>
          <w:sz w:val="31"/>
        </w:rPr>
      </w:pPr>
    </w:p>
    <w:p>
      <w:pPr>
        <w:spacing w:before="0"/>
        <w:ind w:left="100" w:right="0" w:firstLine="0"/>
        <w:jc w:val="left"/>
        <w:rPr>
          <w:rFonts w:hint="eastAsia" w:eastAsia="宋体"/>
          <w:b/>
          <w:sz w:val="32"/>
          <w:lang w:eastAsia="zh-CN"/>
        </w:rPr>
      </w:pPr>
      <w:r>
        <w:rPr>
          <w:b/>
          <w:sz w:val="32"/>
        </w:rPr>
        <w:t>采购项目编号：</w:t>
      </w:r>
      <w:r>
        <w:rPr>
          <w:rFonts w:hint="eastAsia"/>
          <w:b/>
          <w:sz w:val="32"/>
          <w:lang w:eastAsia="zh-CN"/>
        </w:rPr>
        <w:t>鑫凤林竞磋（货物）2021-006号</w:t>
      </w:r>
    </w:p>
    <w:p>
      <w:pPr>
        <w:spacing w:before="219" w:line="400" w:lineRule="auto"/>
        <w:ind w:left="100" w:right="674" w:firstLine="0"/>
        <w:jc w:val="left"/>
        <w:rPr>
          <w:rFonts w:hint="eastAsia"/>
          <w:b/>
          <w:w w:val="90"/>
          <w:sz w:val="32"/>
          <w:lang w:eastAsia="zh-CN"/>
        </w:rPr>
      </w:pPr>
      <w:r>
        <w:rPr>
          <w:b/>
          <w:w w:val="90"/>
          <w:sz w:val="32"/>
        </w:rPr>
        <w:t>采购项目名称：</w:t>
      </w:r>
      <w:r>
        <w:rPr>
          <w:rFonts w:hint="eastAsia"/>
          <w:b/>
          <w:w w:val="90"/>
          <w:sz w:val="32"/>
          <w:lang w:eastAsia="zh-CN"/>
        </w:rPr>
        <w:t>预算联网监督系统建设项目</w:t>
      </w:r>
    </w:p>
    <w:p>
      <w:pPr>
        <w:spacing w:before="219" w:line="400" w:lineRule="auto"/>
        <w:ind w:left="100" w:right="674" w:firstLine="0"/>
        <w:jc w:val="left"/>
        <w:rPr>
          <w:rFonts w:hint="eastAsia" w:eastAsia="宋体"/>
          <w:b/>
          <w:sz w:val="32"/>
          <w:lang w:eastAsia="zh-CN"/>
        </w:rPr>
      </w:pPr>
      <w:r>
        <w:rPr>
          <w:b/>
          <w:sz w:val="32"/>
        </w:rPr>
        <w:t>采购人：</w:t>
      </w:r>
      <w:r>
        <w:rPr>
          <w:rFonts w:hint="eastAsia"/>
          <w:b/>
          <w:sz w:val="32"/>
          <w:lang w:eastAsia="zh-CN"/>
        </w:rPr>
        <w:t>杂多县人民代表大会常务委员会办公室</w:t>
      </w:r>
    </w:p>
    <w:p>
      <w:pPr>
        <w:spacing w:before="6"/>
        <w:ind w:left="100" w:right="0" w:firstLine="0"/>
        <w:jc w:val="left"/>
        <w:rPr>
          <w:rFonts w:hint="eastAsia" w:eastAsia="宋体"/>
          <w:b/>
          <w:sz w:val="32"/>
          <w:lang w:eastAsia="zh-CN"/>
        </w:rPr>
      </w:pPr>
      <w:r>
        <w:rPr>
          <w:b/>
          <w:sz w:val="32"/>
        </w:rPr>
        <w:t>采购代理机构：</w:t>
      </w:r>
      <w:r>
        <w:rPr>
          <w:rFonts w:hint="eastAsia"/>
          <w:b/>
          <w:sz w:val="32"/>
          <w:lang w:eastAsia="zh-CN"/>
        </w:rPr>
        <w:t>青海鑫凤林项目管理咨询有限公司　</w:t>
      </w:r>
    </w:p>
    <w:p>
      <w:pPr>
        <w:pStyle w:val="2"/>
        <w:ind w:left="0"/>
        <w:rPr>
          <w:b/>
          <w:sz w:val="32"/>
        </w:rPr>
      </w:pPr>
    </w:p>
    <w:p>
      <w:pPr>
        <w:pStyle w:val="2"/>
        <w:ind w:left="0"/>
        <w:rPr>
          <w:b/>
          <w:sz w:val="32"/>
        </w:rPr>
      </w:pPr>
    </w:p>
    <w:p>
      <w:pPr>
        <w:spacing w:before="287"/>
        <w:ind w:left="5615" w:right="0" w:firstLine="0"/>
        <w:jc w:val="left"/>
        <w:rPr>
          <w:b/>
          <w:sz w:val="32"/>
        </w:rPr>
      </w:pPr>
      <w:r>
        <w:rPr>
          <w:b/>
          <w:sz w:val="32"/>
        </w:rPr>
        <w:t>2021年</w:t>
      </w:r>
      <w:r>
        <w:rPr>
          <w:rFonts w:hint="eastAsia"/>
          <w:b/>
          <w:sz w:val="32"/>
          <w:lang w:val="en-US" w:eastAsia="zh-CN"/>
        </w:rPr>
        <w:t>11</w:t>
      </w:r>
      <w:r>
        <w:rPr>
          <w:b/>
          <w:sz w:val="32"/>
        </w:rPr>
        <w:t>月</w:t>
      </w:r>
    </w:p>
    <w:p>
      <w:pPr>
        <w:spacing w:after="0"/>
        <w:jc w:val="left"/>
        <w:rPr>
          <w:sz w:val="32"/>
        </w:rPr>
        <w:sectPr>
          <w:type w:val="continuous"/>
          <w:pgSz w:w="11850" w:h="16790"/>
          <w:pgMar w:top="1580" w:right="1660" w:bottom="280" w:left="1460" w:header="720" w:footer="720" w:gutter="0"/>
          <w:pgBorders>
            <w:top w:val="none" w:sz="0" w:space="0"/>
            <w:left w:val="none" w:sz="0" w:space="0"/>
            <w:bottom w:val="none" w:sz="0" w:space="0"/>
            <w:right w:val="none" w:sz="0" w:space="0"/>
          </w:pgBorders>
          <w:pgNumType w:fmt="decimal"/>
          <w:cols w:space="720" w:num="1"/>
        </w:sectPr>
      </w:pPr>
    </w:p>
    <w:p>
      <w:pPr>
        <w:pStyle w:val="2"/>
        <w:spacing w:before="4"/>
        <w:ind w:left="0"/>
        <w:rPr>
          <w:rFonts w:hint="eastAsia" w:ascii="宋体" w:hAnsi="宋体" w:eastAsia="宋体" w:cs="宋体"/>
          <w:b/>
          <w:sz w:val="32"/>
          <w:szCs w:val="22"/>
          <w:lang w:val="zh-CN" w:eastAsia="zh-CN" w:bidi="zh-CN"/>
        </w:rPr>
      </w:pPr>
    </w:p>
    <w:sdt>
      <w:sdtPr>
        <w:rPr>
          <w:rFonts w:ascii="宋体" w:hAnsi="宋体" w:eastAsia="宋体" w:cs="宋体"/>
          <w:sz w:val="21"/>
          <w:szCs w:val="22"/>
          <w:lang w:val="zh-CN" w:eastAsia="zh-CN" w:bidi="zh-CN"/>
        </w:rPr>
        <w:id w:val="147482219"/>
        <w15:color w:val="DBDBDB"/>
        <w:docPartObj>
          <w:docPartGallery w:val="Table of Contents"/>
          <w:docPartUnique/>
        </w:docPartObj>
      </w:sdtPr>
      <w:sdtEndPr>
        <w:rPr>
          <w:rFonts w:ascii="宋体" w:hAnsi="宋体" w:eastAsia="宋体" w:cs="宋体"/>
          <w:sz w:val="22"/>
          <w:szCs w:val="22"/>
          <w:lang w:val="zh-CN" w:eastAsia="zh-CN" w:bidi="zh-CN"/>
        </w:rPr>
      </w:sdtEndPr>
      <w:sdtContent>
        <w:p>
          <w:pPr>
            <w:spacing w:before="0" w:beforeLines="0" w:after="0" w:afterLines="0" w:line="480" w:lineRule="auto"/>
            <w:ind w:left="0" w:leftChars="0" w:right="0" w:rightChars="0" w:firstLine="0" w:firstLineChars="0"/>
            <w:jc w:val="center"/>
            <w:rPr>
              <w:rFonts w:hint="eastAsia" w:ascii="宋体" w:hAnsi="宋体" w:eastAsia="宋体" w:cs="宋体"/>
              <w:sz w:val="28"/>
              <w:szCs w:val="28"/>
            </w:rPr>
          </w:pPr>
          <w:r>
            <w:rPr>
              <w:rFonts w:hint="eastAsia" w:ascii="宋体" w:hAnsi="宋体" w:eastAsia="宋体" w:cs="宋体"/>
              <w:sz w:val="28"/>
              <w:szCs w:val="28"/>
            </w:rPr>
            <w:t>目录</w:t>
          </w:r>
        </w:p>
        <w:p>
          <w:pPr>
            <w:pStyle w:val="23"/>
            <w:tabs>
              <w:tab w:val="right" w:pos="3200"/>
              <w:tab w:val="right" w:leader="dot" w:pos="8950"/>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_Toc30765 </w:instrText>
          </w:r>
          <w:r>
            <w:rPr>
              <w:rFonts w:hint="eastAsia" w:ascii="宋体" w:hAnsi="宋体" w:eastAsia="宋体" w:cs="宋体"/>
              <w:sz w:val="28"/>
              <w:szCs w:val="28"/>
            </w:rPr>
            <w:fldChar w:fldCharType="separate"/>
          </w:r>
          <w:r>
            <w:rPr>
              <w:rFonts w:hint="eastAsia" w:ascii="宋体" w:hAnsi="宋体" w:eastAsia="宋体" w:cs="宋体"/>
              <w:sz w:val="28"/>
              <w:szCs w:val="28"/>
            </w:rPr>
            <w:t>第一部分磋商邀请</w:t>
          </w: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_Toc30765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pos="3200"/>
              <w:tab w:val="right" w:leader="dot" w:pos="8950"/>
            </w:tabs>
            <w:spacing w:line="48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第二部分供应商须知.........................................4</w:t>
          </w:r>
        </w:p>
        <w:p>
          <w:pPr>
            <w:pStyle w:val="23"/>
            <w:tabs>
              <w:tab w:val="right" w:pos="3200"/>
              <w:tab w:val="right" w:leader="dot" w:pos="8950"/>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_Toc17223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zh-CN" w:eastAsia="zh-CN" w:bidi="zh-CN"/>
            </w:rPr>
            <w:t>第三部分</w:t>
          </w:r>
          <w:r>
            <w:rPr>
              <w:rFonts w:hint="eastAsia" w:ascii="宋体" w:hAnsi="宋体" w:eastAsia="宋体" w:cs="宋体"/>
              <w:bCs/>
              <w:sz w:val="28"/>
              <w:szCs w:val="28"/>
              <w:lang w:val="zh-CN" w:eastAsia="zh-CN" w:bidi="zh-CN"/>
            </w:rPr>
            <w:tab/>
          </w:r>
          <w:r>
            <w:rPr>
              <w:rFonts w:hint="eastAsia" w:ascii="宋体" w:hAnsi="宋体" w:eastAsia="宋体" w:cs="宋体"/>
              <w:bCs/>
              <w:sz w:val="28"/>
              <w:szCs w:val="28"/>
              <w:lang w:val="zh-CN" w:eastAsia="zh-CN" w:bidi="zh-CN"/>
            </w:rPr>
            <w:t>青海省政府采购项目合同书范本</w:t>
          </w:r>
          <w:r>
            <w:rPr>
              <w:rFonts w:hint="eastAsia" w:ascii="宋体" w:hAnsi="宋体" w:eastAsia="宋体" w:cs="宋体"/>
              <w:bCs/>
              <w:sz w:val="28"/>
              <w:szCs w:val="28"/>
              <w:lang w:val="en-US" w:eastAsia="zh-CN" w:bidi="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_Toc17223 \h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pos="3200"/>
              <w:tab w:val="right" w:leader="dot" w:pos="8950"/>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_Toc20387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zh-CN" w:eastAsia="zh-CN" w:bidi="zh-CN"/>
            </w:rPr>
            <w:t>第四部分</w:t>
          </w:r>
          <w:r>
            <w:rPr>
              <w:rFonts w:hint="eastAsia" w:ascii="宋体" w:hAnsi="宋体" w:eastAsia="宋体" w:cs="宋体"/>
              <w:bCs/>
              <w:sz w:val="28"/>
              <w:szCs w:val="28"/>
              <w:lang w:val="zh-CN" w:eastAsia="zh-CN" w:bidi="zh-CN"/>
            </w:rPr>
            <w:tab/>
          </w:r>
          <w:r>
            <w:rPr>
              <w:rFonts w:hint="eastAsia" w:ascii="宋体" w:hAnsi="宋体" w:eastAsia="宋体" w:cs="宋体"/>
              <w:bCs/>
              <w:sz w:val="28"/>
              <w:szCs w:val="28"/>
              <w:lang w:val="zh-CN" w:eastAsia="zh-CN" w:bidi="zh-CN"/>
            </w:rPr>
            <w:t>响应文件格式</w:t>
          </w: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_Toc20387 \h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pos="3200"/>
              <w:tab w:val="right" w:leader="dot" w:pos="8950"/>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_Toc10561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zh-CN" w:eastAsia="zh-CN" w:bidi="zh-CN"/>
            </w:rPr>
            <w:t>第五部分</w:t>
          </w:r>
          <w:r>
            <w:rPr>
              <w:rFonts w:hint="eastAsia" w:ascii="宋体" w:hAnsi="宋体" w:eastAsia="宋体" w:cs="宋体"/>
              <w:bCs/>
              <w:sz w:val="28"/>
              <w:szCs w:val="28"/>
              <w:lang w:val="zh-CN" w:eastAsia="zh-CN" w:bidi="zh-CN"/>
            </w:rPr>
            <w:tab/>
          </w:r>
          <w:r>
            <w:rPr>
              <w:rFonts w:hint="eastAsia" w:ascii="宋体" w:hAnsi="宋体" w:eastAsia="宋体" w:cs="宋体"/>
              <w:bCs/>
              <w:sz w:val="28"/>
              <w:szCs w:val="28"/>
              <w:lang w:val="zh-CN" w:eastAsia="zh-CN" w:bidi="zh-CN"/>
            </w:rPr>
            <w:t>采购项目要求及技术参数</w:t>
          </w: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_Toc10561 \h </w:instrText>
          </w:r>
          <w:r>
            <w:rPr>
              <w:rFonts w:hint="eastAsia" w:ascii="宋体" w:hAnsi="宋体" w:eastAsia="宋体" w:cs="宋体"/>
              <w:sz w:val="28"/>
              <w:szCs w:val="28"/>
            </w:rPr>
            <w:fldChar w:fldCharType="separate"/>
          </w:r>
          <w:r>
            <w:rPr>
              <w:rFonts w:hint="eastAsia" w:ascii="宋体" w:hAnsi="宋体" w:eastAsia="宋体" w:cs="宋体"/>
              <w:sz w:val="28"/>
              <w:szCs w:val="28"/>
            </w:rPr>
            <w:t>52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spacing w:after="0"/>
            <w:jc w:val="center"/>
            <w:rPr>
              <w:rFonts w:ascii="宋体" w:hAnsi="宋体" w:eastAsia="宋体" w:cs="宋体"/>
              <w:sz w:val="22"/>
              <w:szCs w:val="22"/>
              <w:lang w:val="zh-CN" w:eastAsia="zh-CN" w:bidi="zh-CN"/>
            </w:rPr>
          </w:pPr>
          <w:r>
            <w:rPr>
              <w:rFonts w:hint="eastAsia" w:ascii="宋体" w:hAnsi="宋体" w:eastAsia="宋体" w:cs="宋体"/>
              <w:sz w:val="28"/>
              <w:szCs w:val="28"/>
            </w:rPr>
            <w:fldChar w:fldCharType="end"/>
          </w:r>
        </w:p>
      </w:sdtContent>
    </w:sdt>
    <w:p>
      <w:pPr>
        <w:pStyle w:val="2"/>
        <w:sectPr>
          <w:footerReference r:id="rId5" w:type="default"/>
          <w:pgSz w:w="11850" w:h="16790"/>
          <w:pgMar w:top="1420" w:right="1240" w:bottom="1699" w:left="1660" w:header="720" w:footer="720" w:gutter="0"/>
          <w:pgBorders>
            <w:top w:val="none" w:sz="0" w:space="0"/>
            <w:left w:val="none" w:sz="0" w:space="0"/>
            <w:bottom w:val="none" w:sz="0" w:space="0"/>
            <w:right w:val="none" w:sz="0" w:space="0"/>
          </w:pgBorders>
          <w:pgNumType w:fmt="decimal" w:start="1"/>
          <w:cols w:space="720" w:num="1"/>
        </w:sectPr>
      </w:pPr>
    </w:p>
    <w:p>
      <w:pPr>
        <w:pStyle w:val="5"/>
        <w:tabs>
          <w:tab w:val="left" w:pos="1809"/>
        </w:tabs>
        <w:spacing w:before="31"/>
        <w:ind w:left="1"/>
        <w:outlineLvl w:val="0"/>
      </w:pPr>
      <w:bookmarkStart w:id="0" w:name="第一部分  磋商邀请"/>
      <w:bookmarkEnd w:id="0"/>
      <w:bookmarkStart w:id="1" w:name="_Toc27386"/>
      <w:r>
        <w:t>第一部分</w:t>
      </w:r>
      <w:r>
        <w:tab/>
      </w:r>
      <w:r>
        <w:t>磋商邀请</w:t>
      </w:r>
      <w:bookmarkEnd w:id="1"/>
    </w:p>
    <w:p>
      <w:pPr>
        <w:pStyle w:val="2"/>
        <w:spacing w:before="7" w:line="242" w:lineRule="auto"/>
        <w:ind w:right="287" w:firstLine="561"/>
      </w:pPr>
      <w:r>
        <w:rPr>
          <w:rFonts w:hint="eastAsia"/>
          <w:lang w:eastAsia="zh-CN"/>
        </w:rPr>
        <w:t>青海鑫凤林项目管理咨询有限公司</w:t>
      </w:r>
      <w:r>
        <w:t>（以下均简称“采购代理机构”）受</w:t>
      </w:r>
      <w:r>
        <w:rPr>
          <w:rFonts w:hint="eastAsia"/>
          <w:lang w:eastAsia="zh-CN"/>
        </w:rPr>
        <w:t>杂多县人民代表大会常务委员会办公室</w:t>
      </w:r>
      <w:r>
        <w:t>（以下均简称“采购人”）委托,拟对</w:t>
      </w:r>
      <w:r>
        <w:rPr>
          <w:rFonts w:hint="eastAsia"/>
          <w:lang w:eastAsia="zh-CN"/>
        </w:rPr>
        <w:t>预算联网监督系统建设项目</w:t>
      </w:r>
      <w:r>
        <w:t>（</w:t>
      </w:r>
      <w:r>
        <w:rPr>
          <w:rFonts w:hint="eastAsia"/>
          <w:lang w:eastAsia="zh-CN"/>
        </w:rPr>
        <w:t>鑫凤林竞磋（货物）2021-006号</w:t>
      </w:r>
      <w:r>
        <w:t>）进行国内竞争性磋商，现予以公告，欢迎潜在的供应商参加本次政府采购活动。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1"/>
        <w:gridCol w:w="7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2" w:line="240" w:lineRule="auto"/>
              <w:ind w:left="107" w:leftChars="0" w:right="0" w:rightChars="0"/>
              <w:jc w:val="center"/>
              <w:rPr>
                <w:vertAlign w:val="baseline"/>
              </w:rPr>
            </w:pPr>
            <w:r>
              <w:rPr>
                <w:sz w:val="28"/>
              </w:rPr>
              <w:t>采购项目编号</w:t>
            </w:r>
          </w:p>
        </w:tc>
        <w:tc>
          <w:tcPr>
            <w:tcW w:w="7735" w:type="dxa"/>
            <w:vAlign w:val="top"/>
          </w:tcPr>
          <w:p>
            <w:pPr>
              <w:pStyle w:val="21"/>
              <w:spacing w:before="2" w:line="240" w:lineRule="auto"/>
              <w:ind w:left="107" w:leftChars="0" w:right="0" w:rightChars="0"/>
              <w:jc w:val="left"/>
              <w:rPr>
                <w:vertAlign w:val="baseline"/>
              </w:rPr>
            </w:pPr>
            <w:r>
              <w:rPr>
                <w:rFonts w:hint="eastAsia"/>
                <w:sz w:val="28"/>
                <w:lang w:eastAsia="zh-CN"/>
              </w:rPr>
              <w:t>鑫凤林竞磋（货物）2021-006号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41" w:line="240" w:lineRule="auto"/>
              <w:ind w:left="107" w:leftChars="0" w:right="0" w:rightChars="0"/>
              <w:jc w:val="center"/>
              <w:rPr>
                <w:vertAlign w:val="baseline"/>
              </w:rPr>
            </w:pPr>
            <w:r>
              <w:rPr>
                <w:sz w:val="28"/>
              </w:rPr>
              <w:t>采购项目名称</w:t>
            </w:r>
          </w:p>
        </w:tc>
        <w:tc>
          <w:tcPr>
            <w:tcW w:w="7735" w:type="dxa"/>
            <w:vAlign w:val="top"/>
          </w:tcPr>
          <w:p>
            <w:pPr>
              <w:pStyle w:val="21"/>
              <w:spacing w:before="82" w:line="240" w:lineRule="auto"/>
              <w:ind w:left="107" w:leftChars="0" w:right="0" w:rightChars="0"/>
              <w:jc w:val="left"/>
              <w:rPr>
                <w:vertAlign w:val="baseline"/>
              </w:rPr>
            </w:pPr>
            <w:r>
              <w:rPr>
                <w:rFonts w:hint="eastAsia"/>
                <w:sz w:val="28"/>
                <w:lang w:eastAsia="zh-CN"/>
              </w:rPr>
              <w:t>预算联网监督系统建设项目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41" w:line="240" w:lineRule="auto"/>
              <w:ind w:left="107" w:leftChars="0" w:right="0" w:rightChars="0"/>
              <w:jc w:val="center"/>
              <w:rPr>
                <w:vertAlign w:val="baseline"/>
              </w:rPr>
            </w:pPr>
            <w:r>
              <w:rPr>
                <w:sz w:val="28"/>
              </w:rPr>
              <w:t>采购方式</w:t>
            </w:r>
          </w:p>
        </w:tc>
        <w:tc>
          <w:tcPr>
            <w:tcW w:w="7735" w:type="dxa"/>
            <w:vAlign w:val="top"/>
          </w:tcPr>
          <w:p>
            <w:pPr>
              <w:pStyle w:val="21"/>
              <w:spacing w:before="82" w:line="240" w:lineRule="auto"/>
              <w:ind w:left="107" w:leftChars="0" w:right="0" w:rightChars="0"/>
              <w:jc w:val="left"/>
              <w:rPr>
                <w:vertAlign w:val="baseline"/>
              </w:rPr>
            </w:pPr>
            <w:r>
              <w:rPr>
                <w:sz w:val="28"/>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42" w:line="240" w:lineRule="auto"/>
              <w:ind w:left="107" w:leftChars="0" w:right="0" w:rightChars="0"/>
              <w:jc w:val="center"/>
              <w:rPr>
                <w:vertAlign w:val="baseline"/>
              </w:rPr>
            </w:pPr>
            <w:r>
              <w:rPr>
                <w:sz w:val="28"/>
              </w:rPr>
              <w:t>采购预算额度</w:t>
            </w:r>
          </w:p>
        </w:tc>
        <w:tc>
          <w:tcPr>
            <w:tcW w:w="7735" w:type="dxa"/>
            <w:vAlign w:val="top"/>
          </w:tcPr>
          <w:p>
            <w:pPr>
              <w:pStyle w:val="21"/>
              <w:spacing w:before="82" w:line="240" w:lineRule="auto"/>
              <w:ind w:left="107" w:leftChars="0" w:right="0" w:rightChars="0"/>
              <w:jc w:val="left"/>
              <w:rPr>
                <w:vertAlign w:val="baseline"/>
              </w:rPr>
            </w:pPr>
            <w:r>
              <w:rPr>
                <w:rFonts w:hint="eastAsia"/>
                <w:sz w:val="28"/>
                <w:highlight w:val="none"/>
                <w:shd w:val="clear"/>
                <w:lang w:val="en-US" w:eastAsia="zh-CN"/>
              </w:rPr>
              <w:t>900000.00</w:t>
            </w:r>
            <w:r>
              <w:rPr>
                <w:sz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42" w:line="240" w:lineRule="auto"/>
              <w:ind w:left="107" w:leftChars="0" w:right="0" w:rightChars="0"/>
              <w:jc w:val="center"/>
              <w:rPr>
                <w:vertAlign w:val="baseline"/>
              </w:rPr>
            </w:pPr>
            <w:r>
              <w:rPr>
                <w:sz w:val="28"/>
              </w:rPr>
              <w:t>项目分包数</w:t>
            </w:r>
          </w:p>
        </w:tc>
        <w:tc>
          <w:tcPr>
            <w:tcW w:w="7735" w:type="dxa"/>
            <w:vAlign w:val="top"/>
          </w:tcPr>
          <w:p>
            <w:pPr>
              <w:pStyle w:val="21"/>
              <w:spacing w:before="83" w:line="240" w:lineRule="auto"/>
              <w:ind w:left="107" w:leftChars="0" w:right="0" w:rightChars="0"/>
              <w:jc w:val="left"/>
              <w:rPr>
                <w:vertAlign w:val="baseline"/>
              </w:rPr>
            </w:pPr>
            <w:r>
              <w:rPr>
                <w:w w:val="100"/>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3" w:line="240" w:lineRule="auto"/>
              <w:ind w:left="107" w:leftChars="0" w:right="0" w:rightChars="0"/>
              <w:jc w:val="center"/>
              <w:rPr>
                <w:vertAlign w:val="baseline"/>
              </w:rPr>
            </w:pPr>
            <w:r>
              <w:rPr>
                <w:sz w:val="28"/>
              </w:rPr>
              <w:t>各包要求</w:t>
            </w:r>
          </w:p>
        </w:tc>
        <w:tc>
          <w:tcPr>
            <w:tcW w:w="7735" w:type="dxa"/>
            <w:vAlign w:val="top"/>
          </w:tcPr>
          <w:p>
            <w:pPr>
              <w:pStyle w:val="21"/>
              <w:spacing w:before="3" w:line="240" w:lineRule="auto"/>
              <w:ind w:left="107" w:leftChars="0" w:right="0" w:rightChars="0"/>
              <w:jc w:val="left"/>
              <w:rPr>
                <w:vertAlign w:val="baseline"/>
              </w:rPr>
            </w:pPr>
            <w:r>
              <w:rPr>
                <w:sz w:val="28"/>
              </w:rPr>
              <w:t>具体内容详见《磋商文件》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line="240" w:lineRule="auto"/>
              <w:jc w:val="center"/>
              <w:rPr>
                <w:sz w:val="28"/>
              </w:rPr>
            </w:pPr>
          </w:p>
          <w:p>
            <w:pPr>
              <w:pStyle w:val="21"/>
              <w:spacing w:line="240" w:lineRule="auto"/>
              <w:jc w:val="center"/>
              <w:rPr>
                <w:sz w:val="28"/>
              </w:rPr>
            </w:pPr>
          </w:p>
          <w:p>
            <w:pPr>
              <w:pStyle w:val="21"/>
              <w:spacing w:line="240" w:lineRule="auto"/>
              <w:jc w:val="center"/>
              <w:rPr>
                <w:sz w:val="28"/>
              </w:rPr>
            </w:pPr>
          </w:p>
          <w:p>
            <w:pPr>
              <w:pStyle w:val="21"/>
              <w:spacing w:line="240" w:lineRule="auto"/>
              <w:jc w:val="center"/>
              <w:rPr>
                <w:sz w:val="28"/>
              </w:rPr>
            </w:pPr>
          </w:p>
          <w:p>
            <w:pPr>
              <w:pStyle w:val="21"/>
              <w:spacing w:line="240" w:lineRule="auto"/>
              <w:jc w:val="center"/>
              <w:rPr>
                <w:sz w:val="28"/>
              </w:rPr>
            </w:pPr>
          </w:p>
          <w:p>
            <w:pPr>
              <w:pStyle w:val="21"/>
              <w:spacing w:line="240" w:lineRule="auto"/>
              <w:jc w:val="center"/>
              <w:rPr>
                <w:sz w:val="28"/>
              </w:rPr>
            </w:pPr>
          </w:p>
          <w:p>
            <w:pPr>
              <w:pStyle w:val="21"/>
              <w:spacing w:line="240" w:lineRule="auto"/>
              <w:jc w:val="center"/>
              <w:rPr>
                <w:sz w:val="28"/>
              </w:rPr>
            </w:pPr>
          </w:p>
          <w:p>
            <w:pPr>
              <w:pStyle w:val="21"/>
              <w:spacing w:line="240" w:lineRule="auto"/>
              <w:jc w:val="center"/>
              <w:rPr>
                <w:sz w:val="28"/>
              </w:rPr>
            </w:pPr>
          </w:p>
          <w:p>
            <w:pPr>
              <w:pStyle w:val="21"/>
              <w:spacing w:line="240" w:lineRule="auto"/>
              <w:jc w:val="center"/>
              <w:rPr>
                <w:sz w:val="28"/>
              </w:rPr>
            </w:pPr>
          </w:p>
          <w:p>
            <w:pPr>
              <w:pStyle w:val="21"/>
              <w:spacing w:line="240" w:lineRule="auto"/>
              <w:jc w:val="center"/>
              <w:rPr>
                <w:sz w:val="28"/>
              </w:rPr>
            </w:pPr>
          </w:p>
          <w:p>
            <w:pPr>
              <w:pStyle w:val="21"/>
              <w:spacing w:line="240" w:lineRule="auto"/>
              <w:jc w:val="center"/>
              <w:rPr>
                <w:sz w:val="28"/>
              </w:rPr>
            </w:pPr>
          </w:p>
          <w:p>
            <w:pPr>
              <w:pStyle w:val="21"/>
              <w:spacing w:before="4" w:line="240" w:lineRule="auto"/>
              <w:jc w:val="center"/>
              <w:rPr>
                <w:sz w:val="32"/>
              </w:rPr>
            </w:pPr>
          </w:p>
          <w:p>
            <w:pPr>
              <w:pStyle w:val="21"/>
              <w:spacing w:line="240" w:lineRule="auto"/>
              <w:ind w:left="107" w:leftChars="0" w:right="0" w:rightChars="0"/>
              <w:jc w:val="center"/>
              <w:rPr>
                <w:vertAlign w:val="baseline"/>
              </w:rPr>
            </w:pPr>
            <w:r>
              <w:rPr>
                <w:sz w:val="28"/>
              </w:rPr>
              <w:t>供应商资格要求</w:t>
            </w:r>
          </w:p>
        </w:tc>
        <w:tc>
          <w:tcPr>
            <w:tcW w:w="7735" w:type="dxa"/>
            <w:vAlign w:val="top"/>
          </w:tcPr>
          <w:p>
            <w:pPr>
              <w:pStyle w:val="21"/>
              <w:spacing w:before="2" w:line="240" w:lineRule="auto"/>
              <w:ind w:right="90"/>
              <w:jc w:val="left"/>
              <w:rPr>
                <w:sz w:val="28"/>
              </w:rPr>
            </w:pPr>
            <w:r>
              <w:rPr>
                <w:spacing w:val="5"/>
                <w:sz w:val="28"/>
              </w:rPr>
              <w:t>1</w:t>
            </w:r>
            <w:r>
              <w:rPr>
                <w:spacing w:val="6"/>
                <w:sz w:val="28"/>
              </w:rPr>
              <w:t>、符合《政府采购法》第</w:t>
            </w:r>
            <w:r>
              <w:rPr>
                <w:spacing w:val="3"/>
                <w:sz w:val="28"/>
              </w:rPr>
              <w:t>22</w:t>
            </w:r>
            <w:r>
              <w:rPr>
                <w:spacing w:val="4"/>
                <w:sz w:val="28"/>
              </w:rPr>
              <w:t>条条件，并提供下列材</w:t>
            </w:r>
            <w:r>
              <w:rPr>
                <w:sz w:val="28"/>
              </w:rPr>
              <w:t>料：</w:t>
            </w:r>
          </w:p>
          <w:p>
            <w:pPr>
              <w:pStyle w:val="21"/>
              <w:spacing w:line="240" w:lineRule="auto"/>
              <w:ind w:right="90"/>
              <w:jc w:val="left"/>
              <w:rPr>
                <w:sz w:val="28"/>
              </w:rPr>
            </w:pPr>
            <w:r>
              <w:rPr>
                <w:rFonts w:hint="eastAsia"/>
                <w:sz w:val="28"/>
                <w:lang w:eastAsia="zh-CN"/>
              </w:rPr>
              <w:t>（</w:t>
            </w:r>
            <w:r>
              <w:rPr>
                <w:rFonts w:hint="eastAsia"/>
                <w:sz w:val="28"/>
                <w:lang w:val="en-US" w:eastAsia="zh-CN"/>
              </w:rPr>
              <w:t>1</w:t>
            </w:r>
            <w:r>
              <w:rPr>
                <w:rFonts w:hint="eastAsia"/>
                <w:sz w:val="28"/>
                <w:lang w:eastAsia="zh-CN"/>
              </w:rPr>
              <w:t>）</w:t>
            </w:r>
            <w:r>
              <w:rPr>
                <w:spacing w:val="3"/>
                <w:sz w:val="28"/>
              </w:rPr>
              <w:t>供应商的营业执照等证明文件，自然人的身份证</w:t>
            </w:r>
            <w:r>
              <w:rPr>
                <w:sz w:val="28"/>
              </w:rPr>
              <w:t>明。</w:t>
            </w:r>
          </w:p>
          <w:p>
            <w:pPr>
              <w:pStyle w:val="21"/>
              <w:spacing w:line="240" w:lineRule="auto"/>
              <w:ind w:right="90"/>
              <w:jc w:val="left"/>
              <w:rPr>
                <w:sz w:val="28"/>
              </w:rPr>
            </w:pPr>
            <w:r>
              <w:rPr>
                <w:rFonts w:hint="eastAsia"/>
                <w:sz w:val="28"/>
                <w:lang w:eastAsia="zh-CN"/>
              </w:rPr>
              <w:t>（</w:t>
            </w:r>
            <w:r>
              <w:rPr>
                <w:rFonts w:hint="eastAsia"/>
                <w:sz w:val="28"/>
                <w:lang w:val="en-US" w:eastAsia="zh-CN"/>
              </w:rPr>
              <w:t>2</w:t>
            </w:r>
            <w:r>
              <w:rPr>
                <w:rFonts w:hint="eastAsia"/>
                <w:sz w:val="28"/>
                <w:lang w:eastAsia="zh-CN"/>
              </w:rPr>
              <w:t>）</w:t>
            </w:r>
            <w:r>
              <w:rPr>
                <w:sz w:val="28"/>
              </w:rPr>
              <w:t>财务状况报告，依法缴纳税收和社会保障资金的相关材料。</w:t>
            </w:r>
          </w:p>
          <w:p>
            <w:pPr>
              <w:pStyle w:val="21"/>
              <w:spacing w:line="240" w:lineRule="auto"/>
              <w:ind w:right="90"/>
              <w:jc w:val="left"/>
              <w:rPr>
                <w:sz w:val="28"/>
              </w:rPr>
            </w:pPr>
            <w:r>
              <w:rPr>
                <w:rFonts w:hint="eastAsia"/>
                <w:sz w:val="28"/>
                <w:lang w:eastAsia="zh-CN"/>
              </w:rPr>
              <w:t>（</w:t>
            </w:r>
            <w:r>
              <w:rPr>
                <w:rFonts w:hint="eastAsia"/>
                <w:sz w:val="28"/>
                <w:lang w:val="en-US" w:eastAsia="zh-CN"/>
              </w:rPr>
              <w:t>3</w:t>
            </w:r>
            <w:r>
              <w:rPr>
                <w:rFonts w:hint="eastAsia"/>
                <w:sz w:val="28"/>
                <w:lang w:eastAsia="zh-CN"/>
              </w:rPr>
              <w:t>）</w:t>
            </w:r>
            <w:r>
              <w:rPr>
                <w:sz w:val="28"/>
              </w:rPr>
              <w:t>具备履行合同所必需的设备和专业技术能力的证明材料。</w:t>
            </w:r>
          </w:p>
          <w:p>
            <w:pPr>
              <w:pStyle w:val="21"/>
              <w:spacing w:line="240" w:lineRule="auto"/>
              <w:ind w:right="90"/>
              <w:jc w:val="left"/>
              <w:rPr>
                <w:sz w:val="28"/>
              </w:rPr>
            </w:pPr>
            <w:r>
              <w:rPr>
                <w:rFonts w:hint="eastAsia"/>
                <w:sz w:val="28"/>
                <w:lang w:eastAsia="zh-CN"/>
              </w:rPr>
              <w:t>（</w:t>
            </w:r>
            <w:r>
              <w:rPr>
                <w:rFonts w:hint="eastAsia"/>
                <w:sz w:val="28"/>
                <w:lang w:val="en-US" w:eastAsia="zh-CN"/>
              </w:rPr>
              <w:t>4</w:t>
            </w:r>
            <w:r>
              <w:rPr>
                <w:rFonts w:hint="eastAsia"/>
                <w:sz w:val="28"/>
                <w:lang w:eastAsia="zh-CN"/>
              </w:rPr>
              <w:t>）</w:t>
            </w:r>
            <w:r>
              <w:rPr>
                <w:sz w:val="28"/>
              </w:rPr>
              <w:t>参加政府采购活动前3年内在经营活动中没有重大违法记录的书面声明。</w:t>
            </w:r>
          </w:p>
          <w:p>
            <w:pPr>
              <w:pStyle w:val="21"/>
              <w:spacing w:line="240" w:lineRule="auto"/>
              <w:ind w:right="90"/>
              <w:jc w:val="left"/>
              <w:rPr>
                <w:sz w:val="28"/>
              </w:rPr>
            </w:pPr>
            <w:r>
              <w:rPr>
                <w:rFonts w:hint="eastAsia"/>
                <w:sz w:val="28"/>
                <w:lang w:eastAsia="zh-CN"/>
              </w:rPr>
              <w:t>（</w:t>
            </w:r>
            <w:r>
              <w:rPr>
                <w:rFonts w:hint="eastAsia"/>
                <w:sz w:val="28"/>
                <w:lang w:val="en-US" w:eastAsia="zh-CN"/>
              </w:rPr>
              <w:t>5</w:t>
            </w:r>
            <w:r>
              <w:rPr>
                <w:rFonts w:hint="eastAsia"/>
                <w:sz w:val="28"/>
                <w:lang w:eastAsia="zh-CN"/>
              </w:rPr>
              <w:t>）</w:t>
            </w:r>
            <w:r>
              <w:rPr>
                <w:sz w:val="28"/>
              </w:rPr>
              <w:t>具备法律、行政法规规定的其他条件的证明材料。</w:t>
            </w:r>
          </w:p>
          <w:p>
            <w:pPr>
              <w:pStyle w:val="21"/>
              <w:spacing w:line="240" w:lineRule="auto"/>
              <w:ind w:right="90"/>
              <w:jc w:val="left"/>
              <w:rPr>
                <w:sz w:val="28"/>
              </w:rPr>
            </w:pPr>
            <w:r>
              <w:rPr>
                <w:sz w:val="28"/>
              </w:rPr>
              <w:t>2、经信用中国（</w:t>
            </w:r>
            <w:r>
              <w:fldChar w:fldCharType="begin"/>
            </w:r>
            <w:r>
              <w:instrText xml:space="preserve"> HYPERLINK "http://www.creditchina.gov.cn/" \h </w:instrText>
            </w:r>
            <w:r>
              <w:fldChar w:fldCharType="separate"/>
            </w:r>
            <w:r>
              <w:rPr>
                <w:sz w:val="28"/>
              </w:rPr>
              <w:t>www.creditchina.gov.cn</w:t>
            </w:r>
            <w:r>
              <w:rPr>
                <w:sz w:val="28"/>
              </w:rPr>
              <w:fldChar w:fldCharType="end"/>
            </w:r>
            <w:r>
              <w:rPr>
                <w:sz w:val="28"/>
              </w:rPr>
              <w:t>）、中国政府采购网（</w:t>
            </w:r>
            <w:r>
              <w:fldChar w:fldCharType="begin"/>
            </w:r>
            <w:r>
              <w:instrText xml:space="preserve"> HYPERLINK "http://www.ccgp.gov.cn/" \h </w:instrText>
            </w:r>
            <w:r>
              <w:fldChar w:fldCharType="separate"/>
            </w:r>
            <w:r>
              <w:rPr>
                <w:sz w:val="28"/>
              </w:rPr>
              <w:t>www.ccgp.gov.cn</w:t>
            </w:r>
            <w:r>
              <w:rPr>
                <w:sz w:val="28"/>
              </w:rPr>
              <w:fldChar w:fldCharType="end"/>
            </w:r>
            <w:r>
              <w:rPr>
                <w:sz w:val="28"/>
              </w:rPr>
              <w:t>）等渠道查询后，列入失信被执行人、重大税收违法案件当事人名单、政府采购严重违法失信行为记录名单的，取消磋商资格。（提供“信用中国”网站的查询截图，时间为磋商截止时间前</w:t>
            </w:r>
            <w:r>
              <w:rPr>
                <w:rFonts w:hint="eastAsia"/>
                <w:sz w:val="28"/>
                <w:lang w:val="en-US" w:eastAsia="zh-CN"/>
              </w:rPr>
              <w:t>10</w:t>
            </w:r>
            <w:r>
              <w:rPr>
                <w:sz w:val="28"/>
              </w:rPr>
              <w:t>天内）；</w:t>
            </w:r>
          </w:p>
          <w:p>
            <w:pPr>
              <w:pStyle w:val="21"/>
              <w:spacing w:line="240" w:lineRule="auto"/>
              <w:ind w:right="90"/>
              <w:jc w:val="left"/>
              <w:rPr>
                <w:sz w:val="28"/>
              </w:rPr>
            </w:pPr>
            <w:r>
              <w:rPr>
                <w:sz w:val="28"/>
              </w:rPr>
              <w:t>3、单位负责人为同一人或者存在直接控股、管理关系的不同供应商，不得参加同一合同项下的政府采购活动。否则，皆取消磋商资格；</w:t>
            </w:r>
          </w:p>
          <w:p>
            <w:pPr>
              <w:pStyle w:val="21"/>
              <w:spacing w:line="240" w:lineRule="auto"/>
              <w:ind w:right="90"/>
              <w:jc w:val="left"/>
              <w:rPr>
                <w:sz w:val="28"/>
              </w:rPr>
            </w:pPr>
            <w:r>
              <w:rPr>
                <w:sz w:val="28"/>
              </w:rPr>
              <w:t>4、为本采购项目提供整体设计、规范编制或者项目管理、监理、检测等服务的供应商，不得再参加该采购项目的其他采购活动；</w:t>
            </w:r>
          </w:p>
          <w:p>
            <w:pPr>
              <w:pStyle w:val="21"/>
              <w:spacing w:before="4" w:line="240" w:lineRule="auto"/>
              <w:jc w:val="left"/>
              <w:rPr>
                <w:vertAlign w:val="baseline"/>
              </w:rPr>
            </w:pPr>
            <w:r>
              <w:rPr>
                <w:sz w:val="28"/>
              </w:rPr>
              <w:t>5、本项目不接受供应商以联合体方式进行磋商响应；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43" w:line="240" w:lineRule="auto"/>
              <w:ind w:left="107" w:leftChars="0" w:right="0" w:rightChars="0"/>
              <w:jc w:val="center"/>
              <w:rPr>
                <w:vertAlign w:val="baseline"/>
              </w:rPr>
            </w:pPr>
            <w:r>
              <w:rPr>
                <w:sz w:val="28"/>
              </w:rPr>
              <w:t>公告发布时间</w:t>
            </w:r>
          </w:p>
        </w:tc>
        <w:tc>
          <w:tcPr>
            <w:tcW w:w="7735" w:type="dxa"/>
            <w:vAlign w:val="top"/>
          </w:tcPr>
          <w:p>
            <w:pPr>
              <w:pStyle w:val="21"/>
              <w:spacing w:before="83" w:line="240" w:lineRule="auto"/>
              <w:ind w:left="107" w:leftChars="0" w:right="0" w:rightChars="0"/>
              <w:jc w:val="left"/>
              <w:rPr>
                <w:vertAlign w:val="baseline"/>
              </w:rPr>
            </w:pPr>
            <w:r>
              <w:rPr>
                <w:sz w:val="28"/>
              </w:rPr>
              <w:t>2021年</w:t>
            </w:r>
            <w:r>
              <w:rPr>
                <w:rFonts w:hint="eastAsia"/>
                <w:sz w:val="28"/>
                <w:lang w:val="en-US" w:eastAsia="zh-CN"/>
              </w:rPr>
              <w:t>11</w:t>
            </w:r>
            <w:r>
              <w:rPr>
                <w:sz w:val="28"/>
              </w:rPr>
              <w:t>月</w:t>
            </w:r>
            <w:r>
              <w:rPr>
                <w:rFonts w:hint="eastAsia"/>
                <w:sz w:val="28"/>
                <w:lang w:val="en-US" w:eastAsia="zh-CN"/>
              </w:rPr>
              <w:t>25</w:t>
            </w:r>
            <w:r>
              <w:rPr>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2" w:line="240" w:lineRule="auto"/>
              <w:ind w:left="107"/>
              <w:jc w:val="center"/>
              <w:rPr>
                <w:sz w:val="28"/>
              </w:rPr>
            </w:pPr>
            <w:r>
              <w:rPr>
                <w:sz w:val="28"/>
              </w:rPr>
              <w:t>获取磋商文件的</w:t>
            </w:r>
          </w:p>
          <w:p>
            <w:pPr>
              <w:pStyle w:val="21"/>
              <w:spacing w:before="6" w:line="240" w:lineRule="auto"/>
              <w:ind w:left="107" w:leftChars="0" w:right="0" w:rightChars="0"/>
              <w:jc w:val="center"/>
              <w:rPr>
                <w:vertAlign w:val="baseline"/>
              </w:rPr>
            </w:pPr>
            <w:r>
              <w:rPr>
                <w:sz w:val="28"/>
              </w:rPr>
              <w:t>时间期限</w:t>
            </w:r>
          </w:p>
        </w:tc>
        <w:tc>
          <w:tcPr>
            <w:tcW w:w="7735" w:type="dxa"/>
            <w:vAlign w:val="top"/>
          </w:tcPr>
          <w:p>
            <w:pPr>
              <w:pStyle w:val="21"/>
              <w:spacing w:before="2" w:line="240" w:lineRule="auto"/>
              <w:ind w:left="107"/>
              <w:jc w:val="left"/>
              <w:rPr>
                <w:vertAlign w:val="baseline"/>
              </w:rPr>
            </w:pPr>
            <w:r>
              <w:rPr>
                <w:sz w:val="28"/>
              </w:rPr>
              <w:t>2021年</w:t>
            </w:r>
            <w:r>
              <w:rPr>
                <w:rFonts w:hint="eastAsia"/>
                <w:sz w:val="28"/>
                <w:lang w:val="en-US" w:eastAsia="zh-CN"/>
              </w:rPr>
              <w:t>11</w:t>
            </w:r>
            <w:r>
              <w:rPr>
                <w:sz w:val="28"/>
              </w:rPr>
              <w:t>月</w:t>
            </w:r>
            <w:r>
              <w:rPr>
                <w:rFonts w:hint="eastAsia"/>
                <w:sz w:val="28"/>
                <w:lang w:val="en-US" w:eastAsia="zh-CN"/>
              </w:rPr>
              <w:t>26</w:t>
            </w:r>
            <w:r>
              <w:rPr>
                <w:sz w:val="28"/>
              </w:rPr>
              <w:t>日至2021年</w:t>
            </w:r>
            <w:r>
              <w:rPr>
                <w:rFonts w:hint="eastAsia"/>
                <w:sz w:val="28"/>
                <w:lang w:val="en-US" w:eastAsia="zh-CN"/>
              </w:rPr>
              <w:t>12</w:t>
            </w:r>
            <w:r>
              <w:rPr>
                <w:sz w:val="28"/>
              </w:rPr>
              <w:t>月</w:t>
            </w:r>
            <w:r>
              <w:rPr>
                <w:rFonts w:hint="eastAsia"/>
                <w:sz w:val="28"/>
                <w:lang w:val="en-US" w:eastAsia="zh-CN"/>
              </w:rPr>
              <w:t>2</w:t>
            </w:r>
            <w:r>
              <w:rPr>
                <w:sz w:val="28"/>
              </w:rPr>
              <w:t>日，每天上午9:00-11:30,下午14:30-17:30（午休、节假日除外）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2" w:line="240" w:lineRule="auto"/>
              <w:ind w:left="107"/>
              <w:jc w:val="center"/>
              <w:rPr>
                <w:sz w:val="28"/>
              </w:rPr>
            </w:pPr>
            <w:r>
              <w:rPr>
                <w:sz w:val="28"/>
              </w:rPr>
              <w:t>获取磋商文件方</w:t>
            </w:r>
          </w:p>
          <w:p>
            <w:pPr>
              <w:pStyle w:val="21"/>
              <w:spacing w:before="3" w:line="240" w:lineRule="auto"/>
              <w:ind w:left="107" w:leftChars="0" w:right="0" w:rightChars="0"/>
              <w:jc w:val="center"/>
              <w:rPr>
                <w:vertAlign w:val="baseline"/>
              </w:rPr>
            </w:pPr>
            <w:r>
              <w:rPr>
                <w:w w:val="100"/>
                <w:sz w:val="28"/>
              </w:rPr>
              <w:t>式</w:t>
            </w:r>
          </w:p>
        </w:tc>
        <w:tc>
          <w:tcPr>
            <w:tcW w:w="7735" w:type="dxa"/>
            <w:vAlign w:val="top"/>
          </w:tcPr>
          <w:p>
            <w:pPr>
              <w:pStyle w:val="21"/>
              <w:spacing w:before="182" w:line="240" w:lineRule="auto"/>
              <w:ind w:left="107" w:leftChars="0" w:right="0" w:rightChars="0"/>
              <w:jc w:val="left"/>
              <w:rPr>
                <w:rFonts w:hint="default" w:eastAsia="宋体"/>
                <w:vertAlign w:val="baseline"/>
                <w:lang w:val="en-US" w:eastAsia="zh-CN"/>
              </w:rPr>
            </w:pPr>
            <w:r>
              <w:rPr>
                <w:sz w:val="28"/>
              </w:rPr>
              <w:t>现场购买</w:t>
            </w:r>
            <w:r>
              <w:rPr>
                <w:rFonts w:hint="eastAsia"/>
                <w:sz w:val="28"/>
                <w:lang w:val="en-US" w:eastAsia="zh-CN"/>
              </w:rPr>
              <w:t>或网上购买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182" w:line="240" w:lineRule="auto"/>
              <w:ind w:left="107" w:leftChars="0" w:right="0" w:rightChars="0"/>
              <w:jc w:val="center"/>
              <w:rPr>
                <w:vertAlign w:val="baseline"/>
              </w:rPr>
            </w:pPr>
            <w:r>
              <w:rPr>
                <w:sz w:val="28"/>
              </w:rPr>
              <w:t>磋商文件售价</w:t>
            </w:r>
          </w:p>
        </w:tc>
        <w:tc>
          <w:tcPr>
            <w:tcW w:w="7735" w:type="dxa"/>
            <w:vAlign w:val="top"/>
          </w:tcPr>
          <w:p>
            <w:pPr>
              <w:pStyle w:val="21"/>
              <w:spacing w:before="2" w:line="240" w:lineRule="auto"/>
              <w:jc w:val="left"/>
              <w:rPr>
                <w:vertAlign w:val="baseline"/>
              </w:rPr>
            </w:pPr>
            <w:r>
              <w:rPr>
                <w:sz w:val="28"/>
              </w:rPr>
              <w:t>500 元/ 包（ 磋商文件售后不退, 投标资格不能转让。）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3" w:line="240" w:lineRule="auto"/>
              <w:ind w:left="107"/>
              <w:jc w:val="center"/>
              <w:rPr>
                <w:sz w:val="28"/>
              </w:rPr>
            </w:pPr>
            <w:r>
              <w:rPr>
                <w:sz w:val="28"/>
              </w:rPr>
              <w:t>获取磋商文件地</w:t>
            </w:r>
          </w:p>
          <w:p>
            <w:pPr>
              <w:pStyle w:val="21"/>
              <w:spacing w:before="4" w:line="240" w:lineRule="auto"/>
              <w:ind w:left="107" w:leftChars="0" w:right="0" w:rightChars="0"/>
              <w:jc w:val="center"/>
              <w:rPr>
                <w:vertAlign w:val="baseline"/>
              </w:rPr>
            </w:pPr>
            <w:r>
              <w:rPr>
                <w:w w:val="100"/>
                <w:sz w:val="28"/>
              </w:rPr>
              <w:t>点</w:t>
            </w:r>
          </w:p>
        </w:tc>
        <w:tc>
          <w:tcPr>
            <w:tcW w:w="7735" w:type="dxa"/>
            <w:vAlign w:val="top"/>
          </w:tcPr>
          <w:p>
            <w:pPr>
              <w:pStyle w:val="21"/>
              <w:spacing w:before="4" w:line="240" w:lineRule="auto"/>
              <w:ind w:left="44" w:leftChars="0" w:right="0" w:rightChars="0"/>
              <w:jc w:val="left"/>
              <w:rPr>
                <w:vertAlign w:val="baseline"/>
              </w:rPr>
            </w:pPr>
            <w:r>
              <w:rPr>
                <w:rFonts w:hint="eastAsia"/>
                <w:sz w:val="28"/>
                <w:lang w:eastAsia="zh-CN"/>
              </w:rPr>
              <w:t>西宁市城西区五四西路53号三榆西城天街1号楼2单元19层21920室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184" w:line="240" w:lineRule="auto"/>
              <w:ind w:left="107" w:leftChars="0" w:right="293" w:rightChars="0"/>
              <w:jc w:val="center"/>
              <w:rPr>
                <w:vertAlign w:val="baseline"/>
              </w:rPr>
            </w:pPr>
            <w:r>
              <w:rPr>
                <w:sz w:val="28"/>
              </w:rPr>
              <w:t>购买磋商文件时应提供材料</w:t>
            </w:r>
          </w:p>
        </w:tc>
        <w:tc>
          <w:tcPr>
            <w:tcW w:w="7735" w:type="dxa"/>
            <w:vAlign w:val="top"/>
          </w:tcPr>
          <w:p>
            <w:pPr>
              <w:pStyle w:val="21"/>
              <w:spacing w:before="2" w:line="240" w:lineRule="auto"/>
              <w:ind w:left="107" w:leftChars="0" w:right="88" w:rightChars="0"/>
              <w:jc w:val="left"/>
              <w:rPr>
                <w:vertAlign w:val="baseline"/>
              </w:rPr>
            </w:pPr>
            <w:r>
              <w:rPr>
                <w:sz w:val="28"/>
              </w:rPr>
              <w:t>供应商单位介绍信、法定代表人授权书（参考磋商文件中的格式（5））、法人和被授权人身份证复印件，以上资料均需加盖单位公章。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235" w:line="240" w:lineRule="auto"/>
              <w:ind w:left="107" w:leftChars="0" w:right="293" w:rightChars="0"/>
              <w:jc w:val="center"/>
              <w:rPr>
                <w:vertAlign w:val="baseline"/>
              </w:rPr>
            </w:pPr>
            <w:r>
              <w:rPr>
                <w:sz w:val="28"/>
              </w:rPr>
              <w:t>提交响应文件截止时间及地点</w:t>
            </w:r>
          </w:p>
        </w:tc>
        <w:tc>
          <w:tcPr>
            <w:tcW w:w="7735" w:type="dxa"/>
            <w:vAlign w:val="top"/>
          </w:tcPr>
          <w:p>
            <w:pPr>
              <w:pStyle w:val="21"/>
              <w:spacing w:before="3" w:line="240" w:lineRule="auto"/>
              <w:ind w:left="107"/>
              <w:jc w:val="left"/>
              <w:rPr>
                <w:sz w:val="28"/>
              </w:rPr>
            </w:pPr>
            <w:r>
              <w:rPr>
                <w:sz w:val="28"/>
              </w:rPr>
              <w:t>2021年</w:t>
            </w:r>
            <w:r>
              <w:rPr>
                <w:rFonts w:hint="eastAsia"/>
                <w:sz w:val="28"/>
                <w:lang w:val="en-US" w:eastAsia="zh-CN"/>
              </w:rPr>
              <w:t>12</w:t>
            </w:r>
            <w:r>
              <w:rPr>
                <w:sz w:val="28"/>
              </w:rPr>
              <w:t>月</w:t>
            </w:r>
            <w:r>
              <w:rPr>
                <w:rFonts w:hint="eastAsia"/>
                <w:sz w:val="28"/>
                <w:lang w:val="en-US" w:eastAsia="zh-CN"/>
              </w:rPr>
              <w:t>7</w:t>
            </w:r>
            <w:r>
              <w:rPr>
                <w:sz w:val="28"/>
              </w:rPr>
              <w:t>日09时30分（北京时间）</w:t>
            </w:r>
          </w:p>
          <w:p>
            <w:pPr>
              <w:pStyle w:val="21"/>
              <w:spacing w:before="3" w:line="240" w:lineRule="auto"/>
              <w:ind w:left="107" w:leftChars="0" w:right="263" w:rightChars="0"/>
              <w:jc w:val="left"/>
              <w:rPr>
                <w:vertAlign w:val="baseline"/>
              </w:rPr>
            </w:pPr>
            <w:r>
              <w:rPr>
                <w:rFonts w:hint="eastAsia"/>
                <w:sz w:val="28"/>
                <w:lang w:eastAsia="zh-CN"/>
              </w:rPr>
              <w:t>西宁市城西区五四西路53号三榆西城天街1号楼2单元19层21920室青海鑫凤林项目管理咨询有限公司</w:t>
            </w:r>
            <w:r>
              <w:rPr>
                <w:sz w:val="28"/>
              </w:rPr>
              <w:t>开标室</w:t>
            </w:r>
            <w:r>
              <w:rPr>
                <w:sz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line="240" w:lineRule="auto"/>
              <w:jc w:val="center"/>
              <w:rPr>
                <w:sz w:val="28"/>
              </w:rPr>
            </w:pPr>
          </w:p>
          <w:p>
            <w:pPr>
              <w:pStyle w:val="21"/>
              <w:spacing w:before="187" w:line="240" w:lineRule="auto"/>
              <w:ind w:left="107" w:leftChars="0" w:right="0" w:rightChars="0"/>
              <w:jc w:val="center"/>
              <w:rPr>
                <w:vertAlign w:val="baseline"/>
              </w:rPr>
            </w:pPr>
            <w:r>
              <w:rPr>
                <w:sz w:val="28"/>
              </w:rPr>
              <w:t>磋商时间及地点</w:t>
            </w:r>
          </w:p>
        </w:tc>
        <w:tc>
          <w:tcPr>
            <w:tcW w:w="7735" w:type="dxa"/>
            <w:vAlign w:val="top"/>
          </w:tcPr>
          <w:p>
            <w:pPr>
              <w:pStyle w:val="21"/>
              <w:spacing w:before="4" w:line="240" w:lineRule="auto"/>
              <w:ind w:left="107"/>
              <w:jc w:val="left"/>
              <w:rPr>
                <w:sz w:val="28"/>
              </w:rPr>
            </w:pPr>
            <w:r>
              <w:rPr>
                <w:sz w:val="28"/>
              </w:rPr>
              <w:t>2021年</w:t>
            </w:r>
            <w:r>
              <w:rPr>
                <w:rFonts w:hint="eastAsia"/>
                <w:sz w:val="28"/>
                <w:lang w:val="en-US" w:eastAsia="zh-CN"/>
              </w:rPr>
              <w:t>12</w:t>
            </w:r>
            <w:r>
              <w:rPr>
                <w:sz w:val="28"/>
              </w:rPr>
              <w:t>月</w:t>
            </w:r>
            <w:r>
              <w:rPr>
                <w:rFonts w:hint="eastAsia"/>
                <w:sz w:val="28"/>
                <w:lang w:val="en-US" w:eastAsia="zh-CN"/>
              </w:rPr>
              <w:t>7</w:t>
            </w:r>
            <w:r>
              <w:rPr>
                <w:sz w:val="28"/>
              </w:rPr>
              <w:t>日09时30分（北京时间）</w:t>
            </w:r>
          </w:p>
          <w:p>
            <w:pPr>
              <w:pStyle w:val="21"/>
              <w:spacing w:before="2" w:line="240" w:lineRule="auto"/>
              <w:ind w:left="107" w:leftChars="0" w:right="263" w:rightChars="0"/>
              <w:jc w:val="left"/>
              <w:rPr>
                <w:vertAlign w:val="baseline"/>
              </w:rPr>
            </w:pPr>
            <w:r>
              <w:rPr>
                <w:rFonts w:hint="eastAsia"/>
                <w:spacing w:val="-3"/>
                <w:sz w:val="28"/>
                <w:lang w:eastAsia="zh-CN"/>
              </w:rPr>
              <w:t>西宁市城西区五四西路53号三榆西城天街1号楼2单元19层21920室青海鑫凤林项目管理咨询有限公司</w:t>
            </w:r>
            <w:r>
              <w:rPr>
                <w:sz w:val="28"/>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line="240" w:lineRule="auto"/>
              <w:jc w:val="center"/>
              <w:rPr>
                <w:sz w:val="28"/>
              </w:rPr>
            </w:pPr>
          </w:p>
          <w:p>
            <w:pPr>
              <w:pStyle w:val="21"/>
              <w:spacing w:before="219" w:line="240" w:lineRule="auto"/>
              <w:ind w:left="107" w:leftChars="0" w:right="0" w:rightChars="0"/>
              <w:jc w:val="center"/>
              <w:rPr>
                <w:vertAlign w:val="baseline"/>
              </w:rPr>
            </w:pPr>
            <w:r>
              <w:rPr>
                <w:sz w:val="28"/>
              </w:rPr>
              <w:t>采购人联系人</w:t>
            </w:r>
          </w:p>
        </w:tc>
        <w:tc>
          <w:tcPr>
            <w:tcW w:w="7735" w:type="dxa"/>
            <w:vAlign w:val="top"/>
          </w:tcPr>
          <w:p>
            <w:pPr>
              <w:pStyle w:val="21"/>
              <w:spacing w:before="2" w:line="240" w:lineRule="auto"/>
              <w:ind w:left="107" w:leftChars="0" w:right="263" w:rightChars="0"/>
              <w:jc w:val="left"/>
              <w:rPr>
                <w:rFonts w:hint="eastAsia"/>
                <w:spacing w:val="-3"/>
                <w:sz w:val="28"/>
                <w:lang w:eastAsia="zh-CN"/>
              </w:rPr>
            </w:pPr>
            <w:r>
              <w:rPr>
                <w:rFonts w:hint="eastAsia"/>
                <w:spacing w:val="-3"/>
                <w:sz w:val="28"/>
                <w:lang w:eastAsia="zh-CN"/>
              </w:rPr>
              <w:t>采购人：杂多县人民代表大会常务委员会办公室</w:t>
            </w:r>
          </w:p>
          <w:p>
            <w:pPr>
              <w:pStyle w:val="21"/>
              <w:shd w:val="clear"/>
              <w:spacing w:before="67" w:line="240" w:lineRule="auto"/>
              <w:ind w:left="107" w:right="2363"/>
              <w:jc w:val="left"/>
              <w:rPr>
                <w:sz w:val="28"/>
                <w:highlight w:val="none"/>
              </w:rPr>
            </w:pPr>
            <w:r>
              <w:rPr>
                <w:sz w:val="28"/>
                <w:highlight w:val="none"/>
              </w:rPr>
              <w:t>联系人：</w:t>
            </w:r>
            <w:r>
              <w:rPr>
                <w:rFonts w:hint="eastAsia"/>
                <w:sz w:val="28"/>
                <w:highlight w:val="none"/>
                <w:lang w:val="en-US" w:eastAsia="zh-CN"/>
              </w:rPr>
              <w:t>；李</w:t>
            </w:r>
            <w:r>
              <w:rPr>
                <w:sz w:val="28"/>
                <w:highlight w:val="none"/>
              </w:rPr>
              <w:t>先生</w:t>
            </w:r>
          </w:p>
          <w:p>
            <w:pPr>
              <w:pStyle w:val="21"/>
              <w:shd w:val="clear"/>
              <w:spacing w:before="2" w:line="240" w:lineRule="auto"/>
              <w:ind w:left="107"/>
              <w:jc w:val="left"/>
              <w:rPr>
                <w:rFonts w:hint="default" w:eastAsia="宋体"/>
                <w:sz w:val="28"/>
                <w:highlight w:val="none"/>
                <w:lang w:val="en-US" w:eastAsia="zh-CN"/>
              </w:rPr>
            </w:pPr>
            <w:r>
              <w:rPr>
                <w:sz w:val="28"/>
                <w:highlight w:val="none"/>
              </w:rPr>
              <w:t>联系电话：</w:t>
            </w:r>
            <w:r>
              <w:rPr>
                <w:rFonts w:hint="eastAsia"/>
                <w:sz w:val="28"/>
                <w:highlight w:val="none"/>
                <w:lang w:val="en-US" w:eastAsia="zh-CN"/>
              </w:rPr>
              <w:t>0976-8883177</w:t>
            </w:r>
          </w:p>
          <w:p>
            <w:pPr>
              <w:pStyle w:val="21"/>
              <w:shd w:val="clear"/>
              <w:spacing w:before="4" w:line="240" w:lineRule="auto"/>
              <w:ind w:left="107" w:leftChars="0" w:right="0" w:rightChars="0"/>
              <w:jc w:val="left"/>
              <w:rPr>
                <w:rFonts w:hint="default"/>
                <w:vertAlign w:val="baseline"/>
                <w:lang w:val="en-US"/>
              </w:rPr>
            </w:pPr>
            <w:r>
              <w:rPr>
                <w:sz w:val="28"/>
                <w:highlight w:val="none"/>
              </w:rPr>
              <w:t>联系地址：</w:t>
            </w:r>
            <w:r>
              <w:rPr>
                <w:rFonts w:hint="eastAsia"/>
                <w:sz w:val="28"/>
                <w:highlight w:val="none"/>
                <w:lang w:val="en-US" w:eastAsia="zh-CN"/>
              </w:rPr>
              <w:t>杂</w:t>
            </w:r>
            <w:r>
              <w:rPr>
                <w:rFonts w:hint="eastAsia"/>
                <w:sz w:val="28"/>
                <w:highlight w:val="none"/>
                <w:lang w:eastAsia="zh-CN"/>
              </w:rPr>
              <w:t>多县</w:t>
            </w:r>
            <w:r>
              <w:rPr>
                <w:rFonts w:hint="eastAsia"/>
                <w:sz w:val="28"/>
                <w:highlight w:val="none"/>
                <w:lang w:val="en-US" w:eastAsia="zh-CN"/>
              </w:rPr>
              <w:t>新城区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line="240" w:lineRule="auto"/>
              <w:jc w:val="center"/>
              <w:rPr>
                <w:sz w:val="28"/>
              </w:rPr>
            </w:pPr>
          </w:p>
          <w:p>
            <w:pPr>
              <w:pStyle w:val="21"/>
              <w:spacing w:line="240" w:lineRule="auto"/>
              <w:jc w:val="center"/>
              <w:rPr>
                <w:sz w:val="28"/>
              </w:rPr>
            </w:pPr>
          </w:p>
          <w:p>
            <w:pPr>
              <w:pStyle w:val="21"/>
              <w:spacing w:before="193" w:line="240" w:lineRule="auto"/>
              <w:ind w:left="107" w:leftChars="0" w:right="0" w:rightChars="0"/>
              <w:jc w:val="center"/>
              <w:rPr>
                <w:vertAlign w:val="baseline"/>
              </w:rPr>
            </w:pPr>
            <w:r>
              <w:rPr>
                <w:sz w:val="28"/>
              </w:rPr>
              <w:t>代理机构联系人</w:t>
            </w:r>
          </w:p>
        </w:tc>
        <w:tc>
          <w:tcPr>
            <w:tcW w:w="7735" w:type="dxa"/>
            <w:vAlign w:val="top"/>
          </w:tcPr>
          <w:p>
            <w:pPr>
              <w:pStyle w:val="21"/>
              <w:spacing w:line="240" w:lineRule="auto"/>
              <w:jc w:val="left"/>
              <w:rPr>
                <w:rFonts w:hint="eastAsia"/>
                <w:sz w:val="28"/>
                <w:lang w:eastAsia="zh-CN"/>
              </w:rPr>
            </w:pPr>
            <w:r>
              <w:rPr>
                <w:rFonts w:hint="eastAsia"/>
                <w:sz w:val="28"/>
                <w:lang w:eastAsia="zh-CN"/>
              </w:rPr>
              <w:t>采购代理机构：青海鑫凤林项目管理咨询有限公司　</w:t>
            </w:r>
          </w:p>
          <w:p>
            <w:pPr>
              <w:pStyle w:val="21"/>
              <w:spacing w:line="240" w:lineRule="auto"/>
              <w:jc w:val="left"/>
              <w:rPr>
                <w:rFonts w:hint="eastAsia"/>
                <w:sz w:val="28"/>
                <w:lang w:eastAsia="zh-CN"/>
              </w:rPr>
            </w:pPr>
            <w:r>
              <w:rPr>
                <w:rFonts w:hint="eastAsia"/>
                <w:sz w:val="28"/>
                <w:lang w:eastAsia="zh-CN"/>
              </w:rPr>
              <w:t>联</w:t>
            </w:r>
            <w:r>
              <w:rPr>
                <w:rFonts w:hint="eastAsia"/>
                <w:sz w:val="28"/>
                <w:lang w:eastAsia="zh-CN"/>
              </w:rPr>
              <w:tab/>
            </w:r>
            <w:r>
              <w:rPr>
                <w:rFonts w:hint="eastAsia"/>
                <w:sz w:val="28"/>
                <w:lang w:eastAsia="zh-CN"/>
              </w:rPr>
              <w:t>系</w:t>
            </w:r>
            <w:r>
              <w:rPr>
                <w:rFonts w:hint="eastAsia"/>
                <w:sz w:val="28"/>
                <w:lang w:eastAsia="zh-CN"/>
              </w:rPr>
              <w:tab/>
            </w:r>
            <w:r>
              <w:rPr>
                <w:rFonts w:hint="eastAsia"/>
                <w:sz w:val="28"/>
                <w:lang w:eastAsia="zh-CN"/>
              </w:rPr>
              <w:t>人：黄女士</w:t>
            </w:r>
          </w:p>
          <w:p>
            <w:pPr>
              <w:pStyle w:val="21"/>
              <w:spacing w:line="240" w:lineRule="auto"/>
              <w:jc w:val="left"/>
              <w:rPr>
                <w:rFonts w:hint="eastAsia"/>
                <w:sz w:val="28"/>
                <w:lang w:eastAsia="zh-CN"/>
              </w:rPr>
            </w:pPr>
            <w:r>
              <w:rPr>
                <w:rFonts w:hint="eastAsia"/>
                <w:sz w:val="28"/>
                <w:lang w:eastAsia="zh-CN"/>
              </w:rPr>
              <w:t>联系电话：18797330119</w:t>
            </w:r>
          </w:p>
          <w:p>
            <w:pPr>
              <w:pStyle w:val="21"/>
              <w:spacing w:line="240" w:lineRule="auto"/>
              <w:jc w:val="left"/>
              <w:rPr>
                <w:rFonts w:hint="default"/>
                <w:sz w:val="28"/>
                <w:lang w:val="en-US" w:eastAsia="zh-CN"/>
              </w:rPr>
            </w:pPr>
            <w:r>
              <w:rPr>
                <w:rFonts w:hint="eastAsia"/>
                <w:sz w:val="28"/>
                <w:lang w:eastAsia="zh-CN"/>
              </w:rPr>
              <w:t>邮 箱</w:t>
            </w:r>
            <w:r>
              <w:rPr>
                <w:rFonts w:hint="eastAsia"/>
                <w:sz w:val="28"/>
                <w:lang w:eastAsia="zh-CN"/>
              </w:rPr>
              <w:tab/>
            </w:r>
            <w:r>
              <w:rPr>
                <w:rFonts w:hint="eastAsia"/>
                <w:sz w:val="28"/>
                <w:lang w:eastAsia="zh-CN"/>
              </w:rPr>
              <w:t>地 址：</w:t>
            </w:r>
            <w:r>
              <w:rPr>
                <w:rFonts w:hint="eastAsia"/>
                <w:sz w:val="28"/>
                <w:lang w:val="en-US" w:eastAsia="zh-CN"/>
              </w:rPr>
              <w:t>1916862674@qq.com</w:t>
            </w:r>
          </w:p>
          <w:p>
            <w:pPr>
              <w:pStyle w:val="21"/>
              <w:spacing w:line="240" w:lineRule="auto"/>
              <w:ind w:right="0" w:rightChars="0"/>
              <w:jc w:val="left"/>
              <w:rPr>
                <w:vertAlign w:val="baseline"/>
              </w:rPr>
            </w:pPr>
            <w:r>
              <w:rPr>
                <w:rFonts w:hint="eastAsia"/>
                <w:sz w:val="28"/>
                <w:lang w:eastAsia="zh-CN"/>
              </w:rPr>
              <w:t>联 系</w:t>
            </w:r>
            <w:r>
              <w:rPr>
                <w:rFonts w:hint="eastAsia"/>
                <w:sz w:val="28"/>
                <w:lang w:eastAsia="zh-CN"/>
              </w:rPr>
              <w:tab/>
            </w:r>
            <w:r>
              <w:rPr>
                <w:rFonts w:hint="eastAsia"/>
                <w:sz w:val="28"/>
                <w:lang w:eastAsia="zh-CN"/>
              </w:rPr>
              <w:t>地 址：西宁市城西区五四西路53号三榆西城天街1号楼2单元19层21920室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183" w:line="240" w:lineRule="auto"/>
              <w:ind w:left="107" w:leftChars="0" w:right="0" w:rightChars="0"/>
              <w:jc w:val="center"/>
              <w:rPr>
                <w:vertAlign w:val="baseline"/>
              </w:rPr>
            </w:pPr>
            <w:r>
              <w:rPr>
                <w:sz w:val="28"/>
              </w:rPr>
              <w:t>代理机构开户行</w:t>
            </w:r>
          </w:p>
        </w:tc>
        <w:tc>
          <w:tcPr>
            <w:tcW w:w="7735" w:type="dxa"/>
            <w:vAlign w:val="top"/>
          </w:tcPr>
          <w:p>
            <w:pPr>
              <w:pStyle w:val="21"/>
              <w:spacing w:before="183" w:line="240" w:lineRule="auto"/>
              <w:ind w:right="0" w:rightChars="0"/>
              <w:jc w:val="left"/>
              <w:rPr>
                <w:vertAlign w:val="baseline"/>
              </w:rPr>
            </w:pPr>
            <w:r>
              <w:rPr>
                <w:rFonts w:hint="eastAsia"/>
                <w:sz w:val="28"/>
              </w:rPr>
              <w:t>上海浦东发展银行股份有限公司西宁开发区支行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4" w:line="240" w:lineRule="auto"/>
              <w:ind w:left="107" w:leftChars="0" w:right="0" w:rightChars="0"/>
              <w:jc w:val="center"/>
              <w:rPr>
                <w:vertAlign w:val="baseline"/>
              </w:rPr>
            </w:pPr>
            <w:r>
              <w:rPr>
                <w:sz w:val="28"/>
              </w:rPr>
              <w:t>收款人</w:t>
            </w:r>
          </w:p>
        </w:tc>
        <w:tc>
          <w:tcPr>
            <w:tcW w:w="7735" w:type="dxa"/>
            <w:vAlign w:val="top"/>
          </w:tcPr>
          <w:p>
            <w:pPr>
              <w:pStyle w:val="21"/>
              <w:spacing w:before="4" w:line="240" w:lineRule="auto"/>
              <w:ind w:right="0" w:rightChars="0"/>
              <w:jc w:val="left"/>
              <w:rPr>
                <w:vertAlign w:val="baseline"/>
              </w:rPr>
            </w:pPr>
            <w:r>
              <w:rPr>
                <w:rFonts w:hint="eastAsia"/>
                <w:sz w:val="28"/>
                <w:lang w:eastAsia="zh-CN"/>
              </w:rPr>
              <w:t>青海鑫凤林项目管理咨询有限公司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3" w:line="240" w:lineRule="auto"/>
              <w:ind w:left="107" w:leftChars="0" w:right="0" w:rightChars="0"/>
              <w:jc w:val="center"/>
              <w:rPr>
                <w:vertAlign w:val="baseline"/>
              </w:rPr>
            </w:pPr>
            <w:r>
              <w:rPr>
                <w:sz w:val="28"/>
              </w:rPr>
              <w:t>银行账号</w:t>
            </w:r>
          </w:p>
        </w:tc>
        <w:tc>
          <w:tcPr>
            <w:tcW w:w="7735" w:type="dxa"/>
            <w:vAlign w:val="top"/>
          </w:tcPr>
          <w:p>
            <w:pPr>
              <w:pStyle w:val="21"/>
              <w:spacing w:before="3" w:line="240" w:lineRule="auto"/>
              <w:ind w:right="0" w:rightChars="0"/>
              <w:jc w:val="left"/>
              <w:rPr>
                <w:vertAlign w:val="baseline"/>
              </w:rPr>
            </w:pPr>
            <w:r>
              <w:rPr>
                <w:rFonts w:hint="eastAsia"/>
                <w:sz w:val="28"/>
              </w:rPr>
              <w:t>3505 0078 8018 0000 0082（保证金汇款，后附项目编号）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line="240" w:lineRule="auto"/>
              <w:jc w:val="center"/>
              <w:rPr>
                <w:sz w:val="28"/>
              </w:rPr>
            </w:pPr>
          </w:p>
          <w:p>
            <w:pPr>
              <w:pStyle w:val="21"/>
              <w:spacing w:before="187" w:line="240" w:lineRule="auto"/>
              <w:ind w:left="107" w:leftChars="0" w:right="0" w:rightChars="0"/>
              <w:jc w:val="center"/>
              <w:rPr>
                <w:vertAlign w:val="baseline"/>
              </w:rPr>
            </w:pPr>
            <w:r>
              <w:rPr>
                <w:sz w:val="28"/>
              </w:rPr>
              <w:t>其他事项</w:t>
            </w:r>
          </w:p>
        </w:tc>
        <w:tc>
          <w:tcPr>
            <w:tcW w:w="7735" w:type="dxa"/>
            <w:vAlign w:val="top"/>
          </w:tcPr>
          <w:p>
            <w:pPr>
              <w:pStyle w:val="21"/>
              <w:spacing w:before="2" w:line="240" w:lineRule="auto"/>
              <w:ind w:right="122" w:rightChars="0"/>
              <w:jc w:val="left"/>
              <w:rPr>
                <w:vertAlign w:val="baseline"/>
              </w:rPr>
            </w:pPr>
            <w:r>
              <w:rPr>
                <w:sz w:val="28"/>
              </w:rPr>
              <w:t>响应文件必须在投标截止时间前送达开标地点，不接受邮寄的响应文件。本公布同时在、《青海政府采购网》、《青海省招标投标网》《青海项目信息网》发布。公告内容以《青海政府采购网》发布的为准。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371" w:type="dxa"/>
            <w:vAlign w:val="top"/>
          </w:tcPr>
          <w:p>
            <w:pPr>
              <w:pStyle w:val="21"/>
              <w:spacing w:before="2" w:line="240" w:lineRule="auto"/>
              <w:ind w:left="107"/>
              <w:jc w:val="center"/>
              <w:rPr>
                <w:sz w:val="28"/>
              </w:rPr>
            </w:pPr>
            <w:r>
              <w:rPr>
                <w:sz w:val="28"/>
              </w:rPr>
              <w:t>财政监督部门及</w:t>
            </w:r>
          </w:p>
          <w:p>
            <w:pPr>
              <w:pStyle w:val="21"/>
              <w:spacing w:before="4" w:line="240" w:lineRule="auto"/>
              <w:ind w:left="107" w:leftChars="0" w:right="0" w:rightChars="0"/>
              <w:jc w:val="center"/>
              <w:rPr>
                <w:vertAlign w:val="baseline"/>
              </w:rPr>
            </w:pPr>
            <w:r>
              <w:rPr>
                <w:sz w:val="28"/>
              </w:rPr>
              <w:t>电话</w:t>
            </w:r>
          </w:p>
        </w:tc>
        <w:tc>
          <w:tcPr>
            <w:tcW w:w="7735" w:type="dxa"/>
            <w:vAlign w:val="top"/>
          </w:tcPr>
          <w:p>
            <w:pPr>
              <w:pStyle w:val="21"/>
              <w:spacing w:before="2" w:line="240" w:lineRule="auto"/>
              <w:ind w:left="107"/>
              <w:jc w:val="left"/>
              <w:rPr>
                <w:sz w:val="28"/>
              </w:rPr>
            </w:pPr>
            <w:r>
              <w:rPr>
                <w:sz w:val="28"/>
              </w:rPr>
              <w:t>监督单位：</w:t>
            </w:r>
            <w:r>
              <w:rPr>
                <w:rFonts w:hint="eastAsia"/>
                <w:sz w:val="28"/>
                <w:lang w:val="en-US" w:eastAsia="zh-CN"/>
              </w:rPr>
              <w:t>杂多县</w:t>
            </w:r>
            <w:r>
              <w:rPr>
                <w:sz w:val="28"/>
              </w:rPr>
              <w:t>财政局</w:t>
            </w:r>
          </w:p>
          <w:p>
            <w:pPr>
              <w:pStyle w:val="21"/>
              <w:spacing w:before="4" w:line="240" w:lineRule="auto"/>
              <w:ind w:left="107" w:leftChars="0" w:right="0" w:rightChars="0"/>
              <w:jc w:val="left"/>
              <w:rPr>
                <w:rFonts w:hint="default"/>
                <w:vertAlign w:val="baseline"/>
                <w:lang w:val="en-US"/>
              </w:rPr>
            </w:pPr>
            <w:r>
              <w:rPr>
                <w:sz w:val="28"/>
              </w:rPr>
              <w:t>联系电话：0976-</w:t>
            </w:r>
            <w:r>
              <w:rPr>
                <w:rFonts w:hint="eastAsia"/>
                <w:sz w:val="28"/>
                <w:lang w:val="en-US" w:eastAsia="zh-CN"/>
              </w:rPr>
              <w:t>8883522</w:t>
            </w:r>
          </w:p>
        </w:tc>
      </w:tr>
    </w:tbl>
    <w:p>
      <w:pPr>
        <w:pStyle w:val="2"/>
        <w:spacing w:before="62"/>
        <w:ind w:firstLine="5320" w:firstLineChars="1900"/>
        <w:rPr>
          <w:rFonts w:hint="eastAsia" w:eastAsia="宋体"/>
          <w:lang w:eastAsia="zh-CN"/>
        </w:rPr>
      </w:pPr>
      <w:r>
        <w:rPr>
          <w:rFonts w:hint="eastAsia"/>
          <w:lang w:eastAsia="zh-CN"/>
        </w:rPr>
        <w:t>青海鑫凤林项目管理咨询有限公司　</w:t>
      </w:r>
    </w:p>
    <w:p>
      <w:pPr>
        <w:pStyle w:val="2"/>
        <w:spacing w:before="97"/>
        <w:ind w:left="7594"/>
      </w:pPr>
      <w:r>
        <w:t>2021年</w:t>
      </w:r>
      <w:r>
        <w:rPr>
          <w:rFonts w:hint="eastAsia"/>
          <w:lang w:val="en-US" w:eastAsia="zh-CN"/>
        </w:rPr>
        <w:t>11</w:t>
      </w:r>
      <w:r>
        <w:t>月</w:t>
      </w:r>
      <w:r>
        <w:rPr>
          <w:rFonts w:hint="eastAsia"/>
          <w:lang w:val="en-US" w:eastAsia="zh-CN"/>
        </w:rPr>
        <w:t>25</w:t>
      </w:r>
      <w:r>
        <w:t>日</w:t>
      </w:r>
    </w:p>
    <w:p>
      <w:pPr>
        <w:pStyle w:val="8"/>
        <w:sectPr>
          <w:footerReference r:id="rId6" w:type="default"/>
          <w:pgSz w:w="11850" w:h="16790"/>
          <w:pgMar w:top="1420" w:right="840" w:bottom="1440" w:left="1120" w:header="0" w:footer="1179" w:gutter="0"/>
          <w:pgBorders>
            <w:top w:val="none" w:sz="0" w:space="0"/>
            <w:left w:val="none" w:sz="0" w:space="0"/>
            <w:bottom w:val="none" w:sz="0" w:space="0"/>
            <w:right w:val="none" w:sz="0" w:space="0"/>
          </w:pgBorders>
          <w:pgNumType w:fmt="decimal"/>
          <w:cols w:space="720" w:num="1"/>
        </w:sectPr>
      </w:pPr>
    </w:p>
    <w:p>
      <w:pPr>
        <w:pStyle w:val="2"/>
        <w:ind w:left="0"/>
      </w:pPr>
    </w:p>
    <w:p>
      <w:pPr>
        <w:pStyle w:val="2"/>
        <w:ind w:left="0"/>
      </w:pPr>
    </w:p>
    <w:p>
      <w:pPr>
        <w:pStyle w:val="20"/>
        <w:numPr>
          <w:ilvl w:val="1"/>
          <w:numId w:val="1"/>
        </w:numPr>
        <w:tabs>
          <w:tab w:val="left" w:pos="503"/>
        </w:tabs>
        <w:spacing w:before="196" w:after="0" w:line="240" w:lineRule="auto"/>
        <w:ind w:left="502" w:right="0" w:hanging="284"/>
        <w:jc w:val="left"/>
        <w:outlineLvl w:val="1"/>
        <w:rPr>
          <w:b/>
          <w:sz w:val="28"/>
        </w:rPr>
      </w:pPr>
      <w:bookmarkStart w:id="2" w:name="_bookmark1"/>
      <w:bookmarkEnd w:id="2"/>
      <w:bookmarkStart w:id="3" w:name="1.适用范围"/>
      <w:bookmarkEnd w:id="3"/>
      <w:bookmarkStart w:id="4" w:name="_Toc27569"/>
      <w:bookmarkStart w:id="5" w:name="_Toc20036"/>
      <w:bookmarkStart w:id="6" w:name="_Toc16703"/>
      <w:r>
        <w:rPr>
          <w:b/>
          <w:sz w:val="28"/>
        </w:rPr>
        <w:t>适用范围</w:t>
      </w:r>
      <w:bookmarkEnd w:id="4"/>
      <w:bookmarkEnd w:id="5"/>
      <w:bookmarkEnd w:id="6"/>
    </w:p>
    <w:p>
      <w:pPr>
        <w:pStyle w:val="5"/>
        <w:tabs>
          <w:tab w:val="left" w:pos="1807"/>
        </w:tabs>
        <w:ind w:right="2916"/>
      </w:pPr>
      <w:bookmarkStart w:id="7" w:name="_Toc31894"/>
      <w:r>
        <w:rPr>
          <w:b w:val="0"/>
        </w:rPr>
        <w:br w:type="column"/>
      </w:r>
      <w:bookmarkStart w:id="8" w:name="第二部分  供应商须知"/>
      <w:bookmarkEnd w:id="8"/>
      <w:r>
        <w:t>第二部分</w:t>
      </w:r>
      <w:r>
        <w:tab/>
      </w:r>
      <w:r>
        <w:t>供应商须知</w:t>
      </w:r>
      <w:bookmarkEnd w:id="7"/>
    </w:p>
    <w:p>
      <w:pPr>
        <w:spacing w:before="6"/>
        <w:ind w:left="0" w:right="2917" w:firstLine="0"/>
        <w:jc w:val="center"/>
        <w:rPr>
          <w:b/>
          <w:sz w:val="32"/>
        </w:rPr>
      </w:pPr>
      <w:bookmarkStart w:id="9" w:name="一、说明"/>
      <w:bookmarkEnd w:id="9"/>
      <w:r>
        <w:rPr>
          <w:b/>
          <w:sz w:val="32"/>
        </w:rPr>
        <w:t>一、说明</w:t>
      </w:r>
    </w:p>
    <w:p>
      <w:pPr>
        <w:spacing w:after="0"/>
        <w:jc w:val="center"/>
        <w:rPr>
          <w:sz w:val="32"/>
        </w:rPr>
        <w:sectPr>
          <w:pgSz w:w="11850" w:h="16790"/>
          <w:pgMar w:top="1360" w:right="840" w:bottom="1440" w:left="1120" w:header="0" w:footer="1179" w:gutter="0"/>
          <w:pgBorders>
            <w:top w:val="none" w:sz="0" w:space="0"/>
            <w:left w:val="none" w:sz="0" w:space="0"/>
            <w:bottom w:val="none" w:sz="0" w:space="0"/>
            <w:right w:val="none" w:sz="0" w:space="0"/>
          </w:pgBorders>
          <w:pgNumType w:fmt="decimal"/>
          <w:cols w:equalWidth="0" w:num="2">
            <w:col w:w="1666" w:space="1255"/>
            <w:col w:w="6969"/>
          </w:cols>
        </w:sectPr>
      </w:pPr>
    </w:p>
    <w:p>
      <w:pPr>
        <w:pStyle w:val="2"/>
        <w:spacing w:before="6" w:line="242" w:lineRule="auto"/>
        <w:ind w:right="287" w:firstLine="420"/>
      </w:pPr>
      <w:r>
        <w:t>本次竞争性磋商依据采购人的采购计划，仅适用于本磋商文件中所叙述的项目。</w:t>
      </w:r>
    </w:p>
    <w:p>
      <w:pPr>
        <w:pStyle w:val="20"/>
        <w:numPr>
          <w:ilvl w:val="1"/>
          <w:numId w:val="1"/>
        </w:numPr>
        <w:tabs>
          <w:tab w:val="left" w:pos="503"/>
        </w:tabs>
        <w:spacing w:before="1" w:after="0" w:line="240" w:lineRule="auto"/>
        <w:ind w:left="502" w:right="0" w:hanging="284"/>
        <w:jc w:val="left"/>
        <w:outlineLvl w:val="1"/>
        <w:rPr>
          <w:b/>
          <w:sz w:val="28"/>
        </w:rPr>
      </w:pPr>
      <w:bookmarkStart w:id="10" w:name="2.采购方式、合格的供应商"/>
      <w:bookmarkEnd w:id="10"/>
      <w:bookmarkStart w:id="11" w:name="_bookmark4"/>
      <w:bookmarkEnd w:id="11"/>
      <w:bookmarkStart w:id="12" w:name="_Toc6927"/>
      <w:bookmarkStart w:id="13" w:name="_Toc30991"/>
      <w:r>
        <w:rPr>
          <w:b/>
          <w:sz w:val="28"/>
        </w:rPr>
        <w:t>采购方式、合格的供应商</w:t>
      </w:r>
      <w:bookmarkEnd w:id="12"/>
      <w:bookmarkEnd w:id="13"/>
    </w:p>
    <w:p>
      <w:pPr>
        <w:pStyle w:val="20"/>
        <w:numPr>
          <w:ilvl w:val="2"/>
          <w:numId w:val="1"/>
        </w:numPr>
        <w:tabs>
          <w:tab w:val="left" w:pos="1201"/>
        </w:tabs>
        <w:spacing w:before="3" w:after="0" w:line="240" w:lineRule="auto"/>
        <w:ind w:left="1200" w:right="0" w:hanging="562"/>
        <w:jc w:val="left"/>
        <w:rPr>
          <w:sz w:val="28"/>
        </w:rPr>
      </w:pPr>
      <w:r>
        <w:rPr>
          <w:spacing w:val="-3"/>
          <w:sz w:val="28"/>
        </w:rPr>
        <w:t>本次采取竞争性磋商方式。</w:t>
      </w:r>
    </w:p>
    <w:p>
      <w:pPr>
        <w:pStyle w:val="20"/>
        <w:numPr>
          <w:ilvl w:val="2"/>
          <w:numId w:val="1"/>
        </w:numPr>
        <w:tabs>
          <w:tab w:val="left" w:pos="1201"/>
        </w:tabs>
        <w:spacing w:before="6" w:after="0" w:line="242" w:lineRule="auto"/>
        <w:ind w:left="219" w:right="2247" w:firstLine="420"/>
        <w:jc w:val="left"/>
        <w:rPr>
          <w:b/>
          <w:sz w:val="28"/>
        </w:rPr>
      </w:pPr>
      <w:r>
        <w:rPr>
          <w:spacing w:val="-3"/>
          <w:sz w:val="28"/>
        </w:rPr>
        <w:t>合格的供应商：详见第一部分“供应商资格要求”。</w:t>
      </w:r>
      <w:bookmarkStart w:id="14" w:name="3.磋商费用"/>
      <w:bookmarkEnd w:id="14"/>
      <w:r>
        <w:rPr>
          <w:b/>
          <w:spacing w:val="-3"/>
          <w:sz w:val="28"/>
        </w:rPr>
        <w:t>3.磋商费用</w:t>
      </w:r>
    </w:p>
    <w:p>
      <w:pPr>
        <w:pStyle w:val="2"/>
        <w:spacing w:line="242" w:lineRule="auto"/>
        <w:ind w:right="426" w:firstLine="561"/>
      </w:pPr>
      <w:r>
        <w:t>供应商应自愿承担与参加本次磋商有关的费用。采购代理机构对供应商发生的费用不承担任何责任。</w:t>
      </w:r>
    </w:p>
    <w:p>
      <w:pPr>
        <w:spacing w:before="6"/>
        <w:ind w:left="0" w:right="2917" w:firstLine="0"/>
        <w:jc w:val="center"/>
        <w:rPr>
          <w:b/>
          <w:sz w:val="32"/>
        </w:rPr>
      </w:pPr>
      <w:bookmarkStart w:id="15" w:name="二、磋商文件说明"/>
      <w:bookmarkEnd w:id="15"/>
      <w:r>
        <w:rPr>
          <w:rFonts w:hint="eastAsia"/>
          <w:b/>
          <w:sz w:val="32"/>
          <w:lang w:val="en-US" w:eastAsia="zh-CN"/>
        </w:rPr>
        <w:t xml:space="preserve">                     </w:t>
      </w:r>
      <w:r>
        <w:rPr>
          <w:b/>
          <w:sz w:val="32"/>
        </w:rPr>
        <w:t>二、磋商文件说明</w:t>
      </w:r>
    </w:p>
    <w:p>
      <w:pPr>
        <w:pStyle w:val="20"/>
        <w:numPr>
          <w:ilvl w:val="0"/>
          <w:numId w:val="2"/>
        </w:numPr>
        <w:tabs>
          <w:tab w:val="left" w:pos="503"/>
        </w:tabs>
        <w:spacing w:before="4" w:after="0" w:line="240" w:lineRule="auto"/>
        <w:ind w:left="502" w:right="0" w:hanging="284"/>
        <w:jc w:val="left"/>
        <w:rPr>
          <w:b/>
          <w:sz w:val="28"/>
        </w:rPr>
      </w:pPr>
      <w:bookmarkStart w:id="16" w:name="_bookmark7"/>
      <w:bookmarkEnd w:id="16"/>
      <w:bookmarkStart w:id="17" w:name="4.磋商文件的构成"/>
      <w:bookmarkEnd w:id="17"/>
      <w:r>
        <w:rPr>
          <w:b/>
          <w:sz w:val="28"/>
        </w:rPr>
        <w:t>磋商文件的构成</w:t>
      </w:r>
    </w:p>
    <w:p>
      <w:pPr>
        <w:pStyle w:val="20"/>
        <w:numPr>
          <w:ilvl w:val="1"/>
          <w:numId w:val="2"/>
        </w:numPr>
        <w:tabs>
          <w:tab w:val="left" w:pos="1201"/>
        </w:tabs>
        <w:spacing w:before="4" w:after="0" w:line="240" w:lineRule="auto"/>
        <w:ind w:left="1200" w:right="0" w:hanging="562"/>
        <w:jc w:val="left"/>
        <w:rPr>
          <w:sz w:val="28"/>
        </w:rPr>
      </w:pPr>
      <w:r>
        <w:rPr>
          <w:spacing w:val="-3"/>
          <w:sz w:val="28"/>
        </w:rPr>
        <w:t>磋商文件包括：</w:t>
      </w:r>
    </w:p>
    <w:p>
      <w:pPr>
        <w:pStyle w:val="20"/>
        <w:numPr>
          <w:ilvl w:val="2"/>
          <w:numId w:val="2"/>
        </w:numPr>
        <w:tabs>
          <w:tab w:val="left" w:pos="1483"/>
        </w:tabs>
        <w:spacing w:before="3" w:after="0" w:line="240" w:lineRule="auto"/>
        <w:ind w:left="1482" w:right="0" w:hanging="703"/>
        <w:jc w:val="left"/>
        <w:rPr>
          <w:sz w:val="28"/>
        </w:rPr>
      </w:pPr>
      <w:r>
        <w:rPr>
          <w:spacing w:val="-2"/>
          <w:sz w:val="28"/>
        </w:rPr>
        <w:t>磋商邀请</w:t>
      </w:r>
    </w:p>
    <w:p>
      <w:pPr>
        <w:pStyle w:val="20"/>
        <w:numPr>
          <w:ilvl w:val="2"/>
          <w:numId w:val="2"/>
        </w:numPr>
        <w:tabs>
          <w:tab w:val="left" w:pos="1483"/>
        </w:tabs>
        <w:spacing w:before="6" w:after="0" w:line="240" w:lineRule="auto"/>
        <w:ind w:left="1482" w:right="0" w:hanging="703"/>
        <w:jc w:val="left"/>
        <w:rPr>
          <w:sz w:val="28"/>
        </w:rPr>
      </w:pPr>
      <w:r>
        <w:rPr>
          <w:spacing w:val="-3"/>
          <w:sz w:val="28"/>
        </w:rPr>
        <w:t>供应商须知</w:t>
      </w:r>
    </w:p>
    <w:p>
      <w:pPr>
        <w:pStyle w:val="20"/>
        <w:numPr>
          <w:ilvl w:val="2"/>
          <w:numId w:val="2"/>
        </w:numPr>
        <w:tabs>
          <w:tab w:val="left" w:pos="1483"/>
        </w:tabs>
        <w:spacing w:before="4" w:after="0" w:line="240" w:lineRule="auto"/>
        <w:ind w:left="1482" w:right="0" w:hanging="703"/>
        <w:jc w:val="left"/>
        <w:rPr>
          <w:sz w:val="28"/>
        </w:rPr>
      </w:pPr>
      <w:r>
        <w:rPr>
          <w:spacing w:val="-3"/>
          <w:sz w:val="28"/>
        </w:rPr>
        <w:t>青海省政府采购项目合同书范本</w:t>
      </w:r>
    </w:p>
    <w:p>
      <w:pPr>
        <w:pStyle w:val="20"/>
        <w:numPr>
          <w:ilvl w:val="2"/>
          <w:numId w:val="2"/>
        </w:numPr>
        <w:tabs>
          <w:tab w:val="left" w:pos="1483"/>
        </w:tabs>
        <w:spacing w:before="4" w:after="0" w:line="240" w:lineRule="auto"/>
        <w:ind w:left="1482" w:right="0" w:hanging="703"/>
        <w:jc w:val="left"/>
        <w:rPr>
          <w:sz w:val="28"/>
        </w:rPr>
      </w:pPr>
      <w:r>
        <w:rPr>
          <w:spacing w:val="-3"/>
          <w:sz w:val="28"/>
        </w:rPr>
        <w:t>响应文件格式</w:t>
      </w:r>
    </w:p>
    <w:p>
      <w:pPr>
        <w:pStyle w:val="20"/>
        <w:numPr>
          <w:ilvl w:val="2"/>
          <w:numId w:val="2"/>
        </w:numPr>
        <w:tabs>
          <w:tab w:val="left" w:pos="1483"/>
        </w:tabs>
        <w:spacing w:before="3" w:after="0" w:line="240" w:lineRule="auto"/>
        <w:ind w:left="1482" w:right="0" w:hanging="703"/>
        <w:jc w:val="left"/>
        <w:rPr>
          <w:sz w:val="28"/>
        </w:rPr>
      </w:pPr>
      <w:r>
        <w:rPr>
          <w:spacing w:val="-3"/>
          <w:sz w:val="28"/>
        </w:rPr>
        <w:t>采购项目要求及技术参数</w:t>
      </w:r>
    </w:p>
    <w:p>
      <w:pPr>
        <w:pStyle w:val="20"/>
        <w:numPr>
          <w:ilvl w:val="2"/>
          <w:numId w:val="2"/>
        </w:numPr>
        <w:tabs>
          <w:tab w:val="left" w:pos="1483"/>
        </w:tabs>
        <w:spacing w:before="6" w:after="0" w:line="240" w:lineRule="auto"/>
        <w:ind w:left="1482" w:right="0" w:hanging="703"/>
        <w:jc w:val="left"/>
        <w:rPr>
          <w:sz w:val="28"/>
        </w:rPr>
      </w:pPr>
      <w:r>
        <w:rPr>
          <w:spacing w:val="-3"/>
          <w:sz w:val="28"/>
        </w:rPr>
        <w:t>采购过程中发生的澄清、变更和补充文件</w:t>
      </w:r>
    </w:p>
    <w:p>
      <w:pPr>
        <w:pStyle w:val="20"/>
        <w:numPr>
          <w:ilvl w:val="1"/>
          <w:numId w:val="2"/>
        </w:numPr>
        <w:tabs>
          <w:tab w:val="left" w:pos="1340"/>
        </w:tabs>
        <w:spacing w:before="4" w:after="0" w:line="244" w:lineRule="auto"/>
        <w:ind w:left="219" w:right="426" w:firstLine="561"/>
        <w:jc w:val="left"/>
        <w:rPr>
          <w:sz w:val="28"/>
        </w:rPr>
      </w:pPr>
      <w:r>
        <w:rPr>
          <w:spacing w:val="-3"/>
          <w:sz w:val="28"/>
        </w:rPr>
        <w:t>供应商应当按照磋商文件的要求编制响应文件。响应文件应当对磋商文件提出的要求和条件作出明确响应。</w:t>
      </w:r>
    </w:p>
    <w:p>
      <w:pPr>
        <w:pStyle w:val="20"/>
        <w:numPr>
          <w:ilvl w:val="0"/>
          <w:numId w:val="2"/>
        </w:numPr>
        <w:tabs>
          <w:tab w:val="left" w:pos="503"/>
        </w:tabs>
        <w:spacing w:before="0" w:after="0" w:line="354" w:lineRule="exact"/>
        <w:ind w:left="502" w:right="0" w:hanging="284"/>
        <w:jc w:val="left"/>
        <w:rPr>
          <w:b/>
          <w:sz w:val="28"/>
        </w:rPr>
      </w:pPr>
      <w:bookmarkStart w:id="18" w:name="_bookmark8"/>
      <w:bookmarkEnd w:id="18"/>
      <w:bookmarkStart w:id="19" w:name="5.磋商公告、磋商文件、采购活动和成交结果的质疑"/>
      <w:bookmarkEnd w:id="19"/>
      <w:r>
        <w:rPr>
          <w:b/>
          <w:sz w:val="28"/>
        </w:rPr>
        <w:t>磋商公告、磋商文件、采购活动和成交结果的质疑</w:t>
      </w:r>
    </w:p>
    <w:p>
      <w:pPr>
        <w:pStyle w:val="2"/>
        <w:spacing w:before="4" w:line="242" w:lineRule="auto"/>
        <w:ind w:right="287" w:firstLine="561"/>
      </w:pPr>
      <w:r>
        <w:t>供应商认为竞争性磋商公告、磋商文件、采购活动和成交结果使自己的权益受到损害的，以书面形式（如信件、传真等）向采购人或者采购代理机构就某个环节提出一次性质疑，不接受匿名质疑。对竞争性磋商公告、磋商文件提出质疑，应该在提交响应文件截止时间至少3日前提出。对采购活动和成交结果提出质疑的可以在知道或者应知其权益受到损害之日起7个工作日内提出质疑。采购人或采购代理机构在收到供应商的书面质疑后7个工作日内予以答复，如有变更事宜，应当在发布本次竞争性磋商公告的网站上发布变更公告，告知本项目的所有潜在供应商。</w:t>
      </w:r>
    </w:p>
    <w:p>
      <w:pPr>
        <w:pStyle w:val="2"/>
        <w:spacing w:before="5" w:line="242" w:lineRule="auto"/>
        <w:ind w:right="426" w:firstLine="561"/>
        <w:jc w:val="both"/>
      </w:pPr>
      <w:r>
        <w:t>参与采购活动的供应商对磋商过程或者结果提出质疑的，采购人或采购代理机构可以组织原磋商小组协助处理质疑事项，并依据磋商小组出具的意见进行答复。质疑事项处理完成后，采购人或采购代理机构应按照规定填写</w:t>
      </w:r>
    </w:p>
    <w:p>
      <w:pPr>
        <w:pStyle w:val="2"/>
        <w:spacing w:before="3" w:line="242" w:lineRule="auto"/>
        <w:ind w:right="426"/>
      </w:pPr>
      <w:r>
        <w:t>《青海省政府采购供应商质疑处理情况表》，并在15日内报同级政府采购监督管理部门备案。</w:t>
      </w:r>
    </w:p>
    <w:p>
      <w:pPr>
        <w:pStyle w:val="2"/>
        <w:spacing w:before="2"/>
        <w:ind w:left="780"/>
      </w:pPr>
      <w:r>
        <w:t>供应商应知其权益受到损害之日，是指：</w:t>
      </w:r>
    </w:p>
    <w:p>
      <w:pPr>
        <w:spacing w:after="0"/>
        <w:sectPr>
          <w:type w:val="continuous"/>
          <w:pgSz w:w="11850" w:h="16790"/>
          <w:pgMar w:top="1580" w:right="840" w:bottom="280" w:left="1120" w:header="720" w:footer="720" w:gutter="0"/>
          <w:pgBorders>
            <w:top w:val="none" w:sz="0" w:space="0"/>
            <w:left w:val="none" w:sz="0" w:space="0"/>
            <w:bottom w:val="none" w:sz="0" w:space="0"/>
            <w:right w:val="none" w:sz="0" w:space="0"/>
          </w:pgBorders>
          <w:pgNumType w:fmt="decimal"/>
          <w:cols w:space="720" w:num="1"/>
        </w:sectPr>
      </w:pPr>
    </w:p>
    <w:p>
      <w:pPr>
        <w:pStyle w:val="2"/>
        <w:spacing w:before="33" w:line="242" w:lineRule="auto"/>
        <w:ind w:right="426" w:firstLine="561"/>
      </w:pPr>
      <w:r>
        <w:t>（一）对可以质疑的磋商文件提出质疑的，为收到磋商文件之日或者磋商文件公告期限届满之日；</w:t>
      </w:r>
    </w:p>
    <w:p>
      <w:pPr>
        <w:pStyle w:val="2"/>
        <w:ind w:left="780"/>
      </w:pPr>
      <w:r>
        <w:t>（二）对采购过程提出质疑的，为各采购程序环节结束之日；</w:t>
      </w:r>
    </w:p>
    <w:p>
      <w:pPr>
        <w:spacing w:before="6" w:line="242" w:lineRule="auto"/>
        <w:ind w:left="219" w:right="1266" w:firstLine="561"/>
        <w:jc w:val="left"/>
        <w:rPr>
          <w:b/>
          <w:sz w:val="28"/>
        </w:rPr>
      </w:pPr>
      <w:r>
        <w:rPr>
          <w:sz w:val="28"/>
        </w:rPr>
        <w:t>（三）对成交结果提出质疑的，为成交结果公告期限届满之日。</w:t>
      </w:r>
      <w:bookmarkStart w:id="20" w:name="6.磋商文件的澄清或修改"/>
      <w:bookmarkEnd w:id="20"/>
      <w:r>
        <w:rPr>
          <w:b/>
          <w:sz w:val="28"/>
        </w:rPr>
        <w:t>6.磋商文件的澄清或修改</w:t>
      </w:r>
    </w:p>
    <w:p>
      <w:pPr>
        <w:pStyle w:val="20"/>
        <w:numPr>
          <w:ilvl w:val="1"/>
          <w:numId w:val="3"/>
        </w:numPr>
        <w:tabs>
          <w:tab w:val="left" w:pos="1340"/>
        </w:tabs>
        <w:spacing w:before="0" w:after="0" w:line="242" w:lineRule="auto"/>
        <w:ind w:left="219" w:right="287" w:firstLine="561"/>
        <w:jc w:val="left"/>
        <w:rPr>
          <w:sz w:val="28"/>
        </w:rPr>
      </w:pPr>
      <w:r>
        <w:rPr>
          <w:spacing w:val="-3"/>
          <w:sz w:val="28"/>
        </w:rPr>
        <w:t>提交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响应文件截止时间至少</w:t>
      </w:r>
      <w:r>
        <w:rPr>
          <w:sz w:val="28"/>
        </w:rPr>
        <w:t>5</w:t>
      </w:r>
      <w:r>
        <w:rPr>
          <w:spacing w:val="-3"/>
          <w:sz w:val="28"/>
        </w:rPr>
        <w:t>日前，以书面形式通知所有获取磋商文件的供应商;不足</w:t>
      </w:r>
      <w:r>
        <w:rPr>
          <w:sz w:val="28"/>
        </w:rPr>
        <w:t>5</w:t>
      </w:r>
      <w:r>
        <w:rPr>
          <w:spacing w:val="-3"/>
          <w:sz w:val="28"/>
        </w:rPr>
        <w:t>日的，采购人、采购代理机构应当顺延提交响应文件截止时间。</w:t>
      </w:r>
    </w:p>
    <w:p>
      <w:pPr>
        <w:pStyle w:val="20"/>
        <w:numPr>
          <w:ilvl w:val="1"/>
          <w:numId w:val="3"/>
        </w:numPr>
        <w:tabs>
          <w:tab w:val="left" w:pos="1340"/>
        </w:tabs>
        <w:spacing w:before="6" w:after="0" w:line="242" w:lineRule="auto"/>
        <w:ind w:left="219" w:right="287" w:firstLine="561"/>
        <w:jc w:val="left"/>
        <w:rPr>
          <w:sz w:val="28"/>
        </w:rPr>
      </w:pPr>
      <w:r>
        <w:rPr>
          <w:spacing w:val="-3"/>
          <w:sz w:val="28"/>
        </w:rPr>
        <w:t>从磋商文件发出之日起至供应商提交响应文件截止之日止不得少于10日。在提交响应文件截止之日前，采购人或采购代理机构可以视采购活动具体情况，变更提交响应文件截止之时间和磋商时间，并至少应当在磋商文件要求提交响应文件的截止时间</w:t>
      </w:r>
      <w:r>
        <w:rPr>
          <w:sz w:val="28"/>
        </w:rPr>
        <w:t>3</w:t>
      </w:r>
      <w:r>
        <w:rPr>
          <w:spacing w:val="-3"/>
          <w:sz w:val="28"/>
        </w:rPr>
        <w:t>日前，将变更时间以书面形式通知所有购买了磋商文件的供应商，同时在发布本次竞争性磋商公告的网站发布变更公告。</w:t>
      </w:r>
    </w:p>
    <w:p>
      <w:pPr>
        <w:spacing w:before="6"/>
        <w:ind w:left="0" w:right="0" w:firstLine="0"/>
        <w:jc w:val="center"/>
        <w:rPr>
          <w:b/>
          <w:sz w:val="32"/>
        </w:rPr>
      </w:pPr>
      <w:bookmarkStart w:id="21" w:name="三、响应文件的编制"/>
      <w:bookmarkEnd w:id="21"/>
      <w:r>
        <w:rPr>
          <w:b/>
          <w:sz w:val="32"/>
        </w:rPr>
        <w:t>三、响应文件的编制</w:t>
      </w:r>
    </w:p>
    <w:p>
      <w:pPr>
        <w:pStyle w:val="20"/>
        <w:numPr>
          <w:ilvl w:val="0"/>
          <w:numId w:val="4"/>
        </w:numPr>
        <w:tabs>
          <w:tab w:val="left" w:pos="503"/>
        </w:tabs>
        <w:spacing w:before="4" w:after="0" w:line="240" w:lineRule="auto"/>
        <w:ind w:left="502" w:right="0" w:hanging="284"/>
        <w:jc w:val="left"/>
        <w:rPr>
          <w:b/>
          <w:sz w:val="28"/>
        </w:rPr>
      </w:pPr>
      <w:bookmarkStart w:id="22" w:name="_bookmark11"/>
      <w:bookmarkEnd w:id="22"/>
      <w:bookmarkStart w:id="23" w:name="7.响应文件的语言及度量衡单位"/>
      <w:bookmarkEnd w:id="23"/>
      <w:r>
        <w:rPr>
          <w:b/>
          <w:sz w:val="28"/>
        </w:rPr>
        <w:t>响应文件的语言及度量衡单位</w:t>
      </w:r>
    </w:p>
    <w:p>
      <w:pPr>
        <w:pStyle w:val="20"/>
        <w:numPr>
          <w:ilvl w:val="1"/>
          <w:numId w:val="4"/>
        </w:numPr>
        <w:tabs>
          <w:tab w:val="left" w:pos="1340"/>
        </w:tabs>
        <w:spacing w:before="4" w:after="0" w:line="242" w:lineRule="auto"/>
        <w:ind w:left="219" w:right="426" w:firstLine="561"/>
        <w:jc w:val="both"/>
        <w:rPr>
          <w:sz w:val="28"/>
        </w:rPr>
      </w:pPr>
      <w:r>
        <w:rPr>
          <w:spacing w:val="-3"/>
          <w:sz w:val="28"/>
        </w:rPr>
        <w:t>供应商提交的响应文件以及供应商与</w:t>
      </w:r>
      <w:r>
        <w:rPr>
          <w:spacing w:val="-3"/>
          <w:sz w:val="28"/>
          <w:u w:val="single"/>
        </w:rPr>
        <w:t>采购人或者采购代理机构</w:t>
      </w:r>
      <w:r>
        <w:rPr>
          <w:sz w:val="28"/>
        </w:rPr>
        <w:t>就此</w:t>
      </w:r>
      <w:r>
        <w:rPr>
          <w:spacing w:val="-3"/>
          <w:sz w:val="28"/>
        </w:rPr>
        <w:t>磋商发生的所有来往函电均应使用简体中文。除签名、盖章、专用名称等特殊情形外，以中文汉语以外的文字表述的响应文件视同未提供。</w:t>
      </w:r>
    </w:p>
    <w:p>
      <w:pPr>
        <w:pStyle w:val="20"/>
        <w:numPr>
          <w:ilvl w:val="1"/>
          <w:numId w:val="4"/>
        </w:numPr>
        <w:tabs>
          <w:tab w:val="left" w:pos="1340"/>
        </w:tabs>
        <w:spacing w:before="2" w:after="0" w:line="242" w:lineRule="auto"/>
        <w:ind w:left="219" w:right="426" w:firstLine="561"/>
        <w:jc w:val="both"/>
        <w:rPr>
          <w:sz w:val="28"/>
        </w:rPr>
      </w:pPr>
      <w:r>
        <w:rPr>
          <w:spacing w:val="-3"/>
          <w:sz w:val="28"/>
        </w:rPr>
        <w:t>除磋商文件中另有规定外，响应文件所使用的度量衡单位，均须采用国家法定计量单位。</w:t>
      </w:r>
    </w:p>
    <w:p>
      <w:pPr>
        <w:pStyle w:val="20"/>
        <w:numPr>
          <w:ilvl w:val="1"/>
          <w:numId w:val="4"/>
        </w:numPr>
        <w:tabs>
          <w:tab w:val="left" w:pos="1340"/>
        </w:tabs>
        <w:spacing w:before="0" w:after="0" w:line="242" w:lineRule="auto"/>
        <w:ind w:left="219" w:right="426" w:firstLine="561"/>
        <w:jc w:val="left"/>
        <w:rPr>
          <w:sz w:val="28"/>
        </w:rPr>
      </w:pPr>
      <w:r>
        <w:rPr>
          <w:spacing w:val="-3"/>
          <w:sz w:val="28"/>
        </w:rPr>
        <w:t>附有外文资料的须翻译成中文，并加盖供应商公章，如果翻译的中文资料与外文资料出现差异与矛盾时，以中文为准，其准确性由供应商负 责。</w:t>
      </w:r>
    </w:p>
    <w:p>
      <w:pPr>
        <w:pStyle w:val="20"/>
        <w:numPr>
          <w:ilvl w:val="0"/>
          <w:numId w:val="4"/>
        </w:numPr>
        <w:tabs>
          <w:tab w:val="left" w:pos="503"/>
        </w:tabs>
        <w:spacing w:before="3" w:after="0" w:line="240" w:lineRule="auto"/>
        <w:ind w:left="502" w:right="0" w:hanging="284"/>
        <w:jc w:val="left"/>
        <w:rPr>
          <w:b/>
          <w:sz w:val="28"/>
        </w:rPr>
      </w:pPr>
      <w:bookmarkStart w:id="24" w:name="8.磋商报价及币种"/>
      <w:bookmarkEnd w:id="24"/>
      <w:bookmarkStart w:id="25" w:name="_bookmark12"/>
      <w:bookmarkEnd w:id="25"/>
      <w:r>
        <w:rPr>
          <w:b/>
          <w:sz w:val="28"/>
        </w:rPr>
        <w:t>磋商报价及币种</w:t>
      </w:r>
    </w:p>
    <w:p>
      <w:pPr>
        <w:pStyle w:val="20"/>
        <w:numPr>
          <w:ilvl w:val="1"/>
          <w:numId w:val="4"/>
        </w:numPr>
        <w:tabs>
          <w:tab w:val="left" w:pos="1340"/>
        </w:tabs>
        <w:spacing w:before="6" w:after="0" w:line="242" w:lineRule="auto"/>
        <w:ind w:left="219" w:right="426" w:firstLine="561"/>
        <w:jc w:val="both"/>
        <w:rPr>
          <w:sz w:val="28"/>
        </w:rPr>
      </w:pPr>
      <w:r>
        <w:rPr>
          <w:spacing w:val="-3"/>
          <w:sz w:val="28"/>
        </w:rPr>
        <w:t>磋商报价为响应总价。磋商报价必须包括：产品费、包装费、运输费、安装费、调试费、培训费、售前售中售后服务费、保险费、手续费、税金及不可预见费等全部费用。（说明：具体内容应根据项目特点实事求是的填写</w:t>
      </w:r>
      <w:r>
        <w:rPr>
          <w:sz w:val="28"/>
        </w:rPr>
        <w:t>）</w:t>
      </w:r>
    </w:p>
    <w:p>
      <w:pPr>
        <w:pStyle w:val="20"/>
        <w:numPr>
          <w:ilvl w:val="1"/>
          <w:numId w:val="4"/>
        </w:numPr>
        <w:tabs>
          <w:tab w:val="left" w:pos="1340"/>
        </w:tabs>
        <w:spacing w:before="3" w:after="0" w:line="240" w:lineRule="auto"/>
        <w:ind w:left="1340" w:right="0" w:hanging="560"/>
        <w:jc w:val="both"/>
        <w:rPr>
          <w:sz w:val="28"/>
        </w:rPr>
      </w:pPr>
      <w:r>
        <w:rPr>
          <w:spacing w:val="-3"/>
          <w:sz w:val="28"/>
        </w:rPr>
        <w:t>磋商报价有效期与响应有效期一致。</w:t>
      </w:r>
    </w:p>
    <w:p>
      <w:pPr>
        <w:pStyle w:val="20"/>
        <w:numPr>
          <w:ilvl w:val="1"/>
          <w:numId w:val="4"/>
        </w:numPr>
        <w:tabs>
          <w:tab w:val="left" w:pos="1340"/>
        </w:tabs>
        <w:spacing w:before="3" w:after="0" w:line="240" w:lineRule="auto"/>
        <w:ind w:left="1340" w:right="0" w:hanging="560"/>
        <w:jc w:val="both"/>
        <w:rPr>
          <w:spacing w:val="-3"/>
          <w:sz w:val="28"/>
        </w:rPr>
      </w:pPr>
      <w:r>
        <w:rPr>
          <w:spacing w:val="-3"/>
          <w:sz w:val="28"/>
        </w:rPr>
        <w:t>提交的最后报价，成交后在合同有效期内价格不变。</w:t>
      </w:r>
    </w:p>
    <w:p>
      <w:pPr>
        <w:pStyle w:val="20"/>
        <w:numPr>
          <w:ilvl w:val="1"/>
          <w:numId w:val="4"/>
        </w:numPr>
        <w:tabs>
          <w:tab w:val="left" w:pos="1340"/>
        </w:tabs>
        <w:spacing w:before="3" w:after="0" w:line="240" w:lineRule="auto"/>
        <w:ind w:left="1340" w:right="0" w:hanging="560"/>
        <w:jc w:val="both"/>
        <w:rPr>
          <w:spacing w:val="-3"/>
          <w:sz w:val="28"/>
        </w:rPr>
      </w:pPr>
      <w:r>
        <w:rPr>
          <w:spacing w:val="-3"/>
          <w:sz w:val="28"/>
        </w:rPr>
        <w:t>磋商币种是人民币。</w:t>
      </w:r>
      <w:bookmarkStart w:id="26" w:name="9.磋商保证金"/>
      <w:bookmarkEnd w:id="26"/>
    </w:p>
    <w:p>
      <w:pPr>
        <w:pStyle w:val="20"/>
        <w:numPr>
          <w:ilvl w:val="0"/>
          <w:numId w:val="0"/>
        </w:numPr>
        <w:tabs>
          <w:tab w:val="left" w:pos="1340"/>
        </w:tabs>
        <w:spacing w:before="3" w:after="0" w:line="240" w:lineRule="auto"/>
        <w:ind w:right="0" w:rightChars="0"/>
        <w:jc w:val="both"/>
        <w:rPr>
          <w:b/>
          <w:sz w:val="28"/>
        </w:rPr>
      </w:pPr>
      <w:r>
        <w:rPr>
          <w:b/>
          <w:spacing w:val="-3"/>
          <w:sz w:val="28"/>
        </w:rPr>
        <w:t>9.磋商保证金</w:t>
      </w:r>
    </w:p>
    <w:p>
      <w:pPr>
        <w:pStyle w:val="20"/>
        <w:numPr>
          <w:ilvl w:val="1"/>
          <w:numId w:val="5"/>
        </w:numPr>
        <w:tabs>
          <w:tab w:val="left" w:pos="1201"/>
        </w:tabs>
        <w:spacing w:before="0" w:after="0" w:line="242" w:lineRule="auto"/>
        <w:ind w:left="219" w:right="287" w:firstLine="561"/>
        <w:jc w:val="left"/>
        <w:rPr>
          <w:sz w:val="28"/>
        </w:rPr>
      </w:pPr>
      <w:r>
        <w:rPr>
          <w:spacing w:val="-3"/>
          <w:sz w:val="28"/>
        </w:rPr>
        <w:t>采购人、采购代理机构可以要求供应商在提交响应文件截止时间之前</w:t>
      </w:r>
    </w:p>
    <w:p>
      <w:pPr>
        <w:spacing w:after="0" w:line="242" w:lineRule="auto"/>
        <w:jc w:val="left"/>
        <w:rPr>
          <w:sz w:val="28"/>
        </w:rPr>
        <w:sectPr>
          <w:pgSz w:w="11850" w:h="16790"/>
          <w:pgMar w:top="1360" w:right="840" w:bottom="1440" w:left="1120" w:header="0" w:footer="1179" w:gutter="0"/>
          <w:pgBorders>
            <w:top w:val="none" w:sz="0" w:space="0"/>
            <w:left w:val="none" w:sz="0" w:space="0"/>
            <w:bottom w:val="none" w:sz="0" w:space="0"/>
            <w:right w:val="none" w:sz="0" w:space="0"/>
          </w:pgBorders>
          <w:pgNumType w:fmt="decimal"/>
          <w:cols w:space="720" w:num="1"/>
        </w:sectPr>
      </w:pPr>
    </w:p>
    <w:p>
      <w:pPr>
        <w:pStyle w:val="20"/>
        <w:numPr>
          <w:ilvl w:val="1"/>
          <w:numId w:val="5"/>
        </w:numPr>
        <w:tabs>
          <w:tab w:val="left" w:pos="1201"/>
        </w:tabs>
        <w:spacing w:before="0" w:after="0" w:line="242" w:lineRule="auto"/>
        <w:ind w:left="219" w:right="287" w:firstLine="561"/>
        <w:jc w:val="left"/>
      </w:pPr>
      <w:r>
        <w:rPr>
          <w:spacing w:val="-3"/>
          <w:sz w:val="28"/>
        </w:rPr>
        <w:t>缴纳磋商保证金。磋商保证金应当采用支票、汇票、本票或者金融机构、担保机构出具的保函等非现金形式交纳。磋商保证金数额应当不超过采购项目预算的2%。</w:t>
      </w:r>
    </w:p>
    <w:p>
      <w:pPr>
        <w:pStyle w:val="2"/>
        <w:spacing w:line="244" w:lineRule="auto"/>
        <w:ind w:left="780" w:right="2388"/>
        <w:rPr>
          <w:rFonts w:ascii="宋体" w:hAnsi="宋体" w:eastAsia="宋体" w:cs="宋体"/>
          <w:spacing w:val="-3"/>
          <w:sz w:val="28"/>
          <w:szCs w:val="22"/>
          <w:lang w:val="zh-CN" w:eastAsia="zh-CN" w:bidi="zh-CN"/>
        </w:rPr>
      </w:pPr>
      <w:r>
        <w:rPr>
          <w:rFonts w:ascii="宋体" w:hAnsi="宋体" w:eastAsia="宋体" w:cs="宋体"/>
          <w:spacing w:val="-3"/>
          <w:sz w:val="28"/>
          <w:szCs w:val="22"/>
          <w:lang w:val="zh-CN" w:eastAsia="zh-CN" w:bidi="zh-CN"/>
        </w:rPr>
        <w:t>磋商保证金：</w:t>
      </w:r>
      <w:r>
        <w:rPr>
          <w:rFonts w:hint="eastAsia" w:cs="宋体"/>
          <w:spacing w:val="-3"/>
          <w:sz w:val="28"/>
          <w:szCs w:val="22"/>
          <w:shd w:val="clear"/>
          <w:lang w:val="en-US" w:eastAsia="zh-CN" w:bidi="zh-CN"/>
        </w:rPr>
        <w:t>18000</w:t>
      </w:r>
      <w:r>
        <w:rPr>
          <w:rFonts w:ascii="宋体" w:hAnsi="宋体" w:eastAsia="宋体" w:cs="宋体"/>
          <w:spacing w:val="-3"/>
          <w:sz w:val="28"/>
          <w:szCs w:val="22"/>
          <w:shd w:val="clear"/>
          <w:lang w:val="zh-CN" w:eastAsia="zh-CN" w:bidi="zh-CN"/>
        </w:rPr>
        <w:t>元整（大写：</w:t>
      </w:r>
      <w:r>
        <w:rPr>
          <w:rFonts w:hint="eastAsia" w:cs="宋体"/>
          <w:spacing w:val="-3"/>
          <w:sz w:val="28"/>
          <w:szCs w:val="22"/>
          <w:shd w:val="clear"/>
          <w:lang w:val="en-US" w:eastAsia="zh-CN" w:bidi="zh-CN"/>
        </w:rPr>
        <w:t>壹万捌仟</w:t>
      </w:r>
      <w:r>
        <w:rPr>
          <w:rFonts w:ascii="宋体" w:hAnsi="宋体" w:eastAsia="宋体" w:cs="宋体"/>
          <w:spacing w:val="-3"/>
          <w:sz w:val="28"/>
          <w:szCs w:val="22"/>
          <w:shd w:val="clear"/>
          <w:lang w:val="zh-CN" w:eastAsia="zh-CN" w:bidi="zh-CN"/>
        </w:rPr>
        <w:t>元整）</w:t>
      </w:r>
      <w:r>
        <w:rPr>
          <w:rFonts w:ascii="宋体" w:hAnsi="宋体" w:eastAsia="宋体" w:cs="宋体"/>
          <w:spacing w:val="-3"/>
          <w:sz w:val="28"/>
          <w:szCs w:val="22"/>
          <w:lang w:val="zh-CN" w:eastAsia="zh-CN" w:bidi="zh-CN"/>
        </w:rPr>
        <w:t>；</w:t>
      </w:r>
    </w:p>
    <w:p>
      <w:pPr>
        <w:pStyle w:val="2"/>
        <w:spacing w:line="244" w:lineRule="auto"/>
        <w:ind w:left="780" w:right="2388"/>
        <w:rPr>
          <w:rFonts w:ascii="宋体" w:hAnsi="宋体" w:eastAsia="宋体" w:cs="宋体"/>
          <w:spacing w:val="-3"/>
          <w:sz w:val="28"/>
          <w:szCs w:val="22"/>
          <w:lang w:val="zh-CN" w:eastAsia="zh-CN" w:bidi="zh-CN"/>
        </w:rPr>
      </w:pPr>
      <w:r>
        <w:rPr>
          <w:rFonts w:ascii="宋体" w:hAnsi="宋体" w:eastAsia="宋体" w:cs="宋体"/>
          <w:spacing w:val="-3"/>
          <w:sz w:val="28"/>
          <w:szCs w:val="22"/>
          <w:lang w:val="zh-CN" w:eastAsia="zh-CN" w:bidi="zh-CN"/>
        </w:rPr>
        <w:t>磋商保证金缴纳账户</w:t>
      </w:r>
    </w:p>
    <w:p>
      <w:pPr>
        <w:pStyle w:val="2"/>
        <w:spacing w:line="354" w:lineRule="exact"/>
        <w:ind w:left="780"/>
        <w:rPr>
          <w:rFonts w:hint="eastAsia" w:eastAsia="宋体"/>
          <w:lang w:eastAsia="zh-CN"/>
        </w:rPr>
      </w:pPr>
      <w:r>
        <w:t>收款单位：</w:t>
      </w:r>
      <w:r>
        <w:rPr>
          <w:rFonts w:hint="eastAsia"/>
          <w:lang w:eastAsia="zh-CN"/>
        </w:rPr>
        <w:t>青海鑫凤林项目管理咨询有限公司　</w:t>
      </w:r>
    </w:p>
    <w:p>
      <w:pPr>
        <w:pStyle w:val="2"/>
        <w:spacing w:before="4" w:line="242" w:lineRule="auto"/>
        <w:ind w:left="780" w:right="1266"/>
        <w:rPr>
          <w:rFonts w:hint="eastAsia"/>
        </w:rPr>
      </w:pPr>
      <w:r>
        <w:t>开户银行：</w:t>
      </w:r>
      <w:r>
        <w:rPr>
          <w:rFonts w:hint="eastAsia"/>
        </w:rPr>
        <w:t>上海浦东发展银行股份有限公司西宁开发区支行</w:t>
      </w:r>
    </w:p>
    <w:p>
      <w:pPr>
        <w:pStyle w:val="2"/>
        <w:spacing w:before="2" w:line="242" w:lineRule="auto"/>
        <w:ind w:right="707" w:firstLine="561"/>
      </w:pPr>
      <w:r>
        <w:t>银行账号：</w:t>
      </w:r>
      <w:r>
        <w:rPr>
          <w:rFonts w:hint="eastAsia"/>
        </w:rPr>
        <w:t>3505 0078 8018 0000 0082（保证金汇款，后附项目编号）</w:t>
      </w:r>
    </w:p>
    <w:p>
      <w:pPr>
        <w:pStyle w:val="2"/>
        <w:spacing w:before="1"/>
        <w:ind w:left="780"/>
      </w:pPr>
      <w:r>
        <w:t>交纳截止时间：提交响应文件截止时间之前，以银行到账时间为准。</w:t>
      </w:r>
    </w:p>
    <w:p>
      <w:pPr>
        <w:pStyle w:val="2"/>
        <w:spacing w:before="1"/>
        <w:ind w:left="780"/>
      </w:pPr>
      <w:r>
        <w:t>如采购项目变更开标时间，则保证金缴纳截止时间相应顺延。</w:t>
      </w:r>
    </w:p>
    <w:p>
      <w:pPr>
        <w:pStyle w:val="20"/>
        <w:numPr>
          <w:ilvl w:val="1"/>
          <w:numId w:val="5"/>
        </w:numPr>
        <w:tabs>
          <w:tab w:val="left" w:pos="1340"/>
        </w:tabs>
        <w:spacing w:before="6" w:after="0" w:line="242" w:lineRule="auto"/>
        <w:ind w:left="219" w:right="287" w:firstLine="561"/>
        <w:jc w:val="left"/>
        <w:rPr>
          <w:sz w:val="28"/>
        </w:rPr>
      </w:pPr>
      <w:r>
        <w:rPr>
          <w:spacing w:val="-3"/>
          <w:sz w:val="28"/>
        </w:rPr>
        <w:t>缴费方式：磋商保证金应当以支票、汇票、本票或者金融机构、担保机构出具的保函等非现金形式提交。通过银行转账的，必须由供应商从其基本账户(须提供开户许可证复印件)汇（</w:t>
      </w:r>
      <w:r>
        <w:rPr>
          <w:sz w:val="28"/>
        </w:rPr>
        <w:t>转）</w:t>
      </w:r>
      <w:r>
        <w:rPr>
          <w:spacing w:val="-3"/>
          <w:sz w:val="28"/>
        </w:rPr>
        <w:t>入</w:t>
      </w:r>
      <w:r>
        <w:rPr>
          <w:sz w:val="28"/>
        </w:rPr>
        <w:t>9.1</w:t>
      </w:r>
      <w:r>
        <w:rPr>
          <w:spacing w:val="-3"/>
          <w:sz w:val="28"/>
        </w:rPr>
        <w:t>条规定的账户。供应商未按照磋商文件要求提交磋商保证金的，响应无效。</w:t>
      </w:r>
    </w:p>
    <w:p>
      <w:pPr>
        <w:pStyle w:val="20"/>
        <w:numPr>
          <w:ilvl w:val="1"/>
          <w:numId w:val="5"/>
        </w:numPr>
        <w:tabs>
          <w:tab w:val="left" w:pos="1204"/>
        </w:tabs>
        <w:spacing w:before="2" w:after="0" w:line="242" w:lineRule="auto"/>
        <w:ind w:left="219" w:right="287" w:firstLine="561"/>
        <w:jc w:val="left"/>
        <w:rPr>
          <w:sz w:val="28"/>
        </w:rPr>
      </w:pPr>
      <w:r>
        <w:rPr>
          <w:spacing w:val="-3"/>
          <w:sz w:val="28"/>
        </w:rPr>
        <w:t>供应商为联合体的，可以由联合体中的一方或者多方共同交纳磋商保证金，其交纳的保证金对联合体各方均具有约束力。</w:t>
      </w:r>
    </w:p>
    <w:p>
      <w:pPr>
        <w:pStyle w:val="20"/>
        <w:numPr>
          <w:ilvl w:val="1"/>
          <w:numId w:val="5"/>
        </w:numPr>
        <w:tabs>
          <w:tab w:val="left" w:pos="1204"/>
        </w:tabs>
        <w:spacing w:before="3" w:after="0" w:line="240" w:lineRule="auto"/>
        <w:ind w:left="1203" w:right="0" w:hanging="424"/>
        <w:jc w:val="left"/>
        <w:rPr>
          <w:sz w:val="28"/>
        </w:rPr>
      </w:pPr>
      <w:r>
        <w:rPr>
          <w:spacing w:val="-2"/>
          <w:sz w:val="28"/>
        </w:rPr>
        <w:t>保证金退还</w:t>
      </w:r>
    </w:p>
    <w:p>
      <w:pPr>
        <w:pStyle w:val="20"/>
        <w:numPr>
          <w:ilvl w:val="2"/>
          <w:numId w:val="5"/>
        </w:numPr>
        <w:tabs>
          <w:tab w:val="left" w:pos="1482"/>
        </w:tabs>
        <w:spacing w:before="3" w:after="0" w:line="242" w:lineRule="auto"/>
        <w:ind w:left="219" w:right="287" w:firstLine="561"/>
        <w:jc w:val="left"/>
        <w:rPr>
          <w:sz w:val="28"/>
        </w:rPr>
      </w:pPr>
      <w:r>
        <w:rPr>
          <w:spacing w:val="-3"/>
          <w:sz w:val="28"/>
        </w:rPr>
        <w:t>采购人或者采购代理机构应当在采购活动结束后及时退还供应商的磋商保证金，但因供应商自身原因导致无法及时退还的除外。未成交供应商的磋商保证金应当在成交通知书发出后</w:t>
      </w:r>
      <w:r>
        <w:rPr>
          <w:sz w:val="28"/>
        </w:rPr>
        <w:t>5</w:t>
      </w:r>
      <w:r>
        <w:rPr>
          <w:spacing w:val="-3"/>
          <w:sz w:val="28"/>
        </w:rPr>
        <w:t>个工作日内退还，成交供应商的磋商保证金应当在采购合同签订后</w:t>
      </w:r>
      <w:r>
        <w:rPr>
          <w:sz w:val="28"/>
        </w:rPr>
        <w:t>5</w:t>
      </w:r>
      <w:r>
        <w:rPr>
          <w:spacing w:val="-3"/>
          <w:sz w:val="28"/>
        </w:rPr>
        <w:t>个工作日内退还。</w:t>
      </w:r>
    </w:p>
    <w:p>
      <w:pPr>
        <w:pStyle w:val="20"/>
        <w:numPr>
          <w:ilvl w:val="2"/>
          <w:numId w:val="5"/>
        </w:numPr>
        <w:tabs>
          <w:tab w:val="left" w:pos="1482"/>
        </w:tabs>
        <w:spacing w:before="3" w:after="0" w:line="242" w:lineRule="auto"/>
        <w:ind w:left="219" w:right="287" w:firstLine="561"/>
        <w:jc w:val="left"/>
        <w:rPr>
          <w:sz w:val="28"/>
        </w:rPr>
      </w:pPr>
      <w:r>
        <w:rPr>
          <w:spacing w:val="-3"/>
          <w:sz w:val="28"/>
        </w:rPr>
        <w:t>已提交响应文件的供应商，在提交最后报价之前退出磋商的。采购人、采购代理机构应当退还退出磋商供应商的磋商保证金。</w:t>
      </w:r>
    </w:p>
    <w:p>
      <w:pPr>
        <w:pStyle w:val="20"/>
        <w:numPr>
          <w:ilvl w:val="2"/>
          <w:numId w:val="5"/>
        </w:numPr>
        <w:tabs>
          <w:tab w:val="left" w:pos="1482"/>
        </w:tabs>
        <w:spacing w:before="0" w:after="0" w:line="240" w:lineRule="auto"/>
        <w:ind w:left="1481" w:right="0" w:hanging="702"/>
        <w:jc w:val="left"/>
        <w:rPr>
          <w:sz w:val="28"/>
        </w:rPr>
      </w:pPr>
      <w:r>
        <w:rPr>
          <w:spacing w:val="-3"/>
          <w:sz w:val="28"/>
        </w:rPr>
        <w:t>有下列情形之一的，磋商保证金不予退还:</w:t>
      </w:r>
    </w:p>
    <w:p>
      <w:pPr>
        <w:pStyle w:val="2"/>
        <w:spacing w:before="6" w:line="242" w:lineRule="auto"/>
        <w:ind w:left="780" w:right="3350"/>
      </w:pPr>
      <w:r>
        <w:t>(一)供应商在提交最后报价后撤回响应文件的; (二)供应商在响应文件中提供虚假材料的;</w:t>
      </w:r>
    </w:p>
    <w:p>
      <w:pPr>
        <w:pStyle w:val="2"/>
        <w:spacing w:before="3" w:line="242" w:lineRule="auto"/>
        <w:ind w:right="426" w:firstLine="561"/>
      </w:pPr>
      <w:r>
        <w:t>(三)除因不可抗力或磋商文件认可的情形以外，成交供应商不与采购人签订合同的;</w:t>
      </w:r>
    </w:p>
    <w:p>
      <w:pPr>
        <w:pStyle w:val="2"/>
        <w:spacing w:line="242" w:lineRule="auto"/>
        <w:ind w:left="780" w:right="1128"/>
      </w:pPr>
      <w:r>
        <w:t>(四)供应商与采购人、其他供应商或者采购代理机构恶意串通的; (五)磋商文件规定的其他情形。</w:t>
      </w:r>
    </w:p>
    <w:p>
      <w:pPr>
        <w:pStyle w:val="20"/>
        <w:numPr>
          <w:ilvl w:val="2"/>
          <w:numId w:val="5"/>
        </w:numPr>
        <w:tabs>
          <w:tab w:val="left" w:pos="1482"/>
        </w:tabs>
        <w:spacing w:before="2" w:after="0" w:line="242" w:lineRule="auto"/>
        <w:ind w:left="219" w:right="287" w:firstLine="561"/>
        <w:jc w:val="left"/>
        <w:rPr>
          <w:sz w:val="28"/>
        </w:rPr>
      </w:pPr>
      <w:r>
        <w:rPr>
          <w:spacing w:val="-3"/>
          <w:sz w:val="28"/>
        </w:rPr>
        <w:t>采购代理机构逾期退还磋商保证金的，除应当退还磋商保证金本金外，还应当按中国人民银行同期贷款基准利率上浮</w:t>
      </w:r>
      <w:r>
        <w:rPr>
          <w:sz w:val="28"/>
        </w:rPr>
        <w:t>20</w:t>
      </w:r>
      <w:r>
        <w:rPr>
          <w:spacing w:val="-3"/>
          <w:sz w:val="28"/>
        </w:rPr>
        <w:t>％后的利率支付超期资金占用费，但因供应商自身原因导致无法及时退还的除外。</w:t>
      </w:r>
    </w:p>
    <w:p>
      <w:pPr>
        <w:pStyle w:val="20"/>
        <w:numPr>
          <w:ilvl w:val="0"/>
          <w:numId w:val="6"/>
        </w:numPr>
        <w:tabs>
          <w:tab w:val="left" w:pos="644"/>
        </w:tabs>
        <w:spacing w:before="3" w:after="0" w:line="240" w:lineRule="auto"/>
        <w:ind w:left="644" w:right="0" w:hanging="425"/>
        <w:jc w:val="left"/>
        <w:rPr>
          <w:b/>
          <w:sz w:val="28"/>
        </w:rPr>
      </w:pPr>
      <w:bookmarkStart w:id="27" w:name="_bookmark14"/>
      <w:bookmarkEnd w:id="27"/>
      <w:bookmarkStart w:id="28" w:name="10.响应有效期"/>
      <w:bookmarkEnd w:id="28"/>
      <w:r>
        <w:rPr>
          <w:b/>
          <w:sz w:val="28"/>
        </w:rPr>
        <w:t>响应有效期</w:t>
      </w:r>
    </w:p>
    <w:p>
      <w:pPr>
        <w:pStyle w:val="2"/>
        <w:spacing w:before="4" w:line="242" w:lineRule="auto"/>
        <w:ind w:right="287" w:firstLine="561"/>
      </w:pPr>
      <w:r>
        <w:t>从提交响应文件的截止之日起</w:t>
      </w:r>
      <w:r>
        <w:rPr>
          <w:u w:val="single"/>
        </w:rPr>
        <w:t>60</w:t>
      </w:r>
      <w:r>
        <w:t>日历日。响应文件中承诺的响应有效期应当不少于磋商文件中载明的响应有效期。除9.4.2规定外响应有效期内供应商撤销响应文件的，采购人或者采购代理机构可以不退还磋商保证金。</w:t>
      </w:r>
      <w:bookmarkStart w:id="29" w:name="11.响应文件构成"/>
      <w:bookmarkEnd w:id="29"/>
    </w:p>
    <w:p>
      <w:pPr>
        <w:pStyle w:val="2"/>
        <w:spacing w:before="4" w:line="242" w:lineRule="auto"/>
        <w:ind w:right="287" w:firstLine="561"/>
        <w:rPr>
          <w:b/>
        </w:rPr>
      </w:pPr>
      <w:r>
        <w:rPr>
          <w:b/>
        </w:rPr>
        <w:t>11.响应文件构成</w:t>
      </w:r>
    </w:p>
    <w:p>
      <w:pPr>
        <w:spacing w:after="0" w:line="242" w:lineRule="auto"/>
        <w:sectPr>
          <w:pgSz w:w="11850" w:h="16790"/>
          <w:pgMar w:top="1360" w:right="840" w:bottom="1440" w:left="1120" w:header="0" w:footer="1179" w:gutter="0"/>
          <w:pgBorders>
            <w:top w:val="none" w:sz="0" w:space="0"/>
            <w:left w:val="none" w:sz="0" w:space="0"/>
            <w:bottom w:val="none" w:sz="0" w:space="0"/>
            <w:right w:val="none" w:sz="0" w:space="0"/>
          </w:pgBorders>
          <w:pgNumType w:fmt="decimal"/>
          <w:cols w:space="720" w:num="1"/>
        </w:sectPr>
      </w:pPr>
    </w:p>
    <w:p>
      <w:pPr>
        <w:pStyle w:val="2"/>
        <w:spacing w:before="33" w:line="242" w:lineRule="auto"/>
        <w:ind w:right="426" w:firstLine="561"/>
      </w:pPr>
      <w:r>
        <w:t>供应商应提交相关证明材料，作为其参加磋商和成交后有能力履行合同的证明。编写的响应文件须包括以下内容（格式见磋商文件第四部分）：</w:t>
      </w:r>
    </w:p>
    <w:p>
      <w:pPr>
        <w:pStyle w:val="14"/>
        <w:tabs>
          <w:tab w:val="right" w:leader="dot" w:pos="8950"/>
        </w:tabs>
        <w:rPr>
          <w:rFonts w:hint="eastAsia" w:ascii="宋体" w:hAnsi="宋体" w:eastAsia="宋体" w:cs="宋体"/>
          <w:sz w:val="28"/>
          <w:szCs w:val="28"/>
        </w:rPr>
      </w:pPr>
      <w:r>
        <w:rPr>
          <w:rFonts w:hint="eastAsia" w:ascii="宋体" w:hAnsi="宋体" w:eastAsia="宋体" w:cs="宋体"/>
          <w:sz w:val="28"/>
          <w:szCs w:val="28"/>
        </w:rPr>
        <w:t>（1）响应函</w:t>
      </w:r>
    </w:p>
    <w:p>
      <w:pPr>
        <w:pStyle w:val="14"/>
        <w:tabs>
          <w:tab w:val="right" w:leader="dot" w:pos="8950"/>
        </w:tabs>
        <w:rPr>
          <w:rFonts w:hint="eastAsia" w:ascii="宋体" w:hAnsi="宋体" w:eastAsia="宋体" w:cs="宋体"/>
          <w:sz w:val="28"/>
          <w:szCs w:val="28"/>
        </w:rPr>
      </w:pPr>
      <w:r>
        <w:rPr>
          <w:rFonts w:hint="eastAsia" w:ascii="宋体" w:hAnsi="宋体" w:eastAsia="宋体" w:cs="宋体"/>
          <w:sz w:val="28"/>
          <w:szCs w:val="28"/>
        </w:rPr>
        <w:t>（2）法定代表人证明书</w:t>
      </w:r>
    </w:p>
    <w:p>
      <w:pPr>
        <w:pStyle w:val="14"/>
        <w:tabs>
          <w:tab w:val="right" w:leader="dot" w:pos="8950"/>
        </w:tabs>
        <w:rPr>
          <w:rFonts w:hint="eastAsia" w:ascii="宋体" w:hAnsi="宋体" w:eastAsia="宋体" w:cs="宋体"/>
          <w:sz w:val="28"/>
          <w:szCs w:val="28"/>
        </w:rPr>
      </w:pPr>
      <w:r>
        <w:rPr>
          <w:rFonts w:hint="eastAsia" w:ascii="宋体" w:hAnsi="宋体" w:eastAsia="宋体" w:cs="宋体"/>
          <w:sz w:val="28"/>
          <w:szCs w:val="28"/>
        </w:rPr>
        <w:t>（3）法定代表人授权书</w:t>
      </w:r>
    </w:p>
    <w:p>
      <w:pPr>
        <w:pStyle w:val="14"/>
        <w:tabs>
          <w:tab w:val="right" w:leader="dot" w:pos="8950"/>
        </w:tabs>
        <w:rPr>
          <w:rFonts w:hint="eastAsia" w:ascii="宋体" w:hAnsi="宋体" w:eastAsia="宋体" w:cs="宋体"/>
          <w:sz w:val="28"/>
          <w:szCs w:val="28"/>
        </w:rPr>
      </w:pPr>
      <w:r>
        <w:rPr>
          <w:rFonts w:hint="eastAsia" w:ascii="宋体" w:hAnsi="宋体" w:eastAsia="宋体" w:cs="宋体"/>
          <w:sz w:val="28"/>
          <w:szCs w:val="28"/>
        </w:rPr>
        <w:t>（4）供应商承诺函</w:t>
      </w:r>
    </w:p>
    <w:p>
      <w:pPr>
        <w:pStyle w:val="14"/>
        <w:tabs>
          <w:tab w:val="right" w:leader="dot" w:pos="8950"/>
        </w:tabs>
        <w:rPr>
          <w:rFonts w:hint="eastAsia" w:ascii="宋体" w:hAnsi="宋体" w:eastAsia="宋体" w:cs="宋体"/>
          <w:sz w:val="28"/>
          <w:szCs w:val="28"/>
        </w:rPr>
      </w:pPr>
      <w:r>
        <w:rPr>
          <w:rFonts w:hint="eastAsia" w:ascii="宋体" w:hAnsi="宋体" w:eastAsia="宋体" w:cs="宋体"/>
          <w:sz w:val="28"/>
          <w:szCs w:val="28"/>
        </w:rPr>
        <w:t>（5）供应商诚信承诺书</w:t>
      </w:r>
    </w:p>
    <w:p>
      <w:pPr>
        <w:pStyle w:val="14"/>
        <w:tabs>
          <w:tab w:val="right" w:leader="dot" w:pos="8950"/>
        </w:tabs>
        <w:rPr>
          <w:rFonts w:hint="eastAsia" w:ascii="宋体" w:hAnsi="宋体" w:eastAsia="宋体" w:cs="宋体"/>
          <w:sz w:val="28"/>
          <w:szCs w:val="28"/>
        </w:rPr>
      </w:pPr>
      <w:r>
        <w:rPr>
          <w:rFonts w:hint="eastAsia" w:ascii="宋体" w:hAnsi="宋体" w:eastAsia="宋体" w:cs="宋体"/>
          <w:sz w:val="28"/>
          <w:szCs w:val="28"/>
        </w:rPr>
        <w:t>（6）供应商资格证明文件</w:t>
      </w:r>
    </w:p>
    <w:p>
      <w:pPr>
        <w:pStyle w:val="14"/>
        <w:tabs>
          <w:tab w:val="right" w:leader="dot" w:pos="8950"/>
        </w:tabs>
        <w:rPr>
          <w:rFonts w:hint="eastAsia" w:ascii="宋体" w:hAnsi="宋体" w:eastAsia="宋体" w:cs="宋体"/>
          <w:sz w:val="28"/>
          <w:szCs w:val="28"/>
        </w:rPr>
      </w:pPr>
      <w:r>
        <w:rPr>
          <w:rFonts w:hint="eastAsia" w:ascii="宋体" w:hAnsi="宋体" w:eastAsia="宋体" w:cs="宋体"/>
          <w:sz w:val="28"/>
          <w:szCs w:val="28"/>
        </w:rPr>
        <w:t>（7）财务状况、缴纳税收和社会保障资金证明</w:t>
      </w:r>
    </w:p>
    <w:p>
      <w:pPr>
        <w:pStyle w:val="14"/>
        <w:tabs>
          <w:tab w:val="right" w:leader="dot" w:pos="8950"/>
        </w:tabs>
        <w:rPr>
          <w:rFonts w:hint="eastAsia" w:ascii="宋体" w:hAnsi="宋体" w:eastAsia="宋体" w:cs="宋体"/>
          <w:sz w:val="28"/>
          <w:szCs w:val="28"/>
        </w:rPr>
      </w:pPr>
      <w:r>
        <w:rPr>
          <w:rFonts w:hint="eastAsia" w:ascii="宋体" w:hAnsi="宋体" w:eastAsia="宋体" w:cs="宋体"/>
          <w:sz w:val="28"/>
          <w:szCs w:val="28"/>
        </w:rPr>
        <w:t>（8）无重大违法记录声明</w:t>
      </w:r>
    </w:p>
    <w:p>
      <w:pPr>
        <w:pStyle w:val="14"/>
        <w:tabs>
          <w:tab w:val="right" w:leader="dot" w:pos="8950"/>
        </w:tabs>
        <w:rPr>
          <w:rFonts w:hint="eastAsia" w:ascii="宋体" w:hAnsi="宋体" w:eastAsia="宋体" w:cs="宋体"/>
          <w:sz w:val="28"/>
          <w:szCs w:val="28"/>
        </w:rPr>
      </w:pPr>
      <w:r>
        <w:rPr>
          <w:rFonts w:hint="eastAsia" w:ascii="宋体" w:hAnsi="宋体" w:eastAsia="宋体" w:cs="宋体"/>
          <w:sz w:val="28"/>
          <w:szCs w:val="28"/>
        </w:rPr>
        <w:t>（9）磋商保证金</w:t>
      </w:r>
    </w:p>
    <w:p>
      <w:pPr>
        <w:pStyle w:val="2"/>
        <w:spacing w:before="4" w:line="242" w:lineRule="auto"/>
        <w:ind w:right="287" w:firstLine="280" w:firstLineChars="100"/>
        <w:rPr>
          <w:rFonts w:hint="eastAsia" w:ascii="宋体" w:hAnsi="宋体" w:eastAsia="宋体" w:cs="宋体"/>
          <w:sz w:val="28"/>
          <w:szCs w:val="28"/>
          <w:lang w:val="zh-CN" w:eastAsia="zh-CN" w:bidi="zh-CN"/>
        </w:rPr>
      </w:pPr>
      <w:r>
        <w:rPr>
          <w:rFonts w:hint="eastAsia" w:ascii="宋体" w:hAnsi="宋体" w:eastAsia="宋体" w:cs="宋体"/>
          <w:sz w:val="28"/>
          <w:szCs w:val="28"/>
          <w:lang w:val="zh-CN" w:eastAsia="zh-CN" w:bidi="zh-CN"/>
        </w:rPr>
        <w:t>（10）竞争性磋商首次报价表</w:t>
      </w:r>
    </w:p>
    <w:p>
      <w:pPr>
        <w:pStyle w:val="2"/>
        <w:spacing w:before="4" w:line="242" w:lineRule="auto"/>
        <w:ind w:right="287" w:firstLine="280" w:firstLineChars="100"/>
        <w:rPr>
          <w:rFonts w:hint="eastAsia" w:ascii="宋体" w:hAnsi="宋体" w:eastAsia="宋体" w:cs="宋体"/>
          <w:sz w:val="28"/>
          <w:szCs w:val="28"/>
          <w:lang w:val="zh-CN" w:eastAsia="zh-CN" w:bidi="zh-CN"/>
        </w:rPr>
      </w:pPr>
      <w:r>
        <w:rPr>
          <w:rFonts w:hint="eastAsia" w:ascii="宋体" w:hAnsi="宋体" w:eastAsia="宋体" w:cs="宋体"/>
          <w:sz w:val="28"/>
          <w:szCs w:val="28"/>
          <w:lang w:val="zh-CN" w:eastAsia="zh-CN" w:bidi="zh-CN"/>
        </w:rPr>
        <w:t>（11）分项报价表</w:t>
      </w:r>
    </w:p>
    <w:p>
      <w:pPr>
        <w:pStyle w:val="2"/>
        <w:spacing w:before="4" w:line="242" w:lineRule="auto"/>
        <w:ind w:right="287" w:firstLine="280" w:firstLineChars="100"/>
        <w:rPr>
          <w:rFonts w:hint="eastAsia" w:ascii="宋体" w:hAnsi="宋体" w:eastAsia="宋体" w:cs="宋体"/>
          <w:sz w:val="28"/>
          <w:szCs w:val="28"/>
          <w:lang w:val="zh-CN" w:eastAsia="zh-CN" w:bidi="zh-CN"/>
        </w:rPr>
      </w:pPr>
      <w:r>
        <w:rPr>
          <w:rFonts w:hint="eastAsia" w:ascii="宋体" w:hAnsi="宋体" w:eastAsia="宋体" w:cs="宋体"/>
          <w:sz w:val="28"/>
          <w:szCs w:val="28"/>
          <w:lang w:val="zh-CN" w:eastAsia="zh-CN" w:bidi="zh-CN"/>
        </w:rPr>
        <w:t>（12）技术规格响应表</w:t>
      </w:r>
    </w:p>
    <w:p>
      <w:pPr>
        <w:pStyle w:val="2"/>
        <w:spacing w:before="4" w:line="242" w:lineRule="auto"/>
        <w:ind w:right="287" w:firstLine="280" w:firstLineChars="100"/>
        <w:rPr>
          <w:rFonts w:hint="eastAsia" w:ascii="宋体" w:hAnsi="宋体" w:eastAsia="宋体" w:cs="宋体"/>
          <w:sz w:val="28"/>
          <w:szCs w:val="28"/>
          <w:lang w:val="zh-CN" w:eastAsia="zh-CN" w:bidi="zh-CN"/>
        </w:rPr>
      </w:pPr>
      <w:r>
        <w:rPr>
          <w:rFonts w:hint="eastAsia" w:ascii="宋体" w:hAnsi="宋体" w:eastAsia="宋体" w:cs="宋体"/>
          <w:sz w:val="28"/>
          <w:szCs w:val="28"/>
          <w:lang w:val="zh-CN" w:eastAsia="zh-CN" w:bidi="zh-CN"/>
        </w:rPr>
        <w:t>（1</w:t>
      </w:r>
      <w:r>
        <w:rPr>
          <w:rFonts w:hint="eastAsia" w:cs="宋体"/>
          <w:sz w:val="28"/>
          <w:szCs w:val="28"/>
          <w:lang w:val="en-US" w:eastAsia="zh-CN" w:bidi="zh-CN"/>
        </w:rPr>
        <w:t>3</w:t>
      </w:r>
      <w:r>
        <w:rPr>
          <w:rFonts w:hint="eastAsia" w:ascii="宋体" w:hAnsi="宋体" w:eastAsia="宋体" w:cs="宋体"/>
          <w:sz w:val="28"/>
          <w:szCs w:val="28"/>
          <w:lang w:val="zh-CN" w:eastAsia="zh-CN" w:bidi="zh-CN"/>
        </w:rPr>
        <w:t>）投标产品相关资料</w:t>
      </w:r>
    </w:p>
    <w:p>
      <w:pPr>
        <w:pStyle w:val="2"/>
        <w:spacing w:before="4" w:line="242" w:lineRule="auto"/>
        <w:ind w:right="287" w:firstLine="280" w:firstLineChars="100"/>
        <w:rPr>
          <w:rFonts w:hint="eastAsia" w:ascii="宋体" w:hAnsi="宋体" w:eastAsia="宋体" w:cs="宋体"/>
          <w:sz w:val="28"/>
          <w:szCs w:val="28"/>
          <w:lang w:val="zh-CN" w:eastAsia="zh-CN" w:bidi="zh-CN"/>
        </w:rPr>
      </w:pPr>
      <w:r>
        <w:rPr>
          <w:rFonts w:hint="eastAsia" w:ascii="宋体" w:hAnsi="宋体" w:eastAsia="宋体" w:cs="宋体"/>
          <w:sz w:val="28"/>
          <w:szCs w:val="28"/>
          <w:lang w:val="zh-CN" w:eastAsia="zh-CN" w:bidi="zh-CN"/>
        </w:rPr>
        <w:t>（1</w:t>
      </w:r>
      <w:r>
        <w:rPr>
          <w:rFonts w:hint="eastAsia" w:cs="宋体"/>
          <w:sz w:val="28"/>
          <w:szCs w:val="28"/>
          <w:lang w:val="en-US" w:eastAsia="zh-CN" w:bidi="zh-CN"/>
        </w:rPr>
        <w:t>4</w:t>
      </w:r>
      <w:r>
        <w:rPr>
          <w:rFonts w:hint="eastAsia" w:ascii="宋体" w:hAnsi="宋体" w:eastAsia="宋体" w:cs="宋体"/>
          <w:sz w:val="28"/>
          <w:szCs w:val="28"/>
          <w:lang w:val="zh-CN" w:eastAsia="zh-CN" w:bidi="zh-CN"/>
        </w:rPr>
        <w:t>）供应商类似业绩证明材料</w:t>
      </w:r>
    </w:p>
    <w:p>
      <w:pPr>
        <w:pStyle w:val="2"/>
        <w:spacing w:before="4" w:line="242" w:lineRule="auto"/>
        <w:ind w:right="287" w:firstLine="280" w:firstLineChars="100"/>
        <w:rPr>
          <w:rFonts w:hint="eastAsia" w:ascii="宋体" w:hAnsi="宋体" w:eastAsia="宋体" w:cs="宋体"/>
          <w:sz w:val="28"/>
          <w:szCs w:val="28"/>
          <w:lang w:val="zh-CN" w:eastAsia="zh-CN" w:bidi="zh-CN"/>
        </w:rPr>
      </w:pPr>
      <w:r>
        <w:rPr>
          <w:rFonts w:hint="eastAsia" w:ascii="宋体" w:hAnsi="宋体" w:eastAsia="宋体" w:cs="宋体"/>
          <w:sz w:val="28"/>
          <w:szCs w:val="28"/>
          <w:lang w:val="zh-CN" w:eastAsia="zh-CN" w:bidi="zh-CN"/>
        </w:rPr>
        <w:t>（1</w:t>
      </w:r>
      <w:r>
        <w:rPr>
          <w:rFonts w:hint="eastAsia" w:cs="宋体"/>
          <w:sz w:val="28"/>
          <w:szCs w:val="28"/>
          <w:lang w:val="en-US" w:eastAsia="zh-CN" w:bidi="zh-CN"/>
        </w:rPr>
        <w:t>5</w:t>
      </w:r>
      <w:r>
        <w:rPr>
          <w:rFonts w:hint="eastAsia" w:ascii="宋体" w:hAnsi="宋体" w:eastAsia="宋体" w:cs="宋体"/>
          <w:sz w:val="28"/>
          <w:szCs w:val="28"/>
          <w:lang w:val="zh-CN" w:eastAsia="zh-CN" w:bidi="zh-CN"/>
        </w:rPr>
        <w:t>）制造（生产）企业小型、微型企业声明函</w:t>
      </w:r>
    </w:p>
    <w:p>
      <w:pPr>
        <w:pStyle w:val="3"/>
        <w:ind w:left="0" w:leftChars="0" w:firstLine="560" w:firstLineChars="200"/>
        <w:rPr>
          <w:rFonts w:hint="eastAsia" w:ascii="宋体" w:hAnsi="宋体" w:eastAsia="宋体" w:cs="宋体"/>
          <w:sz w:val="28"/>
          <w:szCs w:val="28"/>
          <w:lang w:val="zh-CN" w:eastAsia="zh-CN" w:bidi="zh-CN"/>
        </w:rPr>
      </w:pPr>
      <w:r>
        <w:rPr>
          <w:rFonts w:hint="eastAsia" w:ascii="宋体" w:hAnsi="宋体" w:eastAsia="宋体" w:cs="宋体"/>
          <w:sz w:val="28"/>
          <w:szCs w:val="28"/>
          <w:lang w:val="zh-CN" w:eastAsia="zh-CN" w:bidi="zh-CN"/>
        </w:rPr>
        <w:t>（</w:t>
      </w:r>
      <w:r>
        <w:rPr>
          <w:rFonts w:hint="eastAsia" w:ascii="宋体" w:hAnsi="宋体" w:eastAsia="宋体" w:cs="宋体"/>
          <w:sz w:val="28"/>
          <w:szCs w:val="28"/>
          <w:lang w:val="en-US" w:eastAsia="zh-CN" w:bidi="zh-CN"/>
        </w:rPr>
        <w:t>16</w:t>
      </w:r>
      <w:r>
        <w:rPr>
          <w:rFonts w:hint="eastAsia" w:ascii="宋体" w:hAnsi="宋体" w:eastAsia="宋体" w:cs="宋体"/>
          <w:sz w:val="28"/>
          <w:szCs w:val="28"/>
          <w:lang w:val="zh-CN" w:eastAsia="zh-CN" w:bidi="zh-CN"/>
        </w:rPr>
        <w:t>）从业人员声明函.</w:t>
      </w:r>
    </w:p>
    <w:p>
      <w:pPr>
        <w:pStyle w:val="2"/>
        <w:spacing w:before="4" w:line="242" w:lineRule="auto"/>
        <w:ind w:right="287" w:firstLine="280" w:firstLineChars="100"/>
        <w:rPr>
          <w:rFonts w:hint="eastAsia" w:ascii="宋体" w:hAnsi="宋体" w:eastAsia="宋体" w:cs="宋体"/>
          <w:sz w:val="28"/>
          <w:szCs w:val="28"/>
          <w:lang w:val="zh-CN" w:eastAsia="zh-CN" w:bidi="zh-CN"/>
        </w:rPr>
      </w:pPr>
      <w:r>
        <w:rPr>
          <w:rFonts w:hint="eastAsia" w:ascii="宋体" w:hAnsi="宋体" w:eastAsia="宋体" w:cs="宋体"/>
          <w:sz w:val="28"/>
          <w:szCs w:val="28"/>
          <w:lang w:val="zh-CN" w:eastAsia="zh-CN" w:bidi="zh-CN"/>
        </w:rPr>
        <w:t>（17）残疾人福利性单位声明函</w:t>
      </w:r>
    </w:p>
    <w:p>
      <w:pPr>
        <w:pStyle w:val="2"/>
        <w:spacing w:before="4" w:line="242" w:lineRule="auto"/>
        <w:ind w:right="287" w:firstLine="280" w:firstLineChars="100"/>
        <w:rPr>
          <w:rFonts w:hint="eastAsia" w:ascii="宋体" w:hAnsi="宋体" w:eastAsia="宋体" w:cs="宋体"/>
          <w:sz w:val="28"/>
          <w:szCs w:val="28"/>
          <w:lang w:val="zh-CN" w:eastAsia="zh-CN" w:bidi="zh-CN"/>
        </w:rPr>
      </w:pPr>
      <w:r>
        <w:rPr>
          <w:rFonts w:hint="eastAsia" w:ascii="宋体" w:hAnsi="宋体" w:eastAsia="宋体" w:cs="宋体"/>
          <w:sz w:val="28"/>
          <w:szCs w:val="28"/>
          <w:lang w:val="zh-CN" w:eastAsia="zh-CN" w:bidi="zh-CN"/>
        </w:rPr>
        <w:t>（18）</w:t>
      </w:r>
      <w:r>
        <w:rPr>
          <w:rFonts w:hint="eastAsia"/>
          <w:lang w:val="en-US" w:eastAsia="zh-CN"/>
        </w:rPr>
        <w:t>项目管理和实施方案</w:t>
      </w:r>
    </w:p>
    <w:p>
      <w:pPr>
        <w:pStyle w:val="2"/>
        <w:spacing w:before="4" w:line="242" w:lineRule="auto"/>
        <w:ind w:right="287" w:firstLine="280" w:firstLineChars="100"/>
        <w:rPr>
          <w:rFonts w:hint="eastAsia" w:ascii="宋体" w:hAnsi="宋体" w:eastAsia="宋体" w:cs="宋体"/>
          <w:sz w:val="28"/>
          <w:szCs w:val="28"/>
          <w:lang w:val="zh-CN" w:eastAsia="zh-CN" w:bidi="zh-CN"/>
        </w:rPr>
      </w:pPr>
      <w:r>
        <w:rPr>
          <w:rFonts w:hint="eastAsia" w:ascii="宋体" w:hAnsi="宋体" w:eastAsia="宋体" w:cs="宋体"/>
          <w:sz w:val="28"/>
          <w:szCs w:val="28"/>
          <w:lang w:val="zh-CN" w:eastAsia="zh-CN" w:bidi="zh-CN"/>
        </w:rPr>
        <w:t>（19）供应商在其他方面有必要说明的事项</w:t>
      </w:r>
    </w:p>
    <w:p>
      <w:pPr>
        <w:pStyle w:val="2"/>
        <w:spacing w:before="4" w:line="242" w:lineRule="auto"/>
        <w:ind w:right="287" w:firstLine="280" w:firstLineChars="100"/>
        <w:rPr>
          <w:rFonts w:hint="eastAsia" w:ascii="宋体" w:hAnsi="宋体" w:eastAsia="宋体" w:cs="宋体"/>
          <w:sz w:val="28"/>
          <w:szCs w:val="28"/>
        </w:rPr>
      </w:pPr>
      <w:r>
        <w:rPr>
          <w:rFonts w:hint="eastAsia" w:ascii="宋体" w:hAnsi="宋体" w:eastAsia="宋体" w:cs="宋体"/>
          <w:sz w:val="28"/>
          <w:szCs w:val="28"/>
          <w:lang w:val="zh-CN" w:eastAsia="zh-CN" w:bidi="zh-CN"/>
        </w:rPr>
        <w:fldChar w:fldCharType="begin"/>
      </w:r>
      <w:r>
        <w:rPr>
          <w:rFonts w:hint="eastAsia" w:ascii="宋体" w:hAnsi="宋体" w:eastAsia="宋体" w:cs="宋体"/>
          <w:sz w:val="28"/>
          <w:szCs w:val="28"/>
          <w:lang w:val="zh-CN" w:eastAsia="zh-CN" w:bidi="zh-CN"/>
        </w:rPr>
        <w:instrText xml:space="preserve"> HYPERLINK \l _Toc29106 </w:instrText>
      </w:r>
      <w:r>
        <w:rPr>
          <w:rFonts w:hint="eastAsia" w:ascii="宋体" w:hAnsi="宋体" w:eastAsia="宋体" w:cs="宋体"/>
          <w:sz w:val="28"/>
          <w:szCs w:val="28"/>
          <w:lang w:val="zh-CN" w:eastAsia="zh-CN" w:bidi="zh-CN"/>
        </w:rPr>
        <w:fldChar w:fldCharType="separate"/>
      </w:r>
      <w:r>
        <w:rPr>
          <w:rFonts w:hint="eastAsia" w:ascii="宋体" w:hAnsi="宋体" w:eastAsia="宋体" w:cs="宋体"/>
          <w:bCs/>
          <w:spacing w:val="0"/>
          <w:w w:val="99"/>
          <w:sz w:val="28"/>
          <w:szCs w:val="28"/>
          <w:lang w:val="zh-CN" w:eastAsia="zh-CN" w:bidi="zh-CN"/>
        </w:rPr>
        <w:t>（20）</w:t>
      </w:r>
      <w:r>
        <w:rPr>
          <w:rFonts w:hint="eastAsia" w:ascii="宋体" w:hAnsi="宋体" w:eastAsia="宋体" w:cs="宋体"/>
          <w:sz w:val="28"/>
          <w:szCs w:val="28"/>
          <w:lang w:val="en-US" w:eastAsia="zh-CN"/>
        </w:rPr>
        <w:t>最后报价表</w:t>
      </w:r>
      <w:r>
        <w:rPr>
          <w:rFonts w:hint="eastAsia" w:ascii="宋体" w:hAnsi="宋体" w:eastAsia="宋体" w:cs="宋体"/>
          <w:sz w:val="28"/>
          <w:szCs w:val="28"/>
        </w:rPr>
        <w:tab/>
      </w:r>
    </w:p>
    <w:p>
      <w:pPr>
        <w:pStyle w:val="2"/>
        <w:spacing w:before="4" w:line="242" w:lineRule="auto"/>
        <w:ind w:right="287" w:firstLine="560" w:firstLineChars="200"/>
      </w:pPr>
      <w:r>
        <w:rPr>
          <w:rFonts w:hint="eastAsia" w:ascii="宋体" w:hAnsi="宋体" w:eastAsia="宋体" w:cs="宋体"/>
          <w:sz w:val="28"/>
          <w:szCs w:val="28"/>
          <w:lang w:val="zh-CN" w:eastAsia="zh-CN" w:bidi="zh-CN"/>
        </w:rPr>
        <w:fldChar w:fldCharType="end"/>
      </w:r>
      <w:r>
        <w:t>注：供应商应当按照磋商文件的要求编制响应文件，并按上述内容、顺序和格式编制目录、页码，对其提交的响应文件的真实性、合法性承担法律责任。</w:t>
      </w:r>
    </w:p>
    <w:p>
      <w:pPr>
        <w:pStyle w:val="20"/>
        <w:numPr>
          <w:ilvl w:val="0"/>
          <w:numId w:val="7"/>
        </w:numPr>
        <w:tabs>
          <w:tab w:val="left" w:pos="644"/>
        </w:tabs>
        <w:spacing w:before="2" w:after="0" w:line="240" w:lineRule="auto"/>
        <w:ind w:left="644" w:right="0" w:hanging="425"/>
        <w:jc w:val="left"/>
        <w:rPr>
          <w:b/>
          <w:sz w:val="28"/>
        </w:rPr>
      </w:pPr>
      <w:bookmarkStart w:id="30" w:name="12.响应文件的编制要求"/>
      <w:bookmarkEnd w:id="30"/>
      <w:bookmarkStart w:id="31" w:name="_bookmark16"/>
      <w:bookmarkEnd w:id="31"/>
      <w:r>
        <w:rPr>
          <w:b/>
          <w:sz w:val="28"/>
        </w:rPr>
        <w:t>响应文件的编制要求</w:t>
      </w:r>
    </w:p>
    <w:p>
      <w:pPr>
        <w:pStyle w:val="20"/>
        <w:numPr>
          <w:ilvl w:val="1"/>
          <w:numId w:val="7"/>
        </w:numPr>
        <w:tabs>
          <w:tab w:val="left" w:pos="1343"/>
        </w:tabs>
        <w:spacing w:before="6" w:after="0" w:line="242" w:lineRule="auto"/>
        <w:ind w:left="219" w:right="426" w:firstLine="561"/>
        <w:jc w:val="both"/>
        <w:rPr>
          <w:sz w:val="28"/>
        </w:rPr>
      </w:pPr>
      <w:r>
        <w:rPr>
          <w:spacing w:val="-3"/>
          <w:sz w:val="28"/>
        </w:rPr>
        <w:t>供应商应按照磋商文件所提供的响应文件格式，分别填写磋商文件第四部分的内容，应分别注明所提供货物的名称、技术配置及参数、数量和价格等内容；磋商文件要求签字、盖章的地方必须由供应商的法定代表人或委托代理人按要求签字、盖章。</w:t>
      </w:r>
    </w:p>
    <w:p>
      <w:pPr>
        <w:pStyle w:val="20"/>
        <w:numPr>
          <w:ilvl w:val="1"/>
          <w:numId w:val="7"/>
        </w:numPr>
        <w:tabs>
          <w:tab w:val="left" w:pos="1480"/>
        </w:tabs>
        <w:spacing w:before="3" w:after="0" w:line="242" w:lineRule="auto"/>
        <w:ind w:left="219" w:right="426" w:firstLine="561"/>
        <w:jc w:val="both"/>
        <w:rPr>
          <w:sz w:val="28"/>
        </w:rPr>
      </w:pPr>
      <w:r>
        <w:rPr>
          <w:spacing w:val="-3"/>
          <w:sz w:val="28"/>
        </w:rPr>
        <w:t>供应商应准备纸质响应文件正本</w:t>
      </w:r>
      <w:r>
        <w:rPr>
          <w:sz w:val="28"/>
        </w:rPr>
        <w:t>1</w:t>
      </w:r>
      <w:r>
        <w:rPr>
          <w:spacing w:val="-2"/>
          <w:sz w:val="28"/>
        </w:rPr>
        <w:t>份、副本</w:t>
      </w:r>
      <w:r>
        <w:rPr>
          <w:sz w:val="28"/>
        </w:rPr>
        <w:t>2</w:t>
      </w:r>
      <w:r>
        <w:rPr>
          <w:spacing w:val="-3"/>
          <w:sz w:val="28"/>
        </w:rPr>
        <w:t>份，电子文档</w:t>
      </w:r>
      <w:r>
        <w:rPr>
          <w:sz w:val="28"/>
        </w:rPr>
        <w:t>1</w:t>
      </w:r>
      <w:r>
        <w:rPr>
          <w:spacing w:val="-2"/>
          <w:sz w:val="28"/>
        </w:rPr>
        <w:t>份。若</w:t>
      </w:r>
      <w:r>
        <w:rPr>
          <w:spacing w:val="-3"/>
          <w:sz w:val="28"/>
        </w:rPr>
        <w:t>发生正本和副本不符，以正本为准。响应文件统一使用</w:t>
      </w:r>
      <w:r>
        <w:rPr>
          <w:sz w:val="28"/>
        </w:rPr>
        <w:t>A4</w:t>
      </w:r>
      <w:r>
        <w:rPr>
          <w:spacing w:val="-3"/>
          <w:sz w:val="28"/>
        </w:rPr>
        <w:t>幅面的纸张印制， 必须胶装成册并编码，其他方式装订的响应文件一概不予接受。</w:t>
      </w:r>
    </w:p>
    <w:p>
      <w:pPr>
        <w:pStyle w:val="20"/>
        <w:numPr>
          <w:ilvl w:val="1"/>
          <w:numId w:val="7"/>
        </w:numPr>
        <w:tabs>
          <w:tab w:val="left" w:pos="1480"/>
        </w:tabs>
        <w:spacing w:before="3" w:after="0" w:line="242" w:lineRule="auto"/>
        <w:ind w:left="219" w:right="287" w:firstLine="561"/>
        <w:jc w:val="both"/>
        <w:rPr>
          <w:sz w:val="28"/>
        </w:rPr>
      </w:pPr>
      <w:r>
        <w:rPr>
          <w:spacing w:val="-3"/>
          <w:sz w:val="28"/>
        </w:rPr>
        <w:t>响应文件的正本需打印或用不褪色、不变质的墨水书写，副本可采用正本的复印件。电子文档用光盘或</w:t>
      </w:r>
      <w:r>
        <w:rPr>
          <w:sz w:val="28"/>
        </w:rPr>
        <w:t>U</w:t>
      </w:r>
      <w:r>
        <w:rPr>
          <w:spacing w:val="-3"/>
          <w:sz w:val="28"/>
        </w:rPr>
        <w:t>盘制作，采用不可修改文档格式</w:t>
      </w:r>
      <w:r>
        <w:rPr>
          <w:sz w:val="28"/>
        </w:rPr>
        <w:t xml:space="preserve">（如： </w:t>
      </w:r>
      <w:r>
        <w:rPr>
          <w:spacing w:val="-3"/>
          <w:sz w:val="28"/>
        </w:rPr>
        <w:t>正本响应文件的</w:t>
      </w:r>
      <w:r>
        <w:rPr>
          <w:spacing w:val="-1"/>
          <w:sz w:val="28"/>
        </w:rPr>
        <w:t>PDF</w:t>
      </w:r>
      <w:r>
        <w:rPr>
          <w:spacing w:val="-3"/>
          <w:sz w:val="28"/>
        </w:rPr>
        <w:t>格式扫描件</w:t>
      </w:r>
      <w:r>
        <w:rPr>
          <w:sz w:val="28"/>
        </w:rPr>
        <w:t>）</w:t>
      </w:r>
      <w:r>
        <w:rPr>
          <w:spacing w:val="-3"/>
          <w:sz w:val="28"/>
        </w:rPr>
        <w:t>，内容必须和纸质响应文件正本完全一致， 包括封面、页码、签字、盖章等。</w:t>
      </w:r>
    </w:p>
    <w:p>
      <w:pPr>
        <w:spacing w:after="0" w:line="240" w:lineRule="auto"/>
        <w:jc w:val="both"/>
        <w:rPr>
          <w:sz w:val="28"/>
        </w:rPr>
        <w:sectPr>
          <w:footerReference r:id="rId7" w:type="default"/>
          <w:pgSz w:w="11850" w:h="16790"/>
          <w:pgMar w:top="1360" w:right="840" w:bottom="1360" w:left="1120" w:header="0" w:footer="1179" w:gutter="0"/>
          <w:pgBorders>
            <w:top w:val="none" w:sz="0" w:space="0"/>
            <w:left w:val="none" w:sz="0" w:space="0"/>
            <w:bottom w:val="none" w:sz="0" w:space="0"/>
            <w:right w:val="none" w:sz="0" w:space="0"/>
          </w:pgBorders>
          <w:pgNumType w:fmt="decimal"/>
          <w:cols w:space="720" w:num="1"/>
        </w:sectPr>
      </w:pPr>
    </w:p>
    <w:p>
      <w:pPr>
        <w:pStyle w:val="20"/>
        <w:numPr>
          <w:ilvl w:val="1"/>
          <w:numId w:val="7"/>
        </w:numPr>
        <w:tabs>
          <w:tab w:val="left" w:pos="1480"/>
        </w:tabs>
        <w:spacing w:before="2" w:after="0" w:line="240" w:lineRule="auto"/>
        <w:ind w:left="1479" w:right="0" w:hanging="700"/>
        <w:jc w:val="both"/>
        <w:rPr>
          <w:sz w:val="28"/>
        </w:rPr>
      </w:pPr>
      <w:r>
        <w:rPr>
          <w:spacing w:val="-3"/>
          <w:sz w:val="28"/>
        </w:rPr>
        <w:t>响应文件中不得行间插字、涂改或增删，如有修改错漏处，须由供</w:t>
      </w:r>
    </w:p>
    <w:p>
      <w:pPr>
        <w:pStyle w:val="2"/>
        <w:spacing w:before="33"/>
        <w:ind w:left="0" w:right="3507"/>
        <w:jc w:val="right"/>
      </w:pPr>
      <w:r>
        <w:rPr>
          <w:spacing w:val="-3"/>
        </w:rPr>
        <w:t>应商法定代表人或其委托代理人签字、加盖公章。</w:t>
      </w:r>
    </w:p>
    <w:p>
      <w:pPr>
        <w:spacing w:before="5"/>
        <w:ind w:left="0" w:right="3498" w:firstLine="0"/>
        <w:jc w:val="right"/>
        <w:rPr>
          <w:b/>
          <w:sz w:val="32"/>
        </w:rPr>
      </w:pPr>
      <w:bookmarkStart w:id="32" w:name="四、响应文件的提交"/>
      <w:bookmarkEnd w:id="32"/>
      <w:r>
        <w:rPr>
          <w:b/>
          <w:w w:val="95"/>
          <w:sz w:val="32"/>
        </w:rPr>
        <w:t>四、响应文件的提交</w:t>
      </w:r>
    </w:p>
    <w:p>
      <w:pPr>
        <w:pStyle w:val="20"/>
        <w:numPr>
          <w:ilvl w:val="0"/>
          <w:numId w:val="7"/>
        </w:numPr>
        <w:tabs>
          <w:tab w:val="left" w:pos="644"/>
        </w:tabs>
        <w:spacing w:before="4" w:after="0" w:line="240" w:lineRule="auto"/>
        <w:ind w:left="644" w:right="0" w:hanging="425"/>
        <w:jc w:val="left"/>
        <w:rPr>
          <w:b/>
          <w:sz w:val="28"/>
        </w:rPr>
      </w:pPr>
      <w:bookmarkStart w:id="33" w:name="_bookmark18"/>
      <w:bookmarkEnd w:id="33"/>
      <w:bookmarkStart w:id="34" w:name="13.响应文件的密封和标记"/>
      <w:bookmarkEnd w:id="34"/>
      <w:r>
        <w:rPr>
          <w:b/>
          <w:sz w:val="28"/>
        </w:rPr>
        <w:t>响应文件的密封和标记</w:t>
      </w:r>
    </w:p>
    <w:p>
      <w:pPr>
        <w:pStyle w:val="20"/>
        <w:numPr>
          <w:ilvl w:val="1"/>
          <w:numId w:val="7"/>
        </w:numPr>
        <w:tabs>
          <w:tab w:val="left" w:pos="1480"/>
        </w:tabs>
        <w:spacing w:before="4" w:after="0" w:line="242" w:lineRule="auto"/>
        <w:ind w:left="219" w:right="287" w:firstLine="561"/>
        <w:jc w:val="left"/>
        <w:rPr>
          <w:sz w:val="28"/>
        </w:rPr>
      </w:pPr>
      <w:r>
        <w:rPr>
          <w:spacing w:val="-3"/>
          <w:sz w:val="28"/>
        </w:rPr>
        <w:t>响应文件正本、所有副本、电子文档，应分别封装于不同的密封袋内，密封袋上应分别标上“正本”、“副本”、“电子文档”字样，并注明供应商名称、采购项目编号、采购项目名称。密封袋内的响应文件要与密封袋外面的标注内容一致。</w:t>
      </w:r>
    </w:p>
    <w:p>
      <w:pPr>
        <w:pStyle w:val="20"/>
        <w:numPr>
          <w:ilvl w:val="1"/>
          <w:numId w:val="7"/>
        </w:numPr>
        <w:tabs>
          <w:tab w:val="left" w:pos="1480"/>
        </w:tabs>
        <w:spacing w:before="2" w:after="0" w:line="242" w:lineRule="auto"/>
        <w:ind w:left="219" w:right="287" w:firstLine="561"/>
        <w:jc w:val="left"/>
        <w:rPr>
          <w:sz w:val="28"/>
        </w:rPr>
      </w:pPr>
      <w:r>
        <w:rPr>
          <w:spacing w:val="-3"/>
          <w:sz w:val="28"/>
        </w:rPr>
        <w:t>密封后的响应文件密封袋用“于</w:t>
      </w:r>
      <w:r>
        <w:rPr>
          <w:spacing w:val="-1"/>
          <w:sz w:val="28"/>
        </w:rPr>
        <w:t>20XX年</w:t>
      </w:r>
      <w:r>
        <w:rPr>
          <w:sz w:val="28"/>
        </w:rPr>
        <w:t>XX月XX</w:t>
      </w:r>
      <w:r>
        <w:rPr>
          <w:spacing w:val="-3"/>
          <w:sz w:val="28"/>
        </w:rPr>
        <w:t>日</w:t>
      </w:r>
      <w:r>
        <w:rPr>
          <w:sz w:val="28"/>
        </w:rPr>
        <w:t>XX时XX分</w:t>
      </w:r>
      <w:r>
        <w:rPr>
          <w:spacing w:val="-3"/>
          <w:sz w:val="28"/>
        </w:rPr>
        <w:t>（</w:t>
      </w:r>
      <w:r>
        <w:rPr>
          <w:sz w:val="28"/>
        </w:rPr>
        <w:t>所填写</w:t>
      </w:r>
      <w:r>
        <w:rPr>
          <w:spacing w:val="-3"/>
          <w:sz w:val="28"/>
        </w:rPr>
        <w:t>的时间与磋商文件第一部分提交响应文件截止时间相同一致）</w:t>
      </w:r>
      <w:r>
        <w:rPr>
          <w:spacing w:val="-1"/>
          <w:sz w:val="28"/>
        </w:rPr>
        <w:t>之前不准</w:t>
      </w:r>
      <w:r>
        <w:rPr>
          <w:spacing w:val="-3"/>
          <w:sz w:val="28"/>
        </w:rPr>
        <w:t>启封”的标签密封，并加盖供应商公章。</w:t>
      </w:r>
    </w:p>
    <w:p>
      <w:pPr>
        <w:pStyle w:val="20"/>
        <w:numPr>
          <w:ilvl w:val="0"/>
          <w:numId w:val="7"/>
        </w:numPr>
        <w:tabs>
          <w:tab w:val="left" w:pos="644"/>
        </w:tabs>
        <w:spacing w:before="3" w:after="0" w:line="240" w:lineRule="auto"/>
        <w:ind w:left="644" w:right="0" w:hanging="425"/>
        <w:jc w:val="left"/>
        <w:rPr>
          <w:b/>
          <w:sz w:val="28"/>
        </w:rPr>
      </w:pPr>
      <w:bookmarkStart w:id="35" w:name="_bookmark19"/>
      <w:bookmarkEnd w:id="35"/>
      <w:bookmarkStart w:id="36" w:name="14.提交响应文件的时间、地点、方式"/>
      <w:bookmarkEnd w:id="36"/>
      <w:r>
        <w:rPr>
          <w:b/>
          <w:sz w:val="28"/>
        </w:rPr>
        <w:t>提交响应文件的时间、地点、方式</w:t>
      </w:r>
    </w:p>
    <w:p>
      <w:pPr>
        <w:pStyle w:val="20"/>
        <w:numPr>
          <w:ilvl w:val="1"/>
          <w:numId w:val="7"/>
        </w:numPr>
        <w:tabs>
          <w:tab w:val="left" w:pos="1480"/>
        </w:tabs>
        <w:spacing w:before="6" w:after="0" w:line="242" w:lineRule="auto"/>
        <w:ind w:left="219" w:right="287" w:firstLine="561"/>
        <w:jc w:val="left"/>
        <w:rPr>
          <w:sz w:val="28"/>
        </w:rPr>
      </w:pPr>
      <w:r>
        <w:rPr>
          <w:spacing w:val="-3"/>
          <w:sz w:val="28"/>
        </w:rPr>
        <w:t>供应商应当在磋商文件要求提交响应文件的截止时间前，将响</w:t>
      </w:r>
      <w:r>
        <w:rPr>
          <w:spacing w:val="-2"/>
          <w:sz w:val="28"/>
        </w:rPr>
        <w:t>应文件</w:t>
      </w:r>
      <w:r>
        <w:rPr>
          <w:sz w:val="28"/>
        </w:rPr>
        <w:t>（</w:t>
      </w:r>
      <w:r>
        <w:rPr>
          <w:spacing w:val="-3"/>
          <w:sz w:val="28"/>
        </w:rPr>
        <w:t>正本、副本、电子文档）密封送达磋商文件要求的地点。采购人或者采购代理机构收到响应文件后，应当如实记载响应文件的送达时间和密封情况，签收保存。任何单位和个人不得在提交响应文件的截止时间前开启响应文件。</w:t>
      </w:r>
    </w:p>
    <w:p>
      <w:pPr>
        <w:pStyle w:val="20"/>
        <w:numPr>
          <w:ilvl w:val="1"/>
          <w:numId w:val="7"/>
        </w:numPr>
        <w:tabs>
          <w:tab w:val="left" w:pos="1480"/>
        </w:tabs>
        <w:spacing w:before="3" w:after="0" w:line="244" w:lineRule="auto"/>
        <w:ind w:left="219" w:right="287" w:firstLine="561"/>
        <w:jc w:val="left"/>
        <w:rPr>
          <w:sz w:val="28"/>
        </w:rPr>
      </w:pPr>
      <w:r>
        <w:rPr>
          <w:spacing w:val="-3"/>
          <w:sz w:val="28"/>
        </w:rPr>
        <w:t>逾期送达或者未按照磋商文件要求密封的响应文件，采购人、采购代理机构应当拒收。</w:t>
      </w:r>
    </w:p>
    <w:p>
      <w:pPr>
        <w:pStyle w:val="20"/>
        <w:numPr>
          <w:ilvl w:val="0"/>
          <w:numId w:val="7"/>
        </w:numPr>
        <w:tabs>
          <w:tab w:val="left" w:pos="644"/>
        </w:tabs>
        <w:spacing w:before="0" w:after="0" w:line="354" w:lineRule="exact"/>
        <w:ind w:left="644" w:right="0" w:hanging="425"/>
        <w:jc w:val="left"/>
        <w:rPr>
          <w:b/>
          <w:sz w:val="28"/>
        </w:rPr>
      </w:pPr>
      <w:bookmarkStart w:id="37" w:name="15.响应文件的补充、修改或者撤回"/>
      <w:bookmarkEnd w:id="37"/>
      <w:bookmarkStart w:id="38" w:name="_bookmark20"/>
      <w:bookmarkEnd w:id="38"/>
      <w:r>
        <w:rPr>
          <w:b/>
          <w:sz w:val="28"/>
        </w:rPr>
        <w:t>响应文件的补充、修改或者撤回</w:t>
      </w:r>
    </w:p>
    <w:p>
      <w:pPr>
        <w:pStyle w:val="20"/>
        <w:numPr>
          <w:ilvl w:val="1"/>
          <w:numId w:val="7"/>
        </w:numPr>
        <w:tabs>
          <w:tab w:val="left" w:pos="1343"/>
        </w:tabs>
        <w:spacing w:before="3" w:after="0" w:line="242" w:lineRule="auto"/>
        <w:ind w:left="219" w:right="426" w:firstLine="561"/>
        <w:jc w:val="both"/>
        <w:rPr>
          <w:sz w:val="28"/>
        </w:rPr>
      </w:pPr>
      <w:r>
        <w:rPr>
          <w:spacing w:val="-3"/>
          <w:sz w:val="28"/>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after="0" w:line="242" w:lineRule="auto"/>
        <w:jc w:val="both"/>
        <w:rPr>
          <w:sz w:val="28"/>
        </w:rPr>
        <w:sectPr>
          <w:pgSz w:w="11850" w:h="16790"/>
          <w:pgMar w:top="1360" w:right="840" w:bottom="1440" w:left="1120" w:header="0" w:footer="1179" w:gutter="0"/>
          <w:pgBorders>
            <w:top w:val="none" w:sz="0" w:space="0"/>
            <w:left w:val="none" w:sz="0" w:space="0"/>
            <w:bottom w:val="none" w:sz="0" w:space="0"/>
            <w:right w:val="none" w:sz="0" w:space="0"/>
          </w:pgBorders>
          <w:pgNumType w:fmt="decimal"/>
          <w:cols w:space="720" w:num="1"/>
        </w:sectPr>
      </w:pPr>
    </w:p>
    <w:p>
      <w:pPr>
        <w:pStyle w:val="2"/>
        <w:spacing w:before="8"/>
        <w:ind w:left="0"/>
        <w:rPr>
          <w:sz w:val="32"/>
        </w:rPr>
      </w:pPr>
    </w:p>
    <w:p>
      <w:pPr>
        <w:pStyle w:val="20"/>
        <w:numPr>
          <w:ilvl w:val="0"/>
          <w:numId w:val="7"/>
        </w:numPr>
        <w:tabs>
          <w:tab w:val="left" w:pos="644"/>
        </w:tabs>
        <w:spacing w:before="0" w:after="0" w:line="240" w:lineRule="auto"/>
        <w:ind w:left="644" w:right="0" w:hanging="425"/>
        <w:jc w:val="left"/>
        <w:rPr>
          <w:b/>
          <w:sz w:val="28"/>
        </w:rPr>
      </w:pPr>
      <w:bookmarkStart w:id="39" w:name="16.磋商活动组织"/>
      <w:bookmarkEnd w:id="39"/>
      <w:bookmarkStart w:id="40" w:name="_bookmark21"/>
      <w:bookmarkEnd w:id="40"/>
      <w:r>
        <w:rPr>
          <w:b/>
          <w:sz w:val="28"/>
        </w:rPr>
        <w:t>磋商活动组织</w:t>
      </w:r>
    </w:p>
    <w:p>
      <w:pPr>
        <w:spacing w:before="4"/>
        <w:ind w:left="219" w:right="0" w:firstLine="0"/>
        <w:jc w:val="left"/>
        <w:rPr>
          <w:b/>
          <w:sz w:val="32"/>
        </w:rPr>
      </w:pPr>
      <w:r>
        <w:br w:type="column"/>
      </w:r>
      <w:bookmarkStart w:id="41" w:name="五、磋商程序及方法"/>
      <w:bookmarkEnd w:id="41"/>
      <w:r>
        <w:rPr>
          <w:b/>
          <w:sz w:val="32"/>
        </w:rPr>
        <w:t>五、磋商程序及方法</w:t>
      </w:r>
    </w:p>
    <w:p>
      <w:pPr>
        <w:spacing w:after="0"/>
        <w:jc w:val="left"/>
        <w:rPr>
          <w:sz w:val="32"/>
        </w:rPr>
        <w:sectPr>
          <w:type w:val="continuous"/>
          <w:pgSz w:w="11850" w:h="16790"/>
          <w:pgMar w:top="1580" w:right="840" w:bottom="280" w:left="1120" w:header="720" w:footer="720" w:gutter="0"/>
          <w:pgBorders>
            <w:top w:val="none" w:sz="0" w:space="0"/>
            <w:left w:val="none" w:sz="0" w:space="0"/>
            <w:bottom w:val="none" w:sz="0" w:space="0"/>
            <w:right w:val="none" w:sz="0" w:space="0"/>
          </w:pgBorders>
          <w:pgNumType w:fmt="decimal"/>
          <w:cols w:equalWidth="0" w:num="2">
            <w:col w:w="2372" w:space="909"/>
            <w:col w:w="6609"/>
          </w:cols>
        </w:sectPr>
      </w:pPr>
    </w:p>
    <w:p>
      <w:pPr>
        <w:pStyle w:val="20"/>
        <w:keepNext w:val="0"/>
        <w:keepLines w:val="0"/>
        <w:pageBreakBefore w:val="0"/>
        <w:widowControl w:val="0"/>
        <w:numPr>
          <w:ilvl w:val="0"/>
          <w:numId w:val="0"/>
        </w:numPr>
        <w:tabs>
          <w:tab w:val="left" w:pos="1343"/>
        </w:tabs>
        <w:kinsoku/>
        <w:wordWrap/>
        <w:overflowPunct/>
        <w:topLinePunct w:val="0"/>
        <w:autoSpaceDE w:val="0"/>
        <w:autoSpaceDN w:val="0"/>
        <w:bidi w:val="0"/>
        <w:adjustRightInd/>
        <w:snapToGrid/>
        <w:spacing w:before="4" w:after="0" w:line="400" w:lineRule="exact"/>
        <w:ind w:right="0" w:rightChars="0" w:firstLine="822" w:firstLineChars="300"/>
        <w:jc w:val="left"/>
        <w:textAlignment w:val="auto"/>
        <w:rPr>
          <w:sz w:val="28"/>
        </w:rPr>
      </w:pPr>
      <w:r>
        <w:rPr>
          <w:rFonts w:hint="eastAsia"/>
          <w:spacing w:val="-3"/>
          <w:sz w:val="28"/>
          <w:lang w:val="en-US" w:eastAsia="zh-CN"/>
        </w:rPr>
        <w:t>16.1</w:t>
      </w:r>
      <w:r>
        <w:rPr>
          <w:spacing w:val="-3"/>
          <w:sz w:val="28"/>
        </w:rPr>
        <w:t>采购代理机构负责组织磋商工作，并履行下列职责：</w:t>
      </w:r>
    </w:p>
    <w:p>
      <w:pPr>
        <w:pStyle w:val="20"/>
        <w:keepNext w:val="0"/>
        <w:keepLines w:val="0"/>
        <w:pageBreakBefore w:val="0"/>
        <w:widowControl w:val="0"/>
        <w:numPr>
          <w:ilvl w:val="0"/>
          <w:numId w:val="0"/>
        </w:numPr>
        <w:tabs>
          <w:tab w:val="left" w:pos="1483"/>
        </w:tabs>
        <w:kinsoku/>
        <w:wordWrap/>
        <w:overflowPunct/>
        <w:topLinePunct w:val="0"/>
        <w:autoSpaceDE w:val="0"/>
        <w:autoSpaceDN w:val="0"/>
        <w:bidi w:val="0"/>
        <w:adjustRightInd/>
        <w:snapToGrid/>
        <w:spacing w:before="6" w:after="0" w:line="400" w:lineRule="exact"/>
        <w:ind w:right="287" w:rightChars="0" w:firstLine="822" w:firstLineChars="300"/>
        <w:jc w:val="left"/>
        <w:textAlignment w:val="auto"/>
        <w:rPr>
          <w:sz w:val="28"/>
        </w:rPr>
      </w:pPr>
      <w:r>
        <w:rPr>
          <w:rFonts w:hint="eastAsia"/>
          <w:spacing w:val="-3"/>
          <w:sz w:val="28"/>
          <w:lang w:eastAsia="zh-CN"/>
        </w:rPr>
        <w:t>（</w:t>
      </w:r>
      <w:r>
        <w:rPr>
          <w:rFonts w:hint="eastAsia"/>
          <w:spacing w:val="-3"/>
          <w:sz w:val="28"/>
          <w:lang w:val="en-US" w:eastAsia="zh-CN"/>
        </w:rPr>
        <w:t>1）</w:t>
      </w:r>
      <w:r>
        <w:rPr>
          <w:spacing w:val="-3"/>
          <w:sz w:val="28"/>
        </w:rPr>
        <w:t>核对评审专家身份和采购人代表授权函，对评审专家在政府采购活动中的职责履行情况予以记录，并及时将有关违法违规行为向财政部门报告；</w:t>
      </w:r>
    </w:p>
    <w:p>
      <w:pPr>
        <w:pStyle w:val="20"/>
        <w:keepNext w:val="0"/>
        <w:keepLines w:val="0"/>
        <w:pageBreakBefore w:val="0"/>
        <w:widowControl w:val="0"/>
        <w:numPr>
          <w:ilvl w:val="0"/>
          <w:numId w:val="0"/>
        </w:numPr>
        <w:tabs>
          <w:tab w:val="left" w:pos="1483"/>
        </w:tabs>
        <w:kinsoku/>
        <w:wordWrap/>
        <w:overflowPunct/>
        <w:topLinePunct w:val="0"/>
        <w:autoSpaceDE w:val="0"/>
        <w:autoSpaceDN w:val="0"/>
        <w:bidi w:val="0"/>
        <w:adjustRightInd/>
        <w:snapToGrid/>
        <w:spacing w:before="6" w:after="0" w:line="400" w:lineRule="exact"/>
        <w:ind w:right="287" w:rightChars="0" w:firstLine="822" w:firstLineChars="300"/>
        <w:jc w:val="left"/>
        <w:textAlignment w:val="auto"/>
        <w:rPr>
          <w:rFonts w:hint="eastAsia"/>
          <w:spacing w:val="-3"/>
          <w:sz w:val="28"/>
          <w:lang w:eastAsia="zh-CN"/>
        </w:rPr>
      </w:pPr>
      <w:r>
        <w:rPr>
          <w:rFonts w:hint="eastAsia"/>
          <w:spacing w:val="-3"/>
          <w:sz w:val="28"/>
          <w:lang w:eastAsia="zh-CN"/>
        </w:rPr>
        <w:t>（</w:t>
      </w:r>
      <w:r>
        <w:rPr>
          <w:rFonts w:hint="eastAsia"/>
          <w:spacing w:val="-3"/>
          <w:sz w:val="28"/>
          <w:lang w:val="en-US" w:eastAsia="zh-CN"/>
        </w:rPr>
        <w:t>2</w:t>
      </w:r>
      <w:r>
        <w:rPr>
          <w:rFonts w:hint="eastAsia"/>
          <w:spacing w:val="-3"/>
          <w:sz w:val="28"/>
          <w:lang w:eastAsia="zh-CN"/>
        </w:rPr>
        <w:t>）宣布磋商纪律；</w:t>
      </w:r>
    </w:p>
    <w:p>
      <w:pPr>
        <w:pStyle w:val="20"/>
        <w:keepNext w:val="0"/>
        <w:keepLines w:val="0"/>
        <w:pageBreakBefore w:val="0"/>
        <w:widowControl w:val="0"/>
        <w:numPr>
          <w:ilvl w:val="0"/>
          <w:numId w:val="0"/>
        </w:numPr>
        <w:tabs>
          <w:tab w:val="left" w:pos="1483"/>
        </w:tabs>
        <w:kinsoku/>
        <w:wordWrap/>
        <w:overflowPunct/>
        <w:topLinePunct w:val="0"/>
        <w:autoSpaceDE w:val="0"/>
        <w:autoSpaceDN w:val="0"/>
        <w:bidi w:val="0"/>
        <w:adjustRightInd/>
        <w:snapToGrid/>
        <w:spacing w:before="6" w:after="0" w:line="400" w:lineRule="exact"/>
        <w:ind w:right="287" w:rightChars="0" w:firstLine="822" w:firstLineChars="300"/>
        <w:jc w:val="left"/>
        <w:textAlignment w:val="auto"/>
        <w:rPr>
          <w:rFonts w:hint="eastAsia"/>
          <w:spacing w:val="-3"/>
          <w:sz w:val="28"/>
          <w:lang w:eastAsia="zh-CN"/>
        </w:rPr>
      </w:pPr>
      <w:r>
        <w:rPr>
          <w:rFonts w:hint="eastAsia"/>
          <w:spacing w:val="-3"/>
          <w:sz w:val="28"/>
          <w:lang w:eastAsia="zh-CN"/>
        </w:rPr>
        <w:t>（</w:t>
      </w:r>
      <w:r>
        <w:rPr>
          <w:rFonts w:hint="eastAsia"/>
          <w:spacing w:val="-3"/>
          <w:sz w:val="28"/>
          <w:lang w:val="en-US" w:eastAsia="zh-CN"/>
        </w:rPr>
        <w:t>3）</w:t>
      </w:r>
      <w:r>
        <w:rPr>
          <w:rFonts w:hint="eastAsia"/>
          <w:spacing w:val="-3"/>
          <w:sz w:val="28"/>
          <w:lang w:eastAsia="zh-CN"/>
        </w:rPr>
        <w:t>公布供应商名单，告知评审专家应当回避的情形；</w:t>
      </w:r>
    </w:p>
    <w:p>
      <w:pPr>
        <w:pStyle w:val="20"/>
        <w:keepNext w:val="0"/>
        <w:keepLines w:val="0"/>
        <w:pageBreakBefore w:val="0"/>
        <w:widowControl w:val="0"/>
        <w:numPr>
          <w:ilvl w:val="0"/>
          <w:numId w:val="0"/>
        </w:numPr>
        <w:tabs>
          <w:tab w:val="left" w:pos="1483"/>
        </w:tabs>
        <w:kinsoku/>
        <w:wordWrap/>
        <w:overflowPunct/>
        <w:topLinePunct w:val="0"/>
        <w:autoSpaceDE w:val="0"/>
        <w:autoSpaceDN w:val="0"/>
        <w:bidi w:val="0"/>
        <w:adjustRightInd/>
        <w:snapToGrid/>
        <w:spacing w:before="6" w:after="0" w:line="400" w:lineRule="exact"/>
        <w:ind w:right="287" w:rightChars="0" w:firstLine="822" w:firstLineChars="300"/>
        <w:jc w:val="left"/>
        <w:textAlignment w:val="auto"/>
        <w:rPr>
          <w:rFonts w:hint="eastAsia"/>
          <w:spacing w:val="-3"/>
          <w:sz w:val="28"/>
          <w:lang w:eastAsia="zh-CN"/>
        </w:rPr>
      </w:pPr>
      <w:r>
        <w:rPr>
          <w:rFonts w:hint="eastAsia"/>
          <w:spacing w:val="-3"/>
          <w:sz w:val="28"/>
          <w:lang w:eastAsia="zh-CN"/>
        </w:rPr>
        <w:t>（</w:t>
      </w:r>
      <w:r>
        <w:rPr>
          <w:rFonts w:hint="eastAsia"/>
          <w:spacing w:val="-3"/>
          <w:sz w:val="28"/>
          <w:lang w:val="en-US" w:eastAsia="zh-CN"/>
        </w:rPr>
        <w:t>4）</w:t>
      </w:r>
      <w:r>
        <w:rPr>
          <w:rFonts w:hint="eastAsia"/>
          <w:spacing w:val="-3"/>
          <w:sz w:val="28"/>
          <w:lang w:eastAsia="zh-CN"/>
        </w:rPr>
        <w:t>组织磋商小组推选磋商组长，采购人代表不得担任组长；</w:t>
      </w:r>
    </w:p>
    <w:p>
      <w:pPr>
        <w:pStyle w:val="20"/>
        <w:keepNext w:val="0"/>
        <w:keepLines w:val="0"/>
        <w:pageBreakBefore w:val="0"/>
        <w:widowControl w:val="0"/>
        <w:numPr>
          <w:ilvl w:val="0"/>
          <w:numId w:val="0"/>
        </w:numPr>
        <w:tabs>
          <w:tab w:val="left" w:pos="1483"/>
        </w:tabs>
        <w:kinsoku/>
        <w:wordWrap/>
        <w:overflowPunct/>
        <w:topLinePunct w:val="0"/>
        <w:autoSpaceDE w:val="0"/>
        <w:autoSpaceDN w:val="0"/>
        <w:bidi w:val="0"/>
        <w:adjustRightInd/>
        <w:snapToGrid/>
        <w:spacing w:before="6" w:after="0" w:line="400" w:lineRule="exact"/>
        <w:ind w:right="287" w:rightChars="0" w:firstLine="822" w:firstLineChars="300"/>
        <w:jc w:val="left"/>
        <w:textAlignment w:val="auto"/>
        <w:rPr>
          <w:rFonts w:hint="eastAsia"/>
          <w:spacing w:val="-3"/>
          <w:sz w:val="28"/>
          <w:lang w:eastAsia="zh-CN"/>
        </w:rPr>
      </w:pPr>
      <w:r>
        <w:rPr>
          <w:rFonts w:hint="eastAsia"/>
          <w:spacing w:val="-3"/>
          <w:sz w:val="28"/>
          <w:lang w:eastAsia="zh-CN"/>
        </w:rPr>
        <w:t>（</w:t>
      </w:r>
      <w:r>
        <w:rPr>
          <w:rFonts w:hint="eastAsia"/>
          <w:spacing w:val="-3"/>
          <w:sz w:val="28"/>
          <w:lang w:val="en-US" w:eastAsia="zh-CN"/>
        </w:rPr>
        <w:t>5）</w:t>
      </w:r>
      <w:r>
        <w:rPr>
          <w:rFonts w:hint="eastAsia"/>
          <w:spacing w:val="-3"/>
          <w:sz w:val="28"/>
          <w:lang w:eastAsia="zh-CN"/>
        </w:rPr>
        <w:t>在磋商期间采取必要的通讯管理措施，保证磋商活动不受外界干扰；</w:t>
      </w:r>
    </w:p>
    <w:p>
      <w:pPr>
        <w:pStyle w:val="20"/>
        <w:keepNext w:val="0"/>
        <w:keepLines w:val="0"/>
        <w:pageBreakBefore w:val="0"/>
        <w:widowControl w:val="0"/>
        <w:numPr>
          <w:ilvl w:val="0"/>
          <w:numId w:val="0"/>
        </w:numPr>
        <w:tabs>
          <w:tab w:val="left" w:pos="1483"/>
        </w:tabs>
        <w:kinsoku/>
        <w:wordWrap/>
        <w:overflowPunct/>
        <w:topLinePunct w:val="0"/>
        <w:autoSpaceDE w:val="0"/>
        <w:autoSpaceDN w:val="0"/>
        <w:bidi w:val="0"/>
        <w:adjustRightInd/>
        <w:snapToGrid/>
        <w:spacing w:before="6" w:after="0" w:line="400" w:lineRule="exact"/>
        <w:ind w:right="287" w:rightChars="0" w:firstLine="822" w:firstLineChars="300"/>
        <w:jc w:val="left"/>
        <w:textAlignment w:val="auto"/>
        <w:rPr>
          <w:rFonts w:hint="eastAsia"/>
          <w:spacing w:val="-3"/>
          <w:sz w:val="28"/>
          <w:lang w:eastAsia="zh-CN"/>
        </w:rPr>
      </w:pPr>
      <w:r>
        <w:rPr>
          <w:rFonts w:hint="eastAsia"/>
          <w:spacing w:val="-3"/>
          <w:sz w:val="28"/>
          <w:lang w:eastAsia="zh-CN"/>
        </w:rPr>
        <w:t>（</w:t>
      </w:r>
      <w:r>
        <w:rPr>
          <w:rFonts w:hint="eastAsia"/>
          <w:spacing w:val="-3"/>
          <w:sz w:val="28"/>
          <w:lang w:val="en-US" w:eastAsia="zh-CN"/>
        </w:rPr>
        <w:t>6）</w:t>
      </w:r>
      <w:r>
        <w:rPr>
          <w:rFonts w:hint="eastAsia"/>
          <w:spacing w:val="-3"/>
          <w:sz w:val="28"/>
          <w:lang w:eastAsia="zh-CN"/>
        </w:rPr>
        <w:t>根据磋商小组的要求介绍政府采购相关政策法规、磋商文件；</w:t>
      </w:r>
    </w:p>
    <w:p>
      <w:pPr>
        <w:pStyle w:val="20"/>
        <w:keepNext w:val="0"/>
        <w:keepLines w:val="0"/>
        <w:pageBreakBefore w:val="0"/>
        <w:widowControl w:val="0"/>
        <w:numPr>
          <w:ilvl w:val="0"/>
          <w:numId w:val="0"/>
        </w:numPr>
        <w:tabs>
          <w:tab w:val="left" w:pos="1483"/>
        </w:tabs>
        <w:kinsoku/>
        <w:wordWrap/>
        <w:overflowPunct/>
        <w:topLinePunct w:val="0"/>
        <w:autoSpaceDE w:val="0"/>
        <w:autoSpaceDN w:val="0"/>
        <w:bidi w:val="0"/>
        <w:adjustRightInd/>
        <w:snapToGrid/>
        <w:spacing w:before="6" w:after="0" w:line="400" w:lineRule="exact"/>
        <w:ind w:right="287" w:rightChars="0" w:firstLine="822" w:firstLineChars="300"/>
        <w:jc w:val="left"/>
        <w:textAlignment w:val="auto"/>
        <w:rPr>
          <w:rFonts w:hint="eastAsia"/>
          <w:spacing w:val="-3"/>
          <w:sz w:val="28"/>
          <w:lang w:eastAsia="zh-CN"/>
        </w:rPr>
      </w:pPr>
      <w:r>
        <w:rPr>
          <w:rFonts w:hint="eastAsia"/>
          <w:spacing w:val="-3"/>
          <w:sz w:val="28"/>
          <w:lang w:eastAsia="zh-CN"/>
        </w:rPr>
        <w:t>（</w:t>
      </w:r>
      <w:r>
        <w:rPr>
          <w:rFonts w:hint="eastAsia"/>
          <w:spacing w:val="-3"/>
          <w:sz w:val="28"/>
          <w:lang w:val="en-US" w:eastAsia="zh-CN"/>
        </w:rPr>
        <w:t>7）</w:t>
      </w:r>
      <w:r>
        <w:rPr>
          <w:rFonts w:hint="eastAsia"/>
          <w:spacing w:val="-3"/>
          <w:sz w:val="28"/>
          <w:lang w:eastAsia="zh-CN"/>
        </w:rPr>
        <w:t>维护磋商秩序，监督磋商小组依照磋商文件规定的磋商程序、方法和标准进行独立工作，及时制止和纠正采购人代表、评审专家的倾向性言论或</w:t>
      </w:r>
    </w:p>
    <w:p>
      <w:pPr>
        <w:pStyle w:val="2"/>
        <w:keepNext w:val="0"/>
        <w:keepLines w:val="0"/>
        <w:pageBreakBefore w:val="0"/>
        <w:widowControl w:val="0"/>
        <w:kinsoku/>
        <w:wordWrap/>
        <w:overflowPunct/>
        <w:topLinePunct w:val="0"/>
        <w:autoSpaceDE w:val="0"/>
        <w:autoSpaceDN w:val="0"/>
        <w:bidi w:val="0"/>
        <w:adjustRightInd/>
        <w:snapToGrid/>
        <w:spacing w:line="120" w:lineRule="auto"/>
        <w:textAlignment w:val="auto"/>
        <w:sectPr>
          <w:type w:val="continuous"/>
          <w:pgSz w:w="11850" w:h="16790"/>
          <w:pgMar w:top="1580" w:right="840" w:bottom="280" w:left="1120" w:header="720" w:footer="720" w:gutter="0"/>
          <w:pgBorders>
            <w:top w:val="none" w:sz="0" w:space="0"/>
            <w:left w:val="none" w:sz="0" w:space="0"/>
            <w:bottom w:val="none" w:sz="0" w:space="0"/>
            <w:right w:val="none" w:sz="0" w:space="0"/>
          </w:pgBorders>
          <w:pgNumType w:fmt="decimal"/>
          <w:cols w:space="720" w:num="1"/>
        </w:sectPr>
      </w:pPr>
    </w:p>
    <w:p>
      <w:pPr>
        <w:pStyle w:val="20"/>
        <w:keepNext w:val="0"/>
        <w:keepLines w:val="0"/>
        <w:pageBreakBefore w:val="0"/>
        <w:widowControl w:val="0"/>
        <w:numPr>
          <w:ilvl w:val="0"/>
          <w:numId w:val="0"/>
        </w:numPr>
        <w:tabs>
          <w:tab w:val="left" w:pos="1483"/>
        </w:tabs>
        <w:kinsoku/>
        <w:wordWrap/>
        <w:overflowPunct/>
        <w:topLinePunct w:val="0"/>
        <w:autoSpaceDE w:val="0"/>
        <w:autoSpaceDN w:val="0"/>
        <w:bidi w:val="0"/>
        <w:adjustRightInd/>
        <w:snapToGrid/>
        <w:spacing w:before="6" w:after="0" w:line="400" w:lineRule="exact"/>
        <w:ind w:right="287" w:rightChars="0"/>
        <w:jc w:val="left"/>
        <w:textAlignment w:val="auto"/>
        <w:rPr>
          <w:rFonts w:hint="eastAsia"/>
          <w:spacing w:val="-3"/>
          <w:sz w:val="28"/>
          <w:lang w:eastAsia="zh-CN"/>
        </w:rPr>
      </w:pPr>
      <w:r>
        <w:rPr>
          <w:rFonts w:hint="eastAsia"/>
          <w:spacing w:val="-3"/>
          <w:sz w:val="28"/>
          <w:lang w:eastAsia="zh-CN"/>
        </w:rPr>
        <w:t>者违法违规行为；</w:t>
      </w:r>
    </w:p>
    <w:p>
      <w:pPr>
        <w:pStyle w:val="2"/>
        <w:spacing w:before="2" w:line="242" w:lineRule="auto"/>
        <w:ind w:right="426" w:firstLine="561"/>
        <w:jc w:val="both"/>
        <w:rPr>
          <w:rFonts w:hint="eastAsia"/>
          <w:lang w:eastAsia="zh-CN"/>
        </w:rPr>
      </w:pPr>
      <w:r>
        <w:rPr>
          <w:rFonts w:hint="eastAsia"/>
          <w:spacing w:val="-3"/>
          <w:sz w:val="28"/>
          <w:lang w:eastAsia="zh-CN"/>
        </w:rPr>
        <w:t>（</w:t>
      </w:r>
      <w:r>
        <w:rPr>
          <w:rFonts w:hint="eastAsia"/>
          <w:spacing w:val="-3"/>
          <w:sz w:val="28"/>
          <w:lang w:val="en-US" w:eastAsia="zh-CN"/>
        </w:rPr>
        <w:t>8）</w:t>
      </w:r>
      <w:r>
        <w:rPr>
          <w:rFonts w:hint="eastAsia"/>
          <w:spacing w:val="-3"/>
          <w:sz w:val="28"/>
          <w:lang w:eastAsia="zh-CN"/>
        </w:rPr>
        <w:t>核对磋商结果，有20.4规定情形的，要求磋商小组复核或者书面说</w:t>
      </w:r>
      <w:r>
        <w:rPr>
          <w:rFonts w:hint="eastAsia"/>
          <w:lang w:eastAsia="zh-CN"/>
        </w:rPr>
        <w:t>明理由，磋商小组拒绝的，应予记录并向本级财政部门报告；</w:t>
      </w:r>
    </w:p>
    <w:p>
      <w:pPr>
        <w:pStyle w:val="2"/>
        <w:spacing w:before="2" w:line="242" w:lineRule="auto"/>
        <w:ind w:right="426" w:firstLine="561"/>
        <w:jc w:val="both"/>
      </w:pPr>
      <w:r>
        <w:rPr>
          <w:rFonts w:hint="eastAsia"/>
          <w:lang w:eastAsia="zh-CN"/>
        </w:rPr>
        <w:t>（</w:t>
      </w:r>
      <w:r>
        <w:rPr>
          <w:rFonts w:hint="eastAsia"/>
          <w:lang w:val="en-US" w:eastAsia="zh-CN"/>
        </w:rPr>
        <w:t>9）</w:t>
      </w:r>
      <w:r>
        <w:t>磋商工作完成后，按照规定向评审专家支付劳务报酬和异地评审差旅费，不得向评审专家以外的其他人员支付评审劳务报酬；</w:t>
      </w:r>
    </w:p>
    <w:p>
      <w:pPr>
        <w:pStyle w:val="2"/>
        <w:spacing w:before="2" w:line="242" w:lineRule="auto"/>
        <w:ind w:right="426" w:firstLine="561"/>
        <w:jc w:val="both"/>
      </w:pPr>
      <w:r>
        <w:rPr>
          <w:rFonts w:hint="eastAsia"/>
          <w:lang w:eastAsia="zh-CN"/>
        </w:rPr>
        <w:t>（</w:t>
      </w:r>
      <w:r>
        <w:rPr>
          <w:rFonts w:hint="eastAsia"/>
          <w:lang w:val="en-US" w:eastAsia="zh-CN"/>
        </w:rPr>
        <w:t>10）</w:t>
      </w:r>
      <w:r>
        <w:t>有关人员对磋商情况以及在磋商过程中获悉的国家秘密、商业秘密负有保密责任。</w:t>
      </w:r>
    </w:p>
    <w:p>
      <w:pPr>
        <w:pStyle w:val="20"/>
        <w:numPr>
          <w:ilvl w:val="0"/>
          <w:numId w:val="0"/>
        </w:numPr>
        <w:tabs>
          <w:tab w:val="left" w:pos="1622"/>
        </w:tabs>
        <w:spacing w:before="0" w:after="0" w:line="240" w:lineRule="auto"/>
        <w:ind w:left="780" w:leftChars="0" w:right="0" w:rightChars="0"/>
        <w:jc w:val="left"/>
        <w:rPr>
          <w:sz w:val="28"/>
        </w:rPr>
      </w:pPr>
      <w:r>
        <w:rPr>
          <w:rFonts w:hint="eastAsia"/>
          <w:spacing w:val="-3"/>
          <w:sz w:val="28"/>
          <w:lang w:val="en-US" w:eastAsia="zh-CN"/>
        </w:rPr>
        <w:t>(11)</w:t>
      </w:r>
      <w:r>
        <w:rPr>
          <w:spacing w:val="-3"/>
          <w:sz w:val="28"/>
        </w:rPr>
        <w:t>处理与磋商有关的其他事项。</w:t>
      </w:r>
    </w:p>
    <w:p>
      <w:pPr>
        <w:pStyle w:val="2"/>
        <w:spacing w:before="2" w:line="242" w:lineRule="auto"/>
        <w:ind w:right="426" w:firstLine="561"/>
        <w:jc w:val="both"/>
      </w:pPr>
      <w:r>
        <w:t>采购人可以在磋商前说明项目背景和采购需求，说明内容不得含有歧视性、倾向性意见，不得超出磋商文件所述范围。说明应当提交书面材料，并随采购文件一并存档。</w:t>
      </w:r>
    </w:p>
    <w:p>
      <w:pPr>
        <w:pStyle w:val="20"/>
        <w:numPr>
          <w:ilvl w:val="0"/>
          <w:numId w:val="7"/>
        </w:numPr>
        <w:tabs>
          <w:tab w:val="left" w:pos="784"/>
        </w:tabs>
        <w:spacing w:before="2" w:after="0" w:line="240" w:lineRule="auto"/>
        <w:ind w:left="783" w:right="0" w:hanging="565"/>
        <w:jc w:val="both"/>
        <w:rPr>
          <w:b/>
          <w:sz w:val="28"/>
        </w:rPr>
      </w:pPr>
      <w:bookmarkStart w:id="42" w:name="_bookmark23"/>
      <w:bookmarkEnd w:id="42"/>
      <w:bookmarkStart w:id="43" w:name="17. 磋商小组"/>
      <w:bookmarkEnd w:id="43"/>
      <w:r>
        <w:rPr>
          <w:b/>
          <w:sz w:val="28"/>
        </w:rPr>
        <w:t>磋商小组</w:t>
      </w:r>
    </w:p>
    <w:p>
      <w:pPr>
        <w:pStyle w:val="20"/>
        <w:numPr>
          <w:ilvl w:val="1"/>
          <w:numId w:val="7"/>
        </w:numPr>
        <w:tabs>
          <w:tab w:val="left" w:pos="1343"/>
        </w:tabs>
        <w:spacing w:before="4" w:after="0" w:line="242" w:lineRule="auto"/>
        <w:ind w:left="219" w:right="287" w:firstLine="561"/>
        <w:jc w:val="left"/>
        <w:rPr>
          <w:sz w:val="28"/>
        </w:rPr>
      </w:pPr>
      <w:r>
        <w:rPr>
          <w:spacing w:val="-3"/>
          <w:sz w:val="28"/>
        </w:rPr>
        <w:t>磋商小组由采购人代表和评审专家共</w:t>
      </w:r>
      <w:r>
        <w:rPr>
          <w:sz w:val="28"/>
        </w:rPr>
        <w:t>3</w:t>
      </w:r>
      <w:r>
        <w:rPr>
          <w:spacing w:val="-3"/>
          <w:sz w:val="28"/>
        </w:rPr>
        <w:t>人以上单数组成，其中评审专家人数不得少于磋商小组成员总数的</w:t>
      </w:r>
      <w:r>
        <w:rPr>
          <w:sz w:val="28"/>
        </w:rPr>
        <w:t>2/3</w:t>
      </w:r>
      <w:r>
        <w:rPr>
          <w:spacing w:val="-3"/>
          <w:sz w:val="28"/>
        </w:rPr>
        <w:t>。采购人代表不得以评审专家身份参加本部门或本单位采购项目的评审。采购代理机构人员不得参加本机构代理的采购项目的评审。</w:t>
      </w:r>
    </w:p>
    <w:p>
      <w:pPr>
        <w:pStyle w:val="20"/>
        <w:numPr>
          <w:ilvl w:val="0"/>
          <w:numId w:val="8"/>
        </w:numPr>
        <w:tabs>
          <w:tab w:val="left" w:pos="1483"/>
        </w:tabs>
        <w:spacing w:before="3" w:after="0" w:line="242" w:lineRule="auto"/>
        <w:ind w:left="219" w:right="287" w:firstLine="561"/>
        <w:jc w:val="left"/>
        <w:rPr>
          <w:sz w:val="28"/>
        </w:rPr>
      </w:pPr>
      <w:r>
        <w:rPr>
          <w:spacing w:val="-3"/>
          <w:sz w:val="28"/>
        </w:rPr>
        <w:t>评审专家应当从政府采购评审专家库内相关专业的专家名单中随机抽取。市场竞争不充分的科研项目、需要扶持的科技成果转化项目，以及情况特殊、通过随机方式难以确定合适的评审专家的项目，经主管预算单位同意，可以自行选定评审专家。技术复杂、专业性强的采购项目，评审专家中</w:t>
      </w:r>
      <w:r>
        <w:rPr>
          <w:spacing w:val="-2"/>
          <w:sz w:val="28"/>
        </w:rPr>
        <w:t>应当包含</w:t>
      </w:r>
      <w:r>
        <w:rPr>
          <w:sz w:val="28"/>
        </w:rPr>
        <w:t>1</w:t>
      </w:r>
      <w:r>
        <w:rPr>
          <w:spacing w:val="-3"/>
          <w:sz w:val="28"/>
        </w:rPr>
        <w:t>名法律专家。</w:t>
      </w:r>
    </w:p>
    <w:p>
      <w:pPr>
        <w:pStyle w:val="20"/>
        <w:numPr>
          <w:ilvl w:val="0"/>
          <w:numId w:val="8"/>
        </w:numPr>
        <w:tabs>
          <w:tab w:val="left" w:pos="1483"/>
        </w:tabs>
        <w:spacing w:before="5" w:after="0" w:line="242" w:lineRule="auto"/>
        <w:ind w:left="219" w:right="287" w:firstLine="561"/>
        <w:jc w:val="left"/>
        <w:rPr>
          <w:sz w:val="28"/>
        </w:rPr>
      </w:pPr>
      <w:r>
        <w:rPr>
          <w:spacing w:val="-3"/>
          <w:sz w:val="28"/>
        </w:rPr>
        <w:t>评审专家应当遵守评审工作纪律，不得泄露磋商情况以及在磋商过程中获悉的国家秘密、商业秘密。</w:t>
      </w:r>
    </w:p>
    <w:p>
      <w:pPr>
        <w:pStyle w:val="20"/>
        <w:numPr>
          <w:ilvl w:val="0"/>
          <w:numId w:val="8"/>
        </w:numPr>
        <w:tabs>
          <w:tab w:val="left" w:pos="1483"/>
        </w:tabs>
        <w:spacing w:before="0" w:after="0" w:line="242" w:lineRule="auto"/>
        <w:ind w:left="219" w:right="287" w:firstLine="561"/>
        <w:jc w:val="left"/>
        <w:rPr>
          <w:sz w:val="28"/>
        </w:rPr>
      </w:pPr>
      <w:r>
        <w:rPr>
          <w:spacing w:val="-3"/>
          <w:sz w:val="28"/>
        </w:rPr>
        <w:t>评审专家在评审过程中受到非法干涉的，应当及时向财政、监察等</w:t>
      </w:r>
      <w:r>
        <w:rPr>
          <w:spacing w:val="-2"/>
          <w:sz w:val="28"/>
        </w:rPr>
        <w:t>部门举报。</w:t>
      </w:r>
    </w:p>
    <w:p>
      <w:pPr>
        <w:pStyle w:val="20"/>
        <w:numPr>
          <w:ilvl w:val="1"/>
          <w:numId w:val="7"/>
        </w:numPr>
        <w:tabs>
          <w:tab w:val="left" w:pos="1343"/>
        </w:tabs>
        <w:spacing w:before="2" w:after="0" w:line="242" w:lineRule="auto"/>
        <w:ind w:left="219" w:right="426" w:firstLine="561"/>
        <w:jc w:val="both"/>
        <w:rPr>
          <w:sz w:val="28"/>
        </w:rPr>
      </w:pPr>
      <w:r>
        <w:rPr>
          <w:spacing w:val="-3"/>
          <w:sz w:val="28"/>
        </w:rPr>
        <w:t>磋商小组成员应当按照客观、公正、审慎的原则，根据磋商文件规定的评审程序、评审方法和评审标准进行独立评审。集中与单一供应商分别进行磋商，并给予所有参加磋商的供应商平等的磋商机会。未实质性响应磋商文件的响应文件按无效响应处理，磋商小组应当告知提交响应文件的供应商。</w:t>
      </w:r>
    </w:p>
    <w:p>
      <w:pPr>
        <w:pStyle w:val="20"/>
        <w:numPr>
          <w:ilvl w:val="1"/>
          <w:numId w:val="7"/>
        </w:numPr>
        <w:tabs>
          <w:tab w:val="left" w:pos="1343"/>
        </w:tabs>
        <w:spacing w:before="3" w:after="0" w:line="244" w:lineRule="auto"/>
        <w:ind w:left="219" w:right="426" w:firstLine="561"/>
        <w:jc w:val="left"/>
        <w:rPr>
          <w:sz w:val="28"/>
        </w:rPr>
      </w:pPr>
      <w:r>
        <w:rPr>
          <w:spacing w:val="-3"/>
          <w:sz w:val="28"/>
        </w:rPr>
        <w:t>磋商文件内容违反国家有关强制性规定的，磋商小组应当停止评审并向采购人或者采购代理机构说明情况。</w:t>
      </w:r>
    </w:p>
    <w:p>
      <w:pPr>
        <w:pStyle w:val="20"/>
        <w:numPr>
          <w:ilvl w:val="1"/>
          <w:numId w:val="7"/>
        </w:numPr>
        <w:tabs>
          <w:tab w:val="left" w:pos="1343"/>
        </w:tabs>
        <w:spacing w:before="0" w:after="0" w:line="242" w:lineRule="auto"/>
        <w:ind w:left="219" w:right="426" w:firstLine="561"/>
        <w:jc w:val="both"/>
        <w:rPr>
          <w:sz w:val="28"/>
        </w:rPr>
      </w:pPr>
      <w:r>
        <w:rPr>
          <w:spacing w:val="-3"/>
          <w:sz w:val="28"/>
        </w:rPr>
        <w:t>在磋商过程中，磋商小组可以根据磋商文件和磋商情况实质性变动采购需求中的技术要求以及合同草案条款，但不得变动磋商文件中的其他内容。实质性变动的内容，须经采购人代表确认。</w:t>
      </w:r>
    </w:p>
    <w:p>
      <w:pPr>
        <w:pStyle w:val="2"/>
        <w:spacing w:line="242" w:lineRule="auto"/>
        <w:ind w:right="426" w:firstLine="561"/>
      </w:pPr>
      <w:r>
        <w:t>对磋商文件作出的实质性变动是磋商文件的有效组成部分，磋商小组应当及时以书面形式同时通知所有参加磋商的供应商。</w:t>
      </w:r>
    </w:p>
    <w:p>
      <w:pPr>
        <w:pStyle w:val="2"/>
        <w:spacing w:line="244" w:lineRule="auto"/>
        <w:ind w:right="426" w:firstLine="561"/>
      </w:pPr>
      <w:r>
        <w:t>供应商应当按照磋商文件的变动情况和磋商小组的要求重新提交响应文</w:t>
      </w:r>
    </w:p>
    <w:p>
      <w:pPr>
        <w:spacing w:after="0" w:line="244" w:lineRule="auto"/>
        <w:sectPr>
          <w:pgSz w:w="11850" w:h="16790"/>
          <w:pgMar w:top="1360" w:right="840" w:bottom="1440" w:left="1120" w:header="0" w:footer="1179" w:gutter="0"/>
          <w:pgBorders>
            <w:top w:val="none" w:sz="0" w:space="0"/>
            <w:left w:val="none" w:sz="0" w:space="0"/>
            <w:bottom w:val="none" w:sz="0" w:space="0"/>
            <w:right w:val="none" w:sz="0" w:space="0"/>
          </w:pgBorders>
          <w:pgNumType w:fmt="decimal"/>
          <w:cols w:space="720" w:num="1"/>
        </w:sectPr>
      </w:pPr>
    </w:p>
    <w:p>
      <w:pPr>
        <w:pStyle w:val="2"/>
        <w:spacing w:line="244" w:lineRule="auto"/>
        <w:ind w:right="426"/>
      </w:pPr>
      <w:r>
        <w:t>件，并由其法定代表人或授权代表签字或者加盖公章。由授权代表签字的，</w:t>
      </w:r>
    </w:p>
    <w:p>
      <w:pPr>
        <w:pStyle w:val="2"/>
        <w:spacing w:before="33" w:line="242" w:lineRule="auto"/>
        <w:ind w:right="428"/>
      </w:pPr>
      <w:r>
        <w:t>应当附法定代表人授权书。供应商为自然人的，应当由本人签字并附身份证明。</w:t>
      </w:r>
    </w:p>
    <w:p>
      <w:pPr>
        <w:pStyle w:val="20"/>
        <w:numPr>
          <w:ilvl w:val="1"/>
          <w:numId w:val="7"/>
        </w:numPr>
        <w:tabs>
          <w:tab w:val="left" w:pos="1343"/>
        </w:tabs>
        <w:spacing w:before="0" w:after="0" w:line="244" w:lineRule="auto"/>
        <w:ind w:left="219" w:right="426" w:firstLine="561"/>
        <w:jc w:val="left"/>
        <w:rPr>
          <w:sz w:val="28"/>
        </w:rPr>
      </w:pPr>
      <w:r>
        <w:rPr>
          <w:spacing w:val="-3"/>
          <w:sz w:val="28"/>
        </w:rPr>
        <w:t>磋商小组在评审过程中发现供应商有行贿、提供虚假材料或者串通等违法行为的，应当及时向财政部门报告。</w:t>
      </w:r>
    </w:p>
    <w:p>
      <w:pPr>
        <w:pStyle w:val="20"/>
        <w:numPr>
          <w:ilvl w:val="1"/>
          <w:numId w:val="7"/>
        </w:numPr>
        <w:tabs>
          <w:tab w:val="left" w:pos="1343"/>
        </w:tabs>
        <w:spacing w:before="0" w:after="0" w:line="242" w:lineRule="auto"/>
        <w:ind w:left="219" w:right="426" w:firstLine="561"/>
        <w:jc w:val="left"/>
        <w:rPr>
          <w:sz w:val="28"/>
        </w:rPr>
      </w:pPr>
      <w:r>
        <w:rPr>
          <w:spacing w:val="-3"/>
          <w:sz w:val="28"/>
        </w:rPr>
        <w:t>采购人、采购代理机构不得向磋商小组中的评审专家作倾向性、误导性的解释或者说明。</w:t>
      </w:r>
    </w:p>
    <w:p>
      <w:pPr>
        <w:pStyle w:val="20"/>
        <w:numPr>
          <w:ilvl w:val="1"/>
          <w:numId w:val="7"/>
        </w:numPr>
        <w:tabs>
          <w:tab w:val="left" w:pos="1343"/>
        </w:tabs>
        <w:spacing w:before="0" w:after="0" w:line="242" w:lineRule="auto"/>
        <w:ind w:left="219" w:right="426" w:firstLine="561"/>
        <w:jc w:val="both"/>
        <w:rPr>
          <w:sz w:val="28"/>
        </w:rPr>
      </w:pPr>
      <w:r>
        <w:rPr>
          <w:spacing w:val="-3"/>
          <w:sz w:val="28"/>
        </w:rPr>
        <w:t>磋商中因磋商小组成员缺席、回避或者健康等特殊原因导致磋商小组组成不符合规定的，采购人或者采购代理机构应当依法补足后继续磋商。被更换的磋商小组成员所作出的磋商意见无效。无法及时补足磋商小组成员的，采购代理机构应当停止磋商活动，封存所有响应文件和磋商资料，依法重新组建磋商小组进行磋商。原磋商小组所作出的磋商意见无效。</w:t>
      </w:r>
    </w:p>
    <w:p>
      <w:pPr>
        <w:pStyle w:val="2"/>
        <w:spacing w:before="1" w:line="242" w:lineRule="auto"/>
        <w:ind w:right="707" w:firstLine="561"/>
      </w:pPr>
      <w:r>
        <w:t>采购人或采购代理机构应当将变更、重新组建磋商小组的情况予以记录，并随采购文件一并存档。</w:t>
      </w:r>
    </w:p>
    <w:p>
      <w:pPr>
        <w:pStyle w:val="20"/>
        <w:numPr>
          <w:ilvl w:val="0"/>
          <w:numId w:val="7"/>
        </w:numPr>
        <w:tabs>
          <w:tab w:val="left" w:pos="644"/>
        </w:tabs>
        <w:spacing w:before="0" w:after="0" w:line="240" w:lineRule="auto"/>
        <w:ind w:left="644" w:right="0" w:hanging="425"/>
        <w:jc w:val="left"/>
        <w:rPr>
          <w:b/>
          <w:sz w:val="28"/>
        </w:rPr>
      </w:pPr>
      <w:bookmarkStart w:id="44" w:name="_bookmark24"/>
      <w:bookmarkEnd w:id="44"/>
      <w:bookmarkStart w:id="45" w:name="18.有效性、完整性和响应程度审查"/>
      <w:bookmarkEnd w:id="45"/>
      <w:r>
        <w:rPr>
          <w:b/>
          <w:sz w:val="28"/>
        </w:rPr>
        <w:t>有效性、完整性和响应程度审查</w:t>
      </w:r>
    </w:p>
    <w:p>
      <w:pPr>
        <w:pStyle w:val="20"/>
        <w:numPr>
          <w:ilvl w:val="1"/>
          <w:numId w:val="7"/>
        </w:numPr>
        <w:tabs>
          <w:tab w:val="left" w:pos="1343"/>
        </w:tabs>
        <w:spacing w:before="6" w:after="0" w:line="242" w:lineRule="auto"/>
        <w:ind w:left="219" w:right="426" w:firstLine="561"/>
        <w:jc w:val="left"/>
        <w:rPr>
          <w:sz w:val="28"/>
        </w:rPr>
      </w:pPr>
      <w:r>
        <w:rPr>
          <w:spacing w:val="-3"/>
          <w:sz w:val="28"/>
        </w:rPr>
        <w:t>供应商应当在磋商文件要求的截止时间前，将响应文件密封送达指定地点。应当由供应商或者其推选的代表检查响应文件的密封情况；经确认无误后，采购代理机构应当对响应文件送达的时间、份数、人员、密封情况等信息作好记录。应当由采购代理机构工作人员当众拆封，宣布供应商名 称，并核验送达人身份。</w:t>
      </w:r>
    </w:p>
    <w:p>
      <w:pPr>
        <w:pStyle w:val="2"/>
        <w:spacing w:before="3"/>
        <w:ind w:left="780"/>
      </w:pPr>
      <w:r>
        <w:t>应商不足3家的，不得开展磋商。</w:t>
      </w:r>
    </w:p>
    <w:p>
      <w:pPr>
        <w:pStyle w:val="20"/>
        <w:numPr>
          <w:ilvl w:val="1"/>
          <w:numId w:val="7"/>
        </w:numPr>
        <w:tabs>
          <w:tab w:val="left" w:pos="1343"/>
        </w:tabs>
        <w:spacing w:before="6" w:after="0" w:line="242" w:lineRule="auto"/>
        <w:ind w:left="219" w:right="426" w:firstLine="561"/>
        <w:jc w:val="left"/>
        <w:rPr>
          <w:sz w:val="28"/>
        </w:rPr>
      </w:pPr>
      <w:r>
        <w:rPr>
          <w:spacing w:val="-3"/>
          <w:sz w:val="28"/>
        </w:rPr>
        <w:t>磋商小组应当对响应文件的有效性、完整性和响应程度进行审查， 以确定其是否满足磋商文件的实质性要求。</w:t>
      </w:r>
    </w:p>
    <w:p>
      <w:pPr>
        <w:pStyle w:val="20"/>
        <w:numPr>
          <w:ilvl w:val="2"/>
          <w:numId w:val="7"/>
        </w:numPr>
        <w:tabs>
          <w:tab w:val="left" w:pos="1760"/>
        </w:tabs>
        <w:spacing w:before="0" w:after="0" w:line="242" w:lineRule="auto"/>
        <w:ind w:left="219" w:right="428" w:firstLine="561"/>
        <w:jc w:val="left"/>
        <w:rPr>
          <w:sz w:val="28"/>
        </w:rPr>
      </w:pPr>
      <w:r>
        <w:rPr>
          <w:spacing w:val="-3"/>
          <w:sz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 容。</w:t>
      </w:r>
    </w:p>
    <w:p>
      <w:pPr>
        <w:pStyle w:val="2"/>
        <w:spacing w:before="5" w:line="242" w:lineRule="auto"/>
        <w:ind w:right="428" w:firstLine="561"/>
      </w:pPr>
      <w:r>
        <w:rPr>
          <w:spacing w:val="-3"/>
        </w:rPr>
        <w:t>磋商小组要求供应商澄清、说明或者更正响应文件应当以书面形式作 出。供应商的澄清、说明或者更正应当由法定代表人或其授权代表签字或者加盖公章。由授权代表签字的，应当附法定代表人授权书。供应商为自然人的，应当由本人签字并附身份证明。</w:t>
      </w:r>
    </w:p>
    <w:p>
      <w:pPr>
        <w:pStyle w:val="20"/>
        <w:numPr>
          <w:ilvl w:val="2"/>
          <w:numId w:val="7"/>
        </w:numPr>
        <w:tabs>
          <w:tab w:val="left" w:pos="1624"/>
        </w:tabs>
        <w:spacing w:before="3" w:after="0" w:line="240" w:lineRule="auto"/>
        <w:ind w:left="1623" w:right="0" w:hanging="844"/>
        <w:jc w:val="left"/>
        <w:rPr>
          <w:sz w:val="28"/>
        </w:rPr>
      </w:pPr>
      <w:r>
        <w:rPr>
          <w:spacing w:val="-3"/>
          <w:sz w:val="28"/>
        </w:rPr>
        <w:t>供应商存在下列情况之一的，响应无效:</w:t>
      </w:r>
    </w:p>
    <w:p>
      <w:pPr>
        <w:pStyle w:val="2"/>
        <w:spacing w:before="3"/>
        <w:ind w:left="780"/>
      </w:pPr>
      <w:r>
        <w:t>（1）不具备第二部分2.2合格的供应商的；</w:t>
      </w:r>
    </w:p>
    <w:p>
      <w:pPr>
        <w:pStyle w:val="20"/>
        <w:numPr>
          <w:ilvl w:val="0"/>
          <w:numId w:val="9"/>
        </w:numPr>
        <w:tabs>
          <w:tab w:val="left" w:pos="1402"/>
        </w:tabs>
        <w:spacing w:before="6" w:after="0" w:line="240" w:lineRule="auto"/>
        <w:ind w:left="1401" w:right="0" w:hanging="703"/>
        <w:jc w:val="left"/>
        <w:rPr>
          <w:sz w:val="28"/>
        </w:rPr>
      </w:pPr>
      <w:r>
        <w:rPr>
          <w:spacing w:val="-3"/>
          <w:sz w:val="28"/>
        </w:rPr>
        <w:t>未按磋商文件第</w:t>
      </w:r>
      <w:r>
        <w:rPr>
          <w:sz w:val="28"/>
        </w:rPr>
        <w:t>11（1）-（</w:t>
      </w:r>
      <w:r>
        <w:rPr>
          <w:rFonts w:hint="eastAsia"/>
          <w:sz w:val="28"/>
          <w:lang w:val="en-US" w:eastAsia="zh-CN"/>
        </w:rPr>
        <w:t>9</w:t>
      </w:r>
      <w:r>
        <w:rPr>
          <w:sz w:val="28"/>
        </w:rPr>
        <w:t>）</w:t>
      </w:r>
      <w:r>
        <w:rPr>
          <w:spacing w:val="-3"/>
          <w:sz w:val="28"/>
        </w:rPr>
        <w:t>要求提供相关资料的；</w:t>
      </w:r>
    </w:p>
    <w:p>
      <w:pPr>
        <w:pStyle w:val="20"/>
        <w:numPr>
          <w:ilvl w:val="0"/>
          <w:numId w:val="9"/>
        </w:numPr>
        <w:tabs>
          <w:tab w:val="left" w:pos="1402"/>
        </w:tabs>
        <w:spacing w:before="4" w:after="0" w:line="242" w:lineRule="auto"/>
        <w:ind w:left="699" w:right="366" w:firstLine="0"/>
        <w:jc w:val="left"/>
        <w:rPr>
          <w:rFonts w:ascii="宋体" w:hAnsi="宋体" w:eastAsia="宋体" w:cs="宋体"/>
          <w:spacing w:val="-3"/>
          <w:sz w:val="28"/>
          <w:szCs w:val="28"/>
          <w:lang w:val="zh-CN" w:eastAsia="zh-CN" w:bidi="zh-CN"/>
        </w:rPr>
      </w:pPr>
      <w:r>
        <w:rPr>
          <w:rFonts w:ascii="宋体" w:hAnsi="宋体" w:eastAsia="宋体" w:cs="宋体"/>
          <w:spacing w:val="-3"/>
          <w:sz w:val="28"/>
          <w:szCs w:val="28"/>
          <w:lang w:val="zh-CN" w:eastAsia="zh-CN" w:bidi="zh-CN"/>
        </w:rPr>
        <w:t>响应文件未按磋商文件要求签字、盖章；编制、装订混乱影响正常评审的；</w:t>
      </w:r>
    </w:p>
    <w:p>
      <w:pPr>
        <w:pStyle w:val="20"/>
        <w:numPr>
          <w:ilvl w:val="0"/>
          <w:numId w:val="9"/>
        </w:numPr>
        <w:tabs>
          <w:tab w:val="left" w:pos="1402"/>
        </w:tabs>
        <w:spacing w:before="0" w:after="0" w:line="240" w:lineRule="auto"/>
        <w:ind w:left="1401" w:right="0" w:hanging="703"/>
        <w:jc w:val="left"/>
        <w:rPr>
          <w:sz w:val="28"/>
        </w:rPr>
      </w:pPr>
      <w:r>
        <w:rPr>
          <w:spacing w:val="-3"/>
          <w:sz w:val="28"/>
        </w:rPr>
        <w:t>响应文件含有采购人不能接受的附加条件的；</w:t>
      </w:r>
    </w:p>
    <w:p>
      <w:pPr>
        <w:spacing w:after="0" w:line="240" w:lineRule="auto"/>
        <w:jc w:val="left"/>
        <w:rPr>
          <w:sz w:val="28"/>
        </w:rPr>
        <w:sectPr>
          <w:pgSz w:w="11850" w:h="16790"/>
          <w:pgMar w:top="1360" w:right="840" w:bottom="1440" w:left="1120" w:header="0" w:footer="1179" w:gutter="0"/>
          <w:pgBorders>
            <w:top w:val="none" w:sz="0" w:space="0"/>
            <w:left w:val="none" w:sz="0" w:space="0"/>
            <w:bottom w:val="none" w:sz="0" w:space="0"/>
            <w:right w:val="none" w:sz="0" w:space="0"/>
          </w:pgBorders>
          <w:pgNumType w:fmt="decimal"/>
          <w:cols w:space="720" w:num="1"/>
        </w:sectPr>
      </w:pPr>
    </w:p>
    <w:p>
      <w:pPr>
        <w:pStyle w:val="20"/>
        <w:numPr>
          <w:ilvl w:val="0"/>
          <w:numId w:val="9"/>
        </w:numPr>
        <w:tabs>
          <w:tab w:val="left" w:pos="1402"/>
        </w:tabs>
        <w:spacing w:before="6" w:after="0" w:line="240" w:lineRule="auto"/>
        <w:ind w:left="1401" w:right="0" w:hanging="703"/>
        <w:jc w:val="left"/>
        <w:rPr>
          <w:sz w:val="28"/>
        </w:rPr>
      </w:pPr>
      <w:r>
        <w:rPr>
          <w:spacing w:val="-3"/>
          <w:sz w:val="28"/>
        </w:rPr>
        <w:t>响应有效期、产品交货时间不能满足磋商文件要求的；</w:t>
      </w:r>
    </w:p>
    <w:p>
      <w:pPr>
        <w:pStyle w:val="20"/>
        <w:numPr>
          <w:ilvl w:val="0"/>
          <w:numId w:val="9"/>
        </w:numPr>
        <w:tabs>
          <w:tab w:val="left" w:pos="1402"/>
        </w:tabs>
        <w:spacing w:before="6" w:after="0" w:line="240" w:lineRule="auto"/>
        <w:ind w:left="1401" w:right="0" w:hanging="703"/>
        <w:jc w:val="left"/>
        <w:rPr>
          <w:sz w:val="28"/>
        </w:rPr>
      </w:pPr>
      <w:r>
        <w:rPr>
          <w:spacing w:val="-3"/>
          <w:sz w:val="28"/>
        </w:rPr>
        <w:t>报价超过采购预算额度或者最高限价的；</w:t>
      </w:r>
    </w:p>
    <w:p>
      <w:pPr>
        <w:pStyle w:val="20"/>
        <w:numPr>
          <w:ilvl w:val="0"/>
          <w:numId w:val="9"/>
        </w:numPr>
        <w:tabs>
          <w:tab w:val="left" w:pos="1402"/>
        </w:tabs>
        <w:spacing w:before="4" w:after="0" w:line="240" w:lineRule="auto"/>
        <w:ind w:left="1401" w:right="0" w:hanging="703"/>
        <w:jc w:val="left"/>
        <w:rPr>
          <w:sz w:val="28"/>
        </w:rPr>
      </w:pPr>
      <w:r>
        <w:rPr>
          <w:spacing w:val="-3"/>
          <w:sz w:val="28"/>
        </w:rPr>
        <w:t>未按磋商文件要求缴纳磋商保证金的；</w:t>
      </w:r>
    </w:p>
    <w:p>
      <w:pPr>
        <w:pStyle w:val="20"/>
        <w:numPr>
          <w:ilvl w:val="0"/>
          <w:numId w:val="9"/>
        </w:numPr>
        <w:tabs>
          <w:tab w:val="left" w:pos="1402"/>
        </w:tabs>
        <w:spacing w:before="3" w:after="0" w:line="240" w:lineRule="auto"/>
        <w:ind w:left="1401" w:right="0" w:hanging="703"/>
        <w:jc w:val="left"/>
        <w:rPr>
          <w:sz w:val="28"/>
        </w:rPr>
      </w:pPr>
      <w:r>
        <w:rPr>
          <w:spacing w:val="-3"/>
          <w:sz w:val="28"/>
        </w:rPr>
        <w:t>未按照磋商文件要求提供电子文档的；</w:t>
      </w:r>
    </w:p>
    <w:p>
      <w:pPr>
        <w:pStyle w:val="20"/>
        <w:numPr>
          <w:ilvl w:val="0"/>
          <w:numId w:val="9"/>
        </w:numPr>
        <w:tabs>
          <w:tab w:val="left" w:pos="1402"/>
        </w:tabs>
        <w:spacing w:before="3" w:after="0" w:line="240" w:lineRule="auto"/>
        <w:ind w:left="1401" w:right="0" w:hanging="703"/>
        <w:jc w:val="left"/>
        <w:rPr>
          <w:spacing w:val="-3"/>
          <w:sz w:val="28"/>
        </w:rPr>
      </w:pPr>
      <w:r>
        <w:rPr>
          <w:spacing w:val="-3"/>
          <w:sz w:val="28"/>
        </w:rPr>
        <w:t>法律、法规和磋商文件规定及磋商小组认为应按无效响应处理的其他情况；</w:t>
      </w:r>
    </w:p>
    <w:p>
      <w:pPr>
        <w:pStyle w:val="2"/>
        <w:spacing w:before="1" w:line="242" w:lineRule="auto"/>
        <w:ind w:left="699" w:right="227"/>
      </w:pPr>
      <w:r>
        <w:t>19.2.3对不能满足磋商文件实质性要求的，采购人或采购代理机构应当以书面形式告知其不能满足的原因。</w:t>
      </w:r>
    </w:p>
    <w:p>
      <w:pPr>
        <w:pStyle w:val="20"/>
        <w:numPr>
          <w:ilvl w:val="0"/>
          <w:numId w:val="7"/>
        </w:numPr>
        <w:tabs>
          <w:tab w:val="left" w:pos="784"/>
        </w:tabs>
        <w:spacing w:before="2" w:after="0" w:line="240" w:lineRule="auto"/>
        <w:ind w:left="783" w:right="0" w:hanging="565"/>
        <w:jc w:val="left"/>
        <w:rPr>
          <w:b/>
          <w:sz w:val="28"/>
        </w:rPr>
      </w:pPr>
      <w:bookmarkStart w:id="46" w:name="_bookmark25"/>
      <w:bookmarkEnd w:id="46"/>
      <w:bookmarkStart w:id="47" w:name="19. 最终采购需求和最后报价"/>
      <w:bookmarkEnd w:id="47"/>
      <w:r>
        <w:rPr>
          <w:b/>
          <w:sz w:val="28"/>
        </w:rPr>
        <w:t>最终采购需求和最后报价</w:t>
      </w:r>
    </w:p>
    <w:p>
      <w:pPr>
        <w:pStyle w:val="20"/>
        <w:numPr>
          <w:ilvl w:val="1"/>
          <w:numId w:val="7"/>
        </w:numPr>
        <w:tabs>
          <w:tab w:val="left" w:pos="1343"/>
        </w:tabs>
        <w:spacing w:before="4" w:after="0" w:line="242" w:lineRule="auto"/>
        <w:ind w:left="219" w:right="426" w:firstLine="561"/>
        <w:jc w:val="left"/>
        <w:rPr>
          <w:sz w:val="28"/>
        </w:rPr>
      </w:pPr>
      <w:r>
        <w:rPr>
          <w:spacing w:val="-3"/>
          <w:sz w:val="28"/>
        </w:rPr>
        <w:t>响应文件的有效性、完整性和响应程度满足磋商文件的实质性要求的供应商提交最后报价。</w:t>
      </w:r>
    </w:p>
    <w:p>
      <w:pPr>
        <w:pStyle w:val="2"/>
        <w:spacing w:before="2"/>
        <w:ind w:left="780"/>
      </w:pPr>
      <w:r>
        <w:t>磋商报价（报价只保留小数点后两位）的修正：</w:t>
      </w:r>
    </w:p>
    <w:p>
      <w:pPr>
        <w:pStyle w:val="20"/>
        <w:numPr>
          <w:ilvl w:val="0"/>
          <w:numId w:val="10"/>
        </w:numPr>
        <w:tabs>
          <w:tab w:val="left" w:pos="1483"/>
        </w:tabs>
        <w:spacing w:before="4" w:after="0" w:line="242" w:lineRule="auto"/>
        <w:ind w:left="219" w:right="287" w:firstLine="561"/>
        <w:jc w:val="left"/>
        <w:rPr>
          <w:sz w:val="28"/>
        </w:rPr>
      </w:pPr>
      <w:r>
        <w:rPr>
          <w:spacing w:val="-3"/>
          <w:sz w:val="28"/>
        </w:rPr>
        <w:t>响应文件中开标一览表（</w:t>
      </w:r>
      <w:r>
        <w:rPr>
          <w:spacing w:val="-1"/>
          <w:sz w:val="28"/>
        </w:rPr>
        <w:t>报价表</w:t>
      </w:r>
      <w:r>
        <w:rPr>
          <w:sz w:val="28"/>
        </w:rPr>
        <w:t>）</w:t>
      </w:r>
      <w:r>
        <w:rPr>
          <w:spacing w:val="-3"/>
          <w:sz w:val="28"/>
        </w:rPr>
        <w:t>内容与响应文件中相应的内容不一致的，以开标一览表（</w:t>
      </w:r>
      <w:r>
        <w:rPr>
          <w:spacing w:val="-1"/>
          <w:sz w:val="28"/>
        </w:rPr>
        <w:t>报价表</w:t>
      </w:r>
      <w:r>
        <w:rPr>
          <w:sz w:val="28"/>
        </w:rPr>
        <w:t>）</w:t>
      </w:r>
      <w:r>
        <w:rPr>
          <w:spacing w:val="-2"/>
          <w:sz w:val="28"/>
        </w:rPr>
        <w:t>为准。</w:t>
      </w:r>
    </w:p>
    <w:p>
      <w:pPr>
        <w:pStyle w:val="20"/>
        <w:numPr>
          <w:ilvl w:val="0"/>
          <w:numId w:val="10"/>
        </w:numPr>
        <w:tabs>
          <w:tab w:val="left" w:pos="1483"/>
        </w:tabs>
        <w:spacing w:before="0" w:after="0" w:line="240" w:lineRule="auto"/>
        <w:ind w:left="1482" w:right="0" w:hanging="703"/>
        <w:jc w:val="left"/>
        <w:rPr>
          <w:sz w:val="28"/>
        </w:rPr>
      </w:pPr>
      <w:r>
        <w:rPr>
          <w:spacing w:val="-3"/>
          <w:sz w:val="28"/>
        </w:rPr>
        <w:t>报价表中大写金额和小写金额不一致的，以大写金额为准；</w:t>
      </w:r>
    </w:p>
    <w:p>
      <w:pPr>
        <w:pStyle w:val="20"/>
        <w:numPr>
          <w:ilvl w:val="0"/>
          <w:numId w:val="10"/>
        </w:numPr>
        <w:tabs>
          <w:tab w:val="left" w:pos="1483"/>
        </w:tabs>
        <w:spacing w:before="6" w:after="0" w:line="242" w:lineRule="auto"/>
        <w:ind w:left="219" w:right="565" w:firstLine="561"/>
        <w:jc w:val="left"/>
        <w:rPr>
          <w:sz w:val="28"/>
        </w:rPr>
      </w:pPr>
      <w:r>
        <w:rPr>
          <w:spacing w:val="-3"/>
          <w:sz w:val="28"/>
        </w:rPr>
        <w:t>单价金额小数点或者百分比有明显错位的，以最后报价的总价为准，并修改单价；</w:t>
      </w:r>
    </w:p>
    <w:p>
      <w:pPr>
        <w:pStyle w:val="20"/>
        <w:numPr>
          <w:ilvl w:val="0"/>
          <w:numId w:val="10"/>
        </w:numPr>
        <w:tabs>
          <w:tab w:val="left" w:pos="1483"/>
        </w:tabs>
        <w:spacing w:before="3" w:after="0" w:line="242" w:lineRule="auto"/>
        <w:ind w:left="780" w:right="287" w:firstLine="0"/>
        <w:jc w:val="left"/>
        <w:rPr>
          <w:sz w:val="28"/>
        </w:rPr>
      </w:pPr>
      <w:r>
        <w:rPr>
          <w:spacing w:val="-3"/>
          <w:sz w:val="28"/>
        </w:rPr>
        <w:t>总价金额与按单价汇总金额不一致的，以单价金额计算结果为准。同时出现两种以上不一致的，按照前款规定的顺序修正。修正后的报价</w:t>
      </w:r>
    </w:p>
    <w:p>
      <w:pPr>
        <w:pStyle w:val="2"/>
        <w:spacing w:line="242" w:lineRule="auto"/>
        <w:ind w:left="780" w:right="2946" w:hanging="562"/>
      </w:pPr>
      <w:r>
        <w:t>按18.2.1第二款的规定经供应商确认后产生约束力。19.2最后报价是供应商响应文件的有效组成部分。</w:t>
      </w:r>
    </w:p>
    <w:p>
      <w:pPr>
        <w:pStyle w:val="20"/>
        <w:numPr>
          <w:ilvl w:val="0"/>
          <w:numId w:val="11"/>
        </w:numPr>
        <w:tabs>
          <w:tab w:val="left" w:pos="1483"/>
        </w:tabs>
        <w:spacing w:before="2" w:after="0" w:line="242" w:lineRule="auto"/>
        <w:ind w:left="219" w:right="287" w:firstLine="561"/>
        <w:jc w:val="left"/>
        <w:rPr>
          <w:sz w:val="28"/>
        </w:rPr>
      </w:pPr>
      <w:r>
        <w:rPr>
          <w:spacing w:val="-3"/>
          <w:sz w:val="28"/>
        </w:rPr>
        <w:t>磋商文件能够详细列明采购标的的技术要求的，磋商小组应当要求所有实质性响应的供应商在规定时间内提交最后报价，提交最后报价的供应</w:t>
      </w:r>
      <w:r>
        <w:rPr>
          <w:spacing w:val="-2"/>
          <w:sz w:val="28"/>
        </w:rPr>
        <w:t>商不得少于</w:t>
      </w:r>
      <w:r>
        <w:rPr>
          <w:sz w:val="28"/>
        </w:rPr>
        <w:t>3家。</w:t>
      </w:r>
    </w:p>
    <w:p>
      <w:pPr>
        <w:pStyle w:val="20"/>
        <w:numPr>
          <w:ilvl w:val="0"/>
          <w:numId w:val="11"/>
        </w:numPr>
        <w:tabs>
          <w:tab w:val="left" w:pos="1483"/>
        </w:tabs>
        <w:spacing w:before="0" w:after="0" w:line="242" w:lineRule="auto"/>
        <w:ind w:left="219" w:right="287" w:firstLine="561"/>
        <w:jc w:val="left"/>
        <w:rPr>
          <w:sz w:val="28"/>
        </w:rPr>
      </w:pPr>
      <w:r>
        <w:rPr>
          <w:spacing w:val="-3"/>
          <w:sz w:val="28"/>
        </w:rPr>
        <w:t>磋商文件不能详细列明采购标的的技术要求，需经磋商由供应商提供最终设计方案或解决方案的，磋商小组应当按照少数服从多数的原则投票</w:t>
      </w:r>
      <w:r>
        <w:rPr>
          <w:spacing w:val="-1"/>
          <w:sz w:val="28"/>
        </w:rPr>
        <w:t>推荐3</w:t>
      </w:r>
      <w:r>
        <w:rPr>
          <w:spacing w:val="-3"/>
          <w:sz w:val="28"/>
        </w:rPr>
        <w:t>家以上供应商的设计方案或者解决方案，并要求其在规定时间内提交最</w:t>
      </w:r>
      <w:r>
        <w:rPr>
          <w:spacing w:val="-2"/>
          <w:sz w:val="28"/>
        </w:rPr>
        <w:t>后报价。</w:t>
      </w:r>
    </w:p>
    <w:p>
      <w:pPr>
        <w:pStyle w:val="20"/>
        <w:numPr>
          <w:ilvl w:val="0"/>
          <w:numId w:val="11"/>
        </w:numPr>
        <w:tabs>
          <w:tab w:val="left" w:pos="1483"/>
        </w:tabs>
        <w:spacing w:before="6" w:after="0" w:line="242" w:lineRule="auto"/>
        <w:ind w:left="219" w:right="287" w:firstLine="561"/>
        <w:jc w:val="left"/>
        <w:rPr>
          <w:sz w:val="28"/>
        </w:rPr>
      </w:pPr>
      <w:r>
        <w:rPr>
          <w:spacing w:val="-3"/>
          <w:sz w:val="28"/>
        </w:rPr>
        <w:t>市场竞争不充分的科研项目，以及需要扶持的科技成果转化项目， 磋商小组应当要求所有实质性响应的供应商在规定时间内提交最后报价，提交最后报价的供应商可以为</w:t>
      </w:r>
      <w:r>
        <w:rPr>
          <w:sz w:val="28"/>
        </w:rPr>
        <w:t>2家。</w:t>
      </w:r>
    </w:p>
    <w:p>
      <w:pPr>
        <w:pStyle w:val="20"/>
        <w:numPr>
          <w:ilvl w:val="0"/>
          <w:numId w:val="11"/>
        </w:numPr>
        <w:tabs>
          <w:tab w:val="left" w:pos="1483"/>
        </w:tabs>
        <w:spacing w:before="2" w:after="0" w:line="242" w:lineRule="auto"/>
        <w:ind w:left="219" w:right="287" w:firstLine="561"/>
        <w:jc w:val="both"/>
        <w:rPr>
          <w:sz w:val="28"/>
        </w:rPr>
      </w:pPr>
      <w:r>
        <w:rPr>
          <w:spacing w:val="-3"/>
          <w:sz w:val="28"/>
        </w:rPr>
        <w:t>政府购买服务项目</w:t>
      </w:r>
      <w:r>
        <w:rPr>
          <w:spacing w:val="-1"/>
          <w:sz w:val="28"/>
        </w:rPr>
        <w:t>（</w:t>
      </w:r>
      <w:r>
        <w:rPr>
          <w:spacing w:val="-3"/>
          <w:sz w:val="28"/>
        </w:rPr>
        <w:t>含政府和社会资本合作项目</w:t>
      </w:r>
      <w:r>
        <w:rPr>
          <w:sz w:val="28"/>
        </w:rPr>
        <w:t>）</w:t>
      </w:r>
      <w:r>
        <w:rPr>
          <w:spacing w:val="-1"/>
          <w:sz w:val="28"/>
        </w:rPr>
        <w:t>，在采购过程中</w:t>
      </w:r>
      <w:r>
        <w:rPr>
          <w:spacing w:val="-3"/>
          <w:sz w:val="28"/>
        </w:rPr>
        <w:t>符合要求的供应商</w:t>
      </w:r>
      <w:r>
        <w:rPr>
          <w:spacing w:val="-1"/>
          <w:sz w:val="28"/>
        </w:rPr>
        <w:t>（</w:t>
      </w:r>
      <w:r>
        <w:rPr>
          <w:spacing w:val="-2"/>
          <w:sz w:val="28"/>
        </w:rPr>
        <w:t>社会资本</w:t>
      </w:r>
      <w:r>
        <w:rPr>
          <w:spacing w:val="-3"/>
          <w:sz w:val="28"/>
        </w:rPr>
        <w:t>）</w:t>
      </w:r>
      <w:r>
        <w:rPr>
          <w:sz w:val="28"/>
        </w:rPr>
        <w:t>只有2</w:t>
      </w:r>
      <w:r>
        <w:rPr>
          <w:spacing w:val="-3"/>
          <w:sz w:val="28"/>
        </w:rPr>
        <w:t>家的，磋商采购活动可以继续进行。磋商小组应当要求实质性响应的</w:t>
      </w:r>
      <w:r>
        <w:rPr>
          <w:sz w:val="28"/>
        </w:rPr>
        <w:t>2</w:t>
      </w:r>
      <w:r>
        <w:rPr>
          <w:spacing w:val="-2"/>
          <w:sz w:val="28"/>
        </w:rPr>
        <w:t>家供应商</w:t>
      </w:r>
      <w:r>
        <w:rPr>
          <w:spacing w:val="-3"/>
          <w:sz w:val="28"/>
        </w:rPr>
        <w:t>（</w:t>
      </w:r>
      <w:r>
        <w:rPr>
          <w:spacing w:val="-1"/>
          <w:sz w:val="28"/>
        </w:rPr>
        <w:t>社会资本</w:t>
      </w:r>
      <w:r>
        <w:rPr>
          <w:sz w:val="28"/>
        </w:rPr>
        <w:t>）</w:t>
      </w:r>
      <w:r>
        <w:rPr>
          <w:spacing w:val="-3"/>
          <w:sz w:val="28"/>
        </w:rPr>
        <w:t>在规定时间内提交最后</w:t>
      </w:r>
      <w:r>
        <w:rPr>
          <w:spacing w:val="-2"/>
          <w:sz w:val="28"/>
        </w:rPr>
        <w:t>报价。</w:t>
      </w:r>
    </w:p>
    <w:p>
      <w:pPr>
        <w:pStyle w:val="2"/>
        <w:spacing w:before="3" w:line="242" w:lineRule="auto"/>
        <w:ind w:left="440" w:right="488" w:firstLine="480"/>
      </w:pPr>
      <w:r>
        <w:t>已提交响应文件的供应商，在提交最后报价之前，可以根据磋商情况退出磋商。采购人、采购代理机构应当退还退出磋商的供应商的磋商保证金。</w:t>
      </w:r>
    </w:p>
    <w:p>
      <w:pPr>
        <w:spacing w:after="0" w:line="240" w:lineRule="auto"/>
        <w:jc w:val="left"/>
        <w:rPr>
          <w:sz w:val="28"/>
        </w:rPr>
        <w:sectPr>
          <w:pgSz w:w="11850" w:h="16790"/>
          <w:pgMar w:top="1360" w:right="840" w:bottom="1440" w:left="1120" w:header="0" w:footer="1179" w:gutter="0"/>
          <w:pgBorders>
            <w:top w:val="none" w:sz="0" w:space="0"/>
            <w:left w:val="none" w:sz="0" w:space="0"/>
            <w:bottom w:val="none" w:sz="0" w:space="0"/>
            <w:right w:val="none" w:sz="0" w:space="0"/>
          </w:pgBorders>
          <w:pgNumType w:fmt="decimal"/>
          <w:cols w:space="720" w:num="1"/>
        </w:sectPr>
      </w:pPr>
      <w:bookmarkStart w:id="48" w:name="20. 综合评分"/>
      <w:bookmarkEnd w:id="48"/>
      <w:bookmarkStart w:id="49" w:name="_bookmark26"/>
      <w:bookmarkEnd w:id="49"/>
    </w:p>
    <w:p>
      <w:pPr>
        <w:pStyle w:val="20"/>
        <w:numPr>
          <w:ilvl w:val="0"/>
          <w:numId w:val="7"/>
        </w:numPr>
        <w:tabs>
          <w:tab w:val="left" w:pos="784"/>
        </w:tabs>
        <w:spacing w:before="2" w:after="0" w:line="240" w:lineRule="auto"/>
        <w:ind w:left="783" w:right="0" w:hanging="565"/>
        <w:jc w:val="left"/>
        <w:rPr>
          <w:b/>
          <w:sz w:val="28"/>
        </w:rPr>
      </w:pPr>
      <w:r>
        <w:rPr>
          <w:b/>
          <w:sz w:val="28"/>
        </w:rPr>
        <w:t>综合评分</w:t>
      </w:r>
    </w:p>
    <w:p>
      <w:pPr>
        <w:pStyle w:val="2"/>
        <w:spacing w:before="33" w:line="242" w:lineRule="auto"/>
        <w:ind w:right="426" w:firstLine="561"/>
        <w:jc w:val="both"/>
      </w:pPr>
      <w:r>
        <w:t>依照《中华人民共和国政府采购法》、《中华人民共和国政府采购法实施条例》、《政府采购竞争性磋商采购方式管理暂行办法》等法律法规的规定，结合该项目的特点制定本</w:t>
      </w:r>
      <w:r>
        <w:rPr>
          <w:u w:val="single"/>
        </w:rPr>
        <w:t>综合评分法（满分100分）</w:t>
      </w:r>
      <w:r>
        <w:t>。</w:t>
      </w:r>
    </w:p>
    <w:p>
      <w:pPr>
        <w:pStyle w:val="20"/>
        <w:numPr>
          <w:ilvl w:val="1"/>
          <w:numId w:val="7"/>
        </w:numPr>
        <w:tabs>
          <w:tab w:val="left" w:pos="1343"/>
        </w:tabs>
        <w:spacing w:before="3" w:after="0" w:line="242" w:lineRule="auto"/>
        <w:ind w:left="219" w:right="426" w:firstLine="561"/>
        <w:jc w:val="left"/>
        <w:rPr>
          <w:sz w:val="28"/>
        </w:rPr>
      </w:pPr>
      <w:r>
        <w:rPr>
          <w:spacing w:val="-3"/>
          <w:sz w:val="28"/>
        </w:rPr>
        <w:t>评审过程中，在同等条件下，优先采购具有环境标志、节能、自主创新的产品。</w:t>
      </w:r>
      <w:r>
        <w:rPr>
          <w:spacing w:val="-1"/>
          <w:sz w:val="28"/>
        </w:rPr>
        <w:t>（</w:t>
      </w:r>
      <w:r>
        <w:rPr>
          <w:spacing w:val="-3"/>
          <w:sz w:val="28"/>
        </w:rPr>
        <w:t>注：环境标志产品是指由财政部、国家环境保护总局颁布的“环境标志产品政府采购清单”中的有效期内的产品；节能产品是指由财政部、国家发展改革委颁布的“节能产品政府采购清单”中的有效期内的产 品。</w:t>
      </w:r>
      <w:r>
        <w:rPr>
          <w:sz w:val="28"/>
        </w:rPr>
        <w:t>）</w:t>
      </w:r>
    </w:p>
    <w:p>
      <w:pPr>
        <w:pStyle w:val="2"/>
        <w:spacing w:before="2" w:line="242" w:lineRule="auto"/>
        <w:ind w:right="287" w:firstLine="561"/>
      </w:pPr>
      <w:r>
        <w:t>根据《政府采购促进中小企业发展暂行办法》，属小型、微型企业制造的货物（产品），供应商须提供该制造（生产）企业出具的《小型、微型企业声明函》、《从业人员声明函》，其划型标准严格按照国家工信部、国家统计局、国家发改委、财政部出台的《中小企业划型标准规定》（工信部联企业[2011]300号）执行。供应商提供的《小型、微型企业声明函》、《从业人员声明函》资料必须真实，否则，按照有关规定予以处理。</w:t>
      </w:r>
    </w:p>
    <w:p>
      <w:pPr>
        <w:pStyle w:val="2"/>
        <w:spacing w:before="6" w:line="242" w:lineRule="auto"/>
        <w:ind w:right="287" w:firstLine="561"/>
      </w:pPr>
      <w:r>
        <w:t>根据财政部、民政部、中国残疾人联合会出台的《关于促进残疾人就业政府采购政策的通知》（财库[2017]141号），属残疾人福利性单位的，供应商须提供《残疾人福利性单位声明函》，并由供应商加盖公章，残疾人福利性单位视同小型、微型企业，享受预留份额、评标中价格扣除等促进中小企业发展的政府采购政策。向残疾人福利性单位采购的金额，计入面向中小企业采购的统计数据。供应商提供的《残疾人福利性单位声明函》资料必须真实，否则，按照有关规定予以处理。</w:t>
      </w:r>
    </w:p>
    <w:p>
      <w:pPr>
        <w:pStyle w:val="2"/>
        <w:spacing w:before="5" w:line="242" w:lineRule="auto"/>
        <w:ind w:right="426" w:firstLine="561"/>
        <w:jc w:val="both"/>
      </w:pPr>
      <w:r>
        <w:t>提供相同品牌产品且通过响应文件的有效性、完整性和响应程度审查的不同供应商参加同一合同项下投标的，按一家供应商计算，评审后得分最高的同品牌供应商获得成交人推荐资格；评审得分相同的，由采购人或者采购人委托磋商小组按照</w:t>
      </w:r>
      <w:r>
        <w:rPr>
          <w:u w:val="thick"/>
        </w:rPr>
        <w:t>磋商文件21.1方式</w:t>
      </w:r>
      <w:r>
        <w:t>确定一个供应商获得成交人推荐资格</w:t>
      </w:r>
    </w:p>
    <w:p>
      <w:pPr>
        <w:pStyle w:val="2"/>
        <w:spacing w:before="2" w:line="242" w:lineRule="auto"/>
        <w:ind w:right="428"/>
        <w:jc w:val="both"/>
      </w:pPr>
      <w:r>
        <w:t>（磋商文件未规定的采取随机抽取方式确定），其他同品牌供应商不作为成交候选人。非单一产品采购项目，采购人应当根据采购项目技术构成、产品价格比重等合理确定核心产品，并在磋商文件中载明。多家供应商提供的核心产品品牌相同的，按前两款规定处理。</w:t>
      </w:r>
    </w:p>
    <w:p>
      <w:pPr>
        <w:pStyle w:val="2"/>
        <w:spacing w:before="3" w:line="242" w:lineRule="auto"/>
        <w:ind w:right="428" w:firstLine="561"/>
      </w:pPr>
      <w:r>
        <w:rPr>
          <w:spacing w:val="-3"/>
        </w:rPr>
        <w:t>磋商小组认为供应商的报价明显低于其他通过符合性审查供应商的报 价，有可能影响产品质量或者不能诚信履约的，应当要求其在磋商现场合理的时间内提供书面说明，必要时提交相关证明材料；供应商不能证明其报价合理性的，磋商小组应当将其作为无效响应处理。</w:t>
      </w:r>
    </w:p>
    <w:p>
      <w:pPr>
        <w:pStyle w:val="20"/>
        <w:numPr>
          <w:ilvl w:val="1"/>
          <w:numId w:val="7"/>
        </w:numPr>
        <w:tabs>
          <w:tab w:val="left" w:pos="1343"/>
        </w:tabs>
        <w:spacing w:before="5" w:after="0" w:line="242" w:lineRule="auto"/>
        <w:ind w:left="219" w:right="426" w:firstLine="561"/>
        <w:jc w:val="both"/>
        <w:rPr>
          <w:sz w:val="28"/>
        </w:rPr>
      </w:pPr>
      <w:r>
        <w:rPr>
          <w:spacing w:val="-3"/>
          <w:sz w:val="28"/>
        </w:rPr>
        <w:t>经磋商确定最终采购需求和提交最后报价的供应商后，由磋商小组采用综合评分法对提交最后报价的供应商的响应文件和最后报价进行</w:t>
      </w:r>
      <w:r>
        <w:rPr>
          <w:spacing w:val="-2"/>
          <w:sz w:val="28"/>
          <w:u w:val="single"/>
        </w:rPr>
        <w:t>综合评分</w:t>
      </w:r>
      <w:r>
        <w:rPr>
          <w:spacing w:val="-2"/>
          <w:sz w:val="28"/>
        </w:rPr>
        <w:t>。</w:t>
      </w:r>
    </w:p>
    <w:p>
      <w:pPr>
        <w:pStyle w:val="20"/>
        <w:numPr>
          <w:ilvl w:val="1"/>
          <w:numId w:val="7"/>
        </w:numPr>
        <w:tabs>
          <w:tab w:val="left" w:pos="1343"/>
        </w:tabs>
        <w:spacing w:before="0" w:after="0" w:line="244" w:lineRule="auto"/>
        <w:ind w:left="219" w:right="426" w:firstLine="561"/>
        <w:jc w:val="left"/>
        <w:rPr>
          <w:sz w:val="28"/>
        </w:rPr>
      </w:pPr>
      <w:r>
        <w:rPr>
          <w:spacing w:val="-3"/>
          <w:sz w:val="28"/>
        </w:rPr>
        <w:t>综合评分法，是指响应文件满足磋商文件全部实质性要求且按评审</w:t>
      </w:r>
    </w:p>
    <w:p>
      <w:pPr>
        <w:spacing w:after="0" w:line="244" w:lineRule="auto"/>
        <w:jc w:val="left"/>
        <w:rPr>
          <w:sz w:val="28"/>
        </w:rPr>
        <w:sectPr>
          <w:pgSz w:w="11850" w:h="16790"/>
          <w:pgMar w:top="1360" w:right="840" w:bottom="1440" w:left="1120" w:header="0" w:footer="1179" w:gutter="0"/>
          <w:pgBorders>
            <w:top w:val="none" w:sz="0" w:space="0"/>
            <w:left w:val="none" w:sz="0" w:space="0"/>
            <w:bottom w:val="none" w:sz="0" w:space="0"/>
            <w:right w:val="none" w:sz="0" w:space="0"/>
          </w:pgBorders>
          <w:pgNumType w:fmt="decimal"/>
          <w:cols w:space="720" w:num="1"/>
        </w:sectPr>
      </w:pPr>
    </w:p>
    <w:p>
      <w:pPr>
        <w:pStyle w:val="20"/>
        <w:numPr>
          <w:ilvl w:val="1"/>
          <w:numId w:val="7"/>
        </w:numPr>
        <w:tabs>
          <w:tab w:val="left" w:pos="1343"/>
        </w:tabs>
        <w:spacing w:before="0" w:after="0" w:line="244" w:lineRule="auto"/>
        <w:ind w:left="219" w:right="426" w:firstLine="561"/>
        <w:jc w:val="left"/>
        <w:rPr>
          <w:sz w:val="28"/>
        </w:rPr>
      </w:pPr>
      <w:r>
        <w:rPr>
          <w:spacing w:val="-3"/>
          <w:sz w:val="28"/>
        </w:rPr>
        <w:t>因素的量化指标评审得分最高的供应商为成交候选供应商的评审方法。</w:t>
      </w:r>
    </w:p>
    <w:p>
      <w:pPr>
        <w:pStyle w:val="20"/>
        <w:numPr>
          <w:ilvl w:val="0"/>
          <w:numId w:val="12"/>
        </w:numPr>
        <w:tabs>
          <w:tab w:val="left" w:pos="1483"/>
        </w:tabs>
        <w:spacing w:before="0" w:after="0" w:line="244" w:lineRule="auto"/>
        <w:ind w:left="219" w:right="565" w:firstLine="561"/>
        <w:jc w:val="left"/>
        <w:rPr>
          <w:spacing w:val="-3"/>
          <w:sz w:val="28"/>
        </w:rPr>
      </w:pPr>
      <w:r>
        <w:rPr>
          <w:spacing w:val="-3"/>
          <w:sz w:val="28"/>
        </w:rPr>
        <w:t>综合评分法评审标准中的分值设置应当与评审因素的量化指标相对应。磋商文件中没有规定的评审标准不得作为评审依据。</w:t>
      </w:r>
    </w:p>
    <w:p>
      <w:pPr>
        <w:pStyle w:val="20"/>
        <w:numPr>
          <w:ilvl w:val="0"/>
          <w:numId w:val="12"/>
        </w:numPr>
        <w:tabs>
          <w:tab w:val="left" w:pos="1483"/>
        </w:tabs>
        <w:spacing w:before="0" w:after="0" w:line="244" w:lineRule="auto"/>
        <w:ind w:left="219" w:right="565" w:firstLine="561"/>
        <w:jc w:val="left"/>
        <w:rPr>
          <w:sz w:val="28"/>
        </w:rPr>
      </w:pPr>
      <w:r>
        <w:rPr>
          <w:spacing w:val="-3"/>
          <w:sz w:val="28"/>
        </w:rPr>
        <w:t>评审时，磋商小组各成员应当独立对每个有效响应的文件进行评价、打分，然后汇总每个供应商每项评分因素的得分。</w:t>
      </w:r>
    </w:p>
    <w:p>
      <w:pPr>
        <w:pStyle w:val="20"/>
        <w:numPr>
          <w:ilvl w:val="0"/>
          <w:numId w:val="12"/>
        </w:numPr>
        <w:tabs>
          <w:tab w:val="left" w:pos="1483"/>
        </w:tabs>
        <w:spacing w:before="0" w:after="0" w:line="242" w:lineRule="auto"/>
        <w:ind w:left="219" w:right="287" w:firstLine="561"/>
        <w:jc w:val="left"/>
        <w:rPr>
          <w:sz w:val="28"/>
        </w:rPr>
      </w:pPr>
      <w:r>
        <w:rPr>
          <w:spacing w:val="-3"/>
          <w:sz w:val="28"/>
        </w:rPr>
        <w:t>综合评分法货物项目的价格分值占总分值的比重(即权值)为</w:t>
      </w:r>
      <w:r>
        <w:rPr>
          <w:sz w:val="28"/>
        </w:rPr>
        <w:t>30%至</w:t>
      </w:r>
      <w:r>
        <w:rPr>
          <w:spacing w:val="-1"/>
          <w:sz w:val="28"/>
        </w:rPr>
        <w:t>60</w:t>
      </w:r>
      <w:r>
        <w:rPr>
          <w:spacing w:val="-3"/>
          <w:sz w:val="28"/>
        </w:rPr>
        <w:t>%，服务项目的价格分值占总分值的比重(即权值)为</w:t>
      </w:r>
      <w:r>
        <w:rPr>
          <w:sz w:val="28"/>
        </w:rPr>
        <w:t>10%至30</w:t>
      </w:r>
      <w:r>
        <w:rPr>
          <w:spacing w:val="-2"/>
          <w:sz w:val="28"/>
        </w:rPr>
        <w:t>%。采购项目中</w:t>
      </w:r>
      <w:r>
        <w:rPr>
          <w:spacing w:val="-3"/>
          <w:sz w:val="28"/>
        </w:rPr>
        <w:t>含不同采购对象的，以占项目资金比例最高的采购对象确定其项目属性。因艺术品采购、专利、专有技术或者服务的时间、数量事先不能确定等原因不能事先计算出价格总额的和执行统一价格标准的项目、采用固定价格采购的项目其价格不列为评分因素。有特殊情况需要在上述规定范围外设定价格分权重的，应当经本级人民政府财政部门审核同意。</w:t>
      </w:r>
    </w:p>
    <w:p>
      <w:pPr>
        <w:pStyle w:val="20"/>
        <w:numPr>
          <w:ilvl w:val="0"/>
          <w:numId w:val="12"/>
        </w:numPr>
        <w:tabs>
          <w:tab w:val="left" w:pos="1483"/>
        </w:tabs>
        <w:spacing w:before="1" w:after="0" w:line="242" w:lineRule="auto"/>
        <w:ind w:left="219" w:right="287" w:firstLine="561"/>
        <w:jc w:val="left"/>
        <w:rPr>
          <w:sz w:val="28"/>
        </w:rPr>
      </w:pPr>
      <w:r>
        <w:rPr>
          <w:spacing w:val="-3"/>
          <w:sz w:val="28"/>
        </w:rPr>
        <w:t>综合评分法中的价格分统一采用低价优先法计算，即满足磋商文件要求且最后报价最低的供应商的价格为磋商基准价，其价格分为满分。其他供应商的价格分统一按照下列公式计算:</w:t>
      </w:r>
    </w:p>
    <w:p>
      <w:pPr>
        <w:pStyle w:val="2"/>
        <w:spacing w:before="2" w:line="242" w:lineRule="auto"/>
        <w:ind w:left="780" w:right="1266"/>
      </w:pPr>
      <w:r>
        <w:rPr>
          <w:spacing w:val="-3"/>
        </w:rPr>
        <w:t>磋商报价得分=(磋商基准价</w:t>
      </w:r>
      <w:r>
        <w:t>/</w:t>
      </w:r>
      <w:r>
        <w:rPr>
          <w:spacing w:val="-3"/>
        </w:rPr>
        <w:t>最后磋商报价)×价格权值×</w:t>
      </w:r>
      <w:r>
        <w:t xml:space="preserve">100  </w:t>
      </w:r>
      <w:r>
        <w:rPr>
          <w:spacing w:val="-3"/>
        </w:rPr>
        <w:t>项目评审过程中，不得去掉最后报价中的最高报价和最低报价。</w:t>
      </w:r>
    </w:p>
    <w:p>
      <w:pPr>
        <w:pStyle w:val="2"/>
        <w:spacing w:before="3" w:line="242" w:lineRule="auto"/>
        <w:ind w:right="426" w:firstLine="561"/>
      </w:pPr>
      <w:r>
        <w:rPr>
          <w:spacing w:val="-3"/>
        </w:rPr>
        <w:t>评审因素应当细化和量化，且与相应的采购需求对应。采购需求指标有区间规定的，评审因素应当量化到相应区间，并设置各区间对应的不同分 值。</w:t>
      </w:r>
    </w:p>
    <w:p>
      <w:pPr>
        <w:pStyle w:val="2"/>
        <w:spacing w:before="120" w:after="4"/>
        <w:rPr>
          <w:vertAlign w:val="baseline"/>
        </w:rPr>
      </w:pPr>
      <w:r>
        <w:t>评审标准及评分细则表：</w:t>
      </w:r>
    </w:p>
    <w:tbl>
      <w:tblPr>
        <w:tblStyle w:val="17"/>
        <w:tblW w:w="50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978"/>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5" w:type="pct"/>
            <w:vAlign w:val="top"/>
          </w:tcPr>
          <w:p>
            <w:pPr>
              <w:pStyle w:val="21"/>
              <w:keepNext w:val="0"/>
              <w:keepLines w:val="0"/>
              <w:pageBreakBefore w:val="0"/>
              <w:widowControl w:val="0"/>
              <w:kinsoku/>
              <w:wordWrap/>
              <w:overflowPunct/>
              <w:topLinePunct w:val="0"/>
              <w:autoSpaceDE w:val="0"/>
              <w:autoSpaceDN w:val="0"/>
              <w:bidi w:val="0"/>
              <w:adjustRightInd/>
              <w:snapToGrid/>
              <w:spacing w:before="2" w:line="240" w:lineRule="auto"/>
              <w:ind w:right="88" w:rightChars="0"/>
              <w:jc w:val="center"/>
              <w:textAlignment w:val="auto"/>
              <w:rPr>
                <w:vertAlign w:val="baseline"/>
              </w:rPr>
            </w:pPr>
            <w:r>
              <w:rPr>
                <w:sz w:val="28"/>
              </w:rPr>
              <w:t>序号</w:t>
            </w:r>
          </w:p>
        </w:tc>
        <w:tc>
          <w:tcPr>
            <w:tcW w:w="479" w:type="pct"/>
            <w:vAlign w:val="top"/>
          </w:tcPr>
          <w:p>
            <w:pPr>
              <w:pStyle w:val="21"/>
              <w:keepNext w:val="0"/>
              <w:keepLines w:val="0"/>
              <w:pageBreakBefore w:val="0"/>
              <w:widowControl w:val="0"/>
              <w:kinsoku/>
              <w:wordWrap/>
              <w:overflowPunct/>
              <w:topLinePunct w:val="0"/>
              <w:autoSpaceDE w:val="0"/>
              <w:autoSpaceDN w:val="0"/>
              <w:bidi w:val="0"/>
              <w:adjustRightInd/>
              <w:snapToGrid/>
              <w:spacing w:before="2" w:line="240" w:lineRule="auto"/>
              <w:jc w:val="center"/>
              <w:textAlignment w:val="auto"/>
              <w:rPr>
                <w:vertAlign w:val="baseline"/>
              </w:rPr>
            </w:pPr>
            <w:r>
              <w:rPr>
                <w:spacing w:val="-1"/>
                <w:sz w:val="28"/>
              </w:rPr>
              <w:t>评审因素</w:t>
            </w:r>
          </w:p>
        </w:tc>
        <w:tc>
          <w:tcPr>
            <w:tcW w:w="4184" w:type="pct"/>
            <w:vAlign w:val="top"/>
          </w:tcPr>
          <w:p>
            <w:pPr>
              <w:pStyle w:val="21"/>
              <w:keepNext w:val="0"/>
              <w:keepLines w:val="0"/>
              <w:pageBreakBefore w:val="0"/>
              <w:widowControl w:val="0"/>
              <w:kinsoku/>
              <w:wordWrap/>
              <w:overflowPunct/>
              <w:topLinePunct w:val="0"/>
              <w:autoSpaceDE w:val="0"/>
              <w:autoSpaceDN w:val="0"/>
              <w:bidi w:val="0"/>
              <w:adjustRightInd/>
              <w:snapToGrid/>
              <w:spacing w:line="240" w:lineRule="auto"/>
              <w:ind w:right="2988" w:rightChars="0"/>
              <w:jc w:val="center"/>
              <w:textAlignment w:val="auto"/>
              <w:rPr>
                <w:vertAlign w:val="baseline"/>
              </w:rPr>
            </w:pPr>
            <w:r>
              <w:rPr>
                <w:sz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5" w:type="pct"/>
            <w:vAlign w:val="top"/>
          </w:tcPr>
          <w:p>
            <w:pPr>
              <w:pStyle w:val="21"/>
              <w:keepNext w:val="0"/>
              <w:keepLines w:val="0"/>
              <w:pageBreakBefore w:val="0"/>
              <w:widowControl w:val="0"/>
              <w:kinsoku/>
              <w:wordWrap/>
              <w:overflowPunct/>
              <w:topLinePunct w:val="0"/>
              <w:autoSpaceDE w:val="0"/>
              <w:autoSpaceDN w:val="0"/>
              <w:bidi w:val="0"/>
              <w:adjustRightInd/>
              <w:snapToGrid/>
              <w:spacing w:before="2" w:line="240" w:lineRule="auto"/>
              <w:ind w:left="9" w:leftChars="0" w:right="0" w:rightChars="0"/>
              <w:jc w:val="center"/>
              <w:textAlignment w:val="auto"/>
              <w:rPr>
                <w:w w:val="100"/>
                <w:sz w:val="28"/>
              </w:rPr>
            </w:pPr>
          </w:p>
          <w:p>
            <w:pPr>
              <w:pStyle w:val="21"/>
              <w:keepNext w:val="0"/>
              <w:keepLines w:val="0"/>
              <w:pageBreakBefore w:val="0"/>
              <w:widowControl w:val="0"/>
              <w:kinsoku/>
              <w:wordWrap/>
              <w:overflowPunct/>
              <w:topLinePunct w:val="0"/>
              <w:autoSpaceDE w:val="0"/>
              <w:autoSpaceDN w:val="0"/>
              <w:bidi w:val="0"/>
              <w:adjustRightInd/>
              <w:snapToGrid/>
              <w:spacing w:before="2" w:line="240" w:lineRule="auto"/>
              <w:ind w:left="9" w:leftChars="0" w:right="0" w:rightChars="0"/>
              <w:jc w:val="center"/>
              <w:textAlignment w:val="auto"/>
              <w:rPr>
                <w:w w:val="100"/>
                <w:sz w:val="28"/>
              </w:rPr>
            </w:pPr>
          </w:p>
          <w:p>
            <w:pPr>
              <w:pStyle w:val="21"/>
              <w:keepNext w:val="0"/>
              <w:keepLines w:val="0"/>
              <w:pageBreakBefore w:val="0"/>
              <w:widowControl w:val="0"/>
              <w:kinsoku/>
              <w:wordWrap/>
              <w:overflowPunct/>
              <w:topLinePunct w:val="0"/>
              <w:autoSpaceDE w:val="0"/>
              <w:autoSpaceDN w:val="0"/>
              <w:bidi w:val="0"/>
              <w:adjustRightInd/>
              <w:snapToGrid/>
              <w:spacing w:before="2" w:line="240" w:lineRule="auto"/>
              <w:ind w:left="9" w:leftChars="0" w:right="0" w:rightChars="0"/>
              <w:jc w:val="center"/>
              <w:textAlignment w:val="auto"/>
              <w:rPr>
                <w:w w:val="100"/>
                <w:sz w:val="28"/>
              </w:rPr>
            </w:pPr>
          </w:p>
          <w:p>
            <w:pPr>
              <w:pStyle w:val="21"/>
              <w:keepNext w:val="0"/>
              <w:keepLines w:val="0"/>
              <w:pageBreakBefore w:val="0"/>
              <w:widowControl w:val="0"/>
              <w:kinsoku/>
              <w:wordWrap/>
              <w:overflowPunct/>
              <w:topLinePunct w:val="0"/>
              <w:autoSpaceDE w:val="0"/>
              <w:autoSpaceDN w:val="0"/>
              <w:bidi w:val="0"/>
              <w:adjustRightInd/>
              <w:snapToGrid/>
              <w:spacing w:before="2" w:line="240" w:lineRule="auto"/>
              <w:ind w:left="9" w:leftChars="0" w:right="0" w:rightChars="0"/>
              <w:jc w:val="center"/>
              <w:textAlignment w:val="auto"/>
              <w:rPr>
                <w:w w:val="100"/>
                <w:sz w:val="28"/>
              </w:rPr>
            </w:pPr>
          </w:p>
          <w:p>
            <w:pPr>
              <w:pStyle w:val="21"/>
              <w:keepNext w:val="0"/>
              <w:keepLines w:val="0"/>
              <w:pageBreakBefore w:val="0"/>
              <w:widowControl w:val="0"/>
              <w:kinsoku/>
              <w:wordWrap/>
              <w:overflowPunct/>
              <w:topLinePunct w:val="0"/>
              <w:autoSpaceDE w:val="0"/>
              <w:autoSpaceDN w:val="0"/>
              <w:bidi w:val="0"/>
              <w:adjustRightInd/>
              <w:snapToGrid/>
              <w:spacing w:before="2" w:line="240" w:lineRule="auto"/>
              <w:ind w:left="9" w:leftChars="0" w:right="0" w:rightChars="0"/>
              <w:jc w:val="center"/>
              <w:textAlignment w:val="auto"/>
              <w:rPr>
                <w:w w:val="100"/>
                <w:sz w:val="28"/>
              </w:rPr>
            </w:pPr>
          </w:p>
          <w:p>
            <w:pPr>
              <w:pStyle w:val="21"/>
              <w:keepNext w:val="0"/>
              <w:keepLines w:val="0"/>
              <w:pageBreakBefore w:val="0"/>
              <w:widowControl w:val="0"/>
              <w:kinsoku/>
              <w:wordWrap/>
              <w:overflowPunct/>
              <w:topLinePunct w:val="0"/>
              <w:autoSpaceDE w:val="0"/>
              <w:autoSpaceDN w:val="0"/>
              <w:bidi w:val="0"/>
              <w:adjustRightInd/>
              <w:snapToGrid/>
              <w:spacing w:before="2" w:line="240" w:lineRule="auto"/>
              <w:ind w:left="9" w:leftChars="0" w:right="0" w:rightChars="0"/>
              <w:jc w:val="center"/>
              <w:textAlignment w:val="auto"/>
              <w:rPr>
                <w:vertAlign w:val="baseline"/>
              </w:rPr>
            </w:pPr>
            <w:r>
              <w:rPr>
                <w:w w:val="100"/>
                <w:sz w:val="28"/>
              </w:rPr>
              <w:t>1</w:t>
            </w:r>
          </w:p>
        </w:tc>
        <w:tc>
          <w:tcPr>
            <w:tcW w:w="479" w:type="pct"/>
            <w:vAlign w:val="top"/>
          </w:tcPr>
          <w:p>
            <w:pPr>
              <w:pStyle w:val="21"/>
              <w:keepNext w:val="0"/>
              <w:keepLines w:val="0"/>
              <w:pageBreakBefore w:val="0"/>
              <w:widowControl w:val="0"/>
              <w:kinsoku/>
              <w:wordWrap/>
              <w:overflowPunct/>
              <w:topLinePunct w:val="0"/>
              <w:autoSpaceDE w:val="0"/>
              <w:autoSpaceDN w:val="0"/>
              <w:bidi w:val="0"/>
              <w:adjustRightInd/>
              <w:snapToGrid/>
              <w:spacing w:before="3" w:line="240" w:lineRule="auto"/>
              <w:ind w:right="123"/>
              <w:jc w:val="right"/>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3" w:line="240" w:lineRule="auto"/>
              <w:ind w:right="123"/>
              <w:jc w:val="right"/>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3" w:line="240" w:lineRule="auto"/>
              <w:ind w:right="123"/>
              <w:jc w:val="right"/>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3" w:line="240" w:lineRule="auto"/>
              <w:ind w:right="123"/>
              <w:jc w:val="right"/>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3" w:line="240" w:lineRule="auto"/>
              <w:ind w:right="123"/>
              <w:jc w:val="right"/>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3" w:line="240" w:lineRule="auto"/>
              <w:ind w:right="123"/>
              <w:jc w:val="center"/>
              <w:textAlignment w:val="auto"/>
              <w:rPr>
                <w:sz w:val="28"/>
              </w:rPr>
            </w:pPr>
            <w:r>
              <w:rPr>
                <w:sz w:val="28"/>
              </w:rPr>
              <w:t>投标</w:t>
            </w:r>
          </w:p>
          <w:p>
            <w:pPr>
              <w:pStyle w:val="21"/>
              <w:keepNext w:val="0"/>
              <w:keepLines w:val="0"/>
              <w:pageBreakBefore w:val="0"/>
              <w:widowControl w:val="0"/>
              <w:kinsoku/>
              <w:wordWrap/>
              <w:overflowPunct/>
              <w:topLinePunct w:val="0"/>
              <w:autoSpaceDE w:val="0"/>
              <w:autoSpaceDN w:val="0"/>
              <w:bidi w:val="0"/>
              <w:adjustRightInd/>
              <w:snapToGrid/>
              <w:spacing w:before="3" w:line="240" w:lineRule="auto"/>
              <w:ind w:right="123"/>
              <w:jc w:val="center"/>
              <w:textAlignment w:val="auto"/>
              <w:rPr>
                <w:sz w:val="28"/>
              </w:rPr>
            </w:pPr>
            <w:r>
              <w:rPr>
                <w:sz w:val="28"/>
              </w:rPr>
              <w:t>报价</w:t>
            </w:r>
          </w:p>
          <w:p>
            <w:pPr>
              <w:pStyle w:val="21"/>
              <w:keepNext w:val="0"/>
              <w:keepLines w:val="0"/>
              <w:pageBreakBefore w:val="0"/>
              <w:widowControl w:val="0"/>
              <w:kinsoku/>
              <w:wordWrap/>
              <w:overflowPunct/>
              <w:topLinePunct w:val="0"/>
              <w:autoSpaceDE w:val="0"/>
              <w:autoSpaceDN w:val="0"/>
              <w:bidi w:val="0"/>
              <w:adjustRightInd/>
              <w:snapToGrid/>
              <w:spacing w:before="2" w:line="240" w:lineRule="auto"/>
              <w:ind w:left="0" w:leftChars="0" w:right="123" w:rightChars="0"/>
              <w:jc w:val="center"/>
              <w:textAlignment w:val="auto"/>
              <w:rPr>
                <w:vertAlign w:val="baseline"/>
              </w:rPr>
            </w:pPr>
            <w:r>
              <w:rPr>
                <w:sz w:val="28"/>
              </w:rPr>
              <w:t>30分</w:t>
            </w:r>
          </w:p>
        </w:tc>
        <w:tc>
          <w:tcPr>
            <w:tcW w:w="4184" w:type="pct"/>
            <w:vAlign w:val="top"/>
          </w:tcPr>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6"/>
              <w:textAlignment w:val="auto"/>
              <w:rPr>
                <w:rFonts w:ascii="宋体" w:hAnsi="宋体" w:eastAsia="宋体" w:cs="宋体"/>
                <w:spacing w:val="-3"/>
                <w:sz w:val="28"/>
                <w:szCs w:val="28"/>
                <w:lang w:val="zh-CN" w:eastAsia="zh-CN" w:bidi="zh-CN"/>
              </w:rPr>
            </w:pPr>
            <w:r>
              <w:rPr>
                <w:rFonts w:ascii="宋体" w:hAnsi="宋体" w:eastAsia="宋体" w:cs="宋体"/>
                <w:spacing w:val="-3"/>
                <w:sz w:val="28"/>
                <w:szCs w:val="28"/>
                <w:lang w:val="zh-CN" w:eastAsia="zh-CN" w:bidi="zh-CN"/>
              </w:rPr>
              <w:t>（1）货物项目的价格分值占总分值的比重30%</w:t>
            </w:r>
          </w:p>
          <w:p>
            <w:pPr>
              <w:pStyle w:val="21"/>
              <w:keepNext w:val="0"/>
              <w:keepLines w:val="0"/>
              <w:pageBreakBefore w:val="0"/>
              <w:widowControl w:val="0"/>
              <w:kinsoku/>
              <w:wordWrap/>
              <w:overflowPunct/>
              <w:topLinePunct w:val="0"/>
              <w:autoSpaceDE w:val="0"/>
              <w:autoSpaceDN w:val="0"/>
              <w:bidi w:val="0"/>
              <w:adjustRightInd/>
              <w:snapToGrid/>
              <w:spacing w:before="3" w:line="240" w:lineRule="auto"/>
              <w:ind w:left="106"/>
              <w:textAlignment w:val="auto"/>
              <w:rPr>
                <w:rFonts w:ascii="宋体" w:hAnsi="宋体" w:eastAsia="宋体" w:cs="宋体"/>
                <w:spacing w:val="-3"/>
                <w:sz w:val="28"/>
                <w:szCs w:val="28"/>
                <w:lang w:val="zh-CN" w:eastAsia="zh-CN" w:bidi="zh-CN"/>
              </w:rPr>
            </w:pPr>
            <w:r>
              <w:rPr>
                <w:rFonts w:ascii="宋体" w:hAnsi="宋体" w:eastAsia="宋体" w:cs="宋体"/>
                <w:spacing w:val="-3"/>
                <w:sz w:val="28"/>
                <w:szCs w:val="28"/>
                <w:lang w:val="zh-CN" w:eastAsia="zh-CN" w:bidi="zh-CN"/>
              </w:rPr>
              <w:t>（2）价格分应当采用低价优先法计算，即满足招标文件</w:t>
            </w:r>
          </w:p>
          <w:p>
            <w:pPr>
              <w:pStyle w:val="21"/>
              <w:keepNext w:val="0"/>
              <w:keepLines w:val="0"/>
              <w:pageBreakBefore w:val="0"/>
              <w:widowControl w:val="0"/>
              <w:kinsoku/>
              <w:wordWrap/>
              <w:overflowPunct/>
              <w:topLinePunct w:val="0"/>
              <w:autoSpaceDE w:val="0"/>
              <w:autoSpaceDN w:val="0"/>
              <w:bidi w:val="0"/>
              <w:adjustRightInd/>
              <w:snapToGrid/>
              <w:spacing w:before="2" w:line="240" w:lineRule="auto"/>
              <w:ind w:left="106"/>
              <w:textAlignment w:val="auto"/>
              <w:rPr>
                <w:rFonts w:ascii="宋体" w:hAnsi="宋体" w:eastAsia="宋体" w:cs="宋体"/>
                <w:spacing w:val="-3"/>
                <w:sz w:val="28"/>
                <w:szCs w:val="28"/>
                <w:lang w:val="zh-CN" w:eastAsia="zh-CN" w:bidi="zh-CN"/>
              </w:rPr>
            </w:pPr>
            <w:r>
              <w:rPr>
                <w:rFonts w:ascii="宋体" w:hAnsi="宋体" w:eastAsia="宋体" w:cs="宋体"/>
                <w:spacing w:val="-3"/>
                <w:sz w:val="28"/>
                <w:szCs w:val="28"/>
                <w:lang w:val="zh-CN" w:eastAsia="zh-CN" w:bidi="zh-CN"/>
              </w:rPr>
              <w:t>要求且投标价格最低的投标报价为评标基准价，其价格分为满分。其他投标人的价格分统一按照下列公式计算：投标报价得分=(评标基准价／投标报价)×100×投标报价比重</w:t>
            </w:r>
          </w:p>
          <w:p>
            <w:pPr>
              <w:pStyle w:val="21"/>
              <w:keepNext w:val="0"/>
              <w:keepLines w:val="0"/>
              <w:pageBreakBefore w:val="0"/>
              <w:widowControl w:val="0"/>
              <w:kinsoku/>
              <w:wordWrap/>
              <w:overflowPunct/>
              <w:topLinePunct w:val="0"/>
              <w:autoSpaceDE w:val="0"/>
              <w:autoSpaceDN w:val="0"/>
              <w:bidi w:val="0"/>
              <w:adjustRightInd/>
              <w:snapToGrid/>
              <w:spacing w:before="2" w:line="240" w:lineRule="auto"/>
              <w:ind w:left="106"/>
              <w:textAlignment w:val="auto"/>
              <w:rPr>
                <w:rFonts w:ascii="宋体" w:hAnsi="宋体" w:eastAsia="宋体" w:cs="宋体"/>
                <w:spacing w:val="-3"/>
                <w:sz w:val="28"/>
                <w:szCs w:val="28"/>
                <w:lang w:val="zh-CN" w:eastAsia="zh-CN" w:bidi="zh-CN"/>
              </w:rPr>
            </w:pPr>
            <w:r>
              <w:rPr>
                <w:rFonts w:ascii="宋体" w:hAnsi="宋体" w:eastAsia="宋体" w:cs="宋体"/>
                <w:spacing w:val="-3"/>
                <w:sz w:val="28"/>
                <w:szCs w:val="28"/>
                <w:lang w:val="zh-CN" w:eastAsia="zh-CN" w:bidi="zh-CN"/>
              </w:rPr>
              <w:t>（3）因落实政府采购政策进行价格调整的，以调整后的价格计算评标基准价和投标报价。对小型和微型企业产品的价格给予6%的扣除，用扣除后的价格参与评审。残疾人福利性单位属于小型、微型企业的，不重复享受政策。</w:t>
            </w:r>
          </w:p>
          <w:p>
            <w:pPr>
              <w:pStyle w:val="21"/>
              <w:keepNext w:val="0"/>
              <w:keepLines w:val="0"/>
              <w:pageBreakBefore w:val="0"/>
              <w:widowControl w:val="0"/>
              <w:kinsoku/>
              <w:wordWrap/>
              <w:overflowPunct/>
              <w:topLinePunct w:val="0"/>
              <w:autoSpaceDE w:val="0"/>
              <w:autoSpaceDN w:val="0"/>
              <w:bidi w:val="0"/>
              <w:adjustRightInd/>
              <w:snapToGrid/>
              <w:spacing w:before="3" w:line="240" w:lineRule="auto"/>
              <w:ind w:left="106"/>
              <w:textAlignment w:val="auto"/>
              <w:rPr>
                <w:vertAlign w:val="baseline"/>
              </w:rPr>
            </w:pPr>
            <w:r>
              <w:rPr>
                <w:rFonts w:ascii="宋体" w:hAnsi="宋体" w:eastAsia="宋体" w:cs="宋体"/>
                <w:spacing w:val="-3"/>
                <w:sz w:val="28"/>
                <w:szCs w:val="28"/>
                <w:lang w:val="zh-CN" w:eastAsia="zh-CN" w:bidi="zh-CN"/>
              </w:rPr>
              <w:t>（4）执行国家统一定价标准和采用固定价格采购的项目</w:t>
            </w:r>
            <w:r>
              <w:rPr>
                <w:rFonts w:hint="eastAsia" w:cs="宋体"/>
                <w:spacing w:val="-3"/>
                <w:sz w:val="28"/>
                <w:szCs w:val="28"/>
                <w:lang w:val="zh-CN" w:eastAsia="zh-CN" w:bidi="zh-CN"/>
              </w:rPr>
              <w:t>，</w:t>
            </w:r>
            <w:r>
              <w:rPr>
                <w:rFonts w:ascii="宋体" w:hAnsi="宋体" w:eastAsia="宋体" w:cs="宋体"/>
                <w:spacing w:val="-3"/>
                <w:sz w:val="28"/>
                <w:szCs w:val="28"/>
                <w:lang w:val="zh-CN" w:eastAsia="zh-CN" w:bidi="zh-CN"/>
              </w:rPr>
              <w:t>其价格不列为评审因素。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5" w:type="pct"/>
            <w:vAlign w:val="top"/>
          </w:tcPr>
          <w:p>
            <w:pPr>
              <w:pStyle w:val="21"/>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imes New Roman"/>
                <w:sz w:val="28"/>
                <w:lang w:val="en-US" w:eastAsia="zh-CN"/>
              </w:rPr>
            </w:pPr>
          </w:p>
          <w:p>
            <w:pPr>
              <w:pStyle w:val="21"/>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imes New Roman"/>
                <w:sz w:val="28"/>
                <w:lang w:val="en-US" w:eastAsia="zh-CN"/>
              </w:rPr>
            </w:pPr>
          </w:p>
          <w:p>
            <w:pPr>
              <w:pStyle w:val="21"/>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vertAlign w:val="baseline"/>
              </w:rPr>
            </w:pPr>
            <w:r>
              <w:rPr>
                <w:rFonts w:hint="eastAsia" w:ascii="Times New Roman"/>
                <w:sz w:val="28"/>
                <w:lang w:val="en-US" w:eastAsia="zh-CN"/>
              </w:rPr>
              <w:t>2</w:t>
            </w:r>
          </w:p>
        </w:tc>
        <w:tc>
          <w:tcPr>
            <w:tcW w:w="479" w:type="pct"/>
            <w:vMerge w:val="restart"/>
            <w:vAlign w:val="top"/>
          </w:tcPr>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jc w:val="center"/>
              <w:textAlignment w:val="auto"/>
              <w:rPr>
                <w:sz w:val="28"/>
              </w:rPr>
            </w:pPr>
            <w:r>
              <w:rPr>
                <w:sz w:val="28"/>
              </w:rPr>
              <w:t>技术</w:t>
            </w:r>
          </w:p>
          <w:p>
            <w:pPr>
              <w:pStyle w:val="21"/>
              <w:keepNext w:val="0"/>
              <w:keepLines w:val="0"/>
              <w:pageBreakBefore w:val="0"/>
              <w:widowControl w:val="0"/>
              <w:kinsoku/>
              <w:wordWrap/>
              <w:overflowPunct/>
              <w:topLinePunct w:val="0"/>
              <w:autoSpaceDE w:val="0"/>
              <w:autoSpaceDN w:val="0"/>
              <w:bidi w:val="0"/>
              <w:adjustRightInd/>
              <w:snapToGrid/>
              <w:spacing w:before="1" w:line="240" w:lineRule="auto"/>
              <w:ind w:left="107"/>
              <w:jc w:val="center"/>
              <w:textAlignment w:val="auto"/>
              <w:rPr>
                <w:sz w:val="28"/>
              </w:rPr>
            </w:pPr>
            <w:r>
              <w:rPr>
                <w:sz w:val="28"/>
              </w:rPr>
              <w:t>质量</w:t>
            </w:r>
          </w:p>
          <w:p>
            <w:pPr>
              <w:pStyle w:val="21"/>
              <w:keepNext w:val="0"/>
              <w:keepLines w:val="0"/>
              <w:pageBreakBefore w:val="0"/>
              <w:widowControl w:val="0"/>
              <w:kinsoku/>
              <w:wordWrap/>
              <w:overflowPunct/>
              <w:topLinePunct w:val="0"/>
              <w:autoSpaceDE w:val="0"/>
              <w:autoSpaceDN w:val="0"/>
              <w:bidi w:val="0"/>
              <w:adjustRightInd/>
              <w:snapToGrid/>
              <w:spacing w:line="240" w:lineRule="auto"/>
              <w:ind w:left="107"/>
              <w:jc w:val="center"/>
              <w:textAlignment w:val="auto"/>
              <w:rPr>
                <w:spacing w:val="-1"/>
                <w:sz w:val="28"/>
              </w:rPr>
            </w:pPr>
            <w:r>
              <w:rPr>
                <w:spacing w:val="-1"/>
                <w:sz w:val="28"/>
              </w:rPr>
              <w:t>方面</w:t>
            </w:r>
          </w:p>
          <w:p>
            <w:pPr>
              <w:pStyle w:val="21"/>
              <w:keepNext w:val="0"/>
              <w:keepLines w:val="0"/>
              <w:pageBreakBefore w:val="0"/>
              <w:widowControl w:val="0"/>
              <w:kinsoku/>
              <w:wordWrap/>
              <w:overflowPunct/>
              <w:topLinePunct w:val="0"/>
              <w:autoSpaceDE w:val="0"/>
              <w:autoSpaceDN w:val="0"/>
              <w:bidi w:val="0"/>
              <w:adjustRightInd/>
              <w:snapToGrid/>
              <w:spacing w:line="240" w:lineRule="auto"/>
              <w:ind w:left="107"/>
              <w:jc w:val="center"/>
              <w:textAlignment w:val="auto"/>
              <w:rPr>
                <w:vertAlign w:val="baseline"/>
              </w:rPr>
            </w:pPr>
            <w:r>
              <w:rPr>
                <w:spacing w:val="-1"/>
                <w:sz w:val="28"/>
              </w:rPr>
              <w:t>50</w:t>
            </w:r>
            <w:r>
              <w:rPr>
                <w:sz w:val="28"/>
              </w:rPr>
              <w:t>分</w:t>
            </w:r>
          </w:p>
        </w:tc>
        <w:tc>
          <w:tcPr>
            <w:tcW w:w="4184" w:type="pct"/>
            <w:vAlign w:val="top"/>
          </w:tcPr>
          <w:p>
            <w:pPr>
              <w:pStyle w:val="21"/>
              <w:keepNext w:val="0"/>
              <w:keepLines w:val="0"/>
              <w:pageBreakBefore w:val="0"/>
              <w:widowControl w:val="0"/>
              <w:kinsoku/>
              <w:wordWrap/>
              <w:overflowPunct/>
              <w:topLinePunct w:val="0"/>
              <w:autoSpaceDE w:val="0"/>
              <w:autoSpaceDN w:val="0"/>
              <w:bidi w:val="0"/>
              <w:adjustRightInd/>
              <w:snapToGrid/>
              <w:spacing w:before="3" w:line="240" w:lineRule="auto"/>
              <w:textAlignment w:val="auto"/>
              <w:rPr>
                <w:vertAlign w:val="baseline"/>
              </w:rPr>
            </w:pPr>
            <w:r>
              <w:rPr>
                <w:rFonts w:ascii="宋体" w:hAnsi="宋体" w:eastAsia="宋体" w:cs="宋体"/>
                <w:b/>
                <w:bCs/>
                <w:spacing w:val="-3"/>
                <w:sz w:val="28"/>
                <w:szCs w:val="28"/>
                <w:lang w:val="zh-CN" w:eastAsia="zh-CN" w:bidi="zh-CN"/>
              </w:rPr>
              <w:t>技术参数28分</w:t>
            </w:r>
            <w:r>
              <w:rPr>
                <w:rFonts w:ascii="宋体" w:hAnsi="宋体" w:eastAsia="宋体" w:cs="宋体"/>
                <w:spacing w:val="-3"/>
                <w:sz w:val="28"/>
                <w:szCs w:val="28"/>
                <w:lang w:val="zh-CN" w:eastAsia="zh-CN" w:bidi="zh-CN"/>
              </w:rPr>
              <w:t>：</w:t>
            </w:r>
            <w:r>
              <w:rPr>
                <w:rFonts w:hint="eastAsia" w:ascii="宋体" w:hAnsi="宋体" w:eastAsia="宋体" w:cs="宋体"/>
                <w:spacing w:val="-3"/>
                <w:sz w:val="28"/>
                <w:szCs w:val="28"/>
                <w:lang w:val="zh-CN" w:eastAsia="zh-CN" w:bidi="zh-CN"/>
              </w:rPr>
              <w:t>投标产品技术参数和配置完全满足或高于磋商文件要求的，得</w:t>
            </w:r>
            <w:r>
              <w:rPr>
                <w:rFonts w:hint="eastAsia" w:cs="宋体"/>
                <w:spacing w:val="-3"/>
                <w:sz w:val="28"/>
                <w:szCs w:val="28"/>
                <w:lang w:val="en-US" w:eastAsia="zh-CN" w:bidi="zh-CN"/>
              </w:rPr>
              <w:t>28</w:t>
            </w:r>
            <w:r>
              <w:rPr>
                <w:rFonts w:hint="eastAsia" w:ascii="宋体" w:hAnsi="宋体" w:eastAsia="宋体" w:cs="宋体"/>
                <w:spacing w:val="-3"/>
                <w:sz w:val="28"/>
                <w:szCs w:val="28"/>
                <w:lang w:val="zh-CN" w:eastAsia="zh-CN" w:bidi="zh-CN"/>
              </w:rPr>
              <w:t>分；带星号的为重要参数每有一项负偏离扣</w:t>
            </w:r>
            <w:r>
              <w:rPr>
                <w:rFonts w:hint="eastAsia" w:cs="宋体"/>
                <w:spacing w:val="-3"/>
                <w:sz w:val="28"/>
                <w:szCs w:val="28"/>
                <w:lang w:val="en-US" w:eastAsia="zh-CN" w:bidi="zh-CN"/>
              </w:rPr>
              <w:t>3</w:t>
            </w:r>
            <w:r>
              <w:rPr>
                <w:rFonts w:hint="eastAsia" w:ascii="宋体" w:hAnsi="宋体" w:eastAsia="宋体" w:cs="宋体"/>
                <w:spacing w:val="-3"/>
                <w:sz w:val="28"/>
                <w:szCs w:val="28"/>
                <w:lang w:val="zh-CN" w:eastAsia="zh-CN" w:bidi="zh-CN"/>
              </w:rPr>
              <w:t>分；其他参数每有一项负偏离扣</w:t>
            </w:r>
            <w:r>
              <w:rPr>
                <w:rFonts w:hint="eastAsia" w:cs="宋体"/>
                <w:spacing w:val="-3"/>
                <w:sz w:val="28"/>
                <w:szCs w:val="28"/>
                <w:lang w:val="en-US" w:eastAsia="zh-CN" w:bidi="zh-CN"/>
              </w:rPr>
              <w:t>0.5</w:t>
            </w:r>
            <w:r>
              <w:rPr>
                <w:rFonts w:hint="eastAsia" w:ascii="宋体" w:hAnsi="宋体" w:eastAsia="宋体" w:cs="宋体"/>
                <w:spacing w:val="-3"/>
                <w:sz w:val="28"/>
                <w:szCs w:val="28"/>
                <w:lang w:val="zh-CN" w:eastAsia="zh-CN" w:bidi="zh-CN"/>
              </w:rPr>
              <w:t>分；扣完为止</w:t>
            </w:r>
            <w:r>
              <w:rPr>
                <w:rFonts w:hint="eastAsia" w:cs="宋体"/>
                <w:spacing w:val="-3"/>
                <w:sz w:val="28"/>
                <w:szCs w:val="28"/>
                <w:lang w:val="zh-CN"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5" w:type="pct"/>
            <w:vAlign w:val="top"/>
          </w:tcPr>
          <w:p>
            <w:pPr>
              <w:pStyle w:val="21"/>
              <w:keepNext w:val="0"/>
              <w:keepLines w:val="0"/>
              <w:pageBreakBefore w:val="0"/>
              <w:widowControl w:val="0"/>
              <w:kinsoku/>
              <w:wordWrap/>
              <w:overflowPunct/>
              <w:topLinePunct w:val="0"/>
              <w:autoSpaceDE w:val="0"/>
              <w:autoSpaceDN w:val="0"/>
              <w:bidi w:val="0"/>
              <w:adjustRightInd/>
              <w:snapToGrid/>
              <w:spacing w:before="2" w:line="240" w:lineRule="auto"/>
              <w:ind w:left="9"/>
              <w:jc w:val="center"/>
              <w:textAlignment w:val="auto"/>
              <w:rPr>
                <w:w w:val="100"/>
                <w:sz w:val="28"/>
              </w:rPr>
            </w:pPr>
          </w:p>
          <w:p>
            <w:pPr>
              <w:pStyle w:val="21"/>
              <w:keepNext w:val="0"/>
              <w:keepLines w:val="0"/>
              <w:pageBreakBefore w:val="0"/>
              <w:widowControl w:val="0"/>
              <w:kinsoku/>
              <w:wordWrap/>
              <w:overflowPunct/>
              <w:topLinePunct w:val="0"/>
              <w:autoSpaceDE w:val="0"/>
              <w:autoSpaceDN w:val="0"/>
              <w:bidi w:val="0"/>
              <w:adjustRightInd/>
              <w:snapToGrid/>
              <w:spacing w:before="2" w:line="240" w:lineRule="auto"/>
              <w:jc w:val="both"/>
              <w:textAlignment w:val="auto"/>
              <w:rPr>
                <w:w w:val="100"/>
                <w:sz w:val="28"/>
              </w:rPr>
            </w:pPr>
          </w:p>
          <w:p>
            <w:pPr>
              <w:pStyle w:val="21"/>
              <w:keepNext w:val="0"/>
              <w:keepLines w:val="0"/>
              <w:pageBreakBefore w:val="0"/>
              <w:widowControl w:val="0"/>
              <w:kinsoku/>
              <w:wordWrap/>
              <w:overflowPunct/>
              <w:topLinePunct w:val="0"/>
              <w:autoSpaceDE w:val="0"/>
              <w:autoSpaceDN w:val="0"/>
              <w:bidi w:val="0"/>
              <w:adjustRightInd/>
              <w:snapToGrid/>
              <w:spacing w:before="2" w:line="240" w:lineRule="auto"/>
              <w:ind w:left="9" w:leftChars="0" w:right="0" w:rightChars="0"/>
              <w:jc w:val="center"/>
              <w:textAlignment w:val="auto"/>
              <w:rPr>
                <w:vertAlign w:val="baseline"/>
              </w:rPr>
            </w:pPr>
            <w:r>
              <w:rPr>
                <w:w w:val="100"/>
                <w:sz w:val="28"/>
              </w:rPr>
              <w:t>3</w:t>
            </w:r>
          </w:p>
        </w:tc>
        <w:tc>
          <w:tcPr>
            <w:tcW w:w="479" w:type="pct"/>
            <w:vMerge w:val="continue"/>
            <w:vAlign w:val="top"/>
          </w:tcPr>
          <w:p>
            <w:pPr>
              <w:pStyle w:val="21"/>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textAlignment w:val="auto"/>
              <w:rPr>
                <w:vertAlign w:val="baseline"/>
              </w:rPr>
            </w:pPr>
          </w:p>
        </w:tc>
        <w:tc>
          <w:tcPr>
            <w:tcW w:w="4184" w:type="pct"/>
            <w:vAlign w:val="top"/>
          </w:tcPr>
          <w:p>
            <w:pPr>
              <w:pStyle w:val="21"/>
              <w:keepNext w:val="0"/>
              <w:keepLines w:val="0"/>
              <w:pageBreakBefore w:val="0"/>
              <w:widowControl w:val="0"/>
              <w:kinsoku/>
              <w:wordWrap/>
              <w:overflowPunct/>
              <w:topLinePunct w:val="0"/>
              <w:autoSpaceDE w:val="0"/>
              <w:autoSpaceDN w:val="0"/>
              <w:bidi w:val="0"/>
              <w:adjustRightInd/>
              <w:snapToGrid/>
              <w:spacing w:before="1" w:line="240" w:lineRule="auto"/>
              <w:textAlignment w:val="auto"/>
              <w:rPr>
                <w:vertAlign w:val="baseline"/>
              </w:rPr>
            </w:pPr>
            <w:r>
              <w:rPr>
                <w:b/>
                <w:sz w:val="28"/>
              </w:rPr>
              <w:t>节能环保4分</w:t>
            </w:r>
            <w:r>
              <w:rPr>
                <w:sz w:val="28"/>
              </w:rPr>
              <w:t>：</w:t>
            </w:r>
            <w:r>
              <w:rPr>
                <w:rFonts w:hint="eastAsia"/>
                <w:sz w:val="28"/>
              </w:rPr>
              <w:t>投标产品具有环保认证证书的，得</w:t>
            </w:r>
            <w:r>
              <w:rPr>
                <w:rFonts w:hint="eastAsia"/>
                <w:sz w:val="28"/>
                <w:lang w:val="en-US" w:eastAsia="zh-CN"/>
              </w:rPr>
              <w:t>2</w:t>
            </w:r>
            <w:r>
              <w:rPr>
                <w:rFonts w:hint="eastAsia"/>
                <w:sz w:val="28"/>
              </w:rPr>
              <w:t>分；具有节能认证证书的，得</w:t>
            </w:r>
            <w:r>
              <w:rPr>
                <w:rFonts w:hint="eastAsia"/>
                <w:sz w:val="28"/>
                <w:lang w:val="en-US" w:eastAsia="zh-CN"/>
              </w:rPr>
              <w:t>2</w:t>
            </w:r>
            <w:r>
              <w:rPr>
                <w:rFonts w:hint="eastAsia"/>
                <w:sz w:val="28"/>
              </w:rPr>
              <w:t>分；未提供不得分。（该项得分的认定以提供政府采购环保/节能清单所在页的扫描&lt;或复印&gt;件为准）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5" w:type="pct"/>
            <w:vAlign w:val="top"/>
          </w:tcPr>
          <w:p>
            <w:pPr>
              <w:pStyle w:val="21"/>
              <w:keepNext w:val="0"/>
              <w:keepLines w:val="0"/>
              <w:pageBreakBefore w:val="0"/>
              <w:widowControl w:val="0"/>
              <w:kinsoku/>
              <w:wordWrap/>
              <w:overflowPunct/>
              <w:topLinePunct w:val="0"/>
              <w:autoSpaceDE w:val="0"/>
              <w:autoSpaceDN w:val="0"/>
              <w:bidi w:val="0"/>
              <w:adjustRightInd/>
              <w:snapToGrid/>
              <w:spacing w:before="187" w:line="240" w:lineRule="auto"/>
              <w:ind w:left="9"/>
              <w:jc w:val="center"/>
              <w:textAlignment w:val="auto"/>
              <w:rPr>
                <w:w w:val="100"/>
                <w:sz w:val="28"/>
              </w:rPr>
            </w:pPr>
          </w:p>
          <w:p>
            <w:pPr>
              <w:pStyle w:val="21"/>
              <w:keepNext w:val="0"/>
              <w:keepLines w:val="0"/>
              <w:pageBreakBefore w:val="0"/>
              <w:widowControl w:val="0"/>
              <w:kinsoku/>
              <w:wordWrap/>
              <w:overflowPunct/>
              <w:topLinePunct w:val="0"/>
              <w:autoSpaceDE w:val="0"/>
              <w:autoSpaceDN w:val="0"/>
              <w:bidi w:val="0"/>
              <w:adjustRightInd/>
              <w:snapToGrid/>
              <w:spacing w:before="187" w:line="240" w:lineRule="auto"/>
              <w:ind w:left="9"/>
              <w:jc w:val="center"/>
              <w:textAlignment w:val="auto"/>
              <w:rPr>
                <w:w w:val="100"/>
                <w:sz w:val="28"/>
              </w:rPr>
            </w:pPr>
          </w:p>
          <w:p>
            <w:pPr>
              <w:pStyle w:val="21"/>
              <w:keepNext w:val="0"/>
              <w:keepLines w:val="0"/>
              <w:pageBreakBefore w:val="0"/>
              <w:widowControl w:val="0"/>
              <w:kinsoku/>
              <w:wordWrap/>
              <w:overflowPunct/>
              <w:topLinePunct w:val="0"/>
              <w:autoSpaceDE w:val="0"/>
              <w:autoSpaceDN w:val="0"/>
              <w:bidi w:val="0"/>
              <w:adjustRightInd/>
              <w:snapToGrid/>
              <w:spacing w:before="187" w:line="240" w:lineRule="auto"/>
              <w:ind w:left="9"/>
              <w:jc w:val="center"/>
              <w:textAlignment w:val="auto"/>
              <w:rPr>
                <w:w w:val="100"/>
                <w:sz w:val="28"/>
              </w:rPr>
            </w:pPr>
          </w:p>
          <w:p>
            <w:pPr>
              <w:pStyle w:val="21"/>
              <w:keepNext w:val="0"/>
              <w:keepLines w:val="0"/>
              <w:pageBreakBefore w:val="0"/>
              <w:widowControl w:val="0"/>
              <w:kinsoku/>
              <w:wordWrap/>
              <w:overflowPunct/>
              <w:topLinePunct w:val="0"/>
              <w:autoSpaceDE w:val="0"/>
              <w:autoSpaceDN w:val="0"/>
              <w:bidi w:val="0"/>
              <w:adjustRightInd/>
              <w:snapToGrid/>
              <w:spacing w:before="187" w:line="240" w:lineRule="auto"/>
              <w:ind w:left="9"/>
              <w:jc w:val="center"/>
              <w:textAlignment w:val="auto"/>
              <w:rPr>
                <w:w w:val="100"/>
                <w:sz w:val="28"/>
              </w:rPr>
            </w:pPr>
          </w:p>
          <w:p>
            <w:pPr>
              <w:pStyle w:val="21"/>
              <w:keepNext w:val="0"/>
              <w:keepLines w:val="0"/>
              <w:pageBreakBefore w:val="0"/>
              <w:widowControl w:val="0"/>
              <w:kinsoku/>
              <w:wordWrap/>
              <w:overflowPunct/>
              <w:topLinePunct w:val="0"/>
              <w:autoSpaceDE w:val="0"/>
              <w:autoSpaceDN w:val="0"/>
              <w:bidi w:val="0"/>
              <w:adjustRightInd/>
              <w:snapToGrid/>
              <w:spacing w:before="187" w:line="240" w:lineRule="auto"/>
              <w:ind w:left="9" w:leftChars="0" w:right="0" w:rightChars="0"/>
              <w:jc w:val="center"/>
              <w:textAlignment w:val="auto"/>
              <w:rPr>
                <w:vertAlign w:val="baseline"/>
              </w:rPr>
            </w:pPr>
            <w:r>
              <w:rPr>
                <w:w w:val="100"/>
                <w:sz w:val="28"/>
              </w:rPr>
              <w:t>4</w:t>
            </w:r>
          </w:p>
        </w:tc>
        <w:tc>
          <w:tcPr>
            <w:tcW w:w="479" w:type="pct"/>
            <w:vMerge w:val="continue"/>
            <w:vAlign w:val="top"/>
          </w:tcPr>
          <w:p>
            <w:pPr>
              <w:pStyle w:val="21"/>
              <w:keepNext w:val="0"/>
              <w:keepLines w:val="0"/>
              <w:pageBreakBefore w:val="0"/>
              <w:widowControl w:val="0"/>
              <w:kinsoku/>
              <w:wordWrap/>
              <w:overflowPunct/>
              <w:topLinePunct w:val="0"/>
              <w:autoSpaceDE w:val="0"/>
              <w:autoSpaceDN w:val="0"/>
              <w:bidi w:val="0"/>
              <w:adjustRightInd/>
              <w:snapToGrid/>
              <w:spacing w:before="3" w:line="240" w:lineRule="auto"/>
              <w:ind w:left="136" w:leftChars="0" w:right="0" w:rightChars="0"/>
              <w:textAlignment w:val="auto"/>
              <w:rPr>
                <w:vertAlign w:val="baseline"/>
              </w:rPr>
            </w:pPr>
          </w:p>
        </w:tc>
        <w:tc>
          <w:tcPr>
            <w:tcW w:w="4184" w:type="pct"/>
            <w:vAlign w:val="top"/>
          </w:tcPr>
          <w:p>
            <w:pPr>
              <w:pStyle w:val="21"/>
              <w:keepNext w:val="0"/>
              <w:keepLines w:val="0"/>
              <w:pageBreakBefore w:val="0"/>
              <w:widowControl w:val="0"/>
              <w:kinsoku/>
              <w:wordWrap/>
              <w:overflowPunct/>
              <w:topLinePunct w:val="0"/>
              <w:autoSpaceDE w:val="0"/>
              <w:autoSpaceDN w:val="0"/>
              <w:bidi w:val="0"/>
              <w:adjustRightInd/>
              <w:snapToGrid/>
              <w:spacing w:before="2" w:line="240" w:lineRule="auto"/>
              <w:textAlignment w:val="auto"/>
              <w:rPr>
                <w:sz w:val="28"/>
              </w:rPr>
            </w:pPr>
            <w:r>
              <w:rPr>
                <w:b/>
                <w:sz w:val="28"/>
              </w:rPr>
              <w:t>项目管理机构及质量管控措施6分</w:t>
            </w:r>
            <w:r>
              <w:rPr>
                <w:sz w:val="28"/>
              </w:rPr>
              <w:t>：针对项目设置管理机构、制定岗位职责和质量管控措施，综合评价：管理机构健全、岗位职责明确、质量管控措施针对性和可操作性强的得6分；管理机构齐全、管理人员岗位责任比较明确、质量管控措施具有一定的针对性和可操作性的得4分；管理机构比较齐全、岗位职责笼统、质量管控措施针对性和可操作性欠缺的得2分；管理机构不齐全、岗位职责不明确、质量管控措施笼统的得1分；未提供或其他情况不得分；</w:t>
            </w:r>
          </w:p>
          <w:p>
            <w:pPr>
              <w:pStyle w:val="21"/>
              <w:keepNext w:val="0"/>
              <w:keepLines w:val="0"/>
              <w:pageBreakBefore w:val="0"/>
              <w:widowControl w:val="0"/>
              <w:kinsoku/>
              <w:wordWrap/>
              <w:overflowPunct/>
              <w:topLinePunct w:val="0"/>
              <w:autoSpaceDE w:val="0"/>
              <w:autoSpaceDN w:val="0"/>
              <w:bidi w:val="0"/>
              <w:adjustRightInd/>
              <w:snapToGrid/>
              <w:spacing w:before="3" w:line="240" w:lineRule="auto"/>
              <w:textAlignment w:val="auto"/>
              <w:rPr>
                <w:vertAlign w:val="baseline"/>
              </w:rPr>
            </w:pPr>
            <w:r>
              <w:rPr>
                <w:sz w:val="28"/>
              </w:rPr>
              <w:t>本项目需要管理人员1人、技术人员1人（所有人员需提供劳务合同和相关证明材料），在以上评分的基础上，每缺少一人扣2分，扣完该项得分为止。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5" w:type="pct"/>
            <w:vAlign w:val="top"/>
          </w:tcPr>
          <w:p>
            <w:pPr>
              <w:pStyle w:val="21"/>
              <w:keepNext w:val="0"/>
              <w:keepLines w:val="0"/>
              <w:pageBreakBefore w:val="0"/>
              <w:widowControl w:val="0"/>
              <w:kinsoku/>
              <w:wordWrap/>
              <w:overflowPunct/>
              <w:topLinePunct w:val="0"/>
              <w:autoSpaceDE w:val="0"/>
              <w:autoSpaceDN w:val="0"/>
              <w:bidi w:val="0"/>
              <w:adjustRightInd/>
              <w:snapToGrid/>
              <w:spacing w:before="2" w:line="240" w:lineRule="auto"/>
              <w:ind w:left="9" w:leftChars="0" w:right="0" w:rightChars="0"/>
              <w:jc w:val="center"/>
              <w:textAlignment w:val="auto"/>
              <w:rPr>
                <w:vertAlign w:val="baseline"/>
              </w:rPr>
            </w:pPr>
            <w:r>
              <w:rPr>
                <w:w w:val="100"/>
                <w:sz w:val="28"/>
              </w:rPr>
              <w:t>5</w:t>
            </w:r>
          </w:p>
        </w:tc>
        <w:tc>
          <w:tcPr>
            <w:tcW w:w="479" w:type="pct"/>
            <w:vMerge w:val="continue"/>
            <w:vAlign w:val="top"/>
          </w:tcPr>
          <w:p>
            <w:pPr>
              <w:pStyle w:val="21"/>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textAlignment w:val="auto"/>
              <w:rPr>
                <w:vertAlign w:val="baseline"/>
              </w:rPr>
            </w:pPr>
          </w:p>
        </w:tc>
        <w:tc>
          <w:tcPr>
            <w:tcW w:w="4184" w:type="pct"/>
            <w:vAlign w:val="top"/>
          </w:tcPr>
          <w:p>
            <w:pPr>
              <w:pStyle w:val="21"/>
              <w:keepNext w:val="0"/>
              <w:keepLines w:val="0"/>
              <w:pageBreakBefore w:val="0"/>
              <w:widowControl w:val="0"/>
              <w:kinsoku/>
              <w:wordWrap/>
              <w:overflowPunct/>
              <w:topLinePunct w:val="0"/>
              <w:autoSpaceDE w:val="0"/>
              <w:autoSpaceDN w:val="0"/>
              <w:bidi w:val="0"/>
              <w:adjustRightInd/>
              <w:snapToGrid/>
              <w:spacing w:before="3" w:line="240" w:lineRule="auto"/>
              <w:textAlignment w:val="auto"/>
              <w:rPr>
                <w:vertAlign w:val="baseline"/>
              </w:rPr>
            </w:pPr>
            <w:r>
              <w:rPr>
                <w:b/>
                <w:sz w:val="28"/>
              </w:rPr>
              <w:t>安装调试实施方案6分</w:t>
            </w:r>
            <w:r>
              <w:rPr>
                <w:sz w:val="28"/>
              </w:rPr>
              <w:t>：结合项目特点制定具有安全性、可操作性的安装、调试实施方案等,综合评价：实施方案编制详细、针对性和可操作性强、安全管理责任制度明确、防护防范措施得力的得6分；实施方案编制总体欠佳、具有一定的针对性和可操作性、安全管理责任制度比较明确、防护防范措施有效的得4分；实施方案编制总体笼统、针对性和可操作性不强、安全管理责任制度和防护防范措施笼统的得2分；实施方案编制总体含糊不清、不具备针对性和可操作性、安全管理岗位责任和防护防范措施含糊不清的得1分；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5" w:type="pct"/>
            <w:vAlign w:val="top"/>
          </w:tcPr>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200" w:line="240" w:lineRule="auto"/>
              <w:ind w:left="9" w:leftChars="0" w:right="0" w:rightChars="0"/>
              <w:jc w:val="center"/>
              <w:textAlignment w:val="auto"/>
              <w:rPr>
                <w:vertAlign w:val="baseline"/>
              </w:rPr>
            </w:pPr>
            <w:r>
              <w:rPr>
                <w:w w:val="100"/>
                <w:sz w:val="28"/>
              </w:rPr>
              <w:t>6</w:t>
            </w:r>
          </w:p>
        </w:tc>
        <w:tc>
          <w:tcPr>
            <w:tcW w:w="479" w:type="pct"/>
            <w:vMerge w:val="continue"/>
            <w:vAlign w:val="top"/>
          </w:tcPr>
          <w:p>
            <w:pPr>
              <w:pStyle w:val="21"/>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textAlignment w:val="auto"/>
              <w:rPr>
                <w:vertAlign w:val="baseline"/>
              </w:rPr>
            </w:pPr>
          </w:p>
        </w:tc>
        <w:tc>
          <w:tcPr>
            <w:tcW w:w="4184" w:type="pct"/>
            <w:vAlign w:val="top"/>
          </w:tcPr>
          <w:p>
            <w:pPr>
              <w:pStyle w:val="21"/>
              <w:keepNext w:val="0"/>
              <w:keepLines w:val="0"/>
              <w:pageBreakBefore w:val="0"/>
              <w:widowControl w:val="0"/>
              <w:kinsoku/>
              <w:wordWrap/>
              <w:overflowPunct/>
              <w:topLinePunct w:val="0"/>
              <w:autoSpaceDE w:val="0"/>
              <w:autoSpaceDN w:val="0"/>
              <w:bidi w:val="0"/>
              <w:adjustRightInd/>
              <w:snapToGrid/>
              <w:spacing w:before="3" w:line="240" w:lineRule="auto"/>
              <w:ind w:right="163"/>
              <w:textAlignment w:val="auto"/>
              <w:rPr>
                <w:vertAlign w:val="baseline"/>
              </w:rPr>
            </w:pPr>
            <w:r>
              <w:rPr>
                <w:b/>
                <w:sz w:val="28"/>
              </w:rPr>
              <w:t>操作技能培训计划6分：</w:t>
            </w:r>
            <w:r>
              <w:rPr>
                <w:sz w:val="28"/>
              </w:rPr>
              <w:t>制定符合本项目特点、针对产品技术性能的培训操作技能计划（具体内容包括但不限于产品的基本性能、操作技术、注意事项、保养维修知识等），综合评价。符合本项目特点、内容齐全、层次清晰、可操作性强的得6分；能较好结合项目特点、内容比较齐全、层次比较清晰、具有可操作性的得4分；基本上能结合项目特点、内容基本齐全、层次基本清晰、具有一定的可操作性的得2分；与项目特点的结合度差、内容不齐全、层次笼统清晰、可操作性差的得1分；未提供或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5" w:type="pct"/>
            <w:vAlign w:val="top"/>
          </w:tcPr>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0"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ind w:left="9" w:leftChars="0" w:right="0" w:rightChars="0"/>
              <w:jc w:val="center"/>
              <w:textAlignment w:val="auto"/>
              <w:rPr>
                <w:vertAlign w:val="baseline"/>
              </w:rPr>
            </w:pPr>
            <w:r>
              <w:rPr>
                <w:w w:val="100"/>
                <w:sz w:val="28"/>
              </w:rPr>
              <w:t>7</w:t>
            </w:r>
          </w:p>
        </w:tc>
        <w:tc>
          <w:tcPr>
            <w:tcW w:w="479" w:type="pct"/>
            <w:vMerge w:val="restart"/>
            <w:vAlign w:val="top"/>
          </w:tcPr>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207" w:line="240" w:lineRule="auto"/>
              <w:ind w:right="123" w:rightChars="0"/>
              <w:jc w:val="both"/>
              <w:textAlignment w:val="auto"/>
              <w:rPr>
                <w:vertAlign w:val="baseline"/>
              </w:rPr>
            </w:pPr>
            <w:r>
              <w:rPr>
                <w:sz w:val="28"/>
              </w:rPr>
              <w:t>履约能力10分</w:t>
            </w:r>
          </w:p>
        </w:tc>
        <w:tc>
          <w:tcPr>
            <w:tcW w:w="4184" w:type="pct"/>
            <w:vAlign w:val="top"/>
          </w:tcPr>
          <w:p>
            <w:pPr>
              <w:pStyle w:val="21"/>
              <w:keepNext w:val="0"/>
              <w:keepLines w:val="0"/>
              <w:pageBreakBefore w:val="0"/>
              <w:widowControl w:val="0"/>
              <w:kinsoku/>
              <w:wordWrap/>
              <w:overflowPunct/>
              <w:topLinePunct w:val="0"/>
              <w:autoSpaceDE w:val="0"/>
              <w:autoSpaceDN w:val="0"/>
              <w:bidi w:val="0"/>
              <w:adjustRightInd/>
              <w:snapToGrid/>
              <w:spacing w:before="3" w:line="240" w:lineRule="auto"/>
              <w:ind w:right="307"/>
              <w:jc w:val="both"/>
              <w:textAlignment w:val="auto"/>
              <w:rPr>
                <w:vertAlign w:val="baseline"/>
              </w:rPr>
            </w:pPr>
            <w:r>
              <w:rPr>
                <w:b/>
                <w:sz w:val="28"/>
              </w:rPr>
              <w:t>业绩情况2分：</w:t>
            </w:r>
            <w:r>
              <w:rPr>
                <w:sz w:val="28"/>
              </w:rPr>
              <w:t>提供投标截止日期前3年的类似业绩证明材料，每提供一个得1分，最高得2分；未提供或其他情况的不得分。（须提供中标通知书和包含合同首页、标的及金额所在页、签字盖章页的合同复印件，并加盖投标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5" w:type="pct"/>
            <w:vAlign w:val="top"/>
          </w:tcPr>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 w:line="240" w:lineRule="auto"/>
              <w:textAlignment w:val="auto"/>
              <w:rPr>
                <w:sz w:val="29"/>
              </w:rPr>
            </w:pPr>
          </w:p>
          <w:p>
            <w:pPr>
              <w:pStyle w:val="21"/>
              <w:keepNext w:val="0"/>
              <w:keepLines w:val="0"/>
              <w:pageBreakBefore w:val="0"/>
              <w:widowControl w:val="0"/>
              <w:kinsoku/>
              <w:wordWrap/>
              <w:overflowPunct/>
              <w:topLinePunct w:val="0"/>
              <w:autoSpaceDE w:val="0"/>
              <w:autoSpaceDN w:val="0"/>
              <w:bidi w:val="0"/>
              <w:adjustRightInd/>
              <w:snapToGrid/>
              <w:spacing w:line="240" w:lineRule="auto"/>
              <w:ind w:left="9" w:leftChars="0" w:right="0" w:rightChars="0"/>
              <w:jc w:val="center"/>
              <w:textAlignment w:val="auto"/>
              <w:rPr>
                <w:vertAlign w:val="baseline"/>
              </w:rPr>
            </w:pPr>
            <w:r>
              <w:rPr>
                <w:w w:val="100"/>
                <w:sz w:val="28"/>
              </w:rPr>
              <w:t>8</w:t>
            </w:r>
          </w:p>
        </w:tc>
        <w:tc>
          <w:tcPr>
            <w:tcW w:w="479" w:type="pct"/>
            <w:vMerge w:val="continue"/>
            <w:vAlign w:val="top"/>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textAlignment w:val="auto"/>
              <w:rPr>
                <w:vertAlign w:val="baseline"/>
              </w:rPr>
            </w:pPr>
          </w:p>
        </w:tc>
        <w:tc>
          <w:tcPr>
            <w:tcW w:w="4184" w:type="pct"/>
            <w:vAlign w:val="top"/>
          </w:tcPr>
          <w:p>
            <w:pPr>
              <w:pStyle w:val="21"/>
              <w:keepNext w:val="0"/>
              <w:keepLines w:val="0"/>
              <w:pageBreakBefore w:val="0"/>
              <w:widowControl w:val="0"/>
              <w:kinsoku/>
              <w:wordWrap/>
              <w:overflowPunct/>
              <w:topLinePunct w:val="0"/>
              <w:autoSpaceDE w:val="0"/>
              <w:autoSpaceDN w:val="0"/>
              <w:bidi w:val="0"/>
              <w:adjustRightInd/>
              <w:snapToGrid/>
              <w:spacing w:before="1" w:line="240" w:lineRule="auto"/>
              <w:ind w:right="163"/>
              <w:textAlignment w:val="auto"/>
              <w:rPr>
                <w:vertAlign w:val="baseline"/>
              </w:rPr>
            </w:pPr>
            <w:r>
              <w:rPr>
                <w:b/>
                <w:sz w:val="28"/>
              </w:rPr>
              <w:t>履约合同的计划措施8分：</w:t>
            </w:r>
            <w:r>
              <w:rPr>
                <w:sz w:val="28"/>
              </w:rPr>
              <w:t>针对该项目编制详细的履约合同的计划措施方案，综合评价：计划措施编制详细、针对性和可操作性强的得8分；计划措施编制总体欠佳、具有一定的针对性和可操作性的得6分；计划措施编制总体笼统、针对性和可操作性一般的得4分，计划措施编制总体含糊不清、针对性和可操作性笼统的得2分；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5" w:type="pct"/>
            <w:vAlign w:val="top"/>
          </w:tcPr>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9"/>
              </w:rPr>
            </w:pPr>
          </w:p>
          <w:p>
            <w:pPr>
              <w:pStyle w:val="21"/>
              <w:keepNext w:val="0"/>
              <w:keepLines w:val="0"/>
              <w:pageBreakBefore w:val="0"/>
              <w:widowControl w:val="0"/>
              <w:kinsoku/>
              <w:wordWrap/>
              <w:overflowPunct/>
              <w:topLinePunct w:val="0"/>
              <w:autoSpaceDE w:val="0"/>
              <w:autoSpaceDN w:val="0"/>
              <w:bidi w:val="0"/>
              <w:adjustRightInd/>
              <w:snapToGrid/>
              <w:spacing w:line="240" w:lineRule="auto"/>
              <w:ind w:left="9" w:leftChars="0" w:right="0" w:rightChars="0"/>
              <w:jc w:val="center"/>
              <w:textAlignment w:val="auto"/>
              <w:rPr>
                <w:vertAlign w:val="baseline"/>
              </w:rPr>
            </w:pPr>
            <w:r>
              <w:rPr>
                <w:w w:val="100"/>
                <w:sz w:val="28"/>
              </w:rPr>
              <w:t>9</w:t>
            </w:r>
          </w:p>
        </w:tc>
        <w:tc>
          <w:tcPr>
            <w:tcW w:w="479" w:type="pct"/>
            <w:vMerge w:val="restart"/>
            <w:vAlign w:val="top"/>
          </w:tcPr>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210" w:line="240" w:lineRule="auto"/>
              <w:ind w:left="136" w:leftChars="0" w:right="123" w:rightChars="0"/>
              <w:jc w:val="both"/>
              <w:textAlignment w:val="auto"/>
              <w:rPr>
                <w:vertAlign w:val="baseline"/>
              </w:rPr>
            </w:pPr>
            <w:r>
              <w:rPr>
                <w:sz w:val="28"/>
              </w:rPr>
              <w:t>售后服务10分</w:t>
            </w:r>
          </w:p>
        </w:tc>
        <w:tc>
          <w:tcPr>
            <w:tcW w:w="4184" w:type="pct"/>
            <w:vAlign w:val="top"/>
          </w:tcPr>
          <w:p>
            <w:pPr>
              <w:pStyle w:val="21"/>
              <w:keepNext w:val="0"/>
              <w:keepLines w:val="0"/>
              <w:pageBreakBefore w:val="0"/>
              <w:widowControl w:val="0"/>
              <w:kinsoku/>
              <w:wordWrap/>
              <w:overflowPunct/>
              <w:topLinePunct w:val="0"/>
              <w:autoSpaceDE w:val="0"/>
              <w:autoSpaceDN w:val="0"/>
              <w:bidi w:val="0"/>
              <w:adjustRightInd/>
              <w:snapToGrid/>
              <w:spacing w:before="2" w:line="240" w:lineRule="auto"/>
              <w:ind w:right="175"/>
              <w:textAlignment w:val="auto"/>
              <w:rPr>
                <w:vertAlign w:val="baseline"/>
              </w:rPr>
            </w:pPr>
            <w:r>
              <w:rPr>
                <w:b/>
                <w:sz w:val="28"/>
              </w:rPr>
              <w:t>本地化服务能力4分：</w:t>
            </w:r>
            <w:r>
              <w:rPr>
                <w:spacing w:val="-3"/>
                <w:sz w:val="28"/>
              </w:rPr>
              <w:t>在青海省有服务机构的得</w:t>
            </w:r>
            <w:r>
              <w:rPr>
                <w:sz w:val="28"/>
              </w:rPr>
              <w:t>4</w:t>
            </w:r>
            <w:r>
              <w:rPr>
                <w:spacing w:val="-2"/>
                <w:sz w:val="28"/>
              </w:rPr>
              <w:t>分；在</w:t>
            </w:r>
            <w:r>
              <w:rPr>
                <w:spacing w:val="-3"/>
                <w:sz w:val="28"/>
              </w:rPr>
              <w:t>青海省有合作性服务机构的得</w:t>
            </w:r>
            <w:r>
              <w:rPr>
                <w:sz w:val="28"/>
              </w:rPr>
              <w:t>2</w:t>
            </w:r>
            <w:r>
              <w:rPr>
                <w:spacing w:val="-3"/>
                <w:sz w:val="28"/>
              </w:rPr>
              <w:t>分；没有的不得分。注： 本地化服务能力应包括机构性质、人员配置、服务能  力、售后服务技术人员联系方式等</w:t>
            </w:r>
            <w:r>
              <w:rPr>
                <w:sz w:val="28"/>
              </w:rPr>
              <w:t>（</w:t>
            </w:r>
            <w:r>
              <w:rPr>
                <w:spacing w:val="-3"/>
                <w:sz w:val="28"/>
              </w:rPr>
              <w:t>需提供服务机构的营业执照、售后服务承诺函、人员配置、服务能力、售后服务技术人员联系方式、与合作性服务机构协议书等</w:t>
            </w:r>
            <w:r>
              <w:rPr>
                <w:sz w:val="28"/>
              </w:rPr>
              <w:t>完整资料)。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5" w:type="pct"/>
            <w:vAlign w:val="top"/>
          </w:tcPr>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before="12" w:line="240" w:lineRule="auto"/>
              <w:textAlignment w:val="auto"/>
              <w:rPr>
                <w:sz w:val="28"/>
              </w:rPr>
            </w:pPr>
          </w:p>
          <w:p>
            <w:pPr>
              <w:pStyle w:val="21"/>
              <w:keepNext w:val="0"/>
              <w:keepLines w:val="0"/>
              <w:pageBreakBefore w:val="0"/>
              <w:widowControl w:val="0"/>
              <w:kinsoku/>
              <w:wordWrap/>
              <w:overflowPunct/>
              <w:topLinePunct w:val="0"/>
              <w:autoSpaceDE w:val="0"/>
              <w:autoSpaceDN w:val="0"/>
              <w:bidi w:val="0"/>
              <w:adjustRightInd/>
              <w:snapToGrid/>
              <w:spacing w:line="240" w:lineRule="auto"/>
              <w:ind w:left="96" w:leftChars="0" w:right="85" w:rightChars="0"/>
              <w:jc w:val="center"/>
              <w:textAlignment w:val="auto"/>
              <w:rPr>
                <w:vertAlign w:val="baseline"/>
              </w:rPr>
            </w:pPr>
            <w:r>
              <w:rPr>
                <w:sz w:val="28"/>
              </w:rPr>
              <w:t>10</w:t>
            </w:r>
          </w:p>
        </w:tc>
        <w:tc>
          <w:tcPr>
            <w:tcW w:w="479" w:type="pct"/>
            <w:vMerge w:val="continue"/>
            <w:vAlign w:val="top"/>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textAlignment w:val="auto"/>
              <w:rPr>
                <w:vertAlign w:val="baseline"/>
              </w:rPr>
            </w:pPr>
          </w:p>
        </w:tc>
        <w:tc>
          <w:tcPr>
            <w:tcW w:w="4184" w:type="pct"/>
            <w:vAlign w:val="top"/>
          </w:tcPr>
          <w:p>
            <w:pPr>
              <w:pStyle w:val="21"/>
              <w:keepNext w:val="0"/>
              <w:keepLines w:val="0"/>
              <w:pageBreakBefore w:val="0"/>
              <w:widowControl w:val="0"/>
              <w:kinsoku/>
              <w:wordWrap/>
              <w:overflowPunct/>
              <w:topLinePunct w:val="0"/>
              <w:autoSpaceDE w:val="0"/>
              <w:autoSpaceDN w:val="0"/>
              <w:bidi w:val="0"/>
              <w:adjustRightInd/>
              <w:snapToGrid/>
              <w:spacing w:before="2" w:line="240" w:lineRule="auto"/>
              <w:ind w:right="163"/>
              <w:textAlignment w:val="auto"/>
              <w:rPr>
                <w:vertAlign w:val="baseline"/>
              </w:rPr>
            </w:pPr>
            <w:r>
              <w:rPr>
                <w:b/>
                <w:sz w:val="28"/>
              </w:rPr>
              <w:t>售后服务方案措施6分：</w:t>
            </w:r>
            <w:r>
              <w:rPr>
                <w:sz w:val="28"/>
              </w:rPr>
              <w:t>针对该项目编制详细的验收、质保期时间免费保修等的措施方案，综合评价：措施方案编制详细、针对性和可操作性强的得6分；措施方案编制总体欠佳、具有一定的针对性和可操作性的得4分；措施方案编制总体笼统、针对性和可操作性一般的得2分，措施方案编制总体含糊不清、针对性和可操作性笼统的得1分；未提供或其他情况不得分。</w:t>
            </w:r>
          </w:p>
        </w:tc>
      </w:tr>
    </w:tbl>
    <w:p>
      <w:pPr>
        <w:pStyle w:val="20"/>
        <w:numPr>
          <w:ilvl w:val="1"/>
          <w:numId w:val="7"/>
        </w:numPr>
        <w:tabs>
          <w:tab w:val="left" w:pos="1480"/>
        </w:tabs>
        <w:spacing w:before="13" w:after="0" w:line="242" w:lineRule="auto"/>
        <w:ind w:left="219" w:right="287" w:firstLine="561"/>
        <w:jc w:val="left"/>
        <w:rPr>
          <w:sz w:val="28"/>
        </w:rPr>
      </w:pPr>
      <w:r>
        <w:rPr>
          <w:spacing w:val="-3"/>
          <w:sz w:val="28"/>
        </w:rPr>
        <w:t>磋商结果汇总完成后，除下列情形外，采购人或者采购代理机构不得以任何理由组织重新评审。</w:t>
      </w:r>
    </w:p>
    <w:p>
      <w:pPr>
        <w:pStyle w:val="20"/>
        <w:numPr>
          <w:ilvl w:val="0"/>
          <w:numId w:val="13"/>
        </w:numPr>
        <w:tabs>
          <w:tab w:val="left" w:pos="1483"/>
        </w:tabs>
        <w:spacing w:before="0" w:after="0" w:line="240" w:lineRule="auto"/>
        <w:ind w:left="1482" w:right="0" w:hanging="703"/>
        <w:jc w:val="left"/>
        <w:rPr>
          <w:sz w:val="28"/>
        </w:rPr>
      </w:pPr>
      <w:r>
        <w:rPr>
          <w:spacing w:val="-3"/>
          <w:sz w:val="28"/>
        </w:rPr>
        <w:t>资格性检查认定错误的；</w:t>
      </w:r>
    </w:p>
    <w:p>
      <w:pPr>
        <w:pStyle w:val="20"/>
        <w:numPr>
          <w:ilvl w:val="0"/>
          <w:numId w:val="13"/>
        </w:numPr>
        <w:tabs>
          <w:tab w:val="left" w:pos="1483"/>
        </w:tabs>
        <w:spacing w:before="6" w:after="0" w:line="240" w:lineRule="auto"/>
        <w:ind w:left="1482" w:right="0" w:hanging="703"/>
        <w:jc w:val="left"/>
        <w:rPr>
          <w:sz w:val="28"/>
        </w:rPr>
      </w:pPr>
      <w:r>
        <w:rPr>
          <w:spacing w:val="-3"/>
          <w:sz w:val="28"/>
        </w:rPr>
        <w:t>分值汇总计算错误的；</w:t>
      </w:r>
    </w:p>
    <w:p>
      <w:pPr>
        <w:pStyle w:val="20"/>
        <w:numPr>
          <w:ilvl w:val="0"/>
          <w:numId w:val="13"/>
        </w:numPr>
        <w:tabs>
          <w:tab w:val="left" w:pos="1483"/>
        </w:tabs>
        <w:spacing w:before="4" w:after="0" w:line="240" w:lineRule="auto"/>
        <w:ind w:left="1482" w:right="0" w:hanging="703"/>
        <w:jc w:val="left"/>
        <w:rPr>
          <w:sz w:val="28"/>
        </w:rPr>
      </w:pPr>
      <w:r>
        <w:rPr>
          <w:spacing w:val="-3"/>
          <w:sz w:val="28"/>
        </w:rPr>
        <w:t>分项评分超出评分标准范围的；</w:t>
      </w:r>
    </w:p>
    <w:p>
      <w:pPr>
        <w:pStyle w:val="20"/>
        <w:numPr>
          <w:ilvl w:val="0"/>
          <w:numId w:val="13"/>
        </w:numPr>
        <w:tabs>
          <w:tab w:val="left" w:pos="1483"/>
        </w:tabs>
        <w:spacing w:before="3" w:after="0" w:line="240" w:lineRule="auto"/>
        <w:ind w:left="1482" w:right="0" w:hanging="703"/>
        <w:jc w:val="left"/>
        <w:rPr>
          <w:sz w:val="28"/>
        </w:rPr>
      </w:pPr>
      <w:r>
        <w:rPr>
          <w:spacing w:val="-3"/>
          <w:sz w:val="28"/>
        </w:rPr>
        <w:t>客观分评分不一致的；</w:t>
      </w:r>
    </w:p>
    <w:p>
      <w:pPr>
        <w:pStyle w:val="20"/>
        <w:numPr>
          <w:ilvl w:val="0"/>
          <w:numId w:val="13"/>
        </w:numPr>
        <w:tabs>
          <w:tab w:val="left" w:pos="1483"/>
        </w:tabs>
        <w:spacing w:before="6" w:after="0" w:line="240" w:lineRule="auto"/>
        <w:ind w:left="1482" w:right="0" w:hanging="703"/>
        <w:jc w:val="left"/>
        <w:rPr>
          <w:sz w:val="28"/>
        </w:rPr>
      </w:pPr>
      <w:r>
        <w:rPr>
          <w:spacing w:val="-3"/>
          <w:sz w:val="28"/>
        </w:rPr>
        <w:t>经磋商小组一致认定评分畸高、畸低的。</w:t>
      </w:r>
    </w:p>
    <w:p>
      <w:pPr>
        <w:pStyle w:val="2"/>
        <w:spacing w:before="4" w:line="242" w:lineRule="auto"/>
        <w:ind w:right="426" w:firstLine="561"/>
        <w:jc w:val="both"/>
      </w:pPr>
      <w:r>
        <w:t>磋商报告签署前，经复核发现存在以上情形之一的，磋商小组应当当场修改磋商结果，并在磋商报告中记载；磋商报告签署后，采购人或者采购代理机构发现存在以上情形之一的，应当组织原磋商小组进行重新评审，重新评审改变磋商结果的，书面报告本级财政部门。</w:t>
      </w:r>
    </w:p>
    <w:p>
      <w:pPr>
        <w:pStyle w:val="2"/>
        <w:spacing w:before="3" w:line="242" w:lineRule="auto"/>
        <w:ind w:right="426" w:firstLine="561"/>
        <w:jc w:val="both"/>
      </w:pPr>
      <w:r>
        <w:t>供应商对以上情形提出质疑的，采购人或者采购代理机构可以组织原磋商小组进行重新评审，重新评审改变磋商结果的，应当书面报告本级财政部门。</w:t>
      </w:r>
    </w:p>
    <w:p>
      <w:pPr>
        <w:spacing w:before="3"/>
        <w:ind w:left="1" w:right="0" w:firstLine="0"/>
        <w:jc w:val="center"/>
        <w:rPr>
          <w:b/>
          <w:sz w:val="32"/>
        </w:rPr>
      </w:pPr>
      <w:r>
        <w:rPr>
          <w:b/>
          <w:sz w:val="32"/>
        </w:rPr>
        <w:t>六、成交</w:t>
      </w:r>
    </w:p>
    <w:p>
      <w:pPr>
        <w:pStyle w:val="20"/>
        <w:numPr>
          <w:ilvl w:val="0"/>
          <w:numId w:val="7"/>
        </w:numPr>
        <w:tabs>
          <w:tab w:val="left" w:pos="644"/>
        </w:tabs>
        <w:spacing w:before="2" w:after="0" w:line="240" w:lineRule="auto"/>
        <w:ind w:left="644" w:right="0" w:hanging="425"/>
        <w:jc w:val="left"/>
        <w:rPr>
          <w:b/>
          <w:sz w:val="28"/>
        </w:rPr>
      </w:pPr>
      <w:bookmarkStart w:id="50" w:name="_bookmark28"/>
      <w:bookmarkEnd w:id="50"/>
      <w:bookmarkStart w:id="51" w:name="21.推荐并确定成交候选供应商"/>
      <w:bookmarkEnd w:id="51"/>
      <w:r>
        <w:rPr>
          <w:b/>
          <w:sz w:val="28"/>
        </w:rPr>
        <w:t>推荐并确定成交候选供应商</w:t>
      </w:r>
    </w:p>
    <w:p>
      <w:pPr>
        <w:pStyle w:val="20"/>
        <w:numPr>
          <w:ilvl w:val="1"/>
          <w:numId w:val="7"/>
        </w:numPr>
        <w:tabs>
          <w:tab w:val="left" w:pos="1343"/>
        </w:tabs>
        <w:spacing w:before="6" w:after="0" w:line="242" w:lineRule="auto"/>
        <w:ind w:left="219" w:right="426" w:firstLine="561"/>
        <w:jc w:val="left"/>
        <w:rPr>
          <w:spacing w:val="-3"/>
          <w:sz w:val="28"/>
        </w:rPr>
      </w:pPr>
      <w:r>
        <w:rPr>
          <w:spacing w:val="-3"/>
          <w:sz w:val="28"/>
        </w:rPr>
        <w:t>磋商小组应当根据综合评分情况，按照评审得分由高到低顺序推荐成交候选供应商，并编写评审报告。评审得分相同的，按照最后报价由低到</w:t>
      </w:r>
    </w:p>
    <w:p>
      <w:pPr>
        <w:spacing w:after="0" w:line="240" w:lineRule="auto"/>
        <w:jc w:val="left"/>
        <w:rPr>
          <w:sz w:val="28"/>
        </w:rPr>
        <w:sectPr>
          <w:pgSz w:w="11850" w:h="16790"/>
          <w:pgMar w:top="1360" w:right="840" w:bottom="1360" w:left="1120" w:header="0" w:footer="1179" w:gutter="0"/>
          <w:pgBorders>
            <w:top w:val="none" w:sz="0" w:space="0"/>
            <w:left w:val="none" w:sz="0" w:space="0"/>
            <w:bottom w:val="none" w:sz="0" w:space="0"/>
            <w:right w:val="none" w:sz="0" w:space="0"/>
          </w:pgBorders>
          <w:pgNumType w:fmt="decimal"/>
          <w:cols w:space="720" w:num="1"/>
        </w:sectPr>
      </w:pPr>
    </w:p>
    <w:p>
      <w:pPr>
        <w:pStyle w:val="20"/>
        <w:numPr>
          <w:ilvl w:val="0"/>
          <w:numId w:val="0"/>
        </w:numPr>
        <w:tabs>
          <w:tab w:val="left" w:pos="1343"/>
        </w:tabs>
        <w:spacing w:before="6" w:after="0" w:line="242" w:lineRule="auto"/>
        <w:ind w:right="426" w:rightChars="0"/>
        <w:jc w:val="left"/>
        <w:rPr>
          <w:spacing w:val="-3"/>
          <w:sz w:val="28"/>
        </w:rPr>
      </w:pPr>
      <w:bookmarkStart w:id="52" w:name="六、成交"/>
      <w:bookmarkEnd w:id="52"/>
      <w:r>
        <w:rPr>
          <w:spacing w:val="-3"/>
          <w:sz w:val="28"/>
        </w:rPr>
        <w:t>高的顺序推荐。评审得分且最后报价相同的，按照技术指标优劣顺序推荐。</w:t>
      </w:r>
    </w:p>
    <w:p>
      <w:pPr>
        <w:pStyle w:val="20"/>
        <w:numPr>
          <w:ilvl w:val="1"/>
          <w:numId w:val="7"/>
        </w:numPr>
        <w:tabs>
          <w:tab w:val="left" w:pos="1343"/>
        </w:tabs>
        <w:spacing w:before="6" w:after="0" w:line="242" w:lineRule="auto"/>
        <w:ind w:left="219" w:right="426" w:firstLine="561"/>
        <w:jc w:val="left"/>
        <w:rPr>
          <w:spacing w:val="-3"/>
          <w:sz w:val="28"/>
        </w:rPr>
      </w:pPr>
      <w:r>
        <w:rPr>
          <w:spacing w:val="-3"/>
          <w:sz w:val="28"/>
        </w:rPr>
        <w:t>评审报告应当由磋商小组全体人员签字认可。磋商小组成员对评审</w:t>
      </w:r>
    </w:p>
    <w:p>
      <w:pPr>
        <w:pStyle w:val="20"/>
        <w:numPr>
          <w:ilvl w:val="0"/>
          <w:numId w:val="0"/>
        </w:numPr>
        <w:tabs>
          <w:tab w:val="left" w:pos="1343"/>
        </w:tabs>
        <w:spacing w:before="6" w:after="0" w:line="242" w:lineRule="auto"/>
        <w:ind w:right="426" w:rightChars="0"/>
        <w:jc w:val="left"/>
        <w:rPr>
          <w:spacing w:val="-3"/>
          <w:sz w:val="28"/>
        </w:rPr>
      </w:pPr>
      <w:r>
        <w:rPr>
          <w:spacing w:val="-3"/>
          <w:sz w:val="28"/>
        </w:rPr>
        <w:t>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0"/>
        <w:numPr>
          <w:ilvl w:val="0"/>
          <w:numId w:val="0"/>
        </w:numPr>
        <w:tabs>
          <w:tab w:val="left" w:pos="1343"/>
        </w:tabs>
        <w:spacing w:before="6" w:after="0" w:line="242" w:lineRule="auto"/>
        <w:ind w:right="426" w:rightChars="0"/>
        <w:jc w:val="left"/>
        <w:rPr>
          <w:spacing w:val="-3"/>
          <w:sz w:val="28"/>
        </w:rPr>
      </w:pPr>
      <w:r>
        <w:rPr>
          <w:spacing w:val="-3"/>
          <w:sz w:val="28"/>
        </w:rPr>
        <w:t>采购代理机构应当在评审结束后2个工作日内将评审报告送采购人确认。</w:t>
      </w:r>
    </w:p>
    <w:p>
      <w:pPr>
        <w:pStyle w:val="20"/>
        <w:numPr>
          <w:ilvl w:val="1"/>
          <w:numId w:val="7"/>
        </w:numPr>
        <w:tabs>
          <w:tab w:val="left" w:pos="1343"/>
        </w:tabs>
        <w:spacing w:before="6" w:after="0" w:line="242" w:lineRule="auto"/>
        <w:ind w:left="219" w:right="426" w:firstLine="561"/>
        <w:jc w:val="left"/>
        <w:rPr>
          <w:spacing w:val="-3"/>
          <w:sz w:val="28"/>
        </w:rPr>
      </w:pPr>
      <w:r>
        <w:rPr>
          <w:spacing w:val="-3"/>
          <w:sz w:val="28"/>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20"/>
        <w:numPr>
          <w:ilvl w:val="0"/>
          <w:numId w:val="7"/>
        </w:numPr>
        <w:tabs>
          <w:tab w:val="left" w:pos="644"/>
        </w:tabs>
        <w:spacing w:before="2" w:after="0" w:line="240" w:lineRule="auto"/>
        <w:ind w:left="644" w:right="0" w:hanging="425"/>
        <w:jc w:val="left"/>
        <w:rPr>
          <w:b/>
          <w:sz w:val="28"/>
        </w:rPr>
      </w:pPr>
      <w:bookmarkStart w:id="53" w:name="22.成交通知"/>
      <w:bookmarkEnd w:id="53"/>
      <w:bookmarkStart w:id="54" w:name="_bookmark29"/>
      <w:bookmarkEnd w:id="54"/>
      <w:r>
        <w:rPr>
          <w:b/>
          <w:sz w:val="28"/>
        </w:rPr>
        <w:t>成交通知</w:t>
      </w:r>
    </w:p>
    <w:p>
      <w:pPr>
        <w:pStyle w:val="20"/>
        <w:numPr>
          <w:ilvl w:val="1"/>
          <w:numId w:val="7"/>
        </w:numPr>
        <w:tabs>
          <w:tab w:val="left" w:pos="1480"/>
        </w:tabs>
        <w:spacing w:before="4" w:after="0" w:line="242" w:lineRule="auto"/>
        <w:ind w:left="219" w:right="426" w:firstLine="561"/>
        <w:jc w:val="both"/>
        <w:rPr>
          <w:sz w:val="28"/>
        </w:rPr>
      </w:pPr>
      <w:r>
        <w:rPr>
          <w:spacing w:val="-3"/>
          <w:sz w:val="28"/>
        </w:rPr>
        <w:t>采购人或者采购代理机构应当在成交供应商确定后</w:t>
      </w:r>
      <w:r>
        <w:rPr>
          <w:sz w:val="28"/>
        </w:rPr>
        <w:t>2</w:t>
      </w:r>
      <w:r>
        <w:rPr>
          <w:spacing w:val="-3"/>
          <w:sz w:val="28"/>
        </w:rPr>
        <w:t>个工作日内， 在省级以上财政部门指定的政府采购信息发布媒体上公告成交结果，同时向成交供应商发出成交通知书。对磋商无效的供应商，采购人或采购代理机构应当告知其磋商无效的原因。</w:t>
      </w:r>
    </w:p>
    <w:p>
      <w:pPr>
        <w:pStyle w:val="20"/>
        <w:numPr>
          <w:ilvl w:val="1"/>
          <w:numId w:val="7"/>
        </w:numPr>
        <w:tabs>
          <w:tab w:val="left" w:pos="1480"/>
        </w:tabs>
        <w:spacing w:before="5" w:after="0" w:line="242" w:lineRule="auto"/>
        <w:ind w:left="219" w:right="567" w:firstLine="561"/>
        <w:jc w:val="left"/>
        <w:rPr>
          <w:sz w:val="28"/>
        </w:rPr>
      </w:pPr>
      <w:r>
        <w:rPr>
          <w:spacing w:val="-3"/>
          <w:sz w:val="28"/>
        </w:rPr>
        <w:t>成交结果公告内容应当包括采购人及其委托的采购代理机构的名称、地址、联系方式，项目名称和项目编号，成交人名称、地址和成交金额，成交结果公告期限以及评审专家名单。</w:t>
      </w:r>
    </w:p>
    <w:p>
      <w:pPr>
        <w:pStyle w:val="2"/>
        <w:spacing w:line="244" w:lineRule="auto"/>
        <w:ind w:right="426" w:firstLine="561"/>
      </w:pPr>
      <w:r>
        <w:t>采用书面推荐供应商参加采购活动的，还应当公告采购人和评审专家的推荐意见。</w:t>
      </w:r>
    </w:p>
    <w:p>
      <w:pPr>
        <w:pStyle w:val="20"/>
        <w:numPr>
          <w:ilvl w:val="1"/>
          <w:numId w:val="7"/>
        </w:numPr>
        <w:tabs>
          <w:tab w:val="left" w:pos="1480"/>
        </w:tabs>
        <w:spacing w:before="0" w:after="0" w:line="354" w:lineRule="exact"/>
        <w:ind w:left="1479" w:right="0" w:hanging="700"/>
        <w:jc w:val="left"/>
        <w:rPr>
          <w:sz w:val="28"/>
        </w:rPr>
      </w:pPr>
      <w:r>
        <w:rPr>
          <w:spacing w:val="-3"/>
          <w:sz w:val="28"/>
        </w:rPr>
        <w:t>成交结果公告期限为</w:t>
      </w:r>
      <w:r>
        <w:rPr>
          <w:sz w:val="28"/>
        </w:rPr>
        <w:t>1</w:t>
      </w:r>
      <w:r>
        <w:rPr>
          <w:spacing w:val="-2"/>
          <w:sz w:val="28"/>
        </w:rPr>
        <w:t>个工作日。</w:t>
      </w:r>
    </w:p>
    <w:p>
      <w:pPr>
        <w:pStyle w:val="20"/>
        <w:numPr>
          <w:ilvl w:val="1"/>
          <w:numId w:val="7"/>
        </w:numPr>
        <w:tabs>
          <w:tab w:val="left" w:pos="1343"/>
        </w:tabs>
        <w:spacing w:before="6" w:after="0" w:line="242" w:lineRule="auto"/>
        <w:ind w:left="219" w:right="426" w:firstLine="561"/>
        <w:jc w:val="left"/>
        <w:rPr>
          <w:sz w:val="28"/>
        </w:rPr>
      </w:pPr>
      <w:r>
        <w:rPr>
          <w:spacing w:val="-3"/>
          <w:sz w:val="28"/>
        </w:rPr>
        <w:t>成交通知书发出后，采购人不得违法改变成交结果，成交人无正当理由不得放弃成交。</w:t>
      </w:r>
    </w:p>
    <w:p>
      <w:pPr>
        <w:spacing w:after="0" w:line="242" w:lineRule="auto"/>
        <w:jc w:val="left"/>
        <w:rPr>
          <w:sz w:val="28"/>
        </w:rPr>
        <w:sectPr>
          <w:footerReference r:id="rId8" w:type="default"/>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p>
    <w:p>
      <w:pPr>
        <w:pStyle w:val="2"/>
        <w:spacing w:before="5"/>
        <w:ind w:left="0"/>
        <w:rPr>
          <w:sz w:val="32"/>
        </w:rPr>
      </w:pPr>
    </w:p>
    <w:p>
      <w:pPr>
        <w:pStyle w:val="20"/>
        <w:numPr>
          <w:ilvl w:val="0"/>
          <w:numId w:val="7"/>
        </w:numPr>
        <w:tabs>
          <w:tab w:val="left" w:pos="640"/>
        </w:tabs>
        <w:spacing w:before="1" w:after="0" w:line="240" w:lineRule="auto"/>
        <w:ind w:left="639" w:right="0" w:hanging="424"/>
        <w:jc w:val="left"/>
        <w:rPr>
          <w:b/>
          <w:sz w:val="28"/>
        </w:rPr>
      </w:pPr>
      <w:bookmarkStart w:id="55" w:name="23.签订合同"/>
      <w:bookmarkEnd w:id="55"/>
      <w:bookmarkStart w:id="56" w:name="_bookmark30"/>
      <w:bookmarkEnd w:id="56"/>
      <w:r>
        <w:rPr>
          <w:b/>
          <w:sz w:val="28"/>
        </w:rPr>
        <w:t>签订合同</w:t>
      </w:r>
    </w:p>
    <w:p>
      <w:pPr>
        <w:spacing w:before="1"/>
        <w:ind w:left="216" w:right="0" w:firstLine="0"/>
        <w:jc w:val="left"/>
        <w:rPr>
          <w:b/>
          <w:sz w:val="32"/>
        </w:rPr>
      </w:pPr>
      <w:r>
        <w:br w:type="column"/>
      </w:r>
      <w:bookmarkStart w:id="57" w:name="七、授予合同"/>
      <w:bookmarkEnd w:id="57"/>
      <w:r>
        <w:rPr>
          <w:b/>
          <w:sz w:val="32"/>
        </w:rPr>
        <w:t>七、授予合同</w:t>
      </w:r>
    </w:p>
    <w:p>
      <w:pPr>
        <w:spacing w:after="0"/>
        <w:jc w:val="left"/>
        <w:rPr>
          <w:sz w:val="32"/>
        </w:rPr>
        <w:sectPr>
          <w:type w:val="continuous"/>
          <w:pgSz w:w="11850" w:h="16790"/>
          <w:pgMar w:top="1580" w:right="840" w:bottom="280" w:left="1120" w:header="720" w:footer="720" w:gutter="0"/>
          <w:pgBorders>
            <w:top w:val="none" w:sz="0" w:space="0"/>
            <w:left w:val="none" w:sz="0" w:space="0"/>
            <w:bottom w:val="none" w:sz="0" w:space="0"/>
            <w:right w:val="none" w:sz="0" w:space="0"/>
          </w:pgBorders>
          <w:pgNumType w:fmt="decimal"/>
          <w:cols w:equalWidth="0" w:num="2">
            <w:col w:w="1803" w:space="1963"/>
            <w:col w:w="6124"/>
          </w:cols>
        </w:sectPr>
      </w:pPr>
    </w:p>
    <w:p>
      <w:pPr>
        <w:pStyle w:val="2"/>
        <w:spacing w:before="3" w:line="242" w:lineRule="auto"/>
        <w:ind w:right="287" w:firstLine="561"/>
      </w:pPr>
      <w:r>
        <w:t>23.１采购人与成交供应商应当在成交通知书发出之日起30日内，参照磋商文件中的合同文本以及采购标的、产品名称、规格型号、采购金额、采购数量、技术要求等事项签订政府采购合同。所签订的合同不得对磋商文件确定的事项和供应商响应文件作实质性修改。</w:t>
      </w:r>
    </w:p>
    <w:p>
      <w:pPr>
        <w:pStyle w:val="20"/>
        <w:numPr>
          <w:ilvl w:val="0"/>
          <w:numId w:val="14"/>
        </w:numPr>
        <w:tabs>
          <w:tab w:val="left" w:pos="1204"/>
        </w:tabs>
        <w:spacing w:before="3" w:after="0" w:line="242" w:lineRule="auto"/>
        <w:ind w:left="219" w:right="287" w:firstLine="561"/>
        <w:jc w:val="left"/>
        <w:rPr>
          <w:sz w:val="26"/>
        </w:rPr>
      </w:pPr>
      <w:r>
        <w:rPr>
          <w:spacing w:val="-3"/>
          <w:sz w:val="28"/>
        </w:rPr>
        <w:t>２采购人不得向成交供应商提出超出磋商文件以外的任何要求作为签订合同的条件，不得与成交供应商订立背离磋商文件确定的合同文本以及采购标的、规格型号、采购金额、采购数量、技术和服务要求等实质性内容的</w:t>
      </w:r>
      <w:r>
        <w:rPr>
          <w:spacing w:val="-2"/>
          <w:sz w:val="28"/>
        </w:rPr>
        <w:t>协议。</w:t>
      </w:r>
    </w:p>
    <w:p>
      <w:pPr>
        <w:pStyle w:val="20"/>
        <w:numPr>
          <w:ilvl w:val="1"/>
          <w:numId w:val="15"/>
        </w:numPr>
        <w:tabs>
          <w:tab w:val="left" w:pos="1343"/>
        </w:tabs>
        <w:spacing w:before="5" w:after="0" w:line="242" w:lineRule="auto"/>
        <w:ind w:left="219" w:right="426" w:firstLine="561"/>
        <w:jc w:val="both"/>
        <w:rPr>
          <w:sz w:val="28"/>
        </w:rPr>
      </w:pPr>
      <w:r>
        <w:rPr>
          <w:spacing w:val="-3"/>
          <w:sz w:val="28"/>
        </w:rPr>
        <w:t>成交供应商拒绝签订政府采购合同的，采购人可以按照本磋商文件</w:t>
      </w:r>
      <w:r>
        <w:rPr>
          <w:spacing w:val="-1"/>
          <w:sz w:val="28"/>
        </w:rPr>
        <w:t>的21.4</w:t>
      </w:r>
      <w:r>
        <w:rPr>
          <w:spacing w:val="-3"/>
          <w:sz w:val="28"/>
        </w:rPr>
        <w:t>规定的原则确定其他供应商作为成交供应商并签订政府采购合同，也可以重新开展采购活动。拒绝签订政府采购合同的成交供应商不得参加对该</w:t>
      </w:r>
    </w:p>
    <w:p>
      <w:pPr>
        <w:spacing w:after="0"/>
        <w:sectPr>
          <w:type w:val="continuous"/>
          <w:pgSz w:w="11850" w:h="16790"/>
          <w:pgMar w:top="1580" w:right="840" w:bottom="280" w:left="1120" w:header="720" w:footer="720" w:gutter="0"/>
          <w:pgBorders>
            <w:top w:val="none" w:sz="0" w:space="0"/>
            <w:left w:val="none" w:sz="0" w:space="0"/>
            <w:bottom w:val="none" w:sz="0" w:space="0"/>
            <w:right w:val="none" w:sz="0" w:space="0"/>
          </w:pgBorders>
          <w:pgNumType w:fmt="decimal"/>
          <w:cols w:space="720" w:num="1"/>
        </w:sectPr>
      </w:pPr>
    </w:p>
    <w:p>
      <w:pPr>
        <w:pStyle w:val="20"/>
        <w:numPr>
          <w:ilvl w:val="0"/>
          <w:numId w:val="0"/>
        </w:numPr>
        <w:tabs>
          <w:tab w:val="left" w:pos="1343"/>
        </w:tabs>
        <w:spacing w:before="5" w:after="0" w:line="242" w:lineRule="auto"/>
        <w:ind w:right="426" w:rightChars="0"/>
        <w:jc w:val="both"/>
        <w:rPr>
          <w:sz w:val="28"/>
        </w:rPr>
      </w:pPr>
      <w:r>
        <w:rPr>
          <w:spacing w:val="-3"/>
          <w:sz w:val="28"/>
        </w:rPr>
        <w:t>项目重新开展的采购活动。</w:t>
      </w:r>
    </w:p>
    <w:p>
      <w:pPr>
        <w:pStyle w:val="20"/>
        <w:numPr>
          <w:ilvl w:val="1"/>
          <w:numId w:val="15"/>
        </w:numPr>
        <w:tabs>
          <w:tab w:val="left" w:pos="1343"/>
        </w:tabs>
        <w:spacing w:before="5" w:after="0" w:line="242" w:lineRule="auto"/>
        <w:ind w:left="219" w:right="426" w:firstLine="561"/>
        <w:jc w:val="both"/>
        <w:rPr>
          <w:spacing w:val="-3"/>
          <w:sz w:val="28"/>
        </w:rPr>
      </w:pPr>
      <w:r>
        <w:rPr>
          <w:spacing w:val="-3"/>
          <w:sz w:val="28"/>
        </w:rPr>
        <w:t>签订合同时，成交供应商应当以支票、汇票、本票等非现金形式向采购人指定的账户交纳履约保证金。履约保证金的数额由采购人确定，但不得超出采购合同总金额的10%。签订合同时双方约定。</w:t>
      </w:r>
    </w:p>
    <w:p>
      <w:pPr>
        <w:pStyle w:val="20"/>
        <w:numPr>
          <w:ilvl w:val="1"/>
          <w:numId w:val="15"/>
        </w:numPr>
        <w:tabs>
          <w:tab w:val="left" w:pos="1480"/>
        </w:tabs>
        <w:spacing w:before="2" w:after="0" w:line="242" w:lineRule="auto"/>
        <w:ind w:left="219" w:right="287" w:firstLine="561"/>
        <w:jc w:val="left"/>
        <w:rPr>
          <w:spacing w:val="-3"/>
          <w:sz w:val="28"/>
        </w:rPr>
      </w:pPr>
      <w:r>
        <w:rPr>
          <w:spacing w:val="-3"/>
          <w:sz w:val="28"/>
        </w:rPr>
        <w:t>磋商文件、供应商的响应文件、《成交通知书》及其澄清、说明文件、承诺等，均为签订采购合同的依据，作为采购合同的组成部分。</w:t>
      </w:r>
    </w:p>
    <w:p>
      <w:pPr>
        <w:pStyle w:val="20"/>
        <w:numPr>
          <w:ilvl w:val="1"/>
          <w:numId w:val="15"/>
        </w:numPr>
        <w:tabs>
          <w:tab w:val="left" w:pos="1480"/>
        </w:tabs>
        <w:spacing w:before="2" w:after="0" w:line="242" w:lineRule="auto"/>
        <w:ind w:left="219" w:right="287" w:firstLine="561"/>
        <w:jc w:val="left"/>
        <w:rPr>
          <w:spacing w:val="-3"/>
          <w:sz w:val="28"/>
        </w:rPr>
      </w:pPr>
      <w:r>
        <w:rPr>
          <w:spacing w:val="-3"/>
          <w:sz w:val="28"/>
        </w:rPr>
        <w:t>采购合同签订之日起2个工作日内，由采购人或采购代理机构将采</w:t>
      </w:r>
    </w:p>
    <w:p>
      <w:pPr>
        <w:pStyle w:val="20"/>
        <w:numPr>
          <w:ilvl w:val="1"/>
          <w:numId w:val="15"/>
        </w:numPr>
        <w:tabs>
          <w:tab w:val="left" w:pos="1480"/>
        </w:tabs>
        <w:spacing w:before="2" w:after="0" w:line="242" w:lineRule="auto"/>
        <w:ind w:left="219" w:right="287" w:firstLine="561"/>
        <w:jc w:val="left"/>
        <w:rPr>
          <w:spacing w:val="-3"/>
          <w:sz w:val="28"/>
        </w:rPr>
      </w:pPr>
      <w:r>
        <w:rPr>
          <w:spacing w:val="-3"/>
          <w:sz w:val="28"/>
        </w:rPr>
        <w:t>购合同在青海政府采购网上公告，但采购合同中涉及国家秘密、商业秘密的内容除外。</w:t>
      </w:r>
    </w:p>
    <w:p>
      <w:pPr>
        <w:pStyle w:val="20"/>
        <w:numPr>
          <w:ilvl w:val="1"/>
          <w:numId w:val="15"/>
        </w:numPr>
        <w:tabs>
          <w:tab w:val="left" w:pos="1480"/>
        </w:tabs>
        <w:spacing w:before="2" w:after="0" w:line="242" w:lineRule="auto"/>
        <w:ind w:left="219" w:right="287" w:firstLine="561"/>
        <w:jc w:val="left"/>
        <w:rPr>
          <w:spacing w:val="-3"/>
          <w:sz w:val="28"/>
        </w:rPr>
      </w:pPr>
      <w:r>
        <w:rPr>
          <w:spacing w:val="-3"/>
          <w:sz w:val="28"/>
        </w:rPr>
        <w:t>采购人与成交人应当根据合同的约定依法履行合同义务。政府采购合同的履行、违约责任和解决争议的方法等适用《中华人民共和国合同</w:t>
      </w:r>
    </w:p>
    <w:p>
      <w:pPr>
        <w:pStyle w:val="20"/>
        <w:numPr>
          <w:ilvl w:val="1"/>
          <w:numId w:val="15"/>
        </w:numPr>
        <w:tabs>
          <w:tab w:val="left" w:pos="1480"/>
        </w:tabs>
        <w:spacing w:before="2" w:after="0" w:line="242" w:lineRule="auto"/>
        <w:ind w:left="219" w:right="287" w:firstLine="561"/>
        <w:jc w:val="left"/>
        <w:rPr>
          <w:spacing w:val="-3"/>
          <w:sz w:val="28"/>
        </w:rPr>
      </w:pPr>
      <w:r>
        <w:rPr>
          <w:spacing w:val="-3"/>
          <w:sz w:val="28"/>
        </w:rPr>
        <w:t>法》。</w:t>
      </w:r>
    </w:p>
    <w:p>
      <w:pPr>
        <w:pStyle w:val="20"/>
        <w:numPr>
          <w:ilvl w:val="1"/>
          <w:numId w:val="15"/>
        </w:numPr>
        <w:tabs>
          <w:tab w:val="left" w:pos="1480"/>
        </w:tabs>
        <w:spacing w:before="2" w:after="0" w:line="242" w:lineRule="auto"/>
        <w:ind w:left="219" w:right="287" w:firstLine="561"/>
        <w:jc w:val="left"/>
        <w:rPr>
          <w:spacing w:val="-3"/>
          <w:sz w:val="28"/>
        </w:rPr>
      </w:pPr>
      <w:r>
        <w:rPr>
          <w:spacing w:val="-3"/>
          <w:sz w:val="28"/>
        </w:rPr>
        <w:t>采购人或者采购代理机构应当按照政府采购合同规定的技术、安全标准组织对供应商履约情况进行验收，并出具验收书。验收书应当包括每一项技术、安全标准的履约情况。</w:t>
      </w:r>
    </w:p>
    <w:p>
      <w:pPr>
        <w:pStyle w:val="20"/>
        <w:numPr>
          <w:ilvl w:val="1"/>
          <w:numId w:val="15"/>
        </w:numPr>
        <w:tabs>
          <w:tab w:val="left" w:pos="1480"/>
        </w:tabs>
        <w:spacing w:before="2" w:after="0" w:line="242" w:lineRule="auto"/>
        <w:ind w:left="219" w:right="287" w:firstLine="561"/>
        <w:jc w:val="left"/>
        <w:rPr>
          <w:spacing w:val="-3"/>
          <w:sz w:val="28"/>
        </w:rPr>
      </w:pPr>
      <w:r>
        <w:rPr>
          <w:spacing w:val="-3"/>
          <w:sz w:val="28"/>
        </w:rPr>
        <w:t>采购人可以邀请参加本项目的其他供应商或者第三方机构参与验收。参与验收的供应商或者第三方机构的意见作为验收书的参考资料一并存档。</w:t>
      </w:r>
    </w:p>
    <w:p>
      <w:pPr>
        <w:pStyle w:val="20"/>
        <w:numPr>
          <w:ilvl w:val="1"/>
          <w:numId w:val="15"/>
        </w:numPr>
        <w:tabs>
          <w:tab w:val="left" w:pos="1480"/>
        </w:tabs>
        <w:spacing w:before="2" w:after="0" w:line="242" w:lineRule="auto"/>
        <w:ind w:left="219" w:right="287" w:firstLine="561"/>
        <w:jc w:val="left"/>
        <w:rPr>
          <w:sz w:val="28"/>
        </w:rPr>
      </w:pPr>
      <w:r>
        <w:rPr>
          <w:spacing w:val="-3"/>
          <w:sz w:val="28"/>
        </w:rPr>
        <w:t>采购人应当加强对成交人的履约管理，并按照采购合同约定，及时向成交人支付采购资金。对于成交人违反采购合同约定的行为，采购人应当及时处理，依法追究其违约责任。</w:t>
      </w:r>
    </w:p>
    <w:p>
      <w:pPr>
        <w:spacing w:before="1"/>
        <w:ind w:left="0" w:right="0" w:firstLine="0"/>
        <w:jc w:val="center"/>
        <w:rPr>
          <w:b/>
          <w:sz w:val="32"/>
        </w:rPr>
      </w:pPr>
      <w:bookmarkStart w:id="58" w:name="八、其他"/>
      <w:bookmarkEnd w:id="58"/>
      <w:r>
        <w:rPr>
          <w:b/>
          <w:sz w:val="32"/>
        </w:rPr>
        <w:t>八、其他</w:t>
      </w:r>
    </w:p>
    <w:p>
      <w:pPr>
        <w:pStyle w:val="20"/>
        <w:numPr>
          <w:ilvl w:val="0"/>
          <w:numId w:val="14"/>
        </w:numPr>
        <w:tabs>
          <w:tab w:val="left" w:pos="779"/>
        </w:tabs>
        <w:spacing w:before="7" w:after="0" w:line="240" w:lineRule="auto"/>
        <w:ind w:left="778" w:right="0" w:hanging="563"/>
        <w:jc w:val="both"/>
        <w:rPr>
          <w:b/>
          <w:sz w:val="28"/>
        </w:rPr>
      </w:pPr>
      <w:bookmarkStart w:id="59" w:name="_bookmark33"/>
      <w:bookmarkEnd w:id="59"/>
      <w:bookmarkStart w:id="60" w:name="24. 串通响应的情形"/>
      <w:bookmarkEnd w:id="60"/>
      <w:r>
        <w:rPr>
          <w:b/>
          <w:sz w:val="28"/>
        </w:rPr>
        <w:t>串通响应的情形</w:t>
      </w:r>
    </w:p>
    <w:p>
      <w:pPr>
        <w:pStyle w:val="20"/>
        <w:numPr>
          <w:ilvl w:val="1"/>
          <w:numId w:val="14"/>
        </w:numPr>
        <w:tabs>
          <w:tab w:val="left" w:pos="1343"/>
        </w:tabs>
        <w:spacing w:before="3" w:after="0" w:line="242" w:lineRule="auto"/>
        <w:ind w:left="219" w:right="426" w:firstLine="561"/>
        <w:jc w:val="both"/>
        <w:rPr>
          <w:sz w:val="28"/>
        </w:rPr>
      </w:pPr>
      <w:r>
        <w:rPr>
          <w:spacing w:val="-3"/>
          <w:sz w:val="28"/>
        </w:rPr>
        <w:t>供应商应当遵循公平竞争的原则，不得恶意串通，不得妨碍其他供应商的竞争行为，不得损害采购人或者其他供应商的合法权益。在磋商过程中发现供应商有下述情形的，磋商小组应当认定其响应无效，并书面报告本级财政部门。</w:t>
      </w:r>
    </w:p>
    <w:p>
      <w:pPr>
        <w:pStyle w:val="20"/>
        <w:numPr>
          <w:ilvl w:val="1"/>
          <w:numId w:val="14"/>
        </w:numPr>
        <w:tabs>
          <w:tab w:val="left" w:pos="1480"/>
        </w:tabs>
        <w:spacing w:before="3" w:after="0" w:line="240" w:lineRule="auto"/>
        <w:ind w:left="1479" w:right="0" w:hanging="700"/>
        <w:jc w:val="both"/>
        <w:rPr>
          <w:sz w:val="28"/>
        </w:rPr>
      </w:pPr>
      <w:r>
        <w:rPr>
          <w:spacing w:val="-3"/>
          <w:sz w:val="28"/>
        </w:rPr>
        <w:t>有下列情形之一的，视为供应商串通响应，其响应无效：</w:t>
      </w:r>
    </w:p>
    <w:p>
      <w:pPr>
        <w:pStyle w:val="20"/>
        <w:numPr>
          <w:ilvl w:val="0"/>
          <w:numId w:val="16"/>
        </w:numPr>
        <w:tabs>
          <w:tab w:val="left" w:pos="1483"/>
        </w:tabs>
        <w:spacing w:before="6" w:after="0" w:line="240" w:lineRule="auto"/>
        <w:ind w:left="1482" w:right="0" w:hanging="703"/>
        <w:jc w:val="left"/>
        <w:rPr>
          <w:sz w:val="28"/>
        </w:rPr>
      </w:pPr>
      <w:r>
        <w:rPr>
          <w:spacing w:val="-3"/>
          <w:sz w:val="28"/>
        </w:rPr>
        <w:t>不同供应商的响应文件由同一单位或者个人编制；</w:t>
      </w:r>
    </w:p>
    <w:p>
      <w:pPr>
        <w:pStyle w:val="20"/>
        <w:numPr>
          <w:ilvl w:val="0"/>
          <w:numId w:val="16"/>
        </w:numPr>
        <w:tabs>
          <w:tab w:val="left" w:pos="1483"/>
        </w:tabs>
        <w:spacing w:before="4" w:after="0" w:line="240" w:lineRule="auto"/>
        <w:ind w:left="1482" w:right="0" w:hanging="703"/>
        <w:jc w:val="left"/>
        <w:rPr>
          <w:sz w:val="28"/>
        </w:rPr>
      </w:pPr>
      <w:r>
        <w:rPr>
          <w:spacing w:val="-3"/>
          <w:sz w:val="28"/>
        </w:rPr>
        <w:t>不同供应商委托同一单位或者个人办理投标事宜；</w:t>
      </w:r>
    </w:p>
    <w:p>
      <w:pPr>
        <w:pStyle w:val="20"/>
        <w:numPr>
          <w:ilvl w:val="0"/>
          <w:numId w:val="16"/>
        </w:numPr>
        <w:tabs>
          <w:tab w:val="left" w:pos="1483"/>
        </w:tabs>
        <w:spacing w:before="3" w:after="0" w:line="242" w:lineRule="auto"/>
        <w:ind w:left="219" w:right="565" w:firstLine="561"/>
        <w:jc w:val="left"/>
        <w:rPr>
          <w:sz w:val="28"/>
        </w:rPr>
      </w:pPr>
      <w:r>
        <w:rPr>
          <w:spacing w:val="-3"/>
          <w:sz w:val="28"/>
        </w:rPr>
        <w:t>不同供应商的响应文件载明的项目管理成员或者联系人员为同一人；</w:t>
      </w:r>
    </w:p>
    <w:p>
      <w:pPr>
        <w:pStyle w:val="20"/>
        <w:numPr>
          <w:ilvl w:val="0"/>
          <w:numId w:val="16"/>
        </w:numPr>
        <w:tabs>
          <w:tab w:val="left" w:pos="1483"/>
        </w:tabs>
        <w:spacing w:before="3" w:after="0" w:line="240" w:lineRule="auto"/>
        <w:ind w:left="1482" w:right="0" w:hanging="703"/>
        <w:jc w:val="left"/>
        <w:rPr>
          <w:sz w:val="28"/>
        </w:rPr>
      </w:pPr>
      <w:r>
        <w:rPr>
          <w:spacing w:val="-3"/>
          <w:sz w:val="28"/>
        </w:rPr>
        <w:t>不同供应商的响应文件异常一致或者磋商报价呈规律性差异；</w:t>
      </w:r>
    </w:p>
    <w:p>
      <w:pPr>
        <w:pStyle w:val="20"/>
        <w:numPr>
          <w:ilvl w:val="0"/>
          <w:numId w:val="16"/>
        </w:numPr>
        <w:tabs>
          <w:tab w:val="left" w:pos="1483"/>
        </w:tabs>
        <w:spacing w:before="4" w:after="0" w:line="240" w:lineRule="auto"/>
        <w:ind w:left="1482" w:right="0" w:hanging="703"/>
        <w:jc w:val="left"/>
        <w:rPr>
          <w:sz w:val="28"/>
        </w:rPr>
      </w:pPr>
      <w:r>
        <w:rPr>
          <w:spacing w:val="-3"/>
          <w:sz w:val="28"/>
        </w:rPr>
        <w:t>不同供应商的响应文件相互混装；</w:t>
      </w:r>
    </w:p>
    <w:p>
      <w:pPr>
        <w:pStyle w:val="20"/>
        <w:numPr>
          <w:ilvl w:val="0"/>
          <w:numId w:val="16"/>
        </w:numPr>
        <w:tabs>
          <w:tab w:val="left" w:pos="1483"/>
        </w:tabs>
        <w:spacing w:before="3" w:after="0" w:line="240" w:lineRule="auto"/>
        <w:ind w:left="1482" w:right="0" w:hanging="703"/>
        <w:jc w:val="left"/>
        <w:rPr>
          <w:sz w:val="28"/>
        </w:rPr>
      </w:pPr>
      <w:r>
        <w:rPr>
          <w:spacing w:val="-3"/>
          <w:sz w:val="28"/>
        </w:rPr>
        <w:t>不同供应商的磋商保证金从同一单位或者个人的账户转出。</w:t>
      </w:r>
    </w:p>
    <w:p>
      <w:pPr>
        <w:pStyle w:val="20"/>
        <w:numPr>
          <w:ilvl w:val="0"/>
          <w:numId w:val="14"/>
        </w:numPr>
        <w:tabs>
          <w:tab w:val="left" w:pos="784"/>
        </w:tabs>
        <w:spacing w:before="6" w:after="0" w:line="240" w:lineRule="auto"/>
        <w:ind w:left="783" w:right="0" w:hanging="565"/>
        <w:jc w:val="left"/>
        <w:rPr>
          <w:b/>
          <w:sz w:val="28"/>
        </w:rPr>
      </w:pPr>
      <w:bookmarkStart w:id="61" w:name="_bookmark34"/>
      <w:bookmarkEnd w:id="61"/>
      <w:bookmarkStart w:id="62" w:name="25. 终止磋商活动"/>
      <w:bookmarkEnd w:id="62"/>
      <w:r>
        <w:rPr>
          <w:b/>
          <w:sz w:val="28"/>
        </w:rPr>
        <w:t>终止磋商活动</w:t>
      </w:r>
    </w:p>
    <w:p>
      <w:pPr>
        <w:pStyle w:val="20"/>
        <w:numPr>
          <w:ilvl w:val="1"/>
          <w:numId w:val="14"/>
        </w:numPr>
        <w:tabs>
          <w:tab w:val="left" w:pos="1343"/>
        </w:tabs>
        <w:spacing w:before="4" w:after="0" w:line="242" w:lineRule="auto"/>
        <w:ind w:left="219" w:right="426" w:firstLine="561"/>
        <w:jc w:val="left"/>
        <w:rPr>
          <w:sz w:val="28"/>
        </w:rPr>
      </w:pPr>
      <w:r>
        <w:rPr>
          <w:spacing w:val="-3"/>
          <w:sz w:val="28"/>
        </w:rPr>
        <w:t>出现下列情形之一的，采购人或者采购代理机构应当终止竞争性磋商采购活动，发布项目终止公告并说明原因，重新开展采购活动:</w:t>
      </w:r>
    </w:p>
    <w:p>
      <w:pPr>
        <w:spacing w:after="0" w:line="242" w:lineRule="auto"/>
        <w:sectPr>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p>
    <w:p>
      <w:pPr>
        <w:pStyle w:val="2"/>
        <w:spacing w:line="242" w:lineRule="auto"/>
        <w:ind w:right="426" w:firstLine="561"/>
        <w:jc w:val="both"/>
      </w:pPr>
      <w:bookmarkStart w:id="63" w:name="第三部分  青海省政府采购项目合同书范本"/>
      <w:bookmarkEnd w:id="63"/>
      <w:r>
        <w:rPr>
          <w:spacing w:val="-3"/>
        </w:rPr>
        <w:t xml:space="preserve">(一)因情况变化，不再符合规定的竞争性磋商采购方式适用情形的; </w:t>
      </w:r>
    </w:p>
    <w:p>
      <w:pPr>
        <w:pStyle w:val="2"/>
        <w:spacing w:line="244" w:lineRule="auto"/>
        <w:ind w:left="780" w:right="826"/>
      </w:pPr>
      <w:r>
        <w:rPr>
          <w:spacing w:val="-3"/>
        </w:rPr>
        <w:t>(二)出现影响采购公正的违法、违规行为的;</w:t>
      </w:r>
    </w:p>
    <w:p>
      <w:pPr>
        <w:pStyle w:val="2"/>
        <w:spacing w:line="242" w:lineRule="auto"/>
        <w:ind w:right="426" w:firstLine="561"/>
        <w:jc w:val="both"/>
      </w:pPr>
      <w:r>
        <w:t>(三)采购过程中符合要求的供应商（社会资本）数达不到本磋商文件要求的，采购人或者采购代理机构应当终止竞争性磋商采购活动，发布项目终止公告并说明原因，重新开展采购活动。</w:t>
      </w:r>
    </w:p>
    <w:p>
      <w:pPr>
        <w:pStyle w:val="2"/>
        <w:spacing w:line="242" w:lineRule="auto"/>
        <w:ind w:right="426" w:firstLine="561"/>
      </w:pPr>
      <w:r>
        <w:t>在采购活动中因重大变故，采购任务取消的，采购人或者采购代理机构应当终止采购活动，通知所有参加采购活动的供应商，并将项目实施情况和</w:t>
      </w:r>
    </w:p>
    <w:p>
      <w:pPr>
        <w:pStyle w:val="2"/>
        <w:spacing w:before="33"/>
      </w:pPr>
      <w:r>
        <w:t>采购任务取消原因报送本级财政部门。</w:t>
      </w:r>
    </w:p>
    <w:p>
      <w:pPr>
        <w:pStyle w:val="20"/>
        <w:numPr>
          <w:ilvl w:val="1"/>
          <w:numId w:val="14"/>
        </w:numPr>
        <w:tabs>
          <w:tab w:val="left" w:pos="1480"/>
        </w:tabs>
        <w:spacing w:before="4" w:after="0" w:line="242" w:lineRule="auto"/>
        <w:ind w:left="219" w:right="287" w:firstLine="561"/>
        <w:jc w:val="left"/>
        <w:rPr>
          <w:sz w:val="28"/>
        </w:rPr>
      </w:pPr>
      <w:r>
        <w:rPr>
          <w:spacing w:val="-3"/>
          <w:sz w:val="28"/>
        </w:rPr>
        <w:t>本次竞争性磋商采购项目，投标截止后供应商不足</w:t>
      </w:r>
      <w:r>
        <w:rPr>
          <w:sz w:val="28"/>
        </w:rPr>
        <w:t>3</w:t>
      </w:r>
      <w:r>
        <w:rPr>
          <w:spacing w:val="-2"/>
          <w:sz w:val="28"/>
        </w:rPr>
        <w:t>家或者通过响</w:t>
      </w:r>
      <w:r>
        <w:rPr>
          <w:spacing w:val="-3"/>
          <w:sz w:val="28"/>
        </w:rPr>
        <w:t>应文件的有效性、完整性和响应程度审查后的供应商不足</w:t>
      </w:r>
      <w:r>
        <w:rPr>
          <w:sz w:val="28"/>
        </w:rPr>
        <w:t>3</w:t>
      </w:r>
      <w:r>
        <w:rPr>
          <w:spacing w:val="-3"/>
          <w:sz w:val="28"/>
        </w:rPr>
        <w:t>家的，除采购任务取消情形外，按照以下方式处理：</w:t>
      </w:r>
    </w:p>
    <w:p>
      <w:pPr>
        <w:pStyle w:val="20"/>
        <w:numPr>
          <w:ilvl w:val="0"/>
          <w:numId w:val="17"/>
        </w:numPr>
        <w:tabs>
          <w:tab w:val="left" w:pos="1483"/>
        </w:tabs>
        <w:spacing w:before="2" w:after="0" w:line="242" w:lineRule="auto"/>
        <w:ind w:left="219" w:right="287" w:firstLine="561"/>
        <w:jc w:val="left"/>
        <w:rPr>
          <w:sz w:val="28"/>
        </w:rPr>
      </w:pPr>
      <w:r>
        <w:rPr>
          <w:spacing w:val="-3"/>
          <w:sz w:val="28"/>
        </w:rPr>
        <w:t>磋商文件存在不合理条款或者竞争性磋商程序不符合规定的，采购人、采购代理机构改正后依法重新竞争性磋商；</w:t>
      </w:r>
    </w:p>
    <w:p>
      <w:pPr>
        <w:pStyle w:val="20"/>
        <w:numPr>
          <w:ilvl w:val="0"/>
          <w:numId w:val="17"/>
        </w:numPr>
        <w:tabs>
          <w:tab w:val="left" w:pos="1483"/>
        </w:tabs>
        <w:spacing w:before="0" w:after="0" w:line="244" w:lineRule="auto"/>
        <w:ind w:left="219" w:right="287" w:firstLine="561"/>
        <w:jc w:val="left"/>
        <w:rPr>
          <w:sz w:val="28"/>
        </w:rPr>
      </w:pPr>
      <w:r>
        <w:rPr>
          <w:spacing w:val="-3"/>
          <w:sz w:val="28"/>
        </w:rPr>
        <w:t>磋商文件没有不合理条款、竞争性磋商程序符合规定，需要采用其他采购方式采购的，采购人应当依法报财政部门批准。</w:t>
      </w:r>
    </w:p>
    <w:p>
      <w:pPr>
        <w:pStyle w:val="20"/>
        <w:numPr>
          <w:ilvl w:val="0"/>
          <w:numId w:val="14"/>
        </w:numPr>
        <w:tabs>
          <w:tab w:val="left" w:pos="784"/>
        </w:tabs>
        <w:spacing w:before="0" w:after="0" w:line="354" w:lineRule="exact"/>
        <w:ind w:left="783" w:right="0" w:hanging="565"/>
        <w:jc w:val="left"/>
        <w:rPr>
          <w:b/>
          <w:sz w:val="28"/>
        </w:rPr>
      </w:pPr>
      <w:bookmarkStart w:id="64" w:name="26. 成交服务费"/>
      <w:bookmarkEnd w:id="64"/>
      <w:bookmarkStart w:id="65" w:name="_bookmark35"/>
      <w:bookmarkEnd w:id="65"/>
      <w:r>
        <w:rPr>
          <w:b/>
          <w:sz w:val="28"/>
        </w:rPr>
        <w:t>成交服务费</w:t>
      </w:r>
    </w:p>
    <w:p>
      <w:pPr>
        <w:pStyle w:val="20"/>
        <w:numPr>
          <w:ilvl w:val="1"/>
          <w:numId w:val="14"/>
        </w:numPr>
        <w:tabs>
          <w:tab w:val="left" w:pos="1480"/>
        </w:tabs>
        <w:spacing w:before="4" w:after="0" w:line="240" w:lineRule="auto"/>
        <w:ind w:left="1479" w:right="0" w:hanging="700"/>
        <w:jc w:val="left"/>
        <w:rPr>
          <w:sz w:val="28"/>
        </w:rPr>
      </w:pPr>
      <w:r>
        <w:rPr>
          <w:spacing w:val="-3"/>
          <w:sz w:val="28"/>
        </w:rPr>
        <w:t>收取对象：由</w:t>
      </w:r>
      <w:r>
        <w:rPr>
          <w:rFonts w:hint="eastAsia"/>
          <w:spacing w:val="-3"/>
          <w:sz w:val="28"/>
          <w:lang w:val="en-US" w:eastAsia="zh-CN"/>
        </w:rPr>
        <w:t>中标</w:t>
      </w:r>
      <w:r>
        <w:rPr>
          <w:spacing w:val="-3"/>
          <w:sz w:val="28"/>
        </w:rPr>
        <w:t>人支付。</w:t>
      </w:r>
    </w:p>
    <w:p>
      <w:pPr>
        <w:pStyle w:val="20"/>
        <w:numPr>
          <w:ilvl w:val="1"/>
          <w:numId w:val="14"/>
        </w:numPr>
        <w:tabs>
          <w:tab w:val="left" w:pos="1480"/>
        </w:tabs>
        <w:spacing w:before="6" w:after="0" w:line="242" w:lineRule="auto"/>
        <w:ind w:left="219" w:right="287" w:firstLine="561"/>
        <w:jc w:val="left"/>
        <w:rPr>
          <w:sz w:val="28"/>
        </w:rPr>
      </w:pPr>
      <w:r>
        <w:rPr>
          <w:spacing w:val="-3"/>
          <w:sz w:val="28"/>
        </w:rPr>
        <w:t>收费金额：以中标金额作为计算基数，根据《关于进一步放开建设项目专项业务服务价格的通知》</w:t>
      </w:r>
      <w:r>
        <w:rPr>
          <w:spacing w:val="-1"/>
          <w:sz w:val="28"/>
        </w:rPr>
        <w:t>（</w:t>
      </w:r>
      <w:r>
        <w:rPr>
          <w:spacing w:val="-2"/>
          <w:sz w:val="28"/>
        </w:rPr>
        <w:t>发改价格[</w:t>
      </w:r>
      <w:r>
        <w:rPr>
          <w:sz w:val="28"/>
        </w:rPr>
        <w:t>2015]299号</w:t>
      </w:r>
      <w:r>
        <w:rPr>
          <w:spacing w:val="-3"/>
          <w:sz w:val="28"/>
        </w:rPr>
        <w:t>）</w:t>
      </w:r>
      <w:r>
        <w:rPr>
          <w:spacing w:val="-2"/>
          <w:sz w:val="28"/>
        </w:rPr>
        <w:t>规定，应严格遵守</w:t>
      </w:r>
    </w:p>
    <w:p>
      <w:pPr>
        <w:pStyle w:val="2"/>
        <w:spacing w:line="242" w:lineRule="auto"/>
        <w:ind w:right="428"/>
      </w:pPr>
      <w:r>
        <w:t>《价格法》、《关于商品和服务实行明码标价的规定》等法律法规的规定确定合理的收费金额。</w:t>
      </w:r>
    </w:p>
    <w:p>
      <w:pPr>
        <w:pStyle w:val="2"/>
        <w:spacing w:before="3" w:line="242" w:lineRule="auto"/>
        <w:ind w:left="780" w:right="1547"/>
        <w:rPr>
          <w:rFonts w:hint="eastAsia" w:eastAsia="宋体"/>
          <w:lang w:eastAsia="zh-CN"/>
        </w:rPr>
      </w:pPr>
      <w:r>
        <w:t>在领取成交通知书前向采购代理机构缴交或缴交到以下账户。银行户名：</w:t>
      </w:r>
      <w:r>
        <w:rPr>
          <w:rFonts w:hint="eastAsia"/>
          <w:lang w:eastAsia="zh-CN"/>
        </w:rPr>
        <w:t>青海鑫凤林项目管理咨询有限公司　</w:t>
      </w:r>
    </w:p>
    <w:p>
      <w:pPr>
        <w:pStyle w:val="2"/>
        <w:spacing w:before="2" w:line="242" w:lineRule="auto"/>
        <w:ind w:left="780" w:right="426"/>
        <w:rPr>
          <w:rFonts w:hint="eastAsia"/>
        </w:rPr>
      </w:pPr>
      <w:r>
        <w:t>开户银行：</w:t>
      </w:r>
      <w:r>
        <w:rPr>
          <w:rFonts w:hint="eastAsia"/>
        </w:rPr>
        <w:t>上海浦东发展银行股份有限公司西宁开发区支行</w:t>
      </w:r>
    </w:p>
    <w:p>
      <w:pPr>
        <w:pStyle w:val="2"/>
        <w:spacing w:before="4" w:line="244" w:lineRule="auto"/>
        <w:ind w:right="287" w:firstLine="560" w:firstLineChars="200"/>
        <w:rPr>
          <w:rFonts w:hint="eastAsia"/>
        </w:rPr>
      </w:pPr>
      <w:r>
        <w:t>银行账号：</w:t>
      </w:r>
      <w:r>
        <w:rPr>
          <w:rFonts w:hint="eastAsia"/>
        </w:rPr>
        <w:t>3505 0078 8018 0000 0082（汇款后附项目编号）</w:t>
      </w:r>
    </w:p>
    <w:p>
      <w:pPr>
        <w:pStyle w:val="2"/>
        <w:spacing w:before="4" w:line="244" w:lineRule="auto"/>
        <w:ind w:right="287" w:firstLine="560" w:firstLineChars="200"/>
      </w:pPr>
      <w:r>
        <w:t>采购人、采购代理机构应当建立真实完整的竞争性磋商采购档案，妥善保存每项采购活动的采购文件。</w:t>
      </w:r>
    </w:p>
    <w:p>
      <w:pPr>
        <w:pStyle w:val="2"/>
        <w:spacing w:line="242" w:lineRule="auto"/>
        <w:ind w:right="426" w:firstLine="561"/>
        <w:jc w:val="both"/>
      </w:pPr>
      <w:r>
        <w:t>其他未尽事宜，按照《中华人民共和国政府采购法》、《中华人民共和国政府采购法实施条例》、《中华人民共和国合同法》等法律法规的有关条款执行。</w:t>
      </w:r>
    </w:p>
    <w:p>
      <w:pPr>
        <w:spacing w:after="0" w:line="242" w:lineRule="auto"/>
        <w:jc w:val="both"/>
        <w:sectPr>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p>
    <w:p>
      <w:pPr>
        <w:tabs>
          <w:tab w:val="left" w:pos="2221"/>
        </w:tabs>
        <w:spacing w:before="12"/>
        <w:ind w:left="13" w:right="0" w:firstLine="0"/>
        <w:jc w:val="center"/>
        <w:outlineLvl w:val="0"/>
        <w:rPr>
          <w:rFonts w:ascii="宋体" w:hAnsi="宋体" w:eastAsia="宋体" w:cs="宋体"/>
          <w:b/>
          <w:bCs/>
          <w:sz w:val="36"/>
          <w:szCs w:val="36"/>
          <w:lang w:val="zh-CN" w:eastAsia="zh-CN" w:bidi="zh-CN"/>
        </w:rPr>
      </w:pPr>
      <w:bookmarkStart w:id="66" w:name="_Toc27994"/>
      <w:r>
        <w:rPr>
          <w:rFonts w:ascii="宋体" w:hAnsi="宋体" w:eastAsia="宋体" w:cs="宋体"/>
          <w:b/>
          <w:bCs/>
          <w:sz w:val="36"/>
          <w:szCs w:val="36"/>
          <w:lang w:val="zh-CN" w:eastAsia="zh-CN" w:bidi="zh-CN"/>
        </w:rPr>
        <w:t>第三部分</w:t>
      </w:r>
      <w:r>
        <w:rPr>
          <w:rFonts w:ascii="宋体" w:hAnsi="宋体" w:eastAsia="宋体" w:cs="宋体"/>
          <w:b/>
          <w:bCs/>
          <w:sz w:val="36"/>
          <w:szCs w:val="36"/>
          <w:lang w:val="zh-CN" w:eastAsia="zh-CN" w:bidi="zh-CN"/>
        </w:rPr>
        <w:tab/>
      </w:r>
      <w:r>
        <w:rPr>
          <w:rFonts w:ascii="宋体" w:hAnsi="宋体" w:eastAsia="宋体" w:cs="宋体"/>
          <w:b/>
          <w:bCs/>
          <w:sz w:val="36"/>
          <w:szCs w:val="36"/>
          <w:lang w:val="zh-CN" w:eastAsia="zh-CN" w:bidi="zh-CN"/>
        </w:rPr>
        <w:t>青海省政府采购项目合同书范本</w:t>
      </w:r>
      <w:bookmarkEnd w:id="66"/>
    </w:p>
    <w:p>
      <w:pPr>
        <w:pStyle w:val="2"/>
        <w:ind w:left="0"/>
        <w:rPr>
          <w:b/>
          <w:sz w:val="44"/>
        </w:rPr>
      </w:pPr>
    </w:p>
    <w:p>
      <w:pPr>
        <w:pStyle w:val="2"/>
        <w:ind w:left="0"/>
        <w:rPr>
          <w:b/>
          <w:sz w:val="44"/>
        </w:rPr>
      </w:pPr>
    </w:p>
    <w:p>
      <w:pPr>
        <w:pStyle w:val="2"/>
        <w:spacing w:before="5"/>
        <w:ind w:left="0"/>
        <w:rPr>
          <w:b/>
          <w:sz w:val="58"/>
        </w:rPr>
      </w:pPr>
    </w:p>
    <w:p>
      <w:pPr>
        <w:spacing w:before="0"/>
        <w:ind w:left="6" w:right="0" w:firstLine="0"/>
        <w:jc w:val="center"/>
        <w:outlineLvl w:val="1"/>
        <w:rPr>
          <w:b/>
          <w:sz w:val="40"/>
        </w:rPr>
      </w:pPr>
      <w:bookmarkStart w:id="67" w:name="_Toc20423"/>
      <w:bookmarkStart w:id="68" w:name="_Toc11534"/>
      <w:r>
        <w:rPr>
          <w:b/>
          <w:sz w:val="40"/>
        </w:rPr>
        <w:t>青海省政府采购项目合同书</w:t>
      </w:r>
      <w:bookmarkEnd w:id="67"/>
      <w:bookmarkEnd w:id="68"/>
    </w:p>
    <w:p>
      <w:pPr>
        <w:spacing w:before="4"/>
        <w:ind w:left="0" w:right="0" w:firstLine="0"/>
        <w:jc w:val="center"/>
        <w:outlineLvl w:val="1"/>
        <w:rPr>
          <w:b/>
          <w:sz w:val="40"/>
        </w:rPr>
      </w:pPr>
      <w:bookmarkStart w:id="69" w:name="_Toc13638"/>
      <w:bookmarkStart w:id="70" w:name="_Toc276"/>
      <w:r>
        <w:rPr>
          <w:b/>
          <w:sz w:val="40"/>
        </w:rPr>
        <w:t>（货物类）</w:t>
      </w:r>
      <w:bookmarkEnd w:id="69"/>
      <w:bookmarkEnd w:id="70"/>
    </w:p>
    <w:p>
      <w:pPr>
        <w:pStyle w:val="2"/>
        <w:ind w:left="0"/>
        <w:rPr>
          <w:b/>
          <w:sz w:val="40"/>
        </w:rPr>
      </w:pPr>
    </w:p>
    <w:p>
      <w:pPr>
        <w:pStyle w:val="2"/>
        <w:ind w:left="0"/>
        <w:rPr>
          <w:b/>
          <w:sz w:val="40"/>
        </w:rPr>
      </w:pPr>
    </w:p>
    <w:p>
      <w:pPr>
        <w:pStyle w:val="2"/>
        <w:ind w:left="0"/>
        <w:rPr>
          <w:b/>
          <w:sz w:val="40"/>
        </w:rPr>
      </w:pPr>
    </w:p>
    <w:p>
      <w:pPr>
        <w:pStyle w:val="2"/>
        <w:spacing w:before="8"/>
        <w:ind w:left="0"/>
        <w:rPr>
          <w:b/>
          <w:sz w:val="52"/>
        </w:rPr>
      </w:pPr>
    </w:p>
    <w:p>
      <w:pPr>
        <w:tabs>
          <w:tab w:val="left" w:pos="4877"/>
          <w:tab w:val="left" w:pos="5038"/>
          <w:tab w:val="left" w:pos="5842"/>
        </w:tabs>
        <w:spacing w:before="0" w:line="242" w:lineRule="auto"/>
        <w:ind w:left="219" w:right="3565" w:firstLine="0"/>
        <w:jc w:val="left"/>
        <w:rPr>
          <w:b/>
          <w:sz w:val="32"/>
        </w:rPr>
      </w:pPr>
      <w:r>
        <w:rPr>
          <w:b/>
          <w:sz w:val="32"/>
        </w:rPr>
        <w:t>采购项目编号：</w:t>
      </w:r>
      <w:r>
        <w:rPr>
          <w:b/>
          <w:sz w:val="32"/>
          <w:u w:val="single"/>
        </w:rPr>
        <w:t xml:space="preserve"> </w:t>
      </w:r>
      <w:r>
        <w:rPr>
          <w:b/>
          <w:sz w:val="32"/>
          <w:u w:val="single"/>
        </w:rPr>
        <w:tab/>
      </w:r>
      <w:r>
        <w:rPr>
          <w:b/>
          <w:sz w:val="32"/>
          <w:u w:val="single"/>
        </w:rPr>
        <w:tab/>
      </w:r>
      <w:r>
        <w:rPr>
          <w:b/>
          <w:sz w:val="32"/>
          <w:u w:val="single"/>
        </w:rPr>
        <w:tab/>
      </w:r>
      <w:r>
        <w:rPr>
          <w:b/>
          <w:sz w:val="32"/>
          <w:u w:val="single"/>
        </w:rPr>
        <w:t>.</w:t>
      </w:r>
      <w:r>
        <w:rPr>
          <w:b/>
          <w:sz w:val="32"/>
        </w:rPr>
        <w:t xml:space="preserve"> 采购项目名称：</w:t>
      </w:r>
      <w:r>
        <w:rPr>
          <w:b/>
          <w:sz w:val="32"/>
          <w:u w:val="single"/>
        </w:rPr>
        <w:t xml:space="preserve"> </w:t>
      </w:r>
      <w:r>
        <w:rPr>
          <w:b/>
          <w:sz w:val="32"/>
          <w:u w:val="single"/>
        </w:rPr>
        <w:tab/>
      </w:r>
      <w:r>
        <w:rPr>
          <w:b/>
          <w:sz w:val="32"/>
          <w:u w:val="single"/>
        </w:rPr>
        <w:tab/>
      </w:r>
      <w:r>
        <w:rPr>
          <w:b/>
          <w:sz w:val="32"/>
          <w:u w:val="single"/>
        </w:rPr>
        <w:tab/>
      </w:r>
      <w:r>
        <w:rPr>
          <w:b/>
          <w:sz w:val="32"/>
          <w:u w:val="single"/>
        </w:rPr>
        <w:t>.</w:t>
      </w:r>
      <w:r>
        <w:rPr>
          <w:b/>
          <w:sz w:val="32"/>
        </w:rPr>
        <w:t xml:space="preserve"> 采购项目包号：</w:t>
      </w:r>
      <w:r>
        <w:rPr>
          <w:b/>
          <w:sz w:val="32"/>
          <w:u w:val="single"/>
        </w:rPr>
        <w:t xml:space="preserve"> </w:t>
      </w:r>
      <w:r>
        <w:rPr>
          <w:b/>
          <w:sz w:val="32"/>
          <w:u w:val="single"/>
        </w:rPr>
        <w:tab/>
      </w:r>
      <w:r>
        <w:rPr>
          <w:b/>
          <w:sz w:val="32"/>
          <w:u w:val="single"/>
        </w:rPr>
        <w:tab/>
      </w:r>
      <w:r>
        <w:rPr>
          <w:b/>
          <w:sz w:val="32"/>
          <w:u w:val="single"/>
        </w:rPr>
        <w:tab/>
      </w:r>
      <w:r>
        <w:rPr>
          <w:b/>
          <w:sz w:val="32"/>
          <w:u w:val="single"/>
        </w:rPr>
        <w:t>.</w:t>
      </w:r>
      <w:r>
        <w:rPr>
          <w:b/>
          <w:sz w:val="32"/>
        </w:rPr>
        <w:t xml:space="preserve"> 采购合同编号：</w:t>
      </w:r>
      <w:r>
        <w:rPr>
          <w:b/>
          <w:sz w:val="32"/>
          <w:u w:val="single"/>
        </w:rPr>
        <w:t xml:space="preserve"> </w:t>
      </w:r>
      <w:r>
        <w:rPr>
          <w:b/>
          <w:sz w:val="32"/>
          <w:u w:val="single"/>
        </w:rPr>
        <w:tab/>
      </w:r>
      <w:r>
        <w:rPr>
          <w:b/>
          <w:sz w:val="32"/>
          <w:u w:val="single"/>
        </w:rPr>
        <w:tab/>
      </w:r>
      <w:r>
        <w:rPr>
          <w:b/>
          <w:sz w:val="32"/>
          <w:u w:val="single"/>
        </w:rPr>
        <w:tab/>
      </w:r>
      <w:r>
        <w:rPr>
          <w:b/>
          <w:sz w:val="32"/>
          <w:u w:val="single"/>
        </w:rPr>
        <w:t>.</w:t>
      </w:r>
      <w:r>
        <w:rPr>
          <w:b/>
          <w:sz w:val="32"/>
        </w:rPr>
        <w:t xml:space="preserve"> 合同金额（人民币）：</w:t>
      </w:r>
      <w:r>
        <w:rPr>
          <w:b/>
          <w:sz w:val="32"/>
          <w:u w:val="single"/>
        </w:rPr>
        <w:t xml:space="preserve"> </w:t>
      </w:r>
      <w:r>
        <w:rPr>
          <w:b/>
          <w:sz w:val="32"/>
          <w:u w:val="single"/>
        </w:rPr>
        <w:tab/>
      </w:r>
      <w:r>
        <w:rPr>
          <w:b/>
          <w:sz w:val="32"/>
          <w:u w:val="single"/>
        </w:rPr>
        <w:tab/>
      </w:r>
      <w:r>
        <w:rPr>
          <w:b/>
          <w:sz w:val="32"/>
          <w:u w:val="single"/>
        </w:rPr>
        <w:tab/>
      </w:r>
      <w:r>
        <w:rPr>
          <w:b/>
          <w:sz w:val="32"/>
          <w:u w:val="single"/>
        </w:rPr>
        <w:t>.</w:t>
      </w:r>
      <w:r>
        <w:rPr>
          <w:b/>
          <w:sz w:val="32"/>
        </w:rPr>
        <w:t xml:space="preserve"> 采购人（甲方）：</w:t>
      </w:r>
      <w:r>
        <w:rPr>
          <w:b/>
          <w:sz w:val="32"/>
          <w:u w:val="single"/>
        </w:rPr>
        <w:t xml:space="preserve"> </w:t>
      </w:r>
      <w:r>
        <w:rPr>
          <w:b/>
          <w:sz w:val="32"/>
          <w:u w:val="single"/>
        </w:rPr>
        <w:tab/>
      </w:r>
      <w:r>
        <w:rPr>
          <w:b/>
          <w:sz w:val="32"/>
          <w:u w:val="single"/>
        </w:rPr>
        <w:t xml:space="preserve">（盖章） </w:t>
      </w:r>
      <w:r>
        <w:rPr>
          <w:b/>
          <w:sz w:val="32"/>
        </w:rPr>
        <w:t>成交供应商（乙方）：</w:t>
      </w:r>
      <w:r>
        <w:rPr>
          <w:b/>
          <w:sz w:val="32"/>
          <w:u w:val="single"/>
        </w:rPr>
        <w:t xml:space="preserve"> </w:t>
      </w:r>
      <w:r>
        <w:rPr>
          <w:b/>
          <w:sz w:val="32"/>
          <w:u w:val="single"/>
        </w:rPr>
        <w:tab/>
      </w:r>
      <w:r>
        <w:rPr>
          <w:b/>
          <w:sz w:val="32"/>
          <w:u w:val="single"/>
        </w:rPr>
        <w:tab/>
      </w:r>
      <w:r>
        <w:rPr>
          <w:b/>
          <w:sz w:val="32"/>
          <w:u w:val="single"/>
        </w:rPr>
        <w:t>（盖章</w:t>
      </w:r>
      <w:r>
        <w:rPr>
          <w:b/>
          <w:spacing w:val="-15"/>
          <w:sz w:val="32"/>
          <w:u w:val="single"/>
        </w:rPr>
        <w:t>）</w:t>
      </w:r>
    </w:p>
    <w:p>
      <w:pPr>
        <w:spacing w:after="0" w:line="242" w:lineRule="auto"/>
        <w:jc w:val="left"/>
        <w:rPr>
          <w:sz w:val="32"/>
        </w:rPr>
        <w:sectPr>
          <w:pgSz w:w="11850" w:h="16790"/>
          <w:pgMar w:top="1380" w:right="840" w:bottom="1440" w:left="1120" w:header="0" w:footer="1259" w:gutter="0"/>
          <w:pgBorders>
            <w:top w:val="none" w:sz="0" w:space="0"/>
            <w:left w:val="none" w:sz="0" w:space="0"/>
            <w:bottom w:val="none" w:sz="0" w:space="0"/>
            <w:right w:val="none" w:sz="0" w:space="0"/>
          </w:pgBorders>
          <w:pgNumType w:fmt="decimal"/>
          <w:cols w:space="720" w:num="1"/>
        </w:sectPr>
      </w:pPr>
    </w:p>
    <w:p>
      <w:pPr>
        <w:spacing w:before="33" w:line="242" w:lineRule="auto"/>
        <w:ind w:left="219" w:right="6013" w:firstLine="0"/>
        <w:jc w:val="left"/>
        <w:outlineLvl w:val="1"/>
        <w:rPr>
          <w:b/>
          <w:sz w:val="28"/>
        </w:rPr>
      </w:pPr>
      <w:bookmarkStart w:id="71" w:name="_Toc21610"/>
      <w:bookmarkStart w:id="72" w:name="_Toc20718"/>
      <w:r>
        <w:rPr>
          <w:b/>
          <w:spacing w:val="-2"/>
          <w:sz w:val="28"/>
        </w:rPr>
        <w:t>采 购 人</w:t>
      </w:r>
      <w:r>
        <w:rPr>
          <w:b/>
          <w:sz w:val="28"/>
        </w:rPr>
        <w:t>（以下简称甲方</w:t>
      </w:r>
      <w:r>
        <w:rPr>
          <w:b/>
          <w:spacing w:val="-7"/>
          <w:sz w:val="28"/>
        </w:rPr>
        <w:t xml:space="preserve">）： </w:t>
      </w:r>
      <w:r>
        <w:rPr>
          <w:b/>
          <w:spacing w:val="-2"/>
          <w:sz w:val="28"/>
        </w:rPr>
        <w:t>中 标 人</w:t>
      </w:r>
      <w:r>
        <w:rPr>
          <w:b/>
          <w:sz w:val="28"/>
        </w:rPr>
        <w:t>（以下简称乙方</w:t>
      </w:r>
      <w:r>
        <w:rPr>
          <w:b/>
          <w:spacing w:val="-7"/>
          <w:sz w:val="28"/>
        </w:rPr>
        <w:t>）：</w:t>
      </w:r>
      <w:bookmarkEnd w:id="71"/>
      <w:bookmarkEnd w:id="72"/>
    </w:p>
    <w:p>
      <w:pPr>
        <w:pStyle w:val="2"/>
        <w:spacing w:line="242" w:lineRule="auto"/>
        <w:ind w:right="227" w:firstLine="480"/>
      </w:pPr>
      <w:r>
        <w:rPr>
          <w:spacing w:val="-3"/>
        </w:rPr>
        <w:t>甲、乙双方根据</w:t>
      </w:r>
      <w:r>
        <w:rPr>
          <w:rFonts w:hint="eastAsia"/>
          <w:spacing w:val="-1"/>
          <w:lang w:val="en-US" w:eastAsia="zh-CN"/>
        </w:rPr>
        <w:t>X</w:t>
      </w:r>
      <w:r>
        <w:rPr>
          <w:spacing w:val="-1"/>
        </w:rPr>
        <w:t>X年XX</w:t>
      </w:r>
      <w:r>
        <w:rPr>
          <w:spacing w:val="-3"/>
        </w:rPr>
        <w:t>月</w:t>
      </w:r>
      <w:r>
        <w:t>XX日</w:t>
      </w:r>
      <w:r>
        <w:rPr>
          <w:spacing w:val="-3"/>
        </w:rPr>
        <w:t>（</w:t>
      </w:r>
      <w:r>
        <w:rPr>
          <w:spacing w:val="-3"/>
          <w:u w:val="single"/>
        </w:rPr>
        <w:t>采购项目名称</w:t>
      </w:r>
      <w:r>
        <w:rPr>
          <w:u w:val="single"/>
        </w:rPr>
        <w:t>）</w:t>
      </w:r>
      <w:r>
        <w:rPr>
          <w:spacing w:val="-2"/>
        </w:rPr>
        <w:t>采购项目</w:t>
      </w:r>
      <w:r>
        <w:rPr>
          <w:spacing w:val="-3"/>
        </w:rPr>
        <w:t>（</w:t>
      </w:r>
      <w:r>
        <w:rPr>
          <w:spacing w:val="-2"/>
          <w:u w:val="single"/>
        </w:rPr>
        <w:t>采购项目编</w:t>
      </w:r>
      <w:r>
        <w:rPr>
          <w:spacing w:val="-277"/>
          <w:u w:val="single"/>
        </w:rPr>
        <w:t>号</w:t>
      </w:r>
      <w:r>
        <w:rPr>
          <w:spacing w:val="-119"/>
          <w:u w:val="single"/>
        </w:rPr>
        <w:t xml:space="preserve"> </w:t>
      </w:r>
      <w:r>
        <w:rPr>
          <w:spacing w:val="-261"/>
        </w:rPr>
        <w:t>）</w:t>
      </w:r>
      <w:r>
        <w:rPr>
          <w:spacing w:val="-3"/>
        </w:rPr>
        <w:t>的磋商文件要求和</w:t>
      </w:r>
      <w:r>
        <w:rPr>
          <w:spacing w:val="-3"/>
          <w:u w:val="thick"/>
        </w:rPr>
        <w:t>采购人采购代理机构</w:t>
      </w:r>
      <w:r>
        <w:rPr>
          <w:spacing w:val="-3"/>
        </w:rPr>
        <w:t>出具的《成交通知书》，并经双方协商一致，签订本合同协议书。</w:t>
      </w:r>
    </w:p>
    <w:p>
      <w:pPr>
        <w:pStyle w:val="2"/>
        <w:spacing w:before="3"/>
        <w:outlineLvl w:val="1"/>
      </w:pPr>
      <w:bookmarkStart w:id="73" w:name="_Toc26183"/>
      <w:bookmarkStart w:id="74" w:name="_Toc12362"/>
      <w:r>
        <w:t>一、签订本政府采购合同的依据</w:t>
      </w:r>
      <w:bookmarkEnd w:id="73"/>
      <w:bookmarkEnd w:id="74"/>
    </w:p>
    <w:p>
      <w:pPr>
        <w:pStyle w:val="2"/>
        <w:spacing w:before="3" w:line="244" w:lineRule="auto"/>
        <w:ind w:left="780" w:right="374" w:firstLine="36"/>
      </w:pPr>
      <w:r>
        <w:t>本政府采购合同所附下列文件是构成本政府采购合同不可分割的部分： 1.磋商文件；</w:t>
      </w:r>
    </w:p>
    <w:p>
      <w:pPr>
        <w:pStyle w:val="20"/>
        <w:numPr>
          <w:ilvl w:val="0"/>
          <w:numId w:val="18"/>
        </w:numPr>
        <w:tabs>
          <w:tab w:val="left" w:pos="1062"/>
        </w:tabs>
        <w:spacing w:before="0" w:after="0" w:line="354" w:lineRule="exact"/>
        <w:ind w:left="1061" w:right="0" w:hanging="282"/>
        <w:jc w:val="left"/>
        <w:rPr>
          <w:sz w:val="28"/>
        </w:rPr>
      </w:pPr>
      <w:r>
        <w:rPr>
          <w:spacing w:val="-3"/>
          <w:sz w:val="28"/>
        </w:rPr>
        <w:t>磋商文件的澄清、变更公告；</w:t>
      </w:r>
    </w:p>
    <w:p>
      <w:pPr>
        <w:pStyle w:val="20"/>
        <w:numPr>
          <w:ilvl w:val="0"/>
          <w:numId w:val="18"/>
        </w:numPr>
        <w:tabs>
          <w:tab w:val="left" w:pos="1062"/>
        </w:tabs>
        <w:spacing w:before="4" w:after="0" w:line="240" w:lineRule="auto"/>
        <w:ind w:left="1061" w:right="0" w:hanging="282"/>
        <w:jc w:val="left"/>
        <w:rPr>
          <w:sz w:val="28"/>
        </w:rPr>
      </w:pPr>
      <w:r>
        <w:rPr>
          <w:spacing w:val="-3"/>
          <w:sz w:val="28"/>
        </w:rPr>
        <w:t>成交人提交的响应文件；</w:t>
      </w:r>
    </w:p>
    <w:p>
      <w:pPr>
        <w:pStyle w:val="20"/>
        <w:numPr>
          <w:ilvl w:val="0"/>
          <w:numId w:val="18"/>
        </w:numPr>
        <w:tabs>
          <w:tab w:val="left" w:pos="1062"/>
        </w:tabs>
        <w:spacing w:before="6" w:after="0" w:line="240" w:lineRule="auto"/>
        <w:ind w:left="1061" w:right="0" w:hanging="282"/>
        <w:jc w:val="left"/>
        <w:rPr>
          <w:sz w:val="28"/>
        </w:rPr>
      </w:pPr>
      <w:r>
        <w:rPr>
          <w:spacing w:val="-3"/>
          <w:sz w:val="28"/>
        </w:rPr>
        <w:t>磋商文件中规定的政府采购合同通用条款；</w:t>
      </w:r>
    </w:p>
    <w:p>
      <w:pPr>
        <w:pStyle w:val="20"/>
        <w:numPr>
          <w:ilvl w:val="0"/>
          <w:numId w:val="18"/>
        </w:numPr>
        <w:tabs>
          <w:tab w:val="left" w:pos="1062"/>
        </w:tabs>
        <w:spacing w:before="4" w:after="0" w:line="240" w:lineRule="auto"/>
        <w:ind w:left="1061" w:right="0" w:hanging="282"/>
        <w:jc w:val="left"/>
        <w:rPr>
          <w:sz w:val="28"/>
        </w:rPr>
      </w:pPr>
      <w:r>
        <w:rPr>
          <w:spacing w:val="-3"/>
          <w:sz w:val="28"/>
        </w:rPr>
        <w:t>成交通知书；</w:t>
      </w:r>
    </w:p>
    <w:p>
      <w:pPr>
        <w:pStyle w:val="2"/>
        <w:tabs>
          <w:tab w:val="left" w:pos="8199"/>
        </w:tabs>
        <w:spacing w:before="3" w:after="4"/>
        <w:outlineLvl w:val="1"/>
      </w:pPr>
      <w:bookmarkStart w:id="75" w:name="_Toc19819"/>
      <w:bookmarkStart w:id="76" w:name="_Toc2114"/>
      <w:r>
        <w:t>二</w:t>
      </w:r>
      <w:r>
        <w:rPr>
          <w:spacing w:val="-3"/>
        </w:rPr>
        <w:t>、</w:t>
      </w:r>
      <w:r>
        <w:t>合同</w:t>
      </w:r>
      <w:r>
        <w:rPr>
          <w:spacing w:val="-3"/>
        </w:rPr>
        <w:t>标</w:t>
      </w:r>
      <w:r>
        <w:t>的及</w:t>
      </w:r>
      <w:r>
        <w:rPr>
          <w:spacing w:val="-3"/>
        </w:rPr>
        <w:t>金</w:t>
      </w:r>
      <w:r>
        <w:t>额</w:t>
      </w:r>
      <w:r>
        <w:tab/>
      </w:r>
      <w:r>
        <w:t>单</w:t>
      </w:r>
      <w:r>
        <w:rPr>
          <w:spacing w:val="-3"/>
        </w:rPr>
        <w:t>位</w:t>
      </w:r>
      <w:r>
        <w:t>：元</w:t>
      </w:r>
      <w:bookmarkEnd w:id="75"/>
      <w:bookmarkEnd w:id="76"/>
    </w:p>
    <w:tbl>
      <w:tblPr>
        <w:tblStyle w:val="16"/>
        <w:tblW w:w="0" w:type="auto"/>
        <w:tblInd w:w="5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71"/>
        <w:gridCol w:w="1899"/>
        <w:gridCol w:w="990"/>
        <w:gridCol w:w="945"/>
        <w:gridCol w:w="1020"/>
        <w:gridCol w:w="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16" w:type="dxa"/>
          </w:tcPr>
          <w:p>
            <w:pPr>
              <w:pStyle w:val="21"/>
              <w:spacing w:before="3" w:line="340" w:lineRule="exact"/>
              <w:ind w:left="128"/>
              <w:rPr>
                <w:sz w:val="28"/>
              </w:rPr>
            </w:pPr>
            <w:r>
              <w:rPr>
                <w:rFonts w:hint="eastAsia"/>
                <w:sz w:val="28"/>
                <w:lang w:val="en-US" w:eastAsia="zh-CN"/>
              </w:rPr>
              <w:t>序</w:t>
            </w:r>
            <w:r>
              <w:rPr>
                <w:sz w:val="28"/>
              </w:rPr>
              <w:t>号</w:t>
            </w:r>
          </w:p>
        </w:tc>
        <w:tc>
          <w:tcPr>
            <w:tcW w:w="2271" w:type="dxa"/>
          </w:tcPr>
          <w:p>
            <w:pPr>
              <w:pStyle w:val="21"/>
              <w:spacing w:before="3" w:line="340" w:lineRule="exact"/>
              <w:ind w:left="574"/>
              <w:rPr>
                <w:sz w:val="28"/>
              </w:rPr>
            </w:pPr>
            <w:r>
              <w:rPr>
                <w:sz w:val="28"/>
              </w:rPr>
              <w:t>标的名称</w:t>
            </w:r>
          </w:p>
        </w:tc>
        <w:tc>
          <w:tcPr>
            <w:tcW w:w="1899" w:type="dxa"/>
          </w:tcPr>
          <w:p>
            <w:pPr>
              <w:pStyle w:val="21"/>
              <w:spacing w:before="3" w:line="340" w:lineRule="exact"/>
              <w:ind w:left="389"/>
              <w:rPr>
                <w:sz w:val="28"/>
              </w:rPr>
            </w:pPr>
            <w:r>
              <w:rPr>
                <w:sz w:val="28"/>
              </w:rPr>
              <w:t>规格型号</w:t>
            </w:r>
          </w:p>
        </w:tc>
        <w:tc>
          <w:tcPr>
            <w:tcW w:w="990" w:type="dxa"/>
          </w:tcPr>
          <w:p>
            <w:pPr>
              <w:pStyle w:val="21"/>
              <w:spacing w:before="3" w:line="340" w:lineRule="exact"/>
              <w:ind w:left="213"/>
              <w:rPr>
                <w:sz w:val="28"/>
              </w:rPr>
            </w:pPr>
            <w:r>
              <w:rPr>
                <w:sz w:val="28"/>
              </w:rPr>
              <w:t>数量</w:t>
            </w:r>
          </w:p>
        </w:tc>
        <w:tc>
          <w:tcPr>
            <w:tcW w:w="945" w:type="dxa"/>
          </w:tcPr>
          <w:p>
            <w:pPr>
              <w:pStyle w:val="21"/>
              <w:spacing w:before="3" w:line="340" w:lineRule="exact"/>
              <w:ind w:left="190"/>
              <w:rPr>
                <w:sz w:val="28"/>
              </w:rPr>
            </w:pPr>
            <w:r>
              <w:rPr>
                <w:sz w:val="28"/>
              </w:rPr>
              <w:t>单价</w:t>
            </w:r>
          </w:p>
        </w:tc>
        <w:tc>
          <w:tcPr>
            <w:tcW w:w="1020" w:type="dxa"/>
          </w:tcPr>
          <w:p>
            <w:pPr>
              <w:pStyle w:val="21"/>
              <w:spacing w:before="3" w:line="340" w:lineRule="exact"/>
              <w:ind w:left="229"/>
              <w:rPr>
                <w:sz w:val="28"/>
              </w:rPr>
            </w:pPr>
            <w:r>
              <w:rPr>
                <w:sz w:val="28"/>
              </w:rPr>
              <w:t>总价</w:t>
            </w:r>
          </w:p>
        </w:tc>
        <w:tc>
          <w:tcPr>
            <w:tcW w:w="860" w:type="dxa"/>
          </w:tcPr>
          <w:p>
            <w:pPr>
              <w:pStyle w:val="21"/>
              <w:spacing w:before="3" w:line="340" w:lineRule="exact"/>
              <w:ind w:left="150"/>
              <w:rPr>
                <w:sz w:val="28"/>
              </w:rPr>
            </w:pPr>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16" w:type="dxa"/>
          </w:tcPr>
          <w:p>
            <w:pPr>
              <w:pStyle w:val="21"/>
              <w:rPr>
                <w:rFonts w:ascii="Times New Roman"/>
                <w:sz w:val="28"/>
              </w:rPr>
            </w:pPr>
          </w:p>
        </w:tc>
        <w:tc>
          <w:tcPr>
            <w:tcW w:w="2271" w:type="dxa"/>
          </w:tcPr>
          <w:p>
            <w:pPr>
              <w:pStyle w:val="21"/>
              <w:rPr>
                <w:rFonts w:ascii="Times New Roman"/>
                <w:sz w:val="28"/>
              </w:rPr>
            </w:pPr>
          </w:p>
        </w:tc>
        <w:tc>
          <w:tcPr>
            <w:tcW w:w="1899" w:type="dxa"/>
          </w:tcPr>
          <w:p>
            <w:pPr>
              <w:pStyle w:val="21"/>
              <w:rPr>
                <w:rFonts w:ascii="Times New Roman"/>
                <w:sz w:val="28"/>
              </w:rPr>
            </w:pPr>
          </w:p>
        </w:tc>
        <w:tc>
          <w:tcPr>
            <w:tcW w:w="990" w:type="dxa"/>
          </w:tcPr>
          <w:p>
            <w:pPr>
              <w:pStyle w:val="21"/>
              <w:rPr>
                <w:rFonts w:ascii="Times New Roman"/>
                <w:sz w:val="28"/>
              </w:rPr>
            </w:pPr>
          </w:p>
        </w:tc>
        <w:tc>
          <w:tcPr>
            <w:tcW w:w="945" w:type="dxa"/>
          </w:tcPr>
          <w:p>
            <w:pPr>
              <w:pStyle w:val="21"/>
              <w:rPr>
                <w:rFonts w:ascii="Times New Roman"/>
                <w:sz w:val="28"/>
              </w:rPr>
            </w:pPr>
          </w:p>
        </w:tc>
        <w:tc>
          <w:tcPr>
            <w:tcW w:w="1020" w:type="dxa"/>
          </w:tcPr>
          <w:p>
            <w:pPr>
              <w:pStyle w:val="21"/>
              <w:rPr>
                <w:rFonts w:ascii="Times New Roman"/>
                <w:sz w:val="28"/>
              </w:rPr>
            </w:pPr>
          </w:p>
        </w:tc>
        <w:tc>
          <w:tcPr>
            <w:tcW w:w="860" w:type="dxa"/>
          </w:tcPr>
          <w:p>
            <w:pPr>
              <w:pStyle w:val="2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16" w:type="dxa"/>
          </w:tcPr>
          <w:p>
            <w:pPr>
              <w:pStyle w:val="21"/>
              <w:rPr>
                <w:rFonts w:ascii="Times New Roman"/>
                <w:sz w:val="28"/>
              </w:rPr>
            </w:pPr>
          </w:p>
        </w:tc>
        <w:tc>
          <w:tcPr>
            <w:tcW w:w="2271" w:type="dxa"/>
          </w:tcPr>
          <w:p>
            <w:pPr>
              <w:pStyle w:val="21"/>
              <w:rPr>
                <w:rFonts w:ascii="Times New Roman"/>
                <w:sz w:val="28"/>
              </w:rPr>
            </w:pPr>
          </w:p>
        </w:tc>
        <w:tc>
          <w:tcPr>
            <w:tcW w:w="1899" w:type="dxa"/>
          </w:tcPr>
          <w:p>
            <w:pPr>
              <w:pStyle w:val="21"/>
              <w:rPr>
                <w:rFonts w:ascii="Times New Roman"/>
                <w:sz w:val="28"/>
              </w:rPr>
            </w:pPr>
          </w:p>
        </w:tc>
        <w:tc>
          <w:tcPr>
            <w:tcW w:w="990" w:type="dxa"/>
          </w:tcPr>
          <w:p>
            <w:pPr>
              <w:pStyle w:val="21"/>
              <w:rPr>
                <w:rFonts w:ascii="Times New Roman"/>
                <w:sz w:val="28"/>
              </w:rPr>
            </w:pPr>
          </w:p>
        </w:tc>
        <w:tc>
          <w:tcPr>
            <w:tcW w:w="945" w:type="dxa"/>
          </w:tcPr>
          <w:p>
            <w:pPr>
              <w:pStyle w:val="21"/>
              <w:rPr>
                <w:rFonts w:ascii="Times New Roman"/>
                <w:sz w:val="28"/>
              </w:rPr>
            </w:pPr>
          </w:p>
        </w:tc>
        <w:tc>
          <w:tcPr>
            <w:tcW w:w="1020" w:type="dxa"/>
          </w:tcPr>
          <w:p>
            <w:pPr>
              <w:pStyle w:val="21"/>
              <w:rPr>
                <w:rFonts w:ascii="Times New Roman"/>
                <w:sz w:val="28"/>
              </w:rPr>
            </w:pPr>
          </w:p>
        </w:tc>
        <w:tc>
          <w:tcPr>
            <w:tcW w:w="860" w:type="dxa"/>
          </w:tcPr>
          <w:p>
            <w:pPr>
              <w:pStyle w:val="2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16" w:type="dxa"/>
          </w:tcPr>
          <w:p>
            <w:pPr>
              <w:pStyle w:val="21"/>
              <w:rPr>
                <w:rFonts w:ascii="Times New Roman"/>
                <w:sz w:val="28"/>
              </w:rPr>
            </w:pPr>
          </w:p>
        </w:tc>
        <w:tc>
          <w:tcPr>
            <w:tcW w:w="2271" w:type="dxa"/>
          </w:tcPr>
          <w:p>
            <w:pPr>
              <w:pStyle w:val="21"/>
              <w:rPr>
                <w:rFonts w:ascii="Times New Roman"/>
                <w:sz w:val="28"/>
              </w:rPr>
            </w:pPr>
          </w:p>
        </w:tc>
        <w:tc>
          <w:tcPr>
            <w:tcW w:w="1899" w:type="dxa"/>
          </w:tcPr>
          <w:p>
            <w:pPr>
              <w:pStyle w:val="21"/>
              <w:rPr>
                <w:rFonts w:ascii="Times New Roman"/>
                <w:sz w:val="28"/>
              </w:rPr>
            </w:pPr>
          </w:p>
        </w:tc>
        <w:tc>
          <w:tcPr>
            <w:tcW w:w="990" w:type="dxa"/>
          </w:tcPr>
          <w:p>
            <w:pPr>
              <w:pStyle w:val="21"/>
              <w:rPr>
                <w:rFonts w:ascii="Times New Roman"/>
                <w:sz w:val="28"/>
              </w:rPr>
            </w:pPr>
          </w:p>
        </w:tc>
        <w:tc>
          <w:tcPr>
            <w:tcW w:w="945" w:type="dxa"/>
          </w:tcPr>
          <w:p>
            <w:pPr>
              <w:pStyle w:val="21"/>
              <w:rPr>
                <w:rFonts w:ascii="Times New Roman"/>
                <w:sz w:val="28"/>
              </w:rPr>
            </w:pPr>
          </w:p>
        </w:tc>
        <w:tc>
          <w:tcPr>
            <w:tcW w:w="1020" w:type="dxa"/>
          </w:tcPr>
          <w:p>
            <w:pPr>
              <w:pStyle w:val="21"/>
              <w:rPr>
                <w:rFonts w:ascii="Times New Roman"/>
                <w:sz w:val="28"/>
              </w:rPr>
            </w:pPr>
          </w:p>
        </w:tc>
        <w:tc>
          <w:tcPr>
            <w:tcW w:w="860" w:type="dxa"/>
          </w:tcPr>
          <w:p>
            <w:pPr>
              <w:pStyle w:val="21"/>
              <w:rPr>
                <w:rFonts w:ascii="Times New Roman"/>
                <w:sz w:val="28"/>
              </w:rPr>
            </w:pPr>
          </w:p>
        </w:tc>
      </w:tr>
    </w:tbl>
    <w:p>
      <w:pPr>
        <w:pStyle w:val="2"/>
        <w:tabs>
          <w:tab w:val="left" w:pos="9739"/>
        </w:tabs>
        <w:spacing w:before="4"/>
        <w:rPr>
          <w:rFonts w:ascii="Times New Roman" w:eastAsia="Times New Roman"/>
        </w:rPr>
      </w:pPr>
      <w:r>
        <w:rPr>
          <w:spacing w:val="-1"/>
        </w:rPr>
        <w:t>根</w:t>
      </w:r>
      <w:r>
        <w:rPr>
          <w:spacing w:val="-3"/>
        </w:rPr>
        <w:t>据</w:t>
      </w:r>
      <w:r>
        <w:rPr>
          <w:spacing w:val="-1"/>
        </w:rPr>
        <w:t>上述</w:t>
      </w:r>
      <w:r>
        <w:rPr>
          <w:spacing w:val="-3"/>
        </w:rPr>
        <w:t>政</w:t>
      </w:r>
      <w:r>
        <w:rPr>
          <w:spacing w:val="-1"/>
        </w:rPr>
        <w:t>府采</w:t>
      </w:r>
      <w:r>
        <w:rPr>
          <w:spacing w:val="-3"/>
        </w:rPr>
        <w:t>购</w:t>
      </w:r>
      <w:r>
        <w:rPr>
          <w:spacing w:val="-1"/>
        </w:rPr>
        <w:t>合同</w:t>
      </w:r>
      <w:r>
        <w:rPr>
          <w:spacing w:val="-3"/>
        </w:rPr>
        <w:t>文</w:t>
      </w:r>
      <w:r>
        <w:rPr>
          <w:spacing w:val="-1"/>
        </w:rPr>
        <w:t>件要</w:t>
      </w:r>
      <w:r>
        <w:rPr>
          <w:spacing w:val="-3"/>
        </w:rPr>
        <w:t>求</w:t>
      </w:r>
      <w:r>
        <w:rPr>
          <w:spacing w:val="-1"/>
        </w:rPr>
        <w:t>，本</w:t>
      </w:r>
      <w:r>
        <w:rPr>
          <w:spacing w:val="-3"/>
        </w:rPr>
        <w:t>政</w:t>
      </w:r>
      <w:r>
        <w:rPr>
          <w:spacing w:val="-1"/>
        </w:rPr>
        <w:t>府采</w:t>
      </w:r>
      <w:r>
        <w:rPr>
          <w:spacing w:val="-3"/>
        </w:rPr>
        <w:t>购</w:t>
      </w:r>
      <w:r>
        <w:rPr>
          <w:spacing w:val="-1"/>
        </w:rPr>
        <w:t>合同</w:t>
      </w:r>
      <w:r>
        <w:rPr>
          <w:spacing w:val="-3"/>
        </w:rPr>
        <w:t>的</w:t>
      </w:r>
      <w:r>
        <w:rPr>
          <w:spacing w:val="-1"/>
        </w:rPr>
        <w:t>总金</w:t>
      </w:r>
      <w:r>
        <w:rPr>
          <w:spacing w:val="-3"/>
        </w:rPr>
        <w:t>额</w:t>
      </w:r>
      <w:r>
        <w:rPr>
          <w:spacing w:val="-1"/>
        </w:rPr>
        <w:t>为人</w:t>
      </w:r>
      <w:r>
        <w:rPr>
          <w:spacing w:val="-3"/>
        </w:rPr>
        <w:t>民</w:t>
      </w:r>
      <w:r>
        <w:rPr>
          <w:spacing w:val="-1"/>
        </w:rPr>
        <w:t>币</w:t>
      </w:r>
      <w:r>
        <w:rPr>
          <w:rFonts w:ascii="Times New Roman" w:eastAsia="Times New Roman"/>
          <w:u w:val="single"/>
        </w:rPr>
        <w:t xml:space="preserve"> </w:t>
      </w:r>
      <w:r>
        <w:rPr>
          <w:rFonts w:ascii="Times New Roman" w:eastAsia="Times New Roman"/>
          <w:u w:val="single"/>
        </w:rPr>
        <w:tab/>
      </w:r>
    </w:p>
    <w:p>
      <w:pPr>
        <w:pStyle w:val="2"/>
        <w:tabs>
          <w:tab w:val="left" w:pos="3720"/>
        </w:tabs>
        <w:spacing w:before="3"/>
      </w:pPr>
      <w:r>
        <w:t>（</w:t>
      </w:r>
      <w:r>
        <w:rPr>
          <w:spacing w:val="-3"/>
        </w:rPr>
        <w:t>大</w:t>
      </w:r>
      <w:r>
        <w:t>写）</w:t>
      </w:r>
      <w:r>
        <w:rPr>
          <w:u w:val="single"/>
        </w:rPr>
        <w:t xml:space="preserve"> </w:t>
      </w:r>
      <w:r>
        <w:rPr>
          <w:u w:val="single"/>
        </w:rPr>
        <w:tab/>
      </w:r>
      <w:r>
        <w:t>元。</w:t>
      </w:r>
    </w:p>
    <w:p>
      <w:pPr>
        <w:pStyle w:val="2"/>
        <w:spacing w:before="4" w:line="242" w:lineRule="auto"/>
        <w:ind w:right="347" w:firstLine="360"/>
        <w:jc w:val="both"/>
      </w:pPr>
      <w:r>
        <w:t>本合同以人民币进行结算，合同总价包括：产品费、包装费、运输费、安装费、调试费、培训费、售前售中售后服务费、保险费、手续费、税金及不可预见费等全部费用。</w:t>
      </w:r>
    </w:p>
    <w:p>
      <w:pPr>
        <w:pStyle w:val="2"/>
        <w:spacing w:before="3" w:line="242" w:lineRule="auto"/>
        <w:ind w:left="579" w:right="6308" w:hanging="360"/>
        <w:outlineLvl w:val="1"/>
      </w:pPr>
      <w:bookmarkStart w:id="77" w:name="_Toc27472"/>
      <w:bookmarkStart w:id="78" w:name="_Toc3227"/>
      <w:r>
        <w:t>三、交付时间、地点和要求1．交货期</w:t>
      </w:r>
      <w:bookmarkEnd w:id="77"/>
      <w:bookmarkEnd w:id="78"/>
    </w:p>
    <w:p>
      <w:pPr>
        <w:pStyle w:val="2"/>
        <w:tabs>
          <w:tab w:val="left" w:pos="6669"/>
        </w:tabs>
        <w:spacing w:before="2" w:line="242" w:lineRule="auto"/>
        <w:ind w:left="579" w:right="3219"/>
        <w:rPr>
          <w:spacing w:val="-1"/>
          <w:highlight w:val="none"/>
          <w:u w:val="single"/>
        </w:rPr>
      </w:pPr>
      <w:r>
        <w:rPr>
          <w:spacing w:val="-1"/>
        </w:rPr>
        <w:t>交</w:t>
      </w:r>
      <w:r>
        <w:rPr>
          <w:spacing w:val="-3"/>
        </w:rPr>
        <w:t>货</w:t>
      </w:r>
      <w:r>
        <w:rPr>
          <w:rFonts w:hint="eastAsia"/>
          <w:spacing w:val="-1"/>
          <w:lang w:val="en-US" w:eastAsia="zh-CN"/>
        </w:rPr>
        <w:t>时间</w:t>
      </w:r>
      <w:r>
        <w:rPr>
          <w:spacing w:val="-1"/>
        </w:rPr>
        <w:t>：</w:t>
      </w:r>
      <w:r>
        <w:rPr>
          <w:rFonts w:hint="eastAsia"/>
          <w:spacing w:val="-1"/>
        </w:rPr>
        <w:t xml:space="preserve"> </w:t>
      </w:r>
      <w:r>
        <w:rPr>
          <w:rFonts w:hint="eastAsia"/>
          <w:spacing w:val="-1"/>
          <w:highlight w:val="none"/>
          <w:u w:val="single"/>
        </w:rPr>
        <w:t>合同签订后30天内</w:t>
      </w:r>
    </w:p>
    <w:p>
      <w:pPr>
        <w:pStyle w:val="2"/>
        <w:tabs>
          <w:tab w:val="left" w:pos="6669"/>
        </w:tabs>
        <w:spacing w:before="2" w:line="242" w:lineRule="auto"/>
        <w:ind w:left="579" w:right="3219"/>
      </w:pPr>
      <w:r>
        <w:t>具</w:t>
      </w:r>
      <w:r>
        <w:rPr>
          <w:spacing w:val="-3"/>
        </w:rPr>
        <w:t>体</w:t>
      </w:r>
      <w:r>
        <w:t>实施</w:t>
      </w:r>
      <w:r>
        <w:rPr>
          <w:spacing w:val="-3"/>
        </w:rPr>
        <w:t>以</w:t>
      </w:r>
      <w:r>
        <w:t>甲乙</w:t>
      </w:r>
      <w:r>
        <w:rPr>
          <w:spacing w:val="-3"/>
        </w:rPr>
        <w:t>双</w:t>
      </w:r>
      <w:r>
        <w:t>方签</w:t>
      </w:r>
      <w:r>
        <w:rPr>
          <w:spacing w:val="-3"/>
        </w:rPr>
        <w:t>订</w:t>
      </w:r>
      <w:r>
        <w:t>合同</w:t>
      </w:r>
      <w:r>
        <w:rPr>
          <w:spacing w:val="-3"/>
        </w:rPr>
        <w:t>时</w:t>
      </w:r>
      <w:r>
        <w:t>约定。</w:t>
      </w:r>
    </w:p>
    <w:p>
      <w:pPr>
        <w:pStyle w:val="20"/>
        <w:numPr>
          <w:ilvl w:val="0"/>
          <w:numId w:val="0"/>
        </w:numPr>
        <w:tabs>
          <w:tab w:val="left" w:pos="863"/>
        </w:tabs>
        <w:spacing w:before="0" w:after="0" w:line="240" w:lineRule="auto"/>
        <w:ind w:left="578" w:leftChars="0" w:right="0" w:rightChars="0"/>
        <w:jc w:val="left"/>
        <w:rPr>
          <w:rFonts w:ascii="宋体" w:hAnsi="宋体" w:eastAsia="宋体" w:cs="宋体"/>
          <w:sz w:val="28"/>
          <w:szCs w:val="28"/>
          <w:lang w:val="zh-CN" w:eastAsia="zh-CN" w:bidi="zh-CN"/>
        </w:rPr>
      </w:pPr>
      <w:r>
        <w:rPr>
          <w:rFonts w:hint="eastAsia" w:ascii="宋体" w:hAnsi="宋体" w:eastAsia="宋体" w:cs="宋体"/>
          <w:sz w:val="28"/>
          <w:szCs w:val="28"/>
          <w:lang w:val="en-US" w:eastAsia="zh-CN" w:bidi="zh-CN"/>
        </w:rPr>
        <w:t>2.</w:t>
      </w:r>
      <w:r>
        <w:rPr>
          <w:rFonts w:ascii="宋体" w:hAnsi="宋体" w:eastAsia="宋体" w:cs="宋体"/>
          <w:sz w:val="28"/>
          <w:szCs w:val="28"/>
          <w:lang w:val="zh-CN" w:eastAsia="zh-CN" w:bidi="zh-CN"/>
        </w:rPr>
        <w:t>乙方提供不符合响应文件和本合同规定的产品，甲方有权拒绝接受。</w:t>
      </w:r>
    </w:p>
    <w:p>
      <w:pPr>
        <w:pStyle w:val="20"/>
        <w:numPr>
          <w:ilvl w:val="0"/>
          <w:numId w:val="0"/>
        </w:numPr>
        <w:tabs>
          <w:tab w:val="left" w:pos="863"/>
        </w:tabs>
        <w:spacing w:before="6" w:after="0" w:line="242" w:lineRule="auto"/>
        <w:ind w:left="579" w:leftChars="0" w:right="347" w:rightChars="0"/>
        <w:jc w:val="both"/>
        <w:rPr>
          <w:sz w:val="28"/>
        </w:rPr>
      </w:pPr>
      <w:r>
        <w:rPr>
          <w:rFonts w:hint="eastAsia"/>
          <w:spacing w:val="-3"/>
          <w:sz w:val="28"/>
          <w:lang w:val="en-US" w:eastAsia="zh-CN"/>
        </w:rPr>
        <w:t>3.</w:t>
      </w:r>
      <w:r>
        <w:rPr>
          <w:spacing w:val="-3"/>
          <w:sz w:val="28"/>
        </w:rPr>
        <w:t>乙方应将提供产品的装箱清单、用户手册、原厂保修卡、随机资料、工具和备品、备件等交付给甲方，如有缺失应及时补齐，否则视为逾期交货。</w:t>
      </w:r>
      <w:r>
        <w:rPr>
          <w:spacing w:val="-1"/>
          <w:sz w:val="28"/>
        </w:rPr>
        <w:t>4</w:t>
      </w:r>
      <w:r>
        <w:rPr>
          <w:spacing w:val="-3"/>
          <w:sz w:val="28"/>
        </w:rPr>
        <w:t>.甲方应当在到货后</w:t>
      </w:r>
      <w:r>
        <w:rPr>
          <w:spacing w:val="-1"/>
          <w:sz w:val="28"/>
          <w:u w:val="single"/>
        </w:rPr>
        <w:t>15</w:t>
      </w:r>
      <w:r>
        <w:rPr>
          <w:spacing w:val="-3"/>
          <w:sz w:val="28"/>
        </w:rPr>
        <w:t>个工作日内进行验收，逾期不验收的，乙方可视为验收合格。验收合格后，由甲乙双方签署产品验收单并加盖采购人公章，甲</w:t>
      </w:r>
    </w:p>
    <w:p>
      <w:pPr>
        <w:pStyle w:val="2"/>
        <w:spacing w:before="3"/>
      </w:pPr>
      <w:r>
        <w:rPr>
          <w:spacing w:val="-3"/>
        </w:rPr>
        <w:t>乙双方各执一份。</w:t>
      </w:r>
    </w:p>
    <w:p>
      <w:pPr>
        <w:pStyle w:val="20"/>
        <w:numPr>
          <w:ilvl w:val="0"/>
          <w:numId w:val="19"/>
        </w:numPr>
        <w:tabs>
          <w:tab w:val="left" w:pos="863"/>
        </w:tabs>
        <w:spacing w:before="4" w:after="0" w:line="244" w:lineRule="auto"/>
        <w:ind w:left="219" w:right="347" w:firstLine="360"/>
        <w:jc w:val="left"/>
        <w:rPr>
          <w:sz w:val="28"/>
        </w:rPr>
      </w:pPr>
      <w:r>
        <w:rPr>
          <w:spacing w:val="-3"/>
          <w:sz w:val="28"/>
        </w:rPr>
        <w:t>甲方应提供该项目验收报告交同级财政监管部门，由财政部门按规定程序抽验后办理资金拨付。</w:t>
      </w:r>
    </w:p>
    <w:p>
      <w:pPr>
        <w:pStyle w:val="20"/>
        <w:numPr>
          <w:ilvl w:val="0"/>
          <w:numId w:val="19"/>
        </w:numPr>
        <w:tabs>
          <w:tab w:val="left" w:pos="863"/>
        </w:tabs>
        <w:spacing w:before="0" w:after="0" w:line="242" w:lineRule="auto"/>
        <w:ind w:left="219" w:right="347" w:firstLine="360"/>
        <w:jc w:val="left"/>
        <w:rPr>
          <w:sz w:val="28"/>
        </w:rPr>
      </w:pPr>
      <w:r>
        <w:rPr>
          <w:spacing w:val="-3"/>
          <w:sz w:val="28"/>
        </w:rPr>
        <w:t>甲方在验收过程中发现乙方有违约问题，可按响应文件的规定要求乙方及时予以解决。</w:t>
      </w:r>
    </w:p>
    <w:p>
      <w:pPr>
        <w:spacing w:after="0" w:line="244" w:lineRule="auto"/>
        <w:jc w:val="left"/>
        <w:rPr>
          <w:sz w:val="28"/>
        </w:rPr>
        <w:sectPr>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p>
    <w:p>
      <w:pPr>
        <w:pStyle w:val="20"/>
        <w:numPr>
          <w:ilvl w:val="0"/>
          <w:numId w:val="19"/>
        </w:numPr>
        <w:tabs>
          <w:tab w:val="left" w:pos="863"/>
        </w:tabs>
        <w:spacing w:before="0" w:after="0" w:line="244" w:lineRule="auto"/>
        <w:ind w:left="219" w:right="3987" w:firstLine="360"/>
        <w:jc w:val="left"/>
        <w:rPr>
          <w:sz w:val="28"/>
        </w:rPr>
      </w:pPr>
      <w:r>
        <w:rPr>
          <w:spacing w:val="-3"/>
          <w:sz w:val="28"/>
        </w:rPr>
        <w:t>乙方向甲方提供产品相关完税销售发票。</w:t>
      </w:r>
    </w:p>
    <w:p>
      <w:pPr>
        <w:pStyle w:val="20"/>
        <w:numPr>
          <w:ilvl w:val="0"/>
          <w:numId w:val="0"/>
        </w:numPr>
        <w:tabs>
          <w:tab w:val="left" w:pos="863"/>
        </w:tabs>
        <w:spacing w:before="0" w:after="0" w:line="244" w:lineRule="auto"/>
        <w:ind w:left="579" w:leftChars="0" w:right="3987" w:rightChars="0"/>
        <w:jc w:val="left"/>
        <w:rPr>
          <w:sz w:val="28"/>
        </w:rPr>
      </w:pPr>
      <w:r>
        <w:rPr>
          <w:spacing w:val="-3"/>
          <w:sz w:val="28"/>
        </w:rPr>
        <w:t>四、付款方式</w:t>
      </w:r>
    </w:p>
    <w:p>
      <w:pPr>
        <w:pStyle w:val="2"/>
        <w:tabs>
          <w:tab w:val="left" w:pos="7359"/>
        </w:tabs>
        <w:spacing w:before="33" w:line="242" w:lineRule="auto"/>
        <w:ind w:right="287" w:firstLine="561"/>
      </w:pPr>
      <w:r>
        <w:t>乙</w:t>
      </w:r>
      <w:r>
        <w:rPr>
          <w:spacing w:val="-3"/>
        </w:rPr>
        <w:t>方</w:t>
      </w:r>
      <w:r>
        <w:t>所交</w:t>
      </w:r>
      <w:r>
        <w:rPr>
          <w:spacing w:val="-3"/>
        </w:rPr>
        <w:t>付</w:t>
      </w:r>
      <w:r>
        <w:t>的产</w:t>
      </w:r>
      <w:r>
        <w:rPr>
          <w:spacing w:val="-3"/>
        </w:rPr>
        <w:t>品</w:t>
      </w:r>
      <w:r>
        <w:t>由甲</w:t>
      </w:r>
      <w:r>
        <w:rPr>
          <w:spacing w:val="-3"/>
        </w:rPr>
        <w:t>方</w:t>
      </w:r>
      <w:r>
        <w:t>验收</w:t>
      </w:r>
      <w:r>
        <w:rPr>
          <w:spacing w:val="-3"/>
        </w:rPr>
        <w:t>，</w:t>
      </w:r>
      <w:r>
        <w:t>验收</w:t>
      </w:r>
      <w:r>
        <w:rPr>
          <w:spacing w:val="-3"/>
        </w:rPr>
        <w:t>合</w:t>
      </w:r>
      <w:r>
        <w:t>格后</w:t>
      </w:r>
      <w:r>
        <w:rPr>
          <w:spacing w:val="-3"/>
        </w:rPr>
        <w:t>由</w:t>
      </w:r>
      <w:r>
        <w:t>甲方</w:t>
      </w:r>
      <w:r>
        <w:rPr>
          <w:spacing w:val="-3"/>
        </w:rPr>
        <w:t>报</w:t>
      </w:r>
      <w:r>
        <w:t>同级</w:t>
      </w:r>
      <w:r>
        <w:rPr>
          <w:spacing w:val="-3"/>
        </w:rPr>
        <w:t>财</w:t>
      </w:r>
      <w:r>
        <w:t>政监</w:t>
      </w:r>
      <w:r>
        <w:rPr>
          <w:spacing w:val="-3"/>
        </w:rPr>
        <w:t>管</w:t>
      </w:r>
      <w:r>
        <w:t xml:space="preserve">部  </w:t>
      </w:r>
      <w:r>
        <w:rPr>
          <w:spacing w:val="-1"/>
        </w:rPr>
        <w:t>门</w:t>
      </w:r>
      <w:r>
        <w:rPr>
          <w:spacing w:val="-3"/>
        </w:rPr>
        <w:t>，</w:t>
      </w:r>
      <w:r>
        <w:rPr>
          <w:spacing w:val="-1"/>
        </w:rPr>
        <w:t>申请</w:t>
      </w:r>
      <w:r>
        <w:rPr>
          <w:spacing w:val="-3"/>
        </w:rPr>
        <w:t>资</w:t>
      </w:r>
      <w:r>
        <w:rPr>
          <w:spacing w:val="-1"/>
        </w:rPr>
        <w:t>金拨付,按</w:t>
      </w:r>
      <w:r>
        <w:rPr>
          <w:spacing w:val="-3"/>
        </w:rPr>
        <w:t>合</w:t>
      </w:r>
      <w:r>
        <w:rPr>
          <w:spacing w:val="-1"/>
        </w:rPr>
        <w:t>同金</w:t>
      </w:r>
      <w:r>
        <w:rPr>
          <w:spacing w:val="-3"/>
        </w:rPr>
        <w:t>额</w:t>
      </w:r>
      <w:r>
        <w:rPr>
          <w:spacing w:val="-1"/>
        </w:rPr>
        <w:t>向</w:t>
      </w:r>
      <w:r>
        <w:t>乙</w:t>
      </w:r>
      <w:r>
        <w:rPr>
          <w:spacing w:val="-3"/>
        </w:rPr>
        <w:t>方</w:t>
      </w:r>
      <w:r>
        <w:t>支付</w:t>
      </w:r>
      <w:r>
        <w:rPr>
          <w:spacing w:val="-3"/>
        </w:rPr>
        <w:t>合</w:t>
      </w:r>
      <w:r>
        <w:t>同总</w:t>
      </w:r>
      <w:r>
        <w:rPr>
          <w:spacing w:val="-3"/>
        </w:rPr>
        <w:t>价</w:t>
      </w:r>
      <w:r>
        <w:t>款</w:t>
      </w:r>
      <w:r>
        <w:rPr>
          <w:highlight w:val="none"/>
        </w:rPr>
        <w:t>的</w:t>
      </w:r>
      <w:r>
        <w:rPr>
          <w:rFonts w:hint="eastAsia"/>
          <w:highlight w:val="none"/>
          <w:u w:val="single"/>
          <w:lang w:val="en-US" w:eastAsia="zh-CN"/>
        </w:rPr>
        <w:t>97</w:t>
      </w:r>
      <w:r>
        <w:rPr>
          <w:highlight w:val="none"/>
        </w:rPr>
        <w:t>%（按</w:t>
      </w:r>
      <w:r>
        <w:rPr>
          <w:spacing w:val="-3"/>
        </w:rPr>
        <w:t>进</w:t>
      </w:r>
      <w:r>
        <w:t>度支</w:t>
      </w:r>
      <w:r>
        <w:rPr>
          <w:spacing w:val="-3"/>
        </w:rPr>
        <w:t>付</w:t>
      </w:r>
      <w:r>
        <w:t>的根</w:t>
      </w:r>
      <w:r>
        <w:rPr>
          <w:spacing w:val="-3"/>
        </w:rPr>
        <w:t>据</w:t>
      </w:r>
      <w:r>
        <w:t>项目</w:t>
      </w:r>
      <w:r>
        <w:rPr>
          <w:spacing w:val="-3"/>
        </w:rPr>
        <w:t>情</w:t>
      </w:r>
      <w:r>
        <w:t>况确定），</w:t>
      </w:r>
      <w:r>
        <w:rPr>
          <w:spacing w:val="-3"/>
        </w:rPr>
        <w:t>即</w:t>
      </w:r>
      <w:r>
        <w:t>人民</w:t>
      </w:r>
      <w:r>
        <w:rPr>
          <w:spacing w:val="-3"/>
        </w:rPr>
        <w:t>币</w:t>
      </w:r>
      <w:r>
        <w:t>（大</w:t>
      </w:r>
      <w:r>
        <w:rPr>
          <w:spacing w:val="-3"/>
        </w:rPr>
        <w:t>写</w:t>
      </w:r>
      <w:r>
        <w:t>）：</w:t>
      </w:r>
      <w:r>
        <w:rPr>
          <w:u w:val="single"/>
        </w:rPr>
        <w:t xml:space="preserve"> </w:t>
      </w:r>
      <w:r>
        <w:rPr>
          <w:u w:val="single"/>
        </w:rPr>
        <w:tab/>
      </w:r>
      <w:r>
        <w:t>元。</w:t>
      </w:r>
    </w:p>
    <w:p>
      <w:pPr>
        <w:pStyle w:val="2"/>
        <w:tabs>
          <w:tab w:val="left" w:pos="5119"/>
          <w:tab w:val="left" w:pos="6939"/>
        </w:tabs>
        <w:spacing w:before="3" w:line="242" w:lineRule="auto"/>
        <w:ind w:right="287" w:firstLine="561"/>
      </w:pPr>
      <w:r>
        <w:t>乙</w:t>
      </w:r>
      <w:r>
        <w:rPr>
          <w:spacing w:val="-3"/>
        </w:rPr>
        <w:t>方</w:t>
      </w:r>
      <w:r>
        <w:t>向甲</w:t>
      </w:r>
      <w:r>
        <w:rPr>
          <w:spacing w:val="-3"/>
        </w:rPr>
        <w:t>方</w:t>
      </w:r>
      <w:r>
        <w:t>提交</w:t>
      </w:r>
      <w:r>
        <w:rPr>
          <w:spacing w:val="-3"/>
        </w:rPr>
        <w:t>的</w:t>
      </w:r>
      <w:r>
        <w:t>履</w:t>
      </w:r>
      <w:r>
        <w:rPr>
          <w:spacing w:val="-3"/>
        </w:rPr>
        <w:t>约</w:t>
      </w:r>
      <w:r>
        <w:t>保证</w:t>
      </w:r>
      <w:r>
        <w:rPr>
          <w:spacing w:val="-3"/>
        </w:rPr>
        <w:t>金</w:t>
      </w:r>
      <w:r>
        <w:t>计</w:t>
      </w:r>
      <w:r>
        <w:rPr>
          <w:spacing w:val="-3"/>
        </w:rPr>
        <w:t>（</w:t>
      </w:r>
      <w:r>
        <w:t>大写）</w:t>
      </w:r>
      <w:r>
        <w:rPr>
          <w:u w:val="single"/>
        </w:rPr>
        <w:t xml:space="preserve"> </w:t>
      </w:r>
      <w:r>
        <w:rPr>
          <w:u w:val="single"/>
        </w:rPr>
        <w:tab/>
      </w:r>
      <w:r>
        <w:t>元转</w:t>
      </w:r>
      <w:r>
        <w:rPr>
          <w:spacing w:val="-3"/>
        </w:rPr>
        <w:t>为</w:t>
      </w:r>
      <w:r>
        <w:t>质量</w:t>
      </w:r>
      <w:r>
        <w:rPr>
          <w:spacing w:val="-3"/>
        </w:rPr>
        <w:t>保</w:t>
      </w:r>
      <w:r>
        <w:t>证金。质</w:t>
      </w:r>
      <w:r>
        <w:rPr>
          <w:spacing w:val="-3"/>
        </w:rPr>
        <w:t>量</w:t>
      </w:r>
      <w:r>
        <w:t>保证</w:t>
      </w:r>
      <w:r>
        <w:rPr>
          <w:spacing w:val="-3"/>
        </w:rPr>
        <w:t>金</w:t>
      </w:r>
      <w:r>
        <w:t>待约</w:t>
      </w:r>
      <w:r>
        <w:rPr>
          <w:spacing w:val="-3"/>
        </w:rPr>
        <w:t>定</w:t>
      </w:r>
      <w:r>
        <w:t>的免</w:t>
      </w:r>
      <w:r>
        <w:rPr>
          <w:spacing w:val="-3"/>
        </w:rPr>
        <w:t>费</w:t>
      </w:r>
      <w:r>
        <w:t>质保</w:t>
      </w:r>
      <w:r>
        <w:rPr>
          <w:spacing w:val="-3"/>
        </w:rPr>
        <w:t>期</w:t>
      </w:r>
      <w:r>
        <w:t>满</w:t>
      </w:r>
      <w:r>
        <w:rPr>
          <w:u w:val="single"/>
        </w:rPr>
        <w:t xml:space="preserve"> </w:t>
      </w:r>
      <w:r>
        <w:rPr>
          <w:u w:val="single"/>
        </w:rPr>
        <w:tab/>
      </w:r>
      <w:r>
        <w:rPr>
          <w:spacing w:val="-1"/>
        </w:rPr>
        <w:t>（</w:t>
      </w:r>
      <w:r>
        <w:rPr>
          <w:spacing w:val="-3"/>
        </w:rPr>
        <w:t>年</w:t>
      </w:r>
      <w:r>
        <w:rPr>
          <w:spacing w:val="-1"/>
        </w:rPr>
        <w:t>）</w:t>
      </w:r>
      <w:r>
        <w:t>且</w:t>
      </w:r>
      <w:r>
        <w:rPr>
          <w:spacing w:val="-3"/>
        </w:rPr>
        <w:t>产</w:t>
      </w:r>
      <w:r>
        <w:t>品无</w:t>
      </w:r>
      <w:r>
        <w:rPr>
          <w:spacing w:val="-3"/>
        </w:rPr>
        <w:t>质</w:t>
      </w:r>
      <w:r>
        <w:t>量问</w:t>
      </w:r>
      <w:r>
        <w:rPr>
          <w:spacing w:val="-3"/>
        </w:rPr>
        <w:t>题</w:t>
      </w:r>
      <w:r>
        <w:t>后，</w:t>
      </w:r>
      <w:r>
        <w:rPr>
          <w:spacing w:val="-3"/>
        </w:rPr>
        <w:t>由</w:t>
      </w:r>
      <w:r>
        <w:t>乙方提</w:t>
      </w:r>
      <w:r>
        <w:rPr>
          <w:spacing w:val="-3"/>
        </w:rPr>
        <w:t>出</w:t>
      </w:r>
      <w:r>
        <w:t>书面</w:t>
      </w:r>
      <w:r>
        <w:rPr>
          <w:spacing w:val="-3"/>
        </w:rPr>
        <w:t>申</w:t>
      </w:r>
      <w:r>
        <w:t>请，</w:t>
      </w:r>
      <w:r>
        <w:rPr>
          <w:spacing w:val="-3"/>
        </w:rPr>
        <w:t>甲</w:t>
      </w:r>
      <w:r>
        <w:t>方以</w:t>
      </w:r>
      <w:r>
        <w:rPr>
          <w:spacing w:val="-3"/>
        </w:rPr>
        <w:t>转</w:t>
      </w:r>
      <w:r>
        <w:t>账方</w:t>
      </w:r>
      <w:r>
        <w:rPr>
          <w:spacing w:val="-3"/>
        </w:rPr>
        <w:t>式</w:t>
      </w:r>
      <w:r>
        <w:t>予以</w:t>
      </w:r>
      <w:r>
        <w:rPr>
          <w:spacing w:val="-3"/>
        </w:rPr>
        <w:t>退</w:t>
      </w:r>
      <w:r>
        <w:t>还。</w:t>
      </w:r>
    </w:p>
    <w:p>
      <w:pPr>
        <w:pStyle w:val="2"/>
      </w:pPr>
      <w:r>
        <w:t>五、合同的变更、终止与转让</w:t>
      </w:r>
    </w:p>
    <w:p>
      <w:pPr>
        <w:pStyle w:val="20"/>
        <w:numPr>
          <w:ilvl w:val="0"/>
          <w:numId w:val="20"/>
        </w:numPr>
        <w:tabs>
          <w:tab w:val="left" w:pos="863"/>
        </w:tabs>
        <w:spacing w:before="6" w:after="0" w:line="242" w:lineRule="auto"/>
        <w:ind w:left="219" w:right="347" w:firstLine="360"/>
        <w:jc w:val="left"/>
        <w:rPr>
          <w:sz w:val="28"/>
        </w:rPr>
      </w:pPr>
      <w:r>
        <w:rPr>
          <w:spacing w:val="-3"/>
          <w:sz w:val="28"/>
        </w:rPr>
        <w:t>除《中华人民共和国政府采购法》第</w:t>
      </w:r>
      <w:r>
        <w:rPr>
          <w:sz w:val="28"/>
        </w:rPr>
        <w:t>50</w:t>
      </w:r>
      <w:r>
        <w:rPr>
          <w:spacing w:val="-3"/>
          <w:sz w:val="28"/>
        </w:rPr>
        <w:t>条规定的情形外，本合同一经签订，甲乙双方不得擅自变更、中止或终止。</w:t>
      </w:r>
    </w:p>
    <w:p>
      <w:pPr>
        <w:pStyle w:val="20"/>
        <w:numPr>
          <w:ilvl w:val="0"/>
          <w:numId w:val="20"/>
        </w:numPr>
        <w:tabs>
          <w:tab w:val="left" w:pos="863"/>
        </w:tabs>
        <w:spacing w:before="0" w:after="0" w:line="244" w:lineRule="auto"/>
        <w:ind w:left="219" w:right="3987" w:firstLine="360"/>
        <w:jc w:val="left"/>
        <w:rPr>
          <w:sz w:val="28"/>
        </w:rPr>
      </w:pPr>
      <w:r>
        <w:rPr>
          <w:spacing w:val="-3"/>
          <w:sz w:val="28"/>
        </w:rPr>
        <w:t>乙方不得擅自转让其应履行的合同义务。六、违约责任</w:t>
      </w:r>
    </w:p>
    <w:p>
      <w:pPr>
        <w:pStyle w:val="20"/>
        <w:numPr>
          <w:ilvl w:val="0"/>
          <w:numId w:val="21"/>
        </w:numPr>
        <w:tabs>
          <w:tab w:val="left" w:pos="863"/>
        </w:tabs>
        <w:spacing w:before="0" w:after="0" w:line="242" w:lineRule="auto"/>
        <w:ind w:left="219" w:right="426" w:firstLine="360"/>
        <w:jc w:val="left"/>
        <w:rPr>
          <w:sz w:val="28"/>
        </w:rPr>
      </w:pPr>
      <w:r>
        <w:rPr>
          <w:spacing w:val="-3"/>
          <w:sz w:val="28"/>
        </w:rPr>
        <w:t>乙方所提供的产品规格、技术标准、材料等质量不合格的，应及时更换；更换不及时的，按逾期交货处罚；因质量问题甲方不同意接收的，履约保证金全额扣除，并由乙方赔偿由此引起的甲方的一切经济损失。乙方所提供的产品达不到标准要求的，甲方不同意接收的，履约保证金全额扣除，并由乙方赔偿由此引起的甲方的一切经济损失。</w:t>
      </w:r>
    </w:p>
    <w:p>
      <w:pPr>
        <w:pStyle w:val="20"/>
        <w:numPr>
          <w:ilvl w:val="0"/>
          <w:numId w:val="21"/>
        </w:numPr>
        <w:tabs>
          <w:tab w:val="left" w:pos="863"/>
        </w:tabs>
        <w:spacing w:before="1" w:after="0" w:line="242" w:lineRule="auto"/>
        <w:ind w:left="219" w:right="347" w:firstLine="360"/>
        <w:jc w:val="left"/>
        <w:rPr>
          <w:sz w:val="28"/>
        </w:rPr>
      </w:pPr>
      <w:r>
        <w:rPr>
          <w:spacing w:val="-3"/>
          <w:sz w:val="28"/>
        </w:rPr>
        <w:t>乙方提供的货物如侵犯了第三方权益而引发纠纷或诉讼的，均由乙方负责交涉并承担全部责任。</w:t>
      </w:r>
    </w:p>
    <w:p>
      <w:pPr>
        <w:pStyle w:val="20"/>
        <w:numPr>
          <w:ilvl w:val="0"/>
          <w:numId w:val="21"/>
        </w:numPr>
        <w:tabs>
          <w:tab w:val="left" w:pos="863"/>
        </w:tabs>
        <w:spacing w:before="0" w:after="0" w:line="240" w:lineRule="auto"/>
        <w:ind w:left="862" w:right="0" w:hanging="284"/>
        <w:jc w:val="left"/>
        <w:rPr>
          <w:sz w:val="28"/>
        </w:rPr>
      </w:pPr>
      <w:r>
        <w:rPr>
          <w:spacing w:val="-3"/>
          <w:sz w:val="28"/>
        </w:rPr>
        <w:t>因包装、运输引起的货物损坏，按质量不合格处罚。</w:t>
      </w:r>
    </w:p>
    <w:p>
      <w:pPr>
        <w:pStyle w:val="20"/>
        <w:numPr>
          <w:ilvl w:val="0"/>
          <w:numId w:val="21"/>
        </w:numPr>
        <w:tabs>
          <w:tab w:val="left" w:pos="863"/>
        </w:tabs>
        <w:spacing w:before="3" w:after="0" w:line="242" w:lineRule="auto"/>
        <w:ind w:left="219" w:right="287" w:firstLine="360"/>
        <w:jc w:val="both"/>
        <w:rPr>
          <w:sz w:val="28"/>
        </w:rPr>
      </w:pPr>
      <w:r>
        <w:rPr>
          <w:spacing w:val="-3"/>
          <w:sz w:val="28"/>
        </w:rPr>
        <w:t>甲方无故延期接受货物乙方逾期交货的，每天应向对方偿付未交货物的货款3‰的违约金，但违约金累计不得超过违约货款的</w:t>
      </w:r>
      <w:r>
        <w:rPr>
          <w:sz w:val="28"/>
        </w:rPr>
        <w:t>5</w:t>
      </w:r>
      <w:r>
        <w:rPr>
          <w:spacing w:val="-1"/>
          <w:sz w:val="28"/>
        </w:rPr>
        <w:t>%，超过</w:t>
      </w:r>
      <w:r>
        <w:rPr>
          <w:sz w:val="28"/>
          <w:u w:val="single"/>
        </w:rPr>
        <w:t xml:space="preserve">  </w:t>
      </w:r>
      <w:r>
        <w:rPr>
          <w:sz w:val="28"/>
        </w:rPr>
        <w:t xml:space="preserve"> 天对方有</w:t>
      </w:r>
      <w:r>
        <w:rPr>
          <w:spacing w:val="-3"/>
          <w:sz w:val="28"/>
        </w:rPr>
        <w:t>权解除合同，违约方承担因此给对方造成的经济损失。</w:t>
      </w:r>
    </w:p>
    <w:p>
      <w:pPr>
        <w:pStyle w:val="20"/>
        <w:numPr>
          <w:ilvl w:val="0"/>
          <w:numId w:val="21"/>
        </w:numPr>
        <w:tabs>
          <w:tab w:val="left" w:pos="863"/>
        </w:tabs>
        <w:spacing w:before="3" w:after="0" w:line="242" w:lineRule="auto"/>
        <w:ind w:left="219" w:right="347" w:firstLine="360"/>
        <w:jc w:val="left"/>
        <w:rPr>
          <w:sz w:val="28"/>
        </w:rPr>
      </w:pPr>
      <w:r>
        <w:rPr>
          <w:spacing w:val="-3"/>
          <w:sz w:val="28"/>
        </w:rPr>
        <w:t>乙方未按本合同和响应文件中规定的承诺提供售后服务的，乙方应按本合同合计金额的</w:t>
      </w:r>
      <w:r>
        <w:rPr>
          <w:sz w:val="28"/>
        </w:rPr>
        <w:t>5</w:t>
      </w:r>
      <w:r>
        <w:rPr>
          <w:spacing w:val="-3"/>
          <w:sz w:val="28"/>
        </w:rPr>
        <w:t>%向甲方支付违约金。</w:t>
      </w:r>
    </w:p>
    <w:p>
      <w:pPr>
        <w:pStyle w:val="20"/>
        <w:numPr>
          <w:ilvl w:val="0"/>
          <w:numId w:val="21"/>
        </w:numPr>
        <w:tabs>
          <w:tab w:val="left" w:pos="863"/>
        </w:tabs>
        <w:spacing w:before="2" w:after="0" w:line="242" w:lineRule="auto"/>
        <w:ind w:left="219" w:right="347" w:firstLine="360"/>
        <w:jc w:val="left"/>
        <w:rPr>
          <w:sz w:val="28"/>
        </w:rPr>
      </w:pPr>
      <w:r>
        <w:rPr>
          <w:spacing w:val="-3"/>
          <w:sz w:val="28"/>
        </w:rPr>
        <w:t>乙方提供的货物在质量保证期内，因设计、工艺或材料的缺陷和其它质量原因造成的问题，由乙方负责，费用从履约保证金中扣除，不足另补。</w:t>
      </w:r>
    </w:p>
    <w:p>
      <w:pPr>
        <w:pStyle w:val="20"/>
        <w:numPr>
          <w:ilvl w:val="0"/>
          <w:numId w:val="21"/>
        </w:numPr>
        <w:tabs>
          <w:tab w:val="left" w:pos="863"/>
        </w:tabs>
        <w:spacing w:before="3" w:after="0" w:line="242" w:lineRule="auto"/>
        <w:ind w:left="219" w:right="1746" w:firstLine="360"/>
        <w:jc w:val="left"/>
        <w:rPr>
          <w:sz w:val="28"/>
        </w:rPr>
      </w:pPr>
      <w:r>
        <w:rPr>
          <w:spacing w:val="-3"/>
          <w:sz w:val="28"/>
        </w:rPr>
        <w:t>其它违约行为按违约货款额</w:t>
      </w:r>
      <w:r>
        <w:rPr>
          <w:sz w:val="28"/>
        </w:rPr>
        <w:t>5</w:t>
      </w:r>
      <w:r>
        <w:rPr>
          <w:spacing w:val="-3"/>
          <w:sz w:val="28"/>
        </w:rPr>
        <w:t>%收取违约金并赔偿经济损失。七、不可抗力</w:t>
      </w:r>
    </w:p>
    <w:p>
      <w:pPr>
        <w:pStyle w:val="2"/>
        <w:tabs>
          <w:tab w:val="left" w:pos="8559"/>
        </w:tabs>
        <w:spacing w:line="242" w:lineRule="auto"/>
        <w:ind w:right="488" w:firstLine="360"/>
      </w:pPr>
      <w:r>
        <w:t>不</w:t>
      </w:r>
      <w:r>
        <w:rPr>
          <w:spacing w:val="-3"/>
        </w:rPr>
        <w:t>可</w:t>
      </w:r>
      <w:r>
        <w:t>抗力</w:t>
      </w:r>
      <w:r>
        <w:rPr>
          <w:spacing w:val="-3"/>
        </w:rPr>
        <w:t>使</w:t>
      </w:r>
      <w:r>
        <w:t>合同</w:t>
      </w:r>
      <w:r>
        <w:rPr>
          <w:spacing w:val="-3"/>
        </w:rPr>
        <w:t>的</w:t>
      </w:r>
      <w:r>
        <w:t>某些</w:t>
      </w:r>
      <w:r>
        <w:rPr>
          <w:spacing w:val="-3"/>
        </w:rPr>
        <w:t>内</w:t>
      </w:r>
      <w:r>
        <w:t>容有</w:t>
      </w:r>
      <w:r>
        <w:rPr>
          <w:spacing w:val="-3"/>
        </w:rPr>
        <w:t>变</w:t>
      </w:r>
      <w:r>
        <w:t>更必</w:t>
      </w:r>
      <w:r>
        <w:rPr>
          <w:spacing w:val="-3"/>
        </w:rPr>
        <w:t>要</w:t>
      </w:r>
      <w:r>
        <w:t>的，</w:t>
      </w:r>
      <w:r>
        <w:rPr>
          <w:spacing w:val="-3"/>
        </w:rPr>
        <w:t>双</w:t>
      </w:r>
      <w:r>
        <w:t>方应</w:t>
      </w:r>
      <w:r>
        <w:rPr>
          <w:spacing w:val="-3"/>
        </w:rPr>
        <w:t>通</w:t>
      </w:r>
      <w:r>
        <w:t>过协</w:t>
      </w:r>
      <w:r>
        <w:rPr>
          <w:spacing w:val="-3"/>
        </w:rPr>
        <w:t>商</w:t>
      </w:r>
      <w:r>
        <w:t>在</w:t>
      </w:r>
      <w:r>
        <w:rPr>
          <w:u w:val="single"/>
        </w:rPr>
        <w:t xml:space="preserve"> </w:t>
      </w:r>
      <w:r>
        <w:rPr>
          <w:u w:val="single"/>
        </w:rPr>
        <w:tab/>
      </w:r>
      <w:r>
        <w:t>天</w:t>
      </w:r>
      <w:r>
        <w:rPr>
          <w:spacing w:val="-3"/>
        </w:rPr>
        <w:t>内</w:t>
      </w:r>
      <w:r>
        <w:rPr>
          <w:spacing w:val="-16"/>
        </w:rPr>
        <w:t>达</w:t>
      </w:r>
      <w:r>
        <w:t>成</w:t>
      </w:r>
      <w:r>
        <w:rPr>
          <w:spacing w:val="-3"/>
        </w:rPr>
        <w:t>进</w:t>
      </w:r>
      <w:r>
        <w:t>一步</w:t>
      </w:r>
      <w:r>
        <w:rPr>
          <w:spacing w:val="-3"/>
        </w:rPr>
        <w:t>履</w:t>
      </w:r>
      <w:r>
        <w:t>行合</w:t>
      </w:r>
      <w:r>
        <w:rPr>
          <w:spacing w:val="-3"/>
        </w:rPr>
        <w:t>同</w:t>
      </w:r>
      <w:r>
        <w:t>的协</w:t>
      </w:r>
      <w:r>
        <w:rPr>
          <w:spacing w:val="-3"/>
        </w:rPr>
        <w:t>议</w:t>
      </w:r>
      <w:r>
        <w:t>，因</w:t>
      </w:r>
      <w:r>
        <w:rPr>
          <w:spacing w:val="-3"/>
        </w:rPr>
        <w:t>不</w:t>
      </w:r>
      <w:r>
        <w:t>可抗</w:t>
      </w:r>
      <w:r>
        <w:rPr>
          <w:spacing w:val="-3"/>
        </w:rPr>
        <w:t>力</w:t>
      </w:r>
      <w:r>
        <w:t>致使</w:t>
      </w:r>
      <w:r>
        <w:rPr>
          <w:spacing w:val="-3"/>
        </w:rPr>
        <w:t>合</w:t>
      </w:r>
      <w:r>
        <w:t>同不</w:t>
      </w:r>
      <w:r>
        <w:rPr>
          <w:spacing w:val="-3"/>
        </w:rPr>
        <w:t>能</w:t>
      </w:r>
      <w:r>
        <w:t>履行</w:t>
      </w:r>
      <w:r>
        <w:rPr>
          <w:spacing w:val="-3"/>
        </w:rPr>
        <w:t>的</w:t>
      </w:r>
      <w:r>
        <w:t>，合</w:t>
      </w:r>
      <w:r>
        <w:rPr>
          <w:spacing w:val="-3"/>
        </w:rPr>
        <w:t>同</w:t>
      </w:r>
      <w:r>
        <w:t>终止。八</w:t>
      </w:r>
      <w:r>
        <w:rPr>
          <w:spacing w:val="-3"/>
        </w:rPr>
        <w:t>、</w:t>
      </w:r>
      <w:r>
        <w:t>知识</w:t>
      </w:r>
      <w:r>
        <w:rPr>
          <w:spacing w:val="-3"/>
        </w:rPr>
        <w:t>产</w:t>
      </w:r>
      <w:r>
        <w:t>权：</w:t>
      </w:r>
      <w:r>
        <w:rPr>
          <w:spacing w:val="-3"/>
        </w:rPr>
        <w:t>详</w:t>
      </w:r>
      <w:r>
        <w:t>见合</w:t>
      </w:r>
      <w:r>
        <w:rPr>
          <w:spacing w:val="-3"/>
        </w:rPr>
        <w:t>同</w:t>
      </w:r>
      <w:r>
        <w:t>通用</w:t>
      </w:r>
      <w:r>
        <w:rPr>
          <w:spacing w:val="-3"/>
        </w:rPr>
        <w:t>条</w:t>
      </w:r>
      <w:r>
        <w:t>款</w:t>
      </w:r>
    </w:p>
    <w:p>
      <w:pPr>
        <w:pStyle w:val="2"/>
        <w:spacing w:before="3" w:line="242" w:lineRule="auto"/>
        <w:ind w:right="7427"/>
      </w:pPr>
      <w:r>
        <w:rPr>
          <w:spacing w:val="-3"/>
        </w:rPr>
        <w:t xml:space="preserve">九、其他约定： </w:t>
      </w:r>
      <w:r>
        <w:rPr>
          <w:spacing w:val="-5"/>
        </w:rPr>
        <w:t>十、合同争议解决</w:t>
      </w:r>
    </w:p>
    <w:p>
      <w:pPr>
        <w:pStyle w:val="20"/>
        <w:numPr>
          <w:ilvl w:val="0"/>
          <w:numId w:val="22"/>
        </w:numPr>
        <w:tabs>
          <w:tab w:val="left" w:pos="863"/>
        </w:tabs>
        <w:spacing w:before="2" w:after="0" w:line="242" w:lineRule="auto"/>
        <w:ind w:left="219" w:right="428" w:firstLine="360"/>
        <w:jc w:val="left"/>
        <w:rPr>
          <w:sz w:val="28"/>
        </w:rPr>
      </w:pPr>
      <w:r>
        <w:rPr>
          <w:spacing w:val="-3"/>
          <w:sz w:val="28"/>
        </w:rPr>
        <w:t>因产品质量问题发生争议的，应邀请国家认可的质量检测机构进行鉴定。产品符合标准的，鉴定费由甲方承担；产品不符合标准的，鉴定费由乙</w:t>
      </w:r>
      <w:r>
        <w:rPr>
          <w:spacing w:val="-2"/>
          <w:sz w:val="28"/>
        </w:rPr>
        <w:t>方承担。</w:t>
      </w:r>
    </w:p>
    <w:p>
      <w:pPr>
        <w:spacing w:after="0" w:line="244" w:lineRule="auto"/>
        <w:jc w:val="left"/>
        <w:rPr>
          <w:sz w:val="28"/>
        </w:rPr>
        <w:sectPr>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p>
    <w:p>
      <w:pPr>
        <w:pStyle w:val="20"/>
        <w:numPr>
          <w:ilvl w:val="0"/>
          <w:numId w:val="22"/>
        </w:numPr>
        <w:tabs>
          <w:tab w:val="left" w:pos="863"/>
        </w:tabs>
        <w:spacing w:before="0" w:after="0" w:line="244" w:lineRule="auto"/>
        <w:ind w:left="219" w:right="347" w:firstLine="360"/>
        <w:jc w:val="left"/>
        <w:rPr>
          <w:sz w:val="28"/>
        </w:rPr>
      </w:pPr>
      <w:r>
        <w:rPr>
          <w:spacing w:val="-3"/>
          <w:sz w:val="28"/>
        </w:rPr>
        <w:t>因履行本合同引起的或与本合同有关的争议，甲乙双方应首先通过友好协商解决，如果协商不能解决，可向</w:t>
      </w:r>
      <w:r>
        <w:rPr>
          <w:spacing w:val="-2"/>
          <w:sz w:val="28"/>
          <w:u w:val="single"/>
        </w:rPr>
        <w:t>甲方</w:t>
      </w:r>
      <w:r>
        <w:rPr>
          <w:spacing w:val="-3"/>
          <w:sz w:val="28"/>
        </w:rPr>
        <w:t>所在地仲裁委员会申请仲裁或向甲</w:t>
      </w:r>
    </w:p>
    <w:p>
      <w:pPr>
        <w:pStyle w:val="2"/>
        <w:spacing w:before="33"/>
      </w:pPr>
      <w:r>
        <w:t>方所在地人民法院提起诉讼。</w:t>
      </w:r>
    </w:p>
    <w:p>
      <w:pPr>
        <w:pStyle w:val="20"/>
        <w:numPr>
          <w:ilvl w:val="0"/>
          <w:numId w:val="22"/>
        </w:numPr>
        <w:tabs>
          <w:tab w:val="left" w:pos="863"/>
        </w:tabs>
        <w:spacing w:before="4" w:after="0" w:line="242" w:lineRule="auto"/>
        <w:ind w:left="219" w:right="5387" w:firstLine="360"/>
        <w:jc w:val="left"/>
        <w:rPr>
          <w:sz w:val="28"/>
        </w:rPr>
      </w:pPr>
      <w:r>
        <w:rPr>
          <w:spacing w:val="-3"/>
          <w:sz w:val="28"/>
        </w:rPr>
        <w:t>诉讼期间，本合同继续履行。十一、合同生效及其它：</w:t>
      </w:r>
    </w:p>
    <w:p>
      <w:pPr>
        <w:pStyle w:val="20"/>
        <w:numPr>
          <w:ilvl w:val="0"/>
          <w:numId w:val="23"/>
        </w:numPr>
        <w:tabs>
          <w:tab w:val="left" w:pos="863"/>
        </w:tabs>
        <w:spacing w:before="2" w:after="0" w:line="240" w:lineRule="auto"/>
        <w:ind w:left="862" w:right="0" w:hanging="284"/>
        <w:jc w:val="left"/>
        <w:rPr>
          <w:sz w:val="28"/>
        </w:rPr>
      </w:pPr>
      <w:r>
        <w:rPr>
          <w:spacing w:val="-3"/>
          <w:sz w:val="28"/>
        </w:rPr>
        <w:t>本合同一式</w:t>
      </w:r>
      <w:r>
        <w:rPr>
          <w:sz w:val="28"/>
          <w:u w:val="thick"/>
        </w:rPr>
        <w:t>八</w:t>
      </w:r>
      <w:r>
        <w:rPr>
          <w:spacing w:val="-3"/>
          <w:sz w:val="28"/>
        </w:rPr>
        <w:t>份，经双方签字，并加盖公章即为生效。</w:t>
      </w:r>
    </w:p>
    <w:p>
      <w:pPr>
        <w:pStyle w:val="20"/>
        <w:numPr>
          <w:ilvl w:val="0"/>
          <w:numId w:val="23"/>
        </w:numPr>
        <w:tabs>
          <w:tab w:val="left" w:pos="863"/>
        </w:tabs>
        <w:spacing w:before="4" w:after="0" w:line="240" w:lineRule="auto"/>
        <w:ind w:left="862" w:right="0" w:hanging="284"/>
        <w:jc w:val="left"/>
        <w:rPr>
          <w:sz w:val="28"/>
        </w:rPr>
      </w:pPr>
      <w:r>
        <w:rPr>
          <w:spacing w:val="-3"/>
          <w:sz w:val="28"/>
        </w:rPr>
        <w:t>本合同未尽事宜，按经济合同法有关规定处理。</w:t>
      </w:r>
    </w:p>
    <w:p>
      <w:pPr>
        <w:pStyle w:val="20"/>
        <w:numPr>
          <w:ilvl w:val="0"/>
          <w:numId w:val="23"/>
        </w:numPr>
        <w:tabs>
          <w:tab w:val="left" w:pos="863"/>
        </w:tabs>
        <w:spacing w:before="4" w:after="0" w:line="240" w:lineRule="auto"/>
        <w:ind w:left="862" w:right="0" w:hanging="284"/>
        <w:jc w:val="left"/>
        <w:rPr>
          <w:sz w:val="28"/>
        </w:rPr>
      </w:pPr>
      <w:r>
        <w:rPr>
          <w:spacing w:val="-3"/>
          <w:sz w:val="28"/>
        </w:rPr>
        <w:t>本合同的组成包含《合同通用条款》。</w:t>
      </w:r>
    </w:p>
    <w:p>
      <w:pPr>
        <w:pStyle w:val="2"/>
        <w:spacing w:before="6"/>
        <w:ind w:left="0"/>
      </w:pPr>
    </w:p>
    <w:p>
      <w:pPr>
        <w:tabs>
          <w:tab w:val="left" w:pos="4899"/>
        </w:tabs>
        <w:spacing w:before="0"/>
        <w:ind w:left="219" w:right="0" w:firstLine="0"/>
        <w:jc w:val="left"/>
        <w:rPr>
          <w:sz w:val="28"/>
          <w:szCs w:val="28"/>
        </w:rPr>
      </w:pPr>
      <w:r>
        <w:rPr>
          <w:sz w:val="28"/>
          <w:szCs w:val="28"/>
        </w:rPr>
        <w:t>甲方（盖章）：</w:t>
      </w:r>
      <w:r>
        <w:rPr>
          <w:sz w:val="28"/>
          <w:szCs w:val="28"/>
        </w:rPr>
        <w:tab/>
      </w:r>
      <w:r>
        <w:rPr>
          <w:sz w:val="28"/>
          <w:szCs w:val="28"/>
        </w:rPr>
        <w:t>乙方（盖章）：</w:t>
      </w:r>
    </w:p>
    <w:p>
      <w:pPr>
        <w:pStyle w:val="2"/>
        <w:spacing w:before="9"/>
        <w:ind w:left="0"/>
        <w:rPr>
          <w:sz w:val="28"/>
          <w:szCs w:val="28"/>
        </w:rPr>
      </w:pPr>
    </w:p>
    <w:p>
      <w:pPr>
        <w:spacing w:before="0"/>
        <w:ind w:left="219" w:right="0" w:firstLine="0"/>
        <w:jc w:val="left"/>
        <w:rPr>
          <w:sz w:val="28"/>
          <w:szCs w:val="28"/>
        </w:rPr>
      </w:pPr>
      <w:r>
        <w:rPr>
          <w:sz w:val="28"/>
          <w:szCs w:val="28"/>
        </w:rPr>
        <w:t>法定代表人或委托代</w:t>
      </w:r>
      <w:r>
        <w:rPr>
          <w:rFonts w:hint="eastAsia"/>
          <w:sz w:val="28"/>
          <w:szCs w:val="28"/>
          <w:lang w:val="en-US" w:eastAsia="zh-CN"/>
        </w:rPr>
        <w:t xml:space="preserve">               </w:t>
      </w:r>
      <w:r>
        <w:rPr>
          <w:sz w:val="28"/>
          <w:szCs w:val="28"/>
        </w:rPr>
        <w:t>法定代表人或委托代</w:t>
      </w:r>
    </w:p>
    <w:p>
      <w:pPr>
        <w:spacing w:before="0"/>
        <w:ind w:left="219" w:right="0" w:firstLine="0"/>
        <w:jc w:val="left"/>
        <w:rPr>
          <w:sz w:val="28"/>
          <w:szCs w:val="28"/>
        </w:rPr>
      </w:pPr>
      <w:r>
        <w:rPr>
          <w:sz w:val="28"/>
          <w:szCs w:val="28"/>
        </w:rPr>
        <w:t xml:space="preserve">理人（签字或盖章）： </w:t>
      </w:r>
      <w:r>
        <w:rPr>
          <w:rFonts w:hint="eastAsia"/>
          <w:sz w:val="28"/>
          <w:szCs w:val="28"/>
          <w:lang w:val="en-US" w:eastAsia="zh-CN"/>
        </w:rPr>
        <w:t xml:space="preserve">             </w:t>
      </w:r>
      <w:r>
        <w:rPr>
          <w:sz w:val="28"/>
          <w:szCs w:val="28"/>
        </w:rPr>
        <w:t>理人（签字或盖章）：</w:t>
      </w:r>
    </w:p>
    <w:p>
      <w:pPr>
        <w:pStyle w:val="2"/>
        <w:spacing w:before="8"/>
        <w:ind w:left="0"/>
        <w:rPr>
          <w:sz w:val="28"/>
          <w:szCs w:val="28"/>
        </w:rPr>
      </w:pPr>
    </w:p>
    <w:p>
      <w:pPr>
        <w:spacing w:before="0" w:line="242" w:lineRule="auto"/>
        <w:ind w:left="4899" w:right="3788" w:firstLine="0"/>
        <w:jc w:val="left"/>
        <w:rPr>
          <w:sz w:val="28"/>
          <w:szCs w:val="28"/>
        </w:rPr>
      </w:pPr>
      <w:r>
        <w:rPr>
          <w:spacing w:val="-4"/>
          <w:sz w:val="28"/>
          <w:szCs w:val="28"/>
        </w:rPr>
        <w:t xml:space="preserve">开户银行： </w:t>
      </w:r>
      <w:r>
        <w:rPr>
          <w:sz w:val="28"/>
          <w:szCs w:val="28"/>
        </w:rPr>
        <w:t>账号：</w:t>
      </w:r>
    </w:p>
    <w:p>
      <w:pPr>
        <w:tabs>
          <w:tab w:val="left" w:pos="4899"/>
        </w:tabs>
        <w:spacing w:before="1"/>
        <w:ind w:left="219" w:right="0" w:firstLine="0"/>
        <w:jc w:val="left"/>
        <w:rPr>
          <w:sz w:val="28"/>
          <w:szCs w:val="28"/>
        </w:rPr>
      </w:pPr>
      <w:r>
        <w:rPr>
          <w:sz w:val="28"/>
          <w:szCs w:val="28"/>
        </w:rPr>
        <w:t>地址：</w:t>
      </w:r>
      <w:r>
        <w:rPr>
          <w:sz w:val="28"/>
          <w:szCs w:val="28"/>
        </w:rPr>
        <w:tab/>
      </w:r>
      <w:r>
        <w:rPr>
          <w:sz w:val="28"/>
          <w:szCs w:val="28"/>
        </w:rPr>
        <w:t>地址：</w:t>
      </w:r>
    </w:p>
    <w:p>
      <w:pPr>
        <w:tabs>
          <w:tab w:val="left" w:pos="4899"/>
        </w:tabs>
        <w:spacing w:before="4"/>
        <w:ind w:left="219" w:right="0" w:firstLine="0"/>
        <w:jc w:val="left"/>
        <w:rPr>
          <w:sz w:val="28"/>
          <w:szCs w:val="28"/>
        </w:rPr>
      </w:pPr>
      <w:r>
        <w:rPr>
          <w:sz w:val="28"/>
          <w:szCs w:val="28"/>
        </w:rPr>
        <w:t>联系电话：</w:t>
      </w:r>
      <w:r>
        <w:rPr>
          <w:sz w:val="28"/>
          <w:szCs w:val="28"/>
        </w:rPr>
        <w:tab/>
      </w:r>
      <w:r>
        <w:rPr>
          <w:sz w:val="28"/>
          <w:szCs w:val="28"/>
        </w:rPr>
        <w:t>联系电话：</w:t>
      </w:r>
    </w:p>
    <w:p>
      <w:pPr>
        <w:tabs>
          <w:tab w:val="left" w:pos="3219"/>
          <w:tab w:val="left" w:pos="3939"/>
          <w:tab w:val="left" w:pos="4659"/>
        </w:tabs>
        <w:spacing w:before="5" w:line="525" w:lineRule="auto"/>
        <w:ind w:left="219" w:right="4988" w:firstLine="1320"/>
        <w:jc w:val="left"/>
        <w:rPr>
          <w:sz w:val="28"/>
          <w:szCs w:val="28"/>
        </w:rPr>
      </w:pPr>
    </w:p>
    <w:p>
      <w:pPr>
        <w:tabs>
          <w:tab w:val="left" w:pos="3219"/>
          <w:tab w:val="left" w:pos="3939"/>
          <w:tab w:val="left" w:pos="4659"/>
        </w:tabs>
        <w:spacing w:before="5" w:line="525" w:lineRule="auto"/>
        <w:ind w:left="219" w:right="4988" w:firstLine="1320"/>
        <w:jc w:val="left"/>
        <w:rPr>
          <w:sz w:val="28"/>
          <w:szCs w:val="28"/>
        </w:rPr>
      </w:pPr>
      <w:r>
        <w:rPr>
          <w:sz w:val="28"/>
          <w:szCs w:val="28"/>
        </w:rPr>
        <w:t>签约时间：</w:t>
      </w:r>
      <w:r>
        <w:rPr>
          <w:sz w:val="28"/>
          <w:szCs w:val="28"/>
        </w:rPr>
        <w:tab/>
      </w:r>
      <w:r>
        <w:rPr>
          <w:sz w:val="28"/>
          <w:szCs w:val="28"/>
        </w:rPr>
        <w:t>年</w:t>
      </w:r>
      <w:r>
        <w:rPr>
          <w:sz w:val="28"/>
          <w:szCs w:val="28"/>
        </w:rPr>
        <w:tab/>
      </w:r>
      <w:r>
        <w:rPr>
          <w:sz w:val="28"/>
          <w:szCs w:val="28"/>
        </w:rPr>
        <w:t>月</w:t>
      </w:r>
      <w:r>
        <w:rPr>
          <w:rFonts w:hint="eastAsia"/>
          <w:sz w:val="28"/>
          <w:szCs w:val="28"/>
          <w:lang w:val="en-US" w:eastAsia="zh-CN"/>
        </w:rPr>
        <w:t xml:space="preserve">   </w:t>
      </w:r>
      <w:r>
        <w:rPr>
          <w:spacing w:val="-17"/>
          <w:sz w:val="28"/>
          <w:szCs w:val="28"/>
        </w:rPr>
        <w:t>日</w:t>
      </w:r>
      <w:r>
        <w:rPr>
          <w:sz w:val="28"/>
          <w:szCs w:val="28"/>
        </w:rPr>
        <w:t>采购代理机构（盖章）：</w:t>
      </w:r>
    </w:p>
    <w:p>
      <w:pPr>
        <w:spacing w:before="0" w:line="257" w:lineRule="exact"/>
        <w:ind w:left="219" w:right="0" w:firstLine="0"/>
        <w:jc w:val="left"/>
        <w:rPr>
          <w:sz w:val="28"/>
          <w:szCs w:val="28"/>
        </w:rPr>
      </w:pPr>
      <w:r>
        <w:rPr>
          <w:sz w:val="28"/>
          <w:szCs w:val="28"/>
        </w:rPr>
        <w:t>负责人或经办人（签字或盖章）：</w:t>
      </w:r>
    </w:p>
    <w:p>
      <w:pPr>
        <w:pStyle w:val="2"/>
        <w:spacing w:before="8"/>
        <w:ind w:left="0"/>
        <w:rPr>
          <w:sz w:val="28"/>
          <w:szCs w:val="28"/>
        </w:rPr>
      </w:pPr>
    </w:p>
    <w:p>
      <w:pPr>
        <w:tabs>
          <w:tab w:val="left" w:pos="2159"/>
          <w:tab w:val="left" w:pos="2879"/>
          <w:tab w:val="left" w:pos="3599"/>
        </w:tabs>
        <w:spacing w:before="1"/>
        <w:ind w:left="0" w:right="0" w:firstLine="0"/>
        <w:jc w:val="center"/>
        <w:outlineLvl w:val="0"/>
        <w:rPr>
          <w:sz w:val="28"/>
          <w:szCs w:val="28"/>
        </w:rPr>
      </w:pPr>
      <w:bookmarkStart w:id="79" w:name="_Toc14358"/>
      <w:bookmarkStart w:id="80" w:name="_Toc29377"/>
      <w:r>
        <w:rPr>
          <w:sz w:val="28"/>
          <w:szCs w:val="28"/>
        </w:rPr>
        <w:t>合同备案时间：</w:t>
      </w:r>
      <w:r>
        <w:rPr>
          <w:sz w:val="28"/>
          <w:szCs w:val="28"/>
        </w:rPr>
        <w:tab/>
      </w:r>
      <w:r>
        <w:rPr>
          <w:sz w:val="28"/>
          <w:szCs w:val="28"/>
        </w:rPr>
        <w:t>年</w:t>
      </w:r>
      <w:r>
        <w:rPr>
          <w:sz w:val="28"/>
          <w:szCs w:val="28"/>
        </w:rPr>
        <w:tab/>
      </w:r>
      <w:r>
        <w:rPr>
          <w:sz w:val="28"/>
          <w:szCs w:val="28"/>
        </w:rPr>
        <w:t>月</w:t>
      </w:r>
      <w:r>
        <w:rPr>
          <w:sz w:val="28"/>
          <w:szCs w:val="28"/>
        </w:rPr>
        <w:tab/>
      </w:r>
      <w:r>
        <w:rPr>
          <w:sz w:val="28"/>
          <w:szCs w:val="28"/>
        </w:rPr>
        <w:t>日</w:t>
      </w:r>
      <w:bookmarkEnd w:id="79"/>
      <w:bookmarkEnd w:id="80"/>
    </w:p>
    <w:p>
      <w:pPr>
        <w:spacing w:after="0"/>
        <w:jc w:val="center"/>
        <w:rPr>
          <w:sz w:val="28"/>
          <w:szCs w:val="28"/>
        </w:rPr>
        <w:sectPr>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p>
    <w:p>
      <w:pPr>
        <w:spacing w:before="33"/>
        <w:ind w:left="2" w:right="0" w:firstLine="0"/>
        <w:jc w:val="center"/>
        <w:outlineLvl w:val="0"/>
        <w:rPr>
          <w:b/>
          <w:sz w:val="28"/>
        </w:rPr>
      </w:pPr>
      <w:bookmarkStart w:id="81" w:name="_Toc15650"/>
      <w:bookmarkStart w:id="82" w:name="_Toc24284"/>
      <w:r>
        <w:rPr>
          <w:b/>
          <w:spacing w:val="-1"/>
          <w:w w:val="95"/>
          <w:sz w:val="28"/>
        </w:rPr>
        <w:t>合同通用条款</w:t>
      </w:r>
      <w:bookmarkEnd w:id="81"/>
      <w:bookmarkEnd w:id="82"/>
    </w:p>
    <w:p>
      <w:pPr>
        <w:pStyle w:val="2"/>
        <w:spacing w:before="7"/>
        <w:ind w:left="0"/>
        <w:rPr>
          <w:b/>
        </w:rPr>
      </w:pPr>
    </w:p>
    <w:p>
      <w:pPr>
        <w:pStyle w:val="2"/>
        <w:spacing w:line="242" w:lineRule="auto"/>
        <w:ind w:right="428" w:firstLine="480"/>
        <w:jc w:val="both"/>
      </w:pPr>
      <w:r>
        <w:rPr>
          <w:spacing w:val="-3"/>
        </w:rPr>
        <w:t>根据《中华人民共和国合同法》、《中华人民共和国政府采购法》的规定，合同双方经协商达成一致，自愿订立本合同，遵循公平原则明确双方的权利、义务，确保双方诚实守信地履行合同。</w:t>
      </w:r>
    </w:p>
    <w:p>
      <w:pPr>
        <w:pStyle w:val="20"/>
        <w:numPr>
          <w:ilvl w:val="0"/>
          <w:numId w:val="24"/>
        </w:numPr>
        <w:tabs>
          <w:tab w:val="left" w:pos="503"/>
        </w:tabs>
        <w:spacing w:before="3" w:after="0" w:line="240" w:lineRule="auto"/>
        <w:ind w:left="502" w:right="0" w:hanging="284"/>
        <w:jc w:val="left"/>
        <w:rPr>
          <w:b/>
          <w:sz w:val="28"/>
        </w:rPr>
      </w:pPr>
      <w:r>
        <w:rPr>
          <w:b/>
          <w:sz w:val="28"/>
        </w:rPr>
        <w:t>定义</w:t>
      </w:r>
    </w:p>
    <w:p>
      <w:pPr>
        <w:pStyle w:val="2"/>
        <w:spacing w:before="4"/>
        <w:ind w:left="699"/>
      </w:pPr>
      <w:r>
        <w:t>本合同中的下列术语应解释为：</w:t>
      </w:r>
    </w:p>
    <w:p>
      <w:pPr>
        <w:pStyle w:val="20"/>
        <w:numPr>
          <w:ilvl w:val="1"/>
          <w:numId w:val="24"/>
        </w:numPr>
        <w:tabs>
          <w:tab w:val="left" w:pos="1261"/>
        </w:tabs>
        <w:spacing w:before="6" w:after="0" w:line="242" w:lineRule="auto"/>
        <w:ind w:left="219" w:right="227" w:firstLine="480"/>
        <w:jc w:val="left"/>
        <w:rPr>
          <w:sz w:val="28"/>
        </w:rPr>
      </w:pPr>
      <w:r>
        <w:rPr>
          <w:spacing w:val="-3"/>
          <w:sz w:val="28"/>
        </w:rPr>
        <w:t>“合同”指甲乙双方签署的、载明的甲乙双方权利义务的协议，包括所有的附件、附录和上述文件所提到的构成合同的所有文件。</w:t>
      </w:r>
    </w:p>
    <w:p>
      <w:pPr>
        <w:pStyle w:val="20"/>
        <w:numPr>
          <w:ilvl w:val="1"/>
          <w:numId w:val="24"/>
        </w:numPr>
        <w:tabs>
          <w:tab w:val="left" w:pos="1261"/>
        </w:tabs>
        <w:spacing w:before="0" w:after="0" w:line="244" w:lineRule="auto"/>
        <w:ind w:left="219" w:right="227" w:firstLine="480"/>
        <w:jc w:val="left"/>
        <w:rPr>
          <w:sz w:val="28"/>
        </w:rPr>
      </w:pPr>
      <w:r>
        <w:rPr>
          <w:spacing w:val="-3"/>
          <w:sz w:val="28"/>
        </w:rPr>
        <w:t>“合同金额”指根据合同规定，乙方在正确地完全履行合同义务后甲方应付给乙方的价款。</w:t>
      </w:r>
    </w:p>
    <w:p>
      <w:pPr>
        <w:pStyle w:val="20"/>
        <w:numPr>
          <w:ilvl w:val="1"/>
          <w:numId w:val="24"/>
        </w:numPr>
        <w:tabs>
          <w:tab w:val="left" w:pos="1261"/>
        </w:tabs>
        <w:spacing w:before="0" w:after="0" w:line="354" w:lineRule="exact"/>
        <w:ind w:left="1260" w:right="0" w:hanging="562"/>
        <w:jc w:val="left"/>
        <w:rPr>
          <w:sz w:val="28"/>
        </w:rPr>
      </w:pPr>
      <w:r>
        <w:rPr>
          <w:spacing w:val="-3"/>
          <w:sz w:val="28"/>
        </w:rPr>
        <w:t>“合同条款”指本合同条款。</w:t>
      </w:r>
    </w:p>
    <w:p>
      <w:pPr>
        <w:pStyle w:val="20"/>
        <w:numPr>
          <w:ilvl w:val="1"/>
          <w:numId w:val="24"/>
        </w:numPr>
        <w:tabs>
          <w:tab w:val="left" w:pos="1261"/>
        </w:tabs>
        <w:spacing w:before="3" w:after="0" w:line="242" w:lineRule="auto"/>
        <w:ind w:left="219" w:right="507" w:firstLine="480"/>
        <w:jc w:val="both"/>
        <w:rPr>
          <w:sz w:val="28"/>
        </w:rPr>
      </w:pPr>
      <w:r>
        <w:rPr>
          <w:spacing w:val="-3"/>
          <w:sz w:val="28"/>
        </w:rPr>
        <w:t>“货物”指乙方根据合同约定须向甲方提供的一切产品、设备、机械、仪表、备件等，包括辅助工具、使用手册等相关资料。</w:t>
      </w:r>
    </w:p>
    <w:p>
      <w:pPr>
        <w:pStyle w:val="20"/>
        <w:numPr>
          <w:ilvl w:val="1"/>
          <w:numId w:val="24"/>
        </w:numPr>
        <w:tabs>
          <w:tab w:val="left" w:pos="1261"/>
        </w:tabs>
        <w:spacing w:before="3" w:after="0" w:line="242" w:lineRule="auto"/>
        <w:ind w:left="219" w:right="428" w:firstLine="480"/>
        <w:jc w:val="both"/>
        <w:rPr>
          <w:sz w:val="28"/>
        </w:rPr>
      </w:pPr>
      <w:r>
        <w:rPr>
          <w:spacing w:val="-3"/>
          <w:sz w:val="28"/>
        </w:rPr>
        <w:t>“服务”指根据本合同规定乙方承担与供货有关的辅助服务，如运输、保险及安装、调试、提供技术援助、培训和合同中规定乙方应承担的其</w:t>
      </w:r>
      <w:r>
        <w:rPr>
          <w:spacing w:val="-2"/>
          <w:sz w:val="28"/>
        </w:rPr>
        <w:t>它义务。</w:t>
      </w:r>
    </w:p>
    <w:p>
      <w:pPr>
        <w:pStyle w:val="20"/>
        <w:numPr>
          <w:ilvl w:val="1"/>
          <w:numId w:val="24"/>
        </w:numPr>
        <w:tabs>
          <w:tab w:val="left" w:pos="1261"/>
        </w:tabs>
        <w:spacing w:before="3" w:after="0" w:line="240" w:lineRule="auto"/>
        <w:ind w:left="1260" w:right="0" w:hanging="562"/>
        <w:jc w:val="left"/>
        <w:rPr>
          <w:sz w:val="28"/>
        </w:rPr>
      </w:pPr>
      <w:r>
        <w:rPr>
          <w:spacing w:val="-3"/>
          <w:sz w:val="28"/>
        </w:rPr>
        <w:t>“甲方”指购买货物和服务的单位。</w:t>
      </w:r>
    </w:p>
    <w:p>
      <w:pPr>
        <w:pStyle w:val="20"/>
        <w:numPr>
          <w:ilvl w:val="1"/>
          <w:numId w:val="24"/>
        </w:numPr>
        <w:tabs>
          <w:tab w:val="left" w:pos="1261"/>
        </w:tabs>
        <w:spacing w:before="3" w:after="0" w:line="240" w:lineRule="auto"/>
        <w:ind w:left="1260" w:right="0" w:hanging="562"/>
        <w:jc w:val="left"/>
        <w:rPr>
          <w:sz w:val="28"/>
        </w:rPr>
      </w:pPr>
      <w:r>
        <w:rPr>
          <w:spacing w:val="-3"/>
          <w:sz w:val="28"/>
        </w:rPr>
        <w:t>“乙方”指提供本合同条款下货物和服务的公司或其他实体。</w:t>
      </w:r>
    </w:p>
    <w:p>
      <w:pPr>
        <w:pStyle w:val="20"/>
        <w:numPr>
          <w:ilvl w:val="1"/>
          <w:numId w:val="24"/>
        </w:numPr>
        <w:tabs>
          <w:tab w:val="left" w:pos="1261"/>
        </w:tabs>
        <w:spacing w:before="4" w:after="0" w:line="240" w:lineRule="auto"/>
        <w:ind w:left="1260" w:right="0" w:hanging="562"/>
        <w:jc w:val="left"/>
        <w:rPr>
          <w:sz w:val="28"/>
        </w:rPr>
      </w:pPr>
      <w:r>
        <w:rPr>
          <w:spacing w:val="-3"/>
          <w:sz w:val="28"/>
        </w:rPr>
        <w:t>“现场”指合同规定货物将要运至和安装的地点。</w:t>
      </w:r>
    </w:p>
    <w:p>
      <w:pPr>
        <w:pStyle w:val="20"/>
        <w:numPr>
          <w:ilvl w:val="1"/>
          <w:numId w:val="24"/>
        </w:numPr>
        <w:tabs>
          <w:tab w:val="left" w:pos="1261"/>
        </w:tabs>
        <w:spacing w:before="6" w:after="0" w:line="242" w:lineRule="auto"/>
        <w:ind w:left="219" w:right="227" w:firstLine="480"/>
        <w:jc w:val="both"/>
        <w:rPr>
          <w:sz w:val="28"/>
        </w:rPr>
      </w:pPr>
      <w:r>
        <w:rPr>
          <w:spacing w:val="-3"/>
          <w:sz w:val="28"/>
        </w:rPr>
        <w:t>“验收”指合同双方依据强制性的国家技术质量规范和合同约定，确认合同条款下的货物符合合同规定的活动。</w:t>
      </w:r>
    </w:p>
    <w:p>
      <w:pPr>
        <w:pStyle w:val="20"/>
        <w:numPr>
          <w:ilvl w:val="1"/>
          <w:numId w:val="24"/>
        </w:numPr>
        <w:tabs>
          <w:tab w:val="left" w:pos="1400"/>
        </w:tabs>
        <w:spacing w:before="0" w:after="0" w:line="242" w:lineRule="auto"/>
        <w:ind w:left="219" w:right="366" w:firstLine="480"/>
        <w:jc w:val="both"/>
        <w:rPr>
          <w:sz w:val="28"/>
        </w:rPr>
      </w:pPr>
      <w:r>
        <w:rPr>
          <w:spacing w:val="-3"/>
          <w:sz w:val="28"/>
        </w:rPr>
        <w:t>原厂商：产品制造商或其在中国境内设立的办事或技术服务机构。除另有说明外，本合同文件所述的制造商、产品制造商、制造厂家、产品制造厂家均为原厂商。</w:t>
      </w:r>
    </w:p>
    <w:p>
      <w:pPr>
        <w:pStyle w:val="20"/>
        <w:numPr>
          <w:ilvl w:val="1"/>
          <w:numId w:val="24"/>
        </w:numPr>
        <w:tabs>
          <w:tab w:val="left" w:pos="1400"/>
        </w:tabs>
        <w:spacing w:before="3" w:after="0" w:line="240" w:lineRule="auto"/>
        <w:ind w:left="1400" w:right="0" w:hanging="701"/>
        <w:jc w:val="both"/>
        <w:rPr>
          <w:sz w:val="28"/>
        </w:rPr>
      </w:pPr>
      <w:r>
        <w:rPr>
          <w:spacing w:val="-3"/>
          <w:sz w:val="28"/>
        </w:rPr>
        <w:t>原产地：指产品的生产地，或提供服务的来源地。</w:t>
      </w:r>
    </w:p>
    <w:p>
      <w:pPr>
        <w:pStyle w:val="20"/>
        <w:numPr>
          <w:ilvl w:val="1"/>
          <w:numId w:val="24"/>
        </w:numPr>
        <w:tabs>
          <w:tab w:val="left" w:pos="1400"/>
        </w:tabs>
        <w:spacing w:before="6" w:after="0" w:line="242" w:lineRule="auto"/>
        <w:ind w:left="219" w:right="2048" w:firstLine="480"/>
        <w:jc w:val="left"/>
        <w:rPr>
          <w:b/>
          <w:sz w:val="28"/>
        </w:rPr>
      </w:pPr>
      <w:r>
        <w:rPr>
          <w:spacing w:val="-3"/>
          <w:sz w:val="28"/>
        </w:rPr>
        <w:t>“工作日”指国家法定工作日，“天”指日历天数。</w:t>
      </w:r>
      <w:r>
        <w:rPr>
          <w:b/>
          <w:spacing w:val="-3"/>
          <w:sz w:val="28"/>
        </w:rPr>
        <w:t>2.技术规格要求</w:t>
      </w:r>
    </w:p>
    <w:p>
      <w:pPr>
        <w:pStyle w:val="20"/>
        <w:numPr>
          <w:ilvl w:val="1"/>
          <w:numId w:val="25"/>
        </w:numPr>
        <w:tabs>
          <w:tab w:val="left" w:pos="1261"/>
        </w:tabs>
        <w:spacing w:before="0" w:after="0" w:line="242" w:lineRule="auto"/>
        <w:ind w:left="219" w:right="227" w:firstLine="480"/>
        <w:jc w:val="left"/>
        <w:rPr>
          <w:sz w:val="28"/>
        </w:rPr>
      </w:pPr>
      <w:r>
        <w:rPr>
          <w:spacing w:val="-3"/>
          <w:sz w:val="28"/>
        </w:rPr>
        <w:t>本合同条款下提交货物的技术规格要求应等于或优于招响应文件技术规格要求。若技术规格要求中无相应规定，则应符合相应的国家有关部门最新颁布的相应正式标准。</w:t>
      </w:r>
    </w:p>
    <w:p>
      <w:pPr>
        <w:pStyle w:val="20"/>
        <w:numPr>
          <w:ilvl w:val="1"/>
          <w:numId w:val="25"/>
        </w:numPr>
        <w:tabs>
          <w:tab w:val="left" w:pos="1261"/>
        </w:tabs>
        <w:spacing w:before="2" w:after="0" w:line="240" w:lineRule="auto"/>
        <w:ind w:left="1260" w:right="0" w:hanging="562"/>
        <w:jc w:val="left"/>
        <w:rPr>
          <w:sz w:val="28"/>
        </w:rPr>
      </w:pPr>
      <w:r>
        <w:rPr>
          <w:spacing w:val="-3"/>
          <w:sz w:val="28"/>
        </w:rPr>
        <w:t>乙方应向甲方提供货物及服务有关的标准的中文文本。</w:t>
      </w:r>
    </w:p>
    <w:p>
      <w:pPr>
        <w:pStyle w:val="20"/>
        <w:numPr>
          <w:ilvl w:val="1"/>
          <w:numId w:val="25"/>
        </w:numPr>
        <w:tabs>
          <w:tab w:val="left" w:pos="1261"/>
        </w:tabs>
        <w:spacing w:before="4" w:after="0" w:line="244" w:lineRule="auto"/>
        <w:ind w:left="219" w:right="227" w:firstLine="480"/>
        <w:jc w:val="left"/>
        <w:rPr>
          <w:sz w:val="28"/>
        </w:rPr>
      </w:pPr>
      <w:r>
        <w:rPr>
          <w:spacing w:val="-3"/>
          <w:sz w:val="28"/>
        </w:rPr>
        <w:t>除非技术规范中另有规定，计量单位均采用中华人民共和国法定计量</w:t>
      </w:r>
      <w:r>
        <w:rPr>
          <w:spacing w:val="-2"/>
          <w:sz w:val="28"/>
        </w:rPr>
        <w:t>单位。</w:t>
      </w:r>
    </w:p>
    <w:p>
      <w:pPr>
        <w:pStyle w:val="20"/>
        <w:numPr>
          <w:ilvl w:val="0"/>
          <w:numId w:val="26"/>
        </w:numPr>
        <w:tabs>
          <w:tab w:val="left" w:pos="503"/>
        </w:tabs>
        <w:spacing w:before="0" w:after="0" w:line="354" w:lineRule="exact"/>
        <w:ind w:left="502" w:right="0" w:hanging="284"/>
        <w:jc w:val="left"/>
        <w:rPr>
          <w:b/>
          <w:sz w:val="28"/>
        </w:rPr>
      </w:pPr>
      <w:r>
        <w:rPr>
          <w:b/>
          <w:sz w:val="28"/>
        </w:rPr>
        <w:t>合同范围</w:t>
      </w:r>
    </w:p>
    <w:p>
      <w:pPr>
        <w:pStyle w:val="20"/>
        <w:numPr>
          <w:ilvl w:val="1"/>
          <w:numId w:val="26"/>
        </w:numPr>
        <w:tabs>
          <w:tab w:val="left" w:pos="1261"/>
        </w:tabs>
        <w:spacing w:before="4" w:after="0" w:line="242" w:lineRule="auto"/>
        <w:ind w:left="219" w:right="227" w:firstLine="480"/>
        <w:jc w:val="left"/>
        <w:rPr>
          <w:sz w:val="28"/>
        </w:rPr>
      </w:pPr>
      <w:r>
        <w:rPr>
          <w:spacing w:val="-3"/>
          <w:sz w:val="28"/>
        </w:rPr>
        <w:t>甲方同意从乙方处购买且乙方同意向甲方提供的货物及其附属货物， 消耗性材料、专用工具等，包括各项技术服务、技术培训及满足合同货物组装、检验、培训、技术服务、安装调试指导、性能测试、正常运行及维修所</w:t>
      </w:r>
    </w:p>
    <w:p>
      <w:pPr>
        <w:spacing w:after="0" w:line="242" w:lineRule="auto"/>
        <w:jc w:val="left"/>
        <w:rPr>
          <w:sz w:val="28"/>
        </w:rPr>
        <w:sectPr>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p>
    <w:p>
      <w:pPr>
        <w:pStyle w:val="2"/>
        <w:spacing w:before="33"/>
      </w:pPr>
      <w:r>
        <w:t>必需的技术文件。</w:t>
      </w:r>
    </w:p>
    <w:p>
      <w:pPr>
        <w:pStyle w:val="20"/>
        <w:numPr>
          <w:ilvl w:val="1"/>
          <w:numId w:val="26"/>
        </w:numPr>
        <w:tabs>
          <w:tab w:val="left" w:pos="1261"/>
        </w:tabs>
        <w:spacing w:before="4" w:after="0" w:line="240" w:lineRule="auto"/>
        <w:ind w:left="1260" w:right="0" w:hanging="562"/>
        <w:jc w:val="left"/>
        <w:rPr>
          <w:sz w:val="28"/>
        </w:rPr>
      </w:pPr>
      <w:r>
        <w:rPr>
          <w:spacing w:val="-3"/>
          <w:sz w:val="28"/>
        </w:rPr>
        <w:t>乙方应负责培训甲方的技术人员。</w:t>
      </w:r>
    </w:p>
    <w:p>
      <w:pPr>
        <w:pStyle w:val="20"/>
        <w:numPr>
          <w:ilvl w:val="1"/>
          <w:numId w:val="26"/>
        </w:numPr>
        <w:tabs>
          <w:tab w:val="left" w:pos="1261"/>
        </w:tabs>
        <w:spacing w:before="3" w:after="0" w:line="242" w:lineRule="auto"/>
        <w:ind w:left="219" w:right="227" w:firstLine="480"/>
        <w:jc w:val="left"/>
        <w:rPr>
          <w:sz w:val="28"/>
        </w:rPr>
      </w:pPr>
      <w:r>
        <w:rPr>
          <w:spacing w:val="-3"/>
          <w:sz w:val="28"/>
        </w:rPr>
        <w:t>按照甲方的要求，乙方应在合同规定的质量保证期和免费保修期内， 免费负责修理或更换有缺陷的零部件或整机，对软件产品进行免费升级，同时在合同规定的质量保证期和免费保修期满后，以最优惠的价格，向买方提供合同货物大修和维护所需的配件及服务。</w:t>
      </w:r>
    </w:p>
    <w:p>
      <w:pPr>
        <w:pStyle w:val="20"/>
        <w:numPr>
          <w:ilvl w:val="0"/>
          <w:numId w:val="26"/>
        </w:numPr>
        <w:tabs>
          <w:tab w:val="left" w:pos="503"/>
        </w:tabs>
        <w:spacing w:before="3" w:after="0" w:line="240" w:lineRule="auto"/>
        <w:ind w:left="502" w:right="0" w:hanging="284"/>
        <w:jc w:val="left"/>
        <w:rPr>
          <w:b/>
          <w:sz w:val="28"/>
        </w:rPr>
      </w:pPr>
      <w:r>
        <w:rPr>
          <w:b/>
          <w:sz w:val="28"/>
        </w:rPr>
        <w:t>合同文件和资料</w:t>
      </w:r>
    </w:p>
    <w:p>
      <w:pPr>
        <w:pStyle w:val="20"/>
        <w:numPr>
          <w:ilvl w:val="1"/>
          <w:numId w:val="26"/>
        </w:numPr>
        <w:tabs>
          <w:tab w:val="left" w:pos="1261"/>
        </w:tabs>
        <w:spacing w:before="6" w:after="0" w:line="242" w:lineRule="auto"/>
        <w:ind w:left="219" w:right="227" w:firstLine="480"/>
        <w:jc w:val="left"/>
        <w:rPr>
          <w:sz w:val="28"/>
        </w:rPr>
      </w:pPr>
      <w:r>
        <w:rPr>
          <w:spacing w:val="-3"/>
          <w:sz w:val="28"/>
        </w:rPr>
        <w:t>乙方在提供仪器设备时应同时提供中文版相关的技术资料，如目录索引、图纸、操作手册、使用指南、维修指南、服务手册等。</w:t>
      </w:r>
    </w:p>
    <w:p>
      <w:pPr>
        <w:pStyle w:val="20"/>
        <w:numPr>
          <w:ilvl w:val="1"/>
          <w:numId w:val="26"/>
        </w:numPr>
        <w:tabs>
          <w:tab w:val="left" w:pos="1261"/>
        </w:tabs>
        <w:spacing w:before="0" w:after="0" w:line="242" w:lineRule="auto"/>
        <w:ind w:left="219" w:right="227" w:firstLine="480"/>
        <w:jc w:val="left"/>
        <w:rPr>
          <w:sz w:val="28"/>
        </w:rPr>
      </w:pPr>
      <w:r>
        <w:rPr>
          <w:spacing w:val="-3"/>
          <w:sz w:val="28"/>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pStyle w:val="20"/>
        <w:numPr>
          <w:ilvl w:val="0"/>
          <w:numId w:val="26"/>
        </w:numPr>
        <w:tabs>
          <w:tab w:val="left" w:pos="503"/>
        </w:tabs>
        <w:spacing w:before="3" w:after="0" w:line="240" w:lineRule="auto"/>
        <w:ind w:left="502" w:right="0" w:hanging="284"/>
        <w:jc w:val="left"/>
        <w:rPr>
          <w:b/>
          <w:sz w:val="28"/>
        </w:rPr>
      </w:pPr>
      <w:r>
        <w:rPr>
          <w:b/>
          <w:sz w:val="28"/>
        </w:rPr>
        <w:t>知识产权</w:t>
      </w:r>
    </w:p>
    <w:p>
      <w:pPr>
        <w:pStyle w:val="20"/>
        <w:numPr>
          <w:ilvl w:val="1"/>
          <w:numId w:val="26"/>
        </w:numPr>
        <w:tabs>
          <w:tab w:val="left" w:pos="1261"/>
        </w:tabs>
        <w:spacing w:before="6" w:after="0" w:line="242" w:lineRule="auto"/>
        <w:ind w:left="219" w:right="227" w:firstLine="480"/>
        <w:jc w:val="left"/>
        <w:rPr>
          <w:sz w:val="28"/>
        </w:rPr>
      </w:pPr>
      <w:r>
        <w:rPr>
          <w:spacing w:val="-3"/>
          <w:sz w:val="28"/>
        </w:rPr>
        <w:t>乙方应保证甲方在使用该货物或其任何一部分时不受第三方提出的侵犯专利权、著作权、商标权和工业设计权等的起诉。</w:t>
      </w:r>
    </w:p>
    <w:p>
      <w:pPr>
        <w:pStyle w:val="20"/>
        <w:numPr>
          <w:ilvl w:val="1"/>
          <w:numId w:val="26"/>
        </w:numPr>
        <w:tabs>
          <w:tab w:val="left" w:pos="1261"/>
        </w:tabs>
        <w:spacing w:before="2" w:after="0" w:line="242" w:lineRule="auto"/>
        <w:ind w:left="219" w:right="227" w:firstLine="480"/>
        <w:jc w:val="left"/>
        <w:rPr>
          <w:sz w:val="28"/>
        </w:rPr>
      </w:pPr>
      <w:r>
        <w:rPr>
          <w:spacing w:val="-3"/>
          <w:sz w:val="28"/>
        </w:rPr>
        <w:t>任何第三方提出侵权指控，乙方须与第三方交涉并承担由此产生的一切责任、费用和经济赔偿。</w:t>
      </w:r>
    </w:p>
    <w:p>
      <w:pPr>
        <w:pStyle w:val="20"/>
        <w:numPr>
          <w:ilvl w:val="1"/>
          <w:numId w:val="26"/>
        </w:numPr>
        <w:tabs>
          <w:tab w:val="left" w:pos="1261"/>
        </w:tabs>
        <w:spacing w:before="1" w:after="0" w:line="242" w:lineRule="auto"/>
        <w:ind w:left="219" w:right="227" w:firstLine="480"/>
        <w:jc w:val="left"/>
        <w:rPr>
          <w:sz w:val="28"/>
        </w:rPr>
      </w:pPr>
      <w:r>
        <w:rPr>
          <w:spacing w:val="-3"/>
          <w:sz w:val="28"/>
        </w:rPr>
        <w:t>双方应共同遵守国家有关版权、专利、商标等知识产权方面的法律规定，相互尊重对方的知识产权，对本合同内容、对方的技术秘密和商业秘密负有保密责任。如有违反，违约方负相关法律责任。</w:t>
      </w:r>
    </w:p>
    <w:p>
      <w:pPr>
        <w:pStyle w:val="20"/>
        <w:numPr>
          <w:ilvl w:val="1"/>
          <w:numId w:val="26"/>
        </w:numPr>
        <w:tabs>
          <w:tab w:val="left" w:pos="1261"/>
        </w:tabs>
        <w:spacing w:before="2" w:after="0" w:line="242" w:lineRule="auto"/>
        <w:ind w:left="219" w:right="227" w:firstLine="480"/>
        <w:jc w:val="left"/>
        <w:rPr>
          <w:sz w:val="28"/>
        </w:rPr>
      </w:pPr>
      <w:r>
        <w:rPr>
          <w:spacing w:val="-3"/>
          <w:sz w:val="28"/>
        </w:rPr>
        <w:t>在本合同生效时已经存在并为各方合法拥有或使用的所有技术、资料和信息的知识产权，仍应属于其各自的原权利人所有或享有，另有约定的除外。</w:t>
      </w:r>
    </w:p>
    <w:p>
      <w:pPr>
        <w:pStyle w:val="20"/>
        <w:numPr>
          <w:ilvl w:val="1"/>
          <w:numId w:val="26"/>
        </w:numPr>
        <w:tabs>
          <w:tab w:val="left" w:pos="1261"/>
        </w:tabs>
        <w:spacing w:before="3" w:after="0" w:line="242" w:lineRule="auto"/>
        <w:ind w:left="219" w:right="227" w:firstLine="480"/>
        <w:jc w:val="left"/>
        <w:rPr>
          <w:sz w:val="28"/>
        </w:rPr>
      </w:pPr>
      <w:r>
        <w:rPr>
          <w:spacing w:val="-3"/>
          <w:sz w:val="28"/>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pStyle w:val="20"/>
        <w:numPr>
          <w:ilvl w:val="0"/>
          <w:numId w:val="26"/>
        </w:numPr>
        <w:tabs>
          <w:tab w:val="left" w:pos="503"/>
        </w:tabs>
        <w:spacing w:before="2" w:after="0" w:line="240" w:lineRule="auto"/>
        <w:ind w:left="502" w:right="0" w:hanging="284"/>
        <w:jc w:val="left"/>
        <w:rPr>
          <w:b/>
          <w:sz w:val="28"/>
        </w:rPr>
      </w:pPr>
      <w:r>
        <w:rPr>
          <w:b/>
          <w:sz w:val="28"/>
        </w:rPr>
        <w:t>保密</w:t>
      </w:r>
    </w:p>
    <w:p>
      <w:pPr>
        <w:pStyle w:val="20"/>
        <w:numPr>
          <w:ilvl w:val="1"/>
          <w:numId w:val="26"/>
        </w:numPr>
        <w:tabs>
          <w:tab w:val="left" w:pos="1261"/>
        </w:tabs>
        <w:spacing w:before="7" w:after="0" w:line="242" w:lineRule="auto"/>
        <w:ind w:left="219" w:right="227" w:firstLine="480"/>
        <w:jc w:val="left"/>
        <w:rPr>
          <w:sz w:val="28"/>
        </w:rPr>
      </w:pPr>
      <w:r>
        <w:rPr>
          <w:spacing w:val="-3"/>
          <w:sz w:val="28"/>
        </w:rPr>
        <w:t>在本合同履行期间及履行完毕后的任何时候，任何一方均应对因履行本合同从对方获取或知悉的保密信息承担保密责任，未经对方书面同意不得向第三方透露，否则应赔偿由此给对方造成的全部损失。</w:t>
      </w:r>
    </w:p>
    <w:p>
      <w:pPr>
        <w:pStyle w:val="20"/>
        <w:numPr>
          <w:ilvl w:val="1"/>
          <w:numId w:val="26"/>
        </w:numPr>
        <w:tabs>
          <w:tab w:val="left" w:pos="1261"/>
        </w:tabs>
        <w:spacing w:before="2" w:after="0" w:line="242" w:lineRule="auto"/>
        <w:ind w:left="219" w:right="227" w:firstLine="480"/>
        <w:jc w:val="left"/>
        <w:rPr>
          <w:sz w:val="28"/>
        </w:rPr>
      </w:pPr>
      <w:r>
        <w:rPr>
          <w:spacing w:val="-3"/>
          <w:sz w:val="28"/>
        </w:rPr>
        <w:t>保密信息指任何一方因履行本合同所知悉的任何以口头、书面、图表或电子形式存在的对方信息，具体包括：</w:t>
      </w:r>
    </w:p>
    <w:p>
      <w:pPr>
        <w:pStyle w:val="20"/>
        <w:numPr>
          <w:ilvl w:val="2"/>
          <w:numId w:val="26"/>
        </w:numPr>
        <w:tabs>
          <w:tab w:val="left" w:pos="1540"/>
        </w:tabs>
        <w:spacing w:before="0" w:after="0" w:line="242" w:lineRule="auto"/>
        <w:ind w:left="219" w:right="507" w:firstLine="480"/>
        <w:jc w:val="left"/>
        <w:rPr>
          <w:sz w:val="28"/>
        </w:rPr>
      </w:pPr>
      <w:r>
        <w:rPr>
          <w:spacing w:val="-3"/>
          <w:sz w:val="28"/>
        </w:rPr>
        <w:t>任何涉及对方过去、现在或将来的商业计划、规章制度、操作规程、处理手段、财务信息；</w:t>
      </w:r>
    </w:p>
    <w:p>
      <w:pPr>
        <w:pStyle w:val="20"/>
        <w:numPr>
          <w:ilvl w:val="2"/>
          <w:numId w:val="26"/>
        </w:numPr>
        <w:tabs>
          <w:tab w:val="left" w:pos="1540"/>
        </w:tabs>
        <w:spacing w:before="3" w:after="0" w:line="240" w:lineRule="auto"/>
        <w:ind w:left="1539" w:right="0" w:hanging="841"/>
        <w:jc w:val="left"/>
        <w:rPr>
          <w:sz w:val="28"/>
        </w:rPr>
      </w:pPr>
      <w:r>
        <w:rPr>
          <w:spacing w:val="-3"/>
          <w:sz w:val="28"/>
        </w:rPr>
        <w:t>任何对方的技术措施、技术方案、软件应用及开发，硬件设备的品</w:t>
      </w:r>
    </w:p>
    <w:p>
      <w:pPr>
        <w:spacing w:after="0" w:line="240" w:lineRule="auto"/>
        <w:jc w:val="left"/>
        <w:rPr>
          <w:sz w:val="28"/>
        </w:rPr>
        <w:sectPr>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p>
    <w:p>
      <w:pPr>
        <w:pStyle w:val="2"/>
        <w:spacing w:before="33"/>
      </w:pPr>
      <w:r>
        <w:t>种、质量、数量、品牌等；</w:t>
      </w:r>
    </w:p>
    <w:p>
      <w:pPr>
        <w:pStyle w:val="20"/>
        <w:numPr>
          <w:ilvl w:val="2"/>
          <w:numId w:val="26"/>
        </w:numPr>
        <w:tabs>
          <w:tab w:val="left" w:pos="1540"/>
        </w:tabs>
        <w:spacing w:before="4" w:after="0" w:line="242" w:lineRule="auto"/>
        <w:ind w:left="219" w:right="647" w:firstLine="480"/>
        <w:jc w:val="left"/>
        <w:rPr>
          <w:sz w:val="28"/>
        </w:rPr>
      </w:pPr>
      <w:r>
        <w:rPr>
          <w:spacing w:val="-3"/>
          <w:sz w:val="28"/>
        </w:rPr>
        <w:t>任何对方的技术秘密或专有知识、文件 、报告、数据、客户软件、流程图、数据库、发明、知识、贸易秘密。</w:t>
      </w:r>
    </w:p>
    <w:p>
      <w:pPr>
        <w:pStyle w:val="20"/>
        <w:numPr>
          <w:ilvl w:val="1"/>
          <w:numId w:val="26"/>
        </w:numPr>
        <w:tabs>
          <w:tab w:val="left" w:pos="1261"/>
        </w:tabs>
        <w:spacing w:before="2" w:after="0" w:line="242" w:lineRule="auto"/>
        <w:ind w:left="219" w:right="227" w:firstLine="480"/>
        <w:jc w:val="left"/>
        <w:rPr>
          <w:sz w:val="28"/>
        </w:rPr>
      </w:pPr>
      <w:r>
        <w:rPr>
          <w:spacing w:val="-3"/>
          <w:sz w:val="28"/>
        </w:rPr>
        <w:t>乙方应根据甲方的要求签署相应的保密协议，保密协议与本条款存在不一致的，以保密协议为准。</w:t>
      </w:r>
    </w:p>
    <w:p>
      <w:pPr>
        <w:pStyle w:val="20"/>
        <w:numPr>
          <w:ilvl w:val="0"/>
          <w:numId w:val="26"/>
        </w:numPr>
        <w:tabs>
          <w:tab w:val="left" w:pos="642"/>
        </w:tabs>
        <w:spacing w:before="0" w:after="0" w:line="240" w:lineRule="auto"/>
        <w:ind w:left="641" w:right="0" w:hanging="423"/>
        <w:jc w:val="left"/>
        <w:rPr>
          <w:b/>
          <w:sz w:val="28"/>
        </w:rPr>
      </w:pPr>
      <w:r>
        <w:rPr>
          <w:b/>
          <w:sz w:val="28"/>
        </w:rPr>
        <w:t>质量保证</w:t>
      </w:r>
    </w:p>
    <w:p>
      <w:pPr>
        <w:pStyle w:val="20"/>
        <w:numPr>
          <w:ilvl w:val="1"/>
          <w:numId w:val="26"/>
        </w:numPr>
        <w:tabs>
          <w:tab w:val="left" w:pos="1261"/>
        </w:tabs>
        <w:spacing w:before="4" w:after="0" w:line="240" w:lineRule="auto"/>
        <w:ind w:left="1260" w:right="0" w:hanging="562"/>
        <w:jc w:val="left"/>
        <w:outlineLvl w:val="0"/>
        <w:rPr>
          <w:sz w:val="28"/>
        </w:rPr>
      </w:pPr>
      <w:bookmarkStart w:id="83" w:name="_Toc25048"/>
      <w:bookmarkStart w:id="84" w:name="_Toc17499"/>
      <w:r>
        <w:rPr>
          <w:spacing w:val="-3"/>
          <w:sz w:val="28"/>
        </w:rPr>
        <w:t>货物质量保证</w:t>
      </w:r>
      <w:bookmarkEnd w:id="83"/>
      <w:bookmarkEnd w:id="84"/>
    </w:p>
    <w:p>
      <w:pPr>
        <w:pStyle w:val="20"/>
        <w:numPr>
          <w:ilvl w:val="2"/>
          <w:numId w:val="26"/>
        </w:numPr>
        <w:tabs>
          <w:tab w:val="left" w:pos="1540"/>
        </w:tabs>
        <w:spacing w:before="6" w:after="0" w:line="242" w:lineRule="auto"/>
        <w:ind w:left="219" w:right="227" w:firstLine="480"/>
        <w:jc w:val="left"/>
        <w:rPr>
          <w:sz w:val="28"/>
        </w:rPr>
      </w:pPr>
      <w:r>
        <w:rPr>
          <w:spacing w:val="-3"/>
          <w:sz w:val="28"/>
        </w:rPr>
        <w:t>乙方必须保证货物是全新、未使用过的，并完全符合强制性的国家技术质量规范和合同规定的质量、规格、性能和技术规范等的要求。</w:t>
      </w:r>
    </w:p>
    <w:p>
      <w:pPr>
        <w:pStyle w:val="20"/>
        <w:numPr>
          <w:ilvl w:val="2"/>
          <w:numId w:val="26"/>
        </w:numPr>
        <w:tabs>
          <w:tab w:val="left" w:pos="1540"/>
        </w:tabs>
        <w:spacing w:before="0" w:after="0" w:line="244" w:lineRule="auto"/>
        <w:ind w:left="219" w:right="227" w:firstLine="480"/>
        <w:jc w:val="left"/>
        <w:rPr>
          <w:sz w:val="28"/>
        </w:rPr>
      </w:pPr>
      <w:r>
        <w:rPr>
          <w:spacing w:val="-3"/>
          <w:sz w:val="28"/>
        </w:rPr>
        <w:t>乙方须保证所提供的货物经正确安装、正常运转和保养，在其使用寿命期内须具有符合质量要求和产品说明书的性能。在货物质量保证期之</w:t>
      </w:r>
    </w:p>
    <w:p>
      <w:pPr>
        <w:pStyle w:val="2"/>
        <w:spacing w:line="242" w:lineRule="auto"/>
        <w:ind w:right="428"/>
      </w:pPr>
      <w:r>
        <w:t>内，乙方须对由于设计、工艺或材料的缺陷而发生的任何不足或故障负责， 并免费予以改进或更换。</w:t>
      </w:r>
    </w:p>
    <w:p>
      <w:pPr>
        <w:pStyle w:val="20"/>
        <w:numPr>
          <w:ilvl w:val="2"/>
          <w:numId w:val="26"/>
        </w:numPr>
        <w:tabs>
          <w:tab w:val="left" w:pos="1540"/>
        </w:tabs>
        <w:spacing w:before="0" w:after="0" w:line="244" w:lineRule="auto"/>
        <w:ind w:left="219" w:right="227" w:firstLine="480"/>
        <w:jc w:val="left"/>
        <w:rPr>
          <w:sz w:val="28"/>
        </w:rPr>
      </w:pPr>
      <w:r>
        <w:rPr>
          <w:spacing w:val="-3"/>
          <w:sz w:val="28"/>
        </w:rPr>
        <w:t>根据乙方按检验标准自己检验结果或委托有资质的相关质检机构的检验结果，发现货物的数量、质量、规格与合同不符；或者在质量保证期</w:t>
      </w:r>
    </w:p>
    <w:p>
      <w:pPr>
        <w:pStyle w:val="2"/>
        <w:spacing w:line="242" w:lineRule="auto"/>
        <w:ind w:right="428"/>
        <w:jc w:val="both"/>
      </w:pPr>
      <w:r>
        <w:t>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pStyle w:val="20"/>
        <w:numPr>
          <w:ilvl w:val="2"/>
          <w:numId w:val="26"/>
        </w:numPr>
        <w:tabs>
          <w:tab w:val="left" w:pos="1540"/>
        </w:tabs>
        <w:spacing w:before="0" w:after="0" w:line="242" w:lineRule="auto"/>
        <w:ind w:left="219" w:right="227" w:firstLine="480"/>
        <w:jc w:val="left"/>
        <w:rPr>
          <w:sz w:val="28"/>
        </w:rPr>
      </w:pPr>
      <w:r>
        <w:rPr>
          <w:spacing w:val="-3"/>
          <w:sz w:val="28"/>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pStyle w:val="20"/>
        <w:numPr>
          <w:ilvl w:val="2"/>
          <w:numId w:val="26"/>
        </w:numPr>
        <w:tabs>
          <w:tab w:val="left" w:pos="1540"/>
        </w:tabs>
        <w:spacing w:before="0" w:after="0" w:line="244" w:lineRule="auto"/>
        <w:ind w:left="219" w:right="227" w:firstLine="480"/>
        <w:jc w:val="left"/>
        <w:rPr>
          <w:sz w:val="28"/>
        </w:rPr>
      </w:pPr>
      <w:r>
        <w:rPr>
          <w:spacing w:val="-3"/>
          <w:sz w:val="28"/>
        </w:rPr>
        <w:t>合同条款下货物的质量保证期自货物通过最终验收起算，合同另行</w:t>
      </w:r>
      <w:r>
        <w:rPr>
          <w:spacing w:val="-2"/>
          <w:sz w:val="28"/>
        </w:rPr>
        <w:t>规定除外。</w:t>
      </w:r>
    </w:p>
    <w:p>
      <w:pPr>
        <w:pStyle w:val="20"/>
        <w:numPr>
          <w:ilvl w:val="1"/>
          <w:numId w:val="26"/>
        </w:numPr>
        <w:tabs>
          <w:tab w:val="left" w:pos="1261"/>
        </w:tabs>
        <w:spacing w:before="0" w:after="0" w:line="354" w:lineRule="exact"/>
        <w:ind w:left="1260" w:right="0" w:hanging="562"/>
        <w:jc w:val="left"/>
        <w:outlineLvl w:val="0"/>
        <w:rPr>
          <w:sz w:val="28"/>
        </w:rPr>
      </w:pPr>
      <w:bookmarkStart w:id="85" w:name="_Toc23086"/>
      <w:bookmarkStart w:id="86" w:name="_Toc8774"/>
      <w:r>
        <w:rPr>
          <w:spacing w:val="-3"/>
          <w:sz w:val="28"/>
        </w:rPr>
        <w:t>辅助服务质量保证</w:t>
      </w:r>
      <w:bookmarkEnd w:id="85"/>
      <w:bookmarkEnd w:id="86"/>
    </w:p>
    <w:p>
      <w:pPr>
        <w:pStyle w:val="20"/>
        <w:numPr>
          <w:ilvl w:val="2"/>
          <w:numId w:val="26"/>
        </w:numPr>
        <w:tabs>
          <w:tab w:val="left" w:pos="1540"/>
        </w:tabs>
        <w:spacing w:before="2" w:after="0" w:line="242" w:lineRule="auto"/>
        <w:ind w:left="219" w:right="227" w:firstLine="480"/>
        <w:jc w:val="left"/>
        <w:rPr>
          <w:sz w:val="28"/>
        </w:rPr>
      </w:pPr>
      <w:r>
        <w:rPr>
          <w:spacing w:val="-3"/>
          <w:sz w:val="28"/>
        </w:rPr>
        <w:t>乙方保证免费提供合同条款下的软件产品原厂商至少一年软件全部功能及其换代产品的升级与技术支持服务</w:t>
      </w:r>
      <w:r>
        <w:rPr>
          <w:sz w:val="28"/>
        </w:rPr>
        <w:t>（</w:t>
      </w:r>
      <w:r>
        <w:rPr>
          <w:spacing w:val="-3"/>
          <w:sz w:val="28"/>
        </w:rPr>
        <w:t>包含任何版本升级、产品换代、更新及在原有产品基础上的拆解、完善、合并所产生的新产品，提供升级产品介质及授权，要求原厂商承诺，并加盖原厂商公章</w:t>
      </w:r>
      <w:r>
        <w:rPr>
          <w:sz w:val="28"/>
        </w:rPr>
        <w:t>）</w:t>
      </w:r>
      <w:r>
        <w:rPr>
          <w:spacing w:val="-3"/>
          <w:sz w:val="28"/>
        </w:rPr>
        <w:t>，不得出现因货物停售、转产而无法提供上述支持服务。</w:t>
      </w:r>
    </w:p>
    <w:p>
      <w:pPr>
        <w:pStyle w:val="20"/>
        <w:numPr>
          <w:ilvl w:val="2"/>
          <w:numId w:val="26"/>
        </w:numPr>
        <w:tabs>
          <w:tab w:val="left" w:pos="1540"/>
        </w:tabs>
        <w:spacing w:before="3" w:after="0" w:line="242" w:lineRule="auto"/>
        <w:ind w:left="219" w:right="227" w:firstLine="480"/>
        <w:jc w:val="left"/>
        <w:rPr>
          <w:sz w:val="28"/>
        </w:rPr>
      </w:pPr>
      <w:r>
        <w:rPr>
          <w:spacing w:val="-3"/>
          <w:sz w:val="28"/>
        </w:rPr>
        <w:t>乙方应保证合同条款下所提供的服务包括培训、安装指导、单机调试、系统联调和试验等，按合同规定方式进行，并保证不存在因乙方工作人员的过失、错误或疏忽而产生的缺陷。</w:t>
      </w:r>
    </w:p>
    <w:p>
      <w:pPr>
        <w:pStyle w:val="20"/>
        <w:numPr>
          <w:ilvl w:val="0"/>
          <w:numId w:val="26"/>
        </w:numPr>
        <w:tabs>
          <w:tab w:val="left" w:pos="503"/>
        </w:tabs>
        <w:spacing w:before="3" w:after="0" w:line="240" w:lineRule="auto"/>
        <w:ind w:left="502" w:right="0" w:hanging="284"/>
        <w:jc w:val="left"/>
        <w:rPr>
          <w:b/>
          <w:sz w:val="28"/>
        </w:rPr>
      </w:pPr>
      <w:r>
        <w:rPr>
          <w:b/>
          <w:sz w:val="28"/>
        </w:rPr>
        <w:t>包装要求</w:t>
      </w:r>
    </w:p>
    <w:p>
      <w:pPr>
        <w:pStyle w:val="20"/>
        <w:numPr>
          <w:ilvl w:val="1"/>
          <w:numId w:val="26"/>
        </w:numPr>
        <w:tabs>
          <w:tab w:val="left" w:pos="1261"/>
        </w:tabs>
        <w:spacing w:before="3" w:after="0" w:line="242" w:lineRule="auto"/>
        <w:ind w:left="219" w:right="227" w:firstLine="480"/>
        <w:jc w:val="left"/>
        <w:rPr>
          <w:sz w:val="28"/>
        </w:rPr>
      </w:pPr>
      <w:r>
        <w:rPr>
          <w:spacing w:val="-3"/>
          <w:sz w:val="28"/>
        </w:rPr>
        <w:t>除合同另有约定外,乙方提供的全部货物,均应采用本行业通用的方式进行包装，且该包装应符合国家有关包装的法律、法规的规定。</w:t>
      </w:r>
    </w:p>
    <w:p>
      <w:pPr>
        <w:pStyle w:val="20"/>
        <w:numPr>
          <w:ilvl w:val="1"/>
          <w:numId w:val="26"/>
        </w:numPr>
        <w:tabs>
          <w:tab w:val="left" w:pos="1261"/>
        </w:tabs>
        <w:spacing w:before="3" w:after="0" w:line="240" w:lineRule="auto"/>
        <w:ind w:left="1260" w:right="0" w:hanging="562"/>
        <w:jc w:val="left"/>
        <w:rPr>
          <w:sz w:val="28"/>
        </w:rPr>
      </w:pPr>
      <w:r>
        <w:rPr>
          <w:spacing w:val="-3"/>
          <w:sz w:val="28"/>
        </w:rPr>
        <w:t>包装应适应于远距离运输，并有良好的防潮、防震、防锈和防粗暴装</w:t>
      </w:r>
    </w:p>
    <w:p>
      <w:pPr>
        <w:spacing w:after="0" w:line="240" w:lineRule="auto"/>
        <w:jc w:val="left"/>
        <w:rPr>
          <w:sz w:val="28"/>
        </w:rPr>
        <w:sectPr>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p>
    <w:p>
      <w:pPr>
        <w:pStyle w:val="2"/>
        <w:spacing w:before="33" w:line="242" w:lineRule="auto"/>
        <w:ind w:right="428"/>
      </w:pPr>
      <w:r>
        <w:rPr>
          <w:spacing w:val="-3"/>
        </w:rPr>
        <w:t>卸等保护措施，以确保货物安全运抵现场。由于包装不善所引起的货物锈 蚀、损坏和损失均由乙方承担。乙方应提供货物运至合同规定的最终目的地所需要的包装，以防止货物在转运中损坏或变质。</w:t>
      </w:r>
    </w:p>
    <w:p>
      <w:pPr>
        <w:pStyle w:val="20"/>
        <w:numPr>
          <w:ilvl w:val="1"/>
          <w:numId w:val="26"/>
        </w:numPr>
        <w:tabs>
          <w:tab w:val="left" w:pos="1261"/>
        </w:tabs>
        <w:spacing w:before="3" w:after="0" w:line="240" w:lineRule="auto"/>
        <w:ind w:left="1260" w:right="0" w:hanging="562"/>
        <w:jc w:val="left"/>
        <w:rPr>
          <w:sz w:val="28"/>
        </w:rPr>
      </w:pPr>
      <w:r>
        <w:rPr>
          <w:spacing w:val="-3"/>
          <w:sz w:val="28"/>
        </w:rPr>
        <w:t>乙方所提供的货物包装均为出厂时原包装。</w:t>
      </w:r>
    </w:p>
    <w:p>
      <w:pPr>
        <w:pStyle w:val="20"/>
        <w:numPr>
          <w:ilvl w:val="1"/>
          <w:numId w:val="26"/>
        </w:numPr>
        <w:tabs>
          <w:tab w:val="left" w:pos="1261"/>
        </w:tabs>
        <w:spacing w:before="3" w:after="0" w:line="242" w:lineRule="auto"/>
        <w:ind w:left="219" w:right="227" w:firstLine="480"/>
        <w:jc w:val="left"/>
        <w:rPr>
          <w:sz w:val="28"/>
        </w:rPr>
      </w:pPr>
      <w:r>
        <w:rPr>
          <w:spacing w:val="-3"/>
          <w:sz w:val="28"/>
        </w:rPr>
        <w:t>乙方所提供货物必须附有质量合格证，装箱清单，主机、附件、各种零部件和消耗品，有清楚的与装箱单相对应的名称和编号。</w:t>
      </w:r>
    </w:p>
    <w:p>
      <w:pPr>
        <w:pStyle w:val="20"/>
        <w:numPr>
          <w:ilvl w:val="1"/>
          <w:numId w:val="26"/>
        </w:numPr>
        <w:tabs>
          <w:tab w:val="left" w:pos="1261"/>
        </w:tabs>
        <w:spacing w:before="0" w:after="0" w:line="244" w:lineRule="auto"/>
        <w:ind w:left="219" w:right="227" w:firstLine="480"/>
        <w:jc w:val="left"/>
        <w:rPr>
          <w:sz w:val="28"/>
        </w:rPr>
      </w:pPr>
      <w:r>
        <w:rPr>
          <w:spacing w:val="-3"/>
          <w:sz w:val="28"/>
        </w:rPr>
        <w:t>货物运输中的运输费用和保险费用均由乙方承担。运输过程中的一切损失、损坏均由乙方负责。</w:t>
      </w:r>
    </w:p>
    <w:p>
      <w:pPr>
        <w:pStyle w:val="20"/>
        <w:numPr>
          <w:ilvl w:val="0"/>
          <w:numId w:val="26"/>
        </w:numPr>
        <w:tabs>
          <w:tab w:val="left" w:pos="503"/>
        </w:tabs>
        <w:spacing w:before="0" w:after="0" w:line="354" w:lineRule="exact"/>
        <w:ind w:left="502" w:right="0" w:hanging="284"/>
        <w:jc w:val="left"/>
        <w:rPr>
          <w:b/>
          <w:sz w:val="28"/>
        </w:rPr>
      </w:pPr>
      <w:r>
        <w:rPr>
          <w:b/>
          <w:sz w:val="28"/>
        </w:rPr>
        <w:t>价格</w:t>
      </w:r>
    </w:p>
    <w:p>
      <w:pPr>
        <w:pStyle w:val="20"/>
        <w:numPr>
          <w:ilvl w:val="1"/>
          <w:numId w:val="26"/>
        </w:numPr>
        <w:tabs>
          <w:tab w:val="left" w:pos="1261"/>
        </w:tabs>
        <w:spacing w:before="4" w:after="0" w:line="242" w:lineRule="auto"/>
        <w:ind w:left="219" w:right="227" w:firstLine="480"/>
        <w:jc w:val="left"/>
        <w:rPr>
          <w:sz w:val="28"/>
        </w:rPr>
      </w:pPr>
      <w:r>
        <w:rPr>
          <w:spacing w:val="-3"/>
          <w:sz w:val="28"/>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pStyle w:val="20"/>
        <w:numPr>
          <w:ilvl w:val="1"/>
          <w:numId w:val="26"/>
        </w:numPr>
        <w:tabs>
          <w:tab w:val="left" w:pos="1261"/>
        </w:tabs>
        <w:spacing w:before="3" w:after="0" w:line="244" w:lineRule="auto"/>
        <w:ind w:left="219" w:right="227" w:firstLine="480"/>
        <w:jc w:val="left"/>
        <w:rPr>
          <w:sz w:val="28"/>
        </w:rPr>
      </w:pPr>
      <w:r>
        <w:rPr>
          <w:spacing w:val="-3"/>
          <w:sz w:val="28"/>
        </w:rPr>
        <w:t>本合同价格为固定价格，包括了乙方履行合同全过程产生的所有成本和费用以及乙方应承担的一切税费。</w:t>
      </w:r>
    </w:p>
    <w:p>
      <w:pPr>
        <w:pStyle w:val="20"/>
        <w:numPr>
          <w:ilvl w:val="1"/>
          <w:numId w:val="26"/>
        </w:numPr>
        <w:tabs>
          <w:tab w:val="left" w:pos="1261"/>
        </w:tabs>
        <w:spacing w:before="0" w:after="0" w:line="354" w:lineRule="exact"/>
        <w:ind w:left="1260" w:right="0" w:hanging="562"/>
        <w:jc w:val="left"/>
        <w:rPr>
          <w:sz w:val="28"/>
        </w:rPr>
      </w:pPr>
      <w:r>
        <w:rPr>
          <w:spacing w:val="-2"/>
          <w:sz w:val="28"/>
        </w:rPr>
        <w:t>检验费用</w:t>
      </w:r>
    </w:p>
    <w:p>
      <w:pPr>
        <w:pStyle w:val="20"/>
        <w:numPr>
          <w:ilvl w:val="2"/>
          <w:numId w:val="26"/>
        </w:numPr>
        <w:tabs>
          <w:tab w:val="left" w:pos="1540"/>
        </w:tabs>
        <w:spacing w:before="6" w:after="0" w:line="242" w:lineRule="auto"/>
        <w:ind w:left="219" w:right="227" w:firstLine="480"/>
        <w:jc w:val="left"/>
        <w:rPr>
          <w:sz w:val="28"/>
        </w:rPr>
      </w:pPr>
      <w:r>
        <w:rPr>
          <w:spacing w:val="-3"/>
          <w:sz w:val="28"/>
        </w:rPr>
        <w:t>乙方必须负担本条款下属于乙方负责的检验、测试、调试、试运行和验收的所有费用，并负责乙方派往买方组织的检验、测试和验收人员的所</w:t>
      </w:r>
      <w:r>
        <w:rPr>
          <w:spacing w:val="-2"/>
          <w:sz w:val="28"/>
        </w:rPr>
        <w:t>有费用。</w:t>
      </w:r>
    </w:p>
    <w:p>
      <w:pPr>
        <w:pStyle w:val="20"/>
        <w:numPr>
          <w:ilvl w:val="2"/>
          <w:numId w:val="26"/>
        </w:numPr>
        <w:tabs>
          <w:tab w:val="left" w:pos="1540"/>
        </w:tabs>
        <w:spacing w:before="0" w:after="0" w:line="244" w:lineRule="auto"/>
        <w:ind w:left="219" w:right="227" w:firstLine="480"/>
        <w:jc w:val="left"/>
        <w:rPr>
          <w:sz w:val="28"/>
        </w:rPr>
      </w:pPr>
      <w:r>
        <w:rPr>
          <w:spacing w:val="-3"/>
          <w:sz w:val="28"/>
        </w:rPr>
        <w:t>甲方按合同计划参加在乙方工厂所在地检验、测试和验收的费用全部由乙方负责并已包含在合同总价中。</w:t>
      </w:r>
    </w:p>
    <w:p>
      <w:pPr>
        <w:pStyle w:val="20"/>
        <w:numPr>
          <w:ilvl w:val="2"/>
          <w:numId w:val="26"/>
        </w:numPr>
        <w:tabs>
          <w:tab w:val="left" w:pos="1540"/>
        </w:tabs>
        <w:spacing w:before="0" w:after="0" w:line="242" w:lineRule="auto"/>
        <w:ind w:left="219" w:right="368" w:firstLine="480"/>
        <w:jc w:val="both"/>
        <w:rPr>
          <w:sz w:val="28"/>
        </w:rPr>
      </w:pPr>
      <w:r>
        <w:rPr>
          <w:spacing w:val="-3"/>
          <w:sz w:val="28"/>
        </w:rPr>
        <w:t>甲方检验人员已到卖方所在地，测试无法依照合同进行， 而引起甲方人员延长逗留时间，所有由此产生的包括甲方人员在内的直接费用及成本由乙方承担。</w:t>
      </w:r>
    </w:p>
    <w:p>
      <w:pPr>
        <w:pStyle w:val="20"/>
        <w:numPr>
          <w:ilvl w:val="0"/>
          <w:numId w:val="26"/>
        </w:numPr>
        <w:tabs>
          <w:tab w:val="left" w:pos="644"/>
        </w:tabs>
        <w:spacing w:before="0" w:after="0" w:line="240" w:lineRule="auto"/>
        <w:ind w:left="644" w:right="0" w:hanging="425"/>
        <w:jc w:val="left"/>
        <w:rPr>
          <w:b/>
          <w:sz w:val="28"/>
        </w:rPr>
      </w:pPr>
      <w:r>
        <w:rPr>
          <w:b/>
          <w:sz w:val="28"/>
        </w:rPr>
        <w:t>交货方式及交货日期</w:t>
      </w:r>
    </w:p>
    <w:p>
      <w:pPr>
        <w:pStyle w:val="2"/>
        <w:spacing w:before="2"/>
        <w:ind w:left="699"/>
      </w:pPr>
      <w:r>
        <w:t>交货方式：现场交货，乙方负责办理运输和保险，将货物运抵现场。</w:t>
      </w:r>
    </w:p>
    <w:p>
      <w:pPr>
        <w:pStyle w:val="2"/>
        <w:spacing w:before="6" w:line="242" w:lineRule="auto"/>
        <w:ind w:right="227" w:firstLine="480"/>
      </w:pPr>
      <w:r>
        <w:t>交货期应根据产品的特点实事求是填写，进口产品90个工作日内，国产产品60个工作日内。特殊产品交货期需说明。</w:t>
      </w:r>
    </w:p>
    <w:p>
      <w:pPr>
        <w:spacing w:before="0" w:line="242" w:lineRule="auto"/>
        <w:ind w:left="219" w:right="1907" w:firstLine="480"/>
        <w:jc w:val="left"/>
        <w:rPr>
          <w:b/>
          <w:sz w:val="28"/>
        </w:rPr>
      </w:pPr>
      <w:r>
        <w:rPr>
          <w:sz w:val="28"/>
        </w:rPr>
        <w:t>交货日期：所有货物运抵现场并经双方开箱验收合格之日。</w:t>
      </w:r>
      <w:r>
        <w:rPr>
          <w:b/>
          <w:sz w:val="28"/>
        </w:rPr>
        <w:t>11.检验和验收</w:t>
      </w:r>
    </w:p>
    <w:p>
      <w:pPr>
        <w:pStyle w:val="20"/>
        <w:numPr>
          <w:ilvl w:val="1"/>
          <w:numId w:val="27"/>
        </w:numPr>
        <w:tabs>
          <w:tab w:val="left" w:pos="1400"/>
        </w:tabs>
        <w:spacing w:before="2" w:after="0" w:line="240" w:lineRule="auto"/>
        <w:ind w:left="1400" w:right="0" w:hanging="701"/>
        <w:jc w:val="both"/>
        <w:outlineLvl w:val="0"/>
        <w:rPr>
          <w:sz w:val="28"/>
        </w:rPr>
      </w:pPr>
      <w:bookmarkStart w:id="87" w:name="_Toc10170"/>
      <w:bookmarkStart w:id="88" w:name="_Toc18866"/>
      <w:r>
        <w:rPr>
          <w:spacing w:val="-2"/>
          <w:sz w:val="28"/>
        </w:rPr>
        <w:t>开箱验收</w:t>
      </w:r>
      <w:bookmarkEnd w:id="87"/>
      <w:bookmarkEnd w:id="88"/>
    </w:p>
    <w:p>
      <w:pPr>
        <w:pStyle w:val="20"/>
        <w:numPr>
          <w:ilvl w:val="2"/>
          <w:numId w:val="27"/>
        </w:numPr>
        <w:tabs>
          <w:tab w:val="left" w:pos="1681"/>
        </w:tabs>
        <w:spacing w:before="4" w:after="0" w:line="242" w:lineRule="auto"/>
        <w:ind w:left="219" w:right="366" w:firstLine="480"/>
        <w:jc w:val="both"/>
        <w:rPr>
          <w:sz w:val="28"/>
        </w:rPr>
      </w:pPr>
      <w:r>
        <w:rPr>
          <w:spacing w:val="-3"/>
          <w:sz w:val="28"/>
        </w:rPr>
        <w:t>货物运抵现场后，双方应及时开箱验收，并制作验收记录，以确认与本合同约定的数量、型号等是否一致。</w:t>
      </w:r>
    </w:p>
    <w:p>
      <w:pPr>
        <w:pStyle w:val="20"/>
        <w:numPr>
          <w:ilvl w:val="2"/>
          <w:numId w:val="27"/>
        </w:numPr>
        <w:tabs>
          <w:tab w:val="left" w:pos="1681"/>
        </w:tabs>
        <w:spacing w:before="2" w:after="0" w:line="242" w:lineRule="auto"/>
        <w:ind w:left="219" w:right="366" w:firstLine="480"/>
        <w:jc w:val="both"/>
        <w:rPr>
          <w:sz w:val="28"/>
        </w:rPr>
      </w:pPr>
      <w:r>
        <w:rPr>
          <w:spacing w:val="-3"/>
          <w:sz w:val="28"/>
        </w:rPr>
        <w:t>乙方应在交货前对货物的质量、规格、数量等进行详细而全面的检验，并出具证明货物符合合同规定的文件。该文件将作为申请付款单据的一部分，但有关质量、规格、数量的检验不应视为最终检验。</w:t>
      </w:r>
    </w:p>
    <w:p>
      <w:pPr>
        <w:pStyle w:val="20"/>
        <w:numPr>
          <w:ilvl w:val="2"/>
          <w:numId w:val="27"/>
        </w:numPr>
        <w:tabs>
          <w:tab w:val="left" w:pos="1681"/>
        </w:tabs>
        <w:spacing w:before="1" w:after="0" w:line="244" w:lineRule="auto"/>
        <w:ind w:left="219" w:right="366" w:firstLine="480"/>
        <w:jc w:val="both"/>
        <w:rPr>
          <w:sz w:val="28"/>
        </w:rPr>
      </w:pPr>
      <w:r>
        <w:rPr>
          <w:spacing w:val="-3"/>
          <w:sz w:val="28"/>
        </w:rPr>
        <w:t>开箱验收中如发现货物的数量、规格与合同约定不符，甲方有权拒收货物，乙方应及时按甲方要求免费对拒收货物采取更换或其他必要的补</w:t>
      </w:r>
    </w:p>
    <w:p>
      <w:pPr>
        <w:spacing w:after="0" w:line="244" w:lineRule="auto"/>
        <w:jc w:val="both"/>
        <w:rPr>
          <w:sz w:val="28"/>
        </w:rPr>
        <w:sectPr>
          <w:footerReference r:id="rId9" w:type="default"/>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p>
    <w:p>
      <w:pPr>
        <w:pStyle w:val="2"/>
        <w:spacing w:before="33"/>
      </w:pPr>
      <w:r>
        <w:t>救措施，直至开箱验收合格，方视为乙方完成交货。</w:t>
      </w:r>
    </w:p>
    <w:p>
      <w:pPr>
        <w:pStyle w:val="20"/>
        <w:numPr>
          <w:ilvl w:val="1"/>
          <w:numId w:val="27"/>
        </w:numPr>
        <w:tabs>
          <w:tab w:val="left" w:pos="1400"/>
        </w:tabs>
        <w:spacing w:before="4" w:after="0" w:line="240" w:lineRule="auto"/>
        <w:ind w:left="1400" w:right="0" w:hanging="701"/>
        <w:jc w:val="both"/>
        <w:outlineLvl w:val="0"/>
        <w:rPr>
          <w:sz w:val="28"/>
        </w:rPr>
      </w:pPr>
      <w:bookmarkStart w:id="89" w:name="_Toc11297"/>
      <w:bookmarkStart w:id="90" w:name="_Toc31765"/>
      <w:r>
        <w:rPr>
          <w:spacing w:val="-2"/>
          <w:sz w:val="28"/>
        </w:rPr>
        <w:t>检验验收</w:t>
      </w:r>
      <w:bookmarkEnd w:id="89"/>
      <w:bookmarkEnd w:id="90"/>
    </w:p>
    <w:p>
      <w:pPr>
        <w:pStyle w:val="20"/>
        <w:numPr>
          <w:ilvl w:val="2"/>
          <w:numId w:val="27"/>
        </w:numPr>
        <w:tabs>
          <w:tab w:val="left" w:pos="1681"/>
        </w:tabs>
        <w:spacing w:before="3" w:after="0" w:line="242" w:lineRule="auto"/>
        <w:ind w:left="219" w:right="366" w:firstLine="480"/>
        <w:jc w:val="both"/>
        <w:rPr>
          <w:sz w:val="28"/>
        </w:rPr>
      </w:pPr>
      <w:r>
        <w:rPr>
          <w:spacing w:val="-3"/>
          <w:sz w:val="28"/>
        </w:rPr>
        <w:t>交货完成后，乙方应及时组装、调试、试运行，按照合同专用条款规定的试运行完成后，双方及时组织对货物检验验收。合同双方均须派人参加合同要求双方参加的试验、检验。</w:t>
      </w:r>
    </w:p>
    <w:p>
      <w:pPr>
        <w:pStyle w:val="20"/>
        <w:numPr>
          <w:ilvl w:val="2"/>
          <w:numId w:val="27"/>
        </w:numPr>
        <w:tabs>
          <w:tab w:val="left" w:pos="1681"/>
        </w:tabs>
        <w:spacing w:before="3" w:after="0" w:line="242" w:lineRule="auto"/>
        <w:ind w:left="219" w:right="366" w:firstLine="480"/>
        <w:jc w:val="both"/>
        <w:rPr>
          <w:sz w:val="28"/>
        </w:rPr>
      </w:pPr>
      <w:r>
        <w:rPr>
          <w:spacing w:val="-3"/>
          <w:sz w:val="28"/>
        </w:rPr>
        <w:t>在具体实施合同规定的检验验收之前，乙方需提前提交相应的测</w:t>
      </w:r>
      <w:r>
        <w:rPr>
          <w:spacing w:val="-2"/>
          <w:sz w:val="28"/>
        </w:rPr>
        <w:t>试计划</w:t>
      </w:r>
      <w:r>
        <w:rPr>
          <w:sz w:val="28"/>
        </w:rPr>
        <w:t>（</w:t>
      </w:r>
      <w:r>
        <w:rPr>
          <w:spacing w:val="-3"/>
          <w:sz w:val="28"/>
        </w:rPr>
        <w:t>包括测试程序、测试内容和检验标准、试验时间安排等）</w:t>
      </w:r>
      <w:r>
        <w:rPr>
          <w:spacing w:val="-1"/>
          <w:sz w:val="28"/>
        </w:rPr>
        <w:t>供甲方确认。</w:t>
      </w:r>
    </w:p>
    <w:p>
      <w:pPr>
        <w:pStyle w:val="20"/>
        <w:numPr>
          <w:ilvl w:val="2"/>
          <w:numId w:val="27"/>
        </w:numPr>
        <w:tabs>
          <w:tab w:val="left" w:pos="1681"/>
        </w:tabs>
        <w:spacing w:before="3" w:after="0" w:line="242" w:lineRule="auto"/>
        <w:ind w:left="219" w:right="366" w:firstLine="480"/>
        <w:jc w:val="both"/>
        <w:rPr>
          <w:sz w:val="28"/>
        </w:rPr>
      </w:pPr>
      <w:r>
        <w:rPr>
          <w:spacing w:val="-3"/>
          <w:sz w:val="28"/>
        </w:rPr>
        <w:t>除需甲方确认的试验验收外，乙方还应对所有检验验收测试的结果、步骤、原始数据等作妥善记录。如甲方要求，乙方应提供这些记录给买方。</w:t>
      </w:r>
    </w:p>
    <w:p>
      <w:pPr>
        <w:pStyle w:val="20"/>
        <w:numPr>
          <w:ilvl w:val="2"/>
          <w:numId w:val="27"/>
        </w:numPr>
        <w:tabs>
          <w:tab w:val="left" w:pos="1681"/>
        </w:tabs>
        <w:spacing w:before="2" w:after="0" w:line="242" w:lineRule="auto"/>
        <w:ind w:left="219" w:right="366" w:firstLine="480"/>
        <w:jc w:val="both"/>
        <w:rPr>
          <w:sz w:val="28"/>
        </w:rPr>
      </w:pPr>
      <w:r>
        <w:rPr>
          <w:spacing w:val="-3"/>
          <w:sz w:val="28"/>
        </w:rPr>
        <w:t>检验测试出现全部或部分未达到本合同所约定的技术指标，甲方有权选择下列任一处理方式：</w:t>
      </w:r>
    </w:p>
    <w:p>
      <w:pPr>
        <w:pStyle w:val="20"/>
        <w:numPr>
          <w:ilvl w:val="0"/>
          <w:numId w:val="28"/>
        </w:numPr>
        <w:tabs>
          <w:tab w:val="left" w:pos="983"/>
        </w:tabs>
        <w:spacing w:before="0" w:after="0" w:line="240" w:lineRule="auto"/>
        <w:ind w:left="982" w:right="0" w:hanging="284"/>
        <w:jc w:val="left"/>
        <w:rPr>
          <w:sz w:val="28"/>
        </w:rPr>
      </w:pPr>
      <w:r>
        <w:rPr>
          <w:spacing w:val="-3"/>
          <w:sz w:val="28"/>
        </w:rPr>
        <w:t>重新测试直至合格为止；</w:t>
      </w:r>
    </w:p>
    <w:p>
      <w:pPr>
        <w:pStyle w:val="20"/>
        <w:numPr>
          <w:ilvl w:val="0"/>
          <w:numId w:val="28"/>
        </w:numPr>
        <w:tabs>
          <w:tab w:val="left" w:pos="983"/>
        </w:tabs>
        <w:spacing w:before="6" w:after="0" w:line="240" w:lineRule="auto"/>
        <w:ind w:left="982" w:right="0" w:hanging="284"/>
        <w:jc w:val="left"/>
        <w:rPr>
          <w:sz w:val="28"/>
        </w:rPr>
      </w:pPr>
      <w:r>
        <w:rPr>
          <w:spacing w:val="-3"/>
          <w:sz w:val="28"/>
        </w:rPr>
        <w:t>要求乙方对货物进行免费更换，然后重新测试直至合格为止；</w:t>
      </w:r>
    </w:p>
    <w:p>
      <w:pPr>
        <w:pStyle w:val="2"/>
        <w:spacing w:before="4" w:line="244" w:lineRule="auto"/>
        <w:ind w:right="428"/>
      </w:pPr>
      <w:r>
        <w:t>无论选择何种方式，甲方因此而发生的因卖方原因引起的所有费用均由乙方负担。</w:t>
      </w:r>
    </w:p>
    <w:p>
      <w:pPr>
        <w:pStyle w:val="20"/>
        <w:numPr>
          <w:ilvl w:val="1"/>
          <w:numId w:val="27"/>
        </w:numPr>
        <w:tabs>
          <w:tab w:val="left" w:pos="1400"/>
        </w:tabs>
        <w:spacing w:before="0" w:after="0" w:line="354" w:lineRule="exact"/>
        <w:ind w:left="1400" w:right="0" w:hanging="701"/>
        <w:jc w:val="both"/>
        <w:outlineLvl w:val="0"/>
        <w:rPr>
          <w:sz w:val="28"/>
        </w:rPr>
      </w:pPr>
      <w:bookmarkStart w:id="91" w:name="_Toc26212"/>
      <w:bookmarkStart w:id="92" w:name="_Toc26044"/>
      <w:r>
        <w:rPr>
          <w:spacing w:val="-3"/>
          <w:sz w:val="28"/>
        </w:rPr>
        <w:t>使用过程检验</w:t>
      </w:r>
      <w:bookmarkEnd w:id="91"/>
      <w:bookmarkEnd w:id="92"/>
    </w:p>
    <w:p>
      <w:pPr>
        <w:pStyle w:val="20"/>
        <w:numPr>
          <w:ilvl w:val="2"/>
          <w:numId w:val="27"/>
        </w:numPr>
        <w:tabs>
          <w:tab w:val="left" w:pos="1681"/>
        </w:tabs>
        <w:spacing w:before="4" w:after="0" w:line="242" w:lineRule="auto"/>
        <w:ind w:left="219" w:right="366" w:firstLine="480"/>
        <w:jc w:val="both"/>
        <w:rPr>
          <w:sz w:val="28"/>
        </w:rPr>
      </w:pPr>
      <w:r>
        <w:rPr>
          <w:spacing w:val="-3"/>
          <w:sz w:val="28"/>
        </w:rPr>
        <w:t>在合同规定的质量保证期内，发现货物的质量或规格与合同规定不符，或证明货物有缺陷，包括潜在的缺陷或使用不合适的原材料等，由甲方组织质检</w:t>
      </w:r>
      <w:r>
        <w:rPr>
          <w:sz w:val="28"/>
        </w:rPr>
        <w:t>（</w:t>
      </w:r>
      <w:r>
        <w:rPr>
          <w:spacing w:val="-3"/>
          <w:sz w:val="28"/>
        </w:rPr>
        <w:t>相关检测费用由卖方承担</w:t>
      </w:r>
      <w:r>
        <w:rPr>
          <w:sz w:val="28"/>
        </w:rPr>
        <w:t>）</w:t>
      </w:r>
      <w:r>
        <w:rPr>
          <w:spacing w:val="-3"/>
          <w:sz w:val="28"/>
        </w:rPr>
        <w:t>，据质检报告及质量保证条款向卖方提出索赔，此索赔并不免除乙方应承担的合同义务。</w:t>
      </w:r>
    </w:p>
    <w:p>
      <w:pPr>
        <w:pStyle w:val="20"/>
        <w:numPr>
          <w:ilvl w:val="2"/>
          <w:numId w:val="27"/>
        </w:numPr>
        <w:tabs>
          <w:tab w:val="left" w:pos="1681"/>
        </w:tabs>
        <w:spacing w:before="2" w:after="0" w:line="242" w:lineRule="auto"/>
        <w:ind w:left="219" w:right="366" w:firstLine="480"/>
        <w:jc w:val="both"/>
        <w:rPr>
          <w:sz w:val="28"/>
        </w:rPr>
      </w:pPr>
      <w:r>
        <w:rPr>
          <w:spacing w:val="-3"/>
          <w:sz w:val="28"/>
        </w:rPr>
        <w:t>如果合同双方对乙方提供的上述试验结果报告的解释有分歧，双方须于出现分歧后</w:t>
      </w:r>
      <w:r>
        <w:rPr>
          <w:sz w:val="28"/>
        </w:rPr>
        <w:t>10</w:t>
      </w:r>
      <w:r>
        <w:rPr>
          <w:spacing w:val="-3"/>
          <w:sz w:val="28"/>
        </w:rPr>
        <w:t>天内给对方声明，以陈述己方的观点。声明须附有关证据。分歧应通过协商解决。</w:t>
      </w:r>
    </w:p>
    <w:p>
      <w:pPr>
        <w:pStyle w:val="20"/>
        <w:numPr>
          <w:ilvl w:val="0"/>
          <w:numId w:val="29"/>
        </w:numPr>
        <w:tabs>
          <w:tab w:val="left" w:pos="644"/>
        </w:tabs>
        <w:spacing w:before="3" w:after="0" w:line="240" w:lineRule="auto"/>
        <w:ind w:left="644" w:right="0" w:hanging="425"/>
        <w:jc w:val="left"/>
        <w:rPr>
          <w:b/>
          <w:sz w:val="28"/>
        </w:rPr>
      </w:pPr>
      <w:r>
        <w:rPr>
          <w:b/>
          <w:sz w:val="28"/>
        </w:rPr>
        <w:t>付款方法和条件</w:t>
      </w:r>
    </w:p>
    <w:p>
      <w:pPr>
        <w:pStyle w:val="2"/>
        <w:spacing w:before="6" w:line="242" w:lineRule="auto"/>
        <w:ind w:right="227" w:firstLine="480"/>
      </w:pPr>
      <w:r>
        <w:t>本合同条款下的付款方法和条件在“青海省政府采购项目合同书”中具体规定。</w:t>
      </w:r>
    </w:p>
    <w:p>
      <w:pPr>
        <w:pStyle w:val="20"/>
        <w:numPr>
          <w:ilvl w:val="0"/>
          <w:numId w:val="29"/>
        </w:numPr>
        <w:tabs>
          <w:tab w:val="left" w:pos="644"/>
        </w:tabs>
        <w:spacing w:before="0" w:after="0" w:line="240" w:lineRule="auto"/>
        <w:ind w:left="644" w:right="0" w:hanging="425"/>
        <w:jc w:val="left"/>
        <w:rPr>
          <w:b/>
          <w:sz w:val="28"/>
        </w:rPr>
      </w:pPr>
      <w:r>
        <w:rPr>
          <w:b/>
          <w:sz w:val="28"/>
        </w:rPr>
        <w:t>履约保证金</w:t>
      </w:r>
    </w:p>
    <w:p>
      <w:pPr>
        <w:pStyle w:val="20"/>
        <w:numPr>
          <w:ilvl w:val="1"/>
          <w:numId w:val="29"/>
        </w:numPr>
        <w:tabs>
          <w:tab w:val="left" w:pos="1400"/>
        </w:tabs>
        <w:spacing w:before="4" w:after="0" w:line="244" w:lineRule="auto"/>
        <w:ind w:left="219" w:right="505" w:firstLine="480"/>
        <w:jc w:val="left"/>
        <w:rPr>
          <w:sz w:val="28"/>
        </w:rPr>
      </w:pPr>
      <w:r>
        <w:rPr>
          <w:spacing w:val="-3"/>
          <w:sz w:val="28"/>
        </w:rPr>
        <w:t>乙方应在合同签订前，按磋商文件第二部分“八 授予合同”中第22.2项的约定提交履约保证金。</w:t>
      </w:r>
    </w:p>
    <w:p>
      <w:pPr>
        <w:pStyle w:val="20"/>
        <w:numPr>
          <w:ilvl w:val="1"/>
          <w:numId w:val="29"/>
        </w:numPr>
        <w:tabs>
          <w:tab w:val="left" w:pos="1400"/>
        </w:tabs>
        <w:spacing w:before="0" w:after="0" w:line="242" w:lineRule="auto"/>
        <w:ind w:left="219" w:right="647" w:firstLine="480"/>
        <w:jc w:val="left"/>
        <w:rPr>
          <w:sz w:val="28"/>
        </w:rPr>
      </w:pPr>
      <w:r>
        <w:rPr>
          <w:spacing w:val="-3"/>
          <w:sz w:val="28"/>
        </w:rPr>
        <w:t>履约保证金用于补偿甲方因乙方不能履行其合同义务而蒙受的损失。</w:t>
      </w:r>
    </w:p>
    <w:p>
      <w:pPr>
        <w:pStyle w:val="20"/>
        <w:numPr>
          <w:ilvl w:val="1"/>
          <w:numId w:val="29"/>
        </w:numPr>
        <w:tabs>
          <w:tab w:val="left" w:pos="1400"/>
        </w:tabs>
        <w:spacing w:before="0" w:after="0" w:line="242" w:lineRule="auto"/>
        <w:ind w:left="219" w:right="368" w:firstLine="480"/>
        <w:jc w:val="left"/>
        <w:rPr>
          <w:sz w:val="28"/>
        </w:rPr>
      </w:pPr>
      <w:r>
        <w:rPr>
          <w:spacing w:val="-3"/>
          <w:sz w:val="28"/>
        </w:rPr>
        <w:t>履约保证金应使用本合同货币，按下述方式之一提交</w:t>
      </w:r>
      <w:r>
        <w:rPr>
          <w:sz w:val="28"/>
        </w:rPr>
        <w:t>（</w:t>
      </w:r>
      <w:r>
        <w:rPr>
          <w:spacing w:val="-3"/>
          <w:sz w:val="28"/>
        </w:rPr>
        <w:t>磋商文件中另有约定的除外</w:t>
      </w:r>
      <w:r>
        <w:rPr>
          <w:sz w:val="28"/>
        </w:rPr>
        <w:t>）：</w:t>
      </w:r>
    </w:p>
    <w:p>
      <w:pPr>
        <w:pStyle w:val="20"/>
        <w:numPr>
          <w:ilvl w:val="2"/>
          <w:numId w:val="29"/>
        </w:numPr>
        <w:tabs>
          <w:tab w:val="left" w:pos="1681"/>
        </w:tabs>
        <w:spacing w:before="0" w:after="0" w:line="242" w:lineRule="auto"/>
        <w:ind w:left="219" w:right="366" w:firstLine="480"/>
        <w:jc w:val="left"/>
        <w:rPr>
          <w:sz w:val="28"/>
        </w:rPr>
      </w:pPr>
      <w:r>
        <w:rPr>
          <w:spacing w:val="-3"/>
          <w:sz w:val="28"/>
        </w:rPr>
        <w:t>甲方可接受的在中华人民共和国注册和营业的银行出具的履约保函；</w:t>
      </w:r>
    </w:p>
    <w:p>
      <w:pPr>
        <w:pStyle w:val="20"/>
        <w:numPr>
          <w:ilvl w:val="2"/>
          <w:numId w:val="29"/>
        </w:numPr>
        <w:tabs>
          <w:tab w:val="left" w:pos="1681"/>
        </w:tabs>
        <w:spacing w:before="0" w:after="0" w:line="240" w:lineRule="auto"/>
        <w:ind w:left="1680" w:right="0" w:hanging="982"/>
        <w:jc w:val="left"/>
        <w:rPr>
          <w:sz w:val="28"/>
        </w:rPr>
      </w:pPr>
      <w:r>
        <w:rPr>
          <w:spacing w:val="-3"/>
          <w:sz w:val="28"/>
        </w:rPr>
        <w:t>支票或汇票。</w:t>
      </w:r>
    </w:p>
    <w:p>
      <w:pPr>
        <w:spacing w:after="0" w:line="240" w:lineRule="auto"/>
        <w:jc w:val="left"/>
        <w:rPr>
          <w:sz w:val="28"/>
        </w:rPr>
        <w:sectPr>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p>
    <w:p>
      <w:pPr>
        <w:pStyle w:val="20"/>
        <w:numPr>
          <w:ilvl w:val="1"/>
          <w:numId w:val="29"/>
        </w:numPr>
        <w:tabs>
          <w:tab w:val="left" w:pos="1400"/>
        </w:tabs>
        <w:spacing w:before="33" w:after="0" w:line="242" w:lineRule="auto"/>
        <w:ind w:left="219" w:right="366" w:firstLine="480"/>
        <w:jc w:val="left"/>
        <w:rPr>
          <w:sz w:val="28"/>
        </w:rPr>
      </w:pPr>
      <w:r>
        <w:rPr>
          <w:spacing w:val="-3"/>
          <w:sz w:val="28"/>
        </w:rPr>
        <w:t>乙方未能按合同规定履行其义务，甲方有权从履约保证金中取得补偿。货物验收合格后，甲方将履约保证金退还乙方或转为质量保证金。</w:t>
      </w:r>
    </w:p>
    <w:p>
      <w:pPr>
        <w:pStyle w:val="20"/>
        <w:numPr>
          <w:ilvl w:val="0"/>
          <w:numId w:val="29"/>
        </w:numPr>
        <w:tabs>
          <w:tab w:val="left" w:pos="644"/>
        </w:tabs>
        <w:spacing w:before="0" w:after="0" w:line="240" w:lineRule="auto"/>
        <w:ind w:left="644" w:right="0" w:hanging="425"/>
        <w:jc w:val="left"/>
        <w:rPr>
          <w:b/>
          <w:sz w:val="28"/>
        </w:rPr>
      </w:pPr>
      <w:r>
        <w:rPr>
          <w:b/>
          <w:sz w:val="28"/>
        </w:rPr>
        <w:t>索赔</w:t>
      </w:r>
    </w:p>
    <w:p>
      <w:pPr>
        <w:pStyle w:val="20"/>
        <w:numPr>
          <w:ilvl w:val="1"/>
          <w:numId w:val="29"/>
        </w:numPr>
        <w:tabs>
          <w:tab w:val="left" w:pos="1400"/>
        </w:tabs>
        <w:spacing w:before="6" w:after="0" w:line="242" w:lineRule="auto"/>
        <w:ind w:left="219" w:right="366" w:firstLine="480"/>
        <w:jc w:val="both"/>
        <w:rPr>
          <w:sz w:val="28"/>
        </w:rPr>
      </w:pPr>
      <w:r>
        <w:rPr>
          <w:spacing w:val="-3"/>
          <w:sz w:val="28"/>
        </w:rPr>
        <w:t>货物的质量、规格、数量、性能等与合同约定不符，或在质量保证期内证实货物存有缺陷，包括潜在的缺陷或使用不符合要求的材料等，甲方有权根据有资质的权威质检机构的检验结果向乙方提出索赔</w:t>
      </w:r>
      <w:r>
        <w:rPr>
          <w:sz w:val="28"/>
        </w:rPr>
        <w:t>（</w:t>
      </w:r>
      <w:r>
        <w:rPr>
          <w:spacing w:val="-3"/>
          <w:sz w:val="28"/>
        </w:rPr>
        <w:t>但责任应由保险公司或运输部门承担的除外）</w:t>
      </w:r>
      <w:r>
        <w:rPr>
          <w:sz w:val="28"/>
        </w:rPr>
        <w:t>。</w:t>
      </w:r>
    </w:p>
    <w:p>
      <w:pPr>
        <w:pStyle w:val="20"/>
        <w:numPr>
          <w:ilvl w:val="1"/>
          <w:numId w:val="29"/>
        </w:numPr>
        <w:tabs>
          <w:tab w:val="left" w:pos="1400"/>
        </w:tabs>
        <w:spacing w:before="3" w:after="0" w:line="242" w:lineRule="auto"/>
        <w:ind w:left="219" w:right="366" w:firstLine="480"/>
        <w:jc w:val="both"/>
        <w:rPr>
          <w:sz w:val="28"/>
        </w:rPr>
      </w:pPr>
      <w:r>
        <w:rPr>
          <w:spacing w:val="-3"/>
          <w:sz w:val="28"/>
        </w:rPr>
        <w:t>在履约保证期和检验期内，乙方对甲方提出的索赔负有责任，乙方应按照甲方同意的下列一种或多种方式解决索赔事宜：</w:t>
      </w:r>
    </w:p>
    <w:p>
      <w:pPr>
        <w:pStyle w:val="20"/>
        <w:numPr>
          <w:ilvl w:val="2"/>
          <w:numId w:val="29"/>
        </w:numPr>
        <w:tabs>
          <w:tab w:val="left" w:pos="1681"/>
        </w:tabs>
        <w:spacing w:before="0" w:after="0" w:line="242" w:lineRule="auto"/>
        <w:ind w:left="219" w:right="366" w:firstLine="480"/>
        <w:jc w:val="both"/>
        <w:rPr>
          <w:sz w:val="28"/>
        </w:rPr>
      </w:pPr>
      <w:r>
        <w:rPr>
          <w:spacing w:val="-3"/>
          <w:sz w:val="28"/>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pStyle w:val="20"/>
        <w:numPr>
          <w:ilvl w:val="2"/>
          <w:numId w:val="29"/>
        </w:numPr>
        <w:tabs>
          <w:tab w:val="left" w:pos="1681"/>
        </w:tabs>
        <w:spacing w:before="3" w:after="0" w:line="242" w:lineRule="auto"/>
        <w:ind w:left="219" w:right="366" w:firstLine="480"/>
        <w:jc w:val="both"/>
        <w:rPr>
          <w:sz w:val="28"/>
        </w:rPr>
      </w:pPr>
      <w:r>
        <w:rPr>
          <w:spacing w:val="-3"/>
          <w:sz w:val="28"/>
        </w:rPr>
        <w:t>根据货物低劣程度、损坏程度以及甲方所遭受损失的数额，经甲乙双方商定降低货物的价格，或由有资质的中介机构评估，以降低后的价格或评估价格为准。</w:t>
      </w:r>
    </w:p>
    <w:p>
      <w:pPr>
        <w:pStyle w:val="20"/>
        <w:numPr>
          <w:ilvl w:val="2"/>
          <w:numId w:val="29"/>
        </w:numPr>
        <w:tabs>
          <w:tab w:val="left" w:pos="1681"/>
        </w:tabs>
        <w:spacing w:before="5" w:after="0" w:line="242" w:lineRule="auto"/>
        <w:ind w:left="219" w:right="366" w:firstLine="480"/>
        <w:jc w:val="both"/>
        <w:rPr>
          <w:sz w:val="28"/>
        </w:rPr>
      </w:pPr>
      <w:r>
        <w:rPr>
          <w:spacing w:val="-3"/>
          <w:sz w:val="28"/>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pStyle w:val="20"/>
        <w:numPr>
          <w:ilvl w:val="1"/>
          <w:numId w:val="29"/>
        </w:numPr>
        <w:tabs>
          <w:tab w:val="left" w:pos="1400"/>
        </w:tabs>
        <w:spacing w:before="0" w:after="0" w:line="242" w:lineRule="auto"/>
        <w:ind w:left="219" w:right="227" w:firstLine="480"/>
        <w:jc w:val="left"/>
        <w:rPr>
          <w:sz w:val="28"/>
        </w:rPr>
      </w:pPr>
      <w:r>
        <w:rPr>
          <w:spacing w:val="-3"/>
          <w:sz w:val="28"/>
        </w:rPr>
        <w:t>乙方收到甲方发出的索赔通知之日起</w:t>
      </w:r>
      <w:r>
        <w:rPr>
          <w:sz w:val="28"/>
        </w:rPr>
        <w:t>5</w:t>
      </w:r>
      <w:r>
        <w:rPr>
          <w:spacing w:val="-3"/>
          <w:sz w:val="28"/>
        </w:rPr>
        <w:t>个工作日内未作答复的，甲方可从合同款或履约保证金中扣回索赔金额，如金额不足以补偿索赔金额，乙方应补足差额部分。</w:t>
      </w:r>
    </w:p>
    <w:p>
      <w:pPr>
        <w:pStyle w:val="20"/>
        <w:numPr>
          <w:ilvl w:val="0"/>
          <w:numId w:val="29"/>
        </w:numPr>
        <w:tabs>
          <w:tab w:val="left" w:pos="644"/>
        </w:tabs>
        <w:spacing w:before="2" w:after="0" w:line="240" w:lineRule="auto"/>
        <w:ind w:left="644" w:right="0" w:hanging="425"/>
        <w:jc w:val="left"/>
        <w:rPr>
          <w:b/>
          <w:sz w:val="28"/>
        </w:rPr>
      </w:pPr>
      <w:r>
        <w:rPr>
          <w:b/>
          <w:sz w:val="28"/>
        </w:rPr>
        <w:t>迟延交货</w:t>
      </w:r>
    </w:p>
    <w:p>
      <w:pPr>
        <w:pStyle w:val="20"/>
        <w:numPr>
          <w:ilvl w:val="1"/>
          <w:numId w:val="29"/>
        </w:numPr>
        <w:tabs>
          <w:tab w:val="left" w:pos="1400"/>
        </w:tabs>
        <w:spacing w:before="4" w:after="0" w:line="240" w:lineRule="auto"/>
        <w:ind w:left="1400" w:right="0" w:hanging="701"/>
        <w:jc w:val="both"/>
        <w:rPr>
          <w:sz w:val="28"/>
        </w:rPr>
      </w:pPr>
      <w:r>
        <w:rPr>
          <w:spacing w:val="-3"/>
          <w:sz w:val="28"/>
        </w:rPr>
        <w:t>乙方应按照合同约定的时间交货和提供服务。</w:t>
      </w:r>
    </w:p>
    <w:p>
      <w:pPr>
        <w:pStyle w:val="20"/>
        <w:numPr>
          <w:ilvl w:val="1"/>
          <w:numId w:val="29"/>
        </w:numPr>
        <w:tabs>
          <w:tab w:val="left" w:pos="1400"/>
        </w:tabs>
        <w:spacing w:before="6" w:after="0" w:line="242" w:lineRule="auto"/>
        <w:ind w:left="219" w:right="366" w:firstLine="480"/>
        <w:jc w:val="both"/>
        <w:rPr>
          <w:sz w:val="28"/>
        </w:rPr>
      </w:pPr>
      <w:r>
        <w:rPr>
          <w:spacing w:val="-3"/>
          <w:sz w:val="28"/>
        </w:rPr>
        <w:t>除不可抗力因素外，乙方迟延交货，甲方有权提出违约损失赔偿或</w:t>
      </w:r>
      <w:r>
        <w:rPr>
          <w:spacing w:val="-2"/>
          <w:sz w:val="28"/>
        </w:rPr>
        <w:t>解除合同。</w:t>
      </w:r>
    </w:p>
    <w:p>
      <w:pPr>
        <w:pStyle w:val="20"/>
        <w:numPr>
          <w:ilvl w:val="1"/>
          <w:numId w:val="29"/>
        </w:numPr>
        <w:tabs>
          <w:tab w:val="left" w:pos="1400"/>
        </w:tabs>
        <w:spacing w:before="3" w:after="0" w:line="242" w:lineRule="auto"/>
        <w:ind w:left="219" w:right="366" w:firstLine="480"/>
        <w:jc w:val="both"/>
        <w:rPr>
          <w:sz w:val="28"/>
        </w:rPr>
      </w:pPr>
      <w:r>
        <w:rPr>
          <w:spacing w:val="-3"/>
          <w:sz w:val="28"/>
        </w:rPr>
        <w:t>在履行合同过程中，乙方遇到不能按时交货和提供服务的情况，应及时以书面形式将不能按时交货的理由、预期延误时间通知甲方。甲方收到乙方通知后，认为其理由正当的，可酌情延长交货时间。</w:t>
      </w:r>
    </w:p>
    <w:p>
      <w:pPr>
        <w:pStyle w:val="20"/>
        <w:numPr>
          <w:ilvl w:val="0"/>
          <w:numId w:val="29"/>
        </w:numPr>
        <w:tabs>
          <w:tab w:val="left" w:pos="644"/>
        </w:tabs>
        <w:spacing w:before="0" w:after="0" w:line="240" w:lineRule="auto"/>
        <w:ind w:left="644" w:right="0" w:hanging="425"/>
        <w:jc w:val="left"/>
        <w:rPr>
          <w:b/>
          <w:sz w:val="28"/>
        </w:rPr>
      </w:pPr>
      <w:r>
        <w:rPr>
          <w:b/>
          <w:sz w:val="28"/>
        </w:rPr>
        <w:t>违约赔偿</w:t>
      </w:r>
    </w:p>
    <w:p>
      <w:pPr>
        <w:pStyle w:val="2"/>
        <w:spacing w:before="6" w:line="242" w:lineRule="auto"/>
        <w:ind w:right="227" w:firstLine="480"/>
      </w:pPr>
      <w:r>
        <w:t>除不可抗力因素外，乙方没有按照合同规定的时间交货和提供服务，甲方可要求乙方支付违约金。违约金每日按合同总价款的千分之五计收。</w:t>
      </w:r>
    </w:p>
    <w:p>
      <w:pPr>
        <w:pStyle w:val="20"/>
        <w:numPr>
          <w:ilvl w:val="0"/>
          <w:numId w:val="29"/>
        </w:numPr>
        <w:tabs>
          <w:tab w:val="left" w:pos="644"/>
        </w:tabs>
        <w:spacing w:before="0" w:after="0" w:line="240" w:lineRule="auto"/>
        <w:ind w:left="644" w:right="0" w:hanging="425"/>
        <w:jc w:val="left"/>
        <w:rPr>
          <w:b/>
          <w:sz w:val="28"/>
        </w:rPr>
      </w:pPr>
      <w:r>
        <w:rPr>
          <w:b/>
          <w:sz w:val="28"/>
        </w:rPr>
        <w:t>不可抗力</w:t>
      </w:r>
    </w:p>
    <w:p>
      <w:pPr>
        <w:pStyle w:val="20"/>
        <w:numPr>
          <w:ilvl w:val="1"/>
          <w:numId w:val="29"/>
        </w:numPr>
        <w:tabs>
          <w:tab w:val="left" w:pos="1400"/>
        </w:tabs>
        <w:spacing w:before="6" w:after="0" w:line="242" w:lineRule="auto"/>
        <w:ind w:left="219" w:right="366" w:firstLine="480"/>
        <w:jc w:val="left"/>
        <w:rPr>
          <w:sz w:val="28"/>
        </w:rPr>
      </w:pPr>
      <w:r>
        <w:rPr>
          <w:spacing w:val="-3"/>
          <w:sz w:val="28"/>
        </w:rPr>
        <w:t>双方中任何一方遭遇法律规定的不可抗力，致使合同履行受阻时， 履行合同的期限应予延长，延长的期限应相当于不可抗力所影响的时间。</w:t>
      </w:r>
    </w:p>
    <w:p>
      <w:pPr>
        <w:pStyle w:val="20"/>
        <w:numPr>
          <w:ilvl w:val="1"/>
          <w:numId w:val="29"/>
        </w:numPr>
        <w:tabs>
          <w:tab w:val="left" w:pos="1400"/>
        </w:tabs>
        <w:spacing w:before="0" w:after="0" w:line="242" w:lineRule="auto"/>
        <w:ind w:left="219" w:right="366" w:firstLine="480"/>
        <w:jc w:val="left"/>
        <w:rPr>
          <w:sz w:val="28"/>
        </w:rPr>
      </w:pPr>
      <w:r>
        <w:rPr>
          <w:spacing w:val="-3"/>
          <w:sz w:val="28"/>
        </w:rPr>
        <w:t>受事故影响的一方应在不可抗力的事故发生后以书面形式通知另一方。</w:t>
      </w:r>
    </w:p>
    <w:p>
      <w:pPr>
        <w:pStyle w:val="20"/>
        <w:numPr>
          <w:ilvl w:val="1"/>
          <w:numId w:val="29"/>
        </w:numPr>
        <w:tabs>
          <w:tab w:val="left" w:pos="1400"/>
        </w:tabs>
        <w:spacing w:before="3" w:after="0" w:line="240" w:lineRule="auto"/>
        <w:ind w:left="1400" w:right="0" w:hanging="701"/>
        <w:jc w:val="left"/>
        <w:rPr>
          <w:sz w:val="28"/>
        </w:rPr>
      </w:pPr>
      <w:r>
        <w:rPr>
          <w:spacing w:val="-3"/>
          <w:sz w:val="28"/>
        </w:rPr>
        <w:t>不可抗力使合同的某些内容有变更必要的，双方应通过协商达成进</w:t>
      </w:r>
    </w:p>
    <w:p>
      <w:pPr>
        <w:spacing w:after="0" w:line="240" w:lineRule="auto"/>
        <w:jc w:val="left"/>
        <w:rPr>
          <w:sz w:val="28"/>
        </w:rPr>
        <w:sectPr>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p>
    <w:p>
      <w:pPr>
        <w:pStyle w:val="2"/>
        <w:spacing w:before="33" w:line="242" w:lineRule="auto"/>
        <w:ind w:right="1268"/>
        <w:rPr>
          <w:b/>
        </w:rPr>
      </w:pPr>
      <w:bookmarkStart w:id="93" w:name="第四部分 响应文件格式"/>
      <w:bookmarkEnd w:id="93"/>
      <w:r>
        <w:t>一步履行合同的协议，因不可抗力致使合同不能履行的，合同终止。</w:t>
      </w:r>
      <w:r>
        <w:rPr>
          <w:b/>
        </w:rPr>
        <w:t>18.税费</w:t>
      </w:r>
    </w:p>
    <w:p>
      <w:pPr>
        <w:spacing w:before="0" w:line="244" w:lineRule="auto"/>
        <w:ind w:left="219" w:right="4148" w:firstLine="480"/>
        <w:jc w:val="left"/>
        <w:rPr>
          <w:b/>
          <w:sz w:val="28"/>
        </w:rPr>
      </w:pPr>
      <w:r>
        <w:rPr>
          <w:sz w:val="28"/>
        </w:rPr>
        <w:t>与本合同有关的一切税费均由乙方承担。</w:t>
      </w:r>
      <w:r>
        <w:rPr>
          <w:b/>
          <w:sz w:val="28"/>
        </w:rPr>
        <w:t>19.合同争议的解决</w:t>
      </w:r>
    </w:p>
    <w:p>
      <w:pPr>
        <w:pStyle w:val="20"/>
        <w:numPr>
          <w:ilvl w:val="1"/>
          <w:numId w:val="30"/>
        </w:numPr>
        <w:tabs>
          <w:tab w:val="left" w:pos="1400"/>
        </w:tabs>
        <w:spacing w:before="0" w:after="0" w:line="242" w:lineRule="auto"/>
        <w:ind w:left="219" w:right="366" w:firstLine="480"/>
        <w:jc w:val="left"/>
        <w:rPr>
          <w:sz w:val="28"/>
        </w:rPr>
      </w:pPr>
      <w:r>
        <w:rPr>
          <w:spacing w:val="-3"/>
          <w:sz w:val="28"/>
        </w:rPr>
        <w:t>甲方和乙方由于本合同的履行而发生任何争议时，双方可先通过协</w:t>
      </w:r>
      <w:r>
        <w:rPr>
          <w:spacing w:val="-2"/>
          <w:sz w:val="28"/>
        </w:rPr>
        <w:t>商解决。</w:t>
      </w:r>
    </w:p>
    <w:p>
      <w:pPr>
        <w:pStyle w:val="20"/>
        <w:numPr>
          <w:ilvl w:val="1"/>
          <w:numId w:val="30"/>
        </w:numPr>
        <w:tabs>
          <w:tab w:val="left" w:pos="1400"/>
        </w:tabs>
        <w:spacing w:before="0" w:after="0" w:line="244" w:lineRule="auto"/>
        <w:ind w:left="219" w:right="366" w:firstLine="480"/>
        <w:jc w:val="left"/>
        <w:rPr>
          <w:sz w:val="28"/>
        </w:rPr>
      </w:pPr>
      <w:r>
        <w:rPr>
          <w:spacing w:val="-3"/>
          <w:sz w:val="28"/>
        </w:rPr>
        <w:t>任何一方不愿通过协商或通过协商仍不能解决争议，则双方中任何一方均应向甲方所在地人民法院起诉。</w:t>
      </w:r>
    </w:p>
    <w:p>
      <w:pPr>
        <w:pStyle w:val="20"/>
        <w:numPr>
          <w:ilvl w:val="0"/>
          <w:numId w:val="31"/>
        </w:numPr>
        <w:tabs>
          <w:tab w:val="left" w:pos="644"/>
        </w:tabs>
        <w:spacing w:before="0" w:after="0" w:line="354" w:lineRule="exact"/>
        <w:ind w:left="644" w:right="0" w:hanging="425"/>
        <w:jc w:val="left"/>
        <w:rPr>
          <w:b/>
          <w:sz w:val="28"/>
        </w:rPr>
      </w:pPr>
      <w:r>
        <w:rPr>
          <w:b/>
          <w:sz w:val="28"/>
        </w:rPr>
        <w:t>违约解除合同</w:t>
      </w:r>
    </w:p>
    <w:p>
      <w:pPr>
        <w:pStyle w:val="20"/>
        <w:numPr>
          <w:ilvl w:val="1"/>
          <w:numId w:val="31"/>
        </w:numPr>
        <w:tabs>
          <w:tab w:val="left" w:pos="1400"/>
        </w:tabs>
        <w:spacing w:before="0" w:after="0" w:line="244" w:lineRule="auto"/>
        <w:ind w:left="219" w:right="647" w:firstLine="480"/>
        <w:jc w:val="left"/>
        <w:rPr>
          <w:sz w:val="28"/>
        </w:rPr>
      </w:pPr>
      <w:r>
        <w:rPr>
          <w:spacing w:val="-3"/>
          <w:sz w:val="28"/>
        </w:rPr>
        <w:t>出现下列情形之一的，视为乙方违约。甲方可向乙方发出书面通知，部分或全部终止合同，同时保留向乙方索赔的权利。</w:t>
      </w:r>
    </w:p>
    <w:p>
      <w:pPr>
        <w:pStyle w:val="20"/>
        <w:numPr>
          <w:ilvl w:val="2"/>
          <w:numId w:val="31"/>
        </w:numPr>
        <w:tabs>
          <w:tab w:val="left" w:pos="1681"/>
        </w:tabs>
        <w:spacing w:before="0" w:after="0" w:line="242" w:lineRule="auto"/>
        <w:ind w:left="219" w:right="366" w:firstLine="480"/>
        <w:jc w:val="left"/>
        <w:rPr>
          <w:sz w:val="28"/>
        </w:rPr>
      </w:pPr>
      <w:r>
        <w:rPr>
          <w:spacing w:val="-3"/>
          <w:sz w:val="28"/>
        </w:rPr>
        <w:t>乙方未能在合同规定的限期或甲方同意延长的限期内，提供全部或部分货物的；</w:t>
      </w:r>
    </w:p>
    <w:p>
      <w:pPr>
        <w:pStyle w:val="20"/>
        <w:numPr>
          <w:ilvl w:val="2"/>
          <w:numId w:val="31"/>
        </w:numPr>
        <w:tabs>
          <w:tab w:val="left" w:pos="1681"/>
        </w:tabs>
        <w:spacing w:before="0" w:after="0" w:line="240" w:lineRule="auto"/>
        <w:ind w:left="1680" w:right="0" w:hanging="982"/>
        <w:jc w:val="left"/>
        <w:rPr>
          <w:sz w:val="28"/>
        </w:rPr>
      </w:pPr>
      <w:r>
        <w:rPr>
          <w:spacing w:val="-3"/>
          <w:sz w:val="28"/>
        </w:rPr>
        <w:t>乙方未能履行合同规定的其它主要义务的；</w:t>
      </w:r>
    </w:p>
    <w:p>
      <w:pPr>
        <w:pStyle w:val="20"/>
        <w:numPr>
          <w:ilvl w:val="2"/>
          <w:numId w:val="31"/>
        </w:numPr>
        <w:tabs>
          <w:tab w:val="left" w:pos="1681"/>
        </w:tabs>
        <w:spacing w:before="1" w:after="0" w:line="240" w:lineRule="auto"/>
        <w:ind w:left="1680" w:right="0" w:hanging="982"/>
        <w:jc w:val="left"/>
        <w:rPr>
          <w:sz w:val="28"/>
        </w:rPr>
      </w:pPr>
      <w:r>
        <w:rPr>
          <w:spacing w:val="-3"/>
          <w:sz w:val="28"/>
        </w:rPr>
        <w:t>乙方在本合同履行过程中有欺诈行为的。</w:t>
      </w:r>
    </w:p>
    <w:p>
      <w:pPr>
        <w:pStyle w:val="20"/>
        <w:numPr>
          <w:ilvl w:val="1"/>
          <w:numId w:val="31"/>
        </w:numPr>
        <w:tabs>
          <w:tab w:val="left" w:pos="1400"/>
        </w:tabs>
        <w:spacing w:before="4" w:after="0" w:line="242" w:lineRule="auto"/>
        <w:ind w:left="219" w:right="366" w:firstLine="480"/>
        <w:jc w:val="both"/>
        <w:rPr>
          <w:sz w:val="28"/>
        </w:rPr>
      </w:pPr>
      <w:r>
        <w:rPr>
          <w:spacing w:val="-3"/>
          <w:sz w:val="28"/>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pStyle w:val="20"/>
        <w:numPr>
          <w:ilvl w:val="0"/>
          <w:numId w:val="31"/>
        </w:numPr>
        <w:tabs>
          <w:tab w:val="left" w:pos="644"/>
        </w:tabs>
        <w:spacing w:before="2" w:after="0" w:line="240" w:lineRule="auto"/>
        <w:ind w:left="644" w:right="0" w:hanging="425"/>
        <w:jc w:val="left"/>
        <w:rPr>
          <w:b/>
          <w:sz w:val="28"/>
        </w:rPr>
      </w:pPr>
      <w:r>
        <w:rPr>
          <w:b/>
          <w:sz w:val="28"/>
        </w:rPr>
        <w:t>破产终止合同</w:t>
      </w:r>
    </w:p>
    <w:p>
      <w:pPr>
        <w:pStyle w:val="2"/>
        <w:spacing w:before="4" w:line="242" w:lineRule="auto"/>
        <w:ind w:right="149" w:firstLine="480"/>
      </w:pPr>
      <w:r>
        <w:t>乙方破产而无法完全履行本合同义务时，甲方可以书面方式通知乙方终止合同而不给予乙方补偿。该合同的终止将不损害或不影响甲方已经采取或将要采取任何行动或补救措施的权利。</w:t>
      </w:r>
    </w:p>
    <w:p>
      <w:pPr>
        <w:pStyle w:val="20"/>
        <w:numPr>
          <w:ilvl w:val="0"/>
          <w:numId w:val="31"/>
        </w:numPr>
        <w:tabs>
          <w:tab w:val="left" w:pos="644"/>
        </w:tabs>
        <w:spacing w:before="2" w:after="0" w:line="240" w:lineRule="auto"/>
        <w:ind w:left="644" w:right="0" w:hanging="425"/>
        <w:jc w:val="left"/>
        <w:rPr>
          <w:b/>
          <w:sz w:val="28"/>
        </w:rPr>
      </w:pPr>
      <w:r>
        <w:rPr>
          <w:b/>
          <w:sz w:val="28"/>
        </w:rPr>
        <w:t>转让和分包</w:t>
      </w:r>
    </w:p>
    <w:p>
      <w:pPr>
        <w:pStyle w:val="20"/>
        <w:numPr>
          <w:ilvl w:val="1"/>
          <w:numId w:val="31"/>
        </w:numPr>
        <w:tabs>
          <w:tab w:val="left" w:pos="1280"/>
        </w:tabs>
        <w:spacing w:before="4" w:after="0" w:line="240" w:lineRule="auto"/>
        <w:ind w:left="1280" w:right="0" w:hanging="701"/>
        <w:jc w:val="both"/>
        <w:rPr>
          <w:sz w:val="28"/>
        </w:rPr>
      </w:pPr>
      <w:r>
        <w:rPr>
          <w:spacing w:val="-3"/>
          <w:sz w:val="28"/>
        </w:rPr>
        <w:t>政府采购合同不能转让。</w:t>
      </w:r>
    </w:p>
    <w:p>
      <w:pPr>
        <w:pStyle w:val="20"/>
        <w:numPr>
          <w:ilvl w:val="1"/>
          <w:numId w:val="31"/>
        </w:numPr>
        <w:tabs>
          <w:tab w:val="left" w:pos="1280"/>
        </w:tabs>
        <w:spacing w:before="6" w:after="0" w:line="242" w:lineRule="auto"/>
        <w:ind w:left="219" w:right="428" w:firstLine="360"/>
        <w:jc w:val="both"/>
        <w:rPr>
          <w:sz w:val="28"/>
        </w:rPr>
      </w:pPr>
      <w:r>
        <w:rPr>
          <w:spacing w:val="-3"/>
          <w:sz w:val="28"/>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pStyle w:val="20"/>
        <w:numPr>
          <w:ilvl w:val="0"/>
          <w:numId w:val="31"/>
        </w:numPr>
        <w:tabs>
          <w:tab w:val="left" w:pos="644"/>
        </w:tabs>
        <w:spacing w:before="3" w:after="0" w:line="240" w:lineRule="auto"/>
        <w:ind w:left="644" w:right="0" w:hanging="425"/>
        <w:jc w:val="left"/>
        <w:rPr>
          <w:b/>
          <w:sz w:val="28"/>
        </w:rPr>
      </w:pPr>
      <w:r>
        <w:rPr>
          <w:b/>
          <w:sz w:val="28"/>
        </w:rPr>
        <w:t>合同修改</w:t>
      </w:r>
    </w:p>
    <w:p>
      <w:pPr>
        <w:pStyle w:val="2"/>
        <w:spacing w:before="3" w:line="244" w:lineRule="auto"/>
        <w:ind w:right="1547" w:firstLine="561"/>
        <w:rPr>
          <w:b/>
        </w:rPr>
      </w:pPr>
      <w:r>
        <w:t>政府采购合同的双方当事人不得擅自变更、中止或者终止合同</w:t>
      </w:r>
      <w:r>
        <w:rPr>
          <w:b/>
        </w:rPr>
        <w:t>24.通知</w:t>
      </w:r>
    </w:p>
    <w:p>
      <w:pPr>
        <w:pStyle w:val="2"/>
        <w:spacing w:line="242" w:lineRule="auto"/>
        <w:ind w:right="227" w:firstLine="480"/>
      </w:pPr>
      <w:r>
        <w:t>本合同任何一方给另一方的通知，都应以书面形式发送，而另一方也应以书面形式确认并发送到对方明确的地址。</w:t>
      </w:r>
    </w:p>
    <w:p>
      <w:pPr>
        <w:pStyle w:val="20"/>
        <w:numPr>
          <w:ilvl w:val="0"/>
          <w:numId w:val="32"/>
        </w:numPr>
        <w:tabs>
          <w:tab w:val="left" w:pos="644"/>
        </w:tabs>
        <w:spacing w:before="0" w:after="0" w:line="240" w:lineRule="auto"/>
        <w:ind w:left="644" w:right="0" w:hanging="425"/>
        <w:jc w:val="left"/>
        <w:rPr>
          <w:b/>
          <w:sz w:val="28"/>
        </w:rPr>
      </w:pPr>
      <w:r>
        <w:rPr>
          <w:b/>
          <w:sz w:val="28"/>
        </w:rPr>
        <w:t>计量单位</w:t>
      </w:r>
    </w:p>
    <w:p>
      <w:pPr>
        <w:pStyle w:val="2"/>
        <w:spacing w:before="2" w:line="242" w:lineRule="auto"/>
        <w:ind w:right="1487" w:firstLine="480"/>
        <w:rPr>
          <w:b/>
        </w:rPr>
      </w:pPr>
      <w:r>
        <w:t>除技术规范中另有规定外,计量单位均使用国家法定计量单位。</w:t>
      </w:r>
      <w:r>
        <w:rPr>
          <w:b/>
        </w:rPr>
        <w:t>26.适用法律</w:t>
      </w:r>
    </w:p>
    <w:p>
      <w:pPr>
        <w:pStyle w:val="2"/>
        <w:ind w:left="699"/>
      </w:pPr>
      <w:r>
        <w:t>本合同按照中华人民共和国的相关法律进行解释。</w:t>
      </w:r>
    </w:p>
    <w:p>
      <w:pPr>
        <w:spacing w:after="0"/>
        <w:sectPr>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p>
    <w:p>
      <w:pPr>
        <w:tabs>
          <w:tab w:val="left" w:pos="2221"/>
        </w:tabs>
        <w:spacing w:before="12"/>
        <w:ind w:left="13" w:right="0" w:firstLine="0"/>
        <w:jc w:val="center"/>
        <w:outlineLvl w:val="0"/>
        <w:rPr>
          <w:rFonts w:ascii="宋体" w:hAnsi="宋体" w:eastAsia="宋体" w:cs="宋体"/>
          <w:b/>
          <w:bCs/>
          <w:sz w:val="36"/>
          <w:szCs w:val="36"/>
          <w:lang w:val="zh-CN" w:eastAsia="zh-CN" w:bidi="zh-CN"/>
        </w:rPr>
      </w:pPr>
      <w:bookmarkStart w:id="94" w:name="目录"/>
      <w:bookmarkEnd w:id="94"/>
      <w:bookmarkStart w:id="95" w:name="_Toc28863"/>
      <w:r>
        <w:rPr>
          <w:rFonts w:ascii="宋体" w:hAnsi="宋体" w:eastAsia="宋体" w:cs="宋体"/>
          <w:b/>
          <w:bCs/>
          <w:sz w:val="36"/>
          <w:szCs w:val="36"/>
          <w:lang w:val="zh-CN" w:eastAsia="zh-CN" w:bidi="zh-CN"/>
        </w:rPr>
        <w:t>第四部分</w:t>
      </w:r>
      <w:r>
        <w:rPr>
          <w:rFonts w:ascii="宋体" w:hAnsi="宋体" w:eastAsia="宋体" w:cs="宋体"/>
          <w:b/>
          <w:bCs/>
          <w:sz w:val="36"/>
          <w:szCs w:val="36"/>
          <w:lang w:val="zh-CN" w:eastAsia="zh-CN" w:bidi="zh-CN"/>
        </w:rPr>
        <w:tab/>
      </w:r>
      <w:r>
        <w:rPr>
          <w:rFonts w:ascii="宋体" w:hAnsi="宋体" w:eastAsia="宋体" w:cs="宋体"/>
          <w:b/>
          <w:bCs/>
          <w:sz w:val="36"/>
          <w:szCs w:val="36"/>
          <w:lang w:val="zh-CN" w:eastAsia="zh-CN" w:bidi="zh-CN"/>
        </w:rPr>
        <w:t>响应文件格式</w:t>
      </w:r>
      <w:bookmarkEnd w:id="95"/>
    </w:p>
    <w:p>
      <w:pPr>
        <w:spacing w:before="354"/>
        <w:ind w:left="0" w:right="217" w:firstLine="0"/>
        <w:jc w:val="right"/>
        <w:rPr>
          <w:b/>
          <w:sz w:val="52"/>
        </w:rPr>
      </w:pPr>
      <w:r>
        <w:rPr>
          <w:b/>
          <w:w w:val="95"/>
          <w:sz w:val="52"/>
        </w:rPr>
        <w:t>正本/副本</w:t>
      </w:r>
    </w:p>
    <w:p>
      <w:pPr>
        <w:pStyle w:val="2"/>
        <w:spacing w:before="3"/>
        <w:ind w:left="0"/>
        <w:rPr>
          <w:b/>
          <w:sz w:val="53"/>
        </w:rPr>
      </w:pPr>
    </w:p>
    <w:p>
      <w:pPr>
        <w:spacing w:before="0" w:line="484" w:lineRule="auto"/>
        <w:ind w:left="2595" w:right="2595" w:firstLine="0"/>
        <w:jc w:val="center"/>
        <w:rPr>
          <w:b/>
          <w:sz w:val="52"/>
        </w:rPr>
      </w:pPr>
      <w:r>
        <w:rPr>
          <w:b/>
          <w:sz w:val="52"/>
        </w:rPr>
        <w:t>青海省政府采购项目竞争性磋商响应文件</w:t>
      </w:r>
    </w:p>
    <w:p>
      <w:pPr>
        <w:pStyle w:val="2"/>
        <w:ind w:left="0"/>
        <w:rPr>
          <w:b/>
          <w:sz w:val="52"/>
        </w:rPr>
      </w:pPr>
    </w:p>
    <w:p>
      <w:pPr>
        <w:pStyle w:val="2"/>
        <w:ind w:left="0"/>
        <w:rPr>
          <w:b/>
          <w:sz w:val="52"/>
        </w:rPr>
      </w:pPr>
    </w:p>
    <w:p>
      <w:pPr>
        <w:pStyle w:val="2"/>
        <w:ind w:left="0"/>
        <w:rPr>
          <w:b/>
          <w:sz w:val="52"/>
        </w:rPr>
      </w:pPr>
    </w:p>
    <w:p>
      <w:pPr>
        <w:pStyle w:val="2"/>
        <w:ind w:left="0"/>
        <w:rPr>
          <w:b/>
          <w:sz w:val="52"/>
        </w:rPr>
      </w:pPr>
    </w:p>
    <w:p>
      <w:pPr>
        <w:pStyle w:val="2"/>
        <w:spacing w:before="5"/>
        <w:ind w:left="0"/>
        <w:rPr>
          <w:b/>
          <w:sz w:val="55"/>
        </w:rPr>
      </w:pPr>
    </w:p>
    <w:p>
      <w:pPr>
        <w:tabs>
          <w:tab w:val="left" w:pos="6183"/>
        </w:tabs>
        <w:spacing w:before="0" w:line="242" w:lineRule="auto"/>
        <w:ind w:left="937" w:leftChars="426" w:right="3524" w:firstLine="0" w:firstLineChars="0"/>
        <w:jc w:val="left"/>
        <w:rPr>
          <w:b/>
          <w:sz w:val="36"/>
        </w:rPr>
      </w:pPr>
      <w:r>
        <w:rPr>
          <w:b/>
          <w:sz w:val="36"/>
        </w:rPr>
        <w:t>采购项目编号：</w:t>
      </w:r>
      <w:r>
        <w:rPr>
          <w:b/>
          <w:sz w:val="36"/>
          <w:u w:val="single"/>
        </w:rPr>
        <w:t xml:space="preserve"> </w:t>
      </w:r>
      <w:r>
        <w:rPr>
          <w:b/>
          <w:sz w:val="36"/>
          <w:u w:val="single"/>
        </w:rPr>
        <w:tab/>
      </w:r>
      <w:r>
        <w:rPr>
          <w:b/>
          <w:spacing w:val="-17"/>
          <w:sz w:val="36"/>
          <w:u w:val="single"/>
        </w:rPr>
        <w:t xml:space="preserve">. </w:t>
      </w:r>
      <w:r>
        <w:rPr>
          <w:b/>
          <w:sz w:val="36"/>
        </w:rPr>
        <w:t>采购项目名称：</w:t>
      </w:r>
      <w:r>
        <w:rPr>
          <w:b/>
          <w:sz w:val="36"/>
          <w:u w:val="single"/>
        </w:rPr>
        <w:t xml:space="preserve"> </w:t>
      </w:r>
      <w:r>
        <w:rPr>
          <w:b/>
          <w:sz w:val="36"/>
          <w:u w:val="single"/>
        </w:rPr>
        <w:tab/>
      </w:r>
      <w:r>
        <w:rPr>
          <w:b/>
          <w:spacing w:val="-17"/>
          <w:sz w:val="36"/>
          <w:u w:val="single"/>
        </w:rPr>
        <w:t xml:space="preserve">. </w:t>
      </w:r>
      <w:r>
        <w:rPr>
          <w:rFonts w:hint="eastAsia"/>
          <w:b/>
          <w:spacing w:val="-17"/>
          <w:sz w:val="36"/>
          <w:u w:val="single"/>
          <w:lang w:val="en-US" w:eastAsia="zh-CN"/>
        </w:rPr>
        <w:t xml:space="preserve">          </w:t>
      </w:r>
      <w:r>
        <w:rPr>
          <w:b/>
          <w:sz w:val="36"/>
        </w:rPr>
        <w:t>采购项目包号：</w:t>
      </w:r>
      <w:r>
        <w:rPr>
          <w:b/>
          <w:sz w:val="36"/>
          <w:u w:val="single"/>
        </w:rPr>
        <w:t xml:space="preserve"> </w:t>
      </w:r>
      <w:r>
        <w:rPr>
          <w:b/>
          <w:sz w:val="36"/>
          <w:u w:val="single"/>
        </w:rPr>
        <w:tab/>
      </w:r>
      <w:r>
        <w:rPr>
          <w:b/>
          <w:spacing w:val="-17"/>
          <w:sz w:val="36"/>
          <w:u w:val="single"/>
        </w:rPr>
        <w:t>.</w:t>
      </w:r>
    </w:p>
    <w:p>
      <w:pPr>
        <w:pStyle w:val="2"/>
        <w:ind w:left="0"/>
        <w:rPr>
          <w:b/>
          <w:sz w:val="20"/>
        </w:rPr>
      </w:pPr>
    </w:p>
    <w:p>
      <w:pPr>
        <w:pStyle w:val="2"/>
        <w:ind w:left="0"/>
        <w:rPr>
          <w:b/>
          <w:sz w:val="20"/>
        </w:rPr>
      </w:pPr>
    </w:p>
    <w:p>
      <w:pPr>
        <w:pStyle w:val="2"/>
        <w:spacing w:before="4"/>
        <w:ind w:left="0"/>
        <w:rPr>
          <w:b/>
          <w:sz w:val="29"/>
        </w:rPr>
      </w:pPr>
    </w:p>
    <w:p>
      <w:pPr>
        <w:tabs>
          <w:tab w:val="left" w:pos="7087"/>
        </w:tabs>
        <w:spacing w:before="50"/>
        <w:ind w:left="941" w:right="0" w:firstLine="0"/>
        <w:jc w:val="left"/>
        <w:rPr>
          <w:b/>
          <w:sz w:val="36"/>
        </w:rPr>
      </w:pPr>
      <w:r>
        <w:rPr>
          <w:b/>
          <w:sz w:val="36"/>
        </w:rPr>
        <w:t>供应商：</w:t>
      </w:r>
      <w:r>
        <w:rPr>
          <w:b/>
          <w:sz w:val="36"/>
          <w:u w:val="single"/>
        </w:rPr>
        <w:t xml:space="preserve"> </w:t>
      </w:r>
      <w:r>
        <w:rPr>
          <w:b/>
          <w:sz w:val="36"/>
          <w:u w:val="single"/>
        </w:rPr>
        <w:tab/>
      </w:r>
      <w:r>
        <w:rPr>
          <w:b/>
          <w:sz w:val="36"/>
        </w:rPr>
        <w:t>（公章）</w:t>
      </w:r>
    </w:p>
    <w:p>
      <w:pPr>
        <w:tabs>
          <w:tab w:val="left" w:pos="4918"/>
          <w:tab w:val="left" w:pos="6000"/>
          <w:tab w:val="left" w:pos="6543"/>
        </w:tabs>
        <w:spacing w:before="7" w:line="242" w:lineRule="auto"/>
        <w:ind w:left="3833" w:right="815" w:hanging="2892"/>
        <w:jc w:val="left"/>
        <w:rPr>
          <w:b/>
          <w:sz w:val="36"/>
        </w:rPr>
      </w:pPr>
      <w:r>
        <w:rPr>
          <w:b/>
          <w:sz w:val="36"/>
        </w:rPr>
        <w:t>法定代表人或委托代理人：</w:t>
      </w:r>
      <w:r>
        <w:rPr>
          <w:b/>
          <w:sz w:val="36"/>
          <w:u w:val="single"/>
        </w:rPr>
        <w:t xml:space="preserve"> </w:t>
      </w:r>
      <w:r>
        <w:rPr>
          <w:b/>
          <w:sz w:val="36"/>
          <w:u w:val="single"/>
        </w:rPr>
        <w:tab/>
      </w:r>
      <w:r>
        <w:rPr>
          <w:b/>
          <w:sz w:val="36"/>
          <w:u w:val="single"/>
        </w:rPr>
        <w:tab/>
      </w:r>
      <w:r>
        <w:rPr>
          <w:b/>
          <w:sz w:val="36"/>
        </w:rPr>
        <w:t>（签字或盖章</w:t>
      </w:r>
      <w:r>
        <w:rPr>
          <w:b/>
          <w:spacing w:val="-16"/>
          <w:sz w:val="36"/>
        </w:rPr>
        <w:t xml:space="preserve">） </w:t>
      </w:r>
      <w:r>
        <w:rPr>
          <w:b/>
          <w:sz w:val="36"/>
        </w:rPr>
        <w:t>年</w:t>
      </w:r>
      <w:r>
        <w:rPr>
          <w:b/>
          <w:sz w:val="36"/>
        </w:rPr>
        <w:tab/>
      </w:r>
      <w:r>
        <w:rPr>
          <w:b/>
          <w:sz w:val="36"/>
        </w:rPr>
        <w:t>月</w:t>
      </w:r>
      <w:r>
        <w:rPr>
          <w:b/>
          <w:sz w:val="36"/>
        </w:rPr>
        <w:tab/>
      </w:r>
      <w:r>
        <w:rPr>
          <w:b/>
          <w:sz w:val="36"/>
        </w:rPr>
        <w:t>日</w:t>
      </w:r>
    </w:p>
    <w:p>
      <w:pPr>
        <w:spacing w:after="0" w:line="242" w:lineRule="auto"/>
        <w:jc w:val="left"/>
        <w:rPr>
          <w:sz w:val="36"/>
        </w:rPr>
        <w:sectPr>
          <w:pgSz w:w="11850" w:h="16790"/>
          <w:pgMar w:top="1580" w:right="840" w:bottom="1440" w:left="1120" w:header="0" w:footer="1259" w:gutter="0"/>
          <w:pgBorders>
            <w:top w:val="none" w:sz="0" w:space="0"/>
            <w:left w:val="none" w:sz="0" w:space="0"/>
            <w:bottom w:val="none" w:sz="0" w:space="0"/>
            <w:right w:val="none" w:sz="0" w:space="0"/>
          </w:pgBorders>
          <w:pgNumType w:fmt="decimal"/>
          <w:cols w:space="720" w:num="1"/>
        </w:sectPr>
      </w:pPr>
    </w:p>
    <w:sdt>
      <w:sdtPr>
        <w:rPr>
          <w:rFonts w:hint="eastAsia" w:ascii="宋体" w:hAnsi="宋体" w:eastAsia="宋体" w:cs="宋体"/>
          <w:b/>
          <w:sz w:val="48"/>
          <w:szCs w:val="36"/>
          <w:lang w:val="zh-CN" w:eastAsia="zh-CN" w:bidi="zh-CN"/>
        </w:rPr>
        <w:id w:val="147462981"/>
        <w15:color w:val="DBDBDB"/>
        <w:docPartObj>
          <w:docPartGallery w:val="Table of Contents"/>
          <w:docPartUnique/>
        </w:docPartObj>
      </w:sdtPr>
      <w:sdtEndPr>
        <w:rPr>
          <w:rFonts w:hint="eastAsia" w:ascii="宋体" w:hAnsi="宋体" w:eastAsia="宋体" w:cs="宋体"/>
          <w:b/>
          <w:sz w:val="22"/>
          <w:szCs w:val="22"/>
          <w:lang w:val="zh-CN" w:eastAsia="zh-CN" w:bidi="zh-CN"/>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sz w:val="44"/>
              <w:szCs w:val="44"/>
              <w:lang w:val="zh-CN" w:eastAsia="zh-CN" w:bidi="zh-CN"/>
            </w:rPr>
          </w:pPr>
          <w:bookmarkStart w:id="96" w:name="（1）响应函"/>
          <w:bookmarkEnd w:id="96"/>
          <w:r>
            <w:rPr>
              <w:rFonts w:hint="eastAsia" w:ascii="宋体" w:hAnsi="宋体" w:eastAsia="宋体" w:cs="宋体"/>
              <w:b/>
              <w:sz w:val="44"/>
              <w:szCs w:val="44"/>
              <w:lang w:val="zh-CN" w:eastAsia="zh-CN" w:bidi="zh-CN"/>
            </w:rPr>
            <w:t>目</w:t>
          </w:r>
          <w:r>
            <w:rPr>
              <w:rFonts w:hint="eastAsia" w:ascii="宋体" w:hAnsi="宋体" w:eastAsia="宋体" w:cs="宋体"/>
              <w:b/>
              <w:sz w:val="44"/>
              <w:szCs w:val="44"/>
              <w:lang w:val="en-US" w:eastAsia="zh-CN" w:bidi="zh-CN"/>
            </w:rPr>
            <w:t xml:space="preserve"> </w:t>
          </w:r>
          <w:r>
            <w:rPr>
              <w:rFonts w:hint="eastAsia" w:ascii="宋体" w:hAnsi="宋体" w:eastAsia="宋体" w:cs="宋体"/>
              <w:b/>
              <w:sz w:val="44"/>
              <w:szCs w:val="44"/>
              <w:lang w:val="zh-CN" w:eastAsia="zh-CN" w:bidi="zh-CN"/>
            </w:rPr>
            <w:t>录</w:t>
          </w:r>
        </w:p>
        <w:p>
          <w:pPr>
            <w:pStyle w:val="12"/>
            <w:tabs>
              <w:tab w:val="right" w:pos="3200"/>
              <w:tab w:val="right" w:leader="dot" w:pos="8950"/>
            </w:tabs>
            <w:rPr>
              <w:rFonts w:hint="eastAsia" w:ascii="宋体" w:hAnsi="宋体" w:eastAsia="宋体" w:cs="宋体"/>
              <w:sz w:val="28"/>
              <w:szCs w:val="28"/>
            </w:rPr>
          </w:pPr>
          <w:r>
            <w:rPr>
              <w:rFonts w:hint="eastAsia" w:ascii="宋体" w:hAnsi="宋体" w:eastAsia="宋体" w:cs="宋体"/>
              <w:b/>
              <w:sz w:val="28"/>
              <w:szCs w:val="28"/>
              <w:lang w:val="zh-CN" w:eastAsia="zh-CN" w:bidi="zh-CN"/>
            </w:rPr>
            <w:fldChar w:fldCharType="begin"/>
          </w:r>
          <w:r>
            <w:rPr>
              <w:rFonts w:hint="eastAsia" w:ascii="宋体" w:hAnsi="宋体" w:eastAsia="宋体" w:cs="宋体"/>
              <w:b/>
              <w:sz w:val="28"/>
              <w:szCs w:val="28"/>
              <w:lang w:val="zh-CN" w:eastAsia="zh-CN" w:bidi="zh-CN"/>
            </w:rPr>
            <w:instrText xml:space="preserve">TOC \o "1-2" \h \u </w:instrText>
          </w:r>
          <w:r>
            <w:rPr>
              <w:rFonts w:hint="eastAsia" w:ascii="宋体" w:hAnsi="宋体" w:eastAsia="宋体" w:cs="宋体"/>
              <w:b/>
              <w:sz w:val="28"/>
              <w:szCs w:val="28"/>
              <w:lang w:val="zh-CN" w:eastAsia="zh-CN" w:bidi="zh-CN"/>
            </w:rPr>
            <w:fldChar w:fldCharType="separate"/>
          </w:r>
        </w:p>
        <w:p>
          <w:pPr>
            <w:spacing w:line="500" w:lineRule="exact"/>
            <w:ind w:firstLine="480"/>
            <w:rPr>
              <w:rFonts w:hint="eastAsia" w:ascii="宋体" w:hAnsi="宋体"/>
              <w:sz w:val="28"/>
              <w:szCs w:val="28"/>
            </w:rPr>
          </w:pPr>
          <w:r>
            <w:rPr>
              <w:rFonts w:hint="eastAsia"/>
              <w:sz w:val="28"/>
              <w:szCs w:val="28"/>
              <w:lang w:val="en-US" w:eastAsia="zh-CN"/>
            </w:rPr>
            <w:t>1、响应</w:t>
          </w:r>
          <w:r>
            <w:rPr>
              <w:rFonts w:hint="eastAsia" w:ascii="宋体" w:hAnsi="宋体"/>
              <w:sz w:val="28"/>
              <w:szCs w:val="28"/>
            </w:rPr>
            <w:t>函……………………………………………………………（附件1）</w:t>
          </w:r>
        </w:p>
        <w:p>
          <w:pPr>
            <w:spacing w:line="500" w:lineRule="exact"/>
            <w:ind w:firstLine="480"/>
            <w:rPr>
              <w:rFonts w:hint="eastAsia" w:ascii="宋体" w:hAnsi="宋体"/>
              <w:sz w:val="28"/>
              <w:szCs w:val="28"/>
            </w:rPr>
          </w:pPr>
          <w:r>
            <w:rPr>
              <w:rFonts w:hint="eastAsia" w:ascii="宋体" w:hAnsi="宋体"/>
              <w:sz w:val="28"/>
              <w:szCs w:val="28"/>
            </w:rPr>
            <w:t>2、法定代表人证明书………………………………………………（附件2）</w:t>
          </w:r>
        </w:p>
        <w:p>
          <w:pPr>
            <w:spacing w:line="500" w:lineRule="exact"/>
            <w:ind w:firstLine="480"/>
            <w:rPr>
              <w:rFonts w:hint="eastAsia" w:ascii="宋体" w:hAnsi="宋体"/>
              <w:sz w:val="28"/>
              <w:szCs w:val="28"/>
            </w:rPr>
          </w:pPr>
          <w:r>
            <w:rPr>
              <w:rFonts w:hint="eastAsia" w:ascii="宋体" w:hAnsi="宋体"/>
              <w:sz w:val="28"/>
              <w:szCs w:val="28"/>
            </w:rPr>
            <w:t>3、法定代表人授权书………………………………………………（附件3）</w:t>
          </w:r>
        </w:p>
        <w:p>
          <w:pPr>
            <w:spacing w:line="500" w:lineRule="exact"/>
            <w:ind w:firstLine="480"/>
            <w:rPr>
              <w:rFonts w:hint="eastAsia" w:ascii="宋体" w:hAnsi="宋体"/>
              <w:sz w:val="28"/>
              <w:szCs w:val="28"/>
            </w:rPr>
          </w:pPr>
          <w:r>
            <w:rPr>
              <w:rFonts w:hint="eastAsia" w:ascii="宋体" w:hAnsi="宋体"/>
              <w:sz w:val="28"/>
              <w:szCs w:val="28"/>
            </w:rPr>
            <w:t>4、供应商承诺函……………………………………………………（附件4）</w:t>
          </w:r>
        </w:p>
        <w:p>
          <w:pPr>
            <w:spacing w:line="500" w:lineRule="exact"/>
            <w:ind w:firstLine="480"/>
            <w:rPr>
              <w:rFonts w:hint="eastAsia" w:ascii="宋体" w:hAnsi="宋体"/>
              <w:sz w:val="28"/>
              <w:szCs w:val="28"/>
            </w:rPr>
          </w:pPr>
          <w:r>
            <w:rPr>
              <w:rFonts w:hint="eastAsia" w:ascii="宋体" w:hAnsi="宋体"/>
              <w:sz w:val="28"/>
              <w:szCs w:val="28"/>
            </w:rPr>
            <w:t>5、供应商诚信承诺书………………………………………………（附件5）</w:t>
          </w:r>
        </w:p>
        <w:p>
          <w:pPr>
            <w:spacing w:line="500" w:lineRule="exact"/>
            <w:ind w:firstLine="480"/>
            <w:rPr>
              <w:rFonts w:hint="eastAsia" w:ascii="宋体" w:hAnsi="宋体"/>
              <w:sz w:val="28"/>
              <w:szCs w:val="28"/>
            </w:rPr>
          </w:pPr>
          <w:r>
            <w:rPr>
              <w:rFonts w:hint="eastAsia" w:ascii="宋体" w:hAnsi="宋体"/>
              <w:sz w:val="28"/>
              <w:szCs w:val="28"/>
            </w:rPr>
            <w:t>6、供应商资格证明文件……………………………………………（附件6）</w:t>
          </w:r>
        </w:p>
        <w:p>
          <w:pPr>
            <w:spacing w:line="500" w:lineRule="exact"/>
            <w:ind w:firstLine="480"/>
            <w:rPr>
              <w:rFonts w:hint="eastAsia" w:ascii="宋体" w:hAnsi="宋体"/>
              <w:sz w:val="28"/>
              <w:szCs w:val="28"/>
            </w:rPr>
          </w:pPr>
          <w:r>
            <w:rPr>
              <w:rFonts w:hint="eastAsia" w:ascii="宋体" w:hAnsi="宋体"/>
              <w:sz w:val="28"/>
              <w:szCs w:val="28"/>
            </w:rPr>
            <w:t>7、财务状况、缴纳税收和社会保障资金证明……………………（附件7）</w:t>
          </w:r>
        </w:p>
        <w:p>
          <w:pPr>
            <w:spacing w:line="500" w:lineRule="exact"/>
            <w:ind w:firstLine="480"/>
            <w:rPr>
              <w:rFonts w:hint="eastAsia" w:ascii="宋体" w:hAnsi="宋体"/>
              <w:sz w:val="28"/>
              <w:szCs w:val="28"/>
            </w:rPr>
          </w:pPr>
          <w:r>
            <w:rPr>
              <w:rFonts w:hint="eastAsia" w:ascii="宋体" w:hAnsi="宋体"/>
              <w:sz w:val="28"/>
              <w:szCs w:val="28"/>
            </w:rPr>
            <w:t>8、无重大违法记录声明……………………………………………（附件8）</w:t>
          </w:r>
        </w:p>
        <w:p>
          <w:pPr>
            <w:spacing w:line="500" w:lineRule="exact"/>
            <w:ind w:firstLine="480"/>
            <w:rPr>
              <w:rFonts w:hint="eastAsia" w:ascii="宋体" w:hAnsi="宋体"/>
              <w:sz w:val="28"/>
              <w:szCs w:val="28"/>
            </w:rPr>
          </w:pPr>
          <w:r>
            <w:rPr>
              <w:rFonts w:hint="eastAsia" w:ascii="宋体" w:hAnsi="宋体"/>
              <w:sz w:val="28"/>
              <w:szCs w:val="28"/>
            </w:rPr>
            <w:t>9、磋商保证金………………………………………………………（附件9）</w:t>
          </w:r>
        </w:p>
        <w:p>
          <w:pPr>
            <w:spacing w:line="500" w:lineRule="exact"/>
            <w:ind w:firstLine="480"/>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0</w:t>
          </w:r>
          <w:r>
            <w:rPr>
              <w:rFonts w:hint="eastAsia" w:ascii="宋体" w:hAnsi="宋体"/>
              <w:sz w:val="28"/>
              <w:szCs w:val="28"/>
            </w:rPr>
            <w:t>、首次报价表……………………………</w:t>
          </w:r>
          <w:r>
            <w:rPr>
              <w:rFonts w:hint="eastAsia" w:ascii="宋体" w:hAnsi="宋体"/>
              <w:sz w:val="28"/>
              <w:szCs w:val="28"/>
            </w:rPr>
            <w:t>……………</w:t>
          </w:r>
          <w:r>
            <w:rPr>
              <w:rFonts w:hint="eastAsia" w:ascii="宋体" w:hAnsi="宋体"/>
              <w:sz w:val="28"/>
              <w:szCs w:val="28"/>
            </w:rPr>
            <w:t>…………（附件10）</w:t>
          </w:r>
        </w:p>
        <w:p>
          <w:pPr>
            <w:spacing w:line="500" w:lineRule="exact"/>
            <w:ind w:firstLine="480"/>
            <w:rPr>
              <w:rFonts w:hint="eastAsia" w:ascii="宋体" w:hAnsi="宋体"/>
              <w:sz w:val="28"/>
              <w:szCs w:val="28"/>
            </w:rPr>
          </w:pPr>
          <w:r>
            <w:rPr>
              <w:rFonts w:hint="eastAsia" w:ascii="宋体" w:hAnsi="宋体"/>
              <w:sz w:val="28"/>
              <w:szCs w:val="28"/>
              <w:lang w:val="en-US" w:eastAsia="zh-CN"/>
            </w:rPr>
            <w:t>11</w:t>
          </w:r>
          <w:r>
            <w:rPr>
              <w:rFonts w:hint="eastAsia" w:ascii="宋体" w:hAnsi="宋体"/>
              <w:sz w:val="28"/>
              <w:szCs w:val="28"/>
            </w:rPr>
            <w:t>、分项报价表……………………………………………………（附件11）</w:t>
          </w:r>
        </w:p>
        <w:p>
          <w:pPr>
            <w:spacing w:line="500" w:lineRule="exact"/>
            <w:ind w:firstLine="480"/>
            <w:rPr>
              <w:rFonts w:hint="eastAsia" w:ascii="宋体" w:hAnsi="宋体"/>
              <w:sz w:val="28"/>
              <w:szCs w:val="28"/>
            </w:rPr>
          </w:pPr>
          <w:r>
            <w:rPr>
              <w:rFonts w:hint="eastAsia" w:ascii="宋体" w:hAnsi="宋体"/>
              <w:sz w:val="28"/>
              <w:szCs w:val="28"/>
              <w:lang w:val="en-US" w:eastAsia="zh-CN"/>
            </w:rPr>
            <w:t>12</w:t>
          </w:r>
          <w:r>
            <w:rPr>
              <w:rFonts w:hint="eastAsia" w:ascii="宋体" w:hAnsi="宋体"/>
              <w:sz w:val="28"/>
              <w:szCs w:val="28"/>
            </w:rPr>
            <w:t>、技术规格响应表………………………………………………（附件12）</w:t>
          </w:r>
        </w:p>
        <w:p>
          <w:pPr>
            <w:spacing w:line="500" w:lineRule="exact"/>
            <w:ind w:firstLine="480"/>
            <w:rPr>
              <w:rFonts w:hint="eastAsia" w:ascii="宋体" w:hAnsi="宋体"/>
              <w:sz w:val="28"/>
              <w:szCs w:val="28"/>
            </w:rPr>
          </w:pPr>
          <w:r>
            <w:rPr>
              <w:rFonts w:hint="eastAsia" w:ascii="宋体" w:hAnsi="宋体"/>
              <w:sz w:val="28"/>
              <w:szCs w:val="28"/>
              <w:lang w:val="en-US" w:eastAsia="zh-CN"/>
            </w:rPr>
            <w:t>13</w:t>
          </w:r>
          <w:r>
            <w:rPr>
              <w:rFonts w:hint="eastAsia" w:ascii="宋体" w:hAnsi="宋体"/>
              <w:sz w:val="28"/>
              <w:szCs w:val="28"/>
            </w:rPr>
            <w:t>、投标产品相关资料……………………………………………（附件1</w:t>
          </w:r>
          <w:r>
            <w:rPr>
              <w:rFonts w:hint="eastAsia" w:ascii="宋体" w:hAnsi="宋体"/>
              <w:sz w:val="28"/>
              <w:szCs w:val="28"/>
              <w:lang w:val="en-US" w:eastAsia="zh-CN"/>
            </w:rPr>
            <w:t>3</w:t>
          </w:r>
          <w:r>
            <w:rPr>
              <w:rFonts w:hint="eastAsia" w:ascii="宋体" w:hAnsi="宋体"/>
              <w:sz w:val="28"/>
              <w:szCs w:val="28"/>
            </w:rPr>
            <w:t>）</w:t>
          </w:r>
        </w:p>
        <w:p>
          <w:pPr>
            <w:spacing w:line="500" w:lineRule="exact"/>
            <w:ind w:firstLine="480"/>
            <w:rPr>
              <w:rFonts w:hint="eastAsia" w:ascii="宋体" w:hAnsi="宋体"/>
              <w:sz w:val="28"/>
              <w:szCs w:val="28"/>
            </w:rPr>
          </w:pPr>
          <w:r>
            <w:rPr>
              <w:rFonts w:hint="eastAsia" w:ascii="宋体" w:hAnsi="宋体"/>
              <w:sz w:val="28"/>
              <w:szCs w:val="28"/>
              <w:lang w:val="en-US" w:eastAsia="zh-CN"/>
            </w:rPr>
            <w:t>14</w:t>
          </w:r>
          <w:r>
            <w:rPr>
              <w:rFonts w:hint="eastAsia" w:ascii="宋体" w:hAnsi="宋体"/>
              <w:sz w:val="28"/>
              <w:szCs w:val="28"/>
            </w:rPr>
            <w:t>、供应商类似业绩证明材料……………………………………（附件1</w:t>
          </w:r>
          <w:r>
            <w:rPr>
              <w:rFonts w:hint="eastAsia" w:ascii="宋体" w:hAnsi="宋体"/>
              <w:sz w:val="28"/>
              <w:szCs w:val="28"/>
              <w:lang w:val="en-US" w:eastAsia="zh-CN"/>
            </w:rPr>
            <w:t>4</w:t>
          </w:r>
          <w:r>
            <w:rPr>
              <w:rFonts w:hint="eastAsia" w:ascii="宋体" w:hAnsi="宋体"/>
              <w:sz w:val="28"/>
              <w:szCs w:val="28"/>
            </w:rPr>
            <w:t>）</w:t>
          </w:r>
        </w:p>
        <w:p>
          <w:pPr>
            <w:spacing w:line="500" w:lineRule="exact"/>
            <w:ind w:firstLine="480"/>
            <w:rPr>
              <w:rFonts w:hint="eastAsia" w:ascii="宋体" w:hAnsi="宋体"/>
              <w:sz w:val="28"/>
              <w:szCs w:val="28"/>
            </w:rPr>
          </w:pPr>
          <w:r>
            <w:rPr>
              <w:rFonts w:hint="eastAsia" w:ascii="宋体" w:hAnsi="宋体"/>
              <w:sz w:val="28"/>
              <w:szCs w:val="28"/>
              <w:lang w:val="en-US" w:eastAsia="zh-CN"/>
            </w:rPr>
            <w:t>15</w:t>
          </w:r>
          <w:r>
            <w:rPr>
              <w:rFonts w:hint="eastAsia" w:ascii="宋体" w:hAnsi="宋体"/>
              <w:sz w:val="28"/>
              <w:szCs w:val="28"/>
            </w:rPr>
            <w:t>、制造（生产）企业小型、微型企业声明函………………</w:t>
          </w:r>
          <w:r>
            <w:rPr>
              <w:rFonts w:hint="eastAsia" w:ascii="宋体" w:hAnsi="宋体"/>
              <w:sz w:val="28"/>
              <w:szCs w:val="28"/>
              <w:lang w:val="en-US" w:eastAsia="zh-CN"/>
            </w:rPr>
            <w:t>..</w:t>
          </w:r>
          <w:r>
            <w:rPr>
              <w:rFonts w:hint="eastAsia" w:ascii="宋体" w:hAnsi="宋体"/>
              <w:sz w:val="28"/>
              <w:szCs w:val="28"/>
            </w:rPr>
            <w:t>（附件1</w:t>
          </w:r>
          <w:r>
            <w:rPr>
              <w:rFonts w:hint="eastAsia" w:ascii="宋体" w:hAnsi="宋体"/>
              <w:sz w:val="28"/>
              <w:szCs w:val="28"/>
              <w:lang w:val="en-US" w:eastAsia="zh-CN"/>
            </w:rPr>
            <w:t>5</w:t>
          </w:r>
          <w:r>
            <w:rPr>
              <w:rFonts w:hint="eastAsia" w:ascii="宋体" w:hAnsi="宋体"/>
              <w:sz w:val="28"/>
              <w:szCs w:val="28"/>
            </w:rPr>
            <w:t>）</w:t>
          </w:r>
        </w:p>
        <w:p>
          <w:pPr>
            <w:spacing w:line="500" w:lineRule="exact"/>
            <w:ind w:firstLine="480"/>
            <w:rPr>
              <w:rFonts w:hint="default" w:ascii="宋体" w:hAnsi="宋体"/>
              <w:sz w:val="28"/>
              <w:szCs w:val="28"/>
              <w:lang w:val="en-US" w:eastAsia="zh-CN"/>
            </w:rPr>
          </w:pPr>
          <w:r>
            <w:rPr>
              <w:rFonts w:hint="eastAsia" w:ascii="宋体" w:hAnsi="宋体"/>
              <w:sz w:val="28"/>
              <w:szCs w:val="28"/>
              <w:lang w:val="en-US" w:eastAsia="zh-CN"/>
            </w:rPr>
            <w:t>16、从业人员声明函....................................（附件16）</w:t>
          </w:r>
        </w:p>
        <w:p>
          <w:pPr>
            <w:spacing w:line="500" w:lineRule="exact"/>
            <w:ind w:firstLine="480"/>
            <w:rPr>
              <w:rFonts w:hint="eastAsia" w:ascii="宋体" w:hAnsi="宋体"/>
              <w:sz w:val="28"/>
              <w:szCs w:val="28"/>
            </w:rPr>
          </w:pPr>
          <w:r>
            <w:rPr>
              <w:rFonts w:hint="eastAsia" w:ascii="宋体" w:hAnsi="宋体"/>
              <w:sz w:val="28"/>
              <w:szCs w:val="28"/>
              <w:lang w:val="en-US" w:eastAsia="zh-CN"/>
            </w:rPr>
            <w:t>17、</w:t>
          </w:r>
          <w:r>
            <w:rPr>
              <w:rFonts w:hint="eastAsia" w:ascii="宋体" w:hAnsi="宋体"/>
              <w:sz w:val="28"/>
              <w:szCs w:val="28"/>
            </w:rPr>
            <w:t>残疾人福利性单位声明函……………………………………（附件1</w:t>
          </w:r>
          <w:r>
            <w:rPr>
              <w:rFonts w:hint="eastAsia" w:ascii="宋体" w:hAnsi="宋体"/>
              <w:sz w:val="28"/>
              <w:szCs w:val="28"/>
              <w:lang w:val="en-US" w:eastAsia="zh-CN"/>
            </w:rPr>
            <w:t>7</w:t>
          </w:r>
          <w:r>
            <w:rPr>
              <w:rFonts w:hint="eastAsia" w:ascii="宋体" w:hAnsi="宋体"/>
              <w:sz w:val="28"/>
              <w:szCs w:val="28"/>
            </w:rPr>
            <w:t>）</w:t>
          </w:r>
        </w:p>
        <w:p>
          <w:pPr>
            <w:spacing w:line="500" w:lineRule="exact"/>
            <w:ind w:firstLine="480"/>
            <w:rPr>
              <w:rFonts w:hint="eastAsia" w:ascii="宋体" w:hAnsi="宋体"/>
              <w:sz w:val="28"/>
              <w:szCs w:val="28"/>
            </w:rPr>
          </w:pPr>
          <w:r>
            <w:rPr>
              <w:rFonts w:hint="eastAsia" w:ascii="宋体" w:hAnsi="宋体"/>
              <w:sz w:val="28"/>
              <w:szCs w:val="28"/>
              <w:lang w:val="en-US" w:eastAsia="zh-CN"/>
            </w:rPr>
            <w:t>18、</w:t>
          </w:r>
          <w:r>
            <w:rPr>
              <w:rFonts w:hint="eastAsia"/>
              <w:sz w:val="28"/>
              <w:szCs w:val="28"/>
              <w:lang w:val="en-US" w:eastAsia="zh-CN"/>
            </w:rPr>
            <w:t>项目管理和实施方案</w:t>
          </w:r>
          <w:r>
            <w:rPr>
              <w:rFonts w:hint="eastAsia" w:ascii="宋体" w:hAnsi="宋体"/>
              <w:sz w:val="28"/>
              <w:szCs w:val="28"/>
            </w:rPr>
            <w:t>…………………………………………（附件1</w:t>
          </w:r>
          <w:r>
            <w:rPr>
              <w:rFonts w:hint="eastAsia" w:ascii="宋体" w:hAnsi="宋体"/>
              <w:sz w:val="28"/>
              <w:szCs w:val="28"/>
              <w:lang w:val="en-US" w:eastAsia="zh-CN"/>
            </w:rPr>
            <w:t>8</w:t>
          </w:r>
          <w:r>
            <w:rPr>
              <w:rFonts w:hint="eastAsia" w:ascii="宋体" w:hAnsi="宋体"/>
              <w:sz w:val="28"/>
              <w:szCs w:val="28"/>
            </w:rPr>
            <w:t>）</w:t>
          </w:r>
        </w:p>
        <w:p>
          <w:pPr>
            <w:spacing w:line="500" w:lineRule="exact"/>
            <w:ind w:firstLine="480"/>
            <w:rPr>
              <w:rFonts w:hint="eastAsia" w:ascii="宋体" w:hAnsi="宋体"/>
              <w:sz w:val="28"/>
              <w:szCs w:val="28"/>
            </w:rPr>
          </w:pPr>
          <w:r>
            <w:rPr>
              <w:rFonts w:hint="eastAsia" w:ascii="宋体" w:hAnsi="宋体"/>
              <w:sz w:val="28"/>
              <w:szCs w:val="28"/>
              <w:lang w:val="en-US" w:eastAsia="zh-CN"/>
            </w:rPr>
            <w:t>1</w:t>
          </w:r>
          <w:r>
            <w:rPr>
              <w:rFonts w:hint="eastAsia"/>
              <w:sz w:val="28"/>
              <w:szCs w:val="28"/>
              <w:lang w:val="en-US" w:eastAsia="zh-CN"/>
            </w:rPr>
            <w:t>9</w:t>
          </w:r>
          <w:r>
            <w:rPr>
              <w:rFonts w:hint="eastAsia" w:ascii="宋体" w:hAnsi="宋体"/>
              <w:sz w:val="28"/>
              <w:szCs w:val="28"/>
            </w:rPr>
            <w:t>、投标人认为在其他方面有必要说明的事项…………………（附件19）</w:t>
          </w:r>
        </w:p>
        <w:p>
          <w:pPr>
            <w:spacing w:line="500" w:lineRule="exact"/>
            <w:ind w:firstLine="480"/>
            <w:rPr>
              <w:rFonts w:hint="eastAsia" w:ascii="宋体" w:hAnsi="宋体"/>
              <w:sz w:val="28"/>
              <w:szCs w:val="28"/>
              <w:lang w:val="en-US" w:eastAsia="zh-CN"/>
            </w:rPr>
          </w:pPr>
          <w:r>
            <w:rPr>
              <w:rFonts w:hint="eastAsia" w:ascii="宋体" w:hAnsi="宋体"/>
              <w:sz w:val="28"/>
              <w:szCs w:val="28"/>
              <w:lang w:val="zh-CN" w:eastAsia="zh-CN"/>
            </w:rPr>
            <w:fldChar w:fldCharType="begin"/>
          </w:r>
          <w:r>
            <w:rPr>
              <w:rFonts w:hint="eastAsia" w:ascii="宋体" w:hAnsi="宋体"/>
              <w:sz w:val="28"/>
              <w:szCs w:val="28"/>
              <w:lang w:val="zh-CN" w:eastAsia="zh-CN"/>
            </w:rPr>
            <w:instrText xml:space="preserve"> HYPERLINK \l _Toc29106 </w:instrText>
          </w:r>
          <w:r>
            <w:rPr>
              <w:rFonts w:hint="eastAsia" w:ascii="宋体" w:hAnsi="宋体"/>
              <w:sz w:val="28"/>
              <w:szCs w:val="28"/>
              <w:lang w:val="zh-CN" w:eastAsia="zh-CN"/>
            </w:rPr>
            <w:fldChar w:fldCharType="separate"/>
          </w:r>
          <w:r>
            <w:rPr>
              <w:rFonts w:hint="eastAsia" w:ascii="宋体" w:hAnsi="宋体"/>
              <w:sz w:val="28"/>
              <w:szCs w:val="28"/>
              <w:lang w:val="en-US" w:eastAsia="zh-CN"/>
            </w:rPr>
            <w:t>20、最后报价表........................................</w:t>
          </w:r>
          <w:r>
            <w:rPr>
              <w:rFonts w:hint="eastAsia" w:ascii="宋体" w:hAnsi="宋体"/>
              <w:sz w:val="28"/>
              <w:szCs w:val="28"/>
              <w:lang w:val="zh-CN" w:eastAsia="zh-CN"/>
            </w:rPr>
            <w:t>（</w:t>
          </w:r>
          <w:r>
            <w:rPr>
              <w:rFonts w:hint="eastAsia" w:ascii="宋体" w:hAnsi="宋体"/>
              <w:sz w:val="28"/>
              <w:szCs w:val="28"/>
              <w:lang w:val="zh-CN" w:eastAsia="zh-CN"/>
            </w:rPr>
            <w:fldChar w:fldCharType="end"/>
          </w:r>
          <w:r>
            <w:rPr>
              <w:rFonts w:hint="eastAsia" w:ascii="宋体" w:hAnsi="宋体"/>
              <w:sz w:val="28"/>
              <w:szCs w:val="28"/>
              <w:lang w:val="en-US" w:eastAsia="zh-CN"/>
            </w:rPr>
            <w:t>附件20</w:t>
          </w:r>
          <w:r>
            <w:rPr>
              <w:rFonts w:hint="eastAsia" w:ascii="宋体" w:hAnsi="宋体"/>
              <w:sz w:val="28"/>
              <w:szCs w:val="28"/>
              <w:lang w:val="zh-CN" w:eastAsia="zh-CN"/>
            </w:rPr>
            <w:t>）</w:t>
          </w:r>
        </w:p>
        <w:p>
          <w:pPr>
            <w:pStyle w:val="2"/>
            <w:rPr>
              <w:rFonts w:hint="eastAsia" w:ascii="宋体" w:hAnsi="宋体" w:eastAsia="宋体" w:cs="宋体"/>
              <w:b/>
              <w:sz w:val="22"/>
              <w:szCs w:val="22"/>
              <w:lang w:val="zh-CN" w:eastAsia="zh-CN" w:bidi="zh-CN"/>
            </w:rPr>
          </w:pPr>
          <w:r>
            <w:rPr>
              <w:rFonts w:hint="eastAsia" w:ascii="宋体" w:hAnsi="宋体" w:eastAsia="宋体" w:cs="宋体"/>
              <w:sz w:val="28"/>
              <w:szCs w:val="28"/>
              <w:lang w:val="zh-CN" w:eastAsia="zh-CN" w:bidi="zh-CN"/>
            </w:rPr>
            <w:fldChar w:fldCharType="end"/>
          </w:r>
        </w:p>
      </w:sdtContent>
    </w:sdt>
    <w:p>
      <w:pPr>
        <w:pStyle w:val="3"/>
      </w:pPr>
    </w:p>
    <w:p>
      <w:pPr>
        <w:spacing w:after="0" w:line="240" w:lineRule="auto"/>
        <w:jc w:val="left"/>
        <w:rPr>
          <w:sz w:val="28"/>
        </w:rPr>
        <w:sectPr>
          <w:pgSz w:w="11850" w:h="16790"/>
          <w:pgMar w:top="1360" w:right="840" w:bottom="1440" w:left="1120" w:header="0" w:footer="1259"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sz w:val="28"/>
          <w:szCs w:val="28"/>
        </w:rPr>
        <w:tab/>
      </w:r>
    </w:p>
    <w:p>
      <w:pPr>
        <w:pStyle w:val="5"/>
        <w:numPr>
          <w:ilvl w:val="0"/>
          <w:numId w:val="0"/>
        </w:numPr>
        <w:tabs>
          <w:tab w:val="left" w:pos="1124"/>
        </w:tabs>
        <w:spacing w:before="32" w:after="0" w:line="240" w:lineRule="auto"/>
        <w:ind w:leftChars="0" w:right="0" w:rightChars="0"/>
        <w:jc w:val="left"/>
        <w:rPr>
          <w:sz w:val="34"/>
        </w:rPr>
      </w:pPr>
      <w:bookmarkStart w:id="97" w:name="_bookmark40"/>
      <w:bookmarkEnd w:id="97"/>
      <w:bookmarkStart w:id="98" w:name="_bookmark60"/>
      <w:bookmarkEnd w:id="98"/>
      <w:bookmarkStart w:id="99" w:name="（20）最后报价表"/>
      <w:bookmarkEnd w:id="99"/>
      <w:bookmarkStart w:id="100" w:name="第五部分  采购项目要求及技术参数"/>
      <w:bookmarkEnd w:id="100"/>
      <w:bookmarkStart w:id="101" w:name="_Toc10428"/>
      <w:bookmarkStart w:id="102" w:name="_Toc29106"/>
      <w:r>
        <w:rPr>
          <w:rFonts w:hint="eastAsia"/>
          <w:lang w:val="en-US" w:eastAsia="zh-CN"/>
        </w:rPr>
        <w:t>附件一：</w:t>
      </w:r>
      <w:r>
        <w:t>响应函</w:t>
      </w:r>
      <w:bookmarkEnd w:id="101"/>
    </w:p>
    <w:p>
      <w:pPr>
        <w:pStyle w:val="2"/>
        <w:ind w:left="0"/>
        <w:rPr>
          <w:b/>
          <w:sz w:val="20"/>
        </w:rPr>
      </w:pPr>
    </w:p>
    <w:p>
      <w:pPr>
        <w:spacing w:before="214"/>
        <w:ind w:left="0" w:right="0" w:firstLine="0"/>
        <w:jc w:val="center"/>
        <w:rPr>
          <w:b/>
          <w:sz w:val="36"/>
        </w:rPr>
      </w:pPr>
      <w:r>
        <w:rPr>
          <w:b/>
          <w:sz w:val="36"/>
        </w:rPr>
        <w:t>响应函</w:t>
      </w:r>
    </w:p>
    <w:p>
      <w:pPr>
        <w:pStyle w:val="2"/>
        <w:spacing w:before="11"/>
        <w:ind w:left="0"/>
        <w:rPr>
          <w:b/>
        </w:rPr>
      </w:pPr>
    </w:p>
    <w:p>
      <w:pPr>
        <w:spacing w:before="0"/>
        <w:ind w:left="219" w:right="0" w:firstLine="0"/>
        <w:jc w:val="left"/>
        <w:rPr>
          <w:rFonts w:hint="eastAsia" w:eastAsia="宋体"/>
          <w:b/>
          <w:sz w:val="28"/>
          <w:lang w:eastAsia="zh-CN"/>
        </w:rPr>
      </w:pPr>
      <w:r>
        <w:rPr>
          <w:b/>
          <w:sz w:val="28"/>
        </w:rPr>
        <w:t>致：</w:t>
      </w:r>
      <w:r>
        <w:rPr>
          <w:rFonts w:hint="eastAsia"/>
          <w:b/>
          <w:sz w:val="28"/>
          <w:lang w:eastAsia="zh-CN"/>
        </w:rPr>
        <w:t>青海鑫凤林项目管理咨询有限公司　</w:t>
      </w:r>
    </w:p>
    <w:p>
      <w:pPr>
        <w:pStyle w:val="2"/>
        <w:spacing w:before="6"/>
        <w:ind w:left="699"/>
      </w:pPr>
      <w:r>
        <w:t>我们收到</w:t>
      </w:r>
      <w:r>
        <w:rPr>
          <w:u w:val="single"/>
        </w:rPr>
        <w:t>采购项目名称（采购项目编号）</w:t>
      </w:r>
      <w:r>
        <w:t>磋商文件，经研究，法定代表人</w:t>
      </w:r>
    </w:p>
    <w:p>
      <w:pPr>
        <w:pStyle w:val="2"/>
        <w:spacing w:before="4" w:line="244" w:lineRule="auto"/>
        <w:ind w:right="428"/>
      </w:pPr>
      <w:r>
        <w:t>（姓名、职务）正式授权（委托代理人姓名、职务）代表供应商（供应商名称、地址）提交响应文件。</w:t>
      </w:r>
    </w:p>
    <w:p>
      <w:pPr>
        <w:pStyle w:val="2"/>
        <w:spacing w:line="354" w:lineRule="exact"/>
        <w:ind w:left="699"/>
      </w:pPr>
      <w:r>
        <w:t>据此函，签字代表宣布同意如下：</w:t>
      </w:r>
    </w:p>
    <w:p>
      <w:pPr>
        <w:pStyle w:val="20"/>
        <w:numPr>
          <w:ilvl w:val="1"/>
          <w:numId w:val="33"/>
        </w:numPr>
        <w:tabs>
          <w:tab w:val="left" w:pos="983"/>
        </w:tabs>
        <w:spacing w:before="4" w:after="0" w:line="242" w:lineRule="auto"/>
        <w:ind w:left="219" w:right="227" w:firstLine="480"/>
        <w:jc w:val="left"/>
        <w:rPr>
          <w:sz w:val="28"/>
        </w:rPr>
      </w:pPr>
      <w:r>
        <w:rPr>
          <w:spacing w:val="-3"/>
          <w:sz w:val="28"/>
        </w:rPr>
        <w:t>我方已详阅磋商文件的全部内容，包括澄清、修改条款等有关附件，承诺对其完全理解并接受。</w:t>
      </w:r>
    </w:p>
    <w:p>
      <w:pPr>
        <w:pStyle w:val="20"/>
        <w:numPr>
          <w:ilvl w:val="1"/>
          <w:numId w:val="33"/>
        </w:numPr>
        <w:tabs>
          <w:tab w:val="left" w:pos="983"/>
          <w:tab w:val="left" w:pos="6859"/>
        </w:tabs>
        <w:spacing w:before="2" w:after="0" w:line="242" w:lineRule="auto"/>
        <w:ind w:left="219" w:right="227" w:firstLine="480"/>
        <w:jc w:val="left"/>
        <w:rPr>
          <w:sz w:val="28"/>
        </w:rPr>
      </w:pPr>
      <w:r>
        <w:rPr>
          <w:sz w:val="28"/>
        </w:rPr>
        <w:t>磋</w:t>
      </w:r>
      <w:r>
        <w:rPr>
          <w:spacing w:val="-3"/>
          <w:sz w:val="28"/>
        </w:rPr>
        <w:t>商</w:t>
      </w:r>
      <w:r>
        <w:rPr>
          <w:sz w:val="28"/>
        </w:rPr>
        <w:t>有效</w:t>
      </w:r>
      <w:r>
        <w:rPr>
          <w:spacing w:val="-3"/>
          <w:sz w:val="28"/>
        </w:rPr>
        <w:t>期</w:t>
      </w:r>
      <w:r>
        <w:rPr>
          <w:sz w:val="28"/>
        </w:rPr>
        <w:t>：从</w:t>
      </w:r>
      <w:r>
        <w:rPr>
          <w:spacing w:val="-3"/>
          <w:sz w:val="28"/>
        </w:rPr>
        <w:t>提</w:t>
      </w:r>
      <w:r>
        <w:rPr>
          <w:sz w:val="28"/>
        </w:rPr>
        <w:t>交响</w:t>
      </w:r>
      <w:r>
        <w:rPr>
          <w:spacing w:val="-3"/>
          <w:sz w:val="28"/>
        </w:rPr>
        <w:t>应</w:t>
      </w:r>
      <w:r>
        <w:rPr>
          <w:sz w:val="28"/>
        </w:rPr>
        <w:t>文件</w:t>
      </w:r>
      <w:r>
        <w:rPr>
          <w:spacing w:val="-3"/>
          <w:sz w:val="28"/>
        </w:rPr>
        <w:t>的</w:t>
      </w:r>
      <w:r>
        <w:rPr>
          <w:sz w:val="28"/>
        </w:rPr>
        <w:t>截止</w:t>
      </w:r>
      <w:r>
        <w:rPr>
          <w:spacing w:val="-3"/>
          <w:sz w:val="28"/>
        </w:rPr>
        <w:t>之</w:t>
      </w:r>
      <w:r>
        <w:rPr>
          <w:sz w:val="28"/>
        </w:rPr>
        <w:t>日起</w:t>
      </w:r>
      <w:r>
        <w:rPr>
          <w:sz w:val="28"/>
          <w:u w:val="single"/>
        </w:rPr>
        <w:t xml:space="preserve"> </w:t>
      </w:r>
      <w:r>
        <w:rPr>
          <w:sz w:val="28"/>
          <w:u w:val="single"/>
        </w:rPr>
        <w:tab/>
      </w:r>
      <w:r>
        <w:rPr>
          <w:sz w:val="28"/>
        </w:rPr>
        <w:t>日</w:t>
      </w:r>
      <w:r>
        <w:rPr>
          <w:spacing w:val="-3"/>
          <w:sz w:val="28"/>
        </w:rPr>
        <w:t>历</w:t>
      </w:r>
      <w:r>
        <w:rPr>
          <w:sz w:val="28"/>
        </w:rPr>
        <w:t>日内</w:t>
      </w:r>
      <w:r>
        <w:rPr>
          <w:spacing w:val="-3"/>
          <w:sz w:val="28"/>
        </w:rPr>
        <w:t>有</w:t>
      </w:r>
      <w:r>
        <w:rPr>
          <w:sz w:val="28"/>
        </w:rPr>
        <w:t>效。</w:t>
      </w:r>
      <w:r>
        <w:rPr>
          <w:spacing w:val="-3"/>
          <w:sz w:val="28"/>
        </w:rPr>
        <w:t>如</w:t>
      </w:r>
      <w:r>
        <w:rPr>
          <w:sz w:val="28"/>
        </w:rPr>
        <w:t>果</w:t>
      </w:r>
      <w:r>
        <w:rPr>
          <w:spacing w:val="-11"/>
          <w:sz w:val="28"/>
        </w:rPr>
        <w:t>我</w:t>
      </w:r>
      <w:r>
        <w:rPr>
          <w:sz w:val="28"/>
        </w:rPr>
        <w:t>方</w:t>
      </w:r>
      <w:r>
        <w:rPr>
          <w:spacing w:val="-3"/>
          <w:sz w:val="28"/>
        </w:rPr>
        <w:t>在</w:t>
      </w:r>
      <w:r>
        <w:rPr>
          <w:sz w:val="28"/>
        </w:rPr>
        <w:t>磋商</w:t>
      </w:r>
      <w:r>
        <w:rPr>
          <w:spacing w:val="-3"/>
          <w:sz w:val="28"/>
        </w:rPr>
        <w:t>有</w:t>
      </w:r>
      <w:r>
        <w:rPr>
          <w:sz w:val="28"/>
        </w:rPr>
        <w:t>效期</w:t>
      </w:r>
      <w:r>
        <w:rPr>
          <w:spacing w:val="-3"/>
          <w:sz w:val="28"/>
        </w:rPr>
        <w:t>内</w:t>
      </w:r>
      <w:r>
        <w:rPr>
          <w:sz w:val="28"/>
        </w:rPr>
        <w:t>撤回</w:t>
      </w:r>
      <w:r>
        <w:rPr>
          <w:spacing w:val="-3"/>
          <w:sz w:val="28"/>
        </w:rPr>
        <w:t>响</w:t>
      </w:r>
      <w:r>
        <w:rPr>
          <w:sz w:val="28"/>
        </w:rPr>
        <w:t>应文</w:t>
      </w:r>
      <w:r>
        <w:rPr>
          <w:spacing w:val="-3"/>
          <w:sz w:val="28"/>
        </w:rPr>
        <w:t>件</w:t>
      </w:r>
      <w:r>
        <w:rPr>
          <w:sz w:val="28"/>
        </w:rPr>
        <w:t>或成</w:t>
      </w:r>
      <w:r>
        <w:rPr>
          <w:spacing w:val="-3"/>
          <w:sz w:val="28"/>
        </w:rPr>
        <w:t>交</w:t>
      </w:r>
      <w:r>
        <w:rPr>
          <w:sz w:val="28"/>
        </w:rPr>
        <w:t>后不</w:t>
      </w:r>
      <w:r>
        <w:rPr>
          <w:spacing w:val="-3"/>
          <w:sz w:val="28"/>
        </w:rPr>
        <w:t>签</w:t>
      </w:r>
      <w:r>
        <w:rPr>
          <w:sz w:val="28"/>
        </w:rPr>
        <w:t>约的</w:t>
      </w:r>
      <w:r>
        <w:rPr>
          <w:spacing w:val="-3"/>
          <w:sz w:val="28"/>
        </w:rPr>
        <w:t>，</w:t>
      </w:r>
      <w:r>
        <w:rPr>
          <w:sz w:val="28"/>
        </w:rPr>
        <w:t>磋商</w:t>
      </w:r>
      <w:r>
        <w:rPr>
          <w:spacing w:val="-3"/>
          <w:sz w:val="28"/>
        </w:rPr>
        <w:t>保</w:t>
      </w:r>
      <w:r>
        <w:rPr>
          <w:sz w:val="28"/>
        </w:rPr>
        <w:t>证金</w:t>
      </w:r>
      <w:r>
        <w:rPr>
          <w:spacing w:val="-3"/>
          <w:sz w:val="28"/>
        </w:rPr>
        <w:t>将</w:t>
      </w:r>
      <w:r>
        <w:rPr>
          <w:sz w:val="28"/>
        </w:rPr>
        <w:t>被贵</w:t>
      </w:r>
      <w:r>
        <w:rPr>
          <w:spacing w:val="-3"/>
          <w:sz w:val="28"/>
        </w:rPr>
        <w:t>方</w:t>
      </w:r>
      <w:r>
        <w:rPr>
          <w:sz w:val="28"/>
        </w:rPr>
        <w:t>没收。</w:t>
      </w:r>
    </w:p>
    <w:p>
      <w:pPr>
        <w:pStyle w:val="20"/>
        <w:numPr>
          <w:ilvl w:val="1"/>
          <w:numId w:val="33"/>
        </w:numPr>
        <w:tabs>
          <w:tab w:val="left" w:pos="983"/>
        </w:tabs>
        <w:spacing w:before="3" w:after="0" w:line="242" w:lineRule="auto"/>
        <w:ind w:left="219" w:right="227" w:firstLine="480"/>
        <w:jc w:val="left"/>
        <w:rPr>
          <w:sz w:val="28"/>
        </w:rPr>
      </w:pPr>
      <w:r>
        <w:rPr>
          <w:spacing w:val="-3"/>
          <w:sz w:val="28"/>
        </w:rPr>
        <w:t>我方同意按照贵方要求提供与磋商有关的一切数据或资料，理解并接受贵方制定的磋商办法。</w:t>
      </w:r>
    </w:p>
    <w:p>
      <w:pPr>
        <w:pStyle w:val="20"/>
        <w:numPr>
          <w:ilvl w:val="1"/>
          <w:numId w:val="33"/>
        </w:numPr>
        <w:tabs>
          <w:tab w:val="left" w:pos="983"/>
        </w:tabs>
        <w:spacing w:before="0" w:after="0" w:line="240" w:lineRule="auto"/>
        <w:ind w:left="982" w:right="0" w:hanging="284"/>
        <w:jc w:val="left"/>
        <w:rPr>
          <w:sz w:val="28"/>
        </w:rPr>
      </w:pPr>
      <w:r>
        <w:rPr>
          <w:spacing w:val="-3"/>
          <w:sz w:val="28"/>
        </w:rPr>
        <w:t>与本磋商有关的一切正式往来通讯请寄：</w:t>
      </w:r>
    </w:p>
    <w:p>
      <w:pPr>
        <w:spacing w:after="0" w:line="240" w:lineRule="auto"/>
        <w:jc w:val="left"/>
        <w:rPr>
          <w:sz w:val="28"/>
        </w:rPr>
        <w:sectPr>
          <w:pgSz w:w="11850" w:h="16790"/>
          <w:pgMar w:top="1360" w:right="840" w:bottom="1440" w:left="1120" w:header="0" w:footer="1259" w:gutter="0"/>
          <w:pgNumType w:fmt="decimal"/>
          <w:cols w:space="720" w:num="1"/>
        </w:sectPr>
      </w:pPr>
    </w:p>
    <w:p>
      <w:pPr>
        <w:pStyle w:val="2"/>
        <w:tabs>
          <w:tab w:val="left" w:pos="3230"/>
        </w:tabs>
        <w:spacing w:before="3" w:line="242" w:lineRule="auto"/>
        <w:ind w:right="1019"/>
        <w:jc w:val="both"/>
        <w:rPr>
          <w:rFonts w:ascii="Times New Roman" w:eastAsia="Times New Roman"/>
        </w:rPr>
      </w:pPr>
      <w:r>
        <w:rPr>
          <w:spacing w:val="-1"/>
        </w:rPr>
        <w:t>地</w:t>
      </w:r>
      <w:r>
        <w:rPr>
          <w:spacing w:val="-3"/>
        </w:rPr>
        <w:t>址</w:t>
      </w:r>
      <w:r>
        <w:rPr>
          <w:spacing w:val="-1"/>
        </w:rPr>
        <w:t>：</w:t>
      </w:r>
      <w:r>
        <w:rPr>
          <w:spacing w:val="-1"/>
          <w:u w:val="single"/>
        </w:rPr>
        <w:tab/>
      </w:r>
      <w:r>
        <w:rPr>
          <w:spacing w:val="-1"/>
          <w:u w:val="single"/>
        </w:rPr>
        <w:t xml:space="preserve">             </w:t>
      </w:r>
      <w:r>
        <w:rPr>
          <w:spacing w:val="13"/>
          <w:u w:val="single"/>
        </w:rPr>
        <w:t xml:space="preserve"> </w:t>
      </w:r>
      <w:r>
        <w:rPr>
          <w:spacing w:val="-1"/>
        </w:rPr>
        <w:t>电</w:t>
      </w:r>
      <w:r>
        <w:rPr>
          <w:spacing w:val="-3"/>
        </w:rPr>
        <w:t>话</w:t>
      </w:r>
      <w:r>
        <w:rPr>
          <w:spacing w:val="-1"/>
        </w:rPr>
        <w:t>：</w:t>
      </w:r>
      <w:r>
        <w:rPr>
          <w:spacing w:val="-1"/>
          <w:u w:val="single"/>
        </w:rPr>
        <w:tab/>
      </w:r>
      <w:r>
        <w:rPr>
          <w:spacing w:val="-1"/>
          <w:u w:val="single"/>
        </w:rPr>
        <w:t xml:space="preserve">             </w:t>
      </w:r>
      <w:r>
        <w:rPr>
          <w:spacing w:val="13"/>
          <w:u w:val="single"/>
        </w:rPr>
        <w:t xml:space="preserve"> </w:t>
      </w:r>
      <w:r>
        <w:rPr>
          <w:spacing w:val="-1"/>
        </w:rPr>
        <w:t>邮</w:t>
      </w:r>
      <w:r>
        <w:rPr>
          <w:spacing w:val="-3"/>
        </w:rPr>
        <w:t>箱</w:t>
      </w:r>
      <w:r>
        <w:rPr>
          <w:spacing w:val="-1"/>
        </w:rPr>
        <w:t>：</w:t>
      </w:r>
      <w:r>
        <w:rPr>
          <w:rFonts w:ascii="Times New Roman" w:eastAsia="Times New Roman"/>
          <w:u w:val="single"/>
        </w:rPr>
        <w:t xml:space="preserve"> </w:t>
      </w:r>
      <w:r>
        <w:rPr>
          <w:rFonts w:ascii="Times New Roman" w:eastAsia="Times New Roman"/>
          <w:u w:val="single"/>
        </w:rPr>
        <w:tab/>
      </w:r>
    </w:p>
    <w:p>
      <w:pPr>
        <w:pStyle w:val="2"/>
        <w:tabs>
          <w:tab w:val="left" w:pos="4211"/>
        </w:tabs>
        <w:spacing w:before="3"/>
        <w:jc w:val="both"/>
        <w:rPr>
          <w:rFonts w:ascii="Times New Roman" w:eastAsia="Times New Roman"/>
        </w:rPr>
      </w:pPr>
      <w:r>
        <w:rPr>
          <w:spacing w:val="-1"/>
        </w:rPr>
        <w:t>法</w:t>
      </w:r>
      <w:r>
        <w:rPr>
          <w:spacing w:val="-3"/>
        </w:rPr>
        <w:t>定</w:t>
      </w:r>
      <w:r>
        <w:rPr>
          <w:spacing w:val="-1"/>
        </w:rPr>
        <w:t>代表</w:t>
      </w:r>
      <w:r>
        <w:rPr>
          <w:spacing w:val="-3"/>
        </w:rPr>
        <w:t>人</w:t>
      </w:r>
      <w:r>
        <w:rPr>
          <w:spacing w:val="-1"/>
        </w:rPr>
        <w:t>姓名</w:t>
      </w:r>
      <w:r>
        <w:t>：</w:t>
      </w:r>
      <w:r>
        <w:rPr>
          <w:spacing w:val="-1"/>
        </w:rPr>
        <w:t xml:space="preserve"> </w:t>
      </w:r>
      <w:r>
        <w:rPr>
          <w:rFonts w:ascii="Times New Roman" w:eastAsia="Times New Roman"/>
          <w:w w:val="100"/>
          <w:u w:val="single"/>
        </w:rPr>
        <w:t xml:space="preserve"> </w:t>
      </w:r>
      <w:r>
        <w:rPr>
          <w:rFonts w:ascii="Times New Roman" w:eastAsia="Times New Roman"/>
          <w:u w:val="single"/>
        </w:rPr>
        <w:tab/>
      </w:r>
    </w:p>
    <w:p>
      <w:pPr>
        <w:pStyle w:val="2"/>
        <w:tabs>
          <w:tab w:val="left" w:pos="3088"/>
        </w:tabs>
        <w:spacing w:before="3" w:line="244" w:lineRule="auto"/>
        <w:ind w:right="2457"/>
        <w:rPr>
          <w:rFonts w:ascii="Times New Roman" w:eastAsia="Times New Roman"/>
        </w:rPr>
      </w:pPr>
      <w:r>
        <w:br w:type="column"/>
      </w:r>
      <w:r>
        <w:rPr>
          <w:spacing w:val="-1"/>
        </w:rPr>
        <w:t>邮</w:t>
      </w:r>
      <w:r>
        <w:rPr>
          <w:spacing w:val="-3"/>
        </w:rPr>
        <w:t>编</w:t>
      </w:r>
      <w:r>
        <w:rPr>
          <w:spacing w:val="-1"/>
        </w:rPr>
        <w:t>：</w:t>
      </w:r>
      <w:r>
        <w:rPr>
          <w:spacing w:val="-1"/>
          <w:u w:val="single"/>
        </w:rPr>
        <w:tab/>
      </w:r>
      <w:r>
        <w:rPr>
          <w:spacing w:val="-1"/>
          <w:u w:val="single"/>
        </w:rPr>
        <w:t xml:space="preserve">            </w:t>
      </w:r>
      <w:r>
        <w:rPr>
          <w:spacing w:val="12"/>
          <w:u w:val="single"/>
        </w:rPr>
        <w:t xml:space="preserve"> </w:t>
      </w:r>
      <w:r>
        <w:rPr>
          <w:spacing w:val="-1"/>
        </w:rPr>
        <w:t>传</w:t>
      </w:r>
      <w:r>
        <w:rPr>
          <w:spacing w:val="-3"/>
        </w:rPr>
        <w:t>真</w:t>
      </w:r>
      <w:r>
        <w:rPr>
          <w:spacing w:val="-1"/>
        </w:rPr>
        <w:t>：</w:t>
      </w:r>
      <w:r>
        <w:rPr>
          <w:rFonts w:ascii="Times New Roman" w:eastAsia="Times New Roman"/>
          <w:u w:val="single"/>
        </w:rPr>
        <w:t xml:space="preserve"> </w:t>
      </w:r>
      <w:r>
        <w:rPr>
          <w:rFonts w:ascii="Times New Roman" w:eastAsia="Times New Roman"/>
          <w:u w:val="single"/>
        </w:rPr>
        <w:tab/>
      </w:r>
    </w:p>
    <w:p>
      <w:pPr>
        <w:pStyle w:val="2"/>
        <w:spacing w:before="2"/>
        <w:ind w:left="0"/>
        <w:rPr>
          <w:rFonts w:ascii="Times New Roman"/>
          <w:sz w:val="31"/>
        </w:rPr>
      </w:pPr>
    </w:p>
    <w:p>
      <w:pPr>
        <w:pStyle w:val="2"/>
        <w:tabs>
          <w:tab w:val="left" w:pos="2810"/>
        </w:tabs>
        <w:rPr>
          <w:rFonts w:ascii="Times New Roman" w:eastAsia="Times New Roman"/>
        </w:rPr>
      </w:pPr>
      <w:r>
        <w:rPr>
          <w:spacing w:val="-1"/>
        </w:rPr>
        <w:t>职</w:t>
      </w:r>
      <w:r>
        <w:rPr>
          <w:spacing w:val="-3"/>
        </w:rPr>
        <w:t>务</w:t>
      </w:r>
      <w:r>
        <w:rPr>
          <w:spacing w:val="-1"/>
        </w:rPr>
        <w:t>：</w:t>
      </w:r>
      <w:r>
        <w:rPr>
          <w:rFonts w:ascii="Times New Roman" w:eastAsia="Times New Roman"/>
          <w:u w:val="single"/>
        </w:rPr>
        <w:t xml:space="preserve"> </w:t>
      </w:r>
      <w:r>
        <w:rPr>
          <w:rFonts w:ascii="Times New Roman" w:eastAsia="Times New Roman"/>
          <w:u w:val="single"/>
        </w:rPr>
        <w:tab/>
      </w:r>
    </w:p>
    <w:p>
      <w:pPr>
        <w:spacing w:after="0"/>
        <w:rPr>
          <w:rFonts w:ascii="Times New Roman" w:eastAsia="Times New Roman"/>
        </w:rPr>
        <w:sectPr>
          <w:type w:val="continuous"/>
          <w:pgSz w:w="11850" w:h="16790"/>
          <w:pgMar w:top="1580" w:right="840" w:bottom="280" w:left="1120" w:header="720" w:footer="720" w:gutter="0"/>
          <w:pgNumType w:fmt="decimal"/>
          <w:cols w:equalWidth="0" w:num="2">
            <w:col w:w="4253" w:space="89"/>
            <w:col w:w="5548"/>
          </w:cols>
        </w:sectPr>
      </w:pPr>
    </w:p>
    <w:p>
      <w:pPr>
        <w:pStyle w:val="2"/>
        <w:ind w:left="0"/>
        <w:rPr>
          <w:rFonts w:ascii="Times New Roman"/>
          <w:sz w:val="20"/>
        </w:rPr>
      </w:pPr>
    </w:p>
    <w:p>
      <w:pPr>
        <w:pStyle w:val="2"/>
        <w:ind w:left="0"/>
        <w:rPr>
          <w:rFonts w:ascii="Times New Roman"/>
          <w:sz w:val="20"/>
        </w:rPr>
      </w:pPr>
    </w:p>
    <w:p>
      <w:pPr>
        <w:pStyle w:val="2"/>
        <w:spacing w:before="2"/>
        <w:ind w:left="0"/>
        <w:rPr>
          <w:rFonts w:ascii="Times New Roman"/>
          <w:sz w:val="18"/>
        </w:rPr>
      </w:pPr>
    </w:p>
    <w:p>
      <w:pPr>
        <w:tabs>
          <w:tab w:val="left" w:pos="4497"/>
        </w:tabs>
        <w:spacing w:before="62"/>
        <w:ind w:left="0" w:right="205" w:firstLine="0"/>
        <w:jc w:val="right"/>
        <w:rPr>
          <w:b/>
          <w:sz w:val="28"/>
        </w:rPr>
      </w:pPr>
      <w:r>
        <w:rPr>
          <w:b/>
          <w:sz w:val="28"/>
        </w:rPr>
        <w:t>供应商：</w:t>
      </w:r>
      <w:r>
        <w:rPr>
          <w:b/>
          <w:sz w:val="28"/>
        </w:rPr>
        <w:tab/>
      </w:r>
      <w:r>
        <w:rPr>
          <w:b/>
          <w:spacing w:val="-1"/>
          <w:w w:val="95"/>
          <w:sz w:val="28"/>
        </w:rPr>
        <w:t>（公章</w:t>
      </w:r>
      <w:r>
        <w:rPr>
          <w:b/>
          <w:w w:val="95"/>
          <w:sz w:val="28"/>
        </w:rPr>
        <w:t>）</w:t>
      </w:r>
    </w:p>
    <w:p>
      <w:pPr>
        <w:tabs>
          <w:tab w:val="left" w:pos="4495"/>
        </w:tabs>
        <w:spacing w:before="6"/>
        <w:ind w:left="0" w:right="212" w:firstLine="0"/>
        <w:jc w:val="right"/>
        <w:rPr>
          <w:b/>
          <w:sz w:val="28"/>
        </w:rPr>
      </w:pPr>
      <w:r>
        <w:rPr>
          <w:b/>
          <w:sz w:val="28"/>
        </w:rPr>
        <w:t>法定代表人或委托代理人：</w:t>
      </w:r>
      <w:r>
        <w:rPr>
          <w:b/>
          <w:sz w:val="28"/>
        </w:rPr>
        <w:tab/>
      </w:r>
      <w:r>
        <w:rPr>
          <w:b/>
          <w:spacing w:val="-1"/>
          <w:w w:val="95"/>
          <w:sz w:val="28"/>
        </w:rPr>
        <w:t>（签字</w:t>
      </w:r>
      <w:r>
        <w:rPr>
          <w:b/>
          <w:w w:val="95"/>
          <w:sz w:val="28"/>
        </w:rPr>
        <w:t>或盖章）</w:t>
      </w:r>
    </w:p>
    <w:p>
      <w:pPr>
        <w:tabs>
          <w:tab w:val="left" w:pos="842"/>
          <w:tab w:val="left" w:pos="1684"/>
        </w:tabs>
        <w:spacing w:before="3"/>
        <w:ind w:left="0" w:right="216" w:firstLine="0"/>
        <w:jc w:val="right"/>
        <w:rPr>
          <w:b/>
          <w:sz w:val="28"/>
        </w:rPr>
      </w:pPr>
      <w:r>
        <w:rPr>
          <w:b/>
          <w:sz w:val="28"/>
        </w:rPr>
        <w:t>年</w:t>
      </w:r>
      <w:r>
        <w:rPr>
          <w:b/>
          <w:sz w:val="28"/>
        </w:rPr>
        <w:tab/>
      </w:r>
      <w:r>
        <w:rPr>
          <w:b/>
          <w:sz w:val="28"/>
        </w:rPr>
        <w:t>月</w:t>
      </w:r>
      <w:r>
        <w:rPr>
          <w:b/>
          <w:sz w:val="28"/>
        </w:rPr>
        <w:tab/>
      </w:r>
      <w:r>
        <w:rPr>
          <w:b/>
          <w:spacing w:val="-1"/>
          <w:sz w:val="28"/>
        </w:rPr>
        <w:t>日</w:t>
      </w:r>
    </w:p>
    <w:p>
      <w:pPr>
        <w:spacing w:after="0"/>
        <w:jc w:val="right"/>
        <w:rPr>
          <w:sz w:val="28"/>
        </w:rPr>
        <w:sectPr>
          <w:type w:val="continuous"/>
          <w:pgSz w:w="11850" w:h="16790"/>
          <w:pgMar w:top="1580" w:right="840" w:bottom="280" w:left="1120" w:header="720" w:footer="720" w:gutter="0"/>
          <w:pgNumType w:fmt="decimal"/>
          <w:cols w:space="720" w:num="1"/>
        </w:sectPr>
      </w:pPr>
    </w:p>
    <w:p>
      <w:pPr>
        <w:rPr>
          <w:sz w:val="34"/>
        </w:rPr>
      </w:pPr>
      <w:bookmarkStart w:id="103" w:name="_bookmark43"/>
      <w:bookmarkEnd w:id="103"/>
      <w:bookmarkStart w:id="104" w:name="（5）法定代表人授权书"/>
      <w:bookmarkEnd w:id="104"/>
      <w:bookmarkStart w:id="105" w:name="（2）首次报价表"/>
      <w:bookmarkEnd w:id="105"/>
      <w:bookmarkStart w:id="106" w:name="_bookmark41"/>
      <w:bookmarkEnd w:id="106"/>
    </w:p>
    <w:p>
      <w:pPr>
        <w:pStyle w:val="5"/>
        <w:numPr>
          <w:ilvl w:val="0"/>
          <w:numId w:val="0"/>
        </w:numPr>
        <w:tabs>
          <w:tab w:val="left" w:pos="1124"/>
        </w:tabs>
        <w:spacing w:before="32" w:after="0" w:line="240" w:lineRule="auto"/>
        <w:ind w:leftChars="0" w:right="6740" w:rightChars="0"/>
        <w:jc w:val="left"/>
        <w:outlineLvl w:val="9"/>
        <w:rPr>
          <w:rFonts w:hint="eastAsia" w:ascii="宋体" w:hAnsi="宋体" w:eastAsia="宋体" w:cs="宋体"/>
          <w:lang w:eastAsia="zh-CN"/>
        </w:rPr>
      </w:pPr>
    </w:p>
    <w:p>
      <w:pPr>
        <w:pStyle w:val="5"/>
        <w:numPr>
          <w:ilvl w:val="0"/>
          <w:numId w:val="0"/>
        </w:numPr>
        <w:tabs>
          <w:tab w:val="left" w:pos="1124"/>
        </w:tabs>
        <w:spacing w:before="32" w:after="0" w:line="240" w:lineRule="auto"/>
        <w:ind w:leftChars="0" w:right="0" w:rightChars="0"/>
        <w:jc w:val="left"/>
        <w:rPr>
          <w:rFonts w:hint="eastAsia"/>
          <w:lang w:val="zh-CN" w:eastAsia="zh-CN"/>
        </w:rPr>
      </w:pPr>
      <w:bookmarkStart w:id="107" w:name="_Toc14009"/>
      <w:r>
        <w:rPr>
          <w:rFonts w:hint="eastAsia"/>
          <w:lang w:val="en-US" w:eastAsia="zh-CN"/>
        </w:rPr>
        <w:t>附件二：</w:t>
      </w:r>
      <w:r>
        <w:rPr>
          <w:rFonts w:hint="eastAsia"/>
          <w:lang w:val="zh-CN" w:eastAsia="zh-CN"/>
        </w:rPr>
        <w:t>法定代表人证明书</w:t>
      </w:r>
      <w:bookmarkEnd w:id="107"/>
    </w:p>
    <w:p>
      <w:pPr>
        <w:pStyle w:val="2"/>
        <w:spacing w:before="9"/>
        <w:ind w:left="0"/>
        <w:rPr>
          <w:b/>
          <w:sz w:val="36"/>
        </w:rPr>
      </w:pPr>
    </w:p>
    <w:p>
      <w:pPr>
        <w:spacing w:before="0"/>
        <w:ind w:left="0" w:right="0" w:firstLine="0"/>
        <w:jc w:val="center"/>
        <w:rPr>
          <w:b/>
          <w:sz w:val="36"/>
        </w:rPr>
      </w:pPr>
      <w:r>
        <w:rPr>
          <w:b/>
          <w:sz w:val="36"/>
        </w:rPr>
        <w:t>法定代表人证明书</w:t>
      </w:r>
    </w:p>
    <w:p>
      <w:pPr>
        <w:pStyle w:val="2"/>
        <w:spacing w:before="11"/>
        <w:ind w:left="0"/>
        <w:rPr>
          <w:b/>
        </w:rPr>
      </w:pPr>
    </w:p>
    <w:p>
      <w:pPr>
        <w:spacing w:before="0"/>
        <w:ind w:left="219" w:right="0" w:firstLine="0"/>
        <w:jc w:val="left"/>
        <w:rPr>
          <w:rFonts w:hint="eastAsia" w:eastAsia="宋体"/>
          <w:b/>
          <w:sz w:val="28"/>
          <w:lang w:eastAsia="zh-CN"/>
        </w:rPr>
      </w:pPr>
      <w:r>
        <w:rPr>
          <w:b/>
          <w:sz w:val="28"/>
        </w:rPr>
        <w:t>致：</w:t>
      </w:r>
      <w:r>
        <w:rPr>
          <w:rFonts w:hint="eastAsia"/>
          <w:b/>
          <w:sz w:val="28"/>
          <w:lang w:eastAsia="zh-CN"/>
        </w:rPr>
        <w:t>青海鑫凤林项目管理咨询有限公司　</w:t>
      </w:r>
    </w:p>
    <w:p>
      <w:pPr>
        <w:pStyle w:val="2"/>
        <w:tabs>
          <w:tab w:val="left" w:pos="5539"/>
        </w:tabs>
        <w:spacing w:before="6" w:line="242" w:lineRule="auto"/>
        <w:ind w:right="707" w:firstLine="561"/>
      </w:pPr>
      <w:r>
        <w:rPr>
          <w:u w:val="single"/>
        </w:rPr>
        <w:t>（</w:t>
      </w:r>
      <w:r>
        <w:rPr>
          <w:spacing w:val="-3"/>
          <w:u w:val="single"/>
        </w:rPr>
        <w:t>法</w:t>
      </w:r>
      <w:r>
        <w:rPr>
          <w:u w:val="single"/>
        </w:rPr>
        <w:t>定代</w:t>
      </w:r>
      <w:r>
        <w:rPr>
          <w:spacing w:val="-3"/>
          <w:u w:val="single"/>
        </w:rPr>
        <w:t>表</w:t>
      </w:r>
      <w:r>
        <w:rPr>
          <w:u w:val="single"/>
        </w:rPr>
        <w:t>人姓</w:t>
      </w:r>
      <w:r>
        <w:rPr>
          <w:spacing w:val="-3"/>
          <w:u w:val="single"/>
        </w:rPr>
        <w:t>名</w:t>
      </w:r>
      <w:r>
        <w:rPr>
          <w:u w:val="single"/>
        </w:rPr>
        <w:t>）</w:t>
      </w:r>
      <w:r>
        <w:t>现</w:t>
      </w:r>
      <w:r>
        <w:rPr>
          <w:spacing w:val="-3"/>
        </w:rPr>
        <w:t>任</w:t>
      </w:r>
      <w:r>
        <w:t>我单</w:t>
      </w:r>
      <w:r>
        <w:rPr>
          <w:spacing w:val="-3"/>
        </w:rPr>
        <w:t>位</w:t>
      </w:r>
      <w:r>
        <w:rPr>
          <w:spacing w:val="-3"/>
          <w:u w:val="single"/>
        </w:rPr>
        <w:t xml:space="preserve"> </w:t>
      </w:r>
      <w:r>
        <w:rPr>
          <w:spacing w:val="-3"/>
          <w:u w:val="single"/>
        </w:rPr>
        <w:tab/>
      </w:r>
      <w:r>
        <w:rPr>
          <w:spacing w:val="-1"/>
        </w:rPr>
        <w:t>职</w:t>
      </w:r>
      <w:r>
        <w:rPr>
          <w:spacing w:val="-3"/>
        </w:rPr>
        <w:t>务</w:t>
      </w:r>
      <w:r>
        <w:t>，为</w:t>
      </w:r>
      <w:r>
        <w:rPr>
          <w:spacing w:val="-3"/>
        </w:rPr>
        <w:t>法</w:t>
      </w:r>
      <w:r>
        <w:t>定代</w:t>
      </w:r>
      <w:r>
        <w:rPr>
          <w:spacing w:val="-3"/>
        </w:rPr>
        <w:t>表</w:t>
      </w:r>
      <w:r>
        <w:t>人，</w:t>
      </w:r>
      <w:r>
        <w:rPr>
          <w:spacing w:val="-3"/>
        </w:rPr>
        <w:t>特</w:t>
      </w:r>
      <w:r>
        <w:t>此证明。</w:t>
      </w:r>
    </w:p>
    <w:p>
      <w:pPr>
        <w:pStyle w:val="2"/>
        <w:spacing w:before="6"/>
        <w:ind w:left="0"/>
      </w:pPr>
    </w:p>
    <w:p>
      <w:pPr>
        <w:pStyle w:val="2"/>
      </w:pPr>
      <w:r>
        <w:t>法定代表人基本情况：</w:t>
      </w:r>
    </w:p>
    <w:p>
      <w:pPr>
        <w:pStyle w:val="2"/>
        <w:tabs>
          <w:tab w:val="left" w:pos="2599"/>
          <w:tab w:val="left" w:pos="5049"/>
          <w:tab w:val="left" w:pos="7289"/>
        </w:tabs>
        <w:spacing w:before="4" w:line="242" w:lineRule="auto"/>
        <w:ind w:right="2599"/>
        <w:jc w:val="both"/>
        <w:rPr>
          <w:rFonts w:ascii="Times New Roman" w:eastAsia="Times New Roman"/>
        </w:rPr>
      </w:pPr>
      <w:r>
        <w:t>性</w:t>
      </w:r>
      <w:r>
        <w:rPr>
          <w:spacing w:val="-3"/>
        </w:rPr>
        <w:t>别</w:t>
      </w:r>
      <w:r>
        <w:t>：</w:t>
      </w:r>
      <w:r>
        <w:rPr>
          <w:u w:val="single"/>
        </w:rPr>
        <w:t xml:space="preserve"> </w:t>
      </w:r>
      <w:r>
        <w:rPr>
          <w:u w:val="single"/>
        </w:rPr>
        <w:tab/>
      </w:r>
      <w:r>
        <w:t>年</w:t>
      </w:r>
      <w:r>
        <w:rPr>
          <w:spacing w:val="-3"/>
        </w:rPr>
        <w:t>龄</w:t>
      </w:r>
      <w:r>
        <w:t>：</w:t>
      </w:r>
      <w:r>
        <w:rPr>
          <w:u w:val="single"/>
        </w:rPr>
        <w:t xml:space="preserve"> </w:t>
      </w:r>
      <w:r>
        <w:rPr>
          <w:u w:val="single"/>
        </w:rPr>
        <w:tab/>
      </w:r>
      <w:r>
        <w:rPr>
          <w:spacing w:val="-1"/>
        </w:rPr>
        <w:t>民</w:t>
      </w:r>
      <w:r>
        <w:rPr>
          <w:spacing w:val="-3"/>
        </w:rPr>
        <w:t>族</w:t>
      </w:r>
      <w:r>
        <w:rPr>
          <w:spacing w:val="-1"/>
        </w:rPr>
        <w:t>：</w:t>
      </w:r>
      <w:r>
        <w:rPr>
          <w:spacing w:val="-1"/>
          <w:u w:val="single"/>
        </w:rPr>
        <w:tab/>
      </w:r>
      <w:r>
        <w:rPr>
          <w:spacing w:val="-1"/>
          <w:u w:val="single"/>
        </w:rPr>
        <w:t xml:space="preserve">       </w:t>
      </w:r>
      <w:r>
        <w:rPr>
          <w:spacing w:val="7"/>
          <w:u w:val="single"/>
        </w:rPr>
        <w:t xml:space="preserve"> </w:t>
      </w:r>
      <w:r>
        <w:rPr>
          <w:spacing w:val="-1"/>
        </w:rPr>
        <w:t>地</w:t>
      </w:r>
      <w:r>
        <w:rPr>
          <w:spacing w:val="-3"/>
        </w:rPr>
        <w:t>址</w:t>
      </w:r>
      <w:r>
        <w:rPr>
          <w:spacing w:val="-1"/>
        </w:rPr>
        <w:t>：</w:t>
      </w:r>
      <w:r>
        <w:rPr>
          <w:spacing w:val="-1"/>
          <w:u w:val="single"/>
        </w:rPr>
        <w:tab/>
      </w:r>
      <w:r>
        <w:rPr>
          <w:spacing w:val="-1"/>
          <w:u w:val="single"/>
        </w:rPr>
        <w:tab/>
      </w:r>
      <w:r>
        <w:rPr>
          <w:spacing w:val="-1"/>
          <w:u w:val="single"/>
        </w:rPr>
        <w:tab/>
      </w:r>
      <w:r>
        <w:rPr>
          <w:spacing w:val="-1"/>
          <w:u w:val="single"/>
        </w:rPr>
        <w:t xml:space="preserve">                                          </w:t>
      </w:r>
      <w:r>
        <w:rPr>
          <w:spacing w:val="42"/>
          <w:u w:val="single"/>
        </w:rPr>
        <w:t xml:space="preserve"> </w:t>
      </w:r>
      <w:r>
        <w:rPr>
          <w:spacing w:val="-1"/>
        </w:rPr>
        <w:t>身</w:t>
      </w:r>
      <w:r>
        <w:rPr>
          <w:spacing w:val="-3"/>
        </w:rPr>
        <w:t>份</w:t>
      </w:r>
      <w:r>
        <w:rPr>
          <w:spacing w:val="-1"/>
        </w:rPr>
        <w:t>证号</w:t>
      </w:r>
      <w:r>
        <w:rPr>
          <w:spacing w:val="-3"/>
        </w:rPr>
        <w:t>码</w:t>
      </w:r>
      <w:r>
        <w:rPr>
          <w:spacing w:val="-1"/>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2"/>
        <w:spacing w:before="4"/>
        <w:ind w:left="0"/>
        <w:rPr>
          <w:rFonts w:ascii="Times New Roman"/>
          <w:sz w:val="26"/>
        </w:rPr>
      </w:pPr>
    </w:p>
    <w:p>
      <w:pPr>
        <w:pStyle w:val="2"/>
        <w:spacing w:before="62"/>
      </w:pPr>
      <w:r>
        <w:t>附：法定代表人第二代身份证双面扫描（或复印）件</w:t>
      </w:r>
    </w:p>
    <w:p>
      <w:pPr>
        <w:pStyle w:val="2"/>
        <w:ind w:left="0"/>
      </w:pPr>
    </w:p>
    <w:p>
      <w:pPr>
        <w:pStyle w:val="2"/>
        <w:ind w:left="0"/>
        <w:rPr>
          <w:sz w:val="29"/>
        </w:rPr>
      </w:pPr>
    </w:p>
    <w:p>
      <w:pPr>
        <w:tabs>
          <w:tab w:val="left" w:pos="4497"/>
        </w:tabs>
        <w:spacing w:before="0"/>
        <w:ind w:left="0" w:right="205" w:firstLine="0"/>
        <w:jc w:val="right"/>
        <w:rPr>
          <w:b/>
          <w:sz w:val="28"/>
        </w:rPr>
      </w:pPr>
      <w:r>
        <w:rPr>
          <w:b/>
          <w:sz w:val="28"/>
        </w:rPr>
        <w:t>供应商：</w:t>
      </w:r>
      <w:r>
        <w:rPr>
          <w:b/>
          <w:sz w:val="28"/>
        </w:rPr>
        <w:tab/>
      </w:r>
      <w:r>
        <w:rPr>
          <w:b/>
          <w:spacing w:val="-1"/>
          <w:w w:val="95"/>
          <w:sz w:val="28"/>
        </w:rPr>
        <w:t>（公章</w:t>
      </w:r>
      <w:r>
        <w:rPr>
          <w:b/>
          <w:w w:val="95"/>
          <w:sz w:val="28"/>
        </w:rPr>
        <w:t>）</w:t>
      </w:r>
    </w:p>
    <w:p>
      <w:pPr>
        <w:tabs>
          <w:tab w:val="left" w:pos="4495"/>
        </w:tabs>
        <w:spacing w:before="4"/>
        <w:ind w:left="0" w:right="212" w:firstLine="0"/>
        <w:jc w:val="right"/>
        <w:rPr>
          <w:b/>
          <w:sz w:val="28"/>
        </w:rPr>
      </w:pPr>
      <w:r>
        <w:rPr>
          <w:b/>
          <w:sz w:val="28"/>
        </w:rPr>
        <w:t>法定代表人或委托代理人：</w:t>
      </w:r>
      <w:r>
        <w:rPr>
          <w:b/>
          <w:sz w:val="28"/>
        </w:rPr>
        <w:tab/>
      </w:r>
      <w:r>
        <w:rPr>
          <w:b/>
          <w:spacing w:val="-1"/>
          <w:w w:val="95"/>
          <w:sz w:val="28"/>
        </w:rPr>
        <w:t>（签字</w:t>
      </w:r>
      <w:r>
        <w:rPr>
          <w:b/>
          <w:w w:val="95"/>
          <w:sz w:val="28"/>
        </w:rPr>
        <w:t>或盖章）</w:t>
      </w:r>
    </w:p>
    <w:p>
      <w:pPr>
        <w:tabs>
          <w:tab w:val="left" w:pos="842"/>
          <w:tab w:val="left" w:pos="1684"/>
        </w:tabs>
        <w:spacing w:before="6"/>
        <w:ind w:left="0" w:right="216" w:firstLine="0"/>
        <w:jc w:val="right"/>
        <w:rPr>
          <w:b/>
          <w:sz w:val="28"/>
        </w:rPr>
      </w:pPr>
      <w:r>
        <w:rPr>
          <w:b/>
          <w:sz w:val="28"/>
        </w:rPr>
        <w:t>年</w:t>
      </w:r>
      <w:r>
        <w:rPr>
          <w:b/>
          <w:sz w:val="28"/>
        </w:rPr>
        <w:tab/>
      </w:r>
      <w:r>
        <w:rPr>
          <w:b/>
          <w:sz w:val="28"/>
        </w:rPr>
        <w:t>月</w:t>
      </w:r>
      <w:r>
        <w:rPr>
          <w:b/>
          <w:sz w:val="28"/>
        </w:rPr>
        <w:tab/>
      </w:r>
      <w:r>
        <w:rPr>
          <w:b/>
          <w:spacing w:val="-1"/>
          <w:sz w:val="28"/>
        </w:rPr>
        <w:t>日</w:t>
      </w:r>
    </w:p>
    <w:p>
      <w:pPr>
        <w:spacing w:after="0"/>
        <w:jc w:val="right"/>
        <w:rPr>
          <w:sz w:val="28"/>
        </w:rPr>
        <w:sectPr>
          <w:pgSz w:w="11850" w:h="16790"/>
          <w:pgMar w:top="1360" w:right="840" w:bottom="1440" w:left="1120" w:header="0" w:footer="1259" w:gutter="0"/>
          <w:pgNumType w:fmt="decimal"/>
          <w:cols w:space="720" w:num="1"/>
        </w:sectPr>
      </w:pPr>
    </w:p>
    <w:p>
      <w:pPr>
        <w:pStyle w:val="5"/>
        <w:numPr>
          <w:ilvl w:val="0"/>
          <w:numId w:val="0"/>
        </w:numPr>
        <w:tabs>
          <w:tab w:val="left" w:pos="1124"/>
        </w:tabs>
        <w:spacing w:before="32" w:after="0" w:line="240" w:lineRule="auto"/>
        <w:ind w:leftChars="0" w:right="0" w:rightChars="0"/>
        <w:jc w:val="left"/>
        <w:rPr>
          <w:rFonts w:hint="eastAsia"/>
          <w:lang w:val="zh-CN" w:eastAsia="zh-CN"/>
        </w:rPr>
      </w:pPr>
      <w:bookmarkStart w:id="108" w:name="_bookmark44"/>
      <w:bookmarkEnd w:id="108"/>
      <w:bookmarkStart w:id="109" w:name="（6）供应商承诺函"/>
      <w:bookmarkEnd w:id="109"/>
      <w:bookmarkStart w:id="110" w:name="_Toc16763"/>
      <w:r>
        <w:rPr>
          <w:rFonts w:hint="eastAsia"/>
          <w:lang w:val="en-US" w:eastAsia="zh-CN"/>
        </w:rPr>
        <w:t>附件三：</w:t>
      </w:r>
      <w:r>
        <w:rPr>
          <w:rFonts w:hint="eastAsia"/>
          <w:lang w:val="zh-CN" w:eastAsia="zh-CN"/>
        </w:rPr>
        <w:t>法定代表人授权书</w:t>
      </w:r>
      <w:bookmarkEnd w:id="110"/>
    </w:p>
    <w:p>
      <w:pPr>
        <w:pStyle w:val="2"/>
        <w:spacing w:before="9"/>
        <w:ind w:left="0"/>
        <w:rPr>
          <w:b/>
          <w:sz w:val="36"/>
        </w:rPr>
      </w:pPr>
    </w:p>
    <w:p>
      <w:pPr>
        <w:spacing w:before="0"/>
        <w:ind w:left="0" w:right="0" w:firstLine="0"/>
        <w:jc w:val="center"/>
        <w:rPr>
          <w:b/>
          <w:sz w:val="36"/>
        </w:rPr>
      </w:pPr>
      <w:r>
        <w:rPr>
          <w:b/>
          <w:sz w:val="36"/>
        </w:rPr>
        <w:t>法定代表人授权书</w:t>
      </w:r>
    </w:p>
    <w:p>
      <w:pPr>
        <w:pStyle w:val="2"/>
        <w:spacing w:before="1"/>
        <w:ind w:left="0"/>
        <w:rPr>
          <w:b/>
          <w:sz w:val="37"/>
        </w:rPr>
      </w:pPr>
    </w:p>
    <w:p>
      <w:pPr>
        <w:spacing w:before="0"/>
        <w:ind w:left="219" w:right="0" w:firstLine="0"/>
        <w:jc w:val="left"/>
        <w:rPr>
          <w:rFonts w:hint="eastAsia" w:eastAsia="宋体"/>
          <w:b/>
          <w:sz w:val="28"/>
          <w:lang w:eastAsia="zh-CN"/>
        </w:rPr>
      </w:pPr>
      <w:r>
        <w:rPr>
          <w:b/>
          <w:sz w:val="28"/>
        </w:rPr>
        <w:t>致：</w:t>
      </w:r>
      <w:r>
        <w:rPr>
          <w:rFonts w:hint="eastAsia"/>
          <w:b/>
          <w:sz w:val="28"/>
          <w:lang w:eastAsia="zh-CN"/>
        </w:rPr>
        <w:t>青海鑫凤林项目管理咨询有限公司　</w:t>
      </w:r>
    </w:p>
    <w:p>
      <w:pPr>
        <w:pStyle w:val="2"/>
        <w:tabs>
          <w:tab w:val="left" w:pos="2460"/>
        </w:tabs>
        <w:spacing w:before="4" w:line="242" w:lineRule="auto"/>
        <w:ind w:right="2667" w:firstLine="561"/>
      </w:pPr>
      <w:r>
        <w:rPr>
          <w:spacing w:val="-1"/>
          <w:u w:val="single"/>
        </w:rPr>
        <w:t>（</w:t>
      </w:r>
      <w:r>
        <w:rPr>
          <w:spacing w:val="-3"/>
          <w:u w:val="single"/>
        </w:rPr>
        <w:t>供</w:t>
      </w:r>
      <w:r>
        <w:rPr>
          <w:spacing w:val="-1"/>
          <w:u w:val="single"/>
        </w:rPr>
        <w:t>应</w:t>
      </w:r>
      <w:r>
        <w:rPr>
          <w:u w:val="single"/>
        </w:rPr>
        <w:t>商</w:t>
      </w:r>
      <w:r>
        <w:rPr>
          <w:spacing w:val="-3"/>
          <w:u w:val="single"/>
        </w:rPr>
        <w:t>名</w:t>
      </w:r>
      <w:r>
        <w:rPr>
          <w:u w:val="single"/>
        </w:rPr>
        <w:t>称</w:t>
      </w:r>
      <w:r>
        <w:rPr>
          <w:spacing w:val="-3"/>
          <w:u w:val="single"/>
        </w:rPr>
        <w:t>）</w:t>
      </w:r>
      <w:r>
        <w:t>系</w:t>
      </w:r>
      <w:r>
        <w:rPr>
          <w:spacing w:val="-3"/>
        </w:rPr>
        <w:t>中</w:t>
      </w:r>
      <w:r>
        <w:t>华人</w:t>
      </w:r>
      <w:r>
        <w:rPr>
          <w:spacing w:val="-3"/>
        </w:rPr>
        <w:t>民</w:t>
      </w:r>
      <w:r>
        <w:t>共和</w:t>
      </w:r>
      <w:r>
        <w:rPr>
          <w:spacing w:val="-3"/>
        </w:rPr>
        <w:t>国</w:t>
      </w:r>
      <w:r>
        <w:t>合法</w:t>
      </w:r>
      <w:r>
        <w:rPr>
          <w:spacing w:val="-3"/>
        </w:rPr>
        <w:t>企</w:t>
      </w:r>
      <w:r>
        <w:t>业，</w:t>
      </w:r>
      <w:r>
        <w:rPr>
          <w:spacing w:val="-3"/>
        </w:rPr>
        <w:t>法</w:t>
      </w:r>
      <w:r>
        <w:t>定地址</w:t>
      </w:r>
      <w:r>
        <w:rPr>
          <w:u w:val="single"/>
        </w:rPr>
        <w:t xml:space="preserve"> </w:t>
      </w:r>
      <w:r>
        <w:rPr>
          <w:u w:val="single"/>
        </w:rPr>
        <w:tab/>
      </w:r>
      <w:r>
        <w:t>。</w:t>
      </w:r>
    </w:p>
    <w:p>
      <w:pPr>
        <w:pStyle w:val="2"/>
        <w:ind w:left="780"/>
      </w:pPr>
      <w:r>
        <w:rPr>
          <w:u w:val="single"/>
        </w:rPr>
        <w:t>（法定代表人姓名）</w:t>
      </w:r>
      <w:r>
        <w:t>特授权</w:t>
      </w:r>
      <w:r>
        <w:rPr>
          <w:u w:val="single"/>
        </w:rPr>
        <w:t>（委托代理人姓名）</w:t>
      </w:r>
      <w:r>
        <w:t>代表我单位全权办理</w:t>
      </w:r>
    </w:p>
    <w:p>
      <w:pPr>
        <w:pStyle w:val="2"/>
        <w:tabs>
          <w:tab w:val="left" w:pos="3720"/>
        </w:tabs>
        <w:spacing w:before="6" w:line="242" w:lineRule="auto"/>
        <w:ind w:right="287" w:hanging="1"/>
      </w:pPr>
      <w:r>
        <w:rPr>
          <w:rFonts w:ascii="Times New Roman" w:eastAsia="Times New Roman"/>
          <w:w w:val="100"/>
          <w:u w:val="single"/>
        </w:rPr>
        <w:t xml:space="preserve"> </w:t>
      </w:r>
      <w:r>
        <w:rPr>
          <w:rFonts w:ascii="Times New Roman" w:eastAsia="Times New Roman"/>
          <w:u w:val="single"/>
        </w:rPr>
        <w:tab/>
      </w:r>
      <w:r>
        <w:rPr>
          <w:spacing w:val="-3"/>
        </w:rPr>
        <w:t>项目的磋商、答疑等具体工作，并签署全部有关的文件、资料。</w:t>
      </w:r>
    </w:p>
    <w:p>
      <w:pPr>
        <w:pStyle w:val="2"/>
        <w:spacing w:before="3" w:line="242" w:lineRule="auto"/>
        <w:ind w:left="699" w:right="4427"/>
      </w:pPr>
      <w:r>
        <w:t>我单位对被授权人的签名负全部责任。被授权人联系电话：</w:t>
      </w:r>
    </w:p>
    <w:p>
      <w:pPr>
        <w:pStyle w:val="2"/>
        <w:tabs>
          <w:tab w:val="left" w:pos="5189"/>
          <w:tab w:val="left" w:pos="5400"/>
          <w:tab w:val="left" w:pos="9739"/>
        </w:tabs>
        <w:spacing w:line="242" w:lineRule="auto"/>
        <w:ind w:right="149"/>
        <w:rPr>
          <w:rFonts w:ascii="Times New Roman" w:eastAsia="Times New Roman"/>
        </w:rPr>
      </w:pPr>
      <w:r>
        <w:t>被</w:t>
      </w:r>
      <w:r>
        <w:rPr>
          <w:spacing w:val="-3"/>
        </w:rPr>
        <w:t>授</w:t>
      </w:r>
      <w:r>
        <w:t>权人</w:t>
      </w:r>
      <w:r>
        <w:rPr>
          <w:spacing w:val="-3"/>
        </w:rPr>
        <w:t>（</w:t>
      </w:r>
      <w:r>
        <w:t>委托</w:t>
      </w:r>
      <w:r>
        <w:rPr>
          <w:spacing w:val="-3"/>
        </w:rPr>
        <w:t>代</w:t>
      </w:r>
      <w:r>
        <w:t>理人</w:t>
      </w:r>
      <w:r>
        <w:rPr>
          <w:spacing w:val="-3"/>
        </w:rPr>
        <w:t>）</w:t>
      </w:r>
      <w:r>
        <w:t>签字：</w:t>
      </w:r>
      <w:r>
        <w:rPr>
          <w:u w:val="single"/>
        </w:rPr>
        <w:t xml:space="preserve"> </w:t>
      </w:r>
      <w:r>
        <w:rPr>
          <w:u w:val="single"/>
        </w:rPr>
        <w:tab/>
      </w:r>
      <w:r>
        <w:tab/>
      </w:r>
      <w:r>
        <w:rPr>
          <w:spacing w:val="-1"/>
        </w:rPr>
        <w:t>授</w:t>
      </w:r>
      <w:r>
        <w:rPr>
          <w:spacing w:val="-3"/>
        </w:rPr>
        <w:t>权</w:t>
      </w:r>
      <w:r>
        <w:rPr>
          <w:spacing w:val="-1"/>
        </w:rPr>
        <w:t>人（</w:t>
      </w:r>
      <w:r>
        <w:rPr>
          <w:spacing w:val="-3"/>
        </w:rPr>
        <w:t>法</w:t>
      </w:r>
      <w:r>
        <w:rPr>
          <w:spacing w:val="-1"/>
        </w:rPr>
        <w:t>定代</w:t>
      </w:r>
      <w:r>
        <w:rPr>
          <w:spacing w:val="-3"/>
        </w:rPr>
        <w:t>表</w:t>
      </w:r>
      <w:r>
        <w:rPr>
          <w:spacing w:val="-1"/>
        </w:rPr>
        <w:t>人）</w:t>
      </w:r>
      <w:r>
        <w:rPr>
          <w:spacing w:val="-3"/>
        </w:rPr>
        <w:t>签</w:t>
      </w:r>
      <w:r>
        <w:rPr>
          <w:spacing w:val="-1"/>
        </w:rPr>
        <w:t>字</w:t>
      </w:r>
      <w:r>
        <w:rPr>
          <w:spacing w:val="-3"/>
        </w:rPr>
        <w:t>：</w:t>
      </w:r>
      <w:r>
        <w:rPr>
          <w:spacing w:val="-3"/>
          <w:u w:val="single"/>
        </w:rPr>
        <w:tab/>
      </w:r>
      <w:r>
        <w:rPr>
          <w:u w:val="single"/>
        </w:rPr>
        <w:t xml:space="preserve"> </w:t>
      </w:r>
      <w:r>
        <w:t>职</w:t>
      </w:r>
      <w:r>
        <w:rPr>
          <w:spacing w:val="-3"/>
        </w:rPr>
        <w:t>务</w:t>
      </w:r>
      <w:r>
        <w:t>：</w:t>
      </w:r>
      <w:r>
        <w:rPr>
          <w:u w:val="single"/>
        </w:rPr>
        <w:t xml:space="preserve"> </w:t>
      </w:r>
      <w:r>
        <w:rPr>
          <w:u w:val="single"/>
        </w:rPr>
        <w:tab/>
      </w:r>
      <w:r>
        <w:tab/>
      </w:r>
      <w:r>
        <w:rPr>
          <w:spacing w:val="-1"/>
        </w:rPr>
        <w:t>职</w:t>
      </w:r>
      <w:r>
        <w:rPr>
          <w:spacing w:val="-3"/>
        </w:rPr>
        <w:t>务</w:t>
      </w:r>
      <w:r>
        <w:rPr>
          <w:spacing w:val="-1"/>
        </w:rPr>
        <w:t>：</w:t>
      </w:r>
      <w:r>
        <w:rPr>
          <w:rFonts w:ascii="Times New Roman" w:eastAsia="Times New Roman"/>
          <w:u w:val="single"/>
        </w:rPr>
        <w:t xml:space="preserve"> </w:t>
      </w:r>
      <w:r>
        <w:rPr>
          <w:rFonts w:ascii="Times New Roman" w:eastAsia="Times New Roman"/>
          <w:u w:val="single"/>
        </w:rPr>
        <w:tab/>
      </w:r>
    </w:p>
    <w:p>
      <w:pPr>
        <w:pStyle w:val="2"/>
        <w:spacing w:before="4"/>
        <w:ind w:left="0"/>
        <w:rPr>
          <w:rFonts w:ascii="Times New Roman"/>
          <w:sz w:val="26"/>
        </w:rPr>
      </w:pPr>
    </w:p>
    <w:p>
      <w:pPr>
        <w:pStyle w:val="2"/>
        <w:spacing w:before="62"/>
      </w:pPr>
      <w:r>
        <w:t>附：被授权人第二代身份证双面扫描（或复印）件</w:t>
      </w:r>
    </w:p>
    <w:p>
      <w:pPr>
        <w:pStyle w:val="2"/>
        <w:ind w:left="0"/>
      </w:pPr>
    </w:p>
    <w:p>
      <w:pPr>
        <w:tabs>
          <w:tab w:val="left" w:pos="4497"/>
        </w:tabs>
        <w:spacing w:before="0"/>
        <w:ind w:left="0" w:right="205" w:firstLine="0"/>
        <w:jc w:val="right"/>
        <w:rPr>
          <w:b/>
          <w:sz w:val="28"/>
        </w:rPr>
      </w:pPr>
      <w:r>
        <w:rPr>
          <w:b/>
          <w:sz w:val="28"/>
        </w:rPr>
        <w:t>供应商：</w:t>
      </w:r>
      <w:r>
        <w:rPr>
          <w:b/>
          <w:sz w:val="28"/>
        </w:rPr>
        <w:tab/>
      </w:r>
      <w:r>
        <w:rPr>
          <w:b/>
          <w:spacing w:val="-1"/>
          <w:w w:val="95"/>
          <w:sz w:val="28"/>
        </w:rPr>
        <w:t>（公章</w:t>
      </w:r>
      <w:r>
        <w:rPr>
          <w:b/>
          <w:w w:val="95"/>
          <w:sz w:val="28"/>
        </w:rPr>
        <w:t>）</w:t>
      </w:r>
    </w:p>
    <w:p>
      <w:pPr>
        <w:tabs>
          <w:tab w:val="left" w:pos="4495"/>
        </w:tabs>
        <w:spacing w:before="4"/>
        <w:ind w:left="0" w:right="212" w:firstLine="0"/>
        <w:jc w:val="right"/>
        <w:rPr>
          <w:b/>
          <w:sz w:val="28"/>
        </w:rPr>
      </w:pPr>
      <w:r>
        <w:rPr>
          <w:b/>
          <w:sz w:val="28"/>
        </w:rPr>
        <w:t>法定代表人或委托代理人：</w:t>
      </w:r>
      <w:r>
        <w:rPr>
          <w:b/>
          <w:sz w:val="28"/>
        </w:rPr>
        <w:tab/>
      </w:r>
      <w:r>
        <w:rPr>
          <w:b/>
          <w:spacing w:val="-1"/>
          <w:w w:val="95"/>
          <w:sz w:val="28"/>
        </w:rPr>
        <w:t>（签字</w:t>
      </w:r>
      <w:r>
        <w:rPr>
          <w:b/>
          <w:w w:val="95"/>
          <w:sz w:val="28"/>
        </w:rPr>
        <w:t>或盖章）</w:t>
      </w:r>
    </w:p>
    <w:p>
      <w:pPr>
        <w:tabs>
          <w:tab w:val="left" w:pos="842"/>
          <w:tab w:val="left" w:pos="1684"/>
        </w:tabs>
        <w:spacing w:before="6"/>
        <w:ind w:left="0" w:right="216" w:firstLine="0"/>
        <w:jc w:val="right"/>
        <w:rPr>
          <w:b/>
          <w:sz w:val="28"/>
        </w:rPr>
      </w:pPr>
      <w:r>
        <w:rPr>
          <w:b/>
          <w:sz w:val="28"/>
        </w:rPr>
        <w:t>年</w:t>
      </w:r>
      <w:r>
        <w:rPr>
          <w:b/>
          <w:sz w:val="28"/>
        </w:rPr>
        <w:tab/>
      </w:r>
      <w:r>
        <w:rPr>
          <w:b/>
          <w:sz w:val="28"/>
        </w:rPr>
        <w:t>月</w:t>
      </w:r>
      <w:r>
        <w:rPr>
          <w:b/>
          <w:sz w:val="28"/>
        </w:rPr>
        <w:tab/>
      </w:r>
      <w:r>
        <w:rPr>
          <w:b/>
          <w:spacing w:val="-1"/>
          <w:sz w:val="28"/>
        </w:rPr>
        <w:t>日</w:t>
      </w:r>
    </w:p>
    <w:p>
      <w:pPr>
        <w:spacing w:after="0"/>
        <w:jc w:val="right"/>
        <w:rPr>
          <w:sz w:val="28"/>
        </w:rPr>
        <w:sectPr>
          <w:footerReference r:id="rId10" w:type="default"/>
          <w:pgSz w:w="11850" w:h="16790"/>
          <w:pgMar w:top="1360" w:right="840" w:bottom="1440" w:left="1120" w:header="0" w:footer="1259" w:gutter="0"/>
          <w:pgNumType w:fmt="decimal"/>
          <w:cols w:space="720" w:num="1"/>
        </w:sectPr>
      </w:pPr>
    </w:p>
    <w:p>
      <w:pPr>
        <w:pStyle w:val="5"/>
        <w:numPr>
          <w:ilvl w:val="0"/>
          <w:numId w:val="0"/>
        </w:numPr>
        <w:tabs>
          <w:tab w:val="left" w:pos="1124"/>
        </w:tabs>
        <w:spacing w:before="32" w:after="0" w:line="240" w:lineRule="auto"/>
        <w:ind w:leftChars="0" w:right="0" w:rightChars="0"/>
        <w:jc w:val="left"/>
        <w:rPr>
          <w:rFonts w:hint="eastAsia"/>
          <w:lang w:val="zh-CN" w:eastAsia="zh-CN"/>
        </w:rPr>
      </w:pPr>
      <w:bookmarkStart w:id="111" w:name="（7）供应商诚信承诺书"/>
      <w:bookmarkEnd w:id="111"/>
      <w:bookmarkStart w:id="112" w:name="_bookmark45"/>
      <w:bookmarkEnd w:id="112"/>
      <w:bookmarkStart w:id="113" w:name="_Toc1977"/>
      <w:r>
        <w:rPr>
          <w:rFonts w:hint="eastAsia"/>
          <w:lang w:val="en-US" w:eastAsia="zh-CN"/>
        </w:rPr>
        <w:t>附件四：</w:t>
      </w:r>
      <w:r>
        <w:rPr>
          <w:rFonts w:hint="eastAsia"/>
          <w:lang w:val="zh-CN" w:eastAsia="zh-CN"/>
        </w:rPr>
        <w:t>供应商承诺函</w:t>
      </w:r>
      <w:bookmarkEnd w:id="113"/>
    </w:p>
    <w:p>
      <w:pPr>
        <w:pStyle w:val="2"/>
        <w:ind w:left="0"/>
        <w:rPr>
          <w:b/>
          <w:sz w:val="20"/>
        </w:rPr>
      </w:pPr>
    </w:p>
    <w:p>
      <w:pPr>
        <w:spacing w:before="214"/>
        <w:ind w:left="1" w:right="0" w:firstLine="0"/>
        <w:jc w:val="center"/>
        <w:rPr>
          <w:b/>
          <w:sz w:val="36"/>
        </w:rPr>
      </w:pPr>
      <w:r>
        <w:rPr>
          <w:b/>
          <w:sz w:val="36"/>
        </w:rPr>
        <w:t>供应商承诺函</w:t>
      </w:r>
    </w:p>
    <w:p>
      <w:pPr>
        <w:pStyle w:val="2"/>
        <w:spacing w:before="11"/>
        <w:ind w:left="0"/>
        <w:rPr>
          <w:b/>
        </w:rPr>
      </w:pPr>
    </w:p>
    <w:p>
      <w:pPr>
        <w:spacing w:before="0"/>
        <w:ind w:left="219" w:right="0" w:firstLine="0"/>
        <w:jc w:val="left"/>
        <w:rPr>
          <w:rFonts w:hint="eastAsia" w:eastAsia="宋体"/>
          <w:b/>
          <w:sz w:val="28"/>
          <w:lang w:eastAsia="zh-CN"/>
        </w:rPr>
      </w:pPr>
      <w:r>
        <w:rPr>
          <w:b/>
          <w:sz w:val="28"/>
        </w:rPr>
        <w:t>致：</w:t>
      </w:r>
      <w:r>
        <w:rPr>
          <w:rFonts w:hint="eastAsia"/>
          <w:b/>
          <w:sz w:val="28"/>
          <w:lang w:eastAsia="zh-CN"/>
        </w:rPr>
        <w:t>青海鑫凤林项目管理咨询有限公司　</w:t>
      </w:r>
    </w:p>
    <w:p>
      <w:pPr>
        <w:pStyle w:val="2"/>
        <w:tabs>
          <w:tab w:val="left" w:pos="3079"/>
          <w:tab w:val="left" w:pos="3780"/>
          <w:tab w:val="left" w:pos="5460"/>
        </w:tabs>
        <w:spacing w:before="6" w:line="242" w:lineRule="auto"/>
        <w:ind w:right="227" w:firstLine="480"/>
      </w:pPr>
      <w:r>
        <w:t>关</w:t>
      </w:r>
      <w:r>
        <w:rPr>
          <w:spacing w:val="-3"/>
        </w:rPr>
        <w:t>于</w:t>
      </w:r>
      <w:r>
        <w:t>贵方20XX年</w:t>
      </w:r>
      <w:r>
        <w:rPr>
          <w:u w:val="single"/>
        </w:rPr>
        <w:t xml:space="preserve"> </w:t>
      </w:r>
      <w:r>
        <w:rPr>
          <w:u w:val="single"/>
        </w:rPr>
        <w:tab/>
      </w:r>
      <w:r>
        <w:t>月</w:t>
      </w:r>
      <w:r>
        <w:rPr>
          <w:u w:val="single"/>
        </w:rPr>
        <w:t xml:space="preserve"> </w:t>
      </w:r>
      <w:r>
        <w:rPr>
          <w:u w:val="single"/>
        </w:rPr>
        <w:tab/>
      </w:r>
      <w:r>
        <w:rPr>
          <w:spacing w:val="-3"/>
        </w:rPr>
        <w:t>日</w:t>
      </w:r>
      <w:r>
        <w:rPr>
          <w:spacing w:val="-3"/>
          <w:u w:val="single"/>
        </w:rPr>
        <w:t xml:space="preserve"> </w:t>
      </w:r>
      <w:r>
        <w:rPr>
          <w:spacing w:val="-3"/>
          <w:u w:val="single"/>
        </w:rPr>
        <w:tab/>
      </w:r>
      <w:r>
        <w:rPr>
          <w:spacing w:val="-1"/>
          <w:u w:val="single"/>
        </w:rPr>
        <w:t>(项</w:t>
      </w:r>
      <w:r>
        <w:rPr>
          <w:spacing w:val="-3"/>
          <w:u w:val="single"/>
        </w:rPr>
        <w:t>目</w:t>
      </w:r>
      <w:r>
        <w:rPr>
          <w:spacing w:val="-1"/>
          <w:u w:val="single"/>
        </w:rPr>
        <w:t>名称)</w:t>
      </w:r>
      <w:r>
        <w:t>采</w:t>
      </w:r>
      <w:r>
        <w:rPr>
          <w:spacing w:val="-3"/>
        </w:rPr>
        <w:t>购</w:t>
      </w:r>
      <w:r>
        <w:t>项目</w:t>
      </w:r>
      <w:r>
        <w:rPr>
          <w:spacing w:val="-3"/>
        </w:rPr>
        <w:t>，</w:t>
      </w:r>
      <w:r>
        <w:t>本签</w:t>
      </w:r>
      <w:r>
        <w:rPr>
          <w:spacing w:val="-3"/>
        </w:rPr>
        <w:t>字</w:t>
      </w:r>
      <w:r>
        <w:t>人愿意</w:t>
      </w:r>
      <w:r>
        <w:rPr>
          <w:spacing w:val="-3"/>
        </w:rPr>
        <w:t>参</w:t>
      </w:r>
      <w:r>
        <w:t>加磋</w:t>
      </w:r>
      <w:r>
        <w:rPr>
          <w:spacing w:val="-3"/>
        </w:rPr>
        <w:t>商</w:t>
      </w:r>
      <w:r>
        <w:t>，提</w:t>
      </w:r>
      <w:r>
        <w:rPr>
          <w:spacing w:val="-3"/>
        </w:rPr>
        <w:t>供</w:t>
      </w:r>
      <w:r>
        <w:t>采购一</w:t>
      </w:r>
      <w:r>
        <w:rPr>
          <w:spacing w:val="-3"/>
        </w:rPr>
        <w:t>览</w:t>
      </w:r>
      <w:r>
        <w:t>表中</w:t>
      </w:r>
      <w:r>
        <w:rPr>
          <w:spacing w:val="-3"/>
        </w:rPr>
        <w:t>要</w:t>
      </w:r>
      <w:r>
        <w:t>求的</w:t>
      </w:r>
      <w:r>
        <w:rPr>
          <w:spacing w:val="-3"/>
        </w:rPr>
        <w:t>所</w:t>
      </w:r>
      <w:r>
        <w:t>有产</w:t>
      </w:r>
      <w:r>
        <w:rPr>
          <w:spacing w:val="-3"/>
        </w:rPr>
        <w:t>品</w:t>
      </w:r>
      <w:r>
        <w:t>，并</w:t>
      </w:r>
      <w:r>
        <w:rPr>
          <w:spacing w:val="-3"/>
        </w:rPr>
        <w:t>证</w:t>
      </w:r>
      <w:r>
        <w:t>实提</w:t>
      </w:r>
      <w:r>
        <w:rPr>
          <w:spacing w:val="-3"/>
        </w:rPr>
        <w:t>交</w:t>
      </w:r>
      <w:r>
        <w:t>的所</w:t>
      </w:r>
      <w:r>
        <w:rPr>
          <w:spacing w:val="-3"/>
        </w:rPr>
        <w:t>有</w:t>
      </w:r>
      <w:r>
        <w:t>资料是准</w:t>
      </w:r>
      <w:r>
        <w:rPr>
          <w:spacing w:val="-3"/>
        </w:rPr>
        <w:t>确</w:t>
      </w:r>
      <w:r>
        <w:t>的和</w:t>
      </w:r>
      <w:r>
        <w:rPr>
          <w:spacing w:val="-3"/>
        </w:rPr>
        <w:t>真</w:t>
      </w:r>
      <w:r>
        <w:t>实的</w:t>
      </w:r>
      <w:r>
        <w:rPr>
          <w:spacing w:val="-3"/>
        </w:rPr>
        <w:t>。</w:t>
      </w:r>
      <w:r>
        <w:t>同时</w:t>
      </w:r>
      <w:r>
        <w:rPr>
          <w:spacing w:val="-3"/>
        </w:rPr>
        <w:t>，</w:t>
      </w:r>
      <w:r>
        <w:t>我代</w:t>
      </w:r>
      <w:r>
        <w:rPr>
          <w:spacing w:val="-3"/>
        </w:rPr>
        <w:t>表</w:t>
      </w:r>
      <w:r>
        <w:t>（供</w:t>
      </w:r>
      <w:r>
        <w:rPr>
          <w:spacing w:val="-3"/>
        </w:rPr>
        <w:t>应</w:t>
      </w:r>
      <w:r>
        <w:t>商名</w:t>
      </w:r>
      <w:r>
        <w:rPr>
          <w:spacing w:val="-3"/>
        </w:rPr>
        <w:t>称</w:t>
      </w:r>
      <w:r>
        <w:t>），</w:t>
      </w:r>
      <w:r>
        <w:rPr>
          <w:spacing w:val="-3"/>
        </w:rPr>
        <w:t>在</w:t>
      </w:r>
      <w:r>
        <w:t>此作</w:t>
      </w:r>
      <w:r>
        <w:rPr>
          <w:spacing w:val="-3"/>
        </w:rPr>
        <w:t>如</w:t>
      </w:r>
      <w:r>
        <w:t>下承</w:t>
      </w:r>
      <w:r>
        <w:rPr>
          <w:spacing w:val="-3"/>
        </w:rPr>
        <w:t>诺</w:t>
      </w:r>
      <w:r>
        <w:t>：</w:t>
      </w:r>
    </w:p>
    <w:p>
      <w:pPr>
        <w:pStyle w:val="20"/>
        <w:numPr>
          <w:ilvl w:val="0"/>
          <w:numId w:val="34"/>
        </w:numPr>
        <w:tabs>
          <w:tab w:val="left" w:pos="1062"/>
        </w:tabs>
        <w:spacing w:before="3" w:after="0" w:line="240" w:lineRule="auto"/>
        <w:ind w:left="1061" w:right="0" w:hanging="282"/>
        <w:jc w:val="left"/>
        <w:rPr>
          <w:sz w:val="28"/>
        </w:rPr>
      </w:pPr>
      <w:r>
        <w:rPr>
          <w:spacing w:val="-3"/>
          <w:sz w:val="28"/>
        </w:rPr>
        <w:t>完全理解和接受磋商文件的一切规定和要求；</w:t>
      </w:r>
    </w:p>
    <w:p>
      <w:pPr>
        <w:pStyle w:val="20"/>
        <w:numPr>
          <w:ilvl w:val="0"/>
          <w:numId w:val="34"/>
        </w:numPr>
        <w:tabs>
          <w:tab w:val="left" w:pos="1062"/>
        </w:tabs>
        <w:spacing w:before="3" w:after="0" w:line="242" w:lineRule="auto"/>
        <w:ind w:left="219" w:right="428" w:firstLine="561"/>
        <w:jc w:val="both"/>
        <w:rPr>
          <w:sz w:val="28"/>
        </w:rPr>
      </w:pPr>
      <w:r>
        <w:rPr>
          <w:spacing w:val="-3"/>
          <w:sz w:val="28"/>
        </w:rPr>
        <w:t>若成交，我方将按照磋商文件的具体规定与采购人签订采购合同，并且严格履行合同义务，按时交货，提供优质的产品和服务。如果在合同执行过程中，发现质量、数量出现问题，我方一定尽快更换或补退货，并承担相应的经济责任；</w:t>
      </w:r>
    </w:p>
    <w:p>
      <w:pPr>
        <w:pStyle w:val="2"/>
        <w:spacing w:before="3" w:line="242" w:lineRule="auto"/>
        <w:ind w:right="287" w:firstLine="561"/>
      </w:pPr>
      <w:r>
        <w:t>3、我方保证甲方在使用该产品或其任何一部分时，不受第三方提出的侵犯专利权、著作权、商标权和工业设计权等知识产权的起诉，若有违犯，愿承担相应的一切责任。</w:t>
      </w:r>
    </w:p>
    <w:p>
      <w:pPr>
        <w:pStyle w:val="2"/>
        <w:spacing w:before="3" w:line="242" w:lineRule="auto"/>
        <w:ind w:right="287" w:firstLine="561"/>
      </w:pPr>
      <w:r>
        <w:t>4、我方承诺，除磋商文件中规定的进口产品外，所投的产品均为国产产品，且均符合国家强制性标准。若有不实，愿承担相应的责任。</w:t>
      </w:r>
    </w:p>
    <w:p>
      <w:pPr>
        <w:pStyle w:val="2"/>
        <w:spacing w:before="2" w:line="242" w:lineRule="auto"/>
        <w:ind w:right="287" w:firstLine="561"/>
      </w:pPr>
      <w:r>
        <w:t>5、在整个竞争性磋商过程中我方若有违规行为，贵方可按磋商文件之规定给予处罚，我方完全接受。</w:t>
      </w:r>
    </w:p>
    <w:p>
      <w:pPr>
        <w:pStyle w:val="2"/>
        <w:spacing w:line="242" w:lineRule="auto"/>
        <w:ind w:right="287" w:firstLine="561"/>
      </w:pPr>
      <w:r>
        <w:t>6、若成交，本承诺将成为合同不可分割的一部分，与合同具有同等的法律效力。</w:t>
      </w:r>
    </w:p>
    <w:p>
      <w:pPr>
        <w:pStyle w:val="2"/>
        <w:ind w:left="0"/>
      </w:pPr>
    </w:p>
    <w:p>
      <w:pPr>
        <w:pStyle w:val="2"/>
        <w:ind w:left="0"/>
        <w:rPr>
          <w:sz w:val="29"/>
        </w:rPr>
      </w:pPr>
    </w:p>
    <w:p>
      <w:pPr>
        <w:tabs>
          <w:tab w:val="left" w:pos="4497"/>
        </w:tabs>
        <w:spacing w:before="0"/>
        <w:ind w:left="0" w:right="205" w:firstLine="0"/>
        <w:jc w:val="right"/>
        <w:rPr>
          <w:b/>
          <w:sz w:val="28"/>
        </w:rPr>
      </w:pPr>
      <w:r>
        <w:rPr>
          <w:b/>
          <w:sz w:val="28"/>
        </w:rPr>
        <w:t>供应商：</w:t>
      </w:r>
      <w:r>
        <w:rPr>
          <w:b/>
          <w:sz w:val="28"/>
        </w:rPr>
        <w:tab/>
      </w:r>
      <w:r>
        <w:rPr>
          <w:b/>
          <w:spacing w:val="-1"/>
          <w:w w:val="95"/>
          <w:sz w:val="28"/>
        </w:rPr>
        <w:t>（公章</w:t>
      </w:r>
      <w:r>
        <w:rPr>
          <w:b/>
          <w:w w:val="95"/>
          <w:sz w:val="28"/>
        </w:rPr>
        <w:t>）</w:t>
      </w:r>
    </w:p>
    <w:p>
      <w:pPr>
        <w:tabs>
          <w:tab w:val="left" w:pos="4495"/>
        </w:tabs>
        <w:spacing w:before="3"/>
        <w:ind w:left="0" w:right="212" w:firstLine="0"/>
        <w:jc w:val="right"/>
        <w:rPr>
          <w:b/>
          <w:sz w:val="28"/>
        </w:rPr>
      </w:pPr>
      <w:r>
        <w:rPr>
          <w:b/>
          <w:sz w:val="28"/>
        </w:rPr>
        <w:t>法定代表人或委托代理人：</w:t>
      </w:r>
      <w:r>
        <w:rPr>
          <w:b/>
          <w:sz w:val="28"/>
        </w:rPr>
        <w:tab/>
      </w:r>
      <w:r>
        <w:rPr>
          <w:b/>
          <w:spacing w:val="-1"/>
          <w:w w:val="95"/>
          <w:sz w:val="28"/>
        </w:rPr>
        <w:t>（签字</w:t>
      </w:r>
      <w:r>
        <w:rPr>
          <w:b/>
          <w:w w:val="95"/>
          <w:sz w:val="28"/>
        </w:rPr>
        <w:t>或盖章）</w:t>
      </w:r>
    </w:p>
    <w:p>
      <w:pPr>
        <w:tabs>
          <w:tab w:val="left" w:pos="842"/>
          <w:tab w:val="left" w:pos="1684"/>
        </w:tabs>
        <w:spacing w:before="4"/>
        <w:ind w:left="0" w:right="216" w:firstLine="0"/>
        <w:jc w:val="right"/>
        <w:rPr>
          <w:b/>
          <w:sz w:val="28"/>
        </w:rPr>
      </w:pPr>
      <w:r>
        <w:rPr>
          <w:b/>
          <w:sz w:val="28"/>
        </w:rPr>
        <w:t>年</w:t>
      </w:r>
      <w:r>
        <w:rPr>
          <w:b/>
          <w:sz w:val="28"/>
        </w:rPr>
        <w:tab/>
      </w:r>
      <w:r>
        <w:rPr>
          <w:b/>
          <w:sz w:val="28"/>
        </w:rPr>
        <w:t>月</w:t>
      </w:r>
      <w:r>
        <w:rPr>
          <w:b/>
          <w:sz w:val="28"/>
        </w:rPr>
        <w:tab/>
      </w:r>
      <w:r>
        <w:rPr>
          <w:b/>
          <w:spacing w:val="-1"/>
          <w:sz w:val="28"/>
        </w:rPr>
        <w:t>日</w:t>
      </w:r>
    </w:p>
    <w:p>
      <w:pPr>
        <w:spacing w:after="0"/>
        <w:jc w:val="right"/>
        <w:rPr>
          <w:sz w:val="28"/>
        </w:rPr>
        <w:sectPr>
          <w:pgSz w:w="11850" w:h="16790"/>
          <w:pgMar w:top="1360" w:right="840" w:bottom="1440" w:left="1120" w:header="0" w:footer="1259" w:gutter="0"/>
          <w:pgNumType w:fmt="decimal"/>
          <w:cols w:space="720" w:num="1"/>
        </w:sectPr>
      </w:pPr>
    </w:p>
    <w:p>
      <w:pPr>
        <w:pStyle w:val="5"/>
        <w:numPr>
          <w:ilvl w:val="0"/>
          <w:numId w:val="0"/>
        </w:numPr>
        <w:tabs>
          <w:tab w:val="left" w:pos="1124"/>
        </w:tabs>
        <w:spacing w:before="32" w:after="0" w:line="240" w:lineRule="auto"/>
        <w:ind w:leftChars="0" w:right="0" w:rightChars="0"/>
        <w:jc w:val="left"/>
        <w:rPr>
          <w:rFonts w:hint="eastAsia"/>
          <w:lang w:val="zh-CN" w:eastAsia="zh-CN"/>
        </w:rPr>
      </w:pPr>
      <w:bookmarkStart w:id="114" w:name="（8）资格证明材料"/>
      <w:bookmarkEnd w:id="114"/>
      <w:bookmarkStart w:id="115" w:name="_bookmark46"/>
      <w:bookmarkEnd w:id="115"/>
      <w:bookmarkStart w:id="116" w:name="_Toc13156"/>
      <w:r>
        <w:rPr>
          <w:rFonts w:hint="eastAsia"/>
          <w:lang w:val="en-US" w:eastAsia="zh-CN"/>
        </w:rPr>
        <w:t>附件五：</w:t>
      </w:r>
      <w:r>
        <w:rPr>
          <w:rFonts w:hint="eastAsia"/>
          <w:lang w:val="zh-CN" w:eastAsia="zh-CN"/>
        </w:rPr>
        <w:t>供应商诚信承诺书</w:t>
      </w:r>
      <w:bookmarkEnd w:id="116"/>
    </w:p>
    <w:p>
      <w:pPr>
        <w:pStyle w:val="2"/>
        <w:spacing w:before="9"/>
        <w:ind w:left="0"/>
        <w:rPr>
          <w:b/>
          <w:sz w:val="36"/>
        </w:rPr>
      </w:pPr>
    </w:p>
    <w:p>
      <w:pPr>
        <w:spacing w:before="0"/>
        <w:ind w:left="0" w:right="0" w:firstLine="0"/>
        <w:jc w:val="center"/>
        <w:rPr>
          <w:b/>
          <w:sz w:val="36"/>
        </w:rPr>
      </w:pPr>
      <w:r>
        <w:rPr>
          <w:b/>
          <w:sz w:val="36"/>
        </w:rPr>
        <w:t>供应商诚信承诺书</w:t>
      </w:r>
    </w:p>
    <w:p>
      <w:pPr>
        <w:spacing w:before="8"/>
        <w:ind w:left="219" w:right="0" w:firstLine="0"/>
        <w:jc w:val="left"/>
        <w:rPr>
          <w:rFonts w:hint="eastAsia" w:eastAsia="宋体"/>
          <w:b/>
          <w:sz w:val="28"/>
          <w:lang w:eastAsia="zh-CN"/>
        </w:rPr>
      </w:pPr>
      <w:r>
        <w:rPr>
          <w:b/>
          <w:sz w:val="28"/>
        </w:rPr>
        <w:t>致：</w:t>
      </w:r>
      <w:r>
        <w:rPr>
          <w:rFonts w:hint="eastAsia"/>
          <w:b/>
          <w:sz w:val="28"/>
          <w:lang w:eastAsia="zh-CN"/>
        </w:rPr>
        <w:t>青海鑫凤林项目管理咨询有限公司　</w:t>
      </w:r>
    </w:p>
    <w:p>
      <w:pPr>
        <w:pStyle w:val="2"/>
        <w:spacing w:before="3" w:line="244" w:lineRule="auto"/>
        <w:ind w:right="227" w:firstLine="480"/>
      </w:pPr>
      <w:r>
        <w:t>为了诚实、客观、有序地参与青海省政府采购活动，愿就以下内容作出承诺：</w:t>
      </w:r>
    </w:p>
    <w:p>
      <w:pPr>
        <w:pStyle w:val="2"/>
        <w:spacing w:line="244" w:lineRule="auto"/>
        <w:ind w:right="507" w:firstLine="480"/>
      </w:pPr>
      <w:r>
        <w:t>一、自觉遵守各项法律、法规、规章、制度以及社会公德，维护廉洁环境，与同场竞争的其他供应商平等参加政府采购活动。</w:t>
      </w:r>
    </w:p>
    <w:p>
      <w:pPr>
        <w:pStyle w:val="2"/>
        <w:spacing w:line="242" w:lineRule="auto"/>
        <w:ind w:right="227" w:firstLine="480"/>
      </w:pPr>
      <w:r>
        <w:rPr>
          <w:spacing w:val="-3"/>
        </w:rPr>
        <w:t>二、参加采购代理机构组织的政府采购活动时，严格按照磋商文件的规定和要求提供所需的相关材料，并对所提供的各类资料的真实性负责，不虚假应标，不虚列业绩。</w:t>
      </w:r>
    </w:p>
    <w:p>
      <w:pPr>
        <w:pStyle w:val="2"/>
        <w:spacing w:line="242" w:lineRule="auto"/>
        <w:ind w:right="227" w:firstLine="480"/>
      </w:pPr>
      <w:r>
        <w:rPr>
          <w:spacing w:val="-3"/>
        </w:rPr>
        <w:t>三、尊重参与政府采购活动各相关方的合法行为，接受政府采购活动依法形成的意见、结果。</w:t>
      </w:r>
    </w:p>
    <w:p>
      <w:pPr>
        <w:pStyle w:val="2"/>
        <w:spacing w:line="244" w:lineRule="auto"/>
        <w:ind w:right="228" w:firstLine="480"/>
      </w:pPr>
      <w:r>
        <w:t>四、依法参加政府采购活动，不围标、串标，维护市场秩序，不提供“三无”产品、以次充好。</w:t>
      </w:r>
    </w:p>
    <w:p>
      <w:pPr>
        <w:pStyle w:val="2"/>
        <w:spacing w:line="242" w:lineRule="auto"/>
        <w:ind w:right="149" w:firstLine="480"/>
      </w:pPr>
      <w:r>
        <w:t>五、积极推动政府采购活动健康开展，对采购活动有疑问、异议时，按法律规定的程序实名反映情况，不恶意中伤、无事生非，以和谐、平等的心态参加政府采购活动。</w:t>
      </w:r>
    </w:p>
    <w:p>
      <w:pPr>
        <w:pStyle w:val="2"/>
        <w:spacing w:line="242" w:lineRule="auto"/>
        <w:ind w:right="227" w:firstLine="480"/>
      </w:pPr>
      <w:r>
        <w:t>六、认真履行成交人应承担的责任和义务，全面执行采购合同规定的各项内容，保质保量地按时提供采购物品。</w:t>
      </w:r>
    </w:p>
    <w:p>
      <w:pPr>
        <w:pStyle w:val="2"/>
        <w:spacing w:line="242" w:lineRule="auto"/>
        <w:ind w:right="426" w:firstLine="561"/>
      </w:pPr>
      <w:r>
        <w:t>若本企业（单位）发生有悖于上述承诺的行为，愿意接受《中华人民共和国政府采购法》和《政府采购法实施条例》中对供应商的相关处理。</w:t>
      </w:r>
    </w:p>
    <w:p>
      <w:pPr>
        <w:pStyle w:val="2"/>
        <w:ind w:left="780"/>
      </w:pPr>
      <w:r>
        <w:t>本承诺是采购项目响应文件的组成部分。</w:t>
      </w:r>
    </w:p>
    <w:p>
      <w:pPr>
        <w:pStyle w:val="2"/>
        <w:spacing w:before="4"/>
        <w:ind w:left="0"/>
      </w:pPr>
    </w:p>
    <w:p>
      <w:pPr>
        <w:tabs>
          <w:tab w:val="left" w:pos="4497"/>
        </w:tabs>
        <w:spacing w:before="0"/>
        <w:ind w:left="0" w:right="205" w:firstLine="0"/>
        <w:jc w:val="right"/>
        <w:rPr>
          <w:b/>
          <w:sz w:val="28"/>
        </w:rPr>
      </w:pPr>
      <w:r>
        <w:rPr>
          <w:b/>
          <w:sz w:val="28"/>
        </w:rPr>
        <w:t>供应商：</w:t>
      </w:r>
      <w:r>
        <w:rPr>
          <w:b/>
          <w:sz w:val="28"/>
        </w:rPr>
        <w:tab/>
      </w:r>
      <w:r>
        <w:rPr>
          <w:b/>
          <w:spacing w:val="-1"/>
          <w:w w:val="95"/>
          <w:sz w:val="28"/>
        </w:rPr>
        <w:t>（公章</w:t>
      </w:r>
      <w:r>
        <w:rPr>
          <w:b/>
          <w:w w:val="95"/>
          <w:sz w:val="28"/>
        </w:rPr>
        <w:t>）</w:t>
      </w:r>
    </w:p>
    <w:p>
      <w:pPr>
        <w:tabs>
          <w:tab w:val="left" w:pos="4495"/>
        </w:tabs>
        <w:spacing w:before="4"/>
        <w:ind w:left="0" w:right="212" w:firstLine="0"/>
        <w:jc w:val="right"/>
        <w:rPr>
          <w:b/>
          <w:sz w:val="28"/>
        </w:rPr>
      </w:pPr>
      <w:r>
        <w:rPr>
          <w:b/>
          <w:sz w:val="28"/>
        </w:rPr>
        <w:t>法定代表人或委托代理人：</w:t>
      </w:r>
      <w:r>
        <w:rPr>
          <w:b/>
          <w:sz w:val="28"/>
        </w:rPr>
        <w:tab/>
      </w:r>
      <w:r>
        <w:rPr>
          <w:b/>
          <w:spacing w:val="-1"/>
          <w:w w:val="95"/>
          <w:sz w:val="28"/>
        </w:rPr>
        <w:t>（签字</w:t>
      </w:r>
      <w:r>
        <w:rPr>
          <w:b/>
          <w:w w:val="95"/>
          <w:sz w:val="28"/>
        </w:rPr>
        <w:t>或盖章）</w:t>
      </w:r>
    </w:p>
    <w:p>
      <w:pPr>
        <w:tabs>
          <w:tab w:val="left" w:pos="842"/>
          <w:tab w:val="left" w:pos="1684"/>
        </w:tabs>
        <w:spacing w:before="3"/>
        <w:ind w:left="0" w:right="216" w:firstLine="0"/>
        <w:jc w:val="right"/>
        <w:rPr>
          <w:b/>
          <w:sz w:val="28"/>
        </w:rPr>
      </w:pPr>
      <w:r>
        <w:rPr>
          <w:b/>
          <w:sz w:val="28"/>
        </w:rPr>
        <w:t>年</w:t>
      </w:r>
      <w:r>
        <w:rPr>
          <w:b/>
          <w:sz w:val="28"/>
        </w:rPr>
        <w:tab/>
      </w:r>
      <w:r>
        <w:rPr>
          <w:b/>
          <w:sz w:val="28"/>
        </w:rPr>
        <w:t>月</w:t>
      </w:r>
      <w:r>
        <w:rPr>
          <w:b/>
          <w:sz w:val="28"/>
        </w:rPr>
        <w:tab/>
      </w:r>
      <w:r>
        <w:rPr>
          <w:b/>
          <w:spacing w:val="-1"/>
          <w:sz w:val="28"/>
        </w:rPr>
        <w:t>日</w:t>
      </w:r>
    </w:p>
    <w:p>
      <w:pPr>
        <w:spacing w:after="0"/>
        <w:jc w:val="right"/>
        <w:rPr>
          <w:sz w:val="28"/>
        </w:rPr>
        <w:sectPr>
          <w:pgSz w:w="11850" w:h="16790"/>
          <w:pgMar w:top="1360" w:right="840" w:bottom="1440" w:left="1120" w:header="0" w:footer="1259" w:gutter="0"/>
          <w:pgNumType w:fmt="decimal"/>
          <w:cols w:space="720" w:num="1"/>
        </w:sectPr>
      </w:pPr>
    </w:p>
    <w:p>
      <w:pPr>
        <w:pStyle w:val="5"/>
        <w:numPr>
          <w:ilvl w:val="0"/>
          <w:numId w:val="0"/>
        </w:numPr>
        <w:tabs>
          <w:tab w:val="left" w:pos="1124"/>
        </w:tabs>
        <w:spacing w:before="32" w:after="0" w:line="240" w:lineRule="auto"/>
        <w:ind w:leftChars="0" w:right="0" w:rightChars="0"/>
        <w:jc w:val="left"/>
        <w:rPr>
          <w:rFonts w:hint="eastAsia"/>
          <w:lang w:val="zh-CN" w:eastAsia="zh-CN"/>
        </w:rPr>
      </w:pPr>
      <w:bookmarkStart w:id="117" w:name="_bookmark47"/>
      <w:bookmarkEnd w:id="117"/>
      <w:bookmarkStart w:id="118" w:name="（9）财务状况报告，依法缴纳税收和社会保障资金的相关材料"/>
      <w:bookmarkEnd w:id="118"/>
      <w:bookmarkStart w:id="119" w:name="_Toc24420"/>
      <w:r>
        <w:rPr>
          <w:rFonts w:hint="eastAsia"/>
          <w:lang w:val="en-US" w:eastAsia="zh-CN"/>
        </w:rPr>
        <w:t>附件六：</w:t>
      </w:r>
      <w:r>
        <w:rPr>
          <w:rFonts w:hint="eastAsia"/>
          <w:lang w:val="zh-CN" w:eastAsia="zh-CN"/>
        </w:rPr>
        <w:t>资格证明材料</w:t>
      </w:r>
      <w:bookmarkEnd w:id="119"/>
    </w:p>
    <w:p>
      <w:pPr>
        <w:pStyle w:val="2"/>
        <w:ind w:left="0"/>
        <w:rPr>
          <w:b/>
          <w:sz w:val="20"/>
        </w:rPr>
      </w:pPr>
    </w:p>
    <w:p>
      <w:pPr>
        <w:spacing w:before="214"/>
        <w:ind w:left="1" w:right="0" w:firstLine="0"/>
        <w:jc w:val="center"/>
        <w:rPr>
          <w:b/>
          <w:sz w:val="36"/>
        </w:rPr>
      </w:pPr>
      <w:r>
        <w:rPr>
          <w:b/>
          <w:sz w:val="36"/>
        </w:rPr>
        <w:t>资格证明材料</w:t>
      </w:r>
    </w:p>
    <w:p>
      <w:pPr>
        <w:pStyle w:val="2"/>
        <w:spacing w:before="11"/>
        <w:ind w:left="0"/>
        <w:rPr>
          <w:b/>
        </w:rPr>
      </w:pPr>
    </w:p>
    <w:p>
      <w:pPr>
        <w:pStyle w:val="2"/>
        <w:ind w:left="780"/>
      </w:pPr>
      <w:r>
        <w:t>资格证明材料包括：</w:t>
      </w:r>
    </w:p>
    <w:p>
      <w:pPr>
        <w:pStyle w:val="20"/>
        <w:numPr>
          <w:ilvl w:val="0"/>
          <w:numId w:val="35"/>
        </w:numPr>
        <w:tabs>
          <w:tab w:val="left" w:pos="1402"/>
        </w:tabs>
        <w:spacing w:before="6" w:after="0" w:line="242" w:lineRule="auto"/>
        <w:ind w:left="219" w:right="366" w:firstLine="480"/>
        <w:jc w:val="left"/>
        <w:rPr>
          <w:sz w:val="28"/>
        </w:rPr>
      </w:pPr>
      <w:r>
        <w:rPr>
          <w:spacing w:val="-3"/>
          <w:sz w:val="28"/>
        </w:rPr>
        <w:t>提供有效的营业执照、税务登记证、机构代码证或三证</w:t>
      </w:r>
      <w:r>
        <w:rPr>
          <w:sz w:val="28"/>
        </w:rPr>
        <w:t>（</w:t>
      </w:r>
      <w:r>
        <w:rPr>
          <w:spacing w:val="-2"/>
          <w:sz w:val="28"/>
        </w:rPr>
        <w:t>五证</w:t>
      </w:r>
      <w:r>
        <w:rPr>
          <w:sz w:val="28"/>
        </w:rPr>
        <w:t>）合</w:t>
      </w:r>
      <w:r>
        <w:rPr>
          <w:spacing w:val="-3"/>
          <w:sz w:val="28"/>
        </w:rPr>
        <w:t>一统一社会代码证及其他资格证明文件</w:t>
      </w:r>
      <w:r>
        <w:rPr>
          <w:sz w:val="28"/>
        </w:rPr>
        <w:t>（</w:t>
      </w:r>
      <w:r>
        <w:rPr>
          <w:spacing w:val="-3"/>
          <w:sz w:val="28"/>
        </w:rPr>
        <w:t>扫描或复印件</w:t>
      </w:r>
      <w:r>
        <w:rPr>
          <w:sz w:val="28"/>
        </w:rPr>
        <w:t>）；</w:t>
      </w:r>
    </w:p>
    <w:p>
      <w:pPr>
        <w:pStyle w:val="2"/>
        <w:spacing w:before="3" w:line="242" w:lineRule="auto"/>
        <w:ind w:right="288" w:firstLine="561"/>
      </w:pPr>
      <w: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 或“统一社会信用代码的民办非企业单位登记证书”或“统一社会信用代码的基金会法人登记证书”，未换证的提交 “社会团体法人登记证书”或“民办非企业单位登记证书”或“基金会法人登记证书”和“组织机构代码</w:t>
      </w:r>
    </w:p>
    <w:p>
      <w:pPr>
        <w:pStyle w:val="2"/>
        <w:spacing w:before="5" w:line="242" w:lineRule="auto"/>
        <w:ind w:right="426"/>
      </w:pPr>
      <w:r>
        <w:t>证”；个体工商户需提交“统一社会信用代码的营业执照”或“营业执照、税务登记证”；自然人需提交身份证明。</w:t>
      </w:r>
    </w:p>
    <w:p>
      <w:pPr>
        <w:pStyle w:val="20"/>
        <w:numPr>
          <w:ilvl w:val="1"/>
          <w:numId w:val="35"/>
        </w:numPr>
        <w:tabs>
          <w:tab w:val="left" w:pos="1483"/>
        </w:tabs>
        <w:spacing w:before="0" w:after="0" w:line="240" w:lineRule="auto"/>
        <w:ind w:left="1482" w:right="0" w:hanging="703"/>
        <w:jc w:val="left"/>
        <w:rPr>
          <w:sz w:val="28"/>
        </w:rPr>
      </w:pPr>
      <w:r>
        <w:rPr>
          <w:spacing w:val="-3"/>
          <w:sz w:val="28"/>
        </w:rPr>
        <w:t>磋商文件规定的有关资格证书、许可证书、认证等；</w:t>
      </w:r>
    </w:p>
    <w:p>
      <w:pPr>
        <w:pStyle w:val="20"/>
        <w:numPr>
          <w:ilvl w:val="1"/>
          <w:numId w:val="35"/>
        </w:numPr>
        <w:tabs>
          <w:tab w:val="left" w:pos="1483"/>
        </w:tabs>
        <w:spacing w:before="4" w:after="0" w:line="240" w:lineRule="auto"/>
        <w:ind w:left="1482" w:right="0" w:hanging="703"/>
        <w:jc w:val="left"/>
        <w:rPr>
          <w:sz w:val="28"/>
        </w:rPr>
      </w:pPr>
      <w:r>
        <w:rPr>
          <w:spacing w:val="-3"/>
          <w:sz w:val="28"/>
        </w:rPr>
        <w:t>供应商认为有必要提供的其他资格证明文件。</w:t>
      </w:r>
    </w:p>
    <w:p>
      <w:pPr>
        <w:spacing w:after="0" w:line="240" w:lineRule="auto"/>
        <w:jc w:val="left"/>
        <w:rPr>
          <w:sz w:val="28"/>
        </w:rPr>
        <w:sectPr>
          <w:pgSz w:w="11850" w:h="16790"/>
          <w:pgMar w:top="1360" w:right="840" w:bottom="1440" w:left="1120" w:header="0" w:footer="1259" w:gutter="0"/>
          <w:pgNumType w:fmt="decimal"/>
          <w:cols w:space="720" w:num="1"/>
        </w:sectPr>
      </w:pPr>
    </w:p>
    <w:p>
      <w:pPr>
        <w:pStyle w:val="5"/>
        <w:numPr>
          <w:ilvl w:val="0"/>
          <w:numId w:val="0"/>
        </w:numPr>
        <w:tabs>
          <w:tab w:val="left" w:pos="1124"/>
        </w:tabs>
        <w:spacing w:before="32" w:after="0" w:line="240" w:lineRule="auto"/>
        <w:ind w:leftChars="0" w:right="0" w:rightChars="0"/>
        <w:jc w:val="left"/>
        <w:rPr>
          <w:rFonts w:hint="eastAsia"/>
          <w:lang w:val="zh-CN" w:eastAsia="zh-CN"/>
        </w:rPr>
      </w:pPr>
      <w:bookmarkStart w:id="120" w:name="_bookmark48"/>
      <w:bookmarkEnd w:id="120"/>
      <w:bookmarkStart w:id="121" w:name="（10）具备履行合同所必需的设备和专业技术能力的证明材料"/>
      <w:bookmarkEnd w:id="121"/>
      <w:bookmarkStart w:id="122" w:name="_Toc4047"/>
      <w:r>
        <w:rPr>
          <w:rFonts w:hint="eastAsia"/>
          <w:lang w:val="en-US" w:eastAsia="zh-CN"/>
        </w:rPr>
        <w:t>附件七：</w:t>
      </w:r>
      <w:r>
        <w:rPr>
          <w:rFonts w:hint="eastAsia"/>
          <w:lang w:val="zh-CN" w:eastAsia="zh-CN"/>
        </w:rPr>
        <w:t>财务状况报告，依法缴纳税收和社会保障资金的相关材料</w:t>
      </w:r>
      <w:bookmarkEnd w:id="122"/>
      <w:r>
        <w:rPr>
          <w:rFonts w:hint="eastAsia"/>
          <w:lang w:val="zh-CN" w:eastAsia="zh-CN"/>
        </w:rPr>
        <w:t xml:space="preserve"> </w:t>
      </w:r>
    </w:p>
    <w:p>
      <w:pPr>
        <w:pStyle w:val="20"/>
        <w:numPr>
          <w:ilvl w:val="0"/>
          <w:numId w:val="0"/>
        </w:numPr>
        <w:tabs>
          <w:tab w:val="left" w:pos="1024"/>
        </w:tabs>
        <w:spacing w:before="32" w:after="0" w:line="487" w:lineRule="auto"/>
        <w:ind w:left="218" w:leftChars="0" w:right="837" w:rightChars="0"/>
        <w:jc w:val="left"/>
        <w:rPr>
          <w:b/>
          <w:sz w:val="30"/>
        </w:rPr>
      </w:pPr>
      <w:r>
        <w:rPr>
          <w:b/>
          <w:sz w:val="32"/>
        </w:rPr>
        <w:t>财务状况报告，依法缴纳税收和社会保障资金的相关材料</w:t>
      </w:r>
    </w:p>
    <w:p>
      <w:pPr>
        <w:pStyle w:val="2"/>
        <w:spacing w:line="304" w:lineRule="exact"/>
        <w:ind w:left="699"/>
      </w:pPr>
      <w:r>
        <w:t>按照磋商文件规定提供以下相关材料。</w:t>
      </w:r>
    </w:p>
    <w:p>
      <w:pPr>
        <w:pStyle w:val="2"/>
        <w:spacing w:before="3" w:line="242" w:lineRule="auto"/>
        <w:ind w:right="288" w:firstLine="480"/>
      </w:pPr>
      <w:r>
        <w:t>1、供应商是法人的，提供基本开户银行近三个月内出具的资信证明（同时提供基本存款账户开户许可证）或上一年度（</w:t>
      </w:r>
      <w:r>
        <w:rPr>
          <w:color w:val="auto"/>
          <w:highlight w:val="none"/>
        </w:rPr>
        <w:t>2019年或2020年</w:t>
      </w:r>
      <w:r>
        <w:t>）经第三方审计的财务状况报告（扫描或复印件应全面、完整、清晰），包括资产负债表、现金流量表、利润表和财务（会计）报表附注，并提供第三方机构的营业执照、执业证书。供应商是其他组织和自然人，没有经审计的财务报告， 可以提供基本开户银行出具的资信证明（同时提供基本存款账户开户许可 证）。</w:t>
      </w:r>
    </w:p>
    <w:p>
      <w:pPr>
        <w:pStyle w:val="2"/>
        <w:spacing w:before="5" w:line="242" w:lineRule="auto"/>
        <w:ind w:right="373" w:firstLine="480"/>
        <w:jc w:val="both"/>
        <w:sectPr>
          <w:pgSz w:w="11850" w:h="16790"/>
          <w:pgMar w:top="1360" w:right="840" w:bottom="1440" w:left="1120" w:header="0" w:footer="1259" w:gutter="0"/>
          <w:pgNumType w:fmt="decimal"/>
          <w:cols w:space="720" w:num="1"/>
        </w:sectPr>
      </w:pPr>
      <w:r>
        <w:rPr>
          <w:spacing w:val="-1"/>
        </w:rPr>
        <w:t>2</w:t>
      </w:r>
      <w:r>
        <w:rPr>
          <w:spacing w:val="-5"/>
        </w:rPr>
        <w:t>、近</w:t>
      </w:r>
      <w:r>
        <w:rPr>
          <w:rFonts w:hint="eastAsia"/>
          <w:spacing w:val="-5"/>
          <w:lang w:val="en-US" w:eastAsia="zh-CN"/>
        </w:rPr>
        <w:t>半年任意三个月</w:t>
      </w:r>
      <w:r>
        <w:rPr>
          <w:spacing w:val="-5"/>
        </w:rPr>
        <w:t>的依法缴纳税收和社会保障资金记录的证明材料；依法免税</w:t>
      </w:r>
      <w:r>
        <w:rPr>
          <w:spacing w:val="-3"/>
        </w:rPr>
        <w:t>或不需要缴纳社会保障资金的供应商须提供相应文件证明其依法免税或不需要缴纳社会保障资金。</w:t>
      </w:r>
    </w:p>
    <w:p>
      <w:pPr>
        <w:pStyle w:val="5"/>
        <w:numPr>
          <w:ilvl w:val="0"/>
          <w:numId w:val="0"/>
        </w:numPr>
        <w:tabs>
          <w:tab w:val="left" w:pos="1124"/>
        </w:tabs>
        <w:spacing w:before="32" w:after="0" w:line="240" w:lineRule="auto"/>
        <w:ind w:leftChars="0" w:right="0" w:rightChars="0"/>
        <w:jc w:val="left"/>
        <w:rPr>
          <w:rFonts w:hint="eastAsia"/>
          <w:lang w:val="zh-CN" w:eastAsia="zh-CN"/>
        </w:rPr>
      </w:pPr>
      <w:bookmarkStart w:id="123" w:name="_bookmark49"/>
      <w:bookmarkEnd w:id="123"/>
      <w:bookmarkStart w:id="124" w:name="_bookmark50"/>
      <w:bookmarkEnd w:id="124"/>
      <w:bookmarkStart w:id="125" w:name="（11）无重大违法记录声明"/>
      <w:bookmarkEnd w:id="125"/>
      <w:bookmarkStart w:id="126" w:name="_Toc23803"/>
      <w:r>
        <w:rPr>
          <w:rFonts w:hint="eastAsia"/>
          <w:lang w:val="en-US" w:eastAsia="zh-CN"/>
        </w:rPr>
        <w:t>附件八：</w:t>
      </w:r>
      <w:r>
        <w:rPr>
          <w:rFonts w:hint="eastAsia"/>
          <w:lang w:val="zh-CN" w:eastAsia="zh-CN"/>
        </w:rPr>
        <w:t>无重大违法记录声明</w:t>
      </w:r>
      <w:bookmarkEnd w:id="126"/>
    </w:p>
    <w:p>
      <w:pPr>
        <w:pStyle w:val="2"/>
        <w:spacing w:before="10"/>
        <w:ind w:left="0"/>
        <w:rPr>
          <w:b/>
          <w:sz w:val="32"/>
        </w:rPr>
      </w:pPr>
    </w:p>
    <w:p>
      <w:pPr>
        <w:spacing w:before="0"/>
        <w:ind w:left="0" w:right="0" w:firstLine="0"/>
        <w:jc w:val="center"/>
        <w:rPr>
          <w:b/>
          <w:sz w:val="32"/>
        </w:rPr>
      </w:pPr>
      <w:r>
        <w:rPr>
          <w:b/>
          <w:sz w:val="32"/>
        </w:rPr>
        <w:t>无重大违法记录声明</w:t>
      </w:r>
    </w:p>
    <w:p>
      <w:pPr>
        <w:pStyle w:val="2"/>
        <w:spacing w:before="10"/>
        <w:ind w:left="0"/>
        <w:rPr>
          <w:b/>
        </w:rPr>
      </w:pPr>
    </w:p>
    <w:p>
      <w:pPr>
        <w:spacing w:before="0"/>
        <w:ind w:left="219" w:right="0" w:firstLine="0"/>
        <w:jc w:val="left"/>
        <w:rPr>
          <w:rFonts w:hint="eastAsia" w:eastAsia="宋体"/>
          <w:b/>
          <w:sz w:val="28"/>
          <w:lang w:eastAsia="zh-CN"/>
        </w:rPr>
      </w:pPr>
      <w:r>
        <w:rPr>
          <w:b/>
          <w:sz w:val="28"/>
        </w:rPr>
        <w:t>致：</w:t>
      </w:r>
      <w:r>
        <w:rPr>
          <w:rFonts w:hint="eastAsia"/>
          <w:b/>
          <w:sz w:val="28"/>
          <w:lang w:eastAsia="zh-CN"/>
        </w:rPr>
        <w:t>青海鑫凤林项目管理咨询有限公司　</w:t>
      </w:r>
    </w:p>
    <w:p>
      <w:pPr>
        <w:pStyle w:val="2"/>
        <w:spacing w:before="4" w:line="242" w:lineRule="auto"/>
        <w:ind w:right="426" w:firstLine="561"/>
        <w:jc w:val="both"/>
      </w:pPr>
      <w:r>
        <w:t>我单位参加本次政府采购项目活动前三年内，在经营活动中无重大违法活动记录，符合《政府采购法》规定的供应商资格条件。我方对此声明负全部法律责任。</w:t>
      </w:r>
    </w:p>
    <w:p>
      <w:pPr>
        <w:pStyle w:val="2"/>
        <w:spacing w:before="3"/>
        <w:ind w:left="780"/>
      </w:pPr>
      <w:r>
        <w:t>特此声明。</w:t>
      </w:r>
    </w:p>
    <w:p>
      <w:pPr>
        <w:pStyle w:val="2"/>
        <w:spacing w:before="7"/>
        <w:ind w:left="0"/>
      </w:pPr>
    </w:p>
    <w:p>
      <w:pPr>
        <w:pStyle w:val="2"/>
        <w:spacing w:line="244" w:lineRule="auto"/>
        <w:ind w:right="426" w:firstLine="561"/>
      </w:pPr>
      <w:r>
        <w:t>附：“信用中国</w:t>
      </w:r>
      <w:r>
        <w:rPr>
          <w:rFonts w:hint="eastAsia"/>
          <w:lang w:val="en-US" w:eastAsia="zh-CN"/>
        </w:rPr>
        <w:t>信用报告</w:t>
      </w:r>
      <w:r>
        <w:t>”、“中国政府采购网”网站查询截图，时间为投标截止时间前</w:t>
      </w:r>
      <w:r>
        <w:rPr>
          <w:rFonts w:hint="eastAsia"/>
          <w:lang w:val="en-US" w:eastAsia="zh-CN"/>
        </w:rPr>
        <w:t>10</w:t>
      </w:r>
      <w:r>
        <w:t>天内。</w:t>
      </w:r>
    </w:p>
    <w:p>
      <w:pPr>
        <w:pStyle w:val="2"/>
        <w:ind w:left="0"/>
      </w:pPr>
    </w:p>
    <w:p>
      <w:pPr>
        <w:pStyle w:val="2"/>
        <w:ind w:left="0"/>
      </w:pPr>
    </w:p>
    <w:p>
      <w:pPr>
        <w:pStyle w:val="2"/>
        <w:ind w:left="0"/>
      </w:pPr>
    </w:p>
    <w:p>
      <w:pPr>
        <w:pStyle w:val="2"/>
        <w:spacing w:before="12"/>
        <w:ind w:left="0"/>
      </w:pPr>
    </w:p>
    <w:p>
      <w:pPr>
        <w:tabs>
          <w:tab w:val="left" w:pos="4497"/>
        </w:tabs>
        <w:spacing w:before="0"/>
        <w:ind w:left="0" w:right="205" w:firstLine="0"/>
        <w:jc w:val="right"/>
        <w:rPr>
          <w:b/>
          <w:sz w:val="28"/>
        </w:rPr>
      </w:pPr>
      <w:r>
        <w:rPr>
          <w:b/>
          <w:sz w:val="28"/>
        </w:rPr>
        <w:t>供应商：</w:t>
      </w:r>
      <w:r>
        <w:rPr>
          <w:b/>
          <w:sz w:val="28"/>
        </w:rPr>
        <w:tab/>
      </w:r>
      <w:r>
        <w:rPr>
          <w:b/>
          <w:spacing w:val="-1"/>
          <w:w w:val="95"/>
          <w:sz w:val="28"/>
        </w:rPr>
        <w:t>（公章</w:t>
      </w:r>
      <w:r>
        <w:rPr>
          <w:b/>
          <w:w w:val="95"/>
          <w:sz w:val="28"/>
        </w:rPr>
        <w:t>）</w:t>
      </w:r>
    </w:p>
    <w:p>
      <w:pPr>
        <w:tabs>
          <w:tab w:val="left" w:pos="4495"/>
        </w:tabs>
        <w:spacing w:before="4"/>
        <w:ind w:left="0" w:right="212" w:firstLine="0"/>
        <w:jc w:val="right"/>
        <w:rPr>
          <w:b/>
          <w:sz w:val="28"/>
        </w:rPr>
      </w:pPr>
      <w:r>
        <w:rPr>
          <w:b/>
          <w:sz w:val="28"/>
        </w:rPr>
        <w:t>法定代表人或委托代理人：</w:t>
      </w:r>
      <w:r>
        <w:rPr>
          <w:b/>
          <w:sz w:val="28"/>
        </w:rPr>
        <w:tab/>
      </w:r>
      <w:r>
        <w:rPr>
          <w:b/>
          <w:spacing w:val="-1"/>
          <w:w w:val="95"/>
          <w:sz w:val="28"/>
        </w:rPr>
        <w:t>（签字</w:t>
      </w:r>
      <w:r>
        <w:rPr>
          <w:b/>
          <w:w w:val="95"/>
          <w:sz w:val="28"/>
        </w:rPr>
        <w:t>或盖章）</w:t>
      </w:r>
    </w:p>
    <w:p>
      <w:pPr>
        <w:tabs>
          <w:tab w:val="left" w:pos="842"/>
          <w:tab w:val="left" w:pos="1684"/>
        </w:tabs>
        <w:spacing w:before="6"/>
        <w:ind w:left="0" w:right="216" w:firstLine="0"/>
        <w:jc w:val="right"/>
        <w:rPr>
          <w:b/>
          <w:sz w:val="28"/>
        </w:rPr>
      </w:pPr>
      <w:r>
        <w:rPr>
          <w:b/>
          <w:sz w:val="28"/>
        </w:rPr>
        <w:t>年</w:t>
      </w:r>
      <w:r>
        <w:rPr>
          <w:b/>
          <w:sz w:val="28"/>
        </w:rPr>
        <w:tab/>
      </w:r>
      <w:r>
        <w:rPr>
          <w:b/>
          <w:sz w:val="28"/>
        </w:rPr>
        <w:t>月</w:t>
      </w:r>
      <w:r>
        <w:rPr>
          <w:b/>
          <w:sz w:val="28"/>
        </w:rPr>
        <w:tab/>
      </w:r>
      <w:r>
        <w:rPr>
          <w:b/>
          <w:spacing w:val="-1"/>
          <w:sz w:val="28"/>
        </w:rPr>
        <w:t>日</w:t>
      </w:r>
    </w:p>
    <w:p>
      <w:pPr>
        <w:spacing w:after="0"/>
        <w:jc w:val="right"/>
        <w:rPr>
          <w:sz w:val="28"/>
        </w:rPr>
        <w:sectPr>
          <w:pgSz w:w="11850" w:h="16790"/>
          <w:pgMar w:top="1360" w:right="840" w:bottom="1440" w:left="1120" w:header="0" w:footer="1259" w:gutter="0"/>
          <w:pgNumType w:fmt="decimal"/>
          <w:cols w:space="720" w:num="1"/>
        </w:sectPr>
      </w:pPr>
    </w:p>
    <w:p>
      <w:pPr>
        <w:pStyle w:val="5"/>
        <w:numPr>
          <w:ilvl w:val="0"/>
          <w:numId w:val="0"/>
        </w:numPr>
        <w:tabs>
          <w:tab w:val="left" w:pos="1124"/>
        </w:tabs>
        <w:spacing w:before="32" w:after="0" w:line="240" w:lineRule="auto"/>
        <w:ind w:leftChars="0" w:right="0" w:rightChars="0"/>
        <w:jc w:val="left"/>
        <w:rPr>
          <w:rFonts w:hint="eastAsia"/>
          <w:lang w:val="zh-CN" w:eastAsia="zh-CN"/>
        </w:rPr>
      </w:pPr>
      <w:bookmarkStart w:id="127" w:name="_bookmark51"/>
      <w:bookmarkEnd w:id="127"/>
      <w:bookmarkStart w:id="128" w:name="（12）磋商保证金证明"/>
      <w:bookmarkEnd w:id="128"/>
      <w:bookmarkStart w:id="129" w:name="_Toc10011"/>
      <w:r>
        <w:rPr>
          <w:rFonts w:hint="eastAsia"/>
          <w:lang w:val="en-US" w:eastAsia="zh-CN"/>
        </w:rPr>
        <w:t>附件九：</w:t>
      </w:r>
      <w:r>
        <w:rPr>
          <w:rFonts w:hint="eastAsia"/>
          <w:lang w:val="zh-CN" w:eastAsia="zh-CN"/>
        </w:rPr>
        <w:t>磋商保证金证明</w:t>
      </w:r>
      <w:bookmarkEnd w:id="129"/>
    </w:p>
    <w:p>
      <w:pPr>
        <w:pStyle w:val="2"/>
        <w:spacing w:before="7"/>
        <w:ind w:left="0"/>
        <w:rPr>
          <w:b/>
        </w:rPr>
      </w:pPr>
    </w:p>
    <w:p>
      <w:pPr>
        <w:spacing w:before="54"/>
        <w:ind w:left="0" w:right="0" w:firstLine="0"/>
        <w:jc w:val="center"/>
        <w:rPr>
          <w:b/>
          <w:sz w:val="32"/>
        </w:rPr>
      </w:pPr>
      <w:r>
        <w:rPr>
          <w:b/>
          <w:sz w:val="32"/>
        </w:rPr>
        <w:t>磋商保证金证明</w:t>
      </w:r>
    </w:p>
    <w:p>
      <w:pPr>
        <w:pStyle w:val="2"/>
        <w:spacing w:before="10"/>
        <w:ind w:left="0"/>
        <w:rPr>
          <w:b/>
        </w:rPr>
      </w:pPr>
    </w:p>
    <w:p>
      <w:pPr>
        <w:spacing w:before="1"/>
        <w:ind w:left="219" w:right="0" w:firstLine="0"/>
        <w:jc w:val="left"/>
        <w:rPr>
          <w:rFonts w:hint="eastAsia" w:eastAsia="宋体"/>
          <w:b/>
          <w:sz w:val="28"/>
          <w:lang w:eastAsia="zh-CN"/>
        </w:rPr>
      </w:pPr>
      <w:r>
        <w:rPr>
          <w:b/>
          <w:sz w:val="28"/>
        </w:rPr>
        <w:t>致：</w:t>
      </w:r>
      <w:r>
        <w:rPr>
          <w:rFonts w:hint="eastAsia"/>
          <w:b/>
          <w:sz w:val="28"/>
          <w:lang w:eastAsia="zh-CN"/>
        </w:rPr>
        <w:t>青海鑫凤林项目管理咨询有限公司　</w:t>
      </w:r>
    </w:p>
    <w:p>
      <w:pPr>
        <w:pStyle w:val="2"/>
        <w:spacing w:before="3" w:line="242" w:lineRule="auto"/>
        <w:ind w:right="287" w:firstLine="360"/>
        <w:jc w:val="both"/>
      </w:pPr>
      <w:r>
        <w:rPr>
          <w:spacing w:val="-2"/>
        </w:rPr>
        <w:t>我方为</w:t>
      </w:r>
      <w:r>
        <w:t>（</w:t>
      </w:r>
      <w:r>
        <w:rPr>
          <w:spacing w:val="-3"/>
        </w:rPr>
        <w:t>采购项目名称）</w:t>
      </w:r>
      <w:r>
        <w:t>项目</w:t>
      </w:r>
      <w:r>
        <w:rPr>
          <w:spacing w:val="-3"/>
        </w:rPr>
        <w:t>（</w:t>
      </w:r>
      <w:r>
        <w:rPr>
          <w:spacing w:val="-2"/>
        </w:rPr>
        <w:t xml:space="preserve">采购项目编号为：   </w:t>
      </w:r>
      <w:r>
        <w:t>）</w:t>
      </w:r>
      <w:r>
        <w:rPr>
          <w:spacing w:val="-3"/>
        </w:rPr>
        <w:t>递交保证金人民币      元（</w:t>
      </w:r>
      <w:r>
        <w:rPr>
          <w:spacing w:val="-1"/>
        </w:rPr>
        <w:t>大写：人民币       元</w:t>
      </w:r>
      <w:r>
        <w:rPr>
          <w:spacing w:val="-3"/>
        </w:rPr>
        <w:t>）</w:t>
      </w:r>
      <w:r>
        <w:rPr>
          <w:spacing w:val="-1"/>
        </w:rPr>
        <w:t>已于     年    月    日以基本户</w:t>
      </w:r>
      <w:r>
        <w:rPr>
          <w:spacing w:val="-3"/>
        </w:rPr>
        <w:t>转账方式汇入你方账户。</w:t>
      </w:r>
    </w:p>
    <w:p>
      <w:pPr>
        <w:pStyle w:val="2"/>
        <w:spacing w:before="3"/>
        <w:ind w:left="579"/>
      </w:pPr>
      <w:r>
        <w:t>附件：保证金交款证明复印件（加盖公章）</w:t>
      </w:r>
    </w:p>
    <w:p>
      <w:pPr>
        <w:pStyle w:val="2"/>
        <w:spacing w:before="3" w:line="242" w:lineRule="auto"/>
        <w:ind w:right="347" w:firstLine="360"/>
        <w:jc w:val="both"/>
      </w:pPr>
      <w:r>
        <w:t>退还保证金时请按以下内容汇入至我方账户（同递交保证金账户）。若因提供内容不全、错误等原因导致该项目保证金未能及时退还或退还过程中发生错误，我方将承担全部责任和损失。</w:t>
      </w:r>
    </w:p>
    <w:p>
      <w:pPr>
        <w:pStyle w:val="2"/>
        <w:tabs>
          <w:tab w:val="left" w:pos="6879"/>
        </w:tabs>
        <w:spacing w:before="3" w:line="242" w:lineRule="auto"/>
        <w:ind w:left="579" w:right="2868"/>
        <w:jc w:val="both"/>
      </w:pPr>
      <w:r>
        <w:t xml:space="preserve">户  </w:t>
      </w:r>
      <w:r>
        <w:rPr>
          <w:spacing w:val="139"/>
        </w:rPr>
        <w:t xml:space="preserve"> </w:t>
      </w:r>
      <w:r>
        <w:t>名：</w:t>
      </w:r>
      <w:r>
        <w:rPr>
          <w:u w:val="single"/>
        </w:rPr>
        <w:t xml:space="preserve"> </w:t>
      </w:r>
      <w:r>
        <w:rPr>
          <w:u w:val="single"/>
        </w:rPr>
        <w:tab/>
      </w:r>
      <w:r>
        <w:rPr>
          <w:spacing w:val="-18"/>
          <w:u w:val="single"/>
        </w:rPr>
        <w:t xml:space="preserve">. </w:t>
      </w:r>
      <w:r>
        <w:t>开</w:t>
      </w:r>
      <w:r>
        <w:rPr>
          <w:spacing w:val="-3"/>
        </w:rPr>
        <w:t>户</w:t>
      </w:r>
      <w:r>
        <w:t>银行：</w:t>
      </w:r>
      <w:r>
        <w:rPr>
          <w:u w:val="single"/>
        </w:rPr>
        <w:t xml:space="preserve"> </w:t>
      </w:r>
      <w:r>
        <w:rPr>
          <w:u w:val="single"/>
        </w:rPr>
        <w:tab/>
      </w:r>
      <w:r>
        <w:rPr>
          <w:spacing w:val="-18"/>
          <w:u w:val="single"/>
        </w:rPr>
        <w:t xml:space="preserve">. </w:t>
      </w:r>
      <w:r>
        <w:t>开</w:t>
      </w:r>
      <w:r>
        <w:rPr>
          <w:spacing w:val="-3"/>
        </w:rPr>
        <w:t>户</w:t>
      </w:r>
      <w:r>
        <w:t>帐号：</w:t>
      </w:r>
      <w:r>
        <w:rPr>
          <w:u w:val="single"/>
        </w:rPr>
        <w:t xml:space="preserve"> </w:t>
      </w:r>
      <w:r>
        <w:rPr>
          <w:u w:val="single"/>
        </w:rPr>
        <w:tab/>
      </w:r>
      <w:r>
        <w:rPr>
          <w:spacing w:val="-18"/>
          <w:u w:val="single"/>
        </w:rPr>
        <w:t>.</w:t>
      </w:r>
    </w:p>
    <w:p>
      <w:pPr>
        <w:pStyle w:val="2"/>
        <w:ind w:left="0"/>
        <w:rPr>
          <w:sz w:val="20"/>
        </w:rPr>
      </w:pPr>
    </w:p>
    <w:p>
      <w:pPr>
        <w:pStyle w:val="2"/>
        <w:ind w:left="0"/>
        <w:rPr>
          <w:sz w:val="20"/>
        </w:rPr>
      </w:pPr>
    </w:p>
    <w:p>
      <w:pPr>
        <w:pStyle w:val="2"/>
        <w:ind w:left="0"/>
        <w:rPr>
          <w:sz w:val="20"/>
        </w:rPr>
      </w:pPr>
    </w:p>
    <w:p>
      <w:pPr>
        <w:pStyle w:val="2"/>
        <w:spacing w:before="6"/>
        <w:ind w:left="0"/>
        <w:rPr>
          <w:sz w:val="20"/>
        </w:rPr>
      </w:pPr>
    </w:p>
    <w:p>
      <w:pPr>
        <w:tabs>
          <w:tab w:val="left" w:pos="4497"/>
        </w:tabs>
        <w:spacing w:before="61"/>
        <w:ind w:left="0" w:right="205" w:firstLine="0"/>
        <w:jc w:val="right"/>
        <w:rPr>
          <w:b/>
          <w:sz w:val="28"/>
        </w:rPr>
      </w:pPr>
      <w:r>
        <w:rPr>
          <w:b/>
          <w:sz w:val="28"/>
        </w:rPr>
        <w:t>供应商：</w:t>
      </w:r>
      <w:r>
        <w:rPr>
          <w:b/>
          <w:sz w:val="28"/>
        </w:rPr>
        <w:tab/>
      </w:r>
      <w:r>
        <w:rPr>
          <w:b/>
          <w:spacing w:val="-1"/>
          <w:w w:val="95"/>
          <w:sz w:val="28"/>
        </w:rPr>
        <w:t>（公章</w:t>
      </w:r>
      <w:r>
        <w:rPr>
          <w:b/>
          <w:w w:val="95"/>
          <w:sz w:val="28"/>
        </w:rPr>
        <w:t>）</w:t>
      </w:r>
    </w:p>
    <w:p>
      <w:pPr>
        <w:tabs>
          <w:tab w:val="left" w:pos="4495"/>
        </w:tabs>
        <w:spacing w:before="4"/>
        <w:ind w:left="0" w:right="212" w:firstLine="0"/>
        <w:jc w:val="right"/>
        <w:rPr>
          <w:b/>
          <w:sz w:val="28"/>
        </w:rPr>
      </w:pPr>
      <w:r>
        <w:rPr>
          <w:b/>
          <w:sz w:val="28"/>
        </w:rPr>
        <w:t>法定代表人或委托代理人：</w:t>
      </w:r>
      <w:r>
        <w:rPr>
          <w:b/>
          <w:sz w:val="28"/>
        </w:rPr>
        <w:tab/>
      </w:r>
      <w:r>
        <w:rPr>
          <w:b/>
          <w:spacing w:val="-1"/>
          <w:w w:val="95"/>
          <w:sz w:val="28"/>
        </w:rPr>
        <w:t>（签字</w:t>
      </w:r>
      <w:r>
        <w:rPr>
          <w:b/>
          <w:w w:val="95"/>
          <w:sz w:val="28"/>
        </w:rPr>
        <w:t>或盖章）</w:t>
      </w:r>
    </w:p>
    <w:p>
      <w:pPr>
        <w:tabs>
          <w:tab w:val="left" w:pos="842"/>
          <w:tab w:val="left" w:pos="1684"/>
        </w:tabs>
        <w:spacing w:before="6"/>
        <w:ind w:left="0" w:right="216" w:firstLine="0"/>
        <w:jc w:val="right"/>
        <w:rPr>
          <w:sz w:val="28"/>
        </w:rPr>
        <w:sectPr>
          <w:pgSz w:w="11850" w:h="16790"/>
          <w:pgMar w:top="1360" w:right="840" w:bottom="1440" w:left="1120" w:header="0" w:footer="1259" w:gutter="0"/>
          <w:pgNumType w:fmt="decimal"/>
          <w:cols w:space="720" w:num="1"/>
        </w:sectPr>
      </w:pPr>
      <w:r>
        <w:rPr>
          <w:b/>
          <w:sz w:val="28"/>
        </w:rPr>
        <w:t>年</w:t>
      </w:r>
      <w:r>
        <w:rPr>
          <w:b/>
          <w:sz w:val="28"/>
        </w:rPr>
        <w:tab/>
      </w:r>
      <w:r>
        <w:rPr>
          <w:b/>
          <w:sz w:val="28"/>
        </w:rPr>
        <w:t>月</w:t>
      </w:r>
      <w:r>
        <w:rPr>
          <w:b/>
          <w:sz w:val="28"/>
        </w:rPr>
        <w:tab/>
      </w:r>
      <w:r>
        <w:rPr>
          <w:b/>
          <w:spacing w:val="-1"/>
          <w:sz w:val="28"/>
        </w:rPr>
        <w:t>日</w:t>
      </w:r>
    </w:p>
    <w:p>
      <w:pPr>
        <w:pStyle w:val="5"/>
        <w:numPr>
          <w:ilvl w:val="0"/>
          <w:numId w:val="0"/>
        </w:numPr>
        <w:tabs>
          <w:tab w:val="left" w:pos="1124"/>
        </w:tabs>
        <w:spacing w:before="32" w:after="0" w:line="240" w:lineRule="auto"/>
        <w:ind w:leftChars="0" w:right="0" w:rightChars="0"/>
        <w:jc w:val="left"/>
      </w:pPr>
      <w:bookmarkStart w:id="130" w:name="_bookmark53"/>
      <w:bookmarkEnd w:id="130"/>
      <w:bookmarkStart w:id="131" w:name="（13）评分对照表"/>
      <w:bookmarkEnd w:id="131"/>
      <w:bookmarkStart w:id="132" w:name="（15）提供产品的相关资料"/>
      <w:bookmarkEnd w:id="132"/>
      <w:bookmarkStart w:id="133" w:name="_bookmark54"/>
      <w:bookmarkEnd w:id="133"/>
      <w:bookmarkStart w:id="134" w:name="（14）技术规格响应表"/>
      <w:bookmarkEnd w:id="134"/>
      <w:bookmarkStart w:id="135" w:name="_bookmark52"/>
      <w:bookmarkEnd w:id="135"/>
      <w:bookmarkStart w:id="136" w:name="_Toc3325"/>
      <w:bookmarkStart w:id="137" w:name="_Toc4508"/>
      <w:r>
        <w:rPr>
          <w:rFonts w:hint="eastAsia"/>
          <w:lang w:val="en-US" w:eastAsia="zh-CN"/>
        </w:rPr>
        <w:t>附件十：</w:t>
      </w:r>
      <w:r>
        <w:t>首次报价表</w:t>
      </w:r>
      <w:bookmarkEnd w:id="136"/>
      <w:bookmarkEnd w:id="137"/>
    </w:p>
    <w:p>
      <w:pPr>
        <w:pStyle w:val="2"/>
        <w:ind w:left="0"/>
        <w:rPr>
          <w:b/>
          <w:sz w:val="20"/>
        </w:rPr>
      </w:pPr>
    </w:p>
    <w:p>
      <w:pPr>
        <w:pStyle w:val="2"/>
        <w:spacing w:before="7"/>
        <w:ind w:left="0"/>
        <w:rPr>
          <w:b/>
          <w:sz w:val="17"/>
        </w:rPr>
      </w:pPr>
    </w:p>
    <w:p>
      <w:pPr>
        <w:spacing w:before="49"/>
        <w:ind w:left="0" w:right="0" w:firstLine="0"/>
        <w:jc w:val="center"/>
        <w:rPr>
          <w:b/>
          <w:sz w:val="36"/>
        </w:rPr>
      </w:pPr>
      <w:r>
        <w:rPr>
          <w:b/>
          <w:sz w:val="36"/>
        </w:rPr>
        <w:t>首次报价表</w:t>
      </w:r>
    </w:p>
    <w:p>
      <w:pPr>
        <w:pStyle w:val="2"/>
        <w:spacing w:before="10"/>
        <w:ind w:left="0"/>
        <w:rPr>
          <w:b/>
        </w:rPr>
      </w:pPr>
    </w:p>
    <w:tbl>
      <w:tblPr>
        <w:tblStyle w:val="16"/>
        <w:tblW w:w="0" w:type="auto"/>
        <w:tblInd w:w="6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2"/>
        <w:gridCol w:w="6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112" w:type="dxa"/>
          </w:tcPr>
          <w:p>
            <w:pPr>
              <w:pStyle w:val="21"/>
              <w:spacing w:before="3" w:line="340" w:lineRule="exact"/>
              <w:ind w:left="336" w:right="326"/>
              <w:jc w:val="center"/>
              <w:rPr>
                <w:sz w:val="28"/>
              </w:rPr>
            </w:pPr>
            <w:r>
              <w:rPr>
                <w:sz w:val="28"/>
              </w:rPr>
              <w:t>供应商名称</w:t>
            </w:r>
          </w:p>
        </w:tc>
        <w:tc>
          <w:tcPr>
            <w:tcW w:w="6403" w:type="dxa"/>
          </w:tcPr>
          <w:p>
            <w:pPr>
              <w:pStyle w:val="2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112" w:type="dxa"/>
          </w:tcPr>
          <w:p>
            <w:pPr>
              <w:pStyle w:val="21"/>
              <w:spacing w:before="2" w:line="341" w:lineRule="exact"/>
              <w:ind w:left="336" w:right="324"/>
              <w:jc w:val="center"/>
              <w:rPr>
                <w:sz w:val="28"/>
              </w:rPr>
            </w:pPr>
            <w:r>
              <w:rPr>
                <w:sz w:val="28"/>
              </w:rPr>
              <w:t>项目名称</w:t>
            </w:r>
          </w:p>
        </w:tc>
        <w:tc>
          <w:tcPr>
            <w:tcW w:w="6403" w:type="dxa"/>
          </w:tcPr>
          <w:p>
            <w:pPr>
              <w:pStyle w:val="2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112" w:type="dxa"/>
          </w:tcPr>
          <w:p>
            <w:pPr>
              <w:pStyle w:val="21"/>
              <w:spacing w:before="3" w:line="339" w:lineRule="exact"/>
              <w:ind w:left="336" w:right="324"/>
              <w:jc w:val="center"/>
              <w:rPr>
                <w:sz w:val="28"/>
              </w:rPr>
            </w:pPr>
            <w:r>
              <w:rPr>
                <w:sz w:val="28"/>
              </w:rPr>
              <w:t>项目包号</w:t>
            </w:r>
          </w:p>
        </w:tc>
        <w:tc>
          <w:tcPr>
            <w:tcW w:w="6403" w:type="dxa"/>
          </w:tcPr>
          <w:p>
            <w:pPr>
              <w:pStyle w:val="2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112" w:type="dxa"/>
          </w:tcPr>
          <w:p>
            <w:pPr>
              <w:pStyle w:val="21"/>
              <w:spacing w:before="2"/>
              <w:ind w:left="336" w:right="324"/>
              <w:jc w:val="center"/>
              <w:rPr>
                <w:sz w:val="28"/>
              </w:rPr>
            </w:pPr>
            <w:r>
              <w:rPr>
                <w:sz w:val="28"/>
              </w:rPr>
              <w:t>磋商报价</w:t>
            </w:r>
          </w:p>
          <w:p>
            <w:pPr>
              <w:pStyle w:val="21"/>
              <w:spacing w:before="4" w:line="341" w:lineRule="exact"/>
              <w:ind w:left="336" w:right="326"/>
              <w:jc w:val="center"/>
              <w:rPr>
                <w:sz w:val="28"/>
              </w:rPr>
            </w:pPr>
            <w:r>
              <w:rPr>
                <w:sz w:val="28"/>
              </w:rPr>
              <w:t>（单位元）</w:t>
            </w:r>
          </w:p>
        </w:tc>
        <w:tc>
          <w:tcPr>
            <w:tcW w:w="6403" w:type="dxa"/>
          </w:tcPr>
          <w:p>
            <w:pPr>
              <w:pStyle w:val="21"/>
              <w:spacing w:before="2"/>
              <w:ind w:left="57"/>
              <w:rPr>
                <w:sz w:val="28"/>
              </w:rPr>
            </w:pPr>
            <w:r>
              <w:rPr>
                <w:spacing w:val="-2"/>
                <w:sz w:val="28"/>
              </w:rPr>
              <w:t>大写：</w:t>
            </w:r>
          </w:p>
          <w:p>
            <w:pPr>
              <w:pStyle w:val="21"/>
              <w:spacing w:before="4" w:line="341" w:lineRule="exact"/>
              <w:ind w:left="57"/>
              <w:rPr>
                <w:sz w:val="28"/>
              </w:rPr>
            </w:pPr>
            <w:r>
              <w:rPr>
                <w:spacing w:val="-2"/>
                <w:sz w:val="28"/>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112" w:type="dxa"/>
          </w:tcPr>
          <w:p>
            <w:pPr>
              <w:pStyle w:val="21"/>
              <w:spacing w:before="3" w:line="341" w:lineRule="exact"/>
              <w:ind w:left="336" w:right="324"/>
              <w:jc w:val="center"/>
              <w:rPr>
                <w:sz w:val="28"/>
              </w:rPr>
            </w:pPr>
            <w:r>
              <w:rPr>
                <w:sz w:val="28"/>
              </w:rPr>
              <w:t>交货时间</w:t>
            </w:r>
          </w:p>
        </w:tc>
        <w:tc>
          <w:tcPr>
            <w:tcW w:w="6403" w:type="dxa"/>
          </w:tcPr>
          <w:p>
            <w:pPr>
              <w:pStyle w:val="21"/>
              <w:rPr>
                <w:rFonts w:ascii="Times New Roman"/>
                <w:sz w:val="28"/>
              </w:rPr>
            </w:pPr>
          </w:p>
        </w:tc>
      </w:tr>
    </w:tbl>
    <w:p>
      <w:pPr>
        <w:pStyle w:val="2"/>
        <w:spacing w:before="1"/>
      </w:pPr>
      <w:r>
        <w:t>注：1.填写此表时不得改变表格形式。</w:t>
      </w:r>
    </w:p>
    <w:p>
      <w:pPr>
        <w:pStyle w:val="2"/>
        <w:spacing w:before="1"/>
        <w:ind w:firstLine="560" w:firstLineChars="200"/>
        <w:rPr>
          <w:sz w:val="28"/>
        </w:rPr>
      </w:pPr>
      <w:r>
        <w:rPr>
          <w:rFonts w:hint="eastAsia"/>
          <w:lang w:val="en-US" w:eastAsia="zh-CN"/>
        </w:rPr>
        <w:t>2.</w:t>
      </w:r>
      <w:r>
        <w:rPr>
          <w:spacing w:val="-3"/>
          <w:sz w:val="28"/>
        </w:rPr>
        <w:t>“磋商报价”为响应总价。磋商报价必须包括：产品费、包装费、运输费、安装费、调试费、培训费、售前售中售后服务费、保险费、手续费、税金及不可预见费等全部费用。</w:t>
      </w:r>
    </w:p>
    <w:p>
      <w:pPr>
        <w:pStyle w:val="20"/>
        <w:numPr>
          <w:ilvl w:val="0"/>
          <w:numId w:val="0"/>
        </w:numPr>
        <w:tabs>
          <w:tab w:val="left" w:pos="1062"/>
        </w:tabs>
        <w:spacing w:before="3" w:after="0" w:line="240" w:lineRule="auto"/>
        <w:ind w:right="0" w:rightChars="0" w:firstLine="822" w:firstLineChars="300"/>
        <w:jc w:val="left"/>
        <w:rPr>
          <w:sz w:val="28"/>
        </w:rPr>
      </w:pPr>
      <w:r>
        <w:rPr>
          <w:rFonts w:hint="eastAsia"/>
          <w:spacing w:val="-3"/>
          <w:sz w:val="28"/>
          <w:lang w:val="en-US" w:eastAsia="zh-CN"/>
        </w:rPr>
        <w:t>3.</w:t>
      </w:r>
      <w:r>
        <w:rPr>
          <w:spacing w:val="-3"/>
          <w:sz w:val="28"/>
        </w:rPr>
        <w:t>“交货时间”是指产品能够交付使用的具体时间。</w:t>
      </w:r>
    </w:p>
    <w:p>
      <w:pPr>
        <w:pStyle w:val="20"/>
        <w:numPr>
          <w:ilvl w:val="0"/>
          <w:numId w:val="0"/>
        </w:numPr>
        <w:tabs>
          <w:tab w:val="left" w:pos="983"/>
        </w:tabs>
        <w:spacing w:before="4" w:after="0" w:line="240" w:lineRule="auto"/>
        <w:ind w:left="799" w:leftChars="0" w:right="0" w:rightChars="0"/>
        <w:jc w:val="left"/>
        <w:rPr>
          <w:sz w:val="28"/>
        </w:rPr>
      </w:pPr>
      <w:r>
        <w:rPr>
          <w:rFonts w:hint="eastAsia"/>
          <w:spacing w:val="-3"/>
          <w:sz w:val="28"/>
          <w:lang w:val="en-US" w:eastAsia="zh-CN"/>
        </w:rPr>
        <w:t>4.</w:t>
      </w:r>
      <w:r>
        <w:rPr>
          <w:spacing w:val="-3"/>
          <w:sz w:val="28"/>
        </w:rPr>
        <w:t>磋商报价不能有两个或两个以上的报价方案，否则响应无效。</w:t>
      </w:r>
    </w:p>
    <w:p>
      <w:pPr>
        <w:pStyle w:val="2"/>
        <w:ind w:left="0"/>
      </w:pPr>
    </w:p>
    <w:p>
      <w:pPr>
        <w:pStyle w:val="2"/>
        <w:ind w:left="0"/>
        <w:rPr>
          <w:sz w:val="29"/>
        </w:rPr>
      </w:pPr>
    </w:p>
    <w:p>
      <w:pPr>
        <w:tabs>
          <w:tab w:val="left" w:pos="4497"/>
        </w:tabs>
        <w:spacing w:before="0"/>
        <w:ind w:left="0" w:right="205" w:firstLine="0"/>
        <w:jc w:val="right"/>
        <w:rPr>
          <w:b/>
          <w:sz w:val="28"/>
        </w:rPr>
      </w:pPr>
      <w:r>
        <w:rPr>
          <w:b/>
          <w:sz w:val="28"/>
        </w:rPr>
        <w:t>供应商：</w:t>
      </w:r>
      <w:r>
        <w:rPr>
          <w:b/>
          <w:sz w:val="28"/>
        </w:rPr>
        <w:tab/>
      </w:r>
      <w:r>
        <w:rPr>
          <w:b/>
          <w:spacing w:val="-1"/>
          <w:w w:val="95"/>
          <w:sz w:val="28"/>
        </w:rPr>
        <w:t>（公章</w:t>
      </w:r>
      <w:r>
        <w:rPr>
          <w:b/>
          <w:w w:val="95"/>
          <w:sz w:val="28"/>
        </w:rPr>
        <w:t>）</w:t>
      </w:r>
    </w:p>
    <w:p>
      <w:pPr>
        <w:tabs>
          <w:tab w:val="left" w:pos="4495"/>
        </w:tabs>
        <w:spacing w:before="4"/>
        <w:ind w:left="0" w:right="212" w:firstLine="0"/>
        <w:jc w:val="right"/>
        <w:rPr>
          <w:b/>
          <w:sz w:val="28"/>
        </w:rPr>
      </w:pPr>
      <w:r>
        <w:rPr>
          <w:b/>
          <w:sz w:val="28"/>
        </w:rPr>
        <w:t>法定代表人或委托代理人：</w:t>
      </w:r>
      <w:r>
        <w:rPr>
          <w:b/>
          <w:sz w:val="28"/>
        </w:rPr>
        <w:tab/>
      </w:r>
      <w:r>
        <w:rPr>
          <w:b/>
          <w:spacing w:val="-1"/>
          <w:w w:val="95"/>
          <w:sz w:val="28"/>
        </w:rPr>
        <w:t>（签字</w:t>
      </w:r>
      <w:r>
        <w:rPr>
          <w:b/>
          <w:w w:val="95"/>
          <w:sz w:val="28"/>
        </w:rPr>
        <w:t>或盖章）</w:t>
      </w:r>
    </w:p>
    <w:p>
      <w:pPr>
        <w:tabs>
          <w:tab w:val="left" w:pos="842"/>
          <w:tab w:val="left" w:pos="1684"/>
        </w:tabs>
        <w:spacing w:before="3"/>
        <w:ind w:left="0" w:right="216" w:firstLine="0"/>
        <w:jc w:val="right"/>
        <w:rPr>
          <w:b/>
          <w:sz w:val="28"/>
        </w:rPr>
      </w:pPr>
      <w:r>
        <w:rPr>
          <w:b/>
          <w:sz w:val="28"/>
        </w:rPr>
        <w:t>年</w:t>
      </w:r>
      <w:r>
        <w:rPr>
          <w:b/>
          <w:sz w:val="28"/>
        </w:rPr>
        <w:tab/>
      </w:r>
      <w:r>
        <w:rPr>
          <w:b/>
          <w:sz w:val="28"/>
        </w:rPr>
        <w:t>月</w:t>
      </w:r>
      <w:r>
        <w:rPr>
          <w:b/>
          <w:sz w:val="28"/>
        </w:rPr>
        <w:tab/>
      </w:r>
      <w:r>
        <w:rPr>
          <w:b/>
          <w:spacing w:val="-1"/>
          <w:sz w:val="28"/>
        </w:rPr>
        <w:t>日</w:t>
      </w:r>
    </w:p>
    <w:p>
      <w:pPr>
        <w:spacing w:after="0"/>
        <w:jc w:val="right"/>
        <w:rPr>
          <w:sz w:val="28"/>
        </w:rPr>
        <w:sectPr>
          <w:pgSz w:w="11850" w:h="16790"/>
          <w:pgMar w:top="1360" w:right="840" w:bottom="1440" w:left="1120" w:header="0" w:footer="1259" w:gutter="0"/>
          <w:pgNumType w:fmt="decimal"/>
          <w:cols w:space="720" w:num="1"/>
        </w:sectPr>
      </w:pPr>
    </w:p>
    <w:p>
      <w:pPr>
        <w:pStyle w:val="5"/>
        <w:numPr>
          <w:ilvl w:val="0"/>
          <w:numId w:val="0"/>
        </w:numPr>
        <w:tabs>
          <w:tab w:val="left" w:pos="1124"/>
        </w:tabs>
        <w:spacing w:before="32" w:after="0" w:line="240" w:lineRule="auto"/>
        <w:ind w:leftChars="0" w:right="0" w:rightChars="0"/>
        <w:jc w:val="left"/>
      </w:pPr>
      <w:bookmarkStart w:id="138" w:name="（3）分项报价表"/>
      <w:bookmarkEnd w:id="138"/>
      <w:bookmarkStart w:id="139" w:name="_bookmark42"/>
      <w:bookmarkEnd w:id="139"/>
      <w:bookmarkStart w:id="140" w:name="（4）法定代表人证明书"/>
      <w:bookmarkEnd w:id="140"/>
      <w:bookmarkStart w:id="141" w:name="_Toc26517"/>
      <w:bookmarkStart w:id="142" w:name="_Toc17152"/>
      <w:r>
        <w:rPr>
          <w:rFonts w:hint="eastAsia"/>
          <w:lang w:val="en-US" w:eastAsia="zh-CN"/>
        </w:rPr>
        <w:t>附件十一：</w:t>
      </w:r>
      <w:r>
        <w:t>分项报价表</w:t>
      </w:r>
      <w:bookmarkEnd w:id="141"/>
      <w:bookmarkEnd w:id="142"/>
    </w:p>
    <w:p>
      <w:pPr>
        <w:spacing w:before="65"/>
        <w:ind w:left="0" w:right="0" w:firstLine="0"/>
        <w:jc w:val="center"/>
        <w:rPr>
          <w:b/>
          <w:sz w:val="36"/>
        </w:rPr>
      </w:pPr>
      <w:r>
        <w:rPr>
          <w:b/>
          <w:sz w:val="36"/>
        </w:rPr>
        <w:t>分项报价表</w:t>
      </w:r>
    </w:p>
    <w:tbl>
      <w:tblPr>
        <w:tblStyle w:val="16"/>
        <w:tblW w:w="10205" w:type="dxa"/>
        <w:jc w:val="center"/>
        <w:tblLayout w:type="fixed"/>
        <w:tblCellMar>
          <w:top w:w="0" w:type="dxa"/>
          <w:left w:w="28" w:type="dxa"/>
          <w:bottom w:w="0" w:type="dxa"/>
          <w:right w:w="28" w:type="dxa"/>
        </w:tblCellMar>
      </w:tblPr>
      <w:tblGrid>
        <w:gridCol w:w="743"/>
        <w:gridCol w:w="1585"/>
        <w:gridCol w:w="1113"/>
        <w:gridCol w:w="1314"/>
        <w:gridCol w:w="1353"/>
        <w:gridCol w:w="647"/>
        <w:gridCol w:w="648"/>
        <w:gridCol w:w="836"/>
        <w:gridCol w:w="985"/>
        <w:gridCol w:w="981"/>
      </w:tblGrid>
      <w:tr>
        <w:tblPrEx>
          <w:tblCellMar>
            <w:top w:w="0" w:type="dxa"/>
            <w:left w:w="28" w:type="dxa"/>
            <w:bottom w:w="0" w:type="dxa"/>
            <w:right w:w="28" w:type="dxa"/>
          </w:tblCellMar>
        </w:tblPrEx>
        <w:trPr>
          <w:trHeight w:val="23" w:hRule="atLeast"/>
          <w:jc w:val="center"/>
        </w:trPr>
        <w:tc>
          <w:tcPr>
            <w:tcW w:w="743"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序号</w:t>
            </w:r>
          </w:p>
        </w:tc>
        <w:tc>
          <w:tcPr>
            <w:tcW w:w="158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产品名称</w:t>
            </w:r>
          </w:p>
        </w:tc>
        <w:tc>
          <w:tcPr>
            <w:tcW w:w="111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品牌</w:t>
            </w:r>
          </w:p>
        </w:tc>
        <w:tc>
          <w:tcPr>
            <w:tcW w:w="1314"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规格型号</w:t>
            </w:r>
          </w:p>
        </w:tc>
        <w:tc>
          <w:tcPr>
            <w:tcW w:w="135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生产厂家</w:t>
            </w:r>
          </w:p>
        </w:tc>
        <w:tc>
          <w:tcPr>
            <w:tcW w:w="647"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数量</w:t>
            </w:r>
          </w:p>
        </w:tc>
        <w:tc>
          <w:tcPr>
            <w:tcW w:w="648"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单位</w:t>
            </w:r>
          </w:p>
        </w:tc>
        <w:tc>
          <w:tcPr>
            <w:tcW w:w="83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单价</w:t>
            </w:r>
          </w:p>
        </w:tc>
        <w:tc>
          <w:tcPr>
            <w:tcW w:w="98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合计</w:t>
            </w:r>
          </w:p>
        </w:tc>
        <w:tc>
          <w:tcPr>
            <w:tcW w:w="981"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备注</w:t>
            </w: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1</w:t>
            </w:r>
          </w:p>
        </w:tc>
        <w:tc>
          <w:tcPr>
            <w:tcW w:w="15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3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2</w:t>
            </w:r>
          </w:p>
        </w:tc>
        <w:tc>
          <w:tcPr>
            <w:tcW w:w="15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3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3</w:t>
            </w:r>
          </w:p>
        </w:tc>
        <w:tc>
          <w:tcPr>
            <w:tcW w:w="15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3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4</w:t>
            </w:r>
          </w:p>
        </w:tc>
        <w:tc>
          <w:tcPr>
            <w:tcW w:w="15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3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w:t>
            </w:r>
          </w:p>
        </w:tc>
        <w:tc>
          <w:tcPr>
            <w:tcW w:w="15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3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ascii="宋体" w:hAnsi="宋体" w:eastAsia="宋体" w:cs="宋体"/>
                <w:sz w:val="28"/>
                <w:szCs w:val="28"/>
                <w:lang w:val="zh-CN"/>
              </w:rPr>
            </w:pPr>
          </w:p>
        </w:tc>
      </w:tr>
      <w:tr>
        <w:tblPrEx>
          <w:tblCellMar>
            <w:top w:w="0" w:type="dxa"/>
            <w:left w:w="28" w:type="dxa"/>
            <w:bottom w:w="0" w:type="dxa"/>
            <w:right w:w="28" w:type="dxa"/>
          </w:tblCellMar>
        </w:tblPrEx>
        <w:trPr>
          <w:trHeight w:val="23" w:hRule="atLeast"/>
          <w:jc w:val="center"/>
        </w:trPr>
        <w:tc>
          <w:tcPr>
            <w:tcW w:w="2328"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ind w:firstLine="0" w:firstLineChars="0"/>
              <w:rPr>
                <w:rFonts w:ascii="宋体" w:hAnsi="宋体" w:eastAsia="宋体" w:cs="宋体"/>
                <w:sz w:val="28"/>
                <w:szCs w:val="28"/>
                <w:lang w:val="zh-CN"/>
              </w:rPr>
            </w:pPr>
            <w:r>
              <w:rPr>
                <w:rFonts w:hint="eastAsia" w:ascii="宋体" w:hAnsi="宋体" w:eastAsia="宋体" w:cs="宋体"/>
                <w:sz w:val="28"/>
                <w:szCs w:val="28"/>
                <w:lang w:val="zh-CN"/>
              </w:rPr>
              <w:t>投标总价</w:t>
            </w:r>
          </w:p>
        </w:tc>
        <w:tc>
          <w:tcPr>
            <w:tcW w:w="7877" w:type="dxa"/>
            <w:gridSpan w:val="8"/>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ind w:firstLine="0" w:firstLineChars="0"/>
              <w:rPr>
                <w:rFonts w:ascii="宋体" w:hAnsi="宋体" w:eastAsia="宋体" w:cs="宋体"/>
                <w:sz w:val="28"/>
                <w:szCs w:val="28"/>
                <w:lang w:val="zh-CN"/>
              </w:rPr>
            </w:pPr>
            <w:r>
              <w:rPr>
                <w:rFonts w:hint="eastAsia" w:ascii="宋体" w:hAnsi="宋体" w:eastAsia="宋体" w:cs="宋体"/>
                <w:sz w:val="28"/>
                <w:szCs w:val="28"/>
                <w:lang w:val="zh-CN"/>
              </w:rPr>
              <w:t>小写：</w:t>
            </w:r>
            <w:r>
              <w:rPr>
                <w:rFonts w:hint="eastAsia" w:ascii="宋体" w:hAnsi="宋体" w:eastAsia="宋体" w:cs="宋体"/>
                <w:sz w:val="28"/>
                <w:szCs w:val="28"/>
              </w:rPr>
              <w:t>￥</w:t>
            </w:r>
          </w:p>
          <w:p>
            <w:pPr>
              <w:autoSpaceDE w:val="0"/>
              <w:autoSpaceDN w:val="0"/>
              <w:spacing w:line="360" w:lineRule="auto"/>
              <w:ind w:firstLine="0" w:firstLineChars="0"/>
              <w:rPr>
                <w:rFonts w:ascii="宋体" w:hAnsi="宋体" w:eastAsia="宋体" w:cs="宋体"/>
                <w:sz w:val="28"/>
                <w:szCs w:val="28"/>
                <w:lang w:val="zh-CN"/>
              </w:rPr>
            </w:pPr>
            <w:r>
              <w:rPr>
                <w:rFonts w:hint="eastAsia" w:ascii="宋体" w:hAnsi="宋体" w:eastAsia="宋体" w:cs="宋体"/>
                <w:sz w:val="28"/>
                <w:szCs w:val="28"/>
                <w:lang w:val="zh-CN"/>
              </w:rPr>
              <w:t>大写：</w:t>
            </w:r>
          </w:p>
        </w:tc>
      </w:tr>
    </w:tbl>
    <w:p>
      <w:pPr>
        <w:pStyle w:val="2"/>
        <w:spacing w:before="5" w:line="242" w:lineRule="auto"/>
        <w:ind w:right="426"/>
      </w:pPr>
      <w:r>
        <w:t>注：1.本表应依照采购一览表中的产品序号按顺序逐项填写，不得遗漏，否则，按无效响应处理。</w:t>
      </w:r>
    </w:p>
    <w:p>
      <w:pPr>
        <w:pStyle w:val="2"/>
        <w:ind w:left="780"/>
      </w:pPr>
      <w:r>
        <w:t>2.磋商报价不能有两个或两个以上的报价方案。</w:t>
      </w:r>
    </w:p>
    <w:p>
      <w:pPr>
        <w:pStyle w:val="2"/>
        <w:ind w:left="0"/>
      </w:pPr>
    </w:p>
    <w:p>
      <w:pPr>
        <w:pStyle w:val="2"/>
        <w:ind w:left="0"/>
        <w:rPr>
          <w:sz w:val="29"/>
        </w:rPr>
      </w:pPr>
    </w:p>
    <w:p>
      <w:pPr>
        <w:tabs>
          <w:tab w:val="left" w:pos="4497"/>
        </w:tabs>
        <w:spacing w:before="0"/>
        <w:ind w:left="0" w:right="205" w:firstLine="0"/>
        <w:jc w:val="right"/>
        <w:rPr>
          <w:b/>
          <w:sz w:val="28"/>
        </w:rPr>
      </w:pPr>
      <w:r>
        <w:rPr>
          <w:b/>
          <w:sz w:val="28"/>
        </w:rPr>
        <w:t>供应商：</w:t>
      </w:r>
      <w:r>
        <w:rPr>
          <w:b/>
          <w:sz w:val="28"/>
        </w:rPr>
        <w:tab/>
      </w:r>
      <w:r>
        <w:rPr>
          <w:b/>
          <w:spacing w:val="-1"/>
          <w:w w:val="95"/>
          <w:sz w:val="28"/>
        </w:rPr>
        <w:t>（公章</w:t>
      </w:r>
      <w:r>
        <w:rPr>
          <w:b/>
          <w:w w:val="95"/>
          <w:sz w:val="28"/>
        </w:rPr>
        <w:t>）</w:t>
      </w:r>
    </w:p>
    <w:p>
      <w:pPr>
        <w:tabs>
          <w:tab w:val="left" w:pos="4495"/>
        </w:tabs>
        <w:spacing w:before="4"/>
        <w:ind w:left="0" w:right="212" w:firstLine="0"/>
        <w:jc w:val="right"/>
        <w:rPr>
          <w:b/>
          <w:sz w:val="28"/>
        </w:rPr>
      </w:pPr>
      <w:r>
        <w:rPr>
          <w:b/>
          <w:sz w:val="28"/>
        </w:rPr>
        <w:t>法定代表人或委托代理人：</w:t>
      </w:r>
      <w:r>
        <w:rPr>
          <w:b/>
          <w:sz w:val="28"/>
        </w:rPr>
        <w:tab/>
      </w:r>
      <w:r>
        <w:rPr>
          <w:b/>
          <w:spacing w:val="-1"/>
          <w:w w:val="95"/>
          <w:sz w:val="28"/>
        </w:rPr>
        <w:t>（签字</w:t>
      </w:r>
      <w:r>
        <w:rPr>
          <w:b/>
          <w:w w:val="95"/>
          <w:sz w:val="28"/>
        </w:rPr>
        <w:t>或盖章）</w:t>
      </w:r>
    </w:p>
    <w:p>
      <w:pPr>
        <w:tabs>
          <w:tab w:val="left" w:pos="842"/>
          <w:tab w:val="left" w:pos="1684"/>
        </w:tabs>
        <w:spacing w:before="6"/>
        <w:ind w:left="0" w:right="216" w:firstLine="0"/>
        <w:jc w:val="right"/>
        <w:rPr>
          <w:sz w:val="28"/>
        </w:rPr>
        <w:sectPr>
          <w:pgSz w:w="11850" w:h="16790"/>
          <w:pgMar w:top="1360" w:right="840" w:bottom="1440" w:left="1120" w:header="0" w:footer="1259" w:gutter="0"/>
          <w:pgNumType w:fmt="decimal"/>
          <w:cols w:space="720" w:num="1"/>
        </w:sectPr>
      </w:pPr>
      <w:r>
        <w:rPr>
          <w:b/>
          <w:sz w:val="28"/>
        </w:rPr>
        <w:t>年</w:t>
      </w:r>
      <w:r>
        <w:rPr>
          <w:b/>
          <w:sz w:val="28"/>
        </w:rPr>
        <w:tab/>
      </w:r>
      <w:r>
        <w:rPr>
          <w:b/>
          <w:sz w:val="28"/>
        </w:rPr>
        <w:t>月</w:t>
      </w:r>
      <w:r>
        <w:rPr>
          <w:b/>
          <w:sz w:val="28"/>
        </w:rPr>
        <w:tab/>
      </w:r>
      <w:r>
        <w:rPr>
          <w:b/>
          <w:spacing w:val="-1"/>
          <w:sz w:val="28"/>
        </w:rPr>
        <w:t>日</w:t>
      </w:r>
    </w:p>
    <w:p>
      <w:pPr>
        <w:pStyle w:val="5"/>
        <w:numPr>
          <w:ilvl w:val="0"/>
          <w:numId w:val="0"/>
        </w:numPr>
        <w:tabs>
          <w:tab w:val="left" w:pos="1124"/>
        </w:tabs>
        <w:spacing w:before="32" w:after="0" w:line="240" w:lineRule="auto"/>
        <w:ind w:leftChars="0" w:right="0" w:rightChars="0"/>
        <w:jc w:val="left"/>
        <w:rPr>
          <w:rFonts w:hint="eastAsia"/>
        </w:rPr>
      </w:pPr>
      <w:bookmarkStart w:id="143" w:name="_Toc3246"/>
      <w:r>
        <w:rPr>
          <w:rFonts w:hint="eastAsia"/>
          <w:lang w:val="en-US" w:eastAsia="zh-CN"/>
        </w:rPr>
        <w:t>附件十二：</w:t>
      </w:r>
      <w:r>
        <w:rPr>
          <w:rFonts w:hint="eastAsia"/>
        </w:rPr>
        <w:t>技术规格响应表</w:t>
      </w:r>
      <w:bookmarkEnd w:id="143"/>
    </w:p>
    <w:p>
      <w:pPr>
        <w:ind w:firstLine="0" w:firstLineChars="0"/>
        <w:jc w:val="center"/>
        <w:rPr>
          <w:rFonts w:hint="eastAsia" w:ascii="宋体" w:hAnsi="宋体"/>
          <w:b/>
          <w:sz w:val="36"/>
          <w:szCs w:val="36"/>
        </w:rPr>
      </w:pPr>
    </w:p>
    <w:p>
      <w:pPr>
        <w:ind w:firstLine="0" w:firstLineChars="0"/>
        <w:jc w:val="center"/>
        <w:rPr>
          <w:rFonts w:hint="eastAsia" w:ascii="宋体" w:hAnsi="宋体"/>
          <w:b/>
          <w:sz w:val="36"/>
          <w:szCs w:val="36"/>
        </w:rPr>
      </w:pPr>
      <w:r>
        <w:rPr>
          <w:rFonts w:hint="eastAsia" w:ascii="宋体" w:hAnsi="宋体"/>
          <w:b/>
          <w:sz w:val="36"/>
          <w:szCs w:val="36"/>
        </w:rPr>
        <w:t>技术规格响应表</w:t>
      </w:r>
    </w:p>
    <w:p>
      <w:pPr>
        <w:ind w:firstLine="843" w:firstLineChars="300"/>
        <w:rPr>
          <w:rFonts w:hint="eastAsia" w:ascii="宋体" w:hAnsi="宋体"/>
          <w:b/>
          <w:sz w:val="28"/>
          <w:szCs w:val="28"/>
        </w:rPr>
      </w:pPr>
      <w:r>
        <w:rPr>
          <w:rFonts w:hint="eastAsia" w:ascii="宋体" w:hAnsi="宋体"/>
          <w:b/>
          <w:sz w:val="28"/>
          <w:szCs w:val="28"/>
        </w:rPr>
        <w:t>供应商名称:</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722"/>
        <w:gridCol w:w="1035"/>
        <w:gridCol w:w="2190"/>
        <w:gridCol w:w="720"/>
        <w:gridCol w:w="810"/>
        <w:gridCol w:w="1234"/>
        <w:gridCol w:w="2246"/>
        <w:gridCol w:w="645"/>
        <w:gridCol w:w="6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722" w:type="dxa"/>
            <w:noWrap w:val="0"/>
            <w:vAlign w:val="top"/>
          </w:tcPr>
          <w:p>
            <w:pPr>
              <w:spacing w:before="40" w:after="40"/>
              <w:ind w:firstLine="480"/>
              <w:jc w:val="center"/>
              <w:rPr>
                <w:rFonts w:hint="eastAsia" w:ascii="宋体" w:hAnsi="宋体"/>
                <w:sz w:val="28"/>
                <w:szCs w:val="28"/>
              </w:rPr>
            </w:pPr>
          </w:p>
        </w:tc>
        <w:tc>
          <w:tcPr>
            <w:tcW w:w="3945" w:type="dxa"/>
            <w:gridSpan w:val="3"/>
            <w:noWrap w:val="0"/>
            <w:vAlign w:val="top"/>
          </w:tcPr>
          <w:p>
            <w:pPr>
              <w:spacing w:before="40" w:after="40"/>
              <w:ind w:firstLine="140" w:firstLineChars="50"/>
              <w:jc w:val="center"/>
              <w:rPr>
                <w:rFonts w:hint="eastAsia" w:ascii="宋体" w:hAnsi="宋体"/>
                <w:sz w:val="28"/>
                <w:szCs w:val="28"/>
              </w:rPr>
            </w:pPr>
            <w:r>
              <w:rPr>
                <w:rFonts w:hint="eastAsia" w:ascii="宋体" w:hAnsi="宋体"/>
                <w:sz w:val="28"/>
                <w:szCs w:val="28"/>
              </w:rPr>
              <w:t>采购需求技术参数、指标</w:t>
            </w:r>
          </w:p>
        </w:tc>
        <w:tc>
          <w:tcPr>
            <w:tcW w:w="4935" w:type="dxa"/>
            <w:gridSpan w:val="4"/>
            <w:noWrap w:val="0"/>
            <w:vAlign w:val="top"/>
          </w:tcPr>
          <w:p>
            <w:pPr>
              <w:spacing w:before="40" w:after="40"/>
              <w:ind w:firstLine="480"/>
              <w:jc w:val="center"/>
              <w:rPr>
                <w:rFonts w:hint="eastAsia" w:ascii="宋体" w:hAnsi="宋体"/>
                <w:sz w:val="28"/>
                <w:szCs w:val="28"/>
              </w:rPr>
            </w:pPr>
            <w:r>
              <w:rPr>
                <w:rFonts w:hint="eastAsia" w:ascii="宋体" w:hAnsi="宋体"/>
                <w:sz w:val="28"/>
                <w:szCs w:val="28"/>
              </w:rPr>
              <w:t>投标产品技术参数、指标</w:t>
            </w:r>
          </w:p>
        </w:tc>
        <w:tc>
          <w:tcPr>
            <w:tcW w:w="630" w:type="dxa"/>
            <w:noWrap w:val="0"/>
            <w:vAlign w:val="center"/>
          </w:tcPr>
          <w:p>
            <w:pPr>
              <w:spacing w:before="40" w:after="40"/>
              <w:ind w:firstLine="0" w:firstLineChars="0"/>
              <w:jc w:val="center"/>
              <w:rPr>
                <w:rFonts w:hint="eastAsia" w:ascii="宋体" w:hAnsi="宋体"/>
                <w:sz w:val="28"/>
                <w:szCs w:val="28"/>
              </w:rPr>
            </w:pPr>
            <w:r>
              <w:rPr>
                <w:rFonts w:hint="eastAsia" w:ascii="宋体" w:hAnsi="宋体"/>
                <w:sz w:val="28"/>
                <w:szCs w:val="28"/>
              </w:rPr>
              <w:t>偏离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722" w:type="dxa"/>
            <w:noWrap w:val="0"/>
            <w:vAlign w:val="top"/>
          </w:tcPr>
          <w:p>
            <w:pPr>
              <w:spacing w:before="40" w:after="40"/>
              <w:ind w:firstLine="0" w:firstLineChars="0"/>
              <w:jc w:val="center"/>
              <w:rPr>
                <w:rFonts w:hint="eastAsia" w:ascii="宋体" w:hAnsi="宋体"/>
                <w:sz w:val="28"/>
                <w:szCs w:val="28"/>
              </w:rPr>
            </w:pPr>
            <w:r>
              <w:rPr>
                <w:rFonts w:hint="eastAsia" w:ascii="宋体" w:hAnsi="宋体"/>
                <w:sz w:val="28"/>
                <w:szCs w:val="28"/>
              </w:rPr>
              <w:t>序号</w:t>
            </w:r>
          </w:p>
        </w:tc>
        <w:tc>
          <w:tcPr>
            <w:tcW w:w="1035" w:type="dxa"/>
            <w:noWrap w:val="0"/>
            <w:vAlign w:val="center"/>
          </w:tcPr>
          <w:p>
            <w:pPr>
              <w:spacing w:before="40" w:after="40"/>
              <w:ind w:firstLine="232" w:firstLineChars="83"/>
              <w:jc w:val="center"/>
              <w:rPr>
                <w:rFonts w:hint="eastAsia" w:ascii="宋体" w:hAnsi="宋体"/>
                <w:sz w:val="28"/>
                <w:szCs w:val="28"/>
              </w:rPr>
            </w:pPr>
            <w:r>
              <w:rPr>
                <w:rFonts w:hint="eastAsia" w:ascii="宋体" w:hAnsi="宋体"/>
                <w:sz w:val="28"/>
                <w:szCs w:val="28"/>
              </w:rPr>
              <w:t>名称</w:t>
            </w:r>
          </w:p>
        </w:tc>
        <w:tc>
          <w:tcPr>
            <w:tcW w:w="2190" w:type="dxa"/>
            <w:noWrap w:val="0"/>
            <w:vAlign w:val="center"/>
          </w:tcPr>
          <w:p>
            <w:pPr>
              <w:spacing w:before="40" w:after="40"/>
              <w:ind w:firstLine="0" w:firstLineChars="0"/>
              <w:jc w:val="center"/>
              <w:rPr>
                <w:rFonts w:hint="eastAsia" w:ascii="宋体" w:hAnsi="宋体"/>
                <w:sz w:val="28"/>
                <w:szCs w:val="28"/>
              </w:rPr>
            </w:pPr>
            <w:r>
              <w:rPr>
                <w:rFonts w:hint="eastAsia" w:ascii="宋体" w:hAnsi="宋体"/>
                <w:sz w:val="28"/>
                <w:szCs w:val="28"/>
              </w:rPr>
              <w:t>技术参数、指标</w:t>
            </w:r>
          </w:p>
        </w:tc>
        <w:tc>
          <w:tcPr>
            <w:tcW w:w="720" w:type="dxa"/>
            <w:noWrap w:val="0"/>
            <w:vAlign w:val="center"/>
          </w:tcPr>
          <w:p>
            <w:pPr>
              <w:spacing w:before="40" w:after="40"/>
              <w:ind w:firstLine="0" w:firstLineChars="0"/>
              <w:jc w:val="center"/>
              <w:rPr>
                <w:rFonts w:hint="eastAsia" w:ascii="宋体" w:hAnsi="宋体"/>
                <w:sz w:val="28"/>
                <w:szCs w:val="28"/>
              </w:rPr>
            </w:pPr>
            <w:r>
              <w:rPr>
                <w:rFonts w:hint="eastAsia" w:ascii="宋体" w:hAnsi="宋体"/>
                <w:sz w:val="28"/>
                <w:szCs w:val="28"/>
              </w:rPr>
              <w:t>数量</w:t>
            </w:r>
          </w:p>
        </w:tc>
        <w:tc>
          <w:tcPr>
            <w:tcW w:w="810" w:type="dxa"/>
            <w:noWrap w:val="0"/>
            <w:vAlign w:val="center"/>
          </w:tcPr>
          <w:p>
            <w:pPr>
              <w:spacing w:before="40" w:after="40"/>
              <w:ind w:firstLine="140" w:firstLineChars="50"/>
              <w:jc w:val="center"/>
              <w:rPr>
                <w:rFonts w:hint="eastAsia" w:ascii="宋体" w:hAnsi="宋体"/>
                <w:sz w:val="28"/>
                <w:szCs w:val="28"/>
              </w:rPr>
            </w:pPr>
            <w:r>
              <w:rPr>
                <w:rFonts w:hint="eastAsia" w:ascii="宋体" w:hAnsi="宋体"/>
                <w:sz w:val="28"/>
                <w:szCs w:val="28"/>
              </w:rPr>
              <w:t>名称</w:t>
            </w:r>
          </w:p>
        </w:tc>
        <w:tc>
          <w:tcPr>
            <w:tcW w:w="1234" w:type="dxa"/>
            <w:tcBorders>
              <w:right w:val="single" w:color="auto" w:sz="4" w:space="0"/>
            </w:tcBorders>
            <w:noWrap w:val="0"/>
            <w:vAlign w:val="center"/>
          </w:tcPr>
          <w:p>
            <w:pPr>
              <w:spacing w:before="40" w:after="40"/>
              <w:ind w:firstLine="0" w:firstLineChars="0"/>
              <w:jc w:val="center"/>
              <w:rPr>
                <w:rFonts w:hint="eastAsia" w:ascii="宋体" w:hAnsi="宋体"/>
                <w:sz w:val="28"/>
                <w:szCs w:val="28"/>
              </w:rPr>
            </w:pPr>
            <w:r>
              <w:rPr>
                <w:rFonts w:hint="eastAsia" w:ascii="宋体" w:hAnsi="宋体"/>
                <w:sz w:val="28"/>
                <w:szCs w:val="28"/>
              </w:rPr>
              <w:t>规格型号</w:t>
            </w:r>
          </w:p>
        </w:tc>
        <w:tc>
          <w:tcPr>
            <w:tcW w:w="2246" w:type="dxa"/>
            <w:tcBorders>
              <w:left w:val="single" w:color="auto" w:sz="4" w:space="0"/>
            </w:tcBorders>
            <w:noWrap w:val="0"/>
            <w:vAlign w:val="center"/>
          </w:tcPr>
          <w:p>
            <w:pPr>
              <w:spacing w:before="40" w:after="40"/>
              <w:ind w:left="94" w:firstLine="0" w:firstLineChars="0"/>
              <w:jc w:val="center"/>
              <w:rPr>
                <w:rFonts w:hint="eastAsia" w:ascii="宋体" w:hAnsi="宋体"/>
                <w:sz w:val="28"/>
                <w:szCs w:val="28"/>
              </w:rPr>
            </w:pPr>
            <w:r>
              <w:rPr>
                <w:rFonts w:hint="eastAsia" w:ascii="宋体" w:hAnsi="宋体"/>
                <w:sz w:val="28"/>
                <w:szCs w:val="28"/>
              </w:rPr>
              <w:t>技术参数、指标</w:t>
            </w:r>
          </w:p>
        </w:tc>
        <w:tc>
          <w:tcPr>
            <w:tcW w:w="645" w:type="dxa"/>
            <w:noWrap w:val="0"/>
            <w:vAlign w:val="center"/>
          </w:tcPr>
          <w:p>
            <w:pPr>
              <w:spacing w:before="40" w:after="40"/>
              <w:ind w:firstLine="0" w:firstLineChars="0"/>
              <w:jc w:val="center"/>
              <w:rPr>
                <w:rFonts w:hint="eastAsia" w:ascii="宋体" w:hAnsi="宋体"/>
                <w:sz w:val="28"/>
                <w:szCs w:val="28"/>
              </w:rPr>
            </w:pPr>
            <w:r>
              <w:rPr>
                <w:rFonts w:hint="eastAsia" w:ascii="宋体" w:hAnsi="宋体"/>
                <w:sz w:val="28"/>
                <w:szCs w:val="28"/>
              </w:rPr>
              <w:t>数量</w:t>
            </w:r>
          </w:p>
        </w:tc>
        <w:tc>
          <w:tcPr>
            <w:tcW w:w="630" w:type="dxa"/>
            <w:noWrap w:val="0"/>
            <w:vAlign w:val="top"/>
          </w:tcPr>
          <w:p>
            <w:pPr>
              <w:spacing w:before="40" w:after="40"/>
              <w:ind w:firstLine="480"/>
              <w:jc w:val="center"/>
              <w:rPr>
                <w:rFonts w:hint="eastAsia"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722" w:type="dxa"/>
            <w:noWrap w:val="0"/>
            <w:vAlign w:val="center"/>
          </w:tcPr>
          <w:p>
            <w:pPr>
              <w:spacing w:before="40" w:after="40"/>
              <w:ind w:firstLine="232" w:firstLineChars="83"/>
              <w:jc w:val="center"/>
              <w:rPr>
                <w:rFonts w:hint="eastAsia" w:ascii="宋体" w:hAnsi="宋体"/>
                <w:sz w:val="28"/>
                <w:szCs w:val="28"/>
              </w:rPr>
            </w:pPr>
            <w:r>
              <w:rPr>
                <w:rFonts w:hint="eastAsia" w:ascii="宋体" w:hAnsi="宋体"/>
                <w:sz w:val="28"/>
                <w:szCs w:val="28"/>
              </w:rPr>
              <w:t>1</w:t>
            </w:r>
          </w:p>
        </w:tc>
        <w:tc>
          <w:tcPr>
            <w:tcW w:w="1035" w:type="dxa"/>
            <w:noWrap w:val="0"/>
            <w:vAlign w:val="top"/>
          </w:tcPr>
          <w:p>
            <w:pPr>
              <w:spacing w:before="40" w:after="40"/>
              <w:ind w:firstLine="480"/>
              <w:jc w:val="center"/>
              <w:rPr>
                <w:rFonts w:hint="eastAsia" w:ascii="宋体" w:hAnsi="宋体"/>
                <w:sz w:val="28"/>
                <w:szCs w:val="28"/>
              </w:rPr>
            </w:pPr>
          </w:p>
        </w:tc>
        <w:tc>
          <w:tcPr>
            <w:tcW w:w="2190" w:type="dxa"/>
            <w:noWrap w:val="0"/>
            <w:vAlign w:val="top"/>
          </w:tcPr>
          <w:p>
            <w:pPr>
              <w:spacing w:before="40" w:after="40"/>
              <w:ind w:firstLine="480"/>
              <w:jc w:val="center"/>
              <w:rPr>
                <w:rFonts w:hint="eastAsia" w:ascii="宋体" w:hAnsi="宋体"/>
                <w:sz w:val="28"/>
                <w:szCs w:val="28"/>
              </w:rPr>
            </w:pPr>
          </w:p>
        </w:tc>
        <w:tc>
          <w:tcPr>
            <w:tcW w:w="720" w:type="dxa"/>
            <w:noWrap w:val="0"/>
            <w:vAlign w:val="top"/>
          </w:tcPr>
          <w:p>
            <w:pPr>
              <w:spacing w:before="40" w:after="40"/>
              <w:ind w:firstLine="480"/>
              <w:jc w:val="center"/>
              <w:rPr>
                <w:rFonts w:hint="eastAsia" w:ascii="宋体" w:hAnsi="宋体"/>
                <w:sz w:val="28"/>
                <w:szCs w:val="28"/>
              </w:rPr>
            </w:pPr>
          </w:p>
        </w:tc>
        <w:tc>
          <w:tcPr>
            <w:tcW w:w="810" w:type="dxa"/>
            <w:noWrap w:val="0"/>
            <w:vAlign w:val="top"/>
          </w:tcPr>
          <w:p>
            <w:pPr>
              <w:spacing w:before="40" w:after="40"/>
              <w:ind w:firstLine="480"/>
              <w:jc w:val="center"/>
              <w:rPr>
                <w:rFonts w:hint="eastAsia" w:ascii="宋体" w:hAnsi="宋体"/>
                <w:sz w:val="28"/>
                <w:szCs w:val="28"/>
              </w:rPr>
            </w:pPr>
          </w:p>
        </w:tc>
        <w:tc>
          <w:tcPr>
            <w:tcW w:w="1234" w:type="dxa"/>
            <w:tcBorders>
              <w:right w:val="single" w:color="auto" w:sz="4" w:space="0"/>
            </w:tcBorders>
            <w:noWrap w:val="0"/>
            <w:vAlign w:val="top"/>
          </w:tcPr>
          <w:p>
            <w:pPr>
              <w:spacing w:before="40" w:after="40"/>
              <w:ind w:firstLine="480"/>
              <w:jc w:val="center"/>
              <w:rPr>
                <w:rFonts w:hint="eastAsia" w:ascii="宋体" w:hAnsi="宋体"/>
                <w:sz w:val="28"/>
                <w:szCs w:val="28"/>
              </w:rPr>
            </w:pPr>
          </w:p>
        </w:tc>
        <w:tc>
          <w:tcPr>
            <w:tcW w:w="2246" w:type="dxa"/>
            <w:tcBorders>
              <w:left w:val="single" w:color="auto" w:sz="4" w:space="0"/>
            </w:tcBorders>
            <w:noWrap w:val="0"/>
            <w:vAlign w:val="top"/>
          </w:tcPr>
          <w:p>
            <w:pPr>
              <w:spacing w:before="40" w:after="40"/>
              <w:ind w:firstLine="480"/>
              <w:jc w:val="center"/>
              <w:rPr>
                <w:rFonts w:hint="eastAsia" w:ascii="宋体" w:hAnsi="宋体"/>
                <w:sz w:val="28"/>
                <w:szCs w:val="28"/>
              </w:rPr>
            </w:pPr>
          </w:p>
        </w:tc>
        <w:tc>
          <w:tcPr>
            <w:tcW w:w="645" w:type="dxa"/>
            <w:noWrap w:val="0"/>
            <w:vAlign w:val="top"/>
          </w:tcPr>
          <w:p>
            <w:pPr>
              <w:spacing w:before="40" w:after="40"/>
              <w:ind w:firstLine="480"/>
              <w:jc w:val="center"/>
              <w:rPr>
                <w:rFonts w:hint="eastAsia" w:ascii="宋体" w:hAnsi="宋体"/>
                <w:sz w:val="28"/>
                <w:szCs w:val="28"/>
              </w:rPr>
            </w:pPr>
          </w:p>
        </w:tc>
        <w:tc>
          <w:tcPr>
            <w:tcW w:w="630" w:type="dxa"/>
            <w:noWrap w:val="0"/>
            <w:vAlign w:val="top"/>
          </w:tcPr>
          <w:p>
            <w:pPr>
              <w:spacing w:before="40" w:after="40"/>
              <w:ind w:firstLine="480"/>
              <w:jc w:val="center"/>
              <w:rPr>
                <w:rFonts w:hint="eastAsia"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722" w:type="dxa"/>
            <w:noWrap w:val="0"/>
            <w:vAlign w:val="center"/>
          </w:tcPr>
          <w:p>
            <w:pPr>
              <w:spacing w:before="40" w:after="40"/>
              <w:ind w:firstLine="232" w:firstLineChars="83"/>
              <w:jc w:val="center"/>
              <w:rPr>
                <w:rFonts w:hint="eastAsia" w:ascii="宋体" w:hAnsi="宋体"/>
                <w:sz w:val="28"/>
                <w:szCs w:val="28"/>
              </w:rPr>
            </w:pPr>
            <w:r>
              <w:rPr>
                <w:rFonts w:hint="eastAsia" w:ascii="宋体" w:hAnsi="宋体"/>
                <w:sz w:val="28"/>
                <w:szCs w:val="28"/>
              </w:rPr>
              <w:t>2</w:t>
            </w:r>
          </w:p>
        </w:tc>
        <w:tc>
          <w:tcPr>
            <w:tcW w:w="1035" w:type="dxa"/>
            <w:noWrap w:val="0"/>
            <w:vAlign w:val="top"/>
          </w:tcPr>
          <w:p>
            <w:pPr>
              <w:spacing w:before="40" w:after="40"/>
              <w:ind w:firstLine="480"/>
              <w:jc w:val="center"/>
              <w:rPr>
                <w:rFonts w:hint="eastAsia" w:ascii="宋体" w:hAnsi="宋体"/>
                <w:sz w:val="28"/>
                <w:szCs w:val="28"/>
              </w:rPr>
            </w:pPr>
          </w:p>
        </w:tc>
        <w:tc>
          <w:tcPr>
            <w:tcW w:w="2190" w:type="dxa"/>
            <w:noWrap w:val="0"/>
            <w:vAlign w:val="top"/>
          </w:tcPr>
          <w:p>
            <w:pPr>
              <w:spacing w:before="40" w:after="40"/>
              <w:ind w:firstLine="480"/>
              <w:jc w:val="center"/>
              <w:rPr>
                <w:rFonts w:hint="eastAsia" w:ascii="宋体" w:hAnsi="宋体"/>
                <w:sz w:val="28"/>
                <w:szCs w:val="28"/>
              </w:rPr>
            </w:pPr>
          </w:p>
        </w:tc>
        <w:tc>
          <w:tcPr>
            <w:tcW w:w="720" w:type="dxa"/>
            <w:noWrap w:val="0"/>
            <w:vAlign w:val="top"/>
          </w:tcPr>
          <w:p>
            <w:pPr>
              <w:spacing w:before="40" w:after="40"/>
              <w:ind w:firstLine="480"/>
              <w:jc w:val="center"/>
              <w:rPr>
                <w:rFonts w:hint="eastAsia" w:ascii="宋体" w:hAnsi="宋体"/>
                <w:sz w:val="28"/>
                <w:szCs w:val="28"/>
              </w:rPr>
            </w:pPr>
          </w:p>
        </w:tc>
        <w:tc>
          <w:tcPr>
            <w:tcW w:w="810" w:type="dxa"/>
            <w:noWrap w:val="0"/>
            <w:vAlign w:val="top"/>
          </w:tcPr>
          <w:p>
            <w:pPr>
              <w:spacing w:before="40" w:after="40"/>
              <w:ind w:firstLine="480"/>
              <w:jc w:val="center"/>
              <w:rPr>
                <w:rFonts w:hint="eastAsia" w:ascii="宋体" w:hAnsi="宋体"/>
                <w:sz w:val="28"/>
                <w:szCs w:val="28"/>
              </w:rPr>
            </w:pPr>
          </w:p>
        </w:tc>
        <w:tc>
          <w:tcPr>
            <w:tcW w:w="1234" w:type="dxa"/>
            <w:tcBorders>
              <w:right w:val="single" w:color="auto" w:sz="4" w:space="0"/>
            </w:tcBorders>
            <w:noWrap w:val="0"/>
            <w:vAlign w:val="top"/>
          </w:tcPr>
          <w:p>
            <w:pPr>
              <w:spacing w:before="40" w:after="40"/>
              <w:ind w:firstLine="480"/>
              <w:jc w:val="center"/>
              <w:rPr>
                <w:rFonts w:hint="eastAsia" w:ascii="宋体" w:hAnsi="宋体"/>
                <w:sz w:val="28"/>
                <w:szCs w:val="28"/>
              </w:rPr>
            </w:pPr>
          </w:p>
        </w:tc>
        <w:tc>
          <w:tcPr>
            <w:tcW w:w="2246" w:type="dxa"/>
            <w:tcBorders>
              <w:left w:val="single" w:color="auto" w:sz="4" w:space="0"/>
            </w:tcBorders>
            <w:noWrap w:val="0"/>
            <w:vAlign w:val="top"/>
          </w:tcPr>
          <w:p>
            <w:pPr>
              <w:spacing w:before="40" w:after="40"/>
              <w:ind w:firstLine="480"/>
              <w:jc w:val="center"/>
              <w:rPr>
                <w:rFonts w:hint="eastAsia" w:ascii="宋体" w:hAnsi="宋体"/>
                <w:sz w:val="28"/>
                <w:szCs w:val="28"/>
              </w:rPr>
            </w:pPr>
          </w:p>
        </w:tc>
        <w:tc>
          <w:tcPr>
            <w:tcW w:w="645" w:type="dxa"/>
            <w:noWrap w:val="0"/>
            <w:vAlign w:val="top"/>
          </w:tcPr>
          <w:p>
            <w:pPr>
              <w:spacing w:before="40" w:after="40"/>
              <w:ind w:firstLine="480"/>
              <w:jc w:val="center"/>
              <w:rPr>
                <w:rFonts w:hint="eastAsia" w:ascii="宋体" w:hAnsi="宋体"/>
                <w:sz w:val="28"/>
                <w:szCs w:val="28"/>
              </w:rPr>
            </w:pPr>
          </w:p>
        </w:tc>
        <w:tc>
          <w:tcPr>
            <w:tcW w:w="630" w:type="dxa"/>
            <w:noWrap w:val="0"/>
            <w:vAlign w:val="top"/>
          </w:tcPr>
          <w:p>
            <w:pPr>
              <w:spacing w:before="40" w:after="40"/>
              <w:ind w:firstLine="480"/>
              <w:jc w:val="center"/>
              <w:rPr>
                <w:rFonts w:hint="eastAsia"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722" w:type="dxa"/>
            <w:noWrap w:val="0"/>
            <w:vAlign w:val="center"/>
          </w:tcPr>
          <w:p>
            <w:pPr>
              <w:spacing w:before="40" w:after="40"/>
              <w:ind w:firstLine="232" w:firstLineChars="83"/>
              <w:jc w:val="center"/>
              <w:rPr>
                <w:rFonts w:hint="eastAsia" w:ascii="宋体" w:hAnsi="宋体"/>
                <w:sz w:val="28"/>
                <w:szCs w:val="28"/>
              </w:rPr>
            </w:pPr>
            <w:r>
              <w:rPr>
                <w:rFonts w:hint="eastAsia" w:ascii="宋体" w:hAnsi="宋体"/>
                <w:sz w:val="28"/>
                <w:szCs w:val="28"/>
              </w:rPr>
              <w:t>3</w:t>
            </w:r>
          </w:p>
        </w:tc>
        <w:tc>
          <w:tcPr>
            <w:tcW w:w="1035" w:type="dxa"/>
            <w:noWrap w:val="0"/>
            <w:vAlign w:val="top"/>
          </w:tcPr>
          <w:p>
            <w:pPr>
              <w:spacing w:before="40" w:after="40"/>
              <w:ind w:firstLine="480"/>
              <w:jc w:val="center"/>
              <w:rPr>
                <w:rFonts w:hint="eastAsia" w:ascii="宋体" w:hAnsi="宋体"/>
                <w:sz w:val="28"/>
                <w:szCs w:val="28"/>
              </w:rPr>
            </w:pPr>
          </w:p>
        </w:tc>
        <w:tc>
          <w:tcPr>
            <w:tcW w:w="2190" w:type="dxa"/>
            <w:noWrap w:val="0"/>
            <w:vAlign w:val="top"/>
          </w:tcPr>
          <w:p>
            <w:pPr>
              <w:spacing w:before="40" w:after="40"/>
              <w:ind w:firstLine="480"/>
              <w:jc w:val="center"/>
              <w:rPr>
                <w:rFonts w:hint="eastAsia" w:ascii="宋体" w:hAnsi="宋体"/>
                <w:sz w:val="28"/>
                <w:szCs w:val="28"/>
              </w:rPr>
            </w:pPr>
          </w:p>
        </w:tc>
        <w:tc>
          <w:tcPr>
            <w:tcW w:w="720" w:type="dxa"/>
            <w:noWrap w:val="0"/>
            <w:vAlign w:val="top"/>
          </w:tcPr>
          <w:p>
            <w:pPr>
              <w:spacing w:before="40" w:after="40"/>
              <w:ind w:firstLine="480"/>
              <w:jc w:val="center"/>
              <w:rPr>
                <w:rFonts w:hint="eastAsia" w:ascii="宋体" w:hAnsi="宋体"/>
                <w:sz w:val="28"/>
                <w:szCs w:val="28"/>
              </w:rPr>
            </w:pPr>
          </w:p>
        </w:tc>
        <w:tc>
          <w:tcPr>
            <w:tcW w:w="810" w:type="dxa"/>
            <w:noWrap w:val="0"/>
            <w:vAlign w:val="top"/>
          </w:tcPr>
          <w:p>
            <w:pPr>
              <w:spacing w:before="40" w:after="40"/>
              <w:ind w:firstLine="480"/>
              <w:jc w:val="center"/>
              <w:rPr>
                <w:rFonts w:hint="eastAsia" w:ascii="宋体" w:hAnsi="宋体"/>
                <w:sz w:val="28"/>
                <w:szCs w:val="28"/>
              </w:rPr>
            </w:pPr>
          </w:p>
        </w:tc>
        <w:tc>
          <w:tcPr>
            <w:tcW w:w="1234" w:type="dxa"/>
            <w:tcBorders>
              <w:right w:val="single" w:color="auto" w:sz="4" w:space="0"/>
            </w:tcBorders>
            <w:noWrap w:val="0"/>
            <w:vAlign w:val="top"/>
          </w:tcPr>
          <w:p>
            <w:pPr>
              <w:spacing w:before="40" w:after="40"/>
              <w:ind w:firstLine="480"/>
              <w:jc w:val="center"/>
              <w:rPr>
                <w:rFonts w:hint="eastAsia" w:ascii="宋体" w:hAnsi="宋体"/>
                <w:sz w:val="28"/>
                <w:szCs w:val="28"/>
              </w:rPr>
            </w:pPr>
          </w:p>
        </w:tc>
        <w:tc>
          <w:tcPr>
            <w:tcW w:w="2246" w:type="dxa"/>
            <w:tcBorders>
              <w:left w:val="single" w:color="auto" w:sz="4" w:space="0"/>
            </w:tcBorders>
            <w:noWrap w:val="0"/>
            <w:vAlign w:val="top"/>
          </w:tcPr>
          <w:p>
            <w:pPr>
              <w:spacing w:before="40" w:after="40"/>
              <w:ind w:firstLine="480"/>
              <w:jc w:val="center"/>
              <w:rPr>
                <w:rFonts w:hint="eastAsia" w:ascii="宋体" w:hAnsi="宋体"/>
                <w:sz w:val="28"/>
                <w:szCs w:val="28"/>
              </w:rPr>
            </w:pPr>
          </w:p>
        </w:tc>
        <w:tc>
          <w:tcPr>
            <w:tcW w:w="645" w:type="dxa"/>
            <w:noWrap w:val="0"/>
            <w:vAlign w:val="top"/>
          </w:tcPr>
          <w:p>
            <w:pPr>
              <w:spacing w:before="40" w:after="40"/>
              <w:ind w:firstLine="480"/>
              <w:jc w:val="center"/>
              <w:rPr>
                <w:rFonts w:hint="eastAsia" w:ascii="宋体" w:hAnsi="宋体"/>
                <w:sz w:val="28"/>
                <w:szCs w:val="28"/>
              </w:rPr>
            </w:pPr>
          </w:p>
        </w:tc>
        <w:tc>
          <w:tcPr>
            <w:tcW w:w="630" w:type="dxa"/>
            <w:noWrap w:val="0"/>
            <w:vAlign w:val="top"/>
          </w:tcPr>
          <w:p>
            <w:pPr>
              <w:spacing w:before="40" w:after="40"/>
              <w:ind w:firstLine="480"/>
              <w:jc w:val="center"/>
              <w:rPr>
                <w:rFonts w:hint="eastAsia"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22" w:type="dxa"/>
            <w:noWrap w:val="0"/>
            <w:vAlign w:val="center"/>
          </w:tcPr>
          <w:p>
            <w:pPr>
              <w:spacing w:before="40" w:after="40"/>
              <w:ind w:firstLine="232" w:firstLineChars="83"/>
              <w:jc w:val="center"/>
              <w:rPr>
                <w:rFonts w:hint="eastAsia" w:ascii="宋体" w:hAnsi="宋体"/>
                <w:sz w:val="28"/>
                <w:szCs w:val="28"/>
              </w:rPr>
            </w:pPr>
            <w:r>
              <w:rPr>
                <w:rFonts w:hint="eastAsia" w:ascii="宋体" w:hAnsi="宋体"/>
                <w:sz w:val="28"/>
                <w:szCs w:val="28"/>
              </w:rPr>
              <w:t>4</w:t>
            </w:r>
          </w:p>
        </w:tc>
        <w:tc>
          <w:tcPr>
            <w:tcW w:w="1035" w:type="dxa"/>
            <w:noWrap w:val="0"/>
            <w:vAlign w:val="top"/>
          </w:tcPr>
          <w:p>
            <w:pPr>
              <w:spacing w:before="40" w:after="40"/>
              <w:ind w:firstLine="480"/>
              <w:jc w:val="center"/>
              <w:rPr>
                <w:rFonts w:hint="eastAsia" w:ascii="宋体" w:hAnsi="宋体"/>
                <w:sz w:val="28"/>
                <w:szCs w:val="28"/>
              </w:rPr>
            </w:pPr>
          </w:p>
        </w:tc>
        <w:tc>
          <w:tcPr>
            <w:tcW w:w="2190" w:type="dxa"/>
            <w:noWrap w:val="0"/>
            <w:vAlign w:val="top"/>
          </w:tcPr>
          <w:p>
            <w:pPr>
              <w:spacing w:before="40" w:after="40"/>
              <w:ind w:firstLine="480"/>
              <w:jc w:val="center"/>
              <w:rPr>
                <w:rFonts w:hint="eastAsia" w:ascii="宋体" w:hAnsi="宋体"/>
                <w:sz w:val="28"/>
                <w:szCs w:val="28"/>
              </w:rPr>
            </w:pPr>
          </w:p>
        </w:tc>
        <w:tc>
          <w:tcPr>
            <w:tcW w:w="720" w:type="dxa"/>
            <w:noWrap w:val="0"/>
            <w:vAlign w:val="top"/>
          </w:tcPr>
          <w:p>
            <w:pPr>
              <w:spacing w:before="40" w:after="40"/>
              <w:ind w:firstLine="480"/>
              <w:jc w:val="center"/>
              <w:rPr>
                <w:rFonts w:hint="eastAsia" w:ascii="宋体" w:hAnsi="宋体"/>
                <w:sz w:val="28"/>
                <w:szCs w:val="28"/>
              </w:rPr>
            </w:pPr>
          </w:p>
        </w:tc>
        <w:tc>
          <w:tcPr>
            <w:tcW w:w="810" w:type="dxa"/>
            <w:noWrap w:val="0"/>
            <w:vAlign w:val="top"/>
          </w:tcPr>
          <w:p>
            <w:pPr>
              <w:spacing w:before="40" w:after="40"/>
              <w:ind w:firstLine="480"/>
              <w:jc w:val="center"/>
              <w:rPr>
                <w:rFonts w:hint="eastAsia" w:ascii="宋体" w:hAnsi="宋体"/>
                <w:sz w:val="28"/>
                <w:szCs w:val="28"/>
              </w:rPr>
            </w:pPr>
          </w:p>
        </w:tc>
        <w:tc>
          <w:tcPr>
            <w:tcW w:w="1234" w:type="dxa"/>
            <w:tcBorders>
              <w:right w:val="single" w:color="auto" w:sz="4" w:space="0"/>
            </w:tcBorders>
            <w:noWrap w:val="0"/>
            <w:vAlign w:val="top"/>
          </w:tcPr>
          <w:p>
            <w:pPr>
              <w:spacing w:before="40" w:after="40"/>
              <w:ind w:firstLine="480"/>
              <w:jc w:val="center"/>
              <w:rPr>
                <w:rFonts w:hint="eastAsia" w:ascii="宋体" w:hAnsi="宋体"/>
                <w:sz w:val="28"/>
                <w:szCs w:val="28"/>
              </w:rPr>
            </w:pPr>
          </w:p>
        </w:tc>
        <w:tc>
          <w:tcPr>
            <w:tcW w:w="2246" w:type="dxa"/>
            <w:tcBorders>
              <w:left w:val="single" w:color="auto" w:sz="4" w:space="0"/>
            </w:tcBorders>
            <w:noWrap w:val="0"/>
            <w:vAlign w:val="top"/>
          </w:tcPr>
          <w:p>
            <w:pPr>
              <w:spacing w:before="40" w:after="40"/>
              <w:ind w:firstLine="480"/>
              <w:jc w:val="center"/>
              <w:rPr>
                <w:rFonts w:hint="eastAsia" w:ascii="宋体" w:hAnsi="宋体"/>
                <w:sz w:val="28"/>
                <w:szCs w:val="28"/>
              </w:rPr>
            </w:pPr>
          </w:p>
        </w:tc>
        <w:tc>
          <w:tcPr>
            <w:tcW w:w="645" w:type="dxa"/>
            <w:noWrap w:val="0"/>
            <w:vAlign w:val="top"/>
          </w:tcPr>
          <w:p>
            <w:pPr>
              <w:spacing w:before="40" w:after="40"/>
              <w:ind w:firstLine="480"/>
              <w:jc w:val="center"/>
              <w:rPr>
                <w:rFonts w:hint="eastAsia" w:ascii="宋体" w:hAnsi="宋体"/>
                <w:sz w:val="28"/>
                <w:szCs w:val="28"/>
              </w:rPr>
            </w:pPr>
          </w:p>
        </w:tc>
        <w:tc>
          <w:tcPr>
            <w:tcW w:w="630" w:type="dxa"/>
            <w:noWrap w:val="0"/>
            <w:vAlign w:val="top"/>
          </w:tcPr>
          <w:p>
            <w:pPr>
              <w:spacing w:before="40" w:after="40"/>
              <w:ind w:firstLine="480"/>
              <w:jc w:val="center"/>
              <w:rPr>
                <w:rFonts w:hint="eastAsia"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722" w:type="dxa"/>
            <w:noWrap w:val="0"/>
            <w:vAlign w:val="center"/>
          </w:tcPr>
          <w:p>
            <w:pPr>
              <w:spacing w:before="40" w:after="40"/>
              <w:ind w:firstLine="232" w:firstLineChars="83"/>
              <w:jc w:val="center"/>
              <w:rPr>
                <w:rFonts w:hint="eastAsia" w:ascii="宋体" w:hAnsi="宋体"/>
                <w:sz w:val="28"/>
                <w:szCs w:val="28"/>
              </w:rPr>
            </w:pPr>
            <w:r>
              <w:rPr>
                <w:rFonts w:ascii="宋体" w:hAnsi="宋体"/>
                <w:sz w:val="28"/>
                <w:szCs w:val="28"/>
              </w:rPr>
              <w:t>…</w:t>
            </w:r>
          </w:p>
        </w:tc>
        <w:tc>
          <w:tcPr>
            <w:tcW w:w="1035" w:type="dxa"/>
            <w:noWrap w:val="0"/>
            <w:vAlign w:val="top"/>
          </w:tcPr>
          <w:p>
            <w:pPr>
              <w:spacing w:before="40" w:after="40"/>
              <w:ind w:firstLine="480"/>
              <w:jc w:val="center"/>
              <w:rPr>
                <w:rFonts w:hint="eastAsia" w:ascii="宋体" w:hAnsi="宋体"/>
                <w:sz w:val="28"/>
                <w:szCs w:val="28"/>
              </w:rPr>
            </w:pPr>
          </w:p>
        </w:tc>
        <w:tc>
          <w:tcPr>
            <w:tcW w:w="2190" w:type="dxa"/>
            <w:noWrap w:val="0"/>
            <w:vAlign w:val="top"/>
          </w:tcPr>
          <w:p>
            <w:pPr>
              <w:spacing w:before="40" w:after="40"/>
              <w:ind w:firstLine="480"/>
              <w:jc w:val="center"/>
              <w:rPr>
                <w:rFonts w:hint="eastAsia" w:ascii="宋体" w:hAnsi="宋体"/>
                <w:sz w:val="28"/>
                <w:szCs w:val="28"/>
              </w:rPr>
            </w:pPr>
          </w:p>
        </w:tc>
        <w:tc>
          <w:tcPr>
            <w:tcW w:w="720" w:type="dxa"/>
            <w:noWrap w:val="0"/>
            <w:vAlign w:val="top"/>
          </w:tcPr>
          <w:p>
            <w:pPr>
              <w:spacing w:before="40" w:after="40"/>
              <w:ind w:firstLine="480"/>
              <w:jc w:val="center"/>
              <w:rPr>
                <w:rFonts w:hint="eastAsia" w:ascii="宋体" w:hAnsi="宋体"/>
                <w:sz w:val="28"/>
                <w:szCs w:val="28"/>
              </w:rPr>
            </w:pPr>
          </w:p>
        </w:tc>
        <w:tc>
          <w:tcPr>
            <w:tcW w:w="810" w:type="dxa"/>
            <w:noWrap w:val="0"/>
            <w:vAlign w:val="top"/>
          </w:tcPr>
          <w:p>
            <w:pPr>
              <w:spacing w:before="40" w:after="40"/>
              <w:ind w:firstLine="480"/>
              <w:jc w:val="center"/>
              <w:rPr>
                <w:rFonts w:hint="eastAsia" w:ascii="宋体" w:hAnsi="宋体"/>
                <w:sz w:val="28"/>
                <w:szCs w:val="28"/>
              </w:rPr>
            </w:pPr>
          </w:p>
        </w:tc>
        <w:tc>
          <w:tcPr>
            <w:tcW w:w="1234" w:type="dxa"/>
            <w:tcBorders>
              <w:right w:val="single" w:color="auto" w:sz="4" w:space="0"/>
            </w:tcBorders>
            <w:noWrap w:val="0"/>
            <w:vAlign w:val="top"/>
          </w:tcPr>
          <w:p>
            <w:pPr>
              <w:spacing w:before="40" w:after="40"/>
              <w:ind w:firstLine="480"/>
              <w:jc w:val="center"/>
              <w:rPr>
                <w:rFonts w:hint="eastAsia" w:ascii="宋体" w:hAnsi="宋体"/>
                <w:sz w:val="28"/>
                <w:szCs w:val="28"/>
              </w:rPr>
            </w:pPr>
          </w:p>
        </w:tc>
        <w:tc>
          <w:tcPr>
            <w:tcW w:w="2246" w:type="dxa"/>
            <w:tcBorders>
              <w:left w:val="single" w:color="auto" w:sz="4" w:space="0"/>
            </w:tcBorders>
            <w:noWrap w:val="0"/>
            <w:vAlign w:val="top"/>
          </w:tcPr>
          <w:p>
            <w:pPr>
              <w:spacing w:before="40" w:after="40"/>
              <w:ind w:firstLine="480"/>
              <w:jc w:val="center"/>
              <w:rPr>
                <w:rFonts w:hint="eastAsia" w:ascii="宋体" w:hAnsi="宋体"/>
                <w:sz w:val="28"/>
                <w:szCs w:val="28"/>
              </w:rPr>
            </w:pPr>
          </w:p>
        </w:tc>
        <w:tc>
          <w:tcPr>
            <w:tcW w:w="645" w:type="dxa"/>
            <w:noWrap w:val="0"/>
            <w:vAlign w:val="top"/>
          </w:tcPr>
          <w:p>
            <w:pPr>
              <w:spacing w:before="40" w:after="40"/>
              <w:ind w:firstLine="480"/>
              <w:jc w:val="center"/>
              <w:rPr>
                <w:rFonts w:hint="eastAsia" w:ascii="宋体" w:hAnsi="宋体"/>
                <w:sz w:val="28"/>
                <w:szCs w:val="28"/>
              </w:rPr>
            </w:pPr>
          </w:p>
        </w:tc>
        <w:tc>
          <w:tcPr>
            <w:tcW w:w="630" w:type="dxa"/>
            <w:noWrap w:val="0"/>
            <w:vAlign w:val="top"/>
          </w:tcPr>
          <w:p>
            <w:pPr>
              <w:spacing w:before="40" w:after="40"/>
              <w:ind w:firstLine="480"/>
              <w:jc w:val="center"/>
              <w:rPr>
                <w:rFonts w:hint="eastAsia" w:ascii="宋体" w:hAnsi="宋体"/>
                <w:sz w:val="28"/>
                <w:szCs w:val="28"/>
              </w:rPr>
            </w:pPr>
          </w:p>
        </w:tc>
      </w:tr>
    </w:tbl>
    <w:p>
      <w:pPr>
        <w:widowControl/>
        <w:numPr>
          <w:ilvl w:val="0"/>
          <w:numId w:val="0"/>
        </w:numPr>
        <w:spacing w:after="160" w:line="276" w:lineRule="auto"/>
        <w:ind w:leftChars="350" w:right="0" w:rightChars="0"/>
        <w:jc w:val="left"/>
        <w:rPr>
          <w:rFonts w:hint="eastAsia" w:ascii="宋体" w:hAnsi="宋体"/>
          <w:kern w:val="0"/>
          <w:sz w:val="28"/>
          <w:szCs w:val="28"/>
        </w:rPr>
      </w:pPr>
      <w:r>
        <w:rPr>
          <w:rFonts w:hint="eastAsia" w:ascii="宋体" w:hAnsi="宋体"/>
          <w:kern w:val="0"/>
          <w:sz w:val="28"/>
          <w:szCs w:val="28"/>
        </w:rPr>
        <w:t>注：1.本表应按照每包“项目概况及技术参数”中产品序号的指标逐项填写，不得遗漏，否则，按无效投标处理。</w:t>
      </w:r>
    </w:p>
    <w:p>
      <w:pPr>
        <w:widowControl/>
        <w:numPr>
          <w:ilvl w:val="0"/>
          <w:numId w:val="0"/>
        </w:numPr>
        <w:spacing w:after="160" w:line="276" w:lineRule="auto"/>
        <w:ind w:leftChars="350" w:right="0" w:rightChars="0"/>
        <w:jc w:val="left"/>
        <w:rPr>
          <w:rFonts w:hint="eastAsia" w:ascii="宋体" w:hAnsi="宋体"/>
          <w:kern w:val="0"/>
          <w:sz w:val="28"/>
          <w:szCs w:val="28"/>
        </w:rPr>
      </w:pPr>
      <w:r>
        <w:rPr>
          <w:rFonts w:hint="eastAsia"/>
          <w:kern w:val="0"/>
          <w:sz w:val="28"/>
          <w:szCs w:val="28"/>
          <w:lang w:val="en-US" w:eastAsia="zh-CN"/>
        </w:rPr>
        <w:t>2.</w:t>
      </w:r>
      <w:r>
        <w:rPr>
          <w:rFonts w:hint="eastAsia" w:ascii="宋体" w:hAnsi="宋体"/>
          <w:kern w:val="0"/>
          <w:sz w:val="28"/>
          <w:szCs w:val="28"/>
        </w:rPr>
        <w:t>填写此表时以招标项目参数要求为基本投标要求，满足招标项目参数要求的指标需列出“0”；超出、不满足招标项目参数要求的指标需列出“+”、“-”偏差，并做出详细说明；如果只注明“+”、“-”或未填写，将视为该项指标不响应。</w:t>
      </w:r>
    </w:p>
    <w:p>
      <w:pPr>
        <w:widowControl/>
        <w:numPr>
          <w:ilvl w:val="0"/>
          <w:numId w:val="0"/>
        </w:numPr>
        <w:spacing w:after="160" w:line="276" w:lineRule="auto"/>
        <w:ind w:leftChars="350" w:right="0" w:rightChars="0"/>
        <w:jc w:val="left"/>
        <w:rPr>
          <w:rFonts w:hint="eastAsia" w:ascii="宋体" w:hAnsi="宋体"/>
          <w:kern w:val="0"/>
          <w:sz w:val="28"/>
          <w:szCs w:val="28"/>
        </w:rPr>
      </w:pPr>
      <w:r>
        <w:rPr>
          <w:rFonts w:hint="eastAsia"/>
          <w:kern w:val="0"/>
          <w:sz w:val="28"/>
          <w:szCs w:val="28"/>
          <w:lang w:val="en-US" w:eastAsia="zh-CN"/>
        </w:rPr>
        <w:t>3.</w:t>
      </w:r>
      <w:r>
        <w:rPr>
          <w:rFonts w:hint="eastAsia" w:ascii="宋体" w:hAnsi="宋体"/>
          <w:kern w:val="0"/>
          <w:sz w:val="28"/>
          <w:szCs w:val="28"/>
        </w:rPr>
        <w:t>投标人响应采购需求应具体、明确，含糊不清、不确切或伪造、编造证明材料的，按照实质性不响应处理。对伪造、编造证明材料的，将报告本级财政部门。</w:t>
      </w:r>
    </w:p>
    <w:p>
      <w:pPr>
        <w:pStyle w:val="6"/>
        <w:widowControl w:val="0"/>
        <w:numPr>
          <w:ilvl w:val="0"/>
          <w:numId w:val="0"/>
        </w:numPr>
        <w:autoSpaceDE w:val="0"/>
        <w:autoSpaceDN w:val="0"/>
        <w:spacing w:before="0" w:after="0" w:line="240" w:lineRule="auto"/>
        <w:ind w:right="0" w:rightChars="0"/>
        <w:jc w:val="left"/>
        <w:outlineLvl w:val="9"/>
        <w:rPr>
          <w:rFonts w:hint="eastAsia"/>
        </w:rPr>
      </w:pPr>
    </w:p>
    <w:p>
      <w:pPr>
        <w:rPr>
          <w:rFonts w:hint="eastAsia"/>
        </w:rPr>
      </w:pPr>
    </w:p>
    <w:p>
      <w:pPr>
        <w:pStyle w:val="6"/>
        <w:outlineLvl w:val="9"/>
        <w:rPr>
          <w:rFonts w:hint="eastAsia"/>
        </w:rPr>
      </w:pPr>
    </w:p>
    <w:p>
      <w:pPr>
        <w:rPr>
          <w:rFonts w:hint="eastAsia"/>
        </w:rPr>
      </w:pPr>
    </w:p>
    <w:p>
      <w:pPr>
        <w:pStyle w:val="6"/>
        <w:outlineLvl w:val="9"/>
        <w:rPr>
          <w:rFonts w:hint="eastAsia"/>
        </w:rPr>
      </w:pPr>
    </w:p>
    <w:p>
      <w:pPr>
        <w:rPr>
          <w:rFonts w:hint="eastAsia"/>
        </w:rPr>
      </w:pPr>
    </w:p>
    <w:p>
      <w:pPr>
        <w:pStyle w:val="6"/>
        <w:outlineLvl w:val="9"/>
        <w:rPr>
          <w:rFonts w:hint="eastAsia"/>
        </w:rPr>
      </w:pPr>
    </w:p>
    <w:p>
      <w:pPr>
        <w:rPr>
          <w:rFonts w:hint="eastAsia"/>
        </w:rPr>
      </w:pPr>
    </w:p>
    <w:p>
      <w:pPr>
        <w:tabs>
          <w:tab w:val="left" w:pos="4497"/>
        </w:tabs>
        <w:spacing w:before="0"/>
        <w:ind w:left="0" w:right="205" w:firstLine="0"/>
        <w:jc w:val="right"/>
        <w:rPr>
          <w:b/>
          <w:sz w:val="28"/>
        </w:rPr>
      </w:pPr>
      <w:r>
        <w:rPr>
          <w:b/>
          <w:sz w:val="28"/>
        </w:rPr>
        <w:t>供应商：</w:t>
      </w:r>
      <w:r>
        <w:rPr>
          <w:b/>
          <w:sz w:val="28"/>
        </w:rPr>
        <w:tab/>
      </w:r>
      <w:r>
        <w:rPr>
          <w:b/>
          <w:spacing w:val="-1"/>
          <w:w w:val="95"/>
          <w:sz w:val="28"/>
        </w:rPr>
        <w:t>（公章</w:t>
      </w:r>
      <w:r>
        <w:rPr>
          <w:b/>
          <w:w w:val="95"/>
          <w:sz w:val="28"/>
        </w:rPr>
        <w:t>）</w:t>
      </w:r>
    </w:p>
    <w:p>
      <w:pPr>
        <w:tabs>
          <w:tab w:val="left" w:pos="4495"/>
        </w:tabs>
        <w:spacing w:before="4"/>
        <w:ind w:left="0" w:right="212" w:firstLine="0"/>
        <w:jc w:val="right"/>
        <w:rPr>
          <w:b/>
          <w:sz w:val="28"/>
        </w:rPr>
      </w:pPr>
      <w:r>
        <w:rPr>
          <w:b/>
          <w:sz w:val="28"/>
        </w:rPr>
        <w:t>法定代表人或委托代理人：</w:t>
      </w:r>
      <w:r>
        <w:rPr>
          <w:b/>
          <w:sz w:val="28"/>
        </w:rPr>
        <w:tab/>
      </w:r>
      <w:r>
        <w:rPr>
          <w:b/>
          <w:spacing w:val="-1"/>
          <w:w w:val="95"/>
          <w:sz w:val="28"/>
        </w:rPr>
        <w:t>（签字</w:t>
      </w:r>
      <w:r>
        <w:rPr>
          <w:b/>
          <w:w w:val="95"/>
          <w:sz w:val="28"/>
        </w:rPr>
        <w:t>或盖章）</w:t>
      </w:r>
    </w:p>
    <w:p>
      <w:pPr>
        <w:rPr>
          <w:rFonts w:hint="eastAsia"/>
        </w:rPr>
      </w:pPr>
    </w:p>
    <w:p>
      <w:pPr>
        <w:rPr>
          <w:rFonts w:hint="eastAsia"/>
        </w:rPr>
      </w:pPr>
    </w:p>
    <w:p>
      <w:pPr>
        <w:pStyle w:val="6"/>
        <w:outlineLvl w:val="9"/>
        <w:rPr>
          <w:rFonts w:hint="eastAsia"/>
        </w:rPr>
      </w:pPr>
    </w:p>
    <w:p>
      <w:pPr>
        <w:rPr>
          <w:rFonts w:hint="eastAsia"/>
        </w:rPr>
      </w:pPr>
    </w:p>
    <w:p>
      <w:pPr>
        <w:rPr>
          <w:rFonts w:hint="eastAsia"/>
        </w:rPr>
      </w:pPr>
    </w:p>
    <w:p>
      <w:pPr>
        <w:rPr>
          <w:rFonts w:hint="eastAsia"/>
          <w:lang w:val="zh-CN" w:eastAsia="zh-CN"/>
        </w:rPr>
      </w:pPr>
    </w:p>
    <w:p>
      <w:pPr>
        <w:pStyle w:val="5"/>
        <w:numPr>
          <w:ilvl w:val="0"/>
          <w:numId w:val="0"/>
        </w:numPr>
        <w:tabs>
          <w:tab w:val="left" w:pos="1124"/>
        </w:tabs>
        <w:spacing w:before="32" w:after="0" w:line="240" w:lineRule="auto"/>
        <w:ind w:leftChars="0" w:right="0" w:rightChars="0"/>
        <w:jc w:val="left"/>
        <w:rPr>
          <w:rFonts w:hint="eastAsia"/>
          <w:lang w:val="zh-CN" w:eastAsia="zh-CN"/>
        </w:rPr>
      </w:pPr>
      <w:bookmarkStart w:id="144" w:name="_Toc17525"/>
      <w:r>
        <w:rPr>
          <w:rFonts w:hint="eastAsia"/>
          <w:lang w:val="en-US" w:eastAsia="zh-CN"/>
        </w:rPr>
        <w:t>附件十三：</w:t>
      </w:r>
      <w:r>
        <w:rPr>
          <w:rFonts w:hint="eastAsia"/>
          <w:lang w:val="zh-CN" w:eastAsia="zh-CN"/>
        </w:rPr>
        <w:t>提供产品的相关资料</w:t>
      </w:r>
      <w:bookmarkEnd w:id="144"/>
    </w:p>
    <w:p>
      <w:pPr>
        <w:pStyle w:val="2"/>
        <w:spacing w:before="10"/>
        <w:ind w:left="0"/>
        <w:rPr>
          <w:b/>
          <w:sz w:val="32"/>
        </w:rPr>
      </w:pPr>
    </w:p>
    <w:p>
      <w:pPr>
        <w:spacing w:before="0"/>
        <w:ind w:left="3819" w:right="0" w:firstLine="0"/>
        <w:jc w:val="left"/>
        <w:rPr>
          <w:b/>
          <w:sz w:val="32"/>
        </w:rPr>
      </w:pPr>
      <w:r>
        <w:rPr>
          <w:b/>
          <w:sz w:val="32"/>
        </w:rPr>
        <w:t>提供产品的相关资料</w:t>
      </w:r>
    </w:p>
    <w:p>
      <w:pPr>
        <w:pStyle w:val="2"/>
        <w:spacing w:before="7" w:line="242" w:lineRule="auto"/>
        <w:ind w:right="426" w:firstLine="561"/>
      </w:pPr>
      <w:r>
        <w:t>根据采购项目内容，磋商时提供产品的产品检验报告、证明技术参数响应的相关资料、彩页（或厂家公开发布的资料参数）、相关认证等资料。</w:t>
      </w:r>
    </w:p>
    <w:p>
      <w:pPr>
        <w:spacing w:after="0" w:line="242" w:lineRule="auto"/>
        <w:sectPr>
          <w:footerReference r:id="rId11" w:type="default"/>
          <w:pgSz w:w="11850" w:h="16790"/>
          <w:pgMar w:top="1360" w:right="840" w:bottom="1360" w:left="1120" w:header="0" w:footer="1179" w:gutter="0"/>
          <w:pgNumType w:fmt="decimal"/>
          <w:cols w:space="720" w:num="1"/>
        </w:sectPr>
      </w:pPr>
    </w:p>
    <w:p>
      <w:pPr>
        <w:pStyle w:val="5"/>
        <w:numPr>
          <w:ilvl w:val="0"/>
          <w:numId w:val="0"/>
        </w:numPr>
        <w:tabs>
          <w:tab w:val="left" w:pos="1124"/>
        </w:tabs>
        <w:spacing w:before="32" w:after="0" w:line="240" w:lineRule="auto"/>
        <w:ind w:leftChars="0" w:right="0" w:rightChars="0"/>
        <w:jc w:val="left"/>
        <w:rPr>
          <w:rFonts w:hint="eastAsia"/>
          <w:lang w:val="zh-CN" w:eastAsia="zh-CN"/>
        </w:rPr>
      </w:pPr>
      <w:bookmarkStart w:id="145" w:name="_bookmark55"/>
      <w:bookmarkEnd w:id="145"/>
      <w:bookmarkStart w:id="146" w:name="（16）供应商的类似业绩证明材料"/>
      <w:bookmarkEnd w:id="146"/>
      <w:bookmarkStart w:id="147" w:name="_Toc5853"/>
      <w:r>
        <w:rPr>
          <w:rFonts w:hint="eastAsia"/>
          <w:lang w:val="en-US" w:eastAsia="zh-CN"/>
        </w:rPr>
        <w:t>附件十四：</w:t>
      </w:r>
      <w:r>
        <w:rPr>
          <w:rFonts w:hint="eastAsia"/>
          <w:lang w:val="zh-CN" w:eastAsia="zh-CN"/>
        </w:rPr>
        <w:t>供应商的类似业绩证明材料</w:t>
      </w:r>
      <w:bookmarkEnd w:id="147"/>
    </w:p>
    <w:p>
      <w:pPr>
        <w:pStyle w:val="2"/>
        <w:spacing w:before="10"/>
        <w:ind w:left="0"/>
        <w:rPr>
          <w:b/>
          <w:sz w:val="32"/>
        </w:rPr>
      </w:pPr>
    </w:p>
    <w:p>
      <w:pPr>
        <w:spacing w:before="0"/>
        <w:ind w:left="1" w:right="0" w:firstLine="0"/>
        <w:jc w:val="center"/>
        <w:rPr>
          <w:b/>
          <w:sz w:val="32"/>
        </w:rPr>
      </w:pPr>
      <w:r>
        <w:rPr>
          <w:b/>
          <w:sz w:val="32"/>
        </w:rPr>
        <w:t>供应商的类似业绩证明材料</w:t>
      </w:r>
    </w:p>
    <w:p>
      <w:pPr>
        <w:pStyle w:val="2"/>
        <w:spacing w:before="10"/>
        <w:ind w:left="0"/>
        <w:rPr>
          <w:b/>
        </w:rPr>
      </w:pPr>
    </w:p>
    <w:p>
      <w:pPr>
        <w:pStyle w:val="2"/>
        <w:spacing w:line="242" w:lineRule="auto"/>
        <w:ind w:right="287" w:firstLine="700"/>
      </w:pPr>
      <w:r>
        <w:t>提供近三年以来的类似业绩证明材料。类似业绩是指与采购项目在产品类型、使用功能、合同规模等方面相同或相近的项目。需提供中标通知书</w:t>
      </w:r>
      <w:r>
        <w:rPr>
          <w:rFonts w:hint="eastAsia"/>
          <w:lang w:val="en-US" w:eastAsia="zh-CN"/>
        </w:rPr>
        <w:t>和</w:t>
      </w:r>
      <w:r>
        <w:t>包含合同首页、标的及金额所在页、供货合同签字盖章页的合同扫描（或复印）件。</w:t>
      </w:r>
    </w:p>
    <w:p>
      <w:pPr>
        <w:pStyle w:val="3"/>
        <w:outlineLvl w:val="9"/>
      </w:pPr>
    </w:p>
    <w:p/>
    <w:p>
      <w:pPr>
        <w:pStyle w:val="8"/>
        <w:outlineLvl w:val="9"/>
      </w:pPr>
    </w:p>
    <w:p/>
    <w:p>
      <w:pPr>
        <w:pStyle w:val="8"/>
        <w:outlineLvl w:val="9"/>
      </w:pPr>
    </w:p>
    <w:p/>
    <w:p>
      <w:pPr>
        <w:pStyle w:val="8"/>
        <w:outlineLvl w:val="9"/>
      </w:pPr>
    </w:p>
    <w:p/>
    <w:p>
      <w:pPr>
        <w:pStyle w:val="8"/>
        <w:outlineLvl w:val="9"/>
      </w:pPr>
    </w:p>
    <w:p/>
    <w:p>
      <w:pPr>
        <w:pStyle w:val="8"/>
        <w:outlineLvl w:val="9"/>
      </w:pPr>
    </w:p>
    <w:p/>
    <w:p>
      <w:pPr>
        <w:pStyle w:val="8"/>
        <w:outlineLvl w:val="9"/>
      </w:pPr>
    </w:p>
    <w:p/>
    <w:p>
      <w:pPr>
        <w:pStyle w:val="6"/>
        <w:outlineLvl w:val="9"/>
      </w:pPr>
    </w:p>
    <w:p/>
    <w:p>
      <w:pPr>
        <w:pStyle w:val="6"/>
        <w:outlineLvl w:val="9"/>
      </w:pPr>
    </w:p>
    <w:p/>
    <w:p>
      <w:pPr>
        <w:spacing w:after="0" w:line="242" w:lineRule="auto"/>
      </w:pPr>
    </w:p>
    <w:p>
      <w:pPr>
        <w:pStyle w:val="5"/>
        <w:numPr>
          <w:ilvl w:val="0"/>
          <w:numId w:val="0"/>
        </w:numPr>
        <w:tabs>
          <w:tab w:val="left" w:pos="1124"/>
        </w:tabs>
        <w:spacing w:before="32" w:after="0" w:line="240" w:lineRule="auto"/>
        <w:ind w:leftChars="0" w:right="0" w:rightChars="0"/>
        <w:jc w:val="left"/>
        <w:rPr>
          <w:rFonts w:hint="eastAsia"/>
          <w:lang w:val="en-US" w:eastAsia="zh-CN"/>
        </w:rPr>
      </w:pPr>
      <w:bookmarkStart w:id="148" w:name="（17.2）从业人员声明函"/>
      <w:bookmarkEnd w:id="148"/>
      <w:bookmarkStart w:id="149" w:name="（17.1）制造（生产）企业小型、微型企业声明函"/>
      <w:bookmarkEnd w:id="149"/>
      <w:bookmarkStart w:id="150" w:name="_Toc18905"/>
      <w:r>
        <w:rPr>
          <w:rFonts w:hint="eastAsia"/>
          <w:lang w:val="en-US" w:eastAsia="zh-CN"/>
        </w:rPr>
        <w:t>附件十五：制造（生产）企业小型、微型企业声明函</w:t>
      </w:r>
      <w:bookmarkEnd w:id="150"/>
    </w:p>
    <w:p>
      <w:pPr>
        <w:pStyle w:val="2"/>
        <w:spacing w:before="6"/>
        <w:ind w:left="0"/>
        <w:rPr>
          <w:b/>
          <w:sz w:val="37"/>
        </w:rPr>
      </w:pPr>
    </w:p>
    <w:p>
      <w:pPr>
        <w:spacing w:before="0"/>
        <w:ind w:left="1" w:right="0" w:firstLine="0"/>
        <w:jc w:val="center"/>
        <w:rPr>
          <w:b/>
          <w:sz w:val="32"/>
        </w:rPr>
      </w:pPr>
      <w:r>
        <w:rPr>
          <w:b/>
          <w:sz w:val="32"/>
        </w:rPr>
        <w:t>制造（生产）企业小型、微型企业声明函</w:t>
      </w:r>
    </w:p>
    <w:p>
      <w:pPr>
        <w:pStyle w:val="2"/>
        <w:spacing w:before="10"/>
        <w:ind w:left="0"/>
        <w:rPr>
          <w:b/>
        </w:rPr>
      </w:pPr>
    </w:p>
    <w:p>
      <w:pPr>
        <w:spacing w:before="0"/>
        <w:ind w:left="219" w:right="0" w:firstLine="0"/>
        <w:jc w:val="left"/>
        <w:rPr>
          <w:rFonts w:hint="eastAsia" w:eastAsia="宋体"/>
          <w:b/>
          <w:sz w:val="28"/>
          <w:lang w:eastAsia="zh-CN"/>
        </w:rPr>
      </w:pPr>
      <w:r>
        <w:rPr>
          <w:b/>
          <w:sz w:val="28"/>
        </w:rPr>
        <w:t>致：</w:t>
      </w:r>
      <w:r>
        <w:rPr>
          <w:rFonts w:hint="eastAsia"/>
          <w:b/>
          <w:sz w:val="28"/>
          <w:lang w:eastAsia="zh-CN"/>
        </w:rPr>
        <w:t>青海鑫凤林项目管理咨询有限公司　</w:t>
      </w:r>
    </w:p>
    <w:p>
      <w:pPr>
        <w:pStyle w:val="2"/>
        <w:spacing w:before="4"/>
        <w:ind w:left="579"/>
      </w:pPr>
      <w:r>
        <w:t>本公司郑重声明，根据《政府采购促进中小企业发展暂行办法》（财库</w:t>
      </w:r>
    </w:p>
    <w:p>
      <w:pPr>
        <w:pStyle w:val="2"/>
        <w:tabs>
          <w:tab w:val="left" w:pos="5400"/>
        </w:tabs>
        <w:spacing w:before="4" w:line="242" w:lineRule="auto"/>
        <w:ind w:right="428"/>
      </w:pPr>
      <w:r>
        <w:t>〔2011〕181号</w:t>
      </w:r>
      <w:r>
        <w:rPr>
          <w:spacing w:val="-3"/>
        </w:rPr>
        <w:t>）</w:t>
      </w:r>
      <w:r>
        <w:t>的规</w:t>
      </w:r>
      <w:r>
        <w:rPr>
          <w:spacing w:val="-3"/>
        </w:rPr>
        <w:t>定</w:t>
      </w:r>
      <w:r>
        <w:t>，本</w:t>
      </w:r>
      <w:r>
        <w:rPr>
          <w:spacing w:val="-3"/>
        </w:rPr>
        <w:t>公</w:t>
      </w:r>
      <w:r>
        <w:t>司为</w:t>
      </w:r>
      <w:r>
        <w:rPr>
          <w:u w:val="single"/>
        </w:rPr>
        <w:t xml:space="preserve"> </w:t>
      </w:r>
      <w:r>
        <w:rPr>
          <w:u w:val="single"/>
        </w:rPr>
        <w:tab/>
      </w:r>
      <w:r>
        <w:t>（</w:t>
      </w:r>
      <w:r>
        <w:rPr>
          <w:spacing w:val="-3"/>
        </w:rPr>
        <w:t>请</w:t>
      </w:r>
      <w:r>
        <w:t>填写</w:t>
      </w:r>
      <w:r>
        <w:rPr>
          <w:spacing w:val="-3"/>
        </w:rPr>
        <w:t>：</w:t>
      </w:r>
      <w:r>
        <w:t>小型</w:t>
      </w:r>
      <w:r>
        <w:rPr>
          <w:spacing w:val="-3"/>
        </w:rPr>
        <w:t>、</w:t>
      </w:r>
      <w:r>
        <w:t>微型</w:t>
      </w:r>
      <w:r>
        <w:rPr>
          <w:spacing w:val="-3"/>
        </w:rPr>
        <w:t>）</w:t>
      </w:r>
      <w:r>
        <w:t>企业。</w:t>
      </w:r>
      <w:r>
        <w:rPr>
          <w:spacing w:val="-1"/>
        </w:rPr>
        <w:t>即</w:t>
      </w:r>
      <w:r>
        <w:rPr>
          <w:spacing w:val="-3"/>
        </w:rPr>
        <w:t>，</w:t>
      </w:r>
      <w:r>
        <w:rPr>
          <w:spacing w:val="-1"/>
        </w:rPr>
        <w:t>本公</w:t>
      </w:r>
      <w:r>
        <w:rPr>
          <w:spacing w:val="-3"/>
        </w:rPr>
        <w:t>司</w:t>
      </w:r>
      <w:r>
        <w:rPr>
          <w:spacing w:val="-1"/>
        </w:rPr>
        <w:t>满足</w:t>
      </w:r>
      <w:r>
        <w:rPr>
          <w:spacing w:val="-3"/>
        </w:rPr>
        <w:t>以</w:t>
      </w:r>
      <w:r>
        <w:t>下条</w:t>
      </w:r>
      <w:r>
        <w:rPr>
          <w:spacing w:val="-3"/>
        </w:rPr>
        <w:t>件</w:t>
      </w:r>
      <w:r>
        <w:t>：《</w:t>
      </w:r>
      <w:r>
        <w:rPr>
          <w:spacing w:val="-3"/>
        </w:rPr>
        <w:t>工</w:t>
      </w:r>
      <w:r>
        <w:t>业和</w:t>
      </w:r>
      <w:r>
        <w:rPr>
          <w:spacing w:val="-3"/>
        </w:rPr>
        <w:t>信</w:t>
      </w:r>
      <w:r>
        <w:t>息化</w:t>
      </w:r>
      <w:r>
        <w:rPr>
          <w:spacing w:val="-3"/>
        </w:rPr>
        <w:t>部</w:t>
      </w:r>
      <w:r>
        <w:t>、国</w:t>
      </w:r>
      <w:r>
        <w:rPr>
          <w:spacing w:val="-3"/>
        </w:rPr>
        <w:t>家</w:t>
      </w:r>
      <w:r>
        <w:t>统计</w:t>
      </w:r>
      <w:r>
        <w:rPr>
          <w:spacing w:val="-3"/>
        </w:rPr>
        <w:t>局</w:t>
      </w:r>
      <w:r>
        <w:t>、国</w:t>
      </w:r>
      <w:r>
        <w:rPr>
          <w:spacing w:val="-3"/>
        </w:rPr>
        <w:t>家</w:t>
      </w:r>
      <w:r>
        <w:t>发展</w:t>
      </w:r>
      <w:r>
        <w:rPr>
          <w:spacing w:val="-3"/>
        </w:rPr>
        <w:t>和</w:t>
      </w:r>
      <w:r>
        <w:t>改</w:t>
      </w:r>
      <w:r>
        <w:rPr>
          <w:spacing w:val="-1"/>
        </w:rPr>
        <w:t>革</w:t>
      </w:r>
      <w:r>
        <w:rPr>
          <w:spacing w:val="-3"/>
        </w:rPr>
        <w:t>委</w:t>
      </w:r>
      <w:r>
        <w:rPr>
          <w:spacing w:val="-1"/>
        </w:rPr>
        <w:t>员会</w:t>
      </w:r>
      <w:r>
        <w:rPr>
          <w:spacing w:val="-3"/>
        </w:rPr>
        <w:t>、</w:t>
      </w:r>
      <w:r>
        <w:rPr>
          <w:spacing w:val="-1"/>
        </w:rPr>
        <w:t>财政</w:t>
      </w:r>
      <w:r>
        <w:rPr>
          <w:spacing w:val="-3"/>
        </w:rPr>
        <w:t>部</w:t>
      </w:r>
      <w:r>
        <w:t>关于</w:t>
      </w:r>
      <w:r>
        <w:rPr>
          <w:spacing w:val="-3"/>
        </w:rPr>
        <w:t>印</w:t>
      </w:r>
      <w:r>
        <w:t>发中</w:t>
      </w:r>
      <w:r>
        <w:rPr>
          <w:spacing w:val="-3"/>
        </w:rPr>
        <w:t>小</w:t>
      </w:r>
      <w:r>
        <w:t>企业</w:t>
      </w:r>
      <w:r>
        <w:rPr>
          <w:spacing w:val="-3"/>
        </w:rPr>
        <w:t>划</w:t>
      </w:r>
      <w:r>
        <w:t>型标</w:t>
      </w:r>
      <w:r>
        <w:rPr>
          <w:spacing w:val="-3"/>
        </w:rPr>
        <w:t>准</w:t>
      </w:r>
      <w:r>
        <w:t>规定</w:t>
      </w:r>
      <w:r>
        <w:rPr>
          <w:spacing w:val="-3"/>
        </w:rPr>
        <w:t>的</w:t>
      </w:r>
      <w:r>
        <w:t>通知</w:t>
      </w:r>
      <w:r>
        <w:rPr>
          <w:spacing w:val="-3"/>
        </w:rPr>
        <w:t>》</w:t>
      </w:r>
      <w:r>
        <w:t>（工</w:t>
      </w:r>
      <w:r>
        <w:rPr>
          <w:spacing w:val="-3"/>
        </w:rPr>
        <w:t>信</w:t>
      </w:r>
      <w:r>
        <w:t>部联</w:t>
      </w:r>
      <w:r>
        <w:rPr>
          <w:spacing w:val="-3"/>
        </w:rPr>
        <w:t>企</w:t>
      </w:r>
      <w:r>
        <w:t>业</w:t>
      </w:r>
    </w:p>
    <w:p>
      <w:pPr>
        <w:pStyle w:val="2"/>
        <w:spacing w:before="2"/>
      </w:pPr>
      <w:r>
        <w:t>〔2011〕300号）规定的划分标准。</w:t>
      </w:r>
    </w:p>
    <w:p>
      <w:pPr>
        <w:pStyle w:val="2"/>
        <w:spacing w:before="4"/>
        <w:ind w:left="579"/>
      </w:pPr>
      <w:r>
        <w:t>本公司对上述声明的真实性负责。如有虚假，将依法承担相应责任。</w:t>
      </w:r>
    </w:p>
    <w:p>
      <w:pPr>
        <w:pStyle w:val="2"/>
        <w:spacing w:before="6" w:line="242" w:lineRule="auto"/>
        <w:ind w:right="287"/>
      </w:pPr>
      <w:r>
        <w:t>注：1、此函需声明参与本次磋商的货物（产品）名称、规格、型号等相关资料；</w:t>
      </w:r>
    </w:p>
    <w:p>
      <w:pPr>
        <w:pStyle w:val="2"/>
        <w:spacing w:line="244" w:lineRule="auto"/>
        <w:ind w:right="287" w:firstLine="561"/>
      </w:pPr>
      <w:r>
        <w:t>2、此函须由供应产品的制造（生产）企业提供并声明，且加盖供应商公章。同时附制造（生产）企业上一年度的财务状况审计报告；</w:t>
      </w:r>
    </w:p>
    <w:p>
      <w:pPr>
        <w:pStyle w:val="2"/>
        <w:spacing w:line="354" w:lineRule="exact"/>
        <w:ind w:left="780"/>
      </w:pPr>
      <w:r>
        <w:t>3、此函若出现多家制造（生产）企业的货物（产品）磋商时，可按制造</w:t>
      </w:r>
    </w:p>
    <w:p>
      <w:pPr>
        <w:pStyle w:val="2"/>
        <w:spacing w:before="4" w:line="242" w:lineRule="auto"/>
        <w:ind w:left="780" w:right="2387" w:hanging="562"/>
      </w:pPr>
      <w:r>
        <w:t>（生产）企业分别声明，一家制造（生产）企业填写一张。4、若无此项内容，可不填写此函。</w:t>
      </w:r>
    </w:p>
    <w:p>
      <w:pPr>
        <w:pStyle w:val="2"/>
        <w:spacing w:before="6"/>
        <w:ind w:left="0"/>
      </w:pPr>
    </w:p>
    <w:p>
      <w:pPr>
        <w:tabs>
          <w:tab w:val="left" w:pos="7707"/>
          <w:tab w:val="left" w:pos="8549"/>
        </w:tabs>
        <w:spacing w:before="0" w:line="244" w:lineRule="auto"/>
        <w:ind w:left="2789" w:right="212" w:firstLine="1684"/>
        <w:jc w:val="right"/>
        <w:rPr>
          <w:b/>
          <w:sz w:val="28"/>
        </w:rPr>
      </w:pPr>
      <w:r>
        <w:rPr>
          <w:b/>
          <w:sz w:val="28"/>
        </w:rPr>
        <w:t>制造（生产）企业名称：</w:t>
      </w:r>
      <w:r>
        <w:rPr>
          <w:b/>
          <w:sz w:val="28"/>
        </w:rPr>
        <w:tab/>
      </w:r>
      <w:r>
        <w:rPr>
          <w:b/>
          <w:sz w:val="28"/>
        </w:rPr>
        <w:tab/>
      </w:r>
      <w:r>
        <w:rPr>
          <w:b/>
          <w:spacing w:val="-1"/>
          <w:w w:val="95"/>
          <w:sz w:val="28"/>
        </w:rPr>
        <w:t>（公章</w:t>
      </w:r>
      <w:r>
        <w:rPr>
          <w:b/>
          <w:spacing w:val="-12"/>
          <w:w w:val="95"/>
          <w:sz w:val="28"/>
        </w:rPr>
        <w:t xml:space="preserve">） </w:t>
      </w:r>
      <w:r>
        <w:rPr>
          <w:b/>
          <w:sz w:val="28"/>
        </w:rPr>
        <w:t>制造（生产）企业法定代表人：</w:t>
      </w:r>
      <w:r>
        <w:rPr>
          <w:b/>
          <w:sz w:val="28"/>
        </w:rPr>
        <w:tab/>
      </w:r>
      <w:r>
        <w:rPr>
          <w:b/>
          <w:spacing w:val="-1"/>
          <w:w w:val="95"/>
          <w:sz w:val="28"/>
        </w:rPr>
        <w:t>（签字</w:t>
      </w:r>
      <w:r>
        <w:rPr>
          <w:b/>
          <w:w w:val="95"/>
          <w:sz w:val="28"/>
        </w:rPr>
        <w:t>或盖章</w:t>
      </w:r>
      <w:r>
        <w:rPr>
          <w:b/>
          <w:spacing w:val="-13"/>
          <w:w w:val="95"/>
          <w:sz w:val="28"/>
        </w:rPr>
        <w:t>）</w:t>
      </w:r>
    </w:p>
    <w:p>
      <w:pPr>
        <w:tabs>
          <w:tab w:val="left" w:pos="842"/>
          <w:tab w:val="left" w:pos="1684"/>
        </w:tabs>
        <w:spacing w:before="0" w:line="354" w:lineRule="exact"/>
        <w:ind w:left="0" w:right="216" w:firstLine="0"/>
        <w:jc w:val="right"/>
        <w:rPr>
          <w:b/>
          <w:sz w:val="28"/>
        </w:rPr>
      </w:pPr>
      <w:r>
        <w:rPr>
          <w:b/>
          <w:sz w:val="28"/>
        </w:rPr>
        <w:t>年</w:t>
      </w:r>
      <w:r>
        <w:rPr>
          <w:b/>
          <w:sz w:val="28"/>
        </w:rPr>
        <w:tab/>
      </w:r>
      <w:r>
        <w:rPr>
          <w:b/>
          <w:sz w:val="28"/>
        </w:rPr>
        <w:t>月</w:t>
      </w:r>
      <w:r>
        <w:rPr>
          <w:b/>
          <w:sz w:val="28"/>
        </w:rPr>
        <w:tab/>
      </w:r>
      <w:r>
        <w:rPr>
          <w:b/>
          <w:spacing w:val="-1"/>
          <w:sz w:val="28"/>
        </w:rPr>
        <w:t>日</w:t>
      </w:r>
    </w:p>
    <w:p>
      <w:pPr>
        <w:spacing w:after="0" w:line="354" w:lineRule="exact"/>
        <w:jc w:val="right"/>
        <w:rPr>
          <w:sz w:val="28"/>
        </w:rPr>
        <w:sectPr>
          <w:pgSz w:w="11850" w:h="16790"/>
          <w:pgMar w:top="1360" w:right="840" w:bottom="1440" w:left="1120" w:header="0" w:footer="1179" w:gutter="0"/>
          <w:pgNumType w:fmt="decimal"/>
          <w:cols w:space="720" w:num="1"/>
        </w:sectPr>
      </w:pPr>
    </w:p>
    <w:p>
      <w:pPr>
        <w:pStyle w:val="5"/>
        <w:numPr>
          <w:ilvl w:val="0"/>
          <w:numId w:val="0"/>
        </w:numPr>
        <w:tabs>
          <w:tab w:val="left" w:pos="1124"/>
        </w:tabs>
        <w:spacing w:before="32" w:after="0" w:line="240" w:lineRule="auto"/>
        <w:ind w:leftChars="0" w:right="0" w:rightChars="0"/>
        <w:jc w:val="left"/>
        <w:rPr>
          <w:rFonts w:hint="eastAsia"/>
          <w:lang w:val="en-US" w:eastAsia="zh-CN"/>
        </w:rPr>
      </w:pPr>
      <w:bookmarkStart w:id="151" w:name="（18）残疾人福利性单位声明函"/>
      <w:bookmarkEnd w:id="151"/>
      <w:bookmarkStart w:id="152" w:name="_Toc11262"/>
      <w:r>
        <w:rPr>
          <w:rFonts w:hint="eastAsia"/>
          <w:lang w:val="en-US" w:eastAsia="zh-CN"/>
        </w:rPr>
        <w:t>附件十六：从业人员声明函</w:t>
      </w:r>
      <w:bookmarkEnd w:id="152"/>
    </w:p>
    <w:p>
      <w:pPr>
        <w:pStyle w:val="2"/>
        <w:ind w:left="0"/>
        <w:rPr>
          <w:b/>
          <w:sz w:val="20"/>
        </w:rPr>
      </w:pPr>
    </w:p>
    <w:p>
      <w:pPr>
        <w:spacing w:before="224"/>
        <w:ind w:left="0" w:right="0" w:firstLine="0"/>
        <w:jc w:val="center"/>
        <w:rPr>
          <w:b/>
          <w:sz w:val="32"/>
        </w:rPr>
      </w:pPr>
      <w:r>
        <w:rPr>
          <w:b/>
          <w:sz w:val="32"/>
        </w:rPr>
        <w:t>从业人员声明函</w:t>
      </w:r>
    </w:p>
    <w:p>
      <w:pPr>
        <w:pStyle w:val="2"/>
        <w:spacing w:before="10"/>
        <w:ind w:left="0"/>
        <w:rPr>
          <w:b/>
        </w:rPr>
      </w:pPr>
    </w:p>
    <w:p>
      <w:pPr>
        <w:spacing w:before="0"/>
        <w:ind w:left="219" w:right="0" w:firstLine="0"/>
        <w:jc w:val="left"/>
        <w:rPr>
          <w:rFonts w:hint="eastAsia" w:eastAsia="宋体"/>
          <w:b/>
          <w:sz w:val="28"/>
          <w:lang w:eastAsia="zh-CN"/>
        </w:rPr>
      </w:pPr>
      <w:r>
        <w:rPr>
          <w:b/>
          <w:sz w:val="28"/>
        </w:rPr>
        <w:t>致：</w:t>
      </w:r>
      <w:r>
        <w:rPr>
          <w:rFonts w:hint="eastAsia"/>
          <w:b/>
          <w:sz w:val="28"/>
          <w:lang w:eastAsia="zh-CN"/>
        </w:rPr>
        <w:t>青海鑫凤林项目管理咨询有限公司　</w:t>
      </w:r>
    </w:p>
    <w:p>
      <w:pPr>
        <w:pStyle w:val="2"/>
        <w:spacing w:before="4" w:line="242" w:lineRule="auto"/>
        <w:ind w:left="216" w:right="289" w:firstLine="559"/>
      </w:pPr>
      <w:r>
        <w:t>本公司郑重声明：根据《政府采购促进中小企业发展暂行办法》（财库[2011]181号）、《工业和信息部、国家统计局、国家发展和改革委员会、财政部关于印发中小企业划型标准规定的通知》（工信部联企业[2011]300</w:t>
      </w:r>
    </w:p>
    <w:p>
      <w:pPr>
        <w:pStyle w:val="2"/>
        <w:tabs>
          <w:tab w:val="left" w:pos="5115"/>
        </w:tabs>
        <w:spacing w:before="2"/>
        <w:ind w:left="216"/>
      </w:pPr>
      <w:r>
        <w:t>号</w:t>
      </w:r>
      <w:r>
        <w:rPr>
          <w:spacing w:val="-3"/>
        </w:rPr>
        <w:t>）</w:t>
      </w:r>
      <w:r>
        <w:t>规定</w:t>
      </w:r>
      <w:r>
        <w:rPr>
          <w:spacing w:val="-3"/>
        </w:rPr>
        <w:t>，</w:t>
      </w:r>
      <w:r>
        <w:t>本公</w:t>
      </w:r>
      <w:r>
        <w:rPr>
          <w:spacing w:val="-3"/>
        </w:rPr>
        <w:t>司</w:t>
      </w:r>
      <w:r>
        <w:t>从业</w:t>
      </w:r>
      <w:r>
        <w:rPr>
          <w:spacing w:val="-3"/>
        </w:rPr>
        <w:t>人</w:t>
      </w:r>
      <w:r>
        <w:t>员数</w:t>
      </w:r>
      <w:r>
        <w:rPr>
          <w:spacing w:val="-3"/>
        </w:rPr>
        <w:t>为</w:t>
      </w:r>
      <w:r>
        <w:rPr>
          <w:spacing w:val="-3"/>
          <w:u w:val="single"/>
        </w:rPr>
        <w:t xml:space="preserve"> </w:t>
      </w:r>
      <w:r>
        <w:rPr>
          <w:spacing w:val="-3"/>
          <w:u w:val="single"/>
        </w:rPr>
        <w:tab/>
      </w:r>
      <w:r>
        <w:t>人。</w:t>
      </w:r>
    </w:p>
    <w:p>
      <w:pPr>
        <w:pStyle w:val="2"/>
        <w:spacing w:before="4" w:line="487" w:lineRule="auto"/>
        <w:ind w:right="709" w:firstLine="559"/>
      </w:pPr>
      <w:r>
        <w:t>本公司对上述声明的真实性负责，如有虚假，将依法承担相应责任。注：若无此项内容，可不填写此函。</w:t>
      </w:r>
    </w:p>
    <w:p>
      <w:pPr>
        <w:pStyle w:val="2"/>
        <w:ind w:left="0"/>
      </w:pPr>
    </w:p>
    <w:p>
      <w:pPr>
        <w:pStyle w:val="2"/>
        <w:ind w:left="0"/>
      </w:pPr>
    </w:p>
    <w:p>
      <w:pPr>
        <w:pStyle w:val="2"/>
        <w:spacing w:before="9"/>
        <w:ind w:left="0"/>
      </w:pPr>
    </w:p>
    <w:p>
      <w:pPr>
        <w:tabs>
          <w:tab w:val="left" w:pos="7707"/>
          <w:tab w:val="left" w:pos="8549"/>
        </w:tabs>
        <w:spacing w:before="0" w:line="242" w:lineRule="auto"/>
        <w:ind w:left="2789" w:right="212" w:firstLine="1684"/>
        <w:jc w:val="right"/>
        <w:rPr>
          <w:b/>
          <w:sz w:val="28"/>
        </w:rPr>
      </w:pPr>
      <w:r>
        <w:rPr>
          <w:b/>
          <w:sz w:val="28"/>
        </w:rPr>
        <w:t>制造（生产）企业名称：</w:t>
      </w:r>
      <w:r>
        <w:rPr>
          <w:b/>
          <w:sz w:val="28"/>
        </w:rPr>
        <w:tab/>
      </w:r>
      <w:r>
        <w:rPr>
          <w:b/>
          <w:sz w:val="28"/>
        </w:rPr>
        <w:tab/>
      </w:r>
      <w:r>
        <w:rPr>
          <w:b/>
          <w:spacing w:val="-1"/>
          <w:w w:val="95"/>
          <w:sz w:val="28"/>
        </w:rPr>
        <w:t>（公章</w:t>
      </w:r>
      <w:r>
        <w:rPr>
          <w:b/>
          <w:spacing w:val="-12"/>
          <w:w w:val="95"/>
          <w:sz w:val="28"/>
        </w:rPr>
        <w:t xml:space="preserve">） </w:t>
      </w:r>
      <w:r>
        <w:rPr>
          <w:b/>
          <w:sz w:val="28"/>
        </w:rPr>
        <w:t>制造（生产）企业法定代表人：</w:t>
      </w:r>
      <w:r>
        <w:rPr>
          <w:b/>
          <w:sz w:val="28"/>
        </w:rPr>
        <w:tab/>
      </w:r>
      <w:r>
        <w:rPr>
          <w:b/>
          <w:spacing w:val="-1"/>
          <w:w w:val="95"/>
          <w:sz w:val="28"/>
        </w:rPr>
        <w:t>（签字</w:t>
      </w:r>
      <w:r>
        <w:rPr>
          <w:b/>
          <w:w w:val="95"/>
          <w:sz w:val="28"/>
        </w:rPr>
        <w:t>或盖章</w:t>
      </w:r>
      <w:r>
        <w:rPr>
          <w:b/>
          <w:spacing w:val="-13"/>
          <w:w w:val="95"/>
          <w:sz w:val="28"/>
        </w:rPr>
        <w:t>）</w:t>
      </w:r>
    </w:p>
    <w:p>
      <w:pPr>
        <w:tabs>
          <w:tab w:val="left" w:pos="842"/>
          <w:tab w:val="left" w:pos="1684"/>
        </w:tabs>
        <w:spacing w:before="2"/>
        <w:ind w:left="0" w:right="216" w:firstLine="0"/>
        <w:jc w:val="right"/>
        <w:rPr>
          <w:b/>
          <w:sz w:val="28"/>
        </w:rPr>
      </w:pPr>
      <w:r>
        <w:rPr>
          <w:b/>
          <w:sz w:val="28"/>
        </w:rPr>
        <w:t>年</w:t>
      </w:r>
      <w:r>
        <w:rPr>
          <w:b/>
          <w:sz w:val="28"/>
        </w:rPr>
        <w:tab/>
      </w:r>
      <w:r>
        <w:rPr>
          <w:b/>
          <w:sz w:val="28"/>
        </w:rPr>
        <w:t>月</w:t>
      </w:r>
      <w:r>
        <w:rPr>
          <w:b/>
          <w:sz w:val="28"/>
        </w:rPr>
        <w:tab/>
      </w:r>
      <w:r>
        <w:rPr>
          <w:b/>
          <w:spacing w:val="-1"/>
          <w:sz w:val="28"/>
        </w:rPr>
        <w:t>日</w:t>
      </w:r>
    </w:p>
    <w:p>
      <w:pPr>
        <w:spacing w:after="0"/>
        <w:jc w:val="right"/>
        <w:rPr>
          <w:sz w:val="28"/>
        </w:rPr>
        <w:sectPr>
          <w:pgSz w:w="11850" w:h="16790"/>
          <w:pgMar w:top="1580" w:right="840" w:bottom="1440" w:left="1120" w:header="0" w:footer="1179" w:gutter="0"/>
          <w:pgNumType w:fmt="decimal"/>
          <w:cols w:space="720" w:num="1"/>
        </w:sectPr>
      </w:pPr>
    </w:p>
    <w:p>
      <w:pPr>
        <w:pStyle w:val="5"/>
        <w:numPr>
          <w:ilvl w:val="0"/>
          <w:numId w:val="0"/>
        </w:numPr>
        <w:tabs>
          <w:tab w:val="left" w:pos="1124"/>
        </w:tabs>
        <w:spacing w:before="32" w:after="0" w:line="240" w:lineRule="auto"/>
        <w:ind w:leftChars="0" w:right="0" w:rightChars="0"/>
        <w:jc w:val="left"/>
        <w:rPr>
          <w:rFonts w:hint="eastAsia"/>
          <w:lang w:val="en-US" w:eastAsia="zh-CN"/>
        </w:rPr>
      </w:pPr>
      <w:bookmarkStart w:id="153" w:name="_bookmark58"/>
      <w:bookmarkEnd w:id="153"/>
      <w:bookmarkStart w:id="154" w:name="_Toc26422"/>
      <w:r>
        <w:rPr>
          <w:rFonts w:hint="eastAsia"/>
          <w:lang w:val="en-US" w:eastAsia="zh-CN"/>
        </w:rPr>
        <w:t>附件十七：残疾人福利性单位声明函</w:t>
      </w:r>
      <w:bookmarkEnd w:id="154"/>
    </w:p>
    <w:p>
      <w:pPr>
        <w:pStyle w:val="2"/>
        <w:spacing w:before="6"/>
        <w:ind w:left="0"/>
        <w:rPr>
          <w:b/>
          <w:sz w:val="37"/>
        </w:rPr>
      </w:pPr>
    </w:p>
    <w:p>
      <w:pPr>
        <w:spacing w:before="0"/>
        <w:ind w:left="0" w:right="0" w:firstLine="0"/>
        <w:jc w:val="center"/>
        <w:rPr>
          <w:b/>
          <w:sz w:val="32"/>
        </w:rPr>
      </w:pPr>
      <w:r>
        <w:rPr>
          <w:b/>
          <w:sz w:val="32"/>
        </w:rPr>
        <w:t>残疾人福利性单位声明函</w:t>
      </w:r>
    </w:p>
    <w:p>
      <w:pPr>
        <w:pStyle w:val="2"/>
        <w:spacing w:before="1"/>
        <w:ind w:left="0"/>
        <w:rPr>
          <w:b/>
          <w:sz w:val="42"/>
        </w:rPr>
      </w:pPr>
    </w:p>
    <w:p>
      <w:pPr>
        <w:spacing w:before="0"/>
        <w:ind w:left="219" w:right="0" w:firstLine="0"/>
        <w:jc w:val="left"/>
        <w:rPr>
          <w:rFonts w:hint="eastAsia" w:eastAsia="宋体"/>
          <w:b/>
          <w:sz w:val="28"/>
          <w:lang w:eastAsia="zh-CN"/>
        </w:rPr>
      </w:pPr>
      <w:r>
        <w:rPr>
          <w:b/>
          <w:sz w:val="28"/>
        </w:rPr>
        <w:t>致：</w:t>
      </w:r>
      <w:r>
        <w:rPr>
          <w:rFonts w:hint="eastAsia"/>
          <w:b/>
          <w:sz w:val="28"/>
          <w:lang w:eastAsia="zh-CN"/>
        </w:rPr>
        <w:t>青海鑫凤林项目管理咨询有限公司　</w:t>
      </w:r>
    </w:p>
    <w:p>
      <w:pPr>
        <w:pStyle w:val="2"/>
        <w:tabs>
          <w:tab w:val="left" w:pos="1899"/>
          <w:tab w:val="left" w:pos="4980"/>
          <w:tab w:val="left" w:pos="6660"/>
          <w:tab w:val="left" w:pos="7639"/>
        </w:tabs>
        <w:spacing w:before="126" w:line="242" w:lineRule="auto"/>
        <w:ind w:right="227" w:firstLine="480"/>
      </w:pPr>
      <w:r>
        <w:rPr>
          <w:spacing w:val="-1"/>
        </w:rPr>
        <w:t>本</w:t>
      </w:r>
      <w:r>
        <w:rPr>
          <w:spacing w:val="-3"/>
        </w:rPr>
        <w:t>单</w:t>
      </w:r>
      <w:r>
        <w:rPr>
          <w:spacing w:val="-1"/>
        </w:rPr>
        <w:t>位郑</w:t>
      </w:r>
      <w:r>
        <w:rPr>
          <w:spacing w:val="-3"/>
        </w:rPr>
        <w:t>重</w:t>
      </w:r>
      <w:r>
        <w:rPr>
          <w:spacing w:val="-1"/>
        </w:rPr>
        <w:t>声明</w:t>
      </w:r>
      <w:r>
        <w:rPr>
          <w:spacing w:val="-3"/>
        </w:rPr>
        <w:t>，</w:t>
      </w:r>
      <w:r>
        <w:rPr>
          <w:spacing w:val="-1"/>
        </w:rPr>
        <w:t>根</w:t>
      </w:r>
      <w:r>
        <w:t>据</w:t>
      </w:r>
      <w:r>
        <w:rPr>
          <w:spacing w:val="-3"/>
        </w:rPr>
        <w:t>《</w:t>
      </w:r>
      <w:r>
        <w:t>财政</w:t>
      </w:r>
      <w:r>
        <w:rPr>
          <w:spacing w:val="-3"/>
        </w:rPr>
        <w:t>部</w:t>
      </w:r>
      <w:r>
        <w:t>、民</w:t>
      </w:r>
      <w:r>
        <w:rPr>
          <w:spacing w:val="-3"/>
        </w:rPr>
        <w:t>政</w:t>
      </w:r>
      <w:r>
        <w:t>部、</w:t>
      </w:r>
      <w:r>
        <w:rPr>
          <w:spacing w:val="-3"/>
        </w:rPr>
        <w:t>中</w:t>
      </w:r>
      <w:r>
        <w:t>国残</w:t>
      </w:r>
      <w:r>
        <w:rPr>
          <w:spacing w:val="-3"/>
        </w:rPr>
        <w:t>疾</w:t>
      </w:r>
      <w:r>
        <w:t>人联</w:t>
      </w:r>
      <w:r>
        <w:rPr>
          <w:spacing w:val="-3"/>
        </w:rPr>
        <w:t>合</w:t>
      </w:r>
      <w:r>
        <w:t>会关</w:t>
      </w:r>
      <w:r>
        <w:rPr>
          <w:spacing w:val="-3"/>
        </w:rPr>
        <w:t>于</w:t>
      </w:r>
      <w:r>
        <w:t>促进残疾</w:t>
      </w:r>
      <w:r>
        <w:rPr>
          <w:spacing w:val="-3"/>
        </w:rPr>
        <w:t>人</w:t>
      </w:r>
      <w:r>
        <w:t>就业</w:t>
      </w:r>
      <w:r>
        <w:rPr>
          <w:spacing w:val="-3"/>
        </w:rPr>
        <w:t>政</w:t>
      </w:r>
      <w:r>
        <w:t>府采</w:t>
      </w:r>
      <w:r>
        <w:rPr>
          <w:spacing w:val="-3"/>
        </w:rPr>
        <w:t>购</w:t>
      </w:r>
      <w:r>
        <w:t>政策</w:t>
      </w:r>
      <w:r>
        <w:rPr>
          <w:spacing w:val="-3"/>
        </w:rPr>
        <w:t>的</w:t>
      </w:r>
      <w:r>
        <w:t>通知</w:t>
      </w:r>
      <w:r>
        <w:rPr>
          <w:spacing w:val="-3"/>
        </w:rPr>
        <w:t>》</w:t>
      </w:r>
      <w:r>
        <w:t>（财</w:t>
      </w:r>
      <w:r>
        <w:rPr>
          <w:spacing w:val="-3"/>
        </w:rPr>
        <w:t>库</w:t>
      </w:r>
      <w:r>
        <w:t>〔2017</w:t>
      </w:r>
      <w:r>
        <w:rPr>
          <w:spacing w:val="-3"/>
        </w:rPr>
        <w:t>〕</w:t>
      </w:r>
      <w:r>
        <w:t>141号</w:t>
      </w:r>
      <w:r>
        <w:rPr>
          <w:spacing w:val="-3"/>
        </w:rPr>
        <w:t>）</w:t>
      </w:r>
      <w:r>
        <w:t>的规</w:t>
      </w:r>
      <w:r>
        <w:rPr>
          <w:spacing w:val="-3"/>
        </w:rPr>
        <w:t>定</w:t>
      </w:r>
      <w:r>
        <w:t>，本</w:t>
      </w:r>
      <w:r>
        <w:rPr>
          <w:spacing w:val="-3"/>
        </w:rPr>
        <w:t>单</w:t>
      </w:r>
      <w:r>
        <w:t>位为符</w:t>
      </w:r>
      <w:r>
        <w:rPr>
          <w:spacing w:val="-1"/>
        </w:rPr>
        <w:t>合</w:t>
      </w:r>
      <w:r>
        <w:rPr>
          <w:spacing w:val="-3"/>
        </w:rPr>
        <w:t>条</w:t>
      </w:r>
      <w:r>
        <w:rPr>
          <w:spacing w:val="-1"/>
        </w:rPr>
        <w:t>件的</w:t>
      </w:r>
      <w:r>
        <w:rPr>
          <w:spacing w:val="-3"/>
        </w:rPr>
        <w:t>残</w:t>
      </w:r>
      <w:r>
        <w:rPr>
          <w:spacing w:val="-1"/>
        </w:rPr>
        <w:t>疾人</w:t>
      </w:r>
      <w:r>
        <w:rPr>
          <w:spacing w:val="-3"/>
        </w:rPr>
        <w:t>福</w:t>
      </w:r>
      <w:r>
        <w:rPr>
          <w:spacing w:val="-1"/>
        </w:rPr>
        <w:t>利性</w:t>
      </w:r>
      <w:r>
        <w:rPr>
          <w:spacing w:val="-3"/>
        </w:rPr>
        <w:t>单</w:t>
      </w:r>
      <w:r>
        <w:rPr>
          <w:spacing w:val="-1"/>
        </w:rPr>
        <w:t>位</w:t>
      </w:r>
      <w:r>
        <w:t>，</w:t>
      </w:r>
      <w:r>
        <w:rPr>
          <w:spacing w:val="-3"/>
        </w:rPr>
        <w:t>本</w:t>
      </w:r>
      <w:r>
        <w:t>单位</w:t>
      </w:r>
      <w:r>
        <w:rPr>
          <w:spacing w:val="-3"/>
        </w:rPr>
        <w:t>在</w:t>
      </w:r>
      <w:r>
        <w:t>职职</w:t>
      </w:r>
      <w:r>
        <w:rPr>
          <w:spacing w:val="-3"/>
        </w:rPr>
        <w:t>工</w:t>
      </w:r>
      <w:r>
        <w:t>人数为</w:t>
      </w:r>
      <w:r>
        <w:rPr>
          <w:u w:val="single"/>
        </w:rPr>
        <w:t xml:space="preserve"> </w:t>
      </w:r>
      <w:r>
        <w:rPr>
          <w:u w:val="single"/>
        </w:rPr>
        <w:tab/>
      </w:r>
      <w:r>
        <w:t>人</w:t>
      </w:r>
      <w:r>
        <w:rPr>
          <w:spacing w:val="-3"/>
        </w:rPr>
        <w:t>，</w:t>
      </w:r>
      <w:r>
        <w:t>安置</w:t>
      </w:r>
      <w:r>
        <w:rPr>
          <w:spacing w:val="-3"/>
        </w:rPr>
        <w:t>的</w:t>
      </w:r>
      <w:r>
        <w:t>残疾人</w:t>
      </w:r>
      <w:r>
        <w:rPr>
          <w:spacing w:val="-3"/>
        </w:rPr>
        <w:t>人</w:t>
      </w:r>
      <w:r>
        <w:t>数</w:t>
      </w:r>
      <w:r>
        <w:rPr>
          <w:u w:val="single"/>
        </w:rPr>
        <w:t xml:space="preserve"> </w:t>
      </w:r>
      <w:r>
        <w:rPr>
          <w:u w:val="single"/>
        </w:rPr>
        <w:tab/>
      </w:r>
      <w:r>
        <w:t>人</w:t>
      </w:r>
      <w:r>
        <w:rPr>
          <w:spacing w:val="-3"/>
        </w:rPr>
        <w:t>。</w:t>
      </w:r>
      <w:r>
        <w:t>且本</w:t>
      </w:r>
      <w:r>
        <w:rPr>
          <w:spacing w:val="-3"/>
        </w:rPr>
        <w:t>单</w:t>
      </w:r>
      <w:r>
        <w:t>位参加</w:t>
      </w:r>
      <w:r>
        <w:rPr>
          <w:u w:val="single"/>
        </w:rPr>
        <w:t xml:space="preserve"> </w:t>
      </w:r>
      <w:r>
        <w:rPr>
          <w:u w:val="single"/>
        </w:rPr>
        <w:tab/>
      </w:r>
      <w:r>
        <w:t>单</w:t>
      </w:r>
      <w:r>
        <w:rPr>
          <w:spacing w:val="-3"/>
        </w:rPr>
        <w:t>位</w:t>
      </w:r>
      <w:r>
        <w:t>的</w:t>
      </w:r>
      <w:r>
        <w:rPr>
          <w:u w:val="single"/>
        </w:rPr>
        <w:t xml:space="preserve"> </w:t>
      </w:r>
      <w:r>
        <w:rPr>
          <w:u w:val="single"/>
        </w:rPr>
        <w:tab/>
      </w:r>
      <w:r>
        <w:t>项</w:t>
      </w:r>
      <w:r>
        <w:rPr>
          <w:spacing w:val="-3"/>
        </w:rPr>
        <w:t>目</w:t>
      </w:r>
      <w:r>
        <w:t>采购</w:t>
      </w:r>
      <w:r>
        <w:rPr>
          <w:spacing w:val="-3"/>
        </w:rPr>
        <w:t>活</w:t>
      </w:r>
      <w:r>
        <w:t>动提</w:t>
      </w:r>
      <w:r>
        <w:rPr>
          <w:spacing w:val="-3"/>
        </w:rPr>
        <w:t>供</w:t>
      </w:r>
      <w:r>
        <w:t>本单位</w:t>
      </w:r>
      <w:r>
        <w:rPr>
          <w:spacing w:val="-3"/>
        </w:rPr>
        <w:t>制</w:t>
      </w:r>
      <w:r>
        <w:t>造的</w:t>
      </w:r>
      <w:r>
        <w:rPr>
          <w:spacing w:val="-3"/>
        </w:rPr>
        <w:t>货</w:t>
      </w:r>
      <w:r>
        <w:t>物（</w:t>
      </w:r>
      <w:r>
        <w:rPr>
          <w:spacing w:val="-3"/>
        </w:rPr>
        <w:t>由</w:t>
      </w:r>
      <w:r>
        <w:t>本单</w:t>
      </w:r>
      <w:r>
        <w:rPr>
          <w:spacing w:val="-3"/>
        </w:rPr>
        <w:t>位</w:t>
      </w:r>
      <w:r>
        <w:t>承担</w:t>
      </w:r>
      <w:r>
        <w:rPr>
          <w:spacing w:val="-3"/>
        </w:rPr>
        <w:t>工</w:t>
      </w:r>
      <w:r>
        <w:t>程/提</w:t>
      </w:r>
      <w:r>
        <w:rPr>
          <w:spacing w:val="-3"/>
        </w:rPr>
        <w:t>供</w:t>
      </w:r>
      <w:r>
        <w:t>服务），或</w:t>
      </w:r>
      <w:r>
        <w:rPr>
          <w:spacing w:val="-3"/>
        </w:rPr>
        <w:t>者</w:t>
      </w:r>
      <w:r>
        <w:t>提供</w:t>
      </w:r>
      <w:r>
        <w:rPr>
          <w:spacing w:val="-3"/>
        </w:rPr>
        <w:t>其</w:t>
      </w:r>
      <w:r>
        <w:t>他残</w:t>
      </w:r>
      <w:r>
        <w:rPr>
          <w:spacing w:val="-3"/>
        </w:rPr>
        <w:t>疾</w:t>
      </w:r>
      <w:r>
        <w:t>人福</w:t>
      </w:r>
      <w:r>
        <w:rPr>
          <w:spacing w:val="-3"/>
        </w:rPr>
        <w:t>利</w:t>
      </w:r>
      <w:r>
        <w:t>性单</w:t>
      </w:r>
      <w:r>
        <w:rPr>
          <w:spacing w:val="-3"/>
        </w:rPr>
        <w:t>位</w:t>
      </w:r>
      <w:r>
        <w:t>制造</w:t>
      </w:r>
      <w:r>
        <w:rPr>
          <w:spacing w:val="-3"/>
        </w:rPr>
        <w:t>的</w:t>
      </w:r>
      <w:r>
        <w:t>货物</w:t>
      </w:r>
      <w:r>
        <w:rPr>
          <w:spacing w:val="-3"/>
        </w:rPr>
        <w:t>（</w:t>
      </w:r>
      <w:r>
        <w:t>不包</w:t>
      </w:r>
      <w:r>
        <w:rPr>
          <w:spacing w:val="-3"/>
        </w:rPr>
        <w:t>括</w:t>
      </w:r>
      <w:r>
        <w:t>使用</w:t>
      </w:r>
      <w:r>
        <w:rPr>
          <w:spacing w:val="-3"/>
        </w:rPr>
        <w:t>非</w:t>
      </w:r>
      <w:r>
        <w:t>残疾</w:t>
      </w:r>
      <w:r>
        <w:rPr>
          <w:spacing w:val="-3"/>
        </w:rPr>
        <w:t>人</w:t>
      </w:r>
      <w:r>
        <w:t>福利</w:t>
      </w:r>
      <w:r>
        <w:rPr>
          <w:spacing w:val="-3"/>
        </w:rPr>
        <w:t>性</w:t>
      </w:r>
      <w:r>
        <w:t>单位</w:t>
      </w:r>
      <w:r>
        <w:rPr>
          <w:spacing w:val="-3"/>
        </w:rPr>
        <w:t>注</w:t>
      </w:r>
      <w:r>
        <w:t>册商</w:t>
      </w:r>
      <w:r>
        <w:rPr>
          <w:spacing w:val="-3"/>
        </w:rPr>
        <w:t>标</w:t>
      </w:r>
      <w:r>
        <w:t>的货</w:t>
      </w:r>
      <w:r>
        <w:rPr>
          <w:spacing w:val="-3"/>
        </w:rPr>
        <w:t>物</w:t>
      </w:r>
      <w:r>
        <w:t>）。</w:t>
      </w:r>
    </w:p>
    <w:p>
      <w:pPr>
        <w:pStyle w:val="2"/>
        <w:spacing w:before="3" w:line="487" w:lineRule="auto"/>
        <w:ind w:right="788" w:firstLine="480"/>
      </w:pPr>
      <w:r>
        <w:t>本单位对上述声明的真实性负责。如有虚假，将依法承担相应责任。注：若无此项内容，可不填写此函。</w:t>
      </w:r>
    </w:p>
    <w:p>
      <w:pPr>
        <w:pStyle w:val="2"/>
        <w:ind w:left="0"/>
      </w:pPr>
    </w:p>
    <w:p>
      <w:pPr>
        <w:pStyle w:val="2"/>
        <w:ind w:left="0"/>
      </w:pPr>
    </w:p>
    <w:p>
      <w:pPr>
        <w:pStyle w:val="2"/>
        <w:ind w:left="0"/>
      </w:pPr>
    </w:p>
    <w:p>
      <w:pPr>
        <w:pStyle w:val="2"/>
        <w:ind w:left="0"/>
      </w:pPr>
    </w:p>
    <w:p>
      <w:pPr>
        <w:pStyle w:val="2"/>
        <w:ind w:left="0"/>
      </w:pPr>
    </w:p>
    <w:p>
      <w:pPr>
        <w:pStyle w:val="2"/>
        <w:ind w:left="0"/>
      </w:pPr>
    </w:p>
    <w:p>
      <w:pPr>
        <w:pStyle w:val="2"/>
        <w:ind w:left="0"/>
      </w:pPr>
    </w:p>
    <w:p>
      <w:pPr>
        <w:pStyle w:val="2"/>
        <w:spacing w:before="6"/>
        <w:ind w:left="0"/>
        <w:rPr>
          <w:sz w:val="30"/>
        </w:rPr>
      </w:pPr>
    </w:p>
    <w:p>
      <w:pPr>
        <w:tabs>
          <w:tab w:val="left" w:pos="7707"/>
          <w:tab w:val="left" w:pos="8563"/>
        </w:tabs>
        <w:spacing w:before="0" w:line="242" w:lineRule="auto"/>
        <w:ind w:left="4476" w:right="200" w:firstLine="1701"/>
        <w:jc w:val="right"/>
        <w:rPr>
          <w:b/>
          <w:sz w:val="28"/>
        </w:rPr>
      </w:pPr>
      <w:r>
        <w:rPr>
          <w:b/>
          <w:sz w:val="28"/>
        </w:rPr>
        <w:t>企业名称：</w:t>
      </w:r>
      <w:r>
        <w:rPr>
          <w:b/>
          <w:sz w:val="28"/>
          <w:u w:val="single"/>
        </w:rPr>
        <w:t xml:space="preserve"> </w:t>
      </w:r>
      <w:r>
        <w:rPr>
          <w:b/>
          <w:sz w:val="28"/>
          <w:u w:val="single"/>
        </w:rPr>
        <w:tab/>
      </w:r>
      <w:r>
        <w:rPr>
          <w:b/>
          <w:sz w:val="28"/>
          <w:u w:val="single"/>
        </w:rPr>
        <w:tab/>
      </w:r>
      <w:r>
        <w:rPr>
          <w:b/>
          <w:spacing w:val="-1"/>
          <w:w w:val="95"/>
          <w:sz w:val="28"/>
        </w:rPr>
        <w:t>（公章</w:t>
      </w:r>
      <w:r>
        <w:rPr>
          <w:b/>
          <w:spacing w:val="-14"/>
          <w:w w:val="95"/>
          <w:sz w:val="28"/>
        </w:rPr>
        <w:t xml:space="preserve">） </w:t>
      </w:r>
      <w:r>
        <w:rPr>
          <w:b/>
          <w:sz w:val="28"/>
        </w:rPr>
        <w:t>企业法定代表人：</w:t>
      </w:r>
      <w:r>
        <w:rPr>
          <w:b/>
          <w:sz w:val="28"/>
          <w:u w:val="single"/>
        </w:rPr>
        <w:t xml:space="preserve"> </w:t>
      </w:r>
      <w:r>
        <w:rPr>
          <w:b/>
          <w:sz w:val="28"/>
          <w:u w:val="single"/>
        </w:rPr>
        <w:tab/>
      </w:r>
      <w:r>
        <w:rPr>
          <w:b/>
          <w:spacing w:val="-1"/>
          <w:w w:val="95"/>
          <w:sz w:val="28"/>
        </w:rPr>
        <w:t>（签字</w:t>
      </w:r>
      <w:r>
        <w:rPr>
          <w:b/>
          <w:w w:val="95"/>
          <w:sz w:val="28"/>
        </w:rPr>
        <w:t>或盖章）</w:t>
      </w:r>
    </w:p>
    <w:p>
      <w:pPr>
        <w:tabs>
          <w:tab w:val="left" w:pos="703"/>
          <w:tab w:val="left" w:pos="1264"/>
        </w:tabs>
        <w:spacing w:before="3"/>
        <w:ind w:left="0" w:right="207" w:firstLine="0"/>
        <w:jc w:val="right"/>
        <w:rPr>
          <w:b/>
          <w:sz w:val="28"/>
        </w:rPr>
      </w:pPr>
      <w:r>
        <w:rPr>
          <w:b/>
          <w:sz w:val="28"/>
        </w:rPr>
        <w:t>年</w:t>
      </w:r>
      <w:r>
        <w:rPr>
          <w:b/>
          <w:sz w:val="28"/>
        </w:rPr>
        <w:tab/>
      </w:r>
      <w:r>
        <w:rPr>
          <w:b/>
          <w:sz w:val="28"/>
        </w:rPr>
        <w:t>月</w:t>
      </w:r>
      <w:r>
        <w:rPr>
          <w:b/>
          <w:sz w:val="28"/>
        </w:rPr>
        <w:tab/>
      </w:r>
      <w:r>
        <w:rPr>
          <w:b/>
          <w:spacing w:val="-1"/>
          <w:sz w:val="28"/>
        </w:rPr>
        <w:t>日</w:t>
      </w:r>
    </w:p>
    <w:p>
      <w:pPr>
        <w:spacing w:after="0"/>
        <w:jc w:val="right"/>
        <w:rPr>
          <w:sz w:val="28"/>
        </w:rPr>
        <w:sectPr>
          <w:pgSz w:w="11850" w:h="16790"/>
          <w:pgMar w:top="1580" w:right="840" w:bottom="1440" w:left="1120" w:header="0" w:footer="1179" w:gutter="0"/>
          <w:pgNumType w:fmt="decimal"/>
          <w:cols w:space="720" w:num="1"/>
        </w:sectPr>
      </w:pPr>
    </w:p>
    <w:p>
      <w:pPr>
        <w:pStyle w:val="5"/>
        <w:numPr>
          <w:ilvl w:val="0"/>
          <w:numId w:val="0"/>
        </w:numPr>
        <w:tabs>
          <w:tab w:val="left" w:pos="1124"/>
        </w:tabs>
        <w:spacing w:before="32" w:after="0" w:line="240" w:lineRule="auto"/>
        <w:ind w:leftChars="0" w:right="0" w:rightChars="0"/>
        <w:jc w:val="left"/>
        <w:rPr>
          <w:rFonts w:hint="eastAsia"/>
          <w:lang w:val="en-US" w:eastAsia="zh-CN"/>
        </w:rPr>
      </w:pPr>
      <w:bookmarkStart w:id="155" w:name="_bookmark59"/>
      <w:bookmarkEnd w:id="155"/>
      <w:bookmarkStart w:id="156" w:name="（19）供应商认为在其他方面有必要说明的事项"/>
      <w:bookmarkEnd w:id="156"/>
      <w:bookmarkStart w:id="157" w:name="_Toc22470"/>
      <w:r>
        <w:rPr>
          <w:rFonts w:hint="eastAsia"/>
          <w:lang w:val="en-US" w:eastAsia="zh-CN"/>
        </w:rPr>
        <w:t>附件十八：项目管理和实施方案</w:t>
      </w:r>
      <w:bookmarkEnd w:id="157"/>
    </w:p>
    <w:p>
      <w:pPr>
        <w:ind w:firstLine="2909" w:firstLineChars="805"/>
        <w:rPr>
          <w:rFonts w:hint="eastAsia" w:ascii="宋体" w:hAnsi="宋体" w:eastAsia="宋体" w:cs="宋体"/>
          <w:b/>
          <w:sz w:val="36"/>
          <w:szCs w:val="36"/>
        </w:rPr>
      </w:pPr>
    </w:p>
    <w:p>
      <w:pPr>
        <w:autoSpaceDE w:val="0"/>
        <w:autoSpaceDN w:val="0"/>
        <w:adjustRightInd w:val="0"/>
        <w:ind w:firstLine="2349" w:firstLineChars="650"/>
        <w:rPr>
          <w:rFonts w:hint="eastAsia" w:ascii="宋体" w:hAnsi="宋体" w:eastAsia="宋体" w:cs="宋体"/>
          <w:b/>
          <w:sz w:val="36"/>
          <w:szCs w:val="36"/>
        </w:rPr>
      </w:pPr>
      <w:r>
        <w:rPr>
          <w:rFonts w:hint="eastAsia" w:ascii="宋体" w:hAnsi="宋体" w:eastAsia="宋体" w:cs="宋体"/>
          <w:b/>
          <w:sz w:val="36"/>
          <w:szCs w:val="36"/>
        </w:rPr>
        <w:t>项目管理方案和实施方案</w:t>
      </w:r>
    </w:p>
    <w:p>
      <w:pPr>
        <w:spacing w:line="360" w:lineRule="auto"/>
        <w:ind w:firstLine="420" w:firstLineChars="150"/>
        <w:rPr>
          <w:rFonts w:hint="eastAsia" w:ascii="宋体" w:hAnsi="宋体" w:eastAsia="宋体" w:cs="宋体"/>
          <w:sz w:val="28"/>
          <w:szCs w:val="28"/>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按照磋商文件评标标准中的相关要求，提供：</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1、详细的项目管理及实施方案。</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2、投标产品交货地点、交货时间、交货方式、交货进度以及售后服务计划、措施及服务等方面的承诺。</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sz w:val="28"/>
          <w:szCs w:val="28"/>
          <w:lang w:val="en-US" w:eastAsia="zh-CN" w:bidi="zh-CN"/>
        </w:rPr>
        <w:sectPr>
          <w:pgSz w:w="11850" w:h="16790"/>
          <w:pgMar w:top="1360" w:right="840" w:bottom="1440" w:left="1120" w:header="0" w:footer="1179" w:gutter="0"/>
          <w:pgNumType w:fmt="decimal"/>
          <w:cols w:space="720" w:num="1"/>
        </w:sectPr>
      </w:pPr>
      <w:r>
        <w:rPr>
          <w:rFonts w:hint="eastAsia" w:ascii="宋体" w:hAnsi="宋体" w:eastAsia="宋体" w:cs="宋体"/>
          <w:sz w:val="28"/>
          <w:szCs w:val="28"/>
          <w:lang w:val="en-US" w:eastAsia="zh-CN" w:bidi="zh-CN"/>
        </w:rPr>
        <w:t>3、本地化服务能力。</w:t>
      </w:r>
    </w:p>
    <w:p>
      <w:pPr>
        <w:pStyle w:val="5"/>
        <w:numPr>
          <w:ilvl w:val="0"/>
          <w:numId w:val="0"/>
        </w:numPr>
        <w:tabs>
          <w:tab w:val="left" w:pos="1124"/>
        </w:tabs>
        <w:spacing w:before="32" w:after="0" w:line="240" w:lineRule="auto"/>
        <w:ind w:leftChars="0" w:right="0" w:rightChars="0"/>
        <w:jc w:val="left"/>
        <w:rPr>
          <w:rFonts w:hint="eastAsia"/>
          <w:lang w:val="en-US" w:eastAsia="zh-CN"/>
        </w:rPr>
      </w:pPr>
      <w:bookmarkStart w:id="158" w:name="_Toc2527"/>
      <w:r>
        <w:rPr>
          <w:rFonts w:hint="eastAsia"/>
          <w:lang w:val="en-US" w:eastAsia="zh-CN"/>
        </w:rPr>
        <w:t>附件十九：应商认为在其他方面有必要说明的事项</w:t>
      </w:r>
      <w:bookmarkEnd w:id="158"/>
    </w:p>
    <w:p>
      <w:pPr>
        <w:pStyle w:val="2"/>
        <w:spacing w:before="7"/>
        <w:ind w:left="0"/>
        <w:rPr>
          <w:b/>
        </w:rPr>
      </w:pPr>
    </w:p>
    <w:p>
      <w:pPr>
        <w:spacing w:after="0"/>
        <w:sectPr>
          <w:pgSz w:w="11850" w:h="16790"/>
          <w:pgMar w:top="1360" w:right="840" w:bottom="1440" w:left="1120" w:header="0" w:footer="1179" w:gutter="0"/>
          <w:pgNumType w:fmt="decimal"/>
          <w:cols w:space="720" w:num="1"/>
        </w:sectPr>
      </w:pPr>
    </w:p>
    <w:p>
      <w:pPr>
        <w:pStyle w:val="2"/>
        <w:spacing w:before="10"/>
        <w:ind w:left="0"/>
        <w:rPr>
          <w:b/>
          <w:sz w:val="36"/>
        </w:rPr>
      </w:pPr>
    </w:p>
    <w:p>
      <w:pPr>
        <w:pStyle w:val="2"/>
      </w:pPr>
      <w:r>
        <w:t>格式自定</w:t>
      </w:r>
    </w:p>
    <w:p>
      <w:pPr>
        <w:spacing w:before="54"/>
        <w:ind w:left="219" w:right="0" w:firstLine="0"/>
        <w:jc w:val="left"/>
        <w:rPr>
          <w:b/>
          <w:sz w:val="32"/>
        </w:rPr>
      </w:pPr>
      <w:r>
        <w:br w:type="column"/>
      </w:r>
      <w:r>
        <w:rPr>
          <w:b/>
          <w:sz w:val="32"/>
        </w:rPr>
        <w:t>供应商认为在其他方面有必要说明的事项</w:t>
      </w:r>
    </w:p>
    <w:p>
      <w:pPr>
        <w:spacing w:after="0"/>
        <w:jc w:val="left"/>
        <w:rPr>
          <w:sz w:val="32"/>
        </w:rPr>
        <w:sectPr>
          <w:type w:val="continuous"/>
          <w:pgSz w:w="11850" w:h="16790"/>
          <w:pgMar w:top="1580" w:right="840" w:bottom="280" w:left="1120" w:header="720" w:footer="720" w:gutter="0"/>
          <w:pgNumType w:fmt="decimal"/>
          <w:cols w:equalWidth="0" w:num="2">
            <w:col w:w="1381" w:space="455"/>
            <w:col w:w="8054"/>
          </w:cols>
        </w:sectPr>
      </w:pPr>
    </w:p>
    <w:p>
      <w:pPr>
        <w:pStyle w:val="5"/>
        <w:numPr>
          <w:ilvl w:val="0"/>
          <w:numId w:val="0"/>
        </w:numPr>
        <w:tabs>
          <w:tab w:val="left" w:pos="1124"/>
        </w:tabs>
        <w:spacing w:before="32" w:after="0" w:line="240" w:lineRule="auto"/>
        <w:ind w:leftChars="0" w:right="0" w:rightChars="0"/>
        <w:jc w:val="left"/>
        <w:rPr>
          <w:rFonts w:hint="eastAsia"/>
          <w:lang w:val="en-US" w:eastAsia="zh-CN"/>
        </w:rPr>
      </w:pPr>
      <w:r>
        <w:rPr>
          <w:rFonts w:hint="eastAsia"/>
          <w:lang w:val="en-US" w:eastAsia="zh-CN"/>
        </w:rPr>
        <w:t>附件二十：最后报价表</w:t>
      </w:r>
      <w:bookmarkEnd w:id="102"/>
    </w:p>
    <w:p>
      <w:pPr>
        <w:spacing w:before="4"/>
        <w:ind w:left="0" w:right="0" w:firstLine="0"/>
        <w:jc w:val="center"/>
        <w:outlineLvl w:val="0"/>
        <w:rPr>
          <w:b/>
          <w:sz w:val="28"/>
        </w:rPr>
      </w:pPr>
      <w:bookmarkStart w:id="159" w:name="_Toc17678"/>
      <w:bookmarkStart w:id="160" w:name="_Toc27987"/>
      <w:r>
        <w:rPr>
          <w:b/>
          <w:sz w:val="28"/>
        </w:rPr>
        <w:t>最后报价表</w:t>
      </w:r>
      <w:bookmarkEnd w:id="159"/>
      <w:bookmarkEnd w:id="160"/>
    </w:p>
    <w:p>
      <w:pPr>
        <w:pStyle w:val="2"/>
        <w:spacing w:before="5"/>
        <w:ind w:left="0"/>
        <w:rPr>
          <w:b/>
        </w:rPr>
      </w:pPr>
    </w:p>
    <w:tbl>
      <w:tblPr>
        <w:tblStyle w:val="16"/>
        <w:tblW w:w="0" w:type="auto"/>
        <w:tblInd w:w="5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9"/>
        <w:gridCol w:w="4706"/>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79" w:type="dxa"/>
          </w:tcPr>
          <w:p>
            <w:pPr>
              <w:pStyle w:val="21"/>
              <w:spacing w:before="4" w:line="340" w:lineRule="exact"/>
              <w:ind w:left="78" w:right="71"/>
              <w:jc w:val="center"/>
              <w:rPr>
                <w:sz w:val="28"/>
              </w:rPr>
            </w:pPr>
            <w:r>
              <w:rPr>
                <w:sz w:val="28"/>
              </w:rPr>
              <w:t>供应商名称</w:t>
            </w:r>
          </w:p>
        </w:tc>
        <w:tc>
          <w:tcPr>
            <w:tcW w:w="6853" w:type="dxa"/>
            <w:gridSpan w:val="2"/>
          </w:tcPr>
          <w:p>
            <w:pPr>
              <w:pStyle w:val="2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879" w:type="dxa"/>
          </w:tcPr>
          <w:p>
            <w:pPr>
              <w:pStyle w:val="21"/>
              <w:spacing w:before="1" w:line="341" w:lineRule="exact"/>
              <w:ind w:left="78" w:right="68"/>
              <w:jc w:val="center"/>
              <w:rPr>
                <w:sz w:val="28"/>
              </w:rPr>
            </w:pPr>
            <w:r>
              <w:rPr>
                <w:sz w:val="28"/>
              </w:rPr>
              <w:t>项目名称</w:t>
            </w:r>
          </w:p>
        </w:tc>
        <w:tc>
          <w:tcPr>
            <w:tcW w:w="6853" w:type="dxa"/>
            <w:gridSpan w:val="2"/>
          </w:tcPr>
          <w:p>
            <w:pPr>
              <w:pStyle w:val="2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79" w:type="dxa"/>
          </w:tcPr>
          <w:p>
            <w:pPr>
              <w:pStyle w:val="21"/>
              <w:spacing w:before="3" w:line="340" w:lineRule="exact"/>
              <w:ind w:left="78" w:right="68"/>
              <w:jc w:val="center"/>
              <w:rPr>
                <w:sz w:val="28"/>
              </w:rPr>
            </w:pPr>
            <w:r>
              <w:rPr>
                <w:sz w:val="28"/>
              </w:rPr>
              <w:t>项目</w:t>
            </w:r>
            <w:r>
              <w:rPr>
                <w:rFonts w:hint="eastAsia"/>
                <w:sz w:val="28"/>
                <w:lang w:val="en-US" w:eastAsia="zh-CN"/>
              </w:rPr>
              <w:t>编</w:t>
            </w:r>
            <w:r>
              <w:rPr>
                <w:sz w:val="28"/>
              </w:rPr>
              <w:t>号</w:t>
            </w:r>
          </w:p>
        </w:tc>
        <w:tc>
          <w:tcPr>
            <w:tcW w:w="6853" w:type="dxa"/>
            <w:gridSpan w:val="2"/>
          </w:tcPr>
          <w:p>
            <w:pPr>
              <w:pStyle w:val="2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1879" w:type="dxa"/>
          </w:tcPr>
          <w:p>
            <w:pPr>
              <w:pStyle w:val="21"/>
              <w:spacing w:before="2"/>
              <w:ind w:left="379"/>
              <w:rPr>
                <w:sz w:val="28"/>
              </w:rPr>
            </w:pPr>
            <w:r>
              <w:rPr>
                <w:sz w:val="28"/>
              </w:rPr>
              <w:t>首次报价</w:t>
            </w:r>
          </w:p>
          <w:p>
            <w:pPr>
              <w:pStyle w:val="21"/>
              <w:spacing w:before="4" w:line="341" w:lineRule="exact"/>
              <w:ind w:left="518"/>
              <w:rPr>
                <w:sz w:val="28"/>
              </w:rPr>
            </w:pPr>
            <w:r>
              <w:rPr>
                <w:sz w:val="28"/>
              </w:rPr>
              <w:t>（元）</w:t>
            </w:r>
          </w:p>
        </w:tc>
        <w:tc>
          <w:tcPr>
            <w:tcW w:w="4706" w:type="dxa"/>
          </w:tcPr>
          <w:p>
            <w:pPr>
              <w:pStyle w:val="21"/>
              <w:spacing w:before="182"/>
              <w:ind w:left="1773" w:right="1763"/>
              <w:jc w:val="center"/>
              <w:rPr>
                <w:sz w:val="28"/>
              </w:rPr>
            </w:pPr>
            <w:r>
              <w:rPr>
                <w:sz w:val="28"/>
              </w:rPr>
              <w:t>调整因素</w:t>
            </w:r>
          </w:p>
        </w:tc>
        <w:tc>
          <w:tcPr>
            <w:tcW w:w="2147" w:type="dxa"/>
          </w:tcPr>
          <w:p>
            <w:pPr>
              <w:pStyle w:val="21"/>
              <w:spacing w:before="182"/>
              <w:ind w:left="91"/>
              <w:rPr>
                <w:sz w:val="28"/>
              </w:rPr>
            </w:pPr>
            <w:r>
              <w:rPr>
                <w:sz w:val="28"/>
              </w:rPr>
              <w:t>最后报价（元）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879" w:type="dxa"/>
          </w:tcPr>
          <w:p>
            <w:pPr>
              <w:pStyle w:val="21"/>
              <w:rPr>
                <w:rFonts w:ascii="Times New Roman"/>
                <w:sz w:val="28"/>
              </w:rPr>
            </w:pPr>
          </w:p>
        </w:tc>
        <w:tc>
          <w:tcPr>
            <w:tcW w:w="4706" w:type="dxa"/>
          </w:tcPr>
          <w:p>
            <w:pPr>
              <w:pStyle w:val="21"/>
              <w:rPr>
                <w:rFonts w:ascii="Times New Roman"/>
                <w:sz w:val="28"/>
              </w:rPr>
            </w:pPr>
          </w:p>
        </w:tc>
        <w:tc>
          <w:tcPr>
            <w:tcW w:w="2147" w:type="dxa"/>
          </w:tcPr>
          <w:p>
            <w:pPr>
              <w:pStyle w:val="2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879" w:type="dxa"/>
          </w:tcPr>
          <w:p>
            <w:pPr>
              <w:pStyle w:val="21"/>
              <w:spacing w:before="89"/>
              <w:ind w:left="78" w:right="71"/>
              <w:jc w:val="center"/>
              <w:rPr>
                <w:sz w:val="28"/>
              </w:rPr>
            </w:pPr>
            <w:r>
              <w:rPr>
                <w:sz w:val="28"/>
              </w:rPr>
              <w:t>最后报价大写</w:t>
            </w:r>
          </w:p>
        </w:tc>
        <w:tc>
          <w:tcPr>
            <w:tcW w:w="6853" w:type="dxa"/>
            <w:gridSpan w:val="2"/>
          </w:tcPr>
          <w:p>
            <w:pPr>
              <w:pStyle w:val="2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879" w:type="dxa"/>
          </w:tcPr>
          <w:p>
            <w:pPr>
              <w:pStyle w:val="21"/>
              <w:spacing w:before="2" w:line="340" w:lineRule="exact"/>
              <w:ind w:left="78" w:right="68"/>
              <w:jc w:val="center"/>
              <w:rPr>
                <w:sz w:val="28"/>
              </w:rPr>
            </w:pPr>
            <w:r>
              <w:rPr>
                <w:sz w:val="28"/>
              </w:rPr>
              <w:t>交货时间</w:t>
            </w:r>
          </w:p>
        </w:tc>
        <w:tc>
          <w:tcPr>
            <w:tcW w:w="6853" w:type="dxa"/>
            <w:gridSpan w:val="2"/>
          </w:tcPr>
          <w:p>
            <w:pPr>
              <w:pStyle w:val="2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5" w:hRule="atLeast"/>
        </w:trPr>
        <w:tc>
          <w:tcPr>
            <w:tcW w:w="8732" w:type="dxa"/>
            <w:gridSpan w:val="3"/>
          </w:tcPr>
          <w:p>
            <w:pPr>
              <w:pStyle w:val="21"/>
              <w:spacing w:before="4"/>
              <w:ind w:left="2385" w:right="2376"/>
              <w:jc w:val="center"/>
              <w:rPr>
                <w:sz w:val="28"/>
              </w:rPr>
            </w:pPr>
            <w:r>
              <w:rPr>
                <w:sz w:val="28"/>
              </w:rPr>
              <w:t>最终确定的服务及质量保证承诺</w:t>
            </w:r>
          </w:p>
        </w:tc>
      </w:tr>
    </w:tbl>
    <w:p>
      <w:pPr>
        <w:pStyle w:val="2"/>
        <w:spacing w:before="2"/>
      </w:pPr>
      <w:r>
        <w:t>注：1.填写此表时不得改变表格形式。</w:t>
      </w:r>
    </w:p>
    <w:p>
      <w:pPr>
        <w:pStyle w:val="20"/>
        <w:numPr>
          <w:ilvl w:val="0"/>
          <w:numId w:val="36"/>
        </w:numPr>
        <w:tabs>
          <w:tab w:val="left" w:pos="1062"/>
        </w:tabs>
        <w:spacing w:before="4" w:after="0" w:line="242" w:lineRule="auto"/>
        <w:ind w:left="219" w:right="428" w:firstLine="561"/>
        <w:jc w:val="both"/>
        <w:rPr>
          <w:sz w:val="28"/>
        </w:rPr>
      </w:pPr>
      <w:r>
        <w:rPr>
          <w:spacing w:val="-3"/>
          <w:sz w:val="28"/>
        </w:rPr>
        <w:t>“磋商报价”为响应总价。磋商报价必须包括：产品费、包装费、运输费、安装费、调试费、培训费、售前售中售后服务费、保险费、手续费、税金及不可预见费等全部费用。</w:t>
      </w:r>
    </w:p>
    <w:p>
      <w:pPr>
        <w:pStyle w:val="20"/>
        <w:numPr>
          <w:ilvl w:val="0"/>
          <w:numId w:val="36"/>
        </w:numPr>
        <w:tabs>
          <w:tab w:val="left" w:pos="1062"/>
        </w:tabs>
        <w:spacing w:before="2" w:after="0" w:line="240" w:lineRule="auto"/>
        <w:ind w:left="1061" w:right="0" w:hanging="282"/>
        <w:jc w:val="left"/>
        <w:rPr>
          <w:sz w:val="28"/>
        </w:rPr>
      </w:pPr>
      <w:r>
        <w:rPr>
          <w:spacing w:val="-3"/>
          <w:sz w:val="28"/>
        </w:rPr>
        <w:t>“交货时间”是指产品能够交付使用的具体时间。</w:t>
      </w:r>
    </w:p>
    <w:p>
      <w:pPr>
        <w:pStyle w:val="20"/>
        <w:numPr>
          <w:ilvl w:val="0"/>
          <w:numId w:val="36"/>
        </w:numPr>
        <w:tabs>
          <w:tab w:val="left" w:pos="1062"/>
        </w:tabs>
        <w:spacing w:before="6" w:after="0" w:line="240" w:lineRule="auto"/>
        <w:ind w:left="1061" w:right="0" w:hanging="282"/>
        <w:jc w:val="left"/>
        <w:rPr>
          <w:sz w:val="28"/>
        </w:rPr>
      </w:pPr>
      <w:r>
        <w:rPr>
          <w:spacing w:val="-3"/>
          <w:sz w:val="28"/>
        </w:rPr>
        <w:t>磋商报价不能有两个或两个以上的报价方案，否则响应无效。</w:t>
      </w:r>
    </w:p>
    <w:p>
      <w:pPr>
        <w:pStyle w:val="20"/>
        <w:numPr>
          <w:ilvl w:val="0"/>
          <w:numId w:val="36"/>
        </w:numPr>
        <w:tabs>
          <w:tab w:val="left" w:pos="1062"/>
        </w:tabs>
        <w:spacing w:before="4" w:after="0" w:line="240" w:lineRule="auto"/>
        <w:ind w:left="1061" w:right="0" w:hanging="282"/>
        <w:jc w:val="left"/>
        <w:rPr>
          <w:sz w:val="28"/>
        </w:rPr>
      </w:pPr>
      <w:r>
        <w:rPr>
          <w:spacing w:val="-3"/>
          <w:sz w:val="28"/>
        </w:rPr>
        <w:t>此表中的“最终确定的服务及质量保证承诺”必须填写。</w:t>
      </w:r>
    </w:p>
    <w:p>
      <w:pPr>
        <w:pStyle w:val="20"/>
        <w:numPr>
          <w:ilvl w:val="0"/>
          <w:numId w:val="36"/>
        </w:numPr>
        <w:tabs>
          <w:tab w:val="left" w:pos="1062"/>
        </w:tabs>
        <w:spacing w:before="4" w:after="0" w:line="242" w:lineRule="auto"/>
        <w:ind w:left="219" w:right="428" w:firstLine="561"/>
        <w:jc w:val="left"/>
        <w:rPr>
          <w:sz w:val="28"/>
        </w:rPr>
      </w:pPr>
      <w:r>
        <w:rPr>
          <w:spacing w:val="-3"/>
          <w:sz w:val="28"/>
        </w:rPr>
        <w:t>此表在最后报价时单独填写，按要求签字盖章后提交，不用装订在响</w:t>
      </w:r>
      <w:r>
        <w:rPr>
          <w:spacing w:val="-2"/>
          <w:sz w:val="28"/>
        </w:rPr>
        <w:t>应文件中。</w:t>
      </w:r>
    </w:p>
    <w:p>
      <w:pPr>
        <w:pStyle w:val="2"/>
        <w:spacing w:before="6"/>
        <w:ind w:left="0"/>
      </w:pPr>
    </w:p>
    <w:p>
      <w:pPr>
        <w:tabs>
          <w:tab w:val="left" w:pos="4497"/>
        </w:tabs>
        <w:spacing w:before="0"/>
        <w:ind w:left="0" w:right="205" w:firstLine="0"/>
        <w:jc w:val="right"/>
        <w:outlineLvl w:val="1"/>
        <w:rPr>
          <w:b/>
          <w:sz w:val="28"/>
        </w:rPr>
      </w:pPr>
      <w:bookmarkStart w:id="161" w:name="_Toc2506"/>
      <w:bookmarkStart w:id="162" w:name="_Toc29120"/>
      <w:r>
        <w:rPr>
          <w:b/>
          <w:sz w:val="28"/>
        </w:rPr>
        <w:t>供应商：</w:t>
      </w:r>
      <w:r>
        <w:rPr>
          <w:b/>
          <w:sz w:val="28"/>
        </w:rPr>
        <w:tab/>
      </w:r>
      <w:r>
        <w:rPr>
          <w:b/>
          <w:spacing w:val="-1"/>
          <w:w w:val="95"/>
          <w:sz w:val="28"/>
        </w:rPr>
        <w:t>（公章</w:t>
      </w:r>
      <w:r>
        <w:rPr>
          <w:b/>
          <w:w w:val="95"/>
          <w:sz w:val="28"/>
        </w:rPr>
        <w:t>）</w:t>
      </w:r>
      <w:bookmarkEnd w:id="161"/>
      <w:bookmarkEnd w:id="162"/>
    </w:p>
    <w:p>
      <w:pPr>
        <w:tabs>
          <w:tab w:val="left" w:pos="4495"/>
        </w:tabs>
        <w:spacing w:before="4"/>
        <w:ind w:left="0" w:right="212" w:firstLine="0"/>
        <w:jc w:val="right"/>
        <w:outlineLvl w:val="1"/>
        <w:rPr>
          <w:b/>
          <w:sz w:val="28"/>
        </w:rPr>
      </w:pPr>
      <w:bookmarkStart w:id="163" w:name="_Toc24648"/>
      <w:bookmarkStart w:id="164" w:name="_Toc9151"/>
      <w:r>
        <w:rPr>
          <w:b/>
          <w:sz w:val="28"/>
        </w:rPr>
        <w:t>法定代表人或委托代理人：</w:t>
      </w:r>
      <w:r>
        <w:rPr>
          <w:b/>
          <w:sz w:val="28"/>
        </w:rPr>
        <w:tab/>
      </w:r>
      <w:r>
        <w:rPr>
          <w:b/>
          <w:spacing w:val="-1"/>
          <w:w w:val="95"/>
          <w:sz w:val="28"/>
        </w:rPr>
        <w:t>（签字</w:t>
      </w:r>
      <w:r>
        <w:rPr>
          <w:b/>
          <w:w w:val="95"/>
          <w:sz w:val="28"/>
        </w:rPr>
        <w:t>或盖章）</w:t>
      </w:r>
      <w:bookmarkEnd w:id="163"/>
      <w:bookmarkEnd w:id="164"/>
    </w:p>
    <w:p>
      <w:pPr>
        <w:tabs>
          <w:tab w:val="left" w:pos="842"/>
          <w:tab w:val="left" w:pos="1684"/>
        </w:tabs>
        <w:spacing w:before="6"/>
        <w:ind w:left="0" w:right="216" w:firstLine="0"/>
        <w:jc w:val="right"/>
        <w:outlineLvl w:val="1"/>
        <w:rPr>
          <w:b/>
          <w:sz w:val="28"/>
        </w:rPr>
      </w:pPr>
      <w:bookmarkStart w:id="165" w:name="_Toc15363"/>
      <w:bookmarkStart w:id="166" w:name="_Toc5246"/>
      <w:r>
        <w:rPr>
          <w:b/>
          <w:sz w:val="28"/>
        </w:rPr>
        <w:t>年</w:t>
      </w:r>
      <w:r>
        <w:rPr>
          <w:b/>
          <w:sz w:val="28"/>
        </w:rPr>
        <w:tab/>
      </w:r>
      <w:r>
        <w:rPr>
          <w:b/>
          <w:sz w:val="28"/>
        </w:rPr>
        <w:t>月</w:t>
      </w:r>
      <w:r>
        <w:rPr>
          <w:b/>
          <w:sz w:val="28"/>
        </w:rPr>
        <w:tab/>
      </w:r>
      <w:r>
        <w:rPr>
          <w:b/>
          <w:spacing w:val="-1"/>
          <w:sz w:val="28"/>
        </w:rPr>
        <w:t>日</w:t>
      </w:r>
      <w:bookmarkEnd w:id="165"/>
      <w:bookmarkEnd w:id="166"/>
    </w:p>
    <w:p>
      <w:pPr>
        <w:spacing w:after="0"/>
        <w:jc w:val="right"/>
        <w:rPr>
          <w:sz w:val="28"/>
        </w:rPr>
        <w:sectPr>
          <w:footerReference r:id="rId12" w:type="default"/>
          <w:pgSz w:w="11850" w:h="16790"/>
          <w:pgMar w:top="1360" w:right="840" w:bottom="1440" w:left="1120" w:header="0" w:footer="1179" w:gutter="0"/>
          <w:pgBorders>
            <w:top w:val="none" w:sz="0" w:space="0"/>
            <w:left w:val="none" w:sz="0" w:space="0"/>
            <w:bottom w:val="none" w:sz="0" w:space="0"/>
            <w:right w:val="none" w:sz="0" w:space="0"/>
          </w:pgBorders>
          <w:pgNumType w:fmt="decimal"/>
          <w:cols w:space="720" w:num="1"/>
        </w:sectPr>
      </w:pPr>
    </w:p>
    <w:p>
      <w:pPr>
        <w:tabs>
          <w:tab w:val="left" w:pos="2221"/>
        </w:tabs>
        <w:spacing w:before="12"/>
        <w:ind w:left="13" w:right="0" w:firstLine="0"/>
        <w:jc w:val="center"/>
        <w:outlineLvl w:val="0"/>
        <w:rPr>
          <w:rFonts w:ascii="宋体" w:hAnsi="宋体" w:eastAsia="宋体" w:cs="宋体"/>
          <w:b/>
          <w:bCs/>
          <w:sz w:val="36"/>
          <w:szCs w:val="36"/>
          <w:lang w:val="zh-CN" w:eastAsia="zh-CN" w:bidi="zh-CN"/>
        </w:rPr>
      </w:pPr>
      <w:bookmarkStart w:id="167" w:name="_Toc25423"/>
      <w:r>
        <w:rPr>
          <w:rFonts w:ascii="宋体" w:hAnsi="宋体" w:eastAsia="宋体" w:cs="宋体"/>
          <w:b/>
          <w:bCs/>
          <w:sz w:val="36"/>
          <w:szCs w:val="36"/>
          <w:lang w:val="zh-CN" w:eastAsia="zh-CN" w:bidi="zh-CN"/>
        </w:rPr>
        <w:t>第五部分</w:t>
      </w:r>
      <w:r>
        <w:rPr>
          <w:rFonts w:ascii="宋体" w:hAnsi="宋体" w:eastAsia="宋体" w:cs="宋体"/>
          <w:b/>
          <w:bCs/>
          <w:sz w:val="36"/>
          <w:szCs w:val="36"/>
          <w:lang w:val="zh-CN" w:eastAsia="zh-CN" w:bidi="zh-CN"/>
        </w:rPr>
        <w:tab/>
      </w:r>
      <w:r>
        <w:rPr>
          <w:rFonts w:ascii="宋体" w:hAnsi="宋体" w:eastAsia="宋体" w:cs="宋体"/>
          <w:b/>
          <w:bCs/>
          <w:sz w:val="36"/>
          <w:szCs w:val="36"/>
          <w:lang w:val="zh-CN" w:eastAsia="zh-CN" w:bidi="zh-CN"/>
        </w:rPr>
        <w:t>采购项目要求及技术参数</w:t>
      </w:r>
      <w:bookmarkEnd w:id="167"/>
    </w:p>
    <w:p>
      <w:pPr>
        <w:pStyle w:val="7"/>
        <w:keepNext/>
        <w:keepLines/>
        <w:numPr>
          <w:ilvl w:val="0"/>
          <w:numId w:val="0"/>
        </w:numPr>
        <w:tabs>
          <w:tab w:val="clear" w:pos="425"/>
        </w:tabs>
        <w:snapToGrid/>
        <w:ind w:left="567" w:hanging="567"/>
        <w:outlineLvl w:val="1"/>
        <w:rPr>
          <w:rFonts w:hAnsi="宋体"/>
          <w:b/>
          <w:bCs/>
          <w:kern w:val="0"/>
          <w:sz w:val="32"/>
          <w:szCs w:val="32"/>
        </w:rPr>
      </w:pPr>
      <w:bookmarkStart w:id="168" w:name="（一）响应要求"/>
      <w:bookmarkEnd w:id="168"/>
      <w:bookmarkStart w:id="169" w:name="_Toc428180595"/>
      <w:bookmarkStart w:id="170" w:name="_Toc5657"/>
      <w:bookmarkStart w:id="171" w:name="_Toc27815"/>
      <w:r>
        <w:rPr>
          <w:rFonts w:hint="eastAsia" w:hAnsi="宋体"/>
          <w:b/>
          <w:bCs/>
          <w:kern w:val="0"/>
          <w:sz w:val="32"/>
          <w:szCs w:val="32"/>
        </w:rPr>
        <w:t>一、磋商要求</w:t>
      </w:r>
      <w:bookmarkEnd w:id="169"/>
      <w:bookmarkEnd w:id="170"/>
      <w:bookmarkEnd w:id="171"/>
    </w:p>
    <w:p>
      <w:pPr>
        <w:widowControl/>
        <w:adjustRightInd w:val="0"/>
        <w:snapToGrid w:val="0"/>
        <w:spacing w:line="360" w:lineRule="auto"/>
        <w:ind w:left="425" w:hanging="425"/>
        <w:jc w:val="left"/>
        <w:rPr>
          <w:rFonts w:ascii="宋体" w:hAnsi="宋体" w:eastAsia="宋体" w:cs="宋体"/>
          <w:spacing w:val="-3"/>
          <w:sz w:val="28"/>
          <w:szCs w:val="22"/>
          <w:lang w:val="zh-CN" w:eastAsia="zh-CN" w:bidi="zh-CN"/>
        </w:rPr>
      </w:pPr>
      <w:bookmarkStart w:id="172" w:name="_Toc428180596"/>
      <w:r>
        <w:rPr>
          <w:rFonts w:ascii="宋体" w:hAnsi="宋体" w:eastAsia="宋体" w:cs="宋体"/>
          <w:spacing w:val="-3"/>
          <w:sz w:val="28"/>
          <w:szCs w:val="22"/>
          <w:lang w:val="zh-CN" w:eastAsia="zh-CN" w:bidi="zh-CN"/>
        </w:rPr>
        <w:t>1.</w:t>
      </w:r>
      <w:r>
        <w:rPr>
          <w:rFonts w:hint="eastAsia" w:ascii="宋体" w:hAnsi="宋体" w:eastAsia="宋体" w:cs="宋体"/>
          <w:spacing w:val="-3"/>
          <w:sz w:val="28"/>
          <w:szCs w:val="22"/>
          <w:lang w:val="zh-CN" w:eastAsia="zh-CN" w:bidi="zh-CN"/>
        </w:rPr>
        <w:t>磋商说明</w:t>
      </w:r>
      <w:bookmarkEnd w:id="172"/>
    </w:p>
    <w:p>
      <w:pPr>
        <w:autoSpaceDE w:val="0"/>
        <w:autoSpaceDN w:val="0"/>
        <w:adjustRightInd w:val="0"/>
        <w:spacing w:line="360" w:lineRule="auto"/>
        <w:ind w:firstLine="548" w:firstLineChars="200"/>
        <w:rPr>
          <w:rFonts w:ascii="宋体" w:hAnsi="宋体" w:eastAsia="宋体" w:cs="宋体"/>
          <w:spacing w:val="-3"/>
          <w:sz w:val="28"/>
          <w:szCs w:val="22"/>
          <w:lang w:val="zh-CN" w:eastAsia="zh-CN" w:bidi="zh-CN"/>
        </w:rPr>
      </w:pPr>
      <w:r>
        <w:rPr>
          <w:rFonts w:ascii="宋体" w:hAnsi="宋体" w:eastAsia="宋体" w:cs="宋体"/>
          <w:spacing w:val="-3"/>
          <w:sz w:val="28"/>
          <w:szCs w:val="22"/>
          <w:lang w:val="zh-CN" w:eastAsia="zh-CN" w:bidi="zh-CN"/>
        </w:rPr>
        <w:t>1.1.</w:t>
      </w:r>
      <w:r>
        <w:rPr>
          <w:rFonts w:hint="eastAsia" w:ascii="宋体" w:hAnsi="宋体" w:eastAsia="宋体" w:cs="宋体"/>
          <w:spacing w:val="-3"/>
          <w:sz w:val="28"/>
          <w:szCs w:val="22"/>
          <w:lang w:val="zh-CN" w:eastAsia="zh-CN" w:bidi="zh-CN"/>
        </w:rPr>
        <w:t>磋商供应商可以按照磋商文件的规定磋商，但必须对所投包号中的所有内容作为一个整体进行磋商，不能拆分或少报。否则，磋商无效。</w:t>
      </w:r>
    </w:p>
    <w:p>
      <w:pPr>
        <w:autoSpaceDE w:val="0"/>
        <w:autoSpaceDN w:val="0"/>
        <w:adjustRightInd w:val="0"/>
        <w:spacing w:line="360" w:lineRule="auto"/>
        <w:ind w:firstLine="548" w:firstLineChars="200"/>
        <w:rPr>
          <w:rFonts w:ascii="宋体" w:hAnsi="宋体" w:eastAsia="宋体" w:cs="宋体"/>
          <w:spacing w:val="-3"/>
          <w:sz w:val="28"/>
          <w:szCs w:val="22"/>
          <w:lang w:val="zh-CN" w:eastAsia="zh-CN" w:bidi="zh-CN"/>
        </w:rPr>
      </w:pPr>
      <w:r>
        <w:rPr>
          <w:rFonts w:ascii="宋体" w:hAnsi="宋体" w:eastAsia="宋体" w:cs="宋体"/>
          <w:spacing w:val="-3"/>
          <w:sz w:val="28"/>
          <w:szCs w:val="22"/>
          <w:lang w:val="zh-CN" w:eastAsia="zh-CN" w:bidi="zh-CN"/>
        </w:rPr>
        <w:t>1.2.</w:t>
      </w:r>
      <w:r>
        <w:rPr>
          <w:rFonts w:hint="eastAsia" w:ascii="宋体" w:hAnsi="宋体" w:eastAsia="宋体" w:cs="宋体"/>
          <w:spacing w:val="-3"/>
          <w:sz w:val="28"/>
          <w:szCs w:val="22"/>
          <w:lang w:val="zh-CN" w:eastAsia="zh-CN" w:bidi="zh-CN"/>
        </w:rPr>
        <w:t>磋商报价应包括产品费、验收费、手续费、包装费、运输费、保险费、安装费、调试费、培训费、售前、售中、售后服务费、招标代理费、税金及不可预见费等全部费用。（说明：具体内容应根据项目特点实事求是的填写）。若磋商报价不能完全包括上述内容，该磋商将被认为非实质性响应。</w:t>
      </w:r>
    </w:p>
    <w:p>
      <w:pPr>
        <w:autoSpaceDE w:val="0"/>
        <w:autoSpaceDN w:val="0"/>
        <w:adjustRightInd w:val="0"/>
        <w:spacing w:line="360" w:lineRule="auto"/>
        <w:ind w:firstLine="548" w:firstLineChars="200"/>
        <w:rPr>
          <w:rFonts w:ascii="宋体" w:hAnsi="宋体" w:eastAsia="宋体" w:cs="宋体"/>
          <w:spacing w:val="-3"/>
          <w:sz w:val="28"/>
          <w:szCs w:val="22"/>
          <w:lang w:val="zh-CN" w:eastAsia="zh-CN" w:bidi="zh-CN"/>
        </w:rPr>
      </w:pPr>
      <w:r>
        <w:rPr>
          <w:rFonts w:ascii="宋体" w:hAnsi="宋体" w:eastAsia="宋体" w:cs="宋体"/>
          <w:spacing w:val="-3"/>
          <w:sz w:val="28"/>
          <w:szCs w:val="22"/>
          <w:lang w:val="zh-CN" w:eastAsia="zh-CN" w:bidi="zh-CN"/>
        </w:rPr>
        <w:t>1.</w:t>
      </w:r>
      <w:r>
        <w:rPr>
          <w:rFonts w:hint="eastAsia" w:ascii="宋体" w:hAnsi="宋体" w:eastAsia="宋体" w:cs="宋体"/>
          <w:spacing w:val="-3"/>
          <w:sz w:val="28"/>
          <w:szCs w:val="22"/>
          <w:lang w:val="zh-CN" w:eastAsia="zh-CN" w:bidi="zh-CN"/>
        </w:rPr>
        <w:t>3</w:t>
      </w:r>
      <w:r>
        <w:rPr>
          <w:rFonts w:ascii="宋体" w:hAnsi="宋体" w:eastAsia="宋体" w:cs="宋体"/>
          <w:spacing w:val="-3"/>
          <w:sz w:val="28"/>
          <w:szCs w:val="22"/>
          <w:lang w:val="zh-CN" w:eastAsia="zh-CN" w:bidi="zh-CN"/>
        </w:rPr>
        <w:t>.</w:t>
      </w:r>
      <w:r>
        <w:rPr>
          <w:rFonts w:hint="eastAsia" w:ascii="宋体" w:hAnsi="宋体" w:eastAsia="宋体" w:cs="宋体"/>
          <w:spacing w:val="-3"/>
          <w:sz w:val="28"/>
          <w:szCs w:val="22"/>
          <w:lang w:val="zh-CN" w:eastAsia="zh-CN" w:bidi="zh-CN"/>
        </w:rPr>
        <w:t>交货时间、地点：按采购单位指定的时间、地点交货并安装交付使用。</w:t>
      </w:r>
    </w:p>
    <w:p>
      <w:pPr>
        <w:widowControl/>
        <w:adjustRightInd w:val="0"/>
        <w:snapToGrid w:val="0"/>
        <w:spacing w:line="360" w:lineRule="auto"/>
        <w:ind w:left="425" w:hanging="425"/>
        <w:jc w:val="left"/>
        <w:rPr>
          <w:rFonts w:ascii="宋体" w:hAnsi="宋体" w:eastAsia="宋体" w:cs="宋体"/>
          <w:spacing w:val="-3"/>
          <w:sz w:val="28"/>
          <w:szCs w:val="22"/>
          <w:lang w:val="zh-CN" w:eastAsia="zh-CN" w:bidi="zh-CN"/>
        </w:rPr>
      </w:pPr>
      <w:bookmarkStart w:id="173" w:name="_Toc428180597"/>
      <w:r>
        <w:rPr>
          <w:rFonts w:ascii="宋体" w:hAnsi="宋体" w:eastAsia="宋体" w:cs="宋体"/>
          <w:spacing w:val="-3"/>
          <w:sz w:val="28"/>
          <w:szCs w:val="22"/>
          <w:lang w:val="zh-CN" w:eastAsia="zh-CN" w:bidi="zh-CN"/>
        </w:rPr>
        <w:t>2.</w:t>
      </w:r>
      <w:r>
        <w:rPr>
          <w:rFonts w:hint="eastAsia" w:ascii="宋体" w:hAnsi="宋体" w:eastAsia="宋体" w:cs="宋体"/>
          <w:spacing w:val="-3"/>
          <w:sz w:val="28"/>
          <w:szCs w:val="22"/>
          <w:lang w:val="zh-CN" w:eastAsia="zh-CN" w:bidi="zh-CN"/>
        </w:rPr>
        <w:t>报价说明</w:t>
      </w:r>
      <w:bookmarkEnd w:id="173"/>
    </w:p>
    <w:p>
      <w:pPr>
        <w:autoSpaceDE w:val="0"/>
        <w:autoSpaceDN w:val="0"/>
        <w:adjustRightInd w:val="0"/>
        <w:spacing w:line="360" w:lineRule="auto"/>
        <w:ind w:firstLine="480"/>
        <w:rPr>
          <w:rFonts w:ascii="宋体" w:hAnsi="宋体" w:eastAsia="宋体" w:cs="宋体"/>
          <w:spacing w:val="-3"/>
          <w:sz w:val="28"/>
          <w:szCs w:val="22"/>
          <w:lang w:val="zh-CN" w:eastAsia="zh-CN" w:bidi="zh-CN"/>
        </w:rPr>
      </w:pPr>
      <w:r>
        <w:rPr>
          <w:rFonts w:hint="eastAsia" w:ascii="宋体" w:hAnsi="宋体" w:eastAsia="宋体" w:cs="宋体"/>
          <w:spacing w:val="-3"/>
          <w:sz w:val="28"/>
          <w:szCs w:val="22"/>
          <w:lang w:val="zh-CN" w:eastAsia="zh-CN" w:bidi="zh-CN"/>
        </w:rPr>
        <w:t>本次磋商文件中规定的采购预算额度为磋商最高限价，磋商供应商的磋商报价不得超出此额度。否则，磋商无效。</w:t>
      </w:r>
    </w:p>
    <w:p>
      <w:pPr>
        <w:widowControl/>
        <w:adjustRightInd w:val="0"/>
        <w:snapToGrid w:val="0"/>
        <w:spacing w:line="360" w:lineRule="auto"/>
        <w:ind w:left="425" w:hanging="425"/>
        <w:jc w:val="left"/>
        <w:rPr>
          <w:rFonts w:ascii="宋体" w:hAnsi="宋体" w:eastAsia="宋体" w:cs="宋体"/>
          <w:spacing w:val="-3"/>
          <w:sz w:val="28"/>
          <w:szCs w:val="22"/>
          <w:lang w:val="zh-CN" w:eastAsia="zh-CN" w:bidi="zh-CN"/>
        </w:rPr>
      </w:pPr>
      <w:bookmarkStart w:id="174" w:name="_Toc428180598"/>
      <w:r>
        <w:rPr>
          <w:rFonts w:ascii="宋体" w:hAnsi="宋体" w:eastAsia="宋体" w:cs="宋体"/>
          <w:spacing w:val="-3"/>
          <w:sz w:val="28"/>
          <w:szCs w:val="22"/>
          <w:lang w:val="zh-CN" w:eastAsia="zh-CN" w:bidi="zh-CN"/>
        </w:rPr>
        <w:t>3.</w:t>
      </w:r>
      <w:r>
        <w:rPr>
          <w:rFonts w:hint="eastAsia" w:ascii="宋体" w:hAnsi="宋体" w:eastAsia="宋体" w:cs="宋体"/>
          <w:spacing w:val="-3"/>
          <w:sz w:val="28"/>
          <w:szCs w:val="22"/>
          <w:lang w:val="zh-CN" w:eastAsia="zh-CN" w:bidi="zh-CN"/>
        </w:rPr>
        <w:t>重要指标</w:t>
      </w:r>
      <w:bookmarkEnd w:id="174"/>
    </w:p>
    <w:p>
      <w:pPr>
        <w:spacing w:line="360" w:lineRule="auto"/>
        <w:ind w:firstLine="548" w:firstLineChars="200"/>
        <w:jc w:val="left"/>
        <w:rPr>
          <w:rFonts w:ascii="宋体" w:hAnsi="宋体" w:eastAsia="宋体" w:cs="宋体"/>
          <w:spacing w:val="-3"/>
          <w:sz w:val="28"/>
          <w:szCs w:val="22"/>
          <w:lang w:val="zh-CN" w:eastAsia="zh-CN" w:bidi="zh-CN"/>
        </w:rPr>
      </w:pPr>
      <w:r>
        <w:rPr>
          <w:rFonts w:hint="eastAsia" w:ascii="宋体" w:hAnsi="宋体" w:eastAsia="宋体" w:cs="宋体"/>
          <w:spacing w:val="-3"/>
          <w:sz w:val="28"/>
          <w:szCs w:val="22"/>
          <w:lang w:val="zh-CN" w:eastAsia="zh-CN" w:bidi="zh-CN"/>
        </w:rPr>
        <w:t>3.1.技术参数中除注明签订合同时提供的相关授权、服务承诺等资料以外，其余相关资料在磋商时必须附在磋商响应文件中。</w:t>
      </w:r>
    </w:p>
    <w:p>
      <w:pPr>
        <w:widowControl/>
        <w:adjustRightInd w:val="0"/>
        <w:snapToGrid w:val="0"/>
        <w:spacing w:line="360" w:lineRule="auto"/>
        <w:ind w:left="425" w:hanging="425"/>
        <w:jc w:val="left"/>
        <w:rPr>
          <w:rFonts w:ascii="宋体" w:hAnsi="宋体" w:eastAsia="宋体" w:cs="宋体"/>
          <w:spacing w:val="-3"/>
          <w:sz w:val="28"/>
          <w:szCs w:val="22"/>
          <w:lang w:val="zh-CN" w:eastAsia="zh-CN" w:bidi="zh-CN"/>
        </w:rPr>
      </w:pPr>
      <w:bookmarkStart w:id="175" w:name="_Toc428180599"/>
      <w:r>
        <w:rPr>
          <w:rFonts w:ascii="宋体" w:hAnsi="宋体" w:eastAsia="宋体" w:cs="宋体"/>
          <w:spacing w:val="-3"/>
          <w:sz w:val="28"/>
          <w:szCs w:val="22"/>
          <w:lang w:val="zh-CN" w:eastAsia="zh-CN" w:bidi="zh-CN"/>
        </w:rPr>
        <w:t>4.</w:t>
      </w:r>
      <w:r>
        <w:rPr>
          <w:rFonts w:hint="eastAsia" w:ascii="宋体" w:hAnsi="宋体" w:eastAsia="宋体" w:cs="宋体"/>
          <w:spacing w:val="-3"/>
          <w:sz w:val="28"/>
          <w:szCs w:val="22"/>
          <w:lang w:val="zh-CN" w:eastAsia="zh-CN" w:bidi="zh-CN"/>
        </w:rPr>
        <w:t>商务要求</w:t>
      </w:r>
      <w:bookmarkEnd w:id="175"/>
    </w:p>
    <w:p>
      <w:pPr>
        <w:autoSpaceDE w:val="0"/>
        <w:autoSpaceDN w:val="0"/>
        <w:adjustRightInd w:val="0"/>
        <w:spacing w:line="360" w:lineRule="auto"/>
        <w:ind w:firstLine="548" w:firstLineChars="200"/>
        <w:rPr>
          <w:rFonts w:hint="default" w:ascii="宋体" w:hAnsi="宋体" w:eastAsia="宋体" w:cs="宋体"/>
          <w:spacing w:val="-3"/>
          <w:sz w:val="28"/>
          <w:szCs w:val="22"/>
          <w:lang w:val="en-US" w:eastAsia="zh-CN" w:bidi="zh-CN"/>
        </w:rPr>
      </w:pPr>
      <w:bookmarkStart w:id="176" w:name="_Toc488673674"/>
      <w:r>
        <w:rPr>
          <w:rFonts w:ascii="宋体" w:hAnsi="宋体" w:eastAsia="宋体" w:cs="宋体"/>
          <w:spacing w:val="-3"/>
          <w:sz w:val="28"/>
          <w:szCs w:val="22"/>
          <w:lang w:val="zh-CN" w:eastAsia="zh-CN" w:bidi="zh-CN"/>
        </w:rPr>
        <w:t>4.1.</w:t>
      </w:r>
      <w:r>
        <w:rPr>
          <w:rFonts w:hint="eastAsia" w:ascii="宋体" w:hAnsi="宋体" w:eastAsia="宋体" w:cs="宋体"/>
          <w:spacing w:val="-3"/>
          <w:sz w:val="28"/>
          <w:szCs w:val="22"/>
          <w:lang w:val="zh-CN" w:eastAsia="zh-CN" w:bidi="zh-CN"/>
        </w:rPr>
        <w:t>交货时间：</w:t>
      </w:r>
      <w:bookmarkEnd w:id="176"/>
      <w:r>
        <w:rPr>
          <w:rFonts w:hint="eastAsia" w:ascii="宋体" w:hAnsi="宋体" w:eastAsia="宋体" w:cs="宋体"/>
          <w:spacing w:val="-3"/>
          <w:sz w:val="28"/>
          <w:szCs w:val="22"/>
          <w:lang w:val="en-US" w:eastAsia="zh-CN" w:bidi="zh-CN"/>
        </w:rPr>
        <w:t xml:space="preserve"> </w:t>
      </w:r>
      <w:r>
        <w:rPr>
          <w:rFonts w:hint="eastAsia" w:ascii="宋体" w:hAnsi="宋体" w:eastAsia="宋体" w:cs="宋体"/>
          <w:spacing w:val="-3"/>
          <w:sz w:val="28"/>
          <w:szCs w:val="22"/>
          <w:u w:val="single"/>
          <w:lang w:val="zh-CN" w:eastAsia="zh-CN" w:bidi="zh-CN"/>
        </w:rPr>
        <w:t>合同签订后</w:t>
      </w:r>
      <w:r>
        <w:rPr>
          <w:rFonts w:hint="eastAsia" w:ascii="宋体" w:hAnsi="宋体" w:eastAsia="宋体" w:cs="宋体"/>
          <w:spacing w:val="-3"/>
          <w:sz w:val="28"/>
          <w:szCs w:val="22"/>
          <w:u w:val="single"/>
          <w:lang w:val="en-US" w:eastAsia="zh-CN" w:bidi="zh-CN"/>
        </w:rPr>
        <w:t>30天内</w:t>
      </w:r>
      <w:r>
        <w:rPr>
          <w:rFonts w:hint="eastAsia" w:ascii="宋体" w:hAnsi="宋体" w:eastAsia="宋体" w:cs="宋体"/>
          <w:spacing w:val="-3"/>
          <w:sz w:val="28"/>
          <w:szCs w:val="22"/>
          <w:lang w:val="en-US" w:eastAsia="zh-CN" w:bidi="zh-CN"/>
        </w:rPr>
        <w:t>；</w:t>
      </w:r>
    </w:p>
    <w:p>
      <w:pPr>
        <w:autoSpaceDE w:val="0"/>
        <w:autoSpaceDN w:val="0"/>
        <w:adjustRightInd w:val="0"/>
        <w:spacing w:line="360" w:lineRule="auto"/>
        <w:ind w:firstLine="548" w:firstLineChars="200"/>
        <w:rPr>
          <w:rFonts w:hint="eastAsia" w:ascii="宋体" w:hAnsi="宋体" w:eastAsia="宋体" w:cs="宋体"/>
          <w:spacing w:val="-3"/>
          <w:sz w:val="28"/>
          <w:szCs w:val="22"/>
          <w:lang w:val="en-US" w:eastAsia="zh-CN" w:bidi="zh-CN"/>
        </w:rPr>
      </w:pPr>
      <w:bookmarkStart w:id="177" w:name="_Toc488673675"/>
      <w:r>
        <w:rPr>
          <w:rFonts w:ascii="宋体" w:hAnsi="宋体" w:eastAsia="宋体" w:cs="宋体"/>
          <w:spacing w:val="-3"/>
          <w:sz w:val="28"/>
          <w:szCs w:val="22"/>
          <w:lang w:val="zh-CN" w:eastAsia="zh-CN" w:bidi="zh-CN"/>
        </w:rPr>
        <w:t>4.2.</w:t>
      </w:r>
      <w:r>
        <w:rPr>
          <w:rFonts w:hint="eastAsia" w:ascii="宋体" w:hAnsi="宋体" w:eastAsia="宋体" w:cs="宋体"/>
          <w:spacing w:val="-3"/>
          <w:sz w:val="28"/>
          <w:szCs w:val="22"/>
          <w:lang w:val="zh-CN" w:eastAsia="zh-CN" w:bidi="zh-CN"/>
        </w:rPr>
        <w:t>交货地点：</w:t>
      </w:r>
      <w:bookmarkEnd w:id="177"/>
      <w:r>
        <w:rPr>
          <w:rFonts w:hint="eastAsia" w:ascii="宋体" w:hAnsi="宋体" w:eastAsia="宋体" w:cs="宋体"/>
          <w:spacing w:val="-3"/>
          <w:sz w:val="28"/>
          <w:szCs w:val="22"/>
          <w:u w:val="single"/>
          <w:lang w:val="zh-CN" w:eastAsia="zh-CN" w:bidi="zh-CN"/>
        </w:rPr>
        <w:t>甲方指定地点交货</w:t>
      </w:r>
      <w:r>
        <w:rPr>
          <w:rFonts w:hint="eastAsia" w:ascii="宋体" w:hAnsi="宋体" w:eastAsia="宋体" w:cs="宋体"/>
          <w:spacing w:val="-3"/>
          <w:sz w:val="28"/>
          <w:szCs w:val="22"/>
          <w:lang w:val="zh-CN" w:eastAsia="zh-CN" w:bidi="zh-CN"/>
        </w:rPr>
        <w:t>；</w:t>
      </w:r>
      <w:r>
        <w:rPr>
          <w:rFonts w:hint="eastAsia" w:ascii="宋体" w:hAnsi="宋体" w:eastAsia="宋体" w:cs="宋体"/>
          <w:spacing w:val="-3"/>
          <w:sz w:val="28"/>
          <w:szCs w:val="22"/>
          <w:lang w:val="en-US" w:eastAsia="zh-CN" w:bidi="zh-CN"/>
        </w:rPr>
        <w:t xml:space="preserve"> </w:t>
      </w:r>
    </w:p>
    <w:p>
      <w:pPr>
        <w:autoSpaceDE w:val="0"/>
        <w:autoSpaceDN w:val="0"/>
        <w:adjustRightInd w:val="0"/>
        <w:spacing w:line="360" w:lineRule="auto"/>
        <w:ind w:firstLine="548" w:firstLineChars="200"/>
        <w:rPr>
          <w:rFonts w:ascii="宋体" w:hAnsi="宋体" w:eastAsia="宋体" w:cs="宋体"/>
          <w:spacing w:val="-3"/>
          <w:sz w:val="28"/>
          <w:szCs w:val="22"/>
          <w:lang w:val="zh-CN" w:eastAsia="zh-CN" w:bidi="zh-CN"/>
        </w:rPr>
      </w:pPr>
      <w:r>
        <w:rPr>
          <w:rFonts w:hint="eastAsia" w:ascii="宋体" w:hAnsi="宋体" w:eastAsia="宋体" w:cs="宋体"/>
          <w:spacing w:val="-3"/>
          <w:sz w:val="28"/>
          <w:szCs w:val="22"/>
          <w:lang w:val="zh-CN" w:eastAsia="zh-CN" w:bidi="zh-CN"/>
        </w:rPr>
        <w:t>4.3.免费质保期：</w:t>
      </w:r>
      <w:r>
        <w:rPr>
          <w:rFonts w:hint="eastAsia" w:ascii="宋体" w:hAnsi="宋体" w:eastAsia="宋体" w:cs="宋体"/>
          <w:spacing w:val="-3"/>
          <w:sz w:val="28"/>
          <w:szCs w:val="22"/>
          <w:u w:val="single"/>
          <w:lang w:val="zh-CN" w:eastAsia="zh-CN" w:bidi="zh-CN"/>
        </w:rPr>
        <w:t xml:space="preserve">     </w:t>
      </w:r>
      <w:r>
        <w:rPr>
          <w:rFonts w:hint="eastAsia" w:ascii="宋体" w:hAnsi="宋体" w:eastAsia="宋体" w:cs="宋体"/>
          <w:spacing w:val="-3"/>
          <w:sz w:val="28"/>
          <w:szCs w:val="22"/>
          <w:u w:val="single"/>
          <w:lang w:val="en-US" w:eastAsia="zh-CN" w:bidi="zh-CN"/>
        </w:rPr>
        <w:t>一</w:t>
      </w:r>
      <w:r>
        <w:rPr>
          <w:rFonts w:hint="eastAsia" w:ascii="宋体" w:hAnsi="宋体" w:eastAsia="宋体" w:cs="宋体"/>
          <w:spacing w:val="-3"/>
          <w:sz w:val="28"/>
          <w:szCs w:val="22"/>
          <w:u w:val="single"/>
          <w:lang w:val="zh-CN" w:eastAsia="zh-CN" w:bidi="zh-CN"/>
        </w:rPr>
        <w:t xml:space="preserve">年        </w:t>
      </w:r>
      <w:r>
        <w:rPr>
          <w:rFonts w:hint="eastAsia" w:ascii="宋体" w:hAnsi="宋体" w:eastAsia="宋体" w:cs="宋体"/>
          <w:spacing w:val="-3"/>
          <w:sz w:val="28"/>
          <w:szCs w:val="22"/>
          <w:lang w:val="zh-CN" w:eastAsia="zh-CN" w:bidi="zh-CN"/>
        </w:rPr>
        <w:t xml:space="preserve"> ；</w:t>
      </w:r>
    </w:p>
    <w:p>
      <w:pPr>
        <w:autoSpaceDE w:val="0"/>
        <w:autoSpaceDN w:val="0"/>
        <w:adjustRightInd w:val="0"/>
        <w:spacing w:line="360" w:lineRule="auto"/>
        <w:ind w:firstLine="548" w:firstLineChars="200"/>
        <w:rPr>
          <w:rFonts w:hint="eastAsia" w:ascii="宋体" w:hAnsi="宋体" w:eastAsia="宋体" w:cs="宋体"/>
          <w:b/>
          <w:bCs/>
          <w:kern w:val="0"/>
          <w:sz w:val="32"/>
          <w:szCs w:val="32"/>
        </w:rPr>
      </w:pPr>
      <w:bookmarkStart w:id="178" w:name="_Toc488673676"/>
      <w:r>
        <w:rPr>
          <w:rFonts w:hint="eastAsia" w:ascii="宋体" w:hAnsi="宋体" w:eastAsia="宋体" w:cs="宋体"/>
          <w:spacing w:val="-3"/>
          <w:sz w:val="28"/>
          <w:szCs w:val="22"/>
          <w:lang w:val="zh-CN" w:eastAsia="zh-CN" w:bidi="zh-CN"/>
        </w:rPr>
        <w:t>4.4.付款方式：</w:t>
      </w:r>
      <w:bookmarkEnd w:id="178"/>
      <w:r>
        <w:rPr>
          <w:rFonts w:hint="eastAsia" w:ascii="宋体" w:hAnsi="宋体" w:eastAsia="宋体" w:cs="宋体"/>
          <w:spacing w:val="-3"/>
          <w:sz w:val="28"/>
          <w:szCs w:val="22"/>
          <w:lang w:val="zh-CN" w:eastAsia="zh-CN" w:bidi="zh-CN"/>
        </w:rPr>
        <w:t>详见“第四部分  合同文本样式”中“青海省政府采购项目合同书范本四、付款方式”的规定</w:t>
      </w:r>
      <w:bookmarkStart w:id="179" w:name="_Toc459377899"/>
      <w:bookmarkStart w:id="180" w:name="_Toc480468113"/>
      <w:bookmarkStart w:id="181" w:name="_Hlk486599483"/>
      <w:r>
        <w:rPr>
          <w:rFonts w:hint="eastAsia" w:ascii="宋体" w:hAnsi="宋体" w:eastAsia="宋体" w:cs="宋体"/>
          <w:spacing w:val="-3"/>
          <w:sz w:val="28"/>
          <w:szCs w:val="22"/>
          <w:lang w:val="zh-CN" w:eastAsia="zh-CN" w:bidi="zh-CN"/>
        </w:rPr>
        <w:t>。</w:t>
      </w:r>
      <w:bookmarkEnd w:id="179"/>
      <w:bookmarkEnd w:id="180"/>
      <w:bookmarkEnd w:id="181"/>
    </w:p>
    <w:p>
      <w:pPr>
        <w:pStyle w:val="7"/>
        <w:keepNext/>
        <w:keepLines/>
        <w:numPr>
          <w:ilvl w:val="0"/>
          <w:numId w:val="0"/>
        </w:numPr>
        <w:tabs>
          <w:tab w:val="clear" w:pos="425"/>
        </w:tabs>
        <w:snapToGrid/>
        <w:ind w:left="567" w:hanging="567"/>
        <w:outlineLvl w:val="1"/>
        <w:rPr>
          <w:rFonts w:hint="eastAsia" w:ascii="宋体" w:hAnsi="宋体" w:eastAsia="宋体" w:cs="宋体"/>
          <w:b/>
          <w:bCs/>
          <w:kern w:val="0"/>
          <w:sz w:val="32"/>
          <w:szCs w:val="32"/>
        </w:rPr>
      </w:pPr>
      <w:bookmarkStart w:id="182" w:name="_Toc1752"/>
      <w:r>
        <w:rPr>
          <w:rFonts w:hint="eastAsia" w:ascii="宋体" w:hAnsi="宋体" w:eastAsia="宋体" w:cs="宋体"/>
          <w:b/>
          <w:bCs/>
          <w:kern w:val="0"/>
          <w:sz w:val="32"/>
          <w:szCs w:val="32"/>
        </w:rPr>
        <w:t>二</w:t>
      </w:r>
      <w:r>
        <w:rPr>
          <w:rFonts w:hint="eastAsia" w:ascii="宋体" w:hAnsi="宋体" w:eastAsia="宋体" w:cs="宋体"/>
          <w:b/>
          <w:bCs/>
          <w:kern w:val="0"/>
          <w:sz w:val="32"/>
          <w:szCs w:val="32"/>
          <w:lang w:eastAsia="zh-CN"/>
        </w:rPr>
        <w:t>、</w:t>
      </w:r>
      <w:r>
        <w:rPr>
          <w:rFonts w:hint="eastAsia" w:ascii="宋体" w:hAnsi="宋体" w:eastAsia="宋体" w:cs="宋体"/>
          <w:b/>
          <w:bCs/>
          <w:kern w:val="0"/>
          <w:sz w:val="32"/>
          <w:szCs w:val="32"/>
        </w:rPr>
        <w:t>项目概况及采购需求参数</w:t>
      </w:r>
      <w:bookmarkEnd w:id="182"/>
    </w:p>
    <w:p>
      <w:pPr>
        <w:pStyle w:val="2"/>
        <w:spacing w:before="245" w:line="242" w:lineRule="auto"/>
        <w:ind w:right="426" w:firstLine="561"/>
        <w:jc w:val="both"/>
      </w:pPr>
      <w:bookmarkStart w:id="183" w:name="囊谦县人大预算资金联网监督系统建设项目，涉及囊谦县人大预算资金联网监督系统的正常"/>
      <w:bookmarkEnd w:id="183"/>
      <w:r>
        <w:rPr>
          <w:rFonts w:hint="eastAsia"/>
          <w:lang w:eastAsia="zh-CN"/>
        </w:rPr>
        <w:t>预算联网监督系统建设项目</w:t>
      </w:r>
      <w:r>
        <w:t>，涉及</w:t>
      </w:r>
      <w:r>
        <w:rPr>
          <w:rFonts w:hint="eastAsia"/>
          <w:lang w:val="en-US" w:eastAsia="zh-CN"/>
        </w:rPr>
        <w:t>杂</w:t>
      </w:r>
      <w:r>
        <w:rPr>
          <w:rFonts w:hint="eastAsia"/>
          <w:lang w:eastAsia="zh-CN"/>
        </w:rPr>
        <w:t>多县</w:t>
      </w:r>
      <w:r>
        <w:t>人大预算资金联网监督系统的正常运行。供应商在人员、设备和服务项目内容等方面必须满足项目的要求，在交货期内必须完成产品的供货安装调试以及技术人员的技术操作培训，保证正常使用。其采购需求及主要技术参数如下：</w:t>
      </w:r>
    </w:p>
    <w:p>
      <w:pPr>
        <w:pStyle w:val="6"/>
        <w:spacing w:before="63" w:after="4"/>
        <w:ind w:left="2"/>
        <w:jc w:val="center"/>
        <w:outlineLvl w:val="9"/>
        <w:rPr>
          <w:rFonts w:hint="eastAsia"/>
          <w:lang w:eastAsia="zh-CN"/>
        </w:rPr>
        <w:sectPr>
          <w:pgSz w:w="11850" w:h="16790"/>
          <w:pgMar w:top="1360" w:right="840" w:bottom="1440" w:left="1120" w:header="0" w:footer="1179" w:gutter="0"/>
          <w:pgBorders>
            <w:top w:val="none" w:sz="0" w:space="0"/>
            <w:left w:val="none" w:sz="0" w:space="0"/>
            <w:bottom w:val="none" w:sz="0" w:space="0"/>
            <w:right w:val="none" w:sz="0" w:space="0"/>
          </w:pgBorders>
          <w:pgNumType w:fmt="decimal"/>
          <w:cols w:space="720" w:num="1"/>
        </w:sectPr>
      </w:pPr>
    </w:p>
    <w:p>
      <w:pPr>
        <w:pStyle w:val="6"/>
        <w:spacing w:before="63" w:after="4"/>
        <w:ind w:left="2"/>
        <w:jc w:val="center"/>
      </w:pPr>
      <w:r>
        <w:rPr>
          <w:rFonts w:hint="eastAsia"/>
          <w:lang w:eastAsia="zh-CN"/>
        </w:rPr>
        <w:t>玉</w:t>
      </w:r>
      <w:bookmarkStart w:id="184" w:name="_GoBack"/>
      <w:bookmarkEnd w:id="184"/>
      <w:r>
        <w:rPr>
          <w:rFonts w:hint="eastAsia"/>
          <w:lang w:eastAsia="zh-CN"/>
        </w:rPr>
        <w:t>树州</w:t>
      </w:r>
      <w:r>
        <w:rPr>
          <w:rFonts w:hint="eastAsia"/>
          <w:lang w:val="en-US" w:eastAsia="zh-CN"/>
        </w:rPr>
        <w:t>杂多</w:t>
      </w:r>
      <w:r>
        <w:rPr>
          <w:rFonts w:hint="eastAsia"/>
          <w:lang w:eastAsia="zh-CN"/>
        </w:rPr>
        <w:t>县人大常委会监督联网预算中心建设项目</w:t>
      </w:r>
      <w:r>
        <w:t>采购需求及技术参数</w:t>
      </w:r>
    </w:p>
    <w:p>
      <w:pPr>
        <w:spacing w:after="0"/>
        <w:rPr>
          <w:rFonts w:ascii="Times New Roman"/>
          <w:sz w:val="24"/>
        </w:rPr>
      </w:pPr>
    </w:p>
    <w:tbl>
      <w:tblPr>
        <w:tblStyle w:val="16"/>
        <w:tblW w:w="15390"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530"/>
        <w:gridCol w:w="585"/>
        <w:gridCol w:w="825"/>
        <w:gridCol w:w="1173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90" w:type="dxa"/>
            <w:gridSpan w:val="5"/>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r>
              <w:rPr>
                <w:rFonts w:hint="eastAsia" w:cs="宋体"/>
                <w:b/>
                <w:bCs/>
                <w:i w:val="0"/>
                <w:iCs w:val="0"/>
                <w:color w:val="000000"/>
                <w:kern w:val="0"/>
                <w:sz w:val="28"/>
                <w:szCs w:val="28"/>
                <w:u w:val="none"/>
                <w:lang w:val="en-US" w:eastAsia="zh-CN" w:bidi="ar"/>
              </w:rPr>
              <w:t>预算联网监督系统建设项目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设备</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名称</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数量</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c>
          <w:tcPr>
            <w:tcW w:w="117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8"/>
                <w:szCs w:val="28"/>
                <w:u w:val="none"/>
                <w:lang w:val="en-US" w:eastAsia="zh-CN" w:bidi="ar"/>
              </w:rPr>
              <w:t>招标</w:t>
            </w:r>
            <w:r>
              <w:rPr>
                <w:rFonts w:hint="eastAsia" w:ascii="宋体" w:hAnsi="宋体" w:eastAsia="宋体" w:cs="宋体"/>
                <w:b/>
                <w:bCs/>
                <w:i w:val="0"/>
                <w:iCs w:val="0"/>
                <w:color w:val="000000"/>
                <w:kern w:val="0"/>
                <w:sz w:val="28"/>
                <w:szCs w:val="28"/>
                <w:u w:val="none"/>
                <w:lang w:val="en-US" w:eastAsia="zh-CN" w:bidi="ar"/>
              </w:rPr>
              <w:t>参数</w:t>
            </w:r>
          </w:p>
        </w:tc>
        <w:tc>
          <w:tcPr>
            <w:tcW w:w="72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90" w:type="dxa"/>
            <w:gridSpan w:val="5"/>
            <w:tcBorders>
              <w:tl2br w:val="nil"/>
              <w:tr2bl w:val="nil"/>
            </w:tcBorders>
            <w:shd w:val="clear" w:color="auto" w:fill="FF0000"/>
            <w:vAlign w:val="center"/>
          </w:tcPr>
          <w:p>
            <w:pPr>
              <w:jc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1.人大预算联网监督系统软件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jc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t>人大预算联网监督系统软件</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730" w:type="dxa"/>
            <w:tcBorders>
              <w:tl2br w:val="nil"/>
              <w:tr2bl w:val="nil"/>
            </w:tcBorders>
            <w:shd w:val="clear" w:color="auto" w:fill="FFFFFF" w:themeFill="background1"/>
            <w:vAlign w:val="center"/>
          </w:tcPr>
          <w:p>
            <w:pPr>
              <w:jc w:val="left"/>
              <w:rPr>
                <w:rFonts w:hint="eastAsia"/>
              </w:rPr>
            </w:pPr>
            <w:r>
              <w:rPr>
                <w:rFonts w:hint="eastAsia"/>
              </w:rPr>
              <w:t>模块功能：子功能（一级，二级）</w:t>
            </w:r>
          </w:p>
          <w:p>
            <w:pPr>
              <w:jc w:val="left"/>
              <w:rPr>
                <w:rFonts w:hint="eastAsia"/>
              </w:rPr>
            </w:pPr>
            <w:r>
              <w:rPr>
                <w:rFonts w:hint="eastAsia"/>
              </w:rPr>
              <w:t>政策法规：收录与人大预算审查监督有关的政策法律法规</w:t>
            </w:r>
          </w:p>
          <w:p>
            <w:pPr>
              <w:jc w:val="left"/>
              <w:rPr>
                <w:rFonts w:hint="eastAsia"/>
              </w:rPr>
            </w:pPr>
            <w:r>
              <w:rPr>
                <w:rFonts w:hint="eastAsia"/>
              </w:rPr>
              <w:t>预决算审查：年初预算审查，预算调整审查，决算审查，预算监督全口径报表与分析</w:t>
            </w:r>
          </w:p>
          <w:p>
            <w:pPr>
              <w:jc w:val="left"/>
              <w:rPr>
                <w:rFonts w:hint="eastAsia"/>
              </w:rPr>
            </w:pPr>
            <w:r>
              <w:rPr>
                <w:rFonts w:hint="eastAsia"/>
              </w:rPr>
              <w:t>预算执行监督： 总预算 ，部门预算，上半年预算执行，预算监督全过程报表与分析，包括总预算和部门预算</w:t>
            </w:r>
          </w:p>
          <w:p>
            <w:pPr>
              <w:jc w:val="left"/>
              <w:rPr>
                <w:rFonts w:hint="eastAsia"/>
              </w:rPr>
            </w:pPr>
            <w:r>
              <w:rPr>
                <w:rFonts w:hint="eastAsia"/>
              </w:rPr>
              <w:t>专项监督：人社监督，审计监督，税务监督，绩效管理，转移支付，重大投资项目，查看专项数据、图形分析以及相关审查文档</w:t>
            </w:r>
          </w:p>
          <w:p>
            <w:pPr>
              <w:jc w:val="left"/>
              <w:rPr>
                <w:rFonts w:hint="eastAsia"/>
              </w:rPr>
            </w:pPr>
            <w:r>
              <w:rPr>
                <w:rFonts w:hint="eastAsia"/>
              </w:rPr>
              <w:t>专家审查：总预算，部门预算，决算，协助人大代表、财经（预工）委委员及专家对预算草案初步方案及上一年预算执行情况、本级预算调整初步方案和本级决算草案进行初步审查。</w:t>
            </w:r>
          </w:p>
          <w:p>
            <w:pPr>
              <w:jc w:val="left"/>
              <w:rPr>
                <w:rFonts w:hint="eastAsia"/>
              </w:rPr>
            </w:pPr>
            <w:r>
              <w:rPr>
                <w:rFonts w:hint="eastAsia"/>
              </w:rPr>
              <w:t>智能预警：预警监督，预警结果分析（部门预算），对获取到的相关预算报表数据进行分析预警和预警结果处理，提高风险防控和智能预警能力。</w:t>
            </w:r>
          </w:p>
          <w:p>
            <w:pPr>
              <w:jc w:val="left"/>
              <w:rPr>
                <w:rFonts w:hint="eastAsia"/>
              </w:rPr>
            </w:pPr>
            <w:r>
              <w:rPr>
                <w:rFonts w:hint="eastAsia"/>
              </w:rPr>
              <w:t>资产监督：综合报告，专项报告，本功能综合报告全面反映全省各类国有资产基本情况，提供查询审查过程中产生的相关文档功能和报表与分析功能</w:t>
            </w:r>
          </w:p>
          <w:p>
            <w:pPr>
              <w:jc w:val="left"/>
              <w:rPr>
                <w:rFonts w:hint="eastAsia"/>
              </w:rPr>
            </w:pPr>
            <w:r>
              <w:rPr>
                <w:rFonts w:hint="eastAsia"/>
              </w:rPr>
              <w:t>综合分析：经济分析，财税分析，债务分析，政策分析，围绕四个分析主题：经济、政策、财税、债务的数据报表，建立多维度分析，为形成综合分析和专项分析报告提供科学的参考和客观的依据。</w:t>
            </w:r>
          </w:p>
          <w:p>
            <w:pPr>
              <w:jc w:val="left"/>
              <w:rPr>
                <w:rFonts w:hint="eastAsia"/>
              </w:rPr>
            </w:pPr>
            <w:r>
              <w:rPr>
                <w:rFonts w:hint="eastAsia"/>
              </w:rPr>
              <w:t>经济监督：全国主要经济指标统计情况，青海省主要经济指标完成情况，国民经济和社会发展主要综合指标，固定资产投资计划，青海省经济社会统计数据，国民经济和社会发展五年规划，依法加强对国民经济与社会发展计划的监督，正确判断宏观经济形势</w:t>
            </w:r>
          </w:p>
          <w:p>
            <w:pPr>
              <w:jc w:val="left"/>
              <w:rPr>
                <w:rFonts w:hint="eastAsia"/>
              </w:rPr>
            </w:pPr>
            <w:r>
              <w:rPr>
                <w:rFonts w:hint="eastAsia"/>
              </w:rPr>
              <w:t>代表服务： 系统指南，代表议案建议，在线意见，建立与人大代表互动平台，收集整理人大 代表和系统用户对预算监督的意见及建议，并及时给予反馈。</w:t>
            </w:r>
          </w:p>
          <w:p>
            <w:pPr>
              <w:jc w:val="left"/>
              <w:rPr>
                <w:rFonts w:hint="eastAsia"/>
              </w:rPr>
            </w:pPr>
            <w:r>
              <w:rPr>
                <w:rFonts w:hint="eastAsia"/>
              </w:rPr>
              <w:t>全文检索：结构化数据和非结构化数据的全系统搜索查询</w:t>
            </w:r>
          </w:p>
          <w:p>
            <w:pPr>
              <w:jc w:val="left"/>
              <w:rPr>
                <w:rFonts w:hint="eastAsia"/>
              </w:rPr>
            </w:pPr>
            <w:r>
              <w:rPr>
                <w:rFonts w:hint="eastAsia"/>
              </w:rPr>
              <w:t>审查文汇：归集整理政府提交的相关报告文档及人大审查工作过程中形成的相关文档资料</w:t>
            </w:r>
          </w:p>
          <w:p>
            <w:pPr>
              <w:jc w:val="left"/>
              <w:rPr>
                <w:rFonts w:hint="eastAsia"/>
              </w:rPr>
            </w:pPr>
            <w:r>
              <w:rPr>
                <w:rFonts w:hint="eastAsia"/>
              </w:rPr>
              <w:t>智能审查 总预算</w:t>
            </w:r>
          </w:p>
          <w:p>
            <w:pPr>
              <w:jc w:val="left"/>
              <w:rPr>
                <w:rFonts w:hint="eastAsia"/>
              </w:rPr>
            </w:pPr>
            <w:r>
              <w:rPr>
                <w:rFonts w:hint="eastAsia"/>
              </w:rPr>
              <w:t>部门预算：预决算分析模板，按照预算对预算草案及其报告、预算执行情况报告内容进行重点审查的规定，灵活抓取总预算、部门预算关键数据进行建模分析，使人大审查工作能够实现智能化</w:t>
            </w:r>
          </w:p>
          <w:p>
            <w:pPr>
              <w:jc w:val="left"/>
              <w:rPr>
                <w:rFonts w:hint="eastAsia"/>
              </w:rPr>
            </w:pPr>
            <w:r>
              <w:rPr>
                <w:rFonts w:hint="eastAsia"/>
              </w:rPr>
              <w:t>县级系统：县级系统切换，县级预算联网监督系统的纵向联通，形成预算监督一体化体系</w:t>
            </w:r>
          </w:p>
          <w:p>
            <w:pPr>
              <w:jc w:val="left"/>
              <w:rPr>
                <w:rFonts w:hint="eastAsia"/>
              </w:rPr>
            </w:pPr>
            <w:r>
              <w:rPr>
                <w:rFonts w:hint="eastAsia"/>
              </w:rPr>
              <w:t>数据管理： 报表管理，模型指标构建，资源管理，预警配置，主要用于与财政数据对接。管理员可通过本模块集中管理数据源和接口的配置信息，与财政系统对接后，可设置相关数据的采集时间</w:t>
            </w:r>
          </w:p>
          <w:p>
            <w:pPr>
              <w:jc w:val="left"/>
              <w:rPr>
                <w:rFonts w:hint="eastAsia"/>
              </w:rPr>
            </w:pPr>
            <w:r>
              <w:rPr>
                <w:rFonts w:hint="eastAsia"/>
              </w:rPr>
              <w:t>系统管理： 信息维护，权限管理，日常管理，系统参数，菜单管理，系统运行维护，如：功能模块运行、用户权限的配置等</w:t>
            </w:r>
          </w:p>
          <w:p>
            <w:pPr>
              <w:jc w:val="left"/>
              <w:rPr>
                <w:rFonts w:hint="eastAsia"/>
              </w:rPr>
            </w:pPr>
            <w:r>
              <w:rPr>
                <w:rFonts w:hint="eastAsia"/>
              </w:rPr>
              <w:t>查询，实现财政、发改、税务、、国资、社保等九个部门相关报表、政策法规、文件等资料查询，满足人大全口径审查全过程监督的需要。</w:t>
            </w:r>
          </w:p>
          <w:p>
            <w:pPr>
              <w:jc w:val="left"/>
              <w:rPr>
                <w:rFonts w:hint="eastAsia"/>
              </w:rPr>
            </w:pPr>
            <w:r>
              <w:rPr>
                <w:rFonts w:hint="eastAsia"/>
              </w:rPr>
              <w:t>分析，将预算的安排与执行、预算与决算、财政转移支付、重点项目支出、政府债务、地区间预算收支完成情况等基本数据，通过柱状图、饼状图、玫瑰图、曲线图等进行可视化图形展示，为开展预算决算审查和预算执行监督提供可视化数据信息支撑。</w:t>
            </w:r>
          </w:p>
          <w:p>
            <w:pPr>
              <w:jc w:val="left"/>
              <w:rPr>
                <w:rFonts w:hint="eastAsia"/>
              </w:rPr>
            </w:pPr>
            <w:r>
              <w:rPr>
                <w:rFonts w:hint="eastAsia"/>
              </w:rPr>
              <w:t xml:space="preserve"> 预警，根据党中央重大方针政策和决策部署，按照预算法、预算审查监督条例及地方性法规，在系统中设置符合人大审查监督职权的预警规则和参数，结合预算计划、预算指标和预算支付信息，实现对问题的自动捕捉，及时发现问题并按程序处理问题。</w:t>
            </w:r>
          </w:p>
          <w:p>
            <w:pPr>
              <w:jc w:val="left"/>
              <w:rPr>
                <w:rFonts w:hint="eastAsia"/>
              </w:rPr>
            </w:pPr>
            <w:r>
              <w:rPr>
                <w:rFonts w:hint="eastAsia"/>
              </w:rPr>
              <w:t>服务，使人大代表及时了解有关预算支出安排和执行的具体情况，并实现代表在线提意见功能，为代表主动参与预算审查监督创造条件。</w:t>
            </w:r>
          </w:p>
          <w:p>
            <w:pPr>
              <w:jc w:val="left"/>
              <w:rPr>
                <w:rFonts w:hint="eastAsia"/>
              </w:rPr>
            </w:pPr>
            <w:r>
              <w:rPr>
                <w:rFonts w:hint="eastAsia"/>
              </w:rPr>
              <w:t>预算审查配置</w:t>
            </w:r>
          </w:p>
          <w:p>
            <w:pPr>
              <w:jc w:val="left"/>
              <w:rPr>
                <w:rFonts w:hint="eastAsia"/>
              </w:rPr>
            </w:pPr>
            <w:r>
              <w:rPr>
                <w:rFonts w:hint="eastAsia"/>
              </w:rPr>
              <w:t>智能审查配置</w:t>
            </w:r>
          </w:p>
          <w:p>
            <w:pPr>
              <w:jc w:val="left"/>
              <w:rPr>
                <w:rFonts w:hint="eastAsia" w:ascii="宋体" w:hAnsi="宋体" w:eastAsia="宋体" w:cs="宋体"/>
                <w:b/>
                <w:bCs/>
                <w:i w:val="0"/>
                <w:iCs w:val="0"/>
                <w:color w:val="000000"/>
                <w:kern w:val="0"/>
                <w:sz w:val="28"/>
                <w:szCs w:val="28"/>
                <w:u w:val="none"/>
                <w:lang w:val="en-US" w:eastAsia="zh-CN" w:bidi="ar"/>
              </w:rPr>
            </w:pPr>
            <w:r>
              <w:rPr>
                <w:rFonts w:hint="eastAsia"/>
              </w:rPr>
              <w:t>基础业务管理</w:t>
            </w:r>
          </w:p>
        </w:tc>
        <w:tc>
          <w:tcPr>
            <w:tcW w:w="720" w:type="dxa"/>
            <w:tcBorders>
              <w:tl2br w:val="nil"/>
              <w:tr2bl w:val="nil"/>
            </w:tcBorders>
            <w:shd w:val="clear" w:color="auto" w:fill="FFFFFF" w:themeFill="background1"/>
            <w:vAlign w:val="center"/>
          </w:tcPr>
          <w:p>
            <w:pPr>
              <w:jc w:val="center"/>
              <w:rPr>
                <w:rFonts w:hint="eastAsia" w:ascii="宋体" w:hAnsi="宋体" w:eastAsia="宋体" w:cs="宋体"/>
                <w:b/>
                <w:bCs/>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90" w:type="dxa"/>
            <w:gridSpan w:val="5"/>
            <w:tcBorders>
              <w:tl2br w:val="nil"/>
              <w:tr2bl w:val="nil"/>
            </w:tcBorders>
            <w:shd w:val="clear" w:color="auto" w:fill="FF0000"/>
            <w:vAlign w:val="center"/>
          </w:tcPr>
          <w:p>
            <w:pPr>
              <w:jc w:val="center"/>
              <w:rPr>
                <w:rFonts w:hint="eastAsia" w:ascii="宋体" w:hAnsi="宋体" w:eastAsia="宋体" w:cs="宋体"/>
                <w:i w:val="0"/>
                <w:iCs w:val="0"/>
                <w:color w:val="000000"/>
                <w:sz w:val="22"/>
                <w:szCs w:val="22"/>
                <w:u w:val="none"/>
              </w:rPr>
            </w:pPr>
            <w:r>
              <w:rPr>
                <w:rFonts w:hint="eastAsia" w:cs="宋体"/>
                <w:b/>
                <w:bCs/>
                <w:i w:val="0"/>
                <w:iCs w:val="0"/>
                <w:color w:val="000000"/>
                <w:kern w:val="0"/>
                <w:sz w:val="28"/>
                <w:szCs w:val="28"/>
                <w:u w:val="none"/>
                <w:lang w:val="en-US" w:eastAsia="zh-CN" w:bidi="ar"/>
              </w:rPr>
              <w:t>2.</w:t>
            </w:r>
            <w:r>
              <w:rPr>
                <w:rFonts w:hint="eastAsia" w:ascii="宋体" w:hAnsi="宋体" w:eastAsia="宋体" w:cs="宋体"/>
                <w:b/>
                <w:bCs/>
                <w:i w:val="0"/>
                <w:iCs w:val="0"/>
                <w:color w:val="000000"/>
                <w:kern w:val="0"/>
                <w:sz w:val="28"/>
                <w:szCs w:val="28"/>
                <w:u w:val="none"/>
                <w:lang w:val="en-US" w:eastAsia="zh-CN" w:bidi="ar"/>
              </w:rPr>
              <w:t>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83" w:hRule="atLeast"/>
        </w:trPr>
        <w:tc>
          <w:tcPr>
            <w:tcW w:w="1530" w:type="dxa"/>
            <w:tcBorders>
              <w:tl2br w:val="nil"/>
              <w:tr2bl w:val="nil"/>
            </w:tcBorders>
            <w:shd w:val="clear" w:color="auto" w:fill="FFFFFF" w:themeFill="background1"/>
            <w:noWrap/>
            <w:vAlign w:val="center"/>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sz w:val="22"/>
                <w:szCs w:val="22"/>
                <w:u w:val="none"/>
                <w:lang w:val="en-US" w:eastAsia="zh-CN" w:bidi="zh-CN"/>
              </w:rPr>
            </w:pPr>
            <w:r>
              <w:rPr>
                <w:rFonts w:hint="eastAsia" w:ascii="宋体" w:hAnsi="宋体" w:eastAsia="宋体" w:cs="宋体"/>
                <w:i w:val="0"/>
                <w:iCs w:val="0"/>
                <w:color w:val="000000"/>
                <w:kern w:val="0"/>
                <w:sz w:val="21"/>
                <w:szCs w:val="21"/>
                <w:u w:val="none"/>
                <w:lang w:val="en-US" w:eastAsia="zh-CN" w:bidi="ar"/>
              </w:rPr>
              <w:t>交互智能平板</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微软雅黑" w:hAnsi="微软雅黑" w:eastAsia="微软雅黑" w:cs="微软雅黑"/>
                <w:i w:val="0"/>
                <w:iCs w:val="0"/>
                <w:color w:val="000000"/>
                <w:sz w:val="22"/>
                <w:szCs w:val="22"/>
                <w:u w:val="none"/>
                <w:lang w:val="zh-CN" w:eastAsia="zh-CN" w:bidi="zh-CN"/>
              </w:rPr>
            </w:pPr>
            <w:r>
              <w:rPr>
                <w:rFonts w:hint="eastAsia" w:ascii="宋体" w:hAnsi="宋体" w:eastAsia="宋体" w:cs="宋体"/>
                <w:i w:val="0"/>
                <w:iCs w:val="0"/>
                <w:color w:val="000000"/>
                <w:kern w:val="0"/>
                <w:sz w:val="21"/>
                <w:szCs w:val="21"/>
                <w:u w:val="none"/>
                <w:lang w:val="en-US" w:eastAsia="zh-CN" w:bidi="ar"/>
              </w:rPr>
              <w:t>1.尺寸不低于86寸，背光类型为D-LED；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2.屏幕分辨率≥3840×2160；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3.色彩度检测满足10bit；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4.内置双腔六驱大音响，内置≥8颗麦克风阵列；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5.前置多功能物理按键，支持一键回到主页、一键亮熄屏、一键整机开关机；</w:t>
            </w:r>
            <w:r>
              <w:rPr>
                <w:rFonts w:hint="eastAsia" w:ascii="宋体" w:hAnsi="宋体" w:eastAsia="宋体" w:cs="宋体"/>
                <w:i w:val="0"/>
                <w:iCs w:val="0"/>
                <w:color w:val="000000"/>
                <w:kern w:val="0"/>
                <w:sz w:val="21"/>
                <w:szCs w:val="21"/>
                <w:u w:val="none"/>
                <w:lang w:val="en-US" w:eastAsia="zh-CN" w:bidi="ar"/>
              </w:rPr>
              <w:br w:type="textWrapping"/>
            </w:r>
            <w:r>
              <w:rPr>
                <w:rFonts w:hint="eastAsia"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4K超清摄像，120°超大广角取景，会议全景一览无余；（提供官网截图和链接）</w:t>
            </w:r>
            <w:r>
              <w:rPr>
                <w:rFonts w:hint="eastAsia" w:ascii="宋体" w:hAnsi="宋体" w:eastAsia="宋体" w:cs="宋体"/>
                <w:i w:val="0"/>
                <w:iCs w:val="0"/>
                <w:color w:val="000000"/>
                <w:kern w:val="0"/>
                <w:sz w:val="21"/>
                <w:szCs w:val="21"/>
                <w:u w:val="none"/>
                <w:lang w:val="en-US" w:eastAsia="zh-CN" w:bidi="ar"/>
              </w:rPr>
              <w:br w:type="textWrapping"/>
            </w:r>
            <w:r>
              <w:rPr>
                <w:rFonts w:hint="eastAsia"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全贴合制作工艺，无折射无视差，画面效果倍增，书写流畅无悬浮感；（提供官网截图和链接）</w:t>
            </w:r>
            <w:r>
              <w:rPr>
                <w:rFonts w:hint="eastAsia" w:ascii="宋体" w:hAnsi="宋体" w:eastAsia="宋体" w:cs="宋体"/>
                <w:i w:val="0"/>
                <w:iCs w:val="0"/>
                <w:color w:val="000000"/>
                <w:kern w:val="0"/>
                <w:sz w:val="21"/>
                <w:szCs w:val="21"/>
                <w:u w:val="none"/>
                <w:lang w:val="en-US" w:eastAsia="zh-CN" w:bidi="ar"/>
              </w:rPr>
              <w:br w:type="textWrapping"/>
            </w:r>
            <w:r>
              <w:rPr>
                <w:rFonts w:hint="eastAsia"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支持自动取景，智能调节，呈现所有参会者；支持智能拾音，发言人AI跟踪功能，发言人时刻C位上镜；（提供官网截图和链接）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★支持多级触控：4级面积识别，1mm书写精度，支持20点触控；（提供官网截图和链接）</w:t>
            </w:r>
            <w:r>
              <w:rPr>
                <w:rFonts w:hint="eastAsia" w:ascii="宋体" w:hAnsi="宋体" w:eastAsia="宋体" w:cs="宋体"/>
                <w:i w:val="0"/>
                <w:iCs w:val="0"/>
                <w:color w:val="000000"/>
                <w:kern w:val="0"/>
                <w:sz w:val="21"/>
                <w:szCs w:val="21"/>
                <w:u w:val="none"/>
                <w:lang w:val="en-US" w:eastAsia="zh-CN" w:bidi="ar"/>
              </w:rPr>
              <w:br w:type="textWrapping"/>
            </w:r>
            <w:r>
              <w:rPr>
                <w:rFonts w:hint="eastAsia" w:cs="宋体"/>
                <w:i w:val="0"/>
                <w:iCs w:val="0"/>
                <w:color w:val="000000"/>
                <w:kern w:val="0"/>
                <w:sz w:val="21"/>
                <w:szCs w:val="21"/>
                <w:u w:val="none"/>
                <w:lang w:val="en-US" w:eastAsia="zh-CN" w:bidi="ar"/>
              </w:rPr>
              <w:t>9</w:t>
            </w:r>
            <w:r>
              <w:rPr>
                <w:rFonts w:hint="eastAsia" w:ascii="宋体" w:hAnsi="宋体" w:eastAsia="宋体" w:cs="宋体"/>
                <w:i w:val="0"/>
                <w:iCs w:val="0"/>
                <w:color w:val="000000"/>
                <w:kern w:val="0"/>
                <w:sz w:val="21"/>
                <w:szCs w:val="21"/>
                <w:u w:val="none"/>
                <w:lang w:val="en-US" w:eastAsia="zh-CN" w:bidi="ar"/>
              </w:rPr>
              <w:t>.开机画面自定义：支持开机动画、LOGO、屏保、欢迎页的个性化定制；</w:t>
            </w:r>
            <w:r>
              <w:rPr>
                <w:rFonts w:hint="eastAsia" w:ascii="宋体" w:hAnsi="宋体" w:eastAsia="宋体" w:cs="宋体"/>
                <w:i w:val="0"/>
                <w:iCs w:val="0"/>
                <w:color w:val="000000"/>
                <w:kern w:val="0"/>
                <w:sz w:val="21"/>
                <w:szCs w:val="21"/>
                <w:u w:val="none"/>
                <w:lang w:val="en-US" w:eastAsia="zh-CN" w:bidi="ar"/>
              </w:rPr>
              <w:br w:type="textWrapping"/>
            </w:r>
            <w:r>
              <w:rPr>
                <w:rFonts w:hint="eastAsia" w:cs="宋体"/>
                <w:i w:val="0"/>
                <w:iCs w:val="0"/>
                <w:color w:val="000000"/>
                <w:kern w:val="0"/>
                <w:sz w:val="21"/>
                <w:szCs w:val="21"/>
                <w:u w:val="none"/>
                <w:lang w:val="en-US" w:eastAsia="zh-CN" w:bidi="ar"/>
              </w:rPr>
              <w:t>10</w:t>
            </w:r>
            <w:r>
              <w:rPr>
                <w:rFonts w:hint="eastAsia" w:ascii="宋体" w:hAnsi="宋体" w:eastAsia="宋体" w:cs="宋体"/>
                <w:i w:val="0"/>
                <w:iCs w:val="0"/>
                <w:color w:val="000000"/>
                <w:kern w:val="0"/>
                <w:sz w:val="21"/>
                <w:szCs w:val="21"/>
                <w:u w:val="none"/>
                <w:lang w:val="en-US" w:eastAsia="zh-CN" w:bidi="ar"/>
              </w:rPr>
              <w:t>.支持超级任务栏，功能包括：结束会议，打开应用，任务视图，主页，设置，网络状态，时间/日历，触控精灵菜单入口；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★支持Wi-Fi 6传输，速度提升近3倍，更快更稳，会议画面流畅无卡顿；（提供官网截图和链接）</w:t>
            </w:r>
            <w:r>
              <w:rPr>
                <w:rFonts w:hint="eastAsia" w:ascii="宋体" w:hAnsi="宋体" w:eastAsia="宋体" w:cs="宋体"/>
                <w:i w:val="0"/>
                <w:iCs w:val="0"/>
                <w:color w:val="000000"/>
                <w:kern w:val="0"/>
                <w:sz w:val="21"/>
                <w:szCs w:val="21"/>
                <w:u w:val="none"/>
                <w:lang w:val="en-US" w:eastAsia="zh-CN" w:bidi="ar"/>
              </w:rPr>
              <w:br w:type="textWrapping"/>
            </w:r>
            <w:r>
              <w:rPr>
                <w:rFonts w:hint="eastAsia" w:cs="宋体"/>
                <w:i w:val="0"/>
                <w:iCs w:val="0"/>
                <w:color w:val="000000"/>
                <w:kern w:val="0"/>
                <w:sz w:val="21"/>
                <w:szCs w:val="21"/>
                <w:u w:val="none"/>
                <w:lang w:val="en-US" w:eastAsia="zh-CN" w:bidi="ar"/>
              </w:rPr>
              <w:t>11</w:t>
            </w:r>
            <w:r>
              <w:rPr>
                <w:rFonts w:hint="eastAsia" w:ascii="宋体" w:hAnsi="宋体" w:eastAsia="宋体" w:cs="宋体"/>
                <w:i w:val="0"/>
                <w:iCs w:val="0"/>
                <w:color w:val="000000"/>
                <w:kern w:val="0"/>
                <w:sz w:val="21"/>
                <w:szCs w:val="21"/>
                <w:u w:val="none"/>
                <w:lang w:val="en-US" w:eastAsia="zh-CN" w:bidi="ar"/>
              </w:rPr>
              <w:t>.可通手势调取中控菜单快速回到安卓系统，并支持通过中控菜单控制电脑开关、关闭Windows应用等；</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sz w:val="22"/>
                <w:szCs w:val="22"/>
                <w:u w:val="none"/>
                <w:lang w:val="zh-CN" w:eastAsia="zh-CN" w:bidi="zh-CN"/>
              </w:rPr>
            </w:pPr>
            <w:r>
              <w:rPr>
                <w:rFonts w:hint="eastAsia" w:ascii="宋体" w:hAnsi="宋体" w:eastAsia="宋体" w:cs="宋体"/>
                <w:i w:val="0"/>
                <w:iCs w:val="0"/>
                <w:color w:val="000000"/>
                <w:kern w:val="0"/>
                <w:sz w:val="21"/>
                <w:szCs w:val="21"/>
                <w:u w:val="none"/>
                <w:lang w:val="en-US" w:eastAsia="zh-CN" w:bidi="ar"/>
              </w:rPr>
              <w:t>PC模块</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微软雅黑" w:hAnsi="微软雅黑" w:eastAsia="微软雅黑" w:cs="微软雅黑"/>
                <w:i w:val="0"/>
                <w:iCs w:val="0"/>
                <w:color w:val="000000"/>
                <w:sz w:val="22"/>
                <w:szCs w:val="22"/>
                <w:u w:val="none"/>
                <w:lang w:val="zh-CN" w:eastAsia="zh-CN" w:bidi="zh-CN"/>
              </w:rPr>
            </w:pPr>
            <w:r>
              <w:rPr>
                <w:rFonts w:hint="eastAsia" w:ascii="宋体" w:hAnsi="宋体" w:eastAsia="宋体" w:cs="宋体"/>
                <w:i w:val="0"/>
                <w:iCs w:val="0"/>
                <w:color w:val="000000"/>
                <w:kern w:val="0"/>
                <w:sz w:val="21"/>
                <w:szCs w:val="21"/>
                <w:u w:val="none"/>
                <w:lang w:val="en-US" w:eastAsia="zh-CN" w:bidi="ar"/>
              </w:rPr>
              <w:t>Intel I7 8代处理器及以上，内存16G及以上，硬盘为SSD 256G或以上；</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sz w:val="22"/>
                <w:szCs w:val="22"/>
                <w:u w:val="none"/>
                <w:lang w:val="zh-CN" w:eastAsia="zh-CN" w:bidi="zh-CN"/>
              </w:rPr>
            </w:pPr>
            <w:r>
              <w:rPr>
                <w:rFonts w:hint="eastAsia" w:ascii="宋体" w:hAnsi="宋体" w:eastAsia="宋体" w:cs="宋体"/>
                <w:i w:val="0"/>
                <w:iCs w:val="0"/>
                <w:color w:val="000000"/>
                <w:kern w:val="0"/>
                <w:sz w:val="21"/>
                <w:szCs w:val="21"/>
                <w:u w:val="none"/>
                <w:lang w:val="en-US" w:eastAsia="zh-CN" w:bidi="ar"/>
              </w:rPr>
              <w:t>无线传屏器</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微软雅黑" w:hAnsi="微软雅黑" w:eastAsia="微软雅黑" w:cs="微软雅黑"/>
                <w:i w:val="0"/>
                <w:iCs w:val="0"/>
                <w:color w:val="000000"/>
                <w:sz w:val="22"/>
                <w:szCs w:val="22"/>
                <w:u w:val="none"/>
                <w:lang w:val="zh-CN" w:eastAsia="zh-CN" w:bidi="zh-CN"/>
              </w:rPr>
            </w:pPr>
            <w:r>
              <w:rPr>
                <w:rFonts w:hint="eastAsia" w:ascii="宋体" w:hAnsi="宋体" w:eastAsia="宋体" w:cs="宋体"/>
                <w:i w:val="0"/>
                <w:iCs w:val="0"/>
                <w:color w:val="000000"/>
                <w:kern w:val="0"/>
                <w:sz w:val="21"/>
                <w:szCs w:val="21"/>
                <w:u w:val="none"/>
                <w:lang w:val="en-US" w:eastAsia="zh-CN" w:bidi="ar"/>
              </w:rPr>
              <w:t>pc无线投屏、usb-A型</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sz w:val="22"/>
                <w:szCs w:val="22"/>
                <w:u w:val="none"/>
                <w:lang w:val="zh-CN" w:eastAsia="zh-CN" w:bidi="zh-CN"/>
              </w:rPr>
            </w:pPr>
            <w:r>
              <w:rPr>
                <w:rFonts w:hint="eastAsia" w:ascii="宋体" w:hAnsi="宋体" w:eastAsia="宋体" w:cs="宋体"/>
                <w:i w:val="0"/>
                <w:iCs w:val="0"/>
                <w:color w:val="000000"/>
                <w:kern w:val="0"/>
                <w:sz w:val="21"/>
                <w:szCs w:val="21"/>
                <w:u w:val="none"/>
                <w:lang w:val="en-US" w:eastAsia="zh-CN" w:bidi="ar"/>
              </w:rPr>
              <w:t>触控笔</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2</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个</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微软雅黑" w:hAnsi="微软雅黑" w:eastAsia="微软雅黑" w:cs="微软雅黑"/>
                <w:i w:val="0"/>
                <w:iCs w:val="0"/>
                <w:color w:val="000000"/>
                <w:sz w:val="22"/>
                <w:szCs w:val="22"/>
                <w:u w:val="none"/>
                <w:lang w:val="zh-CN" w:eastAsia="zh-CN" w:bidi="zh-CN"/>
              </w:rPr>
            </w:pPr>
            <w:r>
              <w:rPr>
                <w:rFonts w:hint="eastAsia" w:ascii="宋体" w:hAnsi="宋体" w:eastAsia="宋体" w:cs="宋体"/>
                <w:i w:val="0"/>
                <w:iCs w:val="0"/>
                <w:color w:val="auto"/>
                <w:kern w:val="0"/>
                <w:sz w:val="20"/>
                <w:szCs w:val="20"/>
                <w:u w:val="none"/>
                <w:lang w:val="en-US" w:eastAsia="zh-CN" w:bidi="ar"/>
              </w:rPr>
              <w:t>金属笔身，白板书写专用</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90" w:type="dxa"/>
            <w:gridSpan w:val="5"/>
            <w:tcBorders>
              <w:tl2br w:val="nil"/>
              <w:tr2bl w:val="nil"/>
            </w:tcBorders>
            <w:shd w:val="clear" w:color="auto" w:fill="FF0000"/>
            <w:vAlign w:val="center"/>
          </w:tcPr>
          <w:p>
            <w:pPr>
              <w:jc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8"/>
                <w:szCs w:val="28"/>
                <w:u w:val="none"/>
                <w:lang w:val="en-US" w:eastAsia="zh-CN" w:bidi="ar"/>
              </w:rPr>
              <w:t>3</w:t>
            </w:r>
            <w:r>
              <w:rPr>
                <w:rFonts w:hint="eastAsia" w:ascii="宋体" w:hAnsi="宋体" w:eastAsia="宋体" w:cs="宋体"/>
                <w:b/>
                <w:bCs/>
                <w:i w:val="0"/>
                <w:iCs w:val="0"/>
                <w:color w:val="000000"/>
                <w:kern w:val="0"/>
                <w:sz w:val="28"/>
                <w:szCs w:val="28"/>
                <w:u w:val="none"/>
                <w:lang w:val="en-US" w:eastAsia="zh-CN" w:bidi="ar"/>
              </w:rPr>
              <w:t>.数字会议系统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会议主机</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auto"/>
                <w:sz w:val="20"/>
                <w:szCs w:val="20"/>
                <w:u w:val="none"/>
                <w:lang w:val="zh-CN" w:eastAsia="zh-CN" w:bidi="zh-CN"/>
              </w:rPr>
            </w:pPr>
            <w:r>
              <w:rPr>
                <w:rFonts w:hint="eastAsia" w:ascii="宋体" w:hAnsi="宋体" w:eastAsia="宋体" w:cs="宋体"/>
                <w:i w:val="0"/>
                <w:iCs w:val="0"/>
                <w:color w:val="auto"/>
                <w:kern w:val="0"/>
                <w:sz w:val="20"/>
                <w:szCs w:val="20"/>
                <w:u w:val="none"/>
                <w:lang w:val="en-US" w:eastAsia="zh-CN" w:bidi="ar"/>
              </w:rPr>
              <w:t>1.机箱采用标准2U设计，显示采用3.2寸彩色显示屏；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2.支持先入先出模式.后入后出模式.限制模式.电脑/主席允许模式.自由讨论模式；</w:t>
            </w:r>
            <w:r>
              <w:rPr>
                <w:rFonts w:hint="eastAsia" w:ascii="宋体" w:hAnsi="宋体" w:eastAsia="宋体" w:cs="宋体"/>
                <w:i w:val="0"/>
                <w:iCs w:val="0"/>
                <w:color w:val="auto"/>
                <w:kern w:val="0"/>
                <w:sz w:val="20"/>
                <w:szCs w:val="20"/>
                <w:u w:val="none"/>
                <w:lang w:val="en-US" w:eastAsia="zh-CN" w:bidi="ar"/>
              </w:rPr>
              <w:br w:type="textWrapping"/>
            </w:r>
            <w:r>
              <w:rPr>
                <w:rStyle w:val="28"/>
                <w:color w:val="auto"/>
                <w:lang w:val="en-US" w:eastAsia="zh-CN" w:bidi="ar"/>
              </w:rPr>
              <w:t>3.配有四进一出视频矩阵，可直接控制最多三个摄像球，完成视频会议功能；（提供第三方CNAS检测报告扫描件并加盖原厂公章证明）</w:t>
            </w:r>
            <w:r>
              <w:rPr>
                <w:rStyle w:val="28"/>
                <w:color w:val="auto"/>
                <w:lang w:val="en-US" w:eastAsia="zh-CN" w:bidi="ar"/>
              </w:rPr>
              <w:br w:type="textWrapping"/>
            </w:r>
            <w:r>
              <w:rPr>
                <w:rStyle w:val="28"/>
                <w:color w:val="auto"/>
                <w:lang w:val="en-US" w:eastAsia="zh-CN" w:bidi="ar"/>
              </w:rPr>
              <w:t>4.多种输入输出接口主输入.卡座输入和前置输出.辅助输出及录音输出接口；（提供第三方CNAS检测报告扫描件并加盖原厂公章证明）</w:t>
            </w:r>
            <w:r>
              <w:rPr>
                <w:rStyle w:val="28"/>
                <w:color w:val="auto"/>
                <w:lang w:val="en-US" w:eastAsia="zh-CN" w:bidi="ar"/>
              </w:rPr>
              <w:br w:type="textWrapping"/>
            </w:r>
            <w:r>
              <w:rPr>
                <w:rFonts w:hint="eastAsia" w:ascii="宋体" w:hAnsi="宋体" w:eastAsia="宋体" w:cs="宋体"/>
                <w:i w:val="0"/>
                <w:iCs w:val="0"/>
                <w:color w:val="auto"/>
                <w:kern w:val="0"/>
                <w:sz w:val="20"/>
                <w:szCs w:val="20"/>
                <w:u w:val="none"/>
                <w:lang w:val="en-US" w:eastAsia="zh-CN" w:bidi="ar"/>
              </w:rPr>
              <w:t>5.带有RS232接口，可以连接电脑或中央控制系统；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6.带有RS232视频控制输出口，可以直接输出Pelco-P.Pelco-D.VISCA控制协议，控制最大3个摄像机，完成摄像自动跟踪；</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7.可以配合专用的会议主机跟踪连接器，直接控制高清视频切换矩阵，完成高清视频自动切换；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8.内置DSP自适应音频处理器,可以最大可能的抑制声回输；</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9.供给讨论单元使用，其输出电压为24伏直流电源，属安全电压范围，确保与会者的使用安全；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10.功耗标准&lt;120W；</w:t>
            </w:r>
            <w:r>
              <w:rPr>
                <w:rFonts w:hint="eastAsia" w:ascii="宋体" w:hAnsi="宋体" w:eastAsia="宋体" w:cs="宋体"/>
                <w:i w:val="0"/>
                <w:iCs w:val="0"/>
                <w:color w:val="auto"/>
                <w:kern w:val="0"/>
                <w:sz w:val="20"/>
                <w:szCs w:val="20"/>
                <w:u w:val="none"/>
                <w:lang w:val="en-US" w:eastAsia="zh-CN" w:bidi="ar"/>
              </w:rPr>
              <w:br w:type="textWrapping"/>
            </w:r>
            <w:r>
              <w:rPr>
                <w:rStyle w:val="28"/>
                <w:color w:val="auto"/>
                <w:lang w:val="en-US" w:eastAsia="zh-CN" w:bidi="ar"/>
              </w:rPr>
              <w:t>11.密码设定功能，主机要修改菜单设定，必须通过密码来进入，这样保证会议主机设定稳定可靠；（提供第三方CNAS检测报告扫描件并加盖原厂公章证明）</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12.信噪比&gt;80dB(A)；</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13.动态范围&gt;90dB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14.总谐波失真小于0.1%AT1KHz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15.通道串音&gt;80dB；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16.会议主机具有4路输出接口，其中每路可接20个，单台主机可接60个单元，通过扩展主机可达1000多台，最远线路长度可高达100米；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17.环境温.湿度要求-20～60℃/0-95%(无凝结)；</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18.供电：AC100V~240V50/60Hz,机内采用开关变压器，功率充足；</w:t>
            </w:r>
            <w:r>
              <w:rPr>
                <w:rFonts w:hint="eastAsia" w:ascii="宋体" w:hAnsi="宋体" w:eastAsia="宋体" w:cs="宋体"/>
                <w:i w:val="0"/>
                <w:iCs w:val="0"/>
                <w:color w:val="auto"/>
                <w:kern w:val="0"/>
                <w:sz w:val="20"/>
                <w:szCs w:val="20"/>
                <w:u w:val="none"/>
                <w:lang w:val="en-US" w:eastAsia="zh-CN" w:bidi="ar"/>
              </w:rPr>
              <w:br w:type="textWrapping"/>
            </w:r>
            <w:r>
              <w:rPr>
                <w:rStyle w:val="28"/>
                <w:color w:val="auto"/>
                <w:lang w:val="en-US" w:eastAsia="zh-CN" w:bidi="ar"/>
              </w:rPr>
              <w:t>★为保证会议系统的稳定性和售后服务及时性，要求：会议系统、扩声系统、无纸化系统、录播系统为同一品牌，需提供厂家的同一品牌证明。</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代表话筒</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9</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1.全铝面板嵌入式安装设计，高档耐用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2.稳固的带锁紧插拔式咪杆设计；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3.触摸开关设计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4.高灵敏度咪芯设计,拾音距离可达50cm；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5.完全防水，防水等级IP5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6.红色雾面指示灯设计，指示发言状态；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7.支持多支主席同时在线；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8.支持视像跟踪；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9.可以支持软件，并可以通过232接口与其他中央控制设备连接，实现集中控制；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10.先入先出发言模式与普通模式可选；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11.长距离传输对音质不会有任何影响；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12.“手拉手”连接，系统更可靠；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13.超强的抵手机干扰性；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14.拾音距离0-500mm；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15.音频频响40Hz-19KHz；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16.灵敏度-38dB±3dB；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17.信噪比-80dB；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18.非线性失真&lt;0.3%(1KHz)；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19.电源DC24V；</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主席话筒</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1.全铝面板嵌入式安装设计，高档耐用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2.稳固的带锁紧插拔式咪杆设计；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3.触摸开关设计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4.高灵敏度咪芯设计,拾音距离可达50cm；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5.完全防水，防水等级IP5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6.红色雾面指示灯设计，指示发言状态；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7.支持多支主席同时在线；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8.支持视像跟踪；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9.可以支持软件，并可以通过232接口与其他中央控制设备连接，实现集中控制；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10.先入先出发言模式与普通模式可选；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11.长距离传输对音质不会有任何影响；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12.“手拉手”连接，系统更可靠；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13.超强的抵手机干扰性；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14.拾音距离0-500mm；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15.音频频响40Hz-19KHz；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16.灵敏度-38dB±3dB；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17.信噪比-80dB；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18.非线性失真&lt;0.3%(1KHz)；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19.电源DC24V；</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有线会议系统主机20米延长线</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条</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1.有线数字会议主机20米延长线</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会议地插</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1.名称：八芯地插盒系列多功能模块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2.材质：金属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3.功能：八芯地插连接盒。</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90" w:type="dxa"/>
            <w:gridSpan w:val="5"/>
            <w:tcBorders>
              <w:tl2br w:val="nil"/>
              <w:tr2bl w:val="nil"/>
            </w:tcBorders>
            <w:shd w:val="clear" w:color="auto" w:fill="FF0000"/>
            <w:vAlign w:val="center"/>
          </w:tcPr>
          <w:p>
            <w:pPr>
              <w:jc w:val="center"/>
              <w:rPr>
                <w:rFonts w:hint="eastAsia" w:ascii="宋体" w:hAnsi="宋体" w:eastAsia="宋体" w:cs="宋体"/>
                <w:i w:val="0"/>
                <w:iCs w:val="0"/>
                <w:color w:val="000000"/>
                <w:sz w:val="22"/>
                <w:szCs w:val="22"/>
                <w:u w:val="none"/>
              </w:rPr>
            </w:pPr>
            <w:r>
              <w:rPr>
                <w:rFonts w:hint="eastAsia" w:cs="宋体"/>
                <w:b/>
                <w:bCs/>
                <w:i w:val="0"/>
                <w:iCs w:val="0"/>
                <w:color w:val="000000"/>
                <w:kern w:val="0"/>
                <w:sz w:val="28"/>
                <w:szCs w:val="28"/>
                <w:u w:val="none"/>
                <w:lang w:val="en-US" w:eastAsia="zh-CN" w:bidi="ar"/>
              </w:rPr>
              <w:t>4</w:t>
            </w:r>
            <w:r>
              <w:rPr>
                <w:rFonts w:hint="eastAsia" w:ascii="宋体" w:hAnsi="宋体" w:eastAsia="宋体" w:cs="宋体"/>
                <w:b/>
                <w:bCs/>
                <w:i w:val="0"/>
                <w:iCs w:val="0"/>
                <w:color w:val="000000"/>
                <w:kern w:val="0"/>
                <w:sz w:val="28"/>
                <w:szCs w:val="28"/>
                <w:u w:val="none"/>
                <w:lang w:val="en-US" w:eastAsia="zh-CN" w:bidi="ar"/>
              </w:rPr>
              <w:t>.专业扩声系统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专业音箱</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auto"/>
                <w:sz w:val="20"/>
                <w:szCs w:val="20"/>
                <w:u w:val="none"/>
                <w:lang w:val="zh-CN" w:eastAsia="zh-CN" w:bidi="zh-CN"/>
              </w:rPr>
            </w:pPr>
            <w:r>
              <w:rPr>
                <w:rFonts w:hint="eastAsia" w:ascii="宋体" w:hAnsi="宋体" w:eastAsia="宋体" w:cs="宋体"/>
                <w:i w:val="0"/>
                <w:iCs w:val="0"/>
                <w:color w:val="auto"/>
                <w:kern w:val="0"/>
                <w:sz w:val="20"/>
                <w:szCs w:val="20"/>
                <w:u w:val="none"/>
                <w:lang w:val="en-US" w:eastAsia="zh-CN" w:bidi="ar"/>
              </w:rPr>
              <w:t>1.额定功率 120W</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2.最大功率 240W</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3.额定阻抗 8Ω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4.高音单元 1*1.75” 振膜压缩单元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5.低音单元 1*8” 布边低音单元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6.覆盖角度 80°（水平）*50°（垂直）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7.灵敏度 94dB SPL</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8.频率响应 70Hz--20KHz（±3dB）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9.最大声压级 112dB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为确保投标人所投会议系统的售后服务。所投会议系统产品制造商须出具国家权威机构颁发的证明厂家售后服务符合国家标准的“售后服务评价体系五星级”证书并加盖公章，证书覆盖智慧化数字会议系统、专业扩声系统、录播系统字样。</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音箱支架</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10寸音箱支架</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专业功放</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2</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auto"/>
                <w:sz w:val="20"/>
                <w:szCs w:val="20"/>
                <w:u w:val="none"/>
                <w:lang w:val="zh-CN" w:eastAsia="zh-CN" w:bidi="zh-CN"/>
              </w:rPr>
            </w:pPr>
            <w:r>
              <w:rPr>
                <w:rFonts w:hint="eastAsia" w:ascii="宋体" w:hAnsi="宋体" w:eastAsia="宋体" w:cs="宋体"/>
                <w:i w:val="0"/>
                <w:iCs w:val="0"/>
                <w:color w:val="auto"/>
                <w:kern w:val="0"/>
                <w:sz w:val="20"/>
                <w:szCs w:val="20"/>
                <w:u w:val="none"/>
                <w:lang w:val="en-US" w:eastAsia="zh-CN" w:bidi="ar"/>
              </w:rPr>
              <w:t>1.输入类型：平衡卡农输入；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2.输入灵敏度：770mV；</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3.额定功率：2*200W；</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4.输出阻抗：8Ω/4Ω；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5.频率响应：20Hz-20KHz（1KHz/≤0.1％THD）；</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6.信噪比：&gt;92dB；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7.通道分离度：&gt;50dB；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8.输入模式：立体声、信号并联、输出桥接；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9.保护类型：开机延时、开机软启动、过流压缩，短路、过温、输入音量自动压缩；</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10.指示灯：电源、信号、削波、保护；</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11.输入电源：AC90V～240V  50Hz/60Hz；</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无线话筒【一拖</w:t>
            </w:r>
            <w:r>
              <w:rPr>
                <w:rFonts w:hint="eastAsia" w:cs="宋体"/>
                <w:i w:val="0"/>
                <w:iCs w:val="0"/>
                <w:color w:val="000000"/>
                <w:kern w:val="0"/>
                <w:sz w:val="20"/>
                <w:szCs w:val="20"/>
                <w:u w:val="none"/>
                <w:lang w:val="en-US" w:eastAsia="zh-CN" w:bidi="ar"/>
              </w:rPr>
              <w:t>四</w:t>
            </w:r>
            <w:r>
              <w:rPr>
                <w:rFonts w:hint="eastAsia" w:ascii="宋体" w:hAnsi="宋体" w:eastAsia="宋体" w:cs="宋体"/>
                <w:i w:val="0"/>
                <w:iCs w:val="0"/>
                <w:color w:val="000000"/>
                <w:kern w:val="0"/>
                <w:sz w:val="20"/>
                <w:szCs w:val="20"/>
                <w:u w:val="none"/>
                <w:lang w:val="en-US" w:eastAsia="zh-CN" w:bidi="ar"/>
              </w:rPr>
              <w:t>主机+手持话筒】</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cs="宋体"/>
                <w:i w:val="0"/>
                <w:iCs w:val="0"/>
                <w:color w:val="000000"/>
                <w:sz w:val="21"/>
                <w:szCs w:val="21"/>
                <w:u w:val="none"/>
                <w:lang w:val="en-US" w:eastAsia="zh-CN"/>
              </w:rPr>
            </w:pPr>
            <w:r>
              <w:rPr>
                <w:rFonts w:hint="eastAsia" w:cs="宋体"/>
                <w:i w:val="0"/>
                <w:iCs w:val="0"/>
                <w:color w:val="000000"/>
                <w:sz w:val="21"/>
                <w:szCs w:val="21"/>
                <w:u w:val="none"/>
                <w:lang w:val="en-US" w:eastAsia="zh-CN"/>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cs="宋体"/>
                <w:i w:val="0"/>
                <w:iCs w:val="0"/>
                <w:color w:val="000000"/>
                <w:kern w:val="0"/>
                <w:sz w:val="21"/>
                <w:szCs w:val="21"/>
                <w:u w:val="none"/>
                <w:lang w:val="en-US" w:eastAsia="zh-CN" w:bidi="ar"/>
              </w:rPr>
              <w:t>套</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auto"/>
                <w:sz w:val="20"/>
                <w:szCs w:val="20"/>
                <w:u w:val="none"/>
                <w:lang w:val="en-US" w:eastAsia="zh-CN" w:bidi="zh-CN"/>
              </w:rPr>
            </w:pPr>
            <w:r>
              <w:rPr>
                <w:rFonts w:hint="eastAsia" w:ascii="宋体" w:hAnsi="宋体" w:eastAsia="宋体" w:cs="宋体"/>
                <w:i w:val="0"/>
                <w:iCs w:val="0"/>
                <w:color w:val="auto"/>
                <w:kern w:val="0"/>
                <w:sz w:val="20"/>
                <w:szCs w:val="20"/>
                <w:u w:val="none"/>
                <w:lang w:val="en-US" w:eastAsia="zh-CN" w:bidi="ar"/>
              </w:rPr>
              <w:t>1.一拖四真分集，手持腰包任意配选；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2.分集接收器实现最佳接收有效距离150米；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3.采用红外对频与手动调频方式实现传送器无线同步；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4.超强叠机.无线接收距离远近可调；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5.频率可锁定控制功能按钮；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6.独特智能ID识别技术，实现多套同时分布使用；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7.具有平衡和非平衡音频输出，方便和各种音响设备连接；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8.发射机采用两节1.5V电池供电，电池使用时间长，维护更方便；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9发射器采用50MHz频宽，方便各频率段互换，尤其是在KTV；</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10.发射机采用高强度合金材料制造，经久耐用；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11.易读照明式液晶显示；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接收机参数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12.载波频率范围：600-900MHz；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13.震荡方式：PLL锁相环；</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14.可用带宽：每通道30MHz（一共60MHz）中频频率：第一中频：110MHz，第二中频：10.7MHz；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15.调制方式：FM调频；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16.信道数目：红外自动对频200信道；</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17.线接口：TNC座；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18.使用温度：-18℃到50℃；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19.显示方式：LCD；</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20.偏移度：45KHz；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21.灵敏度：-100dBm（40dBS/N）；</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22.动态范围：&gt;110dB；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23.杂散抑制：&gt;80dB；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24.音频响应：60Hz-17KHz；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25.音频输出：非平衡：+4dB（1.25v)/5KΩ；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26.综合信噪比：&lt;0.5%；</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27.平衡：+10dB（1.5v)/600Ω；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28.接收方式：二次变频超外差；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29.供电电流：250mA；</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调音台</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auto"/>
                <w:sz w:val="20"/>
                <w:szCs w:val="20"/>
                <w:u w:val="none"/>
                <w:lang w:val="zh-CN" w:eastAsia="zh-CN" w:bidi="zh-CN"/>
              </w:rPr>
            </w:pPr>
            <w:r>
              <w:rPr>
                <w:rFonts w:hint="eastAsia" w:ascii="宋体" w:hAnsi="宋体" w:eastAsia="宋体" w:cs="宋体"/>
                <w:i w:val="0"/>
                <w:iCs w:val="0"/>
                <w:color w:val="auto"/>
                <w:kern w:val="0"/>
                <w:sz w:val="20"/>
                <w:szCs w:val="20"/>
                <w:u w:val="none"/>
                <w:lang w:val="en-US" w:eastAsia="zh-CN" w:bidi="ar"/>
              </w:rPr>
              <w:t>1.8路通道输入高品质的话筒前置放大器和精确的均衡电路；</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2.两编组，60mm行程的推子（衰减器）；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3.+48V幻象供电开关选择；</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4.1组AUX辅助输出，1组FX发送，1路立体声返回；</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5.10段LED电平显示器，内置数码效果器效果器；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6.录音输出接口，PSU内置电源；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7.内置SD卡接口.USB接口MP3播放器。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8.频率范围：20Hz-20KHz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9.信噪比： &gt;90dB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10.分离度：&gt;80dB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11.高音：(+-15dB12KHz)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12.中音：(+-15dB2.5KHz)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13.低音：(+-15dB80Hz)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14.输入阻抗：40KΩ平衡/20KΩ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15.输出阻抗：200Ω平衡/100Ω不平衡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16.供电电源：220V/AC/50Hz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17.功耗：25W</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音频处理器</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auto"/>
                <w:sz w:val="20"/>
                <w:szCs w:val="20"/>
                <w:u w:val="none"/>
                <w:lang w:val="zh-CN" w:eastAsia="zh-CN" w:bidi="zh-CN"/>
              </w:rPr>
            </w:pPr>
            <w:r>
              <w:rPr>
                <w:rFonts w:hint="eastAsia" w:ascii="宋体" w:hAnsi="宋体" w:eastAsia="宋体" w:cs="宋体"/>
                <w:i w:val="0"/>
                <w:iCs w:val="0"/>
                <w:color w:val="auto"/>
                <w:kern w:val="0"/>
                <w:sz w:val="20"/>
                <w:szCs w:val="20"/>
                <w:u w:val="none"/>
                <w:lang w:val="en-US" w:eastAsia="zh-CN" w:bidi="ar"/>
              </w:rPr>
              <w:t>1.模拟输入通道：8，模拟输出通道：4；</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2.处理器:ADI SHARC 21489@450 MHz SIMD，DSP处理能力:400 MIPS，1.6 GFLOPS，采样率:48 kHz，± 100 ppm；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3.输入动态范围：110dB，输出动态范围：112dB；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4.处理模块为可配置式，根据需求自由更换；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5.提供8台设备同时在线操作；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6.内置一进一出的USB声卡，支持音乐播放、录制和软视频会议（如：ZOOM，腾讯会议，钉钉会议等）；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7.总线式AEC，尾长时间：512ms，收敛率：60dB/S, 回声消除幅度：60dB；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8.独立通道的AFC（反馈抑制），采用陷波式算法，传声增益提升幅度：10dB；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9.噪声抑制（ANS），信噪比提升18dB；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10.16段英式参量均衡，提供5种滤波器选择：Parametric,Lowshelf,Highshelf,Lowpass,Highpass；</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11.提供终端用户订制操作界面，最大支持30台设备同一个界面管理；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12.具有中央控制功能，可对系统中的电源、信号切换、环境控制、音频等整体控制，实现一键开启系统所需要的功能。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13.可提供自定义的用户操作界面，处理模块为可配置式，根据需求自由更换，提供8台设备同时在线操作；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12.总谐波失真(THD+N)不低于0.001% @1kHz，+4dBu；</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13.输入通道具备：输入增益3dB步长，16个档位，自适应回声消除(AEC)，噪声抑制(ANS),增益共享自动混音(AMC)、门限自动混音（Gate Mixer）,自动增益(AGC),闪避器(Ducker),噪声增益补偿器(ANC),每个通道16个点的自适应反馈抑制（AFC）；</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14.输出通道具备：12段PEQ,31段GEQ,分频器、延时器、限幅器,具有12*5矩阵，具有16组预设；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15.支持输入输出通道LINK和分组功能；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16.频率响应范围20～20kHz (±0.15dB)，THD+N:-94dB @17dBu；</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17.输入增益:0/3/6/9/12/15/18/21/24/27/30/33/36/39/42/45 dBu；</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18.幻象电源:+48V/10mA max，最大电平:+18dBu；</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19.内置USB声卡，（提供第三方CNAS检测报告扫描件并加盖原厂公章证明）</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20.每个通道应有8个点的自适应反馈抑制（AFC）；（提供第三方CNAS检测报告扫描件并加盖原厂公章证明）</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21.输入通道具备：8段PEQ ，且提供五种滤波器类型选择。（提供第三方CNAS检测报告扫描件并加盖原厂公章证明）</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音视频处理软件V1.0</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cs="宋体"/>
                <w:i w:val="0"/>
                <w:iCs w:val="0"/>
                <w:color w:val="000000"/>
                <w:kern w:val="0"/>
                <w:sz w:val="21"/>
                <w:szCs w:val="21"/>
                <w:u w:val="none"/>
                <w:lang w:val="en-US" w:eastAsia="zh-CN" w:bidi="ar"/>
              </w:rPr>
              <w:t>套</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1.具有电子压限器、高低通、参数均衡、延时、输通道声像平衡调节模块；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2.通道参数设置可快速拷贝；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3.各通道均设有多功能菜单，哑音和监听；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4.可设置快捷场景调用模式和场景存储；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5.内置DSP效果器；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6.支持有线网口调节；</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电源时序器</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auto"/>
                <w:sz w:val="20"/>
                <w:szCs w:val="20"/>
                <w:u w:val="none"/>
                <w:lang w:val="zh-CN" w:eastAsia="zh-CN" w:bidi="zh-CN"/>
              </w:rPr>
            </w:pPr>
            <w:r>
              <w:rPr>
                <w:rFonts w:hint="eastAsia" w:ascii="宋体" w:hAnsi="宋体" w:eastAsia="宋体" w:cs="宋体"/>
                <w:i w:val="0"/>
                <w:iCs w:val="0"/>
                <w:color w:val="auto"/>
                <w:kern w:val="0"/>
                <w:sz w:val="20"/>
                <w:szCs w:val="20"/>
                <w:u w:val="none"/>
                <w:lang w:val="en-US" w:eastAsia="zh-CN" w:bidi="ar"/>
              </w:rPr>
              <w:t>1.采用双面板+SMT表面贴片工艺，大电流继电器，高精度磷铜输出万能插座，具有环保认证和CE认证，确保产品超高品质。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2.8路电源时序控制，每路延时1秒，前面板配置两路辅助输出。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3.整机容量50A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4.进线采用符合CCC要求的国标6平方RVV软电缆，内部设计保留10%电流余量。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5.共提供8个插座输出，高精度磷铜铜片，万能插座适合各种插头。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6.MCU控制的智能化设计，具有标准RS232串口控制功能（标配485控制，选配232控制），可设置255个ID地址，最大可支持255台同时使用，适合于大规模集中控制。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7.配置数字LED电压指示表头。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8.每路输出配置单独控制开关。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9.配置外部开关控制和级联控口，IO/24V直流控制接口。</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10.面板材质：黑色拉丝铝面板。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11.外部控制:标准RS232串口控制，波特率：9600;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有不少于9个AC220V输出接口、不少于1个RJ45接口、不少于1个RS485接口、不少于2个USB接口、不少于1路数字信号输入、不少于1路数字信号输出、不少于1个空气开关、不少于1个旋钮和5个按键。（提供公安部检测报告复印件和官网截图并加盖原厂公章）</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抑制器</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auto"/>
                <w:sz w:val="20"/>
                <w:szCs w:val="20"/>
                <w:u w:val="none"/>
                <w:lang w:val="zh-CN" w:eastAsia="zh-CN" w:bidi="zh-CN"/>
              </w:rPr>
            </w:pPr>
            <w:r>
              <w:rPr>
                <w:rFonts w:hint="eastAsia" w:ascii="宋体" w:hAnsi="宋体" w:eastAsia="宋体" w:cs="宋体"/>
                <w:i w:val="0"/>
                <w:iCs w:val="0"/>
                <w:color w:val="auto"/>
                <w:kern w:val="0"/>
                <w:sz w:val="20"/>
                <w:szCs w:val="20"/>
                <w:u w:val="none"/>
                <w:lang w:val="en-US" w:eastAsia="zh-CN" w:bidi="ar"/>
              </w:rPr>
              <w:t>1.内置了专用高速浮点数字信号处理器和声学自适应反馈（AFC）抑制算法;</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2.内置10段均衡器、压限器、噪声门、高低通；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3.可完美消除掉烦人的自激啸叫声；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4.可连接电脑控制软件对处理器进行操作，简单方便，操作完毕可锁定参数；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5.自适应全频带反馈抑制，可无失真地完全消除掉自激啸叫声；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6.内置独特的动态噪音消除功能，有效过滤掉背景和系统电流噪音，从而提高信噪比和改善音质；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7.采用高品质电源，保证高保真的音质和有效抑制各种电源干扰；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接口功能：具备3路话筒输入接口，2路RCA立体声输入接口，1路光纤输入接口；具备6输出接口，其中有前置左右声道、后置左右声道、中置、超低音接口；具备1路RS232控制接口1路RJ45网络接口；（提供第三方CNAS检测报告扫描件并加盖原厂公章证明）</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9.支持自动扫频啸叫频点；（提供第三方CNAS检测报告扫描件并加盖原厂公章证明）</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10.支持面板旋钮及遥控器设置效果模式，支持效果场景的导入；（提供第三方CNAS检测报告扫描件并加盖原厂公章证明）</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11.频响：20Hz～20kHz；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12.噪声抑制比 ：6-18dB；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13.总谐波失真：&lt;0.1%@1KHz；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14.最大输入电平\输出电平：2Vpp；</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15.输出阻抗（平衡）：150Ω，输入阻抗（平衡）：4700Ω；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16.采样率：48Khz；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17.输入电压：AC220V  ±10%  50/60Hz；</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90" w:type="dxa"/>
            <w:gridSpan w:val="5"/>
            <w:tcBorders>
              <w:tl2br w:val="nil"/>
              <w:tr2bl w:val="nil"/>
            </w:tcBorders>
            <w:shd w:val="clear" w:color="auto" w:fill="FF0000"/>
            <w:vAlign w:val="center"/>
          </w:tcPr>
          <w:p>
            <w:pPr>
              <w:jc w:val="center"/>
              <w:rPr>
                <w:rFonts w:hint="eastAsia" w:ascii="宋体" w:hAnsi="宋体" w:eastAsia="宋体" w:cs="宋体"/>
                <w:i w:val="0"/>
                <w:iCs w:val="0"/>
                <w:color w:val="000000"/>
                <w:sz w:val="22"/>
                <w:szCs w:val="22"/>
                <w:u w:val="none"/>
              </w:rPr>
            </w:pPr>
            <w:r>
              <w:rPr>
                <w:rFonts w:hint="eastAsia" w:cs="宋体"/>
                <w:b/>
                <w:bCs/>
                <w:i w:val="0"/>
                <w:iCs w:val="0"/>
                <w:color w:val="000000"/>
                <w:kern w:val="0"/>
                <w:sz w:val="28"/>
                <w:szCs w:val="28"/>
                <w:u w:val="none"/>
                <w:lang w:val="en-US" w:eastAsia="zh-CN" w:bidi="ar"/>
              </w:rPr>
              <w:t>5</w:t>
            </w:r>
            <w:r>
              <w:rPr>
                <w:rFonts w:hint="eastAsia" w:ascii="宋体" w:hAnsi="宋体" w:eastAsia="宋体" w:cs="宋体"/>
                <w:b/>
                <w:bCs/>
                <w:i w:val="0"/>
                <w:iCs w:val="0"/>
                <w:color w:val="000000"/>
                <w:kern w:val="0"/>
                <w:sz w:val="28"/>
                <w:szCs w:val="28"/>
                <w:u w:val="none"/>
                <w:lang w:val="en-US" w:eastAsia="zh-CN" w:bidi="ar"/>
              </w:rPr>
              <w:t>.会议无纸化系统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无纸化会议控制主机</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auto"/>
                <w:sz w:val="20"/>
                <w:szCs w:val="20"/>
                <w:u w:val="none"/>
                <w:lang w:val="zh-CN" w:eastAsia="zh-CN" w:bidi="zh-CN"/>
              </w:rPr>
            </w:pPr>
            <w:r>
              <w:rPr>
                <w:rFonts w:hint="eastAsia" w:ascii="宋体" w:hAnsi="宋体" w:eastAsia="宋体" w:cs="宋体"/>
                <w:i w:val="0"/>
                <w:iCs w:val="0"/>
                <w:color w:val="auto"/>
                <w:kern w:val="0"/>
                <w:sz w:val="20"/>
                <w:szCs w:val="20"/>
                <w:u w:val="none"/>
                <w:lang w:val="en-US" w:eastAsia="zh-CN" w:bidi="ar"/>
              </w:rPr>
              <w:t>1.硬件配置：CPU:国产KX-Ｕ6780A  8核8线程，主频2.7G HZ；硬盘：1TB。；7寸液晶显示屏；内存：8G DDR4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服务器搭配智能无纸化后台会议管理软件。支持远程开启会议终端，关闭会议终端（即统一开机，统一关机），支持开启指定会议终端；支持控制前端屏统一上升，统一下降；支持控制信号与中控对接，实现中控系统控制无纸化升降器统一升降；负责会议文件的处理，支持对单个或多个会议进行文件进行管理和分发，提高会议系统会务信息交互传输、管理和信息安全备份的能力</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支持多会议管理：支持多个会议预设，预设多次会议信息；设置会议标语内容及背景图片；会议主题、主持人、会议秘书、会议时间、会议地点等；设置会议议程、会议议题、投票表决信息等。按照会议安排表可自动切换启用会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4.智能无纸化会议管理软件为发布、管理、自动保存为一体的智能化系统，会议结束支持本次会议归档保存，保存格式为：会议时间-会议名称命名，方便后期查看及查阅。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5.会议资料备份：后台可保存及删除该会议中议程和议题文件，以及批注信息。</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6.自带接口包括有1×VGA、1×HDMI、1×LAN 1000M、4×USB 2.0、1×232串口；</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7.可将会议智慧交互设备上显示的画面由智慧无纸化编解码器HDMI接口输出至外接显示设备上进行显示，（提供公安部检测报告复印件和官网截图并加盖原厂公章）</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8.可在会议智慧交互设备升降器式触摸屏上点击会议服务呼叫按钮，并将呼叫信息上传至智慧无纸化会议主机，（提供公安部检测报告复印件和官网截图并加盖原厂公章）</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9.可在会议智慧交互设备上选择输入赞成、反对或弃权的投票信息。（提供公安部检测报告复印件和官网截图并加盖原厂公章）</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10.可通过智慧无纸化会议主机输入系统通知信息后下发至会议智慧交互设备上，也可在会议智慧交互设备输入文字信息后上传至智慧无纸化会议主机（提供公安部检测报告复印件和官网截图并加盖原厂公章）。</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无纸化会议主机软件</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套</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配合无纸化服务器使用</w:t>
            </w:r>
          </w:p>
        </w:tc>
        <w:tc>
          <w:tcPr>
            <w:tcW w:w="720"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智慧升降器【15.6寸高清触摸屏+10.1寸辅屏+话筒升降器】</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r>
              <w:rPr>
                <w:rFonts w:hint="eastAsia" w:cs="宋体"/>
                <w:i w:val="0"/>
                <w:iCs w:val="0"/>
                <w:color w:val="auto"/>
                <w:sz w:val="21"/>
                <w:szCs w:val="21"/>
                <w:u w:val="none"/>
                <w:lang w:val="en-US" w:eastAsia="zh-CN"/>
              </w:rPr>
              <w:t>10</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cs="宋体"/>
                <w:i w:val="0"/>
                <w:iCs w:val="0"/>
                <w:color w:val="auto"/>
                <w:sz w:val="21"/>
                <w:szCs w:val="21"/>
                <w:u w:val="none"/>
                <w:lang w:val="en-US" w:eastAsia="zh-CN"/>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1.设备采用升降器和屏转轴式连接一体呈现，无背板连接，无螺丝外露，整体简洁，高贵大气，彰显尊贵品质；升降器与屏幕独立设计与运输（屏幕与升降器可拆分，FPC软排线连接），保证运输，维护安全便捷，也可独立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2.材质工艺：屏幕及升降器面板采用全铝合金外壳，整体CNC设计，精雕细琢一体成型，喷砂阳极氧化处理，产品颜色有拉丝黑/银 喷砂黑/银（可定制其它颜色）；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3.前置显示屏屏幕尺寸采用15.6英寸液晶屏，分辨率1920*1080P,屏幕视角为IPS全视角屏，显示比例16:9，亮度400流明，静态对比度6000：1；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4.后置显示屏屏幕尺寸10.1英寸,高清分辨率：1280*800，标准VGA，支持HDMI；尺寸（长*宽）224mm*127mm；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5.屏幕接口：为了避免多接口的故障率和接触不良导致不能工作，屏幕与升降器需采用一个高融合的FPC软排线高清接口来实现“屏幕供电”.“图像”.“数据”的整体传输；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6.触控显示屏整体尺寸（长*高*厚）：380mm*232mm*9mm(最薄处仅4.8mm)；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7.升降器面板尺寸不大于（长*高*厚）：553mm*73mm*5mm，箱体尺寸（长*高*厚）：537mm*68mm*720mm；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8.双净音滑轨，配合齿轮咬合升降，多点平衡升降系统；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9.升降器控制软件支持PC机安装，兼容常用操作系统，可统一控制也可以任意分组控制升降器上升.暂停.下降等运动状态；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10.升降器面板具备：上升.暂停.下降等；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11.控制方式支持手拉手232控制.遥控控制.手动控制；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12.升降器支持角度调整，仰角0-14°可调，保证显示器人体工程学最佳观看视角与触控角度；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12.话筒升降方式为咪杆式升降，下降过程中具备自动矫正话筒杆功能，外观精致简洁；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13.话筒升降器与屏幕升降器可以独立控制或统一控制上升.暂停.下降；</w:t>
            </w:r>
          </w:p>
        </w:tc>
        <w:tc>
          <w:tcPr>
            <w:tcW w:w="72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无纸化麒麟系统终端</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r>
              <w:rPr>
                <w:rFonts w:hint="eastAsia" w:cs="宋体"/>
                <w:i w:val="0"/>
                <w:iCs w:val="0"/>
                <w:color w:val="auto"/>
                <w:sz w:val="21"/>
                <w:szCs w:val="21"/>
                <w:u w:val="none"/>
                <w:lang w:val="en-US" w:eastAsia="zh-CN"/>
              </w:rPr>
              <w:t>10</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cs="宋体"/>
                <w:i w:val="0"/>
                <w:iCs w:val="0"/>
                <w:color w:val="auto"/>
                <w:sz w:val="21"/>
                <w:szCs w:val="21"/>
                <w:u w:val="none"/>
                <w:lang w:val="en-US" w:eastAsia="zh-CN"/>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终端配置及软件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1、主机硬件配置：CPU:国产KX-Ｕ6580  8核8线程，主频2.5G HZ;内存：4GB DDR3；硬盘：64G SSD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2、支持有线无线混合组网，支持跨网段运行。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3、支持跨平台运行，即：支持android终端 、麒麟终端混合组网运行，以实现升降端和后期扩展加入平板端实现无纸化会议功能。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铭牌显示功能、会议标语功能、会议信息功能、会议议程功能、会议议题功能：按会议进程及权限显示后台推送的会议议题，议题内文件支持word\ppt\excel等办公文件、会议签到、投票表决、交互式电子白板、信息交流功能、会议呼叫服务、接收后台软件推送的通知信息等会议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文件批注功能：参会人员在会议终端的触摸屏幕上对会议文件中的文档进行手写批注画圈或描线，方便在发言时讲解重点和对会议文件的修改提出自己的意见，支持手写、无线键盘、手写板书写多种形式，支持交互批注功能，在同一文件下，支持多人进行批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同屏广播功能：支持任何有同屏广播权限的会议终端一键同屏画面到其他会议终端与大屏幕；支持同屏广播状态PPT文件动态播放，保证PPT播放特效，支持同屏显示文档的放大缩小等显示特性，保证触控屏的触控功能；同屏广播信号支持静音发送，静音接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7、具有分组广播功能：支持多人同时发起同屏广播，可选择广播给指定的席位或者全部席位，与会者可自主选择观看广播画面。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8、具有异步浏览功能：支持任何有权限的会议终端一键切换远端主讲人同屏画面与本地终端画面，完成信号的自由交互，与会者可通过此功能查看操作、查看自己的文档等。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9、具有跟踪主讲功能：处在异步浏览状态的会议终端支持一键同步到主讲此时的任何画面并保持实时一致。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10、外接信号显示功能：配合无纸化多媒体编码器，支持外部HDMI/DVI信号同屏显示到会场内的无纸化终端和大屏幕；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11、临时文件功能：支持与会者外置U盘内任何文件一键广播到其他会议终端与大屏幕，支持会议文件分享给其他与会者。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12、支持一键切换到系统桌面，将系统桌面/其他软件的操作界面同屏显示到其它无纸化终端和大屏幕；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主席控制功能：主席功能有控制会议进程的权限，可：“启用统一签到；启用会议议题；发起及结束投票；选择同屏广播信号源（外接信号或与会者终端）同屏给所有参会终端及大屏投影；可结束同屏；结束会议；关闭会议系统等功能”。</w:t>
            </w:r>
          </w:p>
        </w:tc>
        <w:tc>
          <w:tcPr>
            <w:tcW w:w="72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中标麒麟软件</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r>
              <w:rPr>
                <w:rFonts w:hint="eastAsia" w:cs="宋体"/>
                <w:i w:val="0"/>
                <w:iCs w:val="0"/>
                <w:color w:val="auto"/>
                <w:sz w:val="21"/>
                <w:szCs w:val="21"/>
                <w:u w:val="none"/>
                <w:lang w:val="en-US" w:eastAsia="zh-CN"/>
              </w:rPr>
              <w:t>10</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cs="宋体"/>
                <w:i w:val="0"/>
                <w:iCs w:val="0"/>
                <w:color w:val="auto"/>
                <w:sz w:val="21"/>
                <w:szCs w:val="21"/>
                <w:u w:val="none"/>
                <w:lang w:val="en-US" w:eastAsia="zh-CN"/>
              </w:rPr>
              <w:t>套</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配合无纸化终端使用</w:t>
            </w:r>
          </w:p>
        </w:tc>
        <w:tc>
          <w:tcPr>
            <w:tcW w:w="720"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流媒体平台 编解码器</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cs="宋体"/>
                <w:i w:val="0"/>
                <w:iCs w:val="0"/>
                <w:color w:val="auto"/>
                <w:sz w:val="21"/>
                <w:szCs w:val="21"/>
                <w:u w:val="none"/>
                <w:lang w:val="en-US" w:eastAsia="zh-CN"/>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1、支持终端网络信号与HDMI、VGA及音频信号编解码转换，任何终端音频、视频可输出至矩阵、大屏幕、调音台。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2、支持外部HDMI信号与终端网络信号编解码转换，外部信号广播到到所有与会议终端同步显示。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3、同步信号跟踪功能，智能识别会场同屏广播信号，当会场有同屏广播信号时保持实时跟踪并同步输出到大屏，当会场无同屏广播信号时，大屏始终显示会议标语；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4、支持显示投票结果、会议标语、电子白板、与会终端同屏画面等</w:t>
            </w:r>
          </w:p>
        </w:tc>
        <w:tc>
          <w:tcPr>
            <w:tcW w:w="72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二层交换机（24口全千兆）</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17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二层交换机（24口全千兆）</w:t>
            </w:r>
          </w:p>
        </w:tc>
        <w:tc>
          <w:tcPr>
            <w:tcW w:w="720" w:type="dxa"/>
            <w:tcBorders>
              <w:tl2br w:val="nil"/>
              <w:tr2bl w:val="nil"/>
            </w:tcBorders>
            <w:shd w:val="clear" w:color="auto" w:fill="FFFFFF" w:themeFill="background1"/>
            <w:noWrap/>
            <w:vAlign w:val="center"/>
          </w:tcPr>
          <w:p>
            <w:pPr>
              <w:jc w:val="left"/>
              <w:rPr>
                <w:rFonts w:hint="eastAsia" w:ascii="宋体" w:hAnsi="宋体"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延长线</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条</w:t>
            </w:r>
          </w:p>
        </w:tc>
        <w:tc>
          <w:tcPr>
            <w:tcW w:w="117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20米延长线（一公一母）</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地插</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17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1.采用铝合金材料，防锈处理。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2.一进三出，采用100M 网络传输。</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90" w:type="dxa"/>
            <w:gridSpan w:val="5"/>
            <w:tcBorders>
              <w:tl2br w:val="nil"/>
              <w:tr2bl w:val="nil"/>
            </w:tcBorders>
            <w:shd w:val="clear" w:color="auto" w:fill="FF000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b/>
                <w:bCs/>
                <w:i w:val="0"/>
                <w:iCs w:val="0"/>
                <w:color w:val="000000"/>
                <w:kern w:val="0"/>
                <w:sz w:val="28"/>
                <w:szCs w:val="28"/>
                <w:u w:val="none"/>
                <w:lang w:val="en-US" w:eastAsia="zh-CN" w:bidi="ar"/>
              </w:rPr>
              <w:t>6.录制系统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录播主机</w:t>
            </w:r>
          </w:p>
        </w:tc>
        <w:tc>
          <w:tcPr>
            <w:tcW w:w="585" w:type="dxa"/>
            <w:tcBorders>
              <w:tl2br w:val="nil"/>
              <w:tr2bl w:val="nil"/>
            </w:tcBorders>
            <w:shd w:val="clear" w:color="auto" w:fill="FFFFFF" w:themeFill="background1"/>
            <w:vAlign w:val="center"/>
          </w:tcPr>
          <w:p>
            <w:pPr>
              <w:jc w:val="center"/>
              <w:rPr>
                <w:rFonts w:hint="default" w:ascii="宋体" w:hAnsi="宋体" w:eastAsia="宋体" w:cs="宋体"/>
                <w:b w:val="0"/>
                <w:bCs w:val="0"/>
                <w:i w:val="0"/>
                <w:iCs w:val="0"/>
                <w:color w:val="000000"/>
                <w:kern w:val="0"/>
                <w:sz w:val="20"/>
                <w:szCs w:val="20"/>
                <w:u w:val="none"/>
                <w:lang w:val="en-US" w:eastAsia="zh-CN" w:bidi="ar"/>
              </w:rPr>
            </w:pPr>
            <w:r>
              <w:rPr>
                <w:rFonts w:hint="eastAsia" w:cs="宋体"/>
                <w:b w:val="0"/>
                <w:bCs w:val="0"/>
                <w:i w:val="0"/>
                <w:iCs w:val="0"/>
                <w:color w:val="000000"/>
                <w:kern w:val="0"/>
                <w:sz w:val="20"/>
                <w:szCs w:val="20"/>
                <w:u w:val="none"/>
                <w:lang w:val="en-US" w:eastAsia="zh-CN" w:bidi="ar"/>
              </w:rPr>
              <w:t>1</w:t>
            </w:r>
          </w:p>
        </w:tc>
        <w:tc>
          <w:tcPr>
            <w:tcW w:w="825" w:type="dxa"/>
            <w:tcBorders>
              <w:tl2br w:val="nil"/>
              <w:tr2bl w:val="nil"/>
            </w:tcBorders>
            <w:shd w:val="clear" w:color="auto" w:fill="FFFFFF" w:themeFill="background1"/>
            <w:vAlign w:val="center"/>
          </w:tcPr>
          <w:p>
            <w:pPr>
              <w:jc w:val="center"/>
              <w:rPr>
                <w:rFonts w:hint="default" w:ascii="宋体" w:hAnsi="宋体" w:eastAsia="宋体" w:cs="宋体"/>
                <w:b w:val="0"/>
                <w:bCs w:val="0"/>
                <w:i w:val="0"/>
                <w:iCs w:val="0"/>
                <w:color w:val="000000"/>
                <w:kern w:val="0"/>
                <w:sz w:val="20"/>
                <w:szCs w:val="20"/>
                <w:u w:val="none"/>
                <w:lang w:val="en-US" w:eastAsia="zh-CN" w:bidi="ar"/>
              </w:rPr>
            </w:pPr>
            <w:r>
              <w:rPr>
                <w:rFonts w:hint="eastAsia" w:cs="宋体"/>
                <w:b w:val="0"/>
                <w:bCs w:val="0"/>
                <w:i w:val="0"/>
                <w:iCs w:val="0"/>
                <w:color w:val="000000"/>
                <w:kern w:val="0"/>
                <w:sz w:val="20"/>
                <w:szCs w:val="20"/>
                <w:u w:val="none"/>
                <w:lang w:val="en-US" w:eastAsia="zh-CN" w:bidi="ar"/>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1.采用标准型1U机箱，录播主机采用一体化嵌入式硬件设计，集成度极高；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2.视频输入接口:提供不低于4路HD SDI视频输入接口.2路HDMI输入，SDI输入支持：1080P@60Hz，HDMI输入支持：1920*1080@60Hz；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3.视频输出接口：提供不低于1路HDMI.1路VGA，其中VGA分辨率支持1920*1080@60Hz；HDMI分辨率支持1920*1080@60Hz；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4.音频编码：AAC-LC，1路3.5mm输入和1路3.5mm输出；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5.其他接口：RJ45网络接口：1个千兆网络接口；USB接口:3个，2个USB2.0;1个USB3.0；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录播主机支持本地和远程两种方式进行录播功能操作，本地录制控制，显示器直接录播主机，插入鼠标键盘即可实现导播操作，开机即录制界面，无需手动打开录制软件；远程方式使用B/S架构设计，远程操控无需安装任何软件和插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7.录制界面分为信号显示区，录播控制区和功能设置区，界面布局简洁清晰，提供良好的用户体验；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8.为便于操作，录制时系统提供PGM主播窗口和PVW预监窗口，PVW预监窗口中提供PTZ控制和预置位操作键，鼠标进入PVW窗口时即可显示，移出后自动隐藏；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9.系统至少可接入4路高清视频,2路HDMI信号，可根据使用习惯可自定义画面名称；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11.系统支持一键录制.暂停.直播功能，并单独显示录制和直播时长；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12.支持与跟踪系统对接，实现手动跟踪和自动跟踪；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13.系统录制至少支持MP4.FLV两种格式，支持电影模式和资源模式同步录制；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14.录播主机内置RTMP直播服务器，单台录播主机支持100路（1080P，2M码流，30帧）直播并发，并支持将直播流推送到第三方流媒体服务器；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15.系统支持H.264视频编码协议和ACC音频编码协议，录制码率支持512Kbps—60Mbps（可调），外网直播码率支持512Kbps—8Mbps（可调），帧率支持25 Fps.30 Fps.50 Fps.60Fps；支持音频输入检测和音量调整功能，并在系统界面中显示音量大小；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16.系统支持字幕功能，并支持字幕预设功能；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 系统支持课件预览功能；录播主机本机支持快速微课制作功能，可在课件中截取相关知识点，将其保存为微课，并对微课进行分类保存；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18.支持对录播主机进行IP网络设置和测试；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19.可在系统界面中快速将课件拷贝至U盘；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20.系统可实时对主机和软件运行状态进行监测，包括CPU.内存.硬盘空间等；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21.基于B/S架构，使用浏览器即可访问，无需安装任何插件和客户端；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22.远程导播系统支持自动课表，可预先设置录制任务的具体时间，系统按时自动完成录制，无需手工操作；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23.远程支持PTZ控制，提供至少四个预置位；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24.支持一键录制.暂停.直播功能，并单独显示录制和直播时长；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25.支持手动和自动导播切换；支持全屏.双分屏.画中画.三分屏.五分屏画面拼接操作，多分屏显示下支持快速自定义画面布局，同时支持淡入淡出等至少15种特效切换；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26.支持远程对视频编码.音频编码.录播主机网络IP进行设置；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27.支持字幕功能，并支持字幕预设功能，支持片头片尾.台标功能；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28.支持远程定时开关机.手动重启；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29.安全性控制：支持远程导播用户角色.权限.密码设置，可控制系统访问人数，录课状态与空闲状态下可分别支持不同的人数；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30.具备硬盘保护机制，硬盘剩余空间低于5%时，提示空间已满，支持一键格式化硬盘；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31.设备配有2个硬盘插槽，标配1块硬盘1TB，最大可接4TB硬盘；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32.工作电压：DC12V/5A（5.5*2.1*10mm）；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33.工作温度：-10℃-85℃（极限温度下工作2-3小时会导致死机），核心芯片配置一个散热装置；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34.工作湿度：85%RH以下；</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★为了所投录播系统的稳定性，生产厂家需提供CE（EMC LVD）证书复印件并加盖原厂公章。</w:t>
            </w:r>
          </w:p>
        </w:tc>
        <w:tc>
          <w:tcPr>
            <w:tcW w:w="720" w:type="dxa"/>
            <w:tcBorders>
              <w:tl2br w:val="nil"/>
              <w:tr2bl w:val="nil"/>
            </w:tcBorders>
            <w:shd w:val="clear" w:color="auto" w:fill="FFFFFF" w:themeFill="background1"/>
            <w:vAlign w:val="center"/>
          </w:tcPr>
          <w:p>
            <w:pPr>
              <w:jc w:val="center"/>
              <w:rPr>
                <w:rFonts w:hint="eastAsia" w:ascii="宋体" w:hAnsi="宋体" w:eastAsia="宋体" w:cs="宋体"/>
                <w:b/>
                <w:bCs/>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高清会议摄像机【高清60帧20倍变倍】</w:t>
            </w:r>
          </w:p>
        </w:tc>
        <w:tc>
          <w:tcPr>
            <w:tcW w:w="585" w:type="dxa"/>
            <w:tcBorders>
              <w:tl2br w:val="nil"/>
              <w:tr2bl w:val="nil"/>
            </w:tcBorders>
            <w:shd w:val="clear" w:color="auto" w:fill="FFFFFF" w:themeFill="background1"/>
            <w:vAlign w:val="center"/>
          </w:tcPr>
          <w:p>
            <w:pPr>
              <w:jc w:val="center"/>
              <w:rPr>
                <w:rFonts w:hint="default" w:ascii="宋体" w:hAnsi="宋体" w:eastAsia="宋体" w:cs="宋体"/>
                <w:b w:val="0"/>
                <w:bCs w:val="0"/>
                <w:i w:val="0"/>
                <w:iCs w:val="0"/>
                <w:color w:val="000000"/>
                <w:kern w:val="0"/>
                <w:sz w:val="20"/>
                <w:szCs w:val="20"/>
                <w:u w:val="none"/>
                <w:lang w:val="en-US" w:eastAsia="zh-CN" w:bidi="ar"/>
              </w:rPr>
            </w:pPr>
            <w:r>
              <w:rPr>
                <w:rFonts w:hint="eastAsia" w:cs="宋体"/>
                <w:b w:val="0"/>
                <w:bCs w:val="0"/>
                <w:i w:val="0"/>
                <w:iCs w:val="0"/>
                <w:color w:val="000000"/>
                <w:kern w:val="0"/>
                <w:sz w:val="20"/>
                <w:szCs w:val="20"/>
                <w:u w:val="none"/>
                <w:lang w:val="en-US" w:eastAsia="zh-CN" w:bidi="ar"/>
              </w:rPr>
              <w:t>2</w:t>
            </w:r>
          </w:p>
        </w:tc>
        <w:tc>
          <w:tcPr>
            <w:tcW w:w="825" w:type="dxa"/>
            <w:tcBorders>
              <w:tl2br w:val="nil"/>
              <w:tr2bl w:val="nil"/>
            </w:tcBorders>
            <w:shd w:val="clear" w:color="auto" w:fill="FFFFFF" w:themeFill="background1"/>
            <w:vAlign w:val="center"/>
          </w:tcPr>
          <w:p>
            <w:pPr>
              <w:jc w:val="center"/>
              <w:rPr>
                <w:rFonts w:hint="default" w:ascii="宋体" w:hAnsi="宋体" w:eastAsia="宋体" w:cs="宋体"/>
                <w:b w:val="0"/>
                <w:bCs w:val="0"/>
                <w:i w:val="0"/>
                <w:iCs w:val="0"/>
                <w:color w:val="000000"/>
                <w:kern w:val="0"/>
                <w:sz w:val="20"/>
                <w:szCs w:val="20"/>
                <w:u w:val="none"/>
                <w:lang w:val="en-US" w:eastAsia="zh-CN" w:bidi="ar"/>
              </w:rPr>
            </w:pPr>
            <w:r>
              <w:rPr>
                <w:rFonts w:hint="eastAsia" w:cs="宋体"/>
                <w:b w:val="0"/>
                <w:bCs w:val="0"/>
                <w:i w:val="0"/>
                <w:iCs w:val="0"/>
                <w:color w:val="000000"/>
                <w:kern w:val="0"/>
                <w:sz w:val="20"/>
                <w:szCs w:val="20"/>
                <w:u w:val="none"/>
                <w:lang w:val="en-US" w:eastAsia="zh-CN" w:bidi="ar"/>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1.像素：采用1/2.8英寸500万像素高品质CMOS传感器，最高支持1080P60，207万有效像素，水平亮度分解力1050电视线；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2.镜头：20倍光学变焦（可选12倍），10倍数字变焦，f＝5.5～110mm，超宽视角：3.3°-54.7°；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3.音视频接口：双声道3.5mm线性输入音频口，支持音频编码功能，标配3G-SDI.HDMI数字视频接口；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4.网络和控制：100M网口，H.265/H.264视频压缩，RTSP.RTMP.ONVIF.28181网络协议，VISCA/Pelco-D/Pelco-P控制协议，232和485控制接口；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5.视频格式：支持1080P60/50/30/25/59.94/29.97.1080I60/50/59.94.720P60/50/30/25/59.94/29.97等多种高清视频制式；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6.功能参数：2D和3D降噪，支持手动/自动/一键白平衡/ 3000K/ 4000K/5000K/6500K白平衡模式，支持亮度.色度.饱和度.对比度.锐度.黑白模式.伽马曲线视频调节功能，支持自动/手动聚焦.光圈.电子快门，背光补偿，宽动态等级可调；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7.云台参数：水平转动±170度，俯仰转动-30～+90度，水平控制速度0.1-100°/秒，俯仰控制速度0.1-45°/秒，预置位数量255个；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8.可选配红外/无线遥控器，OSD菜单，正.吊装设置，支持图像垂直和水平翻转；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9.功耗：12W(最大)</w:t>
            </w:r>
          </w:p>
        </w:tc>
        <w:tc>
          <w:tcPr>
            <w:tcW w:w="720" w:type="dxa"/>
            <w:tcBorders>
              <w:tl2br w:val="nil"/>
              <w:tr2bl w:val="nil"/>
            </w:tcBorders>
            <w:shd w:val="clear" w:color="auto" w:fill="FFFFFF" w:themeFill="background1"/>
            <w:vAlign w:val="center"/>
          </w:tcPr>
          <w:p>
            <w:pPr>
              <w:jc w:val="center"/>
              <w:rPr>
                <w:rFonts w:hint="eastAsia" w:ascii="宋体" w:hAnsi="宋体" w:eastAsia="宋体" w:cs="宋体"/>
                <w:b/>
                <w:bCs/>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90" w:type="dxa"/>
            <w:gridSpan w:val="5"/>
            <w:tcBorders>
              <w:tl2br w:val="nil"/>
              <w:tr2bl w:val="nil"/>
            </w:tcBorders>
            <w:shd w:val="clear" w:color="auto" w:fill="FF0000"/>
            <w:vAlign w:val="center"/>
          </w:tcPr>
          <w:p>
            <w:pPr>
              <w:jc w:val="center"/>
              <w:rPr>
                <w:rFonts w:hint="default" w:cs="宋体"/>
                <w:b/>
                <w:bCs/>
                <w:i w:val="0"/>
                <w:iCs w:val="0"/>
                <w:color w:val="000000"/>
                <w:kern w:val="0"/>
                <w:sz w:val="28"/>
                <w:szCs w:val="28"/>
                <w:u w:val="none"/>
                <w:lang w:val="en-US" w:eastAsia="zh-CN" w:bidi="ar"/>
              </w:rPr>
            </w:pPr>
            <w:r>
              <w:rPr>
                <w:rFonts w:hint="eastAsia" w:cs="宋体"/>
                <w:b/>
                <w:bCs/>
                <w:i w:val="0"/>
                <w:iCs w:val="0"/>
                <w:color w:val="000000"/>
                <w:kern w:val="0"/>
                <w:sz w:val="28"/>
                <w:szCs w:val="28"/>
                <w:u w:val="none"/>
                <w:lang w:val="en-US" w:eastAsia="zh-CN" w:bidi="ar"/>
              </w:rPr>
              <w:t>7</w:t>
            </w:r>
            <w:r>
              <w:rPr>
                <w:rFonts w:hint="eastAsia" w:ascii="宋体" w:hAnsi="宋体" w:eastAsia="宋体" w:cs="宋体"/>
                <w:b/>
                <w:bCs/>
                <w:i w:val="0"/>
                <w:iCs w:val="0"/>
                <w:color w:val="000000"/>
                <w:kern w:val="0"/>
                <w:sz w:val="28"/>
                <w:szCs w:val="28"/>
                <w:u w:val="none"/>
                <w:lang w:val="en-US" w:eastAsia="zh-CN" w:bidi="ar"/>
              </w:rPr>
              <w:t>.</w:t>
            </w:r>
            <w:r>
              <w:rPr>
                <w:rFonts w:hint="eastAsia" w:cs="宋体"/>
                <w:b/>
                <w:bCs/>
                <w:i w:val="0"/>
                <w:iCs w:val="0"/>
                <w:color w:val="000000"/>
                <w:kern w:val="0"/>
                <w:sz w:val="28"/>
                <w:szCs w:val="28"/>
                <w:u w:val="none"/>
                <w:lang w:val="en-US" w:eastAsia="zh-CN" w:bidi="ar"/>
              </w:rPr>
              <w:t>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jc w:val="center"/>
              <w:rPr>
                <w:rFonts w:hint="default" w:cs="宋体"/>
                <w:b w:val="0"/>
                <w:bCs w:val="0"/>
                <w:i w:val="0"/>
                <w:iCs w:val="0"/>
                <w:color w:val="000000"/>
                <w:kern w:val="0"/>
                <w:sz w:val="20"/>
                <w:szCs w:val="20"/>
                <w:u w:val="none"/>
                <w:lang w:val="en-US" w:eastAsia="zh-CN" w:bidi="ar"/>
              </w:rPr>
            </w:pPr>
            <w:r>
              <w:rPr>
                <w:rFonts w:hint="eastAsia" w:cs="宋体"/>
                <w:b w:val="0"/>
                <w:bCs w:val="0"/>
                <w:i w:val="0"/>
                <w:iCs w:val="0"/>
                <w:color w:val="000000"/>
                <w:kern w:val="0"/>
                <w:sz w:val="20"/>
                <w:szCs w:val="20"/>
                <w:u w:val="none"/>
                <w:lang w:val="en-US" w:eastAsia="zh-CN" w:bidi="ar"/>
              </w:rPr>
              <w:t>笔记本</w:t>
            </w:r>
          </w:p>
        </w:tc>
        <w:tc>
          <w:tcPr>
            <w:tcW w:w="585" w:type="dxa"/>
            <w:tcBorders>
              <w:tl2br w:val="nil"/>
              <w:tr2bl w:val="nil"/>
            </w:tcBorders>
            <w:shd w:val="clear" w:color="auto" w:fill="FFFFFF" w:themeFill="background1"/>
            <w:vAlign w:val="center"/>
          </w:tcPr>
          <w:p>
            <w:pPr>
              <w:jc w:val="center"/>
              <w:rPr>
                <w:rFonts w:hint="default" w:cs="宋体"/>
                <w:b w:val="0"/>
                <w:bCs w:val="0"/>
                <w:i w:val="0"/>
                <w:iCs w:val="0"/>
                <w:color w:val="000000"/>
                <w:kern w:val="0"/>
                <w:sz w:val="20"/>
                <w:szCs w:val="20"/>
                <w:u w:val="none"/>
                <w:lang w:val="en-US" w:eastAsia="zh-CN" w:bidi="ar"/>
              </w:rPr>
            </w:pPr>
            <w:r>
              <w:rPr>
                <w:rFonts w:hint="eastAsia" w:cs="宋体"/>
                <w:b w:val="0"/>
                <w:bCs w:val="0"/>
                <w:i w:val="0"/>
                <w:iCs w:val="0"/>
                <w:color w:val="000000"/>
                <w:kern w:val="0"/>
                <w:sz w:val="20"/>
                <w:szCs w:val="20"/>
                <w:u w:val="none"/>
                <w:lang w:val="en-US" w:eastAsia="zh-CN" w:bidi="ar"/>
              </w:rPr>
              <w:t>3</w:t>
            </w:r>
          </w:p>
        </w:tc>
        <w:tc>
          <w:tcPr>
            <w:tcW w:w="825" w:type="dxa"/>
            <w:tcBorders>
              <w:tl2br w:val="nil"/>
              <w:tr2bl w:val="nil"/>
            </w:tcBorders>
            <w:shd w:val="clear" w:color="auto" w:fill="FFFFFF" w:themeFill="background1"/>
            <w:vAlign w:val="center"/>
          </w:tcPr>
          <w:p>
            <w:pPr>
              <w:jc w:val="center"/>
              <w:rPr>
                <w:rFonts w:hint="default" w:cs="宋体"/>
                <w:b w:val="0"/>
                <w:bCs w:val="0"/>
                <w:i w:val="0"/>
                <w:iCs w:val="0"/>
                <w:color w:val="000000"/>
                <w:kern w:val="0"/>
                <w:sz w:val="20"/>
                <w:szCs w:val="20"/>
                <w:u w:val="none"/>
                <w:lang w:val="en-US" w:eastAsia="zh-CN" w:bidi="ar"/>
              </w:rPr>
            </w:pPr>
            <w:r>
              <w:rPr>
                <w:rFonts w:hint="eastAsia" w:cs="宋体"/>
                <w:b w:val="0"/>
                <w:bCs w:val="0"/>
                <w:i w:val="0"/>
                <w:iCs w:val="0"/>
                <w:color w:val="000000"/>
                <w:kern w:val="0"/>
                <w:sz w:val="20"/>
                <w:szCs w:val="20"/>
                <w:u w:val="none"/>
                <w:lang w:val="en-US" w:eastAsia="zh-CN" w:bidi="ar"/>
              </w:rPr>
              <w:t>台</w:t>
            </w:r>
          </w:p>
        </w:tc>
        <w:tc>
          <w:tcPr>
            <w:tcW w:w="11730" w:type="dxa"/>
            <w:tcBorders>
              <w:tl2br w:val="nil"/>
              <w:tr2bl w:val="nil"/>
            </w:tcBorders>
            <w:shd w:val="clear" w:color="auto" w:fill="FFFFFF" w:themeFill="background1"/>
            <w:vAlign w:val="center"/>
          </w:tcPr>
          <w:p>
            <w:pPr>
              <w:keepNext w:val="0"/>
              <w:keepLines w:val="0"/>
              <w:widowControl/>
              <w:suppressLineNumbers w:val="0"/>
              <w:ind w:left="0" w:leftChars="0" w:right="0" w:rightChars="0" w:firstLine="200" w:firstLineChars="100"/>
              <w:jc w:val="both"/>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M2 SSD256GB  最大可扩展1TBSSD硬盘，国产化系统和芯片</w:t>
            </w:r>
          </w:p>
        </w:tc>
        <w:tc>
          <w:tcPr>
            <w:tcW w:w="720" w:type="dxa"/>
            <w:tcBorders>
              <w:tl2br w:val="nil"/>
              <w:tr2bl w:val="nil"/>
            </w:tcBorders>
            <w:shd w:val="clear" w:color="auto" w:fill="FFFFFF" w:themeFill="background1"/>
            <w:vAlign w:val="center"/>
          </w:tcPr>
          <w:p>
            <w:pPr>
              <w:jc w:val="center"/>
              <w:rPr>
                <w:rFonts w:hint="eastAsia" w:cs="宋体"/>
                <w:b/>
                <w:bCs/>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90" w:type="dxa"/>
            <w:gridSpan w:val="5"/>
            <w:tcBorders>
              <w:tl2br w:val="nil"/>
              <w:tr2bl w:val="nil"/>
            </w:tcBorders>
            <w:shd w:val="clear" w:color="auto" w:fill="FF0000"/>
            <w:vAlign w:val="center"/>
          </w:tcPr>
          <w:p>
            <w:pPr>
              <w:jc w:val="center"/>
              <w:rPr>
                <w:rFonts w:hint="eastAsia" w:cs="宋体"/>
                <w:b/>
                <w:bCs/>
                <w:i w:val="0"/>
                <w:iCs w:val="0"/>
                <w:color w:val="000000"/>
                <w:kern w:val="0"/>
                <w:sz w:val="28"/>
                <w:szCs w:val="28"/>
                <w:u w:val="none"/>
                <w:lang w:val="en-US" w:eastAsia="zh-CN" w:bidi="ar"/>
              </w:rPr>
            </w:pPr>
            <w:r>
              <w:rPr>
                <w:rFonts w:hint="eastAsia" w:cs="宋体"/>
                <w:b/>
                <w:bCs/>
                <w:i w:val="0"/>
                <w:iCs w:val="0"/>
                <w:color w:val="000000"/>
                <w:kern w:val="0"/>
                <w:sz w:val="28"/>
                <w:szCs w:val="28"/>
                <w:u w:val="none"/>
                <w:lang w:val="en-US" w:eastAsia="zh-CN" w:bidi="ar"/>
              </w:rPr>
              <w:t>8.</w:t>
            </w:r>
            <w:r>
              <w:rPr>
                <w:rFonts w:hint="eastAsia" w:ascii="宋体" w:hAnsi="宋体" w:eastAsia="宋体" w:cs="宋体"/>
                <w:b/>
                <w:bCs/>
                <w:i w:val="0"/>
                <w:iCs w:val="0"/>
                <w:color w:val="000000"/>
                <w:kern w:val="0"/>
                <w:sz w:val="28"/>
                <w:szCs w:val="28"/>
                <w:u w:val="none"/>
                <w:lang w:val="en-US" w:eastAsia="zh-CN" w:bidi="ar"/>
              </w:rPr>
              <w:t>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拆除</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w:t>
            </w:r>
            <w:r>
              <w:rPr>
                <w:rFonts w:hint="eastAsia" w:cs="宋体"/>
                <w:i w:val="0"/>
                <w:iCs w:val="0"/>
                <w:color w:val="000000"/>
                <w:kern w:val="0"/>
                <w:sz w:val="21"/>
                <w:szCs w:val="21"/>
                <w:u w:val="none"/>
                <w:lang w:val="en-US" w:eastAsia="zh-CN" w:bidi="ar"/>
              </w:rPr>
              <w:t>90</w:t>
            </w:r>
          </w:p>
        </w:tc>
        <w:tc>
          <w:tcPr>
            <w:tcW w:w="82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11730" w:type="dxa"/>
            <w:tcBorders>
              <w:tl2br w:val="nil"/>
              <w:tr2bl w:val="nil"/>
            </w:tcBorders>
            <w:shd w:val="clear" w:color="auto" w:fill="FFFFFF" w:themeFill="background1"/>
            <w:noWrap/>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1.砌体名称:拆除原部分装饰</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窗帘盒制作</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3</w:t>
            </w:r>
          </w:p>
        </w:tc>
        <w:tc>
          <w:tcPr>
            <w:tcW w:w="82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730" w:type="dxa"/>
            <w:tcBorders>
              <w:tl2br w:val="nil"/>
              <w:tr2bl w:val="nil"/>
            </w:tcBorders>
            <w:shd w:val="clear" w:color="auto" w:fill="FFFFFF" w:themeFill="background1"/>
            <w:noWrap/>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1.窗帘盒材质、规格:成品电动木制窗帘盒</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遮光窗帘制作</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3</w:t>
            </w:r>
          </w:p>
        </w:tc>
        <w:tc>
          <w:tcPr>
            <w:tcW w:w="82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730" w:type="dxa"/>
            <w:tcBorders>
              <w:tl2br w:val="nil"/>
              <w:tr2bl w:val="nil"/>
            </w:tcBorders>
            <w:shd w:val="clear" w:color="auto" w:fill="FFFFFF" w:themeFill="background1"/>
            <w:noWrap/>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1.窗帘材质:遮光窗帘为质量完全符合国家或行业标准的全新产品、设计美观庄重、符合人大机关特点。电动窗帘盒及窗帘（1、电动窗帘能与会议中控系统完美结合。2、遮光窗帘环保、阻燃达到国家标准。）</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吸音板</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70</w:t>
            </w:r>
          </w:p>
        </w:tc>
        <w:tc>
          <w:tcPr>
            <w:tcW w:w="82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117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1、墙面工程包括但不限于：局部轻钢龙骨封墙、吸音面板墙面、吸音阻燃仿皮革墙围、木制装饰线、可收放折叠椅等。2、技术要求：A、木质吸音板（甲醛释放（mg/L） 0.4（标准要求≤1.5）甲醛零释放,符合国家环保要求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防火性能 GB8624-1997B1级（饰面和基材）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声学系数 降噪系数NRC=0.90,吸声级为Ⅰ级（依据GB/T16731-1997≤建筑吸声产品吸声性能分级））B、（材质：芯材是a级防火材料：玻璃纤维 饰面：人造皮或真皮【可做防火b1处理】 常用规格：1200*600*25mm/600*600*25mm（其他规格定做） 颜色：多重【根据色卡选择】  主要功能：装饰与吸音 阻燃级别：芯材A级，饰面可B1。</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及大屏包边</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30</w:t>
            </w:r>
          </w:p>
        </w:tc>
        <w:tc>
          <w:tcPr>
            <w:tcW w:w="82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173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不锈钢踢脚线腰线要求符合国家标准</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包暖气</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w:t>
            </w:r>
            <w:r>
              <w:rPr>
                <w:rFonts w:hint="eastAsia" w:cs="宋体"/>
                <w:i w:val="0"/>
                <w:iCs w:val="0"/>
                <w:color w:val="000000"/>
                <w:kern w:val="0"/>
                <w:sz w:val="21"/>
                <w:szCs w:val="21"/>
                <w:u w:val="none"/>
                <w:lang w:val="en-US" w:eastAsia="zh-CN" w:bidi="ar"/>
              </w:rPr>
              <w:t>0</w:t>
            </w:r>
          </w:p>
        </w:tc>
        <w:tc>
          <w:tcPr>
            <w:tcW w:w="82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1173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窗套包边</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22</w:t>
            </w:r>
          </w:p>
        </w:tc>
        <w:tc>
          <w:tcPr>
            <w:tcW w:w="82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173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强电电路敷设</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65</w:t>
            </w:r>
          </w:p>
        </w:tc>
        <w:tc>
          <w:tcPr>
            <w:tcW w:w="82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1173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灯购置安装</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73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木地板铺设</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190</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11730" w:type="dxa"/>
            <w:tcBorders>
              <w:tl2br w:val="nil"/>
              <w:tr2bl w:val="nil"/>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1、地面工程包括但不限于：地面基层（塑胶地面）、地面面层（多层实木或实木地板、地板地面局部找平、线槽恢复）、踢脚等。2、技术要求：地板（A、厚度公称厚度±0.2mmB、 长度：公称长度±0.5mmC、 宽度：公称宽度±0.2mmD、 直角度：≤0.15mmE、宽度瓦变：≤宽度的0.15%；长度翘曲：≤长度的0.5%F、 拼装离缝≤0.4mm G、高低差：≤0.25mmH、 配合间隙：0.15-0.25mm）。</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垃圾清运卫生保洁</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66</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1173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机房</w:t>
            </w:r>
          </w:p>
        </w:tc>
        <w:tc>
          <w:tcPr>
            <w:tcW w:w="5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73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15390" w:type="dxa"/>
            <w:gridSpan w:val="5"/>
            <w:tcBorders>
              <w:tl2br w:val="nil"/>
              <w:tr2bl w:val="nil"/>
            </w:tcBorders>
            <w:shd w:val="clear" w:color="auto" w:fill="FF0000"/>
            <w:vAlign w:val="center"/>
          </w:tcPr>
          <w:p>
            <w:pPr>
              <w:jc w:val="center"/>
              <w:rPr>
                <w:rFonts w:hint="eastAsia" w:ascii="宋体" w:hAnsi="宋体" w:eastAsia="宋体" w:cs="宋体"/>
                <w:i w:val="0"/>
                <w:iCs w:val="0"/>
                <w:color w:val="000000"/>
                <w:sz w:val="22"/>
                <w:szCs w:val="22"/>
                <w:u w:val="none"/>
              </w:rPr>
            </w:pPr>
            <w:r>
              <w:rPr>
                <w:rFonts w:hint="eastAsia" w:cs="宋体"/>
                <w:b/>
                <w:bCs/>
                <w:i w:val="0"/>
                <w:iCs w:val="0"/>
                <w:color w:val="000000"/>
                <w:kern w:val="0"/>
                <w:sz w:val="28"/>
                <w:szCs w:val="28"/>
                <w:u w:val="none"/>
                <w:lang w:val="en-US" w:eastAsia="zh-CN" w:bidi="ar"/>
              </w:rPr>
              <w:t>7</w:t>
            </w:r>
            <w:r>
              <w:rPr>
                <w:rFonts w:hint="eastAsia" w:ascii="宋体" w:hAnsi="宋体" w:eastAsia="宋体" w:cs="宋体"/>
                <w:b/>
                <w:bCs/>
                <w:i w:val="0"/>
                <w:iCs w:val="0"/>
                <w:color w:val="000000"/>
                <w:kern w:val="0"/>
                <w:sz w:val="28"/>
                <w:szCs w:val="28"/>
                <w:u w:val="none"/>
                <w:lang w:val="en-US" w:eastAsia="zh-CN" w:bidi="ar"/>
              </w:rPr>
              <w:t>.桌椅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745" w:hRule="atLeast"/>
        </w:trPr>
        <w:tc>
          <w:tcPr>
            <w:tcW w:w="153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会议桌</w:t>
            </w:r>
          </w:p>
        </w:tc>
        <w:tc>
          <w:tcPr>
            <w:tcW w:w="58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117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更具会议室面积合理规划会议桌尺寸（会议桌高度：不低于80厘米长度：约3.2米宽度：根据现场情况定）满足20人参会需要。所供产品必须符合国家行业质量检测标准；所供产品必须符合国家行业质量检测标准；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要求：A、会议桌：木质办公家具：基材采用E1级优质环保中密度板或优质实木插接板，优等品胡桃木木皮饰面，木皮厚度≥0.6mm；所有板件做到平整、无脱胶、表面无胶渍、麻点、坑洼；优质环保油漆，漆膜附着力达到1级，充分保证产品的具有较好耐磨、耐变温热性能。进口优质五金件（含铰链、锁具、三节无声滑轨等），抽屉可同时锁住及开启，且锁头灵活，锁定可靠。</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3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会议椅</w:t>
            </w:r>
          </w:p>
        </w:tc>
        <w:tc>
          <w:tcPr>
            <w:tcW w:w="58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cs="宋体"/>
                <w:i w:val="0"/>
                <w:iCs w:val="0"/>
                <w:color w:val="000000"/>
                <w:sz w:val="21"/>
                <w:szCs w:val="21"/>
                <w:u w:val="none"/>
                <w:lang w:val="en-US" w:eastAsia="zh-CN"/>
              </w:rPr>
              <w:t>18</w:t>
            </w:r>
          </w:p>
        </w:tc>
        <w:tc>
          <w:tcPr>
            <w:tcW w:w="82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7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会议椅：金属或木质件采用优质橡木框架或优质金属框架，符合人体工程学原理。台湾优质麻绒面料；海绵采用优质高回弹一次成型PU泡棉，座面密度≥35KG/m3,背密度≥30KG/m3,回弹力90%，涂防老化变形保护膜；</w:t>
            </w:r>
          </w:p>
        </w:tc>
        <w:tc>
          <w:tcPr>
            <w:tcW w:w="72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r>
    </w:tbl>
    <w:p>
      <w:pPr>
        <w:pStyle w:val="8"/>
        <w:tabs>
          <w:tab w:val="left" w:pos="738"/>
        </w:tabs>
        <w:outlineLvl w:val="9"/>
        <w:rPr>
          <w:rFonts w:hint="eastAsia"/>
          <w:lang w:eastAsia="zh-CN"/>
        </w:rPr>
        <w:sectPr>
          <w:pgSz w:w="16790" w:h="11850" w:orient="landscape"/>
          <w:pgMar w:top="1120" w:right="1360" w:bottom="840" w:left="1440" w:header="0" w:footer="1179" w:gutter="0"/>
          <w:pgBorders>
            <w:top w:val="none" w:sz="0" w:space="0"/>
            <w:left w:val="none" w:sz="0" w:space="0"/>
            <w:bottom w:val="none" w:sz="0" w:space="0"/>
            <w:right w:val="none" w:sz="0" w:space="0"/>
          </w:pgBorders>
          <w:pgNumType w:fmt="decimal"/>
          <w:cols w:space="720" w:num="1"/>
        </w:sectPr>
      </w:pPr>
    </w:p>
    <w:p/>
    <w:sectPr>
      <w:footerReference r:id="rId13" w:type="default"/>
      <w:pgSz w:w="11850" w:h="16790"/>
      <w:pgMar w:top="1380" w:right="840" w:bottom="1360" w:left="1120" w:header="0" w:footer="1179"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libri Light">
    <w:altName w:val="Segoe Print"/>
    <w:panose1 w:val="020F0302020204030204"/>
    <w:charset w:val="00"/>
    <w:family w:val="swiss"/>
    <w:pitch w:val="default"/>
    <w:sig w:usb0="00000000" w:usb1="00000000"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12"/>
      </w:rPr>
    </w:pPr>
    <w:r>
      <w:rPr>
        <w:sz w:val="1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12"/>
      </w:rPr>
    </w:pPr>
    <w:r>
      <w:rPr>
        <w:sz w:val="1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12"/>
      </w:rPr>
    </w:pPr>
    <w:r>
      <w:rPr>
        <w:sz w:val="1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1"/>
      <w:numFmt w:val="decimal"/>
      <w:lvlText w:val="%1"/>
      <w:lvlJc w:val="left"/>
      <w:pPr>
        <w:ind w:left="1400" w:hanging="701"/>
        <w:jc w:val="left"/>
      </w:pPr>
      <w:rPr>
        <w:rFonts w:hint="default"/>
        <w:lang w:val="zh-CN" w:eastAsia="zh-CN" w:bidi="zh-CN"/>
      </w:rPr>
    </w:lvl>
    <w:lvl w:ilvl="1" w:tentative="0">
      <w:start w:val="1"/>
      <w:numFmt w:val="decimal"/>
      <w:lvlText w:val="%1.%2"/>
      <w:lvlJc w:val="left"/>
      <w:pPr>
        <w:ind w:left="1400" w:hanging="701"/>
        <w:jc w:val="left"/>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219" w:hanging="982"/>
        <w:jc w:val="left"/>
      </w:pPr>
      <w:rPr>
        <w:rFonts w:hint="default" w:ascii="宋体" w:hAnsi="宋体" w:eastAsia="宋体" w:cs="宋体"/>
        <w:spacing w:val="-2"/>
        <w:w w:val="100"/>
        <w:sz w:val="28"/>
        <w:szCs w:val="28"/>
        <w:lang w:val="zh-CN" w:eastAsia="zh-CN" w:bidi="zh-CN"/>
      </w:rPr>
    </w:lvl>
    <w:lvl w:ilvl="3" w:tentative="0">
      <w:start w:val="0"/>
      <w:numFmt w:val="bullet"/>
      <w:lvlText w:val="•"/>
      <w:lvlJc w:val="left"/>
      <w:pPr>
        <w:ind w:left="3286" w:hanging="982"/>
      </w:pPr>
      <w:rPr>
        <w:rFonts w:hint="default"/>
        <w:lang w:val="zh-CN" w:eastAsia="zh-CN" w:bidi="zh-CN"/>
      </w:rPr>
    </w:lvl>
    <w:lvl w:ilvl="4" w:tentative="0">
      <w:start w:val="0"/>
      <w:numFmt w:val="bullet"/>
      <w:lvlText w:val="•"/>
      <w:lvlJc w:val="left"/>
      <w:pPr>
        <w:ind w:left="4230" w:hanging="982"/>
      </w:pPr>
      <w:rPr>
        <w:rFonts w:hint="default"/>
        <w:lang w:val="zh-CN" w:eastAsia="zh-CN" w:bidi="zh-CN"/>
      </w:rPr>
    </w:lvl>
    <w:lvl w:ilvl="5" w:tentative="0">
      <w:start w:val="0"/>
      <w:numFmt w:val="bullet"/>
      <w:lvlText w:val="•"/>
      <w:lvlJc w:val="left"/>
      <w:pPr>
        <w:ind w:left="5173" w:hanging="982"/>
      </w:pPr>
      <w:rPr>
        <w:rFonts w:hint="default"/>
        <w:lang w:val="zh-CN" w:eastAsia="zh-CN" w:bidi="zh-CN"/>
      </w:rPr>
    </w:lvl>
    <w:lvl w:ilvl="6" w:tentative="0">
      <w:start w:val="0"/>
      <w:numFmt w:val="bullet"/>
      <w:lvlText w:val="•"/>
      <w:lvlJc w:val="left"/>
      <w:pPr>
        <w:ind w:left="6116" w:hanging="982"/>
      </w:pPr>
      <w:rPr>
        <w:rFonts w:hint="default"/>
        <w:lang w:val="zh-CN" w:eastAsia="zh-CN" w:bidi="zh-CN"/>
      </w:rPr>
    </w:lvl>
    <w:lvl w:ilvl="7" w:tentative="0">
      <w:start w:val="0"/>
      <w:numFmt w:val="bullet"/>
      <w:lvlText w:val="•"/>
      <w:lvlJc w:val="left"/>
      <w:pPr>
        <w:ind w:left="7060" w:hanging="982"/>
      </w:pPr>
      <w:rPr>
        <w:rFonts w:hint="default"/>
        <w:lang w:val="zh-CN" w:eastAsia="zh-CN" w:bidi="zh-CN"/>
      </w:rPr>
    </w:lvl>
    <w:lvl w:ilvl="8" w:tentative="0">
      <w:start w:val="0"/>
      <w:numFmt w:val="bullet"/>
      <w:lvlText w:val="•"/>
      <w:lvlJc w:val="left"/>
      <w:pPr>
        <w:ind w:left="8003" w:hanging="982"/>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502"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219" w:hanging="562"/>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1543" w:hanging="562"/>
      </w:pPr>
      <w:rPr>
        <w:rFonts w:hint="default"/>
        <w:lang w:val="zh-CN" w:eastAsia="zh-CN" w:bidi="zh-CN"/>
      </w:rPr>
    </w:lvl>
    <w:lvl w:ilvl="3" w:tentative="0">
      <w:start w:val="0"/>
      <w:numFmt w:val="bullet"/>
      <w:lvlText w:val="•"/>
      <w:lvlJc w:val="left"/>
      <w:pPr>
        <w:ind w:left="2586" w:hanging="562"/>
      </w:pPr>
      <w:rPr>
        <w:rFonts w:hint="default"/>
        <w:lang w:val="zh-CN" w:eastAsia="zh-CN" w:bidi="zh-CN"/>
      </w:rPr>
    </w:lvl>
    <w:lvl w:ilvl="4" w:tentative="0">
      <w:start w:val="0"/>
      <w:numFmt w:val="bullet"/>
      <w:lvlText w:val="•"/>
      <w:lvlJc w:val="left"/>
      <w:pPr>
        <w:ind w:left="3630" w:hanging="562"/>
      </w:pPr>
      <w:rPr>
        <w:rFonts w:hint="default"/>
        <w:lang w:val="zh-CN" w:eastAsia="zh-CN" w:bidi="zh-CN"/>
      </w:rPr>
    </w:lvl>
    <w:lvl w:ilvl="5" w:tentative="0">
      <w:start w:val="0"/>
      <w:numFmt w:val="bullet"/>
      <w:lvlText w:val="•"/>
      <w:lvlJc w:val="left"/>
      <w:pPr>
        <w:ind w:left="4673" w:hanging="562"/>
      </w:pPr>
      <w:rPr>
        <w:rFonts w:hint="default"/>
        <w:lang w:val="zh-CN" w:eastAsia="zh-CN" w:bidi="zh-CN"/>
      </w:rPr>
    </w:lvl>
    <w:lvl w:ilvl="6" w:tentative="0">
      <w:start w:val="0"/>
      <w:numFmt w:val="bullet"/>
      <w:lvlText w:val="•"/>
      <w:lvlJc w:val="left"/>
      <w:pPr>
        <w:ind w:left="5716" w:hanging="562"/>
      </w:pPr>
      <w:rPr>
        <w:rFonts w:hint="default"/>
        <w:lang w:val="zh-CN" w:eastAsia="zh-CN" w:bidi="zh-CN"/>
      </w:rPr>
    </w:lvl>
    <w:lvl w:ilvl="7" w:tentative="0">
      <w:start w:val="0"/>
      <w:numFmt w:val="bullet"/>
      <w:lvlText w:val="•"/>
      <w:lvlJc w:val="left"/>
      <w:pPr>
        <w:ind w:left="6760" w:hanging="562"/>
      </w:pPr>
      <w:rPr>
        <w:rFonts w:hint="default"/>
        <w:lang w:val="zh-CN" w:eastAsia="zh-CN" w:bidi="zh-CN"/>
      </w:rPr>
    </w:lvl>
    <w:lvl w:ilvl="8" w:tentative="0">
      <w:start w:val="0"/>
      <w:numFmt w:val="bullet"/>
      <w:lvlText w:val="•"/>
      <w:lvlJc w:val="left"/>
      <w:pPr>
        <w:ind w:left="7803" w:hanging="562"/>
      </w:pPr>
      <w:rPr>
        <w:rFonts w:hint="default"/>
        <w:lang w:val="zh-CN" w:eastAsia="zh-CN" w:bidi="zh-CN"/>
      </w:rPr>
    </w:lvl>
  </w:abstractNum>
  <w:abstractNum w:abstractNumId="2">
    <w:nsid w:val="91995D4F"/>
    <w:multiLevelType w:val="multilevel"/>
    <w:tmpl w:val="91995D4F"/>
    <w:lvl w:ilvl="0" w:tentative="0">
      <w:start w:val="1"/>
      <w:numFmt w:val="decimal"/>
      <w:lvlText w:val="%1."/>
      <w:lvlJc w:val="left"/>
      <w:pPr>
        <w:ind w:left="1061" w:hanging="281"/>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943" w:hanging="281"/>
      </w:pPr>
      <w:rPr>
        <w:rFonts w:hint="default"/>
        <w:lang w:val="zh-CN" w:eastAsia="zh-CN" w:bidi="zh-CN"/>
      </w:rPr>
    </w:lvl>
    <w:lvl w:ilvl="2" w:tentative="0">
      <w:start w:val="0"/>
      <w:numFmt w:val="bullet"/>
      <w:lvlText w:val="•"/>
      <w:lvlJc w:val="left"/>
      <w:pPr>
        <w:ind w:left="2826" w:hanging="281"/>
      </w:pPr>
      <w:rPr>
        <w:rFonts w:hint="default"/>
        <w:lang w:val="zh-CN" w:eastAsia="zh-CN" w:bidi="zh-CN"/>
      </w:rPr>
    </w:lvl>
    <w:lvl w:ilvl="3" w:tentative="0">
      <w:start w:val="0"/>
      <w:numFmt w:val="bullet"/>
      <w:lvlText w:val="•"/>
      <w:lvlJc w:val="left"/>
      <w:pPr>
        <w:ind w:left="3709" w:hanging="281"/>
      </w:pPr>
      <w:rPr>
        <w:rFonts w:hint="default"/>
        <w:lang w:val="zh-CN" w:eastAsia="zh-CN" w:bidi="zh-CN"/>
      </w:rPr>
    </w:lvl>
    <w:lvl w:ilvl="4" w:tentative="0">
      <w:start w:val="0"/>
      <w:numFmt w:val="bullet"/>
      <w:lvlText w:val="•"/>
      <w:lvlJc w:val="left"/>
      <w:pPr>
        <w:ind w:left="4592" w:hanging="281"/>
      </w:pPr>
      <w:rPr>
        <w:rFonts w:hint="default"/>
        <w:lang w:val="zh-CN" w:eastAsia="zh-CN" w:bidi="zh-CN"/>
      </w:rPr>
    </w:lvl>
    <w:lvl w:ilvl="5" w:tentative="0">
      <w:start w:val="0"/>
      <w:numFmt w:val="bullet"/>
      <w:lvlText w:val="•"/>
      <w:lvlJc w:val="left"/>
      <w:pPr>
        <w:ind w:left="5475" w:hanging="281"/>
      </w:pPr>
      <w:rPr>
        <w:rFonts w:hint="default"/>
        <w:lang w:val="zh-CN" w:eastAsia="zh-CN" w:bidi="zh-CN"/>
      </w:rPr>
    </w:lvl>
    <w:lvl w:ilvl="6" w:tentative="0">
      <w:start w:val="0"/>
      <w:numFmt w:val="bullet"/>
      <w:lvlText w:val="•"/>
      <w:lvlJc w:val="left"/>
      <w:pPr>
        <w:ind w:left="6358" w:hanging="281"/>
      </w:pPr>
      <w:rPr>
        <w:rFonts w:hint="default"/>
        <w:lang w:val="zh-CN" w:eastAsia="zh-CN" w:bidi="zh-CN"/>
      </w:rPr>
    </w:lvl>
    <w:lvl w:ilvl="7" w:tentative="0">
      <w:start w:val="0"/>
      <w:numFmt w:val="bullet"/>
      <w:lvlText w:val="•"/>
      <w:lvlJc w:val="left"/>
      <w:pPr>
        <w:ind w:left="7241" w:hanging="281"/>
      </w:pPr>
      <w:rPr>
        <w:rFonts w:hint="default"/>
        <w:lang w:val="zh-CN" w:eastAsia="zh-CN" w:bidi="zh-CN"/>
      </w:rPr>
    </w:lvl>
    <w:lvl w:ilvl="8" w:tentative="0">
      <w:start w:val="0"/>
      <w:numFmt w:val="bullet"/>
      <w:lvlText w:val="•"/>
      <w:lvlJc w:val="left"/>
      <w:pPr>
        <w:ind w:left="8124" w:hanging="281"/>
      </w:pPr>
      <w:rPr>
        <w:rFonts w:hint="default"/>
        <w:lang w:val="zh-CN" w:eastAsia="zh-CN" w:bidi="zh-CN"/>
      </w:rPr>
    </w:lvl>
  </w:abstractNum>
  <w:abstractNum w:abstractNumId="3">
    <w:nsid w:val="9288B902"/>
    <w:multiLevelType w:val="multilevel"/>
    <w:tmpl w:val="9288B902"/>
    <w:lvl w:ilvl="0" w:tentative="0">
      <w:start w:val="1"/>
      <w:numFmt w:val="decimal"/>
      <w:lvlText w:val="%1."/>
      <w:lvlJc w:val="left"/>
      <w:pPr>
        <w:ind w:left="219"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187" w:hanging="284"/>
      </w:pPr>
      <w:rPr>
        <w:rFonts w:hint="default"/>
        <w:lang w:val="zh-CN" w:eastAsia="zh-CN" w:bidi="zh-CN"/>
      </w:rPr>
    </w:lvl>
    <w:lvl w:ilvl="2" w:tentative="0">
      <w:start w:val="0"/>
      <w:numFmt w:val="bullet"/>
      <w:lvlText w:val="•"/>
      <w:lvlJc w:val="left"/>
      <w:pPr>
        <w:ind w:left="2154" w:hanging="284"/>
      </w:pPr>
      <w:rPr>
        <w:rFonts w:hint="default"/>
        <w:lang w:val="zh-CN" w:eastAsia="zh-CN" w:bidi="zh-CN"/>
      </w:rPr>
    </w:lvl>
    <w:lvl w:ilvl="3" w:tentative="0">
      <w:start w:val="0"/>
      <w:numFmt w:val="bullet"/>
      <w:lvlText w:val="•"/>
      <w:lvlJc w:val="left"/>
      <w:pPr>
        <w:ind w:left="3121" w:hanging="284"/>
      </w:pPr>
      <w:rPr>
        <w:rFonts w:hint="default"/>
        <w:lang w:val="zh-CN" w:eastAsia="zh-CN" w:bidi="zh-CN"/>
      </w:rPr>
    </w:lvl>
    <w:lvl w:ilvl="4" w:tentative="0">
      <w:start w:val="0"/>
      <w:numFmt w:val="bullet"/>
      <w:lvlText w:val="•"/>
      <w:lvlJc w:val="left"/>
      <w:pPr>
        <w:ind w:left="4088" w:hanging="284"/>
      </w:pPr>
      <w:rPr>
        <w:rFonts w:hint="default"/>
        <w:lang w:val="zh-CN" w:eastAsia="zh-CN" w:bidi="zh-CN"/>
      </w:rPr>
    </w:lvl>
    <w:lvl w:ilvl="5" w:tentative="0">
      <w:start w:val="0"/>
      <w:numFmt w:val="bullet"/>
      <w:lvlText w:val="•"/>
      <w:lvlJc w:val="left"/>
      <w:pPr>
        <w:ind w:left="5055" w:hanging="284"/>
      </w:pPr>
      <w:rPr>
        <w:rFonts w:hint="default"/>
        <w:lang w:val="zh-CN" w:eastAsia="zh-CN" w:bidi="zh-CN"/>
      </w:rPr>
    </w:lvl>
    <w:lvl w:ilvl="6" w:tentative="0">
      <w:start w:val="0"/>
      <w:numFmt w:val="bullet"/>
      <w:lvlText w:val="•"/>
      <w:lvlJc w:val="left"/>
      <w:pPr>
        <w:ind w:left="6022" w:hanging="284"/>
      </w:pPr>
      <w:rPr>
        <w:rFonts w:hint="default"/>
        <w:lang w:val="zh-CN" w:eastAsia="zh-CN" w:bidi="zh-CN"/>
      </w:rPr>
    </w:lvl>
    <w:lvl w:ilvl="7" w:tentative="0">
      <w:start w:val="0"/>
      <w:numFmt w:val="bullet"/>
      <w:lvlText w:val="•"/>
      <w:lvlJc w:val="left"/>
      <w:pPr>
        <w:ind w:left="6989" w:hanging="284"/>
      </w:pPr>
      <w:rPr>
        <w:rFonts w:hint="default"/>
        <w:lang w:val="zh-CN" w:eastAsia="zh-CN" w:bidi="zh-CN"/>
      </w:rPr>
    </w:lvl>
    <w:lvl w:ilvl="8" w:tentative="0">
      <w:start w:val="0"/>
      <w:numFmt w:val="bullet"/>
      <w:lvlText w:val="•"/>
      <w:lvlJc w:val="left"/>
      <w:pPr>
        <w:ind w:left="7956" w:hanging="284"/>
      </w:pPr>
      <w:rPr>
        <w:rFonts w:hint="default"/>
        <w:lang w:val="zh-CN" w:eastAsia="zh-CN" w:bidi="zh-CN"/>
      </w:rPr>
    </w:lvl>
  </w:abstractNum>
  <w:abstractNum w:abstractNumId="4">
    <w:nsid w:val="9C8AC8EF"/>
    <w:multiLevelType w:val="multilevel"/>
    <w:tmpl w:val="9C8AC8EF"/>
    <w:lvl w:ilvl="0" w:tentative="0">
      <w:start w:val="23"/>
      <w:numFmt w:val="decimal"/>
      <w:lvlText w:val="%1."/>
      <w:lvlJc w:val="left"/>
      <w:pPr>
        <w:ind w:left="219" w:hanging="423"/>
        <w:jc w:val="right"/>
      </w:pPr>
      <w:rPr>
        <w:rFonts w:hint="default"/>
        <w:spacing w:val="-2"/>
        <w:w w:val="100"/>
        <w:lang w:val="zh-CN" w:eastAsia="zh-CN" w:bidi="zh-CN"/>
      </w:rPr>
    </w:lvl>
    <w:lvl w:ilvl="1" w:tentative="0">
      <w:start w:val="1"/>
      <w:numFmt w:val="decimal"/>
      <w:lvlText w:val="%1.%2"/>
      <w:lvlJc w:val="left"/>
      <w:pPr>
        <w:ind w:left="219" w:hanging="562"/>
        <w:jc w:val="left"/>
      </w:pPr>
      <w:rPr>
        <w:rFonts w:hint="default" w:ascii="宋体" w:hAnsi="宋体" w:eastAsia="宋体" w:cs="宋体"/>
        <w:spacing w:val="-2"/>
        <w:w w:val="100"/>
        <w:sz w:val="26"/>
        <w:szCs w:val="26"/>
        <w:lang w:val="zh-CN" w:eastAsia="zh-CN" w:bidi="zh-CN"/>
      </w:rPr>
    </w:lvl>
    <w:lvl w:ilvl="2" w:tentative="0">
      <w:start w:val="0"/>
      <w:numFmt w:val="bullet"/>
      <w:lvlText w:val="•"/>
      <w:lvlJc w:val="left"/>
      <w:pPr>
        <w:ind w:left="2414" w:hanging="562"/>
      </w:pPr>
      <w:rPr>
        <w:rFonts w:hint="default"/>
        <w:lang w:val="zh-CN" w:eastAsia="zh-CN" w:bidi="zh-CN"/>
      </w:rPr>
    </w:lvl>
    <w:lvl w:ilvl="3" w:tentative="0">
      <w:start w:val="0"/>
      <w:numFmt w:val="bullet"/>
      <w:lvlText w:val="•"/>
      <w:lvlJc w:val="left"/>
      <w:pPr>
        <w:ind w:left="3348" w:hanging="562"/>
      </w:pPr>
      <w:rPr>
        <w:rFonts w:hint="default"/>
        <w:lang w:val="zh-CN" w:eastAsia="zh-CN" w:bidi="zh-CN"/>
      </w:rPr>
    </w:lvl>
    <w:lvl w:ilvl="4" w:tentative="0">
      <w:start w:val="0"/>
      <w:numFmt w:val="bullet"/>
      <w:lvlText w:val="•"/>
      <w:lvlJc w:val="left"/>
      <w:pPr>
        <w:ind w:left="4283" w:hanging="562"/>
      </w:pPr>
      <w:rPr>
        <w:rFonts w:hint="default"/>
        <w:lang w:val="zh-CN" w:eastAsia="zh-CN" w:bidi="zh-CN"/>
      </w:rPr>
    </w:lvl>
    <w:lvl w:ilvl="5" w:tentative="0">
      <w:start w:val="0"/>
      <w:numFmt w:val="bullet"/>
      <w:lvlText w:val="•"/>
      <w:lvlJc w:val="left"/>
      <w:pPr>
        <w:ind w:left="5217" w:hanging="562"/>
      </w:pPr>
      <w:rPr>
        <w:rFonts w:hint="default"/>
        <w:lang w:val="zh-CN" w:eastAsia="zh-CN" w:bidi="zh-CN"/>
      </w:rPr>
    </w:lvl>
    <w:lvl w:ilvl="6" w:tentative="0">
      <w:start w:val="0"/>
      <w:numFmt w:val="bullet"/>
      <w:lvlText w:val="•"/>
      <w:lvlJc w:val="left"/>
      <w:pPr>
        <w:ind w:left="6152" w:hanging="562"/>
      </w:pPr>
      <w:rPr>
        <w:rFonts w:hint="default"/>
        <w:lang w:val="zh-CN" w:eastAsia="zh-CN" w:bidi="zh-CN"/>
      </w:rPr>
    </w:lvl>
    <w:lvl w:ilvl="7" w:tentative="0">
      <w:start w:val="0"/>
      <w:numFmt w:val="bullet"/>
      <w:lvlText w:val="•"/>
      <w:lvlJc w:val="left"/>
      <w:pPr>
        <w:ind w:left="7086" w:hanging="562"/>
      </w:pPr>
      <w:rPr>
        <w:rFonts w:hint="default"/>
        <w:lang w:val="zh-CN" w:eastAsia="zh-CN" w:bidi="zh-CN"/>
      </w:rPr>
    </w:lvl>
    <w:lvl w:ilvl="8" w:tentative="0">
      <w:start w:val="0"/>
      <w:numFmt w:val="bullet"/>
      <w:lvlText w:val="•"/>
      <w:lvlJc w:val="left"/>
      <w:pPr>
        <w:ind w:left="8021" w:hanging="562"/>
      </w:pPr>
      <w:rPr>
        <w:rFonts w:hint="default"/>
        <w:lang w:val="zh-CN" w:eastAsia="zh-CN" w:bidi="zh-CN"/>
      </w:rPr>
    </w:lvl>
  </w:abstractNum>
  <w:abstractNum w:abstractNumId="5">
    <w:nsid w:val="B0F1ACD9"/>
    <w:multiLevelType w:val="multilevel"/>
    <w:tmpl w:val="B0F1ACD9"/>
    <w:lvl w:ilvl="0" w:tentative="0">
      <w:start w:val="2"/>
      <w:numFmt w:val="decimal"/>
      <w:lvlText w:val="%1."/>
      <w:lvlJc w:val="left"/>
      <w:pPr>
        <w:ind w:left="1061" w:hanging="281"/>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943" w:hanging="281"/>
      </w:pPr>
      <w:rPr>
        <w:rFonts w:hint="default"/>
        <w:lang w:val="zh-CN" w:eastAsia="zh-CN" w:bidi="zh-CN"/>
      </w:rPr>
    </w:lvl>
    <w:lvl w:ilvl="2" w:tentative="0">
      <w:start w:val="0"/>
      <w:numFmt w:val="bullet"/>
      <w:lvlText w:val="•"/>
      <w:lvlJc w:val="left"/>
      <w:pPr>
        <w:ind w:left="2826" w:hanging="281"/>
      </w:pPr>
      <w:rPr>
        <w:rFonts w:hint="default"/>
        <w:lang w:val="zh-CN" w:eastAsia="zh-CN" w:bidi="zh-CN"/>
      </w:rPr>
    </w:lvl>
    <w:lvl w:ilvl="3" w:tentative="0">
      <w:start w:val="0"/>
      <w:numFmt w:val="bullet"/>
      <w:lvlText w:val="•"/>
      <w:lvlJc w:val="left"/>
      <w:pPr>
        <w:ind w:left="3709" w:hanging="281"/>
      </w:pPr>
      <w:rPr>
        <w:rFonts w:hint="default"/>
        <w:lang w:val="zh-CN" w:eastAsia="zh-CN" w:bidi="zh-CN"/>
      </w:rPr>
    </w:lvl>
    <w:lvl w:ilvl="4" w:tentative="0">
      <w:start w:val="0"/>
      <w:numFmt w:val="bullet"/>
      <w:lvlText w:val="•"/>
      <w:lvlJc w:val="left"/>
      <w:pPr>
        <w:ind w:left="4592" w:hanging="281"/>
      </w:pPr>
      <w:rPr>
        <w:rFonts w:hint="default"/>
        <w:lang w:val="zh-CN" w:eastAsia="zh-CN" w:bidi="zh-CN"/>
      </w:rPr>
    </w:lvl>
    <w:lvl w:ilvl="5" w:tentative="0">
      <w:start w:val="0"/>
      <w:numFmt w:val="bullet"/>
      <w:lvlText w:val="•"/>
      <w:lvlJc w:val="left"/>
      <w:pPr>
        <w:ind w:left="5475" w:hanging="281"/>
      </w:pPr>
      <w:rPr>
        <w:rFonts w:hint="default"/>
        <w:lang w:val="zh-CN" w:eastAsia="zh-CN" w:bidi="zh-CN"/>
      </w:rPr>
    </w:lvl>
    <w:lvl w:ilvl="6" w:tentative="0">
      <w:start w:val="0"/>
      <w:numFmt w:val="bullet"/>
      <w:lvlText w:val="•"/>
      <w:lvlJc w:val="left"/>
      <w:pPr>
        <w:ind w:left="6358" w:hanging="281"/>
      </w:pPr>
      <w:rPr>
        <w:rFonts w:hint="default"/>
        <w:lang w:val="zh-CN" w:eastAsia="zh-CN" w:bidi="zh-CN"/>
      </w:rPr>
    </w:lvl>
    <w:lvl w:ilvl="7" w:tentative="0">
      <w:start w:val="0"/>
      <w:numFmt w:val="bullet"/>
      <w:lvlText w:val="•"/>
      <w:lvlJc w:val="left"/>
      <w:pPr>
        <w:ind w:left="7241" w:hanging="281"/>
      </w:pPr>
      <w:rPr>
        <w:rFonts w:hint="default"/>
        <w:lang w:val="zh-CN" w:eastAsia="zh-CN" w:bidi="zh-CN"/>
      </w:rPr>
    </w:lvl>
    <w:lvl w:ilvl="8" w:tentative="0">
      <w:start w:val="0"/>
      <w:numFmt w:val="bullet"/>
      <w:lvlText w:val="•"/>
      <w:lvlJc w:val="left"/>
      <w:pPr>
        <w:ind w:left="8124" w:hanging="281"/>
      </w:pPr>
      <w:rPr>
        <w:rFonts w:hint="default"/>
        <w:lang w:val="zh-CN" w:eastAsia="zh-CN" w:bidi="zh-CN"/>
      </w:rPr>
    </w:lvl>
  </w:abstractNum>
  <w:abstractNum w:abstractNumId="6">
    <w:nsid w:val="B5E306ED"/>
    <w:multiLevelType w:val="multilevel"/>
    <w:tmpl w:val="B5E306ED"/>
    <w:lvl w:ilvl="0" w:tentative="0">
      <w:start w:val="6"/>
      <w:numFmt w:val="decimal"/>
      <w:lvlText w:val="%1"/>
      <w:lvlJc w:val="left"/>
      <w:pPr>
        <w:ind w:left="219" w:hanging="560"/>
        <w:jc w:val="left"/>
      </w:pPr>
      <w:rPr>
        <w:rFonts w:hint="default"/>
        <w:lang w:val="zh-CN" w:eastAsia="zh-CN" w:bidi="zh-CN"/>
      </w:rPr>
    </w:lvl>
    <w:lvl w:ilvl="1" w:tentative="0">
      <w:start w:val="1"/>
      <w:numFmt w:val="decimal"/>
      <w:lvlText w:val="%1.%2"/>
      <w:lvlJc w:val="left"/>
      <w:pPr>
        <w:ind w:left="219"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154" w:hanging="560"/>
      </w:pPr>
      <w:rPr>
        <w:rFonts w:hint="default"/>
        <w:lang w:val="zh-CN" w:eastAsia="zh-CN" w:bidi="zh-CN"/>
      </w:rPr>
    </w:lvl>
    <w:lvl w:ilvl="3" w:tentative="0">
      <w:start w:val="0"/>
      <w:numFmt w:val="bullet"/>
      <w:lvlText w:val="•"/>
      <w:lvlJc w:val="left"/>
      <w:pPr>
        <w:ind w:left="3121" w:hanging="560"/>
      </w:pPr>
      <w:rPr>
        <w:rFonts w:hint="default"/>
        <w:lang w:val="zh-CN" w:eastAsia="zh-CN" w:bidi="zh-CN"/>
      </w:rPr>
    </w:lvl>
    <w:lvl w:ilvl="4" w:tentative="0">
      <w:start w:val="0"/>
      <w:numFmt w:val="bullet"/>
      <w:lvlText w:val="•"/>
      <w:lvlJc w:val="left"/>
      <w:pPr>
        <w:ind w:left="4088" w:hanging="560"/>
      </w:pPr>
      <w:rPr>
        <w:rFonts w:hint="default"/>
        <w:lang w:val="zh-CN" w:eastAsia="zh-CN" w:bidi="zh-CN"/>
      </w:rPr>
    </w:lvl>
    <w:lvl w:ilvl="5" w:tentative="0">
      <w:start w:val="0"/>
      <w:numFmt w:val="bullet"/>
      <w:lvlText w:val="•"/>
      <w:lvlJc w:val="left"/>
      <w:pPr>
        <w:ind w:left="5055" w:hanging="560"/>
      </w:pPr>
      <w:rPr>
        <w:rFonts w:hint="default"/>
        <w:lang w:val="zh-CN" w:eastAsia="zh-CN" w:bidi="zh-CN"/>
      </w:rPr>
    </w:lvl>
    <w:lvl w:ilvl="6" w:tentative="0">
      <w:start w:val="0"/>
      <w:numFmt w:val="bullet"/>
      <w:lvlText w:val="•"/>
      <w:lvlJc w:val="left"/>
      <w:pPr>
        <w:ind w:left="6022" w:hanging="560"/>
      </w:pPr>
      <w:rPr>
        <w:rFonts w:hint="default"/>
        <w:lang w:val="zh-CN" w:eastAsia="zh-CN" w:bidi="zh-CN"/>
      </w:rPr>
    </w:lvl>
    <w:lvl w:ilvl="7" w:tentative="0">
      <w:start w:val="0"/>
      <w:numFmt w:val="bullet"/>
      <w:lvlText w:val="•"/>
      <w:lvlJc w:val="left"/>
      <w:pPr>
        <w:ind w:left="6989" w:hanging="560"/>
      </w:pPr>
      <w:rPr>
        <w:rFonts w:hint="default"/>
        <w:lang w:val="zh-CN" w:eastAsia="zh-CN" w:bidi="zh-CN"/>
      </w:rPr>
    </w:lvl>
    <w:lvl w:ilvl="8" w:tentative="0">
      <w:start w:val="0"/>
      <w:numFmt w:val="bullet"/>
      <w:lvlText w:val="•"/>
      <w:lvlJc w:val="left"/>
      <w:pPr>
        <w:ind w:left="7956" w:hanging="560"/>
      </w:pPr>
      <w:rPr>
        <w:rFonts w:hint="default"/>
        <w:lang w:val="zh-CN" w:eastAsia="zh-CN" w:bidi="zh-CN"/>
      </w:rPr>
    </w:lvl>
  </w:abstractNum>
  <w:abstractNum w:abstractNumId="7">
    <w:nsid w:val="B8CEF35B"/>
    <w:multiLevelType w:val="multilevel"/>
    <w:tmpl w:val="B8CEF35B"/>
    <w:lvl w:ilvl="0" w:tentative="0">
      <w:start w:val="1"/>
      <w:numFmt w:val="decimal"/>
      <w:lvlText w:val="（%1）"/>
      <w:lvlJc w:val="left"/>
      <w:pPr>
        <w:ind w:left="219" w:hanging="702"/>
        <w:jc w:val="left"/>
      </w:pPr>
      <w:rPr>
        <w:rFonts w:hint="default" w:ascii="宋体" w:hAnsi="宋体" w:eastAsia="宋体" w:cs="宋体"/>
        <w:spacing w:val="-2"/>
        <w:w w:val="100"/>
        <w:sz w:val="26"/>
        <w:szCs w:val="26"/>
        <w:lang w:val="zh-CN" w:eastAsia="zh-CN" w:bidi="zh-CN"/>
      </w:rPr>
    </w:lvl>
    <w:lvl w:ilvl="1" w:tentative="0">
      <w:start w:val="2"/>
      <w:numFmt w:val="decimal"/>
      <w:lvlText w:val="（%2）"/>
      <w:lvlJc w:val="left"/>
      <w:pPr>
        <w:ind w:left="1482" w:hanging="702"/>
        <w:jc w:val="left"/>
      </w:pPr>
      <w:rPr>
        <w:rFonts w:hint="default" w:ascii="宋体" w:hAnsi="宋体" w:eastAsia="宋体" w:cs="宋体"/>
        <w:spacing w:val="-3"/>
        <w:w w:val="100"/>
        <w:sz w:val="26"/>
        <w:szCs w:val="26"/>
        <w:lang w:val="zh-CN" w:eastAsia="zh-CN" w:bidi="zh-CN"/>
      </w:rPr>
    </w:lvl>
    <w:lvl w:ilvl="2" w:tentative="0">
      <w:start w:val="0"/>
      <w:numFmt w:val="bullet"/>
      <w:lvlText w:val="•"/>
      <w:lvlJc w:val="left"/>
      <w:pPr>
        <w:ind w:left="2414" w:hanging="702"/>
      </w:pPr>
      <w:rPr>
        <w:rFonts w:hint="default"/>
        <w:lang w:val="zh-CN" w:eastAsia="zh-CN" w:bidi="zh-CN"/>
      </w:rPr>
    </w:lvl>
    <w:lvl w:ilvl="3" w:tentative="0">
      <w:start w:val="0"/>
      <w:numFmt w:val="bullet"/>
      <w:lvlText w:val="•"/>
      <w:lvlJc w:val="left"/>
      <w:pPr>
        <w:ind w:left="3348" w:hanging="702"/>
      </w:pPr>
      <w:rPr>
        <w:rFonts w:hint="default"/>
        <w:lang w:val="zh-CN" w:eastAsia="zh-CN" w:bidi="zh-CN"/>
      </w:rPr>
    </w:lvl>
    <w:lvl w:ilvl="4" w:tentative="0">
      <w:start w:val="0"/>
      <w:numFmt w:val="bullet"/>
      <w:lvlText w:val="•"/>
      <w:lvlJc w:val="left"/>
      <w:pPr>
        <w:ind w:left="4283" w:hanging="702"/>
      </w:pPr>
      <w:rPr>
        <w:rFonts w:hint="default"/>
        <w:lang w:val="zh-CN" w:eastAsia="zh-CN" w:bidi="zh-CN"/>
      </w:rPr>
    </w:lvl>
    <w:lvl w:ilvl="5" w:tentative="0">
      <w:start w:val="0"/>
      <w:numFmt w:val="bullet"/>
      <w:lvlText w:val="•"/>
      <w:lvlJc w:val="left"/>
      <w:pPr>
        <w:ind w:left="5217" w:hanging="702"/>
      </w:pPr>
      <w:rPr>
        <w:rFonts w:hint="default"/>
        <w:lang w:val="zh-CN" w:eastAsia="zh-CN" w:bidi="zh-CN"/>
      </w:rPr>
    </w:lvl>
    <w:lvl w:ilvl="6" w:tentative="0">
      <w:start w:val="0"/>
      <w:numFmt w:val="bullet"/>
      <w:lvlText w:val="•"/>
      <w:lvlJc w:val="left"/>
      <w:pPr>
        <w:ind w:left="6152" w:hanging="702"/>
      </w:pPr>
      <w:rPr>
        <w:rFonts w:hint="default"/>
        <w:lang w:val="zh-CN" w:eastAsia="zh-CN" w:bidi="zh-CN"/>
      </w:rPr>
    </w:lvl>
    <w:lvl w:ilvl="7" w:tentative="0">
      <w:start w:val="0"/>
      <w:numFmt w:val="bullet"/>
      <w:lvlText w:val="•"/>
      <w:lvlJc w:val="left"/>
      <w:pPr>
        <w:ind w:left="7086" w:hanging="702"/>
      </w:pPr>
      <w:rPr>
        <w:rFonts w:hint="default"/>
        <w:lang w:val="zh-CN" w:eastAsia="zh-CN" w:bidi="zh-CN"/>
      </w:rPr>
    </w:lvl>
    <w:lvl w:ilvl="8" w:tentative="0">
      <w:start w:val="0"/>
      <w:numFmt w:val="bullet"/>
      <w:lvlText w:val="•"/>
      <w:lvlJc w:val="left"/>
      <w:pPr>
        <w:ind w:left="8021" w:hanging="702"/>
      </w:pPr>
      <w:rPr>
        <w:rFonts w:hint="default"/>
        <w:lang w:val="zh-CN" w:eastAsia="zh-CN" w:bidi="zh-CN"/>
      </w:rPr>
    </w:lvl>
  </w:abstractNum>
  <w:abstractNum w:abstractNumId="8">
    <w:nsid w:val="BB64CFA9"/>
    <w:multiLevelType w:val="multilevel"/>
    <w:tmpl w:val="BB64CFA9"/>
    <w:lvl w:ilvl="0" w:tentative="0">
      <w:start w:val="1"/>
      <w:numFmt w:val="decimal"/>
      <w:lvlText w:val="（%1）"/>
      <w:lvlJc w:val="left"/>
      <w:pPr>
        <w:ind w:left="905" w:hanging="905"/>
        <w:jc w:val="left"/>
      </w:pPr>
      <w:rPr>
        <w:rFonts w:hint="default"/>
        <w:b/>
        <w:bCs/>
        <w:spacing w:val="0"/>
        <w:w w:val="99"/>
        <w:lang w:val="zh-CN" w:eastAsia="zh-CN" w:bidi="zh-CN"/>
      </w:rPr>
    </w:lvl>
    <w:lvl w:ilvl="1" w:tentative="0">
      <w:start w:val="1"/>
      <w:numFmt w:val="decimal"/>
      <w:lvlText w:val="%2."/>
      <w:lvlJc w:val="left"/>
      <w:pPr>
        <w:ind w:left="0" w:hanging="284"/>
        <w:jc w:val="left"/>
      </w:pPr>
      <w:rPr>
        <w:rFonts w:hint="default" w:ascii="宋体" w:hAnsi="宋体" w:eastAsia="宋体" w:cs="宋体"/>
        <w:spacing w:val="-2"/>
        <w:w w:val="100"/>
        <w:sz w:val="26"/>
        <w:szCs w:val="26"/>
        <w:lang w:val="zh-CN" w:eastAsia="zh-CN" w:bidi="zh-CN"/>
      </w:rPr>
    </w:lvl>
    <w:lvl w:ilvl="2" w:tentative="0">
      <w:start w:val="0"/>
      <w:numFmt w:val="bullet"/>
      <w:lvlText w:val="•"/>
      <w:lvlJc w:val="left"/>
      <w:pPr>
        <w:ind w:left="1875" w:hanging="284"/>
      </w:pPr>
      <w:rPr>
        <w:rFonts w:hint="default"/>
        <w:lang w:val="zh-CN" w:eastAsia="zh-CN" w:bidi="zh-CN"/>
      </w:rPr>
    </w:lvl>
    <w:lvl w:ilvl="3" w:tentative="0">
      <w:start w:val="0"/>
      <w:numFmt w:val="bullet"/>
      <w:lvlText w:val="•"/>
      <w:lvlJc w:val="left"/>
      <w:pPr>
        <w:ind w:left="2849" w:hanging="284"/>
      </w:pPr>
      <w:rPr>
        <w:rFonts w:hint="default"/>
        <w:lang w:val="zh-CN" w:eastAsia="zh-CN" w:bidi="zh-CN"/>
      </w:rPr>
    </w:lvl>
    <w:lvl w:ilvl="4" w:tentative="0">
      <w:start w:val="0"/>
      <w:numFmt w:val="bullet"/>
      <w:lvlText w:val="•"/>
      <w:lvlJc w:val="left"/>
      <w:pPr>
        <w:ind w:left="3824" w:hanging="284"/>
      </w:pPr>
      <w:rPr>
        <w:rFonts w:hint="default"/>
        <w:lang w:val="zh-CN" w:eastAsia="zh-CN" w:bidi="zh-CN"/>
      </w:rPr>
    </w:lvl>
    <w:lvl w:ilvl="5" w:tentative="0">
      <w:start w:val="0"/>
      <w:numFmt w:val="bullet"/>
      <w:lvlText w:val="•"/>
      <w:lvlJc w:val="left"/>
      <w:pPr>
        <w:ind w:left="4798" w:hanging="284"/>
      </w:pPr>
      <w:rPr>
        <w:rFonts w:hint="default"/>
        <w:lang w:val="zh-CN" w:eastAsia="zh-CN" w:bidi="zh-CN"/>
      </w:rPr>
    </w:lvl>
    <w:lvl w:ilvl="6" w:tentative="0">
      <w:start w:val="0"/>
      <w:numFmt w:val="bullet"/>
      <w:lvlText w:val="•"/>
      <w:lvlJc w:val="left"/>
      <w:pPr>
        <w:ind w:left="5773" w:hanging="284"/>
      </w:pPr>
      <w:rPr>
        <w:rFonts w:hint="default"/>
        <w:lang w:val="zh-CN" w:eastAsia="zh-CN" w:bidi="zh-CN"/>
      </w:rPr>
    </w:lvl>
    <w:lvl w:ilvl="7" w:tentative="0">
      <w:start w:val="0"/>
      <w:numFmt w:val="bullet"/>
      <w:lvlText w:val="•"/>
      <w:lvlJc w:val="left"/>
      <w:pPr>
        <w:ind w:left="6747" w:hanging="284"/>
      </w:pPr>
      <w:rPr>
        <w:rFonts w:hint="default"/>
        <w:lang w:val="zh-CN" w:eastAsia="zh-CN" w:bidi="zh-CN"/>
      </w:rPr>
    </w:lvl>
    <w:lvl w:ilvl="8" w:tentative="0">
      <w:start w:val="0"/>
      <w:numFmt w:val="bullet"/>
      <w:lvlText w:val="•"/>
      <w:lvlJc w:val="left"/>
      <w:pPr>
        <w:ind w:left="7722" w:hanging="284"/>
      </w:pPr>
      <w:rPr>
        <w:rFonts w:hint="default"/>
        <w:lang w:val="zh-CN" w:eastAsia="zh-CN" w:bidi="zh-CN"/>
      </w:rPr>
    </w:lvl>
  </w:abstractNum>
  <w:abstractNum w:abstractNumId="9">
    <w:nsid w:val="BE923771"/>
    <w:multiLevelType w:val="multilevel"/>
    <w:tmpl w:val="BE923771"/>
    <w:lvl w:ilvl="0" w:tentative="0">
      <w:start w:val="1"/>
      <w:numFmt w:val="decimal"/>
      <w:lvlText w:val="%1."/>
      <w:lvlJc w:val="left"/>
      <w:pPr>
        <w:ind w:left="219"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187" w:hanging="284"/>
      </w:pPr>
      <w:rPr>
        <w:rFonts w:hint="default"/>
        <w:lang w:val="zh-CN" w:eastAsia="zh-CN" w:bidi="zh-CN"/>
      </w:rPr>
    </w:lvl>
    <w:lvl w:ilvl="2" w:tentative="0">
      <w:start w:val="0"/>
      <w:numFmt w:val="bullet"/>
      <w:lvlText w:val="•"/>
      <w:lvlJc w:val="left"/>
      <w:pPr>
        <w:ind w:left="2154" w:hanging="284"/>
      </w:pPr>
      <w:rPr>
        <w:rFonts w:hint="default"/>
        <w:lang w:val="zh-CN" w:eastAsia="zh-CN" w:bidi="zh-CN"/>
      </w:rPr>
    </w:lvl>
    <w:lvl w:ilvl="3" w:tentative="0">
      <w:start w:val="0"/>
      <w:numFmt w:val="bullet"/>
      <w:lvlText w:val="•"/>
      <w:lvlJc w:val="left"/>
      <w:pPr>
        <w:ind w:left="3121" w:hanging="284"/>
      </w:pPr>
      <w:rPr>
        <w:rFonts w:hint="default"/>
        <w:lang w:val="zh-CN" w:eastAsia="zh-CN" w:bidi="zh-CN"/>
      </w:rPr>
    </w:lvl>
    <w:lvl w:ilvl="4" w:tentative="0">
      <w:start w:val="0"/>
      <w:numFmt w:val="bullet"/>
      <w:lvlText w:val="•"/>
      <w:lvlJc w:val="left"/>
      <w:pPr>
        <w:ind w:left="4088" w:hanging="284"/>
      </w:pPr>
      <w:rPr>
        <w:rFonts w:hint="default"/>
        <w:lang w:val="zh-CN" w:eastAsia="zh-CN" w:bidi="zh-CN"/>
      </w:rPr>
    </w:lvl>
    <w:lvl w:ilvl="5" w:tentative="0">
      <w:start w:val="0"/>
      <w:numFmt w:val="bullet"/>
      <w:lvlText w:val="•"/>
      <w:lvlJc w:val="left"/>
      <w:pPr>
        <w:ind w:left="5055" w:hanging="284"/>
      </w:pPr>
      <w:rPr>
        <w:rFonts w:hint="default"/>
        <w:lang w:val="zh-CN" w:eastAsia="zh-CN" w:bidi="zh-CN"/>
      </w:rPr>
    </w:lvl>
    <w:lvl w:ilvl="6" w:tentative="0">
      <w:start w:val="0"/>
      <w:numFmt w:val="bullet"/>
      <w:lvlText w:val="•"/>
      <w:lvlJc w:val="left"/>
      <w:pPr>
        <w:ind w:left="6022" w:hanging="284"/>
      </w:pPr>
      <w:rPr>
        <w:rFonts w:hint="default"/>
        <w:lang w:val="zh-CN" w:eastAsia="zh-CN" w:bidi="zh-CN"/>
      </w:rPr>
    </w:lvl>
    <w:lvl w:ilvl="7" w:tentative="0">
      <w:start w:val="0"/>
      <w:numFmt w:val="bullet"/>
      <w:lvlText w:val="•"/>
      <w:lvlJc w:val="left"/>
      <w:pPr>
        <w:ind w:left="6989" w:hanging="284"/>
      </w:pPr>
      <w:rPr>
        <w:rFonts w:hint="default"/>
        <w:lang w:val="zh-CN" w:eastAsia="zh-CN" w:bidi="zh-CN"/>
      </w:rPr>
    </w:lvl>
    <w:lvl w:ilvl="8" w:tentative="0">
      <w:start w:val="0"/>
      <w:numFmt w:val="bullet"/>
      <w:lvlText w:val="•"/>
      <w:lvlJc w:val="left"/>
      <w:pPr>
        <w:ind w:left="7956" w:hanging="284"/>
      </w:pPr>
      <w:rPr>
        <w:rFonts w:hint="default"/>
        <w:lang w:val="zh-CN" w:eastAsia="zh-CN" w:bidi="zh-CN"/>
      </w:rPr>
    </w:lvl>
  </w:abstractNum>
  <w:abstractNum w:abstractNumId="10">
    <w:nsid w:val="BF205925"/>
    <w:multiLevelType w:val="multilevel"/>
    <w:tmpl w:val="BF205925"/>
    <w:lvl w:ilvl="0" w:tentative="0">
      <w:start w:val="4"/>
      <w:numFmt w:val="decimal"/>
      <w:lvlText w:val="%1."/>
      <w:lvlJc w:val="left"/>
      <w:pPr>
        <w:ind w:left="502"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1200" w:hanging="562"/>
        <w:jc w:val="right"/>
      </w:pPr>
      <w:rPr>
        <w:rFonts w:hint="default" w:ascii="宋体" w:hAnsi="宋体" w:eastAsia="宋体" w:cs="宋体"/>
        <w:spacing w:val="-2"/>
        <w:w w:val="100"/>
        <w:sz w:val="28"/>
        <w:szCs w:val="28"/>
        <w:lang w:val="zh-CN" w:eastAsia="zh-CN" w:bidi="zh-CN"/>
      </w:rPr>
    </w:lvl>
    <w:lvl w:ilvl="2" w:tentative="0">
      <w:start w:val="1"/>
      <w:numFmt w:val="decimal"/>
      <w:lvlText w:val="（%3）"/>
      <w:lvlJc w:val="left"/>
      <w:pPr>
        <w:ind w:left="1482" w:hanging="702"/>
        <w:jc w:val="left"/>
      </w:pPr>
      <w:rPr>
        <w:rFonts w:hint="default" w:ascii="宋体" w:hAnsi="宋体" w:eastAsia="宋体" w:cs="宋体"/>
        <w:spacing w:val="-3"/>
        <w:w w:val="100"/>
        <w:sz w:val="26"/>
        <w:szCs w:val="26"/>
        <w:lang w:val="zh-CN" w:eastAsia="zh-CN" w:bidi="zh-CN"/>
      </w:rPr>
    </w:lvl>
    <w:lvl w:ilvl="3" w:tentative="0">
      <w:start w:val="0"/>
      <w:numFmt w:val="bullet"/>
      <w:lvlText w:val="•"/>
      <w:lvlJc w:val="left"/>
      <w:pPr>
        <w:ind w:left="2531" w:hanging="702"/>
      </w:pPr>
      <w:rPr>
        <w:rFonts w:hint="default"/>
        <w:lang w:val="zh-CN" w:eastAsia="zh-CN" w:bidi="zh-CN"/>
      </w:rPr>
    </w:lvl>
    <w:lvl w:ilvl="4" w:tentative="0">
      <w:start w:val="0"/>
      <w:numFmt w:val="bullet"/>
      <w:lvlText w:val="•"/>
      <w:lvlJc w:val="left"/>
      <w:pPr>
        <w:ind w:left="3582" w:hanging="702"/>
      </w:pPr>
      <w:rPr>
        <w:rFonts w:hint="default"/>
        <w:lang w:val="zh-CN" w:eastAsia="zh-CN" w:bidi="zh-CN"/>
      </w:rPr>
    </w:lvl>
    <w:lvl w:ilvl="5" w:tentative="0">
      <w:start w:val="0"/>
      <w:numFmt w:val="bullet"/>
      <w:lvlText w:val="•"/>
      <w:lvlJc w:val="left"/>
      <w:pPr>
        <w:ind w:left="4633" w:hanging="702"/>
      </w:pPr>
      <w:rPr>
        <w:rFonts w:hint="default"/>
        <w:lang w:val="zh-CN" w:eastAsia="zh-CN" w:bidi="zh-CN"/>
      </w:rPr>
    </w:lvl>
    <w:lvl w:ilvl="6" w:tentative="0">
      <w:start w:val="0"/>
      <w:numFmt w:val="bullet"/>
      <w:lvlText w:val="•"/>
      <w:lvlJc w:val="left"/>
      <w:pPr>
        <w:ind w:left="5685" w:hanging="702"/>
      </w:pPr>
      <w:rPr>
        <w:rFonts w:hint="default"/>
        <w:lang w:val="zh-CN" w:eastAsia="zh-CN" w:bidi="zh-CN"/>
      </w:rPr>
    </w:lvl>
    <w:lvl w:ilvl="7" w:tentative="0">
      <w:start w:val="0"/>
      <w:numFmt w:val="bullet"/>
      <w:lvlText w:val="•"/>
      <w:lvlJc w:val="left"/>
      <w:pPr>
        <w:ind w:left="6736" w:hanging="702"/>
      </w:pPr>
      <w:rPr>
        <w:rFonts w:hint="default"/>
        <w:lang w:val="zh-CN" w:eastAsia="zh-CN" w:bidi="zh-CN"/>
      </w:rPr>
    </w:lvl>
    <w:lvl w:ilvl="8" w:tentative="0">
      <w:start w:val="0"/>
      <w:numFmt w:val="bullet"/>
      <w:lvlText w:val="•"/>
      <w:lvlJc w:val="left"/>
      <w:pPr>
        <w:ind w:left="7787" w:hanging="702"/>
      </w:pPr>
      <w:rPr>
        <w:rFonts w:hint="default"/>
        <w:lang w:val="zh-CN" w:eastAsia="zh-CN" w:bidi="zh-CN"/>
      </w:rPr>
    </w:lvl>
  </w:abstractNum>
  <w:abstractNum w:abstractNumId="11">
    <w:nsid w:val="C8879AEF"/>
    <w:multiLevelType w:val="multilevel"/>
    <w:tmpl w:val="C8879AEF"/>
    <w:lvl w:ilvl="0" w:tentative="0">
      <w:start w:val="1"/>
      <w:numFmt w:val="decimal"/>
      <w:lvlText w:val="（%1）"/>
      <w:lvlJc w:val="left"/>
      <w:pPr>
        <w:ind w:left="219"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1187" w:hanging="702"/>
      </w:pPr>
      <w:rPr>
        <w:rFonts w:hint="default"/>
        <w:lang w:val="zh-CN" w:eastAsia="zh-CN" w:bidi="zh-CN"/>
      </w:rPr>
    </w:lvl>
    <w:lvl w:ilvl="2" w:tentative="0">
      <w:start w:val="0"/>
      <w:numFmt w:val="bullet"/>
      <w:lvlText w:val="•"/>
      <w:lvlJc w:val="left"/>
      <w:pPr>
        <w:ind w:left="2154" w:hanging="702"/>
      </w:pPr>
      <w:rPr>
        <w:rFonts w:hint="default"/>
        <w:lang w:val="zh-CN" w:eastAsia="zh-CN" w:bidi="zh-CN"/>
      </w:rPr>
    </w:lvl>
    <w:lvl w:ilvl="3" w:tentative="0">
      <w:start w:val="0"/>
      <w:numFmt w:val="bullet"/>
      <w:lvlText w:val="•"/>
      <w:lvlJc w:val="left"/>
      <w:pPr>
        <w:ind w:left="3121" w:hanging="702"/>
      </w:pPr>
      <w:rPr>
        <w:rFonts w:hint="default"/>
        <w:lang w:val="zh-CN" w:eastAsia="zh-CN" w:bidi="zh-CN"/>
      </w:rPr>
    </w:lvl>
    <w:lvl w:ilvl="4" w:tentative="0">
      <w:start w:val="0"/>
      <w:numFmt w:val="bullet"/>
      <w:lvlText w:val="•"/>
      <w:lvlJc w:val="left"/>
      <w:pPr>
        <w:ind w:left="4088" w:hanging="702"/>
      </w:pPr>
      <w:rPr>
        <w:rFonts w:hint="default"/>
        <w:lang w:val="zh-CN" w:eastAsia="zh-CN" w:bidi="zh-CN"/>
      </w:rPr>
    </w:lvl>
    <w:lvl w:ilvl="5" w:tentative="0">
      <w:start w:val="0"/>
      <w:numFmt w:val="bullet"/>
      <w:lvlText w:val="•"/>
      <w:lvlJc w:val="left"/>
      <w:pPr>
        <w:ind w:left="5055" w:hanging="702"/>
      </w:pPr>
      <w:rPr>
        <w:rFonts w:hint="default"/>
        <w:lang w:val="zh-CN" w:eastAsia="zh-CN" w:bidi="zh-CN"/>
      </w:rPr>
    </w:lvl>
    <w:lvl w:ilvl="6" w:tentative="0">
      <w:start w:val="0"/>
      <w:numFmt w:val="bullet"/>
      <w:lvlText w:val="•"/>
      <w:lvlJc w:val="left"/>
      <w:pPr>
        <w:ind w:left="6022" w:hanging="702"/>
      </w:pPr>
      <w:rPr>
        <w:rFonts w:hint="default"/>
        <w:lang w:val="zh-CN" w:eastAsia="zh-CN" w:bidi="zh-CN"/>
      </w:rPr>
    </w:lvl>
    <w:lvl w:ilvl="7" w:tentative="0">
      <w:start w:val="0"/>
      <w:numFmt w:val="bullet"/>
      <w:lvlText w:val="•"/>
      <w:lvlJc w:val="left"/>
      <w:pPr>
        <w:ind w:left="6989" w:hanging="702"/>
      </w:pPr>
      <w:rPr>
        <w:rFonts w:hint="default"/>
        <w:lang w:val="zh-CN" w:eastAsia="zh-CN" w:bidi="zh-CN"/>
      </w:rPr>
    </w:lvl>
    <w:lvl w:ilvl="8" w:tentative="0">
      <w:start w:val="0"/>
      <w:numFmt w:val="bullet"/>
      <w:lvlText w:val="•"/>
      <w:lvlJc w:val="left"/>
      <w:pPr>
        <w:ind w:left="7956" w:hanging="702"/>
      </w:pPr>
      <w:rPr>
        <w:rFonts w:hint="default"/>
        <w:lang w:val="zh-CN" w:eastAsia="zh-CN" w:bidi="zh-CN"/>
      </w:rPr>
    </w:lvl>
  </w:abstractNum>
  <w:abstractNum w:abstractNumId="12">
    <w:nsid w:val="DCBA6B53"/>
    <w:multiLevelType w:val="multilevel"/>
    <w:tmpl w:val="DCBA6B53"/>
    <w:lvl w:ilvl="0" w:tentative="0">
      <w:start w:val="1"/>
      <w:numFmt w:val="decimal"/>
      <w:lvlText w:val="（%1）"/>
      <w:lvlJc w:val="left"/>
      <w:pPr>
        <w:ind w:left="1482"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321" w:hanging="702"/>
      </w:pPr>
      <w:rPr>
        <w:rFonts w:hint="default"/>
        <w:lang w:val="zh-CN" w:eastAsia="zh-CN" w:bidi="zh-CN"/>
      </w:rPr>
    </w:lvl>
    <w:lvl w:ilvl="2" w:tentative="0">
      <w:start w:val="0"/>
      <w:numFmt w:val="bullet"/>
      <w:lvlText w:val="•"/>
      <w:lvlJc w:val="left"/>
      <w:pPr>
        <w:ind w:left="3162" w:hanging="702"/>
      </w:pPr>
      <w:rPr>
        <w:rFonts w:hint="default"/>
        <w:lang w:val="zh-CN" w:eastAsia="zh-CN" w:bidi="zh-CN"/>
      </w:rPr>
    </w:lvl>
    <w:lvl w:ilvl="3" w:tentative="0">
      <w:start w:val="0"/>
      <w:numFmt w:val="bullet"/>
      <w:lvlText w:val="•"/>
      <w:lvlJc w:val="left"/>
      <w:pPr>
        <w:ind w:left="4003" w:hanging="702"/>
      </w:pPr>
      <w:rPr>
        <w:rFonts w:hint="default"/>
        <w:lang w:val="zh-CN" w:eastAsia="zh-CN" w:bidi="zh-CN"/>
      </w:rPr>
    </w:lvl>
    <w:lvl w:ilvl="4" w:tentative="0">
      <w:start w:val="0"/>
      <w:numFmt w:val="bullet"/>
      <w:lvlText w:val="•"/>
      <w:lvlJc w:val="left"/>
      <w:pPr>
        <w:ind w:left="4844" w:hanging="702"/>
      </w:pPr>
      <w:rPr>
        <w:rFonts w:hint="default"/>
        <w:lang w:val="zh-CN" w:eastAsia="zh-CN" w:bidi="zh-CN"/>
      </w:rPr>
    </w:lvl>
    <w:lvl w:ilvl="5" w:tentative="0">
      <w:start w:val="0"/>
      <w:numFmt w:val="bullet"/>
      <w:lvlText w:val="•"/>
      <w:lvlJc w:val="left"/>
      <w:pPr>
        <w:ind w:left="5685" w:hanging="702"/>
      </w:pPr>
      <w:rPr>
        <w:rFonts w:hint="default"/>
        <w:lang w:val="zh-CN" w:eastAsia="zh-CN" w:bidi="zh-CN"/>
      </w:rPr>
    </w:lvl>
    <w:lvl w:ilvl="6" w:tentative="0">
      <w:start w:val="0"/>
      <w:numFmt w:val="bullet"/>
      <w:lvlText w:val="•"/>
      <w:lvlJc w:val="left"/>
      <w:pPr>
        <w:ind w:left="6526" w:hanging="702"/>
      </w:pPr>
      <w:rPr>
        <w:rFonts w:hint="default"/>
        <w:lang w:val="zh-CN" w:eastAsia="zh-CN" w:bidi="zh-CN"/>
      </w:rPr>
    </w:lvl>
    <w:lvl w:ilvl="7" w:tentative="0">
      <w:start w:val="0"/>
      <w:numFmt w:val="bullet"/>
      <w:lvlText w:val="•"/>
      <w:lvlJc w:val="left"/>
      <w:pPr>
        <w:ind w:left="7367" w:hanging="702"/>
      </w:pPr>
      <w:rPr>
        <w:rFonts w:hint="default"/>
        <w:lang w:val="zh-CN" w:eastAsia="zh-CN" w:bidi="zh-CN"/>
      </w:rPr>
    </w:lvl>
    <w:lvl w:ilvl="8" w:tentative="0">
      <w:start w:val="0"/>
      <w:numFmt w:val="bullet"/>
      <w:lvlText w:val="•"/>
      <w:lvlJc w:val="left"/>
      <w:pPr>
        <w:ind w:left="8208" w:hanging="702"/>
      </w:pPr>
      <w:rPr>
        <w:rFonts w:hint="default"/>
        <w:lang w:val="zh-CN" w:eastAsia="zh-CN" w:bidi="zh-CN"/>
      </w:rPr>
    </w:lvl>
  </w:abstractNum>
  <w:abstractNum w:abstractNumId="13">
    <w:nsid w:val="E093A4B0"/>
    <w:multiLevelType w:val="multilevel"/>
    <w:tmpl w:val="E093A4B0"/>
    <w:lvl w:ilvl="0" w:tentative="0">
      <w:start w:val="20"/>
      <w:numFmt w:val="decimal"/>
      <w:lvlText w:val="%1."/>
      <w:lvlJc w:val="left"/>
      <w:pPr>
        <w:ind w:left="644" w:hanging="425"/>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219" w:hanging="701"/>
        <w:jc w:val="left"/>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219" w:hanging="982"/>
        <w:jc w:val="left"/>
      </w:pPr>
      <w:rPr>
        <w:rFonts w:hint="default" w:ascii="宋体" w:hAnsi="宋体" w:eastAsia="宋体" w:cs="宋体"/>
        <w:spacing w:val="-2"/>
        <w:w w:val="100"/>
        <w:sz w:val="28"/>
        <w:szCs w:val="28"/>
        <w:lang w:val="zh-CN" w:eastAsia="zh-CN" w:bidi="zh-CN"/>
      </w:rPr>
    </w:lvl>
    <w:lvl w:ilvl="3" w:tentative="0">
      <w:start w:val="0"/>
      <w:numFmt w:val="bullet"/>
      <w:lvlText w:val="•"/>
      <w:lvlJc w:val="left"/>
      <w:pPr>
        <w:ind w:left="2356" w:hanging="982"/>
      </w:pPr>
      <w:rPr>
        <w:rFonts w:hint="default"/>
        <w:lang w:val="zh-CN" w:eastAsia="zh-CN" w:bidi="zh-CN"/>
      </w:rPr>
    </w:lvl>
    <w:lvl w:ilvl="4" w:tentative="0">
      <w:start w:val="0"/>
      <w:numFmt w:val="bullet"/>
      <w:lvlText w:val="•"/>
      <w:lvlJc w:val="left"/>
      <w:pPr>
        <w:ind w:left="3432" w:hanging="982"/>
      </w:pPr>
      <w:rPr>
        <w:rFonts w:hint="default"/>
        <w:lang w:val="zh-CN" w:eastAsia="zh-CN" w:bidi="zh-CN"/>
      </w:rPr>
    </w:lvl>
    <w:lvl w:ilvl="5" w:tentative="0">
      <w:start w:val="0"/>
      <w:numFmt w:val="bullet"/>
      <w:lvlText w:val="•"/>
      <w:lvlJc w:val="left"/>
      <w:pPr>
        <w:ind w:left="4508" w:hanging="982"/>
      </w:pPr>
      <w:rPr>
        <w:rFonts w:hint="default"/>
        <w:lang w:val="zh-CN" w:eastAsia="zh-CN" w:bidi="zh-CN"/>
      </w:rPr>
    </w:lvl>
    <w:lvl w:ilvl="6" w:tentative="0">
      <w:start w:val="0"/>
      <w:numFmt w:val="bullet"/>
      <w:lvlText w:val="•"/>
      <w:lvlJc w:val="left"/>
      <w:pPr>
        <w:ind w:left="5585" w:hanging="982"/>
      </w:pPr>
      <w:rPr>
        <w:rFonts w:hint="default"/>
        <w:lang w:val="zh-CN" w:eastAsia="zh-CN" w:bidi="zh-CN"/>
      </w:rPr>
    </w:lvl>
    <w:lvl w:ilvl="7" w:tentative="0">
      <w:start w:val="0"/>
      <w:numFmt w:val="bullet"/>
      <w:lvlText w:val="•"/>
      <w:lvlJc w:val="left"/>
      <w:pPr>
        <w:ind w:left="6661" w:hanging="982"/>
      </w:pPr>
      <w:rPr>
        <w:rFonts w:hint="default"/>
        <w:lang w:val="zh-CN" w:eastAsia="zh-CN" w:bidi="zh-CN"/>
      </w:rPr>
    </w:lvl>
    <w:lvl w:ilvl="8" w:tentative="0">
      <w:start w:val="0"/>
      <w:numFmt w:val="bullet"/>
      <w:lvlText w:val="•"/>
      <w:lvlJc w:val="left"/>
      <w:pPr>
        <w:ind w:left="7737" w:hanging="982"/>
      </w:pPr>
      <w:rPr>
        <w:rFonts w:hint="default"/>
        <w:lang w:val="zh-CN" w:eastAsia="zh-CN" w:bidi="zh-CN"/>
      </w:rPr>
    </w:lvl>
  </w:abstractNum>
  <w:abstractNum w:abstractNumId="14">
    <w:nsid w:val="F4B5D9F5"/>
    <w:multiLevelType w:val="multilevel"/>
    <w:tmpl w:val="F4B5D9F5"/>
    <w:lvl w:ilvl="0" w:tentative="0">
      <w:start w:val="1"/>
      <w:numFmt w:val="decimal"/>
      <w:lvlText w:val="（%1）"/>
      <w:lvlJc w:val="left"/>
      <w:pPr>
        <w:ind w:left="219"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1187" w:hanging="702"/>
      </w:pPr>
      <w:rPr>
        <w:rFonts w:hint="default"/>
        <w:lang w:val="zh-CN" w:eastAsia="zh-CN" w:bidi="zh-CN"/>
      </w:rPr>
    </w:lvl>
    <w:lvl w:ilvl="2" w:tentative="0">
      <w:start w:val="0"/>
      <w:numFmt w:val="bullet"/>
      <w:lvlText w:val="•"/>
      <w:lvlJc w:val="left"/>
      <w:pPr>
        <w:ind w:left="2154" w:hanging="702"/>
      </w:pPr>
      <w:rPr>
        <w:rFonts w:hint="default"/>
        <w:lang w:val="zh-CN" w:eastAsia="zh-CN" w:bidi="zh-CN"/>
      </w:rPr>
    </w:lvl>
    <w:lvl w:ilvl="3" w:tentative="0">
      <w:start w:val="0"/>
      <w:numFmt w:val="bullet"/>
      <w:lvlText w:val="•"/>
      <w:lvlJc w:val="left"/>
      <w:pPr>
        <w:ind w:left="3121" w:hanging="702"/>
      </w:pPr>
      <w:rPr>
        <w:rFonts w:hint="default"/>
        <w:lang w:val="zh-CN" w:eastAsia="zh-CN" w:bidi="zh-CN"/>
      </w:rPr>
    </w:lvl>
    <w:lvl w:ilvl="4" w:tentative="0">
      <w:start w:val="0"/>
      <w:numFmt w:val="bullet"/>
      <w:lvlText w:val="•"/>
      <w:lvlJc w:val="left"/>
      <w:pPr>
        <w:ind w:left="4088" w:hanging="702"/>
      </w:pPr>
      <w:rPr>
        <w:rFonts w:hint="default"/>
        <w:lang w:val="zh-CN" w:eastAsia="zh-CN" w:bidi="zh-CN"/>
      </w:rPr>
    </w:lvl>
    <w:lvl w:ilvl="5" w:tentative="0">
      <w:start w:val="0"/>
      <w:numFmt w:val="bullet"/>
      <w:lvlText w:val="•"/>
      <w:lvlJc w:val="left"/>
      <w:pPr>
        <w:ind w:left="5055" w:hanging="702"/>
      </w:pPr>
      <w:rPr>
        <w:rFonts w:hint="default"/>
        <w:lang w:val="zh-CN" w:eastAsia="zh-CN" w:bidi="zh-CN"/>
      </w:rPr>
    </w:lvl>
    <w:lvl w:ilvl="6" w:tentative="0">
      <w:start w:val="0"/>
      <w:numFmt w:val="bullet"/>
      <w:lvlText w:val="•"/>
      <w:lvlJc w:val="left"/>
      <w:pPr>
        <w:ind w:left="6022" w:hanging="702"/>
      </w:pPr>
      <w:rPr>
        <w:rFonts w:hint="default"/>
        <w:lang w:val="zh-CN" w:eastAsia="zh-CN" w:bidi="zh-CN"/>
      </w:rPr>
    </w:lvl>
    <w:lvl w:ilvl="7" w:tentative="0">
      <w:start w:val="0"/>
      <w:numFmt w:val="bullet"/>
      <w:lvlText w:val="•"/>
      <w:lvlJc w:val="left"/>
      <w:pPr>
        <w:ind w:left="6989" w:hanging="702"/>
      </w:pPr>
      <w:rPr>
        <w:rFonts w:hint="default"/>
        <w:lang w:val="zh-CN" w:eastAsia="zh-CN" w:bidi="zh-CN"/>
      </w:rPr>
    </w:lvl>
    <w:lvl w:ilvl="8" w:tentative="0">
      <w:start w:val="0"/>
      <w:numFmt w:val="bullet"/>
      <w:lvlText w:val="•"/>
      <w:lvlJc w:val="left"/>
      <w:pPr>
        <w:ind w:left="7956" w:hanging="702"/>
      </w:pPr>
      <w:rPr>
        <w:rFonts w:hint="default"/>
        <w:lang w:val="zh-CN" w:eastAsia="zh-CN" w:bidi="zh-CN"/>
      </w:rPr>
    </w:lvl>
  </w:abstractNum>
  <w:abstractNum w:abstractNumId="15">
    <w:nsid w:val="F7735DC9"/>
    <w:multiLevelType w:val="multilevel"/>
    <w:tmpl w:val="F7735DC9"/>
    <w:lvl w:ilvl="0" w:tentative="0">
      <w:start w:val="19"/>
      <w:numFmt w:val="decimal"/>
      <w:lvlText w:val="%1"/>
      <w:lvlJc w:val="left"/>
      <w:pPr>
        <w:ind w:left="219" w:hanging="701"/>
        <w:jc w:val="left"/>
      </w:pPr>
      <w:rPr>
        <w:rFonts w:hint="default"/>
        <w:lang w:val="zh-CN" w:eastAsia="zh-CN" w:bidi="zh-CN"/>
      </w:rPr>
    </w:lvl>
    <w:lvl w:ilvl="1" w:tentative="0">
      <w:start w:val="1"/>
      <w:numFmt w:val="decimal"/>
      <w:lvlText w:val="%1.%2"/>
      <w:lvlJc w:val="left"/>
      <w:pPr>
        <w:ind w:left="219" w:hanging="701"/>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154" w:hanging="701"/>
      </w:pPr>
      <w:rPr>
        <w:rFonts w:hint="default"/>
        <w:lang w:val="zh-CN" w:eastAsia="zh-CN" w:bidi="zh-CN"/>
      </w:rPr>
    </w:lvl>
    <w:lvl w:ilvl="3" w:tentative="0">
      <w:start w:val="0"/>
      <w:numFmt w:val="bullet"/>
      <w:lvlText w:val="•"/>
      <w:lvlJc w:val="left"/>
      <w:pPr>
        <w:ind w:left="3121" w:hanging="701"/>
      </w:pPr>
      <w:rPr>
        <w:rFonts w:hint="default"/>
        <w:lang w:val="zh-CN" w:eastAsia="zh-CN" w:bidi="zh-CN"/>
      </w:rPr>
    </w:lvl>
    <w:lvl w:ilvl="4" w:tentative="0">
      <w:start w:val="0"/>
      <w:numFmt w:val="bullet"/>
      <w:lvlText w:val="•"/>
      <w:lvlJc w:val="left"/>
      <w:pPr>
        <w:ind w:left="4088" w:hanging="701"/>
      </w:pPr>
      <w:rPr>
        <w:rFonts w:hint="default"/>
        <w:lang w:val="zh-CN" w:eastAsia="zh-CN" w:bidi="zh-CN"/>
      </w:rPr>
    </w:lvl>
    <w:lvl w:ilvl="5" w:tentative="0">
      <w:start w:val="0"/>
      <w:numFmt w:val="bullet"/>
      <w:lvlText w:val="•"/>
      <w:lvlJc w:val="left"/>
      <w:pPr>
        <w:ind w:left="5055" w:hanging="701"/>
      </w:pPr>
      <w:rPr>
        <w:rFonts w:hint="default"/>
        <w:lang w:val="zh-CN" w:eastAsia="zh-CN" w:bidi="zh-CN"/>
      </w:rPr>
    </w:lvl>
    <w:lvl w:ilvl="6" w:tentative="0">
      <w:start w:val="0"/>
      <w:numFmt w:val="bullet"/>
      <w:lvlText w:val="•"/>
      <w:lvlJc w:val="left"/>
      <w:pPr>
        <w:ind w:left="6022" w:hanging="701"/>
      </w:pPr>
      <w:rPr>
        <w:rFonts w:hint="default"/>
        <w:lang w:val="zh-CN" w:eastAsia="zh-CN" w:bidi="zh-CN"/>
      </w:rPr>
    </w:lvl>
    <w:lvl w:ilvl="7" w:tentative="0">
      <w:start w:val="0"/>
      <w:numFmt w:val="bullet"/>
      <w:lvlText w:val="•"/>
      <w:lvlJc w:val="left"/>
      <w:pPr>
        <w:ind w:left="6989" w:hanging="701"/>
      </w:pPr>
      <w:rPr>
        <w:rFonts w:hint="default"/>
        <w:lang w:val="zh-CN" w:eastAsia="zh-CN" w:bidi="zh-CN"/>
      </w:rPr>
    </w:lvl>
    <w:lvl w:ilvl="8" w:tentative="0">
      <w:start w:val="0"/>
      <w:numFmt w:val="bullet"/>
      <w:lvlText w:val="•"/>
      <w:lvlJc w:val="left"/>
      <w:pPr>
        <w:ind w:left="7956" w:hanging="701"/>
      </w:pPr>
      <w:rPr>
        <w:rFonts w:hint="default"/>
        <w:lang w:val="zh-CN" w:eastAsia="zh-CN" w:bidi="zh-CN"/>
      </w:rPr>
    </w:lvl>
  </w:abstractNum>
  <w:abstractNum w:abstractNumId="16">
    <w:nsid w:val="0248C179"/>
    <w:multiLevelType w:val="multilevel"/>
    <w:tmpl w:val="0248C179"/>
    <w:lvl w:ilvl="0" w:tentative="0">
      <w:start w:val="12"/>
      <w:numFmt w:val="decimal"/>
      <w:lvlText w:val="%1."/>
      <w:lvlJc w:val="left"/>
      <w:pPr>
        <w:ind w:left="644" w:hanging="425"/>
        <w:jc w:val="righ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219" w:hanging="562"/>
        <w:jc w:val="left"/>
      </w:pPr>
      <w:rPr>
        <w:rFonts w:hint="default" w:ascii="宋体" w:hAnsi="宋体" w:eastAsia="宋体" w:cs="宋体"/>
        <w:spacing w:val="-2"/>
        <w:w w:val="100"/>
        <w:sz w:val="26"/>
        <w:szCs w:val="26"/>
        <w:lang w:val="zh-CN" w:eastAsia="zh-CN" w:bidi="zh-CN"/>
      </w:rPr>
    </w:lvl>
    <w:lvl w:ilvl="2" w:tentative="0">
      <w:start w:val="1"/>
      <w:numFmt w:val="decimal"/>
      <w:lvlText w:val="%1.%2.%3"/>
      <w:lvlJc w:val="left"/>
      <w:pPr>
        <w:ind w:left="219" w:hanging="980"/>
        <w:jc w:val="left"/>
      </w:pPr>
      <w:rPr>
        <w:rFonts w:hint="default" w:ascii="宋体" w:hAnsi="宋体" w:eastAsia="宋体" w:cs="宋体"/>
        <w:spacing w:val="-2"/>
        <w:w w:val="100"/>
        <w:sz w:val="28"/>
        <w:szCs w:val="28"/>
        <w:lang w:val="zh-CN" w:eastAsia="zh-CN" w:bidi="zh-CN"/>
      </w:rPr>
    </w:lvl>
    <w:lvl w:ilvl="3" w:tentative="0">
      <w:start w:val="0"/>
      <w:numFmt w:val="bullet"/>
      <w:lvlText w:val="•"/>
      <w:lvlJc w:val="left"/>
      <w:pPr>
        <w:ind w:left="2408" w:hanging="980"/>
      </w:pPr>
      <w:rPr>
        <w:rFonts w:hint="default"/>
        <w:lang w:val="zh-CN" w:eastAsia="zh-CN" w:bidi="zh-CN"/>
      </w:rPr>
    </w:lvl>
    <w:lvl w:ilvl="4" w:tentative="0">
      <w:start w:val="0"/>
      <w:numFmt w:val="bullet"/>
      <w:lvlText w:val="•"/>
      <w:lvlJc w:val="left"/>
      <w:pPr>
        <w:ind w:left="3477" w:hanging="980"/>
      </w:pPr>
      <w:rPr>
        <w:rFonts w:hint="default"/>
        <w:lang w:val="zh-CN" w:eastAsia="zh-CN" w:bidi="zh-CN"/>
      </w:rPr>
    </w:lvl>
    <w:lvl w:ilvl="5" w:tentative="0">
      <w:start w:val="0"/>
      <w:numFmt w:val="bullet"/>
      <w:lvlText w:val="•"/>
      <w:lvlJc w:val="left"/>
      <w:pPr>
        <w:ind w:left="4546" w:hanging="980"/>
      </w:pPr>
      <w:rPr>
        <w:rFonts w:hint="default"/>
        <w:lang w:val="zh-CN" w:eastAsia="zh-CN" w:bidi="zh-CN"/>
      </w:rPr>
    </w:lvl>
    <w:lvl w:ilvl="6" w:tentative="0">
      <w:start w:val="0"/>
      <w:numFmt w:val="bullet"/>
      <w:lvlText w:val="•"/>
      <w:lvlJc w:val="left"/>
      <w:pPr>
        <w:ind w:left="5615" w:hanging="980"/>
      </w:pPr>
      <w:rPr>
        <w:rFonts w:hint="default"/>
        <w:lang w:val="zh-CN" w:eastAsia="zh-CN" w:bidi="zh-CN"/>
      </w:rPr>
    </w:lvl>
    <w:lvl w:ilvl="7" w:tentative="0">
      <w:start w:val="0"/>
      <w:numFmt w:val="bullet"/>
      <w:lvlText w:val="•"/>
      <w:lvlJc w:val="left"/>
      <w:pPr>
        <w:ind w:left="6683" w:hanging="980"/>
      </w:pPr>
      <w:rPr>
        <w:rFonts w:hint="default"/>
        <w:lang w:val="zh-CN" w:eastAsia="zh-CN" w:bidi="zh-CN"/>
      </w:rPr>
    </w:lvl>
    <w:lvl w:ilvl="8" w:tentative="0">
      <w:start w:val="0"/>
      <w:numFmt w:val="bullet"/>
      <w:lvlText w:val="•"/>
      <w:lvlJc w:val="left"/>
      <w:pPr>
        <w:ind w:left="7752" w:hanging="980"/>
      </w:pPr>
      <w:rPr>
        <w:rFonts w:hint="default"/>
        <w:lang w:val="zh-CN" w:eastAsia="zh-CN" w:bidi="zh-CN"/>
      </w:rPr>
    </w:lvl>
  </w:abstractNum>
  <w:abstractNum w:abstractNumId="17">
    <w:nsid w:val="03D62ECE"/>
    <w:multiLevelType w:val="multilevel"/>
    <w:tmpl w:val="03D62ECE"/>
    <w:lvl w:ilvl="0" w:tentative="0">
      <w:start w:val="7"/>
      <w:numFmt w:val="decimal"/>
      <w:lvlText w:val="%1."/>
      <w:lvlJc w:val="left"/>
      <w:pPr>
        <w:ind w:left="502"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219"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1543" w:hanging="560"/>
      </w:pPr>
      <w:rPr>
        <w:rFonts w:hint="default"/>
        <w:lang w:val="zh-CN" w:eastAsia="zh-CN" w:bidi="zh-CN"/>
      </w:rPr>
    </w:lvl>
    <w:lvl w:ilvl="3" w:tentative="0">
      <w:start w:val="0"/>
      <w:numFmt w:val="bullet"/>
      <w:lvlText w:val="•"/>
      <w:lvlJc w:val="left"/>
      <w:pPr>
        <w:ind w:left="2586" w:hanging="560"/>
      </w:pPr>
      <w:rPr>
        <w:rFonts w:hint="default"/>
        <w:lang w:val="zh-CN" w:eastAsia="zh-CN" w:bidi="zh-CN"/>
      </w:rPr>
    </w:lvl>
    <w:lvl w:ilvl="4" w:tentative="0">
      <w:start w:val="0"/>
      <w:numFmt w:val="bullet"/>
      <w:lvlText w:val="•"/>
      <w:lvlJc w:val="left"/>
      <w:pPr>
        <w:ind w:left="3630" w:hanging="560"/>
      </w:pPr>
      <w:rPr>
        <w:rFonts w:hint="default"/>
        <w:lang w:val="zh-CN" w:eastAsia="zh-CN" w:bidi="zh-CN"/>
      </w:rPr>
    </w:lvl>
    <w:lvl w:ilvl="5" w:tentative="0">
      <w:start w:val="0"/>
      <w:numFmt w:val="bullet"/>
      <w:lvlText w:val="•"/>
      <w:lvlJc w:val="left"/>
      <w:pPr>
        <w:ind w:left="4673" w:hanging="560"/>
      </w:pPr>
      <w:rPr>
        <w:rFonts w:hint="default"/>
        <w:lang w:val="zh-CN" w:eastAsia="zh-CN" w:bidi="zh-CN"/>
      </w:rPr>
    </w:lvl>
    <w:lvl w:ilvl="6" w:tentative="0">
      <w:start w:val="0"/>
      <w:numFmt w:val="bullet"/>
      <w:lvlText w:val="•"/>
      <w:lvlJc w:val="left"/>
      <w:pPr>
        <w:ind w:left="5716" w:hanging="560"/>
      </w:pPr>
      <w:rPr>
        <w:rFonts w:hint="default"/>
        <w:lang w:val="zh-CN" w:eastAsia="zh-CN" w:bidi="zh-CN"/>
      </w:rPr>
    </w:lvl>
    <w:lvl w:ilvl="7" w:tentative="0">
      <w:start w:val="0"/>
      <w:numFmt w:val="bullet"/>
      <w:lvlText w:val="•"/>
      <w:lvlJc w:val="left"/>
      <w:pPr>
        <w:ind w:left="6760" w:hanging="560"/>
      </w:pPr>
      <w:rPr>
        <w:rFonts w:hint="default"/>
        <w:lang w:val="zh-CN" w:eastAsia="zh-CN" w:bidi="zh-CN"/>
      </w:rPr>
    </w:lvl>
    <w:lvl w:ilvl="8" w:tentative="0">
      <w:start w:val="0"/>
      <w:numFmt w:val="bullet"/>
      <w:lvlText w:val="•"/>
      <w:lvlJc w:val="left"/>
      <w:pPr>
        <w:ind w:left="7803" w:hanging="560"/>
      </w:pPr>
      <w:rPr>
        <w:rFonts w:hint="default"/>
        <w:lang w:val="zh-CN" w:eastAsia="zh-CN" w:bidi="zh-CN"/>
      </w:rPr>
    </w:lvl>
  </w:abstractNum>
  <w:abstractNum w:abstractNumId="18">
    <w:nsid w:val="0E640482"/>
    <w:multiLevelType w:val="multilevel"/>
    <w:tmpl w:val="0E640482"/>
    <w:lvl w:ilvl="0" w:tentative="0">
      <w:start w:val="1"/>
      <w:numFmt w:val="decimal"/>
      <w:lvlText w:val="（%1）"/>
      <w:lvlJc w:val="left"/>
      <w:pPr>
        <w:ind w:left="1482"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321" w:hanging="702"/>
      </w:pPr>
      <w:rPr>
        <w:rFonts w:hint="default"/>
        <w:lang w:val="zh-CN" w:eastAsia="zh-CN" w:bidi="zh-CN"/>
      </w:rPr>
    </w:lvl>
    <w:lvl w:ilvl="2" w:tentative="0">
      <w:start w:val="0"/>
      <w:numFmt w:val="bullet"/>
      <w:lvlText w:val="•"/>
      <w:lvlJc w:val="left"/>
      <w:pPr>
        <w:ind w:left="3162" w:hanging="702"/>
      </w:pPr>
      <w:rPr>
        <w:rFonts w:hint="default"/>
        <w:lang w:val="zh-CN" w:eastAsia="zh-CN" w:bidi="zh-CN"/>
      </w:rPr>
    </w:lvl>
    <w:lvl w:ilvl="3" w:tentative="0">
      <w:start w:val="0"/>
      <w:numFmt w:val="bullet"/>
      <w:lvlText w:val="•"/>
      <w:lvlJc w:val="left"/>
      <w:pPr>
        <w:ind w:left="4003" w:hanging="702"/>
      </w:pPr>
      <w:rPr>
        <w:rFonts w:hint="default"/>
        <w:lang w:val="zh-CN" w:eastAsia="zh-CN" w:bidi="zh-CN"/>
      </w:rPr>
    </w:lvl>
    <w:lvl w:ilvl="4" w:tentative="0">
      <w:start w:val="0"/>
      <w:numFmt w:val="bullet"/>
      <w:lvlText w:val="•"/>
      <w:lvlJc w:val="left"/>
      <w:pPr>
        <w:ind w:left="4844" w:hanging="702"/>
      </w:pPr>
      <w:rPr>
        <w:rFonts w:hint="default"/>
        <w:lang w:val="zh-CN" w:eastAsia="zh-CN" w:bidi="zh-CN"/>
      </w:rPr>
    </w:lvl>
    <w:lvl w:ilvl="5" w:tentative="0">
      <w:start w:val="0"/>
      <w:numFmt w:val="bullet"/>
      <w:lvlText w:val="•"/>
      <w:lvlJc w:val="left"/>
      <w:pPr>
        <w:ind w:left="5685" w:hanging="702"/>
      </w:pPr>
      <w:rPr>
        <w:rFonts w:hint="default"/>
        <w:lang w:val="zh-CN" w:eastAsia="zh-CN" w:bidi="zh-CN"/>
      </w:rPr>
    </w:lvl>
    <w:lvl w:ilvl="6" w:tentative="0">
      <w:start w:val="0"/>
      <w:numFmt w:val="bullet"/>
      <w:lvlText w:val="•"/>
      <w:lvlJc w:val="left"/>
      <w:pPr>
        <w:ind w:left="6526" w:hanging="702"/>
      </w:pPr>
      <w:rPr>
        <w:rFonts w:hint="default"/>
        <w:lang w:val="zh-CN" w:eastAsia="zh-CN" w:bidi="zh-CN"/>
      </w:rPr>
    </w:lvl>
    <w:lvl w:ilvl="7" w:tentative="0">
      <w:start w:val="0"/>
      <w:numFmt w:val="bullet"/>
      <w:lvlText w:val="•"/>
      <w:lvlJc w:val="left"/>
      <w:pPr>
        <w:ind w:left="7367" w:hanging="702"/>
      </w:pPr>
      <w:rPr>
        <w:rFonts w:hint="default"/>
        <w:lang w:val="zh-CN" w:eastAsia="zh-CN" w:bidi="zh-CN"/>
      </w:rPr>
    </w:lvl>
    <w:lvl w:ilvl="8" w:tentative="0">
      <w:start w:val="0"/>
      <w:numFmt w:val="bullet"/>
      <w:lvlText w:val="•"/>
      <w:lvlJc w:val="left"/>
      <w:pPr>
        <w:ind w:left="8208" w:hanging="702"/>
      </w:pPr>
      <w:rPr>
        <w:rFonts w:hint="default"/>
        <w:lang w:val="zh-CN" w:eastAsia="zh-CN" w:bidi="zh-CN"/>
      </w:rPr>
    </w:lvl>
  </w:abstractNum>
  <w:abstractNum w:abstractNumId="19">
    <w:nsid w:val="1ACDE60F"/>
    <w:multiLevelType w:val="multilevel"/>
    <w:tmpl w:val="1ACDE60F"/>
    <w:lvl w:ilvl="0" w:tentative="0">
      <w:start w:val="2"/>
      <w:numFmt w:val="decimal"/>
      <w:lvlText w:val="%1."/>
      <w:lvlJc w:val="left"/>
      <w:pPr>
        <w:ind w:left="219" w:hanging="281"/>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187" w:hanging="281"/>
      </w:pPr>
      <w:rPr>
        <w:rFonts w:hint="default"/>
        <w:lang w:val="zh-CN" w:eastAsia="zh-CN" w:bidi="zh-CN"/>
      </w:rPr>
    </w:lvl>
    <w:lvl w:ilvl="2" w:tentative="0">
      <w:start w:val="0"/>
      <w:numFmt w:val="bullet"/>
      <w:lvlText w:val="•"/>
      <w:lvlJc w:val="left"/>
      <w:pPr>
        <w:ind w:left="2154" w:hanging="281"/>
      </w:pPr>
      <w:rPr>
        <w:rFonts w:hint="default"/>
        <w:lang w:val="zh-CN" w:eastAsia="zh-CN" w:bidi="zh-CN"/>
      </w:rPr>
    </w:lvl>
    <w:lvl w:ilvl="3" w:tentative="0">
      <w:start w:val="0"/>
      <w:numFmt w:val="bullet"/>
      <w:lvlText w:val="•"/>
      <w:lvlJc w:val="left"/>
      <w:pPr>
        <w:ind w:left="3121" w:hanging="281"/>
      </w:pPr>
      <w:rPr>
        <w:rFonts w:hint="default"/>
        <w:lang w:val="zh-CN" w:eastAsia="zh-CN" w:bidi="zh-CN"/>
      </w:rPr>
    </w:lvl>
    <w:lvl w:ilvl="4" w:tentative="0">
      <w:start w:val="0"/>
      <w:numFmt w:val="bullet"/>
      <w:lvlText w:val="•"/>
      <w:lvlJc w:val="left"/>
      <w:pPr>
        <w:ind w:left="4088" w:hanging="281"/>
      </w:pPr>
      <w:rPr>
        <w:rFonts w:hint="default"/>
        <w:lang w:val="zh-CN" w:eastAsia="zh-CN" w:bidi="zh-CN"/>
      </w:rPr>
    </w:lvl>
    <w:lvl w:ilvl="5" w:tentative="0">
      <w:start w:val="0"/>
      <w:numFmt w:val="bullet"/>
      <w:lvlText w:val="•"/>
      <w:lvlJc w:val="left"/>
      <w:pPr>
        <w:ind w:left="5055" w:hanging="281"/>
      </w:pPr>
      <w:rPr>
        <w:rFonts w:hint="default"/>
        <w:lang w:val="zh-CN" w:eastAsia="zh-CN" w:bidi="zh-CN"/>
      </w:rPr>
    </w:lvl>
    <w:lvl w:ilvl="6" w:tentative="0">
      <w:start w:val="0"/>
      <w:numFmt w:val="bullet"/>
      <w:lvlText w:val="•"/>
      <w:lvlJc w:val="left"/>
      <w:pPr>
        <w:ind w:left="6022" w:hanging="281"/>
      </w:pPr>
      <w:rPr>
        <w:rFonts w:hint="default"/>
        <w:lang w:val="zh-CN" w:eastAsia="zh-CN" w:bidi="zh-CN"/>
      </w:rPr>
    </w:lvl>
    <w:lvl w:ilvl="7" w:tentative="0">
      <w:start w:val="0"/>
      <w:numFmt w:val="bullet"/>
      <w:lvlText w:val="•"/>
      <w:lvlJc w:val="left"/>
      <w:pPr>
        <w:ind w:left="6989" w:hanging="281"/>
      </w:pPr>
      <w:rPr>
        <w:rFonts w:hint="default"/>
        <w:lang w:val="zh-CN" w:eastAsia="zh-CN" w:bidi="zh-CN"/>
      </w:rPr>
    </w:lvl>
    <w:lvl w:ilvl="8" w:tentative="0">
      <w:start w:val="0"/>
      <w:numFmt w:val="bullet"/>
      <w:lvlText w:val="•"/>
      <w:lvlJc w:val="left"/>
      <w:pPr>
        <w:ind w:left="7956" w:hanging="281"/>
      </w:pPr>
      <w:rPr>
        <w:rFonts w:hint="default"/>
        <w:lang w:val="zh-CN" w:eastAsia="zh-CN" w:bidi="zh-CN"/>
      </w:rPr>
    </w:lvl>
  </w:abstractNum>
  <w:abstractNum w:abstractNumId="20">
    <w:nsid w:val="243FCF68"/>
    <w:multiLevelType w:val="multilevel"/>
    <w:tmpl w:val="243FCF68"/>
    <w:lvl w:ilvl="0" w:tentative="0">
      <w:start w:val="1"/>
      <w:numFmt w:val="lowerLetter"/>
      <w:lvlText w:val="%1."/>
      <w:lvlJc w:val="left"/>
      <w:pPr>
        <w:ind w:left="982"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871" w:hanging="284"/>
      </w:pPr>
      <w:rPr>
        <w:rFonts w:hint="default"/>
        <w:lang w:val="zh-CN" w:eastAsia="zh-CN" w:bidi="zh-CN"/>
      </w:rPr>
    </w:lvl>
    <w:lvl w:ilvl="2" w:tentative="0">
      <w:start w:val="0"/>
      <w:numFmt w:val="bullet"/>
      <w:lvlText w:val="•"/>
      <w:lvlJc w:val="left"/>
      <w:pPr>
        <w:ind w:left="2762" w:hanging="284"/>
      </w:pPr>
      <w:rPr>
        <w:rFonts w:hint="default"/>
        <w:lang w:val="zh-CN" w:eastAsia="zh-CN" w:bidi="zh-CN"/>
      </w:rPr>
    </w:lvl>
    <w:lvl w:ilvl="3" w:tentative="0">
      <w:start w:val="0"/>
      <w:numFmt w:val="bullet"/>
      <w:lvlText w:val="•"/>
      <w:lvlJc w:val="left"/>
      <w:pPr>
        <w:ind w:left="3653" w:hanging="284"/>
      </w:pPr>
      <w:rPr>
        <w:rFonts w:hint="default"/>
        <w:lang w:val="zh-CN" w:eastAsia="zh-CN" w:bidi="zh-CN"/>
      </w:rPr>
    </w:lvl>
    <w:lvl w:ilvl="4" w:tentative="0">
      <w:start w:val="0"/>
      <w:numFmt w:val="bullet"/>
      <w:lvlText w:val="•"/>
      <w:lvlJc w:val="left"/>
      <w:pPr>
        <w:ind w:left="4544" w:hanging="284"/>
      </w:pPr>
      <w:rPr>
        <w:rFonts w:hint="default"/>
        <w:lang w:val="zh-CN" w:eastAsia="zh-CN" w:bidi="zh-CN"/>
      </w:rPr>
    </w:lvl>
    <w:lvl w:ilvl="5" w:tentative="0">
      <w:start w:val="0"/>
      <w:numFmt w:val="bullet"/>
      <w:lvlText w:val="•"/>
      <w:lvlJc w:val="left"/>
      <w:pPr>
        <w:ind w:left="5435" w:hanging="284"/>
      </w:pPr>
      <w:rPr>
        <w:rFonts w:hint="default"/>
        <w:lang w:val="zh-CN" w:eastAsia="zh-CN" w:bidi="zh-CN"/>
      </w:rPr>
    </w:lvl>
    <w:lvl w:ilvl="6" w:tentative="0">
      <w:start w:val="0"/>
      <w:numFmt w:val="bullet"/>
      <w:lvlText w:val="•"/>
      <w:lvlJc w:val="left"/>
      <w:pPr>
        <w:ind w:left="6326" w:hanging="284"/>
      </w:pPr>
      <w:rPr>
        <w:rFonts w:hint="default"/>
        <w:lang w:val="zh-CN" w:eastAsia="zh-CN" w:bidi="zh-CN"/>
      </w:rPr>
    </w:lvl>
    <w:lvl w:ilvl="7" w:tentative="0">
      <w:start w:val="0"/>
      <w:numFmt w:val="bullet"/>
      <w:lvlText w:val="•"/>
      <w:lvlJc w:val="left"/>
      <w:pPr>
        <w:ind w:left="7217" w:hanging="284"/>
      </w:pPr>
      <w:rPr>
        <w:rFonts w:hint="default"/>
        <w:lang w:val="zh-CN" w:eastAsia="zh-CN" w:bidi="zh-CN"/>
      </w:rPr>
    </w:lvl>
    <w:lvl w:ilvl="8" w:tentative="0">
      <w:start w:val="0"/>
      <w:numFmt w:val="bullet"/>
      <w:lvlText w:val="•"/>
      <w:lvlJc w:val="left"/>
      <w:pPr>
        <w:ind w:left="8108" w:hanging="284"/>
      </w:pPr>
      <w:rPr>
        <w:rFonts w:hint="default"/>
        <w:lang w:val="zh-CN" w:eastAsia="zh-CN" w:bidi="zh-CN"/>
      </w:rPr>
    </w:lvl>
  </w:abstractNum>
  <w:abstractNum w:abstractNumId="21">
    <w:nsid w:val="25B654F3"/>
    <w:multiLevelType w:val="multilevel"/>
    <w:tmpl w:val="25B654F3"/>
    <w:lvl w:ilvl="0" w:tentative="0">
      <w:start w:val="9"/>
      <w:numFmt w:val="decimal"/>
      <w:lvlText w:val="%1"/>
      <w:lvlJc w:val="left"/>
      <w:pPr>
        <w:ind w:left="219" w:hanging="420"/>
        <w:jc w:val="left"/>
      </w:pPr>
      <w:rPr>
        <w:rFonts w:hint="default"/>
        <w:lang w:val="zh-CN" w:eastAsia="zh-CN" w:bidi="zh-CN"/>
      </w:rPr>
    </w:lvl>
    <w:lvl w:ilvl="1" w:tentative="0">
      <w:start w:val="1"/>
      <w:numFmt w:val="decimal"/>
      <w:lvlText w:val="%1.%2"/>
      <w:lvlJc w:val="left"/>
      <w:pPr>
        <w:ind w:left="219" w:hanging="420"/>
        <w:jc w:val="left"/>
      </w:pPr>
      <w:rPr>
        <w:rFonts w:hint="default" w:ascii="宋体" w:hAnsi="宋体" w:eastAsia="宋体" w:cs="宋体"/>
        <w:spacing w:val="-2"/>
        <w:w w:val="100"/>
        <w:sz w:val="26"/>
        <w:szCs w:val="26"/>
        <w:lang w:val="zh-CN" w:eastAsia="zh-CN" w:bidi="zh-CN"/>
      </w:rPr>
    </w:lvl>
    <w:lvl w:ilvl="2" w:tentative="0">
      <w:start w:val="1"/>
      <w:numFmt w:val="decimal"/>
      <w:lvlText w:val="%1.%2.%3"/>
      <w:lvlJc w:val="left"/>
      <w:pPr>
        <w:ind w:left="219" w:hanging="701"/>
        <w:jc w:val="left"/>
      </w:pPr>
      <w:rPr>
        <w:rFonts w:hint="default" w:ascii="宋体" w:hAnsi="宋体" w:eastAsia="宋体" w:cs="宋体"/>
        <w:spacing w:val="-2"/>
        <w:w w:val="100"/>
        <w:sz w:val="26"/>
        <w:szCs w:val="26"/>
        <w:lang w:val="zh-CN" w:eastAsia="zh-CN" w:bidi="zh-CN"/>
      </w:rPr>
    </w:lvl>
    <w:lvl w:ilvl="3" w:tentative="0">
      <w:start w:val="0"/>
      <w:numFmt w:val="bullet"/>
      <w:lvlText w:val="•"/>
      <w:lvlJc w:val="left"/>
      <w:pPr>
        <w:ind w:left="3121" w:hanging="701"/>
      </w:pPr>
      <w:rPr>
        <w:rFonts w:hint="default"/>
        <w:lang w:val="zh-CN" w:eastAsia="zh-CN" w:bidi="zh-CN"/>
      </w:rPr>
    </w:lvl>
    <w:lvl w:ilvl="4" w:tentative="0">
      <w:start w:val="0"/>
      <w:numFmt w:val="bullet"/>
      <w:lvlText w:val="•"/>
      <w:lvlJc w:val="left"/>
      <w:pPr>
        <w:ind w:left="4088" w:hanging="701"/>
      </w:pPr>
      <w:rPr>
        <w:rFonts w:hint="default"/>
        <w:lang w:val="zh-CN" w:eastAsia="zh-CN" w:bidi="zh-CN"/>
      </w:rPr>
    </w:lvl>
    <w:lvl w:ilvl="5" w:tentative="0">
      <w:start w:val="0"/>
      <w:numFmt w:val="bullet"/>
      <w:lvlText w:val="•"/>
      <w:lvlJc w:val="left"/>
      <w:pPr>
        <w:ind w:left="5055" w:hanging="701"/>
      </w:pPr>
      <w:rPr>
        <w:rFonts w:hint="default"/>
        <w:lang w:val="zh-CN" w:eastAsia="zh-CN" w:bidi="zh-CN"/>
      </w:rPr>
    </w:lvl>
    <w:lvl w:ilvl="6" w:tentative="0">
      <w:start w:val="0"/>
      <w:numFmt w:val="bullet"/>
      <w:lvlText w:val="•"/>
      <w:lvlJc w:val="left"/>
      <w:pPr>
        <w:ind w:left="6022" w:hanging="701"/>
      </w:pPr>
      <w:rPr>
        <w:rFonts w:hint="default"/>
        <w:lang w:val="zh-CN" w:eastAsia="zh-CN" w:bidi="zh-CN"/>
      </w:rPr>
    </w:lvl>
    <w:lvl w:ilvl="7" w:tentative="0">
      <w:start w:val="0"/>
      <w:numFmt w:val="bullet"/>
      <w:lvlText w:val="•"/>
      <w:lvlJc w:val="left"/>
      <w:pPr>
        <w:ind w:left="6989" w:hanging="701"/>
      </w:pPr>
      <w:rPr>
        <w:rFonts w:hint="default"/>
        <w:lang w:val="zh-CN" w:eastAsia="zh-CN" w:bidi="zh-CN"/>
      </w:rPr>
    </w:lvl>
    <w:lvl w:ilvl="8" w:tentative="0">
      <w:start w:val="0"/>
      <w:numFmt w:val="bullet"/>
      <w:lvlText w:val="•"/>
      <w:lvlJc w:val="left"/>
      <w:pPr>
        <w:ind w:left="7956" w:hanging="701"/>
      </w:pPr>
      <w:rPr>
        <w:rFonts w:hint="default"/>
        <w:lang w:val="zh-CN" w:eastAsia="zh-CN" w:bidi="zh-CN"/>
      </w:rPr>
    </w:lvl>
  </w:abstractNum>
  <w:abstractNum w:abstractNumId="22">
    <w:nsid w:val="2A8F537B"/>
    <w:multiLevelType w:val="multilevel"/>
    <w:tmpl w:val="2A8F537B"/>
    <w:lvl w:ilvl="0" w:tentative="0">
      <w:start w:val="1"/>
      <w:numFmt w:val="decimal"/>
      <w:lvlText w:val="（%1）"/>
      <w:lvlJc w:val="left"/>
      <w:pPr>
        <w:ind w:left="219"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1187" w:hanging="702"/>
      </w:pPr>
      <w:rPr>
        <w:rFonts w:hint="default"/>
        <w:lang w:val="zh-CN" w:eastAsia="zh-CN" w:bidi="zh-CN"/>
      </w:rPr>
    </w:lvl>
    <w:lvl w:ilvl="2" w:tentative="0">
      <w:start w:val="0"/>
      <w:numFmt w:val="bullet"/>
      <w:lvlText w:val="•"/>
      <w:lvlJc w:val="left"/>
      <w:pPr>
        <w:ind w:left="2154" w:hanging="702"/>
      </w:pPr>
      <w:rPr>
        <w:rFonts w:hint="default"/>
        <w:lang w:val="zh-CN" w:eastAsia="zh-CN" w:bidi="zh-CN"/>
      </w:rPr>
    </w:lvl>
    <w:lvl w:ilvl="3" w:tentative="0">
      <w:start w:val="0"/>
      <w:numFmt w:val="bullet"/>
      <w:lvlText w:val="•"/>
      <w:lvlJc w:val="left"/>
      <w:pPr>
        <w:ind w:left="3121" w:hanging="702"/>
      </w:pPr>
      <w:rPr>
        <w:rFonts w:hint="default"/>
        <w:lang w:val="zh-CN" w:eastAsia="zh-CN" w:bidi="zh-CN"/>
      </w:rPr>
    </w:lvl>
    <w:lvl w:ilvl="4" w:tentative="0">
      <w:start w:val="0"/>
      <w:numFmt w:val="bullet"/>
      <w:lvlText w:val="•"/>
      <w:lvlJc w:val="left"/>
      <w:pPr>
        <w:ind w:left="4088" w:hanging="702"/>
      </w:pPr>
      <w:rPr>
        <w:rFonts w:hint="default"/>
        <w:lang w:val="zh-CN" w:eastAsia="zh-CN" w:bidi="zh-CN"/>
      </w:rPr>
    </w:lvl>
    <w:lvl w:ilvl="5" w:tentative="0">
      <w:start w:val="0"/>
      <w:numFmt w:val="bullet"/>
      <w:lvlText w:val="•"/>
      <w:lvlJc w:val="left"/>
      <w:pPr>
        <w:ind w:left="5055" w:hanging="702"/>
      </w:pPr>
      <w:rPr>
        <w:rFonts w:hint="default"/>
        <w:lang w:val="zh-CN" w:eastAsia="zh-CN" w:bidi="zh-CN"/>
      </w:rPr>
    </w:lvl>
    <w:lvl w:ilvl="6" w:tentative="0">
      <w:start w:val="0"/>
      <w:numFmt w:val="bullet"/>
      <w:lvlText w:val="•"/>
      <w:lvlJc w:val="left"/>
      <w:pPr>
        <w:ind w:left="6022" w:hanging="702"/>
      </w:pPr>
      <w:rPr>
        <w:rFonts w:hint="default"/>
        <w:lang w:val="zh-CN" w:eastAsia="zh-CN" w:bidi="zh-CN"/>
      </w:rPr>
    </w:lvl>
    <w:lvl w:ilvl="7" w:tentative="0">
      <w:start w:val="0"/>
      <w:numFmt w:val="bullet"/>
      <w:lvlText w:val="•"/>
      <w:lvlJc w:val="left"/>
      <w:pPr>
        <w:ind w:left="6989" w:hanging="702"/>
      </w:pPr>
      <w:rPr>
        <w:rFonts w:hint="default"/>
        <w:lang w:val="zh-CN" w:eastAsia="zh-CN" w:bidi="zh-CN"/>
      </w:rPr>
    </w:lvl>
    <w:lvl w:ilvl="8" w:tentative="0">
      <w:start w:val="0"/>
      <w:numFmt w:val="bullet"/>
      <w:lvlText w:val="•"/>
      <w:lvlJc w:val="left"/>
      <w:pPr>
        <w:ind w:left="7956" w:hanging="702"/>
      </w:pPr>
      <w:rPr>
        <w:rFonts w:hint="default"/>
        <w:lang w:val="zh-CN" w:eastAsia="zh-CN" w:bidi="zh-CN"/>
      </w:rPr>
    </w:lvl>
  </w:abstractNum>
  <w:abstractNum w:abstractNumId="23">
    <w:nsid w:val="30FC5B15"/>
    <w:multiLevelType w:val="multilevel"/>
    <w:tmpl w:val="30FC5B15"/>
    <w:lvl w:ilvl="0" w:tentative="0">
      <w:start w:val="25"/>
      <w:numFmt w:val="decimal"/>
      <w:lvlText w:val="%1."/>
      <w:lvlJc w:val="left"/>
      <w:pPr>
        <w:ind w:left="644" w:hanging="425"/>
        <w:jc w:val="left"/>
      </w:pPr>
      <w:rPr>
        <w:rFonts w:hint="default" w:ascii="宋体" w:hAnsi="宋体" w:eastAsia="宋体" w:cs="宋体"/>
        <w:b/>
        <w:bCs/>
        <w:spacing w:val="1"/>
        <w:w w:val="99"/>
        <w:sz w:val="26"/>
        <w:szCs w:val="26"/>
        <w:lang w:val="zh-CN" w:eastAsia="zh-CN" w:bidi="zh-CN"/>
      </w:rPr>
    </w:lvl>
    <w:lvl w:ilvl="1" w:tentative="0">
      <w:start w:val="2"/>
      <w:numFmt w:val="decimal"/>
      <w:lvlText w:val="%2."/>
      <w:lvlJc w:val="left"/>
      <w:pPr>
        <w:ind w:left="219" w:hanging="960"/>
        <w:jc w:val="right"/>
      </w:pPr>
      <w:rPr>
        <w:rFonts w:hint="default" w:ascii="宋体" w:hAnsi="宋体" w:eastAsia="宋体" w:cs="宋体"/>
        <w:spacing w:val="0"/>
        <w:w w:val="100"/>
        <w:sz w:val="28"/>
        <w:szCs w:val="28"/>
        <w:lang w:val="zh-CN" w:eastAsia="zh-CN" w:bidi="zh-CN"/>
      </w:rPr>
    </w:lvl>
    <w:lvl w:ilvl="2" w:tentative="0">
      <w:start w:val="0"/>
      <w:numFmt w:val="bullet"/>
      <w:lvlText w:val="•"/>
      <w:lvlJc w:val="left"/>
      <w:pPr>
        <w:ind w:left="1667" w:hanging="960"/>
      </w:pPr>
      <w:rPr>
        <w:rFonts w:hint="default"/>
        <w:lang w:val="zh-CN" w:eastAsia="zh-CN" w:bidi="zh-CN"/>
      </w:rPr>
    </w:lvl>
    <w:lvl w:ilvl="3" w:tentative="0">
      <w:start w:val="0"/>
      <w:numFmt w:val="bullet"/>
      <w:lvlText w:val="•"/>
      <w:lvlJc w:val="left"/>
      <w:pPr>
        <w:ind w:left="2695" w:hanging="960"/>
      </w:pPr>
      <w:rPr>
        <w:rFonts w:hint="default"/>
        <w:lang w:val="zh-CN" w:eastAsia="zh-CN" w:bidi="zh-CN"/>
      </w:rPr>
    </w:lvl>
    <w:lvl w:ilvl="4" w:tentative="0">
      <w:start w:val="0"/>
      <w:numFmt w:val="bullet"/>
      <w:lvlText w:val="•"/>
      <w:lvlJc w:val="left"/>
      <w:pPr>
        <w:ind w:left="3723" w:hanging="960"/>
      </w:pPr>
      <w:rPr>
        <w:rFonts w:hint="default"/>
        <w:lang w:val="zh-CN" w:eastAsia="zh-CN" w:bidi="zh-CN"/>
      </w:rPr>
    </w:lvl>
    <w:lvl w:ilvl="5" w:tentative="0">
      <w:start w:val="0"/>
      <w:numFmt w:val="bullet"/>
      <w:lvlText w:val="•"/>
      <w:lvlJc w:val="left"/>
      <w:pPr>
        <w:ind w:left="4751" w:hanging="960"/>
      </w:pPr>
      <w:rPr>
        <w:rFonts w:hint="default"/>
        <w:lang w:val="zh-CN" w:eastAsia="zh-CN" w:bidi="zh-CN"/>
      </w:rPr>
    </w:lvl>
    <w:lvl w:ilvl="6" w:tentative="0">
      <w:start w:val="0"/>
      <w:numFmt w:val="bullet"/>
      <w:lvlText w:val="•"/>
      <w:lvlJc w:val="left"/>
      <w:pPr>
        <w:ind w:left="5778" w:hanging="960"/>
      </w:pPr>
      <w:rPr>
        <w:rFonts w:hint="default"/>
        <w:lang w:val="zh-CN" w:eastAsia="zh-CN" w:bidi="zh-CN"/>
      </w:rPr>
    </w:lvl>
    <w:lvl w:ilvl="7" w:tentative="0">
      <w:start w:val="0"/>
      <w:numFmt w:val="bullet"/>
      <w:lvlText w:val="•"/>
      <w:lvlJc w:val="left"/>
      <w:pPr>
        <w:ind w:left="6806" w:hanging="960"/>
      </w:pPr>
      <w:rPr>
        <w:rFonts w:hint="default"/>
        <w:lang w:val="zh-CN" w:eastAsia="zh-CN" w:bidi="zh-CN"/>
      </w:rPr>
    </w:lvl>
    <w:lvl w:ilvl="8" w:tentative="0">
      <w:start w:val="0"/>
      <w:numFmt w:val="bullet"/>
      <w:lvlText w:val="•"/>
      <w:lvlJc w:val="left"/>
      <w:pPr>
        <w:ind w:left="7834" w:hanging="960"/>
      </w:pPr>
      <w:rPr>
        <w:rFonts w:hint="default"/>
        <w:lang w:val="zh-CN" w:eastAsia="zh-CN" w:bidi="zh-CN"/>
      </w:rPr>
    </w:lvl>
  </w:abstractNum>
  <w:abstractNum w:abstractNumId="24">
    <w:nsid w:val="39A0D9AC"/>
    <w:multiLevelType w:val="multilevel"/>
    <w:tmpl w:val="39A0D9AC"/>
    <w:lvl w:ilvl="0" w:tentative="0">
      <w:start w:val="1"/>
      <w:numFmt w:val="decimal"/>
      <w:lvlText w:val="%1."/>
      <w:lvlJc w:val="left"/>
      <w:pPr>
        <w:ind w:left="862"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763" w:hanging="284"/>
      </w:pPr>
      <w:rPr>
        <w:rFonts w:hint="default"/>
        <w:lang w:val="zh-CN" w:eastAsia="zh-CN" w:bidi="zh-CN"/>
      </w:rPr>
    </w:lvl>
    <w:lvl w:ilvl="2" w:tentative="0">
      <w:start w:val="0"/>
      <w:numFmt w:val="bullet"/>
      <w:lvlText w:val="•"/>
      <w:lvlJc w:val="left"/>
      <w:pPr>
        <w:ind w:left="2666" w:hanging="284"/>
      </w:pPr>
      <w:rPr>
        <w:rFonts w:hint="default"/>
        <w:lang w:val="zh-CN" w:eastAsia="zh-CN" w:bidi="zh-CN"/>
      </w:rPr>
    </w:lvl>
    <w:lvl w:ilvl="3" w:tentative="0">
      <w:start w:val="0"/>
      <w:numFmt w:val="bullet"/>
      <w:lvlText w:val="•"/>
      <w:lvlJc w:val="left"/>
      <w:pPr>
        <w:ind w:left="3569" w:hanging="284"/>
      </w:pPr>
      <w:rPr>
        <w:rFonts w:hint="default"/>
        <w:lang w:val="zh-CN" w:eastAsia="zh-CN" w:bidi="zh-CN"/>
      </w:rPr>
    </w:lvl>
    <w:lvl w:ilvl="4" w:tentative="0">
      <w:start w:val="0"/>
      <w:numFmt w:val="bullet"/>
      <w:lvlText w:val="•"/>
      <w:lvlJc w:val="left"/>
      <w:pPr>
        <w:ind w:left="4472" w:hanging="284"/>
      </w:pPr>
      <w:rPr>
        <w:rFonts w:hint="default"/>
        <w:lang w:val="zh-CN" w:eastAsia="zh-CN" w:bidi="zh-CN"/>
      </w:rPr>
    </w:lvl>
    <w:lvl w:ilvl="5" w:tentative="0">
      <w:start w:val="0"/>
      <w:numFmt w:val="bullet"/>
      <w:lvlText w:val="•"/>
      <w:lvlJc w:val="left"/>
      <w:pPr>
        <w:ind w:left="5375" w:hanging="284"/>
      </w:pPr>
      <w:rPr>
        <w:rFonts w:hint="default"/>
        <w:lang w:val="zh-CN" w:eastAsia="zh-CN" w:bidi="zh-CN"/>
      </w:rPr>
    </w:lvl>
    <w:lvl w:ilvl="6" w:tentative="0">
      <w:start w:val="0"/>
      <w:numFmt w:val="bullet"/>
      <w:lvlText w:val="•"/>
      <w:lvlJc w:val="left"/>
      <w:pPr>
        <w:ind w:left="6278" w:hanging="284"/>
      </w:pPr>
      <w:rPr>
        <w:rFonts w:hint="default"/>
        <w:lang w:val="zh-CN" w:eastAsia="zh-CN" w:bidi="zh-CN"/>
      </w:rPr>
    </w:lvl>
    <w:lvl w:ilvl="7" w:tentative="0">
      <w:start w:val="0"/>
      <w:numFmt w:val="bullet"/>
      <w:lvlText w:val="•"/>
      <w:lvlJc w:val="left"/>
      <w:pPr>
        <w:ind w:left="7181" w:hanging="284"/>
      </w:pPr>
      <w:rPr>
        <w:rFonts w:hint="default"/>
        <w:lang w:val="zh-CN" w:eastAsia="zh-CN" w:bidi="zh-CN"/>
      </w:rPr>
    </w:lvl>
    <w:lvl w:ilvl="8" w:tentative="0">
      <w:start w:val="0"/>
      <w:numFmt w:val="bullet"/>
      <w:lvlText w:val="•"/>
      <w:lvlJc w:val="left"/>
      <w:pPr>
        <w:ind w:left="8084" w:hanging="284"/>
      </w:pPr>
      <w:rPr>
        <w:rFonts w:hint="default"/>
        <w:lang w:val="zh-CN" w:eastAsia="zh-CN" w:bidi="zh-CN"/>
      </w:rPr>
    </w:lvl>
  </w:abstractNum>
  <w:abstractNum w:abstractNumId="25">
    <w:nsid w:val="46A08BB8"/>
    <w:multiLevelType w:val="multilevel"/>
    <w:tmpl w:val="46A08BB8"/>
    <w:lvl w:ilvl="0" w:tentative="0">
      <w:start w:val="1"/>
      <w:numFmt w:val="decimal"/>
      <w:lvlText w:val="（%1）"/>
      <w:lvlJc w:val="left"/>
      <w:pPr>
        <w:ind w:left="219"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1187" w:hanging="702"/>
      </w:pPr>
      <w:rPr>
        <w:rFonts w:hint="default"/>
        <w:lang w:val="zh-CN" w:eastAsia="zh-CN" w:bidi="zh-CN"/>
      </w:rPr>
    </w:lvl>
    <w:lvl w:ilvl="2" w:tentative="0">
      <w:start w:val="0"/>
      <w:numFmt w:val="bullet"/>
      <w:lvlText w:val="•"/>
      <w:lvlJc w:val="left"/>
      <w:pPr>
        <w:ind w:left="2154" w:hanging="702"/>
      </w:pPr>
      <w:rPr>
        <w:rFonts w:hint="default"/>
        <w:lang w:val="zh-CN" w:eastAsia="zh-CN" w:bidi="zh-CN"/>
      </w:rPr>
    </w:lvl>
    <w:lvl w:ilvl="3" w:tentative="0">
      <w:start w:val="0"/>
      <w:numFmt w:val="bullet"/>
      <w:lvlText w:val="•"/>
      <w:lvlJc w:val="left"/>
      <w:pPr>
        <w:ind w:left="3121" w:hanging="702"/>
      </w:pPr>
      <w:rPr>
        <w:rFonts w:hint="default"/>
        <w:lang w:val="zh-CN" w:eastAsia="zh-CN" w:bidi="zh-CN"/>
      </w:rPr>
    </w:lvl>
    <w:lvl w:ilvl="4" w:tentative="0">
      <w:start w:val="0"/>
      <w:numFmt w:val="bullet"/>
      <w:lvlText w:val="•"/>
      <w:lvlJc w:val="left"/>
      <w:pPr>
        <w:ind w:left="4088" w:hanging="702"/>
      </w:pPr>
      <w:rPr>
        <w:rFonts w:hint="default"/>
        <w:lang w:val="zh-CN" w:eastAsia="zh-CN" w:bidi="zh-CN"/>
      </w:rPr>
    </w:lvl>
    <w:lvl w:ilvl="5" w:tentative="0">
      <w:start w:val="0"/>
      <w:numFmt w:val="bullet"/>
      <w:lvlText w:val="•"/>
      <w:lvlJc w:val="left"/>
      <w:pPr>
        <w:ind w:left="5055" w:hanging="702"/>
      </w:pPr>
      <w:rPr>
        <w:rFonts w:hint="default"/>
        <w:lang w:val="zh-CN" w:eastAsia="zh-CN" w:bidi="zh-CN"/>
      </w:rPr>
    </w:lvl>
    <w:lvl w:ilvl="6" w:tentative="0">
      <w:start w:val="0"/>
      <w:numFmt w:val="bullet"/>
      <w:lvlText w:val="•"/>
      <w:lvlJc w:val="left"/>
      <w:pPr>
        <w:ind w:left="6022" w:hanging="702"/>
      </w:pPr>
      <w:rPr>
        <w:rFonts w:hint="default"/>
        <w:lang w:val="zh-CN" w:eastAsia="zh-CN" w:bidi="zh-CN"/>
      </w:rPr>
    </w:lvl>
    <w:lvl w:ilvl="7" w:tentative="0">
      <w:start w:val="0"/>
      <w:numFmt w:val="bullet"/>
      <w:lvlText w:val="•"/>
      <w:lvlJc w:val="left"/>
      <w:pPr>
        <w:ind w:left="6989" w:hanging="702"/>
      </w:pPr>
      <w:rPr>
        <w:rFonts w:hint="default"/>
        <w:lang w:val="zh-CN" w:eastAsia="zh-CN" w:bidi="zh-CN"/>
      </w:rPr>
    </w:lvl>
    <w:lvl w:ilvl="8" w:tentative="0">
      <w:start w:val="0"/>
      <w:numFmt w:val="bullet"/>
      <w:lvlText w:val="•"/>
      <w:lvlJc w:val="left"/>
      <w:pPr>
        <w:ind w:left="7956" w:hanging="702"/>
      </w:pPr>
      <w:rPr>
        <w:rFonts w:hint="default"/>
        <w:lang w:val="zh-CN" w:eastAsia="zh-CN" w:bidi="zh-CN"/>
      </w:rPr>
    </w:lvl>
  </w:abstractNum>
  <w:abstractNum w:abstractNumId="26">
    <w:nsid w:val="4C1BAE26"/>
    <w:multiLevelType w:val="multilevel"/>
    <w:tmpl w:val="4C1BAE26"/>
    <w:lvl w:ilvl="0" w:tentative="0">
      <w:start w:val="23"/>
      <w:numFmt w:val="decimal"/>
      <w:lvlText w:val="%1"/>
      <w:lvlJc w:val="left"/>
      <w:pPr>
        <w:ind w:left="219" w:hanging="562"/>
        <w:jc w:val="left"/>
      </w:pPr>
      <w:rPr>
        <w:rFonts w:hint="default"/>
        <w:lang w:val="zh-CN" w:eastAsia="zh-CN" w:bidi="zh-CN"/>
      </w:rPr>
    </w:lvl>
    <w:lvl w:ilvl="1" w:tentative="0">
      <w:start w:val="3"/>
      <w:numFmt w:val="decimal"/>
      <w:lvlText w:val="%1.%2"/>
      <w:lvlJc w:val="left"/>
      <w:pPr>
        <w:ind w:left="219" w:hanging="562"/>
        <w:jc w:val="left"/>
      </w:pPr>
      <w:rPr>
        <w:rFonts w:hint="default" w:ascii="宋体" w:hAnsi="宋体" w:eastAsia="宋体" w:cs="宋体"/>
        <w:spacing w:val="-2"/>
        <w:w w:val="100"/>
        <w:sz w:val="26"/>
        <w:szCs w:val="26"/>
        <w:lang w:val="zh-CN" w:eastAsia="zh-CN" w:bidi="zh-CN"/>
      </w:rPr>
    </w:lvl>
    <w:lvl w:ilvl="2" w:tentative="0">
      <w:start w:val="0"/>
      <w:numFmt w:val="bullet"/>
      <w:lvlText w:val="•"/>
      <w:lvlJc w:val="left"/>
      <w:pPr>
        <w:ind w:left="2154" w:hanging="562"/>
      </w:pPr>
      <w:rPr>
        <w:rFonts w:hint="default"/>
        <w:lang w:val="zh-CN" w:eastAsia="zh-CN" w:bidi="zh-CN"/>
      </w:rPr>
    </w:lvl>
    <w:lvl w:ilvl="3" w:tentative="0">
      <w:start w:val="0"/>
      <w:numFmt w:val="bullet"/>
      <w:lvlText w:val="•"/>
      <w:lvlJc w:val="left"/>
      <w:pPr>
        <w:ind w:left="3121" w:hanging="562"/>
      </w:pPr>
      <w:rPr>
        <w:rFonts w:hint="default"/>
        <w:lang w:val="zh-CN" w:eastAsia="zh-CN" w:bidi="zh-CN"/>
      </w:rPr>
    </w:lvl>
    <w:lvl w:ilvl="4" w:tentative="0">
      <w:start w:val="0"/>
      <w:numFmt w:val="bullet"/>
      <w:lvlText w:val="•"/>
      <w:lvlJc w:val="left"/>
      <w:pPr>
        <w:ind w:left="4088" w:hanging="562"/>
      </w:pPr>
      <w:rPr>
        <w:rFonts w:hint="default"/>
        <w:lang w:val="zh-CN" w:eastAsia="zh-CN" w:bidi="zh-CN"/>
      </w:rPr>
    </w:lvl>
    <w:lvl w:ilvl="5" w:tentative="0">
      <w:start w:val="0"/>
      <w:numFmt w:val="bullet"/>
      <w:lvlText w:val="•"/>
      <w:lvlJc w:val="left"/>
      <w:pPr>
        <w:ind w:left="5055" w:hanging="562"/>
      </w:pPr>
      <w:rPr>
        <w:rFonts w:hint="default"/>
        <w:lang w:val="zh-CN" w:eastAsia="zh-CN" w:bidi="zh-CN"/>
      </w:rPr>
    </w:lvl>
    <w:lvl w:ilvl="6" w:tentative="0">
      <w:start w:val="0"/>
      <w:numFmt w:val="bullet"/>
      <w:lvlText w:val="•"/>
      <w:lvlJc w:val="left"/>
      <w:pPr>
        <w:ind w:left="6022" w:hanging="562"/>
      </w:pPr>
      <w:rPr>
        <w:rFonts w:hint="default"/>
        <w:lang w:val="zh-CN" w:eastAsia="zh-CN" w:bidi="zh-CN"/>
      </w:rPr>
    </w:lvl>
    <w:lvl w:ilvl="7" w:tentative="0">
      <w:start w:val="0"/>
      <w:numFmt w:val="bullet"/>
      <w:lvlText w:val="•"/>
      <w:lvlJc w:val="left"/>
      <w:pPr>
        <w:ind w:left="6989" w:hanging="562"/>
      </w:pPr>
      <w:rPr>
        <w:rFonts w:hint="default"/>
        <w:lang w:val="zh-CN" w:eastAsia="zh-CN" w:bidi="zh-CN"/>
      </w:rPr>
    </w:lvl>
    <w:lvl w:ilvl="8" w:tentative="0">
      <w:start w:val="0"/>
      <w:numFmt w:val="bullet"/>
      <w:lvlText w:val="•"/>
      <w:lvlJc w:val="left"/>
      <w:pPr>
        <w:ind w:left="7956" w:hanging="562"/>
      </w:pPr>
      <w:rPr>
        <w:rFonts w:hint="default"/>
        <w:lang w:val="zh-CN" w:eastAsia="zh-CN" w:bidi="zh-CN"/>
      </w:rPr>
    </w:lvl>
  </w:abstractNum>
  <w:abstractNum w:abstractNumId="27">
    <w:nsid w:val="4D4DC07F"/>
    <w:multiLevelType w:val="multilevel"/>
    <w:tmpl w:val="4D4DC07F"/>
    <w:lvl w:ilvl="0" w:tentative="0">
      <w:start w:val="1"/>
      <w:numFmt w:val="decimal"/>
      <w:lvlText w:val="（%1）"/>
      <w:lvlJc w:val="left"/>
      <w:pPr>
        <w:ind w:left="219"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1187" w:hanging="702"/>
      </w:pPr>
      <w:rPr>
        <w:rFonts w:hint="default"/>
        <w:lang w:val="zh-CN" w:eastAsia="zh-CN" w:bidi="zh-CN"/>
      </w:rPr>
    </w:lvl>
    <w:lvl w:ilvl="2" w:tentative="0">
      <w:start w:val="0"/>
      <w:numFmt w:val="bullet"/>
      <w:lvlText w:val="•"/>
      <w:lvlJc w:val="left"/>
      <w:pPr>
        <w:ind w:left="2154" w:hanging="702"/>
      </w:pPr>
      <w:rPr>
        <w:rFonts w:hint="default"/>
        <w:lang w:val="zh-CN" w:eastAsia="zh-CN" w:bidi="zh-CN"/>
      </w:rPr>
    </w:lvl>
    <w:lvl w:ilvl="3" w:tentative="0">
      <w:start w:val="0"/>
      <w:numFmt w:val="bullet"/>
      <w:lvlText w:val="•"/>
      <w:lvlJc w:val="left"/>
      <w:pPr>
        <w:ind w:left="3121" w:hanging="702"/>
      </w:pPr>
      <w:rPr>
        <w:rFonts w:hint="default"/>
        <w:lang w:val="zh-CN" w:eastAsia="zh-CN" w:bidi="zh-CN"/>
      </w:rPr>
    </w:lvl>
    <w:lvl w:ilvl="4" w:tentative="0">
      <w:start w:val="0"/>
      <w:numFmt w:val="bullet"/>
      <w:lvlText w:val="•"/>
      <w:lvlJc w:val="left"/>
      <w:pPr>
        <w:ind w:left="4088" w:hanging="702"/>
      </w:pPr>
      <w:rPr>
        <w:rFonts w:hint="default"/>
        <w:lang w:val="zh-CN" w:eastAsia="zh-CN" w:bidi="zh-CN"/>
      </w:rPr>
    </w:lvl>
    <w:lvl w:ilvl="5" w:tentative="0">
      <w:start w:val="0"/>
      <w:numFmt w:val="bullet"/>
      <w:lvlText w:val="•"/>
      <w:lvlJc w:val="left"/>
      <w:pPr>
        <w:ind w:left="5055" w:hanging="702"/>
      </w:pPr>
      <w:rPr>
        <w:rFonts w:hint="default"/>
        <w:lang w:val="zh-CN" w:eastAsia="zh-CN" w:bidi="zh-CN"/>
      </w:rPr>
    </w:lvl>
    <w:lvl w:ilvl="6" w:tentative="0">
      <w:start w:val="0"/>
      <w:numFmt w:val="bullet"/>
      <w:lvlText w:val="•"/>
      <w:lvlJc w:val="left"/>
      <w:pPr>
        <w:ind w:left="6022" w:hanging="702"/>
      </w:pPr>
      <w:rPr>
        <w:rFonts w:hint="default"/>
        <w:lang w:val="zh-CN" w:eastAsia="zh-CN" w:bidi="zh-CN"/>
      </w:rPr>
    </w:lvl>
    <w:lvl w:ilvl="7" w:tentative="0">
      <w:start w:val="0"/>
      <w:numFmt w:val="bullet"/>
      <w:lvlText w:val="•"/>
      <w:lvlJc w:val="left"/>
      <w:pPr>
        <w:ind w:left="6989" w:hanging="702"/>
      </w:pPr>
      <w:rPr>
        <w:rFonts w:hint="default"/>
        <w:lang w:val="zh-CN" w:eastAsia="zh-CN" w:bidi="zh-CN"/>
      </w:rPr>
    </w:lvl>
    <w:lvl w:ilvl="8" w:tentative="0">
      <w:start w:val="0"/>
      <w:numFmt w:val="bullet"/>
      <w:lvlText w:val="•"/>
      <w:lvlJc w:val="left"/>
      <w:pPr>
        <w:ind w:left="7956" w:hanging="702"/>
      </w:pPr>
      <w:rPr>
        <w:rFonts w:hint="default"/>
        <w:lang w:val="zh-CN" w:eastAsia="zh-CN" w:bidi="zh-CN"/>
      </w:rPr>
    </w:lvl>
  </w:abstractNum>
  <w:abstractNum w:abstractNumId="28">
    <w:nsid w:val="4D94DA66"/>
    <w:multiLevelType w:val="multilevel"/>
    <w:tmpl w:val="4D94DA66"/>
    <w:lvl w:ilvl="0" w:tentative="0">
      <w:start w:val="12"/>
      <w:numFmt w:val="decimal"/>
      <w:lvlText w:val="%1."/>
      <w:lvlJc w:val="left"/>
      <w:pPr>
        <w:ind w:left="644" w:hanging="425"/>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219" w:hanging="701"/>
        <w:jc w:val="left"/>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219" w:hanging="982"/>
        <w:jc w:val="left"/>
      </w:pPr>
      <w:rPr>
        <w:rFonts w:hint="default" w:ascii="宋体" w:hAnsi="宋体" w:eastAsia="宋体" w:cs="宋体"/>
        <w:spacing w:val="-2"/>
        <w:w w:val="100"/>
        <w:sz w:val="28"/>
        <w:szCs w:val="28"/>
        <w:lang w:val="zh-CN" w:eastAsia="zh-CN" w:bidi="zh-CN"/>
      </w:rPr>
    </w:lvl>
    <w:lvl w:ilvl="3" w:tentative="0">
      <w:start w:val="0"/>
      <w:numFmt w:val="bullet"/>
      <w:lvlText w:val="•"/>
      <w:lvlJc w:val="left"/>
      <w:pPr>
        <w:ind w:left="2461" w:hanging="982"/>
      </w:pPr>
      <w:rPr>
        <w:rFonts w:hint="default"/>
        <w:lang w:val="zh-CN" w:eastAsia="zh-CN" w:bidi="zh-CN"/>
      </w:rPr>
    </w:lvl>
    <w:lvl w:ilvl="4" w:tentative="0">
      <w:start w:val="0"/>
      <w:numFmt w:val="bullet"/>
      <w:lvlText w:val="•"/>
      <w:lvlJc w:val="left"/>
      <w:pPr>
        <w:ind w:left="3522" w:hanging="982"/>
      </w:pPr>
      <w:rPr>
        <w:rFonts w:hint="default"/>
        <w:lang w:val="zh-CN" w:eastAsia="zh-CN" w:bidi="zh-CN"/>
      </w:rPr>
    </w:lvl>
    <w:lvl w:ilvl="5" w:tentative="0">
      <w:start w:val="0"/>
      <w:numFmt w:val="bullet"/>
      <w:lvlText w:val="•"/>
      <w:lvlJc w:val="left"/>
      <w:pPr>
        <w:ind w:left="4583" w:hanging="982"/>
      </w:pPr>
      <w:rPr>
        <w:rFonts w:hint="default"/>
        <w:lang w:val="zh-CN" w:eastAsia="zh-CN" w:bidi="zh-CN"/>
      </w:rPr>
    </w:lvl>
    <w:lvl w:ilvl="6" w:tentative="0">
      <w:start w:val="0"/>
      <w:numFmt w:val="bullet"/>
      <w:lvlText w:val="•"/>
      <w:lvlJc w:val="left"/>
      <w:pPr>
        <w:ind w:left="5645" w:hanging="982"/>
      </w:pPr>
      <w:rPr>
        <w:rFonts w:hint="default"/>
        <w:lang w:val="zh-CN" w:eastAsia="zh-CN" w:bidi="zh-CN"/>
      </w:rPr>
    </w:lvl>
    <w:lvl w:ilvl="7" w:tentative="0">
      <w:start w:val="0"/>
      <w:numFmt w:val="bullet"/>
      <w:lvlText w:val="•"/>
      <w:lvlJc w:val="left"/>
      <w:pPr>
        <w:ind w:left="6706" w:hanging="982"/>
      </w:pPr>
      <w:rPr>
        <w:rFonts w:hint="default"/>
        <w:lang w:val="zh-CN" w:eastAsia="zh-CN" w:bidi="zh-CN"/>
      </w:rPr>
    </w:lvl>
    <w:lvl w:ilvl="8" w:tentative="0">
      <w:start w:val="0"/>
      <w:numFmt w:val="bullet"/>
      <w:lvlText w:val="•"/>
      <w:lvlJc w:val="left"/>
      <w:pPr>
        <w:ind w:left="7767" w:hanging="982"/>
      </w:pPr>
      <w:rPr>
        <w:rFonts w:hint="default"/>
        <w:lang w:val="zh-CN" w:eastAsia="zh-CN" w:bidi="zh-CN"/>
      </w:rPr>
    </w:lvl>
  </w:abstractNum>
  <w:abstractNum w:abstractNumId="29">
    <w:nsid w:val="58765686"/>
    <w:multiLevelType w:val="multilevel"/>
    <w:tmpl w:val="58765686"/>
    <w:lvl w:ilvl="0" w:tentative="0">
      <w:start w:val="2"/>
      <w:numFmt w:val="decimal"/>
      <w:lvlText w:val="%1"/>
      <w:lvlJc w:val="left"/>
      <w:pPr>
        <w:ind w:left="219" w:hanging="562"/>
        <w:jc w:val="left"/>
      </w:pPr>
      <w:rPr>
        <w:rFonts w:hint="default"/>
        <w:lang w:val="zh-CN" w:eastAsia="zh-CN" w:bidi="zh-CN"/>
      </w:rPr>
    </w:lvl>
    <w:lvl w:ilvl="1" w:tentative="0">
      <w:start w:val="1"/>
      <w:numFmt w:val="decimal"/>
      <w:lvlText w:val="%1.%2"/>
      <w:lvlJc w:val="left"/>
      <w:pPr>
        <w:ind w:left="219" w:hanging="562"/>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154" w:hanging="562"/>
      </w:pPr>
      <w:rPr>
        <w:rFonts w:hint="default"/>
        <w:lang w:val="zh-CN" w:eastAsia="zh-CN" w:bidi="zh-CN"/>
      </w:rPr>
    </w:lvl>
    <w:lvl w:ilvl="3" w:tentative="0">
      <w:start w:val="0"/>
      <w:numFmt w:val="bullet"/>
      <w:lvlText w:val="•"/>
      <w:lvlJc w:val="left"/>
      <w:pPr>
        <w:ind w:left="3121" w:hanging="562"/>
      </w:pPr>
      <w:rPr>
        <w:rFonts w:hint="default"/>
        <w:lang w:val="zh-CN" w:eastAsia="zh-CN" w:bidi="zh-CN"/>
      </w:rPr>
    </w:lvl>
    <w:lvl w:ilvl="4" w:tentative="0">
      <w:start w:val="0"/>
      <w:numFmt w:val="bullet"/>
      <w:lvlText w:val="•"/>
      <w:lvlJc w:val="left"/>
      <w:pPr>
        <w:ind w:left="4088" w:hanging="562"/>
      </w:pPr>
      <w:rPr>
        <w:rFonts w:hint="default"/>
        <w:lang w:val="zh-CN" w:eastAsia="zh-CN" w:bidi="zh-CN"/>
      </w:rPr>
    </w:lvl>
    <w:lvl w:ilvl="5" w:tentative="0">
      <w:start w:val="0"/>
      <w:numFmt w:val="bullet"/>
      <w:lvlText w:val="•"/>
      <w:lvlJc w:val="left"/>
      <w:pPr>
        <w:ind w:left="5055" w:hanging="562"/>
      </w:pPr>
      <w:rPr>
        <w:rFonts w:hint="default"/>
        <w:lang w:val="zh-CN" w:eastAsia="zh-CN" w:bidi="zh-CN"/>
      </w:rPr>
    </w:lvl>
    <w:lvl w:ilvl="6" w:tentative="0">
      <w:start w:val="0"/>
      <w:numFmt w:val="bullet"/>
      <w:lvlText w:val="•"/>
      <w:lvlJc w:val="left"/>
      <w:pPr>
        <w:ind w:left="6022" w:hanging="562"/>
      </w:pPr>
      <w:rPr>
        <w:rFonts w:hint="default"/>
        <w:lang w:val="zh-CN" w:eastAsia="zh-CN" w:bidi="zh-CN"/>
      </w:rPr>
    </w:lvl>
    <w:lvl w:ilvl="7" w:tentative="0">
      <w:start w:val="0"/>
      <w:numFmt w:val="bullet"/>
      <w:lvlText w:val="•"/>
      <w:lvlJc w:val="left"/>
      <w:pPr>
        <w:ind w:left="6989" w:hanging="562"/>
      </w:pPr>
      <w:rPr>
        <w:rFonts w:hint="default"/>
        <w:lang w:val="zh-CN" w:eastAsia="zh-CN" w:bidi="zh-CN"/>
      </w:rPr>
    </w:lvl>
    <w:lvl w:ilvl="8" w:tentative="0">
      <w:start w:val="0"/>
      <w:numFmt w:val="bullet"/>
      <w:lvlText w:val="•"/>
      <w:lvlJc w:val="left"/>
      <w:pPr>
        <w:ind w:left="7956" w:hanging="562"/>
      </w:pPr>
      <w:rPr>
        <w:rFonts w:hint="default"/>
        <w:lang w:val="zh-CN" w:eastAsia="zh-CN" w:bidi="zh-CN"/>
      </w:rPr>
    </w:lvl>
  </w:abstractNum>
  <w:abstractNum w:abstractNumId="30">
    <w:nsid w:val="59ADCABA"/>
    <w:multiLevelType w:val="multilevel"/>
    <w:tmpl w:val="59ADCABA"/>
    <w:lvl w:ilvl="0" w:tentative="0">
      <w:start w:val="18"/>
      <w:numFmt w:val="decimal"/>
      <w:lvlText w:val="（%1）"/>
      <w:lvlJc w:val="left"/>
      <w:pPr>
        <w:ind w:left="841" w:hanging="724"/>
        <w:jc w:val="left"/>
      </w:pPr>
      <w:rPr>
        <w:rFonts w:hint="default" w:ascii="宋体" w:hAnsi="宋体" w:eastAsia="宋体" w:cs="宋体"/>
        <w:b/>
        <w:bCs/>
        <w:w w:val="99"/>
        <w:sz w:val="22"/>
        <w:szCs w:val="22"/>
        <w:lang w:val="zh-CN" w:eastAsia="zh-CN" w:bidi="zh-CN"/>
      </w:rPr>
    </w:lvl>
    <w:lvl w:ilvl="1" w:tentative="0">
      <w:start w:val="1"/>
      <w:numFmt w:val="decimal"/>
      <w:lvlText w:val="%2."/>
      <w:lvlJc w:val="left"/>
      <w:pPr>
        <w:ind w:left="502" w:hanging="284"/>
        <w:jc w:val="left"/>
      </w:pPr>
      <w:rPr>
        <w:rFonts w:hint="default" w:ascii="宋体" w:hAnsi="宋体" w:eastAsia="宋体" w:cs="宋体"/>
        <w:b/>
        <w:bCs/>
        <w:spacing w:val="1"/>
        <w:w w:val="99"/>
        <w:sz w:val="26"/>
        <w:szCs w:val="26"/>
        <w:lang w:val="zh-CN" w:eastAsia="zh-CN" w:bidi="zh-CN"/>
      </w:rPr>
    </w:lvl>
    <w:lvl w:ilvl="2" w:tentative="0">
      <w:start w:val="1"/>
      <w:numFmt w:val="decimal"/>
      <w:lvlText w:val="%2.%3"/>
      <w:lvlJc w:val="left"/>
      <w:pPr>
        <w:ind w:left="1200" w:hanging="562"/>
        <w:jc w:val="left"/>
      </w:pPr>
      <w:rPr>
        <w:rFonts w:hint="default" w:ascii="宋体" w:hAnsi="宋体" w:eastAsia="宋体" w:cs="宋体"/>
        <w:spacing w:val="-2"/>
        <w:w w:val="100"/>
        <w:sz w:val="28"/>
        <w:szCs w:val="28"/>
        <w:lang w:val="zh-CN" w:eastAsia="zh-CN" w:bidi="zh-CN"/>
      </w:rPr>
    </w:lvl>
    <w:lvl w:ilvl="3" w:tentative="0">
      <w:start w:val="0"/>
      <w:numFmt w:val="bullet"/>
      <w:lvlText w:val="•"/>
      <w:lvlJc w:val="left"/>
      <w:pPr>
        <w:ind w:left="1190" w:hanging="562"/>
      </w:pPr>
      <w:rPr>
        <w:rFonts w:hint="default"/>
        <w:lang w:val="zh-CN" w:eastAsia="zh-CN" w:bidi="zh-CN"/>
      </w:rPr>
    </w:lvl>
    <w:lvl w:ilvl="4" w:tentative="0">
      <w:start w:val="0"/>
      <w:numFmt w:val="bullet"/>
      <w:lvlText w:val="•"/>
      <w:lvlJc w:val="left"/>
      <w:pPr>
        <w:ind w:left="1181" w:hanging="562"/>
      </w:pPr>
      <w:rPr>
        <w:rFonts w:hint="default"/>
        <w:lang w:val="zh-CN" w:eastAsia="zh-CN" w:bidi="zh-CN"/>
      </w:rPr>
    </w:lvl>
    <w:lvl w:ilvl="5" w:tentative="0">
      <w:start w:val="0"/>
      <w:numFmt w:val="bullet"/>
      <w:lvlText w:val="•"/>
      <w:lvlJc w:val="left"/>
      <w:pPr>
        <w:ind w:left="1172" w:hanging="562"/>
      </w:pPr>
      <w:rPr>
        <w:rFonts w:hint="default"/>
        <w:lang w:val="zh-CN" w:eastAsia="zh-CN" w:bidi="zh-CN"/>
      </w:rPr>
    </w:lvl>
    <w:lvl w:ilvl="6" w:tentative="0">
      <w:start w:val="0"/>
      <w:numFmt w:val="bullet"/>
      <w:lvlText w:val="•"/>
      <w:lvlJc w:val="left"/>
      <w:pPr>
        <w:ind w:left="1162" w:hanging="562"/>
      </w:pPr>
      <w:rPr>
        <w:rFonts w:hint="default"/>
        <w:lang w:val="zh-CN" w:eastAsia="zh-CN" w:bidi="zh-CN"/>
      </w:rPr>
    </w:lvl>
    <w:lvl w:ilvl="7" w:tentative="0">
      <w:start w:val="0"/>
      <w:numFmt w:val="bullet"/>
      <w:lvlText w:val="•"/>
      <w:lvlJc w:val="left"/>
      <w:pPr>
        <w:ind w:left="1153" w:hanging="562"/>
      </w:pPr>
      <w:rPr>
        <w:rFonts w:hint="default"/>
        <w:lang w:val="zh-CN" w:eastAsia="zh-CN" w:bidi="zh-CN"/>
      </w:rPr>
    </w:lvl>
    <w:lvl w:ilvl="8" w:tentative="0">
      <w:start w:val="0"/>
      <w:numFmt w:val="bullet"/>
      <w:lvlText w:val="•"/>
      <w:lvlJc w:val="left"/>
      <w:pPr>
        <w:ind w:left="1144" w:hanging="562"/>
      </w:pPr>
      <w:rPr>
        <w:rFonts w:hint="default"/>
        <w:lang w:val="zh-CN" w:eastAsia="zh-CN" w:bidi="zh-CN"/>
      </w:rPr>
    </w:lvl>
  </w:abstractNum>
  <w:abstractNum w:abstractNumId="31">
    <w:nsid w:val="5A241D34"/>
    <w:multiLevelType w:val="multilevel"/>
    <w:tmpl w:val="5A241D34"/>
    <w:lvl w:ilvl="0" w:tentative="0">
      <w:start w:val="2"/>
      <w:numFmt w:val="decimal"/>
      <w:lvlText w:val="（%1）"/>
      <w:lvlJc w:val="left"/>
      <w:pPr>
        <w:ind w:left="1401"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249" w:hanging="702"/>
      </w:pPr>
      <w:rPr>
        <w:rFonts w:hint="default"/>
        <w:lang w:val="zh-CN" w:eastAsia="zh-CN" w:bidi="zh-CN"/>
      </w:rPr>
    </w:lvl>
    <w:lvl w:ilvl="2" w:tentative="0">
      <w:start w:val="0"/>
      <w:numFmt w:val="bullet"/>
      <w:lvlText w:val="•"/>
      <w:lvlJc w:val="left"/>
      <w:pPr>
        <w:ind w:left="3098" w:hanging="702"/>
      </w:pPr>
      <w:rPr>
        <w:rFonts w:hint="default"/>
        <w:lang w:val="zh-CN" w:eastAsia="zh-CN" w:bidi="zh-CN"/>
      </w:rPr>
    </w:lvl>
    <w:lvl w:ilvl="3" w:tentative="0">
      <w:start w:val="0"/>
      <w:numFmt w:val="bullet"/>
      <w:lvlText w:val="•"/>
      <w:lvlJc w:val="left"/>
      <w:pPr>
        <w:ind w:left="3947" w:hanging="702"/>
      </w:pPr>
      <w:rPr>
        <w:rFonts w:hint="default"/>
        <w:lang w:val="zh-CN" w:eastAsia="zh-CN" w:bidi="zh-CN"/>
      </w:rPr>
    </w:lvl>
    <w:lvl w:ilvl="4" w:tentative="0">
      <w:start w:val="0"/>
      <w:numFmt w:val="bullet"/>
      <w:lvlText w:val="•"/>
      <w:lvlJc w:val="left"/>
      <w:pPr>
        <w:ind w:left="4796" w:hanging="702"/>
      </w:pPr>
      <w:rPr>
        <w:rFonts w:hint="default"/>
        <w:lang w:val="zh-CN" w:eastAsia="zh-CN" w:bidi="zh-CN"/>
      </w:rPr>
    </w:lvl>
    <w:lvl w:ilvl="5" w:tentative="0">
      <w:start w:val="0"/>
      <w:numFmt w:val="bullet"/>
      <w:lvlText w:val="•"/>
      <w:lvlJc w:val="left"/>
      <w:pPr>
        <w:ind w:left="5645" w:hanging="702"/>
      </w:pPr>
      <w:rPr>
        <w:rFonts w:hint="default"/>
        <w:lang w:val="zh-CN" w:eastAsia="zh-CN" w:bidi="zh-CN"/>
      </w:rPr>
    </w:lvl>
    <w:lvl w:ilvl="6" w:tentative="0">
      <w:start w:val="0"/>
      <w:numFmt w:val="bullet"/>
      <w:lvlText w:val="•"/>
      <w:lvlJc w:val="left"/>
      <w:pPr>
        <w:ind w:left="6494" w:hanging="702"/>
      </w:pPr>
      <w:rPr>
        <w:rFonts w:hint="default"/>
        <w:lang w:val="zh-CN" w:eastAsia="zh-CN" w:bidi="zh-CN"/>
      </w:rPr>
    </w:lvl>
    <w:lvl w:ilvl="7" w:tentative="0">
      <w:start w:val="0"/>
      <w:numFmt w:val="bullet"/>
      <w:lvlText w:val="•"/>
      <w:lvlJc w:val="left"/>
      <w:pPr>
        <w:ind w:left="7343" w:hanging="702"/>
      </w:pPr>
      <w:rPr>
        <w:rFonts w:hint="default"/>
        <w:lang w:val="zh-CN" w:eastAsia="zh-CN" w:bidi="zh-CN"/>
      </w:rPr>
    </w:lvl>
    <w:lvl w:ilvl="8" w:tentative="0">
      <w:start w:val="0"/>
      <w:numFmt w:val="bullet"/>
      <w:lvlText w:val="•"/>
      <w:lvlJc w:val="left"/>
      <w:pPr>
        <w:ind w:left="8192" w:hanging="702"/>
      </w:pPr>
      <w:rPr>
        <w:rFonts w:hint="default"/>
        <w:lang w:val="zh-CN" w:eastAsia="zh-CN" w:bidi="zh-CN"/>
      </w:rPr>
    </w:lvl>
  </w:abstractNum>
  <w:abstractNum w:abstractNumId="32">
    <w:nsid w:val="629F7852"/>
    <w:multiLevelType w:val="multilevel"/>
    <w:tmpl w:val="629F7852"/>
    <w:lvl w:ilvl="0" w:tentative="0">
      <w:start w:val="1"/>
      <w:numFmt w:val="decimal"/>
      <w:lvlText w:val="%1."/>
      <w:lvlJc w:val="left"/>
      <w:pPr>
        <w:ind w:left="219"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187" w:hanging="284"/>
      </w:pPr>
      <w:rPr>
        <w:rFonts w:hint="default"/>
        <w:lang w:val="zh-CN" w:eastAsia="zh-CN" w:bidi="zh-CN"/>
      </w:rPr>
    </w:lvl>
    <w:lvl w:ilvl="2" w:tentative="0">
      <w:start w:val="0"/>
      <w:numFmt w:val="bullet"/>
      <w:lvlText w:val="•"/>
      <w:lvlJc w:val="left"/>
      <w:pPr>
        <w:ind w:left="2154" w:hanging="284"/>
      </w:pPr>
      <w:rPr>
        <w:rFonts w:hint="default"/>
        <w:lang w:val="zh-CN" w:eastAsia="zh-CN" w:bidi="zh-CN"/>
      </w:rPr>
    </w:lvl>
    <w:lvl w:ilvl="3" w:tentative="0">
      <w:start w:val="0"/>
      <w:numFmt w:val="bullet"/>
      <w:lvlText w:val="•"/>
      <w:lvlJc w:val="left"/>
      <w:pPr>
        <w:ind w:left="3121" w:hanging="284"/>
      </w:pPr>
      <w:rPr>
        <w:rFonts w:hint="default"/>
        <w:lang w:val="zh-CN" w:eastAsia="zh-CN" w:bidi="zh-CN"/>
      </w:rPr>
    </w:lvl>
    <w:lvl w:ilvl="4" w:tentative="0">
      <w:start w:val="0"/>
      <w:numFmt w:val="bullet"/>
      <w:lvlText w:val="•"/>
      <w:lvlJc w:val="left"/>
      <w:pPr>
        <w:ind w:left="4088" w:hanging="284"/>
      </w:pPr>
      <w:rPr>
        <w:rFonts w:hint="default"/>
        <w:lang w:val="zh-CN" w:eastAsia="zh-CN" w:bidi="zh-CN"/>
      </w:rPr>
    </w:lvl>
    <w:lvl w:ilvl="5" w:tentative="0">
      <w:start w:val="0"/>
      <w:numFmt w:val="bullet"/>
      <w:lvlText w:val="•"/>
      <w:lvlJc w:val="left"/>
      <w:pPr>
        <w:ind w:left="5055" w:hanging="284"/>
      </w:pPr>
      <w:rPr>
        <w:rFonts w:hint="default"/>
        <w:lang w:val="zh-CN" w:eastAsia="zh-CN" w:bidi="zh-CN"/>
      </w:rPr>
    </w:lvl>
    <w:lvl w:ilvl="6" w:tentative="0">
      <w:start w:val="0"/>
      <w:numFmt w:val="bullet"/>
      <w:lvlText w:val="•"/>
      <w:lvlJc w:val="left"/>
      <w:pPr>
        <w:ind w:left="6022" w:hanging="284"/>
      </w:pPr>
      <w:rPr>
        <w:rFonts w:hint="default"/>
        <w:lang w:val="zh-CN" w:eastAsia="zh-CN" w:bidi="zh-CN"/>
      </w:rPr>
    </w:lvl>
    <w:lvl w:ilvl="7" w:tentative="0">
      <w:start w:val="0"/>
      <w:numFmt w:val="bullet"/>
      <w:lvlText w:val="•"/>
      <w:lvlJc w:val="left"/>
      <w:pPr>
        <w:ind w:left="6989" w:hanging="284"/>
      </w:pPr>
      <w:rPr>
        <w:rFonts w:hint="default"/>
        <w:lang w:val="zh-CN" w:eastAsia="zh-CN" w:bidi="zh-CN"/>
      </w:rPr>
    </w:lvl>
    <w:lvl w:ilvl="8" w:tentative="0">
      <w:start w:val="0"/>
      <w:numFmt w:val="bullet"/>
      <w:lvlText w:val="•"/>
      <w:lvlJc w:val="left"/>
      <w:pPr>
        <w:ind w:left="7956" w:hanging="284"/>
      </w:pPr>
      <w:rPr>
        <w:rFonts w:hint="default"/>
        <w:lang w:val="zh-CN" w:eastAsia="zh-CN" w:bidi="zh-CN"/>
      </w:rPr>
    </w:lvl>
  </w:abstractNum>
  <w:abstractNum w:abstractNumId="33">
    <w:nsid w:val="72183CF9"/>
    <w:multiLevelType w:val="multilevel"/>
    <w:tmpl w:val="72183CF9"/>
    <w:lvl w:ilvl="0" w:tentative="0">
      <w:start w:val="10"/>
      <w:numFmt w:val="decimal"/>
      <w:lvlText w:val="%1."/>
      <w:lvlJc w:val="left"/>
      <w:pPr>
        <w:ind w:left="644" w:hanging="425"/>
        <w:jc w:val="left"/>
      </w:pPr>
      <w:rPr>
        <w:rFonts w:hint="default" w:ascii="宋体" w:hAnsi="宋体" w:eastAsia="宋体" w:cs="宋体"/>
        <w:b/>
        <w:bCs/>
        <w:spacing w:val="1"/>
        <w:w w:val="99"/>
        <w:sz w:val="26"/>
        <w:szCs w:val="26"/>
        <w:lang w:val="zh-CN" w:eastAsia="zh-CN" w:bidi="zh-CN"/>
      </w:rPr>
    </w:lvl>
    <w:lvl w:ilvl="1" w:tentative="0">
      <w:start w:val="1"/>
      <w:numFmt w:val="decimal"/>
      <w:lvlText w:val="（%2）"/>
      <w:lvlJc w:val="left"/>
      <w:pPr>
        <w:ind w:left="1142" w:hanging="702"/>
        <w:jc w:val="left"/>
      </w:pPr>
      <w:rPr>
        <w:rFonts w:hint="default" w:ascii="宋体" w:hAnsi="宋体" w:eastAsia="宋体" w:cs="宋体"/>
        <w:spacing w:val="-2"/>
        <w:w w:val="100"/>
        <w:sz w:val="26"/>
        <w:szCs w:val="26"/>
        <w:lang w:val="zh-CN" w:eastAsia="zh-CN" w:bidi="zh-CN"/>
      </w:rPr>
    </w:lvl>
    <w:lvl w:ilvl="2" w:tentative="0">
      <w:start w:val="0"/>
      <w:numFmt w:val="bullet"/>
      <w:lvlText w:val="•"/>
      <w:lvlJc w:val="left"/>
      <w:pPr>
        <w:ind w:left="2165" w:hanging="702"/>
      </w:pPr>
      <w:rPr>
        <w:rFonts w:hint="default"/>
        <w:lang w:val="zh-CN" w:eastAsia="zh-CN" w:bidi="zh-CN"/>
      </w:rPr>
    </w:lvl>
    <w:lvl w:ilvl="3" w:tentative="0">
      <w:start w:val="0"/>
      <w:numFmt w:val="bullet"/>
      <w:lvlText w:val="•"/>
      <w:lvlJc w:val="left"/>
      <w:pPr>
        <w:ind w:left="3131" w:hanging="702"/>
      </w:pPr>
      <w:rPr>
        <w:rFonts w:hint="default"/>
        <w:lang w:val="zh-CN" w:eastAsia="zh-CN" w:bidi="zh-CN"/>
      </w:rPr>
    </w:lvl>
    <w:lvl w:ilvl="4" w:tentative="0">
      <w:start w:val="0"/>
      <w:numFmt w:val="bullet"/>
      <w:lvlText w:val="•"/>
      <w:lvlJc w:val="left"/>
      <w:pPr>
        <w:ind w:left="4096" w:hanging="702"/>
      </w:pPr>
      <w:rPr>
        <w:rFonts w:hint="default"/>
        <w:lang w:val="zh-CN" w:eastAsia="zh-CN" w:bidi="zh-CN"/>
      </w:rPr>
    </w:lvl>
    <w:lvl w:ilvl="5" w:tentative="0">
      <w:start w:val="0"/>
      <w:numFmt w:val="bullet"/>
      <w:lvlText w:val="•"/>
      <w:lvlJc w:val="left"/>
      <w:pPr>
        <w:ind w:left="5062" w:hanging="702"/>
      </w:pPr>
      <w:rPr>
        <w:rFonts w:hint="default"/>
        <w:lang w:val="zh-CN" w:eastAsia="zh-CN" w:bidi="zh-CN"/>
      </w:rPr>
    </w:lvl>
    <w:lvl w:ilvl="6" w:tentative="0">
      <w:start w:val="0"/>
      <w:numFmt w:val="bullet"/>
      <w:lvlText w:val="•"/>
      <w:lvlJc w:val="left"/>
      <w:pPr>
        <w:ind w:left="6027" w:hanging="702"/>
      </w:pPr>
      <w:rPr>
        <w:rFonts w:hint="default"/>
        <w:lang w:val="zh-CN" w:eastAsia="zh-CN" w:bidi="zh-CN"/>
      </w:rPr>
    </w:lvl>
    <w:lvl w:ilvl="7" w:tentative="0">
      <w:start w:val="0"/>
      <w:numFmt w:val="bullet"/>
      <w:lvlText w:val="•"/>
      <w:lvlJc w:val="left"/>
      <w:pPr>
        <w:ind w:left="6993" w:hanging="702"/>
      </w:pPr>
      <w:rPr>
        <w:rFonts w:hint="default"/>
        <w:lang w:val="zh-CN" w:eastAsia="zh-CN" w:bidi="zh-CN"/>
      </w:rPr>
    </w:lvl>
    <w:lvl w:ilvl="8" w:tentative="0">
      <w:start w:val="0"/>
      <w:numFmt w:val="bullet"/>
      <w:lvlText w:val="•"/>
      <w:lvlJc w:val="left"/>
      <w:pPr>
        <w:ind w:left="7958" w:hanging="702"/>
      </w:pPr>
      <w:rPr>
        <w:rFonts w:hint="default"/>
        <w:lang w:val="zh-CN" w:eastAsia="zh-CN" w:bidi="zh-CN"/>
      </w:rPr>
    </w:lvl>
  </w:abstractNum>
  <w:abstractNum w:abstractNumId="34">
    <w:nsid w:val="77ECEA79"/>
    <w:multiLevelType w:val="multilevel"/>
    <w:tmpl w:val="77ECEA79"/>
    <w:lvl w:ilvl="0" w:tentative="0">
      <w:start w:val="5"/>
      <w:numFmt w:val="decimal"/>
      <w:lvlText w:val="%1."/>
      <w:lvlJc w:val="left"/>
      <w:pPr>
        <w:ind w:left="219"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187" w:hanging="284"/>
      </w:pPr>
      <w:rPr>
        <w:rFonts w:hint="default"/>
        <w:lang w:val="zh-CN" w:eastAsia="zh-CN" w:bidi="zh-CN"/>
      </w:rPr>
    </w:lvl>
    <w:lvl w:ilvl="2" w:tentative="0">
      <w:start w:val="0"/>
      <w:numFmt w:val="bullet"/>
      <w:lvlText w:val="•"/>
      <w:lvlJc w:val="left"/>
      <w:pPr>
        <w:ind w:left="2154" w:hanging="284"/>
      </w:pPr>
      <w:rPr>
        <w:rFonts w:hint="default"/>
        <w:lang w:val="zh-CN" w:eastAsia="zh-CN" w:bidi="zh-CN"/>
      </w:rPr>
    </w:lvl>
    <w:lvl w:ilvl="3" w:tentative="0">
      <w:start w:val="0"/>
      <w:numFmt w:val="bullet"/>
      <w:lvlText w:val="•"/>
      <w:lvlJc w:val="left"/>
      <w:pPr>
        <w:ind w:left="3121" w:hanging="284"/>
      </w:pPr>
      <w:rPr>
        <w:rFonts w:hint="default"/>
        <w:lang w:val="zh-CN" w:eastAsia="zh-CN" w:bidi="zh-CN"/>
      </w:rPr>
    </w:lvl>
    <w:lvl w:ilvl="4" w:tentative="0">
      <w:start w:val="0"/>
      <w:numFmt w:val="bullet"/>
      <w:lvlText w:val="•"/>
      <w:lvlJc w:val="left"/>
      <w:pPr>
        <w:ind w:left="4088" w:hanging="284"/>
      </w:pPr>
      <w:rPr>
        <w:rFonts w:hint="default"/>
        <w:lang w:val="zh-CN" w:eastAsia="zh-CN" w:bidi="zh-CN"/>
      </w:rPr>
    </w:lvl>
    <w:lvl w:ilvl="5" w:tentative="0">
      <w:start w:val="0"/>
      <w:numFmt w:val="bullet"/>
      <w:lvlText w:val="•"/>
      <w:lvlJc w:val="left"/>
      <w:pPr>
        <w:ind w:left="5055" w:hanging="284"/>
      </w:pPr>
      <w:rPr>
        <w:rFonts w:hint="default"/>
        <w:lang w:val="zh-CN" w:eastAsia="zh-CN" w:bidi="zh-CN"/>
      </w:rPr>
    </w:lvl>
    <w:lvl w:ilvl="6" w:tentative="0">
      <w:start w:val="0"/>
      <w:numFmt w:val="bullet"/>
      <w:lvlText w:val="•"/>
      <w:lvlJc w:val="left"/>
      <w:pPr>
        <w:ind w:left="6022" w:hanging="284"/>
      </w:pPr>
      <w:rPr>
        <w:rFonts w:hint="default"/>
        <w:lang w:val="zh-CN" w:eastAsia="zh-CN" w:bidi="zh-CN"/>
      </w:rPr>
    </w:lvl>
    <w:lvl w:ilvl="7" w:tentative="0">
      <w:start w:val="0"/>
      <w:numFmt w:val="bullet"/>
      <w:lvlText w:val="•"/>
      <w:lvlJc w:val="left"/>
      <w:pPr>
        <w:ind w:left="6989" w:hanging="284"/>
      </w:pPr>
      <w:rPr>
        <w:rFonts w:hint="default"/>
        <w:lang w:val="zh-CN" w:eastAsia="zh-CN" w:bidi="zh-CN"/>
      </w:rPr>
    </w:lvl>
    <w:lvl w:ilvl="8" w:tentative="0">
      <w:start w:val="0"/>
      <w:numFmt w:val="bullet"/>
      <w:lvlText w:val="•"/>
      <w:lvlJc w:val="left"/>
      <w:pPr>
        <w:ind w:left="7956" w:hanging="284"/>
      </w:pPr>
      <w:rPr>
        <w:rFonts w:hint="default"/>
        <w:lang w:val="zh-CN" w:eastAsia="zh-CN" w:bidi="zh-CN"/>
      </w:rPr>
    </w:lvl>
  </w:abstractNum>
  <w:abstractNum w:abstractNumId="35">
    <w:nsid w:val="7DEC2089"/>
    <w:multiLevelType w:val="multilevel"/>
    <w:tmpl w:val="7DEC2089"/>
    <w:lvl w:ilvl="0" w:tentative="0">
      <w:start w:val="3"/>
      <w:numFmt w:val="decimal"/>
      <w:lvlText w:val="%1."/>
      <w:lvlJc w:val="left"/>
      <w:pPr>
        <w:ind w:left="502"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219" w:hanging="562"/>
        <w:jc w:val="left"/>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219" w:hanging="840"/>
        <w:jc w:val="left"/>
      </w:pPr>
      <w:rPr>
        <w:rFonts w:hint="default" w:ascii="宋体" w:hAnsi="宋体" w:eastAsia="宋体" w:cs="宋体"/>
        <w:spacing w:val="-2"/>
        <w:w w:val="100"/>
        <w:sz w:val="28"/>
        <w:szCs w:val="28"/>
        <w:lang w:val="zh-CN" w:eastAsia="zh-CN" w:bidi="zh-CN"/>
      </w:rPr>
    </w:lvl>
    <w:lvl w:ilvl="3" w:tentative="0">
      <w:start w:val="0"/>
      <w:numFmt w:val="bullet"/>
      <w:lvlText w:val="•"/>
      <w:lvlJc w:val="left"/>
      <w:pPr>
        <w:ind w:left="2338" w:hanging="840"/>
      </w:pPr>
      <w:rPr>
        <w:rFonts w:hint="default"/>
        <w:lang w:val="zh-CN" w:eastAsia="zh-CN" w:bidi="zh-CN"/>
      </w:rPr>
    </w:lvl>
    <w:lvl w:ilvl="4" w:tentative="0">
      <w:start w:val="0"/>
      <w:numFmt w:val="bullet"/>
      <w:lvlText w:val="•"/>
      <w:lvlJc w:val="left"/>
      <w:pPr>
        <w:ind w:left="3417" w:hanging="840"/>
      </w:pPr>
      <w:rPr>
        <w:rFonts w:hint="default"/>
        <w:lang w:val="zh-CN" w:eastAsia="zh-CN" w:bidi="zh-CN"/>
      </w:rPr>
    </w:lvl>
    <w:lvl w:ilvl="5" w:tentative="0">
      <w:start w:val="0"/>
      <w:numFmt w:val="bullet"/>
      <w:lvlText w:val="•"/>
      <w:lvlJc w:val="left"/>
      <w:pPr>
        <w:ind w:left="4496" w:hanging="840"/>
      </w:pPr>
      <w:rPr>
        <w:rFonts w:hint="default"/>
        <w:lang w:val="zh-CN" w:eastAsia="zh-CN" w:bidi="zh-CN"/>
      </w:rPr>
    </w:lvl>
    <w:lvl w:ilvl="6" w:tentative="0">
      <w:start w:val="0"/>
      <w:numFmt w:val="bullet"/>
      <w:lvlText w:val="•"/>
      <w:lvlJc w:val="left"/>
      <w:pPr>
        <w:ind w:left="5575" w:hanging="840"/>
      </w:pPr>
      <w:rPr>
        <w:rFonts w:hint="default"/>
        <w:lang w:val="zh-CN" w:eastAsia="zh-CN" w:bidi="zh-CN"/>
      </w:rPr>
    </w:lvl>
    <w:lvl w:ilvl="7" w:tentative="0">
      <w:start w:val="0"/>
      <w:numFmt w:val="bullet"/>
      <w:lvlText w:val="•"/>
      <w:lvlJc w:val="left"/>
      <w:pPr>
        <w:ind w:left="6653" w:hanging="840"/>
      </w:pPr>
      <w:rPr>
        <w:rFonts w:hint="default"/>
        <w:lang w:val="zh-CN" w:eastAsia="zh-CN" w:bidi="zh-CN"/>
      </w:rPr>
    </w:lvl>
    <w:lvl w:ilvl="8" w:tentative="0">
      <w:start w:val="0"/>
      <w:numFmt w:val="bullet"/>
      <w:lvlText w:val="•"/>
      <w:lvlJc w:val="left"/>
      <w:pPr>
        <w:ind w:left="7732" w:hanging="840"/>
      </w:pPr>
      <w:rPr>
        <w:rFonts w:hint="default"/>
        <w:lang w:val="zh-CN" w:eastAsia="zh-CN" w:bidi="zh-CN"/>
      </w:rPr>
    </w:lvl>
  </w:abstractNum>
  <w:num w:numId="1">
    <w:abstractNumId w:val="30"/>
  </w:num>
  <w:num w:numId="2">
    <w:abstractNumId w:val="10"/>
  </w:num>
  <w:num w:numId="3">
    <w:abstractNumId w:val="6"/>
  </w:num>
  <w:num w:numId="4">
    <w:abstractNumId w:val="17"/>
  </w:num>
  <w:num w:numId="5">
    <w:abstractNumId w:val="21"/>
  </w:num>
  <w:num w:numId="6">
    <w:abstractNumId w:val="33"/>
  </w:num>
  <w:num w:numId="7">
    <w:abstractNumId w:val="16"/>
  </w:num>
  <w:num w:numId="8">
    <w:abstractNumId w:val="22"/>
  </w:num>
  <w:num w:numId="9">
    <w:abstractNumId w:val="31"/>
  </w:num>
  <w:num w:numId="10">
    <w:abstractNumId w:val="11"/>
  </w:num>
  <w:num w:numId="11">
    <w:abstractNumId w:val="27"/>
  </w:num>
  <w:num w:numId="12">
    <w:abstractNumId w:val="14"/>
  </w:num>
  <w:num w:numId="13">
    <w:abstractNumId w:val="12"/>
  </w:num>
  <w:num w:numId="14">
    <w:abstractNumId w:val="4"/>
  </w:num>
  <w:num w:numId="15">
    <w:abstractNumId w:val="26"/>
  </w:num>
  <w:num w:numId="16">
    <w:abstractNumId w:val="18"/>
  </w:num>
  <w:num w:numId="17">
    <w:abstractNumId w:val="25"/>
  </w:num>
  <w:num w:numId="18">
    <w:abstractNumId w:val="5"/>
  </w:num>
  <w:num w:numId="19">
    <w:abstractNumId w:val="34"/>
  </w:num>
  <w:num w:numId="20">
    <w:abstractNumId w:val="9"/>
  </w:num>
  <w:num w:numId="21">
    <w:abstractNumId w:val="32"/>
  </w:num>
  <w:num w:numId="22">
    <w:abstractNumId w:val="3"/>
  </w:num>
  <w:num w:numId="23">
    <w:abstractNumId w:val="24"/>
  </w:num>
  <w:num w:numId="24">
    <w:abstractNumId w:val="1"/>
  </w:num>
  <w:num w:numId="25">
    <w:abstractNumId w:val="29"/>
  </w:num>
  <w:num w:numId="26">
    <w:abstractNumId w:val="35"/>
  </w:num>
  <w:num w:numId="27">
    <w:abstractNumId w:val="0"/>
  </w:num>
  <w:num w:numId="28">
    <w:abstractNumId w:val="20"/>
  </w:num>
  <w:num w:numId="29">
    <w:abstractNumId w:val="28"/>
  </w:num>
  <w:num w:numId="30">
    <w:abstractNumId w:val="15"/>
  </w:num>
  <w:num w:numId="31">
    <w:abstractNumId w:val="13"/>
  </w:num>
  <w:num w:numId="32">
    <w:abstractNumId w:val="23"/>
  </w:num>
  <w:num w:numId="33">
    <w:abstractNumId w:val="8"/>
  </w:num>
  <w:num w:numId="34">
    <w:abstractNumId w:val="2"/>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B1170"/>
    <w:rsid w:val="009540BB"/>
    <w:rsid w:val="00BE018D"/>
    <w:rsid w:val="042E253E"/>
    <w:rsid w:val="04786C96"/>
    <w:rsid w:val="049F3AEC"/>
    <w:rsid w:val="06305096"/>
    <w:rsid w:val="08C315C8"/>
    <w:rsid w:val="09673866"/>
    <w:rsid w:val="0D0754BF"/>
    <w:rsid w:val="0F2B6F01"/>
    <w:rsid w:val="12FC6F9A"/>
    <w:rsid w:val="177F72FD"/>
    <w:rsid w:val="19BE031A"/>
    <w:rsid w:val="2A336CF2"/>
    <w:rsid w:val="2ABE7231"/>
    <w:rsid w:val="2B4A43BB"/>
    <w:rsid w:val="31685F68"/>
    <w:rsid w:val="3284589B"/>
    <w:rsid w:val="3423329A"/>
    <w:rsid w:val="359033AA"/>
    <w:rsid w:val="362A0780"/>
    <w:rsid w:val="37494C51"/>
    <w:rsid w:val="3B377FB2"/>
    <w:rsid w:val="3D117150"/>
    <w:rsid w:val="40B05AAD"/>
    <w:rsid w:val="425965EF"/>
    <w:rsid w:val="42A2390A"/>
    <w:rsid w:val="43AF07F1"/>
    <w:rsid w:val="43CC4FDC"/>
    <w:rsid w:val="4B986FB8"/>
    <w:rsid w:val="4C283045"/>
    <w:rsid w:val="4C2A167A"/>
    <w:rsid w:val="4D702BBC"/>
    <w:rsid w:val="4E570A95"/>
    <w:rsid w:val="4F3E5007"/>
    <w:rsid w:val="53DB367F"/>
    <w:rsid w:val="55695E4D"/>
    <w:rsid w:val="55E335DB"/>
    <w:rsid w:val="5B904B2F"/>
    <w:rsid w:val="66C45758"/>
    <w:rsid w:val="677A64AF"/>
    <w:rsid w:val="73243F55"/>
    <w:rsid w:val="739257F7"/>
    <w:rsid w:val="759E3023"/>
    <w:rsid w:val="791537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5">
    <w:name w:val="heading 1"/>
    <w:basedOn w:val="1"/>
    <w:next w:val="1"/>
    <w:qFormat/>
    <w:uiPriority w:val="1"/>
    <w:pPr>
      <w:spacing w:before="32"/>
      <w:jc w:val="center"/>
      <w:outlineLvl w:val="1"/>
    </w:pPr>
    <w:rPr>
      <w:rFonts w:ascii="宋体" w:hAnsi="宋体" w:eastAsia="宋体" w:cs="宋体"/>
      <w:b/>
      <w:bCs/>
      <w:sz w:val="36"/>
      <w:szCs w:val="36"/>
      <w:lang w:val="zh-CN" w:eastAsia="zh-CN" w:bidi="zh-CN"/>
    </w:rPr>
  </w:style>
  <w:style w:type="paragraph" w:styleId="6">
    <w:name w:val="heading 2"/>
    <w:basedOn w:val="1"/>
    <w:next w:val="1"/>
    <w:qFormat/>
    <w:uiPriority w:val="1"/>
    <w:pPr>
      <w:outlineLvl w:val="2"/>
    </w:pPr>
    <w:rPr>
      <w:rFonts w:ascii="宋体" w:hAnsi="宋体" w:eastAsia="宋体" w:cs="宋体"/>
      <w:b/>
      <w:bCs/>
      <w:sz w:val="28"/>
      <w:szCs w:val="28"/>
      <w:lang w:val="zh-CN" w:eastAsia="zh-CN" w:bidi="zh-CN"/>
    </w:rPr>
  </w:style>
  <w:style w:type="paragraph" w:styleId="7">
    <w:name w:val="heading 3"/>
    <w:basedOn w:val="6"/>
    <w:next w:val="1"/>
    <w:qFormat/>
    <w:uiPriority w:val="0"/>
    <w:pPr>
      <w:tabs>
        <w:tab w:val="left" w:pos="425"/>
      </w:tabs>
      <w:outlineLvl w:val="2"/>
    </w:pPr>
  </w:style>
  <w:style w:type="paragraph" w:styleId="8">
    <w:name w:val="heading 4"/>
    <w:basedOn w:val="1"/>
    <w:next w:val="1"/>
    <w:qFormat/>
    <w:uiPriority w:val="0"/>
    <w:pPr>
      <w:keepNext/>
      <w:keepLines/>
      <w:spacing w:before="280" w:after="290" w:line="376" w:lineRule="auto"/>
      <w:outlineLvl w:val="3"/>
    </w:pPr>
    <w:rPr>
      <w:rFonts w:ascii="Calibri Light" w:hAnsi="Calibri Light"/>
      <w:b/>
      <w:bCs/>
      <w:kern w:val="0"/>
      <w:sz w:val="28"/>
      <w:szCs w:val="28"/>
    </w:rPr>
  </w:style>
  <w:style w:type="character" w:default="1" w:styleId="18">
    <w:name w:val="Default Paragraph Font"/>
    <w:semiHidden/>
    <w:unhideWhenUsed/>
    <w:qFormat/>
    <w:uiPriority w:val="1"/>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219"/>
    </w:pPr>
    <w:rPr>
      <w:rFonts w:ascii="宋体" w:hAnsi="宋体" w:eastAsia="宋体" w:cs="宋体"/>
      <w:sz w:val="28"/>
      <w:szCs w:val="28"/>
      <w:lang w:val="zh-CN" w:eastAsia="zh-CN" w:bidi="zh-CN"/>
    </w:rPr>
  </w:style>
  <w:style w:type="paragraph" w:customStyle="1" w:styleId="3">
    <w:name w:val="一级条标题"/>
    <w:basedOn w:val="4"/>
    <w:next w:val="1"/>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styleId="9">
    <w:name w:val="toc 3"/>
    <w:basedOn w:val="1"/>
    <w:next w:val="1"/>
    <w:qFormat/>
    <w:uiPriority w:val="0"/>
    <w:pPr>
      <w:ind w:left="840" w:leftChars="400"/>
    </w:pPr>
  </w:style>
  <w:style w:type="paragraph" w:styleId="10">
    <w:name w:val="footer"/>
    <w:basedOn w:val="1"/>
    <w:qFormat/>
    <w:uiPriority w:val="99"/>
    <w:pPr>
      <w:tabs>
        <w:tab w:val="center" w:pos="4153"/>
        <w:tab w:val="right" w:pos="8306"/>
      </w:tabs>
      <w:snapToGrid w:val="0"/>
      <w:jc w:val="left"/>
    </w:pPr>
    <w:rPr>
      <w:kern w:val="0"/>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paragraph" w:styleId="12">
    <w:name w:val="toc 1"/>
    <w:basedOn w:val="1"/>
    <w:next w:val="1"/>
    <w:qFormat/>
    <w:uiPriority w:val="1"/>
    <w:pPr>
      <w:spacing w:before="216"/>
      <w:ind w:left="118"/>
    </w:pPr>
    <w:rPr>
      <w:rFonts w:ascii="宋体" w:hAnsi="宋体" w:eastAsia="宋体" w:cs="宋体"/>
      <w:b/>
      <w:bCs/>
      <w:sz w:val="24"/>
      <w:szCs w:val="24"/>
      <w:lang w:val="zh-CN" w:eastAsia="zh-CN" w:bidi="zh-CN"/>
    </w:rPr>
  </w:style>
  <w:style w:type="paragraph" w:styleId="13">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14">
    <w:name w:val="toc 2"/>
    <w:basedOn w:val="1"/>
    <w:next w:val="1"/>
    <w:qFormat/>
    <w:uiPriority w:val="0"/>
    <w:pPr>
      <w:ind w:left="420" w:leftChars="200"/>
    </w:pPr>
  </w:style>
  <w:style w:type="paragraph" w:styleId="15">
    <w:name w:val="Title"/>
    <w:basedOn w:val="1"/>
    <w:next w:val="1"/>
    <w:qFormat/>
    <w:uiPriority w:val="0"/>
    <w:pPr>
      <w:spacing w:before="240" w:after="60"/>
      <w:jc w:val="center"/>
      <w:outlineLvl w:val="0"/>
    </w:pPr>
    <w:rPr>
      <w:rFonts w:ascii="Cambria" w:hAnsi="Cambria"/>
      <w:b/>
      <w:bCs/>
      <w:kern w:val="0"/>
      <w:sz w:val="36"/>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219" w:firstLine="561"/>
    </w:pPr>
    <w:rPr>
      <w:rFonts w:ascii="宋体" w:hAnsi="宋体" w:eastAsia="宋体" w:cs="宋体"/>
      <w:lang w:val="zh-CN" w:eastAsia="zh-CN" w:bidi="zh-CN"/>
    </w:rPr>
  </w:style>
  <w:style w:type="paragraph" w:customStyle="1" w:styleId="21">
    <w:name w:val="Table Paragraph"/>
    <w:basedOn w:val="1"/>
    <w:qFormat/>
    <w:uiPriority w:val="1"/>
    <w:rPr>
      <w:rFonts w:ascii="宋体" w:hAnsi="宋体" w:eastAsia="宋体" w:cs="宋体"/>
      <w:lang w:val="zh-CN" w:eastAsia="zh-CN" w:bidi="zh-CN"/>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 w:type="character" w:customStyle="1" w:styleId="25">
    <w:name w:val="font01"/>
    <w:basedOn w:val="18"/>
    <w:qFormat/>
    <w:uiPriority w:val="0"/>
    <w:rPr>
      <w:rFonts w:hint="eastAsia" w:ascii="宋体" w:hAnsi="宋体" w:eastAsia="宋体" w:cs="宋体"/>
      <w:color w:val="000000"/>
      <w:sz w:val="20"/>
      <w:szCs w:val="20"/>
      <w:u w:val="none"/>
    </w:rPr>
  </w:style>
  <w:style w:type="character" w:customStyle="1" w:styleId="26">
    <w:name w:val="font31"/>
    <w:basedOn w:val="18"/>
    <w:qFormat/>
    <w:uiPriority w:val="0"/>
    <w:rPr>
      <w:rFonts w:hint="eastAsia" w:ascii="宋体" w:hAnsi="宋体" w:eastAsia="宋体" w:cs="宋体"/>
      <w:color w:val="FF0000"/>
      <w:sz w:val="20"/>
      <w:szCs w:val="20"/>
      <w:u w:val="none"/>
    </w:rPr>
  </w:style>
  <w:style w:type="character" w:customStyle="1" w:styleId="27">
    <w:name w:val="font21"/>
    <w:basedOn w:val="18"/>
    <w:qFormat/>
    <w:uiPriority w:val="0"/>
    <w:rPr>
      <w:rFonts w:hint="eastAsia" w:ascii="宋体" w:hAnsi="宋体" w:eastAsia="宋体" w:cs="宋体"/>
      <w:color w:val="000000"/>
      <w:sz w:val="20"/>
      <w:szCs w:val="20"/>
      <w:u w:val="none"/>
    </w:rPr>
  </w:style>
  <w:style w:type="character" w:customStyle="1" w:styleId="28">
    <w:name w:val="font11"/>
    <w:basedOn w:val="18"/>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2021-11-17T07:08:00Z</dcterms:created>
  <dc:creator>太子弹琴</dc:creator>
  <cp:lastModifiedBy>过期情话</cp:lastModifiedBy>
  <dcterms:modified xsi:type="dcterms:W3CDTF">2021-12-02T07:58:23Z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WPS 文字</vt:lpwstr>
  </property>
  <property fmtid="{D5CDD505-2E9C-101B-9397-08002B2CF9AE}" pid="4" name="LastSaved">
    <vt:filetime>2021-11-17T00:00:00Z</vt:filetime>
  </property>
  <property fmtid="{D5CDD505-2E9C-101B-9397-08002B2CF9AE}" pid="5" name="KSOProductBuildVer">
    <vt:lpwstr>2052-11.1.0.11115</vt:lpwstr>
  </property>
  <property fmtid="{D5CDD505-2E9C-101B-9397-08002B2CF9AE}" pid="6" name="ICV">
    <vt:lpwstr>9397A4729C264F27B219A79487515BE9</vt:lpwstr>
  </property>
</Properties>
</file>