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ordWrap/>
        <w:spacing w:before="157" w:beforeLines="50" w:line="560" w:lineRule="exact"/>
        <w:jc w:val="center"/>
        <w:rPr>
          <w:rFonts w:hint="eastAsia" w:asciiTheme="minorEastAsia" w:hAnsiTheme="minorEastAsia" w:eastAsiaTheme="minorEastAsia" w:cstheme="minorEastAsia"/>
          <w:sz w:val="24"/>
          <w:szCs w:val="24"/>
          <w:lang w:val="en-US" w:eastAsia="zh-CN"/>
        </w:rPr>
      </w:pPr>
    </w:p>
    <w:p>
      <w:pPr>
        <w:pStyle w:val="13"/>
        <w:wordWrap/>
        <w:spacing w:before="157" w:beforeLines="50" w:line="560" w:lineRule="exact"/>
        <w:jc w:val="center"/>
        <w:rPr>
          <w:rFonts w:hint="eastAsia" w:asciiTheme="minorEastAsia" w:hAnsiTheme="minorEastAsia" w:eastAsiaTheme="minorEastAsia" w:cstheme="minorEastAsia"/>
          <w:sz w:val="24"/>
          <w:szCs w:val="24"/>
        </w:rPr>
      </w:pPr>
    </w:p>
    <w:p>
      <w:pPr>
        <w:pStyle w:val="13"/>
        <w:wordWrap/>
        <w:spacing w:before="157" w:beforeLines="50" w:line="560" w:lineRule="exact"/>
        <w:jc w:val="center"/>
        <w:rPr>
          <w:rFonts w:hint="eastAsia" w:asciiTheme="minorEastAsia" w:hAnsiTheme="minorEastAsia" w:eastAsiaTheme="minorEastAsia" w:cstheme="minorEastAsia"/>
          <w:sz w:val="24"/>
          <w:szCs w:val="24"/>
        </w:rPr>
      </w:pPr>
    </w:p>
    <w:p>
      <w:pPr>
        <w:pStyle w:val="13"/>
        <w:widowControl w:val="0"/>
        <w:wordWrap/>
        <w:spacing w:before="313" w:beforeLines="100" w:line="560" w:lineRule="exact"/>
        <w:jc w:val="center"/>
        <w:textAlignment w:val="auto"/>
        <w:rPr>
          <w:rFonts w:hint="eastAsia" w:asciiTheme="minorEastAsia" w:hAnsiTheme="minorEastAsia" w:eastAsiaTheme="minorEastAsia" w:cstheme="minorEastAsia"/>
          <w:bCs/>
          <w:sz w:val="72"/>
          <w:szCs w:val="72"/>
        </w:rPr>
      </w:pPr>
      <w:r>
        <w:rPr>
          <w:rFonts w:hint="eastAsia" w:asciiTheme="minorEastAsia" w:hAnsiTheme="minorEastAsia" w:eastAsiaTheme="minorEastAsia" w:cstheme="minorEastAsia"/>
          <w:sz w:val="72"/>
          <w:szCs w:val="72"/>
        </w:rPr>
        <w:t>政府采购</w:t>
      </w:r>
    </w:p>
    <w:p>
      <w:pPr>
        <w:pStyle w:val="13"/>
        <w:widowControl w:val="0"/>
        <w:wordWrap/>
        <w:adjustRightInd w:val="0"/>
        <w:snapToGrid w:val="0"/>
        <w:spacing w:before="313" w:beforeLines="100" w:line="560" w:lineRule="exact"/>
        <w:jc w:val="center"/>
        <w:textAlignment w:val="auto"/>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竞争性谈判文件</w:t>
      </w:r>
    </w:p>
    <w:p>
      <w:pPr>
        <w:pStyle w:val="13"/>
        <w:widowControl w:val="0"/>
        <w:wordWrap/>
        <w:adjustRightInd w:val="0"/>
        <w:snapToGrid w:val="0"/>
        <w:spacing w:before="313" w:beforeLines="100" w:line="560" w:lineRule="exact"/>
        <w:ind w:left="2843" w:leftChars="554" w:hanging="1680" w:hangingChars="700"/>
        <w:textAlignment w:val="auto"/>
        <w:rPr>
          <w:rFonts w:hint="eastAsia" w:asciiTheme="minorEastAsia" w:hAnsiTheme="minorEastAsia" w:eastAsiaTheme="minorEastAsia" w:cstheme="minorEastAsia"/>
          <w:sz w:val="24"/>
          <w:szCs w:val="24"/>
        </w:rPr>
      </w:pPr>
    </w:p>
    <w:p>
      <w:pPr>
        <w:pStyle w:val="13"/>
        <w:widowControl w:val="0"/>
        <w:tabs>
          <w:tab w:val="left" w:pos="7903"/>
        </w:tabs>
        <w:wordWrap/>
        <w:adjustRightInd w:val="0"/>
        <w:snapToGrid w:val="0"/>
        <w:spacing w:before="313" w:beforeLines="100" w:line="560" w:lineRule="exact"/>
        <w:ind w:left="2843" w:leftChars="554" w:hanging="1680" w:hangingChars="7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p>
    <w:p>
      <w:pPr>
        <w:pStyle w:val="13"/>
        <w:widowControl w:val="0"/>
        <w:wordWrap/>
        <w:adjustRightInd w:val="0"/>
        <w:snapToGrid w:val="0"/>
        <w:spacing w:before="313" w:beforeLines="100" w:line="560" w:lineRule="exact"/>
        <w:ind w:left="2843" w:leftChars="554" w:hanging="1680" w:hangingChars="700"/>
        <w:textAlignment w:val="auto"/>
        <w:rPr>
          <w:rFonts w:hint="eastAsia" w:asciiTheme="minorEastAsia" w:hAnsiTheme="minorEastAsia" w:eastAsiaTheme="minorEastAsia" w:cstheme="minorEastAsia"/>
          <w:sz w:val="24"/>
          <w:szCs w:val="24"/>
        </w:rPr>
      </w:pPr>
    </w:p>
    <w:p>
      <w:pPr>
        <w:pStyle w:val="13"/>
        <w:widowControl w:val="0"/>
        <w:tabs>
          <w:tab w:val="left" w:pos="4799"/>
        </w:tabs>
        <w:wordWrap/>
        <w:adjustRightInd w:val="0"/>
        <w:snapToGrid w:val="0"/>
        <w:spacing w:before="313" w:beforeLines="100" w:line="560" w:lineRule="exact"/>
        <w:ind w:left="2843" w:leftChars="554" w:hanging="1680" w:hangingChars="7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p>
    <w:p>
      <w:pPr>
        <w:pStyle w:val="13"/>
        <w:widowControl w:val="0"/>
        <w:wordWrap/>
        <w:adjustRightInd w:val="0"/>
        <w:snapToGrid w:val="0"/>
        <w:spacing w:before="313" w:beforeLines="100" w:line="560" w:lineRule="exact"/>
        <w:ind w:left="2843" w:leftChars="554" w:hanging="1680" w:hangingChars="700"/>
        <w:textAlignment w:val="auto"/>
        <w:rPr>
          <w:rFonts w:hint="eastAsia" w:asciiTheme="minorEastAsia" w:hAnsiTheme="minorEastAsia" w:eastAsiaTheme="minorEastAsia" w:cstheme="minorEastAsia"/>
          <w:sz w:val="24"/>
          <w:szCs w:val="24"/>
        </w:rPr>
      </w:pPr>
    </w:p>
    <w:p>
      <w:pPr>
        <w:widowControl w:val="0"/>
        <w:wordWrap/>
        <w:autoSpaceDE w:val="0"/>
        <w:autoSpaceDN w:val="0"/>
        <w:adjustRightInd w:val="0"/>
        <w:snapToGrid/>
        <w:spacing w:before="157" w:beforeLines="50" w:line="560" w:lineRule="exact"/>
        <w:ind w:left="559" w:leftChars="266" w:firstLine="0" w:firstLineChars="0"/>
        <w:jc w:val="left"/>
        <w:textAlignment w:val="auto"/>
        <w:rPr>
          <w:rFonts w:hint="eastAsia" w:asciiTheme="minorEastAsia" w:hAnsiTheme="minorEastAsia" w:eastAsiaTheme="minorEastAsia" w:cstheme="minorEastAsia"/>
          <w:b/>
          <w:bCs/>
          <w:sz w:val="28"/>
          <w:szCs w:val="28"/>
          <w:u w:val="none"/>
          <w:lang w:eastAsia="zh-CN"/>
        </w:rPr>
      </w:pPr>
      <w:r>
        <w:rPr>
          <w:rFonts w:hint="eastAsia" w:asciiTheme="minorEastAsia" w:hAnsiTheme="minorEastAsia" w:eastAsiaTheme="minorEastAsia" w:cstheme="minorEastAsia"/>
          <w:b/>
          <w:bCs/>
          <w:sz w:val="28"/>
          <w:szCs w:val="28"/>
          <w:u w:val="none"/>
          <w:lang w:eastAsia="zh-CN"/>
        </w:rPr>
        <w:t>采购项目名称：</w:t>
      </w:r>
      <w:r>
        <w:rPr>
          <w:rFonts w:hint="eastAsia" w:asciiTheme="minorEastAsia" w:hAnsiTheme="minorEastAsia" w:eastAsiaTheme="minorEastAsia" w:cstheme="minorEastAsia"/>
          <w:b/>
          <w:bCs/>
          <w:sz w:val="28"/>
          <w:szCs w:val="28"/>
          <w:u w:val="none"/>
          <w:lang w:val="en-US" w:eastAsia="zh-CN"/>
        </w:rPr>
        <w:t>泉吉乡宁夏村党员活动室阳光暖廓建设项目</w:t>
      </w:r>
    </w:p>
    <w:p>
      <w:pPr>
        <w:widowControl w:val="0"/>
        <w:wordWrap/>
        <w:autoSpaceDE w:val="0"/>
        <w:autoSpaceDN w:val="0"/>
        <w:adjustRightInd w:val="0"/>
        <w:snapToGrid/>
        <w:spacing w:before="157" w:beforeLines="50" w:line="560" w:lineRule="exact"/>
        <w:ind w:firstLine="562" w:firstLineChars="200"/>
        <w:jc w:val="left"/>
        <w:textAlignment w:val="auto"/>
        <w:rPr>
          <w:rFonts w:hint="default" w:asciiTheme="minorEastAsia" w:hAnsiTheme="minorEastAsia" w:eastAsiaTheme="minorEastAsia" w:cstheme="minorEastAsia"/>
          <w:b/>
          <w:bCs/>
          <w:sz w:val="28"/>
          <w:szCs w:val="28"/>
          <w:u w:val="none"/>
          <w:lang w:val="en-US"/>
        </w:rPr>
      </w:pPr>
      <w:r>
        <w:rPr>
          <w:rFonts w:hint="eastAsia" w:asciiTheme="minorEastAsia" w:hAnsiTheme="minorEastAsia" w:eastAsiaTheme="minorEastAsia" w:cstheme="minorEastAsia"/>
          <w:b/>
          <w:bCs/>
          <w:sz w:val="28"/>
          <w:szCs w:val="28"/>
          <w:u w:val="none"/>
        </w:rPr>
        <w:t>政府采购编号：</w:t>
      </w:r>
      <w:r>
        <w:rPr>
          <w:rFonts w:hint="eastAsia" w:asciiTheme="minorEastAsia" w:hAnsiTheme="minorEastAsia" w:eastAsiaTheme="minorEastAsia" w:cstheme="minorEastAsia"/>
          <w:b/>
          <w:bCs/>
          <w:sz w:val="28"/>
          <w:szCs w:val="28"/>
          <w:u w:val="none"/>
          <w:lang w:eastAsia="zh-CN"/>
        </w:rPr>
        <w:t>青海汇森竞谈（工程）2022-037</w:t>
      </w:r>
    </w:p>
    <w:p>
      <w:pPr>
        <w:widowControl w:val="0"/>
        <w:wordWrap/>
        <w:adjustRightInd w:val="0"/>
        <w:snapToGrid w:val="0"/>
        <w:spacing w:before="157" w:beforeLines="50" w:line="560" w:lineRule="exact"/>
        <w:ind w:firstLine="562" w:firstLineChars="200"/>
        <w:textAlignment w:val="auto"/>
        <w:rPr>
          <w:rFonts w:hint="eastAsia"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rPr>
        <w:t>采   购   人：</w:t>
      </w:r>
      <w:r>
        <w:rPr>
          <w:rFonts w:hint="eastAsia" w:asciiTheme="minorEastAsia" w:hAnsiTheme="minorEastAsia" w:eastAsiaTheme="minorEastAsia" w:cstheme="minorEastAsia"/>
          <w:b/>
          <w:bCs/>
          <w:sz w:val="28"/>
          <w:szCs w:val="28"/>
          <w:u w:val="none"/>
          <w:lang w:eastAsia="zh-CN"/>
        </w:rPr>
        <w:t>刚察县泉吉乡人民政府</w:t>
      </w:r>
    </w:p>
    <w:p>
      <w:pPr>
        <w:widowControl w:val="0"/>
        <w:wordWrap/>
        <w:adjustRightInd w:val="0"/>
        <w:snapToGrid w:val="0"/>
        <w:spacing w:before="157" w:beforeLines="50" w:line="560" w:lineRule="exact"/>
        <w:ind w:firstLine="562" w:firstLineChars="200"/>
        <w:textAlignment w:val="auto"/>
        <w:rPr>
          <w:rFonts w:hint="eastAsia"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rPr>
        <w:t>采购代理机构：</w:t>
      </w:r>
      <w:r>
        <w:rPr>
          <w:rFonts w:hint="eastAsia" w:asciiTheme="minorEastAsia" w:hAnsiTheme="minorEastAsia" w:eastAsiaTheme="minorEastAsia" w:cstheme="minorEastAsia"/>
          <w:b/>
          <w:bCs/>
          <w:sz w:val="28"/>
          <w:szCs w:val="28"/>
          <w:u w:val="none"/>
          <w:lang w:eastAsia="zh-CN"/>
        </w:rPr>
        <w:t>青海汇森招标有限公司</w:t>
      </w:r>
      <w:r>
        <w:rPr>
          <w:rFonts w:hint="eastAsia" w:asciiTheme="minorEastAsia" w:hAnsiTheme="minorEastAsia" w:eastAsiaTheme="minorEastAsia" w:cstheme="minorEastAsia"/>
          <w:b/>
          <w:bCs/>
          <w:sz w:val="28"/>
          <w:szCs w:val="28"/>
          <w:u w:val="none"/>
        </w:rPr>
        <w:t xml:space="preserve"> </w:t>
      </w:r>
    </w:p>
    <w:p>
      <w:pPr>
        <w:widowControl w:val="0"/>
        <w:wordWrap/>
        <w:adjustRightInd w:val="0"/>
        <w:snapToGrid w:val="0"/>
        <w:spacing w:before="157" w:beforeLines="50" w:line="560" w:lineRule="exact"/>
        <w:ind w:firstLine="562" w:firstLineChars="200"/>
        <w:textAlignment w:val="auto"/>
        <w:rPr>
          <w:rFonts w:hint="eastAsia"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rPr>
        <w:t xml:space="preserve"> </w:t>
      </w:r>
    </w:p>
    <w:p>
      <w:pPr>
        <w:widowControl w:val="0"/>
        <w:wordWrap/>
        <w:adjustRightInd w:val="0"/>
        <w:snapToGrid w:val="0"/>
        <w:spacing w:before="157" w:beforeLines="50" w:line="560" w:lineRule="exact"/>
        <w:ind w:firstLine="562" w:firstLineChars="200"/>
        <w:textAlignment w:val="auto"/>
        <w:rPr>
          <w:rFonts w:hint="eastAsia" w:asciiTheme="minorEastAsia" w:hAnsiTheme="minorEastAsia" w:eastAsiaTheme="minorEastAsia" w:cstheme="minorEastAsia"/>
          <w:b w:val="0"/>
          <w:bCs/>
          <w:sz w:val="24"/>
          <w:szCs w:val="24"/>
          <w:u w:val="none"/>
        </w:rPr>
      </w:pPr>
      <w:r>
        <w:rPr>
          <w:rFonts w:hint="eastAsia" w:asciiTheme="minorEastAsia" w:hAnsiTheme="minorEastAsia" w:eastAsiaTheme="minorEastAsia" w:cstheme="minorEastAsia"/>
          <w:b/>
          <w:bCs/>
          <w:sz w:val="28"/>
          <w:szCs w:val="28"/>
          <w:u w:val="none"/>
        </w:rPr>
        <w:t xml:space="preserve"> </w:t>
      </w:r>
    </w:p>
    <w:p>
      <w:pPr>
        <w:wordWrap/>
        <w:autoSpaceDE w:val="0"/>
        <w:autoSpaceDN w:val="0"/>
        <w:adjustRightInd w:val="0"/>
        <w:spacing w:before="157" w:beforeLines="50" w:line="560" w:lineRule="exact"/>
        <w:jc w:val="left"/>
        <w:rPr>
          <w:rFonts w:hint="eastAsia" w:asciiTheme="minorEastAsia" w:hAnsiTheme="minorEastAsia" w:eastAsiaTheme="minorEastAsia" w:cstheme="minorEastAsia"/>
          <w:color w:val="000000"/>
          <w:kern w:val="0"/>
          <w:sz w:val="24"/>
          <w:szCs w:val="24"/>
          <w:lang w:val="zh-CN"/>
        </w:rPr>
      </w:pPr>
    </w:p>
    <w:p>
      <w:pPr>
        <w:rPr>
          <w:rFonts w:hint="eastAsia"/>
          <w:lang w:val="zh-CN"/>
        </w:rPr>
      </w:pPr>
    </w:p>
    <w:p>
      <w:pPr>
        <w:pStyle w:val="28"/>
        <w:rPr>
          <w:rFonts w:hint="eastAsia"/>
          <w:lang w:val="zh-CN"/>
        </w:rPr>
      </w:pPr>
    </w:p>
    <w:p>
      <w:pPr>
        <w:rPr>
          <w:rFonts w:hint="eastAsia"/>
          <w:lang w:val="zh-CN"/>
        </w:rPr>
      </w:pPr>
    </w:p>
    <w:p>
      <w:pPr>
        <w:spacing w:before="0" w:beforeLines="0" w:after="0" w:afterLines="0" w:line="360" w:lineRule="auto"/>
        <w:ind w:left="0" w:leftChars="0" w:right="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目</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录</w:t>
      </w:r>
    </w:p>
    <w:p>
      <w:pPr>
        <w:pStyle w:val="16"/>
        <w:tabs>
          <w:tab w:val="right" w:leader="dot" w:pos="974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_Toc7139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第一部分 谈判邀请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_Toc7139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_Toc17527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lang w:val="en-US" w:eastAsia="zh-CN"/>
        </w:rPr>
        <w:t>第二部分  谈判须知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_Toc17527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_Toc17652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kern w:val="2"/>
          <w:sz w:val="24"/>
          <w:szCs w:val="24"/>
          <w:lang w:val="en-US" w:eastAsia="zh-CN" w:bidi="ar-SA"/>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_Toc17652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_Toc4164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1.适用范围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_Toc4164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_Toc21934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2.采购人及代理机构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_Toc21934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_Toc9813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3.供应商的资格要求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_Toc9813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_Toc19680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4.谈判费用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_Toc19680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_Toc24107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kern w:val="2"/>
          <w:sz w:val="24"/>
          <w:szCs w:val="24"/>
          <w:lang w:val="en-US" w:eastAsia="zh-CN" w:bidi="ar-SA"/>
        </w:rPr>
        <w:t>二、谈判文件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_Toc24107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_Toc28723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5.谈判文件的组成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_Toc28723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_Toc10835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6.谈判文件的澄清</w:t>
      </w:r>
      <w:r>
        <w:rPr>
          <w:rFonts w:hint="eastAsia" w:ascii="宋体" w:hAnsi="宋体" w:eastAsia="宋体" w:cs="宋体"/>
          <w:bCs/>
          <w:kern w:val="2"/>
          <w:sz w:val="24"/>
          <w:szCs w:val="24"/>
          <w:lang w:val="zh-CN" w:eastAsia="zh-CN" w:bidi="ar-SA"/>
        </w:rPr>
        <w:t>或者</w:t>
      </w:r>
      <w:r>
        <w:rPr>
          <w:rFonts w:hint="eastAsia" w:ascii="宋体" w:hAnsi="宋体" w:eastAsia="宋体" w:cs="宋体"/>
          <w:bCs/>
          <w:kern w:val="2"/>
          <w:sz w:val="24"/>
          <w:szCs w:val="24"/>
          <w:lang w:val="en-US" w:eastAsia="zh-CN" w:bidi="ar-SA"/>
        </w:rPr>
        <w:t>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_Toc10835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_Toc9593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7.谈判文件的询问或质疑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_Toc9593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_Toc2279 </w:instrText>
      </w:r>
      <w:r>
        <w:rPr>
          <w:rFonts w:hint="eastAsia" w:ascii="宋体" w:hAnsi="宋体" w:eastAsia="宋体" w:cs="宋体"/>
          <w:sz w:val="24"/>
          <w:szCs w:val="24"/>
          <w:lang w:val="en-US" w:eastAsia="zh-CN"/>
        </w:rPr>
        <w:fldChar w:fldCharType="separate"/>
      </w:r>
      <w:r>
        <w:rPr>
          <w:rFonts w:hint="eastAsia" w:ascii="宋体" w:hAnsi="宋体" w:eastAsia="宋体" w:cs="宋体"/>
          <w:kern w:val="2"/>
          <w:sz w:val="24"/>
          <w:szCs w:val="24"/>
          <w:lang w:val="en-US" w:eastAsia="zh-CN" w:bidi="ar-SA"/>
        </w:rPr>
        <w:t>三、响应文件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_Toc11182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8.一般要求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_Toc11182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_Toc14612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9.报价要求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_Toc14612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_Toc22759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10.保证金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_Toc22759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_Toc26057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11.响应文件的组成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_Toc26057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_Toc27837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12.响应文件有效期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_Toc27837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_Toc14085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13.响应文件的签署及规定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_Toc14085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_Toc17136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kern w:val="2"/>
          <w:sz w:val="24"/>
          <w:szCs w:val="24"/>
          <w:lang w:val="en-US" w:eastAsia="zh-CN" w:bidi="ar-SA"/>
        </w:rPr>
        <w:t>四、响应文件的递交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_Toc17136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_Toc1623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14.响应文件的密封和标记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_Toc20573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15.响应文件的递交与接收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_Toc20573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_Toc6281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16.响应文件的</w:t>
      </w:r>
      <w:r>
        <w:rPr>
          <w:rFonts w:hint="eastAsia" w:ascii="宋体" w:hAnsi="宋体" w:eastAsia="宋体" w:cs="宋体"/>
          <w:bCs/>
          <w:kern w:val="2"/>
          <w:sz w:val="24"/>
          <w:szCs w:val="24"/>
          <w:lang w:val="zh-CN" w:eastAsia="zh-CN" w:bidi="ar-SA"/>
        </w:rPr>
        <w:t>补充、修改或者撤回</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_Toc6281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_Toc25729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kern w:val="2"/>
          <w:sz w:val="24"/>
          <w:szCs w:val="24"/>
          <w:lang w:val="en-US" w:eastAsia="zh-CN" w:bidi="ar-SA"/>
        </w:rPr>
        <w:t>五、响应文件的评审与谈判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_Toc25729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_Toc3476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17.谈判小组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_Toc3476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_Toc15381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18.响应文件审查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_Toc15381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_Toc339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19.谈判程序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_Toc339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_Toc5514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20.澄清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_Toc5514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_Toc27266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21.退出谈判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_Toc27266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_Toc15985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22.最后报价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_Toc15985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_Toc29458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23.确定成交供应商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_Toc29458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_Toc2319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24.重新评审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_Toc2319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_Toc7140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25.谈判终止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_Toc7140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_Toc21426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26.串通情形认定及处理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_Toc21426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_Toc20308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27.成交信息的公布与通知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_Toc20308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_Toc22397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28.授予合同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_Toc22397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_Toc24904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29.履约验收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_Toc24904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_Toc25284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kern w:val="2"/>
          <w:sz w:val="24"/>
          <w:szCs w:val="24"/>
          <w:highlight w:val="none"/>
          <w:lang w:val="en-US" w:eastAsia="zh-CN" w:bidi="ar-SA"/>
        </w:rPr>
        <w:t>七、询问与质疑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_Toc25284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_Toc12452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30.对采购过程、结果的询问及质疑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_Toc12452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_Toc826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kern w:val="2"/>
          <w:sz w:val="24"/>
          <w:szCs w:val="24"/>
          <w:highlight w:val="none"/>
          <w:lang w:val="en-US" w:eastAsia="zh-CN" w:bidi="ar-SA"/>
        </w:rPr>
        <w:t>八、政府采购政策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_Toc32069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31.政府采购政策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_Toc32069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_Toc1648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kern w:val="2"/>
          <w:sz w:val="24"/>
          <w:szCs w:val="24"/>
          <w:highlight w:val="none"/>
          <w:lang w:val="en-US" w:eastAsia="zh-CN" w:bidi="ar-SA"/>
        </w:rPr>
        <w:t>九、其他规定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_Toc1648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_Toc24310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32.代理服务费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_Toc24310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_Toc11135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33.其他规定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_Toc11135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6"/>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_Toc27906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lang w:val="en-US" w:eastAsia="zh-CN"/>
        </w:rPr>
        <w:t>第三部分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_Toc27906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6"/>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_Toc30419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en-US" w:eastAsia="zh-CN" w:bidi="ar-SA"/>
        </w:rPr>
        <w:t>第四部分 谈判响应文件格式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_Toc30419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_Toc25414 </w:instrText>
      </w:r>
      <w:r>
        <w:rPr>
          <w:rFonts w:hint="eastAsia" w:ascii="宋体" w:hAnsi="宋体" w:eastAsia="宋体" w:cs="宋体"/>
          <w:sz w:val="24"/>
          <w:szCs w:val="24"/>
          <w:lang w:val="en-US" w:eastAsia="zh-CN"/>
        </w:rPr>
        <w:fldChar w:fldCharType="separate"/>
      </w:r>
      <w:r>
        <w:rPr>
          <w:rFonts w:hint="eastAsia" w:ascii="宋体" w:hAnsi="宋体" w:eastAsia="宋体" w:cs="宋体"/>
          <w:kern w:val="2"/>
          <w:sz w:val="24"/>
          <w:szCs w:val="24"/>
          <w:lang w:val="en-US" w:eastAsia="zh-CN" w:bidi="ar-SA"/>
        </w:rPr>
        <w:t>十二、谈判响应文件的组成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_Toc25414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_Toc24938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zh-CN" w:eastAsia="zh-CN" w:bidi="ar-SA"/>
        </w:rPr>
        <w:t>（一）资格审查部分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_Toc24938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_Toc14583 </w:instrText>
      </w:r>
      <w:r>
        <w:rPr>
          <w:rFonts w:hint="eastAsia" w:ascii="宋体" w:hAnsi="宋体" w:eastAsia="宋体" w:cs="宋体"/>
          <w:sz w:val="24"/>
          <w:szCs w:val="24"/>
          <w:lang w:val="en-US" w:eastAsia="zh-CN"/>
        </w:rPr>
        <w:fldChar w:fldCharType="separate"/>
      </w:r>
      <w:r>
        <w:rPr>
          <w:rFonts w:hint="eastAsia" w:ascii="宋体" w:hAnsi="宋体" w:eastAsia="宋体" w:cs="宋体"/>
          <w:bCs/>
          <w:kern w:val="2"/>
          <w:sz w:val="24"/>
          <w:szCs w:val="24"/>
          <w:lang w:val="zh-CN" w:eastAsia="zh-CN" w:bidi="ar-SA"/>
        </w:rPr>
        <w:t>（二）有效性、完整性、响应程度审查部分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_Toc14583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_Toc9999 </w:instrText>
      </w:r>
      <w:r>
        <w:rPr>
          <w:rFonts w:hint="eastAsia" w:ascii="宋体" w:hAnsi="宋体" w:eastAsia="宋体" w:cs="宋体"/>
          <w:sz w:val="24"/>
          <w:szCs w:val="24"/>
          <w:lang w:val="en-US" w:eastAsia="zh-CN"/>
        </w:rPr>
        <w:fldChar w:fldCharType="separate"/>
      </w:r>
      <w:r>
        <w:rPr>
          <w:rFonts w:hint="eastAsia" w:ascii="宋体" w:hAnsi="宋体" w:eastAsia="宋体" w:cs="宋体"/>
          <w:kern w:val="2"/>
          <w:sz w:val="24"/>
          <w:szCs w:val="24"/>
          <w:lang w:val="en-US" w:eastAsia="zh-CN" w:bidi="ar-SA"/>
        </w:rPr>
        <w:t>十三、谈判响应文件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_Toc9999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_Toc32379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eastAsia="zh-CN"/>
        </w:rPr>
        <w:t>附件1：响应函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_Toc32379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_Toc21327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eastAsia="zh-CN"/>
        </w:rPr>
        <w:t>附件2：法定代表人证明书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_Toc21327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_Toc17144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eastAsia="zh-CN"/>
        </w:rPr>
        <w:t>附件3：法定代表人授权书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_Toc17144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_Toc27456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eastAsia="zh-CN"/>
        </w:rPr>
        <w:t>附件4：供应商承诺函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_Toc27456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_Toc1937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eastAsia="zh-CN"/>
        </w:rPr>
        <w:t>附件5：供应商诚信承诺书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_Toc16976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eastAsia="zh-CN"/>
        </w:rPr>
        <w:t>附件6：供应商资格证明文件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_Toc16976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_Toc13679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eastAsia="zh-CN"/>
        </w:rPr>
        <w:t>附件7：财务状况、缴纳税收和社会保障资金证明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_Toc13679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_Toc15026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eastAsia="zh-CN"/>
        </w:rPr>
        <w:t>附件8：无重大违法记录声明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_Toc15026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_Toc29943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附件9：谈判</w:t>
      </w:r>
      <w:r>
        <w:rPr>
          <w:rFonts w:hint="eastAsia" w:ascii="宋体" w:hAnsi="宋体" w:eastAsia="宋体" w:cs="宋体"/>
          <w:sz w:val="24"/>
          <w:szCs w:val="24"/>
          <w:lang w:val="zh-CN" w:eastAsia="zh-CN"/>
        </w:rPr>
        <w:t>保证金证明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_Toc29943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_Toc30253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kern w:val="2"/>
          <w:sz w:val="24"/>
          <w:szCs w:val="24"/>
          <w:lang w:val="en-US" w:eastAsia="zh-CN" w:bidi="ar-SA"/>
        </w:rPr>
        <w:t>附件10：谈判首次报价表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_Toc30253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_Toc30697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kern w:val="2"/>
          <w:sz w:val="24"/>
          <w:szCs w:val="24"/>
          <w:lang w:val="en-US" w:eastAsia="zh-CN" w:bidi="ar-SA"/>
        </w:rPr>
        <w:t>附件11：</w:t>
      </w:r>
      <w:r>
        <w:rPr>
          <w:rFonts w:hint="eastAsia" w:ascii="宋体" w:hAnsi="宋体" w:eastAsia="宋体" w:cs="宋体"/>
          <w:bCs/>
          <w:sz w:val="24"/>
          <w:szCs w:val="24"/>
          <w:highlight w:val="none"/>
        </w:rPr>
        <w:t>已标价工程量清单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_Toc30697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6"/>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_Toc25169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（一）工程量清单报价表封面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_Toc25169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6"/>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_Toc5430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highlight w:val="none"/>
        </w:rPr>
        <w:t>（二）总说明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_Toc5430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_Toc9053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highlight w:val="none"/>
          <w:lang w:eastAsia="zh-CN"/>
        </w:rPr>
        <w:t>附件</w:t>
      </w: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施工组织设计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_Toc9053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_Toc19668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highlight w:val="none"/>
        </w:rPr>
        <w:t>附表一：拟投入本工程的主要施工设备表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_Toc19668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_Toc15200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highlight w:val="none"/>
        </w:rPr>
        <w:t>附表二：拟配备本工程的试验和检测仪器设备表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_Toc15200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_Toc15060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highlight w:val="none"/>
        </w:rPr>
        <w:t>附表三：劳动力计划表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_Toc15060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_Toc30557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highlight w:val="none"/>
        </w:rPr>
        <w:t>附表四：计划开、竣工日期和施工进度网络图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_Toc30557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_Toc31878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highlight w:val="none"/>
        </w:rPr>
        <w:t>附表五：施工总平面图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_Toc31878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2"/>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_Toc14958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highlight w:val="none"/>
        </w:rPr>
        <w:t>附表六：临时用地表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_Toc14958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_Toc24440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highlight w:val="none"/>
          <w:lang w:eastAsia="zh-CN"/>
        </w:rPr>
        <w:t>附件</w:t>
      </w:r>
      <w:r>
        <w:rPr>
          <w:rFonts w:hint="eastAsia" w:ascii="宋体" w:hAnsi="宋体" w:eastAsia="宋体" w:cs="宋体"/>
          <w:bCs/>
          <w:sz w:val="24"/>
          <w:szCs w:val="24"/>
          <w:highlight w:val="none"/>
          <w:lang w:val="en-US" w:eastAsia="zh-CN"/>
        </w:rPr>
        <w:t>13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项目管理机构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_Toc24440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_Toc16200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kern w:val="2"/>
          <w:sz w:val="24"/>
          <w:szCs w:val="24"/>
          <w:lang w:val="en-US" w:eastAsia="zh-CN" w:bidi="ar-SA"/>
        </w:rPr>
        <w:t>附件15：最后报价表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_Toc16200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_Toc12674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lang w:val="en-US" w:eastAsia="zh-CN"/>
        </w:rPr>
        <w:t>第五部分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_Toc12674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_Toc27270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第一部分 合同协议书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_Toc27270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_Toc590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第二部分 通用合同条款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_Toc590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_Toc23720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第三部分 专用合同条款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_Toc23720 \h </w:instrText>
      </w:r>
      <w:r>
        <w:rPr>
          <w:rFonts w:hint="eastAsia" w:ascii="宋体" w:hAnsi="宋体" w:eastAsia="宋体" w:cs="宋体"/>
          <w:sz w:val="24"/>
          <w:szCs w:val="24"/>
        </w:rPr>
        <w:fldChar w:fldCharType="separate"/>
      </w:r>
      <w:r>
        <w:rPr>
          <w:rFonts w:hint="eastAsia" w:ascii="宋体" w:hAnsi="宋体" w:eastAsia="宋体" w:cs="宋体"/>
          <w:sz w:val="24"/>
          <w:szCs w:val="24"/>
        </w:rPr>
        <w:t>107</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_Toc27127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附件1：</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_Toc27127 \h </w:instrText>
      </w:r>
      <w:r>
        <w:rPr>
          <w:rFonts w:hint="eastAsia" w:ascii="宋体" w:hAnsi="宋体" w:eastAsia="宋体" w:cs="宋体"/>
          <w:sz w:val="24"/>
          <w:szCs w:val="24"/>
        </w:rPr>
        <w:fldChar w:fldCharType="separate"/>
      </w:r>
      <w:r>
        <w:rPr>
          <w:rFonts w:hint="eastAsia" w:ascii="宋体" w:hAnsi="宋体" w:eastAsia="宋体" w:cs="宋体"/>
          <w:sz w:val="24"/>
          <w:szCs w:val="24"/>
        </w:rPr>
        <w:t>123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_Toc10407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承包人承揽工程项目一览表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_Toc10407 \h </w:instrText>
      </w:r>
      <w:r>
        <w:rPr>
          <w:rFonts w:hint="eastAsia" w:ascii="宋体" w:hAnsi="宋体" w:eastAsia="宋体" w:cs="宋体"/>
          <w:sz w:val="24"/>
          <w:szCs w:val="24"/>
        </w:rPr>
        <w:fldChar w:fldCharType="separate"/>
      </w:r>
      <w:r>
        <w:rPr>
          <w:rFonts w:hint="eastAsia" w:ascii="宋体" w:hAnsi="宋体" w:eastAsia="宋体" w:cs="宋体"/>
          <w:sz w:val="24"/>
          <w:szCs w:val="24"/>
        </w:rPr>
        <w:t>123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_Toc17837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附件2：</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_Toc17837 \h </w:instrText>
      </w:r>
      <w:r>
        <w:rPr>
          <w:rFonts w:hint="eastAsia" w:ascii="宋体" w:hAnsi="宋体" w:eastAsia="宋体" w:cs="宋体"/>
          <w:sz w:val="24"/>
          <w:szCs w:val="24"/>
        </w:rPr>
        <w:fldChar w:fldCharType="separate"/>
      </w:r>
      <w:r>
        <w:rPr>
          <w:rFonts w:hint="eastAsia" w:ascii="宋体" w:hAnsi="宋体" w:eastAsia="宋体" w:cs="宋体"/>
          <w:sz w:val="24"/>
          <w:szCs w:val="24"/>
        </w:rPr>
        <w:t>124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_Toc31883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发包人供应材料设备一览表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_Toc31883 \h </w:instrText>
      </w:r>
      <w:r>
        <w:rPr>
          <w:rFonts w:hint="eastAsia" w:ascii="宋体" w:hAnsi="宋体" w:eastAsia="宋体" w:cs="宋体"/>
          <w:sz w:val="24"/>
          <w:szCs w:val="24"/>
        </w:rPr>
        <w:fldChar w:fldCharType="separate"/>
      </w:r>
      <w:r>
        <w:rPr>
          <w:rFonts w:hint="eastAsia" w:ascii="宋体" w:hAnsi="宋体" w:eastAsia="宋体" w:cs="宋体"/>
          <w:sz w:val="24"/>
          <w:szCs w:val="24"/>
        </w:rPr>
        <w:t>124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_Toc8842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附件3：</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_Toc8842 \h </w:instrText>
      </w:r>
      <w:r>
        <w:rPr>
          <w:rFonts w:hint="eastAsia" w:ascii="宋体" w:hAnsi="宋体" w:eastAsia="宋体" w:cs="宋体"/>
          <w:sz w:val="24"/>
          <w:szCs w:val="24"/>
        </w:rPr>
        <w:fldChar w:fldCharType="separate"/>
      </w:r>
      <w:r>
        <w:rPr>
          <w:rFonts w:hint="eastAsia" w:ascii="宋体" w:hAnsi="宋体" w:eastAsia="宋体" w:cs="宋体"/>
          <w:sz w:val="24"/>
          <w:szCs w:val="24"/>
        </w:rPr>
        <w:t>125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_Toc13171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工程质量保修书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_Toc13171 \h </w:instrText>
      </w:r>
      <w:r>
        <w:rPr>
          <w:rFonts w:hint="eastAsia" w:ascii="宋体" w:hAnsi="宋体" w:eastAsia="宋体" w:cs="宋体"/>
          <w:sz w:val="24"/>
          <w:szCs w:val="24"/>
        </w:rPr>
        <w:fldChar w:fldCharType="separate"/>
      </w:r>
      <w:r>
        <w:rPr>
          <w:rFonts w:hint="eastAsia" w:ascii="宋体" w:hAnsi="宋体" w:eastAsia="宋体" w:cs="宋体"/>
          <w:sz w:val="24"/>
          <w:szCs w:val="24"/>
        </w:rPr>
        <w:t>125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_Toc4088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附件4：</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_Toc4088 \h </w:instrText>
      </w:r>
      <w:r>
        <w:rPr>
          <w:rFonts w:hint="eastAsia" w:ascii="宋体" w:hAnsi="宋体" w:eastAsia="宋体" w:cs="宋体"/>
          <w:sz w:val="24"/>
          <w:szCs w:val="24"/>
        </w:rPr>
        <w:fldChar w:fldCharType="separate"/>
      </w:r>
      <w:r>
        <w:rPr>
          <w:rFonts w:hint="eastAsia" w:ascii="宋体" w:hAnsi="宋体" w:eastAsia="宋体" w:cs="宋体"/>
          <w:sz w:val="24"/>
          <w:szCs w:val="24"/>
        </w:rPr>
        <w:t>128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_Toc17626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主要建设工程文件目录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_Toc17626 \h </w:instrText>
      </w:r>
      <w:r>
        <w:rPr>
          <w:rFonts w:hint="eastAsia" w:ascii="宋体" w:hAnsi="宋体" w:eastAsia="宋体" w:cs="宋体"/>
          <w:sz w:val="24"/>
          <w:szCs w:val="24"/>
        </w:rPr>
        <w:fldChar w:fldCharType="separate"/>
      </w:r>
      <w:r>
        <w:rPr>
          <w:rFonts w:hint="eastAsia" w:ascii="宋体" w:hAnsi="宋体" w:eastAsia="宋体" w:cs="宋体"/>
          <w:sz w:val="24"/>
          <w:szCs w:val="24"/>
        </w:rPr>
        <w:t>128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_Toc7765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附件5：</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_Toc7765 \h </w:instrText>
      </w:r>
      <w:r>
        <w:rPr>
          <w:rFonts w:hint="eastAsia" w:ascii="宋体" w:hAnsi="宋体" w:eastAsia="宋体" w:cs="宋体"/>
          <w:sz w:val="24"/>
          <w:szCs w:val="24"/>
        </w:rPr>
        <w:fldChar w:fldCharType="separate"/>
      </w:r>
      <w:r>
        <w:rPr>
          <w:rFonts w:hint="eastAsia" w:ascii="宋体" w:hAnsi="宋体" w:eastAsia="宋体" w:cs="宋体"/>
          <w:sz w:val="24"/>
          <w:szCs w:val="24"/>
        </w:rPr>
        <w:t>129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_Toc25387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承包人用于本工程施工的机械设备表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_Toc25387 \h </w:instrText>
      </w:r>
      <w:r>
        <w:rPr>
          <w:rFonts w:hint="eastAsia" w:ascii="宋体" w:hAnsi="宋体" w:eastAsia="宋体" w:cs="宋体"/>
          <w:sz w:val="24"/>
          <w:szCs w:val="24"/>
        </w:rPr>
        <w:fldChar w:fldCharType="separate"/>
      </w:r>
      <w:r>
        <w:rPr>
          <w:rFonts w:hint="eastAsia" w:ascii="宋体" w:hAnsi="宋体" w:eastAsia="宋体" w:cs="宋体"/>
          <w:sz w:val="24"/>
          <w:szCs w:val="24"/>
        </w:rPr>
        <w:t>129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_Toc13250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附件6：</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_Toc13250 \h </w:instrText>
      </w:r>
      <w:r>
        <w:rPr>
          <w:rFonts w:hint="eastAsia" w:ascii="宋体" w:hAnsi="宋体" w:eastAsia="宋体" w:cs="宋体"/>
          <w:sz w:val="24"/>
          <w:szCs w:val="24"/>
        </w:rPr>
        <w:fldChar w:fldCharType="separate"/>
      </w:r>
      <w:r>
        <w:rPr>
          <w:rFonts w:hint="eastAsia" w:ascii="宋体" w:hAnsi="宋体" w:eastAsia="宋体" w:cs="宋体"/>
          <w:sz w:val="24"/>
          <w:szCs w:val="24"/>
        </w:rPr>
        <w:t>130</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_Toc27623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承包人主要施工管理人员表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_Toc27623 \h </w:instrText>
      </w:r>
      <w:r>
        <w:rPr>
          <w:rFonts w:hint="eastAsia" w:ascii="宋体" w:hAnsi="宋体" w:eastAsia="宋体" w:cs="宋体"/>
          <w:sz w:val="24"/>
          <w:szCs w:val="24"/>
        </w:rPr>
        <w:fldChar w:fldCharType="separate"/>
      </w:r>
      <w:r>
        <w:rPr>
          <w:rFonts w:hint="eastAsia" w:ascii="宋体" w:hAnsi="宋体" w:eastAsia="宋体" w:cs="宋体"/>
          <w:sz w:val="24"/>
          <w:szCs w:val="24"/>
        </w:rPr>
        <w:t>130</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_Toc28720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附件7：</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_Toc28720 \h </w:instrText>
      </w:r>
      <w:r>
        <w:rPr>
          <w:rFonts w:hint="eastAsia" w:ascii="宋体" w:hAnsi="宋体" w:eastAsia="宋体" w:cs="宋体"/>
          <w:sz w:val="24"/>
          <w:szCs w:val="24"/>
        </w:rPr>
        <w:fldChar w:fldCharType="separate"/>
      </w:r>
      <w:r>
        <w:rPr>
          <w:rFonts w:hint="eastAsia" w:ascii="宋体" w:hAnsi="宋体" w:eastAsia="宋体" w:cs="宋体"/>
          <w:sz w:val="24"/>
          <w:szCs w:val="24"/>
        </w:rPr>
        <w:t>131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_Toc7643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分包人主要施工管理人员表（本项目不适用）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_Toc7643 \h </w:instrText>
      </w:r>
      <w:r>
        <w:rPr>
          <w:rFonts w:hint="eastAsia" w:ascii="宋体" w:hAnsi="宋体" w:eastAsia="宋体" w:cs="宋体"/>
          <w:sz w:val="24"/>
          <w:szCs w:val="24"/>
        </w:rPr>
        <w:fldChar w:fldCharType="separate"/>
      </w:r>
      <w:r>
        <w:rPr>
          <w:rFonts w:hint="eastAsia" w:ascii="宋体" w:hAnsi="宋体" w:eastAsia="宋体" w:cs="宋体"/>
          <w:sz w:val="24"/>
          <w:szCs w:val="24"/>
        </w:rPr>
        <w:t>131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_Toc25397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附件8：</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_Toc25397 \h </w:instrText>
      </w:r>
      <w:r>
        <w:rPr>
          <w:rFonts w:hint="eastAsia" w:ascii="宋体" w:hAnsi="宋体" w:eastAsia="宋体" w:cs="宋体"/>
          <w:sz w:val="24"/>
          <w:szCs w:val="24"/>
        </w:rPr>
        <w:fldChar w:fldCharType="separate"/>
      </w:r>
      <w:r>
        <w:rPr>
          <w:rFonts w:hint="eastAsia" w:ascii="宋体" w:hAnsi="宋体" w:eastAsia="宋体" w:cs="宋体"/>
          <w:sz w:val="24"/>
          <w:szCs w:val="24"/>
        </w:rPr>
        <w:t>132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_Toc28229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8-1：材料暂估价表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_Toc28229 \h </w:instrText>
      </w:r>
      <w:r>
        <w:rPr>
          <w:rFonts w:hint="eastAsia" w:ascii="宋体" w:hAnsi="宋体" w:eastAsia="宋体" w:cs="宋体"/>
          <w:sz w:val="24"/>
          <w:szCs w:val="24"/>
        </w:rPr>
        <w:fldChar w:fldCharType="separate"/>
      </w:r>
      <w:r>
        <w:rPr>
          <w:rFonts w:hint="eastAsia" w:ascii="宋体" w:hAnsi="宋体" w:eastAsia="宋体" w:cs="宋体"/>
          <w:sz w:val="24"/>
          <w:szCs w:val="24"/>
        </w:rPr>
        <w:t>132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_Toc10543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8-2：工程设备暂估价表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_Toc10543 \h </w:instrText>
      </w:r>
      <w:r>
        <w:rPr>
          <w:rFonts w:hint="eastAsia" w:ascii="宋体" w:hAnsi="宋体" w:eastAsia="宋体" w:cs="宋体"/>
          <w:sz w:val="24"/>
          <w:szCs w:val="24"/>
        </w:rPr>
        <w:fldChar w:fldCharType="separate"/>
      </w:r>
      <w:r>
        <w:rPr>
          <w:rFonts w:hint="eastAsia" w:ascii="宋体" w:hAnsi="宋体" w:eastAsia="宋体" w:cs="宋体"/>
          <w:sz w:val="24"/>
          <w:szCs w:val="24"/>
        </w:rPr>
        <w:t>133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pStyle w:val="17"/>
        <w:tabs>
          <w:tab w:val="right" w:leader="dot" w:pos="9746"/>
        </w:tabs>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_Toc23506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highlight w:val="none"/>
        </w:rPr>
        <w:t>8-3：专业工程暂估价表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_Toc23506 \h </w:instrText>
      </w:r>
      <w:r>
        <w:rPr>
          <w:rFonts w:hint="eastAsia" w:ascii="宋体" w:hAnsi="宋体" w:eastAsia="宋体" w:cs="宋体"/>
          <w:sz w:val="24"/>
          <w:szCs w:val="24"/>
        </w:rPr>
        <w:fldChar w:fldCharType="separate"/>
      </w:r>
      <w:r>
        <w:rPr>
          <w:rFonts w:hint="eastAsia" w:ascii="宋体" w:hAnsi="宋体" w:eastAsia="宋体" w:cs="宋体"/>
          <w:sz w:val="24"/>
          <w:szCs w:val="24"/>
        </w:rPr>
        <w:t>134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bookmarkStart w:id="0" w:name="_Toc20903"/>
    </w:p>
    <w:p>
      <w:pPr>
        <w:pStyle w:val="6"/>
        <w:keepNext/>
        <w:widowControl w:val="0"/>
        <w:numPr>
          <w:ilvl w:val="0"/>
          <w:numId w:val="0"/>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bCs/>
          <w:sz w:val="44"/>
          <w:szCs w:val="44"/>
          <w:lang w:val="en-US" w:eastAsia="zh-CN"/>
        </w:rPr>
        <w:sectPr>
          <w:headerReference r:id="rId3" w:type="default"/>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bookmarkStart w:id="1" w:name="_Toc7139"/>
    </w:p>
    <w:p>
      <w:pPr>
        <w:pStyle w:val="6"/>
        <w:keepNext/>
        <w:widowControl w:val="0"/>
        <w:numPr>
          <w:ilvl w:val="0"/>
          <w:numId w:val="0"/>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第一部分 谈判</w:t>
      </w:r>
      <w:bookmarkEnd w:id="0"/>
      <w:r>
        <w:rPr>
          <w:rFonts w:hint="eastAsia" w:asciiTheme="minorEastAsia" w:hAnsiTheme="minorEastAsia" w:eastAsiaTheme="minorEastAsia" w:cstheme="minorEastAsia"/>
          <w:b/>
          <w:bCs/>
          <w:sz w:val="44"/>
          <w:szCs w:val="44"/>
          <w:lang w:val="en-US" w:eastAsia="zh-CN"/>
        </w:rPr>
        <w:t>邀请</w:t>
      </w:r>
      <w:bookmarkEnd w:id="1"/>
    </w:p>
    <w:p>
      <w:pPr>
        <w:numPr>
          <w:ilvl w:val="0"/>
          <w:numId w:val="0"/>
        </w:numPr>
        <w:rPr>
          <w:rFonts w:hint="eastAsia" w:asciiTheme="minorEastAsia" w:hAnsiTheme="minorEastAsia" w:eastAsiaTheme="minorEastAsia" w:cstheme="minorEastAsia"/>
          <w:sz w:val="24"/>
          <w:szCs w:val="24"/>
        </w:rPr>
      </w:pPr>
    </w:p>
    <w:tbl>
      <w:tblPr>
        <w:tblStyle w:val="21"/>
        <w:tblW w:w="105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00"/>
        <w:gridCol w:w="81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采购项目</w:t>
            </w:r>
            <w:r>
              <w:rPr>
                <w:rFonts w:hint="eastAsia" w:asciiTheme="minorEastAsia" w:hAnsiTheme="minorEastAsia" w:eastAsiaTheme="minorEastAsia" w:cstheme="minorEastAsia"/>
                <w:color w:val="auto"/>
                <w:sz w:val="24"/>
                <w:szCs w:val="24"/>
                <w:lang w:eastAsia="zh-CN"/>
              </w:rPr>
              <w:t>名称</w:t>
            </w:r>
          </w:p>
        </w:tc>
        <w:tc>
          <w:tcPr>
            <w:tcW w:w="8176" w:type="dxa"/>
            <w:tcBorders>
              <w:tl2br w:val="nil"/>
              <w:tr2bl w:val="nil"/>
            </w:tcBorders>
            <w:vAlign w:val="top"/>
          </w:tcPr>
          <w:p>
            <w:pPr>
              <w:pageBreakBefore w:val="0"/>
              <w:widowControl w:val="0"/>
              <w:kinsoku/>
              <w:wordWrap/>
              <w:overflowPunct/>
              <w:topLinePunct w:val="0"/>
              <w:bidi w:val="0"/>
              <w:adjustRightInd w:val="0"/>
              <w:snapToGrid w:val="0"/>
              <w:spacing w:before="157" w:beforeLines="50" w:line="560" w:lineRule="exact"/>
              <w:ind w:firstLine="0" w:firstLineChars="0"/>
              <w:jc w:val="left"/>
              <w:textAlignment w:val="auto"/>
              <w:rPr>
                <w:rFonts w:hint="eastAsia" w:asciiTheme="minorEastAsia" w:hAnsiTheme="minorEastAsia" w:eastAsiaTheme="minorEastAsia" w:cstheme="minorEastAsia"/>
                <w:color w:val="auto"/>
                <w:sz w:val="24"/>
                <w:szCs w:val="24"/>
                <w:u w:val="none"/>
                <w:lang w:val="en-US" w:eastAsia="zh-CN"/>
              </w:rPr>
            </w:pPr>
            <w:r>
              <w:rPr>
                <w:rFonts w:hint="eastAsia"/>
                <w:sz w:val="24"/>
                <w:szCs w:val="24"/>
                <w:lang w:val="en-US" w:eastAsia="zh-CN"/>
              </w:rPr>
              <w:t xml:space="preserve">泉吉乡宁夏村党员活动室阳光暖廓建设项目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采购项目编号</w:t>
            </w:r>
          </w:p>
        </w:tc>
        <w:tc>
          <w:tcPr>
            <w:tcW w:w="8176" w:type="dxa"/>
            <w:tcBorders>
              <w:tl2br w:val="nil"/>
              <w:tr2bl w:val="nil"/>
            </w:tcBorders>
            <w:vAlign w:val="top"/>
          </w:tcPr>
          <w:p>
            <w:pPr>
              <w:pageBreakBefore w:val="0"/>
              <w:widowControl w:val="0"/>
              <w:kinsoku/>
              <w:wordWrap/>
              <w:overflowPunct/>
              <w:topLinePunct w:val="0"/>
              <w:bidi w:val="0"/>
              <w:adjustRightInd w:val="0"/>
              <w:snapToGrid w:val="0"/>
              <w:spacing w:before="157" w:beforeLines="50" w:line="560" w:lineRule="exact"/>
              <w:ind w:firstLine="0" w:firstLineChars="0"/>
              <w:jc w:val="left"/>
              <w:textAlignment w:val="auto"/>
              <w:rPr>
                <w:rFonts w:hint="default" w:asciiTheme="minorEastAsia" w:hAnsiTheme="minorEastAsia" w:eastAsiaTheme="minorEastAsia" w:cstheme="minorEastAsia"/>
                <w:color w:val="auto"/>
                <w:kern w:val="2"/>
                <w:sz w:val="24"/>
                <w:szCs w:val="24"/>
                <w:u w:val="none"/>
                <w:lang w:val="en-US"/>
              </w:rPr>
            </w:pPr>
            <w:r>
              <w:rPr>
                <w:rFonts w:hint="eastAsia" w:asciiTheme="minorEastAsia" w:hAnsiTheme="minorEastAsia" w:eastAsiaTheme="minorEastAsia" w:cstheme="minorEastAsia"/>
                <w:color w:val="auto"/>
                <w:kern w:val="2"/>
                <w:sz w:val="24"/>
                <w:szCs w:val="24"/>
                <w:u w:val="none"/>
                <w:lang w:val="zh-CN" w:eastAsia="zh-CN"/>
              </w:rPr>
              <w:t>青海汇森竞谈（工程）2022-037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采购方式</w:t>
            </w:r>
          </w:p>
        </w:tc>
        <w:tc>
          <w:tcPr>
            <w:tcW w:w="8176" w:type="dxa"/>
            <w:tcBorders>
              <w:tl2br w:val="nil"/>
              <w:tr2bl w:val="nil"/>
            </w:tcBorders>
            <w:vAlign w:val="top"/>
          </w:tcPr>
          <w:p>
            <w:pPr>
              <w:pageBreakBefore w:val="0"/>
              <w:widowControl w:val="0"/>
              <w:kinsoku/>
              <w:wordWrap/>
              <w:overflowPunct/>
              <w:topLinePunct w:val="0"/>
              <w:bidi w:val="0"/>
              <w:adjustRightInd w:val="0"/>
              <w:snapToGrid w:val="0"/>
              <w:spacing w:before="157" w:beforeLines="50" w:line="560" w:lineRule="exact"/>
              <w:ind w:firstLine="0" w:firstLineChars="0"/>
              <w:jc w:val="left"/>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采购预算额度</w:t>
            </w:r>
          </w:p>
        </w:tc>
        <w:tc>
          <w:tcPr>
            <w:tcW w:w="8176" w:type="dxa"/>
            <w:tcBorders>
              <w:tl2br w:val="nil"/>
              <w:tr2bl w:val="nil"/>
            </w:tcBorders>
            <w:vAlign w:val="top"/>
          </w:tcPr>
          <w:p>
            <w:pPr>
              <w:pageBreakBefore w:val="0"/>
              <w:widowControl w:val="0"/>
              <w:kinsoku/>
              <w:wordWrap/>
              <w:overflowPunct/>
              <w:topLinePunct w:val="0"/>
              <w:bidi w:val="0"/>
              <w:adjustRightInd w:val="0"/>
              <w:snapToGrid w:val="0"/>
              <w:spacing w:before="157" w:beforeLines="50" w:line="560" w:lineRule="exact"/>
              <w:ind w:firstLine="0" w:firstLineChars="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117.388355万元；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项目分包个数</w:t>
            </w:r>
          </w:p>
        </w:tc>
        <w:tc>
          <w:tcPr>
            <w:tcW w:w="8176" w:type="dxa"/>
            <w:tcBorders>
              <w:tl2br w:val="nil"/>
              <w:tr2bl w:val="nil"/>
            </w:tcBorders>
            <w:vAlign w:val="top"/>
          </w:tcPr>
          <w:p>
            <w:pPr>
              <w:pageBreakBefore w:val="0"/>
              <w:widowControl w:val="0"/>
              <w:kinsoku/>
              <w:wordWrap/>
              <w:overflowPunct/>
              <w:topLinePunct w:val="0"/>
              <w:bidi w:val="0"/>
              <w:adjustRightInd w:val="0"/>
              <w:snapToGrid w:val="0"/>
              <w:spacing w:before="157" w:beforeLines="50" w:line="560" w:lineRule="exact"/>
              <w:ind w:firstLine="0" w:firstLineChars="0"/>
              <w:jc w:val="left"/>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color w:val="auto"/>
                <w:kern w:val="2"/>
                <w:sz w:val="24"/>
                <w:szCs w:val="24"/>
                <w:u w:val="none"/>
                <w:lang w:val="en-US"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供应商</w:t>
            </w:r>
            <w:r>
              <w:rPr>
                <w:rFonts w:hint="eastAsia" w:asciiTheme="minorEastAsia" w:hAnsiTheme="minorEastAsia" w:eastAsiaTheme="minorEastAsia" w:cstheme="minorEastAsia"/>
                <w:sz w:val="24"/>
                <w:szCs w:val="24"/>
              </w:rPr>
              <w:t>资格条件</w:t>
            </w:r>
          </w:p>
        </w:tc>
        <w:tc>
          <w:tcPr>
            <w:tcW w:w="8176" w:type="dxa"/>
            <w:tcBorders>
              <w:tl2br w:val="nil"/>
              <w:tr2bl w:val="nil"/>
            </w:tcBorders>
            <w:vAlign w:val="top"/>
          </w:tcPr>
          <w:p>
            <w:pPr>
              <w:pStyle w:val="28"/>
              <w:widowControl w:val="0"/>
              <w:numPr>
                <w:ilvl w:val="0"/>
                <w:numId w:val="0"/>
              </w:numPr>
              <w:spacing w:line="360" w:lineRule="auto"/>
              <w:jc w:val="both"/>
              <w:rPr>
                <w:rFonts w:hint="eastAsia" w:ascii="Arial" w:hAnsi="Arial" w:eastAsia="宋体" w:cs="Times New Roman"/>
                <w:sz w:val="24"/>
                <w:szCs w:val="22"/>
                <w:lang w:val="zh-CN" w:eastAsia="zh-CN" w:bidi="ar-SA"/>
              </w:rPr>
            </w:pPr>
            <w:r>
              <w:rPr>
                <w:rFonts w:hint="eastAsia" w:ascii="Arial" w:hAnsi="Arial" w:eastAsia="宋体" w:cs="Times New Roman"/>
                <w:sz w:val="24"/>
                <w:szCs w:val="22"/>
                <w:lang w:val="en-US" w:eastAsia="zh-CN" w:bidi="ar-SA"/>
              </w:rPr>
              <w:t>1.</w:t>
            </w:r>
            <w:r>
              <w:rPr>
                <w:rFonts w:hint="eastAsia" w:ascii="Arial" w:hAnsi="Arial" w:eastAsia="宋体" w:cs="Times New Roman"/>
                <w:sz w:val="24"/>
                <w:szCs w:val="22"/>
                <w:lang w:val="zh-CN" w:eastAsia="zh-CN" w:bidi="ar-SA"/>
              </w:rPr>
              <w:t>经信用中国（www.creditchina.gov.cn）、</w:t>
            </w:r>
            <w:r>
              <w:rPr>
                <w:rFonts w:hint="eastAsia" w:ascii="Arial" w:hAnsi="Arial" w:eastAsia="宋体" w:cs="Times New Roman"/>
                <w:sz w:val="24"/>
                <w:szCs w:val="22"/>
                <w:lang w:val="en-US" w:eastAsia="zh-CN" w:bidi="ar-SA"/>
              </w:rPr>
              <w:t>中国政府采购网（www.ccgp.gov.cn）等渠道查询后，列入失信被执行人、重大税收违法案件当事人名单、政府采购严重违法失信行为记录名单的，取消谈判资格。（附“信用中国”网站“下载信用信息报告”栏中的法人和其他组织信用信息，时间为谈判文件响应截止时间前20天内）；</w:t>
            </w:r>
          </w:p>
          <w:p>
            <w:pPr>
              <w:pStyle w:val="28"/>
              <w:widowControl w:val="0"/>
              <w:numPr>
                <w:ilvl w:val="0"/>
                <w:numId w:val="0"/>
              </w:numPr>
              <w:spacing w:line="360" w:lineRule="auto"/>
              <w:jc w:val="both"/>
              <w:rPr>
                <w:rFonts w:hint="eastAsia" w:ascii="Arial" w:hAnsi="Arial" w:eastAsia="宋体" w:cs="Times New Roman"/>
                <w:sz w:val="24"/>
                <w:szCs w:val="22"/>
                <w:lang w:val="zh-CN" w:eastAsia="zh-CN" w:bidi="ar-SA"/>
              </w:rPr>
            </w:pPr>
            <w:r>
              <w:rPr>
                <w:rFonts w:hint="eastAsia" w:ascii="Arial" w:hAnsi="Arial" w:eastAsia="宋体" w:cs="Times New Roman"/>
                <w:sz w:val="24"/>
                <w:szCs w:val="22"/>
                <w:lang w:val="en-US" w:eastAsia="zh-CN" w:bidi="ar-SA"/>
              </w:rPr>
              <w:t>2.</w:t>
            </w:r>
            <w:r>
              <w:rPr>
                <w:rFonts w:hint="eastAsia" w:ascii="Arial" w:hAnsi="Arial" w:eastAsia="宋体" w:cs="Times New Roman"/>
                <w:sz w:val="24"/>
                <w:szCs w:val="22"/>
                <w:lang w:val="zh-CN" w:eastAsia="zh-CN" w:bidi="ar-SA"/>
              </w:rPr>
              <w:t>单位负责人为同一人或者存在直接控股、管理关系的不同供应商，不得参加同一合同项下的政府采购活动。否则，取消谈判资格；</w:t>
            </w:r>
          </w:p>
          <w:p>
            <w:pPr>
              <w:pStyle w:val="28"/>
              <w:widowControl w:val="0"/>
              <w:numPr>
                <w:ilvl w:val="0"/>
                <w:numId w:val="0"/>
              </w:numPr>
              <w:spacing w:line="360" w:lineRule="auto"/>
              <w:jc w:val="both"/>
              <w:rPr>
                <w:rFonts w:hint="eastAsia" w:ascii="Arial" w:hAnsi="Arial" w:eastAsia="宋体" w:cs="Times New Roman"/>
                <w:sz w:val="24"/>
                <w:szCs w:val="22"/>
                <w:lang w:val="zh-CN" w:eastAsia="zh-CN" w:bidi="ar-SA"/>
              </w:rPr>
            </w:pPr>
            <w:r>
              <w:rPr>
                <w:rFonts w:hint="eastAsia" w:ascii="Arial" w:hAnsi="Arial" w:eastAsia="宋体" w:cs="Times New Roman"/>
                <w:sz w:val="24"/>
                <w:szCs w:val="22"/>
                <w:lang w:val="en-US" w:eastAsia="zh-CN" w:bidi="ar-SA"/>
              </w:rPr>
              <w:t>3.</w:t>
            </w:r>
            <w:r>
              <w:rPr>
                <w:rFonts w:hint="eastAsia" w:ascii="Arial" w:hAnsi="Arial" w:eastAsia="宋体" w:cs="Times New Roman"/>
                <w:sz w:val="24"/>
                <w:szCs w:val="22"/>
                <w:lang w:val="zh-CN" w:eastAsia="zh-CN" w:bidi="ar-SA"/>
              </w:rPr>
              <w:t>为本采购项目提供整体设计、规范编制或者项目管理、监理、检测等服务的供应商，不得再参加该采购项目的其他采购活动；</w:t>
            </w:r>
          </w:p>
          <w:p>
            <w:pPr>
              <w:pStyle w:val="28"/>
              <w:widowControl w:val="0"/>
              <w:numPr>
                <w:ilvl w:val="0"/>
                <w:numId w:val="0"/>
              </w:numPr>
              <w:spacing w:line="360" w:lineRule="auto"/>
              <w:jc w:val="both"/>
              <w:rPr>
                <w:rFonts w:hint="eastAsia" w:ascii="Arial" w:hAnsi="Arial" w:eastAsia="宋体" w:cs="Times New Roman"/>
                <w:sz w:val="24"/>
                <w:szCs w:val="22"/>
                <w:lang w:val="en-US" w:eastAsia="zh-CN" w:bidi="ar-SA"/>
              </w:rPr>
            </w:pPr>
            <w:r>
              <w:rPr>
                <w:rFonts w:hint="eastAsia" w:ascii="Arial" w:hAnsi="Arial" w:eastAsia="宋体" w:cs="Times New Roman"/>
                <w:sz w:val="24"/>
                <w:szCs w:val="22"/>
                <w:lang w:val="en-US" w:eastAsia="zh-CN" w:bidi="ar-SA"/>
              </w:rPr>
              <w:t>4.资质要求∶投标人须具有</w:t>
            </w:r>
            <w:r>
              <w:rPr>
                <w:rFonts w:hint="eastAsia" w:ascii="Arial" w:hAnsi="Arial" w:cs="Times New Roman"/>
                <w:sz w:val="24"/>
                <w:szCs w:val="22"/>
                <w:lang w:val="en-US" w:eastAsia="zh-CN" w:bidi="ar-SA"/>
              </w:rPr>
              <w:t>建筑工程</w:t>
            </w:r>
            <w:r>
              <w:rPr>
                <w:rFonts w:hint="eastAsia" w:ascii="Arial" w:hAnsi="Arial" w:eastAsia="宋体" w:cs="Times New Roman"/>
                <w:sz w:val="24"/>
                <w:szCs w:val="22"/>
                <w:lang w:val="en-US" w:eastAsia="zh-CN" w:bidi="ar-SA"/>
              </w:rPr>
              <w:t>施工总承包叁级及以上资质，并在人员、设备、资金等方面具有承担本工程相应的施工能力；</w:t>
            </w:r>
          </w:p>
          <w:p>
            <w:pPr>
              <w:pStyle w:val="28"/>
              <w:widowControl w:val="0"/>
              <w:numPr>
                <w:ilvl w:val="0"/>
                <w:numId w:val="0"/>
              </w:numPr>
              <w:spacing w:line="360" w:lineRule="auto"/>
              <w:jc w:val="both"/>
              <w:rPr>
                <w:rFonts w:hint="eastAsia" w:eastAsia="宋体"/>
                <w:lang w:val="en-US" w:eastAsia="zh-CN"/>
              </w:rPr>
            </w:pPr>
            <w:r>
              <w:rPr>
                <w:rFonts w:hint="eastAsia" w:ascii="Arial" w:hAnsi="Arial" w:eastAsia="宋体" w:cs="Times New Roman"/>
                <w:sz w:val="24"/>
                <w:szCs w:val="22"/>
                <w:lang w:val="en-US" w:eastAsia="zh-CN" w:bidi="ar-SA"/>
              </w:rPr>
              <w:t>5.承担本项目的主要人员要求∶拟派项目经理须具备</w:t>
            </w:r>
            <w:r>
              <w:rPr>
                <w:rFonts w:hint="eastAsia" w:ascii="Arial" w:hAnsi="Arial" w:cs="Times New Roman"/>
                <w:sz w:val="24"/>
                <w:szCs w:val="22"/>
                <w:lang w:val="en-US" w:eastAsia="zh-CN" w:bidi="ar-SA"/>
              </w:rPr>
              <w:t>建筑工程</w:t>
            </w:r>
            <w:r>
              <w:rPr>
                <w:rFonts w:hint="eastAsia" w:ascii="Arial" w:hAnsi="Arial" w:eastAsia="宋体" w:cs="Times New Roman"/>
                <w:sz w:val="24"/>
                <w:szCs w:val="22"/>
                <w:lang w:val="en-US" w:eastAsia="zh-CN" w:bidi="ar-SA"/>
              </w:rPr>
              <w:t xml:space="preserve">专业贰级及以上建造师资格，提供建造师执业证、注册证；具备有效的安全生产考核合格证书，未同时在其他项目担任项目经理的承诺书 </w:t>
            </w:r>
            <w:r>
              <w:rPr>
                <w:rFonts w:hint="eastAsia" w:ascii="Arial" w:hAnsi="Arial" w:cs="Times New Roman"/>
                <w:sz w:val="24"/>
                <w:szCs w:val="22"/>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top"/>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是否接收联合体形式</w:t>
            </w:r>
          </w:p>
        </w:tc>
        <w:tc>
          <w:tcPr>
            <w:tcW w:w="8176" w:type="dxa"/>
            <w:tcBorders>
              <w:tl2br w:val="nil"/>
              <w:tr2bl w:val="nil"/>
            </w:tcBorders>
            <w:vAlign w:val="top"/>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本项目</w:t>
            </w:r>
            <w:r>
              <w:rPr>
                <w:rFonts w:hint="eastAsia" w:asciiTheme="minorEastAsia" w:hAnsiTheme="minorEastAsia" w:eastAsiaTheme="minorEastAsia" w:cstheme="minorEastAsia"/>
                <w:color w:val="000000"/>
                <w:kern w:val="0"/>
                <w:sz w:val="24"/>
                <w:szCs w:val="24"/>
                <w:u w:val="single"/>
                <w:lang w:val="en-US" w:eastAsia="zh-CN"/>
              </w:rPr>
              <w:t>不接受</w:t>
            </w:r>
            <w:r>
              <w:rPr>
                <w:rFonts w:hint="eastAsia" w:asciiTheme="minorEastAsia" w:hAnsiTheme="minorEastAsia" w:eastAsiaTheme="minorEastAsia" w:cstheme="minorEastAsia"/>
                <w:color w:val="000000"/>
                <w:kern w:val="0"/>
                <w:sz w:val="24"/>
                <w:szCs w:val="24"/>
                <w:lang w:val="zh-CN"/>
              </w:rPr>
              <w:t>供应商以联合体方式进行谈判；</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zh-CN"/>
              </w:rPr>
              <w:t>接受联合体形式的，联合体应当具备下列条件：</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u w:val="single"/>
                <w:lang w:val="en-US" w:eastAsia="zh-CN"/>
              </w:rPr>
              <w:t>/</w:t>
            </w:r>
            <w:r>
              <w:rPr>
                <w:rFonts w:hint="eastAsia" w:asciiTheme="minorEastAsia" w:hAnsiTheme="minorEastAsia" w:eastAsiaTheme="minorEastAsia" w:cstheme="minorEastAsia"/>
                <w:color w:val="000000"/>
                <w:kern w:val="0"/>
                <w:sz w:val="24"/>
                <w:szCs w:val="24"/>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进口产品</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b w:val="0"/>
                <w:bCs/>
                <w:color w:val="auto"/>
                <w:sz w:val="24"/>
                <w:szCs w:val="24"/>
              </w:rPr>
              <w:t>本项目</w:t>
            </w:r>
            <w:r>
              <w:rPr>
                <w:rFonts w:hint="eastAsia" w:asciiTheme="minorEastAsia" w:hAnsiTheme="minorEastAsia" w:eastAsiaTheme="minorEastAsia" w:cstheme="minorEastAsia"/>
                <w:b w:val="0"/>
                <w:bCs/>
                <w:color w:val="auto"/>
                <w:sz w:val="24"/>
                <w:szCs w:val="24"/>
                <w:u w:val="single"/>
              </w:rPr>
              <w:t xml:space="preserve"> 拒绝 </w:t>
            </w:r>
            <w:r>
              <w:rPr>
                <w:rFonts w:hint="eastAsia" w:asciiTheme="minorEastAsia" w:hAnsiTheme="minorEastAsia" w:eastAsiaTheme="minorEastAsia" w:cstheme="minorEastAsia"/>
                <w:b w:val="0"/>
                <w:bCs/>
                <w:color w:val="auto"/>
                <w:sz w:val="24"/>
                <w:szCs w:val="24"/>
              </w:rPr>
              <w:t>（接受</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拒绝）进</w:t>
            </w:r>
            <w:r>
              <w:rPr>
                <w:rFonts w:hint="eastAsia" w:asciiTheme="minorEastAsia" w:hAnsiTheme="minorEastAsia" w:eastAsiaTheme="minorEastAsia" w:cstheme="minorEastAsia"/>
                <w:color w:val="auto"/>
                <w:sz w:val="24"/>
                <w:szCs w:val="24"/>
              </w:rPr>
              <w:t>口产品参加谈判采购</w:t>
            </w:r>
            <w:r>
              <w:rPr>
                <w:rFonts w:hint="eastAsia" w:asciiTheme="minorEastAsia" w:hAnsiTheme="minorEastAsia" w:eastAsiaTheme="minorEastAsia" w:cstheme="minorEastAsia"/>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sz w:val="24"/>
                <w:szCs w:val="24"/>
                <w:u w:val="single" w:color="auto"/>
                <w:lang w:eastAsia="zh-CN"/>
              </w:rPr>
            </w:pPr>
            <w:r>
              <w:rPr>
                <w:rFonts w:hint="eastAsia" w:asciiTheme="minorEastAsia" w:hAnsiTheme="minorEastAsia" w:eastAsiaTheme="minorEastAsia" w:cstheme="minorEastAsia"/>
                <w:bCs/>
                <w:sz w:val="24"/>
                <w:szCs w:val="24"/>
                <w:u w:val="none" w:color="auto"/>
              </w:rPr>
              <w:t>谈判文件的实质性变动内容</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b w:val="0"/>
                <w:bCs/>
                <w:color w:val="auto"/>
                <w:sz w:val="24"/>
                <w:szCs w:val="24"/>
                <w:u w:val="single" w:color="auto"/>
              </w:rPr>
            </w:pPr>
            <w:r>
              <w:rPr>
                <w:rFonts w:hint="eastAsia" w:asciiTheme="minorEastAsia" w:hAnsiTheme="minorEastAsia" w:eastAsiaTheme="minorEastAsia" w:cstheme="minorEastAsia"/>
                <w:sz w:val="24"/>
                <w:szCs w:val="24"/>
                <w:highlight w:val="none"/>
                <w:u w:val="none" w:color="auto"/>
                <w:lang w:val="en-US" w:eastAsia="zh-CN"/>
              </w:rPr>
              <w:t>允许根据谈判工作实际情况，对合同条款内容进行实质性修改（包括技术、服务和合同条款）。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公告发布时间</w:t>
            </w:r>
          </w:p>
        </w:tc>
        <w:tc>
          <w:tcPr>
            <w:tcW w:w="8176" w:type="dxa"/>
            <w:tcBorders>
              <w:tl2br w:val="nil"/>
              <w:tr2bl w:val="nil"/>
            </w:tcBorders>
            <w:vAlign w:val="top"/>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u w:val="single"/>
                <w:lang w:val="en-US" w:eastAsia="zh-CN"/>
              </w:rPr>
              <w:t>2022</w:t>
            </w:r>
            <w:r>
              <w:rPr>
                <w:rFonts w:hint="eastAsia" w:asciiTheme="minorEastAsia" w:hAnsiTheme="minorEastAsia" w:eastAsiaTheme="minorEastAsia" w:cstheme="minorEastAsia"/>
                <w:color w:val="000000"/>
                <w:kern w:val="0"/>
                <w:sz w:val="24"/>
                <w:szCs w:val="24"/>
              </w:rPr>
              <w:t>年</w:t>
            </w:r>
            <w:r>
              <w:rPr>
                <w:rFonts w:hint="eastAsia" w:asciiTheme="minorEastAsia" w:hAnsiTheme="minorEastAsia" w:eastAsiaTheme="minorEastAsia" w:cstheme="minorEastAsia"/>
                <w:color w:val="000000"/>
                <w:kern w:val="0"/>
                <w:sz w:val="24"/>
                <w:szCs w:val="24"/>
                <w:u w:val="single"/>
                <w:lang w:val="en-US" w:eastAsia="zh-CN"/>
              </w:rPr>
              <w:t>08</w:t>
            </w:r>
            <w:r>
              <w:rPr>
                <w:rFonts w:hint="eastAsia" w:asciiTheme="minorEastAsia" w:hAnsiTheme="minorEastAsia" w:eastAsiaTheme="minorEastAsia" w:cstheme="minorEastAsia"/>
                <w:color w:val="000000"/>
                <w:kern w:val="0"/>
                <w:sz w:val="24"/>
                <w:szCs w:val="24"/>
              </w:rPr>
              <w:t>月</w:t>
            </w:r>
            <w:r>
              <w:rPr>
                <w:rFonts w:hint="eastAsia" w:asciiTheme="minorEastAsia" w:hAnsiTheme="minorEastAsia" w:eastAsiaTheme="minorEastAsia" w:cstheme="minorEastAsia"/>
                <w:color w:val="000000"/>
                <w:kern w:val="0"/>
                <w:sz w:val="24"/>
                <w:szCs w:val="24"/>
                <w:u w:val="single"/>
                <w:lang w:val="en-US" w:eastAsia="zh-CN"/>
              </w:rPr>
              <w:t>17</w:t>
            </w:r>
            <w:r>
              <w:rPr>
                <w:rFonts w:hint="eastAsia" w:asciiTheme="minorEastAsia" w:hAnsiTheme="minorEastAsia" w:eastAsiaTheme="minorEastAsia" w:cstheme="minorEastAsia"/>
                <w:color w:val="000000"/>
                <w:kern w:val="0"/>
                <w:sz w:val="24"/>
                <w:szCs w:val="24"/>
              </w:rPr>
              <w:t>日（北京时间）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spacing w:before="157" w:beforeLines="50" w:line="560" w:lineRule="exact"/>
              <w:ind w:firstLine="0" w:firstLineChars="0"/>
              <w:jc w:val="center"/>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rPr>
              <w:t>文件发售起止时间</w:t>
            </w:r>
          </w:p>
        </w:tc>
        <w:tc>
          <w:tcPr>
            <w:tcW w:w="8176" w:type="dxa"/>
            <w:tcBorders>
              <w:tl2br w:val="nil"/>
              <w:tr2bl w:val="nil"/>
            </w:tcBorders>
            <w:vAlign w:val="top"/>
          </w:tcPr>
          <w:p>
            <w:pPr>
              <w:pageBreakBefore w:val="0"/>
              <w:widowControl w:val="0"/>
              <w:kinsoku/>
              <w:wordWrap/>
              <w:overflowPunct/>
              <w:topLinePunct w:val="0"/>
              <w:bidi w:val="0"/>
              <w:spacing w:line="560" w:lineRule="exact"/>
              <w:ind w:firstLine="0" w:firstLineChars="0"/>
              <w:textAlignment w:val="auto"/>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lang w:val="en-US" w:eastAsia="zh-CN"/>
              </w:rPr>
              <w:t>2022</w:t>
            </w:r>
            <w:r>
              <w:rPr>
                <w:rFonts w:hint="eastAsia" w:asciiTheme="minorEastAsia" w:hAnsiTheme="minorEastAsia" w:eastAsiaTheme="minorEastAsia" w:cstheme="minorEastAsia"/>
                <w:color w:val="000000"/>
                <w:kern w:val="0"/>
                <w:sz w:val="24"/>
                <w:szCs w:val="24"/>
                <w:u w:val="none"/>
              </w:rPr>
              <w:t>年</w:t>
            </w:r>
            <w:r>
              <w:rPr>
                <w:rFonts w:hint="eastAsia" w:asciiTheme="minorEastAsia" w:hAnsiTheme="minorEastAsia" w:eastAsiaTheme="minorEastAsia" w:cstheme="minorEastAsia"/>
                <w:color w:val="000000"/>
                <w:kern w:val="0"/>
                <w:sz w:val="24"/>
                <w:szCs w:val="24"/>
                <w:u w:val="none"/>
                <w:lang w:val="en-US" w:eastAsia="zh-CN"/>
              </w:rPr>
              <w:t>08</w:t>
            </w:r>
            <w:r>
              <w:rPr>
                <w:rFonts w:hint="eastAsia" w:asciiTheme="minorEastAsia" w:hAnsiTheme="minorEastAsia" w:eastAsiaTheme="minorEastAsia" w:cstheme="minorEastAsia"/>
                <w:color w:val="000000"/>
                <w:kern w:val="0"/>
                <w:sz w:val="24"/>
                <w:szCs w:val="24"/>
                <w:u w:val="none"/>
              </w:rPr>
              <w:t>月</w:t>
            </w:r>
            <w:r>
              <w:rPr>
                <w:rFonts w:hint="eastAsia" w:asciiTheme="minorEastAsia" w:hAnsiTheme="minorEastAsia" w:eastAsiaTheme="minorEastAsia" w:cstheme="minorEastAsia"/>
                <w:color w:val="000000"/>
                <w:kern w:val="0"/>
                <w:sz w:val="24"/>
                <w:szCs w:val="24"/>
                <w:u w:val="none"/>
                <w:lang w:val="en-US" w:eastAsia="zh-CN"/>
              </w:rPr>
              <w:t>18</w:t>
            </w:r>
            <w:r>
              <w:rPr>
                <w:rFonts w:hint="eastAsia" w:asciiTheme="minorEastAsia" w:hAnsiTheme="minorEastAsia" w:eastAsiaTheme="minorEastAsia" w:cstheme="minorEastAsia"/>
                <w:color w:val="000000"/>
                <w:kern w:val="0"/>
                <w:sz w:val="24"/>
                <w:szCs w:val="24"/>
                <w:u w:val="none"/>
              </w:rPr>
              <w:t>日至</w:t>
            </w:r>
            <w:r>
              <w:rPr>
                <w:rFonts w:hint="eastAsia" w:asciiTheme="minorEastAsia" w:hAnsiTheme="minorEastAsia" w:eastAsiaTheme="minorEastAsia" w:cstheme="minorEastAsia"/>
                <w:color w:val="000000"/>
                <w:kern w:val="0"/>
                <w:sz w:val="24"/>
                <w:szCs w:val="24"/>
                <w:u w:val="none"/>
                <w:lang w:val="en-US" w:eastAsia="zh-CN"/>
              </w:rPr>
              <w:t>2022年08月22日</w:t>
            </w:r>
            <w:r>
              <w:rPr>
                <w:rFonts w:hint="eastAsia" w:asciiTheme="minorEastAsia" w:hAnsiTheme="minorEastAsia" w:eastAsiaTheme="minorEastAsia" w:cstheme="minorEastAsia"/>
                <w:color w:val="000000"/>
                <w:kern w:val="0"/>
                <w:sz w:val="24"/>
                <w:szCs w:val="24"/>
                <w:u w:val="none"/>
              </w:rPr>
              <w:t>（北京时间）</w:t>
            </w:r>
          </w:p>
          <w:p>
            <w:pPr>
              <w:pageBreakBefore w:val="0"/>
              <w:widowControl w:val="0"/>
              <w:kinsoku/>
              <w:wordWrap/>
              <w:overflowPunct/>
              <w:topLinePunct w:val="0"/>
              <w:bidi w:val="0"/>
              <w:spacing w:line="560" w:lineRule="exact"/>
              <w:ind w:firstLine="0" w:firstLineChars="0"/>
              <w:textAlignment w:val="auto"/>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rPr>
              <w:t>上午：</w:t>
            </w:r>
            <w:r>
              <w:rPr>
                <w:rFonts w:hint="eastAsia" w:asciiTheme="minorEastAsia" w:hAnsiTheme="minorEastAsia" w:eastAsiaTheme="minorEastAsia" w:cstheme="minorEastAsia"/>
                <w:color w:val="000000"/>
                <w:kern w:val="0"/>
                <w:sz w:val="24"/>
                <w:szCs w:val="24"/>
                <w:u w:val="none"/>
                <w:lang w:val="en-US" w:eastAsia="zh-CN"/>
              </w:rPr>
              <w:t>09</w:t>
            </w:r>
            <w:r>
              <w:rPr>
                <w:rFonts w:hint="eastAsia" w:asciiTheme="minorEastAsia" w:hAnsiTheme="minorEastAsia" w:eastAsiaTheme="minorEastAsia" w:cstheme="minorEastAsia"/>
                <w:color w:val="000000"/>
                <w:kern w:val="0"/>
                <w:sz w:val="24"/>
                <w:szCs w:val="24"/>
                <w:u w:val="none"/>
              </w:rPr>
              <w:t>时</w:t>
            </w:r>
            <w:r>
              <w:rPr>
                <w:rFonts w:hint="eastAsia" w:asciiTheme="minorEastAsia" w:hAnsiTheme="minorEastAsia" w:eastAsiaTheme="minorEastAsia" w:cstheme="minorEastAsia"/>
                <w:color w:val="000000"/>
                <w:kern w:val="0"/>
                <w:sz w:val="24"/>
                <w:szCs w:val="24"/>
                <w:u w:val="none"/>
                <w:lang w:val="en-US" w:eastAsia="zh-CN"/>
              </w:rPr>
              <w:t>00</w:t>
            </w:r>
            <w:r>
              <w:rPr>
                <w:rFonts w:hint="eastAsia" w:asciiTheme="minorEastAsia" w:hAnsiTheme="minorEastAsia" w:eastAsiaTheme="minorEastAsia" w:cstheme="minorEastAsia"/>
                <w:color w:val="000000"/>
                <w:kern w:val="0"/>
                <w:sz w:val="24"/>
                <w:szCs w:val="24"/>
                <w:u w:val="none"/>
              </w:rPr>
              <w:t>分至</w:t>
            </w:r>
            <w:r>
              <w:rPr>
                <w:rFonts w:hint="eastAsia" w:asciiTheme="minorEastAsia" w:hAnsiTheme="minorEastAsia" w:eastAsiaTheme="minorEastAsia" w:cstheme="minorEastAsia"/>
                <w:color w:val="000000"/>
                <w:kern w:val="0"/>
                <w:sz w:val="24"/>
                <w:szCs w:val="24"/>
                <w:u w:val="none"/>
                <w:lang w:val="en-US" w:eastAsia="zh-CN"/>
              </w:rPr>
              <w:t>12</w:t>
            </w:r>
            <w:r>
              <w:rPr>
                <w:rFonts w:hint="eastAsia" w:asciiTheme="minorEastAsia" w:hAnsiTheme="minorEastAsia" w:eastAsiaTheme="minorEastAsia" w:cstheme="minorEastAsia"/>
                <w:color w:val="000000"/>
                <w:kern w:val="0"/>
                <w:sz w:val="24"/>
                <w:szCs w:val="24"/>
                <w:u w:val="none"/>
              </w:rPr>
              <w:t>时</w:t>
            </w:r>
            <w:r>
              <w:rPr>
                <w:rFonts w:hint="eastAsia" w:asciiTheme="minorEastAsia" w:hAnsiTheme="minorEastAsia" w:eastAsiaTheme="minorEastAsia" w:cstheme="minorEastAsia"/>
                <w:color w:val="000000"/>
                <w:kern w:val="0"/>
                <w:sz w:val="24"/>
                <w:szCs w:val="24"/>
                <w:u w:val="none"/>
                <w:lang w:val="en-US" w:eastAsia="zh-CN"/>
              </w:rPr>
              <w:t>00</w:t>
            </w:r>
            <w:r>
              <w:rPr>
                <w:rFonts w:hint="eastAsia" w:asciiTheme="minorEastAsia" w:hAnsiTheme="minorEastAsia" w:eastAsiaTheme="minorEastAsia" w:cstheme="minorEastAsia"/>
                <w:color w:val="000000"/>
                <w:kern w:val="0"/>
                <w:sz w:val="24"/>
                <w:szCs w:val="24"/>
                <w:u w:val="none"/>
              </w:rPr>
              <w:t>分（</w:t>
            </w:r>
            <w:r>
              <w:rPr>
                <w:rFonts w:hint="eastAsia" w:asciiTheme="minorEastAsia" w:hAnsiTheme="minorEastAsia" w:eastAsiaTheme="minorEastAsia" w:cstheme="minorEastAsia"/>
                <w:color w:val="000000"/>
                <w:kern w:val="0"/>
                <w:sz w:val="24"/>
                <w:szCs w:val="24"/>
                <w:u w:val="none"/>
                <w:lang w:eastAsia="zh-CN"/>
              </w:rPr>
              <w:t>采用</w:t>
            </w:r>
            <w:r>
              <w:rPr>
                <w:rFonts w:hint="eastAsia" w:asciiTheme="minorEastAsia" w:hAnsiTheme="minorEastAsia" w:eastAsiaTheme="minorEastAsia" w:cstheme="minorEastAsia"/>
                <w:color w:val="000000"/>
                <w:kern w:val="0"/>
                <w:sz w:val="24"/>
                <w:szCs w:val="24"/>
                <w:u w:val="none"/>
              </w:rPr>
              <w:t>北京时间</w:t>
            </w:r>
            <w:r>
              <w:rPr>
                <w:rFonts w:hint="eastAsia" w:asciiTheme="minorEastAsia" w:hAnsiTheme="minorEastAsia" w:eastAsiaTheme="minorEastAsia" w:cstheme="minorEastAsia"/>
                <w:color w:val="000000"/>
                <w:kern w:val="0"/>
                <w:sz w:val="24"/>
                <w:szCs w:val="24"/>
                <w:u w:val="none"/>
                <w:lang w:val="en-US" w:eastAsia="zh-CN"/>
              </w:rPr>
              <w:t>24小时制</w:t>
            </w:r>
            <w:r>
              <w:rPr>
                <w:rFonts w:hint="eastAsia" w:asciiTheme="minorEastAsia" w:hAnsiTheme="minorEastAsia" w:eastAsiaTheme="minorEastAsia" w:cstheme="minorEastAsia"/>
                <w:color w:val="000000"/>
                <w:kern w:val="0"/>
                <w:sz w:val="24"/>
                <w:szCs w:val="24"/>
                <w:u w:val="none"/>
              </w:rPr>
              <w:t>）</w:t>
            </w:r>
          </w:p>
          <w:p>
            <w:pPr>
              <w:pageBreakBefore w:val="0"/>
              <w:widowControl w:val="0"/>
              <w:kinsoku/>
              <w:wordWrap/>
              <w:overflowPunct/>
              <w:topLinePunct w:val="0"/>
              <w:bidi w:val="0"/>
              <w:spacing w:line="560" w:lineRule="exact"/>
              <w:ind w:firstLine="0" w:firstLineChars="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none"/>
              </w:rPr>
              <w:t>下午：</w:t>
            </w:r>
            <w:r>
              <w:rPr>
                <w:rFonts w:hint="eastAsia" w:asciiTheme="minorEastAsia" w:hAnsiTheme="minorEastAsia" w:eastAsiaTheme="minorEastAsia" w:cstheme="minorEastAsia"/>
                <w:color w:val="000000"/>
                <w:kern w:val="0"/>
                <w:sz w:val="24"/>
                <w:szCs w:val="24"/>
                <w:u w:val="none"/>
                <w:lang w:val="en-US" w:eastAsia="zh-CN"/>
              </w:rPr>
              <w:t>14</w:t>
            </w:r>
            <w:r>
              <w:rPr>
                <w:rFonts w:hint="eastAsia" w:asciiTheme="minorEastAsia" w:hAnsiTheme="minorEastAsia" w:eastAsiaTheme="minorEastAsia" w:cstheme="minorEastAsia"/>
                <w:color w:val="000000"/>
                <w:kern w:val="0"/>
                <w:sz w:val="24"/>
                <w:szCs w:val="24"/>
                <w:u w:val="none"/>
              </w:rPr>
              <w:t>时</w:t>
            </w:r>
            <w:r>
              <w:rPr>
                <w:rFonts w:hint="eastAsia" w:asciiTheme="minorEastAsia" w:hAnsiTheme="minorEastAsia" w:eastAsiaTheme="minorEastAsia" w:cstheme="minorEastAsia"/>
                <w:color w:val="000000"/>
                <w:kern w:val="0"/>
                <w:sz w:val="24"/>
                <w:szCs w:val="24"/>
                <w:u w:val="none"/>
                <w:lang w:val="en-US" w:eastAsia="zh-CN"/>
              </w:rPr>
              <w:t>00</w:t>
            </w:r>
            <w:r>
              <w:rPr>
                <w:rFonts w:hint="eastAsia" w:asciiTheme="minorEastAsia" w:hAnsiTheme="minorEastAsia" w:eastAsiaTheme="minorEastAsia" w:cstheme="minorEastAsia"/>
                <w:color w:val="000000"/>
                <w:kern w:val="0"/>
                <w:sz w:val="24"/>
                <w:szCs w:val="24"/>
                <w:u w:val="none"/>
              </w:rPr>
              <w:t>分至</w:t>
            </w:r>
            <w:r>
              <w:rPr>
                <w:rFonts w:hint="eastAsia" w:asciiTheme="minorEastAsia" w:hAnsiTheme="minorEastAsia" w:eastAsiaTheme="minorEastAsia" w:cstheme="minorEastAsia"/>
                <w:color w:val="000000"/>
                <w:kern w:val="0"/>
                <w:sz w:val="24"/>
                <w:szCs w:val="24"/>
                <w:u w:val="none"/>
                <w:lang w:val="en-US" w:eastAsia="zh-CN"/>
              </w:rPr>
              <w:t>17</w:t>
            </w:r>
            <w:r>
              <w:rPr>
                <w:rFonts w:hint="eastAsia" w:asciiTheme="minorEastAsia" w:hAnsiTheme="minorEastAsia" w:eastAsiaTheme="minorEastAsia" w:cstheme="minorEastAsia"/>
                <w:color w:val="000000"/>
                <w:kern w:val="0"/>
                <w:sz w:val="24"/>
                <w:szCs w:val="24"/>
                <w:u w:val="none"/>
              </w:rPr>
              <w:t>时</w:t>
            </w:r>
            <w:r>
              <w:rPr>
                <w:rFonts w:hint="eastAsia" w:asciiTheme="minorEastAsia" w:hAnsiTheme="minorEastAsia" w:eastAsiaTheme="minorEastAsia" w:cstheme="minorEastAsia"/>
                <w:color w:val="000000"/>
                <w:kern w:val="0"/>
                <w:sz w:val="24"/>
                <w:szCs w:val="24"/>
                <w:u w:val="none"/>
                <w:lang w:val="en-US" w:eastAsia="zh-CN"/>
              </w:rPr>
              <w:t>30</w:t>
            </w:r>
            <w:r>
              <w:rPr>
                <w:rFonts w:hint="eastAsia" w:asciiTheme="minorEastAsia" w:hAnsiTheme="minorEastAsia" w:eastAsiaTheme="minorEastAsia" w:cstheme="minorEastAsia"/>
                <w:color w:val="000000"/>
                <w:kern w:val="0"/>
                <w:sz w:val="24"/>
                <w:szCs w:val="24"/>
                <w:u w:val="none"/>
              </w:rPr>
              <w:t>分</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采用</w:t>
            </w:r>
            <w:r>
              <w:rPr>
                <w:rFonts w:hint="eastAsia" w:asciiTheme="minorEastAsia" w:hAnsiTheme="minorEastAsia" w:eastAsiaTheme="minorEastAsia" w:cstheme="minorEastAsia"/>
                <w:color w:val="000000"/>
                <w:kern w:val="0"/>
                <w:sz w:val="24"/>
                <w:szCs w:val="24"/>
              </w:rPr>
              <w:t>北京时间</w:t>
            </w:r>
            <w:r>
              <w:rPr>
                <w:rFonts w:hint="eastAsia" w:asciiTheme="minorEastAsia" w:hAnsiTheme="minorEastAsia" w:eastAsiaTheme="minorEastAsia" w:cstheme="minorEastAsia"/>
                <w:color w:val="000000"/>
                <w:kern w:val="0"/>
                <w:sz w:val="24"/>
                <w:szCs w:val="24"/>
                <w:lang w:val="en-US" w:eastAsia="zh-CN"/>
              </w:rPr>
              <w:t>24小时制</w:t>
            </w:r>
            <w:r>
              <w:rPr>
                <w:rFonts w:hint="eastAsia" w:asciiTheme="minorEastAsia" w:hAnsiTheme="minorEastAsia" w:eastAsiaTheme="minorEastAsia" w:cstheme="minorEastAsia"/>
                <w:color w:val="000000"/>
                <w:kern w:val="0"/>
                <w:sz w:val="24"/>
                <w:szCs w:val="24"/>
              </w:rPr>
              <w:t>）</w:t>
            </w:r>
          </w:p>
          <w:p>
            <w:pPr>
              <w:pageBreakBefore w:val="0"/>
              <w:widowControl w:val="0"/>
              <w:kinsoku/>
              <w:wordWrap/>
              <w:overflowPunct/>
              <w:topLinePunct w:val="0"/>
              <w:bidi w:val="0"/>
              <w:spacing w:line="560" w:lineRule="exact"/>
              <w:ind w:firstLine="0" w:firstLineChars="0"/>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（休息日和法定节假日除外）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获取方式</w:t>
            </w:r>
          </w:p>
        </w:tc>
        <w:tc>
          <w:tcPr>
            <w:tcW w:w="8176" w:type="dxa"/>
            <w:tcBorders>
              <w:tl2br w:val="nil"/>
              <w:tr2bl w:val="nil"/>
            </w:tcBorders>
            <w:vAlign w:val="center"/>
          </w:tcPr>
          <w:p>
            <w:pPr>
              <w:pageBreakBefore w:val="0"/>
              <w:widowControl w:val="0"/>
              <w:tabs>
                <w:tab w:val="left" w:pos="320"/>
              </w:tabs>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线下获取</w:t>
            </w:r>
            <w:r>
              <w:rPr>
                <w:rFonts w:hint="eastAsia" w:asciiTheme="minorEastAsia" w:hAnsiTheme="minorEastAsia" w:eastAsiaTheme="minorEastAsia" w:cstheme="minorEastAsia"/>
                <w:color w:val="000000"/>
                <w:kern w:val="0"/>
                <w:sz w:val="24"/>
                <w:szCs w:val="24"/>
                <w:lang w:val="en-US" w:eastAsia="zh-CN"/>
              </w:rPr>
              <w:t>或网上购买</w:t>
            </w:r>
            <w:r>
              <w:rPr>
                <w:rFonts w:hint="eastAsia" w:asciiTheme="minorEastAsia" w:hAnsiTheme="minorEastAsia" w:eastAsiaTheme="minorEastAsia" w:cstheme="minorEastAsia"/>
                <w:color w:val="000000"/>
                <w:kern w:val="0"/>
                <w:sz w:val="24"/>
                <w:szCs w:val="24"/>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spacing w:before="157" w:beforeLines="50" w:line="560" w:lineRule="exact"/>
              <w:ind w:firstLine="0" w:firstLineChars="0"/>
              <w:jc w:val="center"/>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rPr>
              <w:t>文件售价</w:t>
            </w:r>
          </w:p>
        </w:tc>
        <w:tc>
          <w:tcPr>
            <w:tcW w:w="8176" w:type="dxa"/>
            <w:tcBorders>
              <w:tl2br w:val="nil"/>
              <w:tr2bl w:val="nil"/>
            </w:tcBorders>
            <w:vAlign w:val="center"/>
          </w:tcPr>
          <w:p>
            <w:pPr>
              <w:pageBreakBefore w:val="0"/>
              <w:widowControl w:val="0"/>
              <w:kinsoku/>
              <w:wordWrap/>
              <w:overflowPunct/>
              <w:topLinePunct w:val="0"/>
              <w:bidi w:val="0"/>
              <w:spacing w:line="56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500</w:t>
            </w:r>
            <w:r>
              <w:rPr>
                <w:rFonts w:hint="eastAsia" w:asciiTheme="minorEastAsia" w:hAnsiTheme="minorEastAsia" w:eastAsiaTheme="minorEastAsia" w:cstheme="minorEastAsia"/>
                <w:sz w:val="24"/>
                <w:szCs w:val="24"/>
              </w:rPr>
              <w:t>元/份（谈判文件售后不退,谈判资格不能转让）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文件发售地点</w:t>
            </w:r>
          </w:p>
        </w:tc>
        <w:tc>
          <w:tcPr>
            <w:tcW w:w="8176" w:type="dxa"/>
            <w:tcBorders>
              <w:tl2br w:val="nil"/>
              <w:tr2bl w:val="nil"/>
            </w:tcBorders>
            <w:vAlign w:val="center"/>
          </w:tcPr>
          <w:p>
            <w:pPr>
              <w:pageBreakBefore w:val="0"/>
              <w:widowControl w:val="0"/>
              <w:kinsoku/>
              <w:wordWrap/>
              <w:overflowPunct/>
              <w:topLinePunct w:val="0"/>
              <w:bidi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青海省西宁市东川工业园区民和路 59 号青海汇森招标有限公司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文件时应提供的材料</w:t>
            </w:r>
          </w:p>
        </w:tc>
        <w:tc>
          <w:tcPr>
            <w:tcW w:w="8176" w:type="dxa"/>
            <w:tcBorders>
              <w:tl2br w:val="nil"/>
              <w:tr2bl w:val="nil"/>
            </w:tcBorders>
            <w:vAlign w:val="center"/>
          </w:tcPr>
          <w:p>
            <w:pPr>
              <w:pageBreakBefore w:val="0"/>
              <w:widowControl w:val="0"/>
              <w:numPr>
                <w:ilvl w:val="0"/>
                <w:numId w:val="2"/>
              </w:numPr>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购买竞争性谈判文件时</w:t>
            </w:r>
            <w:r>
              <w:rPr>
                <w:rFonts w:hint="eastAsia" w:asciiTheme="minorEastAsia" w:hAnsiTheme="minorEastAsia" w:eastAsiaTheme="minorEastAsia" w:cstheme="minorEastAsia"/>
                <w:sz w:val="24"/>
                <w:szCs w:val="24"/>
                <w:highlight w:val="none"/>
                <w:u w:val="single"/>
                <w:lang w:val="en-US" w:eastAsia="zh-CN"/>
              </w:rPr>
              <w:t xml:space="preserve"> 是 </w:t>
            </w:r>
            <w:r>
              <w:rPr>
                <w:rFonts w:hint="eastAsia" w:asciiTheme="minorEastAsia" w:hAnsiTheme="minorEastAsia" w:eastAsiaTheme="minorEastAsia" w:cstheme="minorEastAsia"/>
                <w:sz w:val="24"/>
                <w:szCs w:val="24"/>
                <w:highlight w:val="none"/>
                <w:u w:val="none"/>
                <w:lang w:val="en-US" w:eastAsia="zh-CN"/>
              </w:rPr>
              <w:t>（是/否）需要提交相关文件资料。</w:t>
            </w:r>
          </w:p>
          <w:p>
            <w:pPr>
              <w:pageBreakBefore w:val="0"/>
              <w:widowControl w:val="0"/>
              <w:numPr>
                <w:ilvl w:val="0"/>
                <w:numId w:val="0"/>
              </w:numPr>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2.若确需提交，供应商应该准备以下文件资料：营业执照副本复印件（加盖单位公章）、法定代表人证明书、法定代表人授权委托书（参考谈判文件格式（2、3））及法定代表人身份证复印件、被授权人身份证复印件。以上资料除原件外均需加盖公章。</w:t>
            </w:r>
          </w:p>
          <w:p>
            <w:pPr>
              <w:pageBreakBefore w:val="0"/>
              <w:widowControl w:val="0"/>
              <w:kinsoku/>
              <w:wordWrap/>
              <w:overflowPunct/>
              <w:topLinePunct w:val="0"/>
              <w:bidi w:val="0"/>
              <w:adjustRightInd w:val="0"/>
              <w:snapToGrid w:val="0"/>
              <w:spacing w:line="560" w:lineRule="exact"/>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u w:val="none"/>
                <w:lang w:val="en-US" w:eastAsia="zh-CN"/>
              </w:rPr>
              <w:t>注：投标供应商必须在报名时间截止前向采购代理机构提交报名资料及标书费（标书费以采购代理机构帐户到账时间或开具收据为准），报名时间截止后递交的潜在投标供应商均无资格参加此次投标；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top"/>
          </w:tcPr>
          <w:p>
            <w:pPr>
              <w:pageBreakBefore w:val="0"/>
              <w:widowControl w:val="0"/>
              <w:kinsoku/>
              <w:wordWrap/>
              <w:overflowPunct/>
              <w:topLinePunct w:val="0"/>
              <w:bidi w:val="0"/>
              <w:adjustRightInd w:val="0"/>
              <w:snapToGrid w:val="0"/>
              <w:spacing w:before="157" w:beforeLines="50" w:line="560" w:lineRule="exact"/>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采购人名称、地址、电话、联系人</w:t>
            </w:r>
          </w:p>
        </w:tc>
        <w:tc>
          <w:tcPr>
            <w:tcW w:w="8176" w:type="dxa"/>
            <w:tcBorders>
              <w:tl2br w:val="nil"/>
              <w:tr2bl w:val="nil"/>
            </w:tcBorders>
            <w:vAlign w:val="top"/>
          </w:tcPr>
          <w:p>
            <w:pPr>
              <w:pageBreakBefore w:val="0"/>
              <w:widowControl w:val="0"/>
              <w:kinsoku/>
              <w:wordWrap/>
              <w:overflowPunct/>
              <w:topLinePunct w:val="0"/>
              <w:bidi w:val="0"/>
              <w:adjustRightInd w:val="0"/>
              <w:snapToGrid w:val="0"/>
              <w:spacing w:before="157" w:beforeLines="50" w:line="240" w:lineRule="auto"/>
              <w:ind w:firstLine="0" w:firstLineChars="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采购人：刚察县泉吉乡人民政府</w:t>
            </w:r>
          </w:p>
          <w:p>
            <w:pPr>
              <w:pageBreakBefore w:val="0"/>
              <w:widowControl w:val="0"/>
              <w:kinsoku/>
              <w:wordWrap/>
              <w:overflowPunct/>
              <w:topLinePunct w:val="0"/>
              <w:bidi w:val="0"/>
              <w:adjustRightInd w:val="0"/>
              <w:snapToGrid w:val="0"/>
              <w:spacing w:before="157" w:beforeLines="50" w:line="240" w:lineRule="auto"/>
              <w:ind w:firstLine="0" w:firstLineChars="0"/>
              <w:jc w:val="lef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联系人</w:t>
            </w:r>
            <w:r>
              <w:rPr>
                <w:rFonts w:hint="eastAsia" w:asciiTheme="minorEastAsia" w:hAnsiTheme="minorEastAsia" w:eastAsiaTheme="minorEastAsia" w:cstheme="minorEastAsia"/>
                <w:sz w:val="24"/>
                <w:szCs w:val="24"/>
                <w:highlight w:val="none"/>
                <w:lang w:val="en-US" w:eastAsia="zh-CN"/>
              </w:rPr>
              <w:t>：陈老师</w:t>
            </w:r>
          </w:p>
          <w:p>
            <w:pPr>
              <w:pageBreakBefore w:val="0"/>
              <w:widowControl w:val="0"/>
              <w:kinsoku/>
              <w:wordWrap/>
              <w:overflowPunct/>
              <w:topLinePunct w:val="0"/>
              <w:bidi w:val="0"/>
              <w:adjustRightInd w:val="0"/>
              <w:snapToGrid w:val="0"/>
              <w:spacing w:before="157" w:beforeLines="50" w:line="240" w:lineRule="auto"/>
              <w:ind w:firstLine="0" w:firstLineChars="0"/>
              <w:jc w:val="lef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联系电话：0970-8655225</w:t>
            </w:r>
          </w:p>
          <w:p>
            <w:pPr>
              <w:pageBreakBefore w:val="0"/>
              <w:widowControl w:val="0"/>
              <w:kinsoku/>
              <w:wordWrap/>
              <w:overflowPunct/>
              <w:topLinePunct w:val="0"/>
              <w:bidi w:val="0"/>
              <w:adjustRightInd w:val="0"/>
              <w:snapToGrid w:val="0"/>
              <w:spacing w:before="157" w:beforeLines="50" w:line="240" w:lineRule="auto"/>
              <w:ind w:firstLine="0" w:firstLineChars="0"/>
              <w:jc w:val="left"/>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highlight w:val="none"/>
                <w:lang w:val="en-US" w:eastAsia="zh-CN"/>
              </w:rPr>
              <w:t>联系地址：</w:t>
            </w:r>
            <w:r>
              <w:rPr>
                <w:rFonts w:hint="eastAsia" w:asciiTheme="minorEastAsia" w:hAnsiTheme="minorEastAsia" w:eastAsiaTheme="minorEastAsia" w:cstheme="minorEastAsia"/>
                <w:sz w:val="24"/>
                <w:szCs w:val="24"/>
                <w:lang w:val="en-US" w:eastAsia="zh-CN"/>
              </w:rPr>
              <w:t>刚察县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3" w:hRule="atLeast"/>
          <w:jc w:val="center"/>
        </w:trPr>
        <w:tc>
          <w:tcPr>
            <w:tcW w:w="2400" w:type="dxa"/>
            <w:tcBorders>
              <w:tl2br w:val="nil"/>
              <w:tr2bl w:val="nil"/>
            </w:tcBorders>
            <w:vAlign w:val="top"/>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采购代理机构及联系人电话</w:t>
            </w:r>
          </w:p>
        </w:tc>
        <w:tc>
          <w:tcPr>
            <w:tcW w:w="8176" w:type="dxa"/>
            <w:tcBorders>
              <w:tl2br w:val="nil"/>
              <w:tr2bl w:val="nil"/>
            </w:tcBorders>
            <w:vAlign w:val="top"/>
          </w:tcPr>
          <w:p>
            <w:pPr>
              <w:pageBreakBefore w:val="0"/>
              <w:widowControl w:val="0"/>
              <w:kinsoku/>
              <w:wordWrap/>
              <w:overflowPunct/>
              <w:topLinePunct w:val="0"/>
              <w:bidi w:val="0"/>
              <w:adjustRightInd w:val="0"/>
              <w:snapToGrid w:val="0"/>
              <w:spacing w:before="157" w:beforeLines="50" w:line="240" w:lineRule="auto"/>
              <w:ind w:firstLine="0" w:firstLineChars="0"/>
              <w:jc w:val="left"/>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采购代理机构：青海汇森招标有限公司</w:t>
            </w:r>
          </w:p>
          <w:p>
            <w:pPr>
              <w:pageBreakBefore w:val="0"/>
              <w:widowControl w:val="0"/>
              <w:kinsoku/>
              <w:wordWrap/>
              <w:overflowPunct/>
              <w:topLinePunct w:val="0"/>
              <w:bidi w:val="0"/>
              <w:adjustRightInd w:val="0"/>
              <w:snapToGrid w:val="0"/>
              <w:spacing w:before="157" w:beforeLines="50" w:line="240" w:lineRule="auto"/>
              <w:ind w:firstLine="0" w:firstLineChars="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项目负责人：</w:t>
            </w:r>
            <w:r>
              <w:rPr>
                <w:rFonts w:hint="eastAsia" w:asciiTheme="minorEastAsia" w:hAnsiTheme="minorEastAsia" w:eastAsiaTheme="minorEastAsia" w:cstheme="minorEastAsia"/>
                <w:sz w:val="24"/>
                <w:szCs w:val="24"/>
                <w:lang w:val="en-US" w:eastAsia="zh-CN"/>
              </w:rPr>
              <w:t>德先生</w:t>
            </w:r>
          </w:p>
          <w:p>
            <w:pPr>
              <w:pageBreakBefore w:val="0"/>
              <w:widowControl w:val="0"/>
              <w:kinsoku/>
              <w:wordWrap/>
              <w:overflowPunct/>
              <w:topLinePunct w:val="0"/>
              <w:bidi w:val="0"/>
              <w:adjustRightInd w:val="0"/>
              <w:snapToGrid w:val="0"/>
              <w:spacing w:before="157" w:beforeLines="50" w:line="240" w:lineRule="auto"/>
              <w:ind w:firstLine="0" w:firstLineChars="0"/>
              <w:jc w:val="left"/>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联系电话：0971-6182918</w:t>
            </w:r>
          </w:p>
          <w:p>
            <w:pPr>
              <w:pageBreakBefore w:val="0"/>
              <w:widowControl w:val="0"/>
              <w:kinsoku/>
              <w:wordWrap/>
              <w:overflowPunct/>
              <w:topLinePunct w:val="0"/>
              <w:bidi w:val="0"/>
              <w:adjustRightInd w:val="0"/>
              <w:snapToGrid w:val="0"/>
              <w:spacing w:before="157" w:beforeLines="50" w:line="240" w:lineRule="auto"/>
              <w:ind w:firstLine="0" w:firstLineChars="0"/>
              <w:jc w:val="left"/>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联系地址：青海省西宁市东川工业园区民和路 59 号</w:t>
            </w:r>
          </w:p>
          <w:p>
            <w:pPr>
              <w:pageBreakBefore w:val="0"/>
              <w:widowControl w:val="0"/>
              <w:kinsoku/>
              <w:wordWrap/>
              <w:overflowPunct/>
              <w:topLinePunct w:val="0"/>
              <w:bidi w:val="0"/>
              <w:adjustRightInd w:val="0"/>
              <w:snapToGrid w:val="0"/>
              <w:spacing w:before="157" w:beforeLines="50" w:line="240" w:lineRule="auto"/>
              <w:ind w:firstLine="0"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邮箱地址：</w:t>
            </w:r>
            <w:r>
              <w:rPr>
                <w:rFonts w:hint="eastAsia" w:asciiTheme="minorEastAsia" w:hAnsiTheme="minorEastAsia" w:eastAsiaTheme="minorEastAsia" w:cstheme="minorEastAsia"/>
                <w:sz w:val="24"/>
                <w:szCs w:val="24"/>
                <w:lang w:val="zh-CN" w:eastAsia="zh-CN"/>
              </w:rPr>
              <w:fldChar w:fldCharType="begin"/>
            </w:r>
            <w:r>
              <w:rPr>
                <w:rFonts w:hint="eastAsia" w:asciiTheme="minorEastAsia" w:hAnsiTheme="minorEastAsia" w:eastAsiaTheme="minorEastAsia" w:cstheme="minorEastAsia"/>
                <w:sz w:val="24"/>
                <w:szCs w:val="24"/>
                <w:lang w:val="zh-CN" w:eastAsia="zh-CN"/>
              </w:rPr>
              <w:instrText xml:space="preserve"> HYPERLINK "mailto: qhlanzhidian@163.com" </w:instrText>
            </w:r>
            <w:r>
              <w:rPr>
                <w:rFonts w:hint="eastAsia" w:asciiTheme="minorEastAsia" w:hAnsiTheme="minorEastAsia" w:eastAsiaTheme="minorEastAsia" w:cstheme="minorEastAsia"/>
                <w:sz w:val="24"/>
                <w:szCs w:val="24"/>
                <w:lang w:val="zh-CN" w:eastAsia="zh-CN"/>
              </w:rPr>
              <w:fldChar w:fldCharType="separate"/>
            </w:r>
            <w:r>
              <w:rPr>
                <w:rFonts w:hint="eastAsia" w:asciiTheme="minorEastAsia" w:hAnsiTheme="minorEastAsia" w:eastAsiaTheme="minorEastAsia" w:cstheme="minorEastAsia"/>
                <w:sz w:val="24"/>
                <w:szCs w:val="24"/>
                <w:lang w:val="zh-CN" w:eastAsia="zh-CN"/>
              </w:rPr>
              <w:t xml:space="preserve"> qhhszb@163.com</w:t>
            </w:r>
            <w:r>
              <w:rPr>
                <w:rFonts w:hint="eastAsia" w:asciiTheme="minorEastAsia" w:hAnsiTheme="minorEastAsia" w:eastAsiaTheme="minorEastAsia" w:cstheme="minorEastAsia"/>
                <w:sz w:val="24"/>
                <w:szCs w:val="24"/>
                <w:lang w:val="zh-CN" w:eastAsia="zh-CN"/>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保证金</w:t>
            </w:r>
          </w:p>
        </w:tc>
        <w:tc>
          <w:tcPr>
            <w:tcW w:w="8176" w:type="dxa"/>
            <w:tcBorders>
              <w:tl2br w:val="nil"/>
              <w:tr2bl w:val="nil"/>
            </w:tcBorders>
            <w:vAlign w:val="center"/>
          </w:tcPr>
          <w:p>
            <w:pPr>
              <w:pageBreakBefore w:val="0"/>
              <w:widowControl w:val="0"/>
              <w:numPr>
                <w:ilvl w:val="0"/>
                <w:numId w:val="3"/>
              </w:numPr>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single"/>
                <w:lang w:val="en-US" w:eastAsia="zh-CN"/>
              </w:rPr>
              <w:t>小写：20000元；（大写）贰万元整</w:t>
            </w:r>
          </w:p>
          <w:p>
            <w:pPr>
              <w:pageBreakBefore w:val="0"/>
              <w:widowControl w:val="0"/>
              <w:numPr>
                <w:ilvl w:val="0"/>
                <w:numId w:val="0"/>
              </w:numPr>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2.开户名：青海汇森招标有限公司；</w:t>
            </w:r>
          </w:p>
          <w:p>
            <w:pPr>
              <w:pageBreakBefore w:val="0"/>
              <w:widowControl w:val="0"/>
              <w:numPr>
                <w:ilvl w:val="0"/>
                <w:numId w:val="0"/>
              </w:numPr>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3.开户行：</w:t>
            </w:r>
            <w:r>
              <w:rPr>
                <w:rFonts w:hint="eastAsia" w:ascii="宋体" w:hAnsi="宋体" w:eastAsia="宋体" w:cs="宋体"/>
                <w:sz w:val="24"/>
                <w:lang w:val="zh-CN" w:eastAsia="zh-CN"/>
              </w:rPr>
              <w:t>中国工商银行股份有限公司西宁西川支行</w:t>
            </w:r>
            <w:r>
              <w:rPr>
                <w:rFonts w:hint="eastAsia" w:asciiTheme="minorEastAsia" w:hAnsiTheme="minorEastAsia" w:eastAsiaTheme="minorEastAsia" w:cstheme="minorEastAsia"/>
                <w:sz w:val="24"/>
                <w:szCs w:val="24"/>
                <w:u w:val="none"/>
                <w:lang w:val="en-US" w:eastAsia="zh-CN"/>
              </w:rPr>
              <w:t>；</w:t>
            </w:r>
          </w:p>
          <w:p>
            <w:pPr>
              <w:pageBreakBefore w:val="0"/>
              <w:widowControl w:val="0"/>
              <w:numPr>
                <w:ilvl w:val="0"/>
                <w:numId w:val="0"/>
              </w:numPr>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4.银行账号：</w:t>
            </w:r>
            <w:r>
              <w:rPr>
                <w:rFonts w:hint="eastAsia" w:ascii="宋体" w:hAnsi="宋体" w:eastAsia="宋体" w:cs="宋体"/>
                <w:sz w:val="24"/>
                <w:lang w:val="zh-CN" w:eastAsia="zh-CN"/>
              </w:rPr>
              <w:t>2806001909200050709</w:t>
            </w:r>
          </w:p>
          <w:p>
            <w:pPr>
              <w:pageBreakBefore w:val="0"/>
              <w:widowControl w:val="0"/>
              <w:numPr>
                <w:ilvl w:val="0"/>
                <w:numId w:val="0"/>
              </w:numPr>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u w:val="none"/>
                <w:lang w:val="en-US" w:eastAsia="zh-CN"/>
              </w:rPr>
              <w:t>5.交付方式：</w:t>
            </w:r>
            <w:r>
              <w:rPr>
                <w:rFonts w:hint="eastAsia" w:asciiTheme="minorEastAsia" w:hAnsiTheme="minorEastAsia" w:eastAsiaTheme="minorEastAsia" w:cstheme="minorEastAsia"/>
                <w:b w:val="0"/>
                <w:bCs w:val="0"/>
                <w:sz w:val="24"/>
                <w:szCs w:val="24"/>
              </w:rPr>
              <w:t>谈判保证金应当以转账、支票、本票或者金融机构、担保机构出具的保函等非现金形式提交。供应商未按照谈判文件要求提交谈判保证金的，谈判无效。</w:t>
            </w:r>
          </w:p>
          <w:p>
            <w:pPr>
              <w:pageBreakBefore w:val="0"/>
              <w:widowControl w:val="0"/>
              <w:numPr>
                <w:ilvl w:val="0"/>
                <w:numId w:val="0"/>
              </w:numPr>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6.其他注意事项（详见谈判文件）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响应文件有效期</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自谈判提交响应文件截止之日起不少于</w:t>
            </w:r>
            <w:r>
              <w:rPr>
                <w:rFonts w:hint="eastAsia" w:asciiTheme="minorEastAsia" w:hAnsiTheme="minorEastAsia" w:eastAsiaTheme="minorEastAsia" w:cstheme="minorEastAsia"/>
                <w:sz w:val="24"/>
                <w:szCs w:val="24"/>
                <w:u w:val="single"/>
                <w:lang w:val="en-US" w:eastAsia="zh-CN"/>
              </w:rPr>
              <w:t xml:space="preserve"> 90 </w:t>
            </w:r>
            <w:r>
              <w:rPr>
                <w:rFonts w:hint="eastAsia" w:asciiTheme="minorEastAsia" w:hAnsiTheme="minorEastAsia" w:eastAsiaTheme="minorEastAsia" w:cstheme="minorEastAsia"/>
                <w:sz w:val="24"/>
                <w:szCs w:val="24"/>
                <w:lang w:val="en-US" w:eastAsia="zh-CN"/>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响应</w:t>
            </w:r>
            <w:r>
              <w:rPr>
                <w:rFonts w:hint="eastAsia" w:asciiTheme="minorEastAsia" w:hAnsiTheme="minorEastAsia" w:eastAsiaTheme="minorEastAsia" w:cstheme="minorEastAsia"/>
                <w:sz w:val="24"/>
                <w:szCs w:val="24"/>
              </w:rPr>
              <w:t>文件份数</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none"/>
                <w:lang w:val="en-US" w:eastAsia="zh-CN"/>
              </w:rPr>
              <w:t>一份正本、两份副本、一份电子文档、一份首次谈判报价表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封套上应载明的信息</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1.项目名称、采购项目编号；</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2.供应商名称；</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3.响应文件送达时间、地址；</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4.响应文件密封情况；</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none"/>
                <w:lang w:val="en-US" w:eastAsia="zh-CN"/>
              </w:rPr>
              <w:t>5.采购人、采购代理机构名称；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响应文件的递交</w:t>
            </w:r>
            <w:r>
              <w:rPr>
                <w:rFonts w:hint="eastAsia" w:asciiTheme="minorEastAsia" w:hAnsiTheme="minorEastAsia" w:eastAsiaTheme="minorEastAsia" w:cstheme="minorEastAsia"/>
                <w:sz w:val="24"/>
                <w:szCs w:val="24"/>
                <w:lang w:eastAsia="zh-CN"/>
              </w:rPr>
              <w:t>截止时间</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bookmarkStart w:id="1706" w:name="_GoBack"/>
            <w:bookmarkEnd w:id="1706"/>
            <w:r>
              <w:rPr>
                <w:rFonts w:hint="eastAsia" w:asciiTheme="minorEastAsia" w:hAnsiTheme="minorEastAsia" w:eastAsiaTheme="minorEastAsia" w:cstheme="minorEastAsia"/>
                <w:b w:val="0"/>
                <w:bCs w:val="0"/>
                <w:sz w:val="24"/>
                <w:szCs w:val="24"/>
                <w:u w:val="none"/>
                <w:lang w:val="en-US" w:eastAsia="zh-CN"/>
              </w:rPr>
              <w:t>2022年08月23日下午14时30分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开启时间及</w:t>
            </w:r>
          </w:p>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谈判地点</w:t>
            </w:r>
          </w:p>
        </w:tc>
        <w:tc>
          <w:tcPr>
            <w:tcW w:w="8176" w:type="dxa"/>
            <w:tcBorders>
              <w:tl2br w:val="nil"/>
              <w:tr2bl w:val="nil"/>
            </w:tcBorders>
            <w:vAlign w:val="center"/>
          </w:tcPr>
          <w:p>
            <w:pPr>
              <w:pageBreakBefore w:val="0"/>
              <w:widowControl w:val="0"/>
              <w:numPr>
                <w:ilvl w:val="0"/>
                <w:numId w:val="4"/>
              </w:numPr>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val="0"/>
                <w:bCs w:val="0"/>
                <w:sz w:val="24"/>
                <w:szCs w:val="24"/>
                <w:u w:val="none"/>
                <w:lang w:val="en-US" w:eastAsia="zh-CN"/>
              </w:rPr>
              <w:t>响应文件开启时间：2022年08月23日下午14时30分</w:t>
            </w:r>
            <w:r>
              <w:rPr>
                <w:rFonts w:hint="eastAsia" w:asciiTheme="minorEastAsia" w:hAnsiTheme="minorEastAsia" w:eastAsiaTheme="minorEastAsia" w:cstheme="minorEastAsia"/>
                <w:b w:val="0"/>
                <w:bCs w:val="0"/>
                <w:sz w:val="24"/>
                <w:szCs w:val="24"/>
                <w:u w:val="none"/>
                <w:lang w:eastAsia="zh-CN"/>
              </w:rPr>
              <w:t>（采用北京时间</w:t>
            </w:r>
            <w:r>
              <w:rPr>
                <w:rFonts w:hint="eastAsia" w:asciiTheme="minorEastAsia" w:hAnsiTheme="minorEastAsia" w:eastAsiaTheme="minorEastAsia" w:cstheme="minorEastAsia"/>
                <w:b w:val="0"/>
                <w:bCs w:val="0"/>
                <w:sz w:val="24"/>
                <w:szCs w:val="24"/>
                <w:u w:val="none"/>
                <w:lang w:val="en-US" w:eastAsia="zh-CN"/>
              </w:rPr>
              <w:t>24小时制</w:t>
            </w:r>
            <w:r>
              <w:rPr>
                <w:rFonts w:hint="eastAsia" w:asciiTheme="minorEastAsia" w:hAnsiTheme="minorEastAsia" w:eastAsiaTheme="minorEastAsia" w:cstheme="minorEastAsia"/>
                <w:b w:val="0"/>
                <w:bCs w:val="0"/>
                <w:sz w:val="24"/>
                <w:szCs w:val="24"/>
                <w:u w:val="none"/>
                <w:lang w:eastAsia="zh-CN"/>
              </w:rPr>
              <w:t>）</w:t>
            </w:r>
          </w:p>
          <w:p>
            <w:pPr>
              <w:pageBreakBefore w:val="0"/>
              <w:widowControl w:val="0"/>
              <w:numPr>
                <w:ilvl w:val="0"/>
                <w:numId w:val="4"/>
              </w:numPr>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谈判地点：</w:t>
            </w:r>
            <w:r>
              <w:rPr>
                <w:rFonts w:hint="eastAsia" w:ascii="宋体" w:hAnsi="宋体" w:cs="宋体"/>
                <w:sz w:val="24"/>
                <w:lang w:eastAsia="zh-CN"/>
              </w:rPr>
              <w:t>青海省西宁市东川工业园区民和路 59 号青海汇森招标有限公司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财政部门指定的媒体</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本项目公告在中国采购与招标网、青海政府采购网同时发布公告期限：自青海政府采购网发布之日起3个工作日公告内容以青海政府采购网发布的为准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2400" w:type="dxa"/>
            <w:tcBorders>
              <w:tl2br w:val="nil"/>
              <w:tr2bl w:val="nil"/>
            </w:tcBorders>
            <w:vAlign w:val="top"/>
          </w:tcPr>
          <w:p>
            <w:pPr>
              <w:pageBreakBefore w:val="0"/>
              <w:widowControl w:val="0"/>
              <w:kinsoku/>
              <w:wordWrap/>
              <w:overflowPunct/>
              <w:topLinePunct w:val="0"/>
              <w:bidi w:val="0"/>
              <w:spacing w:before="157" w:beforeLines="50" w:line="560" w:lineRule="exact"/>
              <w:ind w:firstLine="0" w:firstLineChars="0"/>
              <w:jc w:val="center"/>
              <w:textAlignment w:val="auto"/>
              <w:rPr>
                <w:rFonts w:hint="eastAsia" w:asciiTheme="minorEastAsia" w:hAnsiTheme="minorEastAsia" w:eastAsiaTheme="minorEastAsia" w:cstheme="minorEastAsia"/>
                <w:sz w:val="24"/>
                <w:szCs w:val="24"/>
                <w:lang w:eastAsia="zh-CN"/>
              </w:rPr>
            </w:pPr>
          </w:p>
          <w:p>
            <w:pPr>
              <w:pageBreakBefore w:val="0"/>
              <w:widowControl w:val="0"/>
              <w:kinsoku/>
              <w:wordWrap/>
              <w:overflowPunct/>
              <w:topLinePunct w:val="0"/>
              <w:bidi w:val="0"/>
              <w:spacing w:before="157" w:beforeLines="50" w:line="560" w:lineRule="exact"/>
              <w:ind w:firstLine="0" w:firstLineChars="0"/>
              <w:jc w:val="both"/>
              <w:textAlignment w:val="auto"/>
              <w:rPr>
                <w:rFonts w:hint="eastAsia" w:asciiTheme="minorEastAsia" w:hAnsiTheme="minorEastAsia" w:eastAsiaTheme="minorEastAsia" w:cstheme="minorEastAsia"/>
                <w:sz w:val="24"/>
                <w:szCs w:val="24"/>
                <w:lang w:eastAsia="zh-CN"/>
              </w:rPr>
            </w:pPr>
          </w:p>
          <w:p>
            <w:pPr>
              <w:pageBreakBefore w:val="0"/>
              <w:widowControl w:val="0"/>
              <w:kinsoku/>
              <w:wordWrap/>
              <w:overflowPunct/>
              <w:topLinePunct w:val="0"/>
              <w:bidi w:val="0"/>
              <w:spacing w:before="157" w:beforeLines="50" w:line="560" w:lineRule="exact"/>
              <w:ind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政策功能</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对于提供节能、环保标志产品，采购人及其委托的采购代理机构应当依据国家确定的认证机构出具的、处于有效期之内的节能产品、环境标志产品认证证</w:t>
            </w:r>
            <w:r>
              <w:rPr>
                <w:rFonts w:hint="eastAsia" w:asciiTheme="minorEastAsia" w:hAnsiTheme="minorEastAsia" w:eastAsiaTheme="minorEastAsia" w:cstheme="minorEastAsia"/>
                <w:sz w:val="24"/>
                <w:szCs w:val="24"/>
                <w:u w:val="none" w:color="auto"/>
                <w:lang w:val="en-US" w:eastAsia="zh-CN"/>
              </w:rPr>
              <w:t>书，对获得证书的产品实施政府优先采购或强制采购。对属于小型、微型企业，监狱企业，残疾人福利性单位的供应商，按照国家相关规定给予6%的价格扣除。（具体扣除比例由采购人与代理机构根据相关行业平均利润率、市场竞争状况等情况，在6%-10%的范围内自行商定，并在谈判文件中做出具体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color w:val="0000FF"/>
                <w:sz w:val="24"/>
                <w:szCs w:val="24"/>
                <w:u w:val="none" w:color="auto"/>
                <w:lang w:val="zh-CN" w:eastAsia="zh-CN"/>
              </w:rPr>
            </w:pPr>
            <w:r>
              <w:rPr>
                <w:rFonts w:hint="eastAsia" w:asciiTheme="minorEastAsia" w:hAnsiTheme="minorEastAsia" w:eastAsiaTheme="minorEastAsia" w:cstheme="minorEastAsia"/>
                <w:color w:val="0000FF"/>
                <w:sz w:val="24"/>
                <w:szCs w:val="24"/>
                <w:u w:val="none" w:color="auto"/>
                <w:lang w:val="en-US" w:eastAsia="zh-CN"/>
              </w:rPr>
              <w:t>1.</w:t>
            </w:r>
            <w:r>
              <w:rPr>
                <w:rFonts w:hint="eastAsia" w:asciiTheme="minorEastAsia" w:hAnsiTheme="minorEastAsia" w:eastAsiaTheme="minorEastAsia" w:cstheme="minorEastAsia"/>
                <w:color w:val="0000FF"/>
                <w:sz w:val="24"/>
                <w:szCs w:val="24"/>
                <w:u w:val="none" w:color="auto"/>
                <w:lang w:val="zh-CN" w:eastAsia="zh-CN"/>
              </w:rPr>
              <w:t>收取对象：</w:t>
            </w:r>
            <w:r>
              <w:rPr>
                <w:rFonts w:hint="eastAsia" w:asciiTheme="minorEastAsia" w:hAnsiTheme="minorEastAsia" w:eastAsiaTheme="minorEastAsia" w:cstheme="minorEastAsia"/>
                <w:color w:val="0000FF"/>
                <w:sz w:val="24"/>
                <w:szCs w:val="24"/>
                <w:u w:val="none" w:color="auto"/>
                <w:lang w:val="en-US" w:eastAsia="zh-CN"/>
              </w:rPr>
              <w:t>采购人</w:t>
            </w:r>
          </w:p>
          <w:p>
            <w:pPr>
              <w:pageBreakBefore w:val="0"/>
              <w:widowControl w:val="0"/>
              <w:kinsoku/>
              <w:wordWrap/>
              <w:overflowPunct/>
              <w:topLinePunct w:val="0"/>
              <w:bidi w:val="0"/>
              <w:adjustRightInd w:val="0"/>
              <w:snapToGrid w:val="0"/>
              <w:spacing w:line="560" w:lineRule="exact"/>
              <w:ind w:firstLine="0" w:firstLineChars="0"/>
              <w:textAlignment w:val="auto"/>
              <w:rPr>
                <w:rFonts w:hint="default" w:asciiTheme="minorEastAsia" w:hAnsiTheme="minorEastAsia" w:eastAsiaTheme="minorEastAsia" w:cstheme="minorEastAsia"/>
                <w:color w:val="0000FF"/>
                <w:sz w:val="24"/>
                <w:szCs w:val="24"/>
                <w:u w:val="none" w:color="auto"/>
                <w:lang w:val="en-US" w:eastAsia="zh-CN"/>
              </w:rPr>
            </w:pPr>
            <w:r>
              <w:rPr>
                <w:rFonts w:hint="eastAsia" w:asciiTheme="minorEastAsia" w:hAnsiTheme="minorEastAsia" w:eastAsiaTheme="minorEastAsia" w:cstheme="minorEastAsia"/>
                <w:color w:val="0000FF"/>
                <w:sz w:val="24"/>
                <w:szCs w:val="24"/>
                <w:u w:val="none" w:color="auto"/>
                <w:lang w:val="en-US" w:eastAsia="zh-CN"/>
              </w:rPr>
              <w:t>2.收费标准：以中标金额作为计算基数,参照《招标代理服务收费管理暂行办法》（计价格[104.772]1980号）以及《关于进一步放开建设项目专项业务服务价格的通知》（发改价格[2015]299号）规定执行.</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color w:val="0000FF"/>
                <w:sz w:val="24"/>
                <w:szCs w:val="24"/>
                <w:u w:val="none" w:color="auto"/>
                <w:lang w:val="en-US" w:eastAsia="zh-CN"/>
              </w:rPr>
            </w:pPr>
            <w:r>
              <w:rPr>
                <w:rFonts w:hint="eastAsia" w:asciiTheme="minorEastAsia" w:hAnsiTheme="minorEastAsia" w:eastAsiaTheme="minorEastAsia" w:cstheme="minorEastAsia"/>
                <w:color w:val="0000FF"/>
                <w:sz w:val="24"/>
                <w:szCs w:val="24"/>
                <w:u w:val="none" w:color="auto"/>
                <w:lang w:val="en-US" w:eastAsia="zh-CN"/>
              </w:rPr>
              <w:t>3.开户银行：</w:t>
            </w:r>
            <w:r>
              <w:rPr>
                <w:rFonts w:hint="eastAsia" w:asciiTheme="minorEastAsia" w:hAnsiTheme="minorEastAsia" w:eastAsiaTheme="minorEastAsia" w:cstheme="minorEastAsia"/>
                <w:color w:val="0000FF"/>
                <w:sz w:val="24"/>
                <w:szCs w:val="24"/>
                <w:u w:val="none" w:color="auto"/>
                <w:lang w:val="zh-CN" w:eastAsia="zh-CN"/>
              </w:rPr>
              <w:t>中国工商银行股份有限公司西宁西川支行</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color w:val="0000FF"/>
                <w:sz w:val="24"/>
                <w:szCs w:val="24"/>
                <w:u w:val="none" w:color="auto"/>
                <w:lang w:val="en-US" w:eastAsia="zh-CN"/>
              </w:rPr>
            </w:pPr>
            <w:r>
              <w:rPr>
                <w:rFonts w:hint="eastAsia" w:asciiTheme="minorEastAsia" w:hAnsiTheme="minorEastAsia" w:eastAsiaTheme="minorEastAsia" w:cstheme="minorEastAsia"/>
                <w:color w:val="0000FF"/>
                <w:sz w:val="24"/>
                <w:szCs w:val="24"/>
                <w:u w:val="none" w:color="auto"/>
                <w:lang w:val="en-US" w:eastAsia="zh-CN"/>
              </w:rPr>
              <w:t>4.收款人：青海汇森招标有限公司</w:t>
            </w:r>
          </w:p>
          <w:p>
            <w:pPr>
              <w:pageBreakBefore w:val="0"/>
              <w:widowControl w:val="0"/>
              <w:kinsoku/>
              <w:wordWrap/>
              <w:overflowPunct/>
              <w:topLinePunct w:val="0"/>
              <w:bidi w:val="0"/>
              <w:adjustRightInd w:val="0"/>
              <w:snapToGrid w:val="0"/>
              <w:spacing w:line="560" w:lineRule="exact"/>
              <w:ind w:firstLine="0" w:firstLineChars="0"/>
              <w:textAlignment w:val="auto"/>
              <w:rPr>
                <w:rFonts w:hint="default"/>
                <w:lang w:val="en-US" w:eastAsia="zh-CN"/>
              </w:rPr>
            </w:pPr>
            <w:r>
              <w:rPr>
                <w:rFonts w:hint="eastAsia" w:asciiTheme="minorEastAsia" w:hAnsiTheme="minorEastAsia" w:eastAsiaTheme="minorEastAsia" w:cstheme="minorEastAsia"/>
                <w:color w:val="0000FF"/>
                <w:sz w:val="24"/>
                <w:szCs w:val="24"/>
                <w:u w:val="none" w:color="auto"/>
                <w:lang w:val="en-US" w:eastAsia="zh-CN"/>
              </w:rPr>
              <w:t>5.收款账号：</w:t>
            </w:r>
            <w:r>
              <w:rPr>
                <w:rFonts w:hint="eastAsia" w:asciiTheme="minorEastAsia" w:hAnsiTheme="minorEastAsia" w:eastAsiaTheme="minorEastAsia" w:cstheme="minorEastAsia"/>
                <w:color w:val="0000FF"/>
                <w:sz w:val="24"/>
                <w:szCs w:val="24"/>
                <w:u w:val="none" w:color="auto"/>
                <w:lang w:val="zh-CN" w:eastAsia="zh-CN"/>
              </w:rPr>
              <w:t>2806001909200050709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工期</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rFonts w:hint="default" w:asciiTheme="minorEastAsia" w:hAnsiTheme="minorEastAsia" w:eastAsiaTheme="minorEastAsia" w:cstheme="minorEastAsia"/>
                <w:sz w:val="24"/>
                <w:szCs w:val="24"/>
                <w:u w:val="none" w:color="auto"/>
                <w:lang w:val="en-US" w:eastAsia="zh-CN"/>
              </w:rPr>
            </w:pPr>
            <w:r>
              <w:rPr>
                <w:rFonts w:hint="eastAsia" w:asciiTheme="minorEastAsia" w:hAnsiTheme="minorEastAsia" w:eastAsiaTheme="minorEastAsia" w:cstheme="minorEastAsia"/>
                <w:color w:val="0000FF"/>
                <w:sz w:val="24"/>
                <w:szCs w:val="24"/>
                <w:u w:val="none" w:color="auto"/>
                <w:lang w:val="en-US" w:eastAsia="zh-CN"/>
              </w:rPr>
              <w:t>60日历日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其他规定</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00" w:type="dxa"/>
            <w:tcBorders>
              <w:tl2br w:val="nil"/>
              <w:tr2bl w:val="nil"/>
            </w:tcBorders>
            <w:vAlign w:val="center"/>
          </w:tcPr>
          <w:p>
            <w:pPr>
              <w:pageBreakBefore w:val="0"/>
              <w:widowControl w:val="0"/>
              <w:kinsoku/>
              <w:wordWrap/>
              <w:overflowPunct/>
              <w:topLinePunct w:val="0"/>
              <w:bidi w:val="0"/>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财政监管部门及电话</w:t>
            </w:r>
          </w:p>
        </w:tc>
        <w:tc>
          <w:tcPr>
            <w:tcW w:w="8176" w:type="dxa"/>
            <w:tcBorders>
              <w:tl2br w:val="nil"/>
              <w:tr2bl w:val="nil"/>
            </w:tcBorders>
            <w:vAlign w:val="center"/>
          </w:tcPr>
          <w:p>
            <w:pPr>
              <w:pageBreakBefore w:val="0"/>
              <w:widowControl w:val="0"/>
              <w:kinsoku/>
              <w:wordWrap/>
              <w:overflowPunct/>
              <w:topLinePunct w:val="0"/>
              <w:bidi w:val="0"/>
              <w:adjustRightInd w:val="0"/>
              <w:snapToGrid w:val="0"/>
              <w:spacing w:line="240" w:lineRule="auto"/>
              <w:ind w:firstLine="0" w:firstLineChars="0"/>
              <w:textAlignment w:val="auto"/>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单位名称：刚察县财政局</w:t>
            </w:r>
          </w:p>
          <w:p>
            <w:pPr>
              <w:keepNext w:val="0"/>
              <w:keepLines w:val="0"/>
              <w:widowControl/>
              <w:suppressLineNumbers w:val="0"/>
              <w:spacing w:line="240" w:lineRule="auto"/>
              <w:jc w:val="left"/>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none"/>
                <w:lang w:val="en-US" w:eastAsia="zh-CN"/>
              </w:rPr>
              <w:t>联系电话：</w:t>
            </w:r>
            <w:r>
              <w:rPr>
                <w:rFonts w:hint="eastAsia" w:ascii="宋体" w:hAnsi="宋体" w:eastAsia="宋体" w:cs="宋体"/>
                <w:color w:val="000000"/>
                <w:kern w:val="0"/>
                <w:sz w:val="24"/>
                <w:szCs w:val="24"/>
                <w:lang w:val="en-US" w:eastAsia="zh-CN" w:bidi="ar"/>
              </w:rPr>
              <w:t>0970-8652262</w:t>
            </w:r>
          </w:p>
        </w:tc>
      </w:tr>
    </w:tbl>
    <w:p>
      <w:pPr>
        <w:rPr>
          <w:rFonts w:hint="eastAsia" w:asciiTheme="minorEastAsia" w:hAnsiTheme="minorEastAsia" w:eastAsiaTheme="minorEastAsia" w:cstheme="minorEastAsia"/>
          <w:b w:val="0"/>
          <w:bCs w:val="0"/>
          <w:sz w:val="24"/>
          <w:szCs w:val="24"/>
          <w:lang w:val="en-US" w:eastAsia="zh-CN"/>
        </w:rPr>
      </w:pPr>
      <w:bookmarkStart w:id="2" w:name="_Toc13430_WPSOffice_Level1"/>
      <w:bookmarkStart w:id="3" w:name="_Toc17554"/>
      <w:bookmarkStart w:id="4" w:name="_Toc29348_WPSOffice_Level1"/>
      <w:bookmarkStart w:id="5" w:name="_Toc25918_WPSOffice_Level1"/>
      <w:bookmarkStart w:id="6" w:name="_Toc29806_WPSOffice_Level1"/>
      <w:bookmarkStart w:id="7" w:name="_Toc7063_WPSOffice_Level1"/>
      <w:bookmarkStart w:id="8" w:name="_Toc19849"/>
      <w:bookmarkStart w:id="9" w:name="_Toc26774_WPSOffice_Level1"/>
      <w:bookmarkStart w:id="10" w:name="_Toc68"/>
      <w:r>
        <w:rPr>
          <w:rFonts w:hint="eastAsia" w:asciiTheme="minorEastAsia" w:hAnsiTheme="minorEastAsia" w:eastAsiaTheme="minorEastAsia" w:cstheme="minorEastAsia"/>
          <w:b w:val="0"/>
          <w:bCs w:val="0"/>
          <w:sz w:val="24"/>
          <w:szCs w:val="24"/>
          <w:lang w:val="en-US" w:eastAsia="zh-CN"/>
        </w:rPr>
        <w:br w:type="page"/>
      </w:r>
    </w:p>
    <w:p>
      <w:pPr>
        <w:pStyle w:val="6"/>
        <w:keepNext/>
        <w:widowControl w:val="0"/>
        <w:numPr>
          <w:ilvl w:val="0"/>
          <w:numId w:val="0"/>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bCs/>
          <w:sz w:val="44"/>
          <w:szCs w:val="44"/>
          <w:lang w:val="en-US" w:eastAsia="zh-CN"/>
        </w:rPr>
      </w:pPr>
      <w:bookmarkStart w:id="11" w:name="_Toc17527"/>
      <w:r>
        <w:rPr>
          <w:rFonts w:hint="eastAsia" w:asciiTheme="minorEastAsia" w:hAnsiTheme="minorEastAsia" w:eastAsiaTheme="minorEastAsia" w:cstheme="minorEastAsia"/>
          <w:b/>
          <w:bCs/>
          <w:sz w:val="44"/>
          <w:szCs w:val="44"/>
          <w:lang w:val="en-US" w:eastAsia="zh-CN"/>
        </w:rPr>
        <w:t>第二部分  谈判须知</w:t>
      </w:r>
      <w:bookmarkEnd w:id="2"/>
      <w:bookmarkEnd w:id="3"/>
      <w:bookmarkEnd w:id="4"/>
      <w:bookmarkEnd w:id="5"/>
      <w:bookmarkEnd w:id="6"/>
      <w:bookmarkEnd w:id="7"/>
      <w:bookmarkEnd w:id="8"/>
      <w:bookmarkEnd w:id="9"/>
      <w:bookmarkEnd w:id="10"/>
      <w:bookmarkEnd w:id="11"/>
    </w:p>
    <w:p>
      <w:pPr>
        <w:widowControl w:val="0"/>
        <w:wordWrap/>
        <w:adjustRightInd w:val="0"/>
        <w:snapToGrid w:val="0"/>
        <w:spacing w:before="157" w:beforeLines="50" w:line="560" w:lineRule="exact"/>
        <w:ind w:firstLine="0" w:firstLineChars="0"/>
        <w:jc w:val="center"/>
        <w:textAlignment w:val="auto"/>
        <w:outlineLvl w:val="1"/>
        <w:rPr>
          <w:rFonts w:hint="eastAsia" w:asciiTheme="minorEastAsia" w:hAnsiTheme="minorEastAsia" w:eastAsiaTheme="minorEastAsia" w:cstheme="minorEastAsia"/>
          <w:b w:val="0"/>
          <w:bCs w:val="0"/>
          <w:kern w:val="2"/>
          <w:sz w:val="24"/>
          <w:szCs w:val="24"/>
          <w:lang w:val="en-US" w:eastAsia="zh-CN" w:bidi="ar-SA"/>
        </w:rPr>
      </w:pPr>
      <w:bookmarkStart w:id="12" w:name="_Toc16562"/>
      <w:bookmarkStart w:id="13" w:name="_Toc9336"/>
      <w:bookmarkStart w:id="14" w:name="_Toc17019_WPSOffice_Level2"/>
      <w:bookmarkStart w:id="15" w:name="_Toc7063_WPSOffice_Level2"/>
      <w:bookmarkStart w:id="16" w:name="_Toc29348_WPSOffice_Level2"/>
      <w:bookmarkStart w:id="17" w:name="_Toc27795"/>
      <w:bookmarkStart w:id="18" w:name="_Toc17652"/>
      <w:bookmarkStart w:id="19" w:name="_Toc34637765"/>
      <w:r>
        <w:rPr>
          <w:rFonts w:hint="eastAsia" w:asciiTheme="minorEastAsia" w:hAnsiTheme="minorEastAsia" w:eastAsiaTheme="minorEastAsia" w:cstheme="minorEastAsia"/>
          <w:b w:val="0"/>
          <w:bCs w:val="0"/>
          <w:kern w:val="2"/>
          <w:sz w:val="24"/>
          <w:szCs w:val="24"/>
          <w:lang w:val="en-US" w:eastAsia="zh-CN" w:bidi="ar-SA"/>
        </w:rPr>
        <w:t>一、说明</w:t>
      </w:r>
      <w:bookmarkEnd w:id="12"/>
      <w:bookmarkEnd w:id="13"/>
      <w:bookmarkEnd w:id="14"/>
      <w:bookmarkEnd w:id="15"/>
      <w:bookmarkEnd w:id="16"/>
      <w:bookmarkEnd w:id="17"/>
      <w:bookmarkEnd w:id="18"/>
      <w:bookmarkEnd w:id="19"/>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20" w:name="_Toc13645"/>
      <w:bookmarkStart w:id="21" w:name="_Toc11775_WPSOffice_Level3"/>
      <w:bookmarkStart w:id="22" w:name="_Toc4164"/>
      <w:bookmarkStart w:id="23" w:name="_Toc29026"/>
      <w:bookmarkStart w:id="24" w:name="_Toc7063_WPSOffice_Level3"/>
      <w:r>
        <w:rPr>
          <w:rFonts w:hint="eastAsia" w:asciiTheme="minorEastAsia" w:hAnsiTheme="minorEastAsia" w:eastAsiaTheme="minorEastAsia" w:cstheme="minorEastAsia"/>
          <w:b/>
          <w:bCs/>
          <w:kern w:val="2"/>
          <w:sz w:val="24"/>
          <w:szCs w:val="24"/>
          <w:lang w:val="en-US" w:eastAsia="zh-CN" w:bidi="ar-SA"/>
        </w:rPr>
        <w:t>1.适用范围</w:t>
      </w:r>
      <w:bookmarkEnd w:id="20"/>
      <w:bookmarkEnd w:id="21"/>
      <w:bookmarkEnd w:id="22"/>
      <w:bookmarkEnd w:id="23"/>
      <w:bookmarkEnd w:id="24"/>
    </w:p>
    <w:p>
      <w:pPr>
        <w:widowControl w:val="0"/>
        <w:wordWrap/>
        <w:adjustRightInd w:val="0"/>
        <w:snapToGrid w:val="0"/>
        <w:spacing w:before="157" w:beforeLines="50" w:line="5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本竞争性谈判文件仅适用于</w:t>
      </w:r>
      <w:r>
        <w:rPr>
          <w:rFonts w:hint="eastAsia" w:asciiTheme="minorEastAsia" w:hAnsiTheme="minorEastAsia" w:eastAsiaTheme="minorEastAsia" w:cstheme="minorEastAsia"/>
          <w:sz w:val="24"/>
          <w:szCs w:val="24"/>
          <w:lang w:eastAsia="zh-CN"/>
        </w:rPr>
        <w:t>前述</w:t>
      </w:r>
      <w:r>
        <w:rPr>
          <w:rFonts w:hint="eastAsia" w:asciiTheme="minorEastAsia" w:hAnsiTheme="minorEastAsia" w:eastAsiaTheme="minorEastAsia" w:cstheme="minorEastAsia"/>
          <w:b/>
          <w:sz w:val="24"/>
          <w:szCs w:val="24"/>
        </w:rPr>
        <w:t>【谈判须知前附表】</w:t>
      </w:r>
      <w:r>
        <w:rPr>
          <w:rFonts w:hint="eastAsia" w:asciiTheme="minorEastAsia" w:hAnsiTheme="minorEastAsia" w:eastAsiaTheme="minorEastAsia" w:cstheme="minorEastAsia"/>
          <w:sz w:val="24"/>
          <w:szCs w:val="24"/>
        </w:rPr>
        <w:t>中所叙述的采购项目。</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25" w:name="_Toc21934"/>
      <w:bookmarkStart w:id="26" w:name="_Toc2404_WPSOffice_Level3"/>
      <w:bookmarkStart w:id="27" w:name="_Toc15754_WPSOffice_Level3"/>
      <w:bookmarkStart w:id="28" w:name="_Toc12080"/>
      <w:bookmarkStart w:id="29" w:name="_Toc1646"/>
      <w:r>
        <w:rPr>
          <w:rFonts w:hint="eastAsia" w:asciiTheme="minorEastAsia" w:hAnsiTheme="minorEastAsia" w:eastAsiaTheme="minorEastAsia" w:cstheme="minorEastAsia"/>
          <w:b/>
          <w:bCs/>
          <w:kern w:val="2"/>
          <w:sz w:val="24"/>
          <w:szCs w:val="24"/>
          <w:lang w:val="en-US" w:eastAsia="zh-CN" w:bidi="ar-SA"/>
        </w:rPr>
        <w:t>2.采购人及代理机构</w:t>
      </w:r>
      <w:bookmarkEnd w:id="25"/>
      <w:bookmarkEnd w:id="26"/>
      <w:bookmarkEnd w:id="27"/>
      <w:bookmarkEnd w:id="28"/>
      <w:bookmarkEnd w:id="29"/>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采购人名称、地址、电话、联系人见【谈判须知前附表】。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采购代理机构名称、地址、电话、联系人</w:t>
      </w:r>
      <w:r>
        <w:rPr>
          <w:rFonts w:hint="eastAsia" w:asciiTheme="minorEastAsia" w:hAnsiTheme="minorEastAsia" w:eastAsiaTheme="minorEastAsia" w:cstheme="minorEastAsia"/>
          <w:sz w:val="24"/>
          <w:szCs w:val="24"/>
          <w:lang w:eastAsia="zh-CN"/>
        </w:rPr>
        <w:t>、邮箱</w:t>
      </w:r>
      <w:r>
        <w:rPr>
          <w:rFonts w:hint="eastAsia" w:asciiTheme="minorEastAsia" w:hAnsiTheme="minorEastAsia" w:eastAsiaTheme="minorEastAsia" w:cstheme="minorEastAsia"/>
          <w:sz w:val="24"/>
          <w:szCs w:val="24"/>
        </w:rPr>
        <w:t>见【谈判须知前附表】。</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30" w:name="_Toc9813"/>
      <w:bookmarkStart w:id="31" w:name="_Toc955_WPSOffice_Level3"/>
      <w:bookmarkStart w:id="32" w:name="_Toc31395"/>
      <w:bookmarkStart w:id="33" w:name="_Toc21695"/>
      <w:bookmarkStart w:id="34" w:name="_Toc8089_WPSOffice_Level3"/>
      <w:r>
        <w:rPr>
          <w:rFonts w:hint="eastAsia" w:asciiTheme="minorEastAsia" w:hAnsiTheme="minorEastAsia" w:eastAsiaTheme="minorEastAsia" w:cstheme="minorEastAsia"/>
          <w:b/>
          <w:bCs/>
          <w:kern w:val="2"/>
          <w:sz w:val="24"/>
          <w:szCs w:val="24"/>
          <w:lang w:val="en-US" w:eastAsia="zh-CN" w:bidi="ar-SA"/>
        </w:rPr>
        <w:t>3.供应商的资格要求</w:t>
      </w:r>
      <w:bookmarkEnd w:id="30"/>
      <w:bookmarkEnd w:id="31"/>
      <w:bookmarkEnd w:id="32"/>
      <w:bookmarkEnd w:id="33"/>
      <w:bookmarkEnd w:id="34"/>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3.1供应商是指响应谈判文件要求、参加竞争性谈判采购的法人、其他组织或者自然人。</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3.2供应商应当符合【谈判须知前附表】规定的供应商资格条件。</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3.3【谈判须知前附表】规定接受联合体形式的，供应商除应符合上述资格条件的规定外，还应遵守以下规定： </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（l）联合体中有同类资质的供应商按照联合体分工承担相同工作的，应当按照资质等级较低的供应商确定资质等级。</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（2）联合体各方应按谈判文件提供的格式签订联合体协议书，明确联合体牵头人和各方的权利义务、合同工作量比例；</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（3）联合体各方签订联合体协议书后，</w:t>
      </w:r>
      <w:r>
        <w:rPr>
          <w:rFonts w:hint="eastAsia" w:asciiTheme="minorEastAsia" w:hAnsiTheme="minorEastAsia" w:eastAsiaTheme="minorEastAsia" w:cstheme="minorEastAsia"/>
          <w:sz w:val="24"/>
          <w:szCs w:val="24"/>
          <w:lang w:val="zh-CN"/>
        </w:rPr>
        <w:t>不得再单独参加或者与其他供应商组成新的联合体参加同一合同项下的采购活动。</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35" w:name="_Toc15386"/>
      <w:bookmarkStart w:id="36" w:name="_Toc29322_WPSOffice_Level3"/>
      <w:bookmarkStart w:id="37" w:name="_Toc19680"/>
      <w:bookmarkStart w:id="38" w:name="_Toc24112_WPSOffice_Level3"/>
      <w:bookmarkStart w:id="39" w:name="_Toc18921"/>
      <w:r>
        <w:rPr>
          <w:rFonts w:hint="eastAsia" w:asciiTheme="minorEastAsia" w:hAnsiTheme="minorEastAsia" w:eastAsiaTheme="minorEastAsia" w:cstheme="minorEastAsia"/>
          <w:b/>
          <w:bCs/>
          <w:kern w:val="2"/>
          <w:sz w:val="24"/>
          <w:szCs w:val="24"/>
          <w:lang w:val="en-US" w:eastAsia="zh-CN" w:bidi="ar-SA"/>
        </w:rPr>
        <w:t>4.谈判费用</w:t>
      </w:r>
      <w:bookmarkEnd w:id="35"/>
      <w:bookmarkEnd w:id="36"/>
      <w:bookmarkEnd w:id="37"/>
      <w:bookmarkEnd w:id="38"/>
      <w:bookmarkEnd w:id="39"/>
    </w:p>
    <w:p>
      <w:pPr>
        <w:widowControl w:val="0"/>
        <w:wordWrap/>
        <w:adjustRightInd w:val="0"/>
        <w:snapToGrid w:val="0"/>
        <w:spacing w:before="157" w:beforeLines="50" w:line="560" w:lineRule="exact"/>
        <w:ind w:firstLine="480" w:firstLineChars="200"/>
        <w:jc w:val="left"/>
        <w:textAlignment w:val="auto"/>
        <w:rPr>
          <w:rFonts w:hint="eastAsia"/>
          <w:lang w:val="en-US" w:eastAsia="zh-CN"/>
        </w:rPr>
      </w:pPr>
      <w:r>
        <w:rPr>
          <w:rFonts w:hint="eastAsia" w:asciiTheme="minorEastAsia" w:hAnsiTheme="minorEastAsia" w:eastAsiaTheme="minorEastAsia" w:cstheme="minorEastAsia"/>
          <w:sz w:val="24"/>
          <w:szCs w:val="24"/>
        </w:rPr>
        <w:t>无论谈判的结果如何，供应商应自行承担所有与竞争性谈判采购活动有关的全部费用。</w:t>
      </w:r>
      <w:bookmarkStart w:id="40" w:name="_Toc19663_WPSOffice_Level2"/>
      <w:bookmarkStart w:id="41" w:name="_Toc34637766"/>
      <w:bookmarkStart w:id="42" w:name="_Toc2404_WPSOffice_Level2"/>
      <w:bookmarkStart w:id="43" w:name="_Toc24356"/>
      <w:bookmarkStart w:id="44" w:name="_Toc24182"/>
      <w:bookmarkStart w:id="45" w:name="_Toc4912_WPSOffice_Level2"/>
      <w:bookmarkStart w:id="46" w:name="_Toc28758"/>
    </w:p>
    <w:p>
      <w:pPr>
        <w:rPr>
          <w:rFonts w:hint="eastAsia"/>
          <w:lang w:val="en-US" w:eastAsia="zh-CN"/>
        </w:rPr>
      </w:pPr>
    </w:p>
    <w:p>
      <w:pPr>
        <w:widowControl w:val="0"/>
        <w:wordWrap/>
        <w:adjustRightInd w:val="0"/>
        <w:snapToGrid w:val="0"/>
        <w:spacing w:before="157" w:beforeLines="50" w:line="560" w:lineRule="exact"/>
        <w:jc w:val="center"/>
        <w:textAlignment w:val="auto"/>
        <w:outlineLvl w:val="1"/>
        <w:rPr>
          <w:rFonts w:hint="eastAsia" w:asciiTheme="minorEastAsia" w:hAnsiTheme="minorEastAsia" w:eastAsiaTheme="minorEastAsia" w:cstheme="minorEastAsia"/>
          <w:b w:val="0"/>
          <w:bCs w:val="0"/>
          <w:kern w:val="2"/>
          <w:sz w:val="24"/>
          <w:szCs w:val="24"/>
          <w:lang w:val="en-US" w:eastAsia="zh-CN" w:bidi="ar-SA"/>
        </w:rPr>
      </w:pPr>
      <w:bookmarkStart w:id="47" w:name="_Toc24107"/>
      <w:r>
        <w:rPr>
          <w:rFonts w:hint="eastAsia" w:asciiTheme="minorEastAsia" w:hAnsiTheme="minorEastAsia" w:eastAsiaTheme="minorEastAsia" w:cstheme="minorEastAsia"/>
          <w:b w:val="0"/>
          <w:bCs w:val="0"/>
          <w:kern w:val="2"/>
          <w:sz w:val="24"/>
          <w:szCs w:val="24"/>
          <w:lang w:val="en-US" w:eastAsia="zh-CN" w:bidi="ar-SA"/>
        </w:rPr>
        <w:t>二、谈判文件</w:t>
      </w:r>
      <w:bookmarkEnd w:id="40"/>
      <w:bookmarkEnd w:id="41"/>
      <w:bookmarkEnd w:id="42"/>
      <w:bookmarkEnd w:id="43"/>
      <w:bookmarkEnd w:id="44"/>
      <w:bookmarkEnd w:id="45"/>
      <w:bookmarkEnd w:id="46"/>
      <w:bookmarkEnd w:id="47"/>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48" w:name="_Toc1826"/>
      <w:bookmarkStart w:id="49" w:name="_Toc14464"/>
      <w:bookmarkStart w:id="50" w:name="_Toc29785_WPSOffice_Level3"/>
      <w:bookmarkStart w:id="51" w:name="_Toc28723"/>
      <w:bookmarkStart w:id="52" w:name="_Toc18786_WPSOffice_Level3"/>
      <w:r>
        <w:rPr>
          <w:rFonts w:hint="eastAsia" w:asciiTheme="minorEastAsia" w:hAnsiTheme="minorEastAsia" w:eastAsiaTheme="minorEastAsia" w:cstheme="minorEastAsia"/>
          <w:b/>
          <w:bCs/>
          <w:kern w:val="2"/>
          <w:sz w:val="24"/>
          <w:szCs w:val="24"/>
          <w:lang w:val="en-US" w:eastAsia="zh-CN" w:bidi="ar-SA"/>
        </w:rPr>
        <w:t>5.谈判文件的组成</w:t>
      </w:r>
      <w:bookmarkEnd w:id="48"/>
      <w:bookmarkEnd w:id="49"/>
      <w:bookmarkEnd w:id="50"/>
      <w:bookmarkEnd w:id="51"/>
      <w:bookmarkEnd w:id="52"/>
    </w:p>
    <w:p>
      <w:pPr>
        <w:pStyle w:val="13"/>
        <w:widowControl w:val="0"/>
        <w:wordWrap/>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5.1谈判文件由下列文件组成：</w:t>
      </w:r>
    </w:p>
    <w:p>
      <w:pPr>
        <w:pStyle w:val="13"/>
        <w:widowControl w:val="0"/>
        <w:numPr>
          <w:ilvl w:val="0"/>
          <w:numId w:val="5"/>
        </w:numPr>
        <w:wordWrap/>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谈判邀请</w:t>
      </w:r>
    </w:p>
    <w:p>
      <w:pPr>
        <w:pStyle w:val="13"/>
        <w:widowControl w:val="0"/>
        <w:wordWrap/>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（2）谈判须知</w:t>
      </w:r>
    </w:p>
    <w:p>
      <w:pPr>
        <w:pStyle w:val="13"/>
        <w:widowControl w:val="0"/>
        <w:numPr>
          <w:ilvl w:val="0"/>
          <w:numId w:val="0"/>
        </w:numPr>
        <w:wordWrap/>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（3）采购需求</w:t>
      </w:r>
    </w:p>
    <w:p>
      <w:pPr>
        <w:pStyle w:val="13"/>
        <w:widowControl w:val="0"/>
        <w:numPr>
          <w:ilvl w:val="0"/>
          <w:numId w:val="0"/>
        </w:numPr>
        <w:wordWrap/>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（4）谈判响应文件格式</w:t>
      </w:r>
    </w:p>
    <w:p>
      <w:pPr>
        <w:pStyle w:val="13"/>
        <w:widowControl w:val="0"/>
        <w:numPr>
          <w:ilvl w:val="0"/>
          <w:numId w:val="0"/>
        </w:numPr>
        <w:wordWrap/>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（5）政府采购项目合同书范本</w:t>
      </w:r>
    </w:p>
    <w:p>
      <w:pPr>
        <w:pStyle w:val="13"/>
        <w:widowControl w:val="0"/>
        <w:wordWrap/>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5.2采购人、采购代理机构或者谈判小组在提交首次响应文件截止之日前对已发出的谈判文件进行的澄清或者修改，构成谈判文件的组成部分。</w:t>
      </w:r>
    </w:p>
    <w:p>
      <w:pPr>
        <w:pStyle w:val="13"/>
        <w:widowControl w:val="0"/>
        <w:wordWrap/>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5.3谈判文件中，谈判小组根据与供应商谈判情况可能实质性变动的内容见【谈判须知前附表】。对谈判文件作出的实质性变动是谈判文件的有效组成部分。</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53" w:name="_Toc1317"/>
      <w:bookmarkStart w:id="54" w:name="_Toc31604_WPSOffice_Level3"/>
      <w:bookmarkStart w:id="55" w:name="_Toc10835"/>
      <w:bookmarkStart w:id="56" w:name="_Toc25455_WPSOffice_Level3"/>
      <w:bookmarkStart w:id="57" w:name="_Toc18056"/>
      <w:r>
        <w:rPr>
          <w:rFonts w:hint="eastAsia" w:asciiTheme="minorEastAsia" w:hAnsiTheme="minorEastAsia" w:eastAsiaTheme="minorEastAsia" w:cstheme="minorEastAsia"/>
          <w:b/>
          <w:bCs/>
          <w:kern w:val="2"/>
          <w:sz w:val="24"/>
          <w:szCs w:val="24"/>
          <w:lang w:val="en-US" w:eastAsia="zh-CN" w:bidi="ar-SA"/>
        </w:rPr>
        <w:t>6.谈判文件的澄清</w:t>
      </w:r>
      <w:r>
        <w:rPr>
          <w:rFonts w:hint="eastAsia" w:asciiTheme="minorEastAsia" w:hAnsiTheme="minorEastAsia" w:eastAsiaTheme="minorEastAsia" w:cstheme="minorEastAsia"/>
          <w:b/>
          <w:bCs/>
          <w:kern w:val="2"/>
          <w:sz w:val="24"/>
          <w:szCs w:val="24"/>
          <w:lang w:val="zh-CN" w:eastAsia="zh-CN" w:bidi="ar-SA"/>
        </w:rPr>
        <w:t>或者</w:t>
      </w:r>
      <w:r>
        <w:rPr>
          <w:rFonts w:hint="eastAsia" w:asciiTheme="minorEastAsia" w:hAnsiTheme="minorEastAsia" w:eastAsiaTheme="minorEastAsia" w:cstheme="minorEastAsia"/>
          <w:b/>
          <w:bCs/>
          <w:kern w:val="2"/>
          <w:sz w:val="24"/>
          <w:szCs w:val="24"/>
          <w:lang w:val="en-US" w:eastAsia="zh-CN" w:bidi="ar-SA"/>
        </w:rPr>
        <w:t>修改</w:t>
      </w:r>
      <w:bookmarkEnd w:id="53"/>
      <w:bookmarkEnd w:id="54"/>
      <w:bookmarkEnd w:id="55"/>
      <w:bookmarkEnd w:id="56"/>
      <w:bookmarkEnd w:id="57"/>
    </w:p>
    <w:p>
      <w:pPr>
        <w:pStyle w:val="13"/>
        <w:widowControl w:val="0"/>
        <w:wordWrap/>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6.1在提交首次响应文件截止之日前，采购人、采购代理机构或者谈判小组可以对已发出的谈判文件进行必要的澄清或者修改。</w:t>
      </w:r>
    </w:p>
    <w:p>
      <w:pPr>
        <w:pStyle w:val="13"/>
        <w:widowControl w:val="0"/>
        <w:wordWrap/>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58" w:name="_Toc25126"/>
      <w:bookmarkStart w:id="59" w:name="_Toc4138_WPSOffice_Level3"/>
      <w:bookmarkStart w:id="60" w:name="_Toc6866_WPSOffice_Level3"/>
      <w:bookmarkStart w:id="61" w:name="_Toc27004"/>
      <w:bookmarkStart w:id="62" w:name="_Toc30"/>
      <w:bookmarkStart w:id="63" w:name="_Toc9593"/>
      <w:bookmarkStart w:id="64" w:name="_Toc34637767"/>
      <w:r>
        <w:rPr>
          <w:rFonts w:hint="eastAsia" w:asciiTheme="minorEastAsia" w:hAnsiTheme="minorEastAsia" w:eastAsiaTheme="minorEastAsia" w:cstheme="minorEastAsia"/>
          <w:b/>
          <w:bCs/>
          <w:kern w:val="2"/>
          <w:sz w:val="24"/>
          <w:szCs w:val="24"/>
          <w:lang w:val="en-US" w:eastAsia="zh-CN" w:bidi="ar-SA"/>
        </w:rPr>
        <w:t>7.谈判文件的询问或质疑</w:t>
      </w:r>
      <w:bookmarkEnd w:id="58"/>
      <w:bookmarkEnd w:id="59"/>
      <w:bookmarkEnd w:id="60"/>
      <w:bookmarkEnd w:id="61"/>
      <w:bookmarkEnd w:id="62"/>
      <w:bookmarkEnd w:id="63"/>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7.1供应商对谈判文件有疑问的，可以向采购人、采购代理机构提出询问。</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7.3供应商认为谈判文件使自己的权益受到损害的，应以书面形式提出质疑（不接受匿名质疑），供应商须在法定质疑期内一次性提出针对同一采购程序环节的质疑。</w:t>
      </w:r>
    </w:p>
    <w:p>
      <w:pPr>
        <w:widowControl w:val="0"/>
        <w:wordWrap/>
        <w:adjustRightInd w:val="0"/>
        <w:snapToGrid w:val="0"/>
        <w:spacing w:before="157" w:beforeLines="50" w:line="560" w:lineRule="exact"/>
        <w:ind w:firstLine="480" w:firstLineChars="200"/>
        <w:jc w:val="center"/>
        <w:textAlignment w:val="auto"/>
        <w:outlineLvl w:val="1"/>
        <w:rPr>
          <w:rFonts w:hint="eastAsia" w:asciiTheme="minorEastAsia" w:hAnsiTheme="minorEastAsia" w:eastAsiaTheme="minorEastAsia" w:cstheme="minorEastAsia"/>
          <w:kern w:val="2"/>
          <w:sz w:val="24"/>
          <w:szCs w:val="24"/>
          <w:lang w:val="en-US" w:eastAsia="zh-CN" w:bidi="ar-SA"/>
        </w:rPr>
      </w:pPr>
      <w:bookmarkStart w:id="65" w:name="_Toc5732_WPSOffice_Level2"/>
      <w:bookmarkStart w:id="66" w:name="_Toc955_WPSOffice_Level2"/>
      <w:bookmarkStart w:id="67" w:name="_Toc28815"/>
      <w:bookmarkStart w:id="68" w:name="_Toc23235_WPSOffice_Level2"/>
      <w:bookmarkStart w:id="69" w:name="_Toc2279"/>
      <w:bookmarkStart w:id="70" w:name="_Toc16902"/>
      <w:r>
        <w:rPr>
          <w:rFonts w:hint="eastAsia" w:asciiTheme="minorEastAsia" w:hAnsiTheme="minorEastAsia" w:eastAsiaTheme="minorEastAsia" w:cstheme="minorEastAsia"/>
          <w:kern w:val="2"/>
          <w:sz w:val="24"/>
          <w:szCs w:val="24"/>
          <w:lang w:val="en-US" w:eastAsia="zh-CN" w:bidi="ar-SA"/>
        </w:rPr>
        <w:t>三、响应文件</w:t>
      </w:r>
      <w:bookmarkEnd w:id="64"/>
      <w:bookmarkEnd w:id="65"/>
      <w:bookmarkEnd w:id="66"/>
      <w:bookmarkEnd w:id="67"/>
      <w:bookmarkEnd w:id="68"/>
      <w:bookmarkEnd w:id="69"/>
      <w:bookmarkEnd w:id="70"/>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71" w:name="_Toc11182"/>
      <w:bookmarkStart w:id="72" w:name="_Toc10843_WPSOffice_Level3"/>
      <w:bookmarkStart w:id="73" w:name="_Toc17983"/>
      <w:bookmarkStart w:id="74" w:name="_Toc2475"/>
      <w:bookmarkStart w:id="75" w:name="_Toc22063"/>
      <w:bookmarkStart w:id="76" w:name="_Toc1096_WPSOffice_Level3"/>
      <w:r>
        <w:rPr>
          <w:rFonts w:hint="eastAsia" w:asciiTheme="minorEastAsia" w:hAnsiTheme="minorEastAsia" w:eastAsiaTheme="minorEastAsia" w:cstheme="minorEastAsia"/>
          <w:b/>
          <w:bCs/>
          <w:kern w:val="2"/>
          <w:sz w:val="24"/>
          <w:szCs w:val="24"/>
          <w:lang w:val="en-US" w:eastAsia="zh-CN" w:bidi="ar-SA"/>
        </w:rPr>
        <w:t>8.一般要求</w:t>
      </w:r>
      <w:bookmarkEnd w:id="71"/>
      <w:bookmarkEnd w:id="72"/>
      <w:bookmarkEnd w:id="73"/>
      <w:bookmarkEnd w:id="74"/>
      <w:bookmarkEnd w:id="75"/>
      <w:bookmarkEnd w:id="76"/>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8.3除谈判文件中另有规定外，谈判响应文件所使用的度量衡单位，均须采用国家法定计量单位。未列明时应默认为我国法定计量单位。</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8.4响应文件应采用书面形式，电报、传真、电子邮件形式的响应文件概不接受。</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8.5供应商应按谈判文件中提供的响应文件格式进行填写。</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kern w:val="2"/>
          <w:sz w:val="24"/>
          <w:szCs w:val="24"/>
          <w:lang w:val="en-US" w:eastAsia="zh-CN" w:bidi="ar-SA"/>
        </w:rPr>
      </w:pPr>
      <w:bookmarkStart w:id="77" w:name="_Toc20423_WPSOffice_Level3"/>
      <w:bookmarkStart w:id="78" w:name="_Toc12007"/>
      <w:bookmarkStart w:id="79" w:name="_Toc16030"/>
      <w:bookmarkStart w:id="80" w:name="_Toc14612"/>
      <w:bookmarkStart w:id="81" w:name="_Toc14527_WPSOffice_Level3"/>
      <w:r>
        <w:rPr>
          <w:rFonts w:hint="eastAsia" w:asciiTheme="minorEastAsia" w:hAnsiTheme="minorEastAsia" w:eastAsiaTheme="minorEastAsia" w:cstheme="minorEastAsia"/>
          <w:b/>
          <w:bCs/>
          <w:kern w:val="2"/>
          <w:sz w:val="24"/>
          <w:szCs w:val="24"/>
          <w:lang w:val="en-US" w:eastAsia="zh-CN" w:bidi="ar-SA"/>
        </w:rPr>
        <w:t>9.报价要求</w:t>
      </w:r>
      <w:bookmarkEnd w:id="77"/>
      <w:bookmarkEnd w:id="78"/>
      <w:bookmarkEnd w:id="79"/>
      <w:bookmarkEnd w:id="80"/>
      <w:bookmarkEnd w:id="81"/>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9.1在首次报价表、分项报价表、最后报价表填写报价时应注意下列要求：</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1、谈判人应根据所提供的工程项目清单编制单价、合价和总价。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2、报价应是本谈判文件所确定的全部工作内容的价格体现。其应包括施工设备、劳务、管理、材料、安装、维护、税金及人工费、材料费、机械费、措施项目费等政策性文件规定的各项应有费用。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3、其他</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1）本工程为固定单价合同，工程量按实结算，单价执行谈判单价。谈判报价时须充分考虑人工及材料的涨价因素及履行本合同有关的其它风险。</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2）施工水、电由施工单位与招标人共同协商解决，谈判人在报价中综合考虑，工程结算时单价不得调整。</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3）所有材料及施工检测费应含在谈判报价中。</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9.2</w:t>
      </w:r>
      <w:r>
        <w:rPr>
          <w:rFonts w:hint="eastAsia" w:asciiTheme="minorEastAsia" w:hAnsiTheme="minorEastAsia" w:eastAsiaTheme="minorEastAsia" w:cstheme="minorEastAsia"/>
          <w:kern w:val="2"/>
          <w:sz w:val="24"/>
          <w:szCs w:val="24"/>
          <w:lang w:val="zh-CN" w:eastAsia="zh-CN" w:bidi="ar-SA"/>
        </w:rPr>
        <w:t>供应商</w:t>
      </w:r>
      <w:r>
        <w:rPr>
          <w:rFonts w:hint="eastAsia" w:asciiTheme="minorEastAsia" w:hAnsiTheme="minorEastAsia" w:eastAsiaTheme="minorEastAsia" w:cstheme="minorEastAsia"/>
          <w:kern w:val="2"/>
          <w:sz w:val="24"/>
          <w:szCs w:val="24"/>
          <w:lang w:val="en-US" w:eastAsia="zh-CN" w:bidi="ar-SA"/>
        </w:rPr>
        <w:t>的每次报价均不得超过采购项目预算，否则视为无效响应。采购项目预算见【谈判须知前附表】。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9.3供应商提交的最后报价在合同执行过程中是固定不变的，不得以任何理由予以变更。以可变动价格提交的报价将被认为是非实质响应而被拒绝。</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9.4谈判报价为总价。供应商须按要求填写谈判总报价，最后报价不得出现两个或两个以上的报价方案。 </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9.5报价币种为人民币。</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82" w:name="_Toc30481"/>
      <w:bookmarkStart w:id="83" w:name="_Toc19609_WPSOffice_Level3"/>
      <w:bookmarkStart w:id="84" w:name="_Toc30839"/>
      <w:bookmarkStart w:id="85" w:name="_Toc22759"/>
      <w:bookmarkStart w:id="86" w:name="_Toc24956_WPSOffice_Level3"/>
      <w:r>
        <w:rPr>
          <w:rFonts w:hint="eastAsia" w:asciiTheme="minorEastAsia" w:hAnsiTheme="minorEastAsia" w:eastAsiaTheme="minorEastAsia" w:cstheme="minorEastAsia"/>
          <w:b/>
          <w:bCs/>
          <w:kern w:val="2"/>
          <w:sz w:val="24"/>
          <w:szCs w:val="24"/>
          <w:lang w:val="en-US" w:eastAsia="zh-CN" w:bidi="ar-SA"/>
        </w:rPr>
        <w:t>10.保证金</w:t>
      </w:r>
      <w:bookmarkEnd w:id="82"/>
      <w:bookmarkEnd w:id="83"/>
      <w:bookmarkEnd w:id="84"/>
      <w:bookmarkEnd w:id="85"/>
      <w:bookmarkEnd w:id="86"/>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10.2</w:t>
      </w:r>
      <w:r>
        <w:rPr>
          <w:rFonts w:hint="eastAsia" w:asciiTheme="minorEastAsia" w:hAnsiTheme="minorEastAsia" w:eastAsiaTheme="minorEastAsia" w:cstheme="minorEastAsia"/>
          <w:kern w:val="2"/>
          <w:sz w:val="24"/>
          <w:szCs w:val="24"/>
          <w:lang w:val="zh-CN" w:eastAsia="zh-CN" w:bidi="ar-SA"/>
        </w:rPr>
        <w:t>供应商为联合体的，可以由联合体中的一方或者共同交纳保证金，其交纳的保证金，对联合体各方均具有约束力。</w:t>
      </w:r>
      <w:r>
        <w:rPr>
          <w:rFonts w:hint="eastAsia" w:asciiTheme="minorEastAsia" w:hAnsiTheme="minorEastAsia" w:eastAsiaTheme="minorEastAsia" w:cstheme="minorEastAsia"/>
          <w:kern w:val="2"/>
          <w:sz w:val="24"/>
          <w:szCs w:val="24"/>
          <w:lang w:val="en-US" w:eastAsia="zh-CN" w:bidi="ar-SA"/>
        </w:rPr>
        <w:t xml:space="preserve">                                           </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10.3保证金的退还按以下规定办理：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（1）成交供应商的保证金，在政府采购合同签订后5个工作日内退还，但因供应商自身原因导致无法退还的除外。</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（2）未成交供应商的保证金，在成交通知书发出后5个工作日内退还。</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（3）终止竞争性谈判采购活动的，在发布项目终止公告后5个工作日内退还。</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10.4有下列情形之一的，保证金不予退还，并上缴同级财政国库：</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（1）供应商在提交响应文件截止时间后撤回响应文件的；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（2）供应商在响应文件中提供虚假材料的；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（3）除因不可抗力或谈判文件认可的情形以外，成交供应商不与采购人签订合同的； </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（4）供应商与采购人、其他供应商或者采购代理机构恶意串通的； </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（5）谈判文件规定的其他情形。</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87" w:name="_Toc18765_WPSOffice_Level3"/>
      <w:bookmarkStart w:id="88" w:name="_Toc26057"/>
      <w:bookmarkStart w:id="89" w:name="_Toc14144"/>
      <w:bookmarkStart w:id="90" w:name="_Toc4945_WPSOffice_Level3"/>
      <w:bookmarkStart w:id="91" w:name="_Toc5897"/>
      <w:r>
        <w:rPr>
          <w:rFonts w:hint="eastAsia" w:asciiTheme="minorEastAsia" w:hAnsiTheme="minorEastAsia" w:eastAsiaTheme="minorEastAsia" w:cstheme="minorEastAsia"/>
          <w:b/>
          <w:bCs/>
          <w:kern w:val="2"/>
          <w:sz w:val="24"/>
          <w:szCs w:val="24"/>
          <w:lang w:val="en-US" w:eastAsia="zh-CN" w:bidi="ar-SA"/>
        </w:rPr>
        <w:t>11.响应文件的组成</w:t>
      </w:r>
      <w:bookmarkEnd w:id="87"/>
      <w:bookmarkEnd w:id="88"/>
      <w:bookmarkEnd w:id="89"/>
      <w:bookmarkEnd w:id="90"/>
      <w:bookmarkEnd w:id="91"/>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11.1响应文件包括下列内容： </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lang w:val="en-US" w:eastAsia="zh-CN" w:bidi="ar-SA"/>
        </w:rPr>
        <w:t>供应商应提交相关证明材料，作为其参加谈判和成交后有能力履行合同的证明。编写的谈判响应文件须包括以下内容（</w:t>
      </w:r>
      <w:r>
        <w:rPr>
          <w:rFonts w:hint="eastAsia" w:asciiTheme="minorEastAsia" w:hAnsiTheme="minorEastAsia" w:eastAsiaTheme="minorEastAsia" w:cstheme="minorEastAsia"/>
          <w:kern w:val="2"/>
          <w:sz w:val="24"/>
          <w:szCs w:val="24"/>
          <w:highlight w:val="none"/>
          <w:lang w:val="en-US" w:eastAsia="zh-CN" w:bidi="ar-SA"/>
        </w:rPr>
        <w:t>格式详见谈判文件第四部分内容）：</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11.1.1</w:t>
      </w:r>
      <w:r>
        <w:rPr>
          <w:rFonts w:hint="eastAsia" w:asciiTheme="minorEastAsia" w:hAnsiTheme="minorEastAsia" w:eastAsiaTheme="minorEastAsia" w:cstheme="minorEastAsia"/>
          <w:kern w:val="2"/>
          <w:sz w:val="24"/>
          <w:szCs w:val="24"/>
          <w:lang w:val="zh-CN" w:eastAsia="zh-CN" w:bidi="ar-SA"/>
        </w:rPr>
        <w:t>资格审查部分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1、响应函</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2、法定代表人证明书</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3、法定代表人授权书</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4、供应商承诺函</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5、供应商诚信承诺书</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6、供应商资格证明文件</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7、财务状况、缴纳税收和社会保障资金证明</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8、无重大违法记录声明</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9、谈判保证金证明</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11.1.2有效性、完整性、响应程度审查</w:t>
      </w:r>
      <w:r>
        <w:rPr>
          <w:rFonts w:hint="eastAsia" w:asciiTheme="minorEastAsia" w:hAnsiTheme="minorEastAsia" w:eastAsiaTheme="minorEastAsia" w:cstheme="minorEastAsia"/>
          <w:kern w:val="2"/>
          <w:sz w:val="24"/>
          <w:szCs w:val="24"/>
          <w:lang w:val="zh-CN" w:eastAsia="zh-CN" w:bidi="ar-SA"/>
        </w:rPr>
        <w:t>部分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1、谈判首次报价表（见附件</w:t>
      </w:r>
      <w:r>
        <w:rPr>
          <w:rFonts w:hint="eastAsia" w:asciiTheme="minorEastAsia" w:hAnsiTheme="minorEastAsia" w:eastAsiaTheme="minorEastAsia" w:cstheme="minorEastAsia"/>
          <w:kern w:val="2"/>
          <w:sz w:val="24"/>
          <w:szCs w:val="24"/>
          <w:lang w:val="en-US" w:eastAsia="zh-CN" w:bidi="ar-SA"/>
        </w:rPr>
        <w:t>10</w:t>
      </w:r>
      <w:r>
        <w:rPr>
          <w:rFonts w:hint="eastAsia" w:asciiTheme="minorEastAsia" w:hAnsiTheme="minorEastAsia" w:eastAsiaTheme="minorEastAsia" w:cstheme="minorEastAsia"/>
          <w:kern w:val="2"/>
          <w:sz w:val="24"/>
          <w:szCs w:val="24"/>
          <w:lang w:val="zh-CN" w:eastAsia="zh-CN" w:bidi="ar-SA"/>
        </w:rPr>
        <w:t>）</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2、已标价工程量清单（见附件1</w:t>
      </w: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zh-CN" w:eastAsia="zh-CN" w:bidi="ar-SA"/>
        </w:rPr>
        <w:t>）</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3、施工组织设计（见附件1</w:t>
      </w: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zh-CN" w:eastAsia="zh-CN" w:bidi="ar-SA"/>
        </w:rPr>
        <w:t>）</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kern w:val="2"/>
          <w:sz w:val="24"/>
          <w:szCs w:val="24"/>
          <w:lang w:val="zh-CN" w:eastAsia="zh-CN" w:bidi="ar-SA"/>
        </w:rPr>
        <w:t>、项目管理机构（见附件1</w:t>
      </w: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zh-CN" w:eastAsia="zh-CN" w:bidi="ar-SA"/>
        </w:rPr>
        <w:t>）</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zh-CN" w:eastAsia="zh-CN" w:bidi="ar-SA"/>
        </w:rPr>
        <w:t>享受政府采购政策优惠的证明资料（见附件</w:t>
      </w:r>
      <w:r>
        <w:rPr>
          <w:rFonts w:hint="eastAsia" w:asciiTheme="minorEastAsia" w:hAnsiTheme="minorEastAsia" w:eastAsiaTheme="minorEastAsia" w:cstheme="minorEastAsia"/>
          <w:kern w:val="2"/>
          <w:sz w:val="24"/>
          <w:szCs w:val="24"/>
          <w:lang w:val="en-US" w:eastAsia="zh-CN" w:bidi="ar-SA"/>
        </w:rPr>
        <w:t>14</w:t>
      </w:r>
      <w:r>
        <w:rPr>
          <w:rFonts w:hint="eastAsia" w:asciiTheme="minorEastAsia" w:hAnsiTheme="minorEastAsia" w:eastAsiaTheme="minorEastAsia" w:cstheme="minorEastAsia"/>
          <w:kern w:val="2"/>
          <w:sz w:val="24"/>
          <w:szCs w:val="24"/>
          <w:lang w:val="zh-CN" w:eastAsia="zh-CN" w:bidi="ar-SA"/>
        </w:rPr>
        <w:t>）</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6、谈判最后报价表（见附件15）</w:t>
      </w:r>
    </w:p>
    <w:p>
      <w:pPr>
        <w:widowControl w:val="0"/>
        <w:wordWrap/>
        <w:adjustRightInd w:val="0"/>
        <w:snapToGrid w:val="0"/>
        <w:spacing w:line="560" w:lineRule="exact"/>
        <w:ind w:firstLine="480" w:firstLineChars="200"/>
        <w:jc w:val="left"/>
        <w:textAlignment w:val="auto"/>
        <w:rPr>
          <w:rFonts w:hint="eastAsia"/>
          <w:lang w:val="en-US" w:eastAsia="zh-CN"/>
        </w:rPr>
      </w:pPr>
      <w:r>
        <w:rPr>
          <w:rFonts w:hint="eastAsia" w:asciiTheme="minorEastAsia" w:hAnsiTheme="minorEastAsia" w:eastAsiaTheme="minorEastAsia" w:cstheme="minorEastAsia"/>
          <w:kern w:val="2"/>
          <w:sz w:val="24"/>
          <w:szCs w:val="24"/>
          <w:lang w:val="en-US" w:eastAsia="zh-CN" w:bidi="ar-SA"/>
        </w:rPr>
        <w:t>7、农民工工资保障措施（格式自定）</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zh-CN" w:eastAsia="zh-CN" w:bidi="ar-SA"/>
        </w:rPr>
        <w:t>供应商须按上述内容、顺序和格式编制响应文件，并按要求编制目录、页码，并保证所提供的全部资料真实可信，自愿承担相应责任。</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kern w:val="2"/>
          <w:sz w:val="24"/>
          <w:szCs w:val="24"/>
          <w:lang w:val="en-US" w:eastAsia="zh-CN" w:bidi="ar-SA"/>
        </w:rPr>
        <w:t>11.2在谈判过程中，供应商根据谈判小组书面形式要求提交的最后报价</w:t>
      </w:r>
      <w:r>
        <w:rPr>
          <w:rFonts w:hint="eastAsia" w:asciiTheme="minorEastAsia" w:hAnsiTheme="minorEastAsia" w:eastAsiaTheme="minorEastAsia" w:cstheme="minorEastAsia"/>
          <w:kern w:val="2"/>
          <w:sz w:val="24"/>
          <w:szCs w:val="24"/>
          <w:u w:val="none"/>
          <w:lang w:val="en-US" w:eastAsia="zh-CN" w:bidi="ar-SA"/>
        </w:rPr>
        <w:t>(或者重新提交的响应文件和最后报价)是响应文件的有效组成部分。</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92" w:name="_Toc11674"/>
      <w:bookmarkStart w:id="93" w:name="_Toc3694_WPSOffice_Level3"/>
      <w:bookmarkStart w:id="94" w:name="_Toc14930_WPSOffice_Level3"/>
      <w:bookmarkStart w:id="95" w:name="_Toc26621"/>
      <w:bookmarkStart w:id="96" w:name="_Toc27837"/>
      <w:r>
        <w:rPr>
          <w:rFonts w:hint="eastAsia" w:asciiTheme="minorEastAsia" w:hAnsiTheme="minorEastAsia" w:eastAsiaTheme="minorEastAsia" w:cstheme="minorEastAsia"/>
          <w:b/>
          <w:bCs/>
          <w:kern w:val="2"/>
          <w:sz w:val="24"/>
          <w:szCs w:val="24"/>
          <w:lang w:val="en-US" w:eastAsia="zh-CN" w:bidi="ar-SA"/>
        </w:rPr>
        <w:t>12.响应文件有效期</w:t>
      </w:r>
      <w:bookmarkEnd w:id="92"/>
      <w:bookmarkEnd w:id="93"/>
      <w:bookmarkEnd w:id="94"/>
      <w:bookmarkEnd w:id="95"/>
      <w:bookmarkEnd w:id="96"/>
    </w:p>
    <w:p>
      <w:pPr>
        <w:widowControl w:val="0"/>
        <w:wordWrap/>
        <w:adjustRightInd w:val="0"/>
        <w:snapToGrid w:val="0"/>
        <w:spacing w:before="157" w:beforeLines="50"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响应文件有效期见【谈判须知前附表】，在此期间响应文件对供应商具有法律约束力，从提交首次响应文件截止时间之日起计算。响应文件有效期不足的将被视为无效响应。</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97" w:name="_Toc20265"/>
      <w:bookmarkStart w:id="98" w:name="_Toc31682_WPSOffice_Level3"/>
      <w:bookmarkStart w:id="99" w:name="_Toc8507_WPSOffice_Level3"/>
      <w:bookmarkStart w:id="100" w:name="_Toc14085"/>
      <w:bookmarkStart w:id="101" w:name="_Toc21033"/>
      <w:r>
        <w:rPr>
          <w:rFonts w:hint="eastAsia" w:asciiTheme="minorEastAsia" w:hAnsiTheme="minorEastAsia" w:eastAsiaTheme="minorEastAsia" w:cstheme="minorEastAsia"/>
          <w:b/>
          <w:bCs/>
          <w:kern w:val="2"/>
          <w:sz w:val="24"/>
          <w:szCs w:val="24"/>
          <w:lang w:val="en-US" w:eastAsia="zh-CN" w:bidi="ar-SA"/>
        </w:rPr>
        <w:t>13.响应文件的签署及规定</w:t>
      </w:r>
      <w:bookmarkEnd w:id="97"/>
      <w:bookmarkEnd w:id="98"/>
      <w:bookmarkEnd w:id="99"/>
      <w:bookmarkEnd w:id="100"/>
      <w:bookmarkEnd w:id="101"/>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13.2 </w:t>
      </w:r>
      <w:r>
        <w:rPr>
          <w:rFonts w:hint="eastAsia" w:asciiTheme="minorEastAsia" w:hAnsiTheme="minorEastAsia" w:eastAsiaTheme="minorEastAsia" w:cstheme="minorEastAsia"/>
          <w:kern w:val="2"/>
          <w:sz w:val="24"/>
          <w:szCs w:val="24"/>
          <w:lang w:val="zh-CN" w:eastAsia="zh-CN" w:bidi="ar-SA"/>
        </w:rPr>
        <w:t>供应商应按照谈判文件所提供的文件格式，分别填写谈判文件</w:t>
      </w:r>
      <w:r>
        <w:rPr>
          <w:rFonts w:hint="eastAsia" w:asciiTheme="minorEastAsia" w:hAnsiTheme="minorEastAsia" w:eastAsiaTheme="minorEastAsia" w:cstheme="minorEastAsia"/>
          <w:kern w:val="2"/>
          <w:sz w:val="24"/>
          <w:szCs w:val="24"/>
          <w:highlight w:val="none"/>
          <w:lang w:val="zh-CN" w:eastAsia="zh-CN" w:bidi="ar-SA"/>
        </w:rPr>
        <w:t>第四部分</w:t>
      </w:r>
      <w:r>
        <w:rPr>
          <w:rFonts w:hint="eastAsia" w:asciiTheme="minorEastAsia" w:hAnsiTheme="minorEastAsia" w:eastAsiaTheme="minorEastAsia" w:cstheme="minorEastAsia"/>
          <w:kern w:val="2"/>
          <w:sz w:val="24"/>
          <w:szCs w:val="24"/>
          <w:lang w:val="zh-CN" w:eastAsia="zh-CN" w:bidi="ar-SA"/>
        </w:rPr>
        <w:t>的内容，应分别注明所提供货物的名称、技术配置及参数、数量和价格等内容；谈判文件要求签字、盖章的地方必须由供应商的法定代表人或委托代理人签字、盖章。</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13.3响应文件正本一份，副本份数见【谈判须知前附表】；响应文件电子文档（U盘或光盘形式）：一份。首次报价表一份，纸质响应文件须清楚地注明“正本”或“副本”的字样。</w:t>
      </w:r>
      <w:r>
        <w:rPr>
          <w:rFonts w:hint="eastAsia" w:asciiTheme="minorEastAsia" w:hAnsiTheme="minorEastAsia" w:eastAsiaTheme="minorEastAsia" w:cstheme="minorEastAsia"/>
          <w:kern w:val="2"/>
          <w:sz w:val="24"/>
          <w:szCs w:val="24"/>
          <w:lang w:val="zh-CN" w:eastAsia="zh-CN" w:bidi="ar-SA"/>
        </w:rPr>
        <w:t>电子文档用光盘或U盘制作，采用不可修改文档格式（如PDF格式），内容必须和纸质响应文件正本完全一致，包括封面、页码、签字、盖章等，</w:t>
      </w:r>
      <w:r>
        <w:rPr>
          <w:rFonts w:hint="eastAsia" w:asciiTheme="minorEastAsia" w:hAnsiTheme="minorEastAsia" w:eastAsiaTheme="minorEastAsia" w:cstheme="minorEastAsia"/>
          <w:sz w:val="24"/>
          <w:szCs w:val="24"/>
        </w:rPr>
        <w:t>若副本和正本不一致或电子版文件和纸质正本文件不一致时，以纸质正本文件为准。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13.4 响应</w:t>
      </w:r>
      <w:r>
        <w:rPr>
          <w:rFonts w:hint="eastAsia" w:asciiTheme="minorEastAsia" w:hAnsiTheme="minorEastAsia" w:eastAsiaTheme="minorEastAsia" w:cstheme="minorEastAsia"/>
          <w:kern w:val="2"/>
          <w:sz w:val="24"/>
          <w:szCs w:val="24"/>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13.5 响应文件不得行间插字，若有修改错漏处，应由供应商法定代表人或者其委托代理人签字、加盖公章。否则，将导致响应文件无效。</w:t>
      </w:r>
      <w:r>
        <w:rPr>
          <w:rFonts w:hint="eastAsia" w:asciiTheme="minorEastAsia" w:hAnsiTheme="minorEastAsia" w:eastAsiaTheme="minorEastAsia" w:cstheme="minorEastAsia"/>
          <w:kern w:val="2"/>
          <w:sz w:val="24"/>
          <w:szCs w:val="24"/>
          <w:lang w:val="zh-CN"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pPr>
        <w:pStyle w:val="16"/>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13.7谈判文件中要求提供原件的资料必须附在谈判响应文件正本中，原件单独密封的必须单独密封后与响应文件一同提交，要求原件备查的原件必须在开标时携带备查，否则投标将被否决。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13.8供应商无论成交与否，其响应文件不予退还。</w:t>
      </w:r>
    </w:p>
    <w:p>
      <w:pPr>
        <w:pStyle w:val="16"/>
        <w:rPr>
          <w:rFonts w:hint="eastAsia"/>
          <w:lang w:val="en-US" w:eastAsia="zh-CN"/>
        </w:rPr>
      </w:pPr>
    </w:p>
    <w:p>
      <w:pPr>
        <w:widowControl w:val="0"/>
        <w:wordWrap/>
        <w:adjustRightInd w:val="0"/>
        <w:snapToGrid w:val="0"/>
        <w:spacing w:before="157" w:beforeLines="50" w:line="560" w:lineRule="exact"/>
        <w:jc w:val="center"/>
        <w:textAlignment w:val="auto"/>
        <w:outlineLvl w:val="1"/>
        <w:rPr>
          <w:rFonts w:hint="eastAsia" w:asciiTheme="minorEastAsia" w:hAnsiTheme="minorEastAsia" w:eastAsiaTheme="minorEastAsia" w:cstheme="minorEastAsia"/>
          <w:b w:val="0"/>
          <w:bCs w:val="0"/>
          <w:kern w:val="2"/>
          <w:sz w:val="24"/>
          <w:szCs w:val="24"/>
          <w:lang w:val="en-US" w:eastAsia="zh-CN" w:bidi="ar-SA"/>
        </w:rPr>
      </w:pPr>
      <w:bookmarkStart w:id="102" w:name="_Toc34637768"/>
      <w:bookmarkStart w:id="103" w:name="_Toc8361"/>
      <w:bookmarkStart w:id="104" w:name="_Toc17136"/>
      <w:bookmarkStart w:id="105" w:name="_Toc31349_WPSOffice_Level2"/>
      <w:bookmarkStart w:id="106" w:name="_Toc25869"/>
      <w:bookmarkStart w:id="107" w:name="_Toc24112_WPSOffice_Level2"/>
      <w:bookmarkStart w:id="108" w:name="_Toc30575"/>
      <w:bookmarkStart w:id="109" w:name="_Toc32627_WPSOffice_Level2"/>
      <w:r>
        <w:rPr>
          <w:rFonts w:hint="eastAsia" w:asciiTheme="minorEastAsia" w:hAnsiTheme="minorEastAsia" w:eastAsiaTheme="minorEastAsia" w:cstheme="minorEastAsia"/>
          <w:b w:val="0"/>
          <w:bCs w:val="0"/>
          <w:kern w:val="2"/>
          <w:sz w:val="24"/>
          <w:szCs w:val="24"/>
          <w:lang w:val="en-US" w:eastAsia="zh-CN" w:bidi="ar-SA"/>
        </w:rPr>
        <w:t>四、响应文件的递交</w:t>
      </w:r>
      <w:bookmarkEnd w:id="102"/>
      <w:bookmarkEnd w:id="103"/>
      <w:bookmarkEnd w:id="104"/>
      <w:bookmarkEnd w:id="105"/>
      <w:bookmarkEnd w:id="106"/>
      <w:bookmarkEnd w:id="107"/>
      <w:bookmarkEnd w:id="108"/>
      <w:bookmarkEnd w:id="109"/>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10" w:name="_Toc20825_WPSOffice_Level3"/>
      <w:bookmarkStart w:id="111" w:name="_Toc4459"/>
      <w:bookmarkStart w:id="112" w:name="_Toc23622_WPSOffice_Level3"/>
      <w:bookmarkStart w:id="113" w:name="_Toc1623"/>
      <w:bookmarkStart w:id="114" w:name="_Toc6095"/>
      <w:r>
        <w:rPr>
          <w:rFonts w:hint="eastAsia" w:asciiTheme="minorEastAsia" w:hAnsiTheme="minorEastAsia" w:eastAsiaTheme="minorEastAsia" w:cstheme="minorEastAsia"/>
          <w:b/>
          <w:bCs/>
          <w:kern w:val="2"/>
          <w:sz w:val="24"/>
          <w:szCs w:val="24"/>
          <w:lang w:val="en-US" w:eastAsia="zh-CN" w:bidi="ar-SA"/>
        </w:rPr>
        <w:t>14.响应文件的密封和标记</w:t>
      </w:r>
      <w:bookmarkEnd w:id="110"/>
      <w:bookmarkEnd w:id="111"/>
      <w:bookmarkEnd w:id="112"/>
      <w:bookmarkEnd w:id="113"/>
      <w:bookmarkEnd w:id="114"/>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14.1响应文件应密封包装，以保证其响应文件信息在提交首次响应文件截止时间前不被透露。</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14.2</w:t>
      </w:r>
      <w:r>
        <w:rPr>
          <w:rFonts w:hint="eastAsia" w:asciiTheme="minorEastAsia" w:hAnsiTheme="minorEastAsia" w:eastAsiaTheme="minorEastAsia" w:cstheme="minorEastAsia"/>
          <w:sz w:val="24"/>
          <w:szCs w:val="24"/>
        </w:rPr>
        <w:t>响应文件正本、所有副本应密封包装</w:t>
      </w:r>
      <w:r>
        <w:rPr>
          <w:rFonts w:hint="eastAsia" w:asciiTheme="minorEastAsia" w:hAnsiTheme="minorEastAsia" w:eastAsiaTheme="minorEastAsia" w:cstheme="minorEastAsia"/>
          <w:kern w:val="2"/>
          <w:sz w:val="24"/>
          <w:szCs w:val="24"/>
          <w:lang w:val="en-US" w:eastAsia="zh-CN" w:bidi="ar-SA"/>
        </w:rPr>
        <w:t>，密封袋上应写明的内容见【谈判须知前附表】</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15" w:name="_Toc1241"/>
      <w:bookmarkStart w:id="116" w:name="_Toc7845_WPSOffice_Level3"/>
      <w:bookmarkStart w:id="117" w:name="_Toc18048"/>
      <w:bookmarkStart w:id="118" w:name="_Toc13231_WPSOffice_Level3"/>
      <w:bookmarkStart w:id="119" w:name="_Toc20573"/>
      <w:r>
        <w:rPr>
          <w:rFonts w:hint="eastAsia" w:asciiTheme="minorEastAsia" w:hAnsiTheme="minorEastAsia" w:eastAsiaTheme="minorEastAsia" w:cstheme="minorEastAsia"/>
          <w:b/>
          <w:bCs/>
          <w:kern w:val="2"/>
          <w:sz w:val="24"/>
          <w:szCs w:val="24"/>
          <w:lang w:val="en-US" w:eastAsia="zh-CN" w:bidi="ar-SA"/>
        </w:rPr>
        <w:t>15.响应文件的递交与接收</w:t>
      </w:r>
      <w:bookmarkEnd w:id="115"/>
      <w:bookmarkEnd w:id="116"/>
      <w:bookmarkEnd w:id="117"/>
      <w:bookmarkEnd w:id="118"/>
      <w:bookmarkEnd w:id="119"/>
    </w:p>
    <w:p>
      <w:pPr>
        <w:widowControl w:val="0"/>
        <w:wordWrap/>
        <w:adjustRightInd w:val="0"/>
        <w:snapToGrid w:val="0"/>
        <w:spacing w:before="157" w:beforeLines="50"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供应商应在【谈判须知前附表】规定的时间和地点提交响应文件。在截止时间后送达的响应文件为无效文件，采购人、采购代理机构或者谈判小组拒收逾期送达的响应文件。</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20" w:name="_Toc19521_WPSOffice_Level3"/>
      <w:bookmarkStart w:id="121" w:name="_Toc17912"/>
      <w:bookmarkStart w:id="122" w:name="_Toc6281"/>
      <w:bookmarkStart w:id="123" w:name="_Toc5063_WPSOffice_Level3"/>
      <w:bookmarkStart w:id="124" w:name="_Toc31959"/>
      <w:r>
        <w:rPr>
          <w:rFonts w:hint="eastAsia" w:asciiTheme="minorEastAsia" w:hAnsiTheme="minorEastAsia" w:eastAsiaTheme="minorEastAsia" w:cstheme="minorEastAsia"/>
          <w:b/>
          <w:bCs/>
          <w:kern w:val="2"/>
          <w:sz w:val="24"/>
          <w:szCs w:val="24"/>
          <w:lang w:val="en-US" w:eastAsia="zh-CN" w:bidi="ar-SA"/>
        </w:rPr>
        <w:t>16.响应文件的</w:t>
      </w:r>
      <w:r>
        <w:rPr>
          <w:rFonts w:hint="eastAsia" w:asciiTheme="minorEastAsia" w:hAnsiTheme="minorEastAsia" w:eastAsiaTheme="minorEastAsia" w:cstheme="minorEastAsia"/>
          <w:b/>
          <w:bCs/>
          <w:kern w:val="2"/>
          <w:sz w:val="24"/>
          <w:szCs w:val="24"/>
          <w:lang w:val="zh-CN" w:eastAsia="zh-CN" w:bidi="ar-SA"/>
        </w:rPr>
        <w:t>补充、修改或者撤回</w:t>
      </w:r>
      <w:bookmarkEnd w:id="120"/>
      <w:bookmarkEnd w:id="121"/>
      <w:bookmarkEnd w:id="122"/>
      <w:bookmarkEnd w:id="123"/>
      <w:bookmarkEnd w:id="124"/>
    </w:p>
    <w:p>
      <w:pPr>
        <w:widowControl w:val="0"/>
        <w:wordWrap/>
        <w:adjustRightInd w:val="0"/>
        <w:snapToGrid w:val="0"/>
        <w:spacing w:before="157" w:beforeLines="50"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125" w:name="_Toc32435"/>
      <w:bookmarkStart w:id="126" w:name="_Toc34637769"/>
      <w:r>
        <w:rPr>
          <w:rFonts w:hint="eastAsia" w:asciiTheme="minorEastAsia" w:hAnsiTheme="minorEastAsia" w:eastAsiaTheme="minorEastAsia" w:cstheme="minorEastAsia"/>
          <w:kern w:val="2"/>
          <w:sz w:val="24"/>
          <w:szCs w:val="24"/>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pPr>
        <w:wordWrap/>
        <w:adjustRightInd w:val="0"/>
        <w:snapToGrid w:val="0"/>
        <w:spacing w:before="157" w:beforeLines="50" w:line="560" w:lineRule="exact"/>
        <w:jc w:val="center"/>
        <w:outlineLvl w:val="1"/>
        <w:rPr>
          <w:rFonts w:hint="eastAsia" w:asciiTheme="minorEastAsia" w:hAnsiTheme="minorEastAsia" w:eastAsiaTheme="minorEastAsia" w:cstheme="minorEastAsia"/>
          <w:b w:val="0"/>
          <w:bCs w:val="0"/>
          <w:kern w:val="2"/>
          <w:sz w:val="24"/>
          <w:szCs w:val="24"/>
          <w:lang w:val="en-US" w:eastAsia="zh-CN" w:bidi="ar-SA"/>
        </w:rPr>
      </w:pPr>
      <w:bookmarkStart w:id="127" w:name="_Toc25721_WPSOffice_Level2"/>
      <w:bookmarkStart w:id="128" w:name="_Toc25729"/>
      <w:bookmarkStart w:id="129" w:name="_Toc12974"/>
      <w:bookmarkStart w:id="130" w:name="_Toc10968"/>
      <w:bookmarkStart w:id="131" w:name="_Toc31993"/>
      <w:bookmarkStart w:id="132" w:name="_Toc18610_WPSOffice_Level2"/>
      <w:bookmarkStart w:id="133" w:name="_Toc29785_WPSOffice_Level2"/>
      <w:r>
        <w:rPr>
          <w:rFonts w:hint="eastAsia" w:asciiTheme="minorEastAsia" w:hAnsiTheme="minorEastAsia" w:eastAsiaTheme="minorEastAsia" w:cstheme="minorEastAsia"/>
          <w:b w:val="0"/>
          <w:bCs w:val="0"/>
          <w:kern w:val="2"/>
          <w:sz w:val="24"/>
          <w:szCs w:val="24"/>
          <w:lang w:val="en-US" w:eastAsia="zh-CN" w:bidi="ar-SA"/>
        </w:rPr>
        <w:t>五、响应文件的评审与谈判</w:t>
      </w:r>
      <w:bookmarkEnd w:id="126"/>
      <w:bookmarkEnd w:id="127"/>
      <w:bookmarkEnd w:id="128"/>
      <w:bookmarkEnd w:id="129"/>
      <w:bookmarkEnd w:id="130"/>
      <w:bookmarkEnd w:id="131"/>
      <w:bookmarkEnd w:id="132"/>
      <w:bookmarkEnd w:id="133"/>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34" w:name="_Toc19596_WPSOffice_Level3"/>
      <w:bookmarkStart w:id="135" w:name="_Toc3476"/>
      <w:bookmarkStart w:id="136" w:name="_Toc174"/>
      <w:bookmarkStart w:id="137" w:name="_Toc26446"/>
      <w:bookmarkStart w:id="138" w:name="_Toc18713_WPSOffice_Level3"/>
      <w:r>
        <w:rPr>
          <w:rFonts w:hint="eastAsia" w:asciiTheme="minorEastAsia" w:hAnsiTheme="minorEastAsia" w:eastAsiaTheme="minorEastAsia" w:cstheme="minorEastAsia"/>
          <w:b/>
          <w:bCs/>
          <w:kern w:val="2"/>
          <w:sz w:val="24"/>
          <w:szCs w:val="24"/>
          <w:lang w:val="en-US" w:eastAsia="zh-CN" w:bidi="ar-SA"/>
        </w:rPr>
        <w:t>17.谈判小组</w:t>
      </w:r>
      <w:bookmarkEnd w:id="134"/>
      <w:bookmarkEnd w:id="135"/>
      <w:bookmarkEnd w:id="136"/>
      <w:bookmarkEnd w:id="137"/>
      <w:bookmarkEnd w:id="138"/>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17.1竞争性谈判小组由采购人代表和评审专家共</w:t>
      </w:r>
      <w:r>
        <w:rPr>
          <w:rFonts w:hint="eastAsia" w:asciiTheme="minorEastAsia" w:hAnsiTheme="minorEastAsia" w:eastAsiaTheme="minorEastAsia" w:cstheme="minorEastAsia"/>
          <w:kern w:val="2"/>
          <w:sz w:val="24"/>
          <w:szCs w:val="24"/>
          <w:u w:val="single"/>
          <w:lang w:val="en-US" w:eastAsia="zh-CN" w:bidi="ar-SA"/>
        </w:rPr>
        <w:t>3</w:t>
      </w:r>
      <w:r>
        <w:rPr>
          <w:rFonts w:hint="eastAsia" w:asciiTheme="minorEastAsia" w:hAnsiTheme="minorEastAsia" w:eastAsiaTheme="minorEastAsia" w:cstheme="minorEastAsia"/>
          <w:kern w:val="2"/>
          <w:sz w:val="24"/>
          <w:szCs w:val="24"/>
          <w:lang w:val="en-US" w:eastAsia="zh-CN" w:bidi="ar-SA"/>
        </w:rPr>
        <w:t>人组成（3人以上单数组成），其中评审专家</w:t>
      </w:r>
      <w:r>
        <w:rPr>
          <w:rFonts w:hint="eastAsia" w:asciiTheme="minorEastAsia" w:hAnsiTheme="minorEastAsia" w:eastAsiaTheme="minorEastAsia" w:cstheme="minorEastAsia"/>
          <w:kern w:val="2"/>
          <w:sz w:val="24"/>
          <w:szCs w:val="24"/>
          <w:u w:val="single"/>
          <w:lang w:val="en-US" w:eastAsia="zh-CN" w:bidi="ar-SA"/>
        </w:rPr>
        <w:t>2</w:t>
      </w:r>
      <w:r>
        <w:rPr>
          <w:rFonts w:hint="eastAsia" w:asciiTheme="minorEastAsia" w:hAnsiTheme="minorEastAsia" w:eastAsiaTheme="minorEastAsia" w:cstheme="minorEastAsia"/>
          <w:kern w:val="2"/>
          <w:sz w:val="24"/>
          <w:szCs w:val="24"/>
          <w:lang w:val="en-US" w:eastAsia="zh-CN" w:bidi="ar-SA"/>
        </w:rPr>
        <w:t>名（评审专家人数不得少于竞争性谈判小组成员总数的2/3）。采购人不得以评审专家身份参加本采购项目的评审。谈判小组评审专家从政府采购评审专家库内相关专业的专家名单中随机抽取。</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17.2谈判由采购代理机构负责组织，具体谈判事务由依法组建的谈判小组负责，并独立履行下列职责：</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u w:val="none"/>
          <w:lang w:val="en-US" w:eastAsia="zh-CN" w:bidi="ar-SA"/>
        </w:rPr>
        <w:t>确认谈判文件</w:t>
      </w:r>
      <w:r>
        <w:rPr>
          <w:rFonts w:hint="eastAsia" w:asciiTheme="minorEastAsia" w:hAnsiTheme="minorEastAsia" w:eastAsiaTheme="minorEastAsia" w:cstheme="minorEastAsia"/>
          <w:kern w:val="2"/>
          <w:sz w:val="24"/>
          <w:szCs w:val="24"/>
          <w:lang w:val="en-US" w:eastAsia="zh-CN" w:bidi="ar-SA"/>
        </w:rPr>
        <w:t>；</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（2）审查供应商的响应文件并作出评价；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（3）要求供应商对谈判文件有关事项作出澄清或者说明；</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（4）编写评审报告；</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（5）确定成交候选人名单，以及根据采购人委托直接确定成交供应商；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（6）告知采购人、采购代理机构在评审过程中发现的供应商的违法违规行为。</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17.3谈判小组应遵守并履行下列义务：</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（1）遵纪守法，客观、公正、廉洁地履行职责；</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（2）按照谈判文件规定的成交方法评审，对评审意见承担谈判小组成员责任；</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（3）对谈判响应文件、谈判情况和谈判中获悉的国家秘密、商业秘密保密；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（4）参与评审报告的起草；</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（5）配合采购人、采购代理机构答复供应商提出的质疑；</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（6）配合财政部门的投诉处理和监督检查工作。</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17.4谈判小组成员有下列情形之一的，应当回避：</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（1）参加采购活动前3年内与供应商存在劳动关系；</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（2）参加采购活动前3年内担任供应商的董事、监事；</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（3）参加采购活动前3年内是供应商的控股股东或者实际控制人；</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（4）与供应商的法定代表人或者负责人有夫妻、直系血亲、三代以内旁系血亲或者近姻亲关系；</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（5）与供应商有其他可能影响政府采购活动公平、公正进行的关系。</w:t>
      </w:r>
      <w:bookmarkStart w:id="139" w:name="_Toc19122"/>
      <w:bookmarkStart w:id="140" w:name="_Toc16350_WPSOffice_Level3"/>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41" w:name="_Toc15381"/>
      <w:bookmarkStart w:id="142" w:name="_Toc22044_WPSOffice_Level3"/>
      <w:r>
        <w:rPr>
          <w:rFonts w:hint="eastAsia" w:asciiTheme="minorEastAsia" w:hAnsiTheme="minorEastAsia" w:eastAsiaTheme="minorEastAsia" w:cstheme="minorEastAsia"/>
          <w:b/>
          <w:bCs/>
          <w:kern w:val="2"/>
          <w:sz w:val="24"/>
          <w:szCs w:val="24"/>
          <w:lang w:val="en-US" w:eastAsia="zh-CN" w:bidi="ar-SA"/>
        </w:rPr>
        <w:t>18.响应文件审查</w:t>
      </w:r>
      <w:bookmarkEnd w:id="139"/>
      <w:bookmarkEnd w:id="140"/>
      <w:bookmarkEnd w:id="141"/>
      <w:bookmarkEnd w:id="142"/>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18.1谈判小组应当对响应文件进行评审，并根据谈判文件规定的程序、评定成交的标准等事项与实质性响应谈判文件要求的供应商进行谈判。</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18.2在对供应商进行审查时，存在下列情况之一的，按无效处理：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（1）不符合谈判文件第一部分谈判须知前附表“供应商资格条件”的；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（2）未按第11.1.1款“</w:t>
      </w:r>
      <w:r>
        <w:rPr>
          <w:rFonts w:hint="eastAsia" w:asciiTheme="minorEastAsia" w:hAnsiTheme="minorEastAsia" w:eastAsiaTheme="minorEastAsia" w:cstheme="minorEastAsia"/>
          <w:kern w:val="2"/>
          <w:sz w:val="24"/>
          <w:szCs w:val="24"/>
          <w:lang w:val="zh-CN" w:eastAsia="zh-CN" w:bidi="ar-SA"/>
        </w:rPr>
        <w:t>资格审查部分</w:t>
      </w:r>
      <w:r>
        <w:rPr>
          <w:rFonts w:hint="eastAsia" w:asciiTheme="minorEastAsia" w:hAnsiTheme="minorEastAsia" w:eastAsiaTheme="minorEastAsia" w:cstheme="minorEastAsia"/>
          <w:kern w:val="2"/>
          <w:sz w:val="24"/>
          <w:szCs w:val="24"/>
          <w:lang w:val="en-US" w:eastAsia="zh-CN" w:bidi="ar-SA"/>
        </w:rPr>
        <w:t>”要求提供相关资料的；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（3）响应文件没有按谈判文件规定和要求签字、盖章的；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（4）谈判有效期不能满足谈判文件要求的；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（5）谈判报价超过谈判文件规定的采购预算额度的；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（6）改变谈判文件提供的工程量清单中的计量单位、工程数量的；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（7）谈判响应文件含有采购人不能接受的附加条件的；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（8）响应文件不满足谈判文件实质性要求和条件的；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（9）谈判小组认为应按无效谈判处理的其他情况；</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（10）法律、法规规定的其他情形。</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43" w:name="_Toc1673_WPSOffice_Level3"/>
      <w:bookmarkStart w:id="144" w:name="_Toc17197"/>
      <w:bookmarkStart w:id="145" w:name="_Toc339"/>
      <w:bookmarkStart w:id="146" w:name="_Toc11154"/>
      <w:bookmarkStart w:id="147" w:name="_Toc17887_WPSOffice_Level3"/>
      <w:r>
        <w:rPr>
          <w:rFonts w:hint="eastAsia" w:asciiTheme="minorEastAsia" w:hAnsiTheme="minorEastAsia" w:eastAsiaTheme="minorEastAsia" w:cstheme="minorEastAsia"/>
          <w:b/>
          <w:bCs/>
          <w:kern w:val="2"/>
          <w:sz w:val="24"/>
          <w:szCs w:val="24"/>
          <w:lang w:val="en-US" w:eastAsia="zh-CN" w:bidi="ar-SA"/>
        </w:rPr>
        <w:t>19.谈判程序</w:t>
      </w:r>
      <w:bookmarkEnd w:id="143"/>
      <w:bookmarkEnd w:id="144"/>
      <w:bookmarkEnd w:id="145"/>
      <w:bookmarkEnd w:id="146"/>
      <w:bookmarkEnd w:id="147"/>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u w:val="none"/>
          <w:lang w:val="en-US" w:eastAsia="zh-CN" w:bidi="ar-SA"/>
        </w:rPr>
        <w:t>19.2在谈判过程中，谈判小组可以根据谈判文件和谈判情况实质性变动技术标准及要求中的技术、服务要求以及合同草案条款，但不得变动谈判文件中的其他内容。实质性变动的内容，须经采购人代表确认，谈判小</w:t>
      </w:r>
      <w:r>
        <w:rPr>
          <w:rFonts w:hint="eastAsia" w:asciiTheme="minorEastAsia" w:hAnsiTheme="minorEastAsia" w:eastAsiaTheme="minorEastAsia" w:cstheme="minorEastAsia"/>
          <w:kern w:val="2"/>
          <w:sz w:val="24"/>
          <w:szCs w:val="24"/>
          <w:lang w:val="en-US" w:eastAsia="zh-CN" w:bidi="ar-SA"/>
        </w:rPr>
        <w:t>组将以书面形式将修改内容同时通知所有参加谈判的供应商。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kern w:val="2"/>
          <w:sz w:val="24"/>
          <w:szCs w:val="24"/>
          <w:u w:val="none"/>
          <w:lang w:val="en-US" w:eastAsia="zh-CN" w:bidi="ar-SA"/>
        </w:rPr>
        <w:t>19.3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kern w:val="2"/>
          <w:sz w:val="24"/>
          <w:szCs w:val="24"/>
          <w:u w:val="none"/>
          <w:lang w:val="en-US" w:eastAsia="zh-CN" w:bidi="ar-SA"/>
        </w:rPr>
        <w:t>19.4响应文件中首次报价表内的报价为首次报价，根据技术、服务等满足谈判文件要求的情况，供应商可进行二次报价。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color="auto"/>
          <w:lang w:val="en-US" w:eastAsia="zh-CN" w:bidi="ar-SA"/>
        </w:rPr>
      </w:pPr>
      <w:r>
        <w:rPr>
          <w:rFonts w:hint="eastAsia" w:asciiTheme="minorEastAsia" w:hAnsiTheme="minorEastAsia" w:eastAsiaTheme="minorEastAsia" w:cstheme="minorEastAsia"/>
          <w:kern w:val="2"/>
          <w:sz w:val="24"/>
          <w:szCs w:val="24"/>
          <w:u w:val="none" w:color="auto"/>
          <w:lang w:val="en-US" w:eastAsia="zh-CN" w:bidi="ar-SA"/>
        </w:rPr>
        <w:t>19.5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color="auto"/>
          <w:lang w:val="en-US" w:eastAsia="zh-CN" w:bidi="ar-SA"/>
        </w:rPr>
      </w:pPr>
      <w:r>
        <w:rPr>
          <w:rFonts w:hint="eastAsia" w:asciiTheme="minorEastAsia" w:hAnsiTheme="minorEastAsia" w:eastAsiaTheme="minorEastAsia" w:cstheme="minorEastAsia"/>
          <w:kern w:val="2"/>
          <w:sz w:val="24"/>
          <w:szCs w:val="24"/>
          <w:u w:val="none" w:color="auto"/>
          <w:lang w:val="en-US" w:eastAsia="zh-CN" w:bidi="ar-SA"/>
        </w:rPr>
        <w:t>19.6谈判工作在有关部门的监督下依法开展，任何单位和个人不得非法干预、影响谈判工作和谈判结果。</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48" w:name="_Toc25644_WPSOffice_Level3"/>
      <w:bookmarkStart w:id="149" w:name="_Toc5514"/>
      <w:bookmarkStart w:id="150" w:name="_Toc2176"/>
      <w:bookmarkStart w:id="151" w:name="_Toc24288_WPSOffice_Level3"/>
      <w:bookmarkStart w:id="152" w:name="_Toc14903"/>
      <w:r>
        <w:rPr>
          <w:rFonts w:hint="eastAsia" w:asciiTheme="minorEastAsia" w:hAnsiTheme="minorEastAsia" w:eastAsiaTheme="minorEastAsia" w:cstheme="minorEastAsia"/>
          <w:b/>
          <w:bCs/>
          <w:kern w:val="2"/>
          <w:sz w:val="24"/>
          <w:szCs w:val="24"/>
          <w:lang w:val="en-US" w:eastAsia="zh-CN" w:bidi="ar-SA"/>
        </w:rPr>
        <w:t>20.澄清</w:t>
      </w:r>
      <w:bookmarkEnd w:id="148"/>
      <w:bookmarkEnd w:id="149"/>
      <w:bookmarkEnd w:id="150"/>
      <w:bookmarkEnd w:id="151"/>
      <w:bookmarkEnd w:id="152"/>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53" w:name="_Toc6898_WPSOffice_Level3"/>
      <w:bookmarkStart w:id="154" w:name="_Toc27266"/>
      <w:bookmarkStart w:id="155" w:name="_Toc8374"/>
      <w:bookmarkStart w:id="156" w:name="_Toc4997"/>
      <w:bookmarkStart w:id="157" w:name="_Toc13262_WPSOffice_Level3"/>
      <w:r>
        <w:rPr>
          <w:rFonts w:hint="eastAsia" w:asciiTheme="minorEastAsia" w:hAnsiTheme="minorEastAsia" w:eastAsiaTheme="minorEastAsia" w:cstheme="minorEastAsia"/>
          <w:b/>
          <w:bCs/>
          <w:kern w:val="2"/>
          <w:sz w:val="24"/>
          <w:szCs w:val="24"/>
          <w:lang w:val="en-US" w:eastAsia="zh-CN" w:bidi="ar-SA"/>
        </w:rPr>
        <w:t>21.退出谈判</w:t>
      </w:r>
      <w:bookmarkEnd w:id="153"/>
      <w:bookmarkEnd w:id="154"/>
      <w:bookmarkEnd w:id="155"/>
      <w:bookmarkEnd w:id="156"/>
      <w:bookmarkEnd w:id="157"/>
    </w:p>
    <w:p>
      <w:pPr>
        <w:widowControl w:val="0"/>
        <w:wordWrap/>
        <w:adjustRightInd w:val="0"/>
        <w:snapToGrid w:val="0"/>
        <w:spacing w:before="157" w:beforeLines="50"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58" w:name="_Toc18169_WPSOffice_Level3"/>
      <w:bookmarkStart w:id="159" w:name="_Toc14748"/>
      <w:bookmarkStart w:id="160" w:name="_Toc5048_WPSOffice_Level3"/>
      <w:bookmarkStart w:id="161" w:name="_Toc32003"/>
      <w:bookmarkStart w:id="162" w:name="_Toc15985"/>
      <w:r>
        <w:rPr>
          <w:rFonts w:hint="eastAsia" w:asciiTheme="minorEastAsia" w:hAnsiTheme="minorEastAsia" w:eastAsiaTheme="minorEastAsia" w:cstheme="minorEastAsia"/>
          <w:b/>
          <w:bCs/>
          <w:kern w:val="2"/>
          <w:sz w:val="24"/>
          <w:szCs w:val="24"/>
          <w:lang w:val="en-US" w:eastAsia="zh-CN" w:bidi="ar-SA"/>
        </w:rPr>
        <w:t>22.最后报价</w:t>
      </w:r>
      <w:bookmarkEnd w:id="158"/>
      <w:bookmarkEnd w:id="159"/>
      <w:bookmarkEnd w:id="160"/>
      <w:bookmarkEnd w:id="161"/>
      <w:bookmarkEnd w:id="162"/>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color="auto"/>
          <w:lang w:val="en-US" w:eastAsia="zh-CN" w:bidi="ar-SA"/>
        </w:rPr>
      </w:pPr>
      <w:r>
        <w:rPr>
          <w:rFonts w:hint="eastAsia" w:asciiTheme="minorEastAsia" w:hAnsiTheme="minorEastAsia" w:eastAsiaTheme="minorEastAsia" w:cstheme="minorEastAsia"/>
          <w:kern w:val="2"/>
          <w:sz w:val="24"/>
          <w:szCs w:val="24"/>
          <w:u w:val="none" w:color="auto"/>
          <w:lang w:val="en-US" w:eastAsia="zh-CN" w:bidi="ar-SA"/>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color="auto"/>
          <w:lang w:val="en-US" w:eastAsia="zh-CN" w:bidi="ar-SA"/>
        </w:rPr>
      </w:pPr>
      <w:r>
        <w:rPr>
          <w:rFonts w:hint="eastAsia" w:asciiTheme="minorEastAsia" w:hAnsiTheme="minorEastAsia" w:eastAsiaTheme="minorEastAsia" w:cstheme="minorEastAsia"/>
          <w:kern w:val="2"/>
          <w:sz w:val="24"/>
          <w:szCs w:val="24"/>
          <w:u w:val="none" w:color="auto"/>
          <w:lang w:val="en-US" w:eastAsia="zh-CN" w:bidi="ar-SA"/>
        </w:rPr>
        <w:t>22.3最后报价的评审</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color="auto"/>
          <w:lang w:val="en-US" w:eastAsia="zh-CN" w:bidi="ar-SA"/>
        </w:rPr>
      </w:pPr>
      <w:r>
        <w:rPr>
          <w:rFonts w:hint="eastAsia" w:asciiTheme="minorEastAsia" w:hAnsiTheme="minorEastAsia" w:eastAsiaTheme="minorEastAsia" w:cstheme="minorEastAsia"/>
          <w:kern w:val="2"/>
          <w:sz w:val="24"/>
          <w:szCs w:val="24"/>
          <w:u w:val="none" w:color="auto"/>
          <w:lang w:val="en-US" w:eastAsia="zh-CN" w:bidi="ar-SA"/>
        </w:rPr>
        <w:t>（1）最后报价出现大写金额和小写金额不一致的，以大写金额为准。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color="auto"/>
          <w:lang w:val="en-US" w:eastAsia="zh-CN" w:bidi="ar-SA"/>
        </w:rPr>
      </w:pPr>
      <w:r>
        <w:rPr>
          <w:rFonts w:hint="eastAsia" w:asciiTheme="minorEastAsia" w:hAnsiTheme="minorEastAsia" w:eastAsiaTheme="minorEastAsia" w:cstheme="minorEastAsia"/>
          <w:kern w:val="2"/>
          <w:sz w:val="24"/>
          <w:szCs w:val="24"/>
          <w:u w:val="none" w:color="auto"/>
          <w:lang w:val="en-US" w:eastAsia="zh-CN" w:bidi="ar-SA"/>
        </w:rPr>
        <w:t>（2）需落实政府采购政策的，按相关规定进行价格扣除。</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color="auto"/>
          <w:lang w:val="en-US" w:eastAsia="zh-CN" w:bidi="ar-SA"/>
        </w:rPr>
      </w:pPr>
      <w:r>
        <w:rPr>
          <w:rFonts w:hint="eastAsia" w:asciiTheme="minorEastAsia" w:hAnsiTheme="minorEastAsia" w:eastAsiaTheme="minorEastAsia" w:cstheme="minorEastAsia"/>
          <w:kern w:val="2"/>
          <w:sz w:val="24"/>
          <w:szCs w:val="24"/>
          <w:u w:val="none" w:color="auto"/>
          <w:lang w:val="en-US" w:eastAsia="zh-CN" w:bidi="ar-SA"/>
        </w:rPr>
        <w:t>22.4最后报价如果高于其响应文件中的首次报价的，以最后报价为准。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color="auto"/>
          <w:lang w:val="en-US" w:eastAsia="zh-CN" w:bidi="ar-SA"/>
        </w:rPr>
      </w:pPr>
      <w:r>
        <w:rPr>
          <w:rFonts w:hint="eastAsia" w:asciiTheme="minorEastAsia" w:hAnsiTheme="minorEastAsia" w:eastAsiaTheme="minorEastAsia" w:cstheme="minorEastAsia"/>
          <w:kern w:val="2"/>
          <w:sz w:val="24"/>
          <w:szCs w:val="24"/>
          <w:u w:val="none" w:color="auto"/>
          <w:lang w:val="en-US" w:eastAsia="zh-CN" w:bidi="ar-SA"/>
        </w:rPr>
        <w:t>22.5采购人、采购代理机构在按规定公布供应商的最后报价前，不得公开供应商的技术资料、价格和其他信息。</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u w:val="none" w:color="auto"/>
          <w:lang w:val="en-US" w:eastAsia="zh-CN" w:bidi="ar-SA"/>
        </w:rPr>
      </w:pPr>
      <w:r>
        <w:rPr>
          <w:rFonts w:hint="eastAsia" w:asciiTheme="minorEastAsia" w:hAnsiTheme="minorEastAsia" w:eastAsiaTheme="minorEastAsia" w:cstheme="minorEastAsia"/>
          <w:kern w:val="2"/>
          <w:sz w:val="24"/>
          <w:szCs w:val="24"/>
          <w:u w:val="none" w:color="auto"/>
          <w:lang w:val="en-US" w:eastAsia="zh-CN" w:bidi="ar-SA"/>
        </w:rPr>
        <w:t>22.6若最后报价时出现最低价相同的情形，谈判小组应召集报价相同的供应商进行再次报价（或直接提出成交候选人）（由采购人、代理机构自主选择）。</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u w:val="none" w:color="auto"/>
          <w:lang w:val="en-US" w:eastAsia="zh-CN" w:bidi="ar-SA"/>
        </w:rPr>
      </w:pPr>
      <w:bookmarkStart w:id="163" w:name="_Toc16084_WPSOffice_Level3"/>
      <w:bookmarkStart w:id="164" w:name="_Toc29458"/>
      <w:bookmarkStart w:id="165" w:name="_Toc1797"/>
      <w:bookmarkStart w:id="166" w:name="_Toc8242_WPSOffice_Level3"/>
      <w:bookmarkStart w:id="167" w:name="_Toc7275"/>
      <w:r>
        <w:rPr>
          <w:rFonts w:hint="eastAsia" w:asciiTheme="minorEastAsia" w:hAnsiTheme="minorEastAsia" w:eastAsiaTheme="minorEastAsia" w:cstheme="minorEastAsia"/>
          <w:b/>
          <w:bCs/>
          <w:kern w:val="2"/>
          <w:sz w:val="24"/>
          <w:szCs w:val="24"/>
          <w:u w:val="none" w:color="auto"/>
          <w:lang w:val="en-US" w:eastAsia="zh-CN" w:bidi="ar-SA"/>
        </w:rPr>
        <w:t>23.确定成交供应商</w:t>
      </w:r>
      <w:bookmarkEnd w:id="163"/>
      <w:bookmarkEnd w:id="164"/>
      <w:bookmarkEnd w:id="165"/>
      <w:bookmarkEnd w:id="166"/>
      <w:bookmarkEnd w:id="167"/>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23.3采购代理机构应当在评审结束后2个工作日内将评审报告送采购人确认。</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23.5采购人逾期未确定成交供应商且不提出异议的，视为确定评审报告提出的最后报价最低的供应商为成交供应商。</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68" w:name="_Toc10295"/>
      <w:bookmarkStart w:id="169" w:name="_Toc24684"/>
      <w:bookmarkStart w:id="170" w:name="_Toc2319"/>
      <w:bookmarkStart w:id="171" w:name="_Toc17639_WPSOffice_Level3"/>
      <w:bookmarkStart w:id="172" w:name="_Toc20869_WPSOffice_Level3"/>
      <w:r>
        <w:rPr>
          <w:rFonts w:hint="eastAsia" w:asciiTheme="minorEastAsia" w:hAnsiTheme="minorEastAsia" w:eastAsiaTheme="minorEastAsia" w:cstheme="minorEastAsia"/>
          <w:b/>
          <w:bCs/>
          <w:kern w:val="2"/>
          <w:sz w:val="24"/>
          <w:szCs w:val="24"/>
          <w:lang w:val="en-US" w:eastAsia="zh-CN" w:bidi="ar-SA"/>
        </w:rPr>
        <w:t>24.重新评审</w:t>
      </w:r>
      <w:bookmarkEnd w:id="168"/>
      <w:bookmarkEnd w:id="169"/>
      <w:bookmarkEnd w:id="170"/>
      <w:bookmarkEnd w:id="171"/>
      <w:bookmarkEnd w:id="172"/>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24.1除资格审查认定错误和价格计算错误外，采购人、采购代理机构不以任何理由组织重新评审。</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24.2采购人、采购代理机构发现谈判小组未按照谈判文件规定的评定成交标准进行评审的，应当重新开展采购活动，并同时书面报告同级财政部门。</w:t>
      </w:r>
    </w:p>
    <w:p>
      <w:pPr>
        <w:pStyle w:val="8"/>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73" w:name="_Toc1388_WPSOffice_Level3"/>
      <w:bookmarkStart w:id="174" w:name="_Toc3509"/>
      <w:bookmarkStart w:id="175" w:name="_Toc7140"/>
      <w:bookmarkStart w:id="176" w:name="_Toc12673"/>
      <w:bookmarkStart w:id="177" w:name="_Toc26374_WPSOffice_Level3"/>
      <w:r>
        <w:rPr>
          <w:rFonts w:hint="eastAsia" w:asciiTheme="minorEastAsia" w:hAnsiTheme="minorEastAsia" w:eastAsiaTheme="minorEastAsia" w:cstheme="minorEastAsia"/>
          <w:b/>
          <w:bCs/>
          <w:kern w:val="2"/>
          <w:sz w:val="24"/>
          <w:szCs w:val="24"/>
          <w:lang w:val="en-US" w:eastAsia="zh-CN" w:bidi="ar-SA"/>
        </w:rPr>
        <w:t>25.谈判终止</w:t>
      </w:r>
      <w:bookmarkEnd w:id="173"/>
      <w:bookmarkEnd w:id="174"/>
      <w:bookmarkEnd w:id="175"/>
      <w:bookmarkEnd w:id="176"/>
      <w:bookmarkEnd w:id="177"/>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25.1出现下列情形之一的，采购人、采购代理机构应当终止竞争性谈判采购活动，在指定的媒体上发布项目终止公告并说明原因，重新开展采购活动：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（1）因情况变化，不再符合规定的竞争性谈判采购方式适用情形的；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（2）出现影响采购公正的违法、违规行为的；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（3）在采购过程中符合谈判要求的供应商或者报价未超过采购预算的供应商不足3家的，或者提交最后报价的供应商少于3家的；</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（4）因重大变故，采购任务取消的。</w:t>
      </w:r>
    </w:p>
    <w:p>
      <w:pPr>
        <w:pStyle w:val="8"/>
        <w:keepNext/>
        <w:keepLines/>
        <w:widowControl w:val="0"/>
        <w:wordWrap/>
        <w:adjustRightInd w:val="0"/>
        <w:snapToGrid w:val="0"/>
        <w:spacing w:before="157" w:beforeLines="50" w:after="0" w:line="560" w:lineRule="exact"/>
        <w:ind w:firstLine="0" w:firstLineChars="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78" w:name="_Toc32730"/>
      <w:bookmarkStart w:id="179" w:name="_Toc11721"/>
      <w:bookmarkStart w:id="180" w:name="_Toc18635_WPSOffice_Level3"/>
      <w:bookmarkStart w:id="181" w:name="_Toc20688_WPSOffice_Level3"/>
      <w:bookmarkStart w:id="182" w:name="_Toc21426"/>
      <w:r>
        <w:rPr>
          <w:rFonts w:hint="eastAsia" w:asciiTheme="minorEastAsia" w:hAnsiTheme="minorEastAsia" w:eastAsiaTheme="minorEastAsia" w:cstheme="minorEastAsia"/>
          <w:b/>
          <w:bCs/>
          <w:kern w:val="2"/>
          <w:sz w:val="24"/>
          <w:szCs w:val="24"/>
          <w:lang w:val="en-US" w:eastAsia="zh-CN" w:bidi="ar-SA"/>
        </w:rPr>
        <w:t>26.串通情形认定及处理</w:t>
      </w:r>
      <w:bookmarkEnd w:id="178"/>
      <w:bookmarkEnd w:id="179"/>
      <w:bookmarkEnd w:id="180"/>
      <w:bookmarkEnd w:id="181"/>
      <w:bookmarkEnd w:id="182"/>
    </w:p>
    <w:p>
      <w:pPr>
        <w:widowControl w:val="0"/>
        <w:wordWrap/>
        <w:spacing w:line="560" w:lineRule="exact"/>
        <w:ind w:right="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Theme="minorEastAsia" w:hAnsiTheme="minorEastAsia" w:eastAsiaTheme="minorEastAsia" w:cstheme="minorEastAsia"/>
          <w:sz w:val="24"/>
          <w:szCs w:val="24"/>
          <w:lang w:val="en-US" w:eastAsia="zh-CN"/>
        </w:rPr>
        <w:t>采购工作。</w:t>
      </w:r>
    </w:p>
    <w:p>
      <w:pPr>
        <w:widowControl w:val="0"/>
        <w:wordWrap/>
        <w:spacing w:line="560" w:lineRule="exact"/>
        <w:ind w:left="0" w:leftChars="0" w:right="0" w:firstLine="480" w:firstLineChars="200"/>
        <w:textAlignment w:val="auto"/>
        <w:outlineLvl w:val="9"/>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26.2有下列情形之一的，成交无效，对供应商</w:t>
      </w:r>
      <w:r>
        <w:rPr>
          <w:rFonts w:hint="eastAsia" w:asciiTheme="minorEastAsia" w:hAnsiTheme="minorEastAsia" w:eastAsiaTheme="minorEastAsia" w:cstheme="minorEastAsia"/>
          <w:sz w:val="24"/>
          <w:szCs w:val="24"/>
          <w:lang w:val="zh-CN" w:eastAsia="zh-CN"/>
        </w:rPr>
        <w:t>依照《政府采购法》第七十七条的规定追究法律责任：</w:t>
      </w:r>
    </w:p>
    <w:p>
      <w:pPr>
        <w:widowControl w:val="0"/>
        <w:wordWrap/>
        <w:spacing w:line="560" w:lineRule="exact"/>
        <w:ind w:right="0"/>
        <w:textAlignment w:val="auto"/>
        <w:outlineLvl w:val="9"/>
        <w:rPr>
          <w:rFonts w:hint="eastAsia" w:asciiTheme="minorEastAsia" w:hAnsiTheme="minorEastAsia" w:eastAsiaTheme="minorEastAsia" w:cstheme="minorEastAsia"/>
          <w:sz w:val="24"/>
          <w:szCs w:val="24"/>
          <w:lang w:val="en-US" w:eastAsia="zh-CN"/>
        </w:rPr>
      </w:pPr>
      <w:bookmarkStart w:id="183" w:name="_Toc22761"/>
      <w:bookmarkStart w:id="184" w:name="_Toc34637770"/>
      <w:r>
        <w:rPr>
          <w:rFonts w:hint="eastAsia" w:asciiTheme="minorEastAsia" w:hAnsiTheme="minorEastAsia" w:eastAsiaTheme="minorEastAsia" w:cstheme="minorEastAsia"/>
          <w:sz w:val="24"/>
          <w:szCs w:val="24"/>
          <w:lang w:val="en-US" w:eastAsia="zh-CN"/>
        </w:rPr>
        <w:t xml:space="preserve">   （1）供应商直接或者间接从采购人或者采购代理机构处获得其他供应商的相关情况并修改其响应文件；</w:t>
      </w:r>
    </w:p>
    <w:p>
      <w:pPr>
        <w:widowControl w:val="0"/>
        <w:wordWrap/>
        <w:spacing w:line="560" w:lineRule="exact"/>
        <w:ind w:right="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（2）供应商按照采购人或者采购代理机构的授意撤换、修改响应文件；</w:t>
      </w:r>
    </w:p>
    <w:p>
      <w:pPr>
        <w:widowControl w:val="0"/>
        <w:wordWrap/>
        <w:spacing w:line="560" w:lineRule="exact"/>
        <w:ind w:right="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（3）供应商之间协商报价、技术方案等响应文件的实质性内容；</w:t>
      </w:r>
    </w:p>
    <w:p>
      <w:pPr>
        <w:widowControl w:val="0"/>
        <w:wordWrap/>
        <w:spacing w:line="560" w:lineRule="exact"/>
        <w:ind w:right="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（4）属于同一集团、协会、商会等组织成员的供应商按照该组织要求协同参加政府采购活动；</w:t>
      </w:r>
    </w:p>
    <w:p>
      <w:pPr>
        <w:widowControl w:val="0"/>
        <w:wordWrap/>
        <w:spacing w:line="560" w:lineRule="exact"/>
        <w:ind w:right="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（5）供应商之间事先约定由某一特定供应商成交；</w:t>
      </w:r>
    </w:p>
    <w:p>
      <w:pPr>
        <w:widowControl w:val="0"/>
        <w:wordWrap/>
        <w:spacing w:line="560" w:lineRule="exact"/>
        <w:ind w:right="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（6）供应商之间商定部分供应商放弃参加政府采购活动或者放弃成交；</w:t>
      </w:r>
    </w:p>
    <w:p>
      <w:pPr>
        <w:widowControl w:val="0"/>
        <w:wordWrap/>
        <w:spacing w:line="560" w:lineRule="exact"/>
        <w:ind w:right="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（7）供应商与采购人或者采购代理机构之间、供应商相互之间，为谋求特定供应商成交或者排斥其他供应商的其他串通行为。</w:t>
      </w:r>
    </w:p>
    <w:p>
      <w:pPr>
        <w:widowControl w:val="0"/>
        <w:wordWrap/>
        <w:spacing w:line="560" w:lineRule="exact"/>
        <w:ind w:right="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26.3 有下列情形之一的，视为供应商串通，其响应无效：</w:t>
      </w:r>
    </w:p>
    <w:p>
      <w:pPr>
        <w:widowControl w:val="0"/>
        <w:wordWrap/>
        <w:spacing w:line="560" w:lineRule="exact"/>
        <w:ind w:right="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（1）不同供应商的响应文件由同一单位或者个人编制；</w:t>
      </w:r>
    </w:p>
    <w:p>
      <w:pPr>
        <w:widowControl w:val="0"/>
        <w:wordWrap/>
        <w:spacing w:line="560" w:lineRule="exact"/>
        <w:ind w:right="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（2）不同供应商委托同一单位或者个人办理谈判事宜；</w:t>
      </w:r>
    </w:p>
    <w:p>
      <w:pPr>
        <w:widowControl w:val="0"/>
        <w:wordWrap/>
        <w:spacing w:line="560" w:lineRule="exact"/>
        <w:ind w:right="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（3）不同供应商的响应文件载明的项目管理成员或者联系人员为同一人；</w:t>
      </w:r>
    </w:p>
    <w:p>
      <w:pPr>
        <w:widowControl w:val="0"/>
        <w:wordWrap/>
        <w:spacing w:line="560" w:lineRule="exact"/>
        <w:ind w:right="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（4）不同供应商的响应文件异常一致或者报价呈规律性差异；</w:t>
      </w:r>
    </w:p>
    <w:p>
      <w:pPr>
        <w:widowControl w:val="0"/>
        <w:wordWrap/>
        <w:spacing w:line="560" w:lineRule="exact"/>
        <w:ind w:right="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（5）不同供应商的响应文件相互混装；</w:t>
      </w:r>
    </w:p>
    <w:p>
      <w:pPr>
        <w:widowControl w:val="0"/>
        <w:wordWrap/>
        <w:spacing w:line="560" w:lineRule="exact"/>
        <w:ind w:right="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（6）不同供应商的保证金从同一单位或者个人的账户转出。</w:t>
      </w:r>
    </w:p>
    <w:p>
      <w:pPr>
        <w:widowControl w:val="0"/>
        <w:wordWrap/>
        <w:spacing w:line="560" w:lineRule="exact"/>
        <w:ind w:right="0" w:firstLine="480" w:firstLineChars="200"/>
        <w:textAlignment w:val="auto"/>
        <w:outlineLvl w:val="9"/>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六、成交结果信息公布与授予合同</w:t>
      </w:r>
      <w:bookmarkEnd w:id="183"/>
      <w:bookmarkEnd w:id="184"/>
    </w:p>
    <w:p>
      <w:pPr>
        <w:pStyle w:val="8"/>
        <w:keepNext/>
        <w:keepLines/>
        <w:widowControl w:val="0"/>
        <w:wordWrap/>
        <w:adjustRightInd w:val="0"/>
        <w:snapToGrid w:val="0"/>
        <w:spacing w:before="157" w:beforeLines="50" w:after="0" w:line="560" w:lineRule="exact"/>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85" w:name="_Toc20308"/>
      <w:bookmarkStart w:id="186" w:name="_Toc947"/>
      <w:bookmarkStart w:id="187" w:name="_Toc8339_WPSOffice_Level3"/>
      <w:bookmarkStart w:id="188" w:name="_Toc30784_WPSOffice_Level3"/>
      <w:bookmarkStart w:id="189" w:name="_Toc23126"/>
      <w:r>
        <w:rPr>
          <w:rFonts w:hint="eastAsia" w:asciiTheme="minorEastAsia" w:hAnsiTheme="minorEastAsia" w:eastAsiaTheme="minorEastAsia" w:cstheme="minorEastAsia"/>
          <w:b/>
          <w:bCs/>
          <w:kern w:val="2"/>
          <w:sz w:val="24"/>
          <w:szCs w:val="24"/>
          <w:lang w:val="en-US" w:eastAsia="zh-CN" w:bidi="ar-SA"/>
        </w:rPr>
        <w:t>27.成交信息的公布与通知</w:t>
      </w:r>
      <w:bookmarkEnd w:id="185"/>
      <w:bookmarkEnd w:id="186"/>
      <w:bookmarkEnd w:id="187"/>
      <w:bookmarkEnd w:id="188"/>
      <w:bookmarkEnd w:id="189"/>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27.1代理机构应自确定成交供应商之日起2个工作日内在青海政府采购网上公告成交结果，同时向成交供应商发出《成交通知书》。成交通知书对采购人和成交供应商具有同等法律效力。</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27.2成交结果公告应当包括以下内容：</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（1）采购人和采购代理机构的名称、地址和联系方式；</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（2）项目名称和项目编号；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（3）成交供应商名称、地址和成交金额；</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（4）主要成交标的的名称、工期、项目经理、总价、工程质量；</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（5）谈判小组成员名单。</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27.3《成交通知书》发出后，采购人不得违法改变采购结果，成交供应商无正当理由不得放弃。</w:t>
      </w:r>
    </w:p>
    <w:p>
      <w:pPr>
        <w:pStyle w:val="8"/>
        <w:keepNext/>
        <w:keepLines/>
        <w:widowControl w:val="0"/>
        <w:wordWrap/>
        <w:adjustRightInd w:val="0"/>
        <w:snapToGrid w:val="0"/>
        <w:spacing w:before="157" w:beforeLines="50" w:after="0" w:line="560" w:lineRule="exact"/>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90" w:name="_Toc5068_WPSOffice_Level3"/>
      <w:bookmarkStart w:id="191" w:name="_Toc20586"/>
      <w:bookmarkStart w:id="192" w:name="_Toc13860_WPSOffice_Level3"/>
      <w:bookmarkStart w:id="193" w:name="_Toc29441"/>
      <w:bookmarkStart w:id="194" w:name="_Toc22397"/>
      <w:r>
        <w:rPr>
          <w:rFonts w:hint="eastAsia" w:asciiTheme="minorEastAsia" w:hAnsiTheme="minorEastAsia" w:eastAsiaTheme="minorEastAsia" w:cstheme="minorEastAsia"/>
          <w:b/>
          <w:bCs/>
          <w:kern w:val="2"/>
          <w:sz w:val="24"/>
          <w:szCs w:val="24"/>
          <w:lang w:val="en-US" w:eastAsia="zh-CN" w:bidi="ar-SA"/>
        </w:rPr>
        <w:t>28.授予合同</w:t>
      </w:r>
      <w:bookmarkEnd w:id="190"/>
      <w:bookmarkEnd w:id="191"/>
      <w:bookmarkEnd w:id="192"/>
      <w:bookmarkEnd w:id="193"/>
      <w:bookmarkEnd w:id="194"/>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28.1谈判文件、成交供应商的响应文件及其补充的响应文件、成交通知书等均为签订政府采购合同的依据。</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195" w:name="_Toc376936761"/>
      <w:bookmarkStart w:id="196" w:name="_Toc325726030"/>
      <w:r>
        <w:rPr>
          <w:rFonts w:hint="eastAsia" w:asciiTheme="minorEastAsia" w:hAnsiTheme="minorEastAsia" w:eastAsiaTheme="minorEastAsia" w:cstheme="minorEastAsia"/>
          <w:kern w:val="2"/>
          <w:sz w:val="24"/>
          <w:szCs w:val="24"/>
          <w:lang w:val="en-US" w:eastAsia="zh-CN" w:bidi="ar-SA"/>
        </w:rPr>
        <w:t>28.4采购人或采购代理机构应当自采购合同签订之日起2个工作日内，将采购合同在青海政府采购信息网上公告，但政府采购合同中涉及国家秘密、商业秘密的内容除外。</w:t>
      </w:r>
    </w:p>
    <w:p>
      <w:pPr>
        <w:pStyle w:val="8"/>
        <w:keepNext/>
        <w:keepLines/>
        <w:widowControl w:val="0"/>
        <w:wordWrap/>
        <w:adjustRightInd w:val="0"/>
        <w:snapToGrid w:val="0"/>
        <w:spacing w:before="157" w:beforeLines="50" w:after="0" w:line="560" w:lineRule="exact"/>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197" w:name="_Toc32538"/>
      <w:bookmarkStart w:id="198" w:name="_Toc16374"/>
      <w:bookmarkStart w:id="199" w:name="_Toc24904"/>
      <w:bookmarkStart w:id="200" w:name="_Toc16258_WPSOffice_Level3"/>
      <w:bookmarkStart w:id="201" w:name="_Toc8740_WPSOffice_Level3"/>
      <w:r>
        <w:rPr>
          <w:rFonts w:hint="eastAsia" w:asciiTheme="minorEastAsia" w:hAnsiTheme="minorEastAsia" w:eastAsiaTheme="minorEastAsia" w:cstheme="minorEastAsia"/>
          <w:b/>
          <w:bCs/>
          <w:kern w:val="2"/>
          <w:sz w:val="24"/>
          <w:szCs w:val="24"/>
          <w:lang w:val="en-US" w:eastAsia="zh-CN" w:bidi="ar-SA"/>
        </w:rPr>
        <w:t>29.履约验收</w:t>
      </w:r>
      <w:bookmarkEnd w:id="197"/>
      <w:bookmarkEnd w:id="198"/>
      <w:bookmarkEnd w:id="199"/>
      <w:bookmarkEnd w:id="200"/>
      <w:bookmarkEnd w:id="201"/>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29.1履约保证金：</w:t>
      </w:r>
      <w:r>
        <w:rPr>
          <w:rFonts w:hint="eastAsia" w:asciiTheme="minorEastAsia" w:hAnsiTheme="minorEastAsia" w:eastAsiaTheme="minorEastAsia" w:cstheme="minorEastAsia"/>
          <w:kern w:val="2"/>
          <w:sz w:val="24"/>
          <w:szCs w:val="24"/>
          <w:highlight w:val="none"/>
          <w:u w:val="single"/>
          <w:lang w:val="en-US" w:eastAsia="zh-CN" w:bidi="ar-SA"/>
        </w:rPr>
        <w:t>5%</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Theme="minorEastAsia" w:hAnsiTheme="minorEastAsia" w:eastAsiaTheme="minorEastAsia" w:cstheme="minorEastAsia"/>
          <w:kern w:val="2"/>
          <w:sz w:val="24"/>
          <w:szCs w:val="24"/>
          <w:lang w:val="en-US" w:eastAsia="zh-CN" w:bidi="ar-SA"/>
        </w:rPr>
        <w:t>或根据《政府采购实施条例》第四十八条明确约定保证金缴纳数额及方式）</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29.3采购人可以邀请参加本项目的其他供应商或者第三方机构参与验收。参与验收的供应商或者第三方机构的意见作为验收书的参考资料一并存档。</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29.4采购人应当加强履约管理，并按照采购合同约定，及时向成交供应商支付采购资金。对于成交供应商违反采购合同约定的行为，采购人应当及时处理，依法追究其违约责任。</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29.5采购人、采购代理机构应当建立真实完整的谈判档案，妥善保存谈判的相关资料。</w:t>
      </w:r>
    </w:p>
    <w:p>
      <w:pPr>
        <w:widowControl w:val="0"/>
        <w:wordWrap/>
        <w:adjustRightInd w:val="0"/>
        <w:snapToGrid w:val="0"/>
        <w:spacing w:before="157" w:beforeLines="50" w:line="560" w:lineRule="exact"/>
        <w:jc w:val="center"/>
        <w:textAlignment w:val="auto"/>
        <w:outlineLvl w:val="1"/>
        <w:rPr>
          <w:rFonts w:hint="eastAsia" w:asciiTheme="minorEastAsia" w:hAnsiTheme="minorEastAsia" w:eastAsiaTheme="minorEastAsia" w:cstheme="minorEastAsia"/>
          <w:b w:val="0"/>
          <w:bCs w:val="0"/>
          <w:kern w:val="2"/>
          <w:sz w:val="24"/>
          <w:szCs w:val="24"/>
          <w:highlight w:val="none"/>
          <w:lang w:val="en-US" w:eastAsia="zh-CN" w:bidi="ar-SA"/>
        </w:rPr>
      </w:pPr>
      <w:bookmarkStart w:id="202" w:name="_Toc2658_WPSOffice_Level2"/>
      <w:bookmarkStart w:id="203" w:name="_Toc32362"/>
      <w:bookmarkStart w:id="204" w:name="_Toc4328"/>
      <w:bookmarkStart w:id="205" w:name="_Toc6881"/>
      <w:bookmarkStart w:id="206" w:name="_Toc31604_WPSOffice_Level2"/>
      <w:bookmarkStart w:id="207" w:name="_Toc3517_WPSOffice_Level2"/>
      <w:bookmarkStart w:id="208" w:name="_Toc25284"/>
      <w:r>
        <w:rPr>
          <w:rFonts w:hint="eastAsia" w:asciiTheme="minorEastAsia" w:hAnsiTheme="minorEastAsia" w:eastAsiaTheme="minorEastAsia" w:cstheme="minorEastAsia"/>
          <w:b w:val="0"/>
          <w:bCs w:val="0"/>
          <w:kern w:val="2"/>
          <w:sz w:val="24"/>
          <w:szCs w:val="24"/>
          <w:highlight w:val="none"/>
          <w:lang w:val="en-US" w:eastAsia="zh-CN" w:bidi="ar-SA"/>
        </w:rPr>
        <w:t>七、询问与质疑</w:t>
      </w:r>
      <w:bookmarkEnd w:id="195"/>
      <w:bookmarkEnd w:id="196"/>
      <w:bookmarkEnd w:id="202"/>
      <w:bookmarkEnd w:id="203"/>
      <w:bookmarkEnd w:id="204"/>
      <w:bookmarkEnd w:id="205"/>
      <w:bookmarkEnd w:id="206"/>
      <w:bookmarkEnd w:id="207"/>
      <w:bookmarkEnd w:id="208"/>
    </w:p>
    <w:p>
      <w:pPr>
        <w:pStyle w:val="8"/>
        <w:keepNext/>
        <w:keepLines/>
        <w:widowControl w:val="0"/>
        <w:wordWrap/>
        <w:adjustRightInd w:val="0"/>
        <w:snapToGrid w:val="0"/>
        <w:spacing w:before="157" w:beforeLines="50" w:after="0" w:line="560" w:lineRule="exact"/>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209" w:name="_Toc29785"/>
      <w:bookmarkStart w:id="210" w:name="_Toc25982_WPSOffice_Level3"/>
      <w:bookmarkStart w:id="211" w:name="_Toc23314_WPSOffice_Level3"/>
      <w:bookmarkStart w:id="212" w:name="_Toc21641"/>
      <w:bookmarkStart w:id="213" w:name="_Toc12452"/>
      <w:r>
        <w:rPr>
          <w:rFonts w:hint="eastAsia" w:asciiTheme="minorEastAsia" w:hAnsiTheme="minorEastAsia" w:eastAsiaTheme="minorEastAsia" w:cstheme="minorEastAsia"/>
          <w:b/>
          <w:bCs/>
          <w:kern w:val="2"/>
          <w:sz w:val="24"/>
          <w:szCs w:val="24"/>
          <w:lang w:val="en-US" w:eastAsia="zh-CN" w:bidi="ar-SA"/>
        </w:rPr>
        <w:t>30.对采购过程、结果的询问及质疑</w:t>
      </w:r>
      <w:bookmarkEnd w:id="209"/>
      <w:bookmarkEnd w:id="210"/>
      <w:bookmarkEnd w:id="211"/>
      <w:bookmarkEnd w:id="212"/>
      <w:bookmarkEnd w:id="213"/>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30.1供应商对政府采购过程、结果有疑问的，可以向采购人、采购代理机构提出询问。</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30.3供应商应在法定质疑期内一次性提出针对同一采购程序环节的质疑。</w:t>
      </w:r>
    </w:p>
    <w:p>
      <w:pPr>
        <w:widowControl w:val="0"/>
        <w:wordWrap/>
        <w:adjustRightInd w:val="0"/>
        <w:snapToGrid w:val="0"/>
        <w:spacing w:before="157" w:beforeLines="50" w:line="560" w:lineRule="exact"/>
        <w:jc w:val="center"/>
        <w:textAlignment w:val="auto"/>
        <w:outlineLvl w:val="1"/>
        <w:rPr>
          <w:rFonts w:hint="eastAsia" w:asciiTheme="minorEastAsia" w:hAnsiTheme="minorEastAsia" w:eastAsiaTheme="minorEastAsia" w:cstheme="minorEastAsia"/>
          <w:b w:val="0"/>
          <w:bCs w:val="0"/>
          <w:kern w:val="2"/>
          <w:sz w:val="24"/>
          <w:szCs w:val="24"/>
          <w:highlight w:val="none"/>
          <w:lang w:val="en-US" w:eastAsia="zh-CN" w:bidi="ar-SA"/>
        </w:rPr>
      </w:pPr>
      <w:bookmarkStart w:id="214" w:name="_Toc22201076"/>
      <w:bookmarkStart w:id="215" w:name="_Toc6866_WPSOffice_Level2"/>
      <w:bookmarkStart w:id="216" w:name="_Toc9701_WPSOffice_Level2"/>
      <w:bookmarkStart w:id="217" w:name="_Toc11509_WPSOffice_Level2"/>
      <w:bookmarkStart w:id="218" w:name="_Toc34637771"/>
      <w:bookmarkStart w:id="219" w:name="_Toc21832"/>
      <w:bookmarkStart w:id="220" w:name="_Toc22889"/>
      <w:bookmarkStart w:id="221" w:name="_Toc826"/>
      <w:bookmarkStart w:id="222" w:name="_Toc4534"/>
      <w:r>
        <w:rPr>
          <w:rFonts w:hint="eastAsia" w:asciiTheme="minorEastAsia" w:hAnsiTheme="minorEastAsia" w:eastAsiaTheme="minorEastAsia" w:cstheme="minorEastAsia"/>
          <w:b w:val="0"/>
          <w:bCs w:val="0"/>
          <w:kern w:val="2"/>
          <w:sz w:val="24"/>
          <w:szCs w:val="24"/>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pPr>
        <w:pStyle w:val="8"/>
        <w:keepNext/>
        <w:keepLines/>
        <w:widowControl w:val="0"/>
        <w:wordWrap/>
        <w:adjustRightInd w:val="0"/>
        <w:snapToGrid w:val="0"/>
        <w:spacing w:before="157" w:beforeLines="50" w:after="0" w:line="560" w:lineRule="exact"/>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223" w:name="_Toc16893"/>
      <w:bookmarkStart w:id="224" w:name="_Toc17253_WPSOffice_Level3"/>
      <w:bookmarkStart w:id="225" w:name="_Toc32069"/>
      <w:bookmarkStart w:id="226" w:name="_Toc19360_WPSOffice_Level3"/>
      <w:bookmarkStart w:id="227" w:name="_Toc27584"/>
      <w:r>
        <w:rPr>
          <w:rFonts w:hint="eastAsia" w:asciiTheme="minorEastAsia" w:hAnsiTheme="minorEastAsia" w:eastAsiaTheme="minorEastAsia" w:cstheme="minorEastAsia"/>
          <w:b/>
          <w:bCs/>
          <w:kern w:val="2"/>
          <w:sz w:val="24"/>
          <w:szCs w:val="24"/>
          <w:lang w:val="en-US" w:eastAsia="zh-CN" w:bidi="ar-SA"/>
        </w:rPr>
        <w:t>31.政府采购政策</w:t>
      </w:r>
      <w:bookmarkEnd w:id="223"/>
      <w:bookmarkEnd w:id="224"/>
      <w:bookmarkEnd w:id="225"/>
      <w:bookmarkEnd w:id="226"/>
      <w:bookmarkEnd w:id="227"/>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31.1节能产品、环境标志产品的采购：</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31.2价格评审优惠：</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供应商为小型、微型企业，且提供本企业生产的货物或者提供其他小型、微型企业生产的货物，价格按相关规定给予6%-10%的价格折扣，用扣除后的价格参与评审。本项所称货物不包括使用大型企业注册商标的货物；</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（3）监狱企业、残疾人福利性单位视同小型、微型企业，享受评审中价格扣除等促进中小企业发展的政府采购政策。 </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31.3供应商同时符合小型、微型企业及监狱企业、残疾人福利性单位要求的，评审时只有一种类型享受价格评审优惠政策；</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31.4响应文件符合本章前款规定的，供应商应提供相关证明资料，且所提供资料必须真实可信。如有虚假，将依法承担相应责任。</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pPr>
        <w:widowControl w:val="0"/>
        <w:wordWrap/>
        <w:adjustRightInd w:val="0"/>
        <w:snapToGrid w:val="0"/>
        <w:spacing w:before="157" w:beforeLines="50" w:line="560" w:lineRule="exact"/>
        <w:jc w:val="center"/>
        <w:textAlignment w:val="auto"/>
        <w:outlineLvl w:val="1"/>
        <w:rPr>
          <w:rFonts w:hint="eastAsia" w:asciiTheme="minorEastAsia" w:hAnsiTheme="minorEastAsia" w:eastAsiaTheme="minorEastAsia" w:cstheme="minorEastAsia"/>
          <w:b w:val="0"/>
          <w:bCs w:val="0"/>
          <w:kern w:val="2"/>
          <w:sz w:val="24"/>
          <w:szCs w:val="24"/>
          <w:highlight w:val="none"/>
          <w:lang w:val="en-US" w:eastAsia="zh-CN" w:bidi="ar-SA"/>
        </w:rPr>
      </w:pPr>
      <w:bookmarkStart w:id="228" w:name="_Toc1648"/>
      <w:bookmarkStart w:id="229" w:name="_Toc3719_WPSOffice_Level2"/>
      <w:bookmarkStart w:id="230" w:name="_Toc15805"/>
      <w:bookmarkStart w:id="231" w:name="_Toc15316"/>
      <w:bookmarkStart w:id="232" w:name="_Toc30960"/>
      <w:bookmarkStart w:id="233" w:name="_Toc34637772"/>
      <w:bookmarkStart w:id="234" w:name="_Toc28078_WPSOffice_Level2"/>
      <w:bookmarkStart w:id="235" w:name="_Toc10843_WPSOffice_Level2"/>
      <w:r>
        <w:rPr>
          <w:rFonts w:hint="eastAsia" w:asciiTheme="minorEastAsia" w:hAnsiTheme="minorEastAsia" w:eastAsiaTheme="minorEastAsia" w:cstheme="minorEastAsia"/>
          <w:b w:val="0"/>
          <w:bCs w:val="0"/>
          <w:kern w:val="2"/>
          <w:sz w:val="24"/>
          <w:szCs w:val="24"/>
          <w:highlight w:val="none"/>
          <w:lang w:val="en-US" w:eastAsia="zh-CN" w:bidi="ar-SA"/>
        </w:rPr>
        <w:t>九、其他规定</w:t>
      </w:r>
      <w:bookmarkEnd w:id="228"/>
      <w:bookmarkEnd w:id="229"/>
      <w:bookmarkEnd w:id="230"/>
      <w:bookmarkEnd w:id="231"/>
      <w:bookmarkEnd w:id="232"/>
      <w:bookmarkEnd w:id="233"/>
      <w:bookmarkEnd w:id="234"/>
      <w:bookmarkEnd w:id="235"/>
    </w:p>
    <w:p>
      <w:pPr>
        <w:pStyle w:val="8"/>
        <w:keepNext/>
        <w:keepLines/>
        <w:widowControl w:val="0"/>
        <w:wordWrap/>
        <w:adjustRightInd w:val="0"/>
        <w:snapToGrid w:val="0"/>
        <w:spacing w:before="157" w:beforeLines="50" w:after="0" w:line="560" w:lineRule="exact"/>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236" w:name="_Toc10247"/>
      <w:bookmarkStart w:id="237" w:name="_Toc24310"/>
      <w:bookmarkStart w:id="238" w:name="_Toc12390_WPSOffice_Level3"/>
      <w:bookmarkStart w:id="239" w:name="_Toc10855"/>
      <w:bookmarkStart w:id="240" w:name="_Toc22185_WPSOffice_Level3"/>
      <w:r>
        <w:rPr>
          <w:rFonts w:hint="eastAsia" w:asciiTheme="minorEastAsia" w:hAnsiTheme="minorEastAsia" w:eastAsiaTheme="minorEastAsia" w:cstheme="minorEastAsia"/>
          <w:b/>
          <w:bCs/>
          <w:kern w:val="2"/>
          <w:sz w:val="24"/>
          <w:szCs w:val="24"/>
          <w:lang w:val="en-US" w:eastAsia="zh-CN" w:bidi="ar-SA"/>
        </w:rPr>
        <w:t>32.代理服务费</w:t>
      </w:r>
      <w:bookmarkEnd w:id="236"/>
      <w:bookmarkEnd w:id="237"/>
      <w:bookmarkEnd w:id="238"/>
      <w:bookmarkEnd w:id="239"/>
      <w:bookmarkEnd w:id="240"/>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采购代理服务费由成交供应商支付的，供应商应按【谈判须知前附表】规定向采购代理机构交纳代理服务费，并在谈判文件中提供代理服务费承诺书。</w:t>
      </w:r>
    </w:p>
    <w:p>
      <w:pPr>
        <w:pStyle w:val="8"/>
        <w:wordWrap/>
        <w:adjustRightInd w:val="0"/>
        <w:snapToGrid w:val="0"/>
        <w:spacing w:before="157" w:beforeLines="50" w:after="0" w:line="560" w:lineRule="exact"/>
        <w:outlineLvl w:val="2"/>
        <w:rPr>
          <w:rFonts w:hint="eastAsia" w:asciiTheme="minorEastAsia" w:hAnsiTheme="minorEastAsia" w:eastAsiaTheme="minorEastAsia" w:cstheme="minorEastAsia"/>
          <w:b/>
          <w:bCs/>
          <w:kern w:val="2"/>
          <w:sz w:val="24"/>
          <w:szCs w:val="24"/>
          <w:lang w:val="en-US" w:eastAsia="zh-CN" w:bidi="ar-SA"/>
        </w:rPr>
      </w:pPr>
      <w:bookmarkStart w:id="241" w:name="_Toc1461_WPSOffice_Level3"/>
      <w:bookmarkStart w:id="242" w:name="_Toc27699_WPSOffice_Level3"/>
      <w:bookmarkStart w:id="243" w:name="_Toc11135"/>
      <w:bookmarkStart w:id="244" w:name="_Toc14580"/>
      <w:bookmarkStart w:id="245" w:name="_Toc18975"/>
      <w:r>
        <w:rPr>
          <w:rFonts w:hint="eastAsia" w:asciiTheme="minorEastAsia" w:hAnsiTheme="minorEastAsia" w:eastAsiaTheme="minorEastAsia" w:cstheme="minorEastAsia"/>
          <w:b/>
          <w:bCs/>
          <w:kern w:val="2"/>
          <w:sz w:val="24"/>
          <w:szCs w:val="24"/>
          <w:lang w:val="en-US" w:eastAsia="zh-CN" w:bidi="ar-SA"/>
        </w:rPr>
        <w:t>33.其他规定</w:t>
      </w:r>
      <w:bookmarkEnd w:id="241"/>
      <w:bookmarkEnd w:id="242"/>
      <w:bookmarkEnd w:id="243"/>
      <w:bookmarkEnd w:id="244"/>
      <w:bookmarkEnd w:id="245"/>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谈判文件的其他规定见【谈判须知前附表】。</w:t>
      </w:r>
    </w:p>
    <w:p>
      <w:pPr>
        <w:pStyle w:val="6"/>
        <w:keepNext/>
        <w:widowControl w:val="0"/>
        <w:numPr>
          <w:ilvl w:val="0"/>
          <w:numId w:val="0"/>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val="0"/>
          <w:bCs w:val="0"/>
          <w:sz w:val="24"/>
          <w:szCs w:val="24"/>
          <w:highlight w:val="none"/>
          <w:lang w:val="en-US" w:eastAsia="zh-CN"/>
        </w:rPr>
      </w:pPr>
      <w:bookmarkStart w:id="246" w:name="_Toc2404_WPSOffice_Level1"/>
      <w:bookmarkStart w:id="247" w:name="_Toc18130_WPSOffice_Level1"/>
      <w:bookmarkStart w:id="248" w:name="_Toc7566"/>
      <w:bookmarkStart w:id="249" w:name="_Toc7780_WPSOffice_Level1"/>
      <w:bookmarkStart w:id="250" w:name="_Toc34637773"/>
      <w:bookmarkStart w:id="251" w:name="_Toc29561_WPSOffice_Level1"/>
      <w:bookmarkStart w:id="252" w:name="_Toc4912_WPSOffice_Level1"/>
      <w:bookmarkStart w:id="253" w:name="_Toc20750"/>
      <w:bookmarkStart w:id="254" w:name="_Toc31765_WPSOffice_Level1"/>
      <w:bookmarkStart w:id="255" w:name="_Toc13204"/>
      <w:r>
        <w:rPr>
          <w:rFonts w:hint="eastAsia" w:asciiTheme="minorEastAsia" w:hAnsiTheme="minorEastAsia" w:eastAsiaTheme="minorEastAsia" w:cstheme="minorEastAsia"/>
          <w:b w:val="0"/>
          <w:bCs w:val="0"/>
          <w:sz w:val="24"/>
          <w:szCs w:val="24"/>
          <w:highlight w:val="none"/>
          <w:lang w:val="en-US" w:eastAsia="zh-CN"/>
        </w:rPr>
        <w:br w:type="page"/>
      </w:r>
      <w:bookmarkStart w:id="256" w:name="_Toc27906"/>
      <w:r>
        <w:rPr>
          <w:rFonts w:hint="eastAsia" w:asciiTheme="minorEastAsia" w:hAnsiTheme="minorEastAsia" w:eastAsiaTheme="minorEastAsia" w:cstheme="minorEastAsia"/>
          <w:b/>
          <w:bCs/>
          <w:sz w:val="44"/>
          <w:szCs w:val="44"/>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pPr>
        <w:tabs>
          <w:tab w:val="left" w:pos="168"/>
        </w:tabs>
        <w:jc w:val="right"/>
        <w:textAlignment w:val="baseline"/>
        <w:rPr>
          <w:rFonts w:cs="Arial"/>
          <w:bCs/>
          <w:szCs w:val="28"/>
          <w:highlight w:val="none"/>
        </w:rPr>
      </w:pPr>
    </w:p>
    <w:p>
      <w:pPr>
        <w:widowControl w:val="0"/>
        <w:wordWrap/>
        <w:adjustRightInd w:val="0"/>
        <w:snapToGrid w:val="0"/>
        <w:spacing w:line="560" w:lineRule="exact"/>
        <w:ind w:firstLine="4216" w:firstLineChars="1500"/>
        <w:jc w:val="left"/>
        <w:textAlignment w:val="auto"/>
        <w:rPr>
          <w:rFonts w:hint="eastAsia" w:asciiTheme="minorEastAsia" w:hAnsiTheme="minorEastAsia" w:eastAsiaTheme="minorEastAsia" w:cstheme="minorEastAsia"/>
          <w:b/>
          <w:bCs/>
          <w:kern w:val="2"/>
          <w:sz w:val="28"/>
          <w:szCs w:val="28"/>
          <w:lang w:val="en-US" w:eastAsia="zh-CN" w:bidi="ar-SA"/>
        </w:rPr>
      </w:pPr>
      <w:bookmarkStart w:id="257" w:name="_Toc23297"/>
      <w:r>
        <w:rPr>
          <w:rFonts w:hint="eastAsia" w:asciiTheme="minorEastAsia" w:hAnsiTheme="minorEastAsia" w:eastAsiaTheme="minorEastAsia" w:cstheme="minorEastAsia"/>
          <w:b/>
          <w:bCs/>
          <w:kern w:val="2"/>
          <w:sz w:val="28"/>
          <w:szCs w:val="28"/>
          <w:lang w:val="en-US" w:eastAsia="zh-CN" w:bidi="ar-SA"/>
        </w:rPr>
        <w:t>工程量清单</w:t>
      </w:r>
      <w:bookmarkEnd w:id="257"/>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58" w:name="_Toc5044"/>
      <w:bookmarkStart w:id="259" w:name="_Toc27785"/>
      <w:bookmarkStart w:id="260" w:name="_Toc28380"/>
      <w:bookmarkStart w:id="261" w:name="_Toc414468302"/>
      <w:bookmarkStart w:id="262" w:name="_Toc458606537"/>
      <w:r>
        <w:rPr>
          <w:rFonts w:hint="eastAsia" w:asciiTheme="minorEastAsia" w:hAnsiTheme="minorEastAsia" w:eastAsiaTheme="minorEastAsia" w:cstheme="minorEastAsia"/>
          <w:kern w:val="2"/>
          <w:sz w:val="24"/>
          <w:szCs w:val="24"/>
          <w:lang w:val="en-US" w:eastAsia="zh-CN" w:bidi="ar-SA"/>
        </w:rPr>
        <w:t>1、工程量清单说明</w:t>
      </w:r>
      <w:bookmarkEnd w:id="258"/>
      <w:bookmarkEnd w:id="259"/>
      <w:bookmarkEnd w:id="260"/>
      <w:bookmarkEnd w:id="261"/>
      <w:bookmarkEnd w:id="262"/>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1.2本工程量清单应与招标文件中的投标人须知、通用合同条款、专用合同条款、技术标准和要求及图纸等章节内容一起阅读和理解。</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1.3本工程量清单仅是投标报价的共同基础，竣工结算的工程量按合同约定确定。合同价格的确定以及价款支付应遵循合同条款(包括通用合同条款和专用合同条款)、技术标准和要求以及本章的有关约定。</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1.4补充子目的子目特征、计量单位、工程量计算规则及工作内容说明如下：</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1.5本条第1.1款中约定的计量和计价规则适用于合同履约过程中工程量计量与价款支付、工程变更、索赔和工程结算。</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1.6本条与下述第2条和第3条的说明内容是构成合同文件的已标价工程量清单的组成部分。</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63" w:name="_Toc28984"/>
      <w:bookmarkStart w:id="264" w:name="_Toc458606538"/>
      <w:bookmarkStart w:id="265" w:name="_Toc7244"/>
      <w:bookmarkStart w:id="266" w:name="_Toc2200"/>
      <w:bookmarkStart w:id="267" w:name="_Toc414468303"/>
      <w:r>
        <w:rPr>
          <w:rFonts w:hint="eastAsia" w:asciiTheme="minorEastAsia" w:hAnsiTheme="minorEastAsia" w:eastAsiaTheme="minorEastAsia" w:cstheme="minorEastAsia"/>
          <w:kern w:val="2"/>
          <w:sz w:val="24"/>
          <w:szCs w:val="24"/>
          <w:lang w:val="en-US" w:eastAsia="zh-CN" w:bidi="ar-SA"/>
        </w:rPr>
        <w:t>2、投标报价说明</w:t>
      </w:r>
      <w:bookmarkEnd w:id="263"/>
      <w:bookmarkEnd w:id="264"/>
      <w:bookmarkEnd w:id="265"/>
      <w:bookmarkEnd w:id="266"/>
      <w:bookmarkEnd w:id="267"/>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2.1投标报价应根据招标文件中的有关计价要求，并按照下列依据自主报价。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(1)本招标文件；</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(2)《建设工程工程量清单计价规范》；</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(3)国家或省级、行业建设主管部门颁发的计价办法；</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(4)企业定额，国家或省级、行业建设主管部门颁发的计价定额；</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(5)招标文件(包括工程量清单)的澄清、补充和修改文件；</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(6)建设工程设计文件及相关资料；</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(7)施工现场情况、工程特点及拟定的投标施工组织设计或施工方案；</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(8)与建设项目相关的标准、规定等技术资料；</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(9)市场价格信息或工程造价管理机构发布的工程造价信息；</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(10)其他的相关资料。</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2.2工程量清单中的每一子目须填入单价或价格，且只允许有一个报价。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2.3工程量清单中标价的单价或金额，应包括所需人工费、材料费、施工机械使用费和管理费及利润，以及一定范围内的风险费用。所谓“一定范围内的风险”是指合同约定的风险。</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2.4已标价工程量清单中投标人没有填入单价或价格的子目，其费用视为已分摊在工程量清单中其他已标价的相关子目的单价或价格之中。</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2.6分部分项工程项目按下列要求报价：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2.6.1分部分项工程量清单计价应依据计价规范中关于综合单价的组成内容确定报价。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2.6.2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2.6.3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2.6.4“分部分项工程量清单与计价表”所列各子目的综合单价组成中，各子目的人工、材料和机械台班消耗量由投标人按照其自身情况做充分的、竞争性考虑。材料消耗量包括损耗量。</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2.6.5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2.7措施项目按下列要求报价：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2.7.1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2.7.2措施项目清单中的安全文明施工费应按国家、省级或行业建设主管部门的规定计价，不得作为竞争性费用。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2.7.3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2.7.4“措施项目清单与计价表”中所填写的报价金额，应全面涵盖招标文件约定的投标人中标后施工、竣工、交付本工程并维修其任何缺陷所需要履行的责任和义务的全部费用。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2.7.5对于“措施项目清单与计价表”中所填写的报价金额，应按照“措施项目清单报价分析表”对措施项目报价的组成进行详细的列项和分析。</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2.8其他项目清单费应按下列规定报价：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2.8.1暂列金额按“暂列金额明细表”中列出的金额报价，此处的暂列金额是招标人在招标文件中统一给定的，并不包括本章第2.8.3项的计日工金额。</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2.8.2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2.8.3计日工按“计日工表”中列出的子目和估算数量，自主确定综合单价并计算计日工金额。计日工综合单价均不包括规费和税金，其中：</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(1)劳务单价应当包括工人工资、交通费用、各种补贴、劳动安全保护、社保费用、手提手动和电动工器具、施工场地内已经搭设的脚手架、水电和低值易耗品费用、现场管理费用、企业管理费和利润；</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(2)材料价格包括材料运到现场的价格以及现场搬运、仓储、二次搬运、损耗、保险、企业管理费和利润；</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(3)施工机械限于在施工场地(现场)的机械设备，其价格包括租赁或折旧、维修、维护和燃油等消耗品以及操作人员费用，包括承包人企业管理费和利润，但不包括规费和税金。辅助人员按劳务价格另计。</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2.8.4总承包服务费根据招标文件中列出的内容和要求，按“总承包服务费计价表”所列格式自主报价。</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2.9规费和税金应按“规费、税金项目清单与计价表”所列项目并根据国家、省级或行业建设主管部门的有关规定列项和计算，不得作为竞争性费用。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2.10除招标文件有强制性规定以及不可竞争部分以外，投标报价由投标人自主确定，但不得低于其成本。</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2.12管理费应由投标人在保证不低于其成本的基础上做竞争性考虑；利润由投标人根据自身情况和综合实力做竞争性考虑。</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2.13投标报价中应考虑招标文件中要求投标人承担的风险范围以及相关的费用。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2.14投标总价为投标人在投标文件中提出的各项支付金额的总和，为实施、完成招标工程并修补缺陷以及履行招标文件中约定的风险范围内的所有责任和义务所发生的全部费用。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2.15有关投标报价的其他说明：</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68" w:name="_Toc9665"/>
      <w:bookmarkStart w:id="269" w:name="_Toc19816"/>
      <w:bookmarkStart w:id="270" w:name="_Toc414468304"/>
      <w:bookmarkStart w:id="271" w:name="_Toc458606539"/>
      <w:bookmarkStart w:id="272" w:name="_Toc9918"/>
      <w:r>
        <w:rPr>
          <w:rFonts w:hint="eastAsia" w:asciiTheme="minorEastAsia" w:hAnsiTheme="minorEastAsia" w:eastAsiaTheme="minorEastAsia" w:cstheme="minorEastAsia"/>
          <w:kern w:val="2"/>
          <w:sz w:val="24"/>
          <w:szCs w:val="24"/>
          <w:lang w:val="en-US" w:eastAsia="zh-CN" w:bidi="ar-SA"/>
        </w:rPr>
        <w:t>3、其他说明</w:t>
      </w:r>
      <w:bookmarkEnd w:id="268"/>
      <w:bookmarkEnd w:id="269"/>
      <w:bookmarkEnd w:id="270"/>
      <w:bookmarkEnd w:id="271"/>
      <w:bookmarkEnd w:id="272"/>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3.1词语和定义</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3.1.1工程量清单</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是表现本工程分部分项工程项目、措施项目、其他项目、规费项目和税金的名称和相应数量等的明细清单。</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73" w:name="_Toc21293"/>
      <w:bookmarkStart w:id="274" w:name="_Toc23635"/>
      <w:bookmarkStart w:id="275" w:name="_Toc3483"/>
      <w:r>
        <w:rPr>
          <w:rFonts w:hint="eastAsia" w:asciiTheme="minorEastAsia" w:hAnsiTheme="minorEastAsia" w:eastAsiaTheme="minorEastAsia" w:cstheme="minorEastAsia"/>
          <w:kern w:val="2"/>
          <w:sz w:val="24"/>
          <w:szCs w:val="24"/>
          <w:lang w:val="en-US" w:eastAsia="zh-CN" w:bidi="ar-SA"/>
        </w:rPr>
        <w:t>3.1.2总价子目</w:t>
      </w:r>
      <w:bookmarkEnd w:id="273"/>
      <w:bookmarkEnd w:id="274"/>
      <w:bookmarkEnd w:id="275"/>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76" w:name="_Toc16282"/>
      <w:bookmarkStart w:id="277" w:name="_Toc10158"/>
      <w:bookmarkStart w:id="278" w:name="_Toc21827"/>
      <w:r>
        <w:rPr>
          <w:rFonts w:hint="eastAsia" w:asciiTheme="minorEastAsia" w:hAnsiTheme="minorEastAsia" w:eastAsiaTheme="minorEastAsia" w:cstheme="minorEastAsia"/>
          <w:kern w:val="2"/>
          <w:sz w:val="24"/>
          <w:szCs w:val="24"/>
          <w:lang w:val="en-US" w:eastAsia="zh-CN" w:bidi="ar-SA"/>
        </w:rPr>
        <w:t>3.1.3单价子目</w:t>
      </w:r>
      <w:bookmarkEnd w:id="276"/>
      <w:bookmarkEnd w:id="277"/>
      <w:bookmarkEnd w:id="278"/>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工程量清单中以单价计价，根据有合同约束力的图纸和工程量计算规则进行计量，以实际完成数量乘以相应单价进行结算的子目。</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79" w:name="_Toc5147"/>
      <w:bookmarkStart w:id="280" w:name="_Toc4463"/>
      <w:bookmarkStart w:id="281" w:name="_Toc16161"/>
      <w:r>
        <w:rPr>
          <w:rFonts w:hint="eastAsia" w:asciiTheme="minorEastAsia" w:hAnsiTheme="minorEastAsia" w:eastAsiaTheme="minorEastAsia" w:cstheme="minorEastAsia"/>
          <w:kern w:val="2"/>
          <w:sz w:val="24"/>
          <w:szCs w:val="24"/>
          <w:lang w:val="en-US" w:eastAsia="zh-CN" w:bidi="ar-SA"/>
        </w:rPr>
        <w:t>3.1.4子目编码</w:t>
      </w:r>
      <w:bookmarkEnd w:id="279"/>
      <w:bookmarkEnd w:id="280"/>
      <w:bookmarkEnd w:id="281"/>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分部分项工程项目清单中所列的子目名称的数字标识和代码，子目编码与项目编码同义。</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82" w:name="_Toc13968"/>
      <w:bookmarkStart w:id="283" w:name="_Toc18802"/>
      <w:bookmarkStart w:id="284" w:name="_Toc5198"/>
      <w:r>
        <w:rPr>
          <w:rFonts w:hint="eastAsia" w:asciiTheme="minorEastAsia" w:hAnsiTheme="minorEastAsia" w:eastAsiaTheme="minorEastAsia" w:cstheme="minorEastAsia"/>
          <w:kern w:val="2"/>
          <w:sz w:val="24"/>
          <w:szCs w:val="24"/>
          <w:lang w:val="en-US" w:eastAsia="zh-CN" w:bidi="ar-SA"/>
        </w:rPr>
        <w:t>3.1.5子目特征</w:t>
      </w:r>
      <w:bookmarkEnd w:id="282"/>
      <w:bookmarkEnd w:id="283"/>
      <w:bookmarkEnd w:id="284"/>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构成分部分项工程项目清单子目、措施项目的实质内容、决定其自身价值的本质特征，子目特征与项目特征同义。</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85" w:name="_Toc10621"/>
      <w:bookmarkStart w:id="286" w:name="_Toc29568"/>
      <w:bookmarkStart w:id="287" w:name="_Toc24169"/>
      <w:r>
        <w:rPr>
          <w:rFonts w:hint="eastAsia" w:asciiTheme="minorEastAsia" w:hAnsiTheme="minorEastAsia" w:eastAsiaTheme="minorEastAsia" w:cstheme="minorEastAsia"/>
          <w:kern w:val="2"/>
          <w:sz w:val="24"/>
          <w:szCs w:val="24"/>
          <w:lang w:val="en-US" w:eastAsia="zh-CN" w:bidi="ar-SA"/>
        </w:rPr>
        <w:t>3.1.6规费</w:t>
      </w:r>
      <w:bookmarkEnd w:id="285"/>
      <w:bookmarkEnd w:id="286"/>
      <w:bookmarkEnd w:id="287"/>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承包人根据省级政府或省级有关权力部门规定必须缴纳的，应计入建筑安装工程造价的费用。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88" w:name="_Toc13823"/>
      <w:bookmarkStart w:id="289" w:name="_Toc12101"/>
      <w:bookmarkStart w:id="290" w:name="_Toc29860"/>
      <w:r>
        <w:rPr>
          <w:rFonts w:hint="eastAsia" w:asciiTheme="minorEastAsia" w:hAnsiTheme="minorEastAsia" w:eastAsiaTheme="minorEastAsia" w:cstheme="minorEastAsia"/>
          <w:kern w:val="2"/>
          <w:sz w:val="24"/>
          <w:szCs w:val="24"/>
          <w:lang w:val="en-US" w:eastAsia="zh-CN" w:bidi="ar-SA"/>
        </w:rPr>
        <w:t>3.1.7税金</w:t>
      </w:r>
      <w:bookmarkEnd w:id="288"/>
      <w:bookmarkEnd w:id="289"/>
      <w:bookmarkEnd w:id="290"/>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国家税法规定的应计入建筑安装工程造价内的营业税、城市维护建设税及教育费附加等。</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91" w:name="_Toc31738"/>
      <w:bookmarkStart w:id="292" w:name="_Toc5708"/>
      <w:bookmarkStart w:id="293" w:name="_Toc20313"/>
      <w:r>
        <w:rPr>
          <w:rFonts w:hint="eastAsia" w:asciiTheme="minorEastAsia" w:hAnsiTheme="minorEastAsia" w:eastAsiaTheme="minorEastAsia" w:cstheme="minorEastAsia"/>
          <w:kern w:val="2"/>
          <w:sz w:val="24"/>
          <w:szCs w:val="24"/>
          <w:lang w:val="en-US" w:eastAsia="zh-CN" w:bidi="ar-SA"/>
        </w:rPr>
        <w:t>3.1.8总承包服务费</w:t>
      </w:r>
      <w:bookmarkEnd w:id="291"/>
      <w:bookmarkEnd w:id="292"/>
      <w:bookmarkEnd w:id="293"/>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总承包人为配合协调发包人发包的专业工程以及发包人采购的材料和工程设备等进行管理、服务以及施工现场管理、竣工资料汇总整理等所需的费用。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94" w:name="_Toc6969"/>
      <w:bookmarkStart w:id="295" w:name="_Toc14458"/>
      <w:bookmarkStart w:id="296" w:name="_Toc12640"/>
      <w:r>
        <w:rPr>
          <w:rFonts w:hint="eastAsia" w:asciiTheme="minorEastAsia" w:hAnsiTheme="minorEastAsia" w:eastAsiaTheme="minorEastAsia" w:cstheme="minorEastAsia"/>
          <w:kern w:val="2"/>
          <w:sz w:val="24"/>
          <w:szCs w:val="24"/>
          <w:lang w:val="en-US" w:eastAsia="zh-CN" w:bidi="ar-SA"/>
        </w:rPr>
        <w:t>3.1.9同义词语</w:t>
      </w:r>
      <w:bookmarkEnd w:id="294"/>
      <w:bookmarkEnd w:id="295"/>
      <w:bookmarkEnd w:id="296"/>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本章中使用的词语“招标人”和“投标人”分别与合同条款中定义的“发包人”和“承包人”同义；就工程量清单而言，“子目”与“项目”同义。</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297" w:name="_Toc20275"/>
      <w:bookmarkStart w:id="298" w:name="_Toc18933"/>
      <w:bookmarkStart w:id="299" w:name="_Toc9428"/>
      <w:r>
        <w:rPr>
          <w:rFonts w:hint="eastAsia" w:asciiTheme="minorEastAsia" w:hAnsiTheme="minorEastAsia" w:eastAsiaTheme="minorEastAsia" w:cstheme="minorEastAsia"/>
          <w:kern w:val="2"/>
          <w:sz w:val="24"/>
          <w:szCs w:val="24"/>
          <w:lang w:val="en-US" w:eastAsia="zh-CN" w:bidi="ar-SA"/>
        </w:rPr>
        <w:t>3.2工程量差异调整</w:t>
      </w:r>
      <w:bookmarkEnd w:id="297"/>
      <w:bookmarkEnd w:id="298"/>
      <w:bookmarkEnd w:id="299"/>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3.2.1工程量清单中的工作内容分类、子目列项、特征描述以及“分部分项工程量清单与计价表”中附带的工程量都不应理解为是对承包(招标)范围以及合同工作内容的唯一的、最终的或全部的定义。</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3.2.2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3.2.3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300" w:name="_Toc18934"/>
      <w:bookmarkStart w:id="301" w:name="_Toc21422"/>
      <w:bookmarkStart w:id="302" w:name="_Toc21157"/>
      <w:r>
        <w:rPr>
          <w:rFonts w:hint="eastAsia" w:asciiTheme="minorEastAsia" w:hAnsiTheme="minorEastAsia" w:eastAsiaTheme="minorEastAsia" w:cstheme="minorEastAsia"/>
          <w:kern w:val="2"/>
          <w:sz w:val="24"/>
          <w:szCs w:val="24"/>
          <w:lang w:val="en-US" w:eastAsia="zh-CN" w:bidi="ar-SA"/>
        </w:rPr>
        <w:t>3.3暂列金额和暂估价</w:t>
      </w:r>
      <w:bookmarkEnd w:id="300"/>
      <w:bookmarkEnd w:id="301"/>
      <w:bookmarkEnd w:id="302"/>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3.3.1“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3.3.2“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3.3.3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widowControl w:val="0"/>
        <w:wordWrap/>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303" w:name="_Toc18793"/>
      <w:bookmarkStart w:id="304" w:name="_Toc15661"/>
      <w:bookmarkStart w:id="305" w:name="_Toc10054"/>
      <w:r>
        <w:rPr>
          <w:rFonts w:hint="eastAsia" w:asciiTheme="minorEastAsia" w:hAnsiTheme="minorEastAsia" w:eastAsiaTheme="minorEastAsia" w:cstheme="minorEastAsia"/>
          <w:kern w:val="2"/>
          <w:sz w:val="24"/>
          <w:szCs w:val="24"/>
          <w:lang w:val="en-US" w:eastAsia="zh-CN" w:bidi="ar-SA"/>
        </w:rPr>
        <w:t>3.4其他补充说</w:t>
      </w:r>
      <w:bookmarkEnd w:id="303"/>
      <w:bookmarkEnd w:id="304"/>
      <w:bookmarkEnd w:id="305"/>
    </w:p>
    <w:p>
      <w:pPr>
        <w:rPr>
          <w:rFonts w:hint="default" w:ascii="宋体" w:hAnsi="宋体" w:eastAsia="宋体" w:cs="宋体"/>
          <w:sz w:val="24"/>
          <w:szCs w:val="24"/>
          <w:lang w:val="en-US" w:eastAsia="zh-CN"/>
        </w:rPr>
        <w:sectPr>
          <w:footerReference r:id="rId4" w:type="default"/>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start="1"/>
          <w:cols w:space="720" w:num="1"/>
          <w:docGrid w:type="lines" w:linePitch="312" w:charSpace="0"/>
        </w:sectPr>
      </w:pPr>
      <w:r>
        <w:rPr>
          <w:rFonts w:hint="eastAsia" w:ascii="宋体" w:hAnsi="宋体" w:cs="宋体"/>
          <w:sz w:val="24"/>
          <w:szCs w:val="24"/>
          <w:lang w:eastAsia="zh-CN"/>
        </w:rPr>
        <w:t>工期</w:t>
      </w:r>
      <w:r>
        <w:rPr>
          <w:rFonts w:hint="eastAsia" w:ascii="宋体" w:hAnsi="宋体" w:eastAsia="宋体" w:cs="宋体"/>
          <w:sz w:val="24"/>
          <w:szCs w:val="24"/>
          <w:lang w:eastAsia="zh-CN"/>
        </w:rPr>
        <w:t>：</w:t>
      </w:r>
      <w:r>
        <w:rPr>
          <w:rFonts w:hint="eastAsia" w:ascii="宋体" w:hAnsi="宋体" w:cs="宋体"/>
          <w:sz w:val="24"/>
          <w:szCs w:val="24"/>
          <w:lang w:val="en-US" w:eastAsia="zh-CN"/>
        </w:rPr>
        <w:t>60日历日</w:t>
      </w:r>
    </w:p>
    <w:p>
      <w:pPr>
        <w:jc w:val="center"/>
        <w:outlineLvl w:val="0"/>
        <w:rPr>
          <w:rFonts w:hint="eastAsia" w:asciiTheme="minorEastAsia" w:hAnsiTheme="minorEastAsia" w:eastAsiaTheme="minorEastAsia" w:cstheme="minorEastAsia"/>
          <w:b/>
          <w:color w:val="000000"/>
          <w:sz w:val="24"/>
          <w:szCs w:val="24"/>
        </w:rPr>
      </w:pPr>
      <w:bookmarkStart w:id="306" w:name="_Toc30419"/>
      <w:bookmarkStart w:id="307" w:name="_Toc15487_WPSOffice_Level1"/>
      <w:bookmarkStart w:id="308" w:name="_Toc955_WPSOffice_Level1"/>
      <w:bookmarkStart w:id="309" w:name="_Toc6923_WPSOffice_Level1"/>
      <w:bookmarkStart w:id="310" w:name="_Toc18208_WPSOffice_Level1"/>
      <w:bookmarkStart w:id="311" w:name="_Toc5732_WPSOffice_Level1"/>
      <w:bookmarkStart w:id="312" w:name="_Toc31138"/>
      <w:bookmarkStart w:id="313" w:name="_Toc22544"/>
      <w:bookmarkStart w:id="314" w:name="_Toc18643_WPSOffice_Level1"/>
      <w:r>
        <w:rPr>
          <w:rFonts w:hint="eastAsia" w:asciiTheme="minorEastAsia" w:hAnsiTheme="minorEastAsia" w:eastAsiaTheme="minorEastAsia" w:cstheme="minorEastAsia"/>
          <w:b/>
          <w:bCs/>
          <w:kern w:val="2"/>
          <w:sz w:val="44"/>
          <w:szCs w:val="44"/>
          <w:lang w:val="en-US" w:eastAsia="zh-CN" w:bidi="ar-SA"/>
        </w:rPr>
        <w:t>第四部分 谈判响应文件格式</w:t>
      </w:r>
      <w:bookmarkEnd w:id="306"/>
      <w:bookmarkEnd w:id="307"/>
      <w:bookmarkEnd w:id="308"/>
      <w:bookmarkEnd w:id="309"/>
      <w:bookmarkEnd w:id="310"/>
      <w:bookmarkEnd w:id="311"/>
      <w:bookmarkEnd w:id="312"/>
      <w:bookmarkEnd w:id="313"/>
      <w:bookmarkEnd w:id="314"/>
    </w:p>
    <w:p>
      <w:pPr>
        <w:widowControl w:val="0"/>
        <w:wordWrap/>
        <w:adjustRightInd w:val="0"/>
        <w:snapToGrid w:val="0"/>
        <w:spacing w:line="560" w:lineRule="exact"/>
        <w:jc w:val="center"/>
        <w:textAlignment w:val="auto"/>
        <w:outlineLvl w:val="1"/>
        <w:rPr>
          <w:rFonts w:hint="eastAsia" w:asciiTheme="minorEastAsia" w:hAnsiTheme="minorEastAsia" w:eastAsiaTheme="minorEastAsia" w:cstheme="minorEastAsia"/>
          <w:kern w:val="2"/>
          <w:sz w:val="24"/>
          <w:szCs w:val="24"/>
          <w:lang w:val="en-US" w:eastAsia="zh-CN" w:bidi="ar-SA"/>
        </w:rPr>
      </w:pPr>
      <w:bookmarkStart w:id="315" w:name="_Toc12691_WPSOffice_Level2"/>
      <w:bookmarkStart w:id="316" w:name="_Toc20166_WPSOffice_Level2"/>
      <w:bookmarkStart w:id="317" w:name="_Toc11968"/>
      <w:bookmarkStart w:id="318" w:name="_Toc4945_WPSOffice_Level2"/>
      <w:bookmarkStart w:id="319" w:name="_Toc25414"/>
      <w:r>
        <w:rPr>
          <w:rFonts w:hint="eastAsia" w:asciiTheme="minorEastAsia" w:hAnsiTheme="minorEastAsia" w:eastAsiaTheme="minorEastAsia" w:cstheme="minorEastAsia"/>
          <w:kern w:val="2"/>
          <w:sz w:val="24"/>
          <w:szCs w:val="24"/>
          <w:lang w:val="en-US" w:eastAsia="zh-CN" w:bidi="ar-SA"/>
        </w:rPr>
        <w:t>十二、谈判响应文件的组成</w:t>
      </w:r>
      <w:bookmarkEnd w:id="315"/>
      <w:bookmarkEnd w:id="316"/>
      <w:bookmarkEnd w:id="317"/>
      <w:bookmarkEnd w:id="318"/>
      <w:bookmarkEnd w:id="319"/>
    </w:p>
    <w:p>
      <w:pPr>
        <w:widowControl w:val="0"/>
        <w:wordWrap/>
        <w:adjustRightInd w:val="0"/>
        <w:snapToGrid w:val="0"/>
        <w:spacing w:line="560" w:lineRule="exact"/>
        <w:jc w:val="left"/>
        <w:textAlignment w:val="auto"/>
        <w:outlineLvl w:val="2"/>
        <w:rPr>
          <w:rFonts w:hint="eastAsia" w:asciiTheme="minorEastAsia" w:hAnsiTheme="minorEastAsia" w:eastAsiaTheme="minorEastAsia" w:cstheme="minorEastAsia"/>
          <w:b/>
          <w:bCs/>
          <w:kern w:val="2"/>
          <w:sz w:val="24"/>
          <w:szCs w:val="24"/>
          <w:lang w:val="zh-CN" w:eastAsia="zh-CN" w:bidi="ar-SA"/>
        </w:rPr>
      </w:pPr>
      <w:bookmarkStart w:id="320" w:name="_Toc185_WPSOffice_Level2"/>
      <w:bookmarkStart w:id="321" w:name="_Toc22172"/>
      <w:bookmarkStart w:id="322" w:name="_Toc24938"/>
      <w:bookmarkStart w:id="323" w:name="_Toc31451_WPSOffice_Level3"/>
      <w:r>
        <w:rPr>
          <w:rFonts w:hint="eastAsia" w:asciiTheme="minorEastAsia" w:hAnsiTheme="minorEastAsia" w:eastAsiaTheme="minorEastAsia" w:cstheme="minorEastAsia"/>
          <w:b/>
          <w:bCs/>
          <w:kern w:val="2"/>
          <w:sz w:val="24"/>
          <w:szCs w:val="24"/>
          <w:lang w:val="zh-CN" w:eastAsia="zh-CN" w:bidi="ar-SA"/>
        </w:rPr>
        <w:t>（一）资格审查部分</w:t>
      </w:r>
      <w:bookmarkEnd w:id="320"/>
      <w:bookmarkEnd w:id="321"/>
      <w:bookmarkEnd w:id="322"/>
      <w:bookmarkEnd w:id="323"/>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24" w:name="_Toc19260_WPSOffice_Level3"/>
      <w:r>
        <w:rPr>
          <w:rFonts w:hint="eastAsia" w:asciiTheme="minorEastAsia" w:hAnsiTheme="minorEastAsia" w:eastAsiaTheme="minorEastAsia" w:cstheme="minorEastAsia"/>
          <w:kern w:val="2"/>
          <w:sz w:val="24"/>
          <w:szCs w:val="24"/>
          <w:lang w:val="zh-CN" w:eastAsia="zh-CN" w:bidi="ar-SA"/>
        </w:rPr>
        <w:t>1、响应函（见附件1）</w:t>
      </w:r>
      <w:bookmarkEnd w:id="324"/>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25" w:name="_Toc13122_WPSOffice_Level3"/>
      <w:r>
        <w:rPr>
          <w:rFonts w:hint="eastAsia" w:asciiTheme="minorEastAsia" w:hAnsiTheme="minorEastAsia" w:eastAsiaTheme="minorEastAsia" w:cstheme="minorEastAsia"/>
          <w:kern w:val="2"/>
          <w:sz w:val="24"/>
          <w:szCs w:val="24"/>
          <w:lang w:val="zh-CN" w:eastAsia="zh-CN" w:bidi="ar-SA"/>
        </w:rPr>
        <w:t>2、法定代表人证明书（见附件2）</w:t>
      </w:r>
      <w:bookmarkEnd w:id="325"/>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26" w:name="_Toc5677_WPSOffice_Level3"/>
      <w:r>
        <w:rPr>
          <w:rFonts w:hint="eastAsia" w:asciiTheme="minorEastAsia" w:hAnsiTheme="minorEastAsia" w:eastAsiaTheme="minorEastAsia" w:cstheme="minorEastAsia"/>
          <w:kern w:val="2"/>
          <w:sz w:val="24"/>
          <w:szCs w:val="24"/>
          <w:lang w:val="zh-CN" w:eastAsia="zh-CN" w:bidi="ar-SA"/>
        </w:rPr>
        <w:t>3、法定代表人授权书（见附件3）</w:t>
      </w:r>
      <w:bookmarkEnd w:id="326"/>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27" w:name="_Toc1890_WPSOffice_Level3"/>
      <w:r>
        <w:rPr>
          <w:rFonts w:hint="eastAsia" w:asciiTheme="minorEastAsia" w:hAnsiTheme="minorEastAsia" w:eastAsiaTheme="minorEastAsia" w:cstheme="minorEastAsia"/>
          <w:kern w:val="2"/>
          <w:sz w:val="24"/>
          <w:szCs w:val="24"/>
          <w:lang w:val="zh-CN" w:eastAsia="zh-CN" w:bidi="ar-SA"/>
        </w:rPr>
        <w:t>4、供应商承诺函（见附件4）</w:t>
      </w:r>
      <w:bookmarkEnd w:id="327"/>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28" w:name="_Toc25873_WPSOffice_Level3"/>
      <w:r>
        <w:rPr>
          <w:rFonts w:hint="eastAsia" w:asciiTheme="minorEastAsia" w:hAnsiTheme="minorEastAsia" w:eastAsiaTheme="minorEastAsia" w:cstheme="minorEastAsia"/>
          <w:kern w:val="2"/>
          <w:sz w:val="24"/>
          <w:szCs w:val="24"/>
          <w:lang w:val="zh-CN" w:eastAsia="zh-CN" w:bidi="ar-SA"/>
        </w:rPr>
        <w:t>5、供应商诚信承诺书（见附件5）</w:t>
      </w:r>
      <w:bookmarkEnd w:id="328"/>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29" w:name="_Toc31370_WPSOffice_Level3"/>
      <w:r>
        <w:rPr>
          <w:rFonts w:hint="eastAsia" w:asciiTheme="minorEastAsia" w:hAnsiTheme="minorEastAsia" w:eastAsiaTheme="minorEastAsia" w:cstheme="minorEastAsia"/>
          <w:kern w:val="2"/>
          <w:sz w:val="24"/>
          <w:szCs w:val="24"/>
          <w:lang w:val="zh-CN" w:eastAsia="zh-CN" w:bidi="ar-SA"/>
        </w:rPr>
        <w:t>6、供应商资格证明文件（见附件6）</w:t>
      </w:r>
      <w:bookmarkEnd w:id="329"/>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30" w:name="_Toc10045_WPSOffice_Level3"/>
      <w:r>
        <w:rPr>
          <w:rFonts w:hint="eastAsia" w:asciiTheme="minorEastAsia" w:hAnsiTheme="minorEastAsia" w:eastAsiaTheme="minorEastAsia" w:cstheme="minorEastAsia"/>
          <w:kern w:val="2"/>
          <w:sz w:val="24"/>
          <w:szCs w:val="24"/>
          <w:lang w:val="zh-CN" w:eastAsia="zh-CN" w:bidi="ar-SA"/>
        </w:rPr>
        <w:t>7、财务状况、缴纳税收和社会保障资金证明（见附件7）</w:t>
      </w:r>
      <w:bookmarkEnd w:id="330"/>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31" w:name="_Toc12223_WPSOffice_Level3"/>
      <w:r>
        <w:rPr>
          <w:rFonts w:hint="eastAsia" w:asciiTheme="minorEastAsia" w:hAnsiTheme="minorEastAsia" w:eastAsiaTheme="minorEastAsia" w:cstheme="minorEastAsia"/>
          <w:kern w:val="2"/>
          <w:sz w:val="24"/>
          <w:szCs w:val="24"/>
          <w:lang w:val="zh-CN" w:eastAsia="zh-CN" w:bidi="ar-SA"/>
        </w:rPr>
        <w:t>8、无重大违法记录声明（见附件</w:t>
      </w:r>
      <w:r>
        <w:rPr>
          <w:rFonts w:hint="eastAsia" w:asciiTheme="minorEastAsia" w:hAnsiTheme="minorEastAsia" w:eastAsiaTheme="minorEastAsia" w:cstheme="minorEastAsia"/>
          <w:kern w:val="2"/>
          <w:sz w:val="24"/>
          <w:szCs w:val="24"/>
          <w:lang w:val="en-US" w:eastAsia="zh-CN" w:bidi="ar-SA"/>
        </w:rPr>
        <w:t>8</w:t>
      </w:r>
      <w:r>
        <w:rPr>
          <w:rFonts w:hint="eastAsia" w:asciiTheme="minorEastAsia" w:hAnsiTheme="minorEastAsia" w:eastAsiaTheme="minorEastAsia" w:cstheme="minorEastAsia"/>
          <w:kern w:val="2"/>
          <w:sz w:val="24"/>
          <w:szCs w:val="24"/>
          <w:lang w:val="zh-CN" w:eastAsia="zh-CN" w:bidi="ar-SA"/>
        </w:rPr>
        <w:t>）</w:t>
      </w:r>
      <w:bookmarkEnd w:id="331"/>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en-US" w:eastAsia="zh-CN" w:bidi="ar-SA"/>
        </w:rPr>
      </w:pPr>
      <w:bookmarkStart w:id="332" w:name="_Toc10394_WPSOffice_Level3"/>
      <w:r>
        <w:rPr>
          <w:rFonts w:hint="eastAsia" w:asciiTheme="minorEastAsia" w:hAnsiTheme="minorEastAsia" w:eastAsiaTheme="minorEastAsia" w:cstheme="minorEastAsia"/>
          <w:kern w:val="2"/>
          <w:sz w:val="24"/>
          <w:szCs w:val="24"/>
          <w:lang w:val="en-US" w:eastAsia="zh-CN" w:bidi="ar-SA"/>
        </w:rPr>
        <w:t>9、谈判保证金证明（见附件9）</w:t>
      </w:r>
      <w:bookmarkEnd w:id="332"/>
    </w:p>
    <w:p>
      <w:pPr>
        <w:widowControl w:val="0"/>
        <w:wordWrap/>
        <w:adjustRightInd w:val="0"/>
        <w:snapToGrid w:val="0"/>
        <w:spacing w:line="560" w:lineRule="exact"/>
        <w:jc w:val="left"/>
        <w:textAlignment w:val="auto"/>
        <w:outlineLvl w:val="2"/>
        <w:rPr>
          <w:rFonts w:hint="eastAsia" w:asciiTheme="minorEastAsia" w:hAnsiTheme="minorEastAsia" w:eastAsiaTheme="minorEastAsia" w:cstheme="minorEastAsia"/>
          <w:b/>
          <w:bCs/>
          <w:kern w:val="2"/>
          <w:sz w:val="24"/>
          <w:szCs w:val="24"/>
          <w:lang w:val="zh-CN" w:eastAsia="zh-CN" w:bidi="ar-SA"/>
        </w:rPr>
      </w:pPr>
      <w:bookmarkStart w:id="333" w:name="_Toc21135"/>
      <w:bookmarkStart w:id="334" w:name="_Toc3154_WPSOffice_Level2"/>
      <w:bookmarkStart w:id="335" w:name="_Toc14583"/>
      <w:bookmarkStart w:id="336" w:name="_Toc18301_WPSOffice_Level3"/>
      <w:r>
        <w:rPr>
          <w:rFonts w:hint="eastAsia" w:asciiTheme="minorEastAsia" w:hAnsiTheme="minorEastAsia" w:eastAsiaTheme="minorEastAsia" w:cstheme="minorEastAsia"/>
          <w:b/>
          <w:bCs/>
          <w:kern w:val="2"/>
          <w:sz w:val="24"/>
          <w:szCs w:val="24"/>
          <w:lang w:val="zh-CN" w:eastAsia="zh-CN" w:bidi="ar-SA"/>
        </w:rPr>
        <w:t>（二）有效性、完整性、响应程度审查部分</w:t>
      </w:r>
      <w:bookmarkEnd w:id="333"/>
      <w:bookmarkEnd w:id="334"/>
      <w:bookmarkEnd w:id="335"/>
      <w:bookmarkEnd w:id="336"/>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37" w:name="_Toc9730_WPSOffice_Level3"/>
      <w:r>
        <w:rPr>
          <w:rFonts w:hint="eastAsia" w:asciiTheme="minorEastAsia" w:hAnsiTheme="minorEastAsia" w:eastAsiaTheme="minorEastAsia" w:cstheme="minorEastAsia"/>
          <w:kern w:val="2"/>
          <w:sz w:val="24"/>
          <w:szCs w:val="24"/>
          <w:lang w:val="zh-CN" w:eastAsia="zh-CN" w:bidi="ar-SA"/>
        </w:rPr>
        <w:t>1、谈判首次报价表（见附件</w:t>
      </w:r>
      <w:r>
        <w:rPr>
          <w:rFonts w:hint="eastAsia" w:asciiTheme="minorEastAsia" w:hAnsiTheme="minorEastAsia" w:eastAsiaTheme="minorEastAsia" w:cstheme="minorEastAsia"/>
          <w:kern w:val="2"/>
          <w:sz w:val="24"/>
          <w:szCs w:val="24"/>
          <w:lang w:val="en-US" w:eastAsia="zh-CN" w:bidi="ar-SA"/>
        </w:rPr>
        <w:t>10</w:t>
      </w:r>
      <w:r>
        <w:rPr>
          <w:rFonts w:hint="eastAsia" w:asciiTheme="minorEastAsia" w:hAnsiTheme="minorEastAsia" w:eastAsiaTheme="minorEastAsia" w:cstheme="minorEastAsia"/>
          <w:kern w:val="2"/>
          <w:sz w:val="24"/>
          <w:szCs w:val="24"/>
          <w:lang w:val="zh-CN" w:eastAsia="zh-CN" w:bidi="ar-SA"/>
        </w:rPr>
        <w:t>）</w:t>
      </w:r>
      <w:bookmarkEnd w:id="337"/>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38" w:name="_Toc15196_WPSOffice_Level3"/>
      <w:r>
        <w:rPr>
          <w:rFonts w:hint="eastAsia" w:asciiTheme="minorEastAsia" w:hAnsiTheme="minorEastAsia" w:eastAsiaTheme="minorEastAsia" w:cstheme="minorEastAsia"/>
          <w:kern w:val="2"/>
          <w:sz w:val="24"/>
          <w:szCs w:val="24"/>
          <w:lang w:val="zh-CN" w:eastAsia="zh-CN" w:bidi="ar-SA"/>
        </w:rPr>
        <w:t>2、已标价工程量清单（见附件1</w:t>
      </w: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zh-CN" w:eastAsia="zh-CN" w:bidi="ar-SA"/>
        </w:rPr>
        <w:t>）</w:t>
      </w:r>
      <w:bookmarkEnd w:id="338"/>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39" w:name="_Toc319_WPSOffice_Level3"/>
      <w:r>
        <w:rPr>
          <w:rFonts w:hint="eastAsia" w:asciiTheme="minorEastAsia" w:hAnsiTheme="minorEastAsia" w:eastAsiaTheme="minorEastAsia" w:cstheme="minorEastAsia"/>
          <w:kern w:val="2"/>
          <w:sz w:val="24"/>
          <w:szCs w:val="24"/>
          <w:lang w:val="zh-CN" w:eastAsia="zh-CN" w:bidi="ar-SA"/>
        </w:rPr>
        <w:t>3、施工组织设计（见附件1</w:t>
      </w: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zh-CN" w:eastAsia="zh-CN" w:bidi="ar-SA"/>
        </w:rPr>
        <w:t>）</w:t>
      </w:r>
      <w:bookmarkEnd w:id="339"/>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40" w:name="_Toc22060_WPSOffice_Level3"/>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kern w:val="2"/>
          <w:sz w:val="24"/>
          <w:szCs w:val="24"/>
          <w:lang w:val="zh-CN" w:eastAsia="zh-CN" w:bidi="ar-SA"/>
        </w:rPr>
        <w:t>、项目管理机构（见附件1</w:t>
      </w: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zh-CN" w:eastAsia="zh-CN" w:bidi="ar-SA"/>
        </w:rPr>
        <w:t>）</w:t>
      </w:r>
    </w:p>
    <w:bookmarkEnd w:id="340"/>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zh-CN" w:eastAsia="zh-CN" w:bidi="ar-SA"/>
        </w:rPr>
      </w:pPr>
      <w:bookmarkStart w:id="341" w:name="_Toc1748_WPSOffice_Level3"/>
      <w:r>
        <w:rPr>
          <w:rFonts w:hint="eastAsia"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zh-CN" w:eastAsia="zh-CN" w:bidi="ar-SA"/>
        </w:rPr>
        <w:t>享受政府采购政策优惠的证明资料（见附件</w:t>
      </w:r>
      <w:r>
        <w:rPr>
          <w:rFonts w:hint="eastAsia" w:asciiTheme="minorEastAsia" w:hAnsiTheme="minorEastAsia" w:eastAsiaTheme="minorEastAsia" w:cstheme="minorEastAsia"/>
          <w:kern w:val="2"/>
          <w:sz w:val="24"/>
          <w:szCs w:val="24"/>
          <w:lang w:val="en-US" w:eastAsia="zh-CN" w:bidi="ar-SA"/>
        </w:rPr>
        <w:t>14</w:t>
      </w:r>
      <w:r>
        <w:rPr>
          <w:rFonts w:hint="eastAsia" w:asciiTheme="minorEastAsia" w:hAnsiTheme="minorEastAsia" w:eastAsiaTheme="minorEastAsia" w:cstheme="minorEastAsia"/>
          <w:kern w:val="2"/>
          <w:sz w:val="24"/>
          <w:szCs w:val="24"/>
          <w:lang w:val="zh-CN" w:eastAsia="zh-CN" w:bidi="ar-SA"/>
        </w:rPr>
        <w:t>）</w:t>
      </w:r>
      <w:bookmarkEnd w:id="341"/>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en-US" w:eastAsia="zh-CN" w:bidi="ar-SA"/>
        </w:rPr>
      </w:pPr>
      <w:bookmarkStart w:id="342" w:name="_Toc30100_WPSOffice_Level3"/>
      <w:r>
        <w:rPr>
          <w:rFonts w:hint="eastAsia" w:asciiTheme="minorEastAsia" w:hAnsiTheme="minorEastAsia" w:eastAsiaTheme="minorEastAsia" w:cstheme="minorEastAsia"/>
          <w:kern w:val="2"/>
          <w:sz w:val="24"/>
          <w:szCs w:val="24"/>
          <w:lang w:val="en-US" w:eastAsia="zh-CN" w:bidi="ar-SA"/>
        </w:rPr>
        <w:t>6、谈判最后报价表（见附件15）</w:t>
      </w:r>
      <w:bookmarkEnd w:id="342"/>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en-US" w:eastAsia="zh-CN" w:bidi="ar-SA"/>
        </w:rPr>
      </w:pPr>
      <w:bookmarkStart w:id="343" w:name="_Toc5088_WPSOffice_Level3"/>
      <w:r>
        <w:rPr>
          <w:rFonts w:hint="eastAsia" w:asciiTheme="minorEastAsia" w:hAnsiTheme="minorEastAsia" w:eastAsiaTheme="minorEastAsia" w:cstheme="minorEastAsia"/>
          <w:kern w:val="2"/>
          <w:sz w:val="24"/>
          <w:szCs w:val="24"/>
          <w:lang w:val="en-US" w:eastAsia="zh-CN" w:bidi="ar-SA"/>
        </w:rPr>
        <w:t>7、农民工工资保障措施（格式自定）</w:t>
      </w:r>
      <w:bookmarkEnd w:id="343"/>
    </w:p>
    <w:p>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24"/>
          <w:szCs w:val="24"/>
          <w:lang w:val="en-US" w:eastAsia="zh-CN" w:bidi="ar-SA"/>
        </w:rPr>
      </w:pPr>
    </w:p>
    <w:p>
      <w:pPr>
        <w:widowControl w:val="0"/>
        <w:wordWrap/>
        <w:adjustRightInd w:val="0"/>
        <w:snapToGrid w:val="0"/>
        <w:spacing w:line="560" w:lineRule="exact"/>
        <w:jc w:val="center"/>
        <w:textAlignment w:val="auto"/>
        <w:outlineLvl w:val="1"/>
        <w:rPr>
          <w:rFonts w:hint="eastAsia" w:asciiTheme="minorEastAsia" w:hAnsiTheme="minorEastAsia" w:eastAsiaTheme="minorEastAsia" w:cstheme="minorEastAsia"/>
          <w:kern w:val="2"/>
          <w:sz w:val="24"/>
          <w:szCs w:val="24"/>
          <w:lang w:val="en-US" w:eastAsia="zh-CN" w:bidi="ar-SA"/>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start="1"/>
          <w:cols w:space="720" w:num="1"/>
          <w:docGrid w:type="lines" w:linePitch="312" w:charSpace="0"/>
        </w:sectPr>
      </w:pPr>
      <w:bookmarkStart w:id="344" w:name="_Toc11918"/>
      <w:bookmarkStart w:id="345" w:name="_Toc1684_WPSOffice_Level2"/>
      <w:bookmarkStart w:id="346" w:name="_Toc14930_WPSOffice_Level2"/>
      <w:bookmarkStart w:id="347" w:name="_Toc5252_WPSOffice_Level2"/>
    </w:p>
    <w:p>
      <w:pPr>
        <w:widowControl w:val="0"/>
        <w:wordWrap/>
        <w:adjustRightInd w:val="0"/>
        <w:snapToGrid w:val="0"/>
        <w:spacing w:line="560" w:lineRule="exact"/>
        <w:jc w:val="center"/>
        <w:textAlignment w:val="auto"/>
        <w:outlineLvl w:val="1"/>
        <w:rPr>
          <w:rFonts w:hint="eastAsia" w:asciiTheme="minorEastAsia" w:hAnsiTheme="minorEastAsia" w:eastAsiaTheme="minorEastAsia" w:cstheme="minorEastAsia"/>
          <w:kern w:val="2"/>
          <w:sz w:val="24"/>
          <w:szCs w:val="24"/>
          <w:lang w:val="en-US" w:eastAsia="zh-CN" w:bidi="ar-SA"/>
        </w:rPr>
      </w:pPr>
      <w:bookmarkStart w:id="348" w:name="_Toc9999"/>
      <w:r>
        <w:rPr>
          <w:rFonts w:hint="eastAsia" w:asciiTheme="minorEastAsia" w:hAnsiTheme="minorEastAsia" w:eastAsiaTheme="minorEastAsia" w:cstheme="minorEastAsia"/>
          <w:kern w:val="2"/>
          <w:sz w:val="24"/>
          <w:szCs w:val="24"/>
          <w:lang w:val="en-US" w:eastAsia="zh-CN" w:bidi="ar-SA"/>
        </w:rPr>
        <w:t>十三、谈判响应文件</w:t>
      </w:r>
      <w:bookmarkEnd w:id="344"/>
      <w:bookmarkEnd w:id="345"/>
      <w:bookmarkEnd w:id="346"/>
      <w:bookmarkEnd w:id="347"/>
      <w:bookmarkEnd w:id="348"/>
    </w:p>
    <w:p>
      <w:pPr>
        <w:wordWrap/>
        <w:spacing w:before="157" w:beforeLines="50" w:line="560" w:lineRule="exact"/>
        <w:ind w:firstLine="964" w:firstLineChars="400"/>
        <w:rPr>
          <w:rFonts w:hint="eastAsia" w:asciiTheme="minorEastAsia" w:hAnsiTheme="minorEastAsia" w:eastAsiaTheme="minorEastAsia" w:cstheme="minorEastAsia"/>
          <w:b/>
          <w:color w:val="000000"/>
          <w:sz w:val="24"/>
          <w:szCs w:val="24"/>
        </w:rPr>
      </w:pPr>
      <w:bookmarkStart w:id="349" w:name="_Toc28269_WPSOffice_Level3"/>
    </w:p>
    <w:p>
      <w:pPr>
        <w:wordWrap/>
        <w:spacing w:before="157" w:beforeLines="50" w:line="560" w:lineRule="exact"/>
        <w:ind w:firstLine="3092" w:firstLineChars="700"/>
        <w:jc w:val="both"/>
        <w:outlineLvl w:val="9"/>
        <w:rPr>
          <w:rFonts w:hint="eastAsia" w:asciiTheme="minorEastAsia" w:hAnsiTheme="minorEastAsia" w:eastAsiaTheme="minorEastAsia" w:cstheme="minorEastAsia"/>
          <w:b/>
          <w:color w:val="000000"/>
          <w:sz w:val="44"/>
          <w:szCs w:val="44"/>
        </w:rPr>
      </w:pPr>
      <w:bookmarkStart w:id="350" w:name="_Toc10997_WPSOffice_Level2"/>
      <w:bookmarkStart w:id="351" w:name="_Toc31682_WPSOffice_Level2"/>
      <w:r>
        <w:rPr>
          <w:rFonts w:hint="eastAsia" w:asciiTheme="minorEastAsia" w:hAnsiTheme="minorEastAsia" w:eastAsiaTheme="minorEastAsia" w:cstheme="minorEastAsia"/>
          <w:b/>
          <w:color w:val="000000"/>
          <w:sz w:val="44"/>
          <w:szCs w:val="44"/>
        </w:rPr>
        <w:t>青海省政府采购项目</w:t>
      </w:r>
      <w:bookmarkEnd w:id="349"/>
      <w:bookmarkEnd w:id="350"/>
      <w:bookmarkEnd w:id="351"/>
    </w:p>
    <w:p>
      <w:pPr>
        <w:wordWrap/>
        <w:spacing w:before="157" w:beforeLines="50" w:line="560" w:lineRule="exact"/>
        <w:ind w:firstLine="3975" w:firstLineChars="900"/>
        <w:jc w:val="both"/>
        <w:outlineLvl w:val="9"/>
        <w:rPr>
          <w:rFonts w:hint="eastAsia" w:asciiTheme="minorEastAsia" w:hAnsiTheme="minorEastAsia" w:eastAsiaTheme="minorEastAsia" w:cstheme="minorEastAsia"/>
          <w:b/>
          <w:color w:val="000000"/>
          <w:sz w:val="44"/>
          <w:szCs w:val="44"/>
        </w:rPr>
      </w:pPr>
      <w:bookmarkStart w:id="352" w:name="_Toc23622_WPSOffice_Level2"/>
      <w:bookmarkStart w:id="353" w:name="_Toc25378_WPSOffice_Level2"/>
      <w:r>
        <w:rPr>
          <w:rFonts w:hint="eastAsia" w:asciiTheme="minorEastAsia" w:hAnsiTheme="minorEastAsia" w:eastAsiaTheme="minorEastAsia" w:cstheme="minorEastAsia"/>
          <w:b/>
          <w:color w:val="000000"/>
          <w:sz w:val="44"/>
          <w:szCs w:val="44"/>
        </w:rPr>
        <w:t>谈判响应文件</w:t>
      </w:r>
      <w:bookmarkEnd w:id="352"/>
      <w:bookmarkEnd w:id="353"/>
    </w:p>
    <w:p>
      <w:pPr>
        <w:wordWrap/>
        <w:adjustRightInd w:val="0"/>
        <w:spacing w:before="157" w:beforeLines="50" w:line="560" w:lineRule="exact"/>
        <w:ind w:firstLine="4196" w:firstLineChars="950"/>
        <w:textAlignment w:val="baseline"/>
        <w:outlineLvl w:val="9"/>
        <w:rPr>
          <w:rFonts w:hint="eastAsia" w:asciiTheme="minorEastAsia" w:hAnsiTheme="minorEastAsia" w:eastAsiaTheme="minorEastAsia" w:cstheme="minorEastAsia"/>
          <w:b/>
          <w:bCs/>
          <w:color w:val="000000"/>
          <w:sz w:val="44"/>
          <w:szCs w:val="44"/>
        </w:rPr>
      </w:pPr>
      <w:bookmarkStart w:id="354" w:name="_Toc28825_WPSOffice_Level2"/>
      <w:bookmarkStart w:id="355" w:name="_Toc13231_WPSOffice_Level2"/>
    </w:p>
    <w:p>
      <w:pPr>
        <w:wordWrap/>
        <w:adjustRightInd w:val="0"/>
        <w:spacing w:before="157" w:beforeLines="50" w:line="560" w:lineRule="exact"/>
        <w:ind w:firstLine="3534" w:firstLineChars="800"/>
        <w:jc w:val="both"/>
        <w:textAlignment w:val="baseline"/>
        <w:outlineLvl w:val="9"/>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rPr>
        <w:t>（</w:t>
      </w:r>
      <w:r>
        <w:rPr>
          <w:rFonts w:hint="eastAsia" w:asciiTheme="minorEastAsia" w:hAnsiTheme="minorEastAsia" w:eastAsiaTheme="minorEastAsia" w:cstheme="minorEastAsia"/>
          <w:b w:val="0"/>
          <w:bCs w:val="0"/>
          <w:kern w:val="2"/>
          <w:sz w:val="44"/>
          <w:szCs w:val="44"/>
          <w:lang w:val="en-US" w:eastAsia="zh-CN" w:bidi="ar-SA"/>
        </w:rPr>
        <w:t>资格审查部分</w:t>
      </w:r>
      <w:r>
        <w:rPr>
          <w:rFonts w:hint="eastAsia" w:asciiTheme="minorEastAsia" w:hAnsiTheme="minorEastAsia" w:eastAsiaTheme="minorEastAsia" w:cstheme="minorEastAsia"/>
          <w:b/>
          <w:bCs/>
          <w:color w:val="000000"/>
          <w:sz w:val="44"/>
          <w:szCs w:val="44"/>
        </w:rPr>
        <w:t>）</w:t>
      </w:r>
      <w:bookmarkEnd w:id="354"/>
      <w:bookmarkEnd w:id="355"/>
    </w:p>
    <w:p>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44"/>
          <w:szCs w:val="44"/>
        </w:rPr>
      </w:pPr>
    </w:p>
    <w:p>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44"/>
          <w:szCs w:val="44"/>
        </w:rPr>
      </w:pPr>
    </w:p>
    <w:p>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24"/>
          <w:szCs w:val="24"/>
        </w:rPr>
      </w:pPr>
    </w:p>
    <w:p>
      <w:pPr>
        <w:wordWrap/>
        <w:adjustRightInd w:val="0"/>
        <w:spacing w:before="157" w:beforeLines="50" w:line="560" w:lineRule="exact"/>
        <w:ind w:firstLine="1405" w:firstLineChars="500"/>
        <w:jc w:val="left"/>
        <w:textAlignment w:val="baseline"/>
        <w:outlineLvl w:val="9"/>
        <w:rPr>
          <w:rFonts w:hint="default" w:asciiTheme="minorEastAsia" w:hAnsiTheme="minorEastAsia" w:eastAsiaTheme="minorEastAsia" w:cstheme="minorEastAsia"/>
          <w:b/>
          <w:bCs/>
          <w:color w:val="000000"/>
          <w:sz w:val="28"/>
          <w:szCs w:val="28"/>
          <w:lang w:val="en-US" w:eastAsia="zh-CN"/>
        </w:rPr>
      </w:pPr>
      <w:bookmarkStart w:id="356" w:name="_Toc19521_WPSOffice_Level2"/>
      <w:bookmarkStart w:id="357" w:name="_Toc29803_WPSOffice_Level2"/>
      <w:r>
        <w:rPr>
          <w:rFonts w:hint="eastAsia" w:asciiTheme="minorEastAsia" w:hAnsiTheme="minorEastAsia" w:eastAsiaTheme="minorEastAsia" w:cstheme="minorEastAsia"/>
          <w:b/>
          <w:bCs/>
          <w:color w:val="000000"/>
          <w:sz w:val="28"/>
          <w:szCs w:val="28"/>
        </w:rPr>
        <w:t>采购项目编号:</w:t>
      </w:r>
      <w:bookmarkEnd w:id="356"/>
      <w:bookmarkEnd w:id="357"/>
      <w:r>
        <w:rPr>
          <w:rFonts w:hint="eastAsia" w:asciiTheme="minorEastAsia" w:hAnsiTheme="minorEastAsia" w:eastAsiaTheme="minorEastAsia" w:cstheme="minorEastAsia"/>
          <w:b/>
          <w:bCs/>
          <w:color w:val="000000"/>
          <w:sz w:val="28"/>
          <w:szCs w:val="28"/>
          <w:lang w:eastAsia="zh-CN"/>
        </w:rPr>
        <w:t>青海汇森竞谈（工程）2022-037</w:t>
      </w:r>
    </w:p>
    <w:p>
      <w:pPr>
        <w:wordWrap/>
        <w:adjustRightInd w:val="0"/>
        <w:spacing w:before="157" w:beforeLines="50" w:line="560" w:lineRule="exact"/>
        <w:ind w:firstLine="1405" w:firstLineChars="500"/>
        <w:jc w:val="left"/>
        <w:textAlignment w:val="baseline"/>
        <w:outlineLvl w:val="9"/>
        <w:rPr>
          <w:rFonts w:hint="eastAsia" w:asciiTheme="minorEastAsia" w:hAnsiTheme="minorEastAsia" w:eastAsiaTheme="minorEastAsia" w:cstheme="minorEastAsia"/>
          <w:b/>
          <w:bCs/>
          <w:color w:val="000000"/>
          <w:sz w:val="28"/>
          <w:szCs w:val="28"/>
        </w:rPr>
      </w:pPr>
      <w:bookmarkStart w:id="358" w:name="_Toc14786_WPSOffice_Level2"/>
      <w:bookmarkStart w:id="359" w:name="_Toc18713_WPSOffice_Level2"/>
      <w:r>
        <w:rPr>
          <w:rFonts w:hint="eastAsia" w:asciiTheme="minorEastAsia" w:hAnsiTheme="minorEastAsia" w:eastAsiaTheme="minorEastAsia" w:cstheme="minorEastAsia"/>
          <w:b/>
          <w:bCs/>
          <w:color w:val="000000"/>
          <w:sz w:val="28"/>
          <w:szCs w:val="28"/>
        </w:rPr>
        <w:t>采购项目名称:</w:t>
      </w:r>
      <w:bookmarkEnd w:id="358"/>
      <w:bookmarkEnd w:id="359"/>
      <w:r>
        <w:rPr>
          <w:rFonts w:hint="eastAsia" w:asciiTheme="minorEastAsia" w:hAnsiTheme="minorEastAsia" w:eastAsiaTheme="minorEastAsia" w:cstheme="minorEastAsia"/>
          <w:b/>
          <w:bCs/>
          <w:color w:val="000000"/>
          <w:sz w:val="28"/>
          <w:szCs w:val="28"/>
          <w:lang w:val="en-US" w:eastAsia="zh-CN"/>
        </w:rPr>
        <w:t xml:space="preserve">泉吉乡宁夏村党员活动室阳光暖廓建设项目  </w:t>
      </w:r>
    </w:p>
    <w:p>
      <w:pPr>
        <w:wordWrap/>
        <w:adjustRightInd w:val="0"/>
        <w:spacing w:before="157" w:beforeLines="50" w:line="560" w:lineRule="exact"/>
        <w:ind w:firstLine="1405" w:firstLineChars="500"/>
        <w:jc w:val="left"/>
        <w:textAlignment w:val="baseline"/>
        <w:outlineLvl w:val="9"/>
        <w:rPr>
          <w:rFonts w:hint="eastAsia" w:asciiTheme="minorEastAsia" w:hAnsiTheme="minorEastAsia" w:eastAsiaTheme="minorEastAsia" w:cstheme="minorEastAsia"/>
          <w:b/>
          <w:bCs/>
          <w:color w:val="000000"/>
          <w:sz w:val="28"/>
          <w:szCs w:val="28"/>
          <w:lang w:eastAsia="zh-CN"/>
        </w:rPr>
      </w:pPr>
      <w:bookmarkStart w:id="360" w:name="_Toc22044_WPSOffice_Level2"/>
      <w:bookmarkStart w:id="361" w:name="_Toc14087_WPSOffice_Level2"/>
      <w:r>
        <w:rPr>
          <w:rFonts w:hint="eastAsia" w:asciiTheme="minorEastAsia" w:hAnsiTheme="minorEastAsia" w:eastAsiaTheme="minorEastAsia" w:cstheme="minorEastAsia"/>
          <w:b/>
          <w:bCs/>
          <w:color w:val="000000"/>
          <w:sz w:val="28"/>
          <w:szCs w:val="28"/>
          <w:lang w:eastAsia="zh-CN"/>
        </w:rPr>
        <w:t>供应商名称：</w:t>
      </w:r>
      <w:bookmarkEnd w:id="360"/>
      <w:bookmarkEnd w:id="361"/>
    </w:p>
    <w:p>
      <w:pPr>
        <w:wordWrap/>
        <w:spacing w:before="157" w:beforeLines="50" w:line="560" w:lineRule="exact"/>
        <w:jc w:val="left"/>
        <w:outlineLvl w:val="9"/>
        <w:rPr>
          <w:rFonts w:hint="eastAsia" w:asciiTheme="minorEastAsia" w:hAnsiTheme="minorEastAsia" w:eastAsiaTheme="minorEastAsia" w:cstheme="minorEastAsia"/>
          <w:b/>
          <w:bCs/>
          <w:color w:val="000000"/>
          <w:sz w:val="24"/>
          <w:szCs w:val="24"/>
        </w:rPr>
      </w:pPr>
    </w:p>
    <w:p>
      <w:pPr>
        <w:wordWrap/>
        <w:spacing w:before="157" w:beforeLines="50" w:line="560" w:lineRule="exact"/>
        <w:jc w:val="center"/>
        <w:outlineLvl w:val="9"/>
        <w:rPr>
          <w:rFonts w:hint="eastAsia" w:asciiTheme="minorEastAsia" w:hAnsiTheme="minorEastAsia" w:eastAsiaTheme="minorEastAsia" w:cstheme="minorEastAsia"/>
          <w:b/>
          <w:color w:val="000000"/>
          <w:sz w:val="28"/>
          <w:szCs w:val="28"/>
        </w:rPr>
      </w:pPr>
      <w:bookmarkStart w:id="362" w:name="_Toc1142_WPSOffice_Level3"/>
      <w:r>
        <w:rPr>
          <w:rFonts w:hint="eastAsia" w:asciiTheme="minorEastAsia" w:hAnsiTheme="minorEastAsia" w:eastAsiaTheme="minorEastAsia" w:cstheme="minorEastAsia"/>
          <w:b/>
          <w:color w:val="000000"/>
          <w:sz w:val="28"/>
          <w:szCs w:val="28"/>
        </w:rPr>
        <w:t>年  月  日</w:t>
      </w:r>
      <w:bookmarkEnd w:id="362"/>
    </w:p>
    <w:p>
      <w:pPr>
        <w:widowControl/>
        <w:wordWrap/>
        <w:snapToGrid w:val="0"/>
        <w:spacing w:before="157" w:beforeLines="50" w:line="560" w:lineRule="exact"/>
        <w:jc w:val="left"/>
        <w:outlineLvl w:val="9"/>
        <w:rPr>
          <w:rFonts w:hint="eastAsia" w:asciiTheme="minorEastAsia" w:hAnsiTheme="minorEastAsia" w:eastAsiaTheme="minorEastAsia" w:cstheme="minorEastAsia"/>
          <w:b/>
          <w:color w:val="000000"/>
          <w:sz w:val="24"/>
          <w:szCs w:val="24"/>
        </w:rPr>
      </w:pPr>
    </w:p>
    <w:p>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br w:type="page"/>
      </w:r>
      <w:bookmarkStart w:id="363" w:name="_Toc27597"/>
      <w:bookmarkStart w:id="364" w:name="_Toc19203"/>
      <w:bookmarkStart w:id="365" w:name="_Toc27578"/>
      <w:bookmarkStart w:id="366" w:name="_Toc32479_WPSOffice_Level3"/>
      <w:bookmarkStart w:id="367" w:name="_Toc32379"/>
      <w:r>
        <w:rPr>
          <w:rStyle w:val="42"/>
          <w:rFonts w:hint="eastAsia"/>
          <w:lang w:eastAsia="zh-CN"/>
        </w:rPr>
        <w:t>附件1：响应函</w:t>
      </w:r>
      <w:bookmarkEnd w:id="363"/>
      <w:bookmarkEnd w:id="364"/>
      <w:bookmarkEnd w:id="365"/>
      <w:bookmarkEnd w:id="366"/>
      <w:bookmarkEnd w:id="367"/>
    </w:p>
    <w:p>
      <w:pPr>
        <w:widowControl w:val="0"/>
        <w:wordWrap/>
        <w:spacing w:before="157" w:beforeLines="50" w:line="560" w:lineRule="exact"/>
        <w:ind w:firstLine="4353" w:firstLineChars="1355"/>
        <w:jc w:val="left"/>
        <w:textAlignment w:val="auto"/>
        <w:outlineLvl w:val="9"/>
        <w:rPr>
          <w:rFonts w:hint="eastAsia" w:asciiTheme="minorEastAsia" w:hAnsiTheme="minorEastAsia" w:eastAsiaTheme="minorEastAsia" w:cstheme="minorEastAsia"/>
          <w:b/>
          <w:color w:val="000000"/>
          <w:sz w:val="32"/>
          <w:szCs w:val="32"/>
        </w:rPr>
      </w:pPr>
      <w:bookmarkStart w:id="368" w:name="_Toc22598_WPSOffice_Level2"/>
      <w:bookmarkStart w:id="369" w:name="_Toc24288_WPSOffice_Level2"/>
      <w:r>
        <w:rPr>
          <w:rFonts w:hint="eastAsia" w:asciiTheme="minorEastAsia" w:hAnsiTheme="minorEastAsia" w:eastAsiaTheme="minorEastAsia" w:cstheme="minorEastAsia"/>
          <w:b/>
          <w:color w:val="000000"/>
          <w:sz w:val="32"/>
          <w:szCs w:val="32"/>
          <w:lang w:eastAsia="zh-CN"/>
        </w:rPr>
        <w:t>响</w:t>
      </w:r>
      <w:r>
        <w:rPr>
          <w:rFonts w:hint="eastAsia" w:asciiTheme="minorEastAsia" w:hAnsiTheme="minorEastAsia" w:eastAsiaTheme="minorEastAsia" w:cstheme="minorEastAsia"/>
          <w:b/>
          <w:color w:val="000000"/>
          <w:sz w:val="32"/>
          <w:szCs w:val="32"/>
          <w:lang w:val="en-US" w:eastAsia="zh-CN"/>
        </w:rPr>
        <w:t xml:space="preserve"> </w:t>
      </w:r>
      <w:r>
        <w:rPr>
          <w:rFonts w:hint="eastAsia" w:asciiTheme="minorEastAsia" w:hAnsiTheme="minorEastAsia" w:eastAsiaTheme="minorEastAsia" w:cstheme="minorEastAsia"/>
          <w:b/>
          <w:color w:val="000000"/>
          <w:sz w:val="32"/>
          <w:szCs w:val="32"/>
          <w:lang w:eastAsia="zh-CN"/>
        </w:rPr>
        <w:t>应</w:t>
      </w:r>
      <w:r>
        <w:rPr>
          <w:rFonts w:hint="eastAsia" w:asciiTheme="minorEastAsia" w:hAnsiTheme="minorEastAsia" w:eastAsiaTheme="minorEastAsia" w:cstheme="minorEastAsia"/>
          <w:b/>
          <w:color w:val="000000"/>
          <w:sz w:val="32"/>
          <w:szCs w:val="32"/>
          <w:lang w:val="en-US" w:eastAsia="zh-CN"/>
        </w:rPr>
        <w:t xml:space="preserve"> </w:t>
      </w:r>
      <w:r>
        <w:rPr>
          <w:rFonts w:hint="eastAsia" w:asciiTheme="minorEastAsia" w:hAnsiTheme="minorEastAsia" w:eastAsiaTheme="minorEastAsia" w:cstheme="minorEastAsia"/>
          <w:b/>
          <w:color w:val="000000"/>
          <w:sz w:val="32"/>
          <w:szCs w:val="32"/>
        </w:rPr>
        <w:t>函</w:t>
      </w:r>
      <w:bookmarkEnd w:id="368"/>
      <w:bookmarkEnd w:id="369"/>
    </w:p>
    <w:p>
      <w:pPr>
        <w:widowControl w:val="0"/>
        <w:wordWrap/>
        <w:adjustRightInd w:val="0"/>
        <w:snapToGrid w:val="0"/>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bookmarkStart w:id="370" w:name="_Toc16867_WPSOffice_Level2"/>
      <w:r>
        <w:rPr>
          <w:rFonts w:hint="eastAsia" w:asciiTheme="minorEastAsia" w:hAnsiTheme="minorEastAsia" w:eastAsiaTheme="minorEastAsia" w:cstheme="minorEastAsia"/>
          <w:b w:val="0"/>
          <w:bCs w:val="0"/>
          <w:sz w:val="24"/>
          <w:szCs w:val="24"/>
        </w:rPr>
        <w:t>致：</w:t>
      </w:r>
      <w:r>
        <w:rPr>
          <w:rFonts w:hint="eastAsia" w:asciiTheme="minorEastAsia" w:hAnsiTheme="minorEastAsia" w:eastAsiaTheme="minorEastAsia" w:cstheme="minorEastAsia"/>
          <w:b w:val="0"/>
          <w:bCs w:val="0"/>
          <w:sz w:val="24"/>
          <w:szCs w:val="24"/>
          <w:u w:val="single"/>
          <w:lang w:eastAsia="zh-CN"/>
        </w:rPr>
        <w:t>（代理机构名称）</w:t>
      </w:r>
      <w:bookmarkEnd w:id="370"/>
    </w:p>
    <w:p>
      <w:pPr>
        <w:widowControl w:val="0"/>
        <w:wordWrap/>
        <w:adjustRightInd w:val="0"/>
        <w:snapToGrid w:val="0"/>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我们收到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val="en-US" w:eastAsia="zh-CN"/>
        </w:rPr>
        <w:t>（项目名称及编号）</w:t>
      </w:r>
      <w:r>
        <w:rPr>
          <w:rFonts w:hint="eastAsia" w:asciiTheme="minorEastAsia" w:hAnsiTheme="minorEastAsia" w:eastAsiaTheme="minorEastAsia" w:cstheme="minorEastAsia"/>
          <w:sz w:val="24"/>
          <w:szCs w:val="24"/>
        </w:rPr>
        <w:t xml:space="preserve">谈判文件，经研究，法定代表人（姓名、职务）正式授权（委托代理人姓名、职务）代表供应商（供应商名称、地址）提交谈判响应文件。    </w:t>
      </w:r>
    </w:p>
    <w:p>
      <w:pPr>
        <w:widowControl w:val="0"/>
        <w:wordWrap/>
        <w:adjustRightInd w:val="0"/>
        <w:snapToGrid w:val="0"/>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据此函，签字代表宣布同意如下：</w:t>
      </w:r>
    </w:p>
    <w:p>
      <w:pPr>
        <w:widowControl w:val="0"/>
        <w:wordWrap/>
        <w:adjustRightInd w:val="0"/>
        <w:snapToGrid w:val="0"/>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1、我方已详阅谈判文件的全部内容，包括澄清、修改条款等有关附件，承诺对其完全理解并接受。</w:t>
      </w:r>
    </w:p>
    <w:p>
      <w:pPr>
        <w:widowControl w:val="0"/>
        <w:wordWrap/>
        <w:adjustRightInd w:val="0"/>
        <w:snapToGrid w:val="0"/>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若在响应文件发出后，</w:t>
      </w:r>
      <w:r>
        <w:rPr>
          <w:rFonts w:hint="eastAsia" w:asciiTheme="minorEastAsia" w:hAnsiTheme="minorEastAsia" w:eastAsiaTheme="minorEastAsia" w:cstheme="minorEastAsia"/>
          <w:sz w:val="24"/>
          <w:szCs w:val="24"/>
        </w:rPr>
        <w:t>我方在</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有效期内撤回或成交后不签约的，</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保证金将被贵方没收。</w:t>
      </w:r>
    </w:p>
    <w:p>
      <w:pPr>
        <w:widowControl w:val="0"/>
        <w:wordWrap/>
        <w:adjustRightInd w:val="0"/>
        <w:snapToGrid w:val="0"/>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3、我方同意按照贵方要求提供与</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有关的一切数据或资料，理解并接受贵方制定的评标办法。</w:t>
      </w:r>
    </w:p>
    <w:p>
      <w:pPr>
        <w:widowControl w:val="0"/>
        <w:wordWrap/>
        <w:adjustRightInd w:val="0"/>
        <w:snapToGrid w:val="0"/>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4、与本</w:t>
      </w:r>
      <w:r>
        <w:rPr>
          <w:rFonts w:hint="eastAsia" w:asciiTheme="minorEastAsia" w:hAnsiTheme="minorEastAsia" w:eastAsiaTheme="minorEastAsia" w:cstheme="minorEastAsia"/>
          <w:sz w:val="24"/>
          <w:szCs w:val="24"/>
          <w:lang w:eastAsia="zh-CN"/>
        </w:rPr>
        <w:t>次竞争性谈判</w:t>
      </w:r>
      <w:r>
        <w:rPr>
          <w:rFonts w:hint="eastAsia" w:asciiTheme="minorEastAsia" w:hAnsiTheme="minorEastAsia" w:eastAsiaTheme="minorEastAsia" w:cstheme="minorEastAsia"/>
          <w:sz w:val="24"/>
          <w:szCs w:val="24"/>
        </w:rPr>
        <w:t>有关的一切正式往来通讯请寄：</w:t>
      </w:r>
    </w:p>
    <w:p>
      <w:pPr>
        <w:widowControl w:val="0"/>
        <w:wordWrap/>
        <w:adjustRightInd w:val="0"/>
        <w:snapToGrid w:val="0"/>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地址：_______________   邮编：______________</w:t>
      </w:r>
    </w:p>
    <w:p>
      <w:pPr>
        <w:widowControl w:val="0"/>
        <w:wordWrap/>
        <w:adjustRightInd w:val="0"/>
        <w:snapToGrid w:val="0"/>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电话：_______________   传真：______________</w:t>
      </w:r>
    </w:p>
    <w:p>
      <w:pPr>
        <w:widowControl w:val="0"/>
        <w:wordWrap/>
        <w:adjustRightInd w:val="0"/>
        <w:snapToGrid w:val="0"/>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法定代表人姓名： ___________ 职务：_________</w:t>
      </w:r>
    </w:p>
    <w:p>
      <w:pPr>
        <w:wordWrap/>
        <w:spacing w:before="157" w:beforeLines="50" w:line="560" w:lineRule="exact"/>
        <w:ind w:firstLine="480" w:firstLineChars="200"/>
        <w:jc w:val="center"/>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b w:val="0"/>
          <w:bCs/>
          <w:color w:val="000000"/>
          <w:sz w:val="24"/>
          <w:szCs w:val="24"/>
        </w:rPr>
        <w:t xml:space="preserve">  </w:t>
      </w:r>
      <w:bookmarkStart w:id="371" w:name="_Toc1506_WPSOffice_Level3"/>
      <w:r>
        <w:rPr>
          <w:rFonts w:hint="eastAsia" w:asciiTheme="minorEastAsia" w:hAnsiTheme="minorEastAsia" w:eastAsiaTheme="minorEastAsia" w:cstheme="minorEastAsia"/>
          <w:b w:val="0"/>
          <w:bCs/>
          <w:color w:val="000000"/>
          <w:sz w:val="24"/>
          <w:szCs w:val="24"/>
          <w:lang w:val="en-US" w:eastAsia="zh-CN"/>
        </w:rPr>
        <w:t xml:space="preserve">               </w:t>
      </w:r>
      <w:bookmarkStart w:id="372" w:name="_Toc28112_WPSOffice_Level3"/>
      <w:r>
        <w:rPr>
          <w:rFonts w:hint="eastAsia" w:asciiTheme="minorEastAsia" w:hAnsiTheme="minorEastAsia" w:eastAsiaTheme="minorEastAsia" w:cstheme="minorEastAsia"/>
          <w:b w:val="0"/>
          <w:bCs/>
          <w:color w:val="000000"/>
          <w:sz w:val="24"/>
          <w:szCs w:val="24"/>
          <w:lang w:eastAsia="zh-CN"/>
        </w:rPr>
        <w:t>单</w:t>
      </w:r>
      <w:r>
        <w:rPr>
          <w:rFonts w:hint="eastAsia" w:asciiTheme="minorEastAsia" w:hAnsiTheme="minorEastAsia" w:eastAsiaTheme="minorEastAsia" w:cstheme="minorEastAsia"/>
          <w:b w:val="0"/>
          <w:bCs/>
          <w:color w:val="000000"/>
          <w:sz w:val="24"/>
          <w:szCs w:val="24"/>
        </w:rPr>
        <w:t>位</w:t>
      </w:r>
      <w:r>
        <w:rPr>
          <w:rFonts w:hint="eastAsia" w:asciiTheme="minorEastAsia" w:hAnsiTheme="minorEastAsia" w:eastAsiaTheme="minorEastAsia" w:cstheme="minorEastAsia"/>
          <w:b w:val="0"/>
          <w:bCs/>
          <w:color w:val="000000"/>
          <w:sz w:val="24"/>
          <w:szCs w:val="24"/>
          <w:lang w:eastAsia="zh-CN"/>
        </w:rPr>
        <w:t>名称</w:t>
      </w:r>
      <w:r>
        <w:rPr>
          <w:rFonts w:hint="eastAsia" w:asciiTheme="minorEastAsia" w:hAnsiTheme="minorEastAsia" w:eastAsiaTheme="minorEastAsia" w:cstheme="minorEastAsia"/>
          <w:b w:val="0"/>
          <w:bCs/>
          <w:color w:val="000000"/>
          <w:sz w:val="24"/>
          <w:szCs w:val="24"/>
        </w:rPr>
        <w:t>：</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（公章）</w:t>
      </w:r>
      <w:bookmarkEnd w:id="371"/>
      <w:bookmarkEnd w:id="372"/>
    </w:p>
    <w:p>
      <w:pPr>
        <w:wordWrap/>
        <w:spacing w:before="157" w:beforeLines="50" w:line="560" w:lineRule="exact"/>
        <w:ind w:firstLine="480" w:firstLineChars="200"/>
        <w:jc w:val="center"/>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bookmarkStart w:id="373" w:name="_Toc28651_WPSOffice_Level3"/>
      <w:bookmarkStart w:id="374" w:name="_Toc6385_WPSOffice_Level3"/>
      <w:r>
        <w:rPr>
          <w:rFonts w:hint="eastAsia" w:asciiTheme="minorEastAsia" w:hAnsiTheme="minorEastAsia" w:eastAsiaTheme="minorEastAsia" w:cstheme="minorEastAsia"/>
          <w:b w:val="0"/>
          <w:bCs/>
          <w:color w:val="000000"/>
          <w:sz w:val="24"/>
          <w:szCs w:val="24"/>
        </w:rPr>
        <w:t>法定代表人或委托代理人：</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（签字或盖章）</w:t>
      </w:r>
      <w:bookmarkEnd w:id="373"/>
      <w:bookmarkEnd w:id="374"/>
    </w:p>
    <w:p>
      <w:pPr>
        <w:wordWrap/>
        <w:spacing w:before="157" w:beforeLines="50" w:line="560" w:lineRule="exact"/>
        <w:ind w:firstLine="480" w:firstLineChars="200"/>
        <w:jc w:val="center"/>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r>
        <w:rPr>
          <w:rFonts w:hint="eastAsia" w:asciiTheme="minorEastAsia" w:hAnsiTheme="minorEastAsia" w:eastAsia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val="0"/>
          <w:bCs/>
          <w:color w:val="000000"/>
          <w:sz w:val="24"/>
          <w:szCs w:val="24"/>
        </w:rPr>
        <w:t xml:space="preserve">   </w:t>
      </w:r>
      <w:bookmarkStart w:id="375" w:name="_Toc13325_WPSOffice_Level3"/>
      <w:bookmarkStart w:id="376" w:name="_Toc130_WPSOffice_Level3"/>
      <w:r>
        <w:rPr>
          <w:rFonts w:hint="eastAsia" w:asciiTheme="minorEastAsia" w:hAnsiTheme="minorEastAsia" w:eastAsiaTheme="minorEastAsia" w:cstheme="minorEastAsia"/>
          <w:b w:val="0"/>
          <w:bCs/>
          <w:color w:val="000000"/>
          <w:sz w:val="24"/>
          <w:szCs w:val="24"/>
        </w:rPr>
        <w:t>年   月  日</w:t>
      </w:r>
      <w:bookmarkEnd w:id="375"/>
      <w:bookmarkEnd w:id="376"/>
    </w:p>
    <w:p>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4"/>
          <w:szCs w:val="24"/>
        </w:rPr>
      </w:pPr>
    </w:p>
    <w:p>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4"/>
          <w:szCs w:val="24"/>
          <w:lang w:eastAsia="zh-CN"/>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bookmarkStart w:id="377" w:name="_Toc12487"/>
      <w:bookmarkStart w:id="378" w:name="_Toc26257_WPSOffice_Level2"/>
      <w:bookmarkStart w:id="379" w:name="_Toc3082"/>
      <w:bookmarkStart w:id="380" w:name="_Toc16050"/>
      <w:bookmarkStart w:id="381" w:name="_Toc17887_WPSOffice_Level2"/>
      <w:bookmarkStart w:id="382" w:name="_Toc20882_WPSOffice_Level3"/>
    </w:p>
    <w:p>
      <w:pPr>
        <w:widowControl/>
        <w:wordWrap/>
        <w:snapToGrid w:val="0"/>
        <w:spacing w:before="157" w:beforeLines="50" w:line="560" w:lineRule="exact"/>
        <w:jc w:val="left"/>
        <w:outlineLvl w:val="2"/>
        <w:rPr>
          <w:rFonts w:hint="eastAsia" w:asciiTheme="minorEastAsia" w:hAnsiTheme="minorEastAsia" w:eastAsiaTheme="minorEastAsia" w:cstheme="minorEastAsia"/>
          <w:b/>
          <w:bCs/>
          <w:color w:val="000000"/>
          <w:sz w:val="24"/>
          <w:szCs w:val="24"/>
        </w:rPr>
      </w:pPr>
      <w:bookmarkStart w:id="383" w:name="_Toc21327"/>
      <w:r>
        <w:rPr>
          <w:rFonts w:hint="eastAsia" w:asciiTheme="minorEastAsia" w:hAnsiTheme="minorEastAsia" w:eastAsiaTheme="minorEastAsia" w:cstheme="minorEastAsia"/>
          <w:b/>
          <w:color w:val="000000"/>
          <w:sz w:val="24"/>
          <w:szCs w:val="24"/>
          <w:lang w:eastAsia="zh-CN"/>
        </w:rPr>
        <w:t>附件2：法定代表人证明书</w:t>
      </w:r>
      <w:bookmarkEnd w:id="377"/>
      <w:bookmarkEnd w:id="378"/>
      <w:bookmarkEnd w:id="379"/>
      <w:bookmarkEnd w:id="380"/>
      <w:bookmarkEnd w:id="381"/>
      <w:bookmarkEnd w:id="382"/>
      <w:bookmarkEnd w:id="383"/>
    </w:p>
    <w:p>
      <w:pPr>
        <w:widowControl w:val="0"/>
        <w:wordWrap/>
        <w:spacing w:before="157" w:beforeLines="50" w:line="560" w:lineRule="exact"/>
        <w:ind w:firstLine="3373" w:firstLineChars="1400"/>
        <w:jc w:val="both"/>
        <w:textAlignment w:val="auto"/>
        <w:outlineLvl w:val="9"/>
        <w:rPr>
          <w:rFonts w:hint="eastAsia" w:asciiTheme="minorEastAsia" w:hAnsiTheme="minorEastAsia" w:eastAsiaTheme="minorEastAsia" w:cstheme="minorEastAsia"/>
          <w:b/>
          <w:color w:val="000000"/>
          <w:sz w:val="24"/>
          <w:szCs w:val="24"/>
          <w:lang w:eastAsia="zh-CN"/>
        </w:rPr>
      </w:pPr>
      <w:bookmarkStart w:id="384" w:name="_Toc6898_WPSOffice_Level2"/>
      <w:bookmarkStart w:id="385" w:name="_Toc28170_WPSOffice_Level2"/>
      <w:bookmarkStart w:id="386" w:name="_Toc14917_WPSOffice_Level1"/>
      <w:bookmarkStart w:id="387" w:name="_Toc32036_WPSOffice_Level1"/>
      <w:r>
        <w:rPr>
          <w:rFonts w:hint="eastAsia" w:asciiTheme="minorEastAsia" w:hAnsiTheme="minorEastAsia" w:eastAsiaTheme="minorEastAsia" w:cstheme="minorEastAsia"/>
          <w:b/>
          <w:color w:val="000000"/>
          <w:sz w:val="24"/>
          <w:szCs w:val="24"/>
          <w:lang w:eastAsia="zh-CN"/>
        </w:rPr>
        <w:t>法定代表人证明书</w:t>
      </w:r>
      <w:bookmarkEnd w:id="384"/>
      <w:bookmarkEnd w:id="385"/>
      <w:bookmarkEnd w:id="386"/>
      <w:bookmarkEnd w:id="387"/>
    </w:p>
    <w:p>
      <w:pPr>
        <w:wordWrap/>
        <w:spacing w:before="157" w:beforeLines="50" w:line="560" w:lineRule="exact"/>
        <w:outlineLvl w:val="9"/>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sz w:val="24"/>
          <w:szCs w:val="24"/>
        </w:rPr>
        <w:t>致：</w:t>
      </w:r>
      <w:r>
        <w:rPr>
          <w:rFonts w:hint="eastAsia" w:asciiTheme="minorEastAsia" w:hAnsiTheme="minorEastAsia" w:eastAsiaTheme="minorEastAsia" w:cstheme="minorEastAsia"/>
          <w:b w:val="0"/>
          <w:bCs w:val="0"/>
          <w:color w:val="000000"/>
          <w:sz w:val="24"/>
          <w:szCs w:val="24"/>
          <w:u w:val="single"/>
          <w:lang w:eastAsia="zh-CN"/>
        </w:rPr>
        <w:t>（代理机构名称）</w:t>
      </w:r>
    </w:p>
    <w:p>
      <w:pPr>
        <w:wordWrap/>
        <w:autoSpaceDE w:val="0"/>
        <w:autoSpaceDN w:val="0"/>
        <w:adjustRightInd w:val="0"/>
        <w:spacing w:before="157" w:beforeLines="50" w:line="560" w:lineRule="exact"/>
        <w:ind w:firstLine="480" w:firstLineChars="200"/>
        <w:jc w:val="left"/>
        <w:outlineLvl w:val="9"/>
        <w:rPr>
          <w:rFonts w:hint="eastAsia" w:asciiTheme="minorEastAsia" w:hAnsiTheme="minorEastAsia" w:eastAsiaTheme="minorEastAsia" w:cstheme="minorEastAsia"/>
          <w:b w:val="0"/>
          <w:bCs w:val="0"/>
          <w:color w:val="000000"/>
          <w:sz w:val="24"/>
          <w:szCs w:val="24"/>
          <w:u w:val="single"/>
        </w:rPr>
      </w:pPr>
      <w:r>
        <w:rPr>
          <w:rFonts w:hint="eastAsia" w:asciiTheme="minorEastAsia" w:hAnsiTheme="minorEastAsia" w:eastAsiaTheme="minorEastAsia" w:cstheme="minorEastAsia"/>
          <w:b w:val="0"/>
          <w:bCs w:val="0"/>
          <w:color w:val="000000"/>
          <w:sz w:val="24"/>
          <w:szCs w:val="24"/>
          <w:u w:val="single"/>
        </w:rPr>
        <w:t xml:space="preserve">  （法定代表人姓名）  </w:t>
      </w:r>
      <w:r>
        <w:rPr>
          <w:rFonts w:hint="eastAsia" w:asciiTheme="minorEastAsia" w:hAnsiTheme="minorEastAsia" w:eastAsiaTheme="minorEastAsia" w:cstheme="minorEastAsia"/>
          <w:b w:val="0"/>
          <w:bCs w:val="0"/>
          <w:color w:val="000000"/>
          <w:sz w:val="24"/>
          <w:szCs w:val="24"/>
        </w:rPr>
        <w:t>现任我单位</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职务，为法定代表人，特此证明。</w:t>
      </w:r>
    </w:p>
    <w:p>
      <w:pPr>
        <w:wordWrap/>
        <w:autoSpaceDE w:val="0"/>
        <w:autoSpaceDN w:val="0"/>
        <w:adjustRightInd w:val="0"/>
        <w:spacing w:before="157" w:beforeLines="50" w:line="560" w:lineRule="exact"/>
        <w:ind w:firstLine="480" w:firstLineChars="200"/>
        <w:jc w:val="left"/>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法定代表人基本情况：</w:t>
      </w:r>
    </w:p>
    <w:p>
      <w:pPr>
        <w:wordWrap/>
        <w:autoSpaceDE w:val="0"/>
        <w:autoSpaceDN w:val="0"/>
        <w:adjustRightInd w:val="0"/>
        <w:spacing w:before="157" w:beforeLines="50" w:line="560" w:lineRule="exact"/>
        <w:ind w:firstLine="480" w:firstLineChars="200"/>
        <w:jc w:val="left"/>
        <w:outlineLvl w:val="9"/>
        <w:rPr>
          <w:rFonts w:hint="eastAsia" w:asciiTheme="minorEastAsia" w:hAnsiTheme="minorEastAsia" w:eastAsiaTheme="minorEastAsia" w:cstheme="minorEastAsia"/>
          <w:b w:val="0"/>
          <w:bCs w:val="0"/>
          <w:color w:val="000000"/>
          <w:sz w:val="24"/>
          <w:szCs w:val="24"/>
          <w:u w:val="single"/>
        </w:rPr>
      </w:pPr>
      <w:r>
        <w:rPr>
          <w:rFonts w:hint="eastAsia" w:asciiTheme="minorEastAsia" w:hAnsiTheme="minorEastAsia" w:eastAsiaTheme="minorEastAsia" w:cstheme="minorEastAsia"/>
          <w:b w:val="0"/>
          <w:bCs w:val="0"/>
          <w:color w:val="000000"/>
          <w:sz w:val="24"/>
          <w:szCs w:val="24"/>
        </w:rPr>
        <w:t>性别：</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年龄：</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民族：</w:t>
      </w:r>
      <w:r>
        <w:rPr>
          <w:rFonts w:hint="eastAsia" w:asciiTheme="minorEastAsia" w:hAnsiTheme="minorEastAsia" w:eastAsiaTheme="minorEastAsia" w:cstheme="minorEastAsia"/>
          <w:b w:val="0"/>
          <w:bCs w:val="0"/>
          <w:color w:val="000000"/>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Theme="minorEastAsia" w:hAnsiTheme="minorEastAsia" w:eastAsiaTheme="minorEastAsia" w:cstheme="minorEastAsia"/>
          <w:b w:val="0"/>
          <w:bCs w:val="0"/>
          <w:color w:val="000000"/>
          <w:sz w:val="24"/>
          <w:szCs w:val="24"/>
          <w:u w:val="single"/>
        </w:rPr>
      </w:pPr>
      <w:r>
        <w:rPr>
          <w:rFonts w:hint="eastAsia" w:asciiTheme="minorEastAsia" w:hAnsiTheme="minorEastAsia" w:eastAsiaTheme="minorEastAsia" w:cstheme="minorEastAsia"/>
          <w:b w:val="0"/>
          <w:bCs w:val="0"/>
          <w:color w:val="000000"/>
          <w:sz w:val="24"/>
          <w:szCs w:val="24"/>
        </w:rPr>
        <w:t>地址：</w:t>
      </w:r>
      <w:r>
        <w:rPr>
          <w:rFonts w:hint="eastAsia" w:asciiTheme="minorEastAsia" w:hAnsiTheme="minorEastAsia" w:eastAsiaTheme="minorEastAsia" w:cstheme="minorEastAsia"/>
          <w:b w:val="0"/>
          <w:bCs w:val="0"/>
          <w:color w:val="000000"/>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身份证号码：</w:t>
      </w:r>
      <w:r>
        <w:rPr>
          <w:rFonts w:hint="eastAsia" w:asciiTheme="minorEastAsia" w:hAnsiTheme="minorEastAsia" w:eastAsiaTheme="minorEastAsia" w:cstheme="minorEastAsia"/>
          <w:b w:val="0"/>
          <w:bCs w:val="0"/>
          <w:color w:val="000000"/>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rPr>
        <w:t>附法定代表人第二代身份证双面扫描</w:t>
      </w:r>
      <w:r>
        <w:rPr>
          <w:rFonts w:hint="eastAsia" w:asciiTheme="minorEastAsia" w:hAnsiTheme="minorEastAsia" w:eastAsiaTheme="minorEastAsia" w:cstheme="minorEastAsia"/>
          <w:b w:val="0"/>
          <w:bCs w:val="0"/>
          <w:color w:val="000000"/>
          <w:sz w:val="24"/>
          <w:szCs w:val="24"/>
          <w:lang w:eastAsia="zh-CN"/>
        </w:rPr>
        <w:t>或其他身份证明材料</w:t>
      </w:r>
      <w:r>
        <w:rPr>
          <w:rFonts w:hint="eastAsia" w:asciiTheme="minorEastAsia" w:hAnsiTheme="minorEastAsia" w:eastAsiaTheme="minorEastAsia" w:cstheme="minorEastAsia"/>
          <w:b w:val="0"/>
          <w:bCs w:val="0"/>
          <w:color w:val="000000"/>
          <w:sz w:val="24"/>
          <w:szCs w:val="24"/>
        </w:rPr>
        <w:t>（复印件</w:t>
      </w:r>
      <w:r>
        <w:rPr>
          <w:rFonts w:hint="eastAsia" w:asciiTheme="minorEastAsia" w:hAnsiTheme="minorEastAsia" w:eastAsiaTheme="minorEastAsia" w:cstheme="minorEastAsia"/>
          <w:sz w:val="24"/>
          <w:szCs w:val="24"/>
          <w:lang w:eastAsia="zh-CN"/>
        </w:rPr>
        <w:t>）</w:t>
      </w:r>
    </w:p>
    <w:p>
      <w:pPr>
        <w:wordWrap/>
        <w:autoSpaceDE w:val="0"/>
        <w:autoSpaceDN w:val="0"/>
        <w:adjustRightInd w:val="0"/>
        <w:spacing w:before="157" w:beforeLines="50" w:line="560" w:lineRule="exact"/>
        <w:ind w:firstLine="480" w:firstLineChars="200"/>
        <w:jc w:val="left"/>
        <w:outlineLvl w:val="9"/>
        <w:rPr>
          <w:rFonts w:hint="eastAsia" w:asciiTheme="minorEastAsia" w:hAnsiTheme="minorEastAsia" w:eastAsiaTheme="minorEastAsia" w:cstheme="minorEastAsia"/>
          <w:color w:val="000000"/>
          <w:kern w:val="0"/>
          <w:sz w:val="24"/>
          <w:szCs w:val="24"/>
        </w:rPr>
      </w:pPr>
    </w:p>
    <w:p>
      <w:pPr>
        <w:wordWrap/>
        <w:autoSpaceDE w:val="0"/>
        <w:autoSpaceDN w:val="0"/>
        <w:adjustRightInd w:val="0"/>
        <w:spacing w:before="157" w:beforeLines="50" w:line="560" w:lineRule="exact"/>
        <w:jc w:val="right"/>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单位</w:t>
      </w:r>
      <w:r>
        <w:rPr>
          <w:rFonts w:hint="eastAsia" w:asciiTheme="minorEastAsia" w:hAnsiTheme="minorEastAsia" w:eastAsiaTheme="minorEastAsia" w:cstheme="minorEastAsia"/>
          <w:b w:val="0"/>
          <w:bCs w:val="0"/>
          <w:color w:val="000000"/>
          <w:sz w:val="24"/>
          <w:szCs w:val="24"/>
          <w:lang w:eastAsia="zh-CN"/>
        </w:rPr>
        <w:t>名称</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（公章）</w:t>
      </w:r>
    </w:p>
    <w:p>
      <w:pPr>
        <w:widowControl w:val="0"/>
        <w:wordWrap/>
        <w:adjustRightInd/>
        <w:snapToGrid/>
        <w:spacing w:before="157" w:beforeLines="50"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val="0"/>
          <w:bCs/>
          <w:color w:val="000000"/>
          <w:sz w:val="24"/>
          <w:szCs w:val="24"/>
        </w:rPr>
        <w:t xml:space="preserve">   法定代表人或委托代理人：</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（签字或盖章）</w:t>
      </w:r>
    </w:p>
    <w:p>
      <w:pPr>
        <w:wordWrap/>
        <w:autoSpaceDE w:val="0"/>
        <w:autoSpaceDN w:val="0"/>
        <w:adjustRightInd w:val="0"/>
        <w:spacing w:before="157" w:beforeLines="50" w:line="560" w:lineRule="exact"/>
        <w:jc w:val="center"/>
        <w:outlineLvl w:val="9"/>
        <w:rPr>
          <w:rFonts w:hint="eastAsia" w:asciiTheme="minorEastAsia" w:hAnsiTheme="minorEastAsia" w:eastAsiaTheme="minorEastAsia" w:cstheme="minorEastAsia"/>
          <w:b w:val="0"/>
          <w:bCs w:val="0"/>
          <w:color w:val="000000"/>
          <w:sz w:val="24"/>
          <w:szCs w:val="24"/>
        </w:rPr>
      </w:pPr>
      <w:bookmarkStart w:id="388" w:name="_Toc10597_WPSOffice_Level3"/>
      <w:r>
        <w:rPr>
          <w:rFonts w:hint="eastAsia" w:asciiTheme="minorEastAsia" w:hAnsiTheme="minorEastAsia" w:eastAsiaTheme="minorEastAsia" w:cstheme="minorEastAsia"/>
          <w:b w:val="0"/>
          <w:bCs w:val="0"/>
          <w:color w:val="000000"/>
          <w:sz w:val="24"/>
          <w:szCs w:val="24"/>
          <w:lang w:val="en-US" w:eastAsia="zh-CN"/>
        </w:rPr>
        <w:t xml:space="preserve">                                       </w:t>
      </w:r>
      <w:bookmarkStart w:id="389" w:name="_Toc16117_WPSOffice_Level3"/>
      <w:r>
        <w:rPr>
          <w:rFonts w:hint="eastAsia" w:asciiTheme="minorEastAsia" w:hAnsiTheme="minorEastAsia" w:eastAsiaTheme="minorEastAsia" w:cstheme="minorEastAsia"/>
          <w:b w:val="0"/>
          <w:bCs w:val="0"/>
          <w:color w:val="000000"/>
          <w:sz w:val="24"/>
          <w:szCs w:val="24"/>
        </w:rPr>
        <w:t>年   月   日</w:t>
      </w:r>
      <w:bookmarkEnd w:id="388"/>
      <w:bookmarkEnd w:id="389"/>
    </w:p>
    <w:p>
      <w:pPr>
        <w:wordWrap/>
        <w:spacing w:before="157" w:beforeLines="50" w:line="560" w:lineRule="exact"/>
        <w:ind w:right="480"/>
        <w:jc w:val="right"/>
        <w:outlineLvl w:val="9"/>
        <w:rPr>
          <w:rFonts w:hint="eastAsia" w:asciiTheme="minorEastAsia" w:hAnsiTheme="minorEastAsia" w:eastAsiaTheme="minorEastAsia" w:cstheme="minorEastAsia"/>
          <w:b/>
          <w:color w:val="000000"/>
          <w:sz w:val="24"/>
          <w:szCs w:val="24"/>
        </w:rPr>
      </w:pPr>
    </w:p>
    <w:p>
      <w:pPr>
        <w:wordWrap/>
        <w:spacing w:before="157" w:beforeLines="50" w:line="560" w:lineRule="exact"/>
        <w:jc w:val="right"/>
        <w:rPr>
          <w:rFonts w:hint="eastAsia" w:asciiTheme="minorEastAsia" w:hAnsiTheme="minorEastAsia" w:eastAsiaTheme="minorEastAsia" w:cstheme="minorEastAsia"/>
          <w:b/>
          <w:color w:val="000000"/>
          <w:sz w:val="24"/>
          <w:szCs w:val="24"/>
        </w:rPr>
      </w:pPr>
    </w:p>
    <w:p>
      <w:pPr>
        <w:wordWrap/>
        <w:spacing w:before="157" w:beforeLines="50" w:line="560" w:lineRule="exact"/>
        <w:rPr>
          <w:rFonts w:hint="eastAsia" w:asciiTheme="minorEastAsia" w:hAnsiTheme="minorEastAsia" w:eastAsiaTheme="minorEastAsia" w:cstheme="minorEastAsia"/>
          <w:b/>
          <w:color w:val="000000"/>
          <w:sz w:val="24"/>
          <w:szCs w:val="24"/>
        </w:rPr>
      </w:pPr>
    </w:p>
    <w:p>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4"/>
          <w:szCs w:val="24"/>
          <w:lang w:eastAsia="zh-CN"/>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bookmarkStart w:id="390" w:name="_Toc23035_WPSOffice_Level2"/>
      <w:bookmarkStart w:id="391" w:name="_Toc31901"/>
      <w:bookmarkStart w:id="392" w:name="_Toc21545_WPSOffice_Level3"/>
      <w:bookmarkStart w:id="393" w:name="_Toc27782"/>
      <w:bookmarkStart w:id="394" w:name="_Toc18183"/>
    </w:p>
    <w:p>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4"/>
          <w:szCs w:val="24"/>
        </w:rPr>
      </w:pPr>
      <w:bookmarkStart w:id="395" w:name="_Toc17144"/>
      <w:r>
        <w:rPr>
          <w:rFonts w:hint="eastAsia" w:asciiTheme="minorEastAsia" w:hAnsiTheme="minorEastAsia" w:eastAsiaTheme="minorEastAsia" w:cstheme="minorEastAsia"/>
          <w:b/>
          <w:color w:val="000000"/>
          <w:sz w:val="24"/>
          <w:szCs w:val="24"/>
          <w:lang w:eastAsia="zh-CN"/>
        </w:rPr>
        <w:t>附件3：法定代表人授权书</w:t>
      </w:r>
      <w:bookmarkEnd w:id="390"/>
      <w:bookmarkEnd w:id="391"/>
      <w:bookmarkEnd w:id="392"/>
      <w:bookmarkEnd w:id="393"/>
      <w:bookmarkEnd w:id="394"/>
      <w:bookmarkEnd w:id="395"/>
    </w:p>
    <w:p>
      <w:pPr>
        <w:widowControl w:val="0"/>
        <w:wordWrap/>
        <w:spacing w:before="157" w:beforeLines="50" w:line="560" w:lineRule="exact"/>
        <w:ind w:firstLine="3614" w:firstLineChars="1500"/>
        <w:jc w:val="both"/>
        <w:textAlignment w:val="auto"/>
        <w:outlineLvl w:val="9"/>
        <w:rPr>
          <w:rFonts w:hint="eastAsia" w:asciiTheme="minorEastAsia" w:hAnsiTheme="minorEastAsia" w:eastAsiaTheme="minorEastAsia" w:cstheme="minorEastAsia"/>
          <w:b/>
          <w:color w:val="000000"/>
          <w:sz w:val="24"/>
          <w:szCs w:val="24"/>
          <w:lang w:eastAsia="zh-CN"/>
        </w:rPr>
      </w:pPr>
      <w:bookmarkStart w:id="396" w:name="_Toc26434_WPSOffice_Level2"/>
      <w:bookmarkStart w:id="397" w:name="_Toc5048_WPSOffice_Level2"/>
      <w:bookmarkStart w:id="398" w:name="_Toc1148_WPSOffice_Level3"/>
      <w:r>
        <w:rPr>
          <w:rFonts w:hint="eastAsia" w:asciiTheme="minorEastAsia" w:hAnsiTheme="minorEastAsia" w:eastAsiaTheme="minorEastAsia" w:cstheme="minorEastAsia"/>
          <w:b/>
          <w:color w:val="000000"/>
          <w:sz w:val="24"/>
          <w:szCs w:val="24"/>
          <w:lang w:eastAsia="zh-CN"/>
        </w:rPr>
        <w:t>法定代表人授权书</w:t>
      </w:r>
      <w:bookmarkEnd w:id="396"/>
      <w:bookmarkEnd w:id="397"/>
      <w:bookmarkEnd w:id="398"/>
    </w:p>
    <w:p>
      <w:pPr>
        <w:widowControl w:val="0"/>
        <w:wordWrap/>
        <w:adjustRightInd/>
        <w:snapToGrid/>
        <w:spacing w:line="560" w:lineRule="exact"/>
        <w:ind w:firstLine="198" w:firstLineChars="82"/>
        <w:textAlignment w:val="auto"/>
        <w:outlineLvl w:val="9"/>
        <w:rPr>
          <w:rFonts w:hint="eastAsia" w:asciiTheme="minorEastAsia" w:hAnsiTheme="minorEastAsia" w:eastAsiaTheme="minorEastAsia" w:cstheme="minorEastAsia"/>
          <w:color w:val="000000"/>
          <w:sz w:val="24"/>
          <w:szCs w:val="24"/>
          <w:u w:val="single"/>
        </w:rPr>
      </w:pPr>
      <w:bookmarkStart w:id="399" w:name="_Toc6307_WPSOffice_Level2"/>
      <w:bookmarkStart w:id="400" w:name="_Toc25306_WPSOffice_Level2"/>
      <w:bookmarkStart w:id="401" w:name="_Toc16084_WPSOffice_Level2"/>
      <w:r>
        <w:rPr>
          <w:rFonts w:hint="eastAsia" w:asciiTheme="minorEastAsia" w:hAnsiTheme="minorEastAsia" w:eastAsiaTheme="minorEastAsia" w:cstheme="minorEastAsia"/>
          <w:b/>
          <w:bCs/>
          <w:color w:val="000000"/>
          <w:sz w:val="24"/>
          <w:szCs w:val="24"/>
        </w:rPr>
        <w:t>致：</w:t>
      </w:r>
      <w:r>
        <w:rPr>
          <w:rFonts w:hint="eastAsia" w:asciiTheme="minorEastAsia" w:hAnsiTheme="minorEastAsia" w:eastAsiaTheme="minorEastAsia" w:cstheme="minorEastAsia"/>
          <w:b/>
          <w:bCs/>
          <w:color w:val="000000"/>
          <w:sz w:val="24"/>
          <w:szCs w:val="24"/>
          <w:u w:val="single"/>
          <w:lang w:eastAsia="zh-CN"/>
        </w:rPr>
        <w:t>（代理机构名称）</w:t>
      </w:r>
      <w:bookmarkEnd w:id="399"/>
      <w:bookmarkEnd w:id="400"/>
      <w:bookmarkEnd w:id="401"/>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（供应商名称）  </w:t>
      </w:r>
      <w:r>
        <w:rPr>
          <w:rFonts w:hint="eastAsia" w:asciiTheme="minorEastAsia" w:hAnsiTheme="minorEastAsia" w:eastAsiaTheme="minorEastAsia" w:cstheme="minorEastAsia"/>
          <w:color w:val="000000"/>
          <w:sz w:val="24"/>
          <w:szCs w:val="24"/>
        </w:rPr>
        <w:t>系中华人民共和国合法企业，法定地址</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（法定代表人姓名）   </w:t>
      </w:r>
      <w:r>
        <w:rPr>
          <w:rFonts w:hint="eastAsia" w:asciiTheme="minorEastAsia" w:hAnsiTheme="minorEastAsia" w:eastAsiaTheme="minorEastAsia" w:cstheme="minorEastAsia"/>
          <w:color w:val="000000"/>
          <w:sz w:val="24"/>
          <w:szCs w:val="24"/>
        </w:rPr>
        <w:t>特授权</w:t>
      </w:r>
      <w:r>
        <w:rPr>
          <w:rFonts w:hint="eastAsia" w:asciiTheme="minorEastAsia" w:hAnsiTheme="minorEastAsia" w:eastAsiaTheme="minorEastAsia" w:cstheme="minorEastAsia"/>
          <w:color w:val="000000"/>
          <w:sz w:val="24"/>
          <w:szCs w:val="24"/>
          <w:u w:val="single"/>
        </w:rPr>
        <w:t xml:space="preserve"> （委托代理人姓名）    </w:t>
      </w:r>
      <w:r>
        <w:rPr>
          <w:rFonts w:hint="eastAsia" w:asciiTheme="minorEastAsia" w:hAnsiTheme="minorEastAsia" w:eastAsiaTheme="minorEastAsia" w:cstheme="minorEastAsia"/>
          <w:color w:val="000000"/>
          <w:sz w:val="24"/>
          <w:szCs w:val="24"/>
        </w:rPr>
        <w:t>代表我单位全权办理针对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项目的</w:t>
      </w:r>
      <w:r>
        <w:rPr>
          <w:rFonts w:hint="eastAsia" w:asciiTheme="minorEastAsia" w:hAnsiTheme="minorEastAsia" w:eastAsiaTheme="minorEastAsia" w:cstheme="minorEastAsia"/>
          <w:color w:val="000000"/>
          <w:sz w:val="24"/>
          <w:szCs w:val="24"/>
          <w:lang w:eastAsia="zh-CN"/>
        </w:rPr>
        <w:t>谈判、答疑</w:t>
      </w:r>
      <w:r>
        <w:rPr>
          <w:rFonts w:hint="eastAsia" w:asciiTheme="minorEastAsia" w:hAnsiTheme="minorEastAsia" w:eastAsiaTheme="minorEastAsia" w:cstheme="minorEastAsia"/>
          <w:color w:val="000000"/>
          <w:sz w:val="24"/>
          <w:szCs w:val="24"/>
        </w:rPr>
        <w:t>等具体工作，并签署全部有关的文件、资料。</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我单位对被授权人的签名负全部责任。</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在撤销授权的书面通知以前，本授权书一直有效，被授权人签署的所有文件（在授权书有效期内签署的）不因授权的撤销而失效。</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授权期限：自</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日起至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日止。（授权期限必须满足投标有效期的要求）。</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被授权人联系电话：</w:t>
      </w:r>
      <w:r>
        <w:rPr>
          <w:rFonts w:hint="eastAsia" w:asciiTheme="minorEastAsia" w:hAnsiTheme="minorEastAsia" w:eastAsiaTheme="minorEastAsia" w:cstheme="minorEastAsia"/>
          <w:color w:val="000000"/>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被授权人（委托代理人）签字或盖章：</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职务：</w:t>
      </w:r>
      <w:r>
        <w:rPr>
          <w:rFonts w:hint="eastAsia" w:asciiTheme="minorEastAsia" w:hAnsiTheme="minorEastAsia" w:eastAsiaTheme="minorEastAsia" w:cstheme="minorEastAsia"/>
          <w:color w:val="000000"/>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授权人（法定代表人）签字或盖章：</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职务：</w:t>
      </w:r>
      <w:r>
        <w:rPr>
          <w:rFonts w:hint="eastAsia" w:asciiTheme="minorEastAsia" w:hAnsiTheme="minorEastAsia" w:eastAsiaTheme="minorEastAsia" w:cstheme="minorEastAsia"/>
          <w:color w:val="000000"/>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附被授权人第二代身份证双面扫描（或复印）件</w:t>
      </w:r>
    </w:p>
    <w:p>
      <w:pPr>
        <w:wordWrap/>
        <w:spacing w:before="157" w:beforeLines="50" w:line="560" w:lineRule="exact"/>
        <w:ind w:firstLine="3600" w:firstLineChars="1500"/>
        <w:jc w:val="right"/>
        <w:outlineLvl w:val="9"/>
        <w:rPr>
          <w:rFonts w:hint="eastAsia" w:asciiTheme="minorEastAsia" w:hAnsiTheme="minorEastAsia" w:eastAsiaTheme="minorEastAsia" w:cstheme="minorEastAsia"/>
          <w:b w:val="0"/>
          <w:bCs/>
          <w:color w:val="000000"/>
          <w:sz w:val="24"/>
          <w:szCs w:val="24"/>
        </w:rPr>
      </w:pPr>
      <w:bookmarkStart w:id="402" w:name="_Toc13837_WPSOffice_Level3"/>
      <w:r>
        <w:rPr>
          <w:rFonts w:hint="eastAsia" w:asciiTheme="minorEastAsia" w:hAnsiTheme="minorEastAsia" w:eastAsiaTheme="minorEastAsia" w:cstheme="minorEastAsia"/>
          <w:b w:val="0"/>
          <w:bCs/>
          <w:color w:val="000000"/>
          <w:sz w:val="24"/>
          <w:szCs w:val="24"/>
        </w:rPr>
        <w:t>单位</w:t>
      </w:r>
      <w:r>
        <w:rPr>
          <w:rFonts w:hint="eastAsia" w:asciiTheme="minorEastAsia" w:hAnsiTheme="minorEastAsia" w:eastAsiaTheme="minorEastAsia" w:cstheme="minorEastAsia"/>
          <w:b w:val="0"/>
          <w:bCs/>
          <w:color w:val="000000"/>
          <w:sz w:val="24"/>
          <w:szCs w:val="24"/>
          <w:lang w:eastAsia="zh-CN"/>
        </w:rPr>
        <w:t>名称</w:t>
      </w:r>
      <w:r>
        <w:rPr>
          <w:rFonts w:hint="eastAsia" w:asciiTheme="minorEastAsia" w:hAnsiTheme="minorEastAsia" w:eastAsiaTheme="minorEastAsia" w:cstheme="minorEastAsia"/>
          <w:b w:val="0"/>
          <w:bCs/>
          <w:color w:val="000000"/>
          <w:sz w:val="24"/>
          <w:szCs w:val="24"/>
        </w:rPr>
        <w:t>：</w:t>
      </w:r>
      <w:r>
        <w:rPr>
          <w:rFonts w:hint="eastAsia" w:asciiTheme="minorEastAsia" w:hAnsiTheme="minorEastAsia" w:eastAsiaTheme="minorEastAsia" w:cstheme="minorEastAsia"/>
          <w:b w:val="0"/>
          <w:bCs/>
          <w:color w:val="000000"/>
          <w:kern w:val="0"/>
          <w:sz w:val="24"/>
          <w:szCs w:val="24"/>
          <w:u w:val="single"/>
        </w:rPr>
        <w:t xml:space="preserve">       </w:t>
      </w:r>
      <w:r>
        <w:rPr>
          <w:rFonts w:hint="eastAsia" w:asciiTheme="minorEastAsia" w:hAnsiTheme="minorEastAsia" w:eastAsiaTheme="minorEastAsia" w:cstheme="minorEastAsia"/>
          <w:b w:val="0"/>
          <w:bCs/>
          <w:color w:val="000000"/>
          <w:sz w:val="24"/>
          <w:szCs w:val="24"/>
        </w:rPr>
        <w:t>（公章）</w:t>
      </w:r>
      <w:bookmarkEnd w:id="402"/>
      <w:r>
        <w:rPr>
          <w:rFonts w:hint="eastAsia" w:asciiTheme="minorEastAsia" w:hAnsiTheme="minorEastAsia" w:eastAsiaTheme="minorEastAsia" w:cstheme="minorEastAsia"/>
          <w:b w:val="0"/>
          <w:bCs/>
          <w:color w:val="000000"/>
          <w:sz w:val="24"/>
          <w:szCs w:val="24"/>
        </w:rPr>
        <w:t xml:space="preserve">    </w:t>
      </w:r>
    </w:p>
    <w:p>
      <w:pPr>
        <w:widowControl w:val="0"/>
        <w:wordWrap/>
        <w:adjustRightInd/>
        <w:snapToGrid/>
        <w:spacing w:before="157" w:beforeLines="50" w:line="560" w:lineRule="exact"/>
        <w:ind w:firstLine="480" w:firstLineChars="200"/>
        <w:jc w:val="right"/>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val="0"/>
          <w:bCs/>
          <w:color w:val="000000"/>
          <w:sz w:val="24"/>
          <w:szCs w:val="24"/>
        </w:rPr>
        <w:t xml:space="preserve">   法定代表人或委托代理人：</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 xml:space="preserve">（签字或盖章）                  </w:t>
      </w:r>
      <w:r>
        <w:rPr>
          <w:rFonts w:hint="eastAsia" w:asciiTheme="minorEastAsia" w:hAnsiTheme="minorEastAsia" w:eastAsia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val="0"/>
          <w:bCs/>
          <w:color w:val="000000"/>
          <w:sz w:val="24"/>
          <w:szCs w:val="24"/>
        </w:rPr>
        <w:t xml:space="preserve"> </w:t>
      </w:r>
      <w:r>
        <w:rPr>
          <w:rFonts w:hint="eastAsia" w:asciiTheme="minorEastAsia" w:hAnsiTheme="minorEastAsia" w:eastAsiaTheme="minorEastAsia" w:cstheme="minorEastAsia"/>
          <w:b w:val="0"/>
          <w:bCs/>
          <w:color w:val="000000"/>
          <w:sz w:val="24"/>
          <w:szCs w:val="24"/>
          <w:lang w:val="en-US" w:eastAsia="zh-CN"/>
        </w:rPr>
        <w:t xml:space="preserve">  </w:t>
      </w:r>
      <w:bookmarkStart w:id="403" w:name="_Toc6591_WPSOffice_Level3"/>
      <w:bookmarkStart w:id="404" w:name="_Toc32599_WPSOffice_Level3"/>
      <w:r>
        <w:rPr>
          <w:rFonts w:hint="eastAsia" w:asciiTheme="minorEastAsia" w:hAnsiTheme="minorEastAsia" w:eastAsiaTheme="minorEastAsia" w:cstheme="minorEastAsia"/>
          <w:b w:val="0"/>
          <w:bCs/>
          <w:color w:val="000000"/>
          <w:sz w:val="24"/>
          <w:szCs w:val="24"/>
        </w:rPr>
        <w:t>年   月   日</w:t>
      </w:r>
      <w:bookmarkEnd w:id="403"/>
      <w:bookmarkEnd w:id="404"/>
    </w:p>
    <w:p>
      <w:pPr>
        <w:wordWrap/>
        <w:spacing w:before="157" w:beforeLines="50" w:line="560" w:lineRule="exact"/>
        <w:outlineLvl w:val="9"/>
        <w:rPr>
          <w:rFonts w:hint="eastAsia" w:asciiTheme="minorEastAsia" w:hAnsiTheme="minorEastAsia" w:eastAsiaTheme="minorEastAsia" w:cstheme="minorEastAsia"/>
          <w:b/>
          <w:bCs/>
          <w:color w:val="000000"/>
          <w:sz w:val="24"/>
          <w:szCs w:val="24"/>
        </w:rPr>
      </w:pPr>
    </w:p>
    <w:p>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4"/>
          <w:szCs w:val="24"/>
          <w:lang w:eastAsia="zh-CN"/>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bookmarkStart w:id="405" w:name="_Toc30919"/>
      <w:bookmarkStart w:id="406" w:name="_Toc23618"/>
      <w:bookmarkStart w:id="407" w:name="_Toc26653_WPSOffice_Level3"/>
      <w:bookmarkStart w:id="408" w:name="_Toc7737_WPSOffice_Level3"/>
      <w:bookmarkStart w:id="409" w:name="_Toc16704"/>
    </w:p>
    <w:p>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4"/>
          <w:szCs w:val="24"/>
          <w:lang w:eastAsia="zh-CN"/>
        </w:rPr>
      </w:pPr>
      <w:bookmarkStart w:id="410" w:name="_Toc27456"/>
      <w:r>
        <w:rPr>
          <w:rFonts w:hint="eastAsia" w:asciiTheme="minorEastAsia" w:hAnsiTheme="minorEastAsia" w:eastAsiaTheme="minorEastAsia" w:cstheme="minorEastAsia"/>
          <w:b/>
          <w:color w:val="000000"/>
          <w:sz w:val="24"/>
          <w:szCs w:val="24"/>
          <w:lang w:eastAsia="zh-CN"/>
        </w:rPr>
        <w:t>附件4：供应商承诺函</w:t>
      </w:r>
      <w:bookmarkEnd w:id="405"/>
      <w:bookmarkEnd w:id="406"/>
      <w:bookmarkEnd w:id="407"/>
      <w:bookmarkEnd w:id="408"/>
      <w:bookmarkEnd w:id="409"/>
      <w:bookmarkEnd w:id="410"/>
    </w:p>
    <w:p>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4"/>
          <w:szCs w:val="24"/>
          <w:lang w:eastAsia="zh-CN"/>
        </w:rPr>
      </w:pPr>
      <w:bookmarkStart w:id="411" w:name="_Toc2453_WPSOffice_Level2"/>
      <w:bookmarkStart w:id="412" w:name="_Toc17639_WPSOffice_Level2"/>
      <w:bookmarkStart w:id="413" w:name="_Toc27597_WPSOffice_Level3"/>
      <w:r>
        <w:rPr>
          <w:rFonts w:hint="eastAsia" w:asciiTheme="minorEastAsia" w:hAnsiTheme="minorEastAsia" w:eastAsiaTheme="minorEastAsia" w:cstheme="minorEastAsia"/>
          <w:b/>
          <w:color w:val="000000"/>
          <w:sz w:val="24"/>
          <w:szCs w:val="24"/>
          <w:lang w:eastAsia="zh-CN"/>
        </w:rPr>
        <w:t>供应商承诺函</w:t>
      </w:r>
      <w:bookmarkEnd w:id="411"/>
      <w:bookmarkEnd w:id="412"/>
      <w:bookmarkEnd w:id="413"/>
    </w:p>
    <w:p>
      <w:pPr>
        <w:widowControl w:val="0"/>
        <w:wordWrap/>
        <w:adjustRightInd/>
        <w:snapToGrid/>
        <w:spacing w:line="560" w:lineRule="exact"/>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致：</w:t>
      </w:r>
      <w:r>
        <w:rPr>
          <w:rFonts w:hint="eastAsia" w:asciiTheme="minorEastAsia" w:hAnsiTheme="minorEastAsia" w:eastAsiaTheme="minorEastAsia" w:cstheme="minorEastAsia"/>
          <w:b w:val="0"/>
          <w:bCs w:val="0"/>
          <w:color w:val="000000"/>
          <w:sz w:val="24"/>
          <w:szCs w:val="24"/>
          <w:u w:val="single"/>
          <w:lang w:eastAsia="zh-CN"/>
        </w:rPr>
        <w:t>（代理机构名称）</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关于贵方</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rPr>
        <w:t>年</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月</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日</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bCs w:val="0"/>
          <w:color w:val="000000"/>
          <w:sz w:val="24"/>
          <w:szCs w:val="24"/>
          <w:lang w:eastAsia="zh-CN"/>
        </w:rPr>
        <w:t>（项目名称及编号）</w:t>
      </w:r>
      <w:r>
        <w:rPr>
          <w:rFonts w:hint="eastAsia" w:asciiTheme="minorEastAsia" w:hAnsiTheme="minorEastAsia" w:eastAsiaTheme="minorEastAsia" w:cstheme="minorEastAsia"/>
          <w:b w:val="0"/>
          <w:bCs w:val="0"/>
          <w:color w:val="000000"/>
          <w:sz w:val="24"/>
          <w:szCs w:val="24"/>
        </w:rPr>
        <w:t>采购项目，本签字人愿意参加</w:t>
      </w:r>
      <w:r>
        <w:rPr>
          <w:rFonts w:hint="eastAsia" w:asciiTheme="minorEastAsia" w:hAnsiTheme="minorEastAsia" w:eastAsiaTheme="minorEastAsia" w:cstheme="minorEastAsia"/>
          <w:b w:val="0"/>
          <w:bCs w:val="0"/>
          <w:color w:val="000000"/>
          <w:sz w:val="24"/>
          <w:szCs w:val="24"/>
          <w:lang w:eastAsia="zh-CN"/>
        </w:rPr>
        <w:t>谈判</w:t>
      </w:r>
      <w:r>
        <w:rPr>
          <w:rFonts w:hint="eastAsia" w:asciiTheme="minorEastAsia" w:hAnsiTheme="minorEastAsia" w:eastAsiaTheme="minorEastAsia" w:cstheme="minorEastAsia"/>
          <w:b w:val="0"/>
          <w:bCs w:val="0"/>
          <w:color w:val="000000"/>
          <w:sz w:val="24"/>
          <w:szCs w:val="24"/>
        </w:rPr>
        <w:t>，提供采购一览表中要求的所有产品，并证实提交的所有资料是准确的和真实的。同时，我代表</w:t>
      </w:r>
      <w:r>
        <w:rPr>
          <w:rFonts w:hint="eastAsia" w:asciiTheme="minorEastAsia" w:hAnsiTheme="minorEastAsia" w:eastAsiaTheme="minorEastAsia" w:cstheme="minorEastAsia"/>
          <w:b w:val="0"/>
          <w:bCs w:val="0"/>
          <w:color w:val="000000"/>
          <w:sz w:val="24"/>
          <w:szCs w:val="24"/>
          <w:lang w:val="en-US" w:eastAsia="zh-CN"/>
        </w:rPr>
        <w:t xml:space="preserve">    </w:t>
      </w:r>
      <w:r>
        <w:rPr>
          <w:rFonts w:hint="eastAsia" w:asciiTheme="minorEastAsia" w:hAnsiTheme="minorEastAsia" w:eastAsiaTheme="minorEastAsia" w:cstheme="minorEastAsia"/>
          <w:b w:val="0"/>
          <w:bCs w:val="0"/>
          <w:color w:val="000000"/>
          <w:sz w:val="24"/>
          <w:szCs w:val="24"/>
          <w:u w:val="single"/>
        </w:rPr>
        <w:t>（供应商名称）</w:t>
      </w:r>
      <w:r>
        <w:rPr>
          <w:rFonts w:hint="eastAsia" w:asciiTheme="minorEastAsia" w:hAnsiTheme="minorEastAsia" w:eastAsiaTheme="minorEastAsia" w:cstheme="minorEastAsia"/>
          <w:b w:val="0"/>
          <w:bCs w:val="0"/>
          <w:color w:val="000000"/>
          <w:sz w:val="24"/>
          <w:szCs w:val="24"/>
        </w:rPr>
        <w:t>，在此作如下承诺：</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1、完全理解和接受谈判文件的一切规定和要求；</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2、若</w:t>
      </w:r>
      <w:r>
        <w:rPr>
          <w:rFonts w:hint="eastAsia" w:asciiTheme="minorEastAsia" w:hAnsiTheme="minorEastAsia" w:eastAsiaTheme="minorEastAsia" w:cstheme="minorEastAsia"/>
          <w:b w:val="0"/>
          <w:bCs w:val="0"/>
          <w:color w:val="000000"/>
          <w:sz w:val="24"/>
          <w:szCs w:val="24"/>
          <w:lang w:eastAsia="zh-CN"/>
        </w:rPr>
        <w:t>成交</w:t>
      </w:r>
      <w:r>
        <w:rPr>
          <w:rFonts w:hint="eastAsia" w:asciiTheme="minorEastAsia" w:hAnsiTheme="minorEastAsia" w:eastAsiaTheme="minorEastAsia" w:cstheme="minorEastAsia"/>
          <w:b w:val="0"/>
          <w:bCs w:val="0"/>
          <w:color w:val="000000"/>
          <w:sz w:val="24"/>
          <w:szCs w:val="24"/>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3、我方保证甲方在使用该产品或其任何一部分时，不受第三方提出的侵犯专利权、著作权、商标权和工业设计权等知识产权的起诉，若有</w:t>
      </w:r>
      <w:r>
        <w:rPr>
          <w:rFonts w:hint="eastAsia" w:asciiTheme="minorEastAsia" w:hAnsiTheme="minorEastAsia" w:eastAsiaTheme="minorEastAsia" w:cstheme="minorEastAsia"/>
          <w:b w:val="0"/>
          <w:bCs w:val="0"/>
          <w:color w:val="000000"/>
          <w:sz w:val="24"/>
          <w:szCs w:val="24"/>
          <w:lang w:eastAsia="zh-CN"/>
        </w:rPr>
        <w:t>违反</w:t>
      </w:r>
      <w:r>
        <w:rPr>
          <w:rFonts w:hint="eastAsia" w:asciiTheme="minorEastAsia" w:hAnsiTheme="minorEastAsia" w:eastAsiaTheme="minorEastAsia" w:cstheme="minorEastAsia"/>
          <w:b w:val="0"/>
          <w:bCs w:val="0"/>
          <w:color w:val="000000"/>
          <w:sz w:val="24"/>
          <w:szCs w:val="24"/>
        </w:rPr>
        <w:t>，愿承担相应的一切责任。</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4、我方承诺，除谈判文件中规定的优质产品外，所投的产品均为国产产品，且均符合国家强制性标准。若有不实，愿承担相应的责任。</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5、在整个谈判过程中我方若有违规行为，贵方可按谈判文件之规定给予处罚，我方完全接受。</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val="0"/>
          <w:color w:val="000000"/>
          <w:sz w:val="24"/>
          <w:szCs w:val="24"/>
        </w:rPr>
        <w:t>6、若成交，本承诺将成为合同不可分割的一部分，与合同具有同等的法律效力。</w:t>
      </w:r>
    </w:p>
    <w:p>
      <w:pPr>
        <w:widowControl w:val="0"/>
        <w:wordWrap/>
        <w:adjustRightInd/>
        <w:snapToGrid/>
        <w:spacing w:line="560" w:lineRule="exact"/>
        <w:ind w:firstLine="482"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b w:val="0"/>
          <w:bCs/>
          <w:color w:val="000000"/>
          <w:sz w:val="24"/>
          <w:szCs w:val="24"/>
        </w:rPr>
        <w:t xml:space="preserve"> </w:t>
      </w:r>
      <w:bookmarkStart w:id="414" w:name="_Toc29941_WPSOffice_Level3"/>
      <w:r>
        <w:rPr>
          <w:rFonts w:hint="eastAsia" w:asciiTheme="minorEastAsia" w:hAnsiTheme="minorEastAsia" w:eastAsiaTheme="minorEastAsia" w:cstheme="minorEastAsia"/>
          <w:b w:val="0"/>
          <w:bCs/>
          <w:color w:val="000000"/>
          <w:sz w:val="24"/>
          <w:szCs w:val="24"/>
          <w:lang w:val="en-US" w:eastAsia="zh-CN"/>
        </w:rPr>
        <w:t xml:space="preserve">  </w:t>
      </w:r>
      <w:bookmarkStart w:id="415" w:name="_Toc11979_WPSOffice_Level3"/>
      <w:r>
        <w:rPr>
          <w:rFonts w:hint="eastAsia" w:asciiTheme="minorEastAsia" w:hAnsiTheme="minorEastAsia" w:eastAsiaTheme="minorEastAsia" w:cstheme="minorEastAsia"/>
          <w:b w:val="0"/>
          <w:bCs/>
          <w:color w:val="000000"/>
          <w:sz w:val="24"/>
          <w:szCs w:val="24"/>
        </w:rPr>
        <w:t>单位</w:t>
      </w:r>
      <w:r>
        <w:rPr>
          <w:rFonts w:hint="eastAsia" w:asciiTheme="minorEastAsia" w:hAnsiTheme="minorEastAsia" w:eastAsiaTheme="minorEastAsia" w:cstheme="minorEastAsia"/>
          <w:b w:val="0"/>
          <w:bCs/>
          <w:color w:val="000000"/>
          <w:sz w:val="24"/>
          <w:szCs w:val="24"/>
          <w:lang w:eastAsia="zh-CN"/>
        </w:rPr>
        <w:t>名称</w:t>
      </w:r>
      <w:r>
        <w:rPr>
          <w:rFonts w:hint="eastAsia" w:asciiTheme="minorEastAsia" w:hAnsiTheme="minorEastAsia" w:eastAsiaTheme="minorEastAsia" w:cstheme="minorEastAsia"/>
          <w:b w:val="0"/>
          <w:bCs/>
          <w:color w:val="000000"/>
          <w:sz w:val="24"/>
          <w:szCs w:val="24"/>
        </w:rPr>
        <w:t>：</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（公章）</w:t>
      </w:r>
      <w:bookmarkEnd w:id="414"/>
      <w:bookmarkEnd w:id="415"/>
    </w:p>
    <w:p>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bookmarkStart w:id="416" w:name="_Toc15106_WPSOffice_Level3"/>
      <w:bookmarkStart w:id="417" w:name="_Toc22507_WPSOffice_Level3"/>
      <w:r>
        <w:rPr>
          <w:rFonts w:hint="eastAsia" w:asciiTheme="minorEastAsia" w:hAnsiTheme="minorEastAsia" w:eastAsiaTheme="minorEastAsia" w:cstheme="minorEastAsia"/>
          <w:b w:val="0"/>
          <w:bCs/>
          <w:color w:val="000000"/>
          <w:sz w:val="24"/>
          <w:szCs w:val="24"/>
        </w:rPr>
        <w:t>法定代表人或委托代理人：</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（签字或盖章）</w:t>
      </w:r>
      <w:bookmarkEnd w:id="416"/>
      <w:bookmarkEnd w:id="417"/>
    </w:p>
    <w:p>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bookmarkStart w:id="418" w:name="_Toc24254_WPSOffice_Level3"/>
      <w:r>
        <w:rPr>
          <w:rFonts w:hint="eastAsia" w:asciiTheme="minorEastAsia" w:hAnsiTheme="minorEastAsia" w:eastAsiaTheme="minorEastAsia" w:cstheme="minorEastAsia"/>
          <w:b w:val="0"/>
          <w:bCs/>
          <w:color w:val="000000"/>
          <w:sz w:val="24"/>
          <w:szCs w:val="24"/>
          <w:lang w:val="en-US" w:eastAsia="zh-CN"/>
        </w:rPr>
        <w:t xml:space="preserve">                      </w:t>
      </w:r>
      <w:bookmarkStart w:id="419" w:name="_Toc9343_WPSOffice_Level3"/>
      <w:r>
        <w:rPr>
          <w:rFonts w:hint="eastAsia" w:asciiTheme="minorEastAsia" w:hAnsiTheme="minorEastAsia" w:eastAsiaTheme="minorEastAsia" w:cstheme="minorEastAsia"/>
          <w:b w:val="0"/>
          <w:bCs/>
          <w:color w:val="000000"/>
          <w:sz w:val="24"/>
          <w:szCs w:val="24"/>
        </w:rPr>
        <w:t>年   月  日</w:t>
      </w:r>
      <w:bookmarkEnd w:id="418"/>
      <w:bookmarkEnd w:id="419"/>
    </w:p>
    <w:p>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br w:type="page"/>
      </w:r>
      <w:bookmarkStart w:id="420" w:name="_Toc1937"/>
      <w:bookmarkStart w:id="421" w:name="_Toc20884"/>
      <w:bookmarkStart w:id="422" w:name="_Toc6416"/>
      <w:bookmarkStart w:id="423" w:name="_Toc25740"/>
      <w:bookmarkStart w:id="424" w:name="_Toc26773_WPSOffice_Level3"/>
      <w:bookmarkStart w:id="425" w:name="_Toc653_WPSOffice_Level3"/>
      <w:r>
        <w:rPr>
          <w:rFonts w:hint="eastAsia" w:asciiTheme="minorEastAsia" w:hAnsiTheme="minorEastAsia" w:eastAsiaTheme="minorEastAsia" w:cstheme="minorEastAsia"/>
          <w:b/>
          <w:color w:val="000000"/>
          <w:sz w:val="24"/>
          <w:szCs w:val="24"/>
          <w:lang w:eastAsia="zh-CN"/>
        </w:rPr>
        <w:t>附件5：供应商诚信承诺书</w:t>
      </w:r>
      <w:bookmarkEnd w:id="420"/>
      <w:bookmarkEnd w:id="421"/>
      <w:bookmarkEnd w:id="422"/>
      <w:bookmarkEnd w:id="423"/>
      <w:bookmarkEnd w:id="424"/>
      <w:bookmarkEnd w:id="425"/>
    </w:p>
    <w:p>
      <w:pPr>
        <w:wordWrap/>
        <w:spacing w:before="157" w:beforeLines="50" w:line="560" w:lineRule="exact"/>
        <w:jc w:val="center"/>
        <w:outlineLvl w:val="9"/>
        <w:rPr>
          <w:rFonts w:hint="eastAsia" w:asciiTheme="minorEastAsia" w:hAnsiTheme="minorEastAsia" w:eastAsiaTheme="minorEastAsia" w:cstheme="minorEastAsia"/>
          <w:b/>
          <w:color w:val="000000"/>
          <w:sz w:val="24"/>
          <w:szCs w:val="24"/>
        </w:rPr>
      </w:pPr>
      <w:bookmarkStart w:id="426" w:name="_Toc22537_WPSOffice_Level3"/>
      <w:bookmarkStart w:id="427" w:name="_Toc22989_WPSOffice_Level3"/>
      <w:r>
        <w:rPr>
          <w:rFonts w:hint="eastAsia" w:asciiTheme="minorEastAsia" w:hAnsiTheme="minorEastAsia" w:eastAsiaTheme="minorEastAsia" w:cstheme="minorEastAsia"/>
          <w:b/>
          <w:color w:val="000000"/>
          <w:sz w:val="24"/>
          <w:szCs w:val="24"/>
          <w:lang w:eastAsia="zh-CN"/>
        </w:rPr>
        <w:t>供应商诚信承诺书</w:t>
      </w:r>
      <w:bookmarkEnd w:id="426"/>
      <w:bookmarkEnd w:id="427"/>
    </w:p>
    <w:p>
      <w:pPr>
        <w:widowControl w:val="0"/>
        <w:wordWrap/>
        <w:adjustRightInd/>
        <w:snapToGrid/>
        <w:spacing w:line="560" w:lineRule="exact"/>
        <w:textAlignment w:val="auto"/>
        <w:outlineLvl w:val="9"/>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rPr>
        <w:t>致：</w:t>
      </w:r>
      <w:r>
        <w:rPr>
          <w:rFonts w:hint="eastAsia" w:asciiTheme="minorEastAsia" w:hAnsiTheme="minorEastAsia" w:eastAsiaTheme="minorEastAsia" w:cstheme="minorEastAsia"/>
          <w:b w:val="0"/>
          <w:bCs w:val="0"/>
          <w:color w:val="000000"/>
          <w:sz w:val="24"/>
          <w:szCs w:val="24"/>
          <w:u w:val="single"/>
          <w:lang w:eastAsia="zh-CN"/>
        </w:rPr>
        <w:t>（代理机构名称）</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为了诚实、客观、有序地参与青海省政府采购活动，愿就以下内容作出承诺：</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1</w:t>
      </w:r>
      <w:r>
        <w:rPr>
          <w:rFonts w:hint="eastAsia" w:asciiTheme="minorEastAsia" w:hAnsiTheme="minorEastAsia" w:eastAsiaTheme="minorEastAsia" w:cstheme="minorEastAsia"/>
          <w:b w:val="0"/>
          <w:bCs w:val="0"/>
          <w:color w:val="000000"/>
          <w:sz w:val="24"/>
          <w:szCs w:val="24"/>
        </w:rPr>
        <w:t>、自觉遵守各项法律、法规、规章、制度以及社会公德，维护廉洁环境，与同场竞争的供应商平等参加政府采购活动。</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color w:val="000000"/>
          <w:sz w:val="24"/>
          <w:szCs w:val="24"/>
        </w:rPr>
        <w:t>、参加青海省政府采购中心组织的政府采购活动时，严格按照谈判文件的规定和要求提供所需的相关材料，并对所提供的各类资料的真实性负责，不虚假</w:t>
      </w:r>
      <w:r>
        <w:rPr>
          <w:rFonts w:hint="eastAsia" w:asciiTheme="minorEastAsia" w:hAnsiTheme="minorEastAsia" w:eastAsiaTheme="minorEastAsia" w:cstheme="minorEastAsia"/>
          <w:b w:val="0"/>
          <w:bCs w:val="0"/>
          <w:color w:val="000000"/>
          <w:sz w:val="24"/>
          <w:szCs w:val="24"/>
          <w:lang w:eastAsia="zh-CN"/>
        </w:rPr>
        <w:t>响应</w:t>
      </w:r>
      <w:r>
        <w:rPr>
          <w:rFonts w:hint="eastAsia" w:asciiTheme="minorEastAsia" w:hAnsiTheme="minorEastAsia" w:eastAsiaTheme="minorEastAsia" w:cstheme="minorEastAsia"/>
          <w:b w:val="0"/>
          <w:bCs w:val="0"/>
          <w:color w:val="000000"/>
          <w:sz w:val="24"/>
          <w:szCs w:val="24"/>
        </w:rPr>
        <w:t>，不虚列业绩。</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3</w:t>
      </w:r>
      <w:r>
        <w:rPr>
          <w:rFonts w:hint="eastAsia" w:asciiTheme="minorEastAsia" w:hAnsiTheme="minorEastAsia" w:eastAsiaTheme="minorEastAsia" w:cstheme="minorEastAsia"/>
          <w:b w:val="0"/>
          <w:bCs w:val="0"/>
          <w:color w:val="000000"/>
          <w:sz w:val="24"/>
          <w:szCs w:val="24"/>
        </w:rPr>
        <w:t>、尊重参与政府采购活动各相关方的合法行为，接受政府采购活动依法形成的意见、结果。</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4</w:t>
      </w:r>
      <w:r>
        <w:rPr>
          <w:rFonts w:hint="eastAsia" w:asciiTheme="minorEastAsia" w:hAnsiTheme="minorEastAsia" w:eastAsiaTheme="minorEastAsia" w:cstheme="minorEastAsia"/>
          <w:b w:val="0"/>
          <w:bCs w:val="0"/>
          <w:color w:val="000000"/>
          <w:sz w:val="24"/>
          <w:szCs w:val="24"/>
        </w:rPr>
        <w:t>、依法参加政府采购活动，不围标、串标，维护市场秩序，不提供“三无”产品、以次充好。</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5</w:t>
      </w:r>
      <w:r>
        <w:rPr>
          <w:rFonts w:hint="eastAsia" w:asciiTheme="minorEastAsia" w:hAnsiTheme="minorEastAsia" w:eastAsiaTheme="minorEastAsia" w:cstheme="minorEastAsia"/>
          <w:b w:val="0"/>
          <w:bCs w:val="0"/>
          <w:color w:val="000000"/>
          <w:sz w:val="24"/>
          <w:szCs w:val="24"/>
        </w:rPr>
        <w:t>、积极推动政府采购活动健康开展，对采购活动有疑问、异议时，按法律规定的程序实名（加盖单位</w:t>
      </w:r>
      <w:r>
        <w:rPr>
          <w:rFonts w:hint="eastAsia" w:asciiTheme="minorEastAsia" w:hAnsiTheme="minorEastAsia" w:eastAsiaTheme="minorEastAsia" w:cstheme="minorEastAsia"/>
          <w:b w:val="0"/>
          <w:bCs w:val="0"/>
          <w:color w:val="000000"/>
          <w:sz w:val="24"/>
          <w:szCs w:val="24"/>
          <w:lang w:eastAsia="zh-CN"/>
        </w:rPr>
        <w:t>公</w:t>
      </w:r>
      <w:r>
        <w:rPr>
          <w:rFonts w:hint="eastAsia" w:asciiTheme="minorEastAsia" w:hAnsiTheme="minorEastAsia" w:eastAsiaTheme="minorEastAsia" w:cstheme="minorEastAsia"/>
          <w:b w:val="0"/>
          <w:bCs w:val="0"/>
          <w:color w:val="000000"/>
          <w:sz w:val="24"/>
          <w:szCs w:val="24"/>
        </w:rPr>
        <w:t>章和法定代表人签名）反映情况，不恶意中伤、无事生非，以和谐、平等的心态参加政府采购活动。</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6</w:t>
      </w:r>
      <w:r>
        <w:rPr>
          <w:rFonts w:hint="eastAsia" w:asciiTheme="minorEastAsia" w:hAnsiTheme="minorEastAsia" w:eastAsiaTheme="minorEastAsia" w:cstheme="minorEastAsia"/>
          <w:b w:val="0"/>
          <w:bCs w:val="0"/>
          <w:color w:val="000000"/>
          <w:sz w:val="24"/>
          <w:szCs w:val="24"/>
        </w:rPr>
        <w:t>、认真履行成交供应商应承担的责任和义务，全面执行采购合同规定的各项内容，保质保量地按时提供采购物品。</w:t>
      </w:r>
    </w:p>
    <w:p>
      <w:pPr>
        <w:widowControl w:val="0"/>
        <w:wordWrap/>
        <w:adjustRightInd/>
        <w:snapToGrid/>
        <w:spacing w:line="560" w:lineRule="exac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val="0"/>
          <w:color w:val="000000"/>
          <w:sz w:val="24"/>
          <w:szCs w:val="24"/>
        </w:rPr>
        <w:t>若本企业（单位）发生有悖于上述承诺的行为，愿意接受《中华人民共和国政府采购法》和《政府采购法实施条例》中对供应商的相关处理。本承诺是采购项目谈判响应文件的组成部分。</w:t>
      </w:r>
    </w:p>
    <w:p>
      <w:pPr>
        <w:widowControl w:val="0"/>
        <w:wordWrap/>
        <w:adjustRightInd/>
        <w:snapToGrid/>
        <w:spacing w:before="157" w:beforeLines="50" w:line="560" w:lineRule="exact"/>
        <w:ind w:firstLine="482"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b w:val="0"/>
          <w:bCs/>
          <w:color w:val="000000"/>
          <w:sz w:val="24"/>
          <w:szCs w:val="24"/>
        </w:rPr>
        <w:t xml:space="preserve"> </w:t>
      </w:r>
      <w:bookmarkStart w:id="428" w:name="_Toc23784_WPSOffice_Level3"/>
      <w:bookmarkStart w:id="429" w:name="_Toc2830_WPSOffice_Level3"/>
      <w:r>
        <w:rPr>
          <w:rFonts w:hint="eastAsia" w:asciiTheme="minorEastAsia" w:hAnsiTheme="minorEastAsia" w:eastAsiaTheme="minorEastAsia" w:cstheme="minorEastAsia"/>
          <w:b w:val="0"/>
          <w:bCs/>
          <w:color w:val="000000"/>
          <w:sz w:val="24"/>
          <w:szCs w:val="24"/>
        </w:rPr>
        <w:t>单位</w:t>
      </w:r>
      <w:r>
        <w:rPr>
          <w:rFonts w:hint="eastAsia" w:asciiTheme="minorEastAsia" w:hAnsiTheme="minorEastAsia" w:eastAsiaTheme="minorEastAsia" w:cstheme="minorEastAsia"/>
          <w:b w:val="0"/>
          <w:bCs/>
          <w:color w:val="000000"/>
          <w:sz w:val="24"/>
          <w:szCs w:val="24"/>
          <w:lang w:eastAsia="zh-CN"/>
        </w:rPr>
        <w:t>名称</w:t>
      </w:r>
      <w:r>
        <w:rPr>
          <w:rFonts w:hint="eastAsia" w:asciiTheme="minorEastAsia" w:hAnsiTheme="minorEastAsia" w:eastAsiaTheme="minorEastAsia" w:cstheme="minorEastAsia"/>
          <w:b w:val="0"/>
          <w:bCs/>
          <w:color w:val="000000"/>
          <w:sz w:val="24"/>
          <w:szCs w:val="24"/>
        </w:rPr>
        <w:t>：</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（公章）</w:t>
      </w:r>
      <w:bookmarkEnd w:id="428"/>
      <w:bookmarkEnd w:id="429"/>
    </w:p>
    <w:p>
      <w:pPr>
        <w:widowControl w:val="0"/>
        <w:wordWrap/>
        <w:adjustRightInd/>
        <w:snapToGrid/>
        <w:spacing w:before="157" w:beforeLines="50"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bookmarkStart w:id="430" w:name="_Toc13573_WPSOffice_Level3"/>
      <w:bookmarkStart w:id="431" w:name="_Toc25026_WPSOffice_Level3"/>
      <w:r>
        <w:rPr>
          <w:rFonts w:hint="eastAsia" w:asciiTheme="minorEastAsia" w:hAnsiTheme="minorEastAsia" w:eastAsiaTheme="minorEastAsia" w:cstheme="minorEastAsia"/>
          <w:b w:val="0"/>
          <w:bCs/>
          <w:color w:val="000000"/>
          <w:sz w:val="24"/>
          <w:szCs w:val="24"/>
        </w:rPr>
        <w:t>法定代表人或委托代理人：</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（签字或盖章）</w:t>
      </w:r>
      <w:bookmarkEnd w:id="430"/>
      <w:bookmarkEnd w:id="431"/>
    </w:p>
    <w:p>
      <w:pPr>
        <w:widowControl w:val="0"/>
        <w:wordWrap/>
        <w:adjustRightInd/>
        <w:snapToGrid/>
        <w:spacing w:before="157" w:beforeLines="50"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bookmarkStart w:id="432" w:name="_Toc5564_WPSOffice_Level3"/>
      <w:r>
        <w:rPr>
          <w:rFonts w:hint="eastAsia" w:asciiTheme="minorEastAsia" w:hAnsiTheme="minorEastAsia" w:eastAsiaTheme="minorEastAsia" w:cstheme="minorEastAsia"/>
          <w:b w:val="0"/>
          <w:bCs/>
          <w:color w:val="000000"/>
          <w:sz w:val="24"/>
          <w:szCs w:val="24"/>
          <w:lang w:val="en-US" w:eastAsia="zh-CN"/>
        </w:rPr>
        <w:t xml:space="preserve">                      </w:t>
      </w:r>
      <w:bookmarkStart w:id="433" w:name="_Toc12645_WPSOffice_Level3"/>
      <w:r>
        <w:rPr>
          <w:rFonts w:hint="eastAsia" w:asciiTheme="minorEastAsia" w:hAnsiTheme="minorEastAsia" w:eastAsiaTheme="minorEastAsia" w:cstheme="minorEastAsia"/>
          <w:b w:val="0"/>
          <w:bCs/>
          <w:color w:val="000000"/>
          <w:sz w:val="24"/>
          <w:szCs w:val="24"/>
        </w:rPr>
        <w:t>年   月  日</w:t>
      </w:r>
      <w:bookmarkEnd w:id="432"/>
      <w:bookmarkEnd w:id="433"/>
    </w:p>
    <w:p>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szCs w:val="24"/>
          <w:lang w:eastAsia="zh-CN"/>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bookmarkStart w:id="434" w:name="_Toc25242"/>
      <w:bookmarkStart w:id="435" w:name="_Toc19930_WPSOffice_Level3"/>
      <w:bookmarkStart w:id="436" w:name="_Toc6033"/>
      <w:bookmarkStart w:id="437" w:name="_Toc8368_WPSOffice_Level3"/>
      <w:bookmarkStart w:id="438" w:name="_Toc16847"/>
    </w:p>
    <w:p>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szCs w:val="24"/>
        </w:rPr>
      </w:pPr>
      <w:bookmarkStart w:id="439" w:name="_Toc16976"/>
      <w:r>
        <w:rPr>
          <w:rFonts w:hint="eastAsia" w:asciiTheme="minorEastAsia" w:hAnsiTheme="minorEastAsia" w:eastAsiaTheme="minorEastAsia" w:cstheme="minorEastAsia"/>
          <w:b/>
          <w:color w:val="000000"/>
          <w:sz w:val="24"/>
          <w:szCs w:val="24"/>
          <w:lang w:eastAsia="zh-CN"/>
        </w:rPr>
        <w:t>附件6：供应商资格证明文件</w:t>
      </w:r>
      <w:bookmarkEnd w:id="434"/>
      <w:bookmarkEnd w:id="435"/>
      <w:bookmarkEnd w:id="436"/>
      <w:bookmarkEnd w:id="437"/>
      <w:bookmarkEnd w:id="438"/>
      <w:bookmarkEnd w:id="439"/>
    </w:p>
    <w:p>
      <w:pPr>
        <w:wordWrap/>
        <w:spacing w:before="157" w:beforeLines="50" w:line="560" w:lineRule="exact"/>
        <w:jc w:val="center"/>
        <w:outlineLvl w:val="9"/>
        <w:rPr>
          <w:rFonts w:hint="eastAsia" w:asciiTheme="minorEastAsia" w:hAnsiTheme="minorEastAsia" w:eastAsiaTheme="minorEastAsia" w:cstheme="minorEastAsia"/>
          <w:color w:val="000000"/>
          <w:sz w:val="24"/>
          <w:szCs w:val="24"/>
        </w:rPr>
      </w:pPr>
      <w:bookmarkStart w:id="440" w:name="_Toc23997_WPSOffice_Level3"/>
      <w:bookmarkStart w:id="441" w:name="_Toc9360_WPSOffice_Level3"/>
      <w:r>
        <w:rPr>
          <w:rFonts w:hint="eastAsia" w:asciiTheme="minorEastAsia" w:hAnsiTheme="minorEastAsia" w:eastAsiaTheme="minorEastAsia" w:cstheme="minorEastAsia"/>
          <w:b/>
          <w:color w:val="000000"/>
          <w:sz w:val="24"/>
          <w:szCs w:val="24"/>
          <w:lang w:eastAsia="zh-CN"/>
        </w:rPr>
        <w:t>供应商资格证明文件</w:t>
      </w:r>
      <w:bookmarkEnd w:id="440"/>
      <w:bookmarkEnd w:id="441"/>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资格证明材料包括：提供有效的营业执照、税务登记证、机构代码证或三证（五证）合一统一社会代码证及其他资格证明文件（扫描或复印件）。</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2、根据采购项目内容，提供供应商的相关资质证书、许可证等。</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p>
    <w:p>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4"/>
          <w:szCs w:val="24"/>
        </w:rPr>
      </w:pPr>
    </w:p>
    <w:p>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4"/>
          <w:szCs w:val="24"/>
        </w:rPr>
      </w:pPr>
    </w:p>
    <w:p>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4"/>
          <w:szCs w:val="24"/>
        </w:rPr>
      </w:pPr>
    </w:p>
    <w:p>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szCs w:val="24"/>
          <w:lang w:eastAsia="zh-CN"/>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bookmarkStart w:id="442" w:name="_Toc12925"/>
      <w:bookmarkStart w:id="443" w:name="_Toc5898"/>
      <w:bookmarkStart w:id="444" w:name="_Toc29082_WPSOffice_Level3"/>
      <w:bookmarkStart w:id="445" w:name="_Toc6573"/>
      <w:bookmarkStart w:id="446" w:name="_Toc7499_WPSOffice_Level3"/>
    </w:p>
    <w:p>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szCs w:val="24"/>
        </w:rPr>
      </w:pPr>
      <w:bookmarkStart w:id="447" w:name="_Toc13679"/>
      <w:r>
        <w:rPr>
          <w:rFonts w:hint="eastAsia" w:asciiTheme="minorEastAsia" w:hAnsiTheme="minorEastAsia" w:eastAsiaTheme="minorEastAsia" w:cstheme="minorEastAsia"/>
          <w:b/>
          <w:color w:val="000000"/>
          <w:sz w:val="24"/>
          <w:szCs w:val="24"/>
          <w:lang w:eastAsia="zh-CN"/>
        </w:rPr>
        <w:t>附件7：财务状况、缴纳税收和社会保障资金证明</w:t>
      </w:r>
      <w:bookmarkEnd w:id="442"/>
      <w:bookmarkEnd w:id="443"/>
      <w:bookmarkEnd w:id="444"/>
      <w:bookmarkEnd w:id="445"/>
      <w:bookmarkEnd w:id="446"/>
      <w:bookmarkEnd w:id="447"/>
    </w:p>
    <w:p>
      <w:pPr>
        <w:wordWrap/>
        <w:spacing w:before="157" w:beforeLines="50" w:line="560" w:lineRule="exact"/>
        <w:jc w:val="center"/>
        <w:outlineLvl w:val="9"/>
        <w:rPr>
          <w:rFonts w:hint="eastAsia" w:asciiTheme="minorEastAsia" w:hAnsiTheme="minorEastAsia" w:eastAsiaTheme="minorEastAsia" w:cstheme="minorEastAsia"/>
          <w:b/>
          <w:color w:val="000000"/>
          <w:sz w:val="24"/>
          <w:szCs w:val="24"/>
        </w:rPr>
      </w:pPr>
      <w:bookmarkStart w:id="448" w:name="_Toc22184_WPSOffice_Level3"/>
      <w:bookmarkStart w:id="449" w:name="_Toc2355_WPSOffice_Level3"/>
      <w:r>
        <w:rPr>
          <w:rFonts w:hint="eastAsia" w:asciiTheme="minorEastAsia" w:hAnsiTheme="minorEastAsia" w:eastAsiaTheme="minorEastAsia" w:cstheme="minorEastAsia"/>
          <w:b/>
          <w:color w:val="000000"/>
          <w:sz w:val="24"/>
          <w:szCs w:val="24"/>
          <w:lang w:eastAsia="zh-CN"/>
        </w:rPr>
        <w:t>财务状况、缴纳税收和社会保障资金证明</w:t>
      </w:r>
      <w:bookmarkEnd w:id="448"/>
      <w:bookmarkEnd w:id="449"/>
    </w:p>
    <w:p>
      <w:pPr>
        <w:wordWrap/>
        <w:adjustRightIn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按照《政府采购法》第22条规定提供以下相关材料</w:t>
      </w:r>
      <w:r>
        <w:rPr>
          <w:rFonts w:hint="eastAsia" w:asciiTheme="minorEastAsia" w:hAnsiTheme="minorEastAsia" w:eastAsiaTheme="minorEastAsia" w:cstheme="minorEastAsia"/>
          <w:color w:val="000000"/>
          <w:sz w:val="24"/>
          <w:szCs w:val="24"/>
          <w:lang w:eastAsia="zh-CN"/>
        </w:rPr>
        <w:t>：</w:t>
      </w:r>
    </w:p>
    <w:p>
      <w:pPr>
        <w:wordWrap/>
        <w:autoSpaceDE w:val="0"/>
        <w:autoSpaceDN w:val="0"/>
        <w:adjustRightInd/>
        <w:spacing w:line="560" w:lineRule="exact"/>
        <w:ind w:firstLine="480"/>
        <w:textAlignment w:val="auto"/>
        <w:outlineLvl w:val="9"/>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rPr>
        <w:t>1、供应商是法人的，提供20</w:t>
      </w:r>
      <w:r>
        <w:rPr>
          <w:rFonts w:hint="eastAsia" w:asciiTheme="minorEastAsia" w:hAnsiTheme="minorEastAsia" w:eastAsiaTheme="minorEastAsia" w:cstheme="minorEastAsia"/>
          <w:color w:val="000000"/>
          <w:sz w:val="24"/>
          <w:szCs w:val="24"/>
          <w:lang w:val="en-US" w:eastAsia="zh-CN"/>
        </w:rPr>
        <w:t>21</w:t>
      </w:r>
      <w:r>
        <w:rPr>
          <w:rFonts w:hint="eastAsia" w:asciiTheme="minorEastAsia" w:hAnsiTheme="minorEastAsia" w:eastAsiaTheme="minorEastAsia" w:cstheme="minorEastAsia"/>
          <w:color w:val="000000"/>
          <w:sz w:val="24"/>
          <w:szCs w:val="24"/>
        </w:rPr>
        <w:t>年度经审计的财务状况报告，包括资产负债表、利润表、现金流量表及其附注，或其基本开</w:t>
      </w:r>
      <w:r>
        <w:rPr>
          <w:rFonts w:hint="eastAsia" w:asciiTheme="minorEastAsia" w:hAnsiTheme="minorEastAsia" w:eastAsiaTheme="minorEastAsia" w:cstheme="minorEastAsia"/>
          <w:color w:val="000000"/>
          <w:sz w:val="24"/>
          <w:szCs w:val="24"/>
          <w:u w:val="none"/>
        </w:rPr>
        <w:t>户银行</w:t>
      </w:r>
      <w:r>
        <w:rPr>
          <w:rFonts w:hint="eastAsia" w:asciiTheme="minorEastAsia" w:hAnsiTheme="minorEastAsia" w:eastAsiaTheme="minorEastAsia" w:cstheme="minorEastAsia"/>
          <w:color w:val="000000"/>
          <w:sz w:val="24"/>
          <w:szCs w:val="24"/>
          <w:u w:val="none"/>
          <w:lang w:val="en-US" w:eastAsia="zh-CN"/>
        </w:rPr>
        <w:t>近三个月内</w:t>
      </w:r>
      <w:r>
        <w:rPr>
          <w:rFonts w:hint="eastAsia" w:asciiTheme="minorEastAsia" w:hAnsiTheme="minorEastAsia" w:eastAsiaTheme="minorEastAsia" w:cstheme="minorEastAsia"/>
          <w:color w:val="000000"/>
          <w:sz w:val="24"/>
          <w:szCs w:val="24"/>
        </w:rPr>
        <w:t>出具的资信证明；供应商是其他组织和自然人，没有经审计的财务报告，可以提供基本开户银行出具的资信证明</w:t>
      </w:r>
      <w:r>
        <w:rPr>
          <w:rFonts w:hint="eastAsia" w:asciiTheme="minorEastAsia" w:hAnsiTheme="minorEastAsia" w:eastAsiaTheme="minorEastAsia" w:cstheme="minorEastAsia"/>
          <w:sz w:val="24"/>
          <w:szCs w:val="24"/>
        </w:rPr>
        <w:t>。</w:t>
      </w:r>
    </w:p>
    <w:p>
      <w:pPr>
        <w:wordWrap/>
        <w:adjustRightIn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提供</w:t>
      </w:r>
      <w:r>
        <w:rPr>
          <w:rFonts w:hint="eastAsia" w:asciiTheme="minorEastAsia" w:hAnsiTheme="minorEastAsia" w:eastAsiaTheme="minorEastAsia" w:cstheme="minorEastAsia"/>
          <w:color w:val="000000"/>
          <w:sz w:val="24"/>
          <w:szCs w:val="24"/>
        </w:rPr>
        <w:t>近</w:t>
      </w:r>
      <w:r>
        <w:rPr>
          <w:rFonts w:hint="eastAsia" w:asciiTheme="minorEastAsia" w:hAnsiTheme="minorEastAsia" w:eastAsiaTheme="minorEastAsia" w:cstheme="minorEastAsia"/>
          <w:color w:val="000000"/>
          <w:sz w:val="24"/>
          <w:szCs w:val="24"/>
          <w:lang w:val="en-US" w:eastAsia="zh-CN"/>
        </w:rPr>
        <w:t>半年</w:t>
      </w:r>
      <w:r>
        <w:rPr>
          <w:rFonts w:hint="eastAsia" w:asciiTheme="minorEastAsia" w:hAnsiTheme="minorEastAsia" w:eastAsiaTheme="minorEastAsia" w:cstheme="minorEastAsia"/>
          <w:color w:val="000000"/>
          <w:sz w:val="24"/>
          <w:szCs w:val="24"/>
          <w:lang w:eastAsia="zh-CN"/>
        </w:rPr>
        <w:t>内（任意一个月）</w:t>
      </w:r>
      <w:r>
        <w:rPr>
          <w:rFonts w:hint="eastAsia" w:asciiTheme="minorEastAsia" w:hAnsiTheme="minorEastAsia" w:eastAsiaTheme="minorEastAsia" w:cstheme="minorEastAsia"/>
          <w:color w:val="000000"/>
          <w:sz w:val="24"/>
          <w:szCs w:val="24"/>
        </w:rPr>
        <w:t>依法缴纳税收和社会保障资金记录的证明材料</w:t>
      </w:r>
      <w:r>
        <w:rPr>
          <w:rFonts w:hint="eastAsia" w:asciiTheme="minorEastAsia" w:hAnsiTheme="minorEastAsia" w:eastAsiaTheme="minorEastAsia" w:cstheme="minorEastAsia"/>
          <w:color w:val="000000"/>
          <w:sz w:val="24"/>
          <w:szCs w:val="24"/>
          <w:lang w:eastAsia="zh-CN"/>
        </w:rPr>
        <w:t>，或相关行政机关出具无欠缴应纳税款或社会保障资金的证明材料</w:t>
      </w:r>
      <w:r>
        <w:rPr>
          <w:rFonts w:hint="eastAsia" w:asciiTheme="minorEastAsia" w:hAnsiTheme="minorEastAsia" w:eastAsiaTheme="minorEastAsia" w:cstheme="minorEastAsia"/>
          <w:color w:val="000000"/>
          <w:sz w:val="24"/>
          <w:szCs w:val="24"/>
        </w:rPr>
        <w:t>。依法免税或不需要缴纳社会保障资金的供应商，应提供相应文件证明其依法免税或不需要缴纳社会保障资金</w:t>
      </w:r>
      <w:r>
        <w:rPr>
          <w:rFonts w:hint="eastAsia" w:asciiTheme="minorEastAsia" w:hAnsiTheme="minorEastAsia" w:eastAsiaTheme="minorEastAsia" w:cstheme="minorEastAsia"/>
          <w:color w:val="000000"/>
          <w:sz w:val="24"/>
          <w:szCs w:val="24"/>
          <w:lang w:eastAsia="zh-CN"/>
        </w:rPr>
        <w:t>的证明</w:t>
      </w:r>
      <w:r>
        <w:rPr>
          <w:rFonts w:hint="eastAsia" w:asciiTheme="minorEastAsia" w:hAnsiTheme="minorEastAsia" w:eastAsiaTheme="minorEastAsia" w:cstheme="minorEastAsia"/>
          <w:color w:val="000000"/>
          <w:sz w:val="24"/>
          <w:szCs w:val="24"/>
        </w:rPr>
        <w:t>。</w:t>
      </w:r>
    </w:p>
    <w:p>
      <w:pPr>
        <w:widowControl/>
        <w:wordWrap/>
        <w:adjustRightInd/>
        <w:snapToGrid w:val="0"/>
        <w:spacing w:line="560" w:lineRule="exact"/>
        <w:textAlignment w:val="auto"/>
        <w:outlineLvl w:val="9"/>
        <w:rPr>
          <w:rFonts w:hint="eastAsia" w:asciiTheme="minorEastAsia" w:hAnsiTheme="minorEastAsia" w:eastAsiaTheme="minorEastAsia" w:cstheme="minorEastAsia"/>
          <w:color w:val="000000"/>
          <w:sz w:val="24"/>
          <w:szCs w:val="24"/>
        </w:rPr>
      </w:pPr>
    </w:p>
    <w:p>
      <w:pPr>
        <w:widowControl/>
        <w:wordWrap/>
        <w:snapToGrid w:val="0"/>
        <w:spacing w:before="157" w:beforeLines="50" w:line="560" w:lineRule="exact"/>
        <w:outlineLvl w:val="9"/>
        <w:rPr>
          <w:rFonts w:hint="eastAsia" w:asciiTheme="minorEastAsia" w:hAnsiTheme="minorEastAsia" w:eastAsiaTheme="minorEastAsia" w:cstheme="minorEastAsia"/>
          <w:color w:val="000000"/>
          <w:sz w:val="24"/>
          <w:szCs w:val="24"/>
        </w:rPr>
      </w:pPr>
    </w:p>
    <w:p>
      <w:pPr>
        <w:tabs>
          <w:tab w:val="left" w:pos="168"/>
        </w:tabs>
        <w:wordWrap/>
        <w:adjustRightInd w:val="0"/>
        <w:spacing w:before="157" w:beforeLines="50" w:line="560" w:lineRule="exact"/>
        <w:ind w:firstLine="480" w:firstLineChars="200"/>
        <w:textAlignment w:val="baseline"/>
        <w:rPr>
          <w:rFonts w:hint="eastAsia" w:asciiTheme="minorEastAsia" w:hAnsiTheme="minorEastAsia" w:eastAsiaTheme="minorEastAsia" w:cstheme="minorEastAsia"/>
          <w:color w:val="000000"/>
          <w:sz w:val="24"/>
          <w:szCs w:val="24"/>
        </w:rPr>
      </w:pPr>
    </w:p>
    <w:p>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szCs w:val="24"/>
          <w:lang w:eastAsia="zh-CN"/>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bookmarkStart w:id="450" w:name="_Toc21984"/>
      <w:bookmarkStart w:id="451" w:name="_Toc17387_WPSOffice_Level3"/>
      <w:bookmarkStart w:id="452" w:name="_Toc16098"/>
      <w:bookmarkStart w:id="453" w:name="_Toc22959_WPSOffice_Level3"/>
      <w:bookmarkStart w:id="454" w:name="_Toc13266"/>
    </w:p>
    <w:p>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szCs w:val="24"/>
          <w:lang w:eastAsia="zh-CN"/>
        </w:rPr>
      </w:pPr>
      <w:bookmarkStart w:id="455" w:name="_Toc15026"/>
      <w:r>
        <w:rPr>
          <w:rFonts w:hint="eastAsia" w:asciiTheme="minorEastAsia" w:hAnsiTheme="minorEastAsia" w:eastAsiaTheme="minorEastAsia" w:cstheme="minorEastAsia"/>
          <w:b/>
          <w:color w:val="000000"/>
          <w:sz w:val="24"/>
          <w:szCs w:val="24"/>
          <w:lang w:eastAsia="zh-CN"/>
        </w:rPr>
        <w:t>附件8：</w:t>
      </w:r>
      <w:bookmarkEnd w:id="450"/>
      <w:r>
        <w:rPr>
          <w:rFonts w:hint="eastAsia" w:asciiTheme="minorEastAsia" w:hAnsiTheme="minorEastAsia" w:eastAsiaTheme="minorEastAsia" w:cstheme="minorEastAsia"/>
          <w:b/>
          <w:color w:val="000000"/>
          <w:sz w:val="24"/>
          <w:szCs w:val="24"/>
          <w:lang w:eastAsia="zh-CN"/>
        </w:rPr>
        <w:t>无重大违法记录声明</w:t>
      </w:r>
      <w:bookmarkEnd w:id="451"/>
      <w:bookmarkEnd w:id="452"/>
      <w:bookmarkEnd w:id="455"/>
    </w:p>
    <w:p>
      <w:pPr>
        <w:wordWrap/>
        <w:spacing w:before="157" w:beforeLines="50" w:line="560" w:lineRule="exact"/>
        <w:jc w:val="center"/>
        <w:outlineLvl w:val="9"/>
        <w:rPr>
          <w:rFonts w:hint="eastAsia" w:asciiTheme="minorEastAsia" w:hAnsiTheme="minorEastAsia" w:eastAsiaTheme="minorEastAsia" w:cstheme="minorEastAsia"/>
          <w:b/>
          <w:bCs/>
          <w:color w:val="000000"/>
          <w:sz w:val="24"/>
          <w:szCs w:val="24"/>
        </w:rPr>
      </w:pPr>
      <w:bookmarkStart w:id="456" w:name="_Toc25610_WPSOffice_Level3"/>
      <w:r>
        <w:rPr>
          <w:rFonts w:hint="eastAsia" w:asciiTheme="minorEastAsia" w:hAnsiTheme="minorEastAsia" w:eastAsiaTheme="minorEastAsia" w:cstheme="minorEastAsia"/>
          <w:b/>
          <w:color w:val="000000"/>
          <w:sz w:val="24"/>
          <w:szCs w:val="24"/>
          <w:lang w:val="zh-CN" w:eastAsia="zh-CN"/>
        </w:rPr>
        <w:t>无重大违法记录声明</w:t>
      </w:r>
      <w:bookmarkEnd w:id="456"/>
    </w:p>
    <w:p>
      <w:pPr>
        <w:widowControl w:val="0"/>
        <w:wordWrap/>
        <w:adjustRightInd/>
        <w:snapToGrid/>
        <w:spacing w:line="560" w:lineRule="exac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val="en-US" w:eastAsia="zh-CN"/>
        </w:rPr>
        <w:t xml:space="preserve">  </w:t>
      </w:r>
      <w:r>
        <w:rPr>
          <w:rFonts w:hint="eastAsia" w:asciiTheme="minorEastAsia" w:hAnsiTheme="minorEastAsia" w:eastAsiaTheme="minorEastAsia" w:cstheme="minorEastAsia"/>
          <w:b w:val="0"/>
          <w:bCs w:val="0"/>
          <w:color w:val="000000"/>
          <w:sz w:val="24"/>
          <w:szCs w:val="24"/>
        </w:rPr>
        <w:t>致：</w:t>
      </w:r>
      <w:r>
        <w:rPr>
          <w:rFonts w:hint="eastAsia" w:asciiTheme="minorEastAsia" w:hAnsiTheme="minorEastAsia" w:eastAsiaTheme="minorEastAsia" w:cstheme="minorEastAsia"/>
          <w:b w:val="0"/>
          <w:bCs w:val="0"/>
          <w:color w:val="000000"/>
          <w:sz w:val="24"/>
          <w:szCs w:val="24"/>
          <w:u w:val="single"/>
          <w:lang w:eastAsia="zh-CN"/>
        </w:rPr>
        <w:t>（代理机构名称）</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rPr>
        <w:t>我单位参加本次政府采购项目活动前三年内，在经营活动中无重大违法活动记录，符合《政府采购法》规定的</w:t>
      </w:r>
      <w:r>
        <w:rPr>
          <w:rFonts w:hint="eastAsia" w:asciiTheme="minorEastAsia" w:hAnsiTheme="minorEastAsia" w:eastAsiaTheme="minorEastAsia" w:cstheme="minorEastAsia"/>
          <w:color w:val="000000"/>
          <w:sz w:val="24"/>
          <w:szCs w:val="24"/>
          <w:lang w:eastAsia="zh-CN"/>
        </w:rPr>
        <w:t>供应商</w:t>
      </w:r>
      <w:r>
        <w:rPr>
          <w:rFonts w:hint="eastAsia" w:asciiTheme="minorEastAsia" w:hAnsiTheme="minorEastAsia" w:eastAsiaTheme="minorEastAsia" w:cstheme="minorEastAsia"/>
          <w:color w:val="000000"/>
          <w:sz w:val="24"/>
          <w:szCs w:val="24"/>
        </w:rPr>
        <w:t>资格条</w:t>
      </w:r>
      <w:r>
        <w:rPr>
          <w:rFonts w:hint="eastAsia" w:asciiTheme="minorEastAsia" w:hAnsiTheme="minorEastAsia" w:eastAsiaTheme="minorEastAsia" w:cstheme="minorEastAsia"/>
          <w:color w:val="000000"/>
          <w:sz w:val="24"/>
          <w:szCs w:val="24"/>
          <w:shd w:val="clear" w:color="auto" w:fill="FFFFFF"/>
        </w:rPr>
        <w:t>件。我方对此声明负全部法律责任。</w:t>
      </w:r>
    </w:p>
    <w:p>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特此声明。</w:t>
      </w:r>
    </w:p>
    <w:p>
      <w:pPr>
        <w:widowControl w:val="0"/>
        <w:wordWrap/>
        <w:autoSpaceDE w:val="0"/>
        <w:autoSpaceDN w:val="0"/>
        <w:adjustRightInd/>
        <w:snapToGrid/>
        <w:spacing w:line="560" w:lineRule="exact"/>
        <w:jc w:val="left"/>
        <w:textAlignment w:val="auto"/>
        <w:outlineLvl w:val="9"/>
        <w:rPr>
          <w:rFonts w:hint="eastAsia" w:asciiTheme="minorEastAsia" w:hAnsiTheme="minorEastAsia" w:eastAsiaTheme="minorEastAsia" w:cstheme="minorEastAsia"/>
          <w:color w:val="000000"/>
          <w:kern w:val="0"/>
          <w:sz w:val="24"/>
          <w:szCs w:val="24"/>
          <w:lang w:val="zh-CN"/>
        </w:rPr>
      </w:pPr>
    </w:p>
    <w:p>
      <w:pPr>
        <w:widowControl w:val="0"/>
        <w:wordWrap/>
        <w:autoSpaceDE w:val="0"/>
        <w:autoSpaceDN w:val="0"/>
        <w:adjustRightInd/>
        <w:snapToGrid/>
        <w:spacing w:line="560" w:lineRule="exact"/>
        <w:ind w:firstLine="480" w:firstLineChars="200"/>
        <w:jc w:val="left"/>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附“信用中国”网站“下载信用信息”栏中的信用信息，时间为</w:t>
      </w:r>
      <w:r>
        <w:rPr>
          <w:rFonts w:hint="eastAsia" w:asciiTheme="minorEastAsia" w:hAnsiTheme="minorEastAsia" w:eastAsiaTheme="minorEastAsia" w:cstheme="minorEastAsia"/>
          <w:color w:val="000000"/>
          <w:kern w:val="0"/>
          <w:sz w:val="24"/>
          <w:szCs w:val="24"/>
          <w:lang w:eastAsia="zh-CN"/>
        </w:rPr>
        <w:t>谈判文件响应</w:t>
      </w:r>
      <w:r>
        <w:rPr>
          <w:rFonts w:hint="eastAsia" w:asciiTheme="minorEastAsia" w:hAnsiTheme="minorEastAsia" w:eastAsiaTheme="minorEastAsia" w:cstheme="minorEastAsia"/>
          <w:color w:val="000000"/>
          <w:kern w:val="0"/>
          <w:sz w:val="24"/>
          <w:szCs w:val="24"/>
        </w:rPr>
        <w:t>截止时间前20天内</w:t>
      </w:r>
      <w:r>
        <w:rPr>
          <w:rFonts w:hint="eastAsia" w:asciiTheme="minorEastAsia" w:hAnsiTheme="minorEastAsia" w:eastAsiaTheme="minorEastAsia" w:cstheme="minorEastAsia"/>
          <w:color w:val="000000"/>
          <w:sz w:val="24"/>
          <w:szCs w:val="24"/>
        </w:rPr>
        <w:t>。</w:t>
      </w:r>
    </w:p>
    <w:p>
      <w:pPr>
        <w:widowControl w:val="0"/>
        <w:wordWrap/>
        <w:adjustRightInd/>
        <w:snapToGrid/>
        <w:spacing w:before="157" w:beforeLines="50"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               </w:t>
      </w:r>
    </w:p>
    <w:p>
      <w:pPr>
        <w:widowControl w:val="0"/>
        <w:wordWrap/>
        <w:adjustRightInd/>
        <w:snapToGrid/>
        <w:spacing w:before="157" w:beforeLines="50"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lang w:val="en-US" w:eastAsia="zh-CN"/>
        </w:rPr>
      </w:pPr>
    </w:p>
    <w:p>
      <w:pPr>
        <w:widowControl w:val="0"/>
        <w:wordWrap/>
        <w:adjustRightInd/>
        <w:snapToGrid/>
        <w:spacing w:before="157" w:beforeLines="50"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 xml:space="preserve">  </w:t>
      </w:r>
      <w:bookmarkStart w:id="457" w:name="_Toc21607_WPSOffice_Level3"/>
      <w:r>
        <w:rPr>
          <w:rFonts w:hint="eastAsia" w:asciiTheme="minorEastAsia" w:hAnsiTheme="minorEastAsia" w:eastAsiaTheme="minorEastAsia" w:cstheme="minorEastAsia"/>
          <w:b w:val="0"/>
          <w:bCs/>
          <w:color w:val="000000"/>
          <w:sz w:val="24"/>
          <w:szCs w:val="24"/>
        </w:rPr>
        <w:t>单位</w:t>
      </w:r>
      <w:r>
        <w:rPr>
          <w:rFonts w:hint="eastAsia" w:asciiTheme="minorEastAsia" w:hAnsiTheme="minorEastAsia" w:eastAsiaTheme="minorEastAsia" w:cstheme="minorEastAsia"/>
          <w:b w:val="0"/>
          <w:bCs/>
          <w:color w:val="000000"/>
          <w:sz w:val="24"/>
          <w:szCs w:val="24"/>
          <w:lang w:eastAsia="zh-CN"/>
        </w:rPr>
        <w:t>名称</w:t>
      </w:r>
      <w:r>
        <w:rPr>
          <w:rFonts w:hint="eastAsia" w:asciiTheme="minorEastAsia" w:hAnsiTheme="minorEastAsia" w:eastAsiaTheme="minorEastAsia" w:cstheme="minorEastAsia"/>
          <w:b w:val="0"/>
          <w:bCs/>
          <w:color w:val="000000"/>
          <w:sz w:val="24"/>
          <w:szCs w:val="24"/>
        </w:rPr>
        <w:t>：</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（公章）</w:t>
      </w:r>
      <w:bookmarkEnd w:id="457"/>
    </w:p>
    <w:p>
      <w:pPr>
        <w:widowControl w:val="0"/>
        <w:wordWrap/>
        <w:adjustRightInd/>
        <w:snapToGrid/>
        <w:spacing w:before="157" w:beforeLines="50"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bookmarkStart w:id="458" w:name="_Toc14292_WPSOffice_Level3"/>
      <w:r>
        <w:rPr>
          <w:rFonts w:hint="eastAsia" w:asciiTheme="minorEastAsia" w:hAnsiTheme="minorEastAsia" w:eastAsiaTheme="minorEastAsia" w:cstheme="minorEastAsia"/>
          <w:b w:val="0"/>
          <w:bCs/>
          <w:color w:val="000000"/>
          <w:sz w:val="24"/>
          <w:szCs w:val="24"/>
        </w:rPr>
        <w:t>法定代表人或委托代理人：</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（签字或盖章）</w:t>
      </w:r>
      <w:bookmarkEnd w:id="458"/>
    </w:p>
    <w:p>
      <w:pPr>
        <w:widowControl w:val="0"/>
        <w:wordWrap/>
        <w:adjustRightInd/>
        <w:snapToGrid/>
        <w:spacing w:before="157" w:beforeLines="50"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r>
        <w:rPr>
          <w:rFonts w:hint="eastAsia" w:asciiTheme="minorEastAsia" w:hAnsiTheme="minorEastAsia" w:eastAsiaTheme="minorEastAsia" w:cstheme="minorEastAsia"/>
          <w:b w:val="0"/>
          <w:bCs/>
          <w:color w:val="000000"/>
          <w:sz w:val="24"/>
          <w:szCs w:val="24"/>
          <w:lang w:val="en-US" w:eastAsia="zh-CN"/>
        </w:rPr>
        <w:t xml:space="preserve">                      </w:t>
      </w:r>
      <w:bookmarkStart w:id="459" w:name="_Toc15350_WPSOffice_Level3"/>
      <w:r>
        <w:rPr>
          <w:rFonts w:hint="eastAsia" w:asciiTheme="minorEastAsia" w:hAnsiTheme="minorEastAsia" w:eastAsiaTheme="minorEastAsia" w:cstheme="minorEastAsia"/>
          <w:b w:val="0"/>
          <w:bCs/>
          <w:color w:val="000000"/>
          <w:sz w:val="24"/>
          <w:szCs w:val="24"/>
        </w:rPr>
        <w:t>年   月  日</w:t>
      </w:r>
      <w:bookmarkEnd w:id="459"/>
    </w:p>
    <w:p>
      <w:pPr>
        <w:pStyle w:val="19"/>
        <w:wordWrap/>
        <w:spacing w:before="157" w:beforeLines="50" w:after="0" w:line="560" w:lineRule="exact"/>
        <w:jc w:val="left"/>
        <w:outlineLvl w:val="9"/>
        <w:rPr>
          <w:rFonts w:hint="eastAsia" w:asciiTheme="minorEastAsia" w:hAnsiTheme="minorEastAsia" w:eastAsiaTheme="minorEastAsia" w:cstheme="minorEastAsia"/>
          <w:b/>
          <w:bCs w:val="0"/>
          <w:color w:val="000000"/>
          <w:kern w:val="2"/>
          <w:sz w:val="24"/>
          <w:szCs w:val="24"/>
          <w:lang w:val="en-US" w:eastAsia="zh-CN" w:bidi="ar-SA"/>
        </w:rPr>
      </w:pPr>
      <w:bookmarkStart w:id="460" w:name="_Toc24810"/>
      <w:bookmarkStart w:id="461" w:name="_Toc132_WPSOffice_Level3"/>
    </w:p>
    <w:p>
      <w:pPr>
        <w:pStyle w:val="19"/>
        <w:wordWrap/>
        <w:spacing w:before="157" w:beforeLines="50" w:after="0" w:line="560" w:lineRule="exact"/>
        <w:jc w:val="left"/>
        <w:outlineLvl w:val="9"/>
        <w:rPr>
          <w:rFonts w:hint="eastAsia" w:asciiTheme="minorEastAsia" w:hAnsiTheme="minorEastAsia" w:eastAsiaTheme="minorEastAsia" w:cstheme="minorEastAsia"/>
          <w:b/>
          <w:bCs w:val="0"/>
          <w:color w:val="000000"/>
          <w:kern w:val="2"/>
          <w:sz w:val="24"/>
          <w:szCs w:val="24"/>
          <w:lang w:val="en-US" w:eastAsia="zh-CN" w:bidi="ar-SA"/>
        </w:rPr>
      </w:pPr>
    </w:p>
    <w:p>
      <w:pPr>
        <w:pStyle w:val="19"/>
        <w:wordWrap/>
        <w:spacing w:before="157" w:beforeLines="50" w:after="0" w:line="560" w:lineRule="exact"/>
        <w:jc w:val="left"/>
        <w:outlineLvl w:val="9"/>
        <w:rPr>
          <w:rFonts w:hint="eastAsia" w:asciiTheme="minorEastAsia" w:hAnsiTheme="minorEastAsia" w:eastAsiaTheme="minorEastAsia" w:cstheme="minorEastAsia"/>
          <w:b/>
          <w:bCs w:val="0"/>
          <w:color w:val="000000"/>
          <w:kern w:val="2"/>
          <w:sz w:val="24"/>
          <w:szCs w:val="24"/>
          <w:lang w:val="en-US" w:eastAsia="zh-CN" w:bidi="ar-SA"/>
        </w:rPr>
      </w:pPr>
    </w:p>
    <w:p>
      <w:pPr>
        <w:pStyle w:val="19"/>
        <w:wordWrap/>
        <w:spacing w:before="157" w:beforeLines="50" w:after="0" w:line="560" w:lineRule="exact"/>
        <w:jc w:val="left"/>
        <w:outlineLvl w:val="9"/>
        <w:rPr>
          <w:rFonts w:hint="eastAsia" w:asciiTheme="minorEastAsia" w:hAnsiTheme="minorEastAsia" w:eastAsiaTheme="minorEastAsia" w:cstheme="minorEastAsia"/>
          <w:b/>
          <w:bCs w:val="0"/>
          <w:color w:val="000000"/>
          <w:kern w:val="2"/>
          <w:sz w:val="24"/>
          <w:szCs w:val="24"/>
          <w:lang w:val="en-US" w:eastAsia="zh-CN" w:bidi="ar-SA"/>
        </w:rPr>
      </w:pPr>
    </w:p>
    <w:p>
      <w:pPr>
        <w:pStyle w:val="19"/>
        <w:wordWrap/>
        <w:spacing w:before="157" w:beforeLines="50" w:after="0" w:line="560" w:lineRule="exact"/>
        <w:jc w:val="left"/>
        <w:outlineLvl w:val="9"/>
        <w:rPr>
          <w:rFonts w:hint="eastAsia" w:asciiTheme="minorEastAsia" w:hAnsiTheme="minorEastAsia" w:eastAsiaTheme="minorEastAsia" w:cstheme="minorEastAsia"/>
          <w:b/>
          <w:bCs w:val="0"/>
          <w:color w:val="000000"/>
          <w:kern w:val="2"/>
          <w:sz w:val="24"/>
          <w:szCs w:val="24"/>
          <w:lang w:val="en-US" w:eastAsia="zh-CN" w:bidi="ar-SA"/>
        </w:rPr>
      </w:pPr>
    </w:p>
    <w:p>
      <w:pPr>
        <w:pStyle w:val="19"/>
        <w:wordWrap/>
        <w:spacing w:before="157" w:beforeLines="50" w:after="0" w:line="560" w:lineRule="exact"/>
        <w:jc w:val="left"/>
        <w:outlineLvl w:val="9"/>
        <w:rPr>
          <w:rFonts w:hint="eastAsia" w:asciiTheme="minorEastAsia" w:hAnsiTheme="minorEastAsia" w:eastAsiaTheme="minorEastAsia" w:cstheme="minorEastAsia"/>
          <w:b/>
          <w:bCs w:val="0"/>
          <w:color w:val="000000"/>
          <w:kern w:val="2"/>
          <w:sz w:val="24"/>
          <w:szCs w:val="24"/>
          <w:lang w:val="en-US" w:eastAsia="zh-CN" w:bidi="ar-SA"/>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p>
    <w:p>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szCs w:val="24"/>
          <w:lang w:val="zh-CN" w:eastAsia="zh-CN"/>
        </w:rPr>
      </w:pPr>
      <w:bookmarkStart w:id="462" w:name="_Toc29943"/>
      <w:r>
        <w:rPr>
          <w:rFonts w:hint="eastAsia" w:asciiTheme="minorEastAsia" w:hAnsiTheme="minorEastAsia" w:eastAsiaTheme="minorEastAsia" w:cstheme="minorEastAsia"/>
          <w:b/>
          <w:color w:val="000000"/>
          <w:sz w:val="24"/>
          <w:szCs w:val="24"/>
          <w:lang w:val="en-US" w:eastAsia="zh-CN"/>
        </w:rPr>
        <w:t>附件9：谈判</w:t>
      </w:r>
      <w:r>
        <w:rPr>
          <w:rFonts w:hint="eastAsia" w:asciiTheme="minorEastAsia" w:hAnsiTheme="minorEastAsia" w:eastAsiaTheme="minorEastAsia" w:cstheme="minorEastAsia"/>
          <w:b/>
          <w:color w:val="000000"/>
          <w:sz w:val="24"/>
          <w:szCs w:val="24"/>
          <w:lang w:val="zh-CN" w:eastAsia="zh-CN"/>
        </w:rPr>
        <w:t>保证金证明</w:t>
      </w:r>
      <w:bookmarkEnd w:id="453"/>
      <w:bookmarkEnd w:id="454"/>
      <w:bookmarkEnd w:id="460"/>
      <w:bookmarkEnd w:id="461"/>
      <w:bookmarkEnd w:id="462"/>
    </w:p>
    <w:p>
      <w:pPr>
        <w:wordWrap/>
        <w:spacing w:before="157" w:beforeLines="50" w:line="560" w:lineRule="exact"/>
        <w:jc w:val="center"/>
        <w:outlineLvl w:val="9"/>
        <w:rPr>
          <w:rFonts w:hint="eastAsia" w:asciiTheme="minorEastAsia" w:hAnsiTheme="minorEastAsia" w:eastAsiaTheme="minorEastAsia" w:cstheme="minorEastAsia"/>
          <w:b/>
          <w:bCs/>
          <w:color w:val="000000"/>
          <w:kern w:val="0"/>
          <w:sz w:val="24"/>
          <w:szCs w:val="24"/>
          <w:lang w:val="zh-CN"/>
        </w:rPr>
      </w:pPr>
      <w:bookmarkStart w:id="463" w:name="_Toc27502_WPSOffice_Level3"/>
      <w:r>
        <w:rPr>
          <w:rFonts w:hint="eastAsia" w:asciiTheme="minorEastAsia" w:hAnsiTheme="minorEastAsia" w:eastAsiaTheme="minorEastAsia" w:cstheme="minorEastAsia"/>
          <w:b/>
          <w:color w:val="000000"/>
          <w:sz w:val="24"/>
          <w:szCs w:val="24"/>
          <w:lang w:val="zh-CN" w:eastAsia="zh-CN"/>
        </w:rPr>
        <w:t>谈判保证金证明</w:t>
      </w:r>
      <w:bookmarkEnd w:id="463"/>
    </w:p>
    <w:p>
      <w:pPr>
        <w:widowControl w:val="0"/>
        <w:wordWrap/>
        <w:autoSpaceDE w:val="0"/>
        <w:autoSpaceDN w:val="0"/>
        <w:adjustRightInd/>
        <w:snapToGrid/>
        <w:spacing w:line="560" w:lineRule="exact"/>
        <w:textAlignment w:val="auto"/>
        <w:outlineLvl w:val="9"/>
        <w:rPr>
          <w:rFonts w:hint="eastAsia" w:asciiTheme="minorEastAsia" w:hAnsiTheme="minorEastAsia" w:eastAsiaTheme="minorEastAsia" w:cstheme="minorEastAsia"/>
          <w:b/>
          <w:bCs/>
          <w:color w:val="000000"/>
          <w:kern w:val="0"/>
          <w:sz w:val="24"/>
          <w:szCs w:val="24"/>
          <w:lang w:val="zh-CN"/>
        </w:rPr>
      </w:pPr>
      <w:bookmarkStart w:id="464" w:name="_Toc21234_WPSOffice_Level2"/>
      <w:bookmarkStart w:id="465" w:name="_Toc12243_WPSOffice_Level2"/>
      <w:bookmarkStart w:id="466" w:name="_Toc1388_WPSOffice_Level2"/>
      <w:r>
        <w:rPr>
          <w:rFonts w:hint="eastAsia" w:asciiTheme="minorEastAsia" w:hAnsiTheme="minorEastAsia" w:eastAsiaTheme="minorEastAsia" w:cstheme="minorEastAsia"/>
          <w:b/>
          <w:bCs/>
          <w:color w:val="000000"/>
          <w:kern w:val="0"/>
          <w:sz w:val="24"/>
          <w:szCs w:val="24"/>
          <w:lang w:val="zh-CN"/>
        </w:rPr>
        <w:t>致：</w:t>
      </w:r>
      <w:r>
        <w:rPr>
          <w:rFonts w:hint="eastAsia" w:asciiTheme="minorEastAsia" w:hAnsiTheme="minorEastAsia" w:eastAsiaTheme="minorEastAsia" w:cstheme="minorEastAsia"/>
          <w:b/>
          <w:bCs/>
          <w:color w:val="000000"/>
          <w:kern w:val="0"/>
          <w:sz w:val="24"/>
          <w:szCs w:val="24"/>
          <w:u w:val="single"/>
          <w:lang w:val="zh-CN"/>
        </w:rPr>
        <w:t>采购代理机构</w:t>
      </w:r>
      <w:bookmarkEnd w:id="464"/>
      <w:bookmarkEnd w:id="465"/>
      <w:bookmarkEnd w:id="466"/>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我方为</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lang w:val="zh-CN"/>
        </w:rPr>
        <w:t>（采购项目名称）项目（采购项目编号为：</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 xml:space="preserve">）递交保证金人民币 </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（大写：人民币</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元）已于</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日以转账方式汇入你方账户。</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附</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保证金交款证明复印件（加盖公章）</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widowControl w:val="0"/>
        <w:wordWrap/>
        <w:autoSpaceDE w:val="0"/>
        <w:autoSpaceDN w:val="0"/>
        <w:adjustRightInd/>
        <w:snapToGrid/>
        <w:spacing w:line="560" w:lineRule="exact"/>
        <w:ind w:firstLine="360"/>
        <w:textAlignment w:val="auto"/>
        <w:outlineLvl w:val="9"/>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户    名：</w:t>
      </w:r>
    </w:p>
    <w:p>
      <w:pPr>
        <w:widowControl w:val="0"/>
        <w:wordWrap/>
        <w:autoSpaceDE w:val="0"/>
        <w:autoSpaceDN w:val="0"/>
        <w:adjustRightInd/>
        <w:snapToGrid/>
        <w:spacing w:line="560" w:lineRule="exact"/>
        <w:ind w:firstLine="360"/>
        <w:textAlignment w:val="auto"/>
        <w:outlineLvl w:val="9"/>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开户银行：</w:t>
      </w:r>
    </w:p>
    <w:p>
      <w:pPr>
        <w:widowControl w:val="0"/>
        <w:wordWrap/>
        <w:autoSpaceDE w:val="0"/>
        <w:autoSpaceDN w:val="0"/>
        <w:adjustRightInd/>
        <w:snapToGrid/>
        <w:spacing w:line="560" w:lineRule="exact"/>
        <w:ind w:firstLine="360"/>
        <w:textAlignment w:val="auto"/>
        <w:outlineLvl w:val="9"/>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开户帐号：</w:t>
      </w:r>
    </w:p>
    <w:p>
      <w:pPr>
        <w:widowControl w:val="0"/>
        <w:wordWrap/>
        <w:adjustRightInd/>
        <w:snapToGrid/>
        <w:spacing w:before="157" w:beforeLines="50"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 xml:space="preserve">                 </w:t>
      </w:r>
      <w:bookmarkStart w:id="467" w:name="_Toc16036_WPSOffice_Level3"/>
      <w:r>
        <w:rPr>
          <w:rFonts w:hint="eastAsia" w:asciiTheme="minorEastAsia" w:hAnsiTheme="minorEastAsia" w:eastAsiaTheme="minorEastAsia" w:cstheme="minorEastAsia"/>
          <w:b w:val="0"/>
          <w:bCs/>
          <w:color w:val="000000"/>
          <w:sz w:val="24"/>
          <w:szCs w:val="24"/>
        </w:rPr>
        <w:t>单位</w:t>
      </w:r>
      <w:r>
        <w:rPr>
          <w:rFonts w:hint="eastAsia" w:asciiTheme="minorEastAsia" w:hAnsiTheme="minorEastAsia" w:eastAsiaTheme="minorEastAsia" w:cstheme="minorEastAsia"/>
          <w:b w:val="0"/>
          <w:bCs/>
          <w:color w:val="000000"/>
          <w:sz w:val="24"/>
          <w:szCs w:val="24"/>
          <w:lang w:eastAsia="zh-CN"/>
        </w:rPr>
        <w:t>名称</w:t>
      </w:r>
      <w:r>
        <w:rPr>
          <w:rFonts w:hint="eastAsia" w:asciiTheme="minorEastAsia" w:hAnsiTheme="minorEastAsia" w:eastAsiaTheme="minorEastAsia" w:cstheme="minorEastAsia"/>
          <w:b w:val="0"/>
          <w:bCs/>
          <w:color w:val="000000"/>
          <w:sz w:val="24"/>
          <w:szCs w:val="24"/>
        </w:rPr>
        <w:t>：</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（公章）</w:t>
      </w:r>
      <w:bookmarkEnd w:id="467"/>
    </w:p>
    <w:p>
      <w:pPr>
        <w:widowControl w:val="0"/>
        <w:wordWrap/>
        <w:adjustRightInd/>
        <w:snapToGrid/>
        <w:spacing w:before="157" w:beforeLines="50"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bookmarkStart w:id="468" w:name="_Toc4114_WPSOffice_Level3"/>
      <w:r>
        <w:rPr>
          <w:rFonts w:hint="eastAsia" w:asciiTheme="minorEastAsia" w:hAnsiTheme="minorEastAsia" w:eastAsiaTheme="minorEastAsia" w:cstheme="minorEastAsia"/>
          <w:b w:val="0"/>
          <w:bCs/>
          <w:color w:val="000000"/>
          <w:sz w:val="24"/>
          <w:szCs w:val="24"/>
        </w:rPr>
        <w:t>法定代表人或委托代理人：</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（签字或盖章）</w:t>
      </w:r>
      <w:bookmarkEnd w:id="468"/>
    </w:p>
    <w:p>
      <w:pPr>
        <w:widowControl w:val="0"/>
        <w:wordWrap/>
        <w:adjustRightInd/>
        <w:snapToGrid/>
        <w:spacing w:before="157" w:beforeLines="50"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r>
        <w:rPr>
          <w:rFonts w:hint="eastAsia" w:asciiTheme="minorEastAsia" w:hAnsiTheme="minorEastAsia" w:eastAsiaTheme="minorEastAsia" w:cstheme="minorEastAsia"/>
          <w:b w:val="0"/>
          <w:bCs/>
          <w:color w:val="000000"/>
          <w:sz w:val="24"/>
          <w:szCs w:val="24"/>
          <w:lang w:val="en-US" w:eastAsia="zh-CN"/>
        </w:rPr>
        <w:t xml:space="preserve">                      </w:t>
      </w:r>
      <w:bookmarkStart w:id="469" w:name="_Toc26055_WPSOffice_Level3"/>
      <w:r>
        <w:rPr>
          <w:rFonts w:hint="eastAsia" w:asciiTheme="minorEastAsia" w:hAnsiTheme="minorEastAsia" w:eastAsiaTheme="minorEastAsia" w:cstheme="minorEastAsia"/>
          <w:b w:val="0"/>
          <w:bCs/>
          <w:color w:val="000000"/>
          <w:sz w:val="24"/>
          <w:szCs w:val="24"/>
        </w:rPr>
        <w:t>年   月  日</w:t>
      </w:r>
      <w:bookmarkEnd w:id="469"/>
    </w:p>
    <w:p>
      <w:pPr>
        <w:wordWrap/>
        <w:autoSpaceDE w:val="0"/>
        <w:autoSpaceDN w:val="0"/>
        <w:spacing w:before="157" w:beforeLines="50" w:line="560" w:lineRule="exact"/>
        <w:outlineLvl w:val="9"/>
        <w:rPr>
          <w:rFonts w:hint="eastAsia" w:asciiTheme="minorEastAsia" w:hAnsiTheme="minorEastAsia" w:eastAsiaTheme="minorEastAsia" w:cstheme="minorEastAsia"/>
          <w:b/>
          <w:bCs/>
          <w:color w:val="000000"/>
          <w:kern w:val="0"/>
          <w:sz w:val="24"/>
          <w:szCs w:val="24"/>
          <w:lang w:val="zh-CN"/>
        </w:rPr>
      </w:pPr>
    </w:p>
    <w:p>
      <w:pPr>
        <w:wordWrap/>
        <w:spacing w:before="157" w:beforeLines="50" w:line="56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kern w:val="0"/>
          <w:sz w:val="24"/>
          <w:szCs w:val="24"/>
          <w:lang w:val="zh-CN"/>
        </w:rPr>
        <w:br w:type="page"/>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Theme="minorEastAsia" w:hAnsiTheme="minorEastAsia" w:eastAsiaTheme="minorEastAsia" w:cstheme="minorEastAsia"/>
          <w:b/>
          <w:color w:val="000000"/>
          <w:sz w:val="24"/>
          <w:szCs w:val="24"/>
        </w:rPr>
      </w:pPr>
      <w:bookmarkStart w:id="470" w:name="_Toc24560_WPSOffice_Level2"/>
      <w:bookmarkStart w:id="471" w:name="_Toc20688_WPSOffice_Level2"/>
      <w:r>
        <w:rPr>
          <w:rFonts w:hint="eastAsia" w:asciiTheme="minorEastAsia" w:hAnsiTheme="minorEastAsia" w:eastAsiaTheme="minorEastAsia" w:cstheme="minorEastAsia"/>
          <w:b/>
          <w:color w:val="000000"/>
          <w:sz w:val="24"/>
          <w:szCs w:val="24"/>
        </w:rPr>
        <w:t>青海省政府采购项目</w:t>
      </w:r>
      <w:bookmarkEnd w:id="470"/>
      <w:bookmarkEnd w:id="471"/>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Theme="minorEastAsia" w:hAnsiTheme="minorEastAsia" w:eastAsiaTheme="minorEastAsia" w:cstheme="minorEastAsia"/>
          <w:b/>
          <w:color w:val="000000"/>
          <w:sz w:val="24"/>
          <w:szCs w:val="24"/>
        </w:rPr>
      </w:pPr>
      <w:bookmarkStart w:id="472" w:name="_Toc1190_WPSOffice_Level2"/>
      <w:bookmarkStart w:id="473" w:name="_Toc30784_WPSOffice_Level2"/>
      <w:r>
        <w:rPr>
          <w:rFonts w:hint="eastAsia" w:asciiTheme="minorEastAsia" w:hAnsiTheme="minorEastAsia" w:eastAsiaTheme="minorEastAsia" w:cstheme="minorEastAsia"/>
          <w:b/>
          <w:color w:val="000000"/>
          <w:sz w:val="24"/>
          <w:szCs w:val="24"/>
        </w:rPr>
        <w:t>谈判响应文件</w:t>
      </w:r>
      <w:bookmarkEnd w:id="472"/>
      <w:bookmarkEnd w:id="473"/>
    </w:p>
    <w:p>
      <w:pPr>
        <w:wordWrap/>
        <w:adjustRightInd w:val="0"/>
        <w:spacing w:before="157" w:beforeLines="50" w:line="560" w:lineRule="exact"/>
        <w:jc w:val="center"/>
        <w:textAlignment w:val="baseline"/>
        <w:outlineLvl w:val="9"/>
        <w:rPr>
          <w:rFonts w:hint="eastAsia" w:asciiTheme="minorEastAsia" w:hAnsiTheme="minorEastAsia" w:eastAsiaTheme="minorEastAsia" w:cstheme="minorEastAsia"/>
          <w:b/>
          <w:bCs/>
          <w:color w:val="000000"/>
          <w:sz w:val="24"/>
          <w:szCs w:val="24"/>
        </w:rPr>
      </w:pPr>
      <w:bookmarkStart w:id="474" w:name="_Toc5068_WPSOffice_Level2"/>
      <w:bookmarkStart w:id="475" w:name="_Toc24224_WPSOffice_Level2"/>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b w:val="0"/>
          <w:bCs w:val="0"/>
          <w:kern w:val="2"/>
          <w:sz w:val="24"/>
          <w:szCs w:val="24"/>
          <w:lang w:val="en-US" w:eastAsia="zh-CN" w:bidi="ar-SA"/>
        </w:rPr>
        <w:t>有效性、完整性、响应程度审查部分</w:t>
      </w:r>
      <w:r>
        <w:rPr>
          <w:rFonts w:hint="eastAsia" w:asciiTheme="minorEastAsia" w:hAnsiTheme="minorEastAsia" w:eastAsiaTheme="minorEastAsia" w:cstheme="minorEastAsia"/>
          <w:b/>
          <w:bCs/>
          <w:color w:val="000000"/>
          <w:sz w:val="24"/>
          <w:szCs w:val="24"/>
        </w:rPr>
        <w:t>）</w:t>
      </w:r>
      <w:bookmarkEnd w:id="474"/>
      <w:bookmarkEnd w:id="475"/>
    </w:p>
    <w:p>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24"/>
          <w:szCs w:val="24"/>
        </w:rPr>
      </w:pPr>
    </w:p>
    <w:p>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24"/>
          <w:szCs w:val="24"/>
        </w:rPr>
      </w:pPr>
    </w:p>
    <w:p>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24"/>
          <w:szCs w:val="24"/>
        </w:rPr>
      </w:pPr>
    </w:p>
    <w:p>
      <w:pPr>
        <w:wordWrap/>
        <w:adjustRightInd w:val="0"/>
        <w:spacing w:before="157" w:beforeLines="50" w:line="560" w:lineRule="exact"/>
        <w:textAlignment w:val="baseline"/>
        <w:outlineLvl w:val="9"/>
        <w:rPr>
          <w:rFonts w:hint="default" w:asciiTheme="minorEastAsia" w:hAnsiTheme="minorEastAsia" w:eastAsiaTheme="minorEastAsia" w:cstheme="minorEastAsia"/>
          <w:b/>
          <w:bCs/>
          <w:color w:val="000000"/>
          <w:sz w:val="24"/>
          <w:szCs w:val="24"/>
          <w:lang w:val="en-US" w:eastAsia="zh-CN"/>
        </w:rPr>
      </w:pPr>
      <w:bookmarkStart w:id="476" w:name="_Toc14028_WPSOffice_Level2"/>
      <w:bookmarkStart w:id="477" w:name="_Toc16258_WPSOffice_Level2"/>
      <w:r>
        <w:rPr>
          <w:rFonts w:hint="eastAsia" w:asciiTheme="minorEastAsia" w:hAnsiTheme="minorEastAsia" w:eastAsiaTheme="minorEastAsia" w:cstheme="minorEastAsia"/>
          <w:b/>
          <w:bCs/>
          <w:color w:val="000000"/>
          <w:sz w:val="24"/>
          <w:szCs w:val="24"/>
        </w:rPr>
        <w:t>采购项目编号:</w:t>
      </w:r>
      <w:bookmarkEnd w:id="476"/>
      <w:bookmarkEnd w:id="477"/>
      <w:r>
        <w:rPr>
          <w:rFonts w:hint="eastAsia" w:asciiTheme="minorEastAsia" w:hAnsiTheme="minorEastAsia" w:eastAsiaTheme="minorEastAsia" w:cstheme="minorEastAsia"/>
          <w:b/>
          <w:bCs/>
          <w:color w:val="000000"/>
          <w:sz w:val="24"/>
          <w:szCs w:val="24"/>
          <w:lang w:eastAsia="zh-CN"/>
        </w:rPr>
        <w:t>青海汇森竞谈（工程）2022-037</w:t>
      </w:r>
    </w:p>
    <w:p>
      <w:pPr>
        <w:wordWrap/>
        <w:spacing w:before="157" w:beforeLines="50" w:line="560" w:lineRule="exact"/>
        <w:ind w:left="2530" w:hanging="1687" w:hangingChars="700"/>
        <w:jc w:val="left"/>
        <w:outlineLvl w:val="9"/>
        <w:rPr>
          <w:rFonts w:hint="eastAsia"/>
          <w:sz w:val="24"/>
          <w:szCs w:val="24"/>
          <w:lang w:val="en-US" w:eastAsia="zh-CN"/>
        </w:rPr>
      </w:pPr>
      <w:bookmarkStart w:id="478" w:name="_Toc25982_WPSOffice_Level2"/>
      <w:bookmarkStart w:id="479" w:name="_Toc173_WPSOffice_Level2"/>
      <w:r>
        <w:rPr>
          <w:rFonts w:hint="eastAsia" w:asciiTheme="minorEastAsia" w:hAnsiTheme="minorEastAsia" w:eastAsiaTheme="minorEastAsia" w:cstheme="minorEastAsia"/>
          <w:b/>
          <w:bCs/>
          <w:color w:val="000000"/>
          <w:sz w:val="24"/>
          <w:szCs w:val="24"/>
        </w:rPr>
        <w:t>采购项目名称:</w:t>
      </w:r>
      <w:bookmarkEnd w:id="478"/>
      <w:bookmarkEnd w:id="479"/>
      <w:bookmarkStart w:id="480" w:name="_Toc24014_WPSOffice_Level2"/>
      <w:bookmarkStart w:id="481" w:name="_Toc19360_WPSOffice_Level2"/>
      <w:r>
        <w:rPr>
          <w:rFonts w:hint="eastAsia" w:asciiTheme="minorEastAsia" w:hAnsiTheme="minorEastAsia" w:eastAsiaTheme="minorEastAsia" w:cstheme="minorEastAsia"/>
          <w:b/>
          <w:bCs/>
          <w:color w:val="000000"/>
          <w:sz w:val="24"/>
          <w:szCs w:val="24"/>
          <w:lang w:val="en-US" w:eastAsia="zh-CN"/>
        </w:rPr>
        <w:t xml:space="preserve">泉吉乡宁夏村党员活动室阳光暖廓建设项目 </w:t>
      </w:r>
    </w:p>
    <w:p>
      <w:pPr>
        <w:wordWrap/>
        <w:spacing w:before="157" w:beforeLines="50" w:line="560" w:lineRule="exact"/>
        <w:ind w:left="2530" w:hanging="1687" w:hangingChars="700"/>
        <w:jc w:val="left"/>
        <w:outlineLvl w:val="9"/>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供应商名称：</w:t>
      </w:r>
      <w:bookmarkEnd w:id="480"/>
      <w:bookmarkEnd w:id="481"/>
    </w:p>
    <w:p>
      <w:pPr>
        <w:wordWrap/>
        <w:spacing w:before="157" w:beforeLines="50" w:line="560" w:lineRule="exact"/>
        <w:jc w:val="center"/>
        <w:outlineLvl w:val="9"/>
        <w:rPr>
          <w:rFonts w:hint="eastAsia" w:asciiTheme="minorEastAsia" w:hAnsiTheme="minorEastAsia" w:eastAsiaTheme="minorEastAsia" w:cstheme="minorEastAsia"/>
          <w:b/>
          <w:bCs/>
          <w:color w:val="000000"/>
          <w:sz w:val="24"/>
          <w:szCs w:val="24"/>
        </w:rPr>
      </w:pPr>
    </w:p>
    <w:p>
      <w:pPr>
        <w:wordWrap/>
        <w:spacing w:before="157" w:beforeLines="50" w:line="560" w:lineRule="exact"/>
        <w:jc w:val="center"/>
        <w:outlineLvl w:val="9"/>
        <w:rPr>
          <w:rFonts w:hint="eastAsia" w:asciiTheme="minorEastAsia" w:hAnsiTheme="minorEastAsia" w:eastAsiaTheme="minorEastAsia" w:cstheme="minorEastAsia"/>
          <w:b/>
          <w:color w:val="000000"/>
          <w:sz w:val="24"/>
          <w:szCs w:val="24"/>
        </w:rPr>
      </w:pPr>
      <w:bookmarkStart w:id="482" w:name="_Toc17697_WPSOffice_Level3"/>
      <w:r>
        <w:rPr>
          <w:rFonts w:hint="eastAsia" w:asciiTheme="minorEastAsia" w:hAnsiTheme="minorEastAsia" w:eastAsiaTheme="minorEastAsia" w:cstheme="minorEastAsia"/>
          <w:b/>
          <w:color w:val="000000"/>
          <w:sz w:val="24"/>
          <w:szCs w:val="24"/>
        </w:rPr>
        <w:t>年  月  日</w:t>
      </w:r>
      <w:bookmarkEnd w:id="482"/>
    </w:p>
    <w:p>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4"/>
          <w:szCs w:val="24"/>
        </w:rPr>
      </w:pPr>
    </w:p>
    <w:p>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br w:type="page"/>
      </w:r>
      <w:bookmarkStart w:id="483" w:name="_Toc13416_WPSOffice_Level3"/>
      <w:bookmarkStart w:id="484" w:name="_Toc18715"/>
      <w:bookmarkStart w:id="485" w:name="_Toc30253"/>
      <w:bookmarkStart w:id="486" w:name="_Toc28116"/>
      <w:bookmarkStart w:id="487" w:name="_Toc2646_WPSOffice_Level3"/>
      <w:bookmarkStart w:id="488" w:name="_Toc3360"/>
      <w:r>
        <w:rPr>
          <w:rFonts w:hint="eastAsia" w:asciiTheme="minorEastAsia" w:hAnsiTheme="minorEastAsia" w:eastAsiaTheme="minorEastAsia" w:cstheme="minorEastAsia"/>
          <w:b/>
          <w:bCs w:val="0"/>
          <w:color w:val="000000"/>
          <w:kern w:val="2"/>
          <w:sz w:val="24"/>
          <w:szCs w:val="24"/>
          <w:lang w:val="en-US" w:eastAsia="zh-CN" w:bidi="ar-SA"/>
        </w:rPr>
        <w:t>附件10：谈判首次报价表</w:t>
      </w:r>
      <w:bookmarkEnd w:id="483"/>
      <w:bookmarkEnd w:id="484"/>
      <w:bookmarkEnd w:id="485"/>
      <w:bookmarkEnd w:id="486"/>
      <w:bookmarkEnd w:id="487"/>
      <w:bookmarkEnd w:id="488"/>
    </w:p>
    <w:p>
      <w:pPr>
        <w:wordWrap/>
        <w:spacing w:before="157" w:beforeLines="50" w:line="560" w:lineRule="exact"/>
        <w:jc w:val="center"/>
        <w:outlineLvl w:val="9"/>
        <w:rPr>
          <w:rFonts w:hint="eastAsia" w:asciiTheme="minorEastAsia" w:hAnsiTheme="minorEastAsia" w:eastAsiaTheme="minorEastAsia" w:cstheme="minorEastAsia"/>
          <w:b/>
          <w:color w:val="000000"/>
          <w:sz w:val="24"/>
          <w:szCs w:val="24"/>
        </w:rPr>
      </w:pPr>
      <w:bookmarkStart w:id="489" w:name="_Toc8724_WPSOffice_Level1"/>
      <w:bookmarkStart w:id="490" w:name="_Toc17115_WPSOffice_Level3"/>
      <w:bookmarkStart w:id="491" w:name="_Toc17322_WPSOffice_Level1"/>
      <w:r>
        <w:rPr>
          <w:rFonts w:hint="eastAsia" w:asciiTheme="minorEastAsia" w:hAnsiTheme="minorEastAsia" w:eastAsiaTheme="minorEastAsia" w:cstheme="minorEastAsia"/>
          <w:b/>
          <w:color w:val="000000"/>
          <w:sz w:val="24"/>
          <w:szCs w:val="24"/>
          <w:lang w:val="zh-CN" w:eastAsia="zh-CN"/>
        </w:rPr>
        <w:t>谈判首次报价表</w:t>
      </w:r>
      <w:bookmarkEnd w:id="489"/>
      <w:bookmarkEnd w:id="490"/>
      <w:bookmarkEnd w:id="491"/>
    </w:p>
    <w:p>
      <w:pPr>
        <w:widowControl w:val="0"/>
        <w:wordWrap/>
        <w:snapToGrid/>
        <w:spacing w:line="560" w:lineRule="exact"/>
        <w:ind w:firstLine="480" w:firstLineChars="200"/>
        <w:outlineLvl w:val="9"/>
        <w:rPr>
          <w:rFonts w:hint="eastAsia"/>
        </w:rPr>
      </w:pPr>
      <w:bookmarkStart w:id="492" w:name="_Toc14507_WPSOffice_Level2"/>
      <w:r>
        <w:rPr>
          <w:rFonts w:hint="eastAsia" w:asciiTheme="minorEastAsia" w:hAnsiTheme="minorEastAsia" w:eastAsiaTheme="minorEastAsia" w:cstheme="minorEastAsia"/>
          <w:b w:val="0"/>
          <w:bCs/>
          <w:color w:val="000000"/>
          <w:sz w:val="24"/>
          <w:szCs w:val="24"/>
        </w:rPr>
        <w:t>供应商名称：</w:t>
      </w:r>
      <w:bookmarkEnd w:id="492"/>
      <w:r>
        <w:rPr>
          <w:rFonts w:hint="eastAsia" w:asciiTheme="minorEastAsia" w:hAnsiTheme="minorEastAsia" w:eastAsia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val="0"/>
          <w:bCs/>
          <w:color w:val="000000"/>
          <w:sz w:val="24"/>
          <w:szCs w:val="24"/>
        </w:rPr>
        <w:t>单位：人民币(元)</w:t>
      </w:r>
    </w:p>
    <w:tbl>
      <w:tblPr>
        <w:tblStyle w:val="21"/>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4350"/>
        <w:gridCol w:w="215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489" w:type="dxa"/>
            <w:vAlign w:val="center"/>
          </w:tcPr>
          <w:p>
            <w:pPr>
              <w:autoSpaceDE w:val="0"/>
              <w:autoSpaceDN w:val="0"/>
              <w:ind w:firstLine="0" w:firstLineChars="0"/>
              <w:jc w:val="center"/>
              <w:rPr>
                <w:rFonts w:ascii="宋体" w:hAnsi="宋体" w:cs="宋体"/>
                <w:b/>
                <w:sz w:val="24"/>
                <w:szCs w:val="24"/>
              </w:rPr>
            </w:pPr>
            <w:r>
              <w:rPr>
                <w:rFonts w:hint="eastAsia" w:ascii="宋体" w:hAnsi="宋体" w:cs="宋体"/>
                <w:bCs/>
                <w:sz w:val="24"/>
                <w:szCs w:val="24"/>
                <w:lang w:val="zh-CN"/>
              </w:rPr>
              <w:t>项目名称</w:t>
            </w:r>
          </w:p>
        </w:tc>
        <w:tc>
          <w:tcPr>
            <w:tcW w:w="4350" w:type="dxa"/>
            <w:vAlign w:val="center"/>
          </w:tcPr>
          <w:p>
            <w:pPr>
              <w:autoSpaceDE w:val="0"/>
              <w:autoSpaceDN w:val="0"/>
              <w:ind w:firstLine="0" w:firstLineChars="0"/>
              <w:jc w:val="center"/>
              <w:rPr>
                <w:rFonts w:hint="eastAsia" w:ascii="宋体" w:hAnsi="宋体" w:eastAsia="宋体" w:cs="宋体"/>
                <w:b/>
                <w:sz w:val="24"/>
                <w:szCs w:val="24"/>
                <w:lang w:eastAsia="zh-CN"/>
              </w:rPr>
            </w:pPr>
            <w:r>
              <w:rPr>
                <w:rFonts w:hint="eastAsia" w:ascii="宋体" w:hAnsi="宋体" w:cs="宋体"/>
                <w:bCs/>
                <w:sz w:val="24"/>
                <w:szCs w:val="24"/>
                <w:lang w:val="zh-CN"/>
              </w:rPr>
              <w:t>投标报价（元）</w:t>
            </w:r>
          </w:p>
        </w:tc>
        <w:tc>
          <w:tcPr>
            <w:tcW w:w="2150" w:type="dxa"/>
            <w:vAlign w:val="center"/>
          </w:tcPr>
          <w:p>
            <w:pPr>
              <w:autoSpaceDE w:val="0"/>
              <w:autoSpaceDN w:val="0"/>
              <w:ind w:firstLine="0" w:firstLineChars="0"/>
              <w:jc w:val="both"/>
              <w:rPr>
                <w:rFonts w:ascii="宋体" w:hAnsi="宋体" w:cs="宋体"/>
                <w:b/>
                <w:sz w:val="24"/>
                <w:szCs w:val="24"/>
              </w:rPr>
            </w:pPr>
            <w:r>
              <w:rPr>
                <w:rFonts w:hint="eastAsia" w:ascii="宋体" w:hAnsi="宋体" w:cs="宋体"/>
                <w:bCs/>
                <w:sz w:val="24"/>
                <w:szCs w:val="24"/>
                <w:lang w:val="zh-CN"/>
              </w:rPr>
              <w:t>工期（日历日）</w:t>
            </w:r>
          </w:p>
        </w:tc>
        <w:tc>
          <w:tcPr>
            <w:tcW w:w="969" w:type="dxa"/>
            <w:vAlign w:val="center"/>
          </w:tcPr>
          <w:p>
            <w:pPr>
              <w:autoSpaceDE w:val="0"/>
              <w:autoSpaceDN w:val="0"/>
              <w:ind w:firstLine="0" w:firstLineChars="0"/>
              <w:jc w:val="center"/>
              <w:rPr>
                <w:rFonts w:ascii="宋体" w:hAnsi="宋体" w:cs="宋体"/>
                <w:b/>
                <w:sz w:val="24"/>
                <w:szCs w:val="24"/>
              </w:rPr>
            </w:pPr>
            <w:r>
              <w:rPr>
                <w:rFonts w:hint="eastAsia" w:ascii="宋体" w:hAnsi="宋体" w:cs="宋体"/>
                <w:bCs/>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489" w:type="dxa"/>
            <w:vAlign w:val="center"/>
          </w:tcPr>
          <w:p>
            <w:pPr>
              <w:ind w:firstLine="482"/>
              <w:rPr>
                <w:rFonts w:ascii="宋体" w:hAnsi="宋体" w:cs="宋体"/>
                <w:b/>
                <w:sz w:val="24"/>
                <w:szCs w:val="24"/>
              </w:rPr>
            </w:pPr>
          </w:p>
        </w:tc>
        <w:tc>
          <w:tcPr>
            <w:tcW w:w="4350" w:type="dxa"/>
            <w:vAlign w:val="center"/>
          </w:tcPr>
          <w:p>
            <w:pPr>
              <w:ind w:firstLine="482"/>
              <w:rPr>
                <w:rFonts w:ascii="宋体" w:hAnsi="宋体" w:cs="宋体"/>
                <w:b/>
                <w:sz w:val="24"/>
                <w:szCs w:val="24"/>
              </w:rPr>
            </w:pPr>
          </w:p>
        </w:tc>
        <w:tc>
          <w:tcPr>
            <w:tcW w:w="2150" w:type="dxa"/>
            <w:vAlign w:val="center"/>
          </w:tcPr>
          <w:p>
            <w:pPr>
              <w:autoSpaceDE w:val="0"/>
              <w:autoSpaceDN w:val="0"/>
              <w:ind w:firstLine="482"/>
              <w:jc w:val="center"/>
              <w:rPr>
                <w:rFonts w:ascii="宋体" w:hAnsi="宋体" w:cs="宋体"/>
                <w:b/>
                <w:sz w:val="24"/>
                <w:szCs w:val="24"/>
              </w:rPr>
            </w:pPr>
          </w:p>
        </w:tc>
        <w:tc>
          <w:tcPr>
            <w:tcW w:w="969" w:type="dxa"/>
            <w:vAlign w:val="center"/>
          </w:tcPr>
          <w:p>
            <w:pPr>
              <w:autoSpaceDE w:val="0"/>
              <w:autoSpaceDN w:val="0"/>
              <w:ind w:firstLine="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489" w:type="dxa"/>
          </w:tcPr>
          <w:p>
            <w:pPr>
              <w:autoSpaceDE w:val="0"/>
              <w:autoSpaceDN w:val="0"/>
              <w:ind w:firstLine="0" w:firstLineChars="0"/>
              <w:jc w:val="both"/>
              <w:rPr>
                <w:rFonts w:ascii="宋体" w:hAnsi="宋体" w:cs="宋体"/>
                <w:b/>
                <w:sz w:val="24"/>
                <w:szCs w:val="24"/>
              </w:rPr>
            </w:pPr>
          </w:p>
        </w:tc>
        <w:tc>
          <w:tcPr>
            <w:tcW w:w="4350" w:type="dxa"/>
          </w:tcPr>
          <w:p>
            <w:pPr>
              <w:autoSpaceDE w:val="0"/>
              <w:autoSpaceDN w:val="0"/>
              <w:ind w:firstLine="0" w:firstLineChars="0"/>
              <w:jc w:val="both"/>
              <w:rPr>
                <w:rFonts w:ascii="宋体" w:hAnsi="宋体" w:cs="宋体"/>
                <w:b/>
                <w:sz w:val="24"/>
                <w:szCs w:val="24"/>
              </w:rPr>
            </w:pPr>
          </w:p>
        </w:tc>
        <w:tc>
          <w:tcPr>
            <w:tcW w:w="2150" w:type="dxa"/>
          </w:tcPr>
          <w:p>
            <w:pPr>
              <w:autoSpaceDE w:val="0"/>
              <w:autoSpaceDN w:val="0"/>
              <w:ind w:firstLine="0" w:firstLineChars="0"/>
              <w:jc w:val="both"/>
              <w:rPr>
                <w:rFonts w:ascii="宋体" w:hAnsi="宋体" w:cs="宋体"/>
                <w:b/>
                <w:sz w:val="24"/>
                <w:szCs w:val="24"/>
              </w:rPr>
            </w:pPr>
          </w:p>
        </w:tc>
        <w:tc>
          <w:tcPr>
            <w:tcW w:w="969" w:type="dxa"/>
          </w:tcPr>
          <w:p>
            <w:pPr>
              <w:autoSpaceDE w:val="0"/>
              <w:autoSpaceDN w:val="0"/>
              <w:ind w:firstLine="0" w:firstLineChars="0"/>
              <w:jc w:val="both"/>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958" w:type="dxa"/>
            <w:gridSpan w:val="4"/>
          </w:tcPr>
          <w:p>
            <w:pPr>
              <w:autoSpaceDE w:val="0"/>
              <w:autoSpaceDN w:val="0"/>
              <w:ind w:firstLine="0" w:firstLineChars="0"/>
              <w:rPr>
                <w:sz w:val="24"/>
                <w:szCs w:val="24"/>
              </w:rPr>
            </w:pPr>
            <w:r>
              <w:rPr>
                <w:rFonts w:cs="Arial"/>
                <w:bCs/>
                <w:sz w:val="24"/>
                <w:szCs w:val="24"/>
                <w:lang w:val="zh-CN"/>
              </w:rPr>
              <w:t>优惠承诺及其他：</w:t>
            </w:r>
          </w:p>
          <w:p>
            <w:pPr>
              <w:autoSpaceDE w:val="0"/>
              <w:autoSpaceDN w:val="0"/>
              <w:ind w:firstLine="0" w:firstLineChars="0"/>
              <w:jc w:val="both"/>
              <w:rPr>
                <w:rFonts w:ascii="宋体" w:hAnsi="宋体" w:cs="宋体"/>
                <w:b/>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lang w:val="zh-CN"/>
        </w:rPr>
      </w:pPr>
      <w:r>
        <w:rPr>
          <w:rFonts w:hint="eastAsia" w:ascii="宋体" w:hAnsi="宋体" w:eastAsia="宋体" w:cs="宋体"/>
          <w:sz w:val="24"/>
          <w:lang w:val="zh-CN"/>
        </w:rPr>
        <w:t>注：1、填写此表时不得改变表格形式。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2</w:t>
      </w:r>
      <w:r>
        <w:rPr>
          <w:rFonts w:hint="eastAsia" w:ascii="宋体" w:hAnsi="宋体" w:eastAsia="宋体" w:cs="宋体"/>
          <w:sz w:val="24"/>
          <w:lang w:val="zh-CN" w:eastAsia="zh-CN"/>
        </w:rPr>
        <w:t>、</w:t>
      </w:r>
      <w:r>
        <w:rPr>
          <w:rFonts w:hint="eastAsia" w:ascii="宋体" w:hAnsi="宋体" w:cs="宋体"/>
          <w:sz w:val="24"/>
          <w:lang w:val="zh-CN" w:eastAsia="zh-CN"/>
        </w:rPr>
        <w:t>谈判报价为谈判总价。谈判报价必须包括：其应包括施工设备、劳务、管理、材料、安装、维护、税金及人工费、材料费、机械费、措施项目费等政策性文件规定的各项应有费用。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3、“工期”指签订合同后多少个日历日内交付使用或完工。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4、除在标书中编制此表以外，供应商应单独密封一份“首次报价表”，并标明“首次报价表”字样。“首次报价表”和谈判响应文件正本中的“响首次报价表”应完全一致。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5、首次报价不能有两个或两个以上的报价方案</w:t>
      </w:r>
      <w:r>
        <w:rPr>
          <w:rFonts w:hint="eastAsia" w:ascii="宋体" w:hAnsi="宋体" w:eastAsia="宋体" w:cs="宋体"/>
          <w:sz w:val="24"/>
          <w:lang w:val="en-US" w:eastAsia="zh-CN"/>
        </w:rPr>
        <w:t>,</w:t>
      </w:r>
      <w:r>
        <w:rPr>
          <w:rFonts w:hint="eastAsia" w:ascii="宋体" w:hAnsi="宋体" w:eastAsia="宋体" w:cs="宋体"/>
          <w:sz w:val="24"/>
          <w:lang w:val="zh-CN"/>
        </w:rPr>
        <w:t>否则投标无效。</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color w:val="000000"/>
          <w:sz w:val="24"/>
          <w:szCs w:val="24"/>
        </w:rPr>
        <w:t xml:space="preserve"> </w:t>
      </w:r>
      <w:bookmarkStart w:id="493" w:name="_Toc27526_WPSOffice_Level3"/>
      <w:r>
        <w:rPr>
          <w:rFonts w:hint="eastAsia" w:asciiTheme="minorEastAsia" w:hAnsiTheme="minorEastAsia" w:eastAsiaTheme="minorEastAsia" w:cstheme="minorEastAsia"/>
          <w:b/>
          <w:color w:val="000000"/>
          <w:sz w:val="24"/>
          <w:szCs w:val="24"/>
          <w:lang w:val="en-US" w:eastAsia="zh-CN"/>
        </w:rPr>
        <w:t xml:space="preserve"> </w:t>
      </w:r>
      <w:bookmarkStart w:id="494" w:name="_Toc11022_WPSOffice_Level3"/>
      <w:r>
        <w:rPr>
          <w:rFonts w:hint="eastAsia" w:asciiTheme="minorEastAsia" w:hAnsiTheme="minorEastAsia" w:eastAsiaTheme="minorEastAsia" w:cstheme="minorEastAsia"/>
          <w:b w:val="0"/>
          <w:bCs/>
          <w:color w:val="000000"/>
          <w:sz w:val="24"/>
          <w:szCs w:val="24"/>
          <w:lang w:eastAsia="zh-CN"/>
        </w:rPr>
        <w:t>单位名称</w:t>
      </w:r>
      <w:r>
        <w:rPr>
          <w:rFonts w:hint="eastAsia" w:asciiTheme="minorEastAsia" w:hAnsiTheme="minorEastAsia" w:eastAsiaTheme="minorEastAsia" w:cstheme="minorEastAsia"/>
          <w:b w:val="0"/>
          <w:bCs/>
          <w:color w:val="000000"/>
          <w:sz w:val="24"/>
          <w:szCs w:val="24"/>
        </w:rPr>
        <w:t>：</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（公章）</w:t>
      </w:r>
      <w:bookmarkEnd w:id="493"/>
      <w:bookmarkEnd w:id="494"/>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bookmarkStart w:id="495" w:name="_Toc32417_WPSOffice_Level3"/>
      <w:bookmarkStart w:id="496" w:name="_Toc23931_WPSOffice_Level3"/>
      <w:r>
        <w:rPr>
          <w:rFonts w:hint="eastAsia" w:asciiTheme="minorEastAsia" w:hAnsiTheme="minorEastAsia" w:eastAsiaTheme="minorEastAsia" w:cstheme="minorEastAsia"/>
          <w:b w:val="0"/>
          <w:bCs/>
          <w:color w:val="000000"/>
          <w:sz w:val="24"/>
          <w:szCs w:val="24"/>
        </w:rPr>
        <w:t>法定代表人或委托代理人：</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（签字或盖章）</w:t>
      </w:r>
      <w:bookmarkEnd w:id="495"/>
      <w:bookmarkEnd w:id="496"/>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r>
        <w:rPr>
          <w:rFonts w:hint="eastAsia" w:asciiTheme="minorEastAsia" w:hAnsiTheme="minorEastAsia" w:eastAsia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val="0"/>
          <w:bCs/>
          <w:color w:val="000000"/>
          <w:sz w:val="24"/>
          <w:szCs w:val="24"/>
        </w:rPr>
        <w:t xml:space="preserve"> </w:t>
      </w:r>
      <w:bookmarkStart w:id="497" w:name="_Toc23319_WPSOffice_Level3"/>
      <w:bookmarkStart w:id="498" w:name="_Toc19388_WPSOffice_Level3"/>
      <w:r>
        <w:rPr>
          <w:rFonts w:hint="eastAsia" w:asciiTheme="minorEastAsia" w:hAnsiTheme="minorEastAsia" w:eastAsiaTheme="minorEastAsia" w:cstheme="minorEastAsia"/>
          <w:b w:val="0"/>
          <w:bCs/>
          <w:color w:val="000000"/>
          <w:sz w:val="24"/>
          <w:szCs w:val="24"/>
        </w:rPr>
        <w:t>年   月  日</w:t>
      </w:r>
      <w:bookmarkEnd w:id="497"/>
      <w:bookmarkEnd w:id="498"/>
    </w:p>
    <w:p>
      <w:pPr>
        <w:widowControl/>
        <w:wordWrap/>
        <w:snapToGrid w:val="0"/>
        <w:spacing w:before="157" w:beforeLines="50" w:line="360" w:lineRule="auto"/>
        <w:outlineLvl w:val="1"/>
        <w:rPr>
          <w:rFonts w:hint="eastAsia" w:ascii="宋体" w:hAnsi="宋体" w:eastAsia="宋体" w:cs="宋体"/>
          <w:b/>
          <w:color w:val="000000"/>
          <w:sz w:val="24"/>
          <w:szCs w:val="24"/>
        </w:rPr>
      </w:pPr>
      <w:r>
        <w:rPr>
          <w:rFonts w:hint="eastAsia" w:asciiTheme="minorEastAsia" w:hAnsiTheme="minorEastAsia" w:eastAsiaTheme="minorEastAsia" w:cstheme="minorEastAsia"/>
          <w:b/>
          <w:color w:val="000000"/>
          <w:sz w:val="24"/>
          <w:szCs w:val="24"/>
        </w:rPr>
        <w:br w:type="page"/>
      </w:r>
      <w:bookmarkStart w:id="499" w:name="_Toc18824_WPSOffice_Level3"/>
      <w:bookmarkStart w:id="500" w:name="_Toc31202"/>
      <w:bookmarkStart w:id="501" w:name="_Toc7532"/>
      <w:bookmarkStart w:id="502" w:name="_Toc3352_WPSOffice_Level3"/>
      <w:bookmarkStart w:id="503" w:name="_Toc13192"/>
      <w:bookmarkStart w:id="504" w:name="_Toc30697"/>
      <w:r>
        <w:rPr>
          <w:rFonts w:hint="eastAsia" w:asciiTheme="minorEastAsia" w:hAnsiTheme="minorEastAsia" w:eastAsiaTheme="minorEastAsia" w:cstheme="minorEastAsia"/>
          <w:b/>
          <w:bCs w:val="0"/>
          <w:color w:val="000000"/>
          <w:kern w:val="2"/>
          <w:sz w:val="24"/>
          <w:szCs w:val="24"/>
          <w:lang w:val="en-US" w:eastAsia="zh-CN" w:bidi="ar-SA"/>
        </w:rPr>
        <w:t>附件11：</w:t>
      </w:r>
      <w:bookmarkEnd w:id="499"/>
      <w:bookmarkEnd w:id="500"/>
      <w:bookmarkEnd w:id="501"/>
      <w:bookmarkEnd w:id="502"/>
      <w:bookmarkEnd w:id="503"/>
      <w:r>
        <w:rPr>
          <w:rFonts w:hint="eastAsia" w:ascii="宋体" w:hAnsi="宋体" w:eastAsia="宋体" w:cs="宋体"/>
          <w:b/>
          <w:bCs/>
          <w:sz w:val="24"/>
          <w:szCs w:val="24"/>
          <w:highlight w:val="none"/>
        </w:rPr>
        <w:t>已标价工程量清单</w:t>
      </w:r>
      <w:bookmarkEnd w:id="504"/>
    </w:p>
    <w:p>
      <w:pPr>
        <w:spacing w:line="360" w:lineRule="auto"/>
        <w:rPr>
          <w:rFonts w:hint="eastAsia" w:ascii="宋体" w:hAnsi="宋体" w:eastAsia="宋体" w:cs="宋体"/>
          <w:sz w:val="24"/>
          <w:szCs w:val="24"/>
          <w:highlight w:val="none"/>
        </w:rPr>
      </w:pPr>
      <w:bookmarkStart w:id="505" w:name="_Toc476056277"/>
      <w:bookmarkStart w:id="506" w:name="_Toc20844"/>
      <w:bookmarkStart w:id="507" w:name="_Toc22784_WPSOffice_Level3"/>
      <w:bookmarkStart w:id="508" w:name="_Toc31539"/>
      <w:bookmarkStart w:id="509" w:name="_Toc6454"/>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已标价工程量清单</w:t>
      </w:r>
      <w:bookmarkEnd w:id="505"/>
      <w:bookmarkEnd w:id="506"/>
    </w:p>
    <w:p>
      <w:pPr>
        <w:spacing w:line="360" w:lineRule="auto"/>
        <w:jc w:val="left"/>
        <w:rPr>
          <w:rFonts w:hint="eastAsia" w:ascii="宋体" w:hAnsi="宋体" w:eastAsia="宋体" w:cs="宋体"/>
          <w:sz w:val="24"/>
          <w:szCs w:val="24"/>
          <w:highlight w:val="none"/>
        </w:rPr>
      </w:pPr>
      <w:bookmarkStart w:id="510" w:name="_Toc25169"/>
      <w:bookmarkStart w:id="511" w:name="_Toc16712"/>
      <w:bookmarkStart w:id="512" w:name="_Toc29363"/>
      <w:bookmarkStart w:id="513" w:name="_Toc23007"/>
      <w:r>
        <w:rPr>
          <w:rFonts w:hint="eastAsia" w:ascii="宋体" w:hAnsi="宋体" w:eastAsia="宋体" w:cs="宋体"/>
          <w:sz w:val="24"/>
          <w:szCs w:val="24"/>
          <w:highlight w:val="none"/>
        </w:rPr>
        <w:t>（一）工程量清单报价表封面</w:t>
      </w:r>
      <w:bookmarkEnd w:id="510"/>
      <w:bookmarkEnd w:id="511"/>
      <w:bookmarkEnd w:id="512"/>
      <w:bookmarkEnd w:id="513"/>
    </w:p>
    <w:p>
      <w:pPr>
        <w:spacing w:line="360" w:lineRule="auto"/>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jc w:val="both"/>
        <w:rPr>
          <w:rFonts w:hint="eastAsia" w:ascii="宋体" w:hAnsi="宋体" w:eastAsia="宋体" w:cs="宋体"/>
          <w:sz w:val="24"/>
          <w:szCs w:val="24"/>
          <w:highlight w:val="none"/>
          <w:u w:val="single"/>
        </w:rPr>
      </w:pPr>
    </w:p>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工程名称：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谈判总价（小写） ：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（单位盖章）</w:t>
      </w: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pPr>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或其授权人：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编制人：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（造价人员签字并加盖专用章）</w:t>
      </w: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编制时间：              年      月      日</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360" w:lineRule="auto"/>
        <w:jc w:val="both"/>
        <w:rPr>
          <w:rFonts w:hint="eastAsia" w:ascii="宋体" w:hAnsi="宋体" w:eastAsia="宋体" w:cs="宋体"/>
          <w:sz w:val="24"/>
          <w:szCs w:val="24"/>
          <w:highlight w:val="none"/>
        </w:rPr>
      </w:pPr>
      <w:bookmarkStart w:id="514" w:name="_Toc24495"/>
      <w:bookmarkStart w:id="515" w:name="_Toc3343"/>
      <w:bookmarkStart w:id="516" w:name="_Toc14419"/>
      <w:bookmarkStart w:id="517" w:name="_Toc5430"/>
      <w:r>
        <w:rPr>
          <w:rFonts w:hint="eastAsia" w:ascii="宋体" w:hAnsi="宋体" w:eastAsia="宋体" w:cs="宋体"/>
          <w:sz w:val="24"/>
          <w:szCs w:val="24"/>
          <w:highlight w:val="none"/>
        </w:rPr>
        <w:t>（二）总说明</w:t>
      </w:r>
      <w:bookmarkEnd w:id="514"/>
      <w:bookmarkEnd w:id="515"/>
      <w:bookmarkEnd w:id="516"/>
      <w:bookmarkEnd w:id="517"/>
    </w:p>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工程名称：</w:t>
      </w:r>
    </w:p>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总说明                                        </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0" w:hRule="atLeast"/>
        </w:trPr>
        <w:tc>
          <w:tcPr>
            <w:tcW w:w="9628" w:type="dxa"/>
          </w:tcPr>
          <w:p>
            <w:pPr>
              <w:pStyle w:val="45"/>
              <w:spacing w:line="360" w:lineRule="auto"/>
              <w:ind w:left="420"/>
              <w:jc w:val="center"/>
              <w:rPr>
                <w:rFonts w:hint="eastAsia" w:ascii="宋体" w:hAnsi="宋体" w:eastAsia="宋体" w:cs="宋体"/>
                <w:sz w:val="24"/>
                <w:szCs w:val="24"/>
                <w:highlight w:val="none"/>
              </w:rPr>
            </w:pPr>
          </w:p>
        </w:tc>
      </w:tr>
    </w:tbl>
    <w:p>
      <w:pPr>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bCs/>
          <w:sz w:val="24"/>
          <w:szCs w:val="24"/>
          <w:highlight w:val="none"/>
        </w:rPr>
        <w:t>（三）建设项目报价汇总表</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工程名称：                                                       第页共页</w:t>
      </w:r>
    </w:p>
    <w:tbl>
      <w:tblPr>
        <w:tblStyle w:val="2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419"/>
        <w:gridCol w:w="1253"/>
        <w:gridCol w:w="1457"/>
        <w:gridCol w:w="216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419"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单项工程名称</w:t>
            </w:r>
          </w:p>
        </w:tc>
        <w:tc>
          <w:tcPr>
            <w:tcW w:w="1253"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金额（元）</w:t>
            </w:r>
          </w:p>
        </w:tc>
        <w:tc>
          <w:tcPr>
            <w:tcW w:w="5242" w:type="dxa"/>
            <w:gridSpan w:val="3"/>
            <w:vAlign w:val="center"/>
          </w:tcPr>
          <w:p>
            <w:pPr>
              <w:spacing w:line="360" w:lineRule="auto"/>
              <w:ind w:firstLine="2400" w:firstLineChars="10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6"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2419"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1253"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1457"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暂估价（元）</w:t>
            </w:r>
          </w:p>
        </w:tc>
        <w:tc>
          <w:tcPr>
            <w:tcW w:w="2160"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安全文明施工费（元）</w:t>
            </w:r>
          </w:p>
        </w:tc>
        <w:tc>
          <w:tcPr>
            <w:tcW w:w="1625"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hint="eastAsia" w:ascii="宋体" w:hAnsi="宋体" w:eastAsia="宋体" w:cs="宋体"/>
                <w:color w:val="000000"/>
                <w:sz w:val="24"/>
                <w:szCs w:val="24"/>
                <w:highlight w:val="none"/>
              </w:rPr>
            </w:pPr>
          </w:p>
        </w:tc>
        <w:tc>
          <w:tcPr>
            <w:tcW w:w="2419"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bl>
    <w:p>
      <w:pPr>
        <w:spacing w:line="360" w:lineRule="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注：本表适用于建设项目招标控制价或谈判报价的汇总。</w:t>
      </w:r>
      <w:r>
        <w:rPr>
          <w:rFonts w:hint="eastAsia" w:ascii="宋体" w:hAnsi="宋体" w:eastAsia="宋体" w:cs="宋体"/>
          <w:sz w:val="24"/>
          <w:szCs w:val="24"/>
          <w:highlight w:val="none"/>
        </w:rPr>
        <w:br w:type="page"/>
      </w:r>
      <w:r>
        <w:rPr>
          <w:rFonts w:hint="eastAsia" w:ascii="宋体" w:hAnsi="宋体" w:eastAsia="宋体" w:cs="宋体"/>
          <w:bCs/>
          <w:sz w:val="24"/>
          <w:szCs w:val="24"/>
          <w:highlight w:val="none"/>
        </w:rPr>
        <w:t>（四）单项工程报价总汇表</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工程名称：                                                              第页 共 页</w:t>
      </w:r>
    </w:p>
    <w:tbl>
      <w:tblPr>
        <w:tblStyle w:val="2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312"/>
        <w:gridCol w:w="1253"/>
        <w:gridCol w:w="1457"/>
        <w:gridCol w:w="216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312"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单位工程名称</w:t>
            </w:r>
          </w:p>
        </w:tc>
        <w:tc>
          <w:tcPr>
            <w:tcW w:w="1253"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金额（元）</w:t>
            </w:r>
          </w:p>
        </w:tc>
        <w:tc>
          <w:tcPr>
            <w:tcW w:w="5242" w:type="dxa"/>
            <w:gridSpan w:val="3"/>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其中：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2312"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1253"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1457"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暂估价（元）</w:t>
            </w:r>
          </w:p>
        </w:tc>
        <w:tc>
          <w:tcPr>
            <w:tcW w:w="2160"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安全文明施工费（元）</w:t>
            </w:r>
          </w:p>
        </w:tc>
        <w:tc>
          <w:tcPr>
            <w:tcW w:w="1625"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360" w:lineRule="auto"/>
              <w:rPr>
                <w:rFonts w:hint="eastAsia" w:ascii="宋体" w:hAnsi="宋体" w:eastAsia="宋体" w:cs="宋体"/>
                <w:color w:val="000000"/>
                <w:sz w:val="24"/>
                <w:szCs w:val="24"/>
                <w:highlight w:val="none"/>
              </w:rPr>
            </w:pPr>
          </w:p>
        </w:tc>
        <w:tc>
          <w:tcPr>
            <w:tcW w:w="2312" w:type="dxa"/>
          </w:tcPr>
          <w:p>
            <w:pPr>
              <w:spacing w:line="360" w:lineRule="auto"/>
              <w:rPr>
                <w:rFonts w:hint="eastAsia" w:ascii="宋体" w:hAnsi="宋体" w:eastAsia="宋体" w:cs="宋体"/>
                <w:color w:val="000000"/>
                <w:sz w:val="24"/>
                <w:szCs w:val="24"/>
                <w:highlight w:val="none"/>
              </w:rPr>
            </w:pPr>
          </w:p>
        </w:tc>
        <w:tc>
          <w:tcPr>
            <w:tcW w:w="1253" w:type="dxa"/>
          </w:tcPr>
          <w:p>
            <w:pPr>
              <w:spacing w:line="360" w:lineRule="auto"/>
              <w:rPr>
                <w:rFonts w:hint="eastAsia" w:ascii="宋体" w:hAnsi="宋体" w:eastAsia="宋体" w:cs="宋体"/>
                <w:color w:val="000000"/>
                <w:sz w:val="24"/>
                <w:szCs w:val="24"/>
                <w:highlight w:val="none"/>
              </w:rPr>
            </w:pPr>
          </w:p>
        </w:tc>
        <w:tc>
          <w:tcPr>
            <w:tcW w:w="1457" w:type="dxa"/>
          </w:tcPr>
          <w:p>
            <w:pPr>
              <w:spacing w:line="360" w:lineRule="auto"/>
              <w:rPr>
                <w:rFonts w:hint="eastAsia" w:ascii="宋体" w:hAnsi="宋体" w:eastAsia="宋体" w:cs="宋体"/>
                <w:color w:val="000000"/>
                <w:sz w:val="24"/>
                <w:szCs w:val="24"/>
                <w:highlight w:val="none"/>
              </w:rPr>
            </w:pPr>
          </w:p>
        </w:tc>
        <w:tc>
          <w:tcPr>
            <w:tcW w:w="2160" w:type="dxa"/>
          </w:tcPr>
          <w:p>
            <w:pPr>
              <w:spacing w:line="360" w:lineRule="auto"/>
              <w:rPr>
                <w:rFonts w:hint="eastAsia" w:ascii="宋体" w:hAnsi="宋体" w:eastAsia="宋体" w:cs="宋体"/>
                <w:color w:val="000000"/>
                <w:sz w:val="24"/>
                <w:szCs w:val="24"/>
                <w:highlight w:val="none"/>
              </w:rPr>
            </w:pPr>
          </w:p>
        </w:tc>
        <w:tc>
          <w:tcPr>
            <w:tcW w:w="1625" w:type="dxa"/>
          </w:tcPr>
          <w:p>
            <w:pPr>
              <w:spacing w:line="360" w:lineRule="auto"/>
              <w:rPr>
                <w:rFonts w:hint="eastAsia" w:ascii="宋体" w:hAnsi="宋体" w:eastAsia="宋体" w:cs="宋体"/>
                <w:color w:val="000000"/>
                <w:sz w:val="24"/>
                <w:szCs w:val="24"/>
                <w:highlight w:val="none"/>
              </w:rPr>
            </w:pPr>
          </w:p>
        </w:tc>
      </w:tr>
    </w:tbl>
    <w:p>
      <w:pPr>
        <w:spacing w:line="360" w:lineRule="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注意：本表适用于单项工程招标控制价或谈判报价的汇总。暂估价包括分布分项工程中的暂估价和专业工程工程暂估价</w:t>
      </w:r>
      <w:r>
        <w:rPr>
          <w:rFonts w:hint="eastAsia" w:ascii="宋体" w:hAnsi="宋体" w:eastAsia="宋体" w:cs="宋体"/>
          <w:sz w:val="24"/>
          <w:szCs w:val="24"/>
          <w:highlight w:val="none"/>
        </w:rPr>
        <w:br w:type="page"/>
      </w:r>
      <w:r>
        <w:rPr>
          <w:rFonts w:hint="eastAsia" w:ascii="宋体" w:hAnsi="宋体" w:eastAsia="宋体" w:cs="宋体"/>
          <w:bCs/>
          <w:sz w:val="24"/>
          <w:szCs w:val="24"/>
          <w:highlight w:val="none"/>
        </w:rPr>
        <w:t>（五）单位工程报价汇总表</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工程名称：                                                 第  页   共  页</w:t>
      </w:r>
    </w:p>
    <w:tbl>
      <w:tblPr>
        <w:tblStyle w:val="2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238"/>
        <w:gridCol w:w="370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8"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238"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汇总内容</w:t>
            </w:r>
          </w:p>
        </w:tc>
        <w:tc>
          <w:tcPr>
            <w:tcW w:w="3705"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金额(元)</w:t>
            </w:r>
          </w:p>
        </w:tc>
        <w:tc>
          <w:tcPr>
            <w:tcW w:w="1989"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323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分部分项工程</w:t>
            </w: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3238" w:type="dxa"/>
            <w:vAlign w:val="center"/>
          </w:tcPr>
          <w:p>
            <w:pPr>
              <w:spacing w:line="360" w:lineRule="auto"/>
              <w:rPr>
                <w:rFonts w:hint="eastAsia" w:ascii="宋体" w:hAnsi="宋体" w:eastAsia="宋体" w:cs="宋体"/>
                <w:color w:val="000000"/>
                <w:sz w:val="24"/>
                <w:szCs w:val="24"/>
                <w:highlight w:val="none"/>
              </w:rPr>
            </w:pP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3238" w:type="dxa"/>
            <w:vAlign w:val="center"/>
          </w:tcPr>
          <w:p>
            <w:pPr>
              <w:spacing w:line="360" w:lineRule="auto"/>
              <w:rPr>
                <w:rFonts w:hint="eastAsia" w:ascii="宋体" w:hAnsi="宋体" w:eastAsia="宋体" w:cs="宋体"/>
                <w:color w:val="000000"/>
                <w:sz w:val="24"/>
                <w:szCs w:val="24"/>
                <w:highlight w:val="none"/>
              </w:rPr>
            </w:pP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3238" w:type="dxa"/>
            <w:vAlign w:val="center"/>
          </w:tcPr>
          <w:p>
            <w:pPr>
              <w:spacing w:line="360" w:lineRule="auto"/>
              <w:rPr>
                <w:rFonts w:hint="eastAsia" w:ascii="宋体" w:hAnsi="宋体" w:eastAsia="宋体" w:cs="宋体"/>
                <w:color w:val="000000"/>
                <w:sz w:val="24"/>
                <w:szCs w:val="24"/>
                <w:highlight w:val="none"/>
              </w:rPr>
            </w:pP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3238" w:type="dxa"/>
            <w:vAlign w:val="center"/>
          </w:tcPr>
          <w:p>
            <w:pPr>
              <w:spacing w:line="360" w:lineRule="auto"/>
              <w:rPr>
                <w:rFonts w:hint="eastAsia" w:ascii="宋体" w:hAnsi="宋体" w:eastAsia="宋体" w:cs="宋体"/>
                <w:color w:val="000000"/>
                <w:sz w:val="24"/>
                <w:szCs w:val="24"/>
                <w:highlight w:val="none"/>
              </w:rPr>
            </w:pP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p>
        </w:tc>
        <w:tc>
          <w:tcPr>
            <w:tcW w:w="3238" w:type="dxa"/>
            <w:vAlign w:val="center"/>
          </w:tcPr>
          <w:p>
            <w:pPr>
              <w:spacing w:line="360" w:lineRule="auto"/>
              <w:rPr>
                <w:rFonts w:hint="eastAsia" w:ascii="宋体" w:hAnsi="宋体" w:eastAsia="宋体" w:cs="宋体"/>
                <w:color w:val="000000"/>
                <w:sz w:val="24"/>
                <w:szCs w:val="24"/>
                <w:highlight w:val="none"/>
              </w:rPr>
            </w:pP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p>
        </w:tc>
        <w:tc>
          <w:tcPr>
            <w:tcW w:w="3238" w:type="dxa"/>
            <w:vAlign w:val="center"/>
          </w:tcPr>
          <w:p>
            <w:pPr>
              <w:spacing w:line="360" w:lineRule="auto"/>
              <w:rPr>
                <w:rFonts w:hint="eastAsia" w:ascii="宋体" w:hAnsi="宋体" w:eastAsia="宋体" w:cs="宋体"/>
                <w:color w:val="000000"/>
                <w:sz w:val="24"/>
                <w:szCs w:val="24"/>
                <w:highlight w:val="none"/>
              </w:rPr>
            </w:pP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23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措施项目</w:t>
            </w: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323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其中：安全文明施工措施费</w:t>
            </w: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23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其他项目</w:t>
            </w: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w:t>
            </w:r>
          </w:p>
        </w:tc>
        <w:tc>
          <w:tcPr>
            <w:tcW w:w="323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其中：暂列金额</w:t>
            </w: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w:t>
            </w:r>
          </w:p>
        </w:tc>
        <w:tc>
          <w:tcPr>
            <w:tcW w:w="323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其他项目</w:t>
            </w: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w:t>
            </w:r>
          </w:p>
        </w:tc>
        <w:tc>
          <w:tcPr>
            <w:tcW w:w="323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其中：专业工程暂估价</w:t>
            </w: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w:t>
            </w:r>
          </w:p>
        </w:tc>
        <w:tc>
          <w:tcPr>
            <w:tcW w:w="323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其中：总承包服务费</w:t>
            </w: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23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规费</w:t>
            </w: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3238"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税金</w:t>
            </w: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p>
        </w:tc>
        <w:tc>
          <w:tcPr>
            <w:tcW w:w="3238" w:type="dxa"/>
            <w:vAlign w:val="center"/>
          </w:tcPr>
          <w:p>
            <w:pPr>
              <w:spacing w:line="360" w:lineRule="auto"/>
              <w:rPr>
                <w:rFonts w:hint="eastAsia" w:ascii="宋体" w:hAnsi="宋体" w:eastAsia="宋体" w:cs="宋体"/>
                <w:color w:val="000000"/>
                <w:sz w:val="24"/>
                <w:szCs w:val="24"/>
                <w:highlight w:val="none"/>
              </w:rPr>
            </w:pP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vAlign w:val="center"/>
          </w:tcPr>
          <w:p>
            <w:pPr>
              <w:spacing w:line="360" w:lineRule="auto"/>
              <w:rPr>
                <w:rFonts w:hint="eastAsia" w:ascii="宋体" w:hAnsi="宋体" w:eastAsia="宋体" w:cs="宋体"/>
                <w:color w:val="000000"/>
                <w:sz w:val="24"/>
                <w:szCs w:val="24"/>
                <w:highlight w:val="none"/>
              </w:rPr>
            </w:pPr>
          </w:p>
        </w:tc>
        <w:tc>
          <w:tcPr>
            <w:tcW w:w="3238" w:type="dxa"/>
            <w:vAlign w:val="center"/>
          </w:tcPr>
          <w:p>
            <w:pPr>
              <w:spacing w:line="360" w:lineRule="auto"/>
              <w:rPr>
                <w:rFonts w:hint="eastAsia" w:ascii="宋体" w:hAnsi="宋体" w:eastAsia="宋体" w:cs="宋体"/>
                <w:color w:val="000000"/>
                <w:sz w:val="24"/>
                <w:szCs w:val="24"/>
                <w:highlight w:val="none"/>
              </w:rPr>
            </w:pP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6" w:type="dxa"/>
            <w:gridSpan w:val="2"/>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合计=1+2+3+4+5</w:t>
            </w:r>
          </w:p>
        </w:tc>
        <w:tc>
          <w:tcPr>
            <w:tcW w:w="3705" w:type="dxa"/>
            <w:vAlign w:val="center"/>
          </w:tcPr>
          <w:p>
            <w:pPr>
              <w:spacing w:line="360" w:lineRule="auto"/>
              <w:rPr>
                <w:rFonts w:hint="eastAsia" w:ascii="宋体" w:hAnsi="宋体" w:eastAsia="宋体" w:cs="宋体"/>
                <w:color w:val="000000"/>
                <w:sz w:val="24"/>
                <w:szCs w:val="24"/>
                <w:highlight w:val="none"/>
              </w:rPr>
            </w:pPr>
          </w:p>
        </w:tc>
        <w:tc>
          <w:tcPr>
            <w:tcW w:w="1989"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bl>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注：本表适用于单项工程招标控制价或谈判报价的汇总，如无单位工程划分，单项工程也适用本表。</w:t>
      </w:r>
      <w:r>
        <w:rPr>
          <w:rFonts w:hint="eastAsia" w:ascii="宋体" w:hAnsi="宋体" w:eastAsia="宋体" w:cs="宋体"/>
          <w:b/>
          <w:bCs/>
          <w:sz w:val="24"/>
          <w:szCs w:val="24"/>
          <w:highlight w:val="none"/>
        </w:rPr>
        <w:br w:type="page"/>
      </w:r>
      <w:r>
        <w:rPr>
          <w:rFonts w:hint="eastAsia" w:ascii="宋体" w:hAnsi="宋体" w:eastAsia="宋体" w:cs="宋体"/>
          <w:bCs/>
          <w:sz w:val="24"/>
          <w:szCs w:val="24"/>
          <w:highlight w:val="none"/>
        </w:rPr>
        <w:t>（六）分部分项工程和单价措施项目清单与计价表</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工程名称：                                                      第页共页</w:t>
      </w:r>
    </w:p>
    <w:tbl>
      <w:tblPr>
        <w:tblStyle w:val="2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51"/>
        <w:gridCol w:w="859"/>
        <w:gridCol w:w="1810"/>
        <w:gridCol w:w="746"/>
        <w:gridCol w:w="1042"/>
        <w:gridCol w:w="923"/>
        <w:gridCol w:w="111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551"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项目编码</w:t>
            </w:r>
          </w:p>
        </w:tc>
        <w:tc>
          <w:tcPr>
            <w:tcW w:w="859"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810"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项目特征描述</w:t>
            </w:r>
          </w:p>
        </w:tc>
        <w:tc>
          <w:tcPr>
            <w:tcW w:w="746"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计量</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042" w:type="dxa"/>
            <w:vMerge w:val="restart"/>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工程量</w:t>
            </w:r>
          </w:p>
        </w:tc>
        <w:tc>
          <w:tcPr>
            <w:tcW w:w="3223" w:type="dxa"/>
            <w:gridSpan w:val="3"/>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1551"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859"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1810"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746"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1042" w:type="dxa"/>
            <w:vMerge w:val="continue"/>
            <w:vAlign w:val="center"/>
          </w:tcPr>
          <w:p>
            <w:pPr>
              <w:spacing w:line="360" w:lineRule="auto"/>
              <w:jc w:val="center"/>
              <w:rPr>
                <w:rFonts w:hint="eastAsia" w:ascii="宋体" w:hAnsi="宋体" w:eastAsia="宋体" w:cs="宋体"/>
                <w:color w:val="000000"/>
                <w:sz w:val="24"/>
                <w:szCs w:val="24"/>
                <w:highlight w:val="none"/>
              </w:rPr>
            </w:pPr>
          </w:p>
        </w:tc>
        <w:tc>
          <w:tcPr>
            <w:tcW w:w="923"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综合单价</w:t>
            </w:r>
          </w:p>
        </w:tc>
        <w:tc>
          <w:tcPr>
            <w:tcW w:w="1118"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合价</w:t>
            </w:r>
          </w:p>
        </w:tc>
        <w:tc>
          <w:tcPr>
            <w:tcW w:w="1182"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tcPr>
          <w:p>
            <w:pPr>
              <w:spacing w:line="360" w:lineRule="auto"/>
              <w:rPr>
                <w:rFonts w:hint="eastAsia" w:ascii="宋体" w:hAnsi="宋体" w:eastAsia="宋体" w:cs="宋体"/>
                <w:color w:val="000000"/>
                <w:sz w:val="24"/>
                <w:szCs w:val="24"/>
                <w:highlight w:val="none"/>
              </w:rPr>
            </w:pPr>
          </w:p>
        </w:tc>
        <w:tc>
          <w:tcPr>
            <w:tcW w:w="1551" w:type="dxa"/>
          </w:tcPr>
          <w:p>
            <w:pPr>
              <w:spacing w:line="360" w:lineRule="auto"/>
              <w:rPr>
                <w:rFonts w:hint="eastAsia" w:ascii="宋体" w:hAnsi="宋体" w:eastAsia="宋体" w:cs="宋体"/>
                <w:color w:val="000000"/>
                <w:sz w:val="24"/>
                <w:szCs w:val="24"/>
                <w:highlight w:val="none"/>
              </w:rPr>
            </w:pPr>
          </w:p>
        </w:tc>
        <w:tc>
          <w:tcPr>
            <w:tcW w:w="859" w:type="dxa"/>
          </w:tcPr>
          <w:p>
            <w:pPr>
              <w:spacing w:line="360" w:lineRule="auto"/>
              <w:rPr>
                <w:rFonts w:hint="eastAsia" w:ascii="宋体" w:hAnsi="宋体" w:eastAsia="宋体" w:cs="宋体"/>
                <w:color w:val="000000"/>
                <w:sz w:val="24"/>
                <w:szCs w:val="24"/>
                <w:highlight w:val="none"/>
              </w:rPr>
            </w:pPr>
          </w:p>
        </w:tc>
        <w:tc>
          <w:tcPr>
            <w:tcW w:w="1810" w:type="dxa"/>
          </w:tcPr>
          <w:p>
            <w:pPr>
              <w:spacing w:line="360" w:lineRule="auto"/>
              <w:rPr>
                <w:rFonts w:hint="eastAsia" w:ascii="宋体" w:hAnsi="宋体" w:eastAsia="宋体" w:cs="宋体"/>
                <w:color w:val="000000"/>
                <w:sz w:val="24"/>
                <w:szCs w:val="24"/>
                <w:highlight w:val="none"/>
              </w:rPr>
            </w:pPr>
          </w:p>
        </w:tc>
        <w:tc>
          <w:tcPr>
            <w:tcW w:w="746" w:type="dxa"/>
          </w:tcPr>
          <w:p>
            <w:pPr>
              <w:spacing w:line="360" w:lineRule="auto"/>
              <w:rPr>
                <w:rFonts w:hint="eastAsia" w:ascii="宋体" w:hAnsi="宋体" w:eastAsia="宋体" w:cs="宋体"/>
                <w:color w:val="000000"/>
                <w:sz w:val="24"/>
                <w:szCs w:val="24"/>
                <w:highlight w:val="none"/>
              </w:rPr>
            </w:pPr>
          </w:p>
        </w:tc>
        <w:tc>
          <w:tcPr>
            <w:tcW w:w="1042" w:type="dxa"/>
          </w:tcPr>
          <w:p>
            <w:pPr>
              <w:spacing w:line="360" w:lineRule="auto"/>
              <w:rPr>
                <w:rFonts w:hint="eastAsia" w:ascii="宋体" w:hAnsi="宋体" w:eastAsia="宋体" w:cs="宋体"/>
                <w:color w:val="000000"/>
                <w:sz w:val="24"/>
                <w:szCs w:val="24"/>
                <w:highlight w:val="none"/>
              </w:rPr>
            </w:pPr>
          </w:p>
        </w:tc>
        <w:tc>
          <w:tcPr>
            <w:tcW w:w="923" w:type="dxa"/>
          </w:tcPr>
          <w:p>
            <w:pPr>
              <w:spacing w:line="360" w:lineRule="auto"/>
              <w:rPr>
                <w:rFonts w:hint="eastAsia" w:ascii="宋体" w:hAnsi="宋体" w:eastAsia="宋体" w:cs="宋体"/>
                <w:color w:val="000000"/>
                <w:sz w:val="24"/>
                <w:szCs w:val="24"/>
                <w:highlight w:val="none"/>
              </w:rPr>
            </w:pP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0" w:type="dxa"/>
            <w:gridSpan w:val="7"/>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本页小计</w:t>
            </w: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0" w:type="dxa"/>
            <w:gridSpan w:val="7"/>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1118" w:type="dxa"/>
          </w:tcPr>
          <w:p>
            <w:pPr>
              <w:spacing w:line="360" w:lineRule="auto"/>
              <w:rPr>
                <w:rFonts w:hint="eastAsia" w:ascii="宋体" w:hAnsi="宋体" w:eastAsia="宋体" w:cs="宋体"/>
                <w:color w:val="000000"/>
                <w:sz w:val="24"/>
                <w:szCs w:val="24"/>
                <w:highlight w:val="none"/>
              </w:rPr>
            </w:pPr>
          </w:p>
        </w:tc>
        <w:tc>
          <w:tcPr>
            <w:tcW w:w="1182" w:type="dxa"/>
          </w:tcPr>
          <w:p>
            <w:pPr>
              <w:spacing w:line="360" w:lineRule="auto"/>
              <w:rPr>
                <w:rFonts w:hint="eastAsia" w:ascii="宋体" w:hAnsi="宋体" w:eastAsia="宋体" w:cs="宋体"/>
                <w:color w:val="000000"/>
                <w:sz w:val="24"/>
                <w:szCs w:val="24"/>
                <w:highlight w:val="none"/>
              </w:rPr>
            </w:pPr>
          </w:p>
        </w:tc>
      </w:tr>
    </w:tbl>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注意：为记取规费的适用，可以在表中增设其中：“定额人工费”</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（七）总价措施项目清单与计价表</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工程名称                                                        第  页共  页</w:t>
      </w:r>
    </w:p>
    <w:tbl>
      <w:tblPr>
        <w:tblStyle w:val="20"/>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2551"/>
        <w:gridCol w:w="709"/>
        <w:gridCol w:w="798"/>
        <w:gridCol w:w="1045"/>
        <w:gridCol w:w="978"/>
        <w:gridCol w:w="143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34"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992"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w:t>
            </w:r>
          </w:p>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编码</w:t>
            </w:r>
          </w:p>
        </w:tc>
        <w:tc>
          <w:tcPr>
            <w:tcW w:w="2551"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709"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计算基础</w:t>
            </w:r>
          </w:p>
        </w:tc>
        <w:tc>
          <w:tcPr>
            <w:tcW w:w="798"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费率（%）</w:t>
            </w:r>
          </w:p>
        </w:tc>
        <w:tc>
          <w:tcPr>
            <w:tcW w:w="1045"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金额（元）</w:t>
            </w:r>
          </w:p>
        </w:tc>
        <w:tc>
          <w:tcPr>
            <w:tcW w:w="978"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调整</w:t>
            </w:r>
          </w:p>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费率（%）</w:t>
            </w:r>
          </w:p>
        </w:tc>
        <w:tc>
          <w:tcPr>
            <w:tcW w:w="1432"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调整后金额</w:t>
            </w:r>
          </w:p>
        </w:tc>
        <w:tc>
          <w:tcPr>
            <w:tcW w:w="742"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安全文明施工费</w:t>
            </w: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夜间施工增加费</w:t>
            </w: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二次搬运费</w:t>
            </w: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冬季施工增加费</w:t>
            </w: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2551" w:type="dxa"/>
            <w:shd w:val="clear" w:color="auto" w:fill="auto"/>
          </w:tcPr>
          <w:p>
            <w:pPr>
              <w:spacing w:line="360" w:lineRule="auto"/>
              <w:rPr>
                <w:rFonts w:hint="eastAsia" w:ascii="宋体" w:hAnsi="宋体" w:eastAsia="宋体" w:cs="宋体"/>
                <w:kern w:val="2"/>
                <w:sz w:val="24"/>
                <w:szCs w:val="24"/>
                <w:highlight w:val="none"/>
              </w:rPr>
            </w:pPr>
          </w:p>
        </w:tc>
        <w:tc>
          <w:tcPr>
            <w:tcW w:w="709" w:type="dxa"/>
            <w:shd w:val="clear" w:color="auto" w:fill="auto"/>
          </w:tcPr>
          <w:p>
            <w:pPr>
              <w:spacing w:line="360" w:lineRule="auto"/>
              <w:rPr>
                <w:rFonts w:hint="eastAsia" w:ascii="宋体" w:hAnsi="宋体" w:eastAsia="宋体" w:cs="宋体"/>
                <w:kern w:val="2"/>
                <w:sz w:val="24"/>
                <w:szCs w:val="24"/>
                <w:highlight w:val="none"/>
              </w:rPr>
            </w:pPr>
          </w:p>
        </w:tc>
        <w:tc>
          <w:tcPr>
            <w:tcW w:w="798" w:type="dxa"/>
            <w:shd w:val="clear" w:color="auto" w:fill="auto"/>
          </w:tcPr>
          <w:p>
            <w:pPr>
              <w:spacing w:line="360" w:lineRule="auto"/>
              <w:rPr>
                <w:rFonts w:hint="eastAsia" w:ascii="宋体" w:hAnsi="宋体" w:eastAsia="宋体" w:cs="宋体"/>
                <w:kern w:val="2"/>
                <w:sz w:val="24"/>
                <w:szCs w:val="24"/>
                <w:highlight w:val="none"/>
              </w:rPr>
            </w:pPr>
          </w:p>
        </w:tc>
        <w:tc>
          <w:tcPr>
            <w:tcW w:w="1045" w:type="dxa"/>
            <w:shd w:val="clear" w:color="auto" w:fill="auto"/>
          </w:tcPr>
          <w:p>
            <w:pPr>
              <w:spacing w:line="360" w:lineRule="auto"/>
              <w:rPr>
                <w:rFonts w:hint="eastAsia" w:ascii="宋体" w:hAnsi="宋体" w:eastAsia="宋体" w:cs="宋体"/>
                <w:kern w:val="2"/>
                <w:sz w:val="24"/>
                <w:szCs w:val="24"/>
                <w:highlight w:val="none"/>
              </w:rPr>
            </w:pPr>
          </w:p>
        </w:tc>
        <w:tc>
          <w:tcPr>
            <w:tcW w:w="978" w:type="dxa"/>
            <w:shd w:val="clear" w:color="auto" w:fill="auto"/>
          </w:tcPr>
          <w:p>
            <w:pPr>
              <w:spacing w:line="360" w:lineRule="auto"/>
              <w:rPr>
                <w:rFonts w:hint="eastAsia" w:ascii="宋体" w:hAnsi="宋体" w:eastAsia="宋体" w:cs="宋体"/>
                <w:kern w:val="2"/>
                <w:sz w:val="24"/>
                <w:szCs w:val="24"/>
                <w:highlight w:val="none"/>
              </w:rPr>
            </w:pPr>
          </w:p>
        </w:tc>
        <w:tc>
          <w:tcPr>
            <w:tcW w:w="1432" w:type="dxa"/>
            <w:shd w:val="clear" w:color="auto" w:fill="auto"/>
          </w:tcPr>
          <w:p>
            <w:pPr>
              <w:spacing w:line="360" w:lineRule="auto"/>
              <w:rPr>
                <w:rFonts w:hint="eastAsia" w:ascii="宋体" w:hAnsi="宋体" w:eastAsia="宋体" w:cs="宋体"/>
                <w:kern w:val="2"/>
                <w:sz w:val="24"/>
                <w:szCs w:val="24"/>
                <w:highlight w:val="none"/>
              </w:rPr>
            </w:pPr>
          </w:p>
        </w:tc>
        <w:tc>
          <w:tcPr>
            <w:tcW w:w="742" w:type="dxa"/>
            <w:shd w:val="clear" w:color="auto" w:fill="auto"/>
          </w:tcPr>
          <w:p>
            <w:pPr>
              <w:spacing w:line="360" w:lineRule="auto"/>
              <w:rPr>
                <w:rFonts w:hint="eastAsia" w:ascii="宋体" w:hAnsi="宋体" w:eastAsia="宋体" w:cs="宋体"/>
                <w:kern w:val="2"/>
                <w:sz w:val="24"/>
                <w:szCs w:val="24"/>
                <w:highlight w:val="none"/>
              </w:rPr>
            </w:pPr>
          </w:p>
        </w:tc>
      </w:tr>
    </w:tbl>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编制人（造价员）：                                      复核人（工程师）：</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注：1、“计算基础”中安全文明施工费可为“定额基价”、“定额人工费”或“定额人工费”+“定额机械费”，其他项目可为“定额人工费”或“定额人工费”+“定额机械费”。</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2、按施工方案计算的措施费，若无“计算基础”和“费率”的数值，也可只填“金额”数值，但应该在备注栏说明施工方案出处或计算方式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（八）其他项目清单与计价汇总表</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工程名称                                                               第  页共页</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976"/>
        <w:gridCol w:w="1700"/>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297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1700"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计量计价</w:t>
            </w:r>
          </w:p>
        </w:tc>
        <w:tc>
          <w:tcPr>
            <w:tcW w:w="192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金额</w:t>
            </w:r>
          </w:p>
        </w:tc>
        <w:tc>
          <w:tcPr>
            <w:tcW w:w="192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297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暂列金额</w:t>
            </w: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p>
        </w:tc>
        <w:tc>
          <w:tcPr>
            <w:tcW w:w="297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暂估价</w:t>
            </w: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材料（工程设备）暂估价</w:t>
            </w: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专业工程暂估价</w:t>
            </w: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w:t>
            </w:r>
          </w:p>
        </w:tc>
        <w:tc>
          <w:tcPr>
            <w:tcW w:w="297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计日工</w:t>
            </w: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w:t>
            </w:r>
          </w:p>
        </w:tc>
        <w:tc>
          <w:tcPr>
            <w:tcW w:w="297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总承包服务费</w:t>
            </w: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w:t>
            </w:r>
          </w:p>
        </w:tc>
        <w:tc>
          <w:tcPr>
            <w:tcW w:w="297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索赔与现场签证</w:t>
            </w: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tcPr>
          <w:p>
            <w:pPr>
              <w:spacing w:line="360" w:lineRule="auto"/>
              <w:rPr>
                <w:rFonts w:hint="eastAsia" w:ascii="宋体" w:hAnsi="宋体" w:eastAsia="宋体" w:cs="宋体"/>
                <w:kern w:val="2"/>
                <w:sz w:val="24"/>
                <w:szCs w:val="24"/>
                <w:highlight w:val="none"/>
              </w:rPr>
            </w:pPr>
          </w:p>
        </w:tc>
        <w:tc>
          <w:tcPr>
            <w:tcW w:w="2976" w:type="dxa"/>
            <w:shd w:val="clear" w:color="auto" w:fill="auto"/>
          </w:tcPr>
          <w:p>
            <w:pPr>
              <w:spacing w:line="360" w:lineRule="auto"/>
              <w:rPr>
                <w:rFonts w:hint="eastAsia" w:ascii="宋体" w:hAnsi="宋体" w:eastAsia="宋体" w:cs="宋体"/>
                <w:kern w:val="2"/>
                <w:sz w:val="24"/>
                <w:szCs w:val="24"/>
                <w:highlight w:val="none"/>
              </w:rPr>
            </w:pP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gridSpan w:val="2"/>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合计</w:t>
            </w:r>
          </w:p>
        </w:tc>
        <w:tc>
          <w:tcPr>
            <w:tcW w:w="1700"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r>
    </w:tbl>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注：材料（工程设备）暂估单价进入清单项目综合单价，此处不汇总</w:t>
      </w:r>
    </w:p>
    <w:p>
      <w:pPr>
        <w:spacing w:line="360" w:lineRule="auto"/>
        <w:rPr>
          <w:rFonts w:hint="eastAsia" w:ascii="宋体" w:hAnsi="宋体" w:eastAsia="宋体" w:cs="宋体"/>
          <w:bCs/>
          <w:sz w:val="24"/>
          <w:szCs w:val="24"/>
          <w:highlight w:val="none"/>
        </w:rPr>
      </w:pPr>
      <w:r>
        <w:rPr>
          <w:rFonts w:hint="eastAsia" w:ascii="宋体" w:hAnsi="宋体" w:eastAsia="宋体" w:cs="宋体"/>
          <w:kern w:val="2"/>
          <w:sz w:val="24"/>
          <w:szCs w:val="24"/>
          <w:highlight w:val="none"/>
        </w:rPr>
        <w:br w:type="page"/>
      </w:r>
      <w:r>
        <w:rPr>
          <w:rFonts w:hint="eastAsia" w:ascii="宋体" w:hAnsi="宋体" w:eastAsia="宋体" w:cs="宋体"/>
          <w:bCs/>
          <w:sz w:val="24"/>
          <w:szCs w:val="24"/>
          <w:highlight w:val="none"/>
        </w:rPr>
        <w:t>（九）暂列金额明细表</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工程名称                                                         第  页共  页</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926"/>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92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192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计量单位</w:t>
            </w:r>
          </w:p>
        </w:tc>
        <w:tc>
          <w:tcPr>
            <w:tcW w:w="192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暂定金额（元）</w:t>
            </w:r>
          </w:p>
        </w:tc>
        <w:tc>
          <w:tcPr>
            <w:tcW w:w="192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c>
          <w:tcPr>
            <w:tcW w:w="1926" w:type="dxa"/>
            <w:shd w:val="clear" w:color="auto" w:fill="auto"/>
          </w:tcPr>
          <w:p>
            <w:pPr>
              <w:spacing w:line="360" w:lineRule="auto"/>
              <w:rPr>
                <w:rFonts w:hint="eastAsia" w:ascii="宋体" w:hAnsi="宋体" w:eastAsia="宋体" w:cs="宋体"/>
                <w:kern w:val="2"/>
                <w:sz w:val="24"/>
                <w:szCs w:val="24"/>
                <w:highlight w:val="none"/>
              </w:rPr>
            </w:pPr>
          </w:p>
        </w:tc>
      </w:tr>
    </w:tbl>
    <w:p>
      <w:pPr>
        <w:spacing w:line="360" w:lineRule="auto"/>
        <w:rPr>
          <w:rFonts w:hint="eastAsia" w:ascii="宋体" w:hAnsi="宋体" w:eastAsia="宋体" w:cs="宋体"/>
          <w:bCs/>
          <w:sz w:val="24"/>
          <w:szCs w:val="24"/>
          <w:highlight w:val="none"/>
        </w:rPr>
      </w:pPr>
      <w:r>
        <w:rPr>
          <w:rFonts w:hint="eastAsia" w:ascii="宋体" w:hAnsi="宋体" w:eastAsia="宋体" w:cs="宋体"/>
          <w:kern w:val="2"/>
          <w:sz w:val="24"/>
          <w:szCs w:val="24"/>
          <w:highlight w:val="none"/>
        </w:rPr>
        <w:br w:type="page"/>
      </w:r>
      <w:r>
        <w:rPr>
          <w:rFonts w:hint="eastAsia" w:ascii="宋体" w:hAnsi="宋体" w:eastAsia="宋体" w:cs="宋体"/>
          <w:bCs/>
          <w:sz w:val="24"/>
          <w:szCs w:val="24"/>
          <w:highlight w:val="none"/>
        </w:rPr>
        <w:t>（十）材料（工程设备）暂估单价表</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工程名称                                                      第  页共   页</w:t>
      </w:r>
    </w:p>
    <w:tbl>
      <w:tblPr>
        <w:tblStyle w:val="2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182"/>
        <w:gridCol w:w="1359"/>
        <w:gridCol w:w="1091"/>
        <w:gridCol w:w="638"/>
        <w:gridCol w:w="468"/>
        <w:gridCol w:w="535"/>
        <w:gridCol w:w="567"/>
        <w:gridCol w:w="567"/>
        <w:gridCol w:w="567"/>
        <w:gridCol w:w="559"/>
        <w:gridCol w:w="8"/>
        <w:gridCol w:w="56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05" w:type="dxa"/>
            <w:vMerge w:val="restart"/>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182" w:type="dxa"/>
            <w:vMerge w:val="restart"/>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材料编码</w:t>
            </w:r>
          </w:p>
        </w:tc>
        <w:tc>
          <w:tcPr>
            <w:tcW w:w="1359" w:type="dxa"/>
            <w:vMerge w:val="restart"/>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材料（工程设备）名称、规格、型号</w:t>
            </w:r>
          </w:p>
        </w:tc>
        <w:tc>
          <w:tcPr>
            <w:tcW w:w="1091" w:type="dxa"/>
            <w:vMerge w:val="restart"/>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计量</w:t>
            </w:r>
          </w:p>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单位</w:t>
            </w:r>
          </w:p>
        </w:tc>
        <w:tc>
          <w:tcPr>
            <w:tcW w:w="1106" w:type="dxa"/>
            <w:gridSpan w:val="2"/>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1102" w:type="dxa"/>
            <w:gridSpan w:val="2"/>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暂估（元）</w:t>
            </w:r>
          </w:p>
        </w:tc>
        <w:tc>
          <w:tcPr>
            <w:tcW w:w="1134" w:type="dxa"/>
            <w:gridSpan w:val="2"/>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确认（元）</w:t>
            </w:r>
          </w:p>
        </w:tc>
        <w:tc>
          <w:tcPr>
            <w:tcW w:w="1134" w:type="dxa"/>
            <w:gridSpan w:val="3"/>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差额（元）</w:t>
            </w:r>
          </w:p>
        </w:tc>
        <w:tc>
          <w:tcPr>
            <w:tcW w:w="1016" w:type="dxa"/>
            <w:vMerge w:val="restart"/>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505"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1182"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1359"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1091"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谈判</w:t>
            </w:r>
          </w:p>
        </w:tc>
        <w:tc>
          <w:tcPr>
            <w:tcW w:w="468"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确认</w:t>
            </w:r>
          </w:p>
        </w:tc>
        <w:tc>
          <w:tcPr>
            <w:tcW w:w="535"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单价</w:t>
            </w:r>
          </w:p>
        </w:tc>
        <w:tc>
          <w:tcPr>
            <w:tcW w:w="567"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单价</w:t>
            </w:r>
          </w:p>
        </w:tc>
        <w:tc>
          <w:tcPr>
            <w:tcW w:w="567"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单价</w:t>
            </w:r>
          </w:p>
        </w:tc>
        <w:tc>
          <w:tcPr>
            <w:tcW w:w="567"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合计</w:t>
            </w:r>
          </w:p>
        </w:tc>
        <w:tc>
          <w:tcPr>
            <w:tcW w:w="567" w:type="dxa"/>
            <w:gridSpan w:val="2"/>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单价</w:t>
            </w:r>
          </w:p>
        </w:tc>
        <w:tc>
          <w:tcPr>
            <w:tcW w:w="567"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合计</w:t>
            </w:r>
          </w:p>
        </w:tc>
        <w:tc>
          <w:tcPr>
            <w:tcW w:w="1016" w:type="dxa"/>
            <w:vMerge w:val="continue"/>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shd w:val="clear" w:color="auto" w:fill="auto"/>
          </w:tcPr>
          <w:p>
            <w:pPr>
              <w:spacing w:line="360" w:lineRule="auto"/>
              <w:rPr>
                <w:rFonts w:hint="eastAsia" w:ascii="宋体" w:hAnsi="宋体" w:eastAsia="宋体" w:cs="宋体"/>
                <w:kern w:val="2"/>
                <w:sz w:val="24"/>
                <w:szCs w:val="24"/>
                <w:highlight w:val="none"/>
              </w:rPr>
            </w:pPr>
          </w:p>
        </w:tc>
        <w:tc>
          <w:tcPr>
            <w:tcW w:w="1182" w:type="dxa"/>
            <w:shd w:val="clear" w:color="auto" w:fill="auto"/>
          </w:tcPr>
          <w:p>
            <w:pPr>
              <w:spacing w:line="360" w:lineRule="auto"/>
              <w:rPr>
                <w:rFonts w:hint="eastAsia" w:ascii="宋体" w:hAnsi="宋体" w:eastAsia="宋体" w:cs="宋体"/>
                <w:kern w:val="2"/>
                <w:sz w:val="24"/>
                <w:szCs w:val="24"/>
                <w:highlight w:val="none"/>
              </w:rPr>
            </w:pPr>
          </w:p>
        </w:tc>
        <w:tc>
          <w:tcPr>
            <w:tcW w:w="1359" w:type="dxa"/>
            <w:shd w:val="clear" w:color="auto" w:fill="auto"/>
          </w:tcPr>
          <w:p>
            <w:pPr>
              <w:spacing w:line="360" w:lineRule="auto"/>
              <w:rPr>
                <w:rFonts w:hint="eastAsia" w:ascii="宋体" w:hAnsi="宋体" w:eastAsia="宋体" w:cs="宋体"/>
                <w:kern w:val="2"/>
                <w:sz w:val="24"/>
                <w:szCs w:val="24"/>
                <w:highlight w:val="none"/>
              </w:rPr>
            </w:pPr>
          </w:p>
        </w:tc>
        <w:tc>
          <w:tcPr>
            <w:tcW w:w="1091" w:type="dxa"/>
            <w:shd w:val="clear" w:color="auto" w:fill="auto"/>
          </w:tcPr>
          <w:p>
            <w:pPr>
              <w:spacing w:line="360" w:lineRule="auto"/>
              <w:rPr>
                <w:rFonts w:hint="eastAsia" w:ascii="宋体" w:hAnsi="宋体" w:eastAsia="宋体" w:cs="宋体"/>
                <w:kern w:val="2"/>
                <w:sz w:val="24"/>
                <w:szCs w:val="24"/>
                <w:highlight w:val="none"/>
              </w:rPr>
            </w:pPr>
          </w:p>
        </w:tc>
        <w:tc>
          <w:tcPr>
            <w:tcW w:w="638" w:type="dxa"/>
            <w:shd w:val="clear" w:color="auto" w:fill="auto"/>
          </w:tcPr>
          <w:p>
            <w:pPr>
              <w:spacing w:line="360" w:lineRule="auto"/>
              <w:rPr>
                <w:rFonts w:hint="eastAsia" w:ascii="宋体" w:hAnsi="宋体" w:eastAsia="宋体" w:cs="宋体"/>
                <w:kern w:val="2"/>
                <w:sz w:val="24"/>
                <w:szCs w:val="24"/>
                <w:highlight w:val="none"/>
              </w:rPr>
            </w:pPr>
          </w:p>
        </w:tc>
        <w:tc>
          <w:tcPr>
            <w:tcW w:w="468" w:type="dxa"/>
            <w:shd w:val="clear" w:color="auto" w:fill="auto"/>
          </w:tcPr>
          <w:p>
            <w:pPr>
              <w:spacing w:line="360" w:lineRule="auto"/>
              <w:rPr>
                <w:rFonts w:hint="eastAsia" w:ascii="宋体" w:hAnsi="宋体" w:eastAsia="宋体" w:cs="宋体"/>
                <w:kern w:val="2"/>
                <w:sz w:val="24"/>
                <w:szCs w:val="24"/>
                <w:highlight w:val="none"/>
              </w:rPr>
            </w:pP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3" w:type="dxa"/>
            <w:gridSpan w:val="6"/>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合计</w:t>
            </w:r>
          </w:p>
        </w:tc>
        <w:tc>
          <w:tcPr>
            <w:tcW w:w="535"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67" w:type="dxa"/>
            <w:shd w:val="clear" w:color="auto" w:fill="auto"/>
          </w:tcPr>
          <w:p>
            <w:pPr>
              <w:spacing w:line="360" w:lineRule="auto"/>
              <w:rPr>
                <w:rFonts w:hint="eastAsia" w:ascii="宋体" w:hAnsi="宋体" w:eastAsia="宋体" w:cs="宋体"/>
                <w:kern w:val="2"/>
                <w:sz w:val="24"/>
                <w:szCs w:val="24"/>
                <w:highlight w:val="none"/>
              </w:rPr>
            </w:pPr>
          </w:p>
        </w:tc>
        <w:tc>
          <w:tcPr>
            <w:tcW w:w="559" w:type="dxa"/>
            <w:shd w:val="clear" w:color="auto" w:fill="auto"/>
          </w:tcPr>
          <w:p>
            <w:pPr>
              <w:spacing w:line="360" w:lineRule="auto"/>
              <w:rPr>
                <w:rFonts w:hint="eastAsia" w:ascii="宋体" w:hAnsi="宋体" w:eastAsia="宋体" w:cs="宋体"/>
                <w:kern w:val="2"/>
                <w:sz w:val="24"/>
                <w:szCs w:val="24"/>
                <w:highlight w:val="none"/>
              </w:rPr>
            </w:pPr>
          </w:p>
        </w:tc>
        <w:tc>
          <w:tcPr>
            <w:tcW w:w="575" w:type="dxa"/>
            <w:gridSpan w:val="2"/>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bl>
    <w:p>
      <w:pPr>
        <w:spacing w:line="360" w:lineRule="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Cs/>
          <w:sz w:val="24"/>
          <w:szCs w:val="24"/>
          <w:highlight w:val="none"/>
        </w:rPr>
        <w:t>（十一）专业工程暂估价及结算价表</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工程名称                                                    第   页共 页</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375"/>
        <w:gridCol w:w="1375"/>
        <w:gridCol w:w="1376"/>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工程名称</w:t>
            </w: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工程内容</w:t>
            </w: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暂估金额（元）</w:t>
            </w: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结算金额（元）</w:t>
            </w: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差额 ±（元）</w:t>
            </w: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5"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4" w:type="dxa"/>
            <w:gridSpan w:val="3"/>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合计</w:t>
            </w: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376" w:type="dxa"/>
            <w:shd w:val="clear" w:color="auto" w:fill="auto"/>
            <w:vAlign w:val="center"/>
          </w:tcPr>
          <w:p>
            <w:pPr>
              <w:spacing w:line="360" w:lineRule="auto"/>
              <w:jc w:val="center"/>
              <w:rPr>
                <w:rFonts w:hint="eastAsia" w:ascii="宋体" w:hAnsi="宋体" w:eastAsia="宋体" w:cs="宋体"/>
                <w:kern w:val="2"/>
                <w:sz w:val="24"/>
                <w:szCs w:val="24"/>
                <w:highlight w:val="none"/>
              </w:rPr>
            </w:pPr>
          </w:p>
        </w:tc>
      </w:tr>
    </w:tbl>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注：此表“暂估金额”由招标人填写，</w:t>
      </w:r>
      <w:r>
        <w:rPr>
          <w:rFonts w:hint="eastAsia" w:ascii="宋体" w:hAnsi="宋体" w:eastAsia="宋体" w:cs="宋体"/>
          <w:kern w:val="2"/>
          <w:sz w:val="24"/>
          <w:szCs w:val="24"/>
          <w:highlight w:val="none"/>
          <w:lang w:eastAsia="zh-CN"/>
        </w:rPr>
        <w:t>谈判</w:t>
      </w:r>
      <w:r>
        <w:rPr>
          <w:rFonts w:hint="eastAsia" w:ascii="宋体" w:hAnsi="宋体" w:eastAsia="宋体" w:cs="宋体"/>
          <w:kern w:val="2"/>
          <w:sz w:val="24"/>
          <w:szCs w:val="24"/>
          <w:highlight w:val="none"/>
        </w:rPr>
        <w:t>响应人应将“暂估金额”计入谈判总价中。结算时按合同约定结算金额填写</w:t>
      </w:r>
    </w:p>
    <w:p>
      <w:pPr>
        <w:spacing w:line="360" w:lineRule="auto"/>
        <w:rPr>
          <w:rFonts w:hint="eastAsia" w:ascii="宋体" w:hAnsi="宋体" w:eastAsia="宋体" w:cs="宋体"/>
          <w:bCs/>
          <w:sz w:val="24"/>
          <w:szCs w:val="24"/>
          <w:highlight w:val="none"/>
        </w:rPr>
      </w:pPr>
      <w:r>
        <w:rPr>
          <w:rFonts w:hint="eastAsia" w:ascii="宋体" w:hAnsi="宋体" w:eastAsia="宋体" w:cs="宋体"/>
          <w:kern w:val="2"/>
          <w:sz w:val="24"/>
          <w:szCs w:val="24"/>
          <w:highlight w:val="none"/>
        </w:rPr>
        <w:br w:type="page"/>
      </w:r>
      <w:r>
        <w:rPr>
          <w:rFonts w:hint="eastAsia" w:ascii="宋体" w:hAnsi="宋体" w:eastAsia="宋体" w:cs="宋体"/>
          <w:bCs/>
          <w:sz w:val="24"/>
          <w:szCs w:val="24"/>
          <w:highlight w:val="none"/>
        </w:rPr>
        <w:t>（十二）计日工表</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工程名称：                                                            第   页共  页</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605"/>
        <w:gridCol w:w="1605"/>
        <w:gridCol w:w="1605"/>
        <w:gridCol w:w="1605"/>
        <w:gridCol w:w="83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03" w:type="dxa"/>
            <w:vMerge w:val="restart"/>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编号</w:t>
            </w:r>
          </w:p>
        </w:tc>
        <w:tc>
          <w:tcPr>
            <w:tcW w:w="1605" w:type="dxa"/>
            <w:vMerge w:val="restart"/>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1605" w:type="dxa"/>
            <w:vMerge w:val="restart"/>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单位</w:t>
            </w:r>
          </w:p>
        </w:tc>
        <w:tc>
          <w:tcPr>
            <w:tcW w:w="1605" w:type="dxa"/>
            <w:vMerge w:val="restart"/>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暂定数量</w:t>
            </w:r>
          </w:p>
        </w:tc>
        <w:tc>
          <w:tcPr>
            <w:tcW w:w="1605" w:type="dxa"/>
            <w:vMerge w:val="restart"/>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综合单价</w:t>
            </w:r>
          </w:p>
        </w:tc>
        <w:tc>
          <w:tcPr>
            <w:tcW w:w="1605" w:type="dxa"/>
            <w:gridSpan w:val="2"/>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03" w:type="dxa"/>
            <w:vMerge w:val="continue"/>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605" w:type="dxa"/>
            <w:vMerge w:val="continue"/>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605" w:type="dxa"/>
            <w:vMerge w:val="continue"/>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605" w:type="dxa"/>
            <w:vMerge w:val="continue"/>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1605" w:type="dxa"/>
            <w:vMerge w:val="continue"/>
            <w:shd w:val="clear" w:color="auto" w:fill="auto"/>
            <w:vAlign w:val="center"/>
          </w:tcPr>
          <w:p>
            <w:pPr>
              <w:spacing w:line="360" w:lineRule="auto"/>
              <w:jc w:val="center"/>
              <w:rPr>
                <w:rFonts w:hint="eastAsia" w:ascii="宋体" w:hAnsi="宋体" w:eastAsia="宋体" w:cs="宋体"/>
                <w:kern w:val="2"/>
                <w:sz w:val="24"/>
                <w:szCs w:val="24"/>
                <w:highlight w:val="none"/>
              </w:rPr>
            </w:pPr>
          </w:p>
        </w:tc>
        <w:tc>
          <w:tcPr>
            <w:tcW w:w="830"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暂定</w:t>
            </w:r>
          </w:p>
        </w:tc>
        <w:tc>
          <w:tcPr>
            <w:tcW w:w="775"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03"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w:t>
            </w:r>
          </w:p>
        </w:tc>
        <w:tc>
          <w:tcPr>
            <w:tcW w:w="1605"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人工</w:t>
            </w: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3" w:type="dxa"/>
            <w:gridSpan w:val="5"/>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人工小计</w:t>
            </w: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603"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w:t>
            </w:r>
          </w:p>
        </w:tc>
        <w:tc>
          <w:tcPr>
            <w:tcW w:w="1605"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材料</w:t>
            </w: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3" w:type="dxa"/>
            <w:gridSpan w:val="5"/>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材料小计</w:t>
            </w: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3"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三</w:t>
            </w:r>
          </w:p>
        </w:tc>
        <w:tc>
          <w:tcPr>
            <w:tcW w:w="1605"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机械</w:t>
            </w: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023" w:type="dxa"/>
            <w:gridSpan w:val="5"/>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机械小计</w:t>
            </w: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603"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四</w:t>
            </w:r>
          </w:p>
        </w:tc>
        <w:tc>
          <w:tcPr>
            <w:tcW w:w="6420" w:type="dxa"/>
            <w:gridSpan w:val="4"/>
            <w:shd w:val="clear" w:color="auto" w:fill="auto"/>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企业管理费和利润</w:t>
            </w:r>
          </w:p>
        </w:tc>
        <w:tc>
          <w:tcPr>
            <w:tcW w:w="1605" w:type="dxa"/>
            <w:gridSpan w:val="2"/>
            <w:shd w:val="clear" w:color="auto" w:fill="auto"/>
          </w:tcPr>
          <w:p>
            <w:pPr>
              <w:spacing w:line="360" w:lineRule="auto"/>
              <w:rPr>
                <w:rFonts w:hint="eastAsia" w:ascii="宋体" w:hAnsi="宋体" w:eastAsia="宋体" w:cs="宋体"/>
                <w:kern w:val="2"/>
                <w:sz w:val="24"/>
                <w:szCs w:val="24"/>
                <w:highlight w:val="none"/>
              </w:rPr>
            </w:pPr>
          </w:p>
        </w:tc>
      </w:tr>
    </w:tbl>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注：1、此表项目名称、数量有招标人填写，编制招标控制价时，单价有招标人按有关几家规定确定。</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2、谈判时，工程项目、数量按招标人听得数据计算，单价由</w:t>
      </w:r>
      <w:r>
        <w:rPr>
          <w:rFonts w:hint="eastAsia" w:ascii="宋体" w:hAnsi="宋体" w:eastAsia="宋体" w:cs="宋体"/>
          <w:kern w:val="2"/>
          <w:sz w:val="24"/>
          <w:szCs w:val="24"/>
          <w:highlight w:val="none"/>
          <w:lang w:eastAsia="zh-CN"/>
        </w:rPr>
        <w:t>谈判</w:t>
      </w:r>
      <w:r>
        <w:rPr>
          <w:rFonts w:hint="eastAsia" w:ascii="宋体" w:hAnsi="宋体" w:eastAsia="宋体" w:cs="宋体"/>
          <w:kern w:val="2"/>
          <w:sz w:val="24"/>
          <w:szCs w:val="24"/>
          <w:highlight w:val="none"/>
        </w:rPr>
        <w:t>响应人自助报价，计入谈判总价中。</w:t>
      </w:r>
    </w:p>
    <w:p>
      <w:pPr>
        <w:spacing w:line="360" w:lineRule="auto"/>
        <w:rPr>
          <w:rFonts w:hint="eastAsia" w:ascii="宋体" w:hAnsi="宋体" w:eastAsia="宋体" w:cs="宋体"/>
          <w:bCs/>
          <w:sz w:val="24"/>
          <w:szCs w:val="24"/>
          <w:highlight w:val="none"/>
        </w:rPr>
      </w:pPr>
      <w:r>
        <w:rPr>
          <w:rFonts w:hint="eastAsia" w:ascii="宋体" w:hAnsi="宋体" w:eastAsia="宋体" w:cs="宋体"/>
          <w:kern w:val="2"/>
          <w:sz w:val="24"/>
          <w:szCs w:val="24"/>
          <w:highlight w:val="none"/>
        </w:rPr>
        <w:br w:type="page"/>
      </w:r>
      <w:r>
        <w:rPr>
          <w:rFonts w:hint="eastAsia" w:ascii="宋体" w:hAnsi="宋体" w:eastAsia="宋体" w:cs="宋体"/>
          <w:bCs/>
          <w:sz w:val="24"/>
          <w:szCs w:val="24"/>
          <w:highlight w:val="none"/>
        </w:rPr>
        <w:t>(十三）总承包服务费计价表</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工程名称                                               第     页 共   页</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605"/>
        <w:gridCol w:w="2002"/>
        <w:gridCol w:w="1312"/>
        <w:gridCol w:w="155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605"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200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项目价值（元）</w:t>
            </w:r>
          </w:p>
        </w:tc>
        <w:tc>
          <w:tcPr>
            <w:tcW w:w="131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服务内容</w:t>
            </w:r>
          </w:p>
        </w:tc>
        <w:tc>
          <w:tcPr>
            <w:tcW w:w="1553"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费率（%）</w:t>
            </w:r>
          </w:p>
        </w:tc>
        <w:tc>
          <w:tcPr>
            <w:tcW w:w="1553"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pPr>
              <w:spacing w:line="360" w:lineRule="auto"/>
              <w:rPr>
                <w:rFonts w:hint="eastAsia" w:ascii="宋体" w:hAnsi="宋体" w:eastAsia="宋体" w:cs="宋体"/>
                <w:kern w:val="2"/>
                <w:sz w:val="24"/>
                <w:szCs w:val="24"/>
                <w:highlight w:val="none"/>
              </w:rPr>
            </w:pPr>
          </w:p>
        </w:tc>
        <w:tc>
          <w:tcPr>
            <w:tcW w:w="1605" w:type="dxa"/>
            <w:shd w:val="clear" w:color="auto" w:fill="auto"/>
          </w:tcPr>
          <w:p>
            <w:pPr>
              <w:spacing w:line="360" w:lineRule="auto"/>
              <w:rPr>
                <w:rFonts w:hint="eastAsia" w:ascii="宋体" w:hAnsi="宋体" w:eastAsia="宋体" w:cs="宋体"/>
                <w:kern w:val="2"/>
                <w:sz w:val="24"/>
                <w:szCs w:val="24"/>
                <w:highlight w:val="none"/>
              </w:rPr>
            </w:pPr>
          </w:p>
        </w:tc>
        <w:tc>
          <w:tcPr>
            <w:tcW w:w="2002" w:type="dxa"/>
            <w:shd w:val="clear" w:color="auto" w:fill="auto"/>
          </w:tcPr>
          <w:p>
            <w:pPr>
              <w:spacing w:line="360" w:lineRule="auto"/>
              <w:rPr>
                <w:rFonts w:hint="eastAsia" w:ascii="宋体" w:hAnsi="宋体" w:eastAsia="宋体" w:cs="宋体"/>
                <w:kern w:val="2"/>
                <w:sz w:val="24"/>
                <w:szCs w:val="24"/>
                <w:highlight w:val="none"/>
              </w:rPr>
            </w:pPr>
          </w:p>
        </w:tc>
        <w:tc>
          <w:tcPr>
            <w:tcW w:w="1312"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5" w:type="dxa"/>
            <w:gridSpan w:val="5"/>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合计</w:t>
            </w:r>
          </w:p>
        </w:tc>
        <w:tc>
          <w:tcPr>
            <w:tcW w:w="1553" w:type="dxa"/>
            <w:shd w:val="clear" w:color="auto" w:fill="auto"/>
          </w:tcPr>
          <w:p>
            <w:pPr>
              <w:spacing w:line="360" w:lineRule="auto"/>
              <w:rPr>
                <w:rFonts w:hint="eastAsia" w:ascii="宋体" w:hAnsi="宋体" w:eastAsia="宋体" w:cs="宋体"/>
                <w:kern w:val="2"/>
                <w:sz w:val="24"/>
                <w:szCs w:val="24"/>
                <w:highlight w:val="none"/>
              </w:rPr>
            </w:pPr>
          </w:p>
        </w:tc>
      </w:tr>
    </w:tbl>
    <w:p>
      <w:pPr>
        <w:spacing w:line="360" w:lineRule="auto"/>
        <w:rPr>
          <w:rFonts w:hint="eastAsia" w:ascii="宋体" w:hAnsi="宋体" w:eastAsia="宋体" w:cs="宋体"/>
          <w:kern w:val="2"/>
          <w:sz w:val="24"/>
          <w:szCs w:val="24"/>
          <w:highlight w:val="none"/>
        </w:rPr>
      </w:pPr>
    </w:p>
    <w:p>
      <w:pPr>
        <w:spacing w:line="360" w:lineRule="auto"/>
        <w:rPr>
          <w:rFonts w:hint="eastAsia" w:ascii="宋体" w:hAnsi="宋体" w:eastAsia="宋体" w:cs="宋体"/>
          <w:bCs/>
          <w:sz w:val="24"/>
          <w:szCs w:val="24"/>
          <w:highlight w:val="none"/>
        </w:rPr>
      </w:pPr>
      <w:r>
        <w:rPr>
          <w:rFonts w:hint="eastAsia" w:ascii="宋体" w:hAnsi="宋体" w:eastAsia="宋体" w:cs="宋体"/>
          <w:kern w:val="2"/>
          <w:sz w:val="24"/>
          <w:szCs w:val="24"/>
          <w:highlight w:val="none"/>
        </w:rPr>
        <w:br w:type="page"/>
      </w:r>
      <w:r>
        <w:rPr>
          <w:rFonts w:hint="eastAsia" w:ascii="宋体" w:hAnsi="宋体" w:eastAsia="宋体" w:cs="宋体"/>
          <w:bCs/>
          <w:sz w:val="24"/>
          <w:szCs w:val="24"/>
          <w:highlight w:val="none"/>
        </w:rPr>
        <w:t>（十四）规费、税金项目清单与计价表</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工程名称                                                第   页共页</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92"/>
        <w:gridCol w:w="3136"/>
        <w:gridCol w:w="1276"/>
        <w:gridCol w:w="99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23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313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计算基础</w:t>
            </w:r>
          </w:p>
        </w:tc>
        <w:tc>
          <w:tcPr>
            <w:tcW w:w="127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计算基数</w:t>
            </w:r>
          </w:p>
        </w:tc>
        <w:tc>
          <w:tcPr>
            <w:tcW w:w="9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费率（%）</w:t>
            </w:r>
          </w:p>
        </w:tc>
        <w:tc>
          <w:tcPr>
            <w:tcW w:w="101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23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规费</w:t>
            </w:r>
          </w:p>
        </w:tc>
        <w:tc>
          <w:tcPr>
            <w:tcW w:w="313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定额人工费</w:t>
            </w:r>
          </w:p>
        </w:tc>
        <w:tc>
          <w:tcPr>
            <w:tcW w:w="1276"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w:t>
            </w:r>
          </w:p>
        </w:tc>
        <w:tc>
          <w:tcPr>
            <w:tcW w:w="23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社会保险费</w:t>
            </w:r>
          </w:p>
        </w:tc>
        <w:tc>
          <w:tcPr>
            <w:tcW w:w="313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定额人工费</w:t>
            </w:r>
          </w:p>
        </w:tc>
        <w:tc>
          <w:tcPr>
            <w:tcW w:w="1276"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w:t>
            </w:r>
          </w:p>
        </w:tc>
        <w:tc>
          <w:tcPr>
            <w:tcW w:w="23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养老保险费</w:t>
            </w:r>
          </w:p>
        </w:tc>
        <w:tc>
          <w:tcPr>
            <w:tcW w:w="313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定额人工费</w:t>
            </w:r>
          </w:p>
        </w:tc>
        <w:tc>
          <w:tcPr>
            <w:tcW w:w="1276"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1.3</w:t>
            </w:r>
          </w:p>
        </w:tc>
        <w:tc>
          <w:tcPr>
            <w:tcW w:w="23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失业保险费</w:t>
            </w:r>
          </w:p>
        </w:tc>
        <w:tc>
          <w:tcPr>
            <w:tcW w:w="313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定额人工费</w:t>
            </w:r>
          </w:p>
        </w:tc>
        <w:tc>
          <w:tcPr>
            <w:tcW w:w="1276"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p>
        </w:tc>
        <w:tc>
          <w:tcPr>
            <w:tcW w:w="23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医疗保险费</w:t>
            </w:r>
          </w:p>
        </w:tc>
        <w:tc>
          <w:tcPr>
            <w:tcW w:w="313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定额人工费</w:t>
            </w:r>
          </w:p>
        </w:tc>
        <w:tc>
          <w:tcPr>
            <w:tcW w:w="1276"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p>
        </w:tc>
        <w:tc>
          <w:tcPr>
            <w:tcW w:w="23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工商保险费</w:t>
            </w:r>
          </w:p>
        </w:tc>
        <w:tc>
          <w:tcPr>
            <w:tcW w:w="313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定额人工费</w:t>
            </w:r>
          </w:p>
        </w:tc>
        <w:tc>
          <w:tcPr>
            <w:tcW w:w="1276"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p>
        </w:tc>
        <w:tc>
          <w:tcPr>
            <w:tcW w:w="23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生育保险费</w:t>
            </w:r>
          </w:p>
        </w:tc>
        <w:tc>
          <w:tcPr>
            <w:tcW w:w="313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定额人工费</w:t>
            </w:r>
          </w:p>
        </w:tc>
        <w:tc>
          <w:tcPr>
            <w:tcW w:w="1276"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p>
        </w:tc>
        <w:tc>
          <w:tcPr>
            <w:tcW w:w="23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住房公积金</w:t>
            </w:r>
          </w:p>
        </w:tc>
        <w:tc>
          <w:tcPr>
            <w:tcW w:w="313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定额人工费</w:t>
            </w:r>
          </w:p>
        </w:tc>
        <w:tc>
          <w:tcPr>
            <w:tcW w:w="1276"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p>
        </w:tc>
        <w:tc>
          <w:tcPr>
            <w:tcW w:w="23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工程排污费</w:t>
            </w:r>
          </w:p>
        </w:tc>
        <w:tc>
          <w:tcPr>
            <w:tcW w:w="313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按工程所在地环境保护部门收取标准，按实计入</w:t>
            </w:r>
          </w:p>
        </w:tc>
        <w:tc>
          <w:tcPr>
            <w:tcW w:w="1276"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p>
        </w:tc>
        <w:tc>
          <w:tcPr>
            <w:tcW w:w="2392" w:type="dxa"/>
            <w:shd w:val="clear" w:color="auto" w:fill="auto"/>
          </w:tcPr>
          <w:p>
            <w:pPr>
              <w:spacing w:line="360" w:lineRule="auto"/>
              <w:rPr>
                <w:rFonts w:hint="eastAsia" w:ascii="宋体" w:hAnsi="宋体" w:eastAsia="宋体" w:cs="宋体"/>
                <w:kern w:val="2"/>
                <w:sz w:val="24"/>
                <w:szCs w:val="24"/>
                <w:highlight w:val="none"/>
              </w:rPr>
            </w:pPr>
          </w:p>
        </w:tc>
        <w:tc>
          <w:tcPr>
            <w:tcW w:w="3136" w:type="dxa"/>
            <w:shd w:val="clear" w:color="auto" w:fill="auto"/>
          </w:tcPr>
          <w:p>
            <w:pPr>
              <w:spacing w:line="360" w:lineRule="auto"/>
              <w:rPr>
                <w:rFonts w:hint="eastAsia" w:ascii="宋体" w:hAnsi="宋体" w:eastAsia="宋体" w:cs="宋体"/>
                <w:kern w:val="2"/>
                <w:sz w:val="24"/>
                <w:szCs w:val="24"/>
                <w:highlight w:val="none"/>
              </w:rPr>
            </w:pPr>
          </w:p>
        </w:tc>
        <w:tc>
          <w:tcPr>
            <w:tcW w:w="1276"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tcPr>
          <w:p>
            <w:pPr>
              <w:spacing w:line="360" w:lineRule="auto"/>
              <w:rPr>
                <w:rFonts w:hint="eastAsia" w:ascii="宋体" w:hAnsi="宋体" w:eastAsia="宋体" w:cs="宋体"/>
                <w:kern w:val="2"/>
                <w:sz w:val="24"/>
                <w:szCs w:val="24"/>
                <w:highlight w:val="none"/>
              </w:rPr>
            </w:pPr>
          </w:p>
        </w:tc>
        <w:tc>
          <w:tcPr>
            <w:tcW w:w="23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税金</w:t>
            </w:r>
          </w:p>
        </w:tc>
        <w:tc>
          <w:tcPr>
            <w:tcW w:w="3136"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分部分项工程费+措施项目费+其他项目费+规费+按规定不计入税的工程设备金额</w:t>
            </w:r>
          </w:p>
        </w:tc>
        <w:tc>
          <w:tcPr>
            <w:tcW w:w="1276"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gridSpan w:val="5"/>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合计</w:t>
            </w:r>
          </w:p>
        </w:tc>
        <w:tc>
          <w:tcPr>
            <w:tcW w:w="1016" w:type="dxa"/>
            <w:shd w:val="clear" w:color="auto" w:fill="auto"/>
          </w:tcPr>
          <w:p>
            <w:pPr>
              <w:spacing w:line="360" w:lineRule="auto"/>
              <w:rPr>
                <w:rFonts w:hint="eastAsia" w:ascii="宋体" w:hAnsi="宋体" w:eastAsia="宋体" w:cs="宋体"/>
                <w:kern w:val="2"/>
                <w:sz w:val="24"/>
                <w:szCs w:val="24"/>
                <w:highlight w:val="none"/>
              </w:rPr>
            </w:pPr>
          </w:p>
        </w:tc>
      </w:tr>
    </w:tbl>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编制人（造价员）：                                      复核人（工程师）：</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注：1、“计算基础”中安全文明施工费可为“定额基价”、“定额人工费”或“定额人工费”+“定额机械费”，其他项目可为“定额人工费”或“定额人工费”+“定额机械费”。</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2、按施工方案计算的措施费，若无“计算基础”和“费率”的数值，也可只填“金额”数值，但应该在备注栏说明施工方案出处或计算方式</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注：根据建设部、财政部发布的《建筑安装工程费用组成》（建标{2013}44）的规定，“计算基础”可为“直接费用”、“人工费”或“人工费”+“机械费”。</w:t>
      </w:r>
    </w:p>
    <w:p>
      <w:pPr>
        <w:spacing w:line="360" w:lineRule="auto"/>
        <w:rPr>
          <w:rFonts w:hint="eastAsia" w:ascii="宋体" w:hAnsi="宋体" w:eastAsia="宋体" w:cs="宋体"/>
          <w:bCs/>
          <w:sz w:val="24"/>
          <w:szCs w:val="24"/>
          <w:highlight w:val="none"/>
        </w:rPr>
      </w:pPr>
      <w:r>
        <w:rPr>
          <w:rFonts w:hint="eastAsia" w:ascii="宋体" w:hAnsi="宋体" w:eastAsia="宋体" w:cs="宋体"/>
          <w:kern w:val="2"/>
          <w:sz w:val="24"/>
          <w:szCs w:val="24"/>
          <w:highlight w:val="none"/>
        </w:rPr>
        <w:br w:type="page"/>
      </w:r>
      <w:r>
        <w:rPr>
          <w:rFonts w:hint="eastAsia" w:ascii="宋体" w:hAnsi="宋体" w:eastAsia="宋体" w:cs="宋体"/>
          <w:bCs/>
          <w:sz w:val="24"/>
          <w:szCs w:val="24"/>
          <w:highlight w:val="none"/>
        </w:rPr>
        <w:t>（十五）综合单价分析表</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工程名称                                                         第  页共  页</w:t>
      </w:r>
    </w:p>
    <w:tbl>
      <w:tblPr>
        <w:tblStyle w:val="20"/>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478"/>
        <w:gridCol w:w="992"/>
        <w:gridCol w:w="992"/>
        <w:gridCol w:w="321"/>
        <w:gridCol w:w="650"/>
        <w:gridCol w:w="481"/>
        <w:gridCol w:w="273"/>
        <w:gridCol w:w="197"/>
        <w:gridCol w:w="223"/>
        <w:gridCol w:w="310"/>
        <w:gridCol w:w="65"/>
        <w:gridCol w:w="283"/>
        <w:gridCol w:w="108"/>
        <w:gridCol w:w="318"/>
        <w:gridCol w:w="141"/>
        <w:gridCol w:w="142"/>
        <w:gridCol w:w="479"/>
        <w:gridCol w:w="513"/>
        <w:gridCol w:w="35"/>
        <w:gridCol w:w="64"/>
        <w:gridCol w:w="43"/>
        <w:gridCol w:w="284"/>
        <w:gridCol w:w="29"/>
        <w:gridCol w:w="679"/>
        <w:gridCol w:w="474"/>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gridSpan w:val="2"/>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项目编码</w:t>
            </w: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971" w:type="dxa"/>
            <w:gridSpan w:val="2"/>
            <w:shd w:val="clear" w:color="auto" w:fill="auto"/>
          </w:tcPr>
          <w:p>
            <w:pPr>
              <w:spacing w:line="360" w:lineRule="auto"/>
              <w:rPr>
                <w:rFonts w:hint="eastAsia" w:ascii="宋体" w:hAnsi="宋体" w:eastAsia="宋体" w:cs="宋体"/>
                <w:kern w:val="2"/>
                <w:sz w:val="24"/>
                <w:szCs w:val="24"/>
                <w:highlight w:val="none"/>
              </w:rPr>
            </w:pPr>
          </w:p>
        </w:tc>
        <w:tc>
          <w:tcPr>
            <w:tcW w:w="1174" w:type="dxa"/>
            <w:gridSpan w:val="4"/>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计量单位</w:t>
            </w:r>
          </w:p>
        </w:tc>
        <w:tc>
          <w:tcPr>
            <w:tcW w:w="1225" w:type="dxa"/>
            <w:gridSpan w:val="6"/>
            <w:shd w:val="clear" w:color="auto" w:fill="auto"/>
          </w:tcPr>
          <w:p>
            <w:pPr>
              <w:spacing w:line="360" w:lineRule="auto"/>
              <w:rPr>
                <w:rFonts w:hint="eastAsia" w:ascii="宋体" w:hAnsi="宋体" w:eastAsia="宋体" w:cs="宋体"/>
                <w:kern w:val="2"/>
                <w:sz w:val="24"/>
                <w:szCs w:val="24"/>
                <w:highlight w:val="none"/>
              </w:rPr>
            </w:pPr>
          </w:p>
        </w:tc>
        <w:tc>
          <w:tcPr>
            <w:tcW w:w="1589" w:type="dxa"/>
            <w:gridSpan w:val="8"/>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工程量</w:t>
            </w:r>
          </w:p>
        </w:tc>
        <w:tc>
          <w:tcPr>
            <w:tcW w:w="1698" w:type="dxa"/>
            <w:gridSpan w:val="3"/>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2" w:type="dxa"/>
            <w:gridSpan w:val="27"/>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清单综合单价组成和明细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1" w:type="dxa"/>
            <w:gridSpan w:val="2"/>
            <w:vMerge w:val="restart"/>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定额编号</w:t>
            </w:r>
          </w:p>
        </w:tc>
        <w:tc>
          <w:tcPr>
            <w:tcW w:w="992" w:type="dxa"/>
            <w:vMerge w:val="restart"/>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定额项目名称</w:t>
            </w:r>
          </w:p>
        </w:tc>
        <w:tc>
          <w:tcPr>
            <w:tcW w:w="992" w:type="dxa"/>
            <w:vMerge w:val="restart"/>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定额单位</w:t>
            </w:r>
          </w:p>
        </w:tc>
        <w:tc>
          <w:tcPr>
            <w:tcW w:w="971" w:type="dxa"/>
            <w:gridSpan w:val="2"/>
            <w:vMerge w:val="restart"/>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1832" w:type="dxa"/>
            <w:gridSpan w:val="7"/>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单价</w:t>
            </w:r>
          </w:p>
        </w:tc>
        <w:tc>
          <w:tcPr>
            <w:tcW w:w="3854" w:type="dxa"/>
            <w:gridSpan w:val="14"/>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1" w:type="dxa"/>
            <w:gridSpan w:val="2"/>
            <w:vMerge w:val="continue"/>
            <w:shd w:val="clear" w:color="auto" w:fill="auto"/>
          </w:tcPr>
          <w:p>
            <w:pPr>
              <w:spacing w:line="360" w:lineRule="auto"/>
              <w:rPr>
                <w:rFonts w:hint="eastAsia" w:ascii="宋体" w:hAnsi="宋体" w:eastAsia="宋体" w:cs="宋体"/>
                <w:kern w:val="2"/>
                <w:sz w:val="24"/>
                <w:szCs w:val="24"/>
                <w:highlight w:val="none"/>
              </w:rPr>
            </w:pPr>
          </w:p>
        </w:tc>
        <w:tc>
          <w:tcPr>
            <w:tcW w:w="992"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992"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971" w:type="dxa"/>
            <w:gridSpan w:val="2"/>
            <w:vMerge w:val="continue"/>
            <w:shd w:val="clear" w:color="auto" w:fill="auto"/>
          </w:tcPr>
          <w:p>
            <w:pPr>
              <w:spacing w:line="360" w:lineRule="auto"/>
              <w:rPr>
                <w:rFonts w:hint="eastAsia" w:ascii="宋体" w:hAnsi="宋体" w:eastAsia="宋体" w:cs="宋体"/>
                <w:kern w:val="2"/>
                <w:sz w:val="24"/>
                <w:szCs w:val="24"/>
                <w:highlight w:val="none"/>
              </w:rPr>
            </w:pPr>
          </w:p>
        </w:tc>
        <w:tc>
          <w:tcPr>
            <w:tcW w:w="481"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人工费</w:t>
            </w:r>
          </w:p>
        </w:tc>
        <w:tc>
          <w:tcPr>
            <w:tcW w:w="470" w:type="dxa"/>
            <w:gridSpan w:val="2"/>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材料费</w:t>
            </w:r>
          </w:p>
        </w:tc>
        <w:tc>
          <w:tcPr>
            <w:tcW w:w="533" w:type="dxa"/>
            <w:gridSpan w:val="2"/>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机械费</w:t>
            </w:r>
          </w:p>
        </w:tc>
        <w:tc>
          <w:tcPr>
            <w:tcW w:w="456" w:type="dxa"/>
            <w:gridSpan w:val="3"/>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管理费</w:t>
            </w:r>
          </w:p>
        </w:tc>
        <w:tc>
          <w:tcPr>
            <w:tcW w:w="318"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利润</w:t>
            </w:r>
          </w:p>
        </w:tc>
        <w:tc>
          <w:tcPr>
            <w:tcW w:w="762" w:type="dxa"/>
            <w:gridSpan w:val="3"/>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人工费</w:t>
            </w:r>
          </w:p>
        </w:tc>
        <w:tc>
          <w:tcPr>
            <w:tcW w:w="612" w:type="dxa"/>
            <w:gridSpan w:val="3"/>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材料费</w:t>
            </w:r>
          </w:p>
        </w:tc>
        <w:tc>
          <w:tcPr>
            <w:tcW w:w="327" w:type="dxa"/>
            <w:gridSpan w:val="2"/>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机械费</w:t>
            </w:r>
          </w:p>
        </w:tc>
        <w:tc>
          <w:tcPr>
            <w:tcW w:w="1182" w:type="dxa"/>
            <w:gridSpan w:val="3"/>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管理费</w:t>
            </w:r>
          </w:p>
        </w:tc>
        <w:tc>
          <w:tcPr>
            <w:tcW w:w="545" w:type="dxa"/>
            <w:shd w:val="clear" w:color="auto" w:fill="auto"/>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1" w:type="dxa"/>
            <w:gridSpan w:val="2"/>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971" w:type="dxa"/>
            <w:gridSpan w:val="2"/>
            <w:shd w:val="clear" w:color="auto" w:fill="auto"/>
          </w:tcPr>
          <w:p>
            <w:pPr>
              <w:spacing w:line="360" w:lineRule="auto"/>
              <w:rPr>
                <w:rFonts w:hint="eastAsia" w:ascii="宋体" w:hAnsi="宋体" w:eastAsia="宋体" w:cs="宋体"/>
                <w:kern w:val="2"/>
                <w:sz w:val="24"/>
                <w:szCs w:val="24"/>
                <w:highlight w:val="none"/>
              </w:rPr>
            </w:pPr>
          </w:p>
        </w:tc>
        <w:tc>
          <w:tcPr>
            <w:tcW w:w="1484" w:type="dxa"/>
            <w:gridSpan w:val="5"/>
            <w:shd w:val="clear" w:color="auto" w:fill="auto"/>
          </w:tcPr>
          <w:p>
            <w:pPr>
              <w:spacing w:line="360" w:lineRule="auto"/>
              <w:rPr>
                <w:rFonts w:hint="eastAsia" w:ascii="宋体" w:hAnsi="宋体" w:eastAsia="宋体" w:cs="宋体"/>
                <w:kern w:val="2"/>
                <w:sz w:val="24"/>
                <w:szCs w:val="24"/>
                <w:highlight w:val="none"/>
              </w:rPr>
            </w:pPr>
          </w:p>
        </w:tc>
        <w:tc>
          <w:tcPr>
            <w:tcW w:w="774" w:type="dxa"/>
            <w:gridSpan w:val="4"/>
            <w:shd w:val="clear" w:color="auto" w:fill="auto"/>
          </w:tcPr>
          <w:p>
            <w:pPr>
              <w:spacing w:line="360" w:lineRule="auto"/>
              <w:rPr>
                <w:rFonts w:hint="eastAsia" w:ascii="宋体" w:hAnsi="宋体" w:eastAsia="宋体" w:cs="宋体"/>
                <w:kern w:val="2"/>
                <w:sz w:val="24"/>
                <w:szCs w:val="24"/>
                <w:highlight w:val="none"/>
              </w:rPr>
            </w:pPr>
          </w:p>
        </w:tc>
        <w:tc>
          <w:tcPr>
            <w:tcW w:w="1417" w:type="dxa"/>
            <w:gridSpan w:val="7"/>
            <w:shd w:val="clear" w:color="auto" w:fill="auto"/>
          </w:tcPr>
          <w:p>
            <w:pPr>
              <w:spacing w:line="360" w:lineRule="auto"/>
              <w:rPr>
                <w:rFonts w:hint="eastAsia" w:ascii="宋体" w:hAnsi="宋体" w:eastAsia="宋体" w:cs="宋体"/>
                <w:kern w:val="2"/>
                <w:sz w:val="24"/>
                <w:szCs w:val="24"/>
                <w:highlight w:val="none"/>
              </w:rPr>
            </w:pPr>
          </w:p>
        </w:tc>
        <w:tc>
          <w:tcPr>
            <w:tcW w:w="2011" w:type="dxa"/>
            <w:gridSpan w:val="5"/>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91" w:type="dxa"/>
            <w:gridSpan w:val="2"/>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971" w:type="dxa"/>
            <w:gridSpan w:val="2"/>
            <w:shd w:val="clear" w:color="auto" w:fill="auto"/>
          </w:tcPr>
          <w:p>
            <w:pPr>
              <w:spacing w:line="360" w:lineRule="auto"/>
              <w:rPr>
                <w:rFonts w:hint="eastAsia" w:ascii="宋体" w:hAnsi="宋体" w:eastAsia="宋体" w:cs="宋体"/>
                <w:kern w:val="2"/>
                <w:sz w:val="24"/>
                <w:szCs w:val="24"/>
                <w:highlight w:val="none"/>
              </w:rPr>
            </w:pPr>
          </w:p>
        </w:tc>
        <w:tc>
          <w:tcPr>
            <w:tcW w:w="1484" w:type="dxa"/>
            <w:gridSpan w:val="5"/>
            <w:shd w:val="clear" w:color="auto" w:fill="auto"/>
          </w:tcPr>
          <w:p>
            <w:pPr>
              <w:spacing w:line="360" w:lineRule="auto"/>
              <w:rPr>
                <w:rFonts w:hint="eastAsia" w:ascii="宋体" w:hAnsi="宋体" w:eastAsia="宋体" w:cs="宋体"/>
                <w:kern w:val="2"/>
                <w:sz w:val="24"/>
                <w:szCs w:val="24"/>
                <w:highlight w:val="none"/>
              </w:rPr>
            </w:pPr>
          </w:p>
        </w:tc>
        <w:tc>
          <w:tcPr>
            <w:tcW w:w="774" w:type="dxa"/>
            <w:gridSpan w:val="4"/>
            <w:shd w:val="clear" w:color="auto" w:fill="auto"/>
          </w:tcPr>
          <w:p>
            <w:pPr>
              <w:spacing w:line="360" w:lineRule="auto"/>
              <w:rPr>
                <w:rFonts w:hint="eastAsia" w:ascii="宋体" w:hAnsi="宋体" w:eastAsia="宋体" w:cs="宋体"/>
                <w:kern w:val="2"/>
                <w:sz w:val="24"/>
                <w:szCs w:val="24"/>
                <w:highlight w:val="none"/>
              </w:rPr>
            </w:pPr>
          </w:p>
        </w:tc>
        <w:tc>
          <w:tcPr>
            <w:tcW w:w="1417" w:type="dxa"/>
            <w:gridSpan w:val="7"/>
            <w:shd w:val="clear" w:color="auto" w:fill="auto"/>
          </w:tcPr>
          <w:p>
            <w:pPr>
              <w:spacing w:line="360" w:lineRule="auto"/>
              <w:rPr>
                <w:rFonts w:hint="eastAsia" w:ascii="宋体" w:hAnsi="宋体" w:eastAsia="宋体" w:cs="宋体"/>
                <w:kern w:val="2"/>
                <w:sz w:val="24"/>
                <w:szCs w:val="24"/>
                <w:highlight w:val="none"/>
              </w:rPr>
            </w:pPr>
          </w:p>
        </w:tc>
        <w:tc>
          <w:tcPr>
            <w:tcW w:w="2011" w:type="dxa"/>
            <w:gridSpan w:val="5"/>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91" w:type="dxa"/>
            <w:gridSpan w:val="2"/>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992" w:type="dxa"/>
            <w:shd w:val="clear" w:color="auto" w:fill="auto"/>
          </w:tcPr>
          <w:p>
            <w:pPr>
              <w:spacing w:line="360" w:lineRule="auto"/>
              <w:rPr>
                <w:rFonts w:hint="eastAsia" w:ascii="宋体" w:hAnsi="宋体" w:eastAsia="宋体" w:cs="宋体"/>
                <w:kern w:val="2"/>
                <w:sz w:val="24"/>
                <w:szCs w:val="24"/>
                <w:highlight w:val="none"/>
              </w:rPr>
            </w:pPr>
          </w:p>
        </w:tc>
        <w:tc>
          <w:tcPr>
            <w:tcW w:w="971" w:type="dxa"/>
            <w:gridSpan w:val="2"/>
            <w:shd w:val="clear" w:color="auto" w:fill="auto"/>
          </w:tcPr>
          <w:p>
            <w:pPr>
              <w:spacing w:line="360" w:lineRule="auto"/>
              <w:rPr>
                <w:rFonts w:hint="eastAsia" w:ascii="宋体" w:hAnsi="宋体" w:eastAsia="宋体" w:cs="宋体"/>
                <w:kern w:val="2"/>
                <w:sz w:val="24"/>
                <w:szCs w:val="24"/>
                <w:highlight w:val="none"/>
              </w:rPr>
            </w:pPr>
          </w:p>
        </w:tc>
        <w:tc>
          <w:tcPr>
            <w:tcW w:w="1484" w:type="dxa"/>
            <w:gridSpan w:val="5"/>
            <w:shd w:val="clear" w:color="auto" w:fill="auto"/>
          </w:tcPr>
          <w:p>
            <w:pPr>
              <w:spacing w:line="360" w:lineRule="auto"/>
              <w:rPr>
                <w:rFonts w:hint="eastAsia" w:ascii="宋体" w:hAnsi="宋体" w:eastAsia="宋体" w:cs="宋体"/>
                <w:kern w:val="2"/>
                <w:sz w:val="24"/>
                <w:szCs w:val="24"/>
                <w:highlight w:val="none"/>
              </w:rPr>
            </w:pPr>
          </w:p>
        </w:tc>
        <w:tc>
          <w:tcPr>
            <w:tcW w:w="774" w:type="dxa"/>
            <w:gridSpan w:val="4"/>
            <w:shd w:val="clear" w:color="auto" w:fill="auto"/>
          </w:tcPr>
          <w:p>
            <w:pPr>
              <w:spacing w:line="360" w:lineRule="auto"/>
              <w:rPr>
                <w:rFonts w:hint="eastAsia" w:ascii="宋体" w:hAnsi="宋体" w:eastAsia="宋体" w:cs="宋体"/>
                <w:kern w:val="2"/>
                <w:sz w:val="24"/>
                <w:szCs w:val="24"/>
                <w:highlight w:val="none"/>
              </w:rPr>
            </w:pPr>
          </w:p>
        </w:tc>
        <w:tc>
          <w:tcPr>
            <w:tcW w:w="1417" w:type="dxa"/>
            <w:gridSpan w:val="7"/>
            <w:shd w:val="clear" w:color="auto" w:fill="auto"/>
          </w:tcPr>
          <w:p>
            <w:pPr>
              <w:spacing w:line="360" w:lineRule="auto"/>
              <w:rPr>
                <w:rFonts w:hint="eastAsia" w:ascii="宋体" w:hAnsi="宋体" w:eastAsia="宋体" w:cs="宋体"/>
                <w:kern w:val="2"/>
                <w:sz w:val="24"/>
                <w:szCs w:val="24"/>
                <w:highlight w:val="none"/>
              </w:rPr>
            </w:pPr>
          </w:p>
        </w:tc>
        <w:tc>
          <w:tcPr>
            <w:tcW w:w="2011" w:type="dxa"/>
            <w:gridSpan w:val="5"/>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gridSpan w:val="3"/>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综合单价</w:t>
            </w:r>
          </w:p>
        </w:tc>
        <w:tc>
          <w:tcPr>
            <w:tcW w:w="4221" w:type="dxa"/>
            <w:gridSpan w:val="12"/>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小计</w:t>
            </w:r>
          </w:p>
        </w:tc>
        <w:tc>
          <w:tcPr>
            <w:tcW w:w="3428" w:type="dxa"/>
            <w:gridSpan w:val="1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restart"/>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材料费明细</w:t>
            </w:r>
          </w:p>
        </w:tc>
        <w:tc>
          <w:tcPr>
            <w:tcW w:w="2783" w:type="dxa"/>
            <w:gridSpan w:val="4"/>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主要材料名称、规格、型号</w:t>
            </w:r>
          </w:p>
        </w:tc>
        <w:tc>
          <w:tcPr>
            <w:tcW w:w="1404" w:type="dxa"/>
            <w:gridSpan w:val="3"/>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单位</w:t>
            </w:r>
          </w:p>
        </w:tc>
        <w:tc>
          <w:tcPr>
            <w:tcW w:w="795" w:type="dxa"/>
            <w:gridSpan w:val="4"/>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992" w:type="dxa"/>
            <w:gridSpan w:val="5"/>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单价（元）</w:t>
            </w:r>
          </w:p>
        </w:tc>
        <w:tc>
          <w:tcPr>
            <w:tcW w:w="992" w:type="dxa"/>
            <w:gridSpan w:val="2"/>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合价（元）</w:t>
            </w:r>
          </w:p>
        </w:tc>
        <w:tc>
          <w:tcPr>
            <w:tcW w:w="1134" w:type="dxa"/>
            <w:gridSpan w:val="6"/>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暂估单价（元）</w:t>
            </w:r>
          </w:p>
        </w:tc>
        <w:tc>
          <w:tcPr>
            <w:tcW w:w="1019" w:type="dxa"/>
            <w:gridSpan w:val="2"/>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暂估合价（元）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1470" w:type="dxa"/>
            <w:gridSpan w:val="2"/>
            <w:shd w:val="clear" w:color="auto" w:fill="auto"/>
          </w:tcPr>
          <w:p>
            <w:pPr>
              <w:spacing w:line="360" w:lineRule="auto"/>
              <w:rPr>
                <w:rFonts w:hint="eastAsia" w:ascii="宋体" w:hAnsi="宋体" w:eastAsia="宋体" w:cs="宋体"/>
                <w:kern w:val="2"/>
                <w:sz w:val="24"/>
                <w:szCs w:val="24"/>
                <w:highlight w:val="none"/>
              </w:rPr>
            </w:pPr>
          </w:p>
        </w:tc>
        <w:tc>
          <w:tcPr>
            <w:tcW w:w="1313" w:type="dxa"/>
            <w:gridSpan w:val="2"/>
            <w:shd w:val="clear" w:color="auto" w:fill="auto"/>
          </w:tcPr>
          <w:p>
            <w:pPr>
              <w:spacing w:line="360" w:lineRule="auto"/>
              <w:rPr>
                <w:rFonts w:hint="eastAsia" w:ascii="宋体" w:hAnsi="宋体" w:eastAsia="宋体" w:cs="宋体"/>
                <w:kern w:val="2"/>
                <w:sz w:val="24"/>
                <w:szCs w:val="24"/>
                <w:highlight w:val="none"/>
              </w:rPr>
            </w:pPr>
          </w:p>
        </w:tc>
        <w:tc>
          <w:tcPr>
            <w:tcW w:w="1404" w:type="dxa"/>
            <w:gridSpan w:val="3"/>
            <w:shd w:val="clear" w:color="auto" w:fill="auto"/>
          </w:tcPr>
          <w:p>
            <w:pPr>
              <w:spacing w:line="360" w:lineRule="auto"/>
              <w:rPr>
                <w:rFonts w:hint="eastAsia" w:ascii="宋体" w:hAnsi="宋体" w:eastAsia="宋体" w:cs="宋体"/>
                <w:kern w:val="2"/>
                <w:sz w:val="24"/>
                <w:szCs w:val="24"/>
                <w:highlight w:val="none"/>
              </w:rPr>
            </w:pPr>
          </w:p>
        </w:tc>
        <w:tc>
          <w:tcPr>
            <w:tcW w:w="795" w:type="dxa"/>
            <w:gridSpan w:val="4"/>
            <w:shd w:val="clear" w:color="auto" w:fill="auto"/>
          </w:tcPr>
          <w:p>
            <w:pPr>
              <w:spacing w:line="360" w:lineRule="auto"/>
              <w:rPr>
                <w:rFonts w:hint="eastAsia" w:ascii="宋体" w:hAnsi="宋体" w:eastAsia="宋体" w:cs="宋体"/>
                <w:kern w:val="2"/>
                <w:sz w:val="24"/>
                <w:szCs w:val="24"/>
                <w:highlight w:val="none"/>
              </w:rPr>
            </w:pPr>
          </w:p>
        </w:tc>
        <w:tc>
          <w:tcPr>
            <w:tcW w:w="992" w:type="dxa"/>
            <w:gridSpan w:val="5"/>
            <w:shd w:val="clear" w:color="auto" w:fill="auto"/>
          </w:tcPr>
          <w:p>
            <w:pPr>
              <w:spacing w:line="360" w:lineRule="auto"/>
              <w:rPr>
                <w:rFonts w:hint="eastAsia" w:ascii="宋体" w:hAnsi="宋体" w:eastAsia="宋体" w:cs="宋体"/>
                <w:kern w:val="2"/>
                <w:sz w:val="24"/>
                <w:szCs w:val="24"/>
                <w:highlight w:val="none"/>
              </w:rPr>
            </w:pPr>
          </w:p>
        </w:tc>
        <w:tc>
          <w:tcPr>
            <w:tcW w:w="1027" w:type="dxa"/>
            <w:gridSpan w:val="3"/>
            <w:shd w:val="clear" w:color="auto" w:fill="auto"/>
          </w:tcPr>
          <w:p>
            <w:pPr>
              <w:spacing w:line="360" w:lineRule="auto"/>
              <w:rPr>
                <w:rFonts w:hint="eastAsia" w:ascii="宋体" w:hAnsi="宋体" w:eastAsia="宋体" w:cs="宋体"/>
                <w:kern w:val="2"/>
                <w:sz w:val="24"/>
                <w:szCs w:val="24"/>
                <w:highlight w:val="none"/>
              </w:rPr>
            </w:pPr>
          </w:p>
        </w:tc>
        <w:tc>
          <w:tcPr>
            <w:tcW w:w="1099" w:type="dxa"/>
            <w:gridSpan w:val="5"/>
            <w:shd w:val="clear" w:color="auto" w:fill="auto"/>
          </w:tcPr>
          <w:p>
            <w:pPr>
              <w:spacing w:line="360" w:lineRule="auto"/>
              <w:rPr>
                <w:rFonts w:hint="eastAsia" w:ascii="宋体" w:hAnsi="宋体" w:eastAsia="宋体" w:cs="宋体"/>
                <w:kern w:val="2"/>
                <w:sz w:val="24"/>
                <w:szCs w:val="24"/>
                <w:highlight w:val="none"/>
              </w:rPr>
            </w:pPr>
          </w:p>
        </w:tc>
        <w:tc>
          <w:tcPr>
            <w:tcW w:w="1019"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1470" w:type="dxa"/>
            <w:gridSpan w:val="2"/>
            <w:shd w:val="clear" w:color="auto" w:fill="auto"/>
          </w:tcPr>
          <w:p>
            <w:pPr>
              <w:spacing w:line="360" w:lineRule="auto"/>
              <w:rPr>
                <w:rFonts w:hint="eastAsia" w:ascii="宋体" w:hAnsi="宋体" w:eastAsia="宋体" w:cs="宋体"/>
                <w:kern w:val="2"/>
                <w:sz w:val="24"/>
                <w:szCs w:val="24"/>
                <w:highlight w:val="none"/>
              </w:rPr>
            </w:pPr>
          </w:p>
        </w:tc>
        <w:tc>
          <w:tcPr>
            <w:tcW w:w="1313" w:type="dxa"/>
            <w:gridSpan w:val="2"/>
            <w:shd w:val="clear" w:color="auto" w:fill="auto"/>
          </w:tcPr>
          <w:p>
            <w:pPr>
              <w:spacing w:line="360" w:lineRule="auto"/>
              <w:rPr>
                <w:rFonts w:hint="eastAsia" w:ascii="宋体" w:hAnsi="宋体" w:eastAsia="宋体" w:cs="宋体"/>
                <w:kern w:val="2"/>
                <w:sz w:val="24"/>
                <w:szCs w:val="24"/>
                <w:highlight w:val="none"/>
              </w:rPr>
            </w:pPr>
          </w:p>
        </w:tc>
        <w:tc>
          <w:tcPr>
            <w:tcW w:w="1404" w:type="dxa"/>
            <w:gridSpan w:val="3"/>
            <w:shd w:val="clear" w:color="auto" w:fill="auto"/>
          </w:tcPr>
          <w:p>
            <w:pPr>
              <w:spacing w:line="360" w:lineRule="auto"/>
              <w:rPr>
                <w:rFonts w:hint="eastAsia" w:ascii="宋体" w:hAnsi="宋体" w:eastAsia="宋体" w:cs="宋体"/>
                <w:kern w:val="2"/>
                <w:sz w:val="24"/>
                <w:szCs w:val="24"/>
                <w:highlight w:val="none"/>
              </w:rPr>
            </w:pPr>
          </w:p>
        </w:tc>
        <w:tc>
          <w:tcPr>
            <w:tcW w:w="795" w:type="dxa"/>
            <w:gridSpan w:val="4"/>
            <w:shd w:val="clear" w:color="auto" w:fill="auto"/>
          </w:tcPr>
          <w:p>
            <w:pPr>
              <w:spacing w:line="360" w:lineRule="auto"/>
              <w:rPr>
                <w:rFonts w:hint="eastAsia" w:ascii="宋体" w:hAnsi="宋体" w:eastAsia="宋体" w:cs="宋体"/>
                <w:kern w:val="2"/>
                <w:sz w:val="24"/>
                <w:szCs w:val="24"/>
                <w:highlight w:val="none"/>
              </w:rPr>
            </w:pPr>
          </w:p>
        </w:tc>
        <w:tc>
          <w:tcPr>
            <w:tcW w:w="992" w:type="dxa"/>
            <w:gridSpan w:val="5"/>
            <w:shd w:val="clear" w:color="auto" w:fill="auto"/>
          </w:tcPr>
          <w:p>
            <w:pPr>
              <w:spacing w:line="360" w:lineRule="auto"/>
              <w:rPr>
                <w:rFonts w:hint="eastAsia" w:ascii="宋体" w:hAnsi="宋体" w:eastAsia="宋体" w:cs="宋体"/>
                <w:kern w:val="2"/>
                <w:sz w:val="24"/>
                <w:szCs w:val="24"/>
                <w:highlight w:val="none"/>
              </w:rPr>
            </w:pPr>
          </w:p>
        </w:tc>
        <w:tc>
          <w:tcPr>
            <w:tcW w:w="1027" w:type="dxa"/>
            <w:gridSpan w:val="3"/>
            <w:shd w:val="clear" w:color="auto" w:fill="auto"/>
          </w:tcPr>
          <w:p>
            <w:pPr>
              <w:spacing w:line="360" w:lineRule="auto"/>
              <w:rPr>
                <w:rFonts w:hint="eastAsia" w:ascii="宋体" w:hAnsi="宋体" w:eastAsia="宋体" w:cs="宋体"/>
                <w:kern w:val="2"/>
                <w:sz w:val="24"/>
                <w:szCs w:val="24"/>
                <w:highlight w:val="none"/>
              </w:rPr>
            </w:pPr>
          </w:p>
        </w:tc>
        <w:tc>
          <w:tcPr>
            <w:tcW w:w="1099" w:type="dxa"/>
            <w:gridSpan w:val="5"/>
            <w:shd w:val="clear" w:color="auto" w:fill="auto"/>
          </w:tcPr>
          <w:p>
            <w:pPr>
              <w:spacing w:line="360" w:lineRule="auto"/>
              <w:rPr>
                <w:rFonts w:hint="eastAsia" w:ascii="宋体" w:hAnsi="宋体" w:eastAsia="宋体" w:cs="宋体"/>
                <w:kern w:val="2"/>
                <w:sz w:val="24"/>
                <w:szCs w:val="24"/>
                <w:highlight w:val="none"/>
              </w:rPr>
            </w:pPr>
          </w:p>
        </w:tc>
        <w:tc>
          <w:tcPr>
            <w:tcW w:w="1019"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1470" w:type="dxa"/>
            <w:gridSpan w:val="2"/>
            <w:shd w:val="clear" w:color="auto" w:fill="auto"/>
          </w:tcPr>
          <w:p>
            <w:pPr>
              <w:spacing w:line="360" w:lineRule="auto"/>
              <w:rPr>
                <w:rFonts w:hint="eastAsia" w:ascii="宋体" w:hAnsi="宋体" w:eastAsia="宋体" w:cs="宋体"/>
                <w:kern w:val="2"/>
                <w:sz w:val="24"/>
                <w:szCs w:val="24"/>
                <w:highlight w:val="none"/>
              </w:rPr>
            </w:pPr>
          </w:p>
        </w:tc>
        <w:tc>
          <w:tcPr>
            <w:tcW w:w="1313" w:type="dxa"/>
            <w:gridSpan w:val="2"/>
            <w:shd w:val="clear" w:color="auto" w:fill="auto"/>
          </w:tcPr>
          <w:p>
            <w:pPr>
              <w:spacing w:line="360" w:lineRule="auto"/>
              <w:rPr>
                <w:rFonts w:hint="eastAsia" w:ascii="宋体" w:hAnsi="宋体" w:eastAsia="宋体" w:cs="宋体"/>
                <w:kern w:val="2"/>
                <w:sz w:val="24"/>
                <w:szCs w:val="24"/>
                <w:highlight w:val="none"/>
              </w:rPr>
            </w:pPr>
          </w:p>
        </w:tc>
        <w:tc>
          <w:tcPr>
            <w:tcW w:w="1404" w:type="dxa"/>
            <w:gridSpan w:val="3"/>
            <w:shd w:val="clear" w:color="auto" w:fill="auto"/>
          </w:tcPr>
          <w:p>
            <w:pPr>
              <w:spacing w:line="360" w:lineRule="auto"/>
              <w:rPr>
                <w:rFonts w:hint="eastAsia" w:ascii="宋体" w:hAnsi="宋体" w:eastAsia="宋体" w:cs="宋体"/>
                <w:kern w:val="2"/>
                <w:sz w:val="24"/>
                <w:szCs w:val="24"/>
                <w:highlight w:val="none"/>
              </w:rPr>
            </w:pPr>
          </w:p>
        </w:tc>
        <w:tc>
          <w:tcPr>
            <w:tcW w:w="795" w:type="dxa"/>
            <w:gridSpan w:val="4"/>
            <w:shd w:val="clear" w:color="auto" w:fill="auto"/>
          </w:tcPr>
          <w:p>
            <w:pPr>
              <w:spacing w:line="360" w:lineRule="auto"/>
              <w:rPr>
                <w:rFonts w:hint="eastAsia" w:ascii="宋体" w:hAnsi="宋体" w:eastAsia="宋体" w:cs="宋体"/>
                <w:kern w:val="2"/>
                <w:sz w:val="24"/>
                <w:szCs w:val="24"/>
                <w:highlight w:val="none"/>
              </w:rPr>
            </w:pPr>
          </w:p>
        </w:tc>
        <w:tc>
          <w:tcPr>
            <w:tcW w:w="992" w:type="dxa"/>
            <w:gridSpan w:val="5"/>
            <w:shd w:val="clear" w:color="auto" w:fill="auto"/>
          </w:tcPr>
          <w:p>
            <w:pPr>
              <w:spacing w:line="360" w:lineRule="auto"/>
              <w:rPr>
                <w:rFonts w:hint="eastAsia" w:ascii="宋体" w:hAnsi="宋体" w:eastAsia="宋体" w:cs="宋体"/>
                <w:kern w:val="2"/>
                <w:sz w:val="24"/>
                <w:szCs w:val="24"/>
                <w:highlight w:val="none"/>
              </w:rPr>
            </w:pPr>
          </w:p>
        </w:tc>
        <w:tc>
          <w:tcPr>
            <w:tcW w:w="1027" w:type="dxa"/>
            <w:gridSpan w:val="3"/>
            <w:shd w:val="clear" w:color="auto" w:fill="auto"/>
          </w:tcPr>
          <w:p>
            <w:pPr>
              <w:spacing w:line="360" w:lineRule="auto"/>
              <w:rPr>
                <w:rFonts w:hint="eastAsia" w:ascii="宋体" w:hAnsi="宋体" w:eastAsia="宋体" w:cs="宋体"/>
                <w:kern w:val="2"/>
                <w:sz w:val="24"/>
                <w:szCs w:val="24"/>
                <w:highlight w:val="none"/>
              </w:rPr>
            </w:pPr>
          </w:p>
        </w:tc>
        <w:tc>
          <w:tcPr>
            <w:tcW w:w="1099" w:type="dxa"/>
            <w:gridSpan w:val="5"/>
            <w:shd w:val="clear" w:color="auto" w:fill="auto"/>
          </w:tcPr>
          <w:p>
            <w:pPr>
              <w:spacing w:line="360" w:lineRule="auto"/>
              <w:rPr>
                <w:rFonts w:hint="eastAsia" w:ascii="宋体" w:hAnsi="宋体" w:eastAsia="宋体" w:cs="宋体"/>
                <w:kern w:val="2"/>
                <w:sz w:val="24"/>
                <w:szCs w:val="24"/>
                <w:highlight w:val="none"/>
              </w:rPr>
            </w:pPr>
          </w:p>
        </w:tc>
        <w:tc>
          <w:tcPr>
            <w:tcW w:w="1019"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1470" w:type="dxa"/>
            <w:gridSpan w:val="2"/>
            <w:shd w:val="clear" w:color="auto" w:fill="auto"/>
          </w:tcPr>
          <w:p>
            <w:pPr>
              <w:spacing w:line="360" w:lineRule="auto"/>
              <w:rPr>
                <w:rFonts w:hint="eastAsia" w:ascii="宋体" w:hAnsi="宋体" w:eastAsia="宋体" w:cs="宋体"/>
                <w:kern w:val="2"/>
                <w:sz w:val="24"/>
                <w:szCs w:val="24"/>
                <w:highlight w:val="none"/>
              </w:rPr>
            </w:pPr>
          </w:p>
        </w:tc>
        <w:tc>
          <w:tcPr>
            <w:tcW w:w="1313" w:type="dxa"/>
            <w:gridSpan w:val="2"/>
            <w:shd w:val="clear" w:color="auto" w:fill="auto"/>
          </w:tcPr>
          <w:p>
            <w:pPr>
              <w:spacing w:line="360" w:lineRule="auto"/>
              <w:rPr>
                <w:rFonts w:hint="eastAsia" w:ascii="宋体" w:hAnsi="宋体" w:eastAsia="宋体" w:cs="宋体"/>
                <w:kern w:val="2"/>
                <w:sz w:val="24"/>
                <w:szCs w:val="24"/>
                <w:highlight w:val="none"/>
              </w:rPr>
            </w:pPr>
          </w:p>
        </w:tc>
        <w:tc>
          <w:tcPr>
            <w:tcW w:w="1404" w:type="dxa"/>
            <w:gridSpan w:val="3"/>
            <w:shd w:val="clear" w:color="auto" w:fill="auto"/>
          </w:tcPr>
          <w:p>
            <w:pPr>
              <w:spacing w:line="360" w:lineRule="auto"/>
              <w:rPr>
                <w:rFonts w:hint="eastAsia" w:ascii="宋体" w:hAnsi="宋体" w:eastAsia="宋体" w:cs="宋体"/>
                <w:kern w:val="2"/>
                <w:sz w:val="24"/>
                <w:szCs w:val="24"/>
                <w:highlight w:val="none"/>
              </w:rPr>
            </w:pPr>
          </w:p>
        </w:tc>
        <w:tc>
          <w:tcPr>
            <w:tcW w:w="795" w:type="dxa"/>
            <w:gridSpan w:val="4"/>
            <w:shd w:val="clear" w:color="auto" w:fill="auto"/>
          </w:tcPr>
          <w:p>
            <w:pPr>
              <w:spacing w:line="360" w:lineRule="auto"/>
              <w:rPr>
                <w:rFonts w:hint="eastAsia" w:ascii="宋体" w:hAnsi="宋体" w:eastAsia="宋体" w:cs="宋体"/>
                <w:kern w:val="2"/>
                <w:sz w:val="24"/>
                <w:szCs w:val="24"/>
                <w:highlight w:val="none"/>
              </w:rPr>
            </w:pPr>
          </w:p>
        </w:tc>
        <w:tc>
          <w:tcPr>
            <w:tcW w:w="992" w:type="dxa"/>
            <w:gridSpan w:val="5"/>
            <w:shd w:val="clear" w:color="auto" w:fill="auto"/>
          </w:tcPr>
          <w:p>
            <w:pPr>
              <w:spacing w:line="360" w:lineRule="auto"/>
              <w:rPr>
                <w:rFonts w:hint="eastAsia" w:ascii="宋体" w:hAnsi="宋体" w:eastAsia="宋体" w:cs="宋体"/>
                <w:kern w:val="2"/>
                <w:sz w:val="24"/>
                <w:szCs w:val="24"/>
                <w:highlight w:val="none"/>
              </w:rPr>
            </w:pPr>
          </w:p>
        </w:tc>
        <w:tc>
          <w:tcPr>
            <w:tcW w:w="1027" w:type="dxa"/>
            <w:gridSpan w:val="3"/>
            <w:shd w:val="clear" w:color="auto" w:fill="auto"/>
          </w:tcPr>
          <w:p>
            <w:pPr>
              <w:spacing w:line="360" w:lineRule="auto"/>
              <w:rPr>
                <w:rFonts w:hint="eastAsia" w:ascii="宋体" w:hAnsi="宋体" w:eastAsia="宋体" w:cs="宋体"/>
                <w:kern w:val="2"/>
                <w:sz w:val="24"/>
                <w:szCs w:val="24"/>
                <w:highlight w:val="none"/>
              </w:rPr>
            </w:pPr>
          </w:p>
        </w:tc>
        <w:tc>
          <w:tcPr>
            <w:tcW w:w="1099" w:type="dxa"/>
            <w:gridSpan w:val="5"/>
            <w:shd w:val="clear" w:color="auto" w:fill="auto"/>
          </w:tcPr>
          <w:p>
            <w:pPr>
              <w:spacing w:line="360" w:lineRule="auto"/>
              <w:rPr>
                <w:rFonts w:hint="eastAsia" w:ascii="宋体" w:hAnsi="宋体" w:eastAsia="宋体" w:cs="宋体"/>
                <w:kern w:val="2"/>
                <w:sz w:val="24"/>
                <w:szCs w:val="24"/>
                <w:highlight w:val="none"/>
              </w:rPr>
            </w:pPr>
          </w:p>
        </w:tc>
        <w:tc>
          <w:tcPr>
            <w:tcW w:w="1019"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4982" w:type="dxa"/>
            <w:gridSpan w:val="11"/>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其他材料费</w:t>
            </w:r>
          </w:p>
        </w:tc>
        <w:tc>
          <w:tcPr>
            <w:tcW w:w="992" w:type="dxa"/>
            <w:gridSpan w:val="5"/>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027" w:type="dxa"/>
            <w:gridSpan w:val="3"/>
            <w:shd w:val="clear" w:color="auto" w:fill="auto"/>
          </w:tcPr>
          <w:p>
            <w:pPr>
              <w:spacing w:line="360" w:lineRule="auto"/>
              <w:rPr>
                <w:rFonts w:hint="eastAsia" w:ascii="宋体" w:hAnsi="宋体" w:eastAsia="宋体" w:cs="宋体"/>
                <w:kern w:val="2"/>
                <w:sz w:val="24"/>
                <w:szCs w:val="24"/>
                <w:highlight w:val="none"/>
              </w:rPr>
            </w:pPr>
          </w:p>
        </w:tc>
        <w:tc>
          <w:tcPr>
            <w:tcW w:w="1099" w:type="dxa"/>
            <w:gridSpan w:val="5"/>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019" w:type="dxa"/>
            <w:gridSpan w:val="2"/>
            <w:shd w:val="clear" w:color="auto" w:fill="auto"/>
          </w:tcPr>
          <w:p>
            <w:pPr>
              <w:spacing w:line="360" w:lineRule="auto"/>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shd w:val="clear" w:color="auto" w:fill="auto"/>
          </w:tcPr>
          <w:p>
            <w:pPr>
              <w:spacing w:line="360" w:lineRule="auto"/>
              <w:rPr>
                <w:rFonts w:hint="eastAsia" w:ascii="宋体" w:hAnsi="宋体" w:eastAsia="宋体" w:cs="宋体"/>
                <w:kern w:val="2"/>
                <w:sz w:val="24"/>
                <w:szCs w:val="24"/>
                <w:highlight w:val="none"/>
              </w:rPr>
            </w:pPr>
          </w:p>
        </w:tc>
        <w:tc>
          <w:tcPr>
            <w:tcW w:w="4982" w:type="dxa"/>
            <w:gridSpan w:val="11"/>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材料费小计</w:t>
            </w:r>
          </w:p>
        </w:tc>
        <w:tc>
          <w:tcPr>
            <w:tcW w:w="992" w:type="dxa"/>
            <w:gridSpan w:val="5"/>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027" w:type="dxa"/>
            <w:gridSpan w:val="3"/>
            <w:shd w:val="clear" w:color="auto" w:fill="auto"/>
          </w:tcPr>
          <w:p>
            <w:pPr>
              <w:spacing w:line="360" w:lineRule="auto"/>
              <w:rPr>
                <w:rFonts w:hint="eastAsia" w:ascii="宋体" w:hAnsi="宋体" w:eastAsia="宋体" w:cs="宋体"/>
                <w:kern w:val="2"/>
                <w:sz w:val="24"/>
                <w:szCs w:val="24"/>
                <w:highlight w:val="none"/>
              </w:rPr>
            </w:pPr>
          </w:p>
        </w:tc>
        <w:tc>
          <w:tcPr>
            <w:tcW w:w="1099" w:type="dxa"/>
            <w:gridSpan w:val="5"/>
            <w:shd w:val="clear" w:color="auto" w:fill="auto"/>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019" w:type="dxa"/>
            <w:gridSpan w:val="2"/>
            <w:shd w:val="clear" w:color="auto" w:fill="auto"/>
          </w:tcPr>
          <w:p>
            <w:pPr>
              <w:spacing w:line="360" w:lineRule="auto"/>
              <w:rPr>
                <w:rFonts w:hint="eastAsia" w:ascii="宋体" w:hAnsi="宋体" w:eastAsia="宋体" w:cs="宋体"/>
                <w:kern w:val="2"/>
                <w:sz w:val="24"/>
                <w:szCs w:val="24"/>
                <w:highlight w:val="none"/>
              </w:rPr>
            </w:pPr>
          </w:p>
        </w:tc>
      </w:tr>
    </w:tbl>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注：1、如不使用省级或行业建设主管部门发布的计价依据，可不填写定额项目、标号等；</w:t>
      </w:r>
    </w:p>
    <w:p>
      <w:pPr>
        <w:numPr>
          <w:ilvl w:val="0"/>
          <w:numId w:val="6"/>
        </w:num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谈判文件提供了暂估单价的材料，，按暂估的单价填入表内“暂估单价”栏及“暂估合价”栏</w:t>
      </w:r>
      <w:r>
        <w:rPr>
          <w:rFonts w:hint="eastAsia" w:ascii="宋体" w:hAnsi="宋体" w:eastAsia="宋体" w:cs="宋体"/>
          <w:kern w:val="2"/>
          <w:sz w:val="24"/>
          <w:szCs w:val="24"/>
          <w:highlight w:val="none"/>
        </w:rPr>
        <w:br w:type="page"/>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（十六）主要材料价格表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工程名称：第页共页</w:t>
      </w:r>
    </w:p>
    <w:tbl>
      <w:tblPr>
        <w:tblStyle w:val="20"/>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15"/>
        <w:gridCol w:w="1356"/>
        <w:gridCol w:w="984"/>
        <w:gridCol w:w="853"/>
        <w:gridCol w:w="1127"/>
        <w:gridCol w:w="14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15"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材料编号</w:t>
            </w:r>
          </w:p>
        </w:tc>
        <w:tc>
          <w:tcPr>
            <w:tcW w:w="1356"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材料名称</w:t>
            </w:r>
          </w:p>
        </w:tc>
        <w:tc>
          <w:tcPr>
            <w:tcW w:w="984"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规格型号等特殊要求</w:t>
            </w:r>
          </w:p>
        </w:tc>
        <w:tc>
          <w:tcPr>
            <w:tcW w:w="85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127"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440"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单价（元）</w:t>
            </w:r>
          </w:p>
        </w:tc>
        <w:tc>
          <w:tcPr>
            <w:tcW w:w="1740"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773" w:type="dxa"/>
            <w:vAlign w:val="center"/>
          </w:tcPr>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tc>
        <w:tc>
          <w:tcPr>
            <w:tcW w:w="1315" w:type="dxa"/>
            <w:vAlign w:val="center"/>
          </w:tcPr>
          <w:p>
            <w:pPr>
              <w:spacing w:line="360" w:lineRule="auto"/>
              <w:jc w:val="both"/>
              <w:rPr>
                <w:rFonts w:hint="eastAsia" w:ascii="宋体" w:hAnsi="宋体" w:eastAsia="宋体" w:cs="宋体"/>
                <w:sz w:val="24"/>
                <w:szCs w:val="24"/>
                <w:highlight w:val="none"/>
              </w:rPr>
            </w:pPr>
          </w:p>
        </w:tc>
        <w:tc>
          <w:tcPr>
            <w:tcW w:w="1356" w:type="dxa"/>
            <w:vAlign w:val="center"/>
          </w:tcPr>
          <w:p>
            <w:pPr>
              <w:spacing w:line="360" w:lineRule="auto"/>
              <w:jc w:val="both"/>
              <w:rPr>
                <w:rFonts w:hint="eastAsia" w:ascii="宋体" w:hAnsi="宋体" w:eastAsia="宋体" w:cs="宋体"/>
                <w:sz w:val="24"/>
                <w:szCs w:val="24"/>
                <w:highlight w:val="none"/>
              </w:rPr>
            </w:pPr>
          </w:p>
        </w:tc>
        <w:tc>
          <w:tcPr>
            <w:tcW w:w="984" w:type="dxa"/>
            <w:vAlign w:val="center"/>
          </w:tcPr>
          <w:p>
            <w:pPr>
              <w:spacing w:line="360" w:lineRule="auto"/>
              <w:jc w:val="both"/>
              <w:rPr>
                <w:rFonts w:hint="eastAsia" w:ascii="宋体" w:hAnsi="宋体" w:eastAsia="宋体" w:cs="宋体"/>
                <w:sz w:val="24"/>
                <w:szCs w:val="24"/>
                <w:highlight w:val="none"/>
              </w:rPr>
            </w:pPr>
          </w:p>
        </w:tc>
        <w:tc>
          <w:tcPr>
            <w:tcW w:w="853" w:type="dxa"/>
            <w:vAlign w:val="center"/>
          </w:tcPr>
          <w:p>
            <w:pPr>
              <w:spacing w:line="360" w:lineRule="auto"/>
              <w:jc w:val="both"/>
              <w:rPr>
                <w:rFonts w:hint="eastAsia" w:ascii="宋体" w:hAnsi="宋体" w:eastAsia="宋体" w:cs="宋体"/>
                <w:sz w:val="24"/>
                <w:szCs w:val="24"/>
                <w:highlight w:val="none"/>
              </w:rPr>
            </w:pPr>
          </w:p>
        </w:tc>
        <w:tc>
          <w:tcPr>
            <w:tcW w:w="1127" w:type="dxa"/>
            <w:vAlign w:val="center"/>
          </w:tcPr>
          <w:p>
            <w:pPr>
              <w:spacing w:line="360" w:lineRule="auto"/>
              <w:jc w:val="both"/>
              <w:rPr>
                <w:rFonts w:hint="eastAsia" w:ascii="宋体" w:hAnsi="宋体" w:eastAsia="宋体" w:cs="宋体"/>
                <w:sz w:val="24"/>
                <w:szCs w:val="24"/>
                <w:highlight w:val="none"/>
              </w:rPr>
            </w:pPr>
          </w:p>
        </w:tc>
        <w:tc>
          <w:tcPr>
            <w:tcW w:w="1440" w:type="dxa"/>
            <w:vAlign w:val="center"/>
          </w:tcPr>
          <w:p>
            <w:pPr>
              <w:spacing w:line="360" w:lineRule="auto"/>
              <w:jc w:val="both"/>
              <w:rPr>
                <w:rFonts w:hint="eastAsia" w:ascii="宋体" w:hAnsi="宋体" w:eastAsia="宋体" w:cs="宋体"/>
                <w:sz w:val="24"/>
                <w:szCs w:val="24"/>
                <w:highlight w:val="none"/>
              </w:rPr>
            </w:pPr>
          </w:p>
        </w:tc>
        <w:tc>
          <w:tcPr>
            <w:tcW w:w="1740" w:type="dxa"/>
            <w:vAlign w:val="center"/>
          </w:tcPr>
          <w:p>
            <w:pPr>
              <w:spacing w:line="360" w:lineRule="auto"/>
              <w:jc w:val="both"/>
              <w:rPr>
                <w:rFonts w:hint="eastAsia" w:ascii="宋体" w:hAnsi="宋体" w:eastAsia="宋体" w:cs="宋体"/>
                <w:sz w:val="24"/>
                <w:szCs w:val="24"/>
                <w:highlight w:val="none"/>
              </w:rPr>
            </w:pPr>
          </w:p>
        </w:tc>
      </w:tr>
    </w:tbl>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注：本表中所列材料设备应仅限于承包人自行采购范围内的材料设备。本表格可以按照同样的格式扩展。</w:t>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（十七）</w:t>
      </w:r>
      <w:r>
        <w:rPr>
          <w:rFonts w:hint="eastAsia" w:ascii="宋体" w:hAnsi="宋体" w:eastAsia="宋体" w:cs="宋体"/>
          <w:bCs/>
          <w:sz w:val="24"/>
          <w:szCs w:val="24"/>
          <w:highlight w:val="none"/>
          <w:lang w:eastAsia="zh-CN"/>
        </w:rPr>
        <w:t>谈判</w:t>
      </w:r>
      <w:r>
        <w:rPr>
          <w:rFonts w:hint="eastAsia" w:ascii="宋体" w:hAnsi="宋体" w:eastAsia="宋体" w:cs="宋体"/>
          <w:bCs/>
          <w:sz w:val="24"/>
          <w:szCs w:val="24"/>
          <w:highlight w:val="none"/>
        </w:rPr>
        <w:t>报价需要的其他资料</w:t>
      </w:r>
    </w:p>
    <w:p>
      <w:pPr>
        <w:autoSpaceDE w:val="0"/>
        <w:autoSpaceDN w:val="0"/>
        <w:spacing w:line="360" w:lineRule="auto"/>
        <w:ind w:firstLine="5421" w:firstLineChars="2250"/>
        <w:rPr>
          <w:rFonts w:hint="eastAsia" w:ascii="宋体" w:hAnsi="宋体" w:eastAsia="宋体" w:cs="宋体"/>
          <w:b/>
          <w:bCs/>
          <w:sz w:val="24"/>
          <w:szCs w:val="24"/>
          <w:highlight w:val="none"/>
          <w:lang w:val="zh-CN"/>
        </w:rPr>
      </w:pPr>
    </w:p>
    <w:p>
      <w:pPr>
        <w:adjustRightInd/>
        <w:snapToGrid/>
        <w:spacing w:line="360" w:lineRule="auto"/>
        <w:outlineLvl w:val="1"/>
        <w:rPr>
          <w:rFonts w:hint="eastAsia" w:ascii="宋体" w:hAnsi="宋体" w:eastAsia="宋体" w:cs="宋体"/>
          <w:b/>
          <w:bCs/>
          <w:sz w:val="24"/>
          <w:szCs w:val="24"/>
          <w:highlight w:val="none"/>
        </w:rPr>
      </w:pPr>
      <w:r>
        <w:rPr>
          <w:rFonts w:hint="eastAsia" w:ascii="宋体" w:hAnsi="宋体" w:eastAsia="宋体" w:cs="宋体"/>
          <w:kern w:val="2"/>
          <w:sz w:val="24"/>
          <w:szCs w:val="24"/>
          <w:highlight w:val="none"/>
        </w:rPr>
        <w:br w:type="page"/>
      </w:r>
      <w:bookmarkStart w:id="518" w:name="_Toc9053"/>
      <w:bookmarkStart w:id="519" w:name="_Toc16099"/>
      <w:r>
        <w:rPr>
          <w:rFonts w:hint="eastAsia" w:ascii="宋体" w:hAnsi="宋体" w:eastAsia="宋体" w:cs="宋体"/>
          <w:b/>
          <w:bCs/>
          <w:sz w:val="24"/>
          <w:szCs w:val="24"/>
          <w:highlight w:val="none"/>
          <w:lang w:eastAsia="zh-CN"/>
        </w:rPr>
        <w:t>附件</w:t>
      </w: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施工组织设计</w:t>
      </w:r>
      <w:bookmarkEnd w:id="518"/>
      <w:bookmarkEnd w:id="519"/>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bookmarkStart w:id="520" w:name="_Toc414469101"/>
      <w:bookmarkStart w:id="521" w:name="_Toc420929924"/>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eastAsia="zh-CN"/>
        </w:rPr>
        <w:t>谈判</w:t>
      </w:r>
      <w:r>
        <w:rPr>
          <w:rFonts w:hint="eastAsia" w:ascii="宋体" w:hAnsi="宋体" w:eastAsia="宋体" w:cs="宋体"/>
          <w:kern w:val="2"/>
          <w:sz w:val="24"/>
          <w:szCs w:val="24"/>
          <w:highlight w:val="none"/>
        </w:rPr>
        <w:t>响应人应根据</w:t>
      </w:r>
      <w:r>
        <w:rPr>
          <w:rFonts w:hint="eastAsia" w:ascii="宋体" w:hAnsi="宋体" w:eastAsia="宋体" w:cs="宋体"/>
          <w:kern w:val="2"/>
          <w:sz w:val="24"/>
          <w:szCs w:val="24"/>
          <w:highlight w:val="none"/>
          <w:lang w:eastAsia="zh-CN"/>
        </w:rPr>
        <w:t>谈判</w:t>
      </w:r>
      <w:r>
        <w:rPr>
          <w:rFonts w:hint="eastAsia" w:ascii="宋体" w:hAnsi="宋体" w:eastAsia="宋体" w:cs="宋体"/>
          <w:kern w:val="2"/>
          <w:sz w:val="24"/>
          <w:szCs w:val="24"/>
          <w:highlight w:val="none"/>
        </w:rPr>
        <w:t>文件，采用</w:t>
      </w:r>
      <w:bookmarkEnd w:id="520"/>
      <w:bookmarkEnd w:id="521"/>
      <w:r>
        <w:rPr>
          <w:rFonts w:hint="eastAsia" w:ascii="宋体" w:hAnsi="宋体" w:eastAsia="宋体" w:cs="宋体"/>
          <w:kern w:val="2"/>
          <w:sz w:val="24"/>
          <w:szCs w:val="24"/>
          <w:highlight w:val="none"/>
        </w:rPr>
        <w:t>文字并结合图表形式，参考以下要点编制本工程的施工组织设计：</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（1）施工方案及技术措施；</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（2）质量保证措施和创优计划；</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（3）施工总进度计划及保证措施（包括以横道图或标明关键线路的网络进度计划、保障进度计划需要的主要施工机械设备、劳动力需求计划及保证措施、材料设备进场计划及其他保证措施等）；</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（4）施工安全措施计划；</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（5）文明施工措施计划；</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（6）施工场地治安保卫管理计划；</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（7）施工环保措施计划；</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（8）冬季和雨季施工方案；</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（9）施工现场总平面布置（</w:t>
      </w:r>
      <w:r>
        <w:rPr>
          <w:rFonts w:hint="eastAsia" w:ascii="宋体" w:hAnsi="宋体" w:eastAsia="宋体" w:cs="宋体"/>
          <w:kern w:val="2"/>
          <w:sz w:val="24"/>
          <w:szCs w:val="24"/>
          <w:highlight w:val="none"/>
          <w:lang w:eastAsia="zh-CN"/>
        </w:rPr>
        <w:t>谈判</w:t>
      </w:r>
      <w:r>
        <w:rPr>
          <w:rFonts w:hint="eastAsia" w:ascii="宋体" w:hAnsi="宋体" w:eastAsia="宋体" w:cs="宋体"/>
          <w:kern w:val="2"/>
          <w:sz w:val="24"/>
          <w:szCs w:val="24"/>
          <w:highlight w:val="none"/>
        </w:rPr>
        <w:t>响应人应递交一份施工总平面图，绘出现场临时设施布置图表并附文字说明，说明临时设施、加工车间、现场办公、设备及仓储、供电、供水、卫生、生活、道路、消防等设施的情况和布置）；</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（10）项目组织管理机构（若施工组织设计采用“暗标”方式评审，则在任何情况下，“项目管理机构”不得涉及人员姓名、简历、公司名称等暴露</w:t>
      </w:r>
      <w:r>
        <w:rPr>
          <w:rFonts w:hint="eastAsia" w:ascii="宋体" w:hAnsi="宋体" w:eastAsia="宋体" w:cs="宋体"/>
          <w:kern w:val="2"/>
          <w:sz w:val="24"/>
          <w:szCs w:val="24"/>
          <w:highlight w:val="none"/>
          <w:lang w:eastAsia="zh-CN"/>
        </w:rPr>
        <w:t>谈判</w:t>
      </w:r>
      <w:r>
        <w:rPr>
          <w:rFonts w:hint="eastAsia" w:ascii="宋体" w:hAnsi="宋体" w:eastAsia="宋体" w:cs="宋体"/>
          <w:kern w:val="2"/>
          <w:sz w:val="24"/>
          <w:szCs w:val="24"/>
          <w:highlight w:val="none"/>
        </w:rPr>
        <w:t>响应人身份的内容）；</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（11）承包人自行施工范围内拟分包的非主体和非关键性工作、材料计划和劳动力计划；</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（12）成品保护和工程保修工作的管理措施和承诺；</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（13）任何可能的紧急情况的处理措施、预案以及抵抗风险（包括工程施工过程中可能遇到的各种风险）的措施；</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（14）对总包管理的认识以及对专业分包工程的配合、协调、管理、服务方案；</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（15）与发包人、监理及设计人的配合；</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（16）谈判文件规定的其他内容。</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2．危险性较大的分部项工程安全专项施工方案</w:t>
      </w:r>
    </w:p>
    <w:p>
      <w:pPr>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br w:type="page"/>
      </w:r>
      <w:r>
        <w:rPr>
          <w:rFonts w:hint="eastAsia" w:ascii="宋体" w:hAnsi="宋体" w:eastAsia="宋体" w:cs="宋体"/>
          <w:kern w:val="2"/>
          <w:sz w:val="24"/>
          <w:szCs w:val="24"/>
          <w:highlight w:val="none"/>
        </w:rPr>
        <w:t>附表一拟投入本工程的主要施工设备表</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附表二拟配备本工程的试验和检测仪器设备表</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附表三劳动力计划表</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附表四计划开、竣工日期和施工进度网络图</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附表五施工总平面图</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附表六临时用地表</w:t>
      </w:r>
    </w:p>
    <w:p>
      <w:pPr>
        <w:keepNext/>
        <w:keepLines/>
        <w:spacing w:before="260" w:after="260"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bookmarkStart w:id="522" w:name="_Toc17541"/>
      <w:bookmarkStart w:id="523" w:name="_Toc27936"/>
      <w:bookmarkStart w:id="524" w:name="_Toc19668"/>
      <w:r>
        <w:rPr>
          <w:rFonts w:hint="eastAsia" w:ascii="宋体" w:hAnsi="宋体" w:eastAsia="宋体" w:cs="宋体"/>
          <w:b/>
          <w:bCs/>
          <w:sz w:val="24"/>
          <w:szCs w:val="24"/>
          <w:highlight w:val="none"/>
        </w:rPr>
        <w:t>附表一：拟投入本工程的主要施工设备表</w:t>
      </w:r>
      <w:bookmarkEnd w:id="522"/>
      <w:bookmarkEnd w:id="523"/>
      <w:bookmarkEnd w:id="524"/>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05"/>
        <w:gridCol w:w="761"/>
        <w:gridCol w:w="1157"/>
        <w:gridCol w:w="803"/>
        <w:gridCol w:w="803"/>
        <w:gridCol w:w="1331"/>
        <w:gridCol w:w="988"/>
        <w:gridCol w:w="98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9"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205"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设备名</w:t>
            </w:r>
            <w:bookmarkStart w:id="525" w:name="_Toc420929925"/>
            <w:bookmarkStart w:id="526" w:name="_Toc414469102"/>
            <w:r>
              <w:rPr>
                <w:rFonts w:hint="eastAsia" w:ascii="宋体" w:hAnsi="宋体" w:eastAsia="宋体" w:cs="宋体"/>
                <w:kern w:val="2"/>
                <w:sz w:val="24"/>
                <w:szCs w:val="24"/>
                <w:highlight w:val="none"/>
              </w:rPr>
              <w:t>称</w:t>
            </w:r>
          </w:p>
        </w:tc>
        <w:tc>
          <w:tcPr>
            <w:tcW w:w="761"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1157"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803"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803"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制</w:t>
            </w:r>
            <w:bookmarkEnd w:id="525"/>
            <w:bookmarkEnd w:id="526"/>
            <w:r>
              <w:rPr>
                <w:rFonts w:hint="eastAsia" w:ascii="宋体" w:hAnsi="宋体" w:eastAsia="宋体" w:cs="宋体"/>
                <w:kern w:val="2"/>
                <w:sz w:val="24"/>
                <w:szCs w:val="24"/>
                <w:highlight w:val="none"/>
              </w:rPr>
              <w:t>造</w:t>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1331"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额定功率</w:t>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（KW）</w:t>
            </w:r>
          </w:p>
        </w:tc>
        <w:tc>
          <w:tcPr>
            <w:tcW w:w="988"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生产</w:t>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能力</w:t>
            </w:r>
          </w:p>
        </w:tc>
        <w:tc>
          <w:tcPr>
            <w:tcW w:w="988"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用于施</w:t>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工部位</w:t>
            </w:r>
          </w:p>
        </w:tc>
        <w:tc>
          <w:tcPr>
            <w:tcW w:w="863"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8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6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bl>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keepNext/>
        <w:keepLines/>
        <w:spacing w:before="260" w:after="260"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bookmarkStart w:id="527" w:name="_Toc15200"/>
      <w:bookmarkStart w:id="528" w:name="_Toc19881"/>
      <w:bookmarkStart w:id="529" w:name="_Toc10553"/>
      <w:r>
        <w:rPr>
          <w:rFonts w:hint="eastAsia" w:ascii="宋体" w:hAnsi="宋体" w:eastAsia="宋体" w:cs="宋体"/>
          <w:b/>
          <w:bCs/>
          <w:sz w:val="24"/>
          <w:szCs w:val="24"/>
          <w:highlight w:val="none"/>
        </w:rPr>
        <w:t>附表二：拟配备本工程的试验和检测仪器设备表</w:t>
      </w:r>
      <w:bookmarkEnd w:id="527"/>
      <w:bookmarkEnd w:id="528"/>
      <w:bookmarkEnd w:id="529"/>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05"/>
        <w:gridCol w:w="761"/>
        <w:gridCol w:w="1157"/>
        <w:gridCol w:w="803"/>
        <w:gridCol w:w="803"/>
        <w:gridCol w:w="1331"/>
        <w:gridCol w:w="1877"/>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30"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205" w:type="dxa"/>
            <w:vAlign w:val="center"/>
          </w:tcPr>
          <w:p>
            <w:pPr>
              <w:widowControl w:val="0"/>
              <w:adjustRightInd/>
              <w:snapToGrid/>
              <w:spacing w:line="360" w:lineRule="auto"/>
              <w:rPr>
                <w:rFonts w:hint="eastAsia" w:ascii="宋体" w:hAnsi="宋体" w:eastAsia="宋体" w:cs="宋体"/>
                <w:kern w:val="2"/>
                <w:sz w:val="24"/>
                <w:szCs w:val="24"/>
                <w:highlight w:val="none"/>
              </w:rPr>
            </w:pPr>
            <w:bookmarkStart w:id="530" w:name="_Toc414469103"/>
            <w:bookmarkStart w:id="531" w:name="_Toc420929926"/>
            <w:r>
              <w:rPr>
                <w:rFonts w:hint="eastAsia" w:ascii="宋体" w:hAnsi="宋体" w:eastAsia="宋体" w:cs="宋体"/>
                <w:kern w:val="2"/>
                <w:sz w:val="24"/>
                <w:szCs w:val="24"/>
                <w:highlight w:val="none"/>
              </w:rPr>
              <w:t>仪器设备</w:t>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761"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1157"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803"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产</w:t>
            </w:r>
            <w:bookmarkEnd w:id="530"/>
            <w:bookmarkEnd w:id="531"/>
            <w:r>
              <w:rPr>
                <w:rFonts w:hint="eastAsia" w:ascii="宋体" w:hAnsi="宋体" w:eastAsia="宋体" w:cs="宋体"/>
                <w:kern w:val="2"/>
                <w:sz w:val="24"/>
                <w:szCs w:val="24"/>
                <w:highlight w:val="none"/>
              </w:rPr>
              <w:t>地</w:t>
            </w:r>
          </w:p>
        </w:tc>
        <w:tc>
          <w:tcPr>
            <w:tcW w:w="803"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1331"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已使用台</w:t>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时数</w:t>
            </w:r>
          </w:p>
        </w:tc>
        <w:tc>
          <w:tcPr>
            <w:tcW w:w="1877"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用途</w:t>
            </w:r>
          </w:p>
        </w:tc>
        <w:tc>
          <w:tcPr>
            <w:tcW w:w="961"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7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5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33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877"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96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bl>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keepNext/>
        <w:keepLines/>
        <w:spacing w:before="260" w:after="260"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bookmarkStart w:id="532" w:name="_Toc15060"/>
      <w:bookmarkStart w:id="533" w:name="_Toc5522"/>
      <w:bookmarkStart w:id="534" w:name="_Toc1794"/>
      <w:r>
        <w:rPr>
          <w:rFonts w:hint="eastAsia" w:ascii="宋体" w:hAnsi="宋体" w:eastAsia="宋体" w:cs="宋体"/>
          <w:b/>
          <w:bCs/>
          <w:sz w:val="24"/>
          <w:szCs w:val="24"/>
          <w:highlight w:val="none"/>
        </w:rPr>
        <w:t>附表三：劳动力计划表</w:t>
      </w:r>
      <w:bookmarkEnd w:id="532"/>
      <w:bookmarkEnd w:id="533"/>
      <w:bookmarkEnd w:id="534"/>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单位：人</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05"/>
        <w:gridCol w:w="1203"/>
        <w:gridCol w:w="1204"/>
        <w:gridCol w:w="1204"/>
        <w:gridCol w:w="1204"/>
        <w:gridCol w:w="120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00" w:type="dxa"/>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工种</w:t>
            </w:r>
          </w:p>
        </w:tc>
        <w:tc>
          <w:tcPr>
            <w:tcW w:w="8828" w:type="dxa"/>
            <w:gridSpan w:val="7"/>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按工程施工阶</w:t>
            </w:r>
            <w:bookmarkStart w:id="535" w:name="_Toc414469104"/>
            <w:bookmarkStart w:id="536" w:name="_Toc420929927"/>
            <w:r>
              <w:rPr>
                <w:rFonts w:hint="eastAsia" w:ascii="宋体" w:hAnsi="宋体" w:eastAsia="宋体" w:cs="宋体"/>
                <w:kern w:val="2"/>
                <w:sz w:val="24"/>
                <w:szCs w:val="24"/>
                <w:highlight w:val="none"/>
              </w:rPr>
              <w:t>段投入劳动力情况</w:t>
            </w:r>
          </w:p>
        </w:tc>
      </w:tr>
      <w:bookmarkEnd w:id="535"/>
      <w:bookmarkEnd w:id="5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605"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0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bl>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keepNext/>
        <w:keepLines/>
        <w:spacing w:before="260" w:after="260"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bookmarkStart w:id="537" w:name="_Toc20763"/>
      <w:bookmarkStart w:id="538" w:name="_Toc13329"/>
      <w:bookmarkStart w:id="539" w:name="_Toc30557"/>
      <w:r>
        <w:rPr>
          <w:rFonts w:hint="eastAsia" w:ascii="宋体" w:hAnsi="宋体" w:eastAsia="宋体" w:cs="宋体"/>
          <w:b/>
          <w:bCs/>
          <w:sz w:val="24"/>
          <w:szCs w:val="24"/>
          <w:highlight w:val="none"/>
        </w:rPr>
        <w:t>附表四：计划开、竣工日期和施工进度网络图</w:t>
      </w:r>
      <w:bookmarkEnd w:id="537"/>
      <w:bookmarkEnd w:id="538"/>
      <w:bookmarkEnd w:id="539"/>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eastAsia="zh-CN"/>
        </w:rPr>
        <w:t>谈判</w:t>
      </w:r>
      <w:r>
        <w:rPr>
          <w:rFonts w:hint="eastAsia" w:ascii="宋体" w:hAnsi="宋体" w:eastAsia="宋体" w:cs="宋体"/>
          <w:kern w:val="2"/>
          <w:sz w:val="24"/>
          <w:szCs w:val="24"/>
          <w:highlight w:val="none"/>
        </w:rPr>
        <w:t>响应人</w:t>
      </w:r>
      <w:bookmarkStart w:id="540" w:name="_Toc420929928"/>
      <w:bookmarkStart w:id="541" w:name="_Toc414469105"/>
      <w:r>
        <w:rPr>
          <w:rFonts w:hint="eastAsia" w:ascii="宋体" w:hAnsi="宋体" w:eastAsia="宋体" w:cs="宋体"/>
          <w:kern w:val="2"/>
          <w:sz w:val="24"/>
          <w:szCs w:val="24"/>
          <w:highlight w:val="none"/>
        </w:rPr>
        <w:t>应递交施工进度网络图或施工进度表，说明</w:t>
      </w:r>
      <w:bookmarkEnd w:id="540"/>
      <w:bookmarkEnd w:id="541"/>
      <w:r>
        <w:rPr>
          <w:rFonts w:hint="eastAsia" w:ascii="宋体" w:hAnsi="宋体" w:eastAsia="宋体" w:cs="宋体"/>
          <w:kern w:val="2"/>
          <w:sz w:val="24"/>
          <w:szCs w:val="24"/>
          <w:highlight w:val="none"/>
        </w:rPr>
        <w:t>按谈判文件要求的计划工期进行施工的各个关键日期。</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2．施工进度表可采用网络图和（或）横道图表示。</w:t>
      </w:r>
    </w:p>
    <w:p>
      <w:pPr>
        <w:keepNext/>
        <w:keepLines/>
        <w:spacing w:before="260" w:after="260"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bookmarkStart w:id="542" w:name="_Toc9154"/>
      <w:bookmarkStart w:id="543" w:name="_Toc31878"/>
      <w:bookmarkStart w:id="544" w:name="_Toc27885"/>
      <w:r>
        <w:rPr>
          <w:rFonts w:hint="eastAsia" w:ascii="宋体" w:hAnsi="宋体" w:eastAsia="宋体" w:cs="宋体"/>
          <w:b/>
          <w:bCs/>
          <w:sz w:val="24"/>
          <w:szCs w:val="24"/>
          <w:highlight w:val="none"/>
        </w:rPr>
        <w:t>附表五：施工总平面图</w:t>
      </w:r>
      <w:bookmarkEnd w:id="542"/>
      <w:bookmarkEnd w:id="543"/>
      <w:bookmarkEnd w:id="544"/>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谈判</w:t>
      </w:r>
      <w:r>
        <w:rPr>
          <w:rFonts w:hint="eastAsia" w:ascii="宋体" w:hAnsi="宋体" w:eastAsia="宋体" w:cs="宋体"/>
          <w:kern w:val="2"/>
          <w:sz w:val="24"/>
          <w:szCs w:val="24"/>
          <w:highlight w:val="none"/>
        </w:rPr>
        <w:t>响应人应递交一份施工总平面图</w:t>
      </w:r>
      <w:bookmarkStart w:id="545" w:name="_Toc414469106"/>
      <w:bookmarkStart w:id="546" w:name="_Toc420929929"/>
      <w:r>
        <w:rPr>
          <w:rFonts w:hint="eastAsia" w:ascii="宋体" w:hAnsi="宋体" w:eastAsia="宋体" w:cs="宋体"/>
          <w:kern w:val="2"/>
          <w:sz w:val="24"/>
          <w:szCs w:val="24"/>
          <w:highlight w:val="none"/>
        </w:rPr>
        <w:t>，绘出现场临时设施布</w:t>
      </w:r>
      <w:bookmarkEnd w:id="545"/>
      <w:bookmarkEnd w:id="546"/>
      <w:r>
        <w:rPr>
          <w:rFonts w:hint="eastAsia" w:ascii="宋体" w:hAnsi="宋体" w:eastAsia="宋体" w:cs="宋体"/>
          <w:kern w:val="2"/>
          <w:sz w:val="24"/>
          <w:szCs w:val="24"/>
          <w:highlight w:val="none"/>
        </w:rPr>
        <w:t>置图表并附文字说明，说明临时设施、加工车间、现场办公、设备及仓储、供电、供水、卫生、生活、道路、消防等设施的情况和布置。</w:t>
      </w:r>
    </w:p>
    <w:p>
      <w:pPr>
        <w:keepNext/>
        <w:keepLines/>
        <w:spacing w:before="260" w:after="260"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bookmarkStart w:id="547" w:name="_Toc14958"/>
      <w:bookmarkStart w:id="548" w:name="_Toc32161"/>
      <w:bookmarkStart w:id="549" w:name="_Toc10625"/>
      <w:r>
        <w:rPr>
          <w:rFonts w:hint="eastAsia" w:ascii="宋体" w:hAnsi="宋体" w:eastAsia="宋体" w:cs="宋体"/>
          <w:b/>
          <w:bCs/>
          <w:sz w:val="24"/>
          <w:szCs w:val="24"/>
          <w:highlight w:val="none"/>
        </w:rPr>
        <w:t>附表六：临时用地表</w:t>
      </w:r>
      <w:bookmarkEnd w:id="547"/>
      <w:bookmarkEnd w:id="548"/>
      <w:bookmarkEnd w:id="549"/>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353"/>
        <w:gridCol w:w="23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用途</w:t>
            </w:r>
          </w:p>
        </w:tc>
        <w:tc>
          <w:tcPr>
            <w:tcW w:w="235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面积（平方米）</w:t>
            </w:r>
          </w:p>
        </w:tc>
        <w:tc>
          <w:tcPr>
            <w:tcW w:w="235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位置</w:t>
            </w:r>
          </w:p>
        </w:tc>
        <w:tc>
          <w:tcPr>
            <w:tcW w:w="235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需</w:t>
            </w:r>
            <w:bookmarkStart w:id="550" w:name="_Toc420929930"/>
            <w:bookmarkStart w:id="551" w:name="_Toc414469107"/>
            <w:r>
              <w:rPr>
                <w:rFonts w:hint="eastAsia" w:ascii="宋体" w:hAnsi="宋体" w:eastAsia="宋体" w:cs="宋体"/>
                <w:kern w:val="2"/>
                <w:sz w:val="24"/>
                <w:szCs w:val="24"/>
                <w:highlight w:val="none"/>
              </w:rPr>
              <w:t>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bookmarkEnd w:id="550"/>
          <w:bookmarkEnd w:id="55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353" w:type="dxa"/>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bl>
    <w:p>
      <w:pPr>
        <w:adjustRightInd/>
        <w:snapToGrid/>
        <w:spacing w:line="360" w:lineRule="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bookmarkStart w:id="552" w:name="_Toc24440"/>
      <w:bookmarkStart w:id="553" w:name="_Toc11649"/>
      <w:r>
        <w:rPr>
          <w:rFonts w:hint="eastAsia" w:ascii="宋体" w:hAnsi="宋体" w:eastAsia="宋体" w:cs="宋体"/>
          <w:b/>
          <w:bCs/>
          <w:sz w:val="24"/>
          <w:szCs w:val="24"/>
          <w:highlight w:val="none"/>
          <w:lang w:eastAsia="zh-CN"/>
        </w:rPr>
        <w:t>附件</w:t>
      </w:r>
      <w:r>
        <w:rPr>
          <w:rFonts w:hint="eastAsia" w:ascii="宋体" w:hAnsi="宋体" w:eastAsia="宋体" w:cs="宋体"/>
          <w:b/>
          <w:bCs/>
          <w:sz w:val="24"/>
          <w:szCs w:val="24"/>
          <w:highlight w:val="none"/>
          <w:lang w:val="en-US" w:eastAsia="zh-CN"/>
        </w:rPr>
        <w:t>13</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项目管理机构</w:t>
      </w:r>
      <w:bookmarkEnd w:id="552"/>
      <w:bookmarkEnd w:id="553"/>
    </w:p>
    <w:p>
      <w:pPr>
        <w:widowControl w:val="0"/>
        <w:adjustRightInd/>
        <w:snapToGrid/>
        <w:spacing w:line="360" w:lineRule="auto"/>
        <w:ind w:firstLine="424" w:firstLineChars="177"/>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（一）项目管理机构组成表</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2"/>
        <w:gridCol w:w="892"/>
        <w:gridCol w:w="1172"/>
        <w:gridCol w:w="219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restart"/>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职</w:t>
            </w:r>
            <w:bookmarkStart w:id="554" w:name="_Toc414469109"/>
            <w:bookmarkStart w:id="555" w:name="_Toc420929931"/>
            <w:r>
              <w:rPr>
                <w:rFonts w:hint="eastAsia" w:ascii="宋体" w:hAnsi="宋体" w:eastAsia="宋体" w:cs="宋体"/>
                <w:kern w:val="2"/>
                <w:sz w:val="24"/>
                <w:szCs w:val="24"/>
                <w:highlight w:val="none"/>
              </w:rPr>
              <w:t>务</w:t>
            </w:r>
          </w:p>
        </w:tc>
        <w:tc>
          <w:tcPr>
            <w:tcW w:w="803" w:type="dxa"/>
            <w:vMerge w:val="restart"/>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03" w:type="dxa"/>
            <w:vMerge w:val="restart"/>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职称</w:t>
            </w:r>
          </w:p>
        </w:tc>
        <w:tc>
          <w:tcPr>
            <w:tcW w:w="6418" w:type="dxa"/>
            <w:gridSpan w:val="5"/>
            <w:vAlign w:val="center"/>
          </w:tcPr>
          <w:p>
            <w:pPr>
              <w:widowControl w:val="0"/>
              <w:adjustRightInd/>
              <w:snapToGrid/>
              <w:spacing w:line="360" w:lineRule="auto"/>
              <w:ind w:firstLine="424" w:firstLineChars="177"/>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执业</w:t>
            </w:r>
            <w:bookmarkEnd w:id="554"/>
            <w:bookmarkEnd w:id="555"/>
            <w:r>
              <w:rPr>
                <w:rFonts w:hint="eastAsia" w:ascii="宋体" w:hAnsi="宋体" w:eastAsia="宋体" w:cs="宋体"/>
                <w:kern w:val="2"/>
                <w:sz w:val="24"/>
                <w:szCs w:val="24"/>
                <w:highlight w:val="none"/>
              </w:rPr>
              <w:t>或职业资格证明</w:t>
            </w:r>
          </w:p>
        </w:tc>
        <w:tc>
          <w:tcPr>
            <w:tcW w:w="801" w:type="dxa"/>
            <w:vMerge w:val="restart"/>
            <w:vAlign w:val="center"/>
          </w:tcPr>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continue"/>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Merge w:val="continue"/>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Merge w:val="continue"/>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证书名称</w:t>
            </w:r>
          </w:p>
        </w:tc>
        <w:tc>
          <w:tcPr>
            <w:tcW w:w="872" w:type="dxa"/>
            <w:vAlign w:val="center"/>
          </w:tcPr>
          <w:p>
            <w:pPr>
              <w:widowControl w:val="0"/>
              <w:adjustRightInd/>
              <w:snapToGrid/>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级别</w:t>
            </w:r>
          </w:p>
        </w:tc>
        <w:tc>
          <w:tcPr>
            <w:tcW w:w="892" w:type="dxa"/>
            <w:vAlign w:val="center"/>
          </w:tcPr>
          <w:p>
            <w:pPr>
              <w:widowControl w:val="0"/>
              <w:adjustRightInd/>
              <w:snapToGrid/>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证号</w:t>
            </w:r>
          </w:p>
        </w:tc>
        <w:tc>
          <w:tcPr>
            <w:tcW w:w="1172" w:type="dxa"/>
            <w:vAlign w:val="center"/>
          </w:tcPr>
          <w:p>
            <w:pPr>
              <w:widowControl w:val="0"/>
              <w:adjustRightInd/>
              <w:snapToGrid/>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专业</w:t>
            </w:r>
          </w:p>
        </w:tc>
        <w:tc>
          <w:tcPr>
            <w:tcW w:w="2198" w:type="dxa"/>
            <w:vAlign w:val="center"/>
          </w:tcPr>
          <w:p>
            <w:pPr>
              <w:widowControl w:val="0"/>
              <w:adjustRightInd/>
              <w:snapToGrid/>
              <w:spacing w:line="360" w:lineRule="auto"/>
              <w:ind w:firstLine="720" w:firstLineChars="30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其他</w:t>
            </w:r>
          </w:p>
        </w:tc>
        <w:tc>
          <w:tcPr>
            <w:tcW w:w="801" w:type="dxa"/>
            <w:vMerge w:val="continue"/>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3"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284"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9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1172"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2198"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c>
          <w:tcPr>
            <w:tcW w:w="801" w:type="dxa"/>
            <w:vAlign w:val="center"/>
          </w:tcPr>
          <w:p>
            <w:pPr>
              <w:widowControl w:val="0"/>
              <w:adjustRightInd/>
              <w:snapToGrid/>
              <w:spacing w:line="360" w:lineRule="auto"/>
              <w:ind w:firstLine="424" w:firstLineChars="177"/>
              <w:rPr>
                <w:rFonts w:hint="eastAsia" w:ascii="宋体" w:hAnsi="宋体" w:eastAsia="宋体" w:cs="宋体"/>
                <w:kern w:val="2"/>
                <w:sz w:val="24"/>
                <w:szCs w:val="24"/>
                <w:highlight w:val="none"/>
              </w:rPr>
            </w:pPr>
          </w:p>
        </w:tc>
      </w:tr>
    </w:tbl>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br w:type="page"/>
      </w:r>
      <w:r>
        <w:rPr>
          <w:rFonts w:hint="eastAsia" w:ascii="宋体" w:hAnsi="宋体" w:eastAsia="宋体" w:cs="宋体"/>
          <w:kern w:val="2"/>
          <w:sz w:val="24"/>
          <w:szCs w:val="24"/>
          <w:highlight w:val="none"/>
        </w:rPr>
        <w:t>（二）主要人员简历表</w:t>
      </w:r>
    </w:p>
    <w:p>
      <w:pPr>
        <w:spacing w:line="360" w:lineRule="auto"/>
        <w:ind w:firstLine="424" w:firstLineChars="17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附1：项目经理简历表</w:t>
      </w:r>
    </w:p>
    <w:p>
      <w:pPr>
        <w:spacing w:line="360" w:lineRule="auto"/>
        <w:ind w:firstLine="424" w:firstLineChars="17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项目经理应附建造师执业证、注册证、具备有效的安全生产考核合格证书、职称证、学历证、身份证</w:t>
      </w:r>
      <w:r>
        <w:rPr>
          <w:rFonts w:hint="eastAsia" w:ascii="宋体" w:hAnsi="宋体" w:eastAsia="宋体" w:cs="宋体"/>
          <w:color w:val="000000"/>
          <w:sz w:val="24"/>
          <w:szCs w:val="24"/>
          <w:highlight w:val="none"/>
        </w:rPr>
        <w:t>证明</w:t>
      </w:r>
      <w:r>
        <w:rPr>
          <w:rFonts w:hint="eastAsia" w:ascii="宋体" w:hAnsi="宋体" w:eastAsia="宋体" w:cs="宋体"/>
          <w:sz w:val="24"/>
          <w:szCs w:val="24"/>
          <w:highlight w:val="none"/>
        </w:rPr>
        <w:t>等及未同时担任其他在施建设工程项目项目经理的承诺书，管理过的项目业绩须附中标通知书和合同协议书复印件。</w:t>
      </w:r>
    </w:p>
    <w:tbl>
      <w:tblPr>
        <w:tblStyle w:val="2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184"/>
        <w:gridCol w:w="1299"/>
        <w:gridCol w:w="1461"/>
        <w:gridCol w:w="2110"/>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vAlign w:val="center"/>
          </w:tcPr>
          <w:p>
            <w:pPr>
              <w:spacing w:line="360" w:lineRule="auto"/>
              <w:ind w:firstLine="424" w:firstLineChars="17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184"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1299" w:type="dxa"/>
            <w:vAlign w:val="center"/>
          </w:tcPr>
          <w:p>
            <w:pPr>
              <w:spacing w:line="360" w:lineRule="auto"/>
              <w:ind w:firstLine="424" w:firstLineChars="17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461"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2110" w:type="dxa"/>
            <w:vAlign w:val="center"/>
          </w:tcPr>
          <w:p>
            <w:pPr>
              <w:spacing w:line="360" w:lineRule="auto"/>
              <w:ind w:firstLine="424" w:firstLineChars="17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435" w:type="dxa"/>
            <w:vAlign w:val="center"/>
          </w:tcPr>
          <w:p>
            <w:pPr>
              <w:spacing w:line="360" w:lineRule="auto"/>
              <w:ind w:firstLine="424" w:firstLineChars="177"/>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vAlign w:val="center"/>
          </w:tcPr>
          <w:p>
            <w:pPr>
              <w:spacing w:line="360" w:lineRule="auto"/>
              <w:ind w:firstLine="424" w:firstLineChars="17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184"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1299" w:type="dxa"/>
            <w:vAlign w:val="center"/>
          </w:tcPr>
          <w:p>
            <w:pPr>
              <w:spacing w:line="360" w:lineRule="auto"/>
              <w:ind w:firstLine="424" w:firstLineChars="17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461"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2110"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拟在本工程任职</w:t>
            </w:r>
          </w:p>
        </w:tc>
        <w:tc>
          <w:tcPr>
            <w:tcW w:w="2435" w:type="dxa"/>
            <w:vAlign w:val="center"/>
          </w:tcPr>
          <w:p>
            <w:pPr>
              <w:spacing w:line="360" w:lineRule="auto"/>
              <w:ind w:firstLine="424" w:firstLineChars="177"/>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8489" w:type="dxa"/>
            <w:gridSpan w:val="5"/>
            <w:vAlign w:val="center"/>
          </w:tcPr>
          <w:p>
            <w:pPr>
              <w:spacing w:line="360" w:lineRule="auto"/>
              <w:ind w:firstLine="424" w:firstLineChars="177"/>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0" w:type="dxa"/>
            <w:gridSpan w:val="6"/>
            <w:vAlign w:val="center"/>
          </w:tcPr>
          <w:p>
            <w:pPr>
              <w:spacing w:line="360" w:lineRule="auto"/>
              <w:ind w:firstLine="424" w:firstLineChars="177"/>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3944" w:type="dxa"/>
            <w:gridSpan w:val="3"/>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参加过的类似项目名称</w:t>
            </w:r>
          </w:p>
        </w:tc>
        <w:tc>
          <w:tcPr>
            <w:tcW w:w="211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435"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3944" w:type="dxa"/>
            <w:gridSpan w:val="3"/>
            <w:vAlign w:val="center"/>
          </w:tcPr>
          <w:p>
            <w:pPr>
              <w:spacing w:line="360" w:lineRule="auto"/>
              <w:ind w:firstLine="424" w:firstLineChars="177"/>
              <w:jc w:val="both"/>
              <w:rPr>
                <w:rFonts w:hint="eastAsia" w:ascii="宋体" w:hAnsi="宋体" w:eastAsia="宋体" w:cs="宋体"/>
                <w:sz w:val="24"/>
                <w:szCs w:val="24"/>
                <w:highlight w:val="none"/>
              </w:rPr>
            </w:pPr>
          </w:p>
        </w:tc>
        <w:tc>
          <w:tcPr>
            <w:tcW w:w="2110"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2435" w:type="dxa"/>
            <w:vAlign w:val="center"/>
          </w:tcPr>
          <w:p>
            <w:pPr>
              <w:spacing w:line="360" w:lineRule="auto"/>
              <w:ind w:firstLine="424" w:firstLineChars="177"/>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3944" w:type="dxa"/>
            <w:gridSpan w:val="3"/>
            <w:vAlign w:val="center"/>
          </w:tcPr>
          <w:p>
            <w:pPr>
              <w:spacing w:line="360" w:lineRule="auto"/>
              <w:ind w:firstLine="424" w:firstLineChars="177"/>
              <w:jc w:val="both"/>
              <w:rPr>
                <w:rFonts w:hint="eastAsia" w:ascii="宋体" w:hAnsi="宋体" w:eastAsia="宋体" w:cs="宋体"/>
                <w:sz w:val="24"/>
                <w:szCs w:val="24"/>
                <w:highlight w:val="none"/>
              </w:rPr>
            </w:pPr>
          </w:p>
        </w:tc>
        <w:tc>
          <w:tcPr>
            <w:tcW w:w="2110"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2435" w:type="dxa"/>
            <w:vAlign w:val="center"/>
          </w:tcPr>
          <w:p>
            <w:pPr>
              <w:spacing w:line="360" w:lineRule="auto"/>
              <w:ind w:firstLine="424" w:firstLineChars="177"/>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3944" w:type="dxa"/>
            <w:gridSpan w:val="3"/>
            <w:vAlign w:val="center"/>
          </w:tcPr>
          <w:p>
            <w:pPr>
              <w:spacing w:line="360" w:lineRule="auto"/>
              <w:ind w:firstLine="424" w:firstLineChars="177"/>
              <w:jc w:val="both"/>
              <w:rPr>
                <w:rFonts w:hint="eastAsia" w:ascii="宋体" w:hAnsi="宋体" w:eastAsia="宋体" w:cs="宋体"/>
                <w:sz w:val="24"/>
                <w:szCs w:val="24"/>
                <w:highlight w:val="none"/>
              </w:rPr>
            </w:pPr>
          </w:p>
        </w:tc>
        <w:tc>
          <w:tcPr>
            <w:tcW w:w="2110"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2435" w:type="dxa"/>
            <w:vAlign w:val="center"/>
          </w:tcPr>
          <w:p>
            <w:pPr>
              <w:spacing w:line="360" w:lineRule="auto"/>
              <w:ind w:firstLine="424" w:firstLineChars="177"/>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3944" w:type="dxa"/>
            <w:gridSpan w:val="3"/>
            <w:vAlign w:val="center"/>
          </w:tcPr>
          <w:p>
            <w:pPr>
              <w:spacing w:line="360" w:lineRule="auto"/>
              <w:ind w:firstLine="424" w:firstLineChars="177"/>
              <w:jc w:val="both"/>
              <w:rPr>
                <w:rFonts w:hint="eastAsia" w:ascii="宋体" w:hAnsi="宋体" w:eastAsia="宋体" w:cs="宋体"/>
                <w:sz w:val="24"/>
                <w:szCs w:val="24"/>
                <w:highlight w:val="none"/>
              </w:rPr>
            </w:pPr>
          </w:p>
        </w:tc>
        <w:tc>
          <w:tcPr>
            <w:tcW w:w="2110"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2435" w:type="dxa"/>
            <w:vAlign w:val="center"/>
          </w:tcPr>
          <w:p>
            <w:pPr>
              <w:spacing w:line="360" w:lineRule="auto"/>
              <w:ind w:firstLine="424" w:firstLineChars="177"/>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3944" w:type="dxa"/>
            <w:gridSpan w:val="3"/>
            <w:vAlign w:val="center"/>
          </w:tcPr>
          <w:p>
            <w:pPr>
              <w:spacing w:line="360" w:lineRule="auto"/>
              <w:ind w:firstLine="424" w:firstLineChars="177"/>
              <w:jc w:val="both"/>
              <w:rPr>
                <w:rFonts w:hint="eastAsia" w:ascii="宋体" w:hAnsi="宋体" w:eastAsia="宋体" w:cs="宋体"/>
                <w:sz w:val="24"/>
                <w:szCs w:val="24"/>
                <w:highlight w:val="none"/>
              </w:rPr>
            </w:pPr>
          </w:p>
        </w:tc>
        <w:tc>
          <w:tcPr>
            <w:tcW w:w="2110"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2435" w:type="dxa"/>
            <w:vAlign w:val="center"/>
          </w:tcPr>
          <w:p>
            <w:pPr>
              <w:spacing w:line="360" w:lineRule="auto"/>
              <w:ind w:firstLine="424" w:firstLineChars="177"/>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3944" w:type="dxa"/>
            <w:gridSpan w:val="3"/>
            <w:vAlign w:val="center"/>
          </w:tcPr>
          <w:p>
            <w:pPr>
              <w:spacing w:line="360" w:lineRule="auto"/>
              <w:ind w:firstLine="424" w:firstLineChars="177"/>
              <w:jc w:val="both"/>
              <w:rPr>
                <w:rFonts w:hint="eastAsia" w:ascii="宋体" w:hAnsi="宋体" w:eastAsia="宋体" w:cs="宋体"/>
                <w:sz w:val="24"/>
                <w:szCs w:val="24"/>
                <w:highlight w:val="none"/>
              </w:rPr>
            </w:pPr>
          </w:p>
        </w:tc>
        <w:tc>
          <w:tcPr>
            <w:tcW w:w="2110"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2435" w:type="dxa"/>
            <w:vAlign w:val="center"/>
          </w:tcPr>
          <w:p>
            <w:pPr>
              <w:spacing w:line="360" w:lineRule="auto"/>
              <w:ind w:firstLine="424" w:firstLineChars="177"/>
              <w:jc w:val="both"/>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3944" w:type="dxa"/>
            <w:gridSpan w:val="3"/>
            <w:vAlign w:val="center"/>
          </w:tcPr>
          <w:p>
            <w:pPr>
              <w:spacing w:line="360" w:lineRule="auto"/>
              <w:ind w:firstLine="424" w:firstLineChars="177"/>
              <w:jc w:val="both"/>
              <w:rPr>
                <w:rFonts w:hint="eastAsia" w:ascii="宋体" w:hAnsi="宋体" w:eastAsia="宋体" w:cs="宋体"/>
                <w:sz w:val="24"/>
                <w:szCs w:val="24"/>
                <w:highlight w:val="none"/>
              </w:rPr>
            </w:pPr>
          </w:p>
        </w:tc>
        <w:tc>
          <w:tcPr>
            <w:tcW w:w="2110" w:type="dxa"/>
            <w:vAlign w:val="center"/>
          </w:tcPr>
          <w:p>
            <w:pPr>
              <w:spacing w:line="360" w:lineRule="auto"/>
              <w:ind w:firstLine="424" w:firstLineChars="177"/>
              <w:jc w:val="both"/>
              <w:rPr>
                <w:rFonts w:hint="eastAsia" w:ascii="宋体" w:hAnsi="宋体" w:eastAsia="宋体" w:cs="宋体"/>
                <w:sz w:val="24"/>
                <w:szCs w:val="24"/>
                <w:highlight w:val="none"/>
              </w:rPr>
            </w:pPr>
          </w:p>
        </w:tc>
        <w:tc>
          <w:tcPr>
            <w:tcW w:w="2435" w:type="dxa"/>
            <w:vAlign w:val="center"/>
          </w:tcPr>
          <w:p>
            <w:pPr>
              <w:spacing w:line="360" w:lineRule="auto"/>
              <w:ind w:firstLine="424" w:firstLineChars="177"/>
              <w:jc w:val="both"/>
              <w:rPr>
                <w:rFonts w:hint="eastAsia" w:ascii="宋体" w:hAnsi="宋体" w:eastAsia="宋体" w:cs="宋体"/>
                <w:sz w:val="24"/>
                <w:szCs w:val="24"/>
                <w:highlight w:val="none"/>
              </w:rPr>
            </w:pPr>
          </w:p>
        </w:tc>
      </w:tr>
    </w:tbl>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spacing w:line="360" w:lineRule="auto"/>
        <w:ind w:firstLine="424" w:firstLineChars="177"/>
        <w:jc w:val="both"/>
        <w:rPr>
          <w:rFonts w:hint="eastAsia" w:ascii="宋体" w:hAnsi="宋体" w:eastAsia="宋体" w:cs="宋体"/>
          <w:color w:val="000000"/>
          <w:sz w:val="24"/>
          <w:szCs w:val="24"/>
          <w:highlight w:val="none"/>
        </w:rPr>
      </w:pPr>
      <w:r>
        <w:rPr>
          <w:rFonts w:hint="eastAsia" w:ascii="宋体" w:hAnsi="宋体" w:eastAsia="宋体" w:cs="宋体"/>
          <w:kern w:val="2"/>
          <w:sz w:val="24"/>
          <w:szCs w:val="24"/>
          <w:highlight w:val="none"/>
        </w:rPr>
        <w:br w:type="page"/>
      </w:r>
      <w:r>
        <w:rPr>
          <w:rFonts w:hint="eastAsia" w:ascii="宋体" w:hAnsi="宋体" w:eastAsia="宋体" w:cs="宋体"/>
          <w:color w:val="000000"/>
          <w:sz w:val="24"/>
          <w:szCs w:val="24"/>
          <w:highlight w:val="none"/>
        </w:rPr>
        <w:t>附2：主要项目管理人员简历表</w:t>
      </w:r>
    </w:p>
    <w:p>
      <w:pPr>
        <w:spacing w:line="360" w:lineRule="auto"/>
        <w:ind w:firstLine="424" w:firstLineChars="177"/>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主要项目管理人员技术负责人、质检员、专职安全生产管理人员、施工员，应附身份证、职称证、学历证证明等。</w:t>
      </w:r>
    </w:p>
    <w:tbl>
      <w:tblPr>
        <w:tblStyle w:val="20"/>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192"/>
        <w:gridCol w:w="1308"/>
        <w:gridCol w:w="1471"/>
        <w:gridCol w:w="2124"/>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vAlign w:val="center"/>
          </w:tcPr>
          <w:p>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1192" w:type="dxa"/>
            <w:vAlign w:val="center"/>
          </w:tcPr>
          <w:p>
            <w:pPr>
              <w:spacing w:line="360" w:lineRule="auto"/>
              <w:jc w:val="center"/>
              <w:rPr>
                <w:rFonts w:hint="eastAsia" w:ascii="宋体" w:hAnsi="宋体" w:eastAsia="宋体" w:cs="宋体"/>
                <w:color w:val="000000"/>
                <w:sz w:val="24"/>
                <w:szCs w:val="24"/>
                <w:highlight w:val="none"/>
              </w:rPr>
            </w:pPr>
          </w:p>
        </w:tc>
        <w:tc>
          <w:tcPr>
            <w:tcW w:w="1308"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年龄</w:t>
            </w:r>
          </w:p>
        </w:tc>
        <w:tc>
          <w:tcPr>
            <w:tcW w:w="1471" w:type="dxa"/>
            <w:vAlign w:val="center"/>
          </w:tcPr>
          <w:p>
            <w:pPr>
              <w:spacing w:line="360" w:lineRule="auto"/>
              <w:jc w:val="center"/>
              <w:rPr>
                <w:rFonts w:hint="eastAsia" w:ascii="宋体" w:hAnsi="宋体" w:eastAsia="宋体" w:cs="宋体"/>
                <w:color w:val="000000"/>
                <w:sz w:val="24"/>
                <w:szCs w:val="24"/>
                <w:highlight w:val="none"/>
              </w:rPr>
            </w:pPr>
          </w:p>
        </w:tc>
        <w:tc>
          <w:tcPr>
            <w:tcW w:w="2124"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学历</w:t>
            </w:r>
          </w:p>
        </w:tc>
        <w:tc>
          <w:tcPr>
            <w:tcW w:w="2451" w:type="dxa"/>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vAlign w:val="center"/>
          </w:tcPr>
          <w:p>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职称</w:t>
            </w:r>
          </w:p>
        </w:tc>
        <w:tc>
          <w:tcPr>
            <w:tcW w:w="1192" w:type="dxa"/>
            <w:vAlign w:val="center"/>
          </w:tcPr>
          <w:p>
            <w:pPr>
              <w:spacing w:line="360" w:lineRule="auto"/>
              <w:jc w:val="center"/>
              <w:rPr>
                <w:rFonts w:hint="eastAsia" w:ascii="宋体" w:hAnsi="宋体" w:eastAsia="宋体" w:cs="宋体"/>
                <w:color w:val="000000"/>
                <w:sz w:val="24"/>
                <w:szCs w:val="24"/>
                <w:highlight w:val="none"/>
              </w:rPr>
            </w:pPr>
          </w:p>
        </w:tc>
        <w:tc>
          <w:tcPr>
            <w:tcW w:w="1308"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职务</w:t>
            </w:r>
          </w:p>
        </w:tc>
        <w:tc>
          <w:tcPr>
            <w:tcW w:w="1471" w:type="dxa"/>
            <w:vAlign w:val="center"/>
          </w:tcPr>
          <w:p>
            <w:pPr>
              <w:spacing w:line="360" w:lineRule="auto"/>
              <w:jc w:val="center"/>
              <w:rPr>
                <w:rFonts w:hint="eastAsia" w:ascii="宋体" w:hAnsi="宋体" w:eastAsia="宋体" w:cs="宋体"/>
                <w:color w:val="000000"/>
                <w:sz w:val="24"/>
                <w:szCs w:val="24"/>
                <w:highlight w:val="none"/>
              </w:rPr>
            </w:pPr>
          </w:p>
        </w:tc>
        <w:tc>
          <w:tcPr>
            <w:tcW w:w="2124"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拟在本工程任职</w:t>
            </w:r>
          </w:p>
        </w:tc>
        <w:tc>
          <w:tcPr>
            <w:tcW w:w="2451" w:type="dxa"/>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vAlign w:val="center"/>
          </w:tcPr>
          <w:p>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毕业学校</w:t>
            </w:r>
          </w:p>
        </w:tc>
        <w:tc>
          <w:tcPr>
            <w:tcW w:w="8546" w:type="dxa"/>
            <w:gridSpan w:val="5"/>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毕业于学校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04" w:type="dxa"/>
            <w:gridSpan w:val="6"/>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vAlign w:val="center"/>
          </w:tcPr>
          <w:p>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时间</w:t>
            </w:r>
          </w:p>
        </w:tc>
        <w:tc>
          <w:tcPr>
            <w:tcW w:w="3971" w:type="dxa"/>
            <w:gridSpan w:val="3"/>
            <w:vAlign w:val="center"/>
          </w:tcPr>
          <w:p>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参加过的类似项目名称</w:t>
            </w:r>
          </w:p>
        </w:tc>
        <w:tc>
          <w:tcPr>
            <w:tcW w:w="2124" w:type="dxa"/>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担任职务</w:t>
            </w:r>
          </w:p>
        </w:tc>
        <w:tc>
          <w:tcPr>
            <w:tcW w:w="2451" w:type="dxa"/>
            <w:vAlign w:val="center"/>
          </w:tcPr>
          <w:p>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vAlign w:val="center"/>
          </w:tcPr>
          <w:p>
            <w:pPr>
              <w:spacing w:line="360" w:lineRule="auto"/>
              <w:jc w:val="center"/>
              <w:rPr>
                <w:rFonts w:hint="eastAsia" w:ascii="宋体" w:hAnsi="宋体" w:eastAsia="宋体" w:cs="宋体"/>
                <w:color w:val="000000"/>
                <w:sz w:val="24"/>
                <w:szCs w:val="24"/>
                <w:highlight w:val="none"/>
              </w:rPr>
            </w:pPr>
          </w:p>
        </w:tc>
        <w:tc>
          <w:tcPr>
            <w:tcW w:w="3971" w:type="dxa"/>
            <w:gridSpan w:val="3"/>
            <w:vAlign w:val="center"/>
          </w:tcPr>
          <w:p>
            <w:pPr>
              <w:spacing w:line="360" w:lineRule="auto"/>
              <w:jc w:val="center"/>
              <w:rPr>
                <w:rFonts w:hint="eastAsia" w:ascii="宋体" w:hAnsi="宋体" w:eastAsia="宋体" w:cs="宋体"/>
                <w:color w:val="000000"/>
                <w:sz w:val="24"/>
                <w:szCs w:val="24"/>
                <w:highlight w:val="none"/>
              </w:rPr>
            </w:pPr>
          </w:p>
        </w:tc>
        <w:tc>
          <w:tcPr>
            <w:tcW w:w="2124" w:type="dxa"/>
            <w:vAlign w:val="center"/>
          </w:tcPr>
          <w:p>
            <w:pPr>
              <w:spacing w:line="360" w:lineRule="auto"/>
              <w:jc w:val="center"/>
              <w:rPr>
                <w:rFonts w:hint="eastAsia" w:ascii="宋体" w:hAnsi="宋体" w:eastAsia="宋体" w:cs="宋体"/>
                <w:color w:val="000000"/>
                <w:sz w:val="24"/>
                <w:szCs w:val="24"/>
                <w:highlight w:val="none"/>
              </w:rPr>
            </w:pPr>
          </w:p>
        </w:tc>
        <w:tc>
          <w:tcPr>
            <w:tcW w:w="2451" w:type="dxa"/>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vAlign w:val="center"/>
          </w:tcPr>
          <w:p>
            <w:pPr>
              <w:spacing w:line="360" w:lineRule="auto"/>
              <w:jc w:val="center"/>
              <w:rPr>
                <w:rFonts w:hint="eastAsia" w:ascii="宋体" w:hAnsi="宋体" w:eastAsia="宋体" w:cs="宋体"/>
                <w:color w:val="000000"/>
                <w:sz w:val="24"/>
                <w:szCs w:val="24"/>
                <w:highlight w:val="none"/>
              </w:rPr>
            </w:pPr>
          </w:p>
        </w:tc>
        <w:tc>
          <w:tcPr>
            <w:tcW w:w="3971" w:type="dxa"/>
            <w:gridSpan w:val="3"/>
            <w:vAlign w:val="center"/>
          </w:tcPr>
          <w:p>
            <w:pPr>
              <w:spacing w:line="360" w:lineRule="auto"/>
              <w:jc w:val="center"/>
              <w:rPr>
                <w:rFonts w:hint="eastAsia" w:ascii="宋体" w:hAnsi="宋体" w:eastAsia="宋体" w:cs="宋体"/>
                <w:color w:val="000000"/>
                <w:sz w:val="24"/>
                <w:szCs w:val="24"/>
                <w:highlight w:val="none"/>
              </w:rPr>
            </w:pPr>
          </w:p>
        </w:tc>
        <w:tc>
          <w:tcPr>
            <w:tcW w:w="2124" w:type="dxa"/>
            <w:vAlign w:val="center"/>
          </w:tcPr>
          <w:p>
            <w:pPr>
              <w:spacing w:line="360" w:lineRule="auto"/>
              <w:jc w:val="center"/>
              <w:rPr>
                <w:rFonts w:hint="eastAsia" w:ascii="宋体" w:hAnsi="宋体" w:eastAsia="宋体" w:cs="宋体"/>
                <w:color w:val="000000"/>
                <w:sz w:val="24"/>
                <w:szCs w:val="24"/>
                <w:highlight w:val="none"/>
              </w:rPr>
            </w:pPr>
          </w:p>
        </w:tc>
        <w:tc>
          <w:tcPr>
            <w:tcW w:w="2451" w:type="dxa"/>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vAlign w:val="center"/>
          </w:tcPr>
          <w:p>
            <w:pPr>
              <w:spacing w:line="360" w:lineRule="auto"/>
              <w:jc w:val="center"/>
              <w:rPr>
                <w:rFonts w:hint="eastAsia" w:ascii="宋体" w:hAnsi="宋体" w:eastAsia="宋体" w:cs="宋体"/>
                <w:color w:val="000000"/>
                <w:sz w:val="24"/>
                <w:szCs w:val="24"/>
                <w:highlight w:val="none"/>
              </w:rPr>
            </w:pPr>
          </w:p>
        </w:tc>
        <w:tc>
          <w:tcPr>
            <w:tcW w:w="3971" w:type="dxa"/>
            <w:gridSpan w:val="3"/>
            <w:vAlign w:val="center"/>
          </w:tcPr>
          <w:p>
            <w:pPr>
              <w:spacing w:line="360" w:lineRule="auto"/>
              <w:jc w:val="center"/>
              <w:rPr>
                <w:rFonts w:hint="eastAsia" w:ascii="宋体" w:hAnsi="宋体" w:eastAsia="宋体" w:cs="宋体"/>
                <w:color w:val="000000"/>
                <w:sz w:val="24"/>
                <w:szCs w:val="24"/>
                <w:highlight w:val="none"/>
              </w:rPr>
            </w:pPr>
          </w:p>
        </w:tc>
        <w:tc>
          <w:tcPr>
            <w:tcW w:w="2124" w:type="dxa"/>
            <w:vAlign w:val="center"/>
          </w:tcPr>
          <w:p>
            <w:pPr>
              <w:spacing w:line="360" w:lineRule="auto"/>
              <w:jc w:val="center"/>
              <w:rPr>
                <w:rFonts w:hint="eastAsia" w:ascii="宋体" w:hAnsi="宋体" w:eastAsia="宋体" w:cs="宋体"/>
                <w:color w:val="000000"/>
                <w:sz w:val="24"/>
                <w:szCs w:val="24"/>
                <w:highlight w:val="none"/>
              </w:rPr>
            </w:pPr>
          </w:p>
        </w:tc>
        <w:tc>
          <w:tcPr>
            <w:tcW w:w="2451" w:type="dxa"/>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vAlign w:val="center"/>
          </w:tcPr>
          <w:p>
            <w:pPr>
              <w:spacing w:line="360" w:lineRule="auto"/>
              <w:jc w:val="center"/>
              <w:rPr>
                <w:rFonts w:hint="eastAsia" w:ascii="宋体" w:hAnsi="宋体" w:eastAsia="宋体" w:cs="宋体"/>
                <w:color w:val="000000"/>
                <w:sz w:val="24"/>
                <w:szCs w:val="24"/>
                <w:highlight w:val="none"/>
              </w:rPr>
            </w:pPr>
          </w:p>
        </w:tc>
        <w:tc>
          <w:tcPr>
            <w:tcW w:w="3971" w:type="dxa"/>
            <w:gridSpan w:val="3"/>
            <w:vAlign w:val="center"/>
          </w:tcPr>
          <w:p>
            <w:pPr>
              <w:spacing w:line="360" w:lineRule="auto"/>
              <w:jc w:val="center"/>
              <w:rPr>
                <w:rFonts w:hint="eastAsia" w:ascii="宋体" w:hAnsi="宋体" w:eastAsia="宋体" w:cs="宋体"/>
                <w:color w:val="000000"/>
                <w:sz w:val="24"/>
                <w:szCs w:val="24"/>
                <w:highlight w:val="none"/>
              </w:rPr>
            </w:pPr>
          </w:p>
        </w:tc>
        <w:tc>
          <w:tcPr>
            <w:tcW w:w="2124" w:type="dxa"/>
            <w:vAlign w:val="center"/>
          </w:tcPr>
          <w:p>
            <w:pPr>
              <w:spacing w:line="360" w:lineRule="auto"/>
              <w:jc w:val="center"/>
              <w:rPr>
                <w:rFonts w:hint="eastAsia" w:ascii="宋体" w:hAnsi="宋体" w:eastAsia="宋体" w:cs="宋体"/>
                <w:color w:val="000000"/>
                <w:sz w:val="24"/>
                <w:szCs w:val="24"/>
                <w:highlight w:val="none"/>
              </w:rPr>
            </w:pPr>
          </w:p>
        </w:tc>
        <w:tc>
          <w:tcPr>
            <w:tcW w:w="2451" w:type="dxa"/>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vAlign w:val="center"/>
          </w:tcPr>
          <w:p>
            <w:pPr>
              <w:spacing w:line="360" w:lineRule="auto"/>
              <w:jc w:val="center"/>
              <w:rPr>
                <w:rFonts w:hint="eastAsia" w:ascii="宋体" w:hAnsi="宋体" w:eastAsia="宋体" w:cs="宋体"/>
                <w:color w:val="000000"/>
                <w:sz w:val="24"/>
                <w:szCs w:val="24"/>
                <w:highlight w:val="none"/>
              </w:rPr>
            </w:pPr>
          </w:p>
        </w:tc>
        <w:tc>
          <w:tcPr>
            <w:tcW w:w="3971" w:type="dxa"/>
            <w:gridSpan w:val="3"/>
            <w:vAlign w:val="center"/>
          </w:tcPr>
          <w:p>
            <w:pPr>
              <w:spacing w:line="360" w:lineRule="auto"/>
              <w:jc w:val="center"/>
              <w:rPr>
                <w:rFonts w:hint="eastAsia" w:ascii="宋体" w:hAnsi="宋体" w:eastAsia="宋体" w:cs="宋体"/>
                <w:color w:val="000000"/>
                <w:sz w:val="24"/>
                <w:szCs w:val="24"/>
                <w:highlight w:val="none"/>
              </w:rPr>
            </w:pPr>
          </w:p>
        </w:tc>
        <w:tc>
          <w:tcPr>
            <w:tcW w:w="2124" w:type="dxa"/>
            <w:vAlign w:val="center"/>
          </w:tcPr>
          <w:p>
            <w:pPr>
              <w:spacing w:line="360" w:lineRule="auto"/>
              <w:jc w:val="center"/>
              <w:rPr>
                <w:rFonts w:hint="eastAsia" w:ascii="宋体" w:hAnsi="宋体" w:eastAsia="宋体" w:cs="宋体"/>
                <w:color w:val="000000"/>
                <w:sz w:val="24"/>
                <w:szCs w:val="24"/>
                <w:highlight w:val="none"/>
              </w:rPr>
            </w:pPr>
          </w:p>
        </w:tc>
        <w:tc>
          <w:tcPr>
            <w:tcW w:w="2451" w:type="dxa"/>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vAlign w:val="center"/>
          </w:tcPr>
          <w:p>
            <w:pPr>
              <w:spacing w:line="360" w:lineRule="auto"/>
              <w:jc w:val="center"/>
              <w:rPr>
                <w:rFonts w:hint="eastAsia" w:ascii="宋体" w:hAnsi="宋体" w:eastAsia="宋体" w:cs="宋体"/>
                <w:color w:val="000000"/>
                <w:sz w:val="24"/>
                <w:szCs w:val="24"/>
                <w:highlight w:val="none"/>
              </w:rPr>
            </w:pPr>
          </w:p>
        </w:tc>
        <w:tc>
          <w:tcPr>
            <w:tcW w:w="3971" w:type="dxa"/>
            <w:gridSpan w:val="3"/>
            <w:vAlign w:val="center"/>
          </w:tcPr>
          <w:p>
            <w:pPr>
              <w:spacing w:line="360" w:lineRule="auto"/>
              <w:jc w:val="center"/>
              <w:rPr>
                <w:rFonts w:hint="eastAsia" w:ascii="宋体" w:hAnsi="宋体" w:eastAsia="宋体" w:cs="宋体"/>
                <w:color w:val="000000"/>
                <w:sz w:val="24"/>
                <w:szCs w:val="24"/>
                <w:highlight w:val="none"/>
              </w:rPr>
            </w:pPr>
          </w:p>
        </w:tc>
        <w:tc>
          <w:tcPr>
            <w:tcW w:w="2124" w:type="dxa"/>
            <w:vAlign w:val="center"/>
          </w:tcPr>
          <w:p>
            <w:pPr>
              <w:spacing w:line="360" w:lineRule="auto"/>
              <w:jc w:val="center"/>
              <w:rPr>
                <w:rFonts w:hint="eastAsia" w:ascii="宋体" w:hAnsi="宋体" w:eastAsia="宋体" w:cs="宋体"/>
                <w:color w:val="000000"/>
                <w:sz w:val="24"/>
                <w:szCs w:val="24"/>
                <w:highlight w:val="none"/>
              </w:rPr>
            </w:pPr>
          </w:p>
        </w:tc>
        <w:tc>
          <w:tcPr>
            <w:tcW w:w="2451" w:type="dxa"/>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vAlign w:val="center"/>
          </w:tcPr>
          <w:p>
            <w:pPr>
              <w:spacing w:line="360" w:lineRule="auto"/>
              <w:jc w:val="center"/>
              <w:rPr>
                <w:rFonts w:hint="eastAsia" w:ascii="宋体" w:hAnsi="宋体" w:eastAsia="宋体" w:cs="宋体"/>
                <w:color w:val="000000"/>
                <w:sz w:val="24"/>
                <w:szCs w:val="24"/>
                <w:highlight w:val="none"/>
              </w:rPr>
            </w:pPr>
          </w:p>
        </w:tc>
        <w:tc>
          <w:tcPr>
            <w:tcW w:w="3971" w:type="dxa"/>
            <w:gridSpan w:val="3"/>
            <w:vAlign w:val="center"/>
          </w:tcPr>
          <w:p>
            <w:pPr>
              <w:spacing w:line="360" w:lineRule="auto"/>
              <w:jc w:val="center"/>
              <w:rPr>
                <w:rFonts w:hint="eastAsia" w:ascii="宋体" w:hAnsi="宋体" w:eastAsia="宋体" w:cs="宋体"/>
                <w:color w:val="000000"/>
                <w:sz w:val="24"/>
                <w:szCs w:val="24"/>
                <w:highlight w:val="none"/>
              </w:rPr>
            </w:pPr>
          </w:p>
        </w:tc>
        <w:tc>
          <w:tcPr>
            <w:tcW w:w="2124" w:type="dxa"/>
            <w:vAlign w:val="center"/>
          </w:tcPr>
          <w:p>
            <w:pPr>
              <w:spacing w:line="360" w:lineRule="auto"/>
              <w:jc w:val="center"/>
              <w:rPr>
                <w:rFonts w:hint="eastAsia" w:ascii="宋体" w:hAnsi="宋体" w:eastAsia="宋体" w:cs="宋体"/>
                <w:color w:val="000000"/>
                <w:sz w:val="24"/>
                <w:szCs w:val="24"/>
                <w:highlight w:val="none"/>
              </w:rPr>
            </w:pPr>
          </w:p>
        </w:tc>
        <w:tc>
          <w:tcPr>
            <w:tcW w:w="2451" w:type="dxa"/>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vAlign w:val="center"/>
          </w:tcPr>
          <w:p>
            <w:pPr>
              <w:spacing w:line="360" w:lineRule="auto"/>
              <w:jc w:val="center"/>
              <w:rPr>
                <w:rFonts w:hint="eastAsia" w:ascii="宋体" w:hAnsi="宋体" w:eastAsia="宋体" w:cs="宋体"/>
                <w:color w:val="000000"/>
                <w:sz w:val="24"/>
                <w:szCs w:val="24"/>
                <w:highlight w:val="none"/>
              </w:rPr>
            </w:pPr>
          </w:p>
        </w:tc>
        <w:tc>
          <w:tcPr>
            <w:tcW w:w="3971" w:type="dxa"/>
            <w:gridSpan w:val="3"/>
            <w:vAlign w:val="center"/>
          </w:tcPr>
          <w:p>
            <w:pPr>
              <w:spacing w:line="360" w:lineRule="auto"/>
              <w:jc w:val="center"/>
              <w:rPr>
                <w:rFonts w:hint="eastAsia" w:ascii="宋体" w:hAnsi="宋体" w:eastAsia="宋体" w:cs="宋体"/>
                <w:color w:val="000000"/>
                <w:sz w:val="24"/>
                <w:szCs w:val="24"/>
                <w:highlight w:val="none"/>
              </w:rPr>
            </w:pPr>
          </w:p>
        </w:tc>
        <w:tc>
          <w:tcPr>
            <w:tcW w:w="2124" w:type="dxa"/>
            <w:vAlign w:val="center"/>
          </w:tcPr>
          <w:p>
            <w:pPr>
              <w:spacing w:line="360" w:lineRule="auto"/>
              <w:jc w:val="center"/>
              <w:rPr>
                <w:rFonts w:hint="eastAsia" w:ascii="宋体" w:hAnsi="宋体" w:eastAsia="宋体" w:cs="宋体"/>
                <w:color w:val="000000"/>
                <w:sz w:val="24"/>
                <w:szCs w:val="24"/>
                <w:highlight w:val="none"/>
              </w:rPr>
            </w:pPr>
          </w:p>
        </w:tc>
        <w:tc>
          <w:tcPr>
            <w:tcW w:w="2451" w:type="dxa"/>
            <w:vAlign w:val="center"/>
          </w:tcPr>
          <w:p>
            <w:pPr>
              <w:spacing w:line="360" w:lineRule="auto"/>
              <w:jc w:val="center"/>
              <w:rPr>
                <w:rFonts w:hint="eastAsia" w:ascii="宋体" w:hAnsi="宋体" w:eastAsia="宋体" w:cs="宋体"/>
                <w:color w:val="000000"/>
                <w:sz w:val="24"/>
                <w:szCs w:val="24"/>
                <w:highlight w:val="none"/>
              </w:rPr>
            </w:pPr>
          </w:p>
        </w:tc>
      </w:tr>
    </w:tbl>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br w:type="page"/>
      </w:r>
    </w:p>
    <w:p>
      <w:pPr>
        <w:widowControl w:val="0"/>
        <w:adjustRightInd/>
        <w:snapToGrid/>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附3：项目经理承诺书</w:t>
      </w:r>
    </w:p>
    <w:p>
      <w:pPr>
        <w:widowControl w:val="0"/>
        <w:adjustRightInd/>
        <w:snapToGrid/>
        <w:spacing w:line="360" w:lineRule="auto"/>
        <w:ind w:firstLine="424" w:firstLineChars="177"/>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项目经理承诺书</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————————（招标人名称）：</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我方在此声明，我方拟派往</w:t>
      </w:r>
      <w:r>
        <w:rPr>
          <w:rFonts w:hint="eastAsia" w:ascii="宋体" w:hAnsi="宋体" w:eastAsia="宋体" w:cs="宋体"/>
          <w:kern w:val="2"/>
          <w:sz w:val="24"/>
          <w:szCs w:val="24"/>
          <w:highlight w:val="none"/>
          <w:u w:val="single"/>
        </w:rPr>
        <w:t>（项目名称）</w:t>
      </w:r>
      <w:r>
        <w:rPr>
          <w:rFonts w:hint="eastAsia" w:ascii="宋体" w:hAnsi="宋体" w:eastAsia="宋体" w:cs="宋体"/>
          <w:kern w:val="2"/>
          <w:sz w:val="24"/>
          <w:szCs w:val="24"/>
          <w:highlight w:val="none"/>
        </w:rPr>
        <w:t>（以下简称“本工程”）的项目经理</w:t>
      </w:r>
      <w:r>
        <w:rPr>
          <w:rFonts w:hint="eastAsia" w:ascii="宋体" w:hAnsi="宋体" w:eastAsia="宋体" w:cs="宋体"/>
          <w:kern w:val="2"/>
          <w:sz w:val="24"/>
          <w:szCs w:val="24"/>
          <w:highlight w:val="none"/>
          <w:u w:val="single"/>
        </w:rPr>
        <w:t>（项目经理姓名）</w:t>
      </w:r>
      <w:r>
        <w:rPr>
          <w:rFonts w:hint="eastAsia" w:ascii="宋体" w:hAnsi="宋体" w:eastAsia="宋体" w:cs="宋体"/>
          <w:kern w:val="2"/>
          <w:sz w:val="24"/>
          <w:szCs w:val="24"/>
          <w:highlight w:val="none"/>
        </w:rPr>
        <w:t>现阶段没有担任任何在建工程项目的项目经理。</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我方保证上述信息的真实和准确，并愿意承担因我方就此弄虚作假所引起的一切法律后果。</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widowControl w:val="0"/>
        <w:adjustRightInd/>
        <w:snapToGrid/>
        <w:spacing w:line="360" w:lineRule="auto"/>
        <w:ind w:firstLine="424" w:firstLineChars="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特此承诺</w:t>
      </w:r>
    </w:p>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widowControl w:val="0"/>
        <w:adjustRightInd/>
        <w:snapToGrid/>
        <w:spacing w:line="360" w:lineRule="auto"/>
        <w:ind w:firstLine="424" w:firstLineChars="177"/>
        <w:rPr>
          <w:rFonts w:hint="eastAsia" w:ascii="宋体" w:hAnsi="宋体" w:eastAsia="宋体" w:cs="宋体"/>
          <w:kern w:val="2"/>
          <w:sz w:val="24"/>
          <w:szCs w:val="24"/>
          <w:highlight w:val="none"/>
        </w:rPr>
      </w:pPr>
    </w:p>
    <w:p>
      <w:pPr>
        <w:widowControl w:val="0"/>
        <w:adjustRightInd/>
        <w:snapToGrid/>
        <w:spacing w:line="360" w:lineRule="auto"/>
        <w:ind w:firstLine="4624" w:firstLineChars="192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谈判</w:t>
      </w:r>
      <w:r>
        <w:rPr>
          <w:rFonts w:hint="eastAsia" w:ascii="宋体" w:hAnsi="宋体" w:eastAsia="宋体" w:cs="宋体"/>
          <w:kern w:val="2"/>
          <w:sz w:val="24"/>
          <w:szCs w:val="24"/>
          <w:highlight w:val="none"/>
        </w:rPr>
        <w:t>响应人：（盖单位章）</w:t>
      </w:r>
    </w:p>
    <w:p>
      <w:pPr>
        <w:widowControl w:val="0"/>
        <w:adjustRightInd/>
        <w:snapToGrid/>
        <w:spacing w:line="360" w:lineRule="auto"/>
        <w:ind w:firstLine="4504" w:firstLineChars="18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法定代表人：（签字并加盖法定代表人章）</w:t>
      </w:r>
    </w:p>
    <w:p>
      <w:pPr>
        <w:widowControl w:val="0"/>
        <w:adjustRightInd/>
        <w:snapToGrid/>
        <w:spacing w:line="360" w:lineRule="auto"/>
        <w:ind w:firstLine="4504" w:firstLineChars="18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项目经理：（签字）</w:t>
      </w:r>
    </w:p>
    <w:p>
      <w:pPr>
        <w:widowControl w:val="0"/>
        <w:adjustRightInd/>
        <w:snapToGrid/>
        <w:spacing w:line="360" w:lineRule="auto"/>
        <w:ind w:firstLine="5224" w:firstLineChars="2177"/>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年    月     日</w:t>
      </w:r>
    </w:p>
    <w:p>
      <w:pPr>
        <w:widowControl w:val="0"/>
        <w:adjustRightInd/>
        <w:snapToGrid/>
        <w:spacing w:line="360" w:lineRule="auto"/>
        <w:rPr>
          <w:rFonts w:hint="eastAsia" w:ascii="宋体" w:hAnsi="宋体" w:eastAsia="宋体" w:cs="宋体"/>
          <w:kern w:val="2"/>
          <w:sz w:val="24"/>
          <w:szCs w:val="24"/>
          <w:highlight w:val="none"/>
        </w:rPr>
      </w:pPr>
    </w:p>
    <w:p>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4"/>
          <w:szCs w:val="24"/>
          <w:lang w:val="en-US" w:eastAsia="zh-CN" w:bidi="ar-SA"/>
        </w:rPr>
      </w:pPr>
    </w:p>
    <w:p>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4"/>
          <w:szCs w:val="24"/>
          <w:lang w:val="en-US" w:eastAsia="zh-CN" w:bidi="ar-SA"/>
        </w:rPr>
      </w:pPr>
    </w:p>
    <w:p>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4"/>
          <w:szCs w:val="24"/>
          <w:lang w:val="en-US" w:eastAsia="zh-CN" w:bidi="ar-SA"/>
        </w:rPr>
      </w:pPr>
    </w:p>
    <w:p>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4"/>
          <w:szCs w:val="24"/>
          <w:lang w:val="en-US" w:eastAsia="zh-CN" w:bidi="ar-SA"/>
        </w:rPr>
      </w:pPr>
    </w:p>
    <w:p>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bCs w:val="0"/>
          <w:color w:val="000000"/>
          <w:kern w:val="2"/>
          <w:sz w:val="24"/>
          <w:szCs w:val="24"/>
          <w:lang w:val="en-US" w:eastAsia="zh-CN" w:bidi="ar-SA"/>
        </w:rPr>
      </w:pPr>
    </w:p>
    <w:p>
      <w:pPr>
        <w:pStyle w:val="7"/>
        <w:bidi w:val="0"/>
        <w:rPr>
          <w:rFonts w:hint="eastAsia"/>
          <w:lang w:val="en-US" w:eastAsia="zh-CN"/>
        </w:rPr>
      </w:pPr>
      <w:r>
        <w:rPr>
          <w:rFonts w:hint="eastAsia"/>
          <w:lang w:val="en-US" w:eastAsia="zh-CN"/>
        </w:rPr>
        <w:t>附件14：享受政府采购政策优惠的证明资料</w:t>
      </w:r>
    </w:p>
    <w:p>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1.中小企业声明函</w:t>
      </w:r>
      <w:bookmarkEnd w:id="507"/>
      <w:bookmarkEnd w:id="508"/>
      <w:bookmarkEnd w:id="509"/>
    </w:p>
    <w:p>
      <w:pPr>
        <w:widowControl/>
        <w:wordWrap/>
        <w:adjustRightInd w:val="0"/>
        <w:snapToGrid w:val="0"/>
        <w:spacing w:line="560" w:lineRule="exact"/>
        <w:jc w:val="center"/>
        <w:textAlignment w:val="auto"/>
        <w:outlineLvl w:val="9"/>
        <w:rPr>
          <w:rFonts w:hint="eastAsia" w:asciiTheme="minorEastAsia" w:hAnsiTheme="minorEastAsia" w:eastAsiaTheme="minorEastAsia" w:cstheme="minorEastAsia"/>
          <w:b/>
          <w:spacing w:val="6"/>
          <w:kern w:val="0"/>
          <w:sz w:val="24"/>
          <w:szCs w:val="24"/>
        </w:rPr>
      </w:pPr>
      <w:bookmarkStart w:id="556" w:name="_Toc3019_WPSOffice_Level3"/>
      <w:bookmarkStart w:id="557" w:name="_Toc1901_WPSOffice_Level3"/>
      <w:r>
        <w:rPr>
          <w:rFonts w:hint="eastAsia" w:asciiTheme="minorEastAsia" w:hAnsiTheme="minorEastAsia" w:eastAsiaTheme="minorEastAsia" w:cstheme="minorEastAsia"/>
          <w:b/>
          <w:spacing w:val="6"/>
          <w:kern w:val="0"/>
          <w:sz w:val="24"/>
          <w:szCs w:val="24"/>
        </w:rPr>
        <w:t>(不满足以下条件的无需填写)</w:t>
      </w:r>
      <w:bookmarkEnd w:id="556"/>
      <w:bookmarkEnd w:id="557"/>
    </w:p>
    <w:p>
      <w:pPr>
        <w:wordWrap/>
        <w:autoSpaceDE w:val="0"/>
        <w:autoSpaceDN w:val="0"/>
        <w:spacing w:line="560" w:lineRule="exact"/>
        <w:textAlignment w:val="auto"/>
        <w:outlineLvl w:val="9"/>
        <w:rPr>
          <w:rFonts w:hint="eastAsia" w:asciiTheme="minorEastAsia" w:hAnsiTheme="minorEastAsia" w:eastAsiaTheme="minorEastAsia" w:cstheme="minorEastAsia"/>
          <w:spacing w:val="6"/>
          <w:kern w:val="0"/>
          <w:sz w:val="24"/>
          <w:szCs w:val="24"/>
        </w:rPr>
      </w:pPr>
      <w:bookmarkStart w:id="558" w:name="_Toc16462_WPSOffice_Level2"/>
      <w:bookmarkStart w:id="559" w:name="_Toc22185_WPSOffice_Level2"/>
      <w:bookmarkStart w:id="560" w:name="_Toc17607_WPSOffice_Level2"/>
      <w:r>
        <w:rPr>
          <w:rFonts w:hint="eastAsia" w:asciiTheme="minorEastAsia" w:hAnsiTheme="minorEastAsia" w:eastAsiaTheme="minorEastAsia" w:cstheme="minorEastAsia"/>
          <w:b/>
          <w:bCs/>
          <w:color w:val="000000"/>
          <w:kern w:val="0"/>
          <w:sz w:val="24"/>
          <w:szCs w:val="24"/>
          <w:lang w:val="zh-CN"/>
        </w:rPr>
        <w:t>致：（</w:t>
      </w:r>
      <w:r>
        <w:rPr>
          <w:rFonts w:hint="eastAsia" w:asciiTheme="minorEastAsia" w:hAnsiTheme="minorEastAsia" w:eastAsiaTheme="minorEastAsia" w:cstheme="minorEastAsia"/>
          <w:b/>
          <w:bCs/>
          <w:color w:val="000000"/>
          <w:kern w:val="0"/>
          <w:sz w:val="24"/>
          <w:szCs w:val="24"/>
          <w:u w:val="single"/>
          <w:lang w:val="zh-CN"/>
        </w:rPr>
        <w:t>采购人或者采购代理机构）</w:t>
      </w:r>
      <w:bookmarkEnd w:id="558"/>
      <w:bookmarkEnd w:id="559"/>
      <w:bookmarkEnd w:id="560"/>
    </w:p>
    <w:p>
      <w:pPr>
        <w:widowControl/>
        <w:wordWrap/>
        <w:adjustRightInd w:val="0"/>
        <w:snapToGrid w:val="0"/>
        <w:spacing w:line="560" w:lineRule="exact"/>
        <w:ind w:firstLine="504" w:firstLineChars="200"/>
        <w:jc w:val="left"/>
        <w:textAlignment w:val="auto"/>
        <w:outlineLvl w:val="9"/>
        <w:rPr>
          <w:rFonts w:hint="eastAsia" w:asciiTheme="minorEastAsia" w:hAnsiTheme="minorEastAsia" w:eastAsiaTheme="minorEastAsia" w:cstheme="minorEastAsia"/>
          <w:spacing w:val="6"/>
          <w:kern w:val="0"/>
          <w:sz w:val="24"/>
          <w:szCs w:val="24"/>
          <w:lang w:eastAsia="zh-CN"/>
        </w:rPr>
      </w:pPr>
      <w:r>
        <w:rPr>
          <w:rFonts w:hint="eastAsia" w:asciiTheme="minorEastAsia" w:hAnsiTheme="minorEastAsia" w:eastAsiaTheme="minorEastAsia" w:cstheme="minorEastAsia"/>
          <w:spacing w:val="6"/>
          <w:kern w:val="0"/>
          <w:sz w:val="24"/>
          <w:szCs w:val="24"/>
        </w:rPr>
        <w:t>本公司</w:t>
      </w:r>
      <w:r>
        <w:rPr>
          <w:rFonts w:hint="eastAsia" w:asciiTheme="minorEastAsia" w:hAnsiTheme="minorEastAsia" w:eastAsiaTheme="minorEastAsia" w:cstheme="minorEastAsia"/>
          <w:spacing w:val="6"/>
          <w:kern w:val="0"/>
          <w:sz w:val="24"/>
          <w:szCs w:val="24"/>
          <w:lang w:eastAsia="zh-CN"/>
        </w:rPr>
        <w:t>（联合体）</w:t>
      </w:r>
      <w:r>
        <w:rPr>
          <w:rFonts w:hint="eastAsia" w:asciiTheme="minorEastAsia" w:hAnsiTheme="minorEastAsia" w:eastAsiaTheme="minorEastAsia" w:cstheme="minorEastAsia"/>
          <w:spacing w:val="6"/>
          <w:kern w:val="0"/>
          <w:sz w:val="24"/>
          <w:szCs w:val="24"/>
        </w:rPr>
        <w:t>郑重声明，根据《政府采购促进中小企业发展暂行办法》的规定，本公司</w:t>
      </w:r>
      <w:r>
        <w:rPr>
          <w:rFonts w:hint="eastAsia" w:asciiTheme="minorEastAsia" w:hAnsiTheme="minorEastAsia" w:eastAsiaTheme="minorEastAsia" w:cstheme="minorEastAsia"/>
          <w:spacing w:val="6"/>
          <w:kern w:val="0"/>
          <w:sz w:val="24"/>
          <w:szCs w:val="24"/>
          <w:lang w:eastAsia="zh-CN"/>
        </w:rPr>
        <w:t>（联合体）参加</w:t>
      </w:r>
      <w:r>
        <w:rPr>
          <w:rFonts w:hint="eastAsia" w:asciiTheme="minorEastAsia" w:hAnsiTheme="minorEastAsia" w:eastAsiaTheme="minorEastAsia" w:cstheme="minorEastAsia"/>
          <w:spacing w:val="6"/>
          <w:kern w:val="0"/>
          <w:sz w:val="24"/>
          <w:szCs w:val="24"/>
          <w:u w:val="single"/>
        </w:rPr>
        <w:t xml:space="preserve">            </w:t>
      </w:r>
      <w:r>
        <w:rPr>
          <w:rFonts w:hint="eastAsia" w:asciiTheme="minorEastAsia" w:hAnsiTheme="minorEastAsia" w:eastAsiaTheme="minorEastAsia" w:cstheme="minorEastAsia"/>
          <w:spacing w:val="6"/>
          <w:kern w:val="0"/>
          <w:sz w:val="24"/>
          <w:szCs w:val="24"/>
        </w:rPr>
        <w:t>单位的</w:t>
      </w:r>
      <w:r>
        <w:rPr>
          <w:rFonts w:hint="eastAsia" w:asciiTheme="minorEastAsia" w:hAnsiTheme="minorEastAsia" w:eastAsiaTheme="minorEastAsia" w:cstheme="minorEastAsia"/>
          <w:spacing w:val="6"/>
          <w:kern w:val="0"/>
          <w:sz w:val="24"/>
          <w:szCs w:val="24"/>
          <w:u w:val="single"/>
        </w:rPr>
        <w:t xml:space="preserve">          </w:t>
      </w:r>
      <w:r>
        <w:rPr>
          <w:rFonts w:hint="eastAsia" w:asciiTheme="minorEastAsia" w:hAnsiTheme="minorEastAsia" w:eastAsiaTheme="minorEastAsia" w:cstheme="minorEastAsia"/>
          <w:spacing w:val="6"/>
          <w:kern w:val="0"/>
          <w:sz w:val="24"/>
          <w:szCs w:val="24"/>
        </w:rPr>
        <w:t xml:space="preserve"> 项目采购活动</w:t>
      </w:r>
      <w:r>
        <w:rPr>
          <w:rFonts w:hint="eastAsia" w:asciiTheme="minorEastAsia" w:hAnsiTheme="minorEastAsia" w:eastAsiaTheme="minorEastAsia" w:cstheme="minorEastAsia"/>
          <w:spacing w:val="6"/>
          <w:kern w:val="0"/>
          <w:sz w:val="24"/>
          <w:szCs w:val="24"/>
          <w:lang w:eastAsia="zh-CN"/>
        </w:rPr>
        <w:t>，提供的货物均由符合政策要求的中小企业制造，相关企业（含联合体中的中小企业、签订分包意向协议的中小企业）具体情况如下：</w:t>
      </w:r>
    </w:p>
    <w:p>
      <w:pPr>
        <w:widowControl/>
        <w:numPr>
          <w:ilvl w:val="0"/>
          <w:numId w:val="7"/>
        </w:numPr>
        <w:wordWrap/>
        <w:adjustRightInd w:val="0"/>
        <w:snapToGrid w:val="0"/>
        <w:spacing w:line="560" w:lineRule="exact"/>
        <w:ind w:firstLine="504" w:firstLineChars="200"/>
        <w:jc w:val="left"/>
        <w:textAlignment w:val="auto"/>
        <w:outlineLvl w:val="9"/>
        <w:rPr>
          <w:rFonts w:hint="eastAsia" w:asciiTheme="minorEastAsia" w:hAnsiTheme="minorEastAsia" w:eastAsiaTheme="minorEastAsia" w:cstheme="minorEastAsia"/>
          <w:color w:val="auto"/>
          <w:spacing w:val="6"/>
          <w:kern w:val="0"/>
          <w:sz w:val="24"/>
          <w:szCs w:val="24"/>
          <w:highlight w:val="none"/>
        </w:rPr>
      </w:pPr>
      <w:r>
        <w:rPr>
          <w:rFonts w:hint="eastAsia" w:asciiTheme="minorEastAsia" w:hAnsiTheme="minorEastAsia" w:eastAsiaTheme="minorEastAsia" w:cstheme="minorEastAsia"/>
          <w:spacing w:val="6"/>
          <w:kern w:val="0"/>
          <w:sz w:val="24"/>
          <w:szCs w:val="24"/>
          <w:u w:val="single"/>
          <w:lang w:eastAsia="zh-CN"/>
        </w:rPr>
        <w:t>（标的名称）</w:t>
      </w:r>
      <w:r>
        <w:rPr>
          <w:rFonts w:hint="eastAsia" w:asciiTheme="minorEastAsia" w:hAnsiTheme="minorEastAsia" w:eastAsiaTheme="minorEastAsia" w:cstheme="minorEastAsia"/>
          <w:spacing w:val="6"/>
          <w:kern w:val="0"/>
          <w:sz w:val="24"/>
          <w:szCs w:val="24"/>
          <w:lang w:eastAsia="zh-CN"/>
        </w:rPr>
        <w:t>，属于</w:t>
      </w:r>
      <w:r>
        <w:rPr>
          <w:rFonts w:hint="eastAsia" w:asciiTheme="minorEastAsia" w:hAnsiTheme="minorEastAsia" w:eastAsiaTheme="minorEastAsia" w:cstheme="minorEastAsia"/>
          <w:spacing w:val="6"/>
          <w:kern w:val="0"/>
          <w:sz w:val="24"/>
          <w:szCs w:val="24"/>
          <w:u w:val="single"/>
        </w:rPr>
        <w:t xml:space="preserve"> </w:t>
      </w:r>
      <w:r>
        <w:rPr>
          <w:rFonts w:hint="eastAsia" w:asciiTheme="minorEastAsia" w:hAnsiTheme="minorEastAsia" w:eastAsiaTheme="minorEastAsia" w:cstheme="minorEastAsia"/>
          <w:spacing w:val="6"/>
          <w:kern w:val="0"/>
          <w:sz w:val="24"/>
          <w:szCs w:val="24"/>
          <w:u w:val="single"/>
          <w:lang w:eastAsia="zh-CN"/>
        </w:rPr>
        <w:t>（采购文件中明确的所属行业）</w:t>
      </w:r>
      <w:r>
        <w:rPr>
          <w:rFonts w:hint="eastAsia" w:asciiTheme="minorEastAsia" w:hAnsiTheme="minorEastAsia" w:eastAsiaTheme="minorEastAsia" w:cstheme="minorEastAsia"/>
          <w:spacing w:val="6"/>
          <w:kern w:val="0"/>
          <w:sz w:val="24"/>
          <w:szCs w:val="24"/>
          <w:lang w:eastAsia="zh-CN"/>
        </w:rPr>
        <w:t>，制造商为</w:t>
      </w:r>
      <w:r>
        <w:rPr>
          <w:rFonts w:hint="eastAsia" w:asciiTheme="minorEastAsia" w:hAnsiTheme="minorEastAsia" w:eastAsiaTheme="minorEastAsia" w:cstheme="minorEastAsia"/>
          <w:spacing w:val="6"/>
          <w:kern w:val="0"/>
          <w:sz w:val="24"/>
          <w:szCs w:val="24"/>
          <w:u w:val="single"/>
        </w:rPr>
        <w:t xml:space="preserve"> </w:t>
      </w:r>
      <w:r>
        <w:rPr>
          <w:rFonts w:hint="eastAsia" w:asciiTheme="minorEastAsia" w:hAnsiTheme="minorEastAsia" w:eastAsiaTheme="minorEastAsia" w:cstheme="minorEastAsia"/>
          <w:spacing w:val="6"/>
          <w:kern w:val="0"/>
          <w:sz w:val="24"/>
          <w:szCs w:val="24"/>
          <w:u w:val="single"/>
          <w:lang w:eastAsia="zh-CN"/>
        </w:rPr>
        <w:t>（企业名称）</w:t>
      </w:r>
      <w:r>
        <w:rPr>
          <w:rFonts w:hint="eastAsia" w:asciiTheme="minorEastAsia" w:hAnsiTheme="minorEastAsia" w:eastAsiaTheme="minorEastAsia" w:cstheme="minorEastAsia"/>
          <w:spacing w:val="6"/>
          <w:kern w:val="0"/>
          <w:sz w:val="24"/>
          <w:szCs w:val="24"/>
          <w:lang w:eastAsia="zh-CN"/>
        </w:rPr>
        <w:t>，属于</w:t>
      </w:r>
      <w:r>
        <w:rPr>
          <w:rFonts w:hint="eastAsia" w:asciiTheme="minorEastAsia" w:hAnsiTheme="minorEastAsia" w:eastAsiaTheme="minorEastAsia" w:cstheme="minorEastAsia"/>
          <w:spacing w:val="6"/>
          <w:kern w:val="0"/>
          <w:sz w:val="24"/>
          <w:szCs w:val="24"/>
          <w:u w:val="single"/>
        </w:rPr>
        <w:t xml:space="preserve"> </w:t>
      </w:r>
      <w:r>
        <w:rPr>
          <w:rFonts w:hint="eastAsia" w:asciiTheme="minorEastAsia" w:hAnsiTheme="minorEastAsia" w:eastAsiaTheme="minorEastAsia" w:cstheme="minorEastAsia"/>
          <w:spacing w:val="6"/>
          <w:kern w:val="0"/>
          <w:sz w:val="24"/>
          <w:szCs w:val="24"/>
          <w:u w:val="single"/>
          <w:lang w:eastAsia="zh-CN"/>
        </w:rPr>
        <w:t>（社会组织、中型企业、小型企业、微型企业、监狱企业或残疾人福利性单位）</w:t>
      </w:r>
      <w:r>
        <w:rPr>
          <w:rFonts w:hint="eastAsia" w:asciiTheme="minorEastAsia" w:hAnsiTheme="minorEastAsia" w:eastAsiaTheme="minorEastAsia" w:cstheme="minorEastAsia"/>
          <w:color w:val="auto"/>
          <w:spacing w:val="6"/>
          <w:kern w:val="0"/>
          <w:sz w:val="24"/>
          <w:szCs w:val="24"/>
          <w:highlight w:val="none"/>
        </w:rPr>
        <w:t>。</w:t>
      </w:r>
    </w:p>
    <w:p>
      <w:pPr>
        <w:widowControl/>
        <w:wordWrap/>
        <w:adjustRightInd w:val="0"/>
        <w:snapToGrid w:val="0"/>
        <w:spacing w:line="560" w:lineRule="exact"/>
        <w:ind w:firstLine="504" w:firstLineChars="200"/>
        <w:jc w:val="left"/>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6"/>
          <w:kern w:val="0"/>
          <w:sz w:val="24"/>
          <w:szCs w:val="24"/>
          <w:lang w:val="en-US" w:eastAsia="zh-CN"/>
        </w:rPr>
        <w:t>2.</w:t>
      </w:r>
      <w:r>
        <w:rPr>
          <w:rFonts w:hint="eastAsia" w:asciiTheme="minorEastAsia" w:hAnsiTheme="minorEastAsia" w:eastAsiaTheme="minorEastAsia" w:cstheme="minorEastAsia"/>
          <w:spacing w:val="6"/>
          <w:kern w:val="0"/>
          <w:sz w:val="24"/>
          <w:szCs w:val="24"/>
          <w:u w:val="single"/>
        </w:rPr>
        <w:t xml:space="preserve"> </w:t>
      </w:r>
      <w:r>
        <w:rPr>
          <w:rFonts w:hint="eastAsia" w:asciiTheme="minorEastAsia" w:hAnsiTheme="minorEastAsia" w:eastAsiaTheme="minorEastAsia" w:cstheme="minorEastAsia"/>
          <w:spacing w:val="6"/>
          <w:kern w:val="0"/>
          <w:sz w:val="24"/>
          <w:szCs w:val="24"/>
          <w:u w:val="single"/>
          <w:lang w:eastAsia="zh-CN"/>
        </w:rPr>
        <w:t>（标的名称）</w:t>
      </w:r>
      <w:r>
        <w:rPr>
          <w:rFonts w:hint="eastAsia" w:asciiTheme="minorEastAsia" w:hAnsiTheme="minorEastAsia" w:eastAsiaTheme="minorEastAsia" w:cstheme="minorEastAsia"/>
          <w:spacing w:val="6"/>
          <w:kern w:val="0"/>
          <w:sz w:val="24"/>
          <w:szCs w:val="24"/>
          <w:lang w:eastAsia="zh-CN"/>
        </w:rPr>
        <w:t>，属于</w:t>
      </w:r>
      <w:r>
        <w:rPr>
          <w:rFonts w:hint="eastAsia" w:asciiTheme="minorEastAsia" w:hAnsiTheme="minorEastAsia" w:eastAsiaTheme="minorEastAsia" w:cstheme="minorEastAsia"/>
          <w:spacing w:val="6"/>
          <w:kern w:val="0"/>
          <w:sz w:val="24"/>
          <w:szCs w:val="24"/>
          <w:u w:val="single"/>
        </w:rPr>
        <w:t xml:space="preserve"> </w:t>
      </w:r>
      <w:r>
        <w:rPr>
          <w:rFonts w:hint="eastAsia" w:asciiTheme="minorEastAsia" w:hAnsiTheme="minorEastAsia" w:eastAsiaTheme="minorEastAsia" w:cstheme="minorEastAsia"/>
          <w:spacing w:val="6"/>
          <w:kern w:val="0"/>
          <w:sz w:val="24"/>
          <w:szCs w:val="24"/>
          <w:u w:val="single"/>
          <w:lang w:eastAsia="zh-CN"/>
        </w:rPr>
        <w:t>（采购文件中明确的所属行业）</w:t>
      </w:r>
      <w:r>
        <w:rPr>
          <w:rFonts w:hint="eastAsia" w:asciiTheme="minorEastAsia" w:hAnsiTheme="minorEastAsia" w:eastAsiaTheme="minorEastAsia" w:cstheme="minorEastAsia"/>
          <w:spacing w:val="6"/>
          <w:kern w:val="0"/>
          <w:sz w:val="24"/>
          <w:szCs w:val="24"/>
          <w:lang w:eastAsia="zh-CN"/>
        </w:rPr>
        <w:t>，制造商为</w:t>
      </w:r>
      <w:r>
        <w:rPr>
          <w:rFonts w:hint="eastAsia" w:asciiTheme="minorEastAsia" w:hAnsiTheme="minorEastAsia" w:eastAsiaTheme="minorEastAsia" w:cstheme="minorEastAsia"/>
          <w:spacing w:val="6"/>
          <w:kern w:val="0"/>
          <w:sz w:val="24"/>
          <w:szCs w:val="24"/>
          <w:u w:val="single"/>
        </w:rPr>
        <w:t xml:space="preserve"> </w:t>
      </w:r>
      <w:r>
        <w:rPr>
          <w:rFonts w:hint="eastAsia" w:asciiTheme="minorEastAsia" w:hAnsiTheme="minorEastAsia" w:eastAsiaTheme="minorEastAsia" w:cstheme="minorEastAsia"/>
          <w:spacing w:val="6"/>
          <w:kern w:val="0"/>
          <w:sz w:val="24"/>
          <w:szCs w:val="24"/>
          <w:u w:val="single"/>
          <w:lang w:eastAsia="zh-CN"/>
        </w:rPr>
        <w:t>（企业名称）</w:t>
      </w:r>
      <w:r>
        <w:rPr>
          <w:rFonts w:hint="eastAsia" w:asciiTheme="minorEastAsia" w:hAnsiTheme="minorEastAsia" w:eastAsiaTheme="minorEastAsia" w:cstheme="minorEastAsia"/>
          <w:spacing w:val="6"/>
          <w:kern w:val="0"/>
          <w:sz w:val="24"/>
          <w:szCs w:val="24"/>
          <w:lang w:eastAsia="zh-CN"/>
        </w:rPr>
        <w:t>，属于</w:t>
      </w:r>
      <w:r>
        <w:rPr>
          <w:rFonts w:hint="eastAsia" w:asciiTheme="minorEastAsia" w:hAnsiTheme="minorEastAsia" w:eastAsiaTheme="minorEastAsia" w:cstheme="minorEastAsia"/>
          <w:spacing w:val="6"/>
          <w:kern w:val="0"/>
          <w:sz w:val="24"/>
          <w:szCs w:val="24"/>
          <w:u w:val="single"/>
        </w:rPr>
        <w:t xml:space="preserve"> </w:t>
      </w:r>
      <w:r>
        <w:rPr>
          <w:rFonts w:hint="eastAsia" w:asciiTheme="minorEastAsia" w:hAnsiTheme="minorEastAsia" w:eastAsiaTheme="minorEastAsia" w:cstheme="minorEastAsia"/>
          <w:spacing w:val="6"/>
          <w:kern w:val="0"/>
          <w:sz w:val="24"/>
          <w:szCs w:val="24"/>
          <w:u w:val="single"/>
          <w:lang w:eastAsia="zh-CN"/>
        </w:rPr>
        <w:t>（社会组织、中型企业、小型企业、微型企业、监狱企业或残疾人福利性单位）</w:t>
      </w:r>
      <w:r>
        <w:rPr>
          <w:rFonts w:hint="eastAsia" w:asciiTheme="minorEastAsia" w:hAnsiTheme="minorEastAsia" w:eastAsiaTheme="minorEastAsia" w:cstheme="minorEastAsia"/>
          <w:color w:val="auto"/>
          <w:spacing w:val="6"/>
          <w:kern w:val="0"/>
          <w:sz w:val="24"/>
          <w:szCs w:val="24"/>
          <w:highlight w:val="none"/>
        </w:rPr>
        <w:t>。</w:t>
      </w:r>
    </w:p>
    <w:p>
      <w:pPr>
        <w:widowControl/>
        <w:numPr>
          <w:ilvl w:val="0"/>
          <w:numId w:val="0"/>
        </w:numPr>
        <w:wordWrap/>
        <w:adjustRightInd w:val="0"/>
        <w:snapToGrid w:val="0"/>
        <w:spacing w:line="560" w:lineRule="exact"/>
        <w:jc w:val="left"/>
        <w:textAlignment w:val="auto"/>
        <w:outlineLvl w:val="9"/>
        <w:rPr>
          <w:rFonts w:hint="eastAsia" w:asciiTheme="minorEastAsia" w:hAnsiTheme="minorEastAsia" w:eastAsiaTheme="minorEastAsia" w:cstheme="minorEastAsia"/>
          <w:color w:val="auto"/>
          <w:spacing w:val="6"/>
          <w:kern w:val="0"/>
          <w:sz w:val="24"/>
          <w:szCs w:val="24"/>
          <w:highlight w:val="none"/>
          <w:lang w:val="en-US" w:eastAsia="zh-CN"/>
        </w:rPr>
      </w:pPr>
      <w:r>
        <w:rPr>
          <w:rFonts w:hint="eastAsia" w:asciiTheme="minorEastAsia" w:hAnsiTheme="minorEastAsia" w:eastAsiaTheme="minorEastAsia" w:cstheme="minorEastAsia"/>
          <w:color w:val="auto"/>
          <w:spacing w:val="6"/>
          <w:kern w:val="0"/>
          <w:sz w:val="24"/>
          <w:szCs w:val="24"/>
          <w:highlight w:val="none"/>
          <w:lang w:val="en-US" w:eastAsia="zh-CN"/>
        </w:rPr>
        <w:t xml:space="preserve">    ……</w:t>
      </w:r>
    </w:p>
    <w:p>
      <w:pPr>
        <w:widowControl/>
        <w:wordWrap/>
        <w:adjustRightInd w:val="0"/>
        <w:snapToGrid w:val="0"/>
        <w:spacing w:line="560" w:lineRule="exact"/>
        <w:ind w:firstLine="504" w:firstLineChars="200"/>
        <w:jc w:val="left"/>
        <w:textAlignment w:val="auto"/>
        <w:outlineLvl w:val="9"/>
        <w:rPr>
          <w:rFonts w:hint="eastAsia" w:asciiTheme="minorEastAsia" w:hAnsiTheme="minorEastAsia" w:eastAsiaTheme="minorEastAsia" w:cstheme="minorEastAsia"/>
          <w:spacing w:val="6"/>
          <w:kern w:val="0"/>
          <w:sz w:val="24"/>
          <w:szCs w:val="24"/>
        </w:rPr>
      </w:pPr>
      <w:r>
        <w:rPr>
          <w:rFonts w:hint="eastAsia" w:asciiTheme="minorEastAsia" w:hAnsiTheme="minorEastAsia" w:eastAsiaTheme="minorEastAsia" w:cstheme="minorEastAsia"/>
          <w:spacing w:val="6"/>
          <w:kern w:val="0"/>
          <w:sz w:val="24"/>
          <w:szCs w:val="24"/>
        </w:rPr>
        <w:t>本公司对上述声明的真实性负责。如有虚假，将依法承担相应责任。</w:t>
      </w:r>
    </w:p>
    <w:p>
      <w:pPr>
        <w:wordWrap/>
        <w:spacing w:before="157" w:beforeLines="50" w:line="560" w:lineRule="exact"/>
        <w:ind w:firstLine="482" w:firstLineChars="200"/>
        <w:jc w:val="center"/>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color w:val="000000"/>
          <w:sz w:val="24"/>
          <w:szCs w:val="24"/>
          <w:lang w:val="en-US" w:eastAsia="zh-CN"/>
        </w:rPr>
        <w:t xml:space="preserve">                       </w:t>
      </w:r>
      <w:bookmarkStart w:id="561" w:name="_Toc21636_WPSOffice_Level3"/>
      <w:r>
        <w:rPr>
          <w:rFonts w:hint="eastAsia" w:asciiTheme="minorEastAsia" w:hAnsiTheme="minorEastAsia" w:eastAsiaTheme="minorEastAsia" w:cstheme="minorEastAsia"/>
          <w:b w:val="0"/>
          <w:bCs/>
          <w:color w:val="000000"/>
          <w:sz w:val="24"/>
          <w:szCs w:val="24"/>
        </w:rPr>
        <w:t>单位</w:t>
      </w:r>
      <w:r>
        <w:rPr>
          <w:rFonts w:hint="eastAsia" w:asciiTheme="minorEastAsia" w:hAnsiTheme="minorEastAsia" w:eastAsiaTheme="minorEastAsia" w:cstheme="minorEastAsia"/>
          <w:b w:val="0"/>
          <w:bCs/>
          <w:color w:val="000000"/>
          <w:sz w:val="24"/>
          <w:szCs w:val="24"/>
          <w:lang w:eastAsia="zh-CN"/>
        </w:rPr>
        <w:t>名称</w:t>
      </w:r>
      <w:r>
        <w:rPr>
          <w:rFonts w:hint="eastAsia" w:asciiTheme="minorEastAsia" w:hAnsiTheme="minorEastAsia" w:eastAsiaTheme="minorEastAsia" w:cstheme="minorEastAsia"/>
          <w:b w:val="0"/>
          <w:bCs/>
          <w:color w:val="000000"/>
          <w:sz w:val="24"/>
          <w:szCs w:val="24"/>
        </w:rPr>
        <w:t>：</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（公章）</w:t>
      </w:r>
      <w:bookmarkEnd w:id="561"/>
    </w:p>
    <w:p>
      <w:pPr>
        <w:wordWrap/>
        <w:spacing w:before="157" w:beforeLines="50" w:line="560" w:lineRule="exact"/>
        <w:ind w:firstLine="480" w:firstLineChars="200"/>
        <w:jc w:val="center"/>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bookmarkStart w:id="562" w:name="_Toc19511_WPSOffice_Level3"/>
      <w:r>
        <w:rPr>
          <w:rFonts w:hint="eastAsia" w:asciiTheme="minorEastAsia" w:hAnsiTheme="minorEastAsia" w:eastAsiaTheme="minorEastAsia" w:cstheme="minorEastAsia"/>
          <w:b w:val="0"/>
          <w:bCs/>
          <w:color w:val="000000"/>
          <w:sz w:val="24"/>
          <w:szCs w:val="24"/>
        </w:rPr>
        <w:t>法定代表人或委托代理人：</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（签字或盖章）</w:t>
      </w:r>
      <w:bookmarkEnd w:id="562"/>
    </w:p>
    <w:p>
      <w:pPr>
        <w:wordWrap/>
        <w:spacing w:before="157" w:beforeLines="50" w:line="560" w:lineRule="exact"/>
        <w:ind w:firstLine="480" w:firstLineChars="200"/>
        <w:jc w:val="center"/>
        <w:outlineLvl w:val="9"/>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val="0"/>
          <w:bCs/>
          <w:color w:val="000000"/>
          <w:sz w:val="24"/>
          <w:szCs w:val="24"/>
        </w:rPr>
        <w:t xml:space="preserve">              </w:t>
      </w:r>
      <w:r>
        <w:rPr>
          <w:rFonts w:hint="eastAsia" w:asciiTheme="minorEastAsia" w:hAnsiTheme="minorEastAsia" w:eastAsia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val="0"/>
          <w:bCs/>
          <w:color w:val="000000"/>
          <w:sz w:val="24"/>
          <w:szCs w:val="24"/>
        </w:rPr>
        <w:t xml:space="preserve"> </w:t>
      </w:r>
      <w:bookmarkStart w:id="563" w:name="_Toc20470_WPSOffice_Level3"/>
      <w:r>
        <w:rPr>
          <w:rFonts w:hint="eastAsia" w:asciiTheme="minorEastAsia" w:hAnsiTheme="minorEastAsia" w:eastAsiaTheme="minorEastAsia" w:cstheme="minorEastAsia"/>
          <w:b w:val="0"/>
          <w:bCs/>
          <w:color w:val="000000"/>
          <w:sz w:val="24"/>
          <w:szCs w:val="24"/>
        </w:rPr>
        <w:t>年   月  日</w:t>
      </w:r>
      <w:bookmarkEnd w:id="563"/>
    </w:p>
    <w:p>
      <w:pPr>
        <w:widowControl/>
        <w:wordWrap/>
        <w:adjustRightInd w:val="0"/>
        <w:snapToGrid w:val="0"/>
        <w:spacing w:line="560" w:lineRule="exact"/>
        <w:ind w:firstLine="504" w:firstLineChars="200"/>
        <w:jc w:val="left"/>
        <w:textAlignment w:val="auto"/>
        <w:rPr>
          <w:rFonts w:hint="eastAsia" w:asciiTheme="minorEastAsia" w:hAnsiTheme="minorEastAsia" w:eastAsiaTheme="minorEastAsia" w:cstheme="minorEastAsia"/>
          <w:spacing w:val="6"/>
          <w:kern w:val="0"/>
          <w:sz w:val="24"/>
          <w:szCs w:val="24"/>
        </w:rPr>
      </w:pPr>
    </w:p>
    <w:p>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4"/>
          <w:szCs w:val="24"/>
          <w:lang w:val="en-US" w:eastAsia="zh-CN" w:bidi="ar-SA"/>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bookmarkStart w:id="564" w:name="_Toc11740"/>
      <w:bookmarkStart w:id="565" w:name="_Toc12160"/>
      <w:bookmarkStart w:id="566" w:name="_Toc14211_WPSOffice_Level3"/>
    </w:p>
    <w:p>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2.残疾人福利性单位声明函</w:t>
      </w:r>
      <w:bookmarkEnd w:id="564"/>
      <w:bookmarkEnd w:id="565"/>
      <w:bookmarkEnd w:id="566"/>
    </w:p>
    <w:p>
      <w:pPr>
        <w:widowControl w:val="0"/>
        <w:wordWrap/>
        <w:adjustRightInd w:val="0"/>
        <w:snapToGrid w:val="0"/>
        <w:spacing w:line="560" w:lineRule="exact"/>
        <w:jc w:val="center"/>
        <w:textAlignment w:val="auto"/>
        <w:outlineLvl w:val="9"/>
        <w:rPr>
          <w:rFonts w:hint="eastAsia" w:asciiTheme="minorEastAsia" w:hAnsiTheme="minorEastAsia" w:eastAsiaTheme="minorEastAsia" w:cstheme="minorEastAsia"/>
          <w:spacing w:val="6"/>
          <w:sz w:val="24"/>
          <w:szCs w:val="24"/>
        </w:rPr>
      </w:pPr>
      <w:bookmarkStart w:id="567" w:name="_Toc17469_WPSOffice_Level3"/>
      <w:bookmarkStart w:id="568" w:name="_Toc12079_WPSOffice_Level3"/>
      <w:r>
        <w:rPr>
          <w:rFonts w:hint="eastAsia" w:asciiTheme="minorEastAsia" w:hAnsiTheme="minorEastAsia" w:eastAsiaTheme="minorEastAsia" w:cstheme="minorEastAsia"/>
          <w:b/>
          <w:spacing w:val="6"/>
          <w:sz w:val="24"/>
          <w:szCs w:val="24"/>
        </w:rPr>
        <w:t>(不属于残疾人福利性单位的无需填写)</w:t>
      </w:r>
      <w:bookmarkEnd w:id="567"/>
      <w:bookmarkEnd w:id="568"/>
    </w:p>
    <w:p>
      <w:pPr>
        <w:widowControl w:val="0"/>
        <w:wordWrap/>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人，安置的残疾人人数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人。且本单位参加</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项目采购活动提供本单位制造的货物（由本单位承担工程/提供服务），或者提供其他残疾人福利性单位制造的货物（不包括使用非残疾人福利性单位注册商标的货物）。</w:t>
      </w:r>
    </w:p>
    <w:p>
      <w:pPr>
        <w:widowControl w:val="0"/>
        <w:wordWrap/>
        <w:spacing w:line="560" w:lineRule="exact"/>
        <w:ind w:firstLine="48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pPr>
        <w:widowControl w:val="0"/>
        <w:wordWrap/>
        <w:adjustRightInd w:val="0"/>
        <w:snapToGrid w:val="0"/>
        <w:spacing w:line="560" w:lineRule="exac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本单位对上述声明的真实性负责。如有虚假，将依法承担相应责任。</w:t>
      </w:r>
    </w:p>
    <w:p>
      <w:pPr>
        <w:wordWrap/>
        <w:spacing w:before="157" w:beforeLines="50" w:line="560" w:lineRule="exact"/>
        <w:ind w:firstLine="480" w:firstLineChars="200"/>
        <w:jc w:val="center"/>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 xml:space="preserve">                 </w:t>
      </w:r>
      <w:bookmarkStart w:id="569" w:name="_Toc17628_WPSOffice_Level3"/>
      <w:r>
        <w:rPr>
          <w:rFonts w:hint="eastAsia" w:asciiTheme="minorEastAsia" w:hAnsiTheme="minorEastAsia" w:eastAsiaTheme="minorEastAsia" w:cstheme="minorEastAsia"/>
          <w:b w:val="0"/>
          <w:bCs/>
          <w:color w:val="000000"/>
          <w:sz w:val="24"/>
          <w:szCs w:val="24"/>
        </w:rPr>
        <w:t>单位</w:t>
      </w:r>
      <w:r>
        <w:rPr>
          <w:rFonts w:hint="eastAsia" w:asciiTheme="minorEastAsia" w:hAnsiTheme="minorEastAsia" w:eastAsiaTheme="minorEastAsia" w:cstheme="minorEastAsia"/>
          <w:b w:val="0"/>
          <w:bCs/>
          <w:color w:val="000000"/>
          <w:sz w:val="24"/>
          <w:szCs w:val="24"/>
          <w:lang w:eastAsia="zh-CN"/>
        </w:rPr>
        <w:t>名称</w:t>
      </w:r>
      <w:r>
        <w:rPr>
          <w:rFonts w:hint="eastAsia" w:asciiTheme="minorEastAsia" w:hAnsiTheme="minorEastAsia" w:eastAsiaTheme="minorEastAsia" w:cstheme="minorEastAsia"/>
          <w:b w:val="0"/>
          <w:bCs/>
          <w:color w:val="000000"/>
          <w:sz w:val="24"/>
          <w:szCs w:val="24"/>
        </w:rPr>
        <w:t>：</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（公章）</w:t>
      </w:r>
      <w:bookmarkEnd w:id="569"/>
    </w:p>
    <w:p>
      <w:pPr>
        <w:wordWrap/>
        <w:spacing w:before="157" w:beforeLines="50" w:line="560" w:lineRule="exact"/>
        <w:ind w:firstLine="480" w:firstLineChars="200"/>
        <w:jc w:val="center"/>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bookmarkStart w:id="570" w:name="_Toc32124_WPSOffice_Level3"/>
      <w:r>
        <w:rPr>
          <w:rFonts w:hint="eastAsia" w:asciiTheme="minorEastAsia" w:hAnsiTheme="minorEastAsia" w:eastAsiaTheme="minorEastAsia" w:cstheme="minorEastAsia"/>
          <w:b w:val="0"/>
          <w:bCs/>
          <w:color w:val="000000"/>
          <w:sz w:val="24"/>
          <w:szCs w:val="24"/>
        </w:rPr>
        <w:t>法定代表人或委托代理人：</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（签字或盖章）</w:t>
      </w:r>
      <w:bookmarkEnd w:id="570"/>
    </w:p>
    <w:p>
      <w:pPr>
        <w:wordWrap/>
        <w:spacing w:before="157" w:beforeLines="50" w:line="560" w:lineRule="exact"/>
        <w:ind w:firstLine="480" w:firstLineChars="200"/>
        <w:jc w:val="center"/>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 w:val="0"/>
          <w:bCs/>
          <w:color w:val="000000"/>
          <w:sz w:val="24"/>
          <w:szCs w:val="24"/>
        </w:rPr>
        <w:t xml:space="preserve">              </w:t>
      </w:r>
      <w:r>
        <w:rPr>
          <w:rFonts w:hint="eastAsia" w:asciiTheme="minorEastAsia" w:hAnsiTheme="minorEastAsia" w:eastAsia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val="0"/>
          <w:bCs/>
          <w:color w:val="000000"/>
          <w:sz w:val="24"/>
          <w:szCs w:val="24"/>
        </w:rPr>
        <w:t xml:space="preserve"> </w:t>
      </w:r>
      <w:bookmarkStart w:id="571" w:name="_Toc1871_WPSOffice_Level3"/>
      <w:r>
        <w:rPr>
          <w:rFonts w:hint="eastAsia" w:asciiTheme="minorEastAsia" w:hAnsiTheme="minorEastAsia" w:eastAsiaTheme="minorEastAsia" w:cstheme="minorEastAsia"/>
          <w:b w:val="0"/>
          <w:bCs/>
          <w:color w:val="000000"/>
          <w:sz w:val="24"/>
          <w:szCs w:val="24"/>
        </w:rPr>
        <w:t xml:space="preserve">年   月  </w:t>
      </w:r>
      <w:r>
        <w:rPr>
          <w:rFonts w:hint="eastAsia" w:asciiTheme="minorEastAsia" w:hAnsiTheme="minorEastAsia" w:eastAsiaTheme="minorEastAsia" w:cstheme="minorEastAsia"/>
          <w:b w:val="0"/>
          <w:bCs/>
          <w:color w:val="000000"/>
          <w:sz w:val="24"/>
          <w:szCs w:val="24"/>
          <w:lang w:eastAsia="zh-CN"/>
        </w:rPr>
        <w:t>日</w:t>
      </w:r>
      <w:bookmarkEnd w:id="571"/>
    </w:p>
    <w:p>
      <w:pPr>
        <w:widowControl w:val="0"/>
        <w:wordWrap/>
        <w:adjustRightInd w:val="0"/>
        <w:snapToGrid w:val="0"/>
        <w:spacing w:line="560" w:lineRule="exact"/>
        <w:ind w:firstLine="504" w:firstLineChars="200"/>
        <w:textAlignment w:val="auto"/>
        <w:outlineLvl w:val="9"/>
        <w:rPr>
          <w:rFonts w:hint="eastAsia" w:asciiTheme="minorEastAsia" w:hAnsiTheme="minorEastAsia" w:eastAsiaTheme="minorEastAsia" w:cstheme="minorEastAsia"/>
          <w:spacing w:val="6"/>
          <w:sz w:val="24"/>
          <w:szCs w:val="24"/>
        </w:rPr>
      </w:pPr>
    </w:p>
    <w:p>
      <w:pPr>
        <w:widowControl w:val="0"/>
        <w:wordWrap/>
        <w:adjustRightInd w:val="0"/>
        <w:snapToGrid w:val="0"/>
        <w:spacing w:line="560" w:lineRule="exact"/>
        <w:ind w:firstLine="504" w:firstLineChars="200"/>
        <w:textAlignment w:val="auto"/>
        <w:outlineLvl w:val="9"/>
        <w:rPr>
          <w:rFonts w:hint="eastAsia" w:asciiTheme="minorEastAsia" w:hAnsiTheme="minorEastAsia" w:eastAsiaTheme="minorEastAsia" w:cstheme="minorEastAsia"/>
          <w:spacing w:val="6"/>
          <w:sz w:val="24"/>
          <w:szCs w:val="24"/>
        </w:rPr>
      </w:pPr>
    </w:p>
    <w:p>
      <w:pPr>
        <w:wordWrap/>
        <w:adjustRightInd w:val="0"/>
        <w:snapToGrid w:val="0"/>
        <w:spacing w:before="157" w:beforeLines="50" w:line="560" w:lineRule="exact"/>
        <w:ind w:firstLine="504" w:firstLineChars="200"/>
        <w:outlineLvl w:val="9"/>
        <w:rPr>
          <w:rFonts w:hint="eastAsia" w:asciiTheme="minorEastAsia" w:hAnsiTheme="minorEastAsia" w:eastAsiaTheme="minorEastAsia" w:cstheme="minorEastAsia"/>
          <w:spacing w:val="6"/>
          <w:sz w:val="24"/>
          <w:szCs w:val="24"/>
        </w:rPr>
      </w:pPr>
    </w:p>
    <w:p>
      <w:pPr>
        <w:wordWrap/>
        <w:spacing w:before="157" w:beforeLines="50" w:line="560" w:lineRule="exact"/>
        <w:jc w:val="both"/>
        <w:outlineLvl w:val="9"/>
        <w:rPr>
          <w:rFonts w:hint="eastAsia" w:asciiTheme="minorEastAsia" w:hAnsiTheme="minorEastAsia" w:eastAsiaTheme="minorEastAsia" w:cstheme="minorEastAsia"/>
          <w:b w:val="0"/>
          <w:bCs w:val="0"/>
          <w:kern w:val="2"/>
          <w:sz w:val="24"/>
          <w:szCs w:val="24"/>
          <w:lang w:val="en-US" w:eastAsia="zh-CN" w:bidi="ar-SA"/>
        </w:rPr>
      </w:pPr>
    </w:p>
    <w:p>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4"/>
          <w:szCs w:val="24"/>
          <w:lang w:val="en-US" w:eastAsia="zh-CN" w:bidi="ar-SA"/>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bookmarkStart w:id="572" w:name="_Toc30801"/>
      <w:bookmarkStart w:id="573" w:name="_Toc9477"/>
    </w:p>
    <w:p>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3.监狱企业证明资料</w:t>
      </w:r>
      <w:bookmarkEnd w:id="572"/>
      <w:bookmarkEnd w:id="573"/>
    </w:p>
    <w:p>
      <w:pPr>
        <w:widowControl w:val="0"/>
        <w:wordWrap/>
        <w:adjustRightInd w:val="0"/>
        <w:snapToGrid w:val="0"/>
        <w:spacing w:line="560" w:lineRule="exact"/>
        <w:jc w:val="center"/>
        <w:textAlignment w:val="auto"/>
        <w:outlineLvl w:val="9"/>
        <w:rPr>
          <w:rFonts w:hint="eastAsia" w:asciiTheme="minorEastAsia" w:hAnsiTheme="minorEastAsia" w:eastAsiaTheme="minorEastAsia" w:cstheme="minorEastAsia"/>
          <w:sz w:val="24"/>
          <w:szCs w:val="24"/>
        </w:rPr>
      </w:pPr>
      <w:bookmarkStart w:id="574" w:name="_Toc28022_WPSOffice_Level3"/>
      <w:bookmarkStart w:id="575" w:name="_Toc25903_WPSOffice_Level3"/>
      <w:r>
        <w:rPr>
          <w:rFonts w:hint="eastAsia" w:asciiTheme="minorEastAsia" w:hAnsiTheme="minorEastAsia" w:eastAsiaTheme="minorEastAsia" w:cstheme="minorEastAsia"/>
          <w:b/>
          <w:spacing w:val="6"/>
          <w:sz w:val="24"/>
          <w:szCs w:val="24"/>
        </w:rPr>
        <w:t>(不属于监狱企业的无需提供)</w:t>
      </w:r>
      <w:bookmarkEnd w:id="574"/>
      <w:bookmarkEnd w:id="575"/>
    </w:p>
    <w:p>
      <w:pPr>
        <w:widowControl w:val="0"/>
        <w:wordWrap/>
        <w:adjustRightInd w:val="0"/>
        <w:snapToGrid w:val="0"/>
        <w:spacing w:line="560" w:lineRule="exact"/>
        <w:ind w:firstLine="504"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pacing w:val="6"/>
          <w:kern w:val="0"/>
          <w:sz w:val="24"/>
          <w:szCs w:val="24"/>
        </w:rPr>
        <w:t>备注：</w:t>
      </w:r>
      <w:r>
        <w:rPr>
          <w:rFonts w:hint="eastAsia" w:asciiTheme="minorEastAsia" w:hAnsiTheme="minorEastAsia" w:eastAsiaTheme="minorEastAsia" w:cstheme="minorEastAsia"/>
          <w:sz w:val="24"/>
          <w:szCs w:val="24"/>
        </w:rPr>
        <w:t>按</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rPr>
        <w:t>财政部 司法部关于政府采购支持监狱企业发展有关问题的通知</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rPr>
        <w:t>(财库〔2014〕68号)文件规定提供证明文件（复印件）。</w:t>
      </w:r>
    </w:p>
    <w:p>
      <w:pPr>
        <w:wordWrap/>
        <w:spacing w:before="157" w:beforeLines="50" w:line="560" w:lineRule="exact"/>
        <w:ind w:firstLine="480" w:firstLineChars="200"/>
        <w:jc w:val="center"/>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 xml:space="preserve">                 </w:t>
      </w:r>
      <w:bookmarkStart w:id="576" w:name="_Toc22071_WPSOffice_Level3"/>
      <w:r>
        <w:rPr>
          <w:rFonts w:hint="eastAsia" w:asciiTheme="minorEastAsia" w:hAnsiTheme="minorEastAsia" w:eastAsiaTheme="minorEastAsia" w:cstheme="minorEastAsia"/>
          <w:b w:val="0"/>
          <w:bCs/>
          <w:color w:val="000000"/>
          <w:sz w:val="24"/>
          <w:szCs w:val="24"/>
        </w:rPr>
        <w:t>单位</w:t>
      </w:r>
      <w:r>
        <w:rPr>
          <w:rFonts w:hint="eastAsia" w:asciiTheme="minorEastAsia" w:hAnsiTheme="minorEastAsia" w:eastAsiaTheme="minorEastAsia" w:cstheme="minorEastAsia"/>
          <w:b w:val="0"/>
          <w:bCs/>
          <w:color w:val="000000"/>
          <w:sz w:val="24"/>
          <w:szCs w:val="24"/>
          <w:lang w:eastAsia="zh-CN"/>
        </w:rPr>
        <w:t>名称</w:t>
      </w:r>
      <w:r>
        <w:rPr>
          <w:rFonts w:hint="eastAsia" w:asciiTheme="minorEastAsia" w:hAnsiTheme="minorEastAsia" w:eastAsiaTheme="minorEastAsia" w:cstheme="minorEastAsia"/>
          <w:b w:val="0"/>
          <w:bCs/>
          <w:color w:val="000000"/>
          <w:sz w:val="24"/>
          <w:szCs w:val="24"/>
        </w:rPr>
        <w:t>：</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（公章）</w:t>
      </w:r>
      <w:bookmarkEnd w:id="576"/>
    </w:p>
    <w:p>
      <w:pPr>
        <w:wordWrap/>
        <w:spacing w:before="157" w:beforeLines="50" w:line="560" w:lineRule="exact"/>
        <w:ind w:firstLine="480" w:firstLineChars="200"/>
        <w:jc w:val="center"/>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w:t>
      </w:r>
      <w:bookmarkStart w:id="577" w:name="_Toc11539_WPSOffice_Level3"/>
      <w:r>
        <w:rPr>
          <w:rFonts w:hint="eastAsia" w:asciiTheme="minorEastAsia" w:hAnsiTheme="minorEastAsia" w:eastAsiaTheme="minorEastAsia" w:cstheme="minorEastAsia"/>
          <w:b w:val="0"/>
          <w:bCs/>
          <w:color w:val="000000"/>
          <w:sz w:val="24"/>
          <w:szCs w:val="24"/>
        </w:rPr>
        <w:t>法定代表人或委托代理人：</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rPr>
        <w:t>（签字或盖章）</w:t>
      </w:r>
      <w:bookmarkEnd w:id="577"/>
    </w:p>
    <w:p>
      <w:pPr>
        <w:wordWrap/>
        <w:spacing w:before="157" w:beforeLines="50" w:line="560" w:lineRule="exact"/>
        <w:ind w:firstLine="480" w:firstLineChars="200"/>
        <w:jc w:val="center"/>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 w:val="0"/>
          <w:bCs/>
          <w:color w:val="000000"/>
          <w:sz w:val="24"/>
          <w:szCs w:val="24"/>
        </w:rPr>
        <w:t xml:space="preserve">              </w:t>
      </w:r>
      <w:r>
        <w:rPr>
          <w:rFonts w:hint="eastAsia" w:asciiTheme="minorEastAsia" w:hAnsiTheme="minorEastAsia" w:eastAsia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val="0"/>
          <w:bCs/>
          <w:color w:val="000000"/>
          <w:sz w:val="24"/>
          <w:szCs w:val="24"/>
        </w:rPr>
        <w:t xml:space="preserve"> </w:t>
      </w:r>
      <w:bookmarkStart w:id="578" w:name="_Toc3285_WPSOffice_Level3"/>
      <w:r>
        <w:rPr>
          <w:rFonts w:hint="eastAsia" w:asciiTheme="minorEastAsia" w:hAnsiTheme="minorEastAsia" w:eastAsiaTheme="minorEastAsia" w:cstheme="minorEastAsia"/>
          <w:b w:val="0"/>
          <w:bCs/>
          <w:color w:val="000000"/>
          <w:sz w:val="24"/>
          <w:szCs w:val="24"/>
        </w:rPr>
        <w:t xml:space="preserve">年   月  </w:t>
      </w:r>
      <w:r>
        <w:rPr>
          <w:rFonts w:hint="eastAsia" w:asciiTheme="minorEastAsia" w:hAnsiTheme="minorEastAsia" w:eastAsiaTheme="minorEastAsia" w:cstheme="minorEastAsia"/>
          <w:b w:val="0"/>
          <w:bCs/>
          <w:color w:val="000000"/>
          <w:sz w:val="24"/>
          <w:szCs w:val="24"/>
          <w:lang w:eastAsia="zh-CN"/>
        </w:rPr>
        <w:t>日</w:t>
      </w:r>
      <w:bookmarkEnd w:id="578"/>
    </w:p>
    <w:p>
      <w:pPr>
        <w:widowControl w:val="0"/>
        <w:wordWrap/>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rPr>
      </w:pPr>
    </w:p>
    <w:p>
      <w:pPr>
        <w:wordWrap/>
        <w:adjustRightInd w:val="0"/>
        <w:snapToGrid w:val="0"/>
        <w:spacing w:before="157" w:beforeLines="50" w:line="560" w:lineRule="exact"/>
        <w:rPr>
          <w:rFonts w:hint="eastAsia" w:asciiTheme="minorEastAsia" w:hAnsiTheme="minorEastAsia" w:eastAsiaTheme="minorEastAsia" w:cstheme="minorEastAsia"/>
          <w:sz w:val="24"/>
          <w:szCs w:val="24"/>
        </w:rPr>
      </w:pPr>
    </w:p>
    <w:p>
      <w:pPr>
        <w:wordWrap/>
        <w:adjustRightInd w:val="0"/>
        <w:snapToGrid w:val="0"/>
        <w:spacing w:before="157" w:beforeLines="50" w:line="560" w:lineRule="exact"/>
        <w:rPr>
          <w:rFonts w:hint="eastAsia" w:asciiTheme="minorEastAsia" w:hAnsiTheme="minorEastAsia" w:eastAsiaTheme="minorEastAsia" w:cstheme="minorEastAsia"/>
          <w:sz w:val="24"/>
          <w:szCs w:val="24"/>
        </w:rPr>
      </w:pPr>
    </w:p>
    <w:p>
      <w:pPr>
        <w:wordWrap/>
        <w:adjustRightInd w:val="0"/>
        <w:snapToGrid w:val="0"/>
        <w:spacing w:before="157" w:beforeLines="50" w:line="560" w:lineRule="exact"/>
        <w:rPr>
          <w:rFonts w:hint="eastAsia" w:asciiTheme="minorEastAsia" w:hAnsiTheme="minorEastAsia" w:eastAsiaTheme="minorEastAsia" w:cstheme="minorEastAsia"/>
          <w:sz w:val="24"/>
          <w:szCs w:val="24"/>
        </w:rPr>
      </w:pPr>
    </w:p>
    <w:p>
      <w:pPr>
        <w:wordWrap/>
        <w:adjustRightInd w:val="0"/>
        <w:snapToGrid w:val="0"/>
        <w:spacing w:before="157" w:beforeLines="50" w:line="560" w:lineRule="exact"/>
        <w:rPr>
          <w:rFonts w:hint="eastAsia" w:asciiTheme="minorEastAsia" w:hAnsiTheme="minorEastAsia" w:eastAsiaTheme="minorEastAsia" w:cstheme="minorEastAsia"/>
          <w:sz w:val="24"/>
          <w:szCs w:val="24"/>
        </w:rPr>
      </w:pPr>
    </w:p>
    <w:p>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szCs w:val="24"/>
        </w:rPr>
      </w:pPr>
    </w:p>
    <w:p>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szCs w:val="24"/>
        </w:rPr>
      </w:pPr>
    </w:p>
    <w:p>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szCs w:val="24"/>
        </w:rPr>
      </w:pPr>
    </w:p>
    <w:p>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szCs w:val="24"/>
        </w:rPr>
      </w:pPr>
    </w:p>
    <w:p>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szCs w:val="24"/>
        </w:rPr>
      </w:pPr>
    </w:p>
    <w:p>
      <w:pPr>
        <w:wordWrap/>
        <w:adjustRightInd w:val="0"/>
        <w:snapToGrid w:val="0"/>
        <w:spacing w:before="157" w:beforeLines="50" w:line="560" w:lineRule="exact"/>
        <w:rPr>
          <w:rFonts w:hint="eastAsia" w:asciiTheme="minorEastAsia" w:hAnsiTheme="minorEastAsia" w:eastAsiaTheme="minorEastAsia" w:cstheme="minorEastAsia"/>
          <w:sz w:val="24"/>
          <w:szCs w:val="24"/>
          <w:highlight w:val="yellow"/>
        </w:rPr>
      </w:pPr>
    </w:p>
    <w:p>
      <w:pPr>
        <w:widowControl/>
        <w:wordWrap/>
        <w:snapToGrid w:val="0"/>
        <w:spacing w:before="157" w:beforeLines="50" w:line="560" w:lineRule="exact"/>
        <w:outlineLvl w:val="1"/>
        <w:rPr>
          <w:rFonts w:hint="eastAsia" w:asciiTheme="minorEastAsia" w:hAnsiTheme="minorEastAsia" w:eastAsiaTheme="minorEastAsia" w:cstheme="minorEastAsia"/>
          <w:b/>
          <w:bCs w:val="0"/>
          <w:color w:val="000000"/>
          <w:kern w:val="2"/>
          <w:sz w:val="24"/>
          <w:szCs w:val="24"/>
          <w:lang w:val="en-US" w:eastAsia="zh-CN" w:bidi="ar-SA"/>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bookmarkStart w:id="579" w:name="_Toc12068_WPSOffice_Level3"/>
      <w:bookmarkStart w:id="580" w:name="_Toc21346"/>
      <w:bookmarkStart w:id="581" w:name="_Toc23033_WPSOffice_Level3"/>
    </w:p>
    <w:p>
      <w:pPr>
        <w:widowControl/>
        <w:wordWrap/>
        <w:snapToGrid w:val="0"/>
        <w:spacing w:before="157" w:beforeLines="50" w:line="560" w:lineRule="exact"/>
        <w:outlineLvl w:val="1"/>
        <w:rPr>
          <w:rFonts w:hint="eastAsia" w:asciiTheme="minorEastAsia" w:hAnsiTheme="minorEastAsia" w:eastAsiaTheme="minorEastAsia" w:cstheme="minorEastAsia"/>
          <w:b/>
          <w:bCs w:val="0"/>
          <w:color w:val="000000"/>
          <w:kern w:val="2"/>
          <w:sz w:val="24"/>
          <w:szCs w:val="24"/>
          <w:lang w:val="en-US" w:eastAsia="zh-CN" w:bidi="ar-SA"/>
        </w:rPr>
      </w:pPr>
      <w:bookmarkStart w:id="582" w:name="_Toc16200"/>
      <w:r>
        <w:rPr>
          <w:rFonts w:hint="eastAsia" w:asciiTheme="minorEastAsia" w:hAnsiTheme="minorEastAsia" w:eastAsiaTheme="minorEastAsia" w:cstheme="minorEastAsia"/>
          <w:b/>
          <w:bCs w:val="0"/>
          <w:color w:val="000000"/>
          <w:kern w:val="2"/>
          <w:sz w:val="24"/>
          <w:szCs w:val="24"/>
          <w:lang w:val="en-US" w:eastAsia="zh-CN" w:bidi="ar-SA"/>
        </w:rPr>
        <w:t>附件15：最后报价表</w:t>
      </w:r>
      <w:bookmarkEnd w:id="579"/>
      <w:bookmarkEnd w:id="580"/>
      <w:bookmarkEnd w:id="581"/>
      <w:bookmarkEnd w:id="582"/>
    </w:p>
    <w:p>
      <w:pPr>
        <w:widowControl w:val="0"/>
        <w:wordWrap/>
        <w:autoSpaceDE w:val="0"/>
        <w:autoSpaceDN w:val="0"/>
        <w:adjustRightInd w:val="0"/>
        <w:snapToGrid/>
        <w:spacing w:line="560" w:lineRule="exact"/>
        <w:ind w:left="283" w:leftChars="135"/>
        <w:jc w:val="center"/>
        <w:outlineLvl w:val="9"/>
        <w:rPr>
          <w:rFonts w:hint="eastAsia" w:asciiTheme="minorEastAsia" w:hAnsiTheme="minorEastAsia" w:eastAsiaTheme="minorEastAsia" w:cstheme="minorEastAsia"/>
          <w:b/>
          <w:bCs w:val="0"/>
          <w:sz w:val="24"/>
          <w:szCs w:val="24"/>
          <w:lang w:val="zh-CN"/>
        </w:rPr>
      </w:pPr>
      <w:bookmarkStart w:id="583" w:name="_Toc27800_WPSOffice_Level2"/>
      <w:bookmarkStart w:id="584" w:name="_Toc27699_WPSOffice_Level2"/>
      <w:r>
        <w:rPr>
          <w:rFonts w:hint="eastAsia" w:asciiTheme="minorEastAsia" w:hAnsiTheme="minorEastAsia" w:eastAsiaTheme="minorEastAsia" w:cstheme="minorEastAsia"/>
          <w:b/>
          <w:bCs w:val="0"/>
          <w:sz w:val="24"/>
          <w:szCs w:val="24"/>
          <w:lang w:val="en-US" w:eastAsia="zh-CN"/>
        </w:rPr>
        <w:t>1.</w:t>
      </w:r>
      <w:bookmarkEnd w:id="583"/>
      <w:bookmarkEnd w:id="584"/>
      <w:r>
        <w:rPr>
          <w:rFonts w:hint="eastAsia" w:asciiTheme="minorEastAsia" w:hAnsiTheme="minorEastAsia" w:eastAsiaTheme="minorEastAsia" w:cstheme="minorEastAsia"/>
          <w:b/>
          <w:bCs w:val="0"/>
          <w:color w:val="000000"/>
          <w:kern w:val="2"/>
          <w:sz w:val="24"/>
          <w:szCs w:val="24"/>
          <w:lang w:val="en-US" w:eastAsia="zh-CN" w:bidi="ar-SA"/>
        </w:rPr>
        <w:t>最后报价表</w:t>
      </w:r>
    </w:p>
    <w:p>
      <w:pPr>
        <w:widowControl w:val="0"/>
        <w:wordWrap/>
        <w:snapToGrid/>
        <w:spacing w:line="560" w:lineRule="exact"/>
        <w:ind w:left="283" w:leftChars="135"/>
        <w:outlineLvl w:val="9"/>
        <w:rPr>
          <w:rFonts w:hint="eastAsia" w:asciiTheme="minorEastAsia" w:hAnsiTheme="minorEastAsia" w:eastAsiaTheme="minorEastAsia" w:cstheme="minorEastAsia"/>
          <w:b/>
          <w:bCs w:val="0"/>
          <w:sz w:val="24"/>
          <w:szCs w:val="24"/>
        </w:rPr>
      </w:pPr>
      <w:bookmarkStart w:id="585" w:name="_Toc31451_WPSOffice_Level2"/>
      <w:bookmarkStart w:id="586" w:name="_Toc26632_WPSOffice_Level2"/>
      <w:r>
        <w:rPr>
          <w:rFonts w:hint="eastAsia" w:asciiTheme="minorEastAsia" w:hAnsiTheme="minorEastAsia" w:eastAsiaTheme="minorEastAsia" w:cstheme="minorEastAsia"/>
          <w:b/>
          <w:bCs w:val="0"/>
          <w:sz w:val="24"/>
          <w:szCs w:val="24"/>
        </w:rPr>
        <w:t>项目名称：</w:t>
      </w:r>
      <w:bookmarkEnd w:id="585"/>
      <w:bookmarkEnd w:id="586"/>
      <w:r>
        <w:rPr>
          <w:rFonts w:hint="eastAsia" w:asciiTheme="minorEastAsia" w:hAnsiTheme="minorEastAsia" w:eastAsiaTheme="minorEastAsia" w:cstheme="minorEastAsia"/>
          <w:b/>
          <w:bCs w:val="0"/>
          <w:sz w:val="24"/>
          <w:szCs w:val="24"/>
        </w:rPr>
        <w:t xml:space="preserve">                                           </w:t>
      </w:r>
    </w:p>
    <w:p>
      <w:pPr>
        <w:wordWrap/>
        <w:spacing w:before="157" w:beforeLines="50" w:line="560" w:lineRule="exact"/>
        <w:ind w:firstLine="241" w:firstLineChars="100"/>
        <w:outlineLvl w:val="9"/>
        <w:rPr>
          <w:rFonts w:hint="eastAsia" w:asciiTheme="minorEastAsia" w:hAnsiTheme="minorEastAsia" w:eastAsiaTheme="minorEastAsia" w:cstheme="minorEastAsia"/>
          <w:bCs/>
          <w:color w:val="000000"/>
          <w:sz w:val="24"/>
          <w:szCs w:val="24"/>
        </w:rPr>
      </w:pPr>
      <w:bookmarkStart w:id="587" w:name="_Toc16830_WPSOffice_Level2"/>
      <w:bookmarkStart w:id="588" w:name="_Toc18301_WPSOffice_Level2"/>
      <w:r>
        <w:rPr>
          <w:rFonts w:hint="eastAsia" w:asciiTheme="minorEastAsia" w:hAnsiTheme="minorEastAsia" w:eastAsiaTheme="minorEastAsia" w:cstheme="minorEastAsia"/>
          <w:b/>
          <w:bCs w:val="0"/>
          <w:sz w:val="24"/>
          <w:szCs w:val="24"/>
        </w:rPr>
        <w:t>项目编号：</w:t>
      </w:r>
      <w:r>
        <w:rPr>
          <w:rFonts w:hint="eastAsia" w:asciiTheme="minorEastAsia" w:hAnsiTheme="minorEastAsia" w:eastAsiaTheme="minorEastAsia" w:cstheme="minorEastAsia"/>
          <w:b/>
          <w:bCs w:val="0"/>
          <w:sz w:val="24"/>
          <w:szCs w:val="24"/>
          <w:lang w:val="en-US" w:eastAsia="zh-CN"/>
        </w:rPr>
        <w:t xml:space="preserve">                            </w:t>
      </w:r>
      <w:r>
        <w:rPr>
          <w:rFonts w:hint="eastAsia" w:asciiTheme="minorEastAsia" w:hAnsiTheme="minorEastAsia" w:eastAsiaTheme="minorEastAsia" w:cstheme="minorEastAsia"/>
          <w:color w:val="000000"/>
          <w:sz w:val="24"/>
          <w:szCs w:val="24"/>
        </w:rPr>
        <w:t>单位：</w:t>
      </w:r>
      <w:r>
        <w:rPr>
          <w:rFonts w:hint="eastAsia" w:asciiTheme="minorEastAsia" w:hAnsiTheme="minorEastAsia" w:eastAsiaTheme="minorEastAsia" w:cstheme="minorEastAsia"/>
          <w:bCs/>
          <w:color w:val="000000"/>
          <w:sz w:val="24"/>
          <w:szCs w:val="24"/>
        </w:rPr>
        <w:t>人民币(元)</w:t>
      </w:r>
      <w:bookmarkEnd w:id="587"/>
      <w:bookmarkEnd w:id="588"/>
    </w:p>
    <w:tbl>
      <w:tblPr>
        <w:tblStyle w:val="21"/>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4350"/>
        <w:gridCol w:w="215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489" w:type="dxa"/>
            <w:vAlign w:val="center"/>
          </w:tcPr>
          <w:p>
            <w:pPr>
              <w:autoSpaceDE w:val="0"/>
              <w:autoSpaceDN w:val="0"/>
              <w:ind w:firstLine="0" w:firstLineChars="0"/>
              <w:jc w:val="center"/>
              <w:rPr>
                <w:rFonts w:ascii="宋体" w:hAnsi="宋体" w:cs="宋体"/>
                <w:b/>
                <w:sz w:val="24"/>
                <w:szCs w:val="24"/>
              </w:rPr>
            </w:pPr>
            <w:r>
              <w:rPr>
                <w:rFonts w:hint="eastAsia" w:ascii="宋体" w:hAnsi="宋体" w:cs="宋体"/>
                <w:bCs/>
                <w:sz w:val="24"/>
                <w:szCs w:val="24"/>
                <w:lang w:val="zh-CN"/>
              </w:rPr>
              <w:t>采购项目名称</w:t>
            </w:r>
          </w:p>
        </w:tc>
        <w:tc>
          <w:tcPr>
            <w:tcW w:w="4350" w:type="dxa"/>
            <w:vAlign w:val="center"/>
          </w:tcPr>
          <w:p>
            <w:pPr>
              <w:autoSpaceDE w:val="0"/>
              <w:autoSpaceDN w:val="0"/>
              <w:ind w:firstLine="0" w:firstLineChars="0"/>
              <w:jc w:val="center"/>
              <w:rPr>
                <w:rFonts w:hint="eastAsia" w:ascii="宋体" w:hAnsi="宋体" w:eastAsia="宋体" w:cs="宋体"/>
                <w:b/>
                <w:sz w:val="24"/>
                <w:szCs w:val="24"/>
                <w:lang w:eastAsia="zh-CN"/>
              </w:rPr>
            </w:pPr>
            <w:r>
              <w:rPr>
                <w:rFonts w:hint="eastAsia" w:ascii="宋体" w:hAnsi="宋体" w:cs="宋体"/>
                <w:bCs/>
                <w:sz w:val="24"/>
                <w:szCs w:val="24"/>
                <w:lang w:val="zh-CN"/>
              </w:rPr>
              <w:t>投标报价（元）</w:t>
            </w:r>
          </w:p>
        </w:tc>
        <w:tc>
          <w:tcPr>
            <w:tcW w:w="2150" w:type="dxa"/>
            <w:vAlign w:val="center"/>
          </w:tcPr>
          <w:p>
            <w:pPr>
              <w:autoSpaceDE w:val="0"/>
              <w:autoSpaceDN w:val="0"/>
              <w:ind w:firstLine="0" w:firstLineChars="0"/>
              <w:jc w:val="both"/>
              <w:rPr>
                <w:rFonts w:ascii="宋体" w:hAnsi="宋体" w:cs="宋体"/>
                <w:b/>
                <w:sz w:val="24"/>
                <w:szCs w:val="24"/>
              </w:rPr>
            </w:pPr>
            <w:r>
              <w:rPr>
                <w:rFonts w:hint="eastAsia" w:ascii="宋体" w:hAnsi="宋体" w:cs="宋体"/>
                <w:bCs/>
                <w:sz w:val="24"/>
                <w:szCs w:val="24"/>
                <w:lang w:val="zh-CN"/>
              </w:rPr>
              <w:t>工期（日历日）</w:t>
            </w:r>
          </w:p>
        </w:tc>
        <w:tc>
          <w:tcPr>
            <w:tcW w:w="969" w:type="dxa"/>
            <w:vAlign w:val="center"/>
          </w:tcPr>
          <w:p>
            <w:pPr>
              <w:autoSpaceDE w:val="0"/>
              <w:autoSpaceDN w:val="0"/>
              <w:ind w:firstLine="0" w:firstLineChars="0"/>
              <w:jc w:val="center"/>
              <w:rPr>
                <w:rFonts w:ascii="宋体" w:hAnsi="宋体" w:cs="宋体"/>
                <w:b/>
                <w:sz w:val="24"/>
                <w:szCs w:val="24"/>
              </w:rPr>
            </w:pPr>
            <w:r>
              <w:rPr>
                <w:rFonts w:hint="eastAsia" w:ascii="宋体" w:hAnsi="宋体" w:cs="宋体"/>
                <w:bCs/>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489" w:type="dxa"/>
            <w:vAlign w:val="center"/>
          </w:tcPr>
          <w:p>
            <w:pPr>
              <w:ind w:firstLine="482"/>
              <w:rPr>
                <w:rFonts w:ascii="宋体" w:hAnsi="宋体" w:cs="宋体"/>
                <w:b/>
                <w:sz w:val="24"/>
                <w:szCs w:val="24"/>
              </w:rPr>
            </w:pPr>
          </w:p>
        </w:tc>
        <w:tc>
          <w:tcPr>
            <w:tcW w:w="4350" w:type="dxa"/>
            <w:vAlign w:val="center"/>
          </w:tcPr>
          <w:p>
            <w:pPr>
              <w:ind w:firstLine="482"/>
              <w:rPr>
                <w:rFonts w:ascii="宋体" w:hAnsi="宋体" w:cs="宋体"/>
                <w:b/>
                <w:sz w:val="24"/>
                <w:szCs w:val="24"/>
              </w:rPr>
            </w:pPr>
          </w:p>
        </w:tc>
        <w:tc>
          <w:tcPr>
            <w:tcW w:w="2150" w:type="dxa"/>
            <w:vAlign w:val="center"/>
          </w:tcPr>
          <w:p>
            <w:pPr>
              <w:autoSpaceDE w:val="0"/>
              <w:autoSpaceDN w:val="0"/>
              <w:ind w:firstLine="482"/>
              <w:jc w:val="center"/>
              <w:rPr>
                <w:rFonts w:ascii="宋体" w:hAnsi="宋体" w:cs="宋体"/>
                <w:b/>
                <w:sz w:val="24"/>
                <w:szCs w:val="24"/>
              </w:rPr>
            </w:pPr>
          </w:p>
        </w:tc>
        <w:tc>
          <w:tcPr>
            <w:tcW w:w="969" w:type="dxa"/>
            <w:vAlign w:val="center"/>
          </w:tcPr>
          <w:p>
            <w:pPr>
              <w:autoSpaceDE w:val="0"/>
              <w:autoSpaceDN w:val="0"/>
              <w:ind w:firstLine="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489" w:type="dxa"/>
          </w:tcPr>
          <w:p>
            <w:pPr>
              <w:autoSpaceDE w:val="0"/>
              <w:autoSpaceDN w:val="0"/>
              <w:ind w:firstLine="0" w:firstLineChars="0"/>
              <w:jc w:val="both"/>
              <w:rPr>
                <w:rFonts w:ascii="宋体" w:hAnsi="宋体" w:cs="宋体"/>
                <w:b/>
                <w:sz w:val="24"/>
                <w:szCs w:val="24"/>
              </w:rPr>
            </w:pPr>
          </w:p>
        </w:tc>
        <w:tc>
          <w:tcPr>
            <w:tcW w:w="4350" w:type="dxa"/>
          </w:tcPr>
          <w:p>
            <w:pPr>
              <w:autoSpaceDE w:val="0"/>
              <w:autoSpaceDN w:val="0"/>
              <w:ind w:firstLine="0" w:firstLineChars="0"/>
              <w:jc w:val="both"/>
              <w:rPr>
                <w:rFonts w:ascii="宋体" w:hAnsi="宋体" w:cs="宋体"/>
                <w:b/>
                <w:sz w:val="24"/>
                <w:szCs w:val="24"/>
              </w:rPr>
            </w:pPr>
          </w:p>
        </w:tc>
        <w:tc>
          <w:tcPr>
            <w:tcW w:w="2150" w:type="dxa"/>
          </w:tcPr>
          <w:p>
            <w:pPr>
              <w:autoSpaceDE w:val="0"/>
              <w:autoSpaceDN w:val="0"/>
              <w:ind w:firstLine="0" w:firstLineChars="0"/>
              <w:jc w:val="both"/>
              <w:rPr>
                <w:rFonts w:ascii="宋体" w:hAnsi="宋体" w:cs="宋体"/>
                <w:b/>
                <w:sz w:val="24"/>
                <w:szCs w:val="24"/>
              </w:rPr>
            </w:pPr>
          </w:p>
        </w:tc>
        <w:tc>
          <w:tcPr>
            <w:tcW w:w="969" w:type="dxa"/>
          </w:tcPr>
          <w:p>
            <w:pPr>
              <w:autoSpaceDE w:val="0"/>
              <w:autoSpaceDN w:val="0"/>
              <w:ind w:firstLine="0" w:firstLineChars="0"/>
              <w:jc w:val="both"/>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958" w:type="dxa"/>
            <w:gridSpan w:val="4"/>
          </w:tcPr>
          <w:p>
            <w:pPr>
              <w:autoSpaceDE w:val="0"/>
              <w:autoSpaceDN w:val="0"/>
              <w:ind w:firstLine="0" w:firstLineChars="0"/>
              <w:rPr>
                <w:sz w:val="24"/>
                <w:szCs w:val="24"/>
              </w:rPr>
            </w:pPr>
            <w:r>
              <w:rPr>
                <w:rFonts w:cs="Arial"/>
                <w:bCs/>
                <w:sz w:val="24"/>
                <w:szCs w:val="24"/>
                <w:lang w:val="zh-CN"/>
              </w:rPr>
              <w:t>优惠承诺及其他：</w:t>
            </w:r>
          </w:p>
          <w:p>
            <w:pPr>
              <w:autoSpaceDE w:val="0"/>
              <w:autoSpaceDN w:val="0"/>
              <w:ind w:firstLine="0" w:firstLineChars="0"/>
              <w:jc w:val="both"/>
              <w:rPr>
                <w:rFonts w:ascii="宋体" w:hAnsi="宋体" w:cs="宋体"/>
                <w:b/>
                <w:sz w:val="24"/>
                <w:szCs w:val="24"/>
              </w:rPr>
            </w:pPr>
          </w:p>
        </w:tc>
      </w:tr>
    </w:tbl>
    <w:p>
      <w:pPr>
        <w:wordWrap/>
        <w:spacing w:before="157" w:beforeLines="50" w:line="560" w:lineRule="exact"/>
        <w:ind w:firstLine="240" w:firstLineChars="100"/>
        <w:outlineLvl w:val="9"/>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eastAsia="zh-CN"/>
        </w:rPr>
        <w:t>（本表在谈判结束后单独填写并提交）</w:t>
      </w:r>
    </w:p>
    <w:p>
      <w:pPr>
        <w:wordWrap/>
        <w:spacing w:before="157" w:beforeLines="50" w:line="560" w:lineRule="exact"/>
        <w:outlineLvl w:val="9"/>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eastAsia="zh-CN"/>
        </w:rPr>
        <w:t>注：1、此表不需装订在响应文件中，供应商事先须盖章、签字。在谈判期间，由谈判小组确定合格的供应商现场填写。</w:t>
      </w:r>
    </w:p>
    <w:p>
      <w:pPr>
        <w:wordWrap/>
        <w:spacing w:before="157" w:beforeLines="50" w:line="560" w:lineRule="exact"/>
        <w:ind w:firstLine="240" w:firstLineChars="1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000000"/>
          <w:sz w:val="24"/>
          <w:szCs w:val="24"/>
          <w:lang w:eastAsia="zh-CN"/>
        </w:rPr>
        <w:t>2、若在谈判小组在谈判过程中需要供应商进行二轮、三轮报价时，现场通知各投标供应商。</w:t>
      </w:r>
    </w:p>
    <w:p>
      <w:pPr>
        <w:tabs>
          <w:tab w:val="left" w:pos="168"/>
        </w:tabs>
        <w:adjustRightInd w:val="0"/>
        <w:spacing w:line="360" w:lineRule="auto"/>
        <w:jc w:val="righ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谈判</w:t>
      </w:r>
      <w:r>
        <w:rPr>
          <w:rFonts w:hint="eastAsia" w:asciiTheme="minorEastAsia" w:hAnsiTheme="minorEastAsia" w:eastAsiaTheme="minorEastAsia" w:cstheme="minorEastAsia"/>
          <w:bCs/>
          <w:sz w:val="24"/>
          <w:szCs w:val="24"/>
        </w:rPr>
        <w:t>供应商：                   （公章）</w:t>
      </w:r>
    </w:p>
    <w:p>
      <w:pPr>
        <w:tabs>
          <w:tab w:val="left" w:pos="168"/>
        </w:tabs>
        <w:adjustRightInd w:val="0"/>
        <w:spacing w:line="360" w:lineRule="auto"/>
        <w:jc w:val="righ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法定代表人或委托代理人：                （签字）</w:t>
      </w:r>
    </w:p>
    <w:p>
      <w:pPr>
        <w:tabs>
          <w:tab w:val="left" w:pos="168"/>
        </w:tabs>
        <w:adjustRightInd w:val="0"/>
        <w:spacing w:line="360" w:lineRule="auto"/>
        <w:jc w:val="righ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年   月   日</w:t>
      </w:r>
    </w:p>
    <w:p>
      <w:pPr>
        <w:rPr>
          <w:rFonts w:hint="eastAsia"/>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lang w:val="en-US" w:eastAsia="zh-CN"/>
        </w:rPr>
      </w:pPr>
    </w:p>
    <w:p>
      <w:pPr>
        <w:pStyle w:val="28"/>
        <w:rPr>
          <w:rFonts w:hint="eastAsia" w:asciiTheme="minorEastAsia" w:hAnsiTheme="minorEastAsia" w:eastAsiaTheme="minorEastAsia" w:cstheme="minorEastAsia"/>
          <w:sz w:val="24"/>
          <w:szCs w:val="24"/>
          <w:lang w:val="en-US" w:eastAsia="zh-CN"/>
        </w:rPr>
      </w:pPr>
    </w:p>
    <w:p>
      <w:pPr>
        <w:rPr>
          <w:rFonts w:hint="eastAsia"/>
          <w:lang w:val="en-US" w:eastAsia="zh-CN"/>
        </w:rPr>
      </w:pPr>
    </w:p>
    <w:p>
      <w:pPr>
        <w:pStyle w:val="28"/>
        <w:rPr>
          <w:rFonts w:hint="eastAsia" w:asciiTheme="minorEastAsia" w:hAnsiTheme="minorEastAsia" w:eastAsiaTheme="minorEastAsia" w:cstheme="minorEastAsia"/>
          <w:sz w:val="24"/>
          <w:szCs w:val="24"/>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5"/>
        <w:rPr>
          <w:rFonts w:hint="eastAsia"/>
          <w:lang w:val="en-US" w:eastAsia="zh-CN"/>
        </w:rPr>
      </w:pPr>
    </w:p>
    <w:p>
      <w:pPr>
        <w:widowControl/>
        <w:wordWrap/>
        <w:snapToGrid w:val="0"/>
        <w:spacing w:before="157" w:beforeLines="50" w:line="560" w:lineRule="exact"/>
        <w:outlineLvl w:val="1"/>
        <w:rPr>
          <w:rFonts w:hint="eastAsia" w:asciiTheme="minorEastAsia" w:hAnsiTheme="minorEastAsia" w:eastAsiaTheme="minorEastAsia" w:cstheme="minorEastAsia"/>
          <w:b/>
          <w:bCs w:val="0"/>
          <w:color w:val="000000"/>
          <w:kern w:val="2"/>
          <w:sz w:val="24"/>
          <w:szCs w:val="24"/>
          <w:lang w:val="en-US" w:eastAsia="zh-CN" w:bidi="ar-SA"/>
        </w:rPr>
      </w:pPr>
      <w:r>
        <w:rPr>
          <w:rFonts w:hint="eastAsia" w:asciiTheme="minorEastAsia" w:hAnsiTheme="minorEastAsia" w:eastAsiaTheme="minorEastAsia" w:cstheme="minorEastAsia"/>
          <w:b/>
          <w:bCs w:val="0"/>
          <w:color w:val="000000"/>
          <w:kern w:val="2"/>
          <w:sz w:val="24"/>
          <w:szCs w:val="24"/>
          <w:lang w:val="en-US" w:eastAsia="zh-CN" w:bidi="ar-SA"/>
        </w:rPr>
        <w:t>附件16；农民工工资保障措施</w:t>
      </w:r>
    </w:p>
    <w:p>
      <w:pPr>
        <w:ind w:firstLine="562" w:firstLineChars="200"/>
        <w:jc w:val="center"/>
        <w:rPr>
          <w:rFonts w:cs="Arial"/>
          <w:sz w:val="28"/>
          <w:szCs w:val="21"/>
        </w:rPr>
      </w:pPr>
      <w:r>
        <w:rPr>
          <w:rFonts w:hint="eastAsia" w:cs="Arial"/>
          <w:b/>
          <w:bCs/>
          <w:sz w:val="28"/>
          <w:szCs w:val="21"/>
        </w:rPr>
        <w:t>农民工工资保障措施</w:t>
      </w:r>
    </w:p>
    <w:p>
      <w:pPr>
        <w:ind w:firstLine="480" w:firstLineChars="200"/>
        <w:rPr>
          <w:rFonts w:cs="Arial"/>
          <w:sz w:val="24"/>
          <w:szCs w:val="24"/>
          <w:lang w:val="zh-CN"/>
        </w:rPr>
      </w:pPr>
      <w:r>
        <w:rPr>
          <w:rFonts w:hint="eastAsia" w:cs="Arial"/>
          <w:sz w:val="24"/>
          <w:szCs w:val="24"/>
        </w:rPr>
        <w:t>农民工工资保障措施格式自拟</w:t>
      </w:r>
      <w:r>
        <w:rPr>
          <w:rFonts w:hint="eastAsia" w:cs="Arial"/>
          <w:sz w:val="24"/>
          <w:szCs w:val="24"/>
          <w:lang w:val="zh-CN"/>
        </w:rPr>
        <w:t>。</w:t>
      </w:r>
    </w:p>
    <w:p>
      <w:pPr>
        <w:pStyle w:val="28"/>
        <w:rPr>
          <w:rFonts w:hint="eastAsia"/>
          <w:lang w:val="en-US" w:eastAsia="zh-CN"/>
        </w:rPr>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pPr>
    </w:p>
    <w:p>
      <w:pPr>
        <w:pStyle w:val="7"/>
        <w:jc w:val="center"/>
        <w:rPr>
          <w:rFonts w:eastAsia="黑体" w:cs="Arial"/>
          <w:b w:val="0"/>
          <w:sz w:val="36"/>
          <w:szCs w:val="36"/>
          <w:highlight w:val="none"/>
        </w:rPr>
      </w:pPr>
      <w:bookmarkStart w:id="589" w:name="_Toc12949996"/>
      <w:bookmarkStart w:id="590" w:name="_Toc376936766"/>
      <w:bookmarkStart w:id="591" w:name="_Toc5169"/>
      <w:bookmarkStart w:id="592" w:name="_Toc24112_WPSOffice_Level1"/>
      <w:bookmarkStart w:id="593" w:name="_Toc7329_WPSOffice_Level1"/>
      <w:bookmarkStart w:id="594" w:name="_Toc23722_WPSOffice_Level1"/>
      <w:bookmarkStart w:id="595" w:name="_Toc416183225"/>
      <w:bookmarkStart w:id="596" w:name="_Toc23740"/>
      <w:bookmarkStart w:id="597" w:name="_Toc16779_WPSOffice_Level1"/>
      <w:bookmarkStart w:id="598" w:name="_Toc5233"/>
      <w:bookmarkStart w:id="599" w:name="_Toc27557_WPSOffice_Level1"/>
      <w:bookmarkStart w:id="600" w:name="_Toc16082_WPSOffice_Level1"/>
      <w:bookmarkStart w:id="601" w:name="_Toc12674"/>
      <w:r>
        <w:rPr>
          <w:rFonts w:hint="eastAsia" w:asciiTheme="minorEastAsia" w:hAnsiTheme="minorEastAsia" w:eastAsiaTheme="minorEastAsia" w:cstheme="minorEastAsia"/>
          <w:b/>
          <w:bCs/>
          <w:sz w:val="44"/>
          <w:szCs w:val="44"/>
          <w:lang w:val="en-US" w:eastAsia="zh-CN"/>
        </w:rPr>
        <w:t xml:space="preserve">第五部分 </w:t>
      </w:r>
      <w:bookmarkEnd w:id="589"/>
      <w:bookmarkEnd w:id="590"/>
      <w:bookmarkEnd w:id="591"/>
      <w:bookmarkEnd w:id="592"/>
      <w:bookmarkEnd w:id="593"/>
      <w:bookmarkEnd w:id="594"/>
      <w:bookmarkEnd w:id="595"/>
      <w:bookmarkEnd w:id="596"/>
      <w:bookmarkEnd w:id="597"/>
      <w:bookmarkEnd w:id="598"/>
      <w:bookmarkEnd w:id="599"/>
      <w:bookmarkEnd w:id="600"/>
      <w:r>
        <w:rPr>
          <w:rFonts w:hint="eastAsia" w:asciiTheme="minorEastAsia" w:hAnsiTheme="minorEastAsia" w:eastAsiaTheme="minorEastAsia" w:cstheme="minorEastAsia"/>
          <w:b/>
          <w:bCs/>
          <w:sz w:val="44"/>
          <w:szCs w:val="44"/>
          <w:lang w:val="en-US" w:eastAsia="zh-CN"/>
        </w:rPr>
        <w:t>合同条款及格式</w:t>
      </w:r>
      <w:bookmarkEnd w:id="601"/>
    </w:p>
    <w:p>
      <w:pPr>
        <w:jc w:val="center"/>
        <w:rPr>
          <w:rFonts w:cs="Arial"/>
          <w:bCs/>
          <w:highlight w:val="none"/>
        </w:rPr>
      </w:pPr>
      <w:r>
        <w:rPr>
          <w:rFonts w:cs="Arial"/>
          <w:bCs/>
          <w:highlight w:val="none"/>
        </w:rPr>
        <w:t>（GF—2013—0201）</w:t>
      </w:r>
    </w:p>
    <w:p>
      <w:pPr>
        <w:jc w:val="center"/>
        <w:rPr>
          <w:rFonts w:cs="Arial"/>
          <w:b/>
          <w:highlight w:val="none"/>
        </w:rPr>
      </w:pPr>
    </w:p>
    <w:p>
      <w:pPr>
        <w:jc w:val="center"/>
        <w:rPr>
          <w:rFonts w:cs="Arial"/>
          <w:b/>
          <w:highlight w:val="none"/>
        </w:rPr>
      </w:pPr>
    </w:p>
    <w:p>
      <w:pPr>
        <w:jc w:val="center"/>
        <w:rPr>
          <w:rFonts w:cs="Arial"/>
          <w:b/>
          <w:highlight w:val="none"/>
        </w:rPr>
      </w:pPr>
    </w:p>
    <w:p>
      <w:pPr>
        <w:jc w:val="center"/>
        <w:rPr>
          <w:rFonts w:cs="Arial"/>
          <w:b/>
          <w:highlight w:val="none"/>
        </w:rPr>
      </w:pPr>
    </w:p>
    <w:p>
      <w:pPr>
        <w:jc w:val="center"/>
        <w:rPr>
          <w:rFonts w:hint="eastAsia" w:eastAsia="宋体" w:cs="Arial"/>
          <w:b/>
          <w:sz w:val="52"/>
          <w:szCs w:val="52"/>
          <w:highlight w:val="none"/>
          <w:lang w:eastAsia="zh-CN"/>
        </w:rPr>
      </w:pPr>
      <w:r>
        <w:rPr>
          <w:rFonts w:cs="Arial"/>
          <w:b/>
          <w:sz w:val="52"/>
          <w:szCs w:val="52"/>
          <w:highlight w:val="none"/>
        </w:rPr>
        <w:t>建设工程施工合同</w:t>
      </w:r>
    </w:p>
    <w:p>
      <w:pPr>
        <w:jc w:val="center"/>
        <w:rPr>
          <w:rFonts w:cs="Arial"/>
          <w:b/>
          <w:sz w:val="52"/>
          <w:szCs w:val="52"/>
          <w:highlight w:val="none"/>
        </w:rPr>
      </w:pPr>
      <w:r>
        <w:rPr>
          <w:rFonts w:cs="Arial"/>
          <w:b/>
          <w:sz w:val="52"/>
          <w:szCs w:val="52"/>
          <w:highlight w:val="none"/>
        </w:rPr>
        <w:t>（示范文本）</w:t>
      </w:r>
    </w:p>
    <w:p>
      <w:pPr>
        <w:jc w:val="center"/>
        <w:rPr>
          <w:rFonts w:cs="Arial"/>
          <w:b/>
          <w:highlight w:val="none"/>
        </w:rPr>
      </w:pPr>
    </w:p>
    <w:p>
      <w:pPr>
        <w:jc w:val="center"/>
        <w:rPr>
          <w:rFonts w:cs="Arial"/>
          <w:b/>
          <w:highlight w:val="none"/>
        </w:rPr>
      </w:pPr>
    </w:p>
    <w:p>
      <w:pPr>
        <w:jc w:val="center"/>
        <w:rPr>
          <w:rFonts w:cs="Arial"/>
          <w:b/>
          <w:highlight w:val="none"/>
        </w:rPr>
      </w:pPr>
    </w:p>
    <w:p>
      <w:pPr>
        <w:jc w:val="center"/>
        <w:rPr>
          <w:rFonts w:cs="Arial"/>
          <w:b/>
          <w:highlight w:val="none"/>
        </w:rPr>
      </w:pPr>
    </w:p>
    <w:p>
      <w:pPr>
        <w:jc w:val="center"/>
        <w:rPr>
          <w:rFonts w:cs="Arial"/>
          <w:b/>
          <w:highlight w:val="none"/>
        </w:rPr>
      </w:pPr>
    </w:p>
    <w:p>
      <w:pPr>
        <w:jc w:val="center"/>
        <w:rPr>
          <w:rFonts w:cs="Arial"/>
          <w:b/>
          <w:highlight w:val="none"/>
        </w:rPr>
      </w:pPr>
    </w:p>
    <w:p>
      <w:pPr>
        <w:jc w:val="center"/>
        <w:rPr>
          <w:rFonts w:cs="Arial"/>
          <w:b/>
          <w:highlight w:val="none"/>
        </w:rPr>
      </w:pPr>
    </w:p>
    <w:p>
      <w:pPr>
        <w:jc w:val="center"/>
        <w:rPr>
          <w:rFonts w:cs="Arial"/>
          <w:b/>
          <w:highlight w:val="none"/>
        </w:rPr>
      </w:pPr>
    </w:p>
    <w:p>
      <w:pPr>
        <w:jc w:val="center"/>
        <w:rPr>
          <w:rFonts w:cs="Arial"/>
          <w:b/>
          <w:highlight w:val="none"/>
        </w:rPr>
      </w:pPr>
    </w:p>
    <w:p>
      <w:pPr>
        <w:jc w:val="center"/>
        <w:rPr>
          <w:rFonts w:cs="Arial"/>
          <w:b/>
          <w:sz w:val="32"/>
          <w:szCs w:val="32"/>
          <w:highlight w:val="none"/>
        </w:rPr>
      </w:pPr>
      <w:r>
        <w:rPr>
          <w:rFonts w:cs="Arial"/>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34290</wp:posOffset>
                </wp:positionV>
                <wp:extent cx="723900" cy="457200"/>
                <wp:effectExtent l="4445" t="4445" r="14605" b="14605"/>
                <wp:wrapNone/>
                <wp:docPr id="21" name="Text Box 4"/>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a:effectLst/>
                      </wps:spPr>
                      <wps:txbx>
                        <w:txbxContent>
                          <w:p>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19.35pt;margin-top:2.7pt;height:36pt;width:57pt;z-index:251659264;mso-width-relative:page;mso-height-relative:page;" filled="f" stroked="t" coordsize="21600,21600" o:gfxdata="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gn7zNgAAAAIAQAADwAAAAAAAAABACAAAAAiAAAAZHJzL2Rvd25yZXYu&#10;eG1sUEsBAhQAFAAAAAgAh07iQOXiESA0AgAAawQAAA4AAAAAAAAAAQAgAAAAJwEAAGRycy9lMm9E&#10;b2MueG1sUEsFBgAAAAAGAAYAWQEAAM0FAAAAAA==&#10;">
                <v:fill on="f" focussize="0,0"/>
                <v:stroke color="#FFFFFF" miterlimit="8"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cs="Arial"/>
          <w:b/>
          <w:sz w:val="32"/>
          <w:szCs w:val="32"/>
          <w:highlight w:val="none"/>
        </w:rPr>
        <w:t>住房和城乡建设部</w:t>
      </w:r>
    </w:p>
    <w:p>
      <w:pPr>
        <w:jc w:val="center"/>
        <w:rPr>
          <w:rFonts w:cs="Arial"/>
          <w:b/>
          <w:sz w:val="32"/>
          <w:szCs w:val="32"/>
          <w:highlight w:val="none"/>
        </w:rPr>
      </w:pPr>
      <w:r>
        <w:rPr>
          <w:rFonts w:cs="Arial"/>
          <w:b/>
          <w:sz w:val="32"/>
          <w:szCs w:val="32"/>
          <w:highlight w:val="none"/>
        </w:rPr>
        <w:t>国家工商行政管理总局</w:t>
      </w:r>
    </w:p>
    <w:p>
      <w:pPr>
        <w:rPr>
          <w:rFonts w:cs="Arial"/>
          <w:b/>
          <w:highlight w:val="none"/>
        </w:rPr>
      </w:pPr>
    </w:p>
    <w:p>
      <w:pPr>
        <w:pStyle w:val="7"/>
        <w:spacing w:line="360" w:lineRule="auto"/>
        <w:ind w:firstLine="426" w:firstLineChars="177"/>
        <w:jc w:val="center"/>
        <w:rPr>
          <w:rFonts w:hint="eastAsia" w:ascii="宋体" w:hAnsi="宋体" w:eastAsia="宋体" w:cs="宋体"/>
          <w:b w:val="0"/>
          <w:sz w:val="24"/>
          <w:szCs w:val="24"/>
          <w:highlight w:val="none"/>
        </w:rPr>
      </w:pPr>
      <w:r>
        <w:rPr>
          <w:rFonts w:cs="Arial"/>
          <w:bCs w:val="0"/>
          <w:highlight w:val="none"/>
        </w:rPr>
        <w:br w:type="page"/>
      </w:r>
      <w:bookmarkStart w:id="602" w:name="_Toc9650"/>
      <w:bookmarkStart w:id="603" w:name="_Toc351203480"/>
      <w:bookmarkStart w:id="604" w:name="_Toc296890982"/>
      <w:bookmarkStart w:id="605" w:name="_Toc27270"/>
      <w:bookmarkStart w:id="606" w:name="_Toc6185"/>
      <w:bookmarkStart w:id="607" w:name="_Toc296503025"/>
      <w:r>
        <w:rPr>
          <w:rFonts w:hint="eastAsia" w:ascii="宋体" w:hAnsi="宋体" w:eastAsia="宋体" w:cs="宋体"/>
          <w:sz w:val="24"/>
          <w:szCs w:val="24"/>
          <w:highlight w:val="none"/>
        </w:rPr>
        <w:t>第一部分 合同协议书</w:t>
      </w:r>
      <w:bookmarkEnd w:id="602"/>
      <w:bookmarkEnd w:id="603"/>
      <w:bookmarkEnd w:id="604"/>
      <w:bookmarkEnd w:id="605"/>
      <w:bookmarkEnd w:id="606"/>
      <w:bookmarkEnd w:id="607"/>
    </w:p>
    <w:p>
      <w:pPr>
        <w:spacing w:line="360" w:lineRule="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发包人（全称）：</w:t>
      </w:r>
      <w:r>
        <w:rPr>
          <w:rFonts w:hint="eastAsia" w:ascii="宋体" w:hAnsi="宋体" w:eastAsia="宋体" w:cs="宋体"/>
          <w:b/>
          <w:sz w:val="24"/>
          <w:szCs w:val="24"/>
          <w:highlight w:val="none"/>
          <w:u w:val="single"/>
        </w:rPr>
        <w:t xml:space="preserve">                      </w:t>
      </w:r>
    </w:p>
    <w:p>
      <w:pPr>
        <w:spacing w:line="360" w:lineRule="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承包人（全称）：</w:t>
      </w:r>
      <w:r>
        <w:rPr>
          <w:rFonts w:hint="eastAsia" w:ascii="宋体" w:hAnsi="宋体" w:eastAsia="宋体" w:cs="宋体"/>
          <w:b/>
          <w:sz w:val="24"/>
          <w:szCs w:val="24"/>
          <w:highlight w:val="none"/>
          <w:u w:val="single"/>
        </w:rPr>
        <w:t>              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根据《中华人民共和国合同法》、《中华人民共和国建筑法》及有关法律规定，遵循平等、自愿、公平和诚实信用的原则，双方就</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工程施工及有关事项协商一致，共同达成如下协议：</w:t>
      </w:r>
    </w:p>
    <w:p>
      <w:pPr>
        <w:spacing w:line="360" w:lineRule="auto"/>
        <w:rPr>
          <w:rFonts w:hint="eastAsia" w:ascii="宋体" w:hAnsi="宋体" w:eastAsia="宋体" w:cs="宋体"/>
          <w:b/>
          <w:sz w:val="24"/>
          <w:szCs w:val="24"/>
          <w:highlight w:val="none"/>
        </w:rPr>
      </w:pPr>
      <w:bookmarkStart w:id="608" w:name="_Toc351203481"/>
      <w:r>
        <w:rPr>
          <w:rFonts w:hint="eastAsia" w:ascii="宋体" w:hAnsi="宋体" w:eastAsia="宋体" w:cs="宋体"/>
          <w:bCs/>
          <w:sz w:val="24"/>
          <w:szCs w:val="24"/>
          <w:highlight w:val="none"/>
        </w:rPr>
        <w:t>一、工程概况</w:t>
      </w:r>
      <w:bookmarkEnd w:id="608"/>
    </w:p>
    <w:p>
      <w:pPr>
        <w:spacing w:line="360" w:lineRule="auto"/>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rPr>
        <w:t>1.工程名称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2.工程地点：</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3.工程立项批准文号：</w:t>
      </w:r>
      <w:r>
        <w:rPr>
          <w:rFonts w:hint="eastAsia" w:ascii="宋体" w:hAnsi="宋体" w:eastAsia="宋体" w:cs="宋体"/>
          <w:sz w:val="24"/>
          <w:szCs w:val="24"/>
          <w:highlight w:val="none"/>
          <w:u w:val="single"/>
        </w:rPr>
        <w:t xml:space="preserve">       </w:t>
      </w:r>
      <w:r>
        <w:rPr>
          <w:rFonts w:hint="eastAsia" w:ascii="宋体" w:hAnsi="宋体" w:eastAsia="宋体" w:cs="宋体"/>
          <w:bCs/>
          <w:sz w:val="24"/>
          <w:szCs w:val="24"/>
          <w:highlight w:val="none"/>
        </w:rPr>
        <w:t>。</w:t>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4.资金来源：</w:t>
      </w:r>
      <w:r>
        <w:rPr>
          <w:rFonts w:hint="eastAsia" w:ascii="宋体" w:hAnsi="宋体" w:eastAsia="宋体" w:cs="宋体"/>
          <w:sz w:val="24"/>
          <w:szCs w:val="24"/>
          <w:highlight w:val="none"/>
          <w:u w:val="single"/>
        </w:rPr>
        <w:t xml:space="preserve">       </w:t>
      </w:r>
      <w:r>
        <w:rPr>
          <w:rFonts w:hint="eastAsia" w:ascii="宋体" w:hAnsi="宋体" w:eastAsia="宋体" w:cs="宋体"/>
          <w:bCs/>
          <w:sz w:val="24"/>
          <w:szCs w:val="24"/>
          <w:highlight w:val="none"/>
        </w:rPr>
        <w:t>。</w:t>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5.工程内容：</w:t>
      </w:r>
      <w:r>
        <w:rPr>
          <w:rFonts w:hint="eastAsia" w:ascii="宋体" w:hAnsi="宋体" w:eastAsia="宋体" w:cs="宋体"/>
          <w:sz w:val="24"/>
          <w:szCs w:val="24"/>
          <w:highlight w:val="none"/>
          <w:u w:val="single"/>
        </w:rPr>
        <w:t xml:space="preserve">       </w:t>
      </w:r>
      <w:r>
        <w:rPr>
          <w:rFonts w:hint="eastAsia" w:ascii="宋体" w:hAnsi="宋体" w:eastAsia="宋体" w:cs="宋体"/>
          <w:bCs/>
          <w:sz w:val="24"/>
          <w:szCs w:val="24"/>
          <w:highlight w:val="none"/>
        </w:rPr>
        <w:t>。</w:t>
      </w:r>
    </w:p>
    <w:p>
      <w:pPr>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t>群体工程应附《承包人承揽工程项目一览表》（附件1）。</w:t>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6.工程承包范围：</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spacing w:line="360" w:lineRule="auto"/>
        <w:rPr>
          <w:rFonts w:hint="eastAsia" w:ascii="宋体" w:hAnsi="宋体" w:eastAsia="宋体" w:cs="宋体"/>
          <w:bCs/>
          <w:sz w:val="24"/>
          <w:szCs w:val="24"/>
          <w:highlight w:val="none"/>
        </w:rPr>
      </w:pPr>
      <w:bookmarkStart w:id="609" w:name="_Toc351203482"/>
      <w:r>
        <w:rPr>
          <w:rFonts w:hint="eastAsia" w:ascii="宋体" w:hAnsi="宋体" w:eastAsia="宋体" w:cs="宋体"/>
          <w:bCs/>
          <w:sz w:val="24"/>
          <w:szCs w:val="24"/>
          <w:highlight w:val="none"/>
        </w:rPr>
        <w:t>二、合同工期</w:t>
      </w:r>
      <w:bookmarkEnd w:id="609"/>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计划完工日期：</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天。工期总日历天数与根据前述计划开完工日期计算的工期天数不一致的，以工期总日历天数为准。</w:t>
      </w:r>
    </w:p>
    <w:p>
      <w:pPr>
        <w:spacing w:line="360" w:lineRule="auto"/>
        <w:rPr>
          <w:rFonts w:hint="eastAsia" w:ascii="宋体" w:hAnsi="宋体" w:eastAsia="宋体" w:cs="宋体"/>
          <w:b/>
          <w:sz w:val="24"/>
          <w:szCs w:val="24"/>
          <w:highlight w:val="none"/>
        </w:rPr>
      </w:pPr>
      <w:bookmarkStart w:id="610" w:name="_Toc351203483"/>
      <w:r>
        <w:rPr>
          <w:rFonts w:hint="eastAsia" w:ascii="宋体" w:hAnsi="宋体" w:eastAsia="宋体" w:cs="宋体"/>
          <w:bCs/>
          <w:sz w:val="24"/>
          <w:szCs w:val="24"/>
          <w:highlight w:val="none"/>
        </w:rPr>
        <w:t>三、质量标准</w:t>
      </w:r>
      <w:bookmarkEnd w:id="610"/>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工程质量符合</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标准。</w:t>
      </w:r>
    </w:p>
    <w:p>
      <w:pPr>
        <w:spacing w:line="360" w:lineRule="auto"/>
        <w:rPr>
          <w:rFonts w:hint="eastAsia" w:ascii="宋体" w:hAnsi="宋体" w:eastAsia="宋体" w:cs="宋体"/>
          <w:b/>
          <w:sz w:val="24"/>
          <w:szCs w:val="24"/>
          <w:highlight w:val="none"/>
        </w:rPr>
      </w:pPr>
      <w:bookmarkStart w:id="611" w:name="_Toc351203484"/>
      <w:r>
        <w:rPr>
          <w:rFonts w:hint="eastAsia" w:ascii="宋体" w:hAnsi="宋体" w:eastAsia="宋体" w:cs="宋体"/>
          <w:bCs/>
          <w:sz w:val="24"/>
          <w:szCs w:val="24"/>
          <w:highlight w:val="none"/>
        </w:rPr>
        <w:t>四、签约合同价与合同价格形式</w:t>
      </w:r>
      <w:bookmarkEnd w:id="611"/>
      <w:r>
        <w:rPr>
          <w:rFonts w:hint="eastAsia" w:ascii="宋体" w:hAnsi="宋体" w:eastAsia="宋体" w:cs="宋体"/>
          <w:bCs/>
          <w:sz w:val="24"/>
          <w:szCs w:val="24"/>
          <w:highlight w:val="none"/>
        </w:rPr>
        <w:tab/>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1.签约合同价为：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人民币（大写）(¥元)；</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（1）安全文明施工费：</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 (¥元)；</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（2）材料和工程设备暂估价金额：</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 (¥元)；</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（3）专业工程暂估价金额：</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 (¥元)；</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（4）暂列金额：</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 (¥元)。</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2.合同价格形式：</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rPr>
          <w:rFonts w:hint="eastAsia" w:ascii="宋体" w:hAnsi="宋体" w:eastAsia="宋体" w:cs="宋体"/>
          <w:bCs/>
          <w:sz w:val="24"/>
          <w:szCs w:val="24"/>
          <w:highlight w:val="none"/>
        </w:rPr>
      </w:pPr>
      <w:bookmarkStart w:id="612" w:name="_Toc351203485"/>
      <w:r>
        <w:rPr>
          <w:rFonts w:hint="eastAsia" w:ascii="宋体" w:hAnsi="宋体" w:eastAsia="宋体" w:cs="宋体"/>
          <w:bCs/>
          <w:sz w:val="24"/>
          <w:szCs w:val="24"/>
          <w:highlight w:val="none"/>
        </w:rPr>
        <w:t>五、</w:t>
      </w:r>
      <w:bookmarkEnd w:id="612"/>
      <w:r>
        <w:rPr>
          <w:rFonts w:hint="eastAsia" w:ascii="宋体" w:hAnsi="宋体" w:eastAsia="宋体" w:cs="宋体"/>
          <w:bCs/>
          <w:sz w:val="24"/>
          <w:szCs w:val="24"/>
          <w:highlight w:val="none"/>
        </w:rPr>
        <w:t>项目经理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承包人项目经理：</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rPr>
          <w:rFonts w:hint="eastAsia" w:ascii="宋体" w:hAnsi="宋体" w:eastAsia="宋体" w:cs="宋体"/>
          <w:b/>
          <w:sz w:val="24"/>
          <w:szCs w:val="24"/>
          <w:highlight w:val="none"/>
        </w:rPr>
      </w:pPr>
      <w:bookmarkStart w:id="613" w:name="_Toc351203486"/>
      <w:r>
        <w:rPr>
          <w:rFonts w:hint="eastAsia" w:ascii="宋体" w:hAnsi="宋体" w:eastAsia="宋体" w:cs="宋体"/>
          <w:bCs/>
          <w:sz w:val="24"/>
          <w:szCs w:val="24"/>
          <w:highlight w:val="none"/>
        </w:rPr>
        <w:t>六、合同文件构成</w:t>
      </w:r>
      <w:bookmarkEnd w:id="613"/>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本协议书与下列文件一起构成合同文件：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（1）成交通知书（如果有）；</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（2）响应函及其附录（如果有）；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（3）专用合同条款及其附件；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（4）通用合同条款；</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（5）技术标准和要求；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（6）图纸（如有）；</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（7）已标价工程量清单或预算书；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（8）其他合同文件。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在合同订立及履行过程中形成的与合同有关的文件均构成合同文件组成部分。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Fonts w:hint="eastAsia" w:ascii="宋体" w:hAnsi="宋体" w:eastAsia="宋体" w:cs="宋体"/>
          <w:sz w:val="24"/>
          <w:szCs w:val="24"/>
          <w:highlight w:val="none"/>
        </w:rPr>
      </w:pPr>
      <w:bookmarkStart w:id="614" w:name="_Toc351203487"/>
      <w:r>
        <w:rPr>
          <w:rFonts w:hint="eastAsia" w:ascii="宋体" w:hAnsi="宋体" w:eastAsia="宋体" w:cs="宋体"/>
          <w:bCs/>
          <w:sz w:val="24"/>
          <w:szCs w:val="24"/>
          <w:highlight w:val="none"/>
        </w:rPr>
        <w:t>七、承诺</w:t>
      </w:r>
      <w:bookmarkEnd w:id="614"/>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1.发包人承诺按照法律规定履行项目审批手续、筹集工程建设资金并按照合同约定的期限和方式支付合同价款。</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24" w:firstLineChars="177"/>
        <w:rPr>
          <w:rFonts w:hint="eastAsia" w:ascii="宋体" w:hAnsi="宋体" w:eastAsia="宋体" w:cs="宋体"/>
          <w:bCs/>
          <w:sz w:val="24"/>
          <w:szCs w:val="24"/>
          <w:highlight w:val="none"/>
        </w:rPr>
      </w:pPr>
      <w:r>
        <w:rPr>
          <w:rFonts w:hint="eastAsia" w:ascii="宋体" w:hAnsi="宋体" w:eastAsia="宋体" w:cs="宋体"/>
          <w:bCs/>
          <w:sz w:val="24"/>
          <w:szCs w:val="24"/>
          <w:highlight w:val="none"/>
        </w:rPr>
        <w:t>3.发包人和承包人通过招谈判形式签订合同的，双方理解并承诺不再就同一工程另行签订与合同实质性内容相背离的协议。</w:t>
      </w:r>
    </w:p>
    <w:p>
      <w:pPr>
        <w:spacing w:line="360" w:lineRule="auto"/>
        <w:rPr>
          <w:rFonts w:hint="eastAsia" w:ascii="宋体" w:hAnsi="宋体" w:eastAsia="宋体" w:cs="宋体"/>
          <w:bCs/>
          <w:sz w:val="24"/>
          <w:szCs w:val="24"/>
          <w:highlight w:val="none"/>
        </w:rPr>
      </w:pPr>
      <w:bookmarkStart w:id="615" w:name="_Toc351203488"/>
      <w:r>
        <w:rPr>
          <w:rFonts w:hint="eastAsia" w:ascii="宋体" w:hAnsi="宋体" w:eastAsia="宋体" w:cs="宋体"/>
          <w:b/>
          <w:sz w:val="24"/>
          <w:szCs w:val="24"/>
          <w:highlight w:val="none"/>
        </w:rPr>
        <w:t xml:space="preserve">    八、词语含义</w:t>
      </w:r>
      <w:bookmarkEnd w:id="615"/>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本协议书中词语含义与第二部分通用合同条款中赋予的含义相同。</w:t>
      </w:r>
    </w:p>
    <w:p>
      <w:pPr>
        <w:spacing w:line="360" w:lineRule="auto"/>
        <w:rPr>
          <w:rFonts w:hint="eastAsia" w:ascii="宋体" w:hAnsi="宋体" w:eastAsia="宋体" w:cs="宋体"/>
          <w:b/>
          <w:sz w:val="24"/>
          <w:szCs w:val="24"/>
          <w:highlight w:val="none"/>
        </w:rPr>
      </w:pPr>
      <w:bookmarkStart w:id="616" w:name="_Toc351203489"/>
      <w:r>
        <w:rPr>
          <w:rFonts w:hint="eastAsia" w:ascii="宋体" w:hAnsi="宋体" w:eastAsia="宋体" w:cs="宋体"/>
          <w:bCs/>
          <w:sz w:val="24"/>
          <w:szCs w:val="24"/>
          <w:highlight w:val="none"/>
        </w:rPr>
        <w:t>九、签订时间</w:t>
      </w:r>
      <w:bookmarkEnd w:id="616"/>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本合同于年月日签订。</w:t>
      </w:r>
    </w:p>
    <w:p>
      <w:pPr>
        <w:spacing w:line="360" w:lineRule="auto"/>
        <w:rPr>
          <w:rFonts w:hint="eastAsia" w:ascii="宋体" w:hAnsi="宋体" w:eastAsia="宋体" w:cs="宋体"/>
          <w:b/>
          <w:sz w:val="24"/>
          <w:szCs w:val="24"/>
          <w:highlight w:val="none"/>
        </w:rPr>
      </w:pPr>
      <w:bookmarkStart w:id="617" w:name="_Toc351203490"/>
      <w:r>
        <w:rPr>
          <w:rFonts w:hint="eastAsia" w:ascii="宋体" w:hAnsi="宋体" w:eastAsia="宋体" w:cs="宋体"/>
          <w:bCs/>
          <w:sz w:val="24"/>
          <w:szCs w:val="24"/>
          <w:highlight w:val="none"/>
        </w:rPr>
        <w:t>十、签订地点</w:t>
      </w:r>
      <w:bookmarkEnd w:id="617"/>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本合同在签订。</w:t>
      </w:r>
    </w:p>
    <w:p>
      <w:pPr>
        <w:spacing w:line="360" w:lineRule="auto"/>
        <w:rPr>
          <w:rFonts w:hint="eastAsia" w:ascii="宋体" w:hAnsi="宋体" w:eastAsia="宋体" w:cs="宋体"/>
          <w:b/>
          <w:sz w:val="24"/>
          <w:szCs w:val="24"/>
          <w:highlight w:val="none"/>
        </w:rPr>
      </w:pPr>
      <w:bookmarkStart w:id="618" w:name="_Toc351203491"/>
      <w:r>
        <w:rPr>
          <w:rFonts w:hint="eastAsia" w:ascii="宋体" w:hAnsi="宋体" w:eastAsia="宋体" w:cs="宋体"/>
          <w:bCs/>
          <w:sz w:val="24"/>
          <w:szCs w:val="24"/>
          <w:highlight w:val="none"/>
        </w:rPr>
        <w:t>十一、补充协议</w:t>
      </w:r>
      <w:bookmarkEnd w:id="618"/>
    </w:p>
    <w:p>
      <w:pPr>
        <w:spacing w:line="360" w:lineRule="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合同未尽事宜，合同当事人另行签订补充协议，补充协议是合同的组成部分。</w:t>
      </w:r>
    </w:p>
    <w:p>
      <w:pPr>
        <w:spacing w:line="360" w:lineRule="auto"/>
        <w:rPr>
          <w:rFonts w:hint="eastAsia" w:ascii="宋体" w:hAnsi="宋体" w:eastAsia="宋体" w:cs="宋体"/>
          <w:b/>
          <w:sz w:val="24"/>
          <w:szCs w:val="24"/>
          <w:highlight w:val="none"/>
        </w:rPr>
      </w:pPr>
      <w:bookmarkStart w:id="619" w:name="_Toc351203492"/>
      <w:r>
        <w:rPr>
          <w:rFonts w:hint="eastAsia" w:ascii="宋体" w:hAnsi="宋体" w:eastAsia="宋体" w:cs="宋体"/>
          <w:bCs/>
          <w:sz w:val="24"/>
          <w:szCs w:val="24"/>
          <w:highlight w:val="none"/>
        </w:rPr>
        <w:t>十二、合同生效</w:t>
      </w:r>
      <w:bookmarkEnd w:id="619"/>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本合同自生效。</w:t>
      </w:r>
    </w:p>
    <w:p>
      <w:pPr>
        <w:spacing w:line="360" w:lineRule="auto"/>
        <w:rPr>
          <w:rFonts w:hint="eastAsia" w:ascii="宋体" w:hAnsi="宋体" w:eastAsia="宋体" w:cs="宋体"/>
          <w:b/>
          <w:sz w:val="24"/>
          <w:szCs w:val="24"/>
          <w:highlight w:val="none"/>
        </w:rPr>
      </w:pPr>
      <w:bookmarkStart w:id="620" w:name="_Toc351203493"/>
      <w:r>
        <w:rPr>
          <w:rFonts w:hint="eastAsia" w:ascii="宋体" w:hAnsi="宋体" w:eastAsia="宋体" w:cs="宋体"/>
          <w:bCs/>
          <w:sz w:val="24"/>
          <w:szCs w:val="24"/>
          <w:highlight w:val="none"/>
        </w:rPr>
        <w:t>十三、合同份数</w:t>
      </w:r>
      <w:bookmarkEnd w:id="620"/>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本合同一式份，均具有同等法律效力，发包人执份，承包人执份。</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  (公章)                                   承包人：  (公章)</w:t>
      </w:r>
    </w:p>
    <w:p>
      <w:pPr>
        <w:spacing w:line="360" w:lineRule="auto"/>
        <w:rPr>
          <w:rFonts w:hint="eastAsia" w:ascii="宋体" w:hAnsi="宋体" w:eastAsia="宋体" w:cs="宋体"/>
          <w:sz w:val="24"/>
          <w:szCs w:val="24"/>
          <w:highlight w:val="none"/>
          <w:u w:val="singl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                        法定代表人或其委托代理人：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（签字）                                                       （签字）</w:t>
      </w:r>
    </w:p>
    <w:p>
      <w:pPr>
        <w:spacing w:line="360" w:lineRule="auto"/>
        <w:rPr>
          <w:rFonts w:hint="eastAsia" w:ascii="宋体" w:hAnsi="宋体" w:eastAsia="宋体" w:cs="宋体"/>
          <w:sz w:val="24"/>
          <w:szCs w:val="24"/>
          <w:highlight w:val="none"/>
          <w:u w:val="singl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组织机构代码：</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组织机构代码：</w:t>
      </w:r>
      <w:r>
        <w:rPr>
          <w:rFonts w:hint="eastAsia" w:ascii="宋体" w:hAnsi="宋体" w:eastAsia="宋体" w:cs="宋体"/>
          <w:sz w:val="24"/>
          <w:szCs w:val="24"/>
          <w:highlight w:val="none"/>
          <w:u w:val="single"/>
        </w:rPr>
        <w:t xml:space="preserve">            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地  址：</w:t>
      </w:r>
      <w:r>
        <w:rPr>
          <w:rFonts w:hint="eastAsia" w:ascii="宋体" w:hAnsi="宋体" w:eastAsia="宋体" w:cs="宋体"/>
          <w:sz w:val="24"/>
          <w:szCs w:val="24"/>
          <w:highlight w:val="none"/>
          <w:u w:val="single"/>
        </w:rPr>
        <w:t xml:space="preserve">       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法定代表人：</w:t>
      </w:r>
      <w:r>
        <w:rPr>
          <w:rFonts w:hint="eastAsia" w:ascii="宋体" w:hAnsi="宋体" w:eastAsia="宋体" w:cs="宋体"/>
          <w:sz w:val="24"/>
          <w:szCs w:val="24"/>
          <w:highlight w:val="none"/>
          <w:u w:val="single"/>
        </w:rPr>
        <w:t xml:space="preserve">                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w:t>
      </w:r>
      <w:r>
        <w:rPr>
          <w:rFonts w:hint="eastAsia" w:ascii="宋体" w:hAnsi="宋体" w:eastAsia="宋体" w:cs="宋体"/>
          <w:sz w:val="24"/>
          <w:szCs w:val="24"/>
          <w:highlight w:val="none"/>
          <w:u w:val="single"/>
        </w:rPr>
        <w:t xml:space="preserve">                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  话：</w:t>
      </w:r>
      <w:r>
        <w:rPr>
          <w:rFonts w:hint="eastAsia" w:ascii="宋体" w:hAnsi="宋体" w:eastAsia="宋体" w:cs="宋体"/>
          <w:sz w:val="24"/>
          <w:szCs w:val="24"/>
          <w:highlight w:val="none"/>
          <w:u w:val="single"/>
        </w:rPr>
        <w:t xml:space="preserve">    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  真：</w:t>
      </w:r>
      <w:r>
        <w:rPr>
          <w:rFonts w:hint="eastAsia" w:ascii="宋体" w:hAnsi="宋体" w:eastAsia="宋体" w:cs="宋体"/>
          <w:sz w:val="24"/>
          <w:szCs w:val="24"/>
          <w:highlight w:val="none"/>
          <w:u w:val="single"/>
        </w:rPr>
        <w:t xml:space="preserve">  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u w:val="single"/>
        </w:rPr>
        <w:t xml:space="preserve">           </w:t>
      </w:r>
    </w:p>
    <w:p>
      <w:pPr>
        <w:pStyle w:val="7"/>
        <w:spacing w:line="360" w:lineRule="auto"/>
        <w:ind w:firstLine="426" w:firstLineChars="177"/>
        <w:jc w:val="center"/>
        <w:rPr>
          <w:rFonts w:hint="eastAsia" w:ascii="宋体" w:hAnsi="宋体" w:eastAsia="宋体" w:cs="宋体"/>
          <w:b w:val="0"/>
          <w:sz w:val="24"/>
          <w:szCs w:val="24"/>
          <w:highlight w:val="none"/>
        </w:rPr>
      </w:pPr>
      <w:bookmarkStart w:id="621" w:name="_Toc5002"/>
      <w:bookmarkStart w:id="622" w:name="_Toc351203494"/>
      <w:bookmarkStart w:id="623" w:name="_Toc590"/>
      <w:bookmarkStart w:id="624" w:name="_Toc29159"/>
      <w:r>
        <w:rPr>
          <w:rFonts w:hint="eastAsia" w:ascii="宋体" w:hAnsi="宋体" w:eastAsia="宋体" w:cs="宋体"/>
          <w:sz w:val="24"/>
          <w:szCs w:val="24"/>
          <w:highlight w:val="none"/>
        </w:rPr>
        <w:t>第二部分 通用合同条款</w:t>
      </w:r>
      <w:bookmarkEnd w:id="621"/>
      <w:bookmarkEnd w:id="622"/>
      <w:bookmarkEnd w:id="623"/>
      <w:bookmarkEnd w:id="624"/>
      <w:bookmarkStart w:id="625" w:name="_Toc337558727"/>
    </w:p>
    <w:p>
      <w:pPr>
        <w:spacing w:line="360" w:lineRule="auto"/>
        <w:rPr>
          <w:rFonts w:hint="eastAsia" w:ascii="宋体" w:hAnsi="宋体" w:eastAsia="宋体" w:cs="宋体"/>
          <w:bCs/>
          <w:sz w:val="24"/>
          <w:szCs w:val="24"/>
          <w:highlight w:val="none"/>
        </w:rPr>
      </w:pPr>
      <w:bookmarkStart w:id="626" w:name="_Toc351203495"/>
      <w:r>
        <w:rPr>
          <w:rFonts w:hint="eastAsia" w:ascii="宋体" w:hAnsi="宋体" w:eastAsia="宋体" w:cs="宋体"/>
          <w:bCs/>
          <w:sz w:val="24"/>
          <w:szCs w:val="24"/>
          <w:highlight w:val="none"/>
        </w:rPr>
        <w:t>1.</w:t>
      </w:r>
      <w:bookmarkStart w:id="627" w:name="_Toc303538975"/>
      <w:bookmarkEnd w:id="627"/>
      <w:bookmarkStart w:id="628" w:name="_Toc303538974"/>
      <w:bookmarkEnd w:id="628"/>
      <w:bookmarkStart w:id="629" w:name="_Toc303538973"/>
      <w:bookmarkEnd w:id="629"/>
      <w:bookmarkStart w:id="630" w:name="_Toc303538976"/>
      <w:bookmarkEnd w:id="630"/>
      <w:bookmarkStart w:id="631" w:name="_Toc303538972"/>
      <w:bookmarkEnd w:id="631"/>
      <w:bookmarkStart w:id="632" w:name="_Toc296503027"/>
      <w:bookmarkStart w:id="633" w:name="_Toc296346528"/>
      <w:r>
        <w:rPr>
          <w:rFonts w:hint="eastAsia" w:ascii="宋体" w:hAnsi="宋体" w:eastAsia="宋体" w:cs="宋体"/>
          <w:bCs/>
          <w:sz w:val="24"/>
          <w:szCs w:val="24"/>
          <w:highlight w:val="none"/>
        </w:rPr>
        <w:t xml:space="preserve"> 一般约定</w:t>
      </w:r>
      <w:bookmarkEnd w:id="625"/>
      <w:bookmarkEnd w:id="626"/>
      <w:bookmarkEnd w:id="632"/>
      <w:bookmarkEnd w:id="633"/>
    </w:p>
    <w:p>
      <w:pPr>
        <w:spacing w:line="360" w:lineRule="auto"/>
        <w:rPr>
          <w:rFonts w:hint="eastAsia" w:ascii="宋体" w:hAnsi="宋体" w:eastAsia="宋体" w:cs="宋体"/>
          <w:bCs/>
          <w:sz w:val="24"/>
          <w:szCs w:val="24"/>
          <w:highlight w:val="none"/>
        </w:rPr>
      </w:pPr>
      <w:bookmarkStart w:id="634" w:name="_Toc337558728"/>
      <w:bookmarkStart w:id="635" w:name="_Toc296503028"/>
      <w:bookmarkStart w:id="636" w:name="_Toc296346529"/>
      <w:bookmarkStart w:id="637" w:name="_Toc351203496"/>
      <w:r>
        <w:rPr>
          <w:rFonts w:hint="eastAsia" w:ascii="宋体" w:hAnsi="宋体" w:eastAsia="宋体" w:cs="宋体"/>
          <w:bCs/>
          <w:sz w:val="24"/>
          <w:szCs w:val="24"/>
          <w:highlight w:val="none"/>
        </w:rPr>
        <w:t>1.1词语定义</w:t>
      </w:r>
      <w:bookmarkEnd w:id="634"/>
      <w:bookmarkEnd w:id="635"/>
      <w:bookmarkEnd w:id="636"/>
      <w:r>
        <w:rPr>
          <w:rFonts w:hint="eastAsia" w:ascii="宋体" w:hAnsi="宋体" w:eastAsia="宋体" w:cs="宋体"/>
          <w:bCs/>
          <w:sz w:val="24"/>
          <w:szCs w:val="24"/>
          <w:highlight w:val="none"/>
        </w:rPr>
        <w:t>与解释</w:t>
      </w:r>
      <w:bookmarkEnd w:id="637"/>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合同协议书、通用合同条款、专用合同条款中的下列词语具有本款所赋予的含义：</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1.1.1 合同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1.1.1.1 合同：是指根据法律规定和合同当事人约定具有约束力的文件，构成合同的文件包括合同协议书、中标通知书（如果有）、响应函及其附录（如果有）、专用合同条款及其附件、通用合同条款、技术标准和要求、图纸、已标价工程量清单或预算书以及其他合同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1.1.1.2 合同协议书：是指构成合同的由发包人和承包人共同签署的称为“合同协议书”的书面文件。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1.1.1.3 中标通知书：是指构成合同的由发包人通知承包人中标的书面文件。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1.1.1.4 响应函：是指构成合同的由承包人填写并签署的用于谈判的称为“响应函”的文件。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1.1.1.5 响应函附录：是指构成合同的附在响应函后的称为“响应函附录”的文件。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1.1.1.6 技术标准和要求：是指构成合同的施工应当遵守的或指导施工的国家、行业或地方的技术标准和要求，以及合同约定的技术标准和要求。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1.1.1.8 已标价工程量清单：是指构成合同的由承包人按照规定的格式和要求填写并标明价格的工程量清单，包括说明和表格。</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1.1.1.9 预算书：是指构成合同的由承包人按照发包人规定的格式和要求编制的工程预算文件。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1.1.1.10 其他合同文件：是指经合同当事人约定的与工程施工有关的具有合同约束力的文件或书面协议。合同当事人可以在专用合同条款中进行约定。</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1.1.2 合同当事人及其他相关方</w:t>
      </w:r>
    </w:p>
    <w:p>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1.1.2.1 合同当事人：是指发包人和（或）承包人。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1.1.2.2 发包人：是指与承包人签订合同协议书的当事人及取得该当事人资格的合法继承人。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1.1.2.3 承包人：是指与发包人签订合同协议书的，具有相应工程施工承包资质的当事人及取得该当事人资格的合法继承人。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1.1.2.4 监理人：是指在专用合同条款中指明的，受发包人委托按照法律规定进行工程监督管理的法人或其他组织。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1.1.2.5 设计人：是指在专用合同条款中指明的，受发包人委托负责工程设计并具备相应工程设计资质的法人或其他组织。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1.1.2.6 分包人：</w:t>
      </w:r>
      <w:bookmarkStart w:id="638" w:name="#go5"/>
      <w:bookmarkEnd w:id="638"/>
      <w:r>
        <w:rPr>
          <w:rFonts w:hint="eastAsia" w:ascii="宋体" w:hAnsi="宋体" w:eastAsia="宋体" w:cs="宋体"/>
          <w:sz w:val="24"/>
          <w:szCs w:val="24"/>
          <w:highlight w:val="none"/>
        </w:rPr>
        <w:t>是指按照法律规定和合同约定，分包部分工程或工作，并与承包人签订分包合同的具有相应资质的法人。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1.1.2.7 发包人代表：是指由发包人任命并派驻施工现场在发包人授权范围内行使发包人权利的人。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1.1.2.8 项目经理：是指由承包人任命并派驻施工现场，在承包人授权范围内负责合同履行，且按照法律规定具有相应资格的项目负责人。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1.1.2.9 总监理工程师：是指由监理人任命并派驻施工现场进行工程监理的总负责人。</w:t>
      </w:r>
    </w:p>
    <w:p>
      <w:pPr>
        <w:spacing w:line="360" w:lineRule="auto"/>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1.1.3 工程和设备</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1.1.3.1 工程：是指与合同协议书中工程承包范围对应的永久工程和（或）临时工程。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1.1.3.2 永久工程：是指按合同约定建造并移交给发包人的工程，包括工程设备。</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1.1.3.3 临时工程：是指为完成合同约定的永久工程所修建的各类临时性工程，不包括施工设备。</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1.1.3.4 单位工程：是指在合同协议书中指明的，具备独立施工条件并能形成独立使用功能的永久工程。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1.1.3.5 工程设备：是指构成永久工程的机电设备、金属结构设备、仪器及其他类似的设备和装置。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1.1.3.6 施工设备：是指为完成合同约定的各项工作所需的设备、器具和其他物品，但不包括工程设备、临时工程和材料。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1.1.3.7 施工现场：是指用于工程施工的场所，以及在专用合同条款中指明作为施工场所组成部分的其他场所，包括永久占地和临时占地。</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1.1.3.8临时设施：是指为完成合同约定的各项工作所服务的临时性生产和生活设施。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1.1.3.9 永久占地：是指专用合同条款中指明为实施工程需永久占用的土地。</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1.1.3.10 临时占地：是指专用合同条款中指明为实施工程需要临时占用的土地。</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1.1.4 日期和期限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1.1.4.3 工期：是指在合同协议书约定的承包人完成工程所需的期限，包括按照合同约定所作的期限变更。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1.1.4.4 缺陷责任期：是指承包人按照合同约定承担缺陷修复义务，且发包人预留质量保证金的期限，自工程实际竣工日期起计算。</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1.1.4.5 保修期：是指承包人按照合同约定对工程承担保修责任的期限，从工程竣工验收合格之日起计算。</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1.1.4.6 基准日期：招标发包的工程以谈判截止日前28天的日期为基准日期，直接发包的工程以合同签订日前28天的日期为基准日期。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1.1.4.7 天：除特别指明外，均指日历天。合同中按天计算时间的，开始当天不计入，从次日开始计算，期限最后一天的截止时间为当天24:00时。</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1.1.5 合同价格和费用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1.1.5.1 签约合同价：是指发包人和承包人在合同协议书中确定的总金额，包括安全文明施工费、暂估价及暂列金额等。</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1.1.5.2 合同价格：是指发包人用于支付承包人按照合同约定完成承包范围内全部工作的金额，包括合同履行过程中按合同约定发生的价格变化。</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1.1.5.3 费用：是指为履行合同所发生的或将要发生的所有必需的开支，包括管理费和应分摊的其他费用，但不包括利润。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1.1.5.6 计日工：是指合同履行过程中，承包人完成发包人提出的零星工作或需要采用计日工计价的变更工作时，按合同中约定的单价计价的一种方式。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1.1.5.7 质量保证金</w:t>
      </w:r>
      <w:bookmarkStart w:id="639" w:name="#go2"/>
      <w:bookmarkEnd w:id="639"/>
      <w:r>
        <w:rPr>
          <w:rFonts w:hint="eastAsia" w:ascii="宋体" w:hAnsi="宋体" w:eastAsia="宋体" w:cs="宋体"/>
          <w:sz w:val="24"/>
          <w:szCs w:val="24"/>
          <w:highlight w:val="none"/>
        </w:rPr>
        <w:t>：是指按照第15.3款〔质量保证金〕约定承包人用于保证其在缺陷责任期内履行缺陷修补义务的担保。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1.1.5.8 总价项目：是指在现行国家、行业以及地方的计量规则中无工程量计算规则，在已标价工程量清单或预算书中以总价或以费率形式计算的项目。</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1.1.6 其他</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1.1.6.1 书面形式：是指合同文件、信函、电报、传真等可以有形地表现所载内容的形式。</w:t>
      </w:r>
    </w:p>
    <w:p>
      <w:pPr>
        <w:spacing w:line="360" w:lineRule="auto"/>
        <w:rPr>
          <w:rFonts w:hint="eastAsia" w:ascii="宋体" w:hAnsi="宋体" w:eastAsia="宋体" w:cs="宋体"/>
          <w:bCs/>
          <w:sz w:val="24"/>
          <w:szCs w:val="24"/>
          <w:highlight w:val="none"/>
        </w:rPr>
      </w:pPr>
      <w:bookmarkStart w:id="640" w:name="_Toc351203497"/>
      <w:bookmarkStart w:id="641" w:name="_Toc296346530"/>
      <w:bookmarkStart w:id="642" w:name="_Toc296503029"/>
      <w:bookmarkStart w:id="643" w:name="_Toc337558729"/>
      <w:r>
        <w:rPr>
          <w:rFonts w:hint="eastAsia" w:ascii="宋体" w:hAnsi="宋体" w:eastAsia="宋体" w:cs="宋体"/>
          <w:bCs/>
          <w:sz w:val="24"/>
          <w:szCs w:val="24"/>
          <w:highlight w:val="none"/>
        </w:rPr>
        <w:t>1.2语言文字</w:t>
      </w:r>
      <w:bookmarkEnd w:id="640"/>
      <w:bookmarkEnd w:id="641"/>
      <w:bookmarkEnd w:id="642"/>
      <w:bookmarkEnd w:id="643"/>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合同以中国的汉语简体文字编写、解释和说明。合同当事人在专用合同条款中约定使用两种以上语言时，汉语为优先解释和说明合同的语言。</w:t>
      </w:r>
    </w:p>
    <w:p>
      <w:pPr>
        <w:spacing w:line="360" w:lineRule="auto"/>
        <w:rPr>
          <w:rFonts w:hint="eastAsia" w:ascii="宋体" w:hAnsi="宋体" w:eastAsia="宋体" w:cs="宋体"/>
          <w:bCs/>
          <w:sz w:val="24"/>
          <w:szCs w:val="24"/>
          <w:highlight w:val="none"/>
        </w:rPr>
      </w:pPr>
      <w:bookmarkStart w:id="644" w:name="_Toc337558730"/>
      <w:bookmarkStart w:id="645" w:name="_Toc296503030"/>
      <w:bookmarkStart w:id="646" w:name="_Toc351203498"/>
      <w:bookmarkStart w:id="647" w:name="_Toc296346531"/>
      <w:r>
        <w:rPr>
          <w:rFonts w:hint="eastAsia" w:ascii="宋体" w:hAnsi="宋体" w:eastAsia="宋体" w:cs="宋体"/>
          <w:bCs/>
          <w:sz w:val="24"/>
          <w:szCs w:val="24"/>
          <w:highlight w:val="none"/>
        </w:rPr>
        <w:t>1.3法律</w:t>
      </w:r>
      <w:bookmarkEnd w:id="644"/>
      <w:bookmarkEnd w:id="645"/>
      <w:bookmarkEnd w:id="646"/>
      <w:bookmarkEnd w:id="647"/>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合同所称法律是指中华人民共和国法律、行政法规、部门规章，以及工程所在地的地方性法规、自治条例、单行条例和地方政府规章等。</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合同当事人可以在专用合同条款中约定合同适用的其他规范性文件。</w:t>
      </w:r>
    </w:p>
    <w:p>
      <w:pPr>
        <w:spacing w:line="360" w:lineRule="auto"/>
        <w:rPr>
          <w:rFonts w:hint="eastAsia" w:ascii="宋体" w:hAnsi="宋体" w:eastAsia="宋体" w:cs="宋体"/>
          <w:bCs/>
          <w:sz w:val="24"/>
          <w:szCs w:val="24"/>
          <w:highlight w:val="none"/>
        </w:rPr>
      </w:pPr>
      <w:bookmarkStart w:id="648" w:name="_Toc351203499"/>
      <w:r>
        <w:rPr>
          <w:rFonts w:hint="eastAsia" w:ascii="宋体" w:hAnsi="宋体" w:eastAsia="宋体" w:cs="宋体"/>
          <w:bCs/>
          <w:sz w:val="24"/>
          <w:szCs w:val="24"/>
          <w:highlight w:val="none"/>
        </w:rPr>
        <w:t>1.4 标准和规范</w:t>
      </w:r>
      <w:bookmarkEnd w:id="648"/>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1.4.1 适用于工程的国家标准、行业标准、工程所在地的地方性标准，以及相应的规范、规程等，合同当事人有特别要求的，应在专用合同条款中约定。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1.4.2 发包人要求使用国外标准、规范的，发包人负责提供原文版本和中文译本，并在专用合同条款中约定提供标准规范的名称、份数和时间。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pacing w:line="360" w:lineRule="auto"/>
        <w:rPr>
          <w:rFonts w:hint="eastAsia" w:ascii="宋体" w:hAnsi="宋体" w:eastAsia="宋体" w:cs="宋体"/>
          <w:bCs/>
          <w:sz w:val="24"/>
          <w:szCs w:val="24"/>
          <w:highlight w:val="none"/>
        </w:rPr>
      </w:pPr>
      <w:bookmarkStart w:id="649" w:name="_Toc351203500"/>
      <w:r>
        <w:rPr>
          <w:rFonts w:hint="eastAsia" w:ascii="宋体" w:hAnsi="宋体" w:eastAsia="宋体" w:cs="宋体"/>
          <w:bCs/>
          <w:sz w:val="24"/>
          <w:szCs w:val="24"/>
          <w:highlight w:val="none"/>
        </w:rPr>
        <w:t>1</w:t>
      </w:r>
      <w:bookmarkStart w:id="650" w:name="_Toc337558731"/>
      <w:bookmarkStart w:id="651" w:name="_Toc296346532"/>
      <w:bookmarkStart w:id="652" w:name="_Toc296503031"/>
      <w:r>
        <w:rPr>
          <w:rFonts w:hint="eastAsia" w:ascii="宋体" w:hAnsi="宋体" w:eastAsia="宋体" w:cs="宋体"/>
          <w:bCs/>
          <w:sz w:val="24"/>
          <w:szCs w:val="24"/>
          <w:highlight w:val="none"/>
        </w:rPr>
        <w:t>.5 合同文件的优先顺序</w:t>
      </w:r>
      <w:bookmarkEnd w:id="649"/>
    </w:p>
    <w:bookmarkEnd w:id="650"/>
    <w:bookmarkEnd w:id="651"/>
    <w:bookmarkEnd w:id="65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组成合同的各项文件应互相解释，互为说明。除专用合同条款另有约定外，解释合同文件的优先顺序如下：</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（1）合同协议书；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（2）中标通知书（如果有）；</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（3）响应函及其附录（如果有）；</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（4）专用合同条款及其附件；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（5）通用合同条款；</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（6）技术标准和要求；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（7）图纸；</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（8）已标价工程量清单或预算书；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（9）其他合同文件。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上述各项合同文件包括合同当事人就该项合同文件所作出的补充和修改，属于同一类内容的文件，应以最新签署的为准。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在合同订立及履行过程中形成的与合同有关的文件均构成合同文件组成部分，并根据其性质确定优先解释顺序。</w:t>
      </w:r>
    </w:p>
    <w:p>
      <w:pPr>
        <w:spacing w:line="360" w:lineRule="auto"/>
        <w:rPr>
          <w:rFonts w:hint="eastAsia" w:ascii="宋体" w:hAnsi="宋体" w:eastAsia="宋体" w:cs="宋体"/>
          <w:bCs/>
          <w:sz w:val="24"/>
          <w:szCs w:val="24"/>
          <w:highlight w:val="none"/>
        </w:rPr>
      </w:pPr>
      <w:bookmarkStart w:id="653" w:name="_Toc351203501"/>
      <w:r>
        <w:rPr>
          <w:rFonts w:hint="eastAsia" w:ascii="宋体" w:hAnsi="宋体" w:eastAsia="宋体" w:cs="宋体"/>
          <w:bCs/>
          <w:sz w:val="24"/>
          <w:szCs w:val="24"/>
          <w:highlight w:val="none"/>
        </w:rPr>
        <w:t>1</w:t>
      </w:r>
      <w:bookmarkStart w:id="654" w:name="_Toc337558732"/>
      <w:bookmarkStart w:id="655" w:name="_Toc296503032"/>
      <w:bookmarkStart w:id="656" w:name="_Toc296346533"/>
      <w:r>
        <w:rPr>
          <w:rFonts w:hint="eastAsia" w:ascii="宋体" w:hAnsi="宋体" w:eastAsia="宋体" w:cs="宋体"/>
          <w:bCs/>
          <w:sz w:val="24"/>
          <w:szCs w:val="24"/>
          <w:highlight w:val="none"/>
        </w:rPr>
        <w:t>.6图纸和承包人文件</w:t>
      </w:r>
      <w:bookmarkEnd w:id="653"/>
    </w:p>
    <w:bookmarkEnd w:id="654"/>
    <w:bookmarkEnd w:id="655"/>
    <w:bookmarkEnd w:id="65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1.6.1 图纸的提供和交底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因发包人未按合同约定提供图纸导致承包人费用增加和（或）工期延误的，按照第7.5.1项〔因发包人原因导致工期延误〕约定办理。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1.6.2 图纸的错误</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1.6.3 图纸的修改和补充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1.6.4 承包人文件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1.6.5 图纸和承包人文件的保管</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除专用合同条款另有约定外，承包人应在施工现场另外保存一套完整的图纸和承包人文件，供发包人、监理人及有关人员进行工程检查时使用。</w:t>
      </w:r>
    </w:p>
    <w:p>
      <w:pPr>
        <w:spacing w:line="360" w:lineRule="auto"/>
        <w:rPr>
          <w:rFonts w:hint="eastAsia" w:ascii="宋体" w:hAnsi="宋体" w:eastAsia="宋体" w:cs="宋体"/>
          <w:bCs/>
          <w:sz w:val="24"/>
          <w:szCs w:val="24"/>
          <w:highlight w:val="none"/>
        </w:rPr>
      </w:pPr>
      <w:bookmarkStart w:id="657" w:name="_Toc351203502"/>
      <w:r>
        <w:rPr>
          <w:rFonts w:hint="eastAsia" w:ascii="宋体" w:hAnsi="宋体" w:eastAsia="宋体" w:cs="宋体"/>
          <w:bCs/>
          <w:sz w:val="24"/>
          <w:szCs w:val="24"/>
          <w:highlight w:val="none"/>
        </w:rPr>
        <w:t>1</w:t>
      </w:r>
      <w:bookmarkStart w:id="658" w:name="_Toc296503033"/>
      <w:bookmarkStart w:id="659" w:name="_Toc337558733"/>
      <w:bookmarkStart w:id="660" w:name="_Toc296346534"/>
      <w:r>
        <w:rPr>
          <w:rFonts w:hint="eastAsia" w:ascii="宋体" w:hAnsi="宋体" w:eastAsia="宋体" w:cs="宋体"/>
          <w:bCs/>
          <w:sz w:val="24"/>
          <w:szCs w:val="24"/>
          <w:highlight w:val="none"/>
        </w:rPr>
        <w:t>.7联络</w:t>
      </w:r>
      <w:bookmarkEnd w:id="657"/>
    </w:p>
    <w:bookmarkEnd w:id="658"/>
    <w:bookmarkEnd w:id="659"/>
    <w:bookmarkEnd w:id="66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1.7.1 与合同有关的通知、批准、证明、证书、指示、指令、要求、请求、同意、意见、确定和决定等，均应采用书面形式，并应在合同约定的期限内送达接收人和送达地点。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1.7.2 发包人和承包人应在专用合同条款中约定各自的送达接收人和送达地点。任何一方合同当事人指定的接收人或送达地点发生变动的，应提前3天以书面形式通知对方。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1.7.3 发包人和承包人应当及时签收另一方送达至送达地点和指定接收人的来往信函。拒不签收的，由此增加的费用和（或）延误的工期由拒绝接收一方承担。</w:t>
      </w:r>
    </w:p>
    <w:p>
      <w:pPr>
        <w:spacing w:line="360" w:lineRule="auto"/>
        <w:rPr>
          <w:rFonts w:hint="eastAsia" w:ascii="宋体" w:hAnsi="宋体" w:eastAsia="宋体" w:cs="宋体"/>
          <w:bCs/>
          <w:sz w:val="24"/>
          <w:szCs w:val="24"/>
          <w:highlight w:val="none"/>
        </w:rPr>
      </w:pPr>
      <w:bookmarkStart w:id="661" w:name="_Toc351203503"/>
      <w:r>
        <w:rPr>
          <w:rFonts w:hint="eastAsia" w:ascii="宋体" w:hAnsi="宋体" w:eastAsia="宋体" w:cs="宋体"/>
          <w:bCs/>
          <w:sz w:val="24"/>
          <w:szCs w:val="24"/>
          <w:highlight w:val="none"/>
        </w:rPr>
        <w:t>1</w:t>
      </w:r>
      <w:bookmarkStart w:id="662" w:name="_Toc296346536"/>
      <w:bookmarkStart w:id="663" w:name="_Toc337558734"/>
      <w:bookmarkStart w:id="664" w:name="_Toc296503035"/>
      <w:r>
        <w:rPr>
          <w:rFonts w:hint="eastAsia" w:ascii="宋体" w:hAnsi="宋体" w:eastAsia="宋体" w:cs="宋体"/>
          <w:bCs/>
          <w:sz w:val="24"/>
          <w:szCs w:val="24"/>
          <w:highlight w:val="none"/>
        </w:rPr>
        <w:t>.8严禁贿赂</w:t>
      </w:r>
      <w:bookmarkEnd w:id="661"/>
    </w:p>
    <w:bookmarkEnd w:id="662"/>
    <w:bookmarkEnd w:id="663"/>
    <w:bookmarkEnd w:id="66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合同当事人不得以贿赂或变相贿赂的方式，谋取非法利益或损害对方权益。因一方合同当事人的贿赂造成对方损失的，应赔偿损失，并承担相应的法律责任。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line="360" w:lineRule="auto"/>
        <w:rPr>
          <w:rFonts w:hint="eastAsia" w:ascii="宋体" w:hAnsi="宋体" w:eastAsia="宋体" w:cs="宋体"/>
          <w:bCs/>
          <w:sz w:val="24"/>
          <w:szCs w:val="24"/>
          <w:highlight w:val="none"/>
        </w:rPr>
      </w:pPr>
      <w:bookmarkStart w:id="665" w:name="_Toc351203504"/>
      <w:r>
        <w:rPr>
          <w:rFonts w:hint="eastAsia" w:ascii="宋体" w:hAnsi="宋体" w:eastAsia="宋体" w:cs="宋体"/>
          <w:bCs/>
          <w:sz w:val="24"/>
          <w:szCs w:val="24"/>
          <w:highlight w:val="none"/>
        </w:rPr>
        <w:t>1</w:t>
      </w:r>
      <w:bookmarkStart w:id="666" w:name="_Toc337558735"/>
      <w:bookmarkStart w:id="667" w:name="_Toc296503036"/>
      <w:bookmarkStart w:id="668" w:name="_Toc296346537"/>
      <w:r>
        <w:rPr>
          <w:rFonts w:hint="eastAsia" w:ascii="宋体" w:hAnsi="宋体" w:eastAsia="宋体" w:cs="宋体"/>
          <w:bCs/>
          <w:sz w:val="24"/>
          <w:szCs w:val="24"/>
          <w:highlight w:val="none"/>
        </w:rPr>
        <w:t>.9化石、文物</w:t>
      </w:r>
      <w:bookmarkEnd w:id="665"/>
    </w:p>
    <w:bookmarkEnd w:id="666"/>
    <w:bookmarkEnd w:id="667"/>
    <w:bookmarkEnd w:id="66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发包人、监理人和承包人应按有关政府行政管理部门要求采取妥善的保护措施，由此增加的费用和（或）延误的工期由发包人承担。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承包人发现文物后不及时报告或隐瞒不报，致使文物丢失或损坏的，应赔偿损失，并承担相应的法律责任。</w:t>
      </w:r>
    </w:p>
    <w:p>
      <w:pPr>
        <w:spacing w:line="360" w:lineRule="auto"/>
        <w:rPr>
          <w:rFonts w:hint="eastAsia" w:ascii="宋体" w:hAnsi="宋体" w:eastAsia="宋体" w:cs="宋体"/>
          <w:bCs/>
          <w:sz w:val="24"/>
          <w:szCs w:val="24"/>
          <w:highlight w:val="none"/>
        </w:rPr>
      </w:pPr>
      <w:bookmarkStart w:id="669" w:name="_Toc351203505"/>
      <w:r>
        <w:rPr>
          <w:rFonts w:hint="eastAsia" w:ascii="宋体" w:hAnsi="宋体" w:eastAsia="宋体" w:cs="宋体"/>
          <w:bCs/>
          <w:sz w:val="24"/>
          <w:szCs w:val="24"/>
          <w:highlight w:val="none"/>
        </w:rPr>
        <w:t>1</w:t>
      </w:r>
      <w:bookmarkStart w:id="670" w:name="_Toc337558736"/>
      <w:r>
        <w:rPr>
          <w:rFonts w:hint="eastAsia" w:ascii="宋体" w:hAnsi="宋体" w:eastAsia="宋体" w:cs="宋体"/>
          <w:bCs/>
          <w:sz w:val="24"/>
          <w:szCs w:val="24"/>
          <w:highlight w:val="none"/>
        </w:rPr>
        <w:t>.10交通运输</w:t>
      </w:r>
      <w:bookmarkEnd w:id="669"/>
    </w:p>
    <w:bookmarkEnd w:id="67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1.10.1 出入现场的权利</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1.10.2 场外交通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1.10.3场内交通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场外交通和场内交通的边界由合同当事人在专用合同条款中约定。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1.10.4 超大件和超重件的运输</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1.10.5 道路和桥梁的损坏责任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因承包人运输造成施工场地内外公共道路和桥梁损坏的，由承包人承担修复损坏的全部费用和可能引起的赔偿。</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1.10.6 水路和航空运输</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pPr>
        <w:spacing w:line="360" w:lineRule="auto"/>
        <w:rPr>
          <w:rFonts w:hint="eastAsia" w:ascii="宋体" w:hAnsi="宋体" w:eastAsia="宋体" w:cs="宋体"/>
          <w:bCs/>
          <w:sz w:val="24"/>
          <w:szCs w:val="24"/>
          <w:highlight w:val="none"/>
        </w:rPr>
      </w:pPr>
      <w:bookmarkStart w:id="671" w:name="_Toc351203506"/>
      <w:r>
        <w:rPr>
          <w:rFonts w:hint="eastAsia" w:ascii="宋体" w:hAnsi="宋体" w:eastAsia="宋体" w:cs="宋体"/>
          <w:bCs/>
          <w:sz w:val="24"/>
          <w:szCs w:val="24"/>
          <w:highlight w:val="none"/>
        </w:rPr>
        <w:t>1</w:t>
      </w:r>
      <w:bookmarkStart w:id="672" w:name="_Toc337558737"/>
      <w:bookmarkStart w:id="673" w:name="_Toc296503037"/>
      <w:bookmarkStart w:id="674" w:name="_Toc296346538"/>
      <w:r>
        <w:rPr>
          <w:rFonts w:hint="eastAsia" w:ascii="宋体" w:hAnsi="宋体" w:eastAsia="宋体" w:cs="宋体"/>
          <w:bCs/>
          <w:sz w:val="24"/>
          <w:szCs w:val="24"/>
          <w:highlight w:val="none"/>
        </w:rPr>
        <w:t>.11知识产权</w:t>
      </w:r>
      <w:bookmarkEnd w:id="671"/>
      <w:bookmarkEnd w:id="672"/>
    </w:p>
    <w:bookmarkEnd w:id="673"/>
    <w:bookmarkEnd w:id="67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1.11.4 除专用合同条款另有约定外，承包人在合同签订前和签订时已确定采用的专利、专有技术、技术秘密的使用费已包含在签约合同价中。</w:t>
      </w:r>
    </w:p>
    <w:p>
      <w:pPr>
        <w:spacing w:line="360" w:lineRule="auto"/>
        <w:rPr>
          <w:rFonts w:hint="eastAsia" w:ascii="宋体" w:hAnsi="宋体" w:eastAsia="宋体" w:cs="宋体"/>
          <w:bCs/>
          <w:sz w:val="24"/>
          <w:szCs w:val="24"/>
          <w:highlight w:val="none"/>
        </w:rPr>
      </w:pPr>
      <w:bookmarkStart w:id="675" w:name="_Toc351203507"/>
      <w:r>
        <w:rPr>
          <w:rFonts w:hint="eastAsia" w:ascii="宋体" w:hAnsi="宋体" w:eastAsia="宋体" w:cs="宋体"/>
          <w:bCs/>
          <w:sz w:val="24"/>
          <w:szCs w:val="24"/>
          <w:highlight w:val="none"/>
        </w:rPr>
        <w:t>1</w:t>
      </w:r>
      <w:bookmarkStart w:id="676" w:name="_Toc337558738"/>
      <w:r>
        <w:rPr>
          <w:rFonts w:hint="eastAsia" w:ascii="宋体" w:hAnsi="宋体" w:eastAsia="宋体" w:cs="宋体"/>
          <w:bCs/>
          <w:sz w:val="24"/>
          <w:szCs w:val="24"/>
          <w:highlight w:val="none"/>
        </w:rPr>
        <w:t>.12保密</w:t>
      </w:r>
      <w:bookmarkEnd w:id="675"/>
    </w:p>
    <w:bookmarkEnd w:id="67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除法律规定或合同另有约定外，未经发包人同意，承包人不得将发包人提供的图纸、文件以及声明需要保密的资料信息等商业秘密泄露给第三方。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除法律规定或合同另有约定外，未经承包人同意，发包人不得将承包人提供的技术秘密及声明需要保密的资料信息等商业秘密泄露给第三方。</w:t>
      </w:r>
    </w:p>
    <w:p>
      <w:pPr>
        <w:spacing w:line="360" w:lineRule="auto"/>
        <w:rPr>
          <w:rFonts w:hint="eastAsia" w:ascii="宋体" w:hAnsi="宋体" w:eastAsia="宋体" w:cs="宋体"/>
          <w:bCs/>
          <w:sz w:val="24"/>
          <w:szCs w:val="24"/>
          <w:highlight w:val="none"/>
        </w:rPr>
      </w:pPr>
      <w:bookmarkStart w:id="677" w:name="_Toc351203508"/>
      <w:r>
        <w:rPr>
          <w:rFonts w:hint="eastAsia" w:ascii="宋体" w:hAnsi="宋体" w:eastAsia="宋体" w:cs="宋体"/>
          <w:bCs/>
          <w:sz w:val="24"/>
          <w:szCs w:val="24"/>
          <w:highlight w:val="none"/>
        </w:rPr>
        <w:t>1.13工程量清单错误的修正</w:t>
      </w:r>
      <w:bookmarkEnd w:id="677"/>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除专用合同条款另有约定外，发包人提供的工程量清单，应被认为是准确的和完整的。出现下列情形之一时，发包人应予以修正，并相应调整合同价格：</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（1）工程量清单存在缺项、漏项的；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（2）工程量清单偏差超出专用合同条款约定的工程量偏差范围的；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（3）未按照国家现行计量规范强制性规定计量的。</w:t>
      </w:r>
    </w:p>
    <w:p>
      <w:pPr>
        <w:spacing w:line="360" w:lineRule="auto"/>
        <w:rPr>
          <w:rFonts w:hint="eastAsia" w:ascii="宋体" w:hAnsi="宋体" w:eastAsia="宋体" w:cs="宋体"/>
          <w:bCs/>
          <w:sz w:val="24"/>
          <w:szCs w:val="24"/>
          <w:highlight w:val="none"/>
        </w:rPr>
      </w:pPr>
      <w:bookmarkStart w:id="678" w:name="_Toc351203509"/>
      <w:r>
        <w:rPr>
          <w:rFonts w:hint="eastAsia" w:ascii="宋体" w:hAnsi="宋体" w:eastAsia="宋体" w:cs="宋体"/>
          <w:bCs/>
          <w:sz w:val="24"/>
          <w:szCs w:val="24"/>
          <w:highlight w:val="none"/>
        </w:rPr>
        <w:t>2</w:t>
      </w:r>
      <w:bookmarkStart w:id="679" w:name="_Toc296503038"/>
      <w:bookmarkStart w:id="680" w:name="_Toc296346539"/>
      <w:bookmarkStart w:id="681" w:name="_Toc337558739"/>
      <w:bookmarkStart w:id="682" w:name="OLE_LINK2"/>
      <w:bookmarkStart w:id="683" w:name="OLE_LINK1"/>
      <w:r>
        <w:rPr>
          <w:rFonts w:hint="eastAsia" w:ascii="宋体" w:hAnsi="宋体" w:eastAsia="宋体" w:cs="宋体"/>
          <w:bCs/>
          <w:sz w:val="24"/>
          <w:szCs w:val="24"/>
          <w:highlight w:val="none"/>
        </w:rPr>
        <w:t>. 发包人</w:t>
      </w:r>
      <w:bookmarkEnd w:id="678"/>
    </w:p>
    <w:bookmarkEnd w:id="679"/>
    <w:bookmarkEnd w:id="680"/>
    <w:bookmarkEnd w:id="681"/>
    <w:p>
      <w:pPr>
        <w:spacing w:line="360" w:lineRule="auto"/>
        <w:ind w:firstLine="240" w:firstLineChars="100"/>
        <w:rPr>
          <w:rFonts w:hint="eastAsia" w:ascii="宋体" w:hAnsi="宋体" w:eastAsia="宋体" w:cs="宋体"/>
          <w:bCs/>
          <w:sz w:val="24"/>
          <w:szCs w:val="24"/>
          <w:highlight w:val="none"/>
        </w:rPr>
      </w:pPr>
      <w:bookmarkStart w:id="684" w:name="_Toc351203510"/>
      <w:r>
        <w:rPr>
          <w:rFonts w:hint="eastAsia" w:ascii="宋体" w:hAnsi="宋体" w:eastAsia="宋体" w:cs="宋体"/>
          <w:bCs/>
          <w:sz w:val="24"/>
          <w:szCs w:val="24"/>
          <w:highlight w:val="none"/>
        </w:rPr>
        <w:t>2</w:t>
      </w:r>
      <w:bookmarkStart w:id="685" w:name="_Toc337558740"/>
      <w:bookmarkStart w:id="686" w:name="_Toc296346540"/>
      <w:bookmarkStart w:id="687" w:name="_Toc296503039"/>
      <w:r>
        <w:rPr>
          <w:rFonts w:hint="eastAsia" w:ascii="宋体" w:hAnsi="宋体" w:eastAsia="宋体" w:cs="宋体"/>
          <w:bCs/>
          <w:sz w:val="24"/>
          <w:szCs w:val="24"/>
          <w:highlight w:val="none"/>
        </w:rPr>
        <w:t>.1 许可或批准</w:t>
      </w:r>
      <w:bookmarkEnd w:id="684"/>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因发包人原因未能及时办理完毕前述许可、批准或备案，由发包人承担由此增加的费用和（或）延误的工期，并支付承包人合理的利润。</w:t>
      </w:r>
    </w:p>
    <w:p>
      <w:pPr>
        <w:spacing w:line="360" w:lineRule="auto"/>
        <w:ind w:firstLine="240" w:firstLineChars="100"/>
        <w:rPr>
          <w:rFonts w:hint="eastAsia" w:ascii="宋体" w:hAnsi="宋体" w:eastAsia="宋体" w:cs="宋体"/>
          <w:bCs/>
          <w:sz w:val="24"/>
          <w:szCs w:val="24"/>
          <w:highlight w:val="none"/>
        </w:rPr>
      </w:pPr>
      <w:bookmarkStart w:id="688" w:name="_Toc351203511"/>
      <w:r>
        <w:rPr>
          <w:rFonts w:hint="eastAsia" w:ascii="宋体" w:hAnsi="宋体" w:eastAsia="宋体" w:cs="宋体"/>
          <w:bCs/>
          <w:sz w:val="24"/>
          <w:szCs w:val="24"/>
          <w:highlight w:val="none"/>
        </w:rPr>
        <w:t>2.2 发包人代表</w:t>
      </w:r>
      <w:bookmarkEnd w:id="688"/>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发包人代表不能按照合同约定履行其职责及义务，并导致合同无法继续正常履行的，承包人可以要求发包人撤换发包人代表。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不属于法定必须监理的工程，监理人的职权可以由发包人代表或发包人指定的其他人员行使。</w:t>
      </w:r>
    </w:p>
    <w:p>
      <w:pPr>
        <w:spacing w:line="360" w:lineRule="auto"/>
        <w:ind w:firstLine="240" w:firstLineChars="100"/>
        <w:rPr>
          <w:rFonts w:hint="eastAsia" w:ascii="宋体" w:hAnsi="宋体" w:eastAsia="宋体" w:cs="宋体"/>
          <w:bCs/>
          <w:sz w:val="24"/>
          <w:szCs w:val="24"/>
          <w:highlight w:val="none"/>
        </w:rPr>
      </w:pPr>
      <w:bookmarkStart w:id="689" w:name="_Toc351203512"/>
      <w:r>
        <w:rPr>
          <w:rFonts w:hint="eastAsia" w:ascii="宋体" w:hAnsi="宋体" w:eastAsia="宋体" w:cs="宋体"/>
          <w:bCs/>
          <w:sz w:val="24"/>
          <w:szCs w:val="24"/>
          <w:highlight w:val="none"/>
        </w:rPr>
        <w:t>2.3 发包人人员</w:t>
      </w:r>
      <w:bookmarkEnd w:id="689"/>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发包人人员包括发包人代表及其他由发包人派驻施工现场的人员。</w:t>
      </w:r>
      <w:bookmarkEnd w:id="685"/>
      <w:bookmarkEnd w:id="686"/>
      <w:bookmarkEnd w:id="687"/>
    </w:p>
    <w:p>
      <w:pPr>
        <w:spacing w:line="360" w:lineRule="auto"/>
        <w:ind w:firstLine="240" w:firstLineChars="100"/>
        <w:rPr>
          <w:rFonts w:hint="eastAsia" w:ascii="宋体" w:hAnsi="宋体" w:eastAsia="宋体" w:cs="宋体"/>
          <w:bCs/>
          <w:sz w:val="24"/>
          <w:szCs w:val="24"/>
          <w:highlight w:val="none"/>
        </w:rPr>
      </w:pPr>
      <w:bookmarkStart w:id="690" w:name="_Toc351203513"/>
      <w:r>
        <w:rPr>
          <w:rFonts w:hint="eastAsia" w:ascii="宋体" w:hAnsi="宋体" w:eastAsia="宋体" w:cs="宋体"/>
          <w:bCs/>
          <w:sz w:val="24"/>
          <w:szCs w:val="24"/>
          <w:highlight w:val="none"/>
        </w:rPr>
        <w:t>2</w:t>
      </w:r>
      <w:bookmarkStart w:id="691" w:name="_Toc296503040"/>
      <w:bookmarkStart w:id="692" w:name="_Toc337558741"/>
      <w:bookmarkStart w:id="693" w:name="_Toc296346541"/>
      <w:r>
        <w:rPr>
          <w:rFonts w:hint="eastAsia" w:ascii="宋体" w:hAnsi="宋体" w:eastAsia="宋体" w:cs="宋体"/>
          <w:bCs/>
          <w:sz w:val="24"/>
          <w:szCs w:val="24"/>
          <w:highlight w:val="none"/>
        </w:rPr>
        <w:t>.4 施工现场、施工条件和基础资料的提供</w:t>
      </w:r>
      <w:bookmarkEnd w:id="690"/>
      <w:bookmarkEnd w:id="691"/>
      <w:bookmarkEnd w:id="692"/>
      <w:bookmarkEnd w:id="693"/>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2.4.1 提供施工现场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w:t>
      </w:r>
      <w:bookmarkEnd w:id="682"/>
      <w:bookmarkEnd w:id="683"/>
      <w:r>
        <w:rPr>
          <w:rFonts w:hint="eastAsia" w:ascii="宋体" w:hAnsi="宋体" w:eastAsia="宋体" w:cs="宋体"/>
          <w:sz w:val="24"/>
          <w:szCs w:val="24"/>
          <w:highlight w:val="none"/>
        </w:rPr>
        <w:t>专用合同条款另有约定外，发包人应最迟于开工日期7天前向承包人移交施工现场。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2.4.2 提供施工条件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除专用合同条款另有约定外，发包人应负责提供施工所需要的条件，包括：</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（1）将施工用水、电力、通讯线路等施工所必需的条件接至施工现场内；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（2）保证向承包人提供正常施工所需要的进入施工现场的交通条件；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（3）协调处理施工现场周围地下管线和邻近建筑物、构筑物、古树名木的保护工作，并承担相关费用；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（4）按照专用合同条款约定应提供的其他设施和条件。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2.4.3 提供基础资料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2.4.4 逾期提供的责任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因发包人原因未能按合同约定及时向承包人提供施工现场、施工条件、基础资料的，由发包人承担由此增加的费用和（或）延误的工期。</w:t>
      </w:r>
    </w:p>
    <w:p>
      <w:pPr>
        <w:spacing w:line="360" w:lineRule="auto"/>
        <w:ind w:firstLine="240" w:firstLineChars="100"/>
        <w:rPr>
          <w:rFonts w:hint="eastAsia" w:ascii="宋体" w:hAnsi="宋体" w:eastAsia="宋体" w:cs="宋体"/>
          <w:bCs/>
          <w:sz w:val="24"/>
          <w:szCs w:val="24"/>
          <w:highlight w:val="none"/>
        </w:rPr>
      </w:pPr>
      <w:bookmarkStart w:id="694" w:name="_Toc351203514"/>
      <w:r>
        <w:rPr>
          <w:rFonts w:hint="eastAsia" w:ascii="宋体" w:hAnsi="宋体" w:eastAsia="宋体" w:cs="宋体"/>
          <w:bCs/>
          <w:sz w:val="24"/>
          <w:szCs w:val="24"/>
          <w:highlight w:val="none"/>
        </w:rPr>
        <w:t>2</w:t>
      </w:r>
      <w:bookmarkStart w:id="695" w:name="_Toc337558745"/>
      <w:bookmarkStart w:id="696" w:name="_Toc296346543"/>
      <w:bookmarkStart w:id="697" w:name="_Toc296503042"/>
      <w:r>
        <w:rPr>
          <w:rFonts w:hint="eastAsia" w:ascii="宋体" w:hAnsi="宋体" w:eastAsia="宋体" w:cs="宋体"/>
          <w:bCs/>
          <w:sz w:val="24"/>
          <w:szCs w:val="24"/>
          <w:highlight w:val="none"/>
        </w:rPr>
        <w:t>.5 资</w:t>
      </w:r>
      <w:bookmarkEnd w:id="695"/>
      <w:bookmarkEnd w:id="696"/>
      <w:bookmarkEnd w:id="697"/>
      <w:r>
        <w:rPr>
          <w:rFonts w:hint="eastAsia" w:ascii="宋体" w:hAnsi="宋体" w:eastAsia="宋体" w:cs="宋体"/>
          <w:bCs/>
          <w:sz w:val="24"/>
          <w:szCs w:val="24"/>
          <w:highlight w:val="none"/>
        </w:rPr>
        <w:t>金来源证明及支付担保</w:t>
      </w:r>
      <w:bookmarkEnd w:id="694"/>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spacing w:line="360" w:lineRule="auto"/>
        <w:ind w:firstLine="240" w:firstLineChars="100"/>
        <w:rPr>
          <w:rFonts w:hint="eastAsia" w:ascii="宋体" w:hAnsi="宋体" w:eastAsia="宋体" w:cs="宋体"/>
          <w:bCs/>
          <w:sz w:val="24"/>
          <w:szCs w:val="24"/>
          <w:highlight w:val="none"/>
        </w:rPr>
      </w:pPr>
      <w:bookmarkStart w:id="698" w:name="_Toc351203515"/>
      <w:r>
        <w:rPr>
          <w:rFonts w:hint="eastAsia" w:ascii="宋体" w:hAnsi="宋体" w:eastAsia="宋体" w:cs="宋体"/>
          <w:bCs/>
          <w:sz w:val="24"/>
          <w:szCs w:val="24"/>
          <w:highlight w:val="none"/>
        </w:rPr>
        <w:t>2.6 支付合同价款</w:t>
      </w:r>
      <w:bookmarkEnd w:id="698"/>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发包人应按合同约定向承包人及时支付合同价款。</w:t>
      </w:r>
    </w:p>
    <w:p>
      <w:pPr>
        <w:spacing w:line="360" w:lineRule="auto"/>
        <w:ind w:firstLine="240" w:firstLineChars="100"/>
        <w:rPr>
          <w:rFonts w:hint="eastAsia" w:ascii="宋体" w:hAnsi="宋体" w:eastAsia="宋体" w:cs="宋体"/>
          <w:bCs/>
          <w:sz w:val="24"/>
          <w:szCs w:val="24"/>
          <w:highlight w:val="none"/>
        </w:rPr>
      </w:pPr>
      <w:bookmarkStart w:id="699" w:name="_Toc351203516"/>
      <w:r>
        <w:rPr>
          <w:rFonts w:hint="eastAsia" w:ascii="宋体" w:hAnsi="宋体" w:eastAsia="宋体" w:cs="宋体"/>
          <w:bCs/>
          <w:sz w:val="24"/>
          <w:szCs w:val="24"/>
          <w:highlight w:val="none"/>
        </w:rPr>
        <w:t>2.7 组织竣工验收</w:t>
      </w:r>
      <w:bookmarkEnd w:id="699"/>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发包人应按合同约定及时组织竣工验收。</w:t>
      </w:r>
    </w:p>
    <w:p>
      <w:pPr>
        <w:spacing w:line="360" w:lineRule="auto"/>
        <w:ind w:firstLine="240" w:firstLineChars="100"/>
        <w:rPr>
          <w:rFonts w:hint="eastAsia" w:ascii="宋体" w:hAnsi="宋体" w:eastAsia="宋体" w:cs="宋体"/>
          <w:bCs/>
          <w:sz w:val="24"/>
          <w:szCs w:val="24"/>
          <w:highlight w:val="none"/>
        </w:rPr>
      </w:pPr>
      <w:bookmarkStart w:id="700" w:name="_Toc351203517"/>
      <w:r>
        <w:rPr>
          <w:rFonts w:hint="eastAsia" w:ascii="宋体" w:hAnsi="宋体" w:eastAsia="宋体" w:cs="宋体"/>
          <w:bCs/>
          <w:sz w:val="24"/>
          <w:szCs w:val="24"/>
          <w:highlight w:val="none"/>
        </w:rPr>
        <w:t>2.8 现场统一管理协议</w:t>
      </w:r>
      <w:bookmarkEnd w:id="700"/>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发包人应与承包人、由发包人直接发包的专业工程的承包人签订施工现场统一管理协议，明确各方的权利义务。施工现场统一管理协议作为专用合同条款的附件。</w:t>
      </w:r>
    </w:p>
    <w:p>
      <w:pPr>
        <w:spacing w:line="360" w:lineRule="auto"/>
        <w:rPr>
          <w:rFonts w:hint="eastAsia" w:ascii="宋体" w:hAnsi="宋体" w:eastAsia="宋体" w:cs="宋体"/>
          <w:bCs/>
          <w:sz w:val="24"/>
          <w:szCs w:val="24"/>
          <w:highlight w:val="none"/>
        </w:rPr>
      </w:pPr>
      <w:bookmarkStart w:id="701" w:name="_Toc351203518"/>
      <w:r>
        <w:rPr>
          <w:rFonts w:hint="eastAsia" w:ascii="宋体" w:hAnsi="宋体" w:eastAsia="宋体" w:cs="宋体"/>
          <w:bCs/>
          <w:sz w:val="24"/>
          <w:szCs w:val="24"/>
          <w:highlight w:val="none"/>
        </w:rPr>
        <w:t>3</w:t>
      </w:r>
      <w:bookmarkStart w:id="702" w:name="_Toc296346546"/>
      <w:bookmarkStart w:id="703" w:name="_Toc337558746"/>
      <w:bookmarkStart w:id="704" w:name="_Toc296503045"/>
      <w:r>
        <w:rPr>
          <w:rFonts w:hint="eastAsia" w:ascii="宋体" w:hAnsi="宋体" w:eastAsia="宋体" w:cs="宋体"/>
          <w:bCs/>
          <w:sz w:val="24"/>
          <w:szCs w:val="24"/>
          <w:highlight w:val="none"/>
        </w:rPr>
        <w:t>. 承包人</w:t>
      </w:r>
      <w:bookmarkEnd w:id="701"/>
    </w:p>
    <w:bookmarkEnd w:id="702"/>
    <w:bookmarkEnd w:id="703"/>
    <w:bookmarkEnd w:id="704"/>
    <w:p>
      <w:pPr>
        <w:spacing w:line="360" w:lineRule="auto"/>
        <w:ind w:firstLine="240" w:firstLineChars="100"/>
        <w:rPr>
          <w:rFonts w:hint="eastAsia" w:ascii="宋体" w:hAnsi="宋体" w:eastAsia="宋体" w:cs="宋体"/>
          <w:bCs/>
          <w:sz w:val="24"/>
          <w:szCs w:val="24"/>
          <w:highlight w:val="none"/>
        </w:rPr>
      </w:pPr>
      <w:bookmarkStart w:id="705" w:name="_Toc351203519"/>
      <w:r>
        <w:rPr>
          <w:rFonts w:hint="eastAsia" w:ascii="宋体" w:hAnsi="宋体" w:eastAsia="宋体" w:cs="宋体"/>
          <w:bCs/>
          <w:sz w:val="24"/>
          <w:szCs w:val="24"/>
          <w:highlight w:val="none"/>
        </w:rPr>
        <w:t>3</w:t>
      </w:r>
      <w:bookmarkStart w:id="706" w:name="_Toc337558747"/>
      <w:bookmarkStart w:id="707" w:name="_Toc296346547"/>
      <w:bookmarkStart w:id="708" w:name="_Toc296503046"/>
      <w:r>
        <w:rPr>
          <w:rFonts w:hint="eastAsia" w:ascii="宋体" w:hAnsi="宋体" w:eastAsia="宋体" w:cs="宋体"/>
          <w:bCs/>
          <w:sz w:val="24"/>
          <w:szCs w:val="24"/>
          <w:highlight w:val="none"/>
        </w:rPr>
        <w:t>.1 承包人的一般义务</w:t>
      </w:r>
      <w:bookmarkEnd w:id="705"/>
    </w:p>
    <w:bookmarkEnd w:id="706"/>
    <w:bookmarkEnd w:id="707"/>
    <w:bookmarkEnd w:id="70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承包人在履行合同过程中应遵守法律和工程建设标准规范，并履行以下义务：</w:t>
      </w:r>
    </w:p>
    <w:p>
      <w:pPr>
        <w:numPr>
          <w:ilvl w:val="0"/>
          <w:numId w:val="8"/>
        </w:numPr>
        <w:adjustRightInd/>
        <w:snapToGri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办理法律规定应由承包人办理的许可和批准，并将办理结果书面报送发包人留存；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（2）按法律规定和合同约定完成工程，并在保修期内承担保修义务；</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（3）按法律规定和合同约定采取施工安全和环境保护措施，办理工伤保险，确保工程及人员、材料、设备和设施的安全；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（4）按合同约定的工作内容和施工进度要求，编制施工组织设计和施工措施计划，并对所有施工作业和施工方法的完备性和安全可靠性负责；</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（6）按照第6.3款〔环境保护〕约定负责施工场地及其周边环境与生态的保护工作；</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（7）按第6.1款〔安全文明施工〕约定采取施工安全措施，确保工程及其人员、材料、设备和设施的安全，防止因工程施工造成的人身伤害和财产损失；</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（8）将发包人按合同约定支付的各项价款专用于合同工程，且应及时支付其雇用人员工资，并及时向分包人支付合同价款；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（9）按照法律规定和合同约定编制竣工资料，完成竣工资料立卷及归档，并按专用合同条款约定的竣工资料的套数、内容、时间等要求移交发包人；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（10）应履行的其他义务。</w:t>
      </w:r>
    </w:p>
    <w:p>
      <w:pPr>
        <w:spacing w:line="360" w:lineRule="auto"/>
        <w:ind w:firstLine="240" w:firstLineChars="100"/>
        <w:rPr>
          <w:rFonts w:hint="eastAsia" w:ascii="宋体" w:hAnsi="宋体" w:eastAsia="宋体" w:cs="宋体"/>
          <w:bCs/>
          <w:sz w:val="24"/>
          <w:szCs w:val="24"/>
          <w:highlight w:val="none"/>
        </w:rPr>
      </w:pPr>
      <w:bookmarkStart w:id="709" w:name="_Toc351203520"/>
      <w:r>
        <w:rPr>
          <w:rFonts w:hint="eastAsia" w:ascii="宋体" w:hAnsi="宋体" w:eastAsia="宋体" w:cs="宋体"/>
          <w:bCs/>
          <w:sz w:val="24"/>
          <w:szCs w:val="24"/>
          <w:highlight w:val="none"/>
        </w:rPr>
        <w:t>3</w:t>
      </w:r>
      <w:bookmarkStart w:id="710" w:name="_Toc296346548"/>
      <w:bookmarkStart w:id="711" w:name="_Toc296503047"/>
      <w:bookmarkStart w:id="712" w:name="_Toc337558748"/>
      <w:r>
        <w:rPr>
          <w:rFonts w:hint="eastAsia" w:ascii="宋体" w:hAnsi="宋体" w:eastAsia="宋体" w:cs="宋体"/>
          <w:bCs/>
          <w:sz w:val="24"/>
          <w:szCs w:val="24"/>
          <w:highlight w:val="none"/>
        </w:rPr>
        <w:t xml:space="preserve">.2 </w:t>
      </w:r>
      <w:bookmarkEnd w:id="709"/>
      <w:r>
        <w:rPr>
          <w:rFonts w:hint="eastAsia" w:ascii="宋体" w:hAnsi="宋体" w:eastAsia="宋体" w:cs="宋体"/>
          <w:bCs/>
          <w:sz w:val="24"/>
          <w:szCs w:val="24"/>
          <w:highlight w:val="none"/>
        </w:rPr>
        <w:t>项目经理</w:t>
      </w:r>
    </w:p>
    <w:bookmarkEnd w:id="710"/>
    <w:bookmarkEnd w:id="711"/>
    <w:bookmarkEnd w:id="71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承包人违反上述约定的，应按照专用合同条款的约定，承担违约责任。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spacing w:line="360" w:lineRule="auto"/>
        <w:ind w:firstLine="240" w:firstLineChars="100"/>
        <w:rPr>
          <w:rFonts w:hint="eastAsia" w:ascii="宋体" w:hAnsi="宋体" w:eastAsia="宋体" w:cs="宋体"/>
          <w:bCs/>
          <w:sz w:val="24"/>
          <w:szCs w:val="24"/>
          <w:highlight w:val="none"/>
        </w:rPr>
      </w:pPr>
      <w:bookmarkStart w:id="713" w:name="_Toc351203521"/>
      <w:r>
        <w:rPr>
          <w:rFonts w:hint="eastAsia" w:ascii="宋体" w:hAnsi="宋体" w:eastAsia="宋体" w:cs="宋体"/>
          <w:bCs/>
          <w:sz w:val="24"/>
          <w:szCs w:val="24"/>
          <w:highlight w:val="none"/>
        </w:rPr>
        <w:t>3</w:t>
      </w:r>
      <w:bookmarkStart w:id="714" w:name="_Toc296503048"/>
      <w:bookmarkStart w:id="715" w:name="_Toc296346549"/>
      <w:bookmarkStart w:id="716" w:name="_Toc337558749"/>
      <w:r>
        <w:rPr>
          <w:rFonts w:hint="eastAsia" w:ascii="宋体" w:hAnsi="宋体" w:eastAsia="宋体" w:cs="宋体"/>
          <w:bCs/>
          <w:sz w:val="24"/>
          <w:szCs w:val="24"/>
          <w:highlight w:val="none"/>
        </w:rPr>
        <w:t xml:space="preserve">.3 </w:t>
      </w:r>
      <w:bookmarkEnd w:id="714"/>
      <w:bookmarkEnd w:id="715"/>
      <w:r>
        <w:rPr>
          <w:rFonts w:hint="eastAsia" w:ascii="宋体" w:hAnsi="宋体" w:eastAsia="宋体" w:cs="宋体"/>
          <w:bCs/>
          <w:sz w:val="24"/>
          <w:szCs w:val="24"/>
          <w:highlight w:val="none"/>
        </w:rPr>
        <w:t>承包人人员</w:t>
      </w:r>
      <w:bookmarkEnd w:id="713"/>
    </w:p>
    <w:bookmarkEnd w:id="71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特殊工种作业人员均应持有相应的资格证明，监理人可以随时检查。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3.3.5 承包人擅自更换主要施工管理人员，或前述人员未经监理人或发包人同意擅自离开施工现场的，应按照专用合同条款约定承担违约责任。</w:t>
      </w:r>
    </w:p>
    <w:p>
      <w:pPr>
        <w:spacing w:line="360" w:lineRule="auto"/>
        <w:ind w:firstLine="240" w:firstLineChars="100"/>
        <w:rPr>
          <w:rFonts w:hint="eastAsia" w:ascii="宋体" w:hAnsi="宋体" w:eastAsia="宋体" w:cs="宋体"/>
          <w:bCs/>
          <w:sz w:val="24"/>
          <w:szCs w:val="24"/>
          <w:highlight w:val="none"/>
        </w:rPr>
      </w:pPr>
      <w:bookmarkStart w:id="717" w:name="_Toc351203522"/>
      <w:r>
        <w:rPr>
          <w:rFonts w:hint="eastAsia" w:ascii="宋体" w:hAnsi="宋体" w:eastAsia="宋体" w:cs="宋体"/>
          <w:bCs/>
          <w:sz w:val="24"/>
          <w:szCs w:val="24"/>
          <w:highlight w:val="none"/>
        </w:rPr>
        <w:t>3</w:t>
      </w:r>
      <w:bookmarkStart w:id="718" w:name="_Toc296346551"/>
      <w:bookmarkStart w:id="719" w:name="_Toc296503050"/>
      <w:bookmarkStart w:id="720" w:name="_Toc337558750"/>
      <w:r>
        <w:rPr>
          <w:rFonts w:hint="eastAsia" w:ascii="宋体" w:hAnsi="宋体" w:eastAsia="宋体" w:cs="宋体"/>
          <w:bCs/>
          <w:sz w:val="24"/>
          <w:szCs w:val="24"/>
          <w:highlight w:val="none"/>
        </w:rPr>
        <w:t>.4 承包人现场查勘</w:t>
      </w:r>
      <w:bookmarkEnd w:id="717"/>
    </w:p>
    <w:bookmarkEnd w:id="718"/>
    <w:bookmarkEnd w:id="719"/>
    <w:bookmarkEnd w:id="72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w:t>
      </w:r>
    </w:p>
    <w:p>
      <w:pPr>
        <w:spacing w:line="360" w:lineRule="auto"/>
        <w:ind w:firstLine="240" w:firstLineChars="100"/>
        <w:rPr>
          <w:rFonts w:hint="eastAsia" w:ascii="宋体" w:hAnsi="宋体" w:eastAsia="宋体" w:cs="宋体"/>
          <w:bCs/>
          <w:sz w:val="24"/>
          <w:szCs w:val="24"/>
          <w:highlight w:val="none"/>
        </w:rPr>
      </w:pPr>
      <w:bookmarkStart w:id="721" w:name="_Toc351203523"/>
      <w:r>
        <w:rPr>
          <w:rFonts w:hint="eastAsia" w:ascii="宋体" w:hAnsi="宋体" w:eastAsia="宋体" w:cs="宋体"/>
          <w:bCs/>
          <w:sz w:val="24"/>
          <w:szCs w:val="24"/>
          <w:highlight w:val="none"/>
        </w:rPr>
        <w:t>3</w:t>
      </w:r>
      <w:bookmarkStart w:id="722" w:name="_Toc296503051"/>
      <w:bookmarkStart w:id="723" w:name="_Toc296346552"/>
      <w:bookmarkStart w:id="724" w:name="_Toc337558751"/>
      <w:r>
        <w:rPr>
          <w:rFonts w:hint="eastAsia" w:ascii="宋体" w:hAnsi="宋体" w:eastAsia="宋体" w:cs="宋体"/>
          <w:bCs/>
          <w:sz w:val="24"/>
          <w:szCs w:val="24"/>
          <w:highlight w:val="none"/>
        </w:rPr>
        <w:t>.5 分包</w:t>
      </w:r>
      <w:bookmarkEnd w:id="721"/>
    </w:p>
    <w:bookmarkEnd w:id="722"/>
    <w:bookmarkEnd w:id="723"/>
    <w:bookmarkEnd w:id="72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3.5.1 分包的一般约定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承包人不得以劳务分包的名义转包或违法分包工程。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3.5.2 分包的确定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3.5.3 分包管理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3.5.4 分包合同价款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（2）生效法律文书要求发包人向分包人支付分包合同价款的，发包人有权从应付承包人工程款中扣除该部分款项。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3.5.5 分包合同权益的转让</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25" w:name="_Toc351203524"/>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3.6 工程照管与成品、半成品保护</w:t>
      </w:r>
      <w:bookmarkEnd w:id="725"/>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（2）在承包人负责照管期间，因承包人原因造成工程、材料、工程设备损坏的，由承包人负责修复或更换，并承担由此增加的费用和（或）延误的工期。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60" w:lineRule="auto"/>
        <w:ind w:firstLine="240" w:firstLineChars="100"/>
        <w:rPr>
          <w:rFonts w:hint="eastAsia" w:ascii="宋体" w:hAnsi="宋体" w:eastAsia="宋体" w:cs="宋体"/>
          <w:bCs/>
          <w:sz w:val="24"/>
          <w:szCs w:val="24"/>
          <w:highlight w:val="none"/>
        </w:rPr>
      </w:pPr>
      <w:bookmarkStart w:id="726" w:name="_Toc351203525"/>
      <w:r>
        <w:rPr>
          <w:rFonts w:hint="eastAsia" w:ascii="宋体" w:hAnsi="宋体" w:eastAsia="宋体" w:cs="宋体"/>
          <w:bCs/>
          <w:sz w:val="24"/>
          <w:szCs w:val="24"/>
          <w:highlight w:val="none"/>
        </w:rPr>
        <w:t>3</w:t>
      </w:r>
      <w:bookmarkStart w:id="727" w:name="_Toc296346553"/>
      <w:bookmarkStart w:id="728" w:name="_Toc296503052"/>
      <w:bookmarkStart w:id="729" w:name="_Toc337558752"/>
      <w:r>
        <w:rPr>
          <w:rFonts w:hint="eastAsia" w:ascii="宋体" w:hAnsi="宋体" w:eastAsia="宋体" w:cs="宋体"/>
          <w:bCs/>
          <w:sz w:val="24"/>
          <w:szCs w:val="24"/>
          <w:highlight w:val="none"/>
        </w:rPr>
        <w:t>.7 履约担保</w:t>
      </w:r>
      <w:bookmarkEnd w:id="726"/>
    </w:p>
    <w:bookmarkEnd w:id="727"/>
    <w:bookmarkEnd w:id="728"/>
    <w:bookmarkEnd w:id="72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因承包人原因导致工期延长的，继续提供履约担保所增加的费用由承包人承担；非因承包人原因导致工期延长的，继续提供履约担保所增加的费用由发包人承担。</w:t>
      </w:r>
    </w:p>
    <w:p>
      <w:pPr>
        <w:spacing w:line="360" w:lineRule="auto"/>
        <w:ind w:firstLine="240" w:firstLineChars="100"/>
        <w:rPr>
          <w:rFonts w:hint="eastAsia" w:ascii="宋体" w:hAnsi="宋体" w:eastAsia="宋体" w:cs="宋体"/>
          <w:bCs/>
          <w:sz w:val="24"/>
          <w:szCs w:val="24"/>
          <w:highlight w:val="none"/>
        </w:rPr>
      </w:pPr>
      <w:bookmarkStart w:id="730" w:name="_Toc351203526"/>
      <w:r>
        <w:rPr>
          <w:rFonts w:hint="eastAsia" w:ascii="宋体" w:hAnsi="宋体" w:eastAsia="宋体" w:cs="宋体"/>
          <w:bCs/>
          <w:sz w:val="24"/>
          <w:szCs w:val="24"/>
          <w:highlight w:val="none"/>
        </w:rPr>
        <w:t>3.8 联合体</w:t>
      </w:r>
      <w:bookmarkEnd w:id="730"/>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3.8.1 联合体各方应共同与发包人签订合同协议书。联合体各方应为履行合同向发包人承担连带责任。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3.8.2 联合体协议经发包人确认后作为合同附件。在履行合同过程中，未经发包人同意，不得修改联合体协议。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3.8.3 联合体牵头人负责与发包人和监理人联系，并接受指示，负责组织联合体各成员全面履行合同。</w:t>
      </w:r>
    </w:p>
    <w:p>
      <w:pPr>
        <w:spacing w:line="360" w:lineRule="auto"/>
        <w:rPr>
          <w:rFonts w:hint="eastAsia" w:ascii="宋体" w:hAnsi="宋体" w:eastAsia="宋体" w:cs="宋体"/>
          <w:bCs/>
          <w:sz w:val="24"/>
          <w:szCs w:val="24"/>
          <w:highlight w:val="none"/>
        </w:rPr>
      </w:pPr>
      <w:bookmarkStart w:id="731" w:name="_Toc351203527"/>
      <w:r>
        <w:rPr>
          <w:rFonts w:hint="eastAsia" w:ascii="宋体" w:hAnsi="宋体" w:eastAsia="宋体" w:cs="宋体"/>
          <w:bCs/>
          <w:sz w:val="24"/>
          <w:szCs w:val="24"/>
          <w:highlight w:val="none"/>
        </w:rPr>
        <w:t>4</w:t>
      </w:r>
      <w:bookmarkStart w:id="732" w:name="_Toc296503053"/>
      <w:bookmarkStart w:id="733" w:name="_Toc296346554"/>
      <w:bookmarkStart w:id="734" w:name="_Toc337558753"/>
      <w:r>
        <w:rPr>
          <w:rFonts w:hint="eastAsia" w:ascii="宋体" w:hAnsi="宋体" w:eastAsia="宋体" w:cs="宋体"/>
          <w:bCs/>
          <w:sz w:val="24"/>
          <w:szCs w:val="24"/>
          <w:highlight w:val="none"/>
        </w:rPr>
        <w:t>. 监</w:t>
      </w:r>
      <w:bookmarkEnd w:id="732"/>
      <w:bookmarkEnd w:id="733"/>
      <w:r>
        <w:rPr>
          <w:rFonts w:hint="eastAsia" w:ascii="宋体" w:hAnsi="宋体" w:eastAsia="宋体" w:cs="宋体"/>
          <w:bCs/>
          <w:sz w:val="24"/>
          <w:szCs w:val="24"/>
          <w:highlight w:val="none"/>
        </w:rPr>
        <w:t>理人</w:t>
      </w:r>
      <w:bookmarkEnd w:id="731"/>
    </w:p>
    <w:bookmarkEnd w:id="734"/>
    <w:p>
      <w:pPr>
        <w:spacing w:line="360" w:lineRule="auto"/>
        <w:ind w:firstLine="240" w:firstLineChars="100"/>
        <w:rPr>
          <w:rFonts w:hint="eastAsia" w:ascii="宋体" w:hAnsi="宋体" w:eastAsia="宋体" w:cs="宋体"/>
          <w:bCs/>
          <w:sz w:val="24"/>
          <w:szCs w:val="24"/>
          <w:highlight w:val="none"/>
        </w:rPr>
      </w:pPr>
      <w:bookmarkStart w:id="735" w:name="_Toc351203528"/>
      <w:r>
        <w:rPr>
          <w:rFonts w:hint="eastAsia" w:ascii="宋体" w:hAnsi="宋体" w:eastAsia="宋体" w:cs="宋体"/>
          <w:bCs/>
          <w:sz w:val="24"/>
          <w:szCs w:val="24"/>
          <w:highlight w:val="none"/>
        </w:rPr>
        <w:t>4</w:t>
      </w:r>
      <w:bookmarkStart w:id="736" w:name="_Toc337558754"/>
      <w:bookmarkStart w:id="737" w:name="_Toc296346555"/>
      <w:bookmarkStart w:id="738" w:name="_Toc296503054"/>
      <w:r>
        <w:rPr>
          <w:rFonts w:hint="eastAsia" w:ascii="宋体" w:hAnsi="宋体" w:eastAsia="宋体" w:cs="宋体"/>
          <w:bCs/>
          <w:sz w:val="24"/>
          <w:szCs w:val="24"/>
          <w:highlight w:val="none"/>
        </w:rPr>
        <w:t>.1监理人的一般规定</w:t>
      </w:r>
      <w:bookmarkEnd w:id="735"/>
    </w:p>
    <w:bookmarkEnd w:id="736"/>
    <w:bookmarkEnd w:id="737"/>
    <w:bookmarkEnd w:id="73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除专用合同条款另有约定外，监理人在施工现场的办公场所、生活场所由承包人提供，所发生的费用由发包人承担。</w:t>
      </w:r>
    </w:p>
    <w:p>
      <w:pPr>
        <w:spacing w:line="360" w:lineRule="auto"/>
        <w:ind w:firstLine="240" w:firstLineChars="100"/>
        <w:rPr>
          <w:rFonts w:hint="eastAsia" w:ascii="宋体" w:hAnsi="宋体" w:eastAsia="宋体" w:cs="宋体"/>
          <w:bCs/>
          <w:sz w:val="24"/>
          <w:szCs w:val="24"/>
          <w:highlight w:val="none"/>
        </w:rPr>
      </w:pPr>
      <w:bookmarkStart w:id="739" w:name="_Toc351203529"/>
      <w:r>
        <w:rPr>
          <w:rFonts w:hint="eastAsia" w:ascii="宋体" w:hAnsi="宋体" w:eastAsia="宋体" w:cs="宋体"/>
          <w:bCs/>
          <w:sz w:val="24"/>
          <w:szCs w:val="24"/>
          <w:highlight w:val="none"/>
        </w:rPr>
        <w:t>4</w:t>
      </w:r>
      <w:bookmarkStart w:id="740" w:name="_Toc337558755"/>
      <w:r>
        <w:rPr>
          <w:rFonts w:hint="eastAsia" w:ascii="宋体" w:hAnsi="宋体" w:eastAsia="宋体" w:cs="宋体"/>
          <w:bCs/>
          <w:sz w:val="24"/>
          <w:szCs w:val="24"/>
          <w:highlight w:val="none"/>
        </w:rPr>
        <w:t>.2监理人员</w:t>
      </w:r>
      <w:bookmarkEnd w:id="739"/>
    </w:p>
    <w:bookmarkEnd w:id="74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60" w:lineRule="auto"/>
        <w:ind w:firstLine="240" w:firstLineChars="100"/>
        <w:rPr>
          <w:rFonts w:hint="eastAsia" w:ascii="宋体" w:hAnsi="宋体" w:eastAsia="宋体" w:cs="宋体"/>
          <w:bCs/>
          <w:sz w:val="24"/>
          <w:szCs w:val="24"/>
          <w:highlight w:val="none"/>
        </w:rPr>
      </w:pPr>
      <w:bookmarkStart w:id="741" w:name="_Toc351203530"/>
      <w:r>
        <w:rPr>
          <w:rFonts w:hint="eastAsia" w:ascii="宋体" w:hAnsi="宋体" w:eastAsia="宋体" w:cs="宋体"/>
          <w:bCs/>
          <w:sz w:val="24"/>
          <w:szCs w:val="24"/>
          <w:highlight w:val="none"/>
        </w:rPr>
        <w:t>4</w:t>
      </w:r>
      <w:bookmarkStart w:id="742" w:name="_Toc296503055"/>
      <w:bookmarkStart w:id="743" w:name="_Toc296346556"/>
      <w:bookmarkStart w:id="744" w:name="_Toc337558756"/>
      <w:r>
        <w:rPr>
          <w:rFonts w:hint="eastAsia" w:ascii="宋体" w:hAnsi="宋体" w:eastAsia="宋体" w:cs="宋体"/>
          <w:bCs/>
          <w:sz w:val="24"/>
          <w:szCs w:val="24"/>
          <w:highlight w:val="none"/>
        </w:rPr>
        <w:t>.3</w:t>
      </w:r>
      <w:bookmarkEnd w:id="742"/>
      <w:bookmarkEnd w:id="743"/>
      <w:r>
        <w:rPr>
          <w:rFonts w:hint="eastAsia" w:ascii="宋体" w:hAnsi="宋体" w:eastAsia="宋体" w:cs="宋体"/>
          <w:bCs/>
          <w:sz w:val="24"/>
          <w:szCs w:val="24"/>
          <w:highlight w:val="none"/>
        </w:rPr>
        <w:t>监理人的指</w:t>
      </w:r>
      <w:bookmarkEnd w:id="744"/>
      <w:r>
        <w:rPr>
          <w:rFonts w:hint="eastAsia" w:ascii="宋体" w:hAnsi="宋体" w:eastAsia="宋体" w:cs="宋体"/>
          <w:bCs/>
          <w:sz w:val="24"/>
          <w:szCs w:val="24"/>
          <w:highlight w:val="none"/>
        </w:rPr>
        <w:t>示</w:t>
      </w:r>
      <w:bookmarkEnd w:id="741"/>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承包人对监理人发出的指示有疑问的，应向监理人提出书面异议，监理人应在48小时内对该指示予以确认、更改或撤销，监理人逾期未回复的，承包人有权拒绝执行上述指示。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spacing w:line="360" w:lineRule="auto"/>
        <w:ind w:firstLine="240" w:firstLineChars="100"/>
        <w:rPr>
          <w:rFonts w:hint="eastAsia" w:ascii="宋体" w:hAnsi="宋体" w:eastAsia="宋体" w:cs="宋体"/>
          <w:bCs/>
          <w:sz w:val="24"/>
          <w:szCs w:val="24"/>
          <w:highlight w:val="none"/>
        </w:rPr>
      </w:pPr>
      <w:bookmarkStart w:id="745" w:name="_Toc351203531"/>
      <w:r>
        <w:rPr>
          <w:rFonts w:hint="eastAsia" w:ascii="宋体" w:hAnsi="宋体" w:eastAsia="宋体" w:cs="宋体"/>
          <w:bCs/>
          <w:sz w:val="24"/>
          <w:szCs w:val="24"/>
          <w:highlight w:val="none"/>
        </w:rPr>
        <w:t>4</w:t>
      </w:r>
      <w:bookmarkStart w:id="746" w:name="_Toc296503057"/>
      <w:bookmarkStart w:id="747" w:name="_Toc337558757"/>
      <w:bookmarkStart w:id="748" w:name="_Toc296346558"/>
      <w:r>
        <w:rPr>
          <w:rFonts w:hint="eastAsia" w:ascii="宋体" w:hAnsi="宋体" w:eastAsia="宋体" w:cs="宋体"/>
          <w:bCs/>
          <w:sz w:val="24"/>
          <w:szCs w:val="24"/>
          <w:highlight w:val="none"/>
        </w:rPr>
        <w:t>.4 商定或确定</w:t>
      </w:r>
      <w:bookmarkEnd w:id="745"/>
    </w:p>
    <w:bookmarkEnd w:id="746"/>
    <w:bookmarkEnd w:id="747"/>
    <w:bookmarkEnd w:id="74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合同当事人进行商定或确定时，总监理工程师应当会同合同当事人尽量通过协商达成一致，不能达成一致的，由总监理工程师按照合同约定审慎做出公正的确定。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360" w:lineRule="auto"/>
        <w:rPr>
          <w:rFonts w:hint="eastAsia" w:ascii="宋体" w:hAnsi="宋体" w:eastAsia="宋体" w:cs="宋体"/>
          <w:bCs/>
          <w:sz w:val="24"/>
          <w:szCs w:val="24"/>
          <w:highlight w:val="none"/>
        </w:rPr>
      </w:pPr>
      <w:bookmarkStart w:id="749" w:name="_Toc351203532"/>
      <w:r>
        <w:rPr>
          <w:rFonts w:hint="eastAsia" w:ascii="宋体" w:hAnsi="宋体" w:eastAsia="宋体" w:cs="宋体"/>
          <w:bCs/>
          <w:sz w:val="24"/>
          <w:szCs w:val="24"/>
          <w:highlight w:val="none"/>
        </w:rPr>
        <w:t>5</w:t>
      </w:r>
      <w:bookmarkStart w:id="750" w:name="_Toc337558758"/>
      <w:r>
        <w:rPr>
          <w:rFonts w:hint="eastAsia" w:ascii="宋体" w:hAnsi="宋体" w:eastAsia="宋体" w:cs="宋体"/>
          <w:bCs/>
          <w:sz w:val="24"/>
          <w:szCs w:val="24"/>
          <w:highlight w:val="none"/>
        </w:rPr>
        <w:t>. 工程质量</w:t>
      </w:r>
      <w:bookmarkEnd w:id="749"/>
    </w:p>
    <w:bookmarkEnd w:id="750"/>
    <w:p>
      <w:pPr>
        <w:spacing w:line="360" w:lineRule="auto"/>
        <w:ind w:firstLine="240" w:firstLineChars="100"/>
        <w:rPr>
          <w:rFonts w:hint="eastAsia" w:ascii="宋体" w:hAnsi="宋体" w:eastAsia="宋体" w:cs="宋体"/>
          <w:bCs/>
          <w:sz w:val="24"/>
          <w:szCs w:val="24"/>
          <w:highlight w:val="none"/>
        </w:rPr>
      </w:pPr>
      <w:bookmarkStart w:id="751" w:name="_Toc351203533"/>
      <w:r>
        <w:rPr>
          <w:rFonts w:hint="eastAsia" w:ascii="宋体" w:hAnsi="宋体" w:eastAsia="宋体" w:cs="宋体"/>
          <w:bCs/>
          <w:sz w:val="24"/>
          <w:szCs w:val="24"/>
          <w:highlight w:val="none"/>
        </w:rPr>
        <w:t>5</w:t>
      </w:r>
      <w:bookmarkStart w:id="752" w:name="_Toc337558759"/>
      <w:r>
        <w:rPr>
          <w:rFonts w:hint="eastAsia" w:ascii="宋体" w:hAnsi="宋体" w:eastAsia="宋体" w:cs="宋体"/>
          <w:bCs/>
          <w:sz w:val="24"/>
          <w:szCs w:val="24"/>
          <w:highlight w:val="none"/>
        </w:rPr>
        <w:t>.1质量要求</w:t>
      </w:r>
      <w:bookmarkEnd w:id="751"/>
    </w:p>
    <w:bookmarkEnd w:id="75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5.1.1 工程质量标准必须符合现行国家有关工程施工质量验收规范和标准的要求。有关工程质量的特殊标准或要求由合同当事人在专用合同条款中约定。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5.1.2 因发包人原因造成工程质量未达到合同约定标准的，由发包人承担由此增加的费用和（或）延误的工期，并支付承包人合理的利润。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pPr>
        <w:spacing w:line="360" w:lineRule="auto"/>
        <w:ind w:firstLine="240" w:firstLineChars="100"/>
        <w:rPr>
          <w:rFonts w:hint="eastAsia" w:ascii="宋体" w:hAnsi="宋体" w:eastAsia="宋体" w:cs="宋体"/>
          <w:bCs/>
          <w:sz w:val="24"/>
          <w:szCs w:val="24"/>
          <w:highlight w:val="none"/>
        </w:rPr>
      </w:pPr>
      <w:bookmarkStart w:id="753" w:name="_Toc351203534"/>
      <w:r>
        <w:rPr>
          <w:rFonts w:hint="eastAsia" w:ascii="宋体" w:hAnsi="宋体" w:eastAsia="宋体" w:cs="宋体"/>
          <w:bCs/>
          <w:sz w:val="24"/>
          <w:szCs w:val="24"/>
          <w:highlight w:val="none"/>
        </w:rPr>
        <w:t>5</w:t>
      </w:r>
      <w:bookmarkStart w:id="754" w:name="_Toc337558760"/>
      <w:r>
        <w:rPr>
          <w:rFonts w:hint="eastAsia" w:ascii="宋体" w:hAnsi="宋体" w:eastAsia="宋体" w:cs="宋体"/>
          <w:bCs/>
          <w:sz w:val="24"/>
          <w:szCs w:val="24"/>
          <w:highlight w:val="none"/>
        </w:rPr>
        <w:t>.2质量保证措施</w:t>
      </w:r>
      <w:bookmarkEnd w:id="753"/>
    </w:p>
    <w:bookmarkEnd w:id="75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5.2.1 发包人的质量管理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发包人应按照法律规定及合同约定完成与工程质量有关的各项工作。</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5.2.2 承包人的质量管理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承包人应对施工人员进行质量教育和技术培训，定期考核施工人员的劳动技能，严格执行施工规范和操作规程。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5.2.3 监理人的质量检查和检验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60" w:lineRule="auto"/>
        <w:ind w:firstLine="240" w:firstLineChars="100"/>
        <w:rPr>
          <w:rFonts w:hint="eastAsia" w:ascii="宋体" w:hAnsi="宋体" w:eastAsia="宋体" w:cs="宋体"/>
          <w:bCs/>
          <w:sz w:val="24"/>
          <w:szCs w:val="24"/>
          <w:highlight w:val="none"/>
        </w:rPr>
      </w:pPr>
      <w:bookmarkStart w:id="755" w:name="_Toc351203535"/>
      <w:r>
        <w:rPr>
          <w:rFonts w:hint="eastAsia" w:ascii="宋体" w:hAnsi="宋体" w:eastAsia="宋体" w:cs="宋体"/>
          <w:bCs/>
          <w:sz w:val="24"/>
          <w:szCs w:val="24"/>
          <w:highlight w:val="none"/>
        </w:rPr>
        <w:t>5</w:t>
      </w:r>
      <w:bookmarkStart w:id="756" w:name="_Toc337558761"/>
      <w:r>
        <w:rPr>
          <w:rFonts w:hint="eastAsia" w:ascii="宋体" w:hAnsi="宋体" w:eastAsia="宋体" w:cs="宋体"/>
          <w:bCs/>
          <w:sz w:val="24"/>
          <w:szCs w:val="24"/>
          <w:highlight w:val="none"/>
        </w:rPr>
        <w:t>.3 隐蔽工程检查</w:t>
      </w:r>
      <w:bookmarkEnd w:id="755"/>
    </w:p>
    <w:bookmarkEnd w:id="75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5.3.1承包人自检</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承包人应当对工程隐蔽部位进行自检，并经自检确认是否具备覆盖条件。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5.3.2检查程序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5.3.3 重新检查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5.3.4 承包人私自覆盖</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spacing w:line="360" w:lineRule="auto"/>
        <w:ind w:firstLine="240" w:firstLineChars="100"/>
        <w:rPr>
          <w:rFonts w:hint="eastAsia" w:ascii="宋体" w:hAnsi="宋体" w:eastAsia="宋体" w:cs="宋体"/>
          <w:bCs/>
          <w:sz w:val="24"/>
          <w:szCs w:val="24"/>
          <w:highlight w:val="none"/>
        </w:rPr>
      </w:pPr>
      <w:bookmarkStart w:id="757" w:name="_Toc351203536"/>
      <w:r>
        <w:rPr>
          <w:rFonts w:hint="eastAsia" w:ascii="宋体" w:hAnsi="宋体" w:eastAsia="宋体" w:cs="宋体"/>
          <w:bCs/>
          <w:sz w:val="24"/>
          <w:szCs w:val="24"/>
          <w:highlight w:val="none"/>
        </w:rPr>
        <w:t>5</w:t>
      </w:r>
      <w:bookmarkStart w:id="758" w:name="_Toc337558762"/>
      <w:r>
        <w:rPr>
          <w:rFonts w:hint="eastAsia" w:ascii="宋体" w:hAnsi="宋体" w:eastAsia="宋体" w:cs="宋体"/>
          <w:bCs/>
          <w:sz w:val="24"/>
          <w:szCs w:val="24"/>
          <w:highlight w:val="none"/>
        </w:rPr>
        <w:t>.4不合格工程的处理</w:t>
      </w:r>
      <w:bookmarkEnd w:id="757"/>
    </w:p>
    <w:bookmarkEnd w:id="75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5.4.2 因发包人原因造成工程不合格的，由此增加的费用和（或）延误的工期由发包人承担，并支付承包人合理的利润。</w:t>
      </w:r>
    </w:p>
    <w:p>
      <w:pPr>
        <w:spacing w:line="360" w:lineRule="auto"/>
        <w:ind w:firstLine="240" w:firstLineChars="100"/>
        <w:rPr>
          <w:rFonts w:hint="eastAsia" w:ascii="宋体" w:hAnsi="宋体" w:eastAsia="宋体" w:cs="宋体"/>
          <w:bCs/>
          <w:sz w:val="24"/>
          <w:szCs w:val="24"/>
          <w:highlight w:val="none"/>
        </w:rPr>
      </w:pPr>
      <w:bookmarkStart w:id="759" w:name="_Toc351203537"/>
      <w:r>
        <w:rPr>
          <w:rFonts w:hint="eastAsia" w:ascii="宋体" w:hAnsi="宋体" w:eastAsia="宋体" w:cs="宋体"/>
          <w:bCs/>
          <w:sz w:val="24"/>
          <w:szCs w:val="24"/>
          <w:highlight w:val="none"/>
        </w:rPr>
        <w:t>5.5 质量争议检测</w:t>
      </w:r>
      <w:bookmarkEnd w:id="759"/>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合同当事人对工程质量有争议的，由双方协商确定的工程质量检测机构鉴定，由此产生的费用及因此造成的损失，由责任方承担。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合同当事人均有责任的，由双方根据其责任分别承担。合同当事人无法达成一致的，按照第4.4款〔商定或确定〕执行。</w:t>
      </w:r>
    </w:p>
    <w:p>
      <w:pPr>
        <w:spacing w:line="360" w:lineRule="auto"/>
        <w:rPr>
          <w:rFonts w:hint="eastAsia" w:ascii="宋体" w:hAnsi="宋体" w:eastAsia="宋体" w:cs="宋体"/>
          <w:bCs/>
          <w:sz w:val="24"/>
          <w:szCs w:val="24"/>
          <w:highlight w:val="none"/>
        </w:rPr>
      </w:pPr>
      <w:bookmarkStart w:id="760" w:name="_Toc351203538"/>
      <w:r>
        <w:rPr>
          <w:rFonts w:hint="eastAsia" w:ascii="宋体" w:hAnsi="宋体" w:eastAsia="宋体" w:cs="宋体"/>
          <w:bCs/>
          <w:sz w:val="24"/>
          <w:szCs w:val="24"/>
          <w:highlight w:val="none"/>
        </w:rPr>
        <w:t>6</w:t>
      </w:r>
      <w:bookmarkStart w:id="761" w:name="_Toc337558763"/>
      <w:r>
        <w:rPr>
          <w:rFonts w:hint="eastAsia" w:ascii="宋体" w:hAnsi="宋体" w:eastAsia="宋体" w:cs="宋体"/>
          <w:bCs/>
          <w:sz w:val="24"/>
          <w:szCs w:val="24"/>
          <w:highlight w:val="none"/>
        </w:rPr>
        <w:t>. 安全文明施工与环境保护</w:t>
      </w:r>
      <w:bookmarkEnd w:id="760"/>
    </w:p>
    <w:bookmarkEnd w:id="761"/>
    <w:p>
      <w:pPr>
        <w:spacing w:line="360" w:lineRule="auto"/>
        <w:ind w:firstLine="240" w:firstLineChars="100"/>
        <w:rPr>
          <w:rFonts w:hint="eastAsia" w:ascii="宋体" w:hAnsi="宋体" w:eastAsia="宋体" w:cs="宋体"/>
          <w:bCs/>
          <w:sz w:val="24"/>
          <w:szCs w:val="24"/>
          <w:highlight w:val="none"/>
        </w:rPr>
      </w:pPr>
      <w:bookmarkStart w:id="762" w:name="_Toc351203539"/>
      <w:r>
        <w:rPr>
          <w:rFonts w:hint="eastAsia" w:ascii="宋体" w:hAnsi="宋体" w:eastAsia="宋体" w:cs="宋体"/>
          <w:bCs/>
          <w:sz w:val="24"/>
          <w:szCs w:val="24"/>
          <w:highlight w:val="none"/>
        </w:rPr>
        <w:t>6</w:t>
      </w:r>
      <w:bookmarkStart w:id="763" w:name="_Toc337558764"/>
      <w:r>
        <w:rPr>
          <w:rFonts w:hint="eastAsia" w:ascii="宋体" w:hAnsi="宋体" w:eastAsia="宋体" w:cs="宋体"/>
          <w:bCs/>
          <w:sz w:val="24"/>
          <w:szCs w:val="24"/>
          <w:highlight w:val="none"/>
        </w:rPr>
        <w:t>.1安全文明施工</w:t>
      </w:r>
      <w:bookmarkEnd w:id="762"/>
    </w:p>
    <w:bookmarkEnd w:id="763"/>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6.1.1安全生产要求</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因安全生产需要暂停施工的，按照第7.8款〔暂停施工〕的约定执行。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6.1.2 安全生产保证措施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6.1.3特别安全生产事项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6.1.4 治安保卫</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发包人和承包人除应协助现场治安管理机构或联防组织维护施工场地的社会治安外，还应做好包括生活区在内的各自管辖区的治安保卫工作。</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6.1.5 文明施工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6.1.6 安全文明施工费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安全文明施工费由发包人承担，发包人不得以任何形式扣减该部分费用。因基准日期后合同所适用的法律或政府有关规定发生变化，增加的安全文明施工费由发包人承担。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6.1.7 紧急情况处理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6.1.8 事故处理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6.1.9 安全生产责任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6.1.9.1 发包人的安全责任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发包人应负责赔偿以下各种情况造成的损失：</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（1）工程或工程的任何部分对土地的占用所造成的第三者财产损失；</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（2）由于发包人原因在施工场地及其毗邻地带造成的第三者人身伤亡和财产损失；</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（3）由于发包人原因对承包人、监理人造成的人员人身伤亡和财产损失；</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（4）由于发包人原因造成的发包人自身人员的人身伤害以及财产损失。</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6.1.9.2 承包人的安全责任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由于承包人原因在施工场地内及其毗邻地带造成的发包人、监理人以及第三者人员伤亡和财产损失，由承包人负责赔偿。</w:t>
      </w:r>
    </w:p>
    <w:p>
      <w:pPr>
        <w:spacing w:line="360" w:lineRule="auto"/>
        <w:ind w:firstLine="240" w:firstLineChars="100"/>
        <w:rPr>
          <w:rFonts w:hint="eastAsia" w:ascii="宋体" w:hAnsi="宋体" w:eastAsia="宋体" w:cs="宋体"/>
          <w:bCs/>
          <w:sz w:val="24"/>
          <w:szCs w:val="24"/>
          <w:highlight w:val="none"/>
        </w:rPr>
      </w:pPr>
      <w:bookmarkStart w:id="764" w:name="_Toc351203540"/>
      <w:r>
        <w:rPr>
          <w:rFonts w:hint="eastAsia" w:ascii="宋体" w:hAnsi="宋体" w:eastAsia="宋体" w:cs="宋体"/>
          <w:bCs/>
          <w:sz w:val="24"/>
          <w:szCs w:val="24"/>
          <w:highlight w:val="none"/>
        </w:rPr>
        <w:t>6</w:t>
      </w:r>
      <w:bookmarkStart w:id="765" w:name="_Toc337558765"/>
      <w:r>
        <w:rPr>
          <w:rFonts w:hint="eastAsia" w:ascii="宋体" w:hAnsi="宋体" w:eastAsia="宋体" w:cs="宋体"/>
          <w:bCs/>
          <w:sz w:val="24"/>
          <w:szCs w:val="24"/>
          <w:highlight w:val="none"/>
        </w:rPr>
        <w:t>.2 职业健康</w:t>
      </w:r>
      <w:bookmarkEnd w:id="764"/>
    </w:p>
    <w:bookmarkEnd w:id="765"/>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6.2.1 劳动保护</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6.2.2 生活条件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ind w:firstLine="240" w:firstLineChars="100"/>
        <w:rPr>
          <w:rFonts w:hint="eastAsia" w:ascii="宋体" w:hAnsi="宋体" w:eastAsia="宋体" w:cs="宋体"/>
          <w:bCs/>
          <w:sz w:val="24"/>
          <w:szCs w:val="24"/>
          <w:highlight w:val="none"/>
        </w:rPr>
      </w:pPr>
      <w:bookmarkStart w:id="766" w:name="_Toc351203541"/>
      <w:r>
        <w:rPr>
          <w:rFonts w:hint="eastAsia" w:ascii="宋体" w:hAnsi="宋体" w:eastAsia="宋体" w:cs="宋体"/>
          <w:bCs/>
          <w:sz w:val="24"/>
          <w:szCs w:val="24"/>
          <w:highlight w:val="none"/>
        </w:rPr>
        <w:t>6</w:t>
      </w:r>
      <w:bookmarkStart w:id="767" w:name="_Toc337558766"/>
      <w:r>
        <w:rPr>
          <w:rFonts w:hint="eastAsia" w:ascii="宋体" w:hAnsi="宋体" w:eastAsia="宋体" w:cs="宋体"/>
          <w:bCs/>
          <w:sz w:val="24"/>
          <w:szCs w:val="24"/>
          <w:highlight w:val="none"/>
        </w:rPr>
        <w:t>.3 环境保护</w:t>
      </w:r>
      <w:bookmarkEnd w:id="766"/>
    </w:p>
    <w:bookmarkEnd w:id="76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承包人应当承担因其原因引起的环境污染侵权损害赔偿责任，因上述环境污染引起纠纷而导致暂停施工的，由此增加的费用和（或）延误的工期由承包人承担。</w:t>
      </w:r>
    </w:p>
    <w:p>
      <w:pPr>
        <w:spacing w:line="360" w:lineRule="auto"/>
        <w:rPr>
          <w:rFonts w:hint="eastAsia" w:ascii="宋体" w:hAnsi="宋体" w:eastAsia="宋体" w:cs="宋体"/>
          <w:bCs/>
          <w:sz w:val="24"/>
          <w:szCs w:val="24"/>
          <w:highlight w:val="none"/>
        </w:rPr>
      </w:pPr>
      <w:bookmarkStart w:id="768" w:name="_Toc351203542"/>
      <w:r>
        <w:rPr>
          <w:rFonts w:hint="eastAsia" w:ascii="宋体" w:hAnsi="宋体" w:eastAsia="宋体" w:cs="宋体"/>
          <w:bCs/>
          <w:sz w:val="24"/>
          <w:szCs w:val="24"/>
          <w:highlight w:val="none"/>
        </w:rPr>
        <w:t>7</w:t>
      </w:r>
      <w:bookmarkStart w:id="769" w:name="_Toc337558767"/>
      <w:r>
        <w:rPr>
          <w:rFonts w:hint="eastAsia" w:ascii="宋体" w:hAnsi="宋体" w:eastAsia="宋体" w:cs="宋体"/>
          <w:bCs/>
          <w:sz w:val="24"/>
          <w:szCs w:val="24"/>
          <w:highlight w:val="none"/>
        </w:rPr>
        <w:t>. 工期和进度</w:t>
      </w:r>
      <w:bookmarkEnd w:id="768"/>
    </w:p>
    <w:bookmarkEnd w:id="769"/>
    <w:p>
      <w:pPr>
        <w:spacing w:line="360" w:lineRule="auto"/>
        <w:ind w:firstLine="240" w:firstLineChars="100"/>
        <w:rPr>
          <w:rFonts w:hint="eastAsia" w:ascii="宋体" w:hAnsi="宋体" w:eastAsia="宋体" w:cs="宋体"/>
          <w:bCs/>
          <w:sz w:val="24"/>
          <w:szCs w:val="24"/>
          <w:highlight w:val="none"/>
        </w:rPr>
      </w:pPr>
      <w:bookmarkStart w:id="770" w:name="_Toc351203543"/>
      <w:r>
        <w:rPr>
          <w:rFonts w:hint="eastAsia" w:ascii="宋体" w:hAnsi="宋体" w:eastAsia="宋体" w:cs="宋体"/>
          <w:bCs/>
          <w:sz w:val="24"/>
          <w:szCs w:val="24"/>
          <w:highlight w:val="none"/>
        </w:rPr>
        <w:t>7</w:t>
      </w:r>
      <w:bookmarkStart w:id="771" w:name="_Toc337558768"/>
      <w:bookmarkStart w:id="772" w:name="_Toc296503066"/>
      <w:bookmarkStart w:id="773" w:name="_Toc296346567"/>
      <w:r>
        <w:rPr>
          <w:rFonts w:hint="eastAsia" w:ascii="宋体" w:hAnsi="宋体" w:eastAsia="宋体" w:cs="宋体"/>
          <w:bCs/>
          <w:sz w:val="24"/>
          <w:szCs w:val="24"/>
          <w:highlight w:val="none"/>
        </w:rPr>
        <w:t>.1施工组织设计</w:t>
      </w:r>
      <w:bookmarkEnd w:id="770"/>
    </w:p>
    <w:bookmarkEnd w:id="771"/>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7.1.1 施工组织设计的内容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施工组织设计应包含以下内容：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（1）施工方案；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（2）施工现场平面布置图；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（3）施工进度计划和保证措施；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（4）劳动力及材料供应计划；</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（5）施工机械设备的选用；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（6）质量保证体系及措施；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（7）安全生产、文明施工措施；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（8）环境保护、成本控制措施；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（9）合同当事人约定的其他内容。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7.1.2 施工组织设计的提交和修改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施工进度计划的编制和修改按照第7.2款〔施工进度计划〕执行。</w:t>
      </w:r>
    </w:p>
    <w:p>
      <w:pPr>
        <w:spacing w:line="360" w:lineRule="auto"/>
        <w:ind w:firstLine="240" w:firstLineChars="100"/>
        <w:rPr>
          <w:rFonts w:hint="eastAsia" w:ascii="宋体" w:hAnsi="宋体" w:eastAsia="宋体" w:cs="宋体"/>
          <w:bCs/>
          <w:sz w:val="24"/>
          <w:szCs w:val="24"/>
          <w:highlight w:val="none"/>
        </w:rPr>
      </w:pPr>
      <w:bookmarkStart w:id="774" w:name="_Toc351203544"/>
      <w:r>
        <w:rPr>
          <w:rFonts w:hint="eastAsia" w:ascii="宋体" w:hAnsi="宋体" w:eastAsia="宋体" w:cs="宋体"/>
          <w:bCs/>
          <w:sz w:val="24"/>
          <w:szCs w:val="24"/>
          <w:highlight w:val="none"/>
        </w:rPr>
        <w:t>7</w:t>
      </w:r>
      <w:bookmarkStart w:id="775" w:name="_Toc337558769"/>
      <w:r>
        <w:rPr>
          <w:rFonts w:hint="eastAsia" w:ascii="宋体" w:hAnsi="宋体" w:eastAsia="宋体" w:cs="宋体"/>
          <w:bCs/>
          <w:sz w:val="24"/>
          <w:szCs w:val="24"/>
          <w:highlight w:val="none"/>
        </w:rPr>
        <w:t>.2 施工进度计划</w:t>
      </w:r>
      <w:bookmarkEnd w:id="774"/>
    </w:p>
    <w:bookmarkEnd w:id="775"/>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7.2.1 施工进度计划的编制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7.2.2 施工进度计划的修订</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60" w:lineRule="auto"/>
        <w:ind w:firstLine="240" w:firstLineChars="100"/>
        <w:rPr>
          <w:rFonts w:hint="eastAsia" w:ascii="宋体" w:hAnsi="宋体" w:eastAsia="宋体" w:cs="宋体"/>
          <w:bCs/>
          <w:sz w:val="24"/>
          <w:szCs w:val="24"/>
          <w:highlight w:val="none"/>
        </w:rPr>
      </w:pPr>
      <w:bookmarkStart w:id="776" w:name="_Toc351203545"/>
      <w:r>
        <w:rPr>
          <w:rFonts w:hint="eastAsia" w:ascii="宋体" w:hAnsi="宋体" w:eastAsia="宋体" w:cs="宋体"/>
          <w:bCs/>
          <w:sz w:val="24"/>
          <w:szCs w:val="24"/>
          <w:highlight w:val="none"/>
        </w:rPr>
        <w:t>7</w:t>
      </w:r>
      <w:bookmarkStart w:id="777" w:name="_Toc337558770"/>
      <w:r>
        <w:rPr>
          <w:rFonts w:hint="eastAsia" w:ascii="宋体" w:hAnsi="宋体" w:eastAsia="宋体" w:cs="宋体"/>
          <w:bCs/>
          <w:sz w:val="24"/>
          <w:szCs w:val="24"/>
          <w:highlight w:val="none"/>
        </w:rPr>
        <w:t>.3 开工</w:t>
      </w:r>
      <w:bookmarkEnd w:id="776"/>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7.3.1 开工准备</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除专用合同条款另有约定外，合同当事人应按约定完成开工准备工作。</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7.3.2 开工通知</w:t>
      </w:r>
    </w:p>
    <w:bookmarkEnd w:id="77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60" w:lineRule="auto"/>
        <w:ind w:firstLine="240" w:firstLineChars="100"/>
        <w:rPr>
          <w:rFonts w:hint="eastAsia" w:ascii="宋体" w:hAnsi="宋体" w:eastAsia="宋体" w:cs="宋体"/>
          <w:bCs/>
          <w:sz w:val="24"/>
          <w:szCs w:val="24"/>
          <w:highlight w:val="none"/>
        </w:rPr>
      </w:pPr>
      <w:bookmarkStart w:id="778" w:name="_Toc351203546"/>
      <w:r>
        <w:rPr>
          <w:rFonts w:hint="eastAsia" w:ascii="宋体" w:hAnsi="宋体" w:eastAsia="宋体" w:cs="宋体"/>
          <w:bCs/>
          <w:sz w:val="24"/>
          <w:szCs w:val="24"/>
          <w:highlight w:val="none"/>
        </w:rPr>
        <w:t>7.4测量放线</w:t>
      </w:r>
      <w:bookmarkEnd w:id="778"/>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施工过程中对施工现场内水准点等测量标志物的保护工作由承包人负责。</w:t>
      </w:r>
      <w:bookmarkStart w:id="779" w:name="_Toc351203547"/>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bookmarkEnd w:id="772"/>
      <w:bookmarkEnd w:id="773"/>
      <w:bookmarkStart w:id="780" w:name="_Toc337558772"/>
      <w:bookmarkStart w:id="781" w:name="_Toc296503073"/>
      <w:bookmarkStart w:id="782" w:name="_Toc296346574"/>
      <w:r>
        <w:rPr>
          <w:rFonts w:hint="eastAsia" w:ascii="宋体" w:hAnsi="宋体" w:eastAsia="宋体" w:cs="宋体"/>
          <w:bCs/>
          <w:sz w:val="24"/>
          <w:szCs w:val="24"/>
          <w:highlight w:val="none"/>
        </w:rPr>
        <w:t>.5 工期延误</w:t>
      </w:r>
      <w:bookmarkEnd w:id="779"/>
    </w:p>
    <w:bookmarkEnd w:id="780"/>
    <w:bookmarkEnd w:id="781"/>
    <w:bookmarkEnd w:id="78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7.5.1 因发包人原因导致工期延误</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（1）发包人未能按合同约定提供图纸或所提供图纸不符合合同约定的；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（2）发包人未能按合同约定提供施工现场、施工条件、基础资料、许可、批准等开工条件的；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（3）发包人提供的测量基准点、基准线和水准点及其书面资料存在错误或疏漏的；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（4）发包人未能在计划开工日期之日起7天内同意下达开工通知的；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（5）发包人未能按合同约定日期支付工程预付款、进度款或竣工结算款的；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（6）监理人未按合同约定发出指示、批准等文件的；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（7）专用合同条款中约定的其他情形。</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7.5.2 因承包人原因导致工期延误</w:t>
      </w:r>
    </w:p>
    <w:p>
      <w:pPr>
        <w:spacing w:line="360" w:lineRule="auto"/>
        <w:ind w:firstLine="424" w:firstLineChars="177"/>
        <w:rPr>
          <w:rFonts w:hint="eastAsia" w:ascii="宋体" w:hAnsi="宋体" w:eastAsia="宋体" w:cs="宋体"/>
          <w:sz w:val="24"/>
          <w:szCs w:val="24"/>
          <w:highlight w:val="none"/>
        </w:rPr>
      </w:pPr>
      <w:bookmarkStart w:id="783" w:name="_Toc296346577"/>
      <w:bookmarkStart w:id="784" w:name="_Toc296503076"/>
      <w:r>
        <w:rPr>
          <w:rFonts w:hint="eastAsia" w:ascii="宋体" w:hAnsi="宋体" w:eastAsia="宋体" w:cs="宋体"/>
          <w:sz w:val="24"/>
          <w:szCs w:val="24"/>
          <w:highlight w:val="none"/>
        </w:rPr>
        <w:t>因</w:t>
      </w:r>
      <w:bookmarkEnd w:id="783"/>
      <w:bookmarkEnd w:id="784"/>
      <w:r>
        <w:rPr>
          <w:rFonts w:hint="eastAsia" w:ascii="宋体" w:hAnsi="宋体" w:eastAsia="宋体" w:cs="宋体"/>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60" w:lineRule="auto"/>
        <w:ind w:firstLine="240" w:firstLineChars="100"/>
        <w:rPr>
          <w:rFonts w:hint="eastAsia" w:ascii="宋体" w:hAnsi="宋体" w:eastAsia="宋体" w:cs="宋体"/>
          <w:bCs/>
          <w:sz w:val="24"/>
          <w:szCs w:val="24"/>
          <w:highlight w:val="none"/>
        </w:rPr>
      </w:pPr>
      <w:bookmarkStart w:id="785" w:name="_Toc351203548"/>
      <w:r>
        <w:rPr>
          <w:rFonts w:hint="eastAsia" w:ascii="宋体" w:hAnsi="宋体" w:eastAsia="宋体" w:cs="宋体"/>
          <w:bCs/>
          <w:sz w:val="24"/>
          <w:szCs w:val="24"/>
          <w:highlight w:val="none"/>
        </w:rPr>
        <w:t>7</w:t>
      </w:r>
      <w:bookmarkStart w:id="786" w:name="_Toc296346575"/>
      <w:bookmarkStart w:id="787" w:name="_Toc296503074"/>
      <w:bookmarkStart w:id="788" w:name="_Toc337558773"/>
      <w:bookmarkStart w:id="789" w:name="_Toc296503077"/>
      <w:bookmarkStart w:id="790" w:name="_Toc296346578"/>
      <w:r>
        <w:rPr>
          <w:rFonts w:hint="eastAsia" w:ascii="宋体" w:hAnsi="宋体" w:eastAsia="宋体" w:cs="宋体"/>
          <w:bCs/>
          <w:sz w:val="24"/>
          <w:szCs w:val="24"/>
          <w:highlight w:val="none"/>
        </w:rPr>
        <w:t>.6 不利物质条件</w:t>
      </w:r>
      <w:bookmarkEnd w:id="785"/>
    </w:p>
    <w:bookmarkEnd w:id="786"/>
    <w:bookmarkEnd w:id="787"/>
    <w:bookmarkEnd w:id="78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60" w:lineRule="auto"/>
        <w:ind w:firstLine="240" w:firstLineChars="100"/>
        <w:rPr>
          <w:rFonts w:hint="eastAsia" w:ascii="宋体" w:hAnsi="宋体" w:eastAsia="宋体" w:cs="宋体"/>
          <w:bCs/>
          <w:sz w:val="24"/>
          <w:szCs w:val="24"/>
          <w:highlight w:val="none"/>
        </w:rPr>
      </w:pPr>
      <w:bookmarkStart w:id="791" w:name="_Toc351203549"/>
      <w:r>
        <w:rPr>
          <w:rFonts w:hint="eastAsia" w:ascii="宋体" w:hAnsi="宋体" w:eastAsia="宋体" w:cs="宋体"/>
          <w:bCs/>
          <w:sz w:val="24"/>
          <w:szCs w:val="24"/>
          <w:highlight w:val="none"/>
        </w:rPr>
        <w:t>7</w:t>
      </w:r>
      <w:bookmarkStart w:id="792" w:name="_Toc337558774"/>
      <w:bookmarkStart w:id="793" w:name="_Toc296503075"/>
      <w:bookmarkStart w:id="794" w:name="_Toc296346576"/>
      <w:r>
        <w:rPr>
          <w:rFonts w:hint="eastAsia" w:ascii="宋体" w:hAnsi="宋体" w:eastAsia="宋体" w:cs="宋体"/>
          <w:bCs/>
          <w:sz w:val="24"/>
          <w:szCs w:val="24"/>
          <w:highlight w:val="none"/>
        </w:rPr>
        <w:t>.7 异常恶劣的气候条件</w:t>
      </w:r>
      <w:bookmarkEnd w:id="791"/>
    </w:p>
    <w:bookmarkEnd w:id="792"/>
    <w:bookmarkEnd w:id="793"/>
    <w:bookmarkEnd w:id="79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795" w:name="_Toc351203550"/>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bookmarkStart w:id="796" w:name="_Toc337558775"/>
      <w:r>
        <w:rPr>
          <w:rFonts w:hint="eastAsia" w:ascii="宋体" w:hAnsi="宋体" w:eastAsia="宋体" w:cs="宋体"/>
          <w:bCs/>
          <w:sz w:val="24"/>
          <w:szCs w:val="24"/>
          <w:highlight w:val="none"/>
        </w:rPr>
        <w:t>.8 暂停施工</w:t>
      </w:r>
      <w:bookmarkEnd w:id="795"/>
    </w:p>
    <w:bookmarkEnd w:id="789"/>
    <w:bookmarkEnd w:id="790"/>
    <w:bookmarkEnd w:id="79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7.8.1发包人原因引起的暂停施工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因发包人原因引起的暂停施工，发包人应承担由此增加的费用和（或）延误的工期，并支付承包人合理的利润。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7.8.2 承包人原因引起的暂停施工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7.8.3 指示暂停施工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监理人认为有必要时，并经发包人批准后，可向承包人作出暂停施工的指示，承包人应按监理人指示暂停施工。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7.8.4 紧急情况下的暂停施工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7.8.5 暂停施工后的复工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7.8.6 暂停施工持续56天以上</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7.8.7 暂停施工期间的工程照管</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暂停施工期间，承包人应负责妥善照管工程并提供安全保障，由此增加的费用由责任方承担。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7.8.8 暂停施工的措施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暂停施工期间，发包人和承包人均应采取必要的措施确保工程质量及安全，防止因暂停施工扩大损失。</w:t>
      </w:r>
    </w:p>
    <w:p>
      <w:pPr>
        <w:spacing w:line="360" w:lineRule="auto"/>
        <w:ind w:firstLine="360" w:firstLineChars="150"/>
        <w:rPr>
          <w:rFonts w:hint="eastAsia" w:ascii="宋体" w:hAnsi="宋体" w:eastAsia="宋体" w:cs="宋体"/>
          <w:bCs/>
          <w:sz w:val="24"/>
          <w:szCs w:val="24"/>
          <w:highlight w:val="none"/>
        </w:rPr>
      </w:pPr>
      <w:bookmarkStart w:id="797" w:name="_Toc351203551"/>
      <w:r>
        <w:rPr>
          <w:rFonts w:hint="eastAsia" w:ascii="宋体" w:hAnsi="宋体" w:eastAsia="宋体" w:cs="宋体"/>
          <w:bCs/>
          <w:sz w:val="24"/>
          <w:szCs w:val="24"/>
          <w:highlight w:val="none"/>
        </w:rPr>
        <w:t>7.9提前竣工</w:t>
      </w:r>
      <w:bookmarkEnd w:id="797"/>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7.9.2 发包人要求承包人提前竣工，或承包人提出提前竣工的建议能够给发包人带来效益的，合同当事人可以在专用合同条款中约定提前竣工的奖励。</w:t>
      </w:r>
    </w:p>
    <w:p>
      <w:pPr>
        <w:spacing w:line="360" w:lineRule="auto"/>
        <w:rPr>
          <w:rFonts w:hint="eastAsia" w:ascii="宋体" w:hAnsi="宋体" w:eastAsia="宋体" w:cs="宋体"/>
          <w:bCs/>
          <w:sz w:val="24"/>
          <w:szCs w:val="24"/>
          <w:highlight w:val="none"/>
        </w:rPr>
      </w:pPr>
      <w:bookmarkStart w:id="798" w:name="_Toc351203552"/>
      <w:r>
        <w:rPr>
          <w:rFonts w:hint="eastAsia" w:ascii="宋体" w:hAnsi="宋体" w:eastAsia="宋体" w:cs="宋体"/>
          <w:bCs/>
          <w:sz w:val="24"/>
          <w:szCs w:val="24"/>
          <w:highlight w:val="none"/>
        </w:rPr>
        <w:t>8</w:t>
      </w:r>
      <w:bookmarkStart w:id="799" w:name="_Toc296503058"/>
      <w:bookmarkStart w:id="800" w:name="_Toc337558776"/>
      <w:bookmarkStart w:id="801" w:name="_Toc296346559"/>
      <w:r>
        <w:rPr>
          <w:rFonts w:hint="eastAsia" w:ascii="宋体" w:hAnsi="宋体" w:eastAsia="宋体" w:cs="宋体"/>
          <w:bCs/>
          <w:sz w:val="24"/>
          <w:szCs w:val="24"/>
          <w:highlight w:val="none"/>
        </w:rPr>
        <w:t>. 材料与设备</w:t>
      </w:r>
      <w:bookmarkEnd w:id="798"/>
    </w:p>
    <w:bookmarkEnd w:id="799"/>
    <w:bookmarkEnd w:id="800"/>
    <w:bookmarkEnd w:id="801"/>
    <w:p>
      <w:pPr>
        <w:spacing w:line="360" w:lineRule="auto"/>
        <w:ind w:firstLine="240" w:firstLineChars="100"/>
        <w:rPr>
          <w:rFonts w:hint="eastAsia" w:ascii="宋体" w:hAnsi="宋体" w:eastAsia="宋体" w:cs="宋体"/>
          <w:bCs/>
          <w:sz w:val="24"/>
          <w:szCs w:val="24"/>
          <w:highlight w:val="none"/>
        </w:rPr>
      </w:pPr>
      <w:bookmarkStart w:id="802" w:name="_Toc351203553"/>
      <w:r>
        <w:rPr>
          <w:rFonts w:hint="eastAsia" w:ascii="宋体" w:hAnsi="宋体" w:eastAsia="宋体" w:cs="宋体"/>
          <w:bCs/>
          <w:sz w:val="24"/>
          <w:szCs w:val="24"/>
          <w:highlight w:val="none"/>
        </w:rPr>
        <w:t>8</w:t>
      </w:r>
      <w:bookmarkStart w:id="803" w:name="_Toc296503059"/>
      <w:bookmarkStart w:id="804" w:name="_Toc337558777"/>
      <w:bookmarkStart w:id="805" w:name="_Toc296346560"/>
      <w:bookmarkStart w:id="806" w:name="_Toc468936960"/>
      <w:r>
        <w:rPr>
          <w:rFonts w:hint="eastAsia" w:ascii="宋体" w:hAnsi="宋体" w:eastAsia="宋体" w:cs="宋体"/>
          <w:bCs/>
          <w:sz w:val="24"/>
          <w:szCs w:val="24"/>
          <w:highlight w:val="none"/>
        </w:rPr>
        <w:t>.1发包人供应材料与工程设备</w:t>
      </w:r>
      <w:bookmarkEnd w:id="802"/>
    </w:p>
    <w:bookmarkEnd w:id="803"/>
    <w:bookmarkEnd w:id="804"/>
    <w:bookmarkEnd w:id="805"/>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60" w:lineRule="auto"/>
        <w:ind w:firstLine="240" w:firstLineChars="100"/>
        <w:rPr>
          <w:rFonts w:hint="eastAsia" w:ascii="宋体" w:hAnsi="宋体" w:eastAsia="宋体" w:cs="宋体"/>
          <w:b/>
          <w:bCs/>
          <w:sz w:val="24"/>
          <w:szCs w:val="24"/>
          <w:highlight w:val="none"/>
        </w:rPr>
      </w:pPr>
      <w:bookmarkStart w:id="807" w:name="_Toc351203554"/>
      <w:r>
        <w:rPr>
          <w:rFonts w:hint="eastAsia" w:ascii="宋体" w:hAnsi="宋体" w:eastAsia="宋体" w:cs="宋体"/>
          <w:bCs/>
          <w:sz w:val="24"/>
          <w:szCs w:val="24"/>
          <w:highlight w:val="none"/>
        </w:rPr>
        <w:t>8</w:t>
      </w:r>
      <w:bookmarkStart w:id="808" w:name="_Toc296346561"/>
      <w:bookmarkStart w:id="809" w:name="_Toc296503060"/>
      <w:bookmarkStart w:id="810" w:name="_Toc337558778"/>
      <w:r>
        <w:rPr>
          <w:rFonts w:hint="eastAsia" w:ascii="宋体" w:hAnsi="宋体" w:eastAsia="宋体" w:cs="宋体"/>
          <w:bCs/>
          <w:sz w:val="24"/>
          <w:szCs w:val="24"/>
          <w:highlight w:val="none"/>
        </w:rPr>
        <w:t>.2承包人采购材料与工程设备</w:t>
      </w:r>
      <w:bookmarkEnd w:id="807"/>
    </w:p>
    <w:bookmarkEnd w:id="808"/>
    <w:bookmarkEnd w:id="809"/>
    <w:bookmarkEnd w:id="81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磋商响应人，发包人违反本款约定指定生产厂家或磋商响应人的，承包人有权拒绝，并由发包人承担相应责任。</w:t>
      </w:r>
    </w:p>
    <w:p>
      <w:pPr>
        <w:spacing w:line="360" w:lineRule="auto"/>
        <w:ind w:firstLine="240" w:firstLineChars="100"/>
        <w:rPr>
          <w:rFonts w:hint="eastAsia" w:ascii="宋体" w:hAnsi="宋体" w:eastAsia="宋体" w:cs="宋体"/>
          <w:bCs/>
          <w:sz w:val="24"/>
          <w:szCs w:val="24"/>
          <w:highlight w:val="none"/>
        </w:rPr>
      </w:pPr>
      <w:bookmarkStart w:id="811" w:name="_Toc351203555"/>
      <w:r>
        <w:rPr>
          <w:rFonts w:hint="eastAsia" w:ascii="宋体" w:hAnsi="宋体" w:eastAsia="宋体" w:cs="宋体"/>
          <w:bCs/>
          <w:sz w:val="24"/>
          <w:szCs w:val="24"/>
          <w:highlight w:val="none"/>
        </w:rPr>
        <w:t>8</w:t>
      </w:r>
      <w:bookmarkStart w:id="812" w:name="_Toc296503061"/>
      <w:bookmarkStart w:id="813" w:name="_Toc337558779"/>
      <w:bookmarkStart w:id="814" w:name="_Toc296346562"/>
      <w:r>
        <w:rPr>
          <w:rFonts w:hint="eastAsia" w:ascii="宋体" w:hAnsi="宋体" w:eastAsia="宋体" w:cs="宋体"/>
          <w:bCs/>
          <w:sz w:val="24"/>
          <w:szCs w:val="24"/>
          <w:highlight w:val="none"/>
        </w:rPr>
        <w:t>.3材料与工程设备的接收与拒收</w:t>
      </w:r>
      <w:bookmarkEnd w:id="811"/>
    </w:p>
    <w:bookmarkEnd w:id="812"/>
    <w:bookmarkEnd w:id="813"/>
    <w:bookmarkEnd w:id="81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发包人提供的材料和工程设备的规格、数量或质量不符合合同约定的，或因发包人原因导致交货日期延误或交货地点变更等情况的，按照第16.1款〔发包人违约〕约定办理。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8.3.2 承包人采购的材料和工程设备，应保证产品质量合格，承包人应在材料和工程设备到货前24小时通知监理人检验。承</w:t>
      </w:r>
      <w:bookmarkStart w:id="815" w:name="_Toc250655469"/>
      <w:r>
        <w:rPr>
          <w:rFonts w:hint="eastAsia" w:ascii="宋体" w:hAnsi="宋体" w:eastAsia="宋体" w:cs="宋体"/>
          <w:sz w:val="24"/>
          <w:szCs w:val="24"/>
          <w:highlight w:val="none"/>
        </w:rPr>
        <w:t>包人进行永久设备、材料的制造和生产的，应符合相关质量标准，并向监理人提交材料的样本以及有关资料，并应在使用该材料或工程设备之前获得监理人同意。</w:t>
      </w:r>
    </w:p>
    <w:bookmarkEnd w:id="815"/>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60" w:lineRule="auto"/>
        <w:ind w:firstLine="240" w:firstLineChars="100"/>
        <w:rPr>
          <w:rFonts w:hint="eastAsia" w:ascii="宋体" w:hAnsi="宋体" w:eastAsia="宋体" w:cs="宋体"/>
          <w:bCs/>
          <w:sz w:val="24"/>
          <w:szCs w:val="24"/>
          <w:highlight w:val="none"/>
        </w:rPr>
      </w:pPr>
      <w:bookmarkStart w:id="816" w:name="_Toc351203556"/>
      <w:r>
        <w:rPr>
          <w:rFonts w:hint="eastAsia" w:ascii="宋体" w:hAnsi="宋体" w:eastAsia="宋体" w:cs="宋体"/>
          <w:bCs/>
          <w:sz w:val="24"/>
          <w:szCs w:val="24"/>
          <w:highlight w:val="none"/>
        </w:rPr>
        <w:t>8</w:t>
      </w:r>
      <w:bookmarkStart w:id="817" w:name="_Toc296503062"/>
      <w:bookmarkStart w:id="818" w:name="_Toc296346563"/>
      <w:bookmarkStart w:id="819" w:name="_Toc337558780"/>
      <w:r>
        <w:rPr>
          <w:rFonts w:hint="eastAsia" w:ascii="宋体" w:hAnsi="宋体" w:eastAsia="宋体" w:cs="宋体"/>
          <w:bCs/>
          <w:sz w:val="24"/>
          <w:szCs w:val="24"/>
          <w:highlight w:val="none"/>
        </w:rPr>
        <w:t>.4材料与工程设备的保管与使用</w:t>
      </w:r>
      <w:bookmarkEnd w:id="816"/>
    </w:p>
    <w:bookmarkEnd w:id="817"/>
    <w:bookmarkEnd w:id="818"/>
    <w:bookmarkEnd w:id="81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8.4.1 发包人供应材料与工程设备的保管与使用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发包人供应的材料和工程设备使用前，由承包人负责检验，检验费用由发包人承担，不合格的不得使用。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8.4.2 承包人采购材料与工程设备的保管与使用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pPr>
        <w:spacing w:line="360" w:lineRule="auto"/>
        <w:ind w:firstLine="240" w:firstLineChars="100"/>
        <w:rPr>
          <w:rFonts w:hint="eastAsia" w:ascii="宋体" w:hAnsi="宋体" w:eastAsia="宋体" w:cs="宋体"/>
          <w:bCs/>
          <w:sz w:val="24"/>
          <w:szCs w:val="24"/>
          <w:highlight w:val="none"/>
        </w:rPr>
      </w:pPr>
      <w:bookmarkStart w:id="820" w:name="_Toc351203557"/>
      <w:r>
        <w:rPr>
          <w:rFonts w:hint="eastAsia" w:ascii="宋体" w:hAnsi="宋体" w:eastAsia="宋体" w:cs="宋体"/>
          <w:bCs/>
          <w:sz w:val="24"/>
          <w:szCs w:val="24"/>
          <w:highlight w:val="none"/>
        </w:rPr>
        <w:t>8.5禁止使用不合格的材料和工程设备</w:t>
      </w:r>
      <w:bookmarkEnd w:id="820"/>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8.5.2 监理人发现承包人使用了不合格的材料和工程设备，承包人应按照监理人的指示立即改正，并禁止在工程中继续使用不合格的材料和工程设备。</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8.5.3 发包人提供的材料或工程设备不符合合同要求的，承包人有权拒绝，并可要求发包人更换，由此增加的费用和（或）延误的工期由发包人承担，并支付承包人合理的利润。</w:t>
      </w:r>
    </w:p>
    <w:p>
      <w:pPr>
        <w:spacing w:line="360" w:lineRule="auto"/>
        <w:ind w:firstLine="240" w:firstLineChars="100"/>
        <w:rPr>
          <w:rFonts w:hint="eastAsia" w:ascii="宋体" w:hAnsi="宋体" w:eastAsia="宋体" w:cs="宋体"/>
          <w:bCs/>
          <w:sz w:val="24"/>
          <w:szCs w:val="24"/>
          <w:highlight w:val="none"/>
        </w:rPr>
      </w:pPr>
      <w:bookmarkStart w:id="821" w:name="_Toc351203558"/>
      <w:r>
        <w:rPr>
          <w:rFonts w:hint="eastAsia" w:ascii="宋体" w:hAnsi="宋体" w:eastAsia="宋体" w:cs="宋体"/>
          <w:bCs/>
          <w:sz w:val="24"/>
          <w:szCs w:val="24"/>
          <w:highlight w:val="none"/>
        </w:rPr>
        <w:t>8.6 样品</w:t>
      </w:r>
      <w:bookmarkEnd w:id="821"/>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8.6.1</w:t>
      </w:r>
      <w:r>
        <w:rPr>
          <w:rFonts w:hint="eastAsia" w:ascii="宋体" w:hAnsi="宋体" w:eastAsia="宋体" w:cs="宋体"/>
          <w:sz w:val="24"/>
          <w:szCs w:val="24"/>
          <w:highlight w:val="none"/>
        </w:rPr>
        <w:tab/>
      </w:r>
      <w:r>
        <w:rPr>
          <w:rFonts w:hint="eastAsia" w:ascii="宋体" w:hAnsi="宋体" w:eastAsia="宋体" w:cs="宋体"/>
          <w:sz w:val="24"/>
          <w:szCs w:val="24"/>
          <w:highlight w:val="none"/>
        </w:rPr>
        <w:t>样品的报送与封存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需要承包人报送样品的材料或工程设备，样品的种类、名称、规格、数量等要求均应在专用合同条款中约定。样品的报送程序如下：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（3）经发包人和监理人审批确认的样品应按约定的方法封样，封存的样品作为检验工程相关部分的标准之一。承包人在施工过程中不得使用与样品不符的材料或工程设备。</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8.6.2 样品的保管</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经批准的样品应由监理人负责封存于现场，承包人应在现场为保存样品提供适当和固定的场所并保持适当和良好的存储环境条件。</w:t>
      </w:r>
    </w:p>
    <w:p>
      <w:pPr>
        <w:spacing w:line="360" w:lineRule="auto"/>
        <w:ind w:firstLine="240" w:firstLineChars="100"/>
        <w:rPr>
          <w:rFonts w:hint="eastAsia" w:ascii="宋体" w:hAnsi="宋体" w:eastAsia="宋体" w:cs="宋体"/>
          <w:bCs/>
          <w:sz w:val="24"/>
          <w:szCs w:val="24"/>
          <w:highlight w:val="none"/>
        </w:rPr>
      </w:pPr>
      <w:bookmarkStart w:id="822" w:name="_Toc351203559"/>
      <w:r>
        <w:rPr>
          <w:rFonts w:hint="eastAsia" w:ascii="宋体" w:hAnsi="宋体" w:eastAsia="宋体" w:cs="宋体"/>
          <w:bCs/>
          <w:sz w:val="24"/>
          <w:szCs w:val="24"/>
          <w:highlight w:val="none"/>
        </w:rPr>
        <w:t>8.7材料与工程设备的替代</w:t>
      </w:r>
      <w:bookmarkEnd w:id="822"/>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8.7.1 出现下列情况需要使用替代材料和工程设备的，承包人应按照第8.7.2项约定的程序执行：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（1）基准日期后生效的法律规定禁止使用的；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（2）发包人要求使用替代品的；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（3）因其他原因必须使用替代品的。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8.7.2 承包人应在使用替代材料和工程设备28天前书面通知监理人，并附下列文件：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（1）被替代的材料和工程设备的名称、数量、规格、型号、品牌、性能、价格及其他相关资料；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（2）替代品的名称、数量、规格、型号、品牌、性能、价格及其他相关资料；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（3）替代品与被替代产品之间的差异以及使用替代品可能对工程产生的影响；</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（4）替代品与被替代产品的价格差异；</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（5）使用替代品的理由和原因说明；</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（6）监理人要求的其他文件。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监理人应在收到通知后14天内向承包人发出经发包人签认的书面指示；监理人逾期发出书面指示的，视为发包人和监理人同意使用替代品。</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60" w:lineRule="auto"/>
        <w:ind w:firstLine="240" w:firstLineChars="100"/>
        <w:rPr>
          <w:rFonts w:hint="eastAsia" w:ascii="宋体" w:hAnsi="宋体" w:eastAsia="宋体" w:cs="宋体"/>
          <w:bCs/>
          <w:sz w:val="24"/>
          <w:szCs w:val="24"/>
          <w:highlight w:val="none"/>
        </w:rPr>
      </w:pPr>
      <w:bookmarkStart w:id="823" w:name="_Toc351203560"/>
      <w:r>
        <w:rPr>
          <w:rFonts w:hint="eastAsia" w:ascii="宋体" w:hAnsi="宋体" w:eastAsia="宋体" w:cs="宋体"/>
          <w:bCs/>
          <w:sz w:val="24"/>
          <w:szCs w:val="24"/>
          <w:highlight w:val="none"/>
        </w:rPr>
        <w:t>8.8施工设备和临时设施</w:t>
      </w:r>
      <w:bookmarkEnd w:id="823"/>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8.8.1 承包人提供的施工设备和临时设施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除专用合同条款另有约定外，承包人应自行承担修建临时设施的费用，需要临时占地的，应由发包人办理申请手续并承担相应费用。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8.8.2发包人提供的施工设备和临时设施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发包人提供的施工设备或临时设施在专用合同条款中约定。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8.8.3要求承包人增加或更换施工设备</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pPr>
        <w:spacing w:line="360" w:lineRule="auto"/>
        <w:ind w:firstLine="240" w:firstLineChars="100"/>
        <w:rPr>
          <w:rFonts w:hint="eastAsia" w:ascii="宋体" w:hAnsi="宋体" w:eastAsia="宋体" w:cs="宋体"/>
          <w:bCs/>
          <w:sz w:val="24"/>
          <w:szCs w:val="24"/>
          <w:highlight w:val="none"/>
        </w:rPr>
      </w:pPr>
      <w:bookmarkStart w:id="824" w:name="_Toc351203561"/>
      <w:r>
        <w:rPr>
          <w:rFonts w:hint="eastAsia" w:ascii="宋体" w:hAnsi="宋体" w:eastAsia="宋体" w:cs="宋体"/>
          <w:bCs/>
          <w:sz w:val="24"/>
          <w:szCs w:val="24"/>
          <w:highlight w:val="none"/>
        </w:rPr>
        <w:t>8</w:t>
      </w:r>
      <w:bookmarkStart w:id="825" w:name="_Toc296346564"/>
      <w:bookmarkStart w:id="826" w:name="_Toc337558781"/>
      <w:bookmarkStart w:id="827" w:name="_Toc296503063"/>
      <w:r>
        <w:rPr>
          <w:rFonts w:hint="eastAsia" w:ascii="宋体" w:hAnsi="宋体" w:eastAsia="宋体" w:cs="宋体"/>
          <w:bCs/>
          <w:sz w:val="24"/>
          <w:szCs w:val="24"/>
          <w:highlight w:val="none"/>
        </w:rPr>
        <w:t>.9材料与设备专用</w:t>
      </w:r>
      <w:bookmarkEnd w:id="824"/>
      <w:r>
        <w:rPr>
          <w:rFonts w:hint="eastAsia" w:ascii="宋体" w:hAnsi="宋体" w:eastAsia="宋体" w:cs="宋体"/>
          <w:bCs/>
          <w:sz w:val="24"/>
          <w:szCs w:val="24"/>
          <w:highlight w:val="none"/>
        </w:rPr>
        <w:t>要求</w:t>
      </w:r>
    </w:p>
    <w:bookmarkEnd w:id="825"/>
    <w:bookmarkEnd w:id="826"/>
    <w:bookmarkEnd w:id="82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06"/>
      <w:r>
        <w:rPr>
          <w:rFonts w:hint="eastAsia" w:ascii="宋体" w:hAnsi="宋体" w:eastAsia="宋体" w:cs="宋体"/>
          <w:sz w:val="24"/>
          <w:szCs w:val="24"/>
          <w:highlight w:val="none"/>
        </w:rPr>
        <w:t>经发包人批准，承包人可以根据施工进度计划撤走闲置的施工设备和其他物品。</w:t>
      </w:r>
    </w:p>
    <w:p>
      <w:pPr>
        <w:spacing w:line="360" w:lineRule="auto"/>
        <w:rPr>
          <w:rFonts w:hint="eastAsia" w:ascii="宋体" w:hAnsi="宋体" w:eastAsia="宋体" w:cs="宋体"/>
          <w:bCs/>
          <w:sz w:val="24"/>
          <w:szCs w:val="24"/>
          <w:highlight w:val="none"/>
        </w:rPr>
      </w:pPr>
      <w:bookmarkStart w:id="828" w:name="_Toc351203562"/>
      <w:r>
        <w:rPr>
          <w:rFonts w:hint="eastAsia" w:ascii="宋体" w:hAnsi="宋体" w:eastAsia="宋体" w:cs="宋体"/>
          <w:bCs/>
          <w:sz w:val="24"/>
          <w:szCs w:val="24"/>
          <w:highlight w:val="none"/>
        </w:rPr>
        <w:t>9</w:t>
      </w:r>
      <w:bookmarkStart w:id="829" w:name="_Toc337558782"/>
      <w:bookmarkStart w:id="830" w:name="_Toc296346584"/>
      <w:bookmarkStart w:id="831" w:name="_Toc296503083"/>
      <w:r>
        <w:rPr>
          <w:rFonts w:hint="eastAsia" w:ascii="宋体" w:hAnsi="宋体" w:eastAsia="宋体" w:cs="宋体"/>
          <w:bCs/>
          <w:sz w:val="24"/>
          <w:szCs w:val="24"/>
          <w:highlight w:val="none"/>
        </w:rPr>
        <w:t>. 试验与检验</w:t>
      </w:r>
      <w:bookmarkEnd w:id="828"/>
    </w:p>
    <w:bookmarkEnd w:id="829"/>
    <w:p>
      <w:pPr>
        <w:spacing w:line="360" w:lineRule="auto"/>
        <w:ind w:firstLine="240" w:firstLineChars="100"/>
        <w:rPr>
          <w:rFonts w:hint="eastAsia" w:ascii="宋体" w:hAnsi="宋体" w:eastAsia="宋体" w:cs="宋体"/>
          <w:bCs/>
          <w:sz w:val="24"/>
          <w:szCs w:val="24"/>
          <w:highlight w:val="none"/>
        </w:rPr>
      </w:pPr>
      <w:bookmarkStart w:id="832" w:name="_Toc351203563"/>
      <w:r>
        <w:rPr>
          <w:rFonts w:hint="eastAsia" w:ascii="宋体" w:hAnsi="宋体" w:eastAsia="宋体" w:cs="宋体"/>
          <w:bCs/>
          <w:sz w:val="24"/>
          <w:szCs w:val="24"/>
          <w:highlight w:val="none"/>
        </w:rPr>
        <w:t>9</w:t>
      </w:r>
      <w:bookmarkStart w:id="833" w:name="_Toc337558783"/>
      <w:r>
        <w:rPr>
          <w:rFonts w:hint="eastAsia" w:ascii="宋体" w:hAnsi="宋体" w:eastAsia="宋体" w:cs="宋体"/>
          <w:bCs/>
          <w:sz w:val="24"/>
          <w:szCs w:val="24"/>
          <w:highlight w:val="none"/>
        </w:rPr>
        <w:t>.1试验设备与试验人员</w:t>
      </w:r>
      <w:bookmarkEnd w:id="832"/>
    </w:p>
    <w:bookmarkEnd w:id="833"/>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9.1.2 承包人应按专用合同条款的约定提供试验设备、取样装置、试验场所和试验条件，并向监理人提交相应进场计划表。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pPr>
        <w:spacing w:line="360" w:lineRule="auto"/>
        <w:ind w:firstLine="240" w:firstLineChars="100"/>
        <w:rPr>
          <w:rFonts w:hint="eastAsia" w:ascii="宋体" w:hAnsi="宋体" w:eastAsia="宋体" w:cs="宋体"/>
          <w:bCs/>
          <w:sz w:val="24"/>
          <w:szCs w:val="24"/>
          <w:highlight w:val="none"/>
        </w:rPr>
      </w:pPr>
      <w:bookmarkStart w:id="834" w:name="_Toc351203564"/>
      <w:r>
        <w:rPr>
          <w:rFonts w:hint="eastAsia" w:ascii="宋体" w:hAnsi="宋体" w:eastAsia="宋体" w:cs="宋体"/>
          <w:bCs/>
          <w:sz w:val="24"/>
          <w:szCs w:val="24"/>
          <w:highlight w:val="none"/>
        </w:rPr>
        <w:t>9</w:t>
      </w:r>
      <w:bookmarkStart w:id="835" w:name="_Toc337558784"/>
      <w:r>
        <w:rPr>
          <w:rFonts w:hint="eastAsia" w:ascii="宋体" w:hAnsi="宋体" w:eastAsia="宋体" w:cs="宋体"/>
          <w:bCs/>
          <w:sz w:val="24"/>
          <w:szCs w:val="24"/>
          <w:highlight w:val="none"/>
        </w:rPr>
        <w:t>.2取样</w:t>
      </w:r>
      <w:bookmarkEnd w:id="834"/>
    </w:p>
    <w:bookmarkEnd w:id="835"/>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试验属于自检性质的，承包人可以单独取样。试验属于监理人抽检性质的，可由监理人取样，也可由承包人的试验人员在监理人的监督下取样。</w:t>
      </w:r>
    </w:p>
    <w:p>
      <w:pPr>
        <w:spacing w:line="360" w:lineRule="auto"/>
        <w:ind w:firstLine="240" w:firstLineChars="100"/>
        <w:rPr>
          <w:rFonts w:hint="eastAsia" w:ascii="宋体" w:hAnsi="宋体" w:eastAsia="宋体" w:cs="宋体"/>
          <w:bCs/>
          <w:sz w:val="24"/>
          <w:szCs w:val="24"/>
          <w:highlight w:val="none"/>
        </w:rPr>
      </w:pPr>
      <w:bookmarkStart w:id="836" w:name="_Toc351203565"/>
      <w:r>
        <w:rPr>
          <w:rFonts w:hint="eastAsia" w:ascii="宋体" w:hAnsi="宋体" w:eastAsia="宋体" w:cs="宋体"/>
          <w:bCs/>
          <w:sz w:val="24"/>
          <w:szCs w:val="24"/>
          <w:highlight w:val="none"/>
        </w:rPr>
        <w:t>9</w:t>
      </w:r>
      <w:bookmarkStart w:id="837" w:name="_Toc337558785"/>
      <w:r>
        <w:rPr>
          <w:rFonts w:hint="eastAsia" w:ascii="宋体" w:hAnsi="宋体" w:eastAsia="宋体" w:cs="宋体"/>
          <w:bCs/>
          <w:sz w:val="24"/>
          <w:szCs w:val="24"/>
          <w:highlight w:val="none"/>
        </w:rPr>
        <w:t>.3材料、工程设备和工程的试验和检验</w:t>
      </w:r>
      <w:bookmarkEnd w:id="836"/>
    </w:p>
    <w:bookmarkEnd w:id="83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60" w:lineRule="auto"/>
        <w:ind w:firstLine="240" w:firstLineChars="100"/>
        <w:rPr>
          <w:rFonts w:hint="eastAsia" w:ascii="宋体" w:hAnsi="宋体" w:eastAsia="宋体" w:cs="宋体"/>
          <w:bCs/>
          <w:sz w:val="24"/>
          <w:szCs w:val="24"/>
          <w:highlight w:val="none"/>
        </w:rPr>
      </w:pPr>
      <w:bookmarkStart w:id="838" w:name="_Toc351203566"/>
      <w:r>
        <w:rPr>
          <w:rFonts w:hint="eastAsia" w:ascii="宋体" w:hAnsi="宋体" w:eastAsia="宋体" w:cs="宋体"/>
          <w:bCs/>
          <w:sz w:val="24"/>
          <w:szCs w:val="24"/>
          <w:highlight w:val="none"/>
        </w:rPr>
        <w:t>9</w:t>
      </w:r>
      <w:bookmarkStart w:id="839" w:name="_Toc337558786"/>
      <w:r>
        <w:rPr>
          <w:rFonts w:hint="eastAsia" w:ascii="宋体" w:hAnsi="宋体" w:eastAsia="宋体" w:cs="宋体"/>
          <w:bCs/>
          <w:sz w:val="24"/>
          <w:szCs w:val="24"/>
          <w:highlight w:val="none"/>
        </w:rPr>
        <w:t>.4现场工艺试验</w:t>
      </w:r>
      <w:bookmarkEnd w:id="838"/>
    </w:p>
    <w:bookmarkEnd w:id="83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pPr>
        <w:spacing w:line="360" w:lineRule="auto"/>
        <w:rPr>
          <w:rFonts w:hint="eastAsia" w:ascii="宋体" w:hAnsi="宋体" w:eastAsia="宋体" w:cs="宋体"/>
          <w:bCs/>
          <w:sz w:val="24"/>
          <w:szCs w:val="24"/>
          <w:highlight w:val="none"/>
        </w:rPr>
      </w:pPr>
      <w:bookmarkStart w:id="840" w:name="_Toc351203567"/>
      <w:r>
        <w:rPr>
          <w:rFonts w:hint="eastAsia" w:ascii="宋体" w:hAnsi="宋体" w:eastAsia="宋体" w:cs="宋体"/>
          <w:bCs/>
          <w:sz w:val="24"/>
          <w:szCs w:val="24"/>
          <w:highlight w:val="none"/>
        </w:rPr>
        <w:t>1</w:t>
      </w:r>
      <w:bookmarkStart w:id="841" w:name="_Toc337558787"/>
      <w:r>
        <w:rPr>
          <w:rFonts w:hint="eastAsia" w:ascii="宋体" w:hAnsi="宋体" w:eastAsia="宋体" w:cs="宋体"/>
          <w:bCs/>
          <w:sz w:val="24"/>
          <w:szCs w:val="24"/>
          <w:highlight w:val="none"/>
        </w:rPr>
        <w:t>0. 变更</w:t>
      </w:r>
      <w:bookmarkEnd w:id="830"/>
      <w:bookmarkEnd w:id="831"/>
      <w:bookmarkEnd w:id="840"/>
    </w:p>
    <w:bookmarkEnd w:id="841"/>
    <w:p>
      <w:pPr>
        <w:spacing w:line="360" w:lineRule="auto"/>
        <w:ind w:firstLine="240" w:firstLineChars="100"/>
        <w:rPr>
          <w:rFonts w:hint="eastAsia" w:ascii="宋体" w:hAnsi="宋体" w:eastAsia="宋体" w:cs="宋体"/>
          <w:bCs/>
          <w:sz w:val="24"/>
          <w:szCs w:val="24"/>
          <w:highlight w:val="none"/>
        </w:rPr>
      </w:pPr>
      <w:bookmarkStart w:id="842" w:name="_Toc351203568"/>
      <w:r>
        <w:rPr>
          <w:rFonts w:hint="eastAsia" w:ascii="宋体" w:hAnsi="宋体" w:eastAsia="宋体" w:cs="宋体"/>
          <w:bCs/>
          <w:sz w:val="24"/>
          <w:szCs w:val="24"/>
          <w:highlight w:val="none"/>
        </w:rPr>
        <w:t>1</w:t>
      </w:r>
      <w:bookmarkStart w:id="843" w:name="_Toc296503084"/>
      <w:bookmarkStart w:id="844" w:name="_Toc337558788"/>
      <w:bookmarkStart w:id="845" w:name="_Toc296346585"/>
      <w:r>
        <w:rPr>
          <w:rFonts w:hint="eastAsia" w:ascii="宋体" w:hAnsi="宋体" w:eastAsia="宋体" w:cs="宋体"/>
          <w:bCs/>
          <w:sz w:val="24"/>
          <w:szCs w:val="24"/>
          <w:highlight w:val="none"/>
        </w:rPr>
        <w:t>0.1变更的范围</w:t>
      </w:r>
      <w:bookmarkEnd w:id="842"/>
    </w:p>
    <w:bookmarkEnd w:id="843"/>
    <w:bookmarkEnd w:id="844"/>
    <w:bookmarkEnd w:id="845"/>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除专用合同条款另有约定外，合同履行过程中发生以下情形的，应按照本条约定进行变更：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（1）增加或减少合同中任何工作，或追加额外的工作；</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（2）取消合同中任何工作，但转由他人实施的工作除外；</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（3）改变合同中任何工作的质量标准或其他特性；</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（4）改变工程的基线、标高、位置和尺寸；</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（5）改变工程的时间安排或实施顺序。</w:t>
      </w:r>
    </w:p>
    <w:p>
      <w:pPr>
        <w:spacing w:line="360" w:lineRule="auto"/>
        <w:ind w:firstLine="240" w:firstLineChars="100"/>
        <w:rPr>
          <w:rFonts w:hint="eastAsia" w:ascii="宋体" w:hAnsi="宋体" w:eastAsia="宋体" w:cs="宋体"/>
          <w:bCs/>
          <w:sz w:val="24"/>
          <w:szCs w:val="24"/>
          <w:highlight w:val="none"/>
        </w:rPr>
      </w:pPr>
      <w:bookmarkStart w:id="846" w:name="_Toc351203569"/>
      <w:r>
        <w:rPr>
          <w:rFonts w:hint="eastAsia" w:ascii="宋体" w:hAnsi="宋体" w:eastAsia="宋体" w:cs="宋体"/>
          <w:bCs/>
          <w:sz w:val="24"/>
          <w:szCs w:val="24"/>
          <w:highlight w:val="none"/>
        </w:rPr>
        <w:t>1</w:t>
      </w:r>
      <w:bookmarkStart w:id="847" w:name="_Toc337558789"/>
      <w:bookmarkStart w:id="848" w:name="_Toc296503085"/>
      <w:bookmarkStart w:id="849" w:name="_Toc296346586"/>
      <w:r>
        <w:rPr>
          <w:rFonts w:hint="eastAsia" w:ascii="宋体" w:hAnsi="宋体" w:eastAsia="宋体" w:cs="宋体"/>
          <w:bCs/>
          <w:sz w:val="24"/>
          <w:szCs w:val="24"/>
          <w:highlight w:val="none"/>
        </w:rPr>
        <w:t>0.2变更权</w:t>
      </w:r>
      <w:bookmarkEnd w:id="846"/>
    </w:p>
    <w:bookmarkEnd w:id="847"/>
    <w:bookmarkEnd w:id="848"/>
    <w:bookmarkEnd w:id="84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涉及设计变更的，应由设计人提供变更后的图纸和说明。如变更超过原设计标准或批准的建设规模时，发包人应及时办理规划、设计变更等审批手续。</w:t>
      </w:r>
    </w:p>
    <w:p>
      <w:pPr>
        <w:spacing w:line="360" w:lineRule="auto"/>
        <w:ind w:firstLine="240" w:firstLineChars="100"/>
        <w:rPr>
          <w:rFonts w:hint="eastAsia" w:ascii="宋体" w:hAnsi="宋体" w:eastAsia="宋体" w:cs="宋体"/>
          <w:bCs/>
          <w:sz w:val="24"/>
          <w:szCs w:val="24"/>
          <w:highlight w:val="none"/>
        </w:rPr>
      </w:pPr>
      <w:bookmarkStart w:id="850" w:name="_Toc351203570"/>
      <w:r>
        <w:rPr>
          <w:rFonts w:hint="eastAsia" w:ascii="宋体" w:hAnsi="宋体" w:eastAsia="宋体" w:cs="宋体"/>
          <w:bCs/>
          <w:sz w:val="24"/>
          <w:szCs w:val="24"/>
          <w:highlight w:val="none"/>
        </w:rPr>
        <w:t>1</w:t>
      </w:r>
      <w:bookmarkStart w:id="851" w:name="_Toc337558790"/>
      <w:bookmarkStart w:id="852" w:name="_Toc296346587"/>
      <w:bookmarkStart w:id="853" w:name="_Toc296503086"/>
      <w:r>
        <w:rPr>
          <w:rFonts w:hint="eastAsia" w:ascii="宋体" w:hAnsi="宋体" w:eastAsia="宋体" w:cs="宋体"/>
          <w:bCs/>
          <w:sz w:val="24"/>
          <w:szCs w:val="24"/>
          <w:highlight w:val="none"/>
        </w:rPr>
        <w:t>0.3变更程序</w:t>
      </w:r>
      <w:bookmarkEnd w:id="850"/>
    </w:p>
    <w:bookmarkEnd w:id="851"/>
    <w:bookmarkEnd w:id="852"/>
    <w:bookmarkEnd w:id="853"/>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10.3.1 发包人提出变更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发包人提出变更的，应通过监理人向承包人发出变更指示，变更指示应说明计划变更的工程范围和变更的内容。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10.3.2 监理人提出变更建议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10.3.3 变更执行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60" w:lineRule="auto"/>
        <w:ind w:firstLine="240" w:firstLineChars="100"/>
        <w:rPr>
          <w:rFonts w:hint="eastAsia" w:ascii="宋体" w:hAnsi="宋体" w:eastAsia="宋体" w:cs="宋体"/>
          <w:bCs/>
          <w:sz w:val="24"/>
          <w:szCs w:val="24"/>
          <w:highlight w:val="none"/>
        </w:rPr>
      </w:pPr>
      <w:bookmarkStart w:id="854" w:name="_Toc351203571"/>
      <w:r>
        <w:rPr>
          <w:rFonts w:hint="eastAsia" w:ascii="宋体" w:hAnsi="宋体" w:eastAsia="宋体" w:cs="宋体"/>
          <w:bCs/>
          <w:sz w:val="24"/>
          <w:szCs w:val="24"/>
          <w:highlight w:val="none"/>
        </w:rPr>
        <w:t>1</w:t>
      </w:r>
      <w:bookmarkStart w:id="855" w:name="_Toc296503087"/>
      <w:bookmarkStart w:id="856" w:name="_Toc296346588"/>
      <w:bookmarkStart w:id="857" w:name="_Toc337558791"/>
      <w:r>
        <w:rPr>
          <w:rFonts w:hint="eastAsia" w:ascii="宋体" w:hAnsi="宋体" w:eastAsia="宋体" w:cs="宋体"/>
          <w:bCs/>
          <w:sz w:val="24"/>
          <w:szCs w:val="24"/>
          <w:highlight w:val="none"/>
        </w:rPr>
        <w:t>0.4变更估价</w:t>
      </w:r>
      <w:bookmarkEnd w:id="854"/>
    </w:p>
    <w:bookmarkEnd w:id="855"/>
    <w:bookmarkEnd w:id="856"/>
    <w:bookmarkEnd w:id="85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10.4.1 变更估价原则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除专用合同条款另有约定外，变更估价按照本款约定处理：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（1）已标价工程量清单或预算书有相同项目的，按照相同项目单价认定；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（2）已标价工程量清单或预算书中无相同项目，但有类似项目的，参照类似项目的单价认定；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10.4.2 变更估价程序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因变更引起的价格调整应计入最近一期的进度款中支付。</w:t>
      </w:r>
    </w:p>
    <w:p>
      <w:pPr>
        <w:spacing w:line="360" w:lineRule="auto"/>
        <w:ind w:firstLine="240" w:firstLineChars="100"/>
        <w:rPr>
          <w:rFonts w:hint="eastAsia" w:ascii="宋体" w:hAnsi="宋体" w:eastAsia="宋体" w:cs="宋体"/>
          <w:bCs/>
          <w:sz w:val="24"/>
          <w:szCs w:val="24"/>
          <w:highlight w:val="none"/>
        </w:rPr>
      </w:pPr>
      <w:bookmarkStart w:id="858" w:name="_Toc351203572"/>
      <w:r>
        <w:rPr>
          <w:rFonts w:hint="eastAsia" w:ascii="宋体" w:hAnsi="宋体" w:eastAsia="宋体" w:cs="宋体"/>
          <w:bCs/>
          <w:sz w:val="24"/>
          <w:szCs w:val="24"/>
          <w:highlight w:val="none"/>
        </w:rPr>
        <w:t>1</w:t>
      </w:r>
      <w:bookmarkStart w:id="859" w:name="_Toc296346595"/>
      <w:bookmarkStart w:id="860" w:name="_Toc337558792"/>
      <w:bookmarkStart w:id="861" w:name="_Toc296503094"/>
      <w:r>
        <w:rPr>
          <w:rFonts w:hint="eastAsia" w:ascii="宋体" w:hAnsi="宋体" w:eastAsia="宋体" w:cs="宋体"/>
          <w:bCs/>
          <w:sz w:val="24"/>
          <w:szCs w:val="24"/>
          <w:highlight w:val="none"/>
        </w:rPr>
        <w:t>0.5承包人的合理化建议</w:t>
      </w:r>
      <w:bookmarkEnd w:id="858"/>
    </w:p>
    <w:bookmarkEnd w:id="859"/>
    <w:bookmarkEnd w:id="860"/>
    <w:bookmarkEnd w:id="861"/>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承包人提出合理化建议的，应向监理人提交合理化建议说明，说明建议的内容和理由，以及实施该建议对合同价格和工期的影响。</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合理化建议降低了合同价格或者提高了工程经济效益的，发包人可对承包人给予奖励，奖励的方法和金额在专用合同条款中约定。</w:t>
      </w:r>
    </w:p>
    <w:p>
      <w:pPr>
        <w:spacing w:line="360" w:lineRule="auto"/>
        <w:ind w:firstLine="240" w:firstLineChars="100"/>
        <w:rPr>
          <w:rFonts w:hint="eastAsia" w:ascii="宋体" w:hAnsi="宋体" w:eastAsia="宋体" w:cs="宋体"/>
          <w:b/>
          <w:bCs/>
          <w:sz w:val="24"/>
          <w:szCs w:val="24"/>
          <w:highlight w:val="none"/>
        </w:rPr>
      </w:pPr>
      <w:bookmarkStart w:id="862" w:name="_Toc351203573"/>
      <w:r>
        <w:rPr>
          <w:rFonts w:hint="eastAsia" w:ascii="宋体" w:hAnsi="宋体" w:eastAsia="宋体" w:cs="宋体"/>
          <w:bCs/>
          <w:sz w:val="24"/>
          <w:szCs w:val="24"/>
          <w:highlight w:val="none"/>
        </w:rPr>
        <w:t>1</w:t>
      </w:r>
      <w:bookmarkStart w:id="863" w:name="_Toc337558793"/>
      <w:r>
        <w:rPr>
          <w:rFonts w:hint="eastAsia" w:ascii="宋体" w:hAnsi="宋体" w:eastAsia="宋体" w:cs="宋体"/>
          <w:bCs/>
          <w:sz w:val="24"/>
          <w:szCs w:val="24"/>
          <w:highlight w:val="none"/>
        </w:rPr>
        <w:t>0.6变更引起的工期调整</w:t>
      </w:r>
      <w:bookmarkEnd w:id="862"/>
      <w:bookmarkEnd w:id="863"/>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因变更引起工期变化的，合同当事人均可要求调整合同工期，由合同当事人按照第4.4款〔商定或确定〕并参考工程所在地的工期定额标准确定增减工期天数。</w:t>
      </w:r>
    </w:p>
    <w:p>
      <w:pPr>
        <w:spacing w:line="360" w:lineRule="auto"/>
        <w:ind w:firstLine="240" w:firstLineChars="100"/>
        <w:rPr>
          <w:rFonts w:hint="eastAsia" w:ascii="宋体" w:hAnsi="宋体" w:eastAsia="宋体" w:cs="宋体"/>
          <w:bCs/>
          <w:sz w:val="24"/>
          <w:szCs w:val="24"/>
          <w:highlight w:val="none"/>
        </w:rPr>
      </w:pPr>
      <w:bookmarkStart w:id="864" w:name="_Toc351203574"/>
      <w:r>
        <w:rPr>
          <w:rFonts w:hint="eastAsia" w:ascii="宋体" w:hAnsi="宋体" w:eastAsia="宋体" w:cs="宋体"/>
          <w:bCs/>
          <w:sz w:val="24"/>
          <w:szCs w:val="24"/>
          <w:highlight w:val="none"/>
        </w:rPr>
        <w:t>10.7暂估价</w:t>
      </w:r>
      <w:bookmarkEnd w:id="864"/>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暂估价专业分包工程、服务、材料和工程设备的明细由合同当事人在专用合同条款中约定。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10.7.1 依法必须招标的暂估价项目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对于依法必须招标的暂估价项目，采取以下第1种方式确定。合同当事人也可以在专用合同条款中选择其他招标方式。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第1种方式：对于依法必须招标的暂估价项目，由承包人招标，对该暂估价项目的确认和批准按照以下约定执行：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承包人应当根据施工进度计划，提前14天将谈判文件通过监理人报送发包人审批，发包人应当在收到承包人报送的相关文件后7天内完成审批或提出修改意见；发包人有权确定招标控制价并按照法律规定参加评标；</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承包人与磋商响应人、分包人在签订暂估价合同前，应当提前7天将确定的中标候选磋商响应人或中标候选分包人的资料报送发包人，发包人应在收到资料后3天内与承包人共同确定中标人；承包人应当在签订合同后7天内，将暂估价合同副本报送发包人留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第2种方式：对于依法必须招标的暂估价项目，由发包人和承包人共同招标确定暂估价磋商响应人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10.7.2不属于依法必须招标的暂估价项目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除专用合同条款另有约定外，对于不属于依法必须招标的暂估价项目，采取以下第1种方式确定：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第1种方式：对于不属于依法必须招标的暂估价项目，按本项约定确认和批准：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（2）发包人认为承包人确定的磋商响应人、分包人无法满足工程质量或合同要求的，发包人可以要求承包人重新确定暂估价项目的磋商响应人、分包人;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（3）承包人应当在签订暂估价合同后7天内，将暂估价合同副本报送发包人留存。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第2种方式：承包人按照第10.7.1项〔依法必须招标的暂估价项目〕约定的第1种方式确定暂估价项目。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第3种方式：承包人直接实施的暂估价项目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60" w:lineRule="auto"/>
        <w:ind w:firstLine="424" w:firstLineChars="177"/>
        <w:rPr>
          <w:rFonts w:hint="eastAsia" w:ascii="宋体" w:hAnsi="宋体" w:eastAsia="宋体" w:cs="宋体"/>
          <w:bCs/>
          <w:sz w:val="24"/>
          <w:szCs w:val="24"/>
          <w:highlight w:val="none"/>
        </w:rPr>
      </w:pPr>
      <w:bookmarkStart w:id="865" w:name="_Toc351203575"/>
      <w:r>
        <w:rPr>
          <w:rFonts w:hint="eastAsia" w:ascii="宋体" w:hAnsi="宋体" w:eastAsia="宋体" w:cs="宋体"/>
          <w:bCs/>
          <w:sz w:val="24"/>
          <w:szCs w:val="24"/>
          <w:highlight w:val="none"/>
        </w:rPr>
        <w:t>1</w:t>
      </w:r>
      <w:bookmarkStart w:id="866" w:name="_Toc337558794"/>
      <w:bookmarkStart w:id="867" w:name="_Toc296503090"/>
      <w:bookmarkStart w:id="868" w:name="_Toc322522561"/>
      <w:bookmarkStart w:id="869" w:name="_Toc296346591"/>
      <w:r>
        <w:rPr>
          <w:rFonts w:hint="eastAsia" w:ascii="宋体" w:hAnsi="宋体" w:eastAsia="宋体" w:cs="宋体"/>
          <w:bCs/>
          <w:sz w:val="24"/>
          <w:szCs w:val="24"/>
          <w:highlight w:val="none"/>
        </w:rPr>
        <w:t>0.8暂列金额</w:t>
      </w:r>
      <w:bookmarkEnd w:id="865"/>
    </w:p>
    <w:bookmarkEnd w:id="86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暂列金额应按照发包人的要求使用，发包人的要求应通过监理人发出。合同当事人可以在专用合同条款中协商确定有关事项。</w:t>
      </w:r>
    </w:p>
    <w:bookmarkEnd w:id="867"/>
    <w:bookmarkEnd w:id="868"/>
    <w:bookmarkEnd w:id="869"/>
    <w:p>
      <w:pPr>
        <w:spacing w:line="360" w:lineRule="auto"/>
        <w:ind w:firstLine="424" w:firstLineChars="177"/>
        <w:rPr>
          <w:rFonts w:hint="eastAsia" w:ascii="宋体" w:hAnsi="宋体" w:eastAsia="宋体" w:cs="宋体"/>
          <w:bCs/>
          <w:sz w:val="24"/>
          <w:szCs w:val="24"/>
          <w:highlight w:val="none"/>
        </w:rPr>
      </w:pPr>
      <w:bookmarkStart w:id="870" w:name="_Toc351203576"/>
      <w:r>
        <w:rPr>
          <w:rFonts w:hint="eastAsia" w:ascii="宋体" w:hAnsi="宋体" w:eastAsia="宋体" w:cs="宋体"/>
          <w:bCs/>
          <w:sz w:val="24"/>
          <w:szCs w:val="24"/>
          <w:highlight w:val="none"/>
        </w:rPr>
        <w:t>1</w:t>
      </w:r>
      <w:bookmarkStart w:id="871" w:name="_Toc337558796"/>
      <w:bookmarkStart w:id="872" w:name="_Toc296346592"/>
      <w:bookmarkStart w:id="873" w:name="_Toc296503091"/>
      <w:r>
        <w:rPr>
          <w:rFonts w:hint="eastAsia" w:ascii="宋体" w:hAnsi="宋体" w:eastAsia="宋体" w:cs="宋体"/>
          <w:bCs/>
          <w:sz w:val="24"/>
          <w:szCs w:val="24"/>
          <w:highlight w:val="none"/>
        </w:rPr>
        <w:t>0.9计日工</w:t>
      </w:r>
      <w:bookmarkEnd w:id="870"/>
      <w:bookmarkEnd w:id="871"/>
      <w:bookmarkEnd w:id="872"/>
      <w:bookmarkEnd w:id="873"/>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采用计日工计价的任何一项工作，承包人应在该项工作实施过程中，每天提交以下报表和有关凭证报送监理人审查：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（1）工作名称、内容和数量；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（2）投入该工作的所有人员的姓名、专业、工种、级别和耗用工时；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（3）投入该工作的材料类别和数量；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（4）投入该工作的施工设备型号、台数和耗用台时；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（5）其他有关资料和凭证。</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计日工由承包人汇总后，列入最近一期进度付款申请单，由监理人审查并经发包人批准后列入进度付款。</w:t>
      </w:r>
    </w:p>
    <w:p>
      <w:pPr>
        <w:spacing w:line="360" w:lineRule="auto"/>
        <w:rPr>
          <w:rFonts w:hint="eastAsia" w:ascii="宋体" w:hAnsi="宋体" w:eastAsia="宋体" w:cs="宋体"/>
          <w:bCs/>
          <w:sz w:val="24"/>
          <w:szCs w:val="24"/>
          <w:highlight w:val="none"/>
        </w:rPr>
      </w:pPr>
      <w:bookmarkStart w:id="874" w:name="_Toc351203577"/>
      <w:r>
        <w:rPr>
          <w:rFonts w:hint="eastAsia" w:ascii="宋体" w:hAnsi="宋体" w:eastAsia="宋体" w:cs="宋体"/>
          <w:bCs/>
          <w:sz w:val="24"/>
          <w:szCs w:val="24"/>
          <w:highlight w:val="none"/>
        </w:rPr>
        <w:t>11. 价格调整</w:t>
      </w:r>
      <w:bookmarkEnd w:id="874"/>
    </w:p>
    <w:p>
      <w:pPr>
        <w:spacing w:line="360" w:lineRule="auto"/>
        <w:ind w:firstLine="424" w:firstLineChars="177"/>
        <w:rPr>
          <w:rFonts w:hint="eastAsia" w:ascii="宋体" w:hAnsi="宋体" w:eastAsia="宋体" w:cs="宋体"/>
          <w:bCs/>
          <w:sz w:val="24"/>
          <w:szCs w:val="24"/>
          <w:highlight w:val="none"/>
        </w:rPr>
      </w:pPr>
      <w:bookmarkStart w:id="875" w:name="_Toc351203578"/>
      <w:bookmarkStart w:id="876" w:name="_Toc296503092"/>
      <w:bookmarkStart w:id="877" w:name="_Toc296346593"/>
      <w:bookmarkStart w:id="878" w:name="_Toc337558797"/>
      <w:r>
        <w:rPr>
          <w:rFonts w:hint="eastAsia" w:ascii="宋体" w:hAnsi="宋体" w:eastAsia="宋体" w:cs="宋体"/>
          <w:bCs/>
          <w:sz w:val="24"/>
          <w:szCs w:val="24"/>
          <w:highlight w:val="none"/>
        </w:rPr>
        <w:t>11.1市场价格波动引起的调整</w:t>
      </w:r>
      <w:bookmarkEnd w:id="875"/>
    </w:p>
    <w:bookmarkEnd w:id="876"/>
    <w:bookmarkEnd w:id="877"/>
    <w:bookmarkEnd w:id="87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第1种方式：采用价格指数进行价格调整。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（1）价格调整公式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因人工、材料和设备等价格波动影响合同价格时，根据专用合同条款中约定的数据，按以下公式计算差额并调整合同价格：</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object>
          <v:shape id="_x0000_i1025" o:spt="75" type="#_x0000_t75" style="height:46pt;width:36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公式中：ΔP——需调整的价格差额；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object>
          <v:shape id="_x0000_i1026" o:spt="75" type="#_x0000_t75" style="height:18.55pt;width:18.5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ascii="宋体" w:hAnsi="宋体" w:eastAsia="宋体" w:cs="宋体"/>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A——定值权重（即不调部分的权重）；</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object>
          <v:shape id="_x0000_i1027" o:spt="75" type="#_x0000_t75" style="height:21.55pt;width:100.9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宋体" w:hAnsi="宋体" w:eastAsia="宋体" w:cs="宋体"/>
          <w:sz w:val="24"/>
          <w:szCs w:val="24"/>
          <w:highlight w:val="none"/>
        </w:rPr>
        <w:t>——各可调因子的变值权重（即可调部分的权重），为各可调因子在签约合同价中所占的比例；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object>
          <v:shape id="_x0000_i1028" o:spt="75" type="#_x0000_t75" style="height:21.55pt;width:101.7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hint="eastAsia" w:ascii="宋体" w:hAnsi="宋体" w:eastAsia="宋体" w:cs="宋体"/>
          <w:sz w:val="24"/>
          <w:szCs w:val="24"/>
          <w:highlight w:val="none"/>
        </w:rPr>
        <w:t>——各可调因子的现行价格指数，指约定的付款证书相关周期最后一天的前42天的各可调因子的价格指数；</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object>
          <v:shape id="_x0000_i1029" o:spt="75" type="#_x0000_t75" style="height:18.55pt;width:106.1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ascii="宋体" w:hAnsi="宋体" w:eastAsia="宋体" w:cs="宋体"/>
          <w:sz w:val="24"/>
          <w:szCs w:val="24"/>
          <w:highlight w:val="none"/>
        </w:rPr>
        <w:t>——各可调因子的基本价格指数，指基准日期的各可调因子的价格指数。</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以上价格调整公式中的各可调因子、定值和变值权重，以及基本价格指数及其来源在响应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（2）暂时确定调整差额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在计算调整差额时无现行价格指数的，合同当事人同意暂用前次价格指数计算。实际价格指数有调整的，合同当事人进行相应调整。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（3）权重的调整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因变更导致合同约定的权重不合理时，按照第4.4款〔商定或确定〕执行。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（4）因承包人原因工期延误后的价格调整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第2种方式：采用造价信息进行价格调整。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（2）材料、工程设备价格变化的价款调整按照发包人提供的基准价格，按以下风险范围规定执行: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前述基准价格是指由发包人在谈判文件或专用合同条款中给定的材料、工程设备的价格，该价格原则上应当按照省级或行业建设主管部门或其授权的工程造价管理机构发布的信息价编制。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（3）施工机械台班单价或施工机械使用费发生变化超过省级或行业建设主管部门或其授权的工程造价管理机构规定的范围时，按规定调整合同价格。</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第3种方式：专用合同条款约定的其他方式。</w:t>
      </w:r>
    </w:p>
    <w:p>
      <w:pPr>
        <w:spacing w:line="360" w:lineRule="auto"/>
        <w:ind w:firstLine="424" w:firstLineChars="177"/>
        <w:rPr>
          <w:rFonts w:hint="eastAsia" w:ascii="宋体" w:hAnsi="宋体" w:eastAsia="宋体" w:cs="宋体"/>
          <w:bCs/>
          <w:sz w:val="24"/>
          <w:szCs w:val="24"/>
          <w:highlight w:val="none"/>
        </w:rPr>
      </w:pPr>
      <w:bookmarkStart w:id="879" w:name="_Toc351203579"/>
      <w:bookmarkStart w:id="880" w:name="_Toc337558798"/>
      <w:bookmarkStart w:id="881" w:name="_Toc296346594"/>
      <w:bookmarkStart w:id="882" w:name="_Toc296503093"/>
      <w:r>
        <w:rPr>
          <w:rFonts w:hint="eastAsia" w:ascii="宋体" w:hAnsi="宋体" w:eastAsia="宋体" w:cs="宋体"/>
          <w:bCs/>
          <w:sz w:val="24"/>
          <w:szCs w:val="24"/>
          <w:highlight w:val="none"/>
        </w:rPr>
        <w:t>11.2法律变化引起的调整</w:t>
      </w:r>
      <w:bookmarkEnd w:id="879"/>
    </w:p>
    <w:bookmarkEnd w:id="880"/>
    <w:bookmarkEnd w:id="881"/>
    <w:bookmarkEnd w:id="88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因法律变化引起的合同价格和工期调整，合同当事人无法达成一致的，由总监理工程师按第4.4款〔商定或确定〕的约定处理。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因承包人原因造成工期延误，在工期延误期间出现法律变化的，由此增加的费用和（或）延误的工期由承包人承担。</w:t>
      </w:r>
    </w:p>
    <w:p>
      <w:pPr>
        <w:spacing w:line="360" w:lineRule="auto"/>
        <w:rPr>
          <w:rFonts w:hint="eastAsia" w:ascii="宋体" w:hAnsi="宋体" w:eastAsia="宋体" w:cs="宋体"/>
          <w:bCs/>
          <w:sz w:val="24"/>
          <w:szCs w:val="24"/>
          <w:highlight w:val="none"/>
        </w:rPr>
      </w:pPr>
      <w:bookmarkStart w:id="883" w:name="_Toc351203580"/>
      <w:bookmarkStart w:id="884" w:name="_Toc337558799"/>
      <w:bookmarkStart w:id="885" w:name="_Toc296503096"/>
      <w:bookmarkStart w:id="886" w:name="_Toc296346597"/>
      <w:r>
        <w:rPr>
          <w:rFonts w:hint="eastAsia" w:ascii="宋体" w:hAnsi="宋体" w:eastAsia="宋体" w:cs="宋体"/>
          <w:bCs/>
          <w:sz w:val="24"/>
          <w:szCs w:val="24"/>
          <w:highlight w:val="none"/>
        </w:rPr>
        <w:t>12. 合同价格、计量与支付</w:t>
      </w:r>
      <w:bookmarkEnd w:id="883"/>
    </w:p>
    <w:bookmarkEnd w:id="884"/>
    <w:p>
      <w:pPr>
        <w:spacing w:line="360" w:lineRule="auto"/>
        <w:ind w:firstLine="424" w:firstLineChars="177"/>
        <w:rPr>
          <w:rFonts w:hint="eastAsia" w:ascii="宋体" w:hAnsi="宋体" w:eastAsia="宋体" w:cs="宋体"/>
          <w:bCs/>
          <w:sz w:val="24"/>
          <w:szCs w:val="24"/>
          <w:highlight w:val="none"/>
        </w:rPr>
      </w:pPr>
      <w:bookmarkStart w:id="887" w:name="_Toc351203581"/>
      <w:bookmarkStart w:id="888" w:name="_Toc337558800"/>
      <w:r>
        <w:rPr>
          <w:rFonts w:hint="eastAsia" w:ascii="宋体" w:hAnsi="宋体" w:eastAsia="宋体" w:cs="宋体"/>
          <w:bCs/>
          <w:sz w:val="24"/>
          <w:szCs w:val="24"/>
          <w:highlight w:val="none"/>
        </w:rPr>
        <w:t>12.1 合同价</w:t>
      </w:r>
      <w:bookmarkEnd w:id="885"/>
      <w:bookmarkEnd w:id="886"/>
      <w:r>
        <w:rPr>
          <w:rFonts w:hint="eastAsia" w:ascii="宋体" w:hAnsi="宋体" w:eastAsia="宋体" w:cs="宋体"/>
          <w:bCs/>
          <w:sz w:val="24"/>
          <w:szCs w:val="24"/>
          <w:highlight w:val="none"/>
        </w:rPr>
        <w:t>格形式</w:t>
      </w:r>
      <w:bookmarkEnd w:id="887"/>
    </w:p>
    <w:bookmarkEnd w:id="88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发包人和承包人应在合同协议书中选择下列一种合同价格形式：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1、单价合同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3、其它价格形式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合同当事人可在专用合同条款中约定其他合同价格形式。</w:t>
      </w:r>
    </w:p>
    <w:p>
      <w:pPr>
        <w:spacing w:line="360" w:lineRule="auto"/>
        <w:ind w:firstLine="424" w:firstLineChars="177"/>
        <w:rPr>
          <w:rFonts w:hint="eastAsia" w:ascii="宋体" w:hAnsi="宋体" w:eastAsia="宋体" w:cs="宋体"/>
          <w:bCs/>
          <w:sz w:val="24"/>
          <w:szCs w:val="24"/>
          <w:highlight w:val="none"/>
        </w:rPr>
      </w:pPr>
      <w:bookmarkStart w:id="889" w:name="_Toc296346598"/>
      <w:bookmarkStart w:id="890" w:name="_Toc296503097"/>
      <w:bookmarkStart w:id="891" w:name="_Toc351203582"/>
      <w:bookmarkStart w:id="892" w:name="_Toc337558801"/>
      <w:r>
        <w:rPr>
          <w:rFonts w:hint="eastAsia" w:ascii="宋体" w:hAnsi="宋体" w:eastAsia="宋体" w:cs="宋体"/>
          <w:bCs/>
          <w:sz w:val="24"/>
          <w:szCs w:val="24"/>
          <w:highlight w:val="none"/>
        </w:rPr>
        <w:t>12.2预</w:t>
      </w:r>
      <w:bookmarkEnd w:id="889"/>
      <w:bookmarkEnd w:id="890"/>
      <w:bookmarkStart w:id="893" w:name="_Toc296503100"/>
      <w:bookmarkStart w:id="894" w:name="_Toc296346601"/>
      <w:r>
        <w:rPr>
          <w:rFonts w:hint="eastAsia" w:ascii="宋体" w:hAnsi="宋体" w:eastAsia="宋体" w:cs="宋体"/>
          <w:bCs/>
          <w:sz w:val="24"/>
          <w:szCs w:val="24"/>
          <w:highlight w:val="none"/>
        </w:rPr>
        <w:t>付款</w:t>
      </w:r>
      <w:bookmarkEnd w:id="891"/>
    </w:p>
    <w:bookmarkEnd w:id="892"/>
    <w:bookmarkEnd w:id="893"/>
    <w:bookmarkEnd w:id="89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12.2.1预付款的支付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除专用合同条款另有约定外，预付款在进度付款中同比例扣回。在颁发工程接收证书前，提前解除合同的，尚未扣完的预付款应与合同价款一并结算。</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12.2.2 预付款担保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发包人在工程款中逐期扣回预付款后，预付款担保额度应相应减少，但剩余的预付款担保金额不得低于未被扣回的预付款金额。</w:t>
      </w:r>
    </w:p>
    <w:p>
      <w:pPr>
        <w:spacing w:line="360" w:lineRule="auto"/>
        <w:ind w:firstLine="424" w:firstLineChars="177"/>
        <w:rPr>
          <w:rFonts w:hint="eastAsia" w:ascii="宋体" w:hAnsi="宋体" w:eastAsia="宋体" w:cs="宋体"/>
          <w:bCs/>
          <w:sz w:val="24"/>
          <w:szCs w:val="24"/>
          <w:highlight w:val="none"/>
        </w:rPr>
      </w:pPr>
      <w:bookmarkStart w:id="895" w:name="_Toc351203583"/>
      <w:bookmarkStart w:id="896" w:name="_Toc337558802"/>
      <w:r>
        <w:rPr>
          <w:rFonts w:hint="eastAsia" w:ascii="宋体" w:hAnsi="宋体" w:eastAsia="宋体" w:cs="宋体"/>
          <w:bCs/>
          <w:sz w:val="24"/>
          <w:szCs w:val="24"/>
          <w:highlight w:val="none"/>
        </w:rPr>
        <w:t>12.3计量</w:t>
      </w:r>
      <w:bookmarkEnd w:id="895"/>
    </w:p>
    <w:bookmarkEnd w:id="89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12.3.1 计量原则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12.3.2 计量周期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除专用合同条款另有约定外，工程量的计量按月进行。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12.3.3 单价合同的计量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除专用合同条款另有约定外，单价合同的计量按照本项约定执行：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（1）承包人应于每月25日向监理人报送上月20日至当月19日已完成的工程量报告，并附具进度付款申请单、已完成工程量报表和有关资料。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12.3.4 总价合同的计量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除专用合同条款另有约定外，按月计量支付的总价合同，按照本项约定执行：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（1）承包人应于每月25日向监理人报送上月20日至当月19日已完成的工程量报告，并附具进度付款申请单、已完成工程量报表和有关资料。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（3）监理人未在收到承包人提交的工程量报表后的7天内完成复核的，承包人提交的工程量报告中的工程量视为承包人实际完成的工程量。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12.3.5 总价合同采用支付分解表计量支付的，可以按照第12.3.4项〔总价合同的计量〕约定进行计量，但合同价款按照支付分解表进行支付。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12.3.6 其他价格形式合同的计量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合同当事人可在专用合同条款中约定其他价格形式合同的计量方式和程序。</w:t>
      </w:r>
    </w:p>
    <w:p>
      <w:pPr>
        <w:spacing w:line="360" w:lineRule="auto"/>
        <w:ind w:firstLine="424" w:firstLineChars="177"/>
        <w:rPr>
          <w:rFonts w:hint="eastAsia" w:ascii="宋体" w:hAnsi="宋体" w:eastAsia="宋体" w:cs="宋体"/>
          <w:bCs/>
          <w:sz w:val="24"/>
          <w:szCs w:val="24"/>
          <w:highlight w:val="none"/>
        </w:rPr>
      </w:pPr>
      <w:bookmarkStart w:id="897" w:name="_Toc296346602"/>
      <w:bookmarkStart w:id="898" w:name="_Toc296503101"/>
      <w:bookmarkStart w:id="899" w:name="_Toc351203584"/>
      <w:bookmarkStart w:id="900" w:name="_Toc337558803"/>
      <w:r>
        <w:rPr>
          <w:rFonts w:hint="eastAsia" w:ascii="宋体" w:hAnsi="宋体" w:eastAsia="宋体" w:cs="宋体"/>
          <w:bCs/>
          <w:sz w:val="24"/>
          <w:szCs w:val="24"/>
          <w:highlight w:val="none"/>
        </w:rPr>
        <w:t>12.4工程进度款支</w:t>
      </w:r>
      <w:bookmarkEnd w:id="897"/>
      <w:bookmarkEnd w:id="898"/>
      <w:r>
        <w:rPr>
          <w:rFonts w:hint="eastAsia" w:ascii="宋体" w:hAnsi="宋体" w:eastAsia="宋体" w:cs="宋体"/>
          <w:bCs/>
          <w:sz w:val="24"/>
          <w:szCs w:val="24"/>
          <w:highlight w:val="none"/>
        </w:rPr>
        <w:t>付</w:t>
      </w:r>
      <w:bookmarkEnd w:id="899"/>
    </w:p>
    <w:bookmarkEnd w:id="90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12.4.1 付款周期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除专用合同条款另有约定外，付款周期应按照第12.3.2项〔计量周期〕的约定与计量周期保持一致。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12.4.2 进度付款申请单的编制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除专用合同条款另有约定外，进度付款申请单应包括下列内容：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（1）截至本次付款周期已完成工作对应的金额；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（2）根据第10条〔变更〕应增加和扣减的变更金额；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（3）根据第12.2款〔预付款〕约定应支付的预付款和扣减的返还预付款；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（4）根据第15.3款〔质量保证金〕约定应扣减的质量保证金；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（5）根据第19条〔索赔〕应增加和扣减的索赔金额；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（6）对已签发的进度款支付证书中出现错误的修正，应在本次进度付款中支付或扣除的金额；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（7）根据合同约定应增加和扣减的其他金额。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12.4.3 进度付款申请单的提交</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（1）单价合同进度付款申请单的提交</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（2）总价合同进度付款申请单的提交</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总价合同按月计量支付的，承包人按照第12.3.4项〔总价合同的计量〕约定的时间按月向监理人提交进度付款申请单，并附上已完成工程量报表和有关资料。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总价合同按支付分解表支付的，承包人应按照第12.4.6项〔支付分解表〕及第12.4.2项〔进度付款申请单的编制〕的约定向监理人提交进度付款申请单。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（3）其他价格形式合同的进度付款申请单的提交</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合同当事人可在专用合同条款中约定其他价格形式合同的进度付款申请单的编制和提交程序。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12.4.4 进度款审核和支付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（3）发包人签发进度款支付证书或临时进度款支付证书，不表明发包人已同意、批准或接受了承包人完成的相应部分的工作。</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12.4.5 进度付款的修正</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12.4.6 支付分解表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1、支付分解表的编制要求</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（1）支付分解表中所列的每期付款金额，应为第12.4.2项〔进度付款申请单的编制〕第（1）目的估算金额；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（2）实际进度与施工进度计划不一致的，合同当事人可按照第4.4款〔商定或确定〕修改支付分解表；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（3）不采用支付分解表的，承包人应向发包人和监理人提交按季度编制的支付估算分解表，用于支付参考。</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2、总价合同支付分解表的编制与审批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（3）发包人逾期未完成支付分解表审批的，也未及时要求承包人进行修正和提供补充资料的，则承包人提交的支付分解表视为已经获得发包人批准。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3、单价合同的总价项目支付分解表的编制与审批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60" w:lineRule="auto"/>
        <w:ind w:firstLine="424" w:firstLineChars="177"/>
        <w:rPr>
          <w:rFonts w:hint="eastAsia" w:ascii="宋体" w:hAnsi="宋体" w:eastAsia="宋体" w:cs="宋体"/>
          <w:bCs/>
          <w:sz w:val="24"/>
          <w:szCs w:val="24"/>
          <w:highlight w:val="none"/>
        </w:rPr>
      </w:pPr>
      <w:bookmarkStart w:id="901" w:name="_Toc351203585"/>
      <w:r>
        <w:rPr>
          <w:rFonts w:hint="eastAsia" w:ascii="宋体" w:hAnsi="宋体" w:eastAsia="宋体" w:cs="宋体"/>
          <w:bCs/>
          <w:sz w:val="24"/>
          <w:szCs w:val="24"/>
          <w:highlight w:val="none"/>
        </w:rPr>
        <w:t>12.5支付账户</w:t>
      </w:r>
      <w:bookmarkEnd w:id="901"/>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发包人应将合同价款支付至合同协议书中约定的承包人账户。</w:t>
      </w:r>
    </w:p>
    <w:p>
      <w:pPr>
        <w:spacing w:line="360" w:lineRule="auto"/>
        <w:rPr>
          <w:rFonts w:hint="eastAsia" w:ascii="宋体" w:hAnsi="宋体" w:eastAsia="宋体" w:cs="宋体"/>
          <w:bCs/>
          <w:sz w:val="24"/>
          <w:szCs w:val="24"/>
          <w:highlight w:val="none"/>
        </w:rPr>
      </w:pPr>
      <w:bookmarkStart w:id="902" w:name="_Toc351203586"/>
      <w:bookmarkStart w:id="903" w:name="_Toc337558804"/>
      <w:bookmarkStart w:id="904" w:name="_Toc322522574"/>
      <w:bookmarkStart w:id="905" w:name="_Toc296503106"/>
      <w:bookmarkStart w:id="906" w:name="_Toc296346607"/>
      <w:r>
        <w:rPr>
          <w:rFonts w:hint="eastAsia" w:ascii="宋体" w:hAnsi="宋体" w:eastAsia="宋体" w:cs="宋体"/>
          <w:bCs/>
          <w:sz w:val="24"/>
          <w:szCs w:val="24"/>
          <w:highlight w:val="none"/>
        </w:rPr>
        <w:t>13. 验收和工程试车</w:t>
      </w:r>
      <w:bookmarkEnd w:id="902"/>
    </w:p>
    <w:bookmarkEnd w:id="903"/>
    <w:bookmarkEnd w:id="904"/>
    <w:bookmarkEnd w:id="905"/>
    <w:bookmarkEnd w:id="906"/>
    <w:p>
      <w:pPr>
        <w:spacing w:line="360" w:lineRule="auto"/>
        <w:ind w:firstLine="424" w:firstLineChars="177"/>
        <w:rPr>
          <w:rFonts w:hint="eastAsia" w:ascii="宋体" w:hAnsi="宋体" w:eastAsia="宋体" w:cs="宋体"/>
          <w:bCs/>
          <w:sz w:val="24"/>
          <w:szCs w:val="24"/>
          <w:highlight w:val="none"/>
        </w:rPr>
      </w:pPr>
      <w:bookmarkStart w:id="907" w:name="_Toc351203587"/>
      <w:bookmarkStart w:id="908" w:name="_Toc337558805"/>
      <w:bookmarkStart w:id="909" w:name="_Toc296346611"/>
      <w:bookmarkStart w:id="910" w:name="_Toc296503110"/>
      <w:r>
        <w:rPr>
          <w:rFonts w:hint="eastAsia" w:ascii="宋体" w:hAnsi="宋体" w:eastAsia="宋体" w:cs="宋体"/>
          <w:bCs/>
          <w:sz w:val="24"/>
          <w:szCs w:val="24"/>
          <w:highlight w:val="none"/>
        </w:rPr>
        <w:t>13.1分部分项工程验收</w:t>
      </w:r>
      <w:bookmarkEnd w:id="907"/>
    </w:p>
    <w:bookmarkEnd w:id="90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13.1.1 分部分项工程质量应符合国家有关工程施工验收规范、标准及合同约定，承包人应按照施工组织设计的要求完成分部分项工程施工。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分部分项工程的验收资料应当作为竣工资料的组成部分。</w:t>
      </w:r>
    </w:p>
    <w:p>
      <w:pPr>
        <w:spacing w:line="360" w:lineRule="auto"/>
        <w:ind w:firstLine="424" w:firstLineChars="177"/>
        <w:rPr>
          <w:rFonts w:hint="eastAsia" w:ascii="宋体" w:hAnsi="宋体" w:eastAsia="宋体" w:cs="宋体"/>
          <w:bCs/>
          <w:sz w:val="24"/>
          <w:szCs w:val="24"/>
          <w:highlight w:val="none"/>
        </w:rPr>
      </w:pPr>
      <w:bookmarkStart w:id="911" w:name="_Toc351203588"/>
      <w:bookmarkStart w:id="912" w:name="_Toc337558806"/>
      <w:r>
        <w:rPr>
          <w:rFonts w:hint="eastAsia" w:ascii="宋体" w:hAnsi="宋体" w:eastAsia="宋体" w:cs="宋体"/>
          <w:bCs/>
          <w:sz w:val="24"/>
          <w:szCs w:val="24"/>
          <w:highlight w:val="none"/>
        </w:rPr>
        <w:t>13.2竣工验收</w:t>
      </w:r>
      <w:bookmarkEnd w:id="911"/>
    </w:p>
    <w:bookmarkEnd w:id="909"/>
    <w:bookmarkEnd w:id="910"/>
    <w:bookmarkEnd w:id="91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13.2.1竣工验收条件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工程具备以下条件的，承包人可以申请竣工验收：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（1）除发包人同意的甩项工作和缺陷修补工作外，合同范围内的全部工程以及有关工作，包括合同要求的试验、试运行以及检验均已完成，并符合合同要求；</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（2）已按合同约定编制了甩项工作和缺陷修补工作清单以及相应的施工计划；</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（3）已按合同约定的内容和份数备齐竣工资料。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13.2.2竣工验收程序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除专用合同条款另有约定外，承包人申请竣工验收的，应当按照以下程序进行：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13.2.3竣工日期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913" w:name="#go14"/>
      <w:bookmarkEnd w:id="913"/>
      <w:r>
        <w:rPr>
          <w:rFonts w:hint="eastAsia" w:ascii="宋体" w:hAnsi="宋体" w:eastAsia="宋体" w:cs="宋体"/>
          <w:sz w:val="24"/>
          <w:szCs w:val="24"/>
          <w:highlight w:val="none"/>
        </w:rPr>
        <w:t>收申请报告的日期为实际竣工日期；工程未经竣工验收，发包人擅自使用的，以转移占有工程之日为实际竣工日期。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13.2.4 拒绝接收全部或部分工程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13.2.5 移交、接收全部与部分工程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除专用合同条款另有约定外，合同当事人应当在颁发工程接收证书后7天内完成工程的移交。</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spacing w:line="360" w:lineRule="auto"/>
        <w:ind w:firstLine="424" w:firstLineChars="177"/>
        <w:rPr>
          <w:rFonts w:hint="eastAsia" w:ascii="宋体" w:hAnsi="宋体" w:eastAsia="宋体" w:cs="宋体"/>
          <w:bCs/>
          <w:sz w:val="24"/>
          <w:szCs w:val="24"/>
          <w:highlight w:val="none"/>
        </w:rPr>
      </w:pPr>
      <w:bookmarkStart w:id="914" w:name="_Toc351203589"/>
      <w:bookmarkStart w:id="915" w:name="_Toc296346612"/>
      <w:bookmarkStart w:id="916" w:name="_Toc337558807"/>
      <w:bookmarkStart w:id="917" w:name="_Toc296503111"/>
      <w:r>
        <w:rPr>
          <w:rFonts w:hint="eastAsia" w:ascii="宋体" w:hAnsi="宋体" w:eastAsia="宋体" w:cs="宋体"/>
          <w:bCs/>
          <w:sz w:val="24"/>
          <w:szCs w:val="24"/>
          <w:highlight w:val="none"/>
        </w:rPr>
        <w:t>13.3工程试车</w:t>
      </w:r>
      <w:bookmarkEnd w:id="914"/>
    </w:p>
    <w:bookmarkEnd w:id="915"/>
    <w:bookmarkEnd w:id="916"/>
    <w:bookmarkEnd w:id="91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13.3.1试车程序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工程需要试车的，除专用合同条款另有约定外，试车内容应与承包人承包范围相一致，试车费用由承包人承担。工程试车应按如下程序进行：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13.3.2 试车中的责任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13.3.3 投料试车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bookmarkStart w:id="918" w:name="_Toc351203590"/>
      <w:bookmarkStart w:id="919" w:name="_Toc337558808"/>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bCs/>
          <w:sz w:val="24"/>
          <w:szCs w:val="24"/>
          <w:highlight w:val="none"/>
        </w:rPr>
        <w:t>13.4提前交付单位工程的验收</w:t>
      </w:r>
      <w:bookmarkEnd w:id="918"/>
    </w:p>
    <w:bookmarkEnd w:id="91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13.4.2 发包人要求在工程竣工前交付单位工程，由此导致承包人费用增加和（或）工期延误的，由发包人承担由此增加的费用和（或）延误的工期，并支付承包人合理的利润。</w:t>
      </w:r>
    </w:p>
    <w:p>
      <w:pPr>
        <w:spacing w:line="360" w:lineRule="auto"/>
        <w:ind w:firstLine="240" w:firstLineChars="100"/>
        <w:rPr>
          <w:rFonts w:hint="eastAsia" w:ascii="宋体" w:hAnsi="宋体" w:eastAsia="宋体" w:cs="宋体"/>
          <w:bCs/>
          <w:sz w:val="24"/>
          <w:szCs w:val="24"/>
          <w:highlight w:val="none"/>
        </w:rPr>
      </w:pPr>
      <w:bookmarkStart w:id="920" w:name="_Toc351203591"/>
      <w:r>
        <w:rPr>
          <w:rFonts w:hint="eastAsia" w:ascii="宋体" w:hAnsi="宋体" w:eastAsia="宋体" w:cs="宋体"/>
          <w:bCs/>
          <w:sz w:val="24"/>
          <w:szCs w:val="24"/>
          <w:highlight w:val="none"/>
        </w:rPr>
        <w:t>13.5 施工期运行</w:t>
      </w:r>
      <w:bookmarkEnd w:id="920"/>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13.5.2 在施工期运行中发现工程或工程设备损坏或存在缺陷的，由承包人按第15.2款〔缺陷责任期〕约定进行修复。</w:t>
      </w:r>
    </w:p>
    <w:p>
      <w:pPr>
        <w:spacing w:line="360" w:lineRule="auto"/>
        <w:ind w:firstLine="240" w:firstLineChars="100"/>
        <w:rPr>
          <w:rFonts w:hint="eastAsia" w:ascii="宋体" w:hAnsi="宋体" w:eastAsia="宋体" w:cs="宋体"/>
          <w:bCs/>
          <w:sz w:val="24"/>
          <w:szCs w:val="24"/>
          <w:highlight w:val="none"/>
        </w:rPr>
      </w:pPr>
      <w:bookmarkStart w:id="921" w:name="_Toc296346613"/>
      <w:bookmarkStart w:id="922" w:name="_Toc296503112"/>
      <w:bookmarkStart w:id="923" w:name="_Toc351203592"/>
      <w:bookmarkStart w:id="924" w:name="_Toc337558809"/>
      <w:r>
        <w:rPr>
          <w:rFonts w:hint="eastAsia" w:ascii="宋体" w:hAnsi="宋体" w:eastAsia="宋体" w:cs="宋体"/>
          <w:bCs/>
          <w:sz w:val="24"/>
          <w:szCs w:val="24"/>
          <w:highlight w:val="none"/>
        </w:rPr>
        <w:t>13.6 竣工退</w:t>
      </w:r>
      <w:bookmarkEnd w:id="921"/>
      <w:bookmarkEnd w:id="922"/>
      <w:r>
        <w:rPr>
          <w:rFonts w:hint="eastAsia" w:ascii="宋体" w:hAnsi="宋体" w:eastAsia="宋体" w:cs="宋体"/>
          <w:bCs/>
          <w:sz w:val="24"/>
          <w:szCs w:val="24"/>
          <w:highlight w:val="none"/>
        </w:rPr>
        <w:t>场</w:t>
      </w:r>
      <w:bookmarkEnd w:id="923"/>
    </w:p>
    <w:bookmarkEnd w:id="92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13.6.1 竣工退场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颁发工程接收证书后，承包人应按以下要求对施工现场进行清理：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（1）施工现场内残留的垃圾已全部清除出场；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（2）临时工程已拆除，场地已进行清理、平整或复原；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（3）按合同约定应撤离的人员、承包人施工设备和剩余的材料，包括废弃的施工设备和材料，已按计划撤离施工现场；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（4）施工现场周边及其附近道路、河道的施工堆积物，已全部清理；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（5）施工现场其他场地清理工作已全部完成。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13.6.2 地表还原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360" w:lineRule="auto"/>
        <w:rPr>
          <w:rFonts w:hint="eastAsia" w:ascii="宋体" w:hAnsi="宋体" w:eastAsia="宋体" w:cs="宋体"/>
          <w:bCs/>
          <w:sz w:val="24"/>
          <w:szCs w:val="24"/>
          <w:highlight w:val="none"/>
        </w:rPr>
      </w:pPr>
      <w:bookmarkStart w:id="925" w:name="_Toc351203593"/>
      <w:bookmarkStart w:id="926" w:name="_Toc337558810"/>
      <w:bookmarkStart w:id="927" w:name="_Toc296346614"/>
      <w:bookmarkStart w:id="928" w:name="_Toc296503113"/>
      <w:r>
        <w:rPr>
          <w:rFonts w:hint="eastAsia" w:ascii="宋体" w:hAnsi="宋体" w:eastAsia="宋体" w:cs="宋体"/>
          <w:bCs/>
          <w:sz w:val="24"/>
          <w:szCs w:val="24"/>
          <w:highlight w:val="none"/>
        </w:rPr>
        <w:t>14. 竣工结算</w:t>
      </w:r>
      <w:bookmarkEnd w:id="925"/>
    </w:p>
    <w:bookmarkEnd w:id="926"/>
    <w:p>
      <w:pPr>
        <w:spacing w:line="360" w:lineRule="auto"/>
        <w:ind w:firstLine="240" w:firstLineChars="100"/>
        <w:rPr>
          <w:rFonts w:hint="eastAsia" w:ascii="宋体" w:hAnsi="宋体" w:eastAsia="宋体" w:cs="宋体"/>
          <w:bCs/>
          <w:sz w:val="24"/>
          <w:szCs w:val="24"/>
          <w:highlight w:val="none"/>
        </w:rPr>
      </w:pPr>
      <w:bookmarkStart w:id="929" w:name="_Toc351203594"/>
      <w:bookmarkStart w:id="930" w:name="_Toc337558811"/>
      <w:r>
        <w:rPr>
          <w:rFonts w:hint="eastAsia" w:ascii="宋体" w:hAnsi="宋体" w:eastAsia="宋体" w:cs="宋体"/>
          <w:bCs/>
          <w:sz w:val="24"/>
          <w:szCs w:val="24"/>
          <w:highlight w:val="none"/>
        </w:rPr>
        <w:t>14.1 竣工结算申请</w:t>
      </w:r>
      <w:bookmarkEnd w:id="929"/>
    </w:p>
    <w:bookmarkEnd w:id="93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除专用合同条款另有约定外，竣工结算申请单应包括以下内容：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（1）竣工结算合同价格；</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（2）发包人已支付承包人的款项；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（3）应扣留的质量保证金；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（4）发包人应支付承包人的合同价款。</w:t>
      </w:r>
    </w:p>
    <w:p>
      <w:pPr>
        <w:spacing w:line="360" w:lineRule="auto"/>
        <w:ind w:firstLine="424" w:firstLineChars="177"/>
        <w:rPr>
          <w:rFonts w:hint="eastAsia" w:ascii="宋体" w:hAnsi="宋体" w:eastAsia="宋体" w:cs="宋体"/>
          <w:bCs/>
          <w:sz w:val="24"/>
          <w:szCs w:val="24"/>
          <w:highlight w:val="none"/>
        </w:rPr>
      </w:pPr>
      <w:bookmarkStart w:id="931" w:name="_Toc351203595"/>
      <w:bookmarkStart w:id="932" w:name="_Toc337558812"/>
      <w:r>
        <w:rPr>
          <w:rFonts w:hint="eastAsia" w:ascii="宋体" w:hAnsi="宋体" w:eastAsia="宋体" w:cs="宋体"/>
          <w:bCs/>
          <w:sz w:val="24"/>
          <w:szCs w:val="24"/>
          <w:highlight w:val="none"/>
        </w:rPr>
        <w:t>14.2 竣工结算审核</w:t>
      </w:r>
      <w:bookmarkEnd w:id="931"/>
    </w:p>
    <w:bookmarkEnd w:id="93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60" w:lineRule="auto"/>
        <w:ind w:firstLine="424" w:firstLineChars="177"/>
        <w:rPr>
          <w:rFonts w:hint="eastAsia" w:ascii="宋体" w:hAnsi="宋体" w:eastAsia="宋体" w:cs="宋体"/>
          <w:bCs/>
          <w:sz w:val="24"/>
          <w:szCs w:val="24"/>
          <w:highlight w:val="none"/>
        </w:rPr>
      </w:pPr>
      <w:bookmarkStart w:id="933" w:name="_Toc351203596"/>
      <w:bookmarkStart w:id="934" w:name="_Toc337558813"/>
      <w:r>
        <w:rPr>
          <w:rFonts w:hint="eastAsia" w:ascii="宋体" w:hAnsi="宋体" w:eastAsia="宋体" w:cs="宋体"/>
          <w:bCs/>
          <w:sz w:val="24"/>
          <w:szCs w:val="24"/>
          <w:highlight w:val="none"/>
        </w:rPr>
        <w:t>14.3 甩项竣工协议</w:t>
      </w:r>
      <w:bookmarkEnd w:id="933"/>
    </w:p>
    <w:bookmarkEnd w:id="93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60" w:lineRule="auto"/>
        <w:ind w:firstLine="240" w:firstLineChars="100"/>
        <w:rPr>
          <w:rFonts w:hint="eastAsia" w:ascii="宋体" w:hAnsi="宋体" w:eastAsia="宋体" w:cs="宋体"/>
          <w:bCs/>
          <w:sz w:val="24"/>
          <w:szCs w:val="24"/>
          <w:highlight w:val="none"/>
        </w:rPr>
      </w:pPr>
      <w:bookmarkStart w:id="935" w:name="_Toc351203597"/>
      <w:bookmarkStart w:id="936" w:name="_Toc337558814"/>
      <w:r>
        <w:rPr>
          <w:rFonts w:hint="eastAsia" w:ascii="宋体" w:hAnsi="宋体" w:eastAsia="宋体" w:cs="宋体"/>
          <w:bCs/>
          <w:sz w:val="24"/>
          <w:szCs w:val="24"/>
          <w:highlight w:val="none"/>
        </w:rPr>
        <w:t>14.4 最终结清</w:t>
      </w:r>
      <w:bookmarkEnd w:id="935"/>
    </w:p>
    <w:bookmarkEnd w:id="93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14.4.1 最终结清申请单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（1）除专用合同条款另有约定外，承包人应在缺陷责任期终止证书颁发后7天内，按专用合同条款约定的份数向发包人提交最终结清申请单，并提供相关证明材料。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除专用合同条款另有约定外，最终结清申请单应列明质量保证金、应扣除的质量保证金、缺陷责任期内发生的增减费用。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（2）发包人对最终结清申请单内容有异议的，有权要求承包人进行修正和提供补充资料，承包人应向发包人提交修正后的最终结清申请单。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（3）承包人对发包人颁发的最终结清证书有异议的，按第20条〔争议解决〕的约定办理。</w:t>
      </w:r>
    </w:p>
    <w:p>
      <w:pPr>
        <w:spacing w:line="360" w:lineRule="auto"/>
        <w:rPr>
          <w:rFonts w:hint="eastAsia" w:ascii="宋体" w:hAnsi="宋体" w:eastAsia="宋体" w:cs="宋体"/>
          <w:bCs/>
          <w:sz w:val="24"/>
          <w:szCs w:val="24"/>
          <w:highlight w:val="none"/>
        </w:rPr>
      </w:pPr>
      <w:bookmarkStart w:id="937" w:name="_Toc351203598"/>
      <w:bookmarkStart w:id="938" w:name="_Toc337558815"/>
      <w:r>
        <w:rPr>
          <w:rFonts w:hint="eastAsia" w:ascii="宋体" w:hAnsi="宋体" w:eastAsia="宋体" w:cs="宋体"/>
          <w:bCs/>
          <w:sz w:val="24"/>
          <w:szCs w:val="24"/>
          <w:highlight w:val="none"/>
        </w:rPr>
        <w:t>15. 缺陷责任与保修</w:t>
      </w:r>
      <w:bookmarkEnd w:id="937"/>
    </w:p>
    <w:bookmarkEnd w:id="927"/>
    <w:bookmarkEnd w:id="928"/>
    <w:bookmarkEnd w:id="938"/>
    <w:p>
      <w:pPr>
        <w:spacing w:line="360" w:lineRule="auto"/>
        <w:ind w:firstLine="424" w:firstLineChars="177"/>
        <w:rPr>
          <w:rFonts w:hint="eastAsia" w:ascii="宋体" w:hAnsi="宋体" w:eastAsia="宋体" w:cs="宋体"/>
          <w:bCs/>
          <w:sz w:val="24"/>
          <w:szCs w:val="24"/>
          <w:highlight w:val="none"/>
        </w:rPr>
      </w:pPr>
      <w:bookmarkStart w:id="939" w:name="_Toc351203599"/>
      <w:bookmarkStart w:id="940" w:name="_Toc337558816"/>
      <w:bookmarkStart w:id="941" w:name="_Toc296346615"/>
      <w:bookmarkStart w:id="942" w:name="_Toc296503114"/>
      <w:r>
        <w:rPr>
          <w:rFonts w:hint="eastAsia" w:ascii="宋体" w:hAnsi="宋体" w:eastAsia="宋体" w:cs="宋体"/>
          <w:bCs/>
          <w:sz w:val="24"/>
          <w:szCs w:val="24"/>
          <w:highlight w:val="none"/>
        </w:rPr>
        <w:t>15.1 工程保修的原则</w:t>
      </w:r>
      <w:bookmarkEnd w:id="939"/>
    </w:p>
    <w:bookmarkEnd w:id="94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pPr>
        <w:spacing w:line="360" w:lineRule="auto"/>
        <w:ind w:firstLine="240" w:firstLineChars="100"/>
        <w:rPr>
          <w:rFonts w:hint="eastAsia" w:ascii="宋体" w:hAnsi="宋体" w:eastAsia="宋体" w:cs="宋体"/>
          <w:bCs/>
          <w:sz w:val="24"/>
          <w:szCs w:val="24"/>
          <w:highlight w:val="none"/>
        </w:rPr>
      </w:pPr>
      <w:bookmarkStart w:id="943" w:name="_Toc351203600"/>
      <w:bookmarkStart w:id="944" w:name="_Toc337558817"/>
      <w:r>
        <w:rPr>
          <w:rFonts w:hint="eastAsia" w:ascii="宋体" w:hAnsi="宋体" w:eastAsia="宋体" w:cs="宋体"/>
          <w:bCs/>
          <w:sz w:val="24"/>
          <w:szCs w:val="24"/>
          <w:highlight w:val="none"/>
        </w:rPr>
        <w:t>15.2 缺陷责任期</w:t>
      </w:r>
      <w:bookmarkEnd w:id="941"/>
      <w:bookmarkEnd w:id="942"/>
      <w:bookmarkEnd w:id="943"/>
    </w:p>
    <w:bookmarkEnd w:id="94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15.2.1 缺陷责任期自实际竣工日期起计算，合同当事人应在专用合同条款约定缺陷责任期的具体期限，但该期限最长不超过24个月。</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sz w:val="24"/>
          <w:szCs w:val="24"/>
          <w:highlight w:val="none"/>
        </w:rPr>
        <w:t>包人延长缺陷责任期，</w:t>
      </w:r>
      <w:r>
        <w:rPr>
          <w:rFonts w:hint="eastAsia" w:ascii="宋体" w:hAnsi="宋体" w:eastAsia="宋体" w:cs="宋体"/>
          <w:sz w:val="24"/>
          <w:szCs w:val="24"/>
          <w:highlight w:val="none"/>
        </w:rPr>
        <w:t>并应在原缺陷责任期届满前发出延长通知，</w:t>
      </w:r>
      <w:r>
        <w:rPr>
          <w:rFonts w:hint="eastAsia" w:ascii="宋体" w:hAnsi="宋体" w:eastAsia="宋体" w:cs="宋体"/>
          <w:bCs/>
          <w:sz w:val="24"/>
          <w:szCs w:val="24"/>
          <w:highlight w:val="none"/>
        </w:rPr>
        <w:t>但缺陷责任期最长</w:t>
      </w:r>
      <w:r>
        <w:rPr>
          <w:rFonts w:hint="eastAsia" w:ascii="宋体" w:hAnsi="宋体" w:eastAsia="宋体" w:cs="宋体"/>
          <w:sz w:val="24"/>
          <w:szCs w:val="24"/>
          <w:highlight w:val="none"/>
        </w:rPr>
        <w:t>不能超过24个月。</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60" w:lineRule="auto"/>
        <w:ind w:firstLine="424" w:firstLineChars="177"/>
        <w:rPr>
          <w:rFonts w:hint="eastAsia" w:ascii="宋体" w:hAnsi="宋体" w:eastAsia="宋体" w:cs="宋体"/>
          <w:bCs/>
          <w:sz w:val="24"/>
          <w:szCs w:val="24"/>
          <w:highlight w:val="none"/>
        </w:rPr>
      </w:pPr>
      <w:bookmarkStart w:id="945" w:name="_Toc351203601"/>
      <w:bookmarkStart w:id="946" w:name="_Toc337558818"/>
      <w:bookmarkStart w:id="947" w:name="_Toc296503115"/>
      <w:bookmarkStart w:id="948" w:name="_Toc296346616"/>
      <w:r>
        <w:rPr>
          <w:rFonts w:hint="eastAsia" w:ascii="宋体" w:hAnsi="宋体" w:eastAsia="宋体" w:cs="宋体"/>
          <w:bCs/>
          <w:sz w:val="24"/>
          <w:szCs w:val="24"/>
          <w:highlight w:val="none"/>
        </w:rPr>
        <w:t>15.3 质量保证金</w:t>
      </w:r>
      <w:bookmarkEnd w:id="945"/>
    </w:p>
    <w:bookmarkEnd w:id="94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经合同当事人协商一致扣留质量保证金的，应在专用合同条款中予以明确。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15.3.1 承包人提供质量保证金的方式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承包人提供质量保证金有以下三种方式：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（1）质量保证金保函；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（2）相应比例的工程款；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（3）双方约定的其他方式。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除专用合同条款另有约定外，质量保证金原则上采用上述第（1）种方式。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15.3.2 质量保证金的扣留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质量保证金的扣留有以下三种方式：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（1）在支付工程进度款时逐次扣留，在此情形下，质量保证金的计算基数不包括预付款的支付、扣回以及价格调整的金额；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（2）工</w:t>
      </w:r>
      <w:bookmarkStart w:id="949" w:name="#go6"/>
      <w:bookmarkEnd w:id="949"/>
      <w:r>
        <w:rPr>
          <w:rFonts w:hint="eastAsia" w:ascii="宋体" w:hAnsi="宋体" w:eastAsia="宋体" w:cs="宋体"/>
          <w:sz w:val="24"/>
          <w:szCs w:val="24"/>
          <w:highlight w:val="none"/>
        </w:rPr>
        <w:t>程竣工结算时一次性扣留质量保证金；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（3）双方约定的其他扣留方式。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除专用合同条款另有约定外，质量保证金的扣留原则上采用上述第（1）种方式。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w:t>
      </w:r>
      <w:bookmarkStart w:id="950" w:name="#go4"/>
      <w:bookmarkEnd w:id="950"/>
      <w:r>
        <w:rPr>
          <w:rFonts w:hint="eastAsia" w:ascii="宋体" w:hAnsi="宋体" w:eastAsia="宋体" w:cs="宋体"/>
          <w:sz w:val="24"/>
          <w:szCs w:val="24"/>
          <w:highlight w:val="none"/>
        </w:rPr>
        <w:t>包人累计扣留的质量保证金不得超过结算合同价格的5%，如承包人在发包人签发竣工付款证书后28天内提交质量保证金保函，发包人应同时退还扣留的作为质量保证金的工程价款。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15.3.3 质量保证金的退还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发包人应按14.4款〔最终结清〕的约定退还质量保证金。</w:t>
      </w:r>
    </w:p>
    <w:p>
      <w:pPr>
        <w:spacing w:line="360" w:lineRule="auto"/>
        <w:ind w:firstLine="424" w:firstLineChars="177"/>
        <w:rPr>
          <w:rFonts w:hint="eastAsia" w:ascii="宋体" w:hAnsi="宋体" w:eastAsia="宋体" w:cs="宋体"/>
          <w:bCs/>
          <w:sz w:val="24"/>
          <w:szCs w:val="24"/>
          <w:highlight w:val="none"/>
        </w:rPr>
      </w:pPr>
      <w:bookmarkStart w:id="951" w:name="_Toc351203602"/>
      <w:bookmarkStart w:id="952" w:name="_Toc337558819"/>
      <w:r>
        <w:rPr>
          <w:rFonts w:hint="eastAsia" w:ascii="宋体" w:hAnsi="宋体" w:eastAsia="宋体" w:cs="宋体"/>
          <w:bCs/>
          <w:sz w:val="24"/>
          <w:szCs w:val="24"/>
          <w:highlight w:val="none"/>
        </w:rPr>
        <w:t>15.4 保修</w:t>
      </w:r>
      <w:bookmarkEnd w:id="951"/>
    </w:p>
    <w:bookmarkEnd w:id="947"/>
    <w:bookmarkEnd w:id="948"/>
    <w:bookmarkEnd w:id="95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15.4.1保修责任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发包人未经竣工验收擅自使用工程的，保修期自转移占有之日起算。</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15.4.2 修复费用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保修期内，修复的费用按照以下约定处理：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（1）保修期内，因承包人原因造成工程的缺陷、损坏，承包人应负责修复，并承担修复的费用以及因工程的缺陷、损坏造成的人身伤害和财产损失；</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（2）保修期内，因发包人使用不当造成工程的缺陷、损坏，可以委托承包人修复，但发包人应承担修复的费用，并支付承包人合理利润；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15.4.3 修复通知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15.4.4 未能修复</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15.4.5 承包人出入权</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line="360" w:lineRule="auto"/>
        <w:rPr>
          <w:rFonts w:hint="eastAsia" w:ascii="宋体" w:hAnsi="宋体" w:eastAsia="宋体" w:cs="宋体"/>
          <w:bCs/>
          <w:sz w:val="24"/>
          <w:szCs w:val="24"/>
          <w:highlight w:val="none"/>
        </w:rPr>
      </w:pPr>
      <w:bookmarkStart w:id="953" w:name="_Toc351203603"/>
      <w:bookmarkStart w:id="954" w:name="_Toc337558820"/>
      <w:r>
        <w:rPr>
          <w:rFonts w:hint="eastAsia" w:ascii="宋体" w:hAnsi="宋体" w:eastAsia="宋体" w:cs="宋体"/>
          <w:bCs/>
          <w:sz w:val="24"/>
          <w:szCs w:val="24"/>
          <w:highlight w:val="none"/>
        </w:rPr>
        <w:t>16. 违约</w:t>
      </w:r>
      <w:bookmarkEnd w:id="953"/>
    </w:p>
    <w:bookmarkEnd w:id="954"/>
    <w:p>
      <w:pPr>
        <w:spacing w:line="360" w:lineRule="auto"/>
        <w:ind w:firstLine="424" w:firstLineChars="177"/>
        <w:rPr>
          <w:rFonts w:hint="eastAsia" w:ascii="宋体" w:hAnsi="宋体" w:eastAsia="宋体" w:cs="宋体"/>
          <w:bCs/>
          <w:sz w:val="24"/>
          <w:szCs w:val="24"/>
          <w:highlight w:val="none"/>
        </w:rPr>
      </w:pPr>
      <w:bookmarkStart w:id="955" w:name="_Toc296503129"/>
      <w:bookmarkStart w:id="956" w:name="_Toc296346630"/>
      <w:bookmarkStart w:id="957" w:name="_Toc351203604"/>
      <w:bookmarkStart w:id="958" w:name="_Toc337558821"/>
      <w:r>
        <w:rPr>
          <w:rFonts w:hint="eastAsia" w:ascii="宋体" w:hAnsi="宋体" w:eastAsia="宋体" w:cs="宋体"/>
          <w:bCs/>
          <w:sz w:val="24"/>
          <w:szCs w:val="24"/>
          <w:highlight w:val="none"/>
        </w:rPr>
        <w:t>16.1 发</w:t>
      </w:r>
      <w:bookmarkEnd w:id="955"/>
      <w:bookmarkEnd w:id="956"/>
      <w:r>
        <w:rPr>
          <w:rFonts w:hint="eastAsia" w:ascii="宋体" w:hAnsi="宋体" w:eastAsia="宋体" w:cs="宋体"/>
          <w:bCs/>
          <w:sz w:val="24"/>
          <w:szCs w:val="24"/>
          <w:highlight w:val="none"/>
        </w:rPr>
        <w:t>包人违约</w:t>
      </w:r>
      <w:bookmarkEnd w:id="957"/>
    </w:p>
    <w:bookmarkEnd w:id="95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16.1.1 发包人违约的情形</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在合同履行过程中发生的下列情形，属于发包人违约：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（1）因发包人原因未能在计划开工日期前7天内下达开工通知的；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（2）因发包人原因未能按合同约定支付合同价款的；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（3）发包人违反第10.1款〔变更的范围〕第（2）项约定，自行实施被取消的工作或转由他人实施的；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（4）发包人提供的材料、工程设备的规格、数量或质量不符合合同约定，或因发包人原因导致交货日期延误或交货地点变更等情况的；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（5）因发包人违反合同约定造成暂停施工的；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（6）发包人无正当理由没有在约定期限内发出复工指示，导致承包人无法复工的；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（7）发包人明确表示或者以其行为表明不履行合同主要义务的；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（8）发包人未能按照合同约定履行其他义务的。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16.1.2 发包人违约的责任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16.1.3 因发包人违约解除合同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16.1.4 因发包人违约解除合同后的付款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承包人按照本款约定解除合同的，发包人应在解除合同后28天内支付下列款项，并解除履约担保：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（1）合同解除前所完成工作的价款；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（2）承包人为工程施工订购并已付款的材料、工程设备和其他物品的价款；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（3）承包人撤离施工现场以及遣散承包人人员的款项；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（4）按照合同约定在合同解除前应支付的违约金；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（5）按照合同约定应当支付给承包人的其他款项；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（6）按照合同约定应退还的质量保证金；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（7）因解除合同给承包人造成的损失。</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合同当事人未能就解除合同后的结清达成一致的，按照第20条〔争议解决〕的约定处理。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承包人应妥善做好已完工程和与工程有关的已购材料、工程设备的保护和移交工作，并将施工设备和人员撤出施工现场，发包人应为承包人撤出提供必要条件。</w:t>
      </w:r>
    </w:p>
    <w:p>
      <w:pPr>
        <w:spacing w:line="360" w:lineRule="auto"/>
        <w:ind w:firstLine="424" w:firstLineChars="177"/>
        <w:rPr>
          <w:rFonts w:hint="eastAsia" w:ascii="宋体" w:hAnsi="宋体" w:eastAsia="宋体" w:cs="宋体"/>
          <w:bCs/>
          <w:sz w:val="24"/>
          <w:szCs w:val="24"/>
          <w:highlight w:val="none"/>
        </w:rPr>
      </w:pPr>
      <w:bookmarkStart w:id="959" w:name="_Toc351203605"/>
      <w:bookmarkStart w:id="960" w:name="_Toc337558822"/>
      <w:bookmarkStart w:id="961" w:name="_Toc296346632"/>
      <w:bookmarkStart w:id="962" w:name="_Toc296503131"/>
      <w:r>
        <w:rPr>
          <w:rFonts w:hint="eastAsia" w:ascii="宋体" w:hAnsi="宋体" w:eastAsia="宋体" w:cs="宋体"/>
          <w:bCs/>
          <w:sz w:val="24"/>
          <w:szCs w:val="24"/>
          <w:highlight w:val="none"/>
        </w:rPr>
        <w:t>16.2 承包人违约</w:t>
      </w:r>
      <w:bookmarkEnd w:id="959"/>
    </w:p>
    <w:bookmarkEnd w:id="960"/>
    <w:bookmarkEnd w:id="961"/>
    <w:bookmarkEnd w:id="96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16.2.1 承包人违约的情形</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在合同履行过程中发生的下列情形，属于承包人违约：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（1）承包人违反合同约定进行转包或违法分包的；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（2）承包人违反合同约定采购和使用不合格的材料和工程设备的；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（3）因承包人原因导致工程质量不符合合同要求的；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（4）承包人违反第8.9款〔材料与设备专用要求〕的约定，未经批准，私自将已按照合同约定进入施工现场的材料或设备撤离施工现场的；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（5）承包人未能按施工进度计划及时完成合同约定的工作，造成工期延误的；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（6）承包人在缺陷责任期及保修期内，未能在合理期限对工程缺陷进行修复，或拒绝按发包人要求进行修复的；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（7）承包人明确表示或者以其行为表明不履行合同主要义务的；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（8）承包人未能按照合同约定履行其他义务的。</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承包人发生除本项第（7）目约定以外的其他违约情况时，监理人可向承包人发出整改通知，要求其在指定的期限内改正。</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16.2.2 承包人违约的责任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承包人应承担因其违约行为而增加的费用和（或）延误的工期。此外，合同当事人可在专用合同条款中另行约定承包人违约责任的承担方式和计算方法。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16.2.3 因承包人违约解除合同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16.2.4因承包人违约解除合同后的处理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因承包人原因导致合同解除的，则合同当事人应在合同解除后28天内完成估价、付款和清算，并按以下约定执行：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（1）合同解除后，按第4.4款〔商定或确定〕商定或确定承包人实际完成工作对应的合同价款，以及承包人已提供的材料、工程设备、施工设备和临时工程等的价值；</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（2）合同解除后，承包人应支付的违约金；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（3）合同解除后，因解除合同给发包人造成的损失；</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（4）合同解除后，承包人应按照发包人要求和监理人的指示完成现场的清理和撤离；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（5）发包人和承包人应在合同解除后进行清算，出具最终结清付款证书，结清全部款项。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16.2.5采购合同权益转让</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磋商响应人达成相关的转让协议。</w:t>
      </w:r>
    </w:p>
    <w:p>
      <w:pPr>
        <w:spacing w:line="360" w:lineRule="auto"/>
        <w:ind w:firstLine="424" w:firstLineChars="177"/>
        <w:rPr>
          <w:rFonts w:hint="eastAsia" w:ascii="宋体" w:hAnsi="宋体" w:eastAsia="宋体" w:cs="宋体"/>
          <w:bCs/>
          <w:sz w:val="24"/>
          <w:szCs w:val="24"/>
          <w:highlight w:val="none"/>
        </w:rPr>
      </w:pPr>
      <w:bookmarkStart w:id="963" w:name="_Toc351203606"/>
      <w:r>
        <w:rPr>
          <w:rFonts w:hint="eastAsia" w:ascii="宋体" w:hAnsi="宋体" w:eastAsia="宋体" w:cs="宋体"/>
          <w:bCs/>
          <w:sz w:val="24"/>
          <w:szCs w:val="24"/>
          <w:highlight w:val="none"/>
        </w:rPr>
        <w:t>16.3 第三人造成的违约</w:t>
      </w:r>
      <w:bookmarkEnd w:id="963"/>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在履行合同过程中，一方当事人因第三人的原因造成违约的，应当向对方当事人承担违约责任。一方当事人和第三人之间的纠纷，依照法律规定或者按照约定解决。</w:t>
      </w:r>
    </w:p>
    <w:p>
      <w:pPr>
        <w:spacing w:line="360" w:lineRule="auto"/>
        <w:rPr>
          <w:rFonts w:hint="eastAsia" w:ascii="宋体" w:hAnsi="宋体" w:eastAsia="宋体" w:cs="宋体"/>
          <w:bCs/>
          <w:sz w:val="24"/>
          <w:szCs w:val="24"/>
          <w:highlight w:val="none"/>
        </w:rPr>
      </w:pPr>
      <w:bookmarkStart w:id="964" w:name="_Toc296346617"/>
      <w:bookmarkStart w:id="965" w:name="_Toc337558823"/>
      <w:bookmarkStart w:id="966" w:name="_Toc296503116"/>
      <w:bookmarkStart w:id="967" w:name="_Toc351203607"/>
      <w:r>
        <w:rPr>
          <w:rFonts w:hint="eastAsia" w:ascii="宋体" w:hAnsi="宋体" w:eastAsia="宋体" w:cs="宋体"/>
          <w:bCs/>
          <w:sz w:val="24"/>
          <w:szCs w:val="24"/>
          <w:highlight w:val="none"/>
        </w:rPr>
        <w:t>17. 不可抗力</w:t>
      </w:r>
      <w:bookmarkEnd w:id="964"/>
      <w:bookmarkEnd w:id="965"/>
      <w:bookmarkEnd w:id="966"/>
      <w:bookmarkEnd w:id="967"/>
    </w:p>
    <w:p>
      <w:pPr>
        <w:spacing w:line="360" w:lineRule="auto"/>
        <w:ind w:firstLine="424" w:firstLineChars="177"/>
        <w:rPr>
          <w:rFonts w:hint="eastAsia" w:ascii="宋体" w:hAnsi="宋体" w:eastAsia="宋体" w:cs="宋体"/>
          <w:bCs/>
          <w:sz w:val="24"/>
          <w:szCs w:val="24"/>
          <w:highlight w:val="none"/>
        </w:rPr>
      </w:pPr>
      <w:bookmarkStart w:id="968" w:name="_Toc351203608"/>
      <w:bookmarkStart w:id="969" w:name="_Toc337558824"/>
      <w:bookmarkStart w:id="970" w:name="_Toc296346618"/>
      <w:bookmarkStart w:id="971" w:name="_Toc296503117"/>
      <w:r>
        <w:rPr>
          <w:rFonts w:hint="eastAsia" w:ascii="宋体" w:hAnsi="宋体" w:eastAsia="宋体" w:cs="宋体"/>
          <w:bCs/>
          <w:sz w:val="24"/>
          <w:szCs w:val="24"/>
          <w:highlight w:val="none"/>
        </w:rPr>
        <w:t>17.1 不可抗力的确认</w:t>
      </w:r>
      <w:bookmarkEnd w:id="968"/>
    </w:p>
    <w:bookmarkEnd w:id="969"/>
    <w:bookmarkEnd w:id="970"/>
    <w:bookmarkEnd w:id="971"/>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60" w:lineRule="auto"/>
        <w:ind w:firstLine="424" w:firstLineChars="177"/>
        <w:rPr>
          <w:rFonts w:hint="eastAsia" w:ascii="宋体" w:hAnsi="宋体" w:eastAsia="宋体" w:cs="宋体"/>
          <w:bCs/>
          <w:sz w:val="24"/>
          <w:szCs w:val="24"/>
          <w:highlight w:val="none"/>
        </w:rPr>
      </w:pPr>
      <w:bookmarkStart w:id="972" w:name="_Toc351203609"/>
      <w:bookmarkStart w:id="973" w:name="_Toc296346619"/>
      <w:bookmarkStart w:id="974" w:name="_Toc296503118"/>
      <w:bookmarkStart w:id="975" w:name="_Toc337558825"/>
      <w:r>
        <w:rPr>
          <w:rFonts w:hint="eastAsia" w:ascii="宋体" w:hAnsi="宋体" w:eastAsia="宋体" w:cs="宋体"/>
          <w:bCs/>
          <w:sz w:val="24"/>
          <w:szCs w:val="24"/>
          <w:highlight w:val="none"/>
        </w:rPr>
        <w:t>17.2 不可抗力的通知</w:t>
      </w:r>
      <w:bookmarkEnd w:id="972"/>
    </w:p>
    <w:bookmarkEnd w:id="973"/>
    <w:bookmarkEnd w:id="974"/>
    <w:bookmarkEnd w:id="975"/>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合同一方当事人遇到不可抗力事件，使其履行合同义务受到阻碍时，应立即通知合同另一方当事人和监理人，书面说明不可抗力和受阻碍的详细情况，并提供必要的证明。</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ind w:firstLine="424" w:firstLineChars="177"/>
        <w:rPr>
          <w:rFonts w:hint="eastAsia" w:ascii="宋体" w:hAnsi="宋体" w:eastAsia="宋体" w:cs="宋体"/>
          <w:bCs/>
          <w:sz w:val="24"/>
          <w:szCs w:val="24"/>
          <w:highlight w:val="none"/>
        </w:rPr>
      </w:pPr>
      <w:bookmarkStart w:id="976" w:name="_Toc351203610"/>
      <w:bookmarkStart w:id="977" w:name="_Toc296503119"/>
      <w:bookmarkStart w:id="978" w:name="_Toc337558826"/>
      <w:bookmarkStart w:id="979" w:name="_Toc296346620"/>
      <w:r>
        <w:rPr>
          <w:rFonts w:hint="eastAsia" w:ascii="宋体" w:hAnsi="宋体" w:eastAsia="宋体" w:cs="宋体"/>
          <w:bCs/>
          <w:sz w:val="24"/>
          <w:szCs w:val="24"/>
          <w:highlight w:val="none"/>
        </w:rPr>
        <w:t>17.3 不可抗力后果的承担</w:t>
      </w:r>
      <w:bookmarkEnd w:id="976"/>
    </w:p>
    <w:bookmarkEnd w:id="977"/>
    <w:bookmarkEnd w:id="978"/>
    <w:bookmarkEnd w:id="97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17.3.1 不可抗力引起的后果及造成的损失由合同当事人按照法律规定及合同约定各自承担。不可抗力发生前已完成的工程应当按照合同约定进行计量支付。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17.3.2 不可抗力导致的人员伤亡、财产损失、费用增加和（或）工期延误等后果，由合同当事人按以下原则承担：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（1）永久工程、已运至施工现场的材料和工程设备的损坏，以及因工程损坏造成的第三人人员伤亡和财产损失由发包人承担；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（2）承包人施工设备的损坏由承包人承担；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（3）发包人和承包人承担各自人员伤亡和财产的损失；</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（5）因不可抗力引起或将引起工期延误，发包人要求赶工的，由此增加的赶工费用由发包人承担；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（6）承包人在停工期间按照发包人要求照管、清理和修复工程的费用由发包人承担。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不可抗力发生后，合同当事人均应采取措施尽量避免和减少损失的扩大，任何一方当事人没有采取有效措施导致损失扩大的，应对扩大的损失承担责任。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因合同一方迟延履行合同义务，在迟延履行期间遭遇不可抗力的，不免除其违约责任。</w:t>
      </w:r>
    </w:p>
    <w:p>
      <w:pPr>
        <w:spacing w:line="360" w:lineRule="auto"/>
        <w:ind w:firstLine="424" w:firstLineChars="177"/>
        <w:rPr>
          <w:rFonts w:hint="eastAsia" w:ascii="宋体" w:hAnsi="宋体" w:eastAsia="宋体" w:cs="宋体"/>
          <w:bCs/>
          <w:sz w:val="24"/>
          <w:szCs w:val="24"/>
          <w:highlight w:val="none"/>
        </w:rPr>
      </w:pPr>
      <w:bookmarkStart w:id="980" w:name="_Toc351203611"/>
      <w:bookmarkStart w:id="981" w:name="_Toc337558827"/>
      <w:r>
        <w:rPr>
          <w:rFonts w:hint="eastAsia" w:ascii="宋体" w:hAnsi="宋体" w:eastAsia="宋体" w:cs="宋体"/>
          <w:bCs/>
          <w:sz w:val="24"/>
          <w:szCs w:val="24"/>
          <w:highlight w:val="none"/>
        </w:rPr>
        <w:t>17.4 因不可抗力解除合同</w:t>
      </w:r>
      <w:bookmarkEnd w:id="980"/>
    </w:p>
    <w:bookmarkEnd w:id="981"/>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（1）合同解除前承包人已完成工作的价款；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（2）承包人为工程订购的并已交付给承包人，或承包人有责任接受交付的材料、工程设备和其他物品的价款；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（3）发包人要求承包人退货或解除订货合同而产生的费用，或因不能退货或解除合同而产生的损失；</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（4）承包人撤离施工现场以及遣散承包人人员的费用；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（5）按照合同约定在合同解除前应支付给承包人的其他款项；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（6）扣减承包人按照合同约定应向发包人支付的款项；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（7）双方商定或确定的其他款项。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除专用合同条款另有约定外，合同解除后，发包人应在商定或确定上述款项后28天内完成上述款项的支付。</w:t>
      </w:r>
    </w:p>
    <w:p>
      <w:pPr>
        <w:spacing w:line="360" w:lineRule="auto"/>
        <w:rPr>
          <w:rFonts w:hint="eastAsia" w:ascii="宋体" w:hAnsi="宋体" w:eastAsia="宋体" w:cs="宋体"/>
          <w:bCs/>
          <w:sz w:val="24"/>
          <w:szCs w:val="24"/>
          <w:highlight w:val="none"/>
        </w:rPr>
      </w:pPr>
      <w:bookmarkStart w:id="982" w:name="_Toc351203612"/>
      <w:bookmarkStart w:id="983" w:name="_Toc296346621"/>
      <w:bookmarkStart w:id="984" w:name="_Toc296503120"/>
      <w:bookmarkStart w:id="985" w:name="_Toc337558828"/>
      <w:r>
        <w:rPr>
          <w:rFonts w:hint="eastAsia" w:ascii="宋体" w:hAnsi="宋体" w:eastAsia="宋体" w:cs="宋体"/>
          <w:bCs/>
          <w:sz w:val="24"/>
          <w:szCs w:val="24"/>
          <w:highlight w:val="none"/>
        </w:rPr>
        <w:t>18. 保险</w:t>
      </w:r>
      <w:bookmarkEnd w:id="982"/>
    </w:p>
    <w:bookmarkEnd w:id="983"/>
    <w:bookmarkEnd w:id="984"/>
    <w:bookmarkEnd w:id="985"/>
    <w:p>
      <w:pPr>
        <w:spacing w:line="360" w:lineRule="auto"/>
        <w:ind w:firstLine="424" w:firstLineChars="177"/>
        <w:rPr>
          <w:rFonts w:hint="eastAsia" w:ascii="宋体" w:hAnsi="宋体" w:eastAsia="宋体" w:cs="宋体"/>
          <w:bCs/>
          <w:sz w:val="24"/>
          <w:szCs w:val="24"/>
          <w:highlight w:val="none"/>
        </w:rPr>
      </w:pPr>
      <w:bookmarkStart w:id="986" w:name="_Toc351203613"/>
      <w:bookmarkStart w:id="987" w:name="_Toc337558829"/>
      <w:bookmarkStart w:id="988" w:name="_Toc296346622"/>
      <w:bookmarkStart w:id="989" w:name="_Toc296503121"/>
      <w:r>
        <w:rPr>
          <w:rFonts w:hint="eastAsia" w:ascii="宋体" w:hAnsi="宋体" w:eastAsia="宋体" w:cs="宋体"/>
          <w:bCs/>
          <w:sz w:val="24"/>
          <w:szCs w:val="24"/>
          <w:highlight w:val="none"/>
        </w:rPr>
        <w:t>18.1 工程保险</w:t>
      </w:r>
      <w:bookmarkEnd w:id="986"/>
    </w:p>
    <w:bookmarkEnd w:id="987"/>
    <w:bookmarkEnd w:id="988"/>
    <w:bookmarkEnd w:id="98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除专用合同条款另有约定外，发包人应投保建筑工程一切险或安装工程一切险；发包人委托承包人投保的，因投保产生的保险费和其他相关费用由发包人承担。</w:t>
      </w:r>
    </w:p>
    <w:p>
      <w:pPr>
        <w:spacing w:line="360" w:lineRule="auto"/>
        <w:ind w:firstLine="424" w:firstLineChars="177"/>
        <w:rPr>
          <w:rFonts w:hint="eastAsia" w:ascii="宋体" w:hAnsi="宋体" w:eastAsia="宋体" w:cs="宋体"/>
          <w:bCs/>
          <w:sz w:val="24"/>
          <w:szCs w:val="24"/>
          <w:highlight w:val="none"/>
        </w:rPr>
      </w:pPr>
      <w:bookmarkStart w:id="990" w:name="_Toc351203614"/>
      <w:bookmarkStart w:id="991" w:name="_Toc296346623"/>
      <w:bookmarkStart w:id="992" w:name="_Toc296503122"/>
      <w:bookmarkStart w:id="993" w:name="_Toc337558830"/>
      <w:r>
        <w:rPr>
          <w:rFonts w:hint="eastAsia" w:ascii="宋体" w:hAnsi="宋体" w:eastAsia="宋体" w:cs="宋体"/>
          <w:bCs/>
          <w:sz w:val="24"/>
          <w:szCs w:val="24"/>
          <w:highlight w:val="none"/>
        </w:rPr>
        <w:t>18.2 工伤保险</w:t>
      </w:r>
      <w:bookmarkEnd w:id="990"/>
    </w:p>
    <w:bookmarkEnd w:id="991"/>
    <w:bookmarkEnd w:id="992"/>
    <w:bookmarkEnd w:id="993"/>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pPr>
        <w:spacing w:line="360" w:lineRule="auto"/>
        <w:ind w:firstLine="424" w:firstLineChars="177"/>
        <w:rPr>
          <w:rFonts w:hint="eastAsia" w:ascii="宋体" w:hAnsi="宋体" w:eastAsia="宋体" w:cs="宋体"/>
          <w:bCs/>
          <w:sz w:val="24"/>
          <w:szCs w:val="24"/>
          <w:highlight w:val="none"/>
        </w:rPr>
      </w:pPr>
      <w:bookmarkStart w:id="994" w:name="_Toc351203615"/>
      <w:bookmarkStart w:id="995" w:name="_Toc296346626"/>
      <w:bookmarkStart w:id="996" w:name="_Toc337558831"/>
      <w:bookmarkStart w:id="997" w:name="_Toc296503125"/>
      <w:r>
        <w:rPr>
          <w:rFonts w:hint="eastAsia" w:ascii="宋体" w:hAnsi="宋体" w:eastAsia="宋体" w:cs="宋体"/>
          <w:bCs/>
          <w:sz w:val="24"/>
          <w:szCs w:val="24"/>
          <w:highlight w:val="none"/>
        </w:rPr>
        <w:t>18.3其他保险</w:t>
      </w:r>
      <w:bookmarkEnd w:id="994"/>
    </w:p>
    <w:bookmarkEnd w:id="995"/>
    <w:bookmarkEnd w:id="996"/>
    <w:bookmarkEnd w:id="99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除专用合同条款另有约定外，承包人应为其施工设备等办理财产保险。</w:t>
      </w:r>
    </w:p>
    <w:p>
      <w:pPr>
        <w:spacing w:line="360" w:lineRule="auto"/>
        <w:ind w:firstLine="424" w:firstLineChars="177"/>
        <w:rPr>
          <w:rFonts w:hint="eastAsia" w:ascii="宋体" w:hAnsi="宋体" w:eastAsia="宋体" w:cs="宋体"/>
          <w:bCs/>
          <w:sz w:val="24"/>
          <w:szCs w:val="24"/>
          <w:highlight w:val="none"/>
        </w:rPr>
      </w:pPr>
      <w:bookmarkStart w:id="998" w:name="_Toc351203616"/>
      <w:r>
        <w:rPr>
          <w:rFonts w:hint="eastAsia" w:ascii="宋体" w:hAnsi="宋体" w:eastAsia="宋体" w:cs="宋体"/>
          <w:bCs/>
          <w:sz w:val="24"/>
          <w:szCs w:val="24"/>
          <w:highlight w:val="none"/>
        </w:rPr>
        <w:t>18.4持续保险</w:t>
      </w:r>
      <w:bookmarkEnd w:id="998"/>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合同当事人应与保险人保持联系，使保险人能够随时了解工程实施中的变动，并确保按保险合同条款要求持续保险。</w:t>
      </w:r>
    </w:p>
    <w:p>
      <w:pPr>
        <w:spacing w:line="360" w:lineRule="auto"/>
        <w:ind w:firstLine="424" w:firstLineChars="177"/>
        <w:rPr>
          <w:rFonts w:hint="eastAsia" w:ascii="宋体" w:hAnsi="宋体" w:eastAsia="宋体" w:cs="宋体"/>
          <w:bCs/>
          <w:sz w:val="24"/>
          <w:szCs w:val="24"/>
          <w:highlight w:val="none"/>
        </w:rPr>
      </w:pPr>
      <w:bookmarkStart w:id="999" w:name="_Toc351203617"/>
      <w:bookmarkStart w:id="1000" w:name="_Toc296346627"/>
      <w:bookmarkStart w:id="1001" w:name="_Toc337558832"/>
      <w:bookmarkStart w:id="1002" w:name="_Toc296503126"/>
      <w:r>
        <w:rPr>
          <w:rFonts w:hint="eastAsia" w:ascii="宋体" w:hAnsi="宋体" w:eastAsia="宋体" w:cs="宋体"/>
          <w:bCs/>
          <w:sz w:val="24"/>
          <w:szCs w:val="24"/>
          <w:highlight w:val="none"/>
        </w:rPr>
        <w:t>18.5 保险凭证</w:t>
      </w:r>
      <w:bookmarkEnd w:id="999"/>
    </w:p>
    <w:bookmarkEnd w:id="1000"/>
    <w:bookmarkEnd w:id="1001"/>
    <w:bookmarkEnd w:id="100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合同当事人应及时向另一方当事人提交其已投保的各项保险的凭证和保险单复印件。</w:t>
      </w:r>
    </w:p>
    <w:p>
      <w:pPr>
        <w:spacing w:line="360" w:lineRule="auto"/>
        <w:ind w:firstLine="424" w:firstLineChars="177"/>
        <w:rPr>
          <w:rFonts w:hint="eastAsia" w:ascii="宋体" w:hAnsi="宋体" w:eastAsia="宋体" w:cs="宋体"/>
          <w:bCs/>
          <w:sz w:val="24"/>
          <w:szCs w:val="24"/>
          <w:highlight w:val="none"/>
        </w:rPr>
      </w:pPr>
      <w:bookmarkStart w:id="1003" w:name="_Toc351203618"/>
      <w:bookmarkStart w:id="1004" w:name="_Toc337558833"/>
      <w:bookmarkStart w:id="1005" w:name="_Toc296503127"/>
      <w:bookmarkStart w:id="1006" w:name="_Toc296346628"/>
      <w:r>
        <w:rPr>
          <w:rFonts w:hint="eastAsia" w:ascii="宋体" w:hAnsi="宋体" w:eastAsia="宋体" w:cs="宋体"/>
          <w:bCs/>
          <w:sz w:val="24"/>
          <w:szCs w:val="24"/>
          <w:highlight w:val="none"/>
        </w:rPr>
        <w:t>18.6 未按约定投保的补救</w:t>
      </w:r>
      <w:bookmarkEnd w:id="1003"/>
    </w:p>
    <w:bookmarkEnd w:id="1004"/>
    <w:bookmarkEnd w:id="1005"/>
    <w:bookmarkEnd w:id="100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pPr>
        <w:spacing w:line="360" w:lineRule="auto"/>
        <w:ind w:firstLine="424" w:firstLineChars="177"/>
        <w:rPr>
          <w:rFonts w:hint="eastAsia" w:ascii="宋体" w:hAnsi="宋体" w:eastAsia="宋体" w:cs="宋体"/>
          <w:bCs/>
          <w:sz w:val="24"/>
          <w:szCs w:val="24"/>
          <w:highlight w:val="none"/>
        </w:rPr>
      </w:pPr>
      <w:bookmarkStart w:id="1007" w:name="_Toc351203619"/>
      <w:bookmarkStart w:id="1008" w:name="_Toc337558834"/>
      <w:r>
        <w:rPr>
          <w:rFonts w:hint="eastAsia" w:ascii="宋体" w:hAnsi="宋体" w:eastAsia="宋体" w:cs="宋体"/>
          <w:bCs/>
          <w:sz w:val="24"/>
          <w:szCs w:val="24"/>
          <w:highlight w:val="none"/>
        </w:rPr>
        <w:t>18.7 通知义务</w:t>
      </w:r>
      <w:bookmarkEnd w:id="1007"/>
    </w:p>
    <w:bookmarkEnd w:id="100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保险事故发生时，投保人应按照保险合同规定的条件和期限及时向保险人报告。发包人和承包人应当在知道保险事故发生后及时通知对方。</w:t>
      </w:r>
    </w:p>
    <w:p>
      <w:pPr>
        <w:spacing w:line="360" w:lineRule="auto"/>
        <w:rPr>
          <w:rFonts w:hint="eastAsia" w:ascii="宋体" w:hAnsi="宋体" w:eastAsia="宋体" w:cs="宋体"/>
          <w:bCs/>
          <w:sz w:val="24"/>
          <w:szCs w:val="24"/>
          <w:highlight w:val="none"/>
        </w:rPr>
      </w:pPr>
      <w:bookmarkStart w:id="1009" w:name="_Toc351203620"/>
      <w:bookmarkStart w:id="1010" w:name="_Toc296503140"/>
      <w:bookmarkStart w:id="1011" w:name="_Toc337558835"/>
      <w:bookmarkStart w:id="1012" w:name="_Toc296346641"/>
      <w:r>
        <w:rPr>
          <w:rFonts w:hint="eastAsia" w:ascii="宋体" w:hAnsi="宋体" w:eastAsia="宋体" w:cs="宋体"/>
          <w:bCs/>
          <w:sz w:val="24"/>
          <w:szCs w:val="24"/>
          <w:highlight w:val="none"/>
        </w:rPr>
        <w:t>19. 索赔</w:t>
      </w:r>
      <w:bookmarkEnd w:id="1009"/>
    </w:p>
    <w:bookmarkEnd w:id="1010"/>
    <w:bookmarkEnd w:id="1011"/>
    <w:bookmarkEnd w:id="1012"/>
    <w:p>
      <w:pPr>
        <w:spacing w:line="360" w:lineRule="auto"/>
        <w:ind w:firstLine="424" w:firstLineChars="177"/>
        <w:rPr>
          <w:rFonts w:hint="eastAsia" w:ascii="宋体" w:hAnsi="宋体" w:eastAsia="宋体" w:cs="宋体"/>
          <w:bCs/>
          <w:sz w:val="24"/>
          <w:szCs w:val="24"/>
          <w:highlight w:val="none"/>
        </w:rPr>
      </w:pPr>
      <w:bookmarkStart w:id="1013" w:name="_Toc351203621"/>
      <w:bookmarkStart w:id="1014" w:name="_Toc296503141"/>
      <w:bookmarkStart w:id="1015" w:name="_Toc337558836"/>
      <w:bookmarkStart w:id="1016" w:name="_Toc296346642"/>
      <w:r>
        <w:rPr>
          <w:rFonts w:hint="eastAsia" w:ascii="宋体" w:hAnsi="宋体" w:eastAsia="宋体" w:cs="宋体"/>
          <w:bCs/>
          <w:sz w:val="24"/>
          <w:szCs w:val="24"/>
          <w:highlight w:val="none"/>
        </w:rPr>
        <w:t>19.1承包人的索赔</w:t>
      </w:r>
      <w:bookmarkEnd w:id="1013"/>
    </w:p>
    <w:bookmarkEnd w:id="1014"/>
    <w:bookmarkEnd w:id="1015"/>
    <w:bookmarkEnd w:id="101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根据合同约定，承包人认为有权得到追加付款和（或）延长工期的，应按以下程序向发包人提出索赔：</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（3）索赔事件具有持续影响的，承包人应按合理时间间隔继续递交延续索赔通知，说明持续影响的实际情况和记录，列出累计的追加付款金额和（或）工期延长天数；</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（4）在索赔事件影响结束后28天内，承包人应向监理人递交最终索赔报告，说明最终要求索赔的追加付款金额和（或）延长的工期，并附必要的记录和证明材料。</w:t>
      </w:r>
    </w:p>
    <w:p>
      <w:pPr>
        <w:spacing w:line="360" w:lineRule="auto"/>
        <w:ind w:firstLine="424" w:firstLineChars="177"/>
        <w:rPr>
          <w:rFonts w:hint="eastAsia" w:ascii="宋体" w:hAnsi="宋体" w:eastAsia="宋体" w:cs="宋体"/>
          <w:bCs/>
          <w:sz w:val="24"/>
          <w:szCs w:val="24"/>
          <w:highlight w:val="none"/>
        </w:rPr>
      </w:pPr>
      <w:bookmarkStart w:id="1017" w:name="_Toc351203622"/>
      <w:bookmarkStart w:id="1018" w:name="_Toc337558837"/>
      <w:bookmarkStart w:id="1019" w:name="_Toc296503142"/>
      <w:bookmarkStart w:id="1020" w:name="_Toc296346643"/>
      <w:r>
        <w:rPr>
          <w:rFonts w:hint="eastAsia" w:ascii="宋体" w:hAnsi="宋体" w:eastAsia="宋体" w:cs="宋体"/>
          <w:bCs/>
          <w:sz w:val="24"/>
          <w:szCs w:val="24"/>
          <w:highlight w:val="none"/>
        </w:rPr>
        <w:t>19.2 对承包人索赔的处理</w:t>
      </w:r>
      <w:bookmarkEnd w:id="1017"/>
    </w:p>
    <w:bookmarkEnd w:id="1018"/>
    <w:bookmarkEnd w:id="1019"/>
    <w:bookmarkEnd w:id="102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对承包人索赔的处理如下：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（1）监理人应在收到索赔报告后14天内完成审查并报送发包人。监理人对索赔报告存在异议的，有权要求承包人提交全部原始记录副本；</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（3）承包人接受索赔处理结果的，索赔款项在当期进度款中进行支付；承包人不接受索赔处理结果的，按照第20条〔争议解决〕约定处理。</w:t>
      </w:r>
    </w:p>
    <w:p>
      <w:pPr>
        <w:spacing w:line="360" w:lineRule="auto"/>
        <w:ind w:firstLine="424" w:firstLineChars="177"/>
        <w:rPr>
          <w:rFonts w:hint="eastAsia" w:ascii="宋体" w:hAnsi="宋体" w:eastAsia="宋体" w:cs="宋体"/>
          <w:bCs/>
          <w:sz w:val="24"/>
          <w:szCs w:val="24"/>
          <w:highlight w:val="none"/>
        </w:rPr>
      </w:pPr>
      <w:bookmarkStart w:id="1021" w:name="_Toc351203623"/>
      <w:bookmarkStart w:id="1022" w:name="_Toc296503143"/>
      <w:bookmarkStart w:id="1023" w:name="_Toc337558838"/>
      <w:bookmarkStart w:id="1024" w:name="_Toc296346644"/>
      <w:r>
        <w:rPr>
          <w:rFonts w:hint="eastAsia" w:ascii="宋体" w:hAnsi="宋体" w:eastAsia="宋体" w:cs="宋体"/>
          <w:bCs/>
          <w:sz w:val="24"/>
          <w:szCs w:val="24"/>
          <w:highlight w:val="none"/>
        </w:rPr>
        <w:t>19.3发包人的索赔</w:t>
      </w:r>
      <w:bookmarkEnd w:id="1021"/>
    </w:p>
    <w:bookmarkEnd w:id="1022"/>
    <w:bookmarkEnd w:id="1023"/>
    <w:bookmarkEnd w:id="102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根据合同约定，发包人认为有权得到赔付金额和（或）延长缺陷责任期的，监理人应向承包人发出通知并附有详细的证明。</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60" w:lineRule="auto"/>
        <w:ind w:firstLine="424" w:firstLineChars="177"/>
        <w:rPr>
          <w:rFonts w:hint="eastAsia" w:ascii="宋体" w:hAnsi="宋体" w:eastAsia="宋体" w:cs="宋体"/>
          <w:bCs/>
          <w:sz w:val="24"/>
          <w:szCs w:val="24"/>
          <w:highlight w:val="none"/>
        </w:rPr>
      </w:pPr>
      <w:bookmarkStart w:id="1025" w:name="_Toc351203624"/>
      <w:bookmarkStart w:id="1026" w:name="_Toc337558839"/>
      <w:bookmarkStart w:id="1027" w:name="_Toc296346645"/>
      <w:bookmarkStart w:id="1028" w:name="_Toc296503144"/>
      <w:r>
        <w:rPr>
          <w:rFonts w:hint="eastAsia" w:ascii="宋体" w:hAnsi="宋体" w:eastAsia="宋体" w:cs="宋体"/>
          <w:bCs/>
          <w:sz w:val="24"/>
          <w:szCs w:val="24"/>
          <w:highlight w:val="none"/>
        </w:rPr>
        <w:t>19.4 对发包人索赔的处理</w:t>
      </w:r>
      <w:bookmarkEnd w:id="1025"/>
    </w:p>
    <w:bookmarkEnd w:id="1026"/>
    <w:bookmarkEnd w:id="1027"/>
    <w:bookmarkEnd w:id="102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对发包人索赔的处理如下：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（1）承包人收到发包人提交的索赔报告后，应及时审查索赔报告的内容、查验发包人证明材料；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（2）承包人应在收到索赔报告或有关索赔的进一步证明材料后28天内，将索赔处理结果答复发包人。如果承包人未在上述期限内作出答复的，则视为对发包人索赔要求的认可；</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（3）承包人接受索赔处理结果的，发包人可从应支付给承包人的合同价款中扣除赔付的金额或延长缺陷责任期；发包人不接受索赔处理结果的，按第20条〔争议解决〕约定处理。</w:t>
      </w:r>
    </w:p>
    <w:p>
      <w:pPr>
        <w:spacing w:line="360" w:lineRule="auto"/>
        <w:ind w:firstLine="424" w:firstLineChars="177"/>
        <w:rPr>
          <w:rFonts w:hint="eastAsia" w:ascii="宋体" w:hAnsi="宋体" w:eastAsia="宋体" w:cs="宋体"/>
          <w:bCs/>
          <w:sz w:val="24"/>
          <w:szCs w:val="24"/>
          <w:highlight w:val="none"/>
        </w:rPr>
      </w:pPr>
      <w:bookmarkStart w:id="1029" w:name="_Toc351203625"/>
      <w:r>
        <w:rPr>
          <w:rFonts w:hint="eastAsia" w:ascii="宋体" w:hAnsi="宋体" w:eastAsia="宋体" w:cs="宋体"/>
          <w:bCs/>
          <w:sz w:val="24"/>
          <w:szCs w:val="24"/>
          <w:highlight w:val="none"/>
        </w:rPr>
        <w:t>19.5 提出索赔的期限</w:t>
      </w:r>
      <w:bookmarkEnd w:id="1029"/>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（1）承包人按第14.2款〔竣工结算审核〕约定接收竣工付款证书后，应被视为已无权再提出在工程接收证书颁发前所发生的任何索赔。</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（2）承包人按第14.4款〔最终结清〕提交的最终结清申请单中，只限于提出工程接收证书颁发后发生的索赔。提出索赔的期限自接受最终结清证书时终止。</w:t>
      </w:r>
    </w:p>
    <w:p>
      <w:pPr>
        <w:spacing w:line="360" w:lineRule="auto"/>
        <w:rPr>
          <w:rFonts w:hint="eastAsia" w:ascii="宋体" w:hAnsi="宋体" w:eastAsia="宋体" w:cs="宋体"/>
          <w:bCs/>
          <w:sz w:val="24"/>
          <w:szCs w:val="24"/>
          <w:highlight w:val="none"/>
        </w:rPr>
      </w:pPr>
      <w:bookmarkStart w:id="1030" w:name="_Toc351203626"/>
      <w:r>
        <w:rPr>
          <w:rFonts w:hint="eastAsia" w:ascii="宋体" w:hAnsi="宋体" w:eastAsia="宋体" w:cs="宋体"/>
          <w:bCs/>
          <w:sz w:val="24"/>
          <w:szCs w:val="24"/>
          <w:highlight w:val="none"/>
        </w:rPr>
        <w:t>20</w:t>
      </w:r>
      <w:bookmarkStart w:id="1031" w:name="_Toc296346647"/>
      <w:bookmarkStart w:id="1032" w:name="_Toc296503146"/>
      <w:bookmarkStart w:id="1033" w:name="_Toc337558840"/>
      <w:r>
        <w:rPr>
          <w:rFonts w:hint="eastAsia" w:ascii="宋体" w:hAnsi="宋体" w:eastAsia="宋体" w:cs="宋体"/>
          <w:bCs/>
          <w:sz w:val="24"/>
          <w:szCs w:val="24"/>
          <w:highlight w:val="none"/>
        </w:rPr>
        <w:t>. 争议解决</w:t>
      </w:r>
      <w:bookmarkEnd w:id="1030"/>
    </w:p>
    <w:bookmarkEnd w:id="1031"/>
    <w:bookmarkEnd w:id="1032"/>
    <w:bookmarkEnd w:id="1033"/>
    <w:p>
      <w:pPr>
        <w:spacing w:line="360" w:lineRule="auto"/>
        <w:ind w:firstLine="424" w:firstLineChars="177"/>
        <w:rPr>
          <w:rFonts w:hint="eastAsia" w:ascii="宋体" w:hAnsi="宋体" w:eastAsia="宋体" w:cs="宋体"/>
          <w:bCs/>
          <w:sz w:val="24"/>
          <w:szCs w:val="24"/>
          <w:highlight w:val="none"/>
        </w:rPr>
      </w:pPr>
      <w:bookmarkStart w:id="1034" w:name="_Toc351203627"/>
      <w:bookmarkStart w:id="1035" w:name="_Toc296346648"/>
      <w:bookmarkStart w:id="1036" w:name="_Toc337558841"/>
      <w:bookmarkStart w:id="1037" w:name="_Toc296503147"/>
      <w:r>
        <w:rPr>
          <w:rFonts w:hint="eastAsia" w:ascii="宋体" w:hAnsi="宋体" w:eastAsia="宋体" w:cs="宋体"/>
          <w:bCs/>
          <w:sz w:val="24"/>
          <w:szCs w:val="24"/>
          <w:highlight w:val="none"/>
        </w:rPr>
        <w:t>20.1和解</w:t>
      </w:r>
      <w:bookmarkEnd w:id="1034"/>
    </w:p>
    <w:bookmarkEnd w:id="1035"/>
    <w:bookmarkEnd w:id="1036"/>
    <w:bookmarkEnd w:id="103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合同当事人可以就争议自行和解，自行和解达成协议的经双方签字并盖章后作为合同补充文件，双方均应遵照执行。</w:t>
      </w:r>
    </w:p>
    <w:p>
      <w:pPr>
        <w:spacing w:line="360" w:lineRule="auto"/>
        <w:ind w:firstLine="424" w:firstLineChars="177"/>
        <w:rPr>
          <w:rFonts w:hint="eastAsia" w:ascii="宋体" w:hAnsi="宋体" w:eastAsia="宋体" w:cs="宋体"/>
          <w:bCs/>
          <w:sz w:val="24"/>
          <w:szCs w:val="24"/>
          <w:highlight w:val="none"/>
        </w:rPr>
      </w:pPr>
      <w:bookmarkStart w:id="1038" w:name="_Toc351203628"/>
      <w:r>
        <w:rPr>
          <w:rFonts w:hint="eastAsia" w:ascii="宋体" w:hAnsi="宋体" w:eastAsia="宋体" w:cs="宋体"/>
          <w:bCs/>
          <w:sz w:val="24"/>
          <w:szCs w:val="24"/>
          <w:highlight w:val="none"/>
        </w:rPr>
        <w:t>20</w:t>
      </w:r>
      <w:bookmarkStart w:id="1039" w:name="_Toc337558842"/>
      <w:bookmarkStart w:id="1040" w:name="_Toc296503148"/>
      <w:bookmarkStart w:id="1041" w:name="_Toc296346649"/>
      <w:r>
        <w:rPr>
          <w:rFonts w:hint="eastAsia" w:ascii="宋体" w:hAnsi="宋体" w:eastAsia="宋体" w:cs="宋体"/>
          <w:bCs/>
          <w:sz w:val="24"/>
          <w:szCs w:val="24"/>
          <w:highlight w:val="none"/>
        </w:rPr>
        <w:t>.2调解</w:t>
      </w:r>
      <w:bookmarkEnd w:id="1038"/>
    </w:p>
    <w:bookmarkEnd w:id="1039"/>
    <w:bookmarkEnd w:id="1040"/>
    <w:bookmarkEnd w:id="1041"/>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合同当事人可以就争议请求建设行政主管部门、行业协会或其他第三方进行调解，调解达成协议的，经双方签字并盖章后作为合同补充文件，双方均应遵照执行。</w:t>
      </w:r>
    </w:p>
    <w:p>
      <w:pPr>
        <w:spacing w:line="360" w:lineRule="auto"/>
        <w:ind w:firstLine="424" w:firstLineChars="177"/>
        <w:rPr>
          <w:rFonts w:hint="eastAsia" w:ascii="宋体" w:hAnsi="宋体" w:eastAsia="宋体" w:cs="宋体"/>
          <w:bCs/>
          <w:sz w:val="24"/>
          <w:szCs w:val="24"/>
          <w:highlight w:val="none"/>
        </w:rPr>
      </w:pPr>
      <w:bookmarkStart w:id="1042" w:name="_Toc351203629"/>
      <w:bookmarkStart w:id="1043" w:name="_Toc296346650"/>
      <w:bookmarkStart w:id="1044" w:name="_Toc337558843"/>
      <w:bookmarkStart w:id="1045" w:name="_Toc296503149"/>
      <w:r>
        <w:rPr>
          <w:rFonts w:hint="eastAsia" w:ascii="宋体" w:hAnsi="宋体" w:eastAsia="宋体" w:cs="宋体"/>
          <w:bCs/>
          <w:sz w:val="24"/>
          <w:szCs w:val="24"/>
          <w:highlight w:val="none"/>
        </w:rPr>
        <w:t>20.3争议评审</w:t>
      </w:r>
      <w:bookmarkEnd w:id="1042"/>
    </w:p>
    <w:bookmarkEnd w:id="1043"/>
    <w:bookmarkEnd w:id="1044"/>
    <w:bookmarkEnd w:id="1045"/>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合同当事人在专用合同条款中约定采取争议评审方式解决争议以及评审规则，并按下列约定执行：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20.3.1 争议评审小组的确定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除专用合同条款另有约定外，评审员报酬由发包人和承包人各承担一半。</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20.3.2 争议评审小组的决定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20.3.3 争议评审小组决定的效力</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争议评审小组作出的书面决定经合同当事人签字确认后，对双方具有约束力，双方应遵照执行。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任何一方当事人不接受争议评审小组决定或不履行争议评审小组决定的，双方可选择采用其他争议解决方式。</w:t>
      </w:r>
    </w:p>
    <w:p>
      <w:pPr>
        <w:spacing w:line="360" w:lineRule="auto"/>
        <w:ind w:firstLine="424" w:firstLineChars="177"/>
        <w:rPr>
          <w:rFonts w:hint="eastAsia" w:ascii="宋体" w:hAnsi="宋体" w:eastAsia="宋体" w:cs="宋体"/>
          <w:bCs/>
          <w:sz w:val="24"/>
          <w:szCs w:val="24"/>
          <w:highlight w:val="none"/>
        </w:rPr>
      </w:pPr>
      <w:bookmarkStart w:id="1046" w:name="_Toc351203630"/>
      <w:bookmarkStart w:id="1047" w:name="_Toc296503150"/>
      <w:bookmarkStart w:id="1048" w:name="_Toc337558844"/>
      <w:bookmarkStart w:id="1049" w:name="_Toc296346651"/>
      <w:r>
        <w:rPr>
          <w:rFonts w:hint="eastAsia" w:ascii="宋体" w:hAnsi="宋体" w:eastAsia="宋体" w:cs="宋体"/>
          <w:bCs/>
          <w:sz w:val="24"/>
          <w:szCs w:val="24"/>
          <w:highlight w:val="none"/>
        </w:rPr>
        <w:t>20.4仲裁或诉讼</w:t>
      </w:r>
      <w:bookmarkEnd w:id="1046"/>
    </w:p>
    <w:bookmarkEnd w:id="1047"/>
    <w:bookmarkEnd w:id="1048"/>
    <w:bookmarkEnd w:id="104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因合同及合同有关事项产生的争议，合同当事人可以在专用合同条款中约定以下一种方式解决争议：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（1）向约定的仲裁委员会申请仲裁；</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（2）向有管辖权的人民法院起诉。</w:t>
      </w:r>
    </w:p>
    <w:p>
      <w:pPr>
        <w:spacing w:line="360" w:lineRule="auto"/>
        <w:ind w:firstLine="424" w:firstLineChars="177"/>
        <w:rPr>
          <w:rFonts w:hint="eastAsia" w:ascii="宋体" w:hAnsi="宋体" w:eastAsia="宋体" w:cs="宋体"/>
          <w:bCs/>
          <w:sz w:val="24"/>
          <w:szCs w:val="24"/>
          <w:highlight w:val="none"/>
        </w:rPr>
      </w:pPr>
      <w:bookmarkStart w:id="1050" w:name="_Toc351203631"/>
      <w:bookmarkStart w:id="1051" w:name="_Toc337558845"/>
      <w:bookmarkStart w:id="1052" w:name="_Toc296346653"/>
      <w:bookmarkStart w:id="1053" w:name="_Toc296503152"/>
      <w:r>
        <w:rPr>
          <w:rFonts w:hint="eastAsia" w:ascii="宋体" w:hAnsi="宋体" w:eastAsia="宋体" w:cs="宋体"/>
          <w:bCs/>
          <w:sz w:val="24"/>
          <w:szCs w:val="24"/>
          <w:highlight w:val="none"/>
        </w:rPr>
        <w:t>20.5争议解决条款效力</w:t>
      </w:r>
      <w:bookmarkEnd w:id="1050"/>
    </w:p>
    <w:bookmarkEnd w:id="1051"/>
    <w:bookmarkEnd w:id="1052"/>
    <w:bookmarkEnd w:id="1053"/>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合同有关争议解决的条款独立存在，合同的变更、解除、终止、无效或者被撤销均不影响其效力。 </w:t>
      </w:r>
    </w:p>
    <w:p>
      <w:pPr>
        <w:pStyle w:val="7"/>
        <w:spacing w:line="360" w:lineRule="auto"/>
        <w:ind w:firstLine="426" w:firstLineChars="177"/>
        <w:jc w:val="center"/>
        <w:rPr>
          <w:rFonts w:hint="eastAsia" w:ascii="宋体" w:hAnsi="宋体" w:eastAsia="宋体" w:cs="宋体"/>
          <w:sz w:val="24"/>
          <w:szCs w:val="24"/>
          <w:highlight w:val="none"/>
        </w:rPr>
      </w:pPr>
      <w:bookmarkStart w:id="1054" w:name="_Toc351203632"/>
      <w:r>
        <w:rPr>
          <w:rFonts w:hint="eastAsia" w:ascii="宋体" w:hAnsi="宋体" w:eastAsia="宋体" w:cs="宋体"/>
          <w:sz w:val="24"/>
          <w:szCs w:val="24"/>
          <w:highlight w:val="none"/>
        </w:rPr>
        <w:br w:type="page"/>
      </w:r>
      <w:bookmarkStart w:id="1055" w:name="_Toc23720"/>
      <w:bookmarkStart w:id="1056" w:name="_Toc25956"/>
      <w:bookmarkStart w:id="1057" w:name="_Toc443466955"/>
      <w:bookmarkStart w:id="1058" w:name="_Toc29518"/>
      <w:r>
        <w:rPr>
          <w:rFonts w:hint="eastAsia" w:ascii="宋体" w:hAnsi="宋体" w:eastAsia="宋体" w:cs="宋体"/>
          <w:sz w:val="24"/>
          <w:szCs w:val="24"/>
          <w:highlight w:val="none"/>
        </w:rPr>
        <w:t>第三部分 专用合同条款</w:t>
      </w:r>
      <w:bookmarkEnd w:id="1054"/>
      <w:bookmarkEnd w:id="1055"/>
      <w:bookmarkEnd w:id="1056"/>
      <w:bookmarkEnd w:id="1057"/>
      <w:bookmarkEnd w:id="1058"/>
    </w:p>
    <w:p>
      <w:pPr>
        <w:spacing w:line="360" w:lineRule="auto"/>
        <w:ind w:firstLine="480" w:firstLineChars="200"/>
        <w:rPr>
          <w:rFonts w:hint="eastAsia" w:ascii="宋体" w:hAnsi="宋体" w:eastAsia="宋体" w:cs="宋体"/>
          <w:bCs/>
          <w:sz w:val="24"/>
          <w:szCs w:val="24"/>
          <w:highlight w:val="none"/>
        </w:rPr>
      </w:pPr>
      <w:bookmarkStart w:id="1059" w:name="_Toc351203633"/>
      <w:r>
        <w:rPr>
          <w:rFonts w:hint="eastAsia" w:ascii="宋体" w:hAnsi="宋体" w:eastAsia="宋体" w:cs="宋体"/>
          <w:bCs/>
          <w:sz w:val="24"/>
          <w:szCs w:val="24"/>
          <w:highlight w:val="none"/>
        </w:rPr>
        <w:t>1</w:t>
      </w:r>
      <w:bookmarkStart w:id="1060" w:name="_Toc296347155"/>
      <w:bookmarkStart w:id="1061" w:name="_Toc296503156"/>
      <w:bookmarkStart w:id="1062" w:name="_Toc297048342"/>
      <w:bookmarkStart w:id="1063" w:name="_Toc296891196"/>
      <w:bookmarkStart w:id="1064" w:name="_Toc292559866"/>
      <w:bookmarkStart w:id="1065" w:name="_Toc296890984"/>
      <w:bookmarkStart w:id="1066" w:name="_Toc296944495"/>
      <w:bookmarkStart w:id="1067" w:name="_Toc292559361"/>
      <w:bookmarkStart w:id="1068" w:name="_Toc297120456"/>
      <w:bookmarkStart w:id="1069" w:name="_Toc296346657"/>
      <w:r>
        <w:rPr>
          <w:rFonts w:hint="eastAsia" w:ascii="宋体" w:hAnsi="宋体" w:eastAsia="宋体" w:cs="宋体"/>
          <w:bCs/>
          <w:sz w:val="24"/>
          <w:szCs w:val="24"/>
          <w:highlight w:val="none"/>
        </w:rPr>
        <w:t>. 一般约定</w:t>
      </w:r>
      <w:bookmarkEnd w:id="1059"/>
    </w:p>
    <w:bookmarkEnd w:id="1060"/>
    <w:bookmarkEnd w:id="1061"/>
    <w:bookmarkEnd w:id="1062"/>
    <w:bookmarkEnd w:id="1063"/>
    <w:bookmarkEnd w:id="1064"/>
    <w:bookmarkEnd w:id="1065"/>
    <w:bookmarkEnd w:id="1066"/>
    <w:bookmarkEnd w:id="1067"/>
    <w:bookmarkEnd w:id="1068"/>
    <w:bookmarkEnd w:id="1069"/>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词语定义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1.1.1.10其他合同文件包括：</w:t>
      </w:r>
      <w:r>
        <w:rPr>
          <w:rFonts w:hint="eastAsia" w:ascii="宋体" w:hAnsi="宋体" w:eastAsia="宋体" w:cs="宋体"/>
          <w:sz w:val="24"/>
          <w:szCs w:val="24"/>
          <w:highlight w:val="none"/>
          <w:u w:val="single"/>
        </w:rPr>
        <w:t xml:space="preserve">                      </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 合同当事人及其他相关方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1.1.2.4监理人：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资质类别和等级：</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1.1.2.5 设计人：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资质类别和等级：</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 工程和设备</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1.1.3.7 作为施工现场组成部分的其他场所包括：</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1.1.3.9 永久占地包括：</w:t>
      </w:r>
      <w:r>
        <w:rPr>
          <w:rFonts w:hint="eastAsia" w:ascii="宋体" w:hAnsi="宋体" w:eastAsia="宋体" w:cs="宋体"/>
          <w:sz w:val="24"/>
          <w:szCs w:val="24"/>
          <w:highlight w:val="none"/>
          <w:u w:val="single"/>
        </w:rPr>
        <w:t xml:space="preserve">           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1.1.3.10 临时占地包括：</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1.3法律 </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适用于合同的其他规范性文件：</w:t>
      </w:r>
      <w:r>
        <w:rPr>
          <w:rFonts w:hint="eastAsia" w:ascii="宋体" w:hAnsi="宋体" w:eastAsia="宋体" w:cs="宋体"/>
          <w:sz w:val="24"/>
          <w:szCs w:val="24"/>
          <w:highlight w:val="none"/>
          <w:u w:val="single"/>
        </w:rPr>
        <w:t xml:space="preserve">    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 标准和规范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1.4.1适用于工程的标准规范包括：</w:t>
      </w:r>
      <w:r>
        <w:rPr>
          <w:rFonts w:hint="eastAsia" w:ascii="宋体" w:hAnsi="宋体" w:eastAsia="宋体" w:cs="宋体"/>
          <w:sz w:val="24"/>
          <w:szCs w:val="24"/>
          <w:highlight w:val="none"/>
          <w:u w:val="single"/>
        </w:rPr>
        <w:t>        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1.4.2 发包人提供国外标准、规范的名称：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发包人提供国外标准、规范的份数：；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发包人提供国外标准、规范的名称：。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1.4.3发包人对工程的技术标准和功能要求的特殊要求：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 合同文件的优先顺序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合同文件组成及优先顺序为：</w:t>
      </w:r>
      <w:r>
        <w:rPr>
          <w:rFonts w:hint="eastAsia" w:ascii="宋体" w:hAnsi="宋体" w:eastAsia="宋体" w:cs="宋体"/>
          <w:sz w:val="24"/>
          <w:szCs w:val="24"/>
          <w:highlight w:val="none"/>
          <w:u w:val="single"/>
        </w:rPr>
        <w:t xml:space="preserve"> 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 图纸和承包人文件</w:t>
      </w:r>
      <w:r>
        <w:rPr>
          <w:rFonts w:hint="eastAsia" w:ascii="宋体" w:hAnsi="宋体" w:eastAsia="宋体" w:cs="宋体"/>
          <w:sz w:val="24"/>
          <w:szCs w:val="24"/>
          <w:highlight w:val="none"/>
        </w:rPr>
        <w:tab/>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 图纸的提供</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发包人向承包人提供图纸的期限：</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发包人向承包人提供图纸的数量：</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发包人向承包人提供图纸的内容：</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1.6.4 承包人文件</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需要由承包人提供的文件，包括：</w:t>
      </w:r>
      <w:r>
        <w:rPr>
          <w:rFonts w:hint="eastAsia" w:ascii="宋体" w:hAnsi="宋体" w:eastAsia="宋体" w:cs="宋体"/>
          <w:sz w:val="24"/>
          <w:szCs w:val="24"/>
          <w:highlight w:val="none"/>
          <w:u w:val="single"/>
        </w:rPr>
        <w:t>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承包人提供的文件的期限为：</w:t>
      </w: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承包人提供的文件的数量为：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承包人提供的文件的形式为：</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发包人审批承包人文件的期限：</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1.6.5 现场图纸准备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关于现场图纸准备的约定：</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 联络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1.7.1发包人和承包人应当在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天内将与合同有关的通知、批准、证明、证书、指示、指令、要求、请求、同意、意见、确定和决定等书面函件送达对方当事人。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 发包人接收文件的地点：</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发包人指定的接收人为：</w:t>
      </w: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承包人接收文件的地点：</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承包人指定的接收人为：</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监理人接收文件的地点：</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监理人指定的接收人为：</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1.10 交通运输</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1070" w:name="_Toc303539100"/>
      <w:bookmarkStart w:id="1071" w:name="_Toc312677986"/>
      <w:bookmarkStart w:id="1072" w:name="_Toc300934943"/>
      <w:bookmarkStart w:id="1073" w:name="_Toc318581155"/>
      <w:bookmarkStart w:id="1074" w:name="_Toc304295521"/>
      <w:r>
        <w:rPr>
          <w:rFonts w:hint="eastAsia" w:ascii="宋体" w:hAnsi="宋体" w:eastAsia="宋体" w:cs="宋体"/>
          <w:sz w:val="24"/>
          <w:szCs w:val="24"/>
          <w:highlight w:val="none"/>
        </w:rPr>
        <w:t>.10.1 出入现场的权利</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关于出入现场的权利的约定：</w:t>
      </w:r>
      <w:r>
        <w:rPr>
          <w:rFonts w:hint="eastAsia" w:ascii="宋体" w:hAnsi="宋体" w:eastAsia="宋体" w:cs="宋体"/>
          <w:sz w:val="24"/>
          <w:szCs w:val="24"/>
          <w:highlight w:val="none"/>
          <w:u w:val="single"/>
        </w:rPr>
        <w:t> 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                            </w:t>
      </w:r>
      <w:r>
        <w:rPr>
          <w:rFonts w:hint="eastAsia" w:ascii="宋体" w:hAnsi="宋体" w:eastAsia="宋体" w:cs="宋体"/>
          <w:sz w:val="24"/>
          <w:szCs w:val="24"/>
          <w:highlight w:val="none"/>
        </w:rPr>
        <w:t>。</w:t>
      </w:r>
    </w:p>
    <w:bookmarkEnd w:id="1070"/>
    <w:bookmarkEnd w:id="1071"/>
    <w:bookmarkEnd w:id="1072"/>
    <w:bookmarkEnd w:id="1073"/>
    <w:bookmarkEnd w:id="1074"/>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1075" w:name="_Toc318581156"/>
      <w:bookmarkStart w:id="1076" w:name="_Toc303539101"/>
      <w:bookmarkStart w:id="1077" w:name="_Toc300934944"/>
      <w:bookmarkStart w:id="1078" w:name="_Toc304295522"/>
      <w:bookmarkStart w:id="1079" w:name="_Toc312677987"/>
      <w:r>
        <w:rPr>
          <w:rFonts w:hint="eastAsia" w:ascii="宋体" w:hAnsi="宋体" w:eastAsia="宋体" w:cs="宋体"/>
          <w:sz w:val="24"/>
          <w:szCs w:val="24"/>
          <w:highlight w:val="none"/>
        </w:rPr>
        <w:t>.10.3 场内交通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关于场外交通和场内交通的边界的约定：</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关于发包人向承包人免费提供满足工程施工需要的场内道路和交通设施的约定：</w:t>
      </w:r>
      <w:r>
        <w:rPr>
          <w:rFonts w:hint="eastAsia" w:ascii="宋体" w:hAnsi="宋体" w:eastAsia="宋体" w:cs="宋体"/>
          <w:sz w:val="24"/>
          <w:szCs w:val="24"/>
          <w:highlight w:val="none"/>
          <w:u w:val="single"/>
        </w:rPr>
        <w:t>                                        </w:t>
      </w:r>
      <w:r>
        <w:rPr>
          <w:rFonts w:hint="eastAsia" w:ascii="宋体" w:hAnsi="宋体" w:eastAsia="宋体" w:cs="宋体"/>
          <w:sz w:val="24"/>
          <w:szCs w:val="24"/>
          <w:highlight w:val="none"/>
        </w:rPr>
        <w:t>。</w:t>
      </w:r>
      <w:bookmarkEnd w:id="1075"/>
      <w:bookmarkEnd w:id="1076"/>
      <w:bookmarkEnd w:id="1077"/>
      <w:bookmarkEnd w:id="1078"/>
      <w:bookmarkEnd w:id="1079"/>
      <w:bookmarkStart w:id="1080" w:name="_Toc318581157"/>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1.10.4超大件和超重件的运输</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运输超大件或超重件所需的道路和桥梁临时加固改造费用和其他有关费用由承担。</w:t>
      </w:r>
    </w:p>
    <w:bookmarkEnd w:id="1080"/>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 知识产权</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highlight w:val="none"/>
          <w:u w:val="single"/>
        </w:rPr>
        <w:t>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关于发包人提供的上述文件的使用限制的要求：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1.11.2 关于承包人为实施工程所编制文件的著作权的归属：</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关于承包人提供的上述文件的使用限制的要求：</w:t>
      </w:r>
      <w:r>
        <w:rPr>
          <w:rFonts w:hint="eastAsia" w:ascii="宋体" w:hAnsi="宋体" w:eastAsia="宋体" w:cs="宋体"/>
          <w:sz w:val="24"/>
          <w:szCs w:val="24"/>
          <w:highlight w:val="none"/>
          <w:u w:val="single"/>
        </w:rPr>
        <w:t>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1.11.4 承包人在施工过程中所采用的专利、专有技术、技术秘密的使用费的承担方式：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1.13工程量清单错误的修正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出现工程量清单错误时，是否调整合同价格：</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允许调整合同价格的工程量偏差范围：</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bCs/>
          <w:sz w:val="24"/>
          <w:szCs w:val="24"/>
          <w:highlight w:val="none"/>
        </w:rPr>
      </w:pPr>
      <w:bookmarkStart w:id="1081" w:name="_Toc351203634"/>
      <w:r>
        <w:rPr>
          <w:rFonts w:hint="eastAsia" w:ascii="宋体" w:hAnsi="宋体" w:eastAsia="宋体" w:cs="宋体"/>
          <w:bCs/>
          <w:sz w:val="24"/>
          <w:szCs w:val="24"/>
          <w:highlight w:val="none"/>
        </w:rPr>
        <w:t>2</w:t>
      </w:r>
      <w:bookmarkStart w:id="1082" w:name="_Toc296503157"/>
      <w:bookmarkStart w:id="1083" w:name="_Toc297120457"/>
      <w:bookmarkStart w:id="1084" w:name="_Toc296890985"/>
      <w:bookmarkStart w:id="1085" w:name="_Toc292559362"/>
      <w:bookmarkStart w:id="1086" w:name="_Toc297048343"/>
      <w:bookmarkStart w:id="1087" w:name="_Toc296347156"/>
      <w:bookmarkStart w:id="1088" w:name="_Toc292559867"/>
      <w:bookmarkStart w:id="1089" w:name="_Toc296944496"/>
      <w:bookmarkStart w:id="1090" w:name="_Toc296891197"/>
      <w:bookmarkStart w:id="1091" w:name="_Toc296346658"/>
      <w:r>
        <w:rPr>
          <w:rFonts w:hint="eastAsia" w:ascii="宋体" w:hAnsi="宋体" w:eastAsia="宋体" w:cs="宋体"/>
          <w:bCs/>
          <w:sz w:val="24"/>
          <w:szCs w:val="24"/>
          <w:highlight w:val="none"/>
        </w:rPr>
        <w:t>. 发包人</w:t>
      </w:r>
      <w:bookmarkEnd w:id="1081"/>
    </w:p>
    <w:bookmarkEnd w:id="1082"/>
    <w:bookmarkEnd w:id="1083"/>
    <w:bookmarkEnd w:id="1084"/>
    <w:bookmarkEnd w:id="1085"/>
    <w:bookmarkEnd w:id="1086"/>
    <w:bookmarkEnd w:id="1087"/>
    <w:bookmarkEnd w:id="1088"/>
    <w:bookmarkEnd w:id="1089"/>
    <w:bookmarkEnd w:id="1090"/>
    <w:bookmarkEnd w:id="1091"/>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发包人代表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发包人代表：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发包人对发包人代表的授权范围如下：</w:t>
      </w:r>
      <w:r>
        <w:rPr>
          <w:rFonts w:hint="eastAsia" w:ascii="宋体" w:hAnsi="宋体" w:eastAsia="宋体" w:cs="宋体"/>
          <w:sz w:val="24"/>
          <w:szCs w:val="24"/>
          <w:highlight w:val="none"/>
          <w:u w:val="single"/>
        </w:rPr>
        <w:t>     </w:t>
      </w:r>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2.4 施工现场、施工条件和基础资料的提供</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2.4.1 提供施工现场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关于发包人移交施工现场的期限要求：</w:t>
      </w:r>
      <w:r>
        <w:rPr>
          <w:rFonts w:hint="eastAsia" w:ascii="宋体" w:hAnsi="宋体" w:eastAsia="宋体" w:cs="宋体"/>
          <w:sz w:val="24"/>
          <w:szCs w:val="24"/>
          <w:highlight w:val="none"/>
          <w:u w:val="single"/>
        </w:rPr>
        <w:t xml:space="preserve">                             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2.4.2 提供施工条件</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关于发包人应负责提供施工所需要的条件，包括：</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2.5 资金来源证明及支付担保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发包人提供资金来源证明的期限要求：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发包人是否提供支付担保：</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发包人提供支付担保的形式：</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bCs/>
          <w:sz w:val="24"/>
          <w:szCs w:val="24"/>
          <w:highlight w:val="none"/>
        </w:rPr>
      </w:pPr>
      <w:bookmarkStart w:id="1092" w:name="_Toc351203635"/>
      <w:r>
        <w:rPr>
          <w:rFonts w:hint="eastAsia" w:ascii="宋体" w:hAnsi="宋体" w:eastAsia="宋体" w:cs="宋体"/>
          <w:bCs/>
          <w:sz w:val="24"/>
          <w:szCs w:val="24"/>
          <w:highlight w:val="none"/>
        </w:rPr>
        <w:t>3</w:t>
      </w:r>
      <w:bookmarkStart w:id="1093" w:name="_Toc296347157"/>
      <w:bookmarkStart w:id="1094" w:name="_Toc297048344"/>
      <w:bookmarkStart w:id="1095" w:name="_Toc296503158"/>
      <w:bookmarkStart w:id="1096" w:name="_Toc292559868"/>
      <w:bookmarkStart w:id="1097" w:name="_Toc297120458"/>
      <w:bookmarkStart w:id="1098" w:name="_Toc296891198"/>
      <w:bookmarkStart w:id="1099" w:name="_Toc296944497"/>
      <w:bookmarkStart w:id="1100" w:name="_Toc296346659"/>
      <w:bookmarkStart w:id="1101" w:name="_Toc296890986"/>
      <w:bookmarkStart w:id="1102" w:name="_Toc292559363"/>
      <w:r>
        <w:rPr>
          <w:rFonts w:hint="eastAsia" w:ascii="宋体" w:hAnsi="宋体" w:eastAsia="宋体" w:cs="宋体"/>
          <w:bCs/>
          <w:sz w:val="24"/>
          <w:szCs w:val="24"/>
          <w:highlight w:val="none"/>
        </w:rPr>
        <w:t>. 承包人</w:t>
      </w:r>
      <w:bookmarkEnd w:id="1092"/>
    </w:p>
    <w:bookmarkEnd w:id="1093"/>
    <w:bookmarkEnd w:id="1094"/>
    <w:bookmarkEnd w:id="1095"/>
    <w:bookmarkEnd w:id="1096"/>
    <w:bookmarkEnd w:id="1097"/>
    <w:bookmarkEnd w:id="1098"/>
    <w:bookmarkEnd w:id="1099"/>
    <w:bookmarkEnd w:id="1100"/>
    <w:bookmarkEnd w:id="1101"/>
    <w:bookmarkEnd w:id="110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3.1 承包人的一般义务</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（5）承包人提交的竣工资料的内容：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承包人需要提交的竣工资料套数：。</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承包人提交的竣工资料的费用承担：。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承包人提交的竣工资料移交时间：。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承包人提交的竣工资料形式要求：。</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（6）承包人应履行的其他义务：</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3.2 项目经理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3.2.1 项目经理：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建造师执业资格等级：</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建造师注册证书号：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建造师执业印章号：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安全生产考核合格证书号：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承包人对项目经理的授权范围如下：</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关于项目经理每月在施工现场的时间要求：</w:t>
      </w:r>
      <w:r>
        <w:rPr>
          <w:rFonts w:hint="eastAsia" w:ascii="宋体" w:hAnsi="宋体" w:eastAsia="宋体" w:cs="宋体"/>
          <w:sz w:val="24"/>
          <w:szCs w:val="24"/>
          <w:highlight w:val="none"/>
          <w:u w:val="single"/>
        </w:rPr>
        <w:t xml:space="preserve">        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承包人未提交劳动合同，以及没有为项目经理缴纳社会保险证明的违约责任：</w:t>
      </w:r>
      <w:r>
        <w:rPr>
          <w:rFonts w:hint="eastAsia" w:ascii="宋体" w:hAnsi="宋体" w:eastAsia="宋体" w:cs="宋体"/>
          <w:sz w:val="24"/>
          <w:szCs w:val="24"/>
          <w:highlight w:val="none"/>
          <w:u w:val="single"/>
        </w:rPr>
        <w:t xml:space="preserve">               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项目经理未经批准，擅自离开施工现场的违约责任：</w:t>
      </w:r>
      <w:r>
        <w:rPr>
          <w:rFonts w:hint="eastAsia" w:ascii="宋体" w:hAnsi="宋体" w:eastAsia="宋体" w:cs="宋体"/>
          <w:sz w:val="24"/>
          <w:szCs w:val="24"/>
          <w:highlight w:val="none"/>
          <w:u w:val="single"/>
        </w:rPr>
        <w:t xml:space="preserve">      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3.2.3 承包人擅自更换项目经理的违约责任：</w:t>
      </w:r>
      <w:r>
        <w:rPr>
          <w:rFonts w:hint="eastAsia" w:ascii="宋体" w:hAnsi="宋体" w:eastAsia="宋体" w:cs="宋体"/>
          <w:sz w:val="24"/>
          <w:szCs w:val="24"/>
          <w:highlight w:val="none"/>
          <w:u w:val="single"/>
        </w:rPr>
        <w:t xml:space="preserve">     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3.2.4 承包人无正当理由拒绝更换项目经理的违约责任：</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3.3 承包人人员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3.3.1 承包人提交项目管理机构及施工现场管理人员安排报告的期限：</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3.3.3 承包人无正当理由拒绝撤换主要施工管理人员的违约责任：</w:t>
      </w:r>
      <w:r>
        <w:rPr>
          <w:rFonts w:hint="eastAsia" w:ascii="宋体" w:hAnsi="宋体" w:eastAsia="宋体" w:cs="宋体"/>
          <w:sz w:val="24"/>
          <w:szCs w:val="24"/>
          <w:highlight w:val="none"/>
          <w:u w:val="single"/>
        </w:rPr>
        <w:t xml:space="preserve">  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3.3.4 承包人主要施工管理人员离开施工现场的批准要求：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3.3.5承包人擅自更换主要施工管理人员的违约责任：</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承包人主要施工管理人员擅自离开施工现场的违约责任：</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Start w:id="1103" w:name="_Toc296503159"/>
      <w:bookmarkStart w:id="1104" w:name="_Toc296890987"/>
      <w:bookmarkStart w:id="1105" w:name="_Toc312677988"/>
      <w:bookmarkStart w:id="1106" w:name="_Toc296347158"/>
      <w:bookmarkStart w:id="1107" w:name="_Toc303539102"/>
      <w:bookmarkStart w:id="1108" w:name="_Toc300934945"/>
      <w:bookmarkStart w:id="1109" w:name="_Toc292559364"/>
      <w:bookmarkStart w:id="1110" w:name="_Toc296891199"/>
      <w:bookmarkStart w:id="1111" w:name="_Toc292559869"/>
      <w:bookmarkStart w:id="1112" w:name="_Toc304295523"/>
      <w:bookmarkStart w:id="1113" w:name="_Toc297120459"/>
      <w:bookmarkStart w:id="1114" w:name="_Toc297216151"/>
      <w:bookmarkStart w:id="1115" w:name="_Toc297048345"/>
      <w:bookmarkStart w:id="1116" w:name="_Toc296346660"/>
      <w:bookmarkStart w:id="1117" w:name="_Toc296944498"/>
      <w:bookmarkStart w:id="1118" w:name="_Toc297123492"/>
      <w:r>
        <w:rPr>
          <w:rFonts w:hint="eastAsia" w:ascii="宋体" w:hAnsi="宋体" w:eastAsia="宋体" w:cs="宋体"/>
          <w:sz w:val="24"/>
          <w:szCs w:val="24"/>
          <w:highlight w:val="none"/>
        </w:rPr>
        <w:t>.5 分包</w:t>
      </w:r>
    </w:p>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Start w:id="1119" w:name="_Toc300934946"/>
      <w:bookmarkStart w:id="1120" w:name="_Toc303539103"/>
      <w:bookmarkStart w:id="1121" w:name="_Toc304295524"/>
      <w:bookmarkStart w:id="1122" w:name="_Toc292559365"/>
      <w:bookmarkStart w:id="1123" w:name="_Toc297048346"/>
      <w:bookmarkStart w:id="1124" w:name="_Toc297216152"/>
      <w:bookmarkStart w:id="1125" w:name="_Toc292559870"/>
      <w:bookmarkStart w:id="1126" w:name="_Toc296890988"/>
      <w:bookmarkStart w:id="1127" w:name="_Toc297123493"/>
      <w:bookmarkStart w:id="1128" w:name="_Toc296347159"/>
      <w:bookmarkStart w:id="1129" w:name="_Toc296891200"/>
      <w:bookmarkStart w:id="1130" w:name="_Toc297120460"/>
      <w:bookmarkStart w:id="1131" w:name="_Toc296503160"/>
      <w:bookmarkStart w:id="1132" w:name="_Toc296346661"/>
      <w:bookmarkStart w:id="1133" w:name="_Toc296944499"/>
      <w:bookmarkStart w:id="1134" w:name="_Toc312677989"/>
      <w:bookmarkStart w:id="1135" w:name="_Toc318581158"/>
      <w:r>
        <w:rPr>
          <w:rFonts w:hint="eastAsia" w:ascii="宋体" w:hAnsi="宋体" w:eastAsia="宋体" w:cs="宋体"/>
          <w:sz w:val="24"/>
          <w:szCs w:val="24"/>
          <w:highlight w:val="none"/>
        </w:rPr>
        <w:t>.5.1 分包的一般约定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禁止分包的工程包括：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主体结构、关键性工作的范围：</w:t>
      </w:r>
      <w:r>
        <w:rPr>
          <w:rFonts w:hint="eastAsia" w:ascii="宋体" w:hAnsi="宋体" w:eastAsia="宋体" w:cs="宋体"/>
          <w:sz w:val="24"/>
          <w:szCs w:val="24"/>
          <w:highlight w:val="none"/>
          <w:u w:val="single"/>
        </w:rPr>
        <w:t xml:space="preserve">                      </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Start w:id="1136" w:name="_Toc297048347"/>
      <w:bookmarkStart w:id="1137" w:name="_Toc300934947"/>
      <w:bookmarkStart w:id="1138" w:name="_Toc296346662"/>
      <w:bookmarkStart w:id="1139" w:name="_Toc296890989"/>
      <w:bookmarkStart w:id="1140" w:name="_Toc296347160"/>
      <w:bookmarkStart w:id="1141" w:name="_Toc304295525"/>
      <w:bookmarkStart w:id="1142" w:name="_Toc296944500"/>
      <w:bookmarkStart w:id="1143" w:name="_Toc297120461"/>
      <w:bookmarkStart w:id="1144" w:name="_Toc297123494"/>
      <w:bookmarkStart w:id="1145" w:name="_Toc296503161"/>
      <w:bookmarkStart w:id="1146" w:name="_Toc303539104"/>
      <w:bookmarkStart w:id="1147" w:name="_Toc297216153"/>
      <w:bookmarkStart w:id="1148" w:name="_Toc296891201"/>
    </w:p>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Start w:id="1149" w:name="_Toc318581159"/>
      <w:bookmarkStart w:id="1150" w:name="_Toc312677990"/>
      <w:r>
        <w:rPr>
          <w:rFonts w:hint="eastAsia" w:ascii="宋体" w:hAnsi="宋体" w:eastAsia="宋体" w:cs="宋体"/>
          <w:sz w:val="24"/>
          <w:szCs w:val="24"/>
          <w:highlight w:val="none"/>
        </w:rPr>
        <w:t>.5.2分包的确定</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允许分包的专业工程包括：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其他关于分包的约定：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3.5.4 分包合同价款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关于分包合同价款支付的约定：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bookmarkEnd w:id="1149"/>
    <w:bookmarkEnd w:id="115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3.6 工程照管与成品、半成品保护</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承包人负责照管工程及工程相关的材料、工程设备的起始时间：。</w:t>
      </w:r>
    </w:p>
    <w:p>
      <w:pPr>
        <w:spacing w:line="360" w:lineRule="auto"/>
        <w:ind w:firstLine="424" w:firstLineChars="177"/>
        <w:rPr>
          <w:rFonts w:hint="eastAsia" w:ascii="宋体" w:hAnsi="宋体" w:eastAsia="宋体" w:cs="宋体"/>
          <w:bCs/>
          <w:sz w:val="24"/>
          <w:szCs w:val="24"/>
          <w:highlight w:val="none"/>
        </w:rPr>
      </w:pPr>
      <w:bookmarkStart w:id="1151" w:name="_Toc351203636"/>
      <w:r>
        <w:rPr>
          <w:rFonts w:hint="eastAsia" w:ascii="宋体" w:hAnsi="宋体" w:eastAsia="宋体" w:cs="宋体"/>
          <w:bCs/>
          <w:sz w:val="24"/>
          <w:szCs w:val="24"/>
          <w:highlight w:val="none"/>
        </w:rPr>
        <w:t>4</w:t>
      </w:r>
      <w:bookmarkStart w:id="1152" w:name="_Toc267251413"/>
      <w:bookmarkStart w:id="1153" w:name="_Toc296890990"/>
      <w:bookmarkStart w:id="1154" w:name="_Toc296944501"/>
      <w:bookmarkStart w:id="1155" w:name="_Toc297120462"/>
      <w:bookmarkStart w:id="1156" w:name="_Toc296891202"/>
      <w:bookmarkStart w:id="1157" w:name="_Toc297048348"/>
      <w:bookmarkStart w:id="1158" w:name="_Toc296503162"/>
      <w:bookmarkStart w:id="1159" w:name="_Toc292559366"/>
      <w:bookmarkStart w:id="1160" w:name="_Toc296346663"/>
      <w:bookmarkStart w:id="1161" w:name="_Toc292559871"/>
      <w:bookmarkStart w:id="1162" w:name="_Toc296347161"/>
      <w:r>
        <w:rPr>
          <w:rFonts w:hint="eastAsia" w:ascii="宋体" w:hAnsi="宋体" w:eastAsia="宋体" w:cs="宋体"/>
          <w:bCs/>
          <w:sz w:val="24"/>
          <w:szCs w:val="24"/>
          <w:highlight w:val="none"/>
        </w:rPr>
        <w:t>. 监</w:t>
      </w:r>
      <w:bookmarkEnd w:id="1152"/>
      <w:bookmarkEnd w:id="1153"/>
      <w:bookmarkEnd w:id="1154"/>
      <w:bookmarkEnd w:id="1155"/>
      <w:bookmarkEnd w:id="1156"/>
      <w:bookmarkEnd w:id="1157"/>
      <w:bookmarkEnd w:id="1158"/>
      <w:bookmarkEnd w:id="1159"/>
      <w:bookmarkEnd w:id="1160"/>
      <w:bookmarkEnd w:id="1161"/>
      <w:bookmarkEnd w:id="1162"/>
      <w:r>
        <w:rPr>
          <w:rFonts w:hint="eastAsia" w:ascii="宋体" w:hAnsi="宋体" w:eastAsia="宋体" w:cs="宋体"/>
          <w:bCs/>
          <w:sz w:val="24"/>
          <w:szCs w:val="24"/>
          <w:highlight w:val="none"/>
        </w:rPr>
        <w:t>理人</w:t>
      </w:r>
      <w:bookmarkEnd w:id="1151"/>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4.1监理人的一般规定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关于监理人的监理内容：。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关于监理人的监理权限：。 </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关于监理人在施工现场的办公场所、生活场所的提供和费用承担的约定：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4.2 监理人员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总监理工程师：</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监理工程师执业资格证书号：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关于监理人的其他约定：</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4.4 商定或确定</w:t>
      </w:r>
    </w:p>
    <w:p>
      <w:pPr>
        <w:spacing w:line="360" w:lineRule="auto"/>
        <w:ind w:firstLine="424" w:firstLineChars="177"/>
        <w:rPr>
          <w:rFonts w:hint="eastAsia" w:ascii="宋体" w:hAnsi="宋体" w:eastAsia="宋体" w:cs="宋体"/>
          <w:sz w:val="24"/>
          <w:szCs w:val="24"/>
          <w:highlight w:val="none"/>
        </w:rPr>
      </w:pPr>
      <w:bookmarkStart w:id="1163" w:name="_Toc267251418"/>
      <w:r>
        <w:rPr>
          <w:rFonts w:hint="eastAsia" w:ascii="宋体" w:hAnsi="宋体" w:eastAsia="宋体" w:cs="宋体"/>
          <w:sz w:val="24"/>
          <w:szCs w:val="24"/>
          <w:highlight w:val="none"/>
        </w:rPr>
        <w:t>在发包人和承包人不能通过协商达成一致意见时，发包人授权监理人对以下事项进行确定：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w:t>
      </w:r>
    </w:p>
    <w:p>
      <w:pPr>
        <w:spacing w:line="360" w:lineRule="auto"/>
        <w:ind w:firstLine="424" w:firstLineChars="177"/>
        <w:rPr>
          <w:rFonts w:hint="eastAsia" w:ascii="宋体" w:hAnsi="宋体" w:eastAsia="宋体" w:cs="宋体"/>
          <w:bCs/>
          <w:sz w:val="24"/>
          <w:szCs w:val="24"/>
          <w:highlight w:val="none"/>
        </w:rPr>
      </w:pPr>
      <w:bookmarkStart w:id="1164" w:name="_Toc351203637"/>
      <w:r>
        <w:rPr>
          <w:rFonts w:hint="eastAsia" w:ascii="宋体" w:hAnsi="宋体" w:eastAsia="宋体" w:cs="宋体"/>
          <w:bCs/>
          <w:sz w:val="24"/>
          <w:szCs w:val="24"/>
          <w:highlight w:val="none"/>
        </w:rPr>
        <w:t>5</w:t>
      </w:r>
      <w:bookmarkEnd w:id="1163"/>
      <w:bookmarkStart w:id="1165" w:name="_Toc297120463"/>
      <w:bookmarkStart w:id="1166" w:name="_Toc297048349"/>
      <w:bookmarkStart w:id="1167" w:name="_Toc296891203"/>
      <w:bookmarkStart w:id="1168" w:name="_Toc296890991"/>
      <w:bookmarkStart w:id="1169" w:name="_Toc296503163"/>
      <w:bookmarkStart w:id="1170" w:name="_Toc296944502"/>
      <w:bookmarkStart w:id="1171" w:name="_Toc292559367"/>
      <w:bookmarkStart w:id="1172" w:name="_Toc296347162"/>
      <w:bookmarkStart w:id="1173" w:name="_Toc296346664"/>
      <w:bookmarkStart w:id="1174" w:name="_Toc292559872"/>
      <w:r>
        <w:rPr>
          <w:rFonts w:hint="eastAsia" w:ascii="宋体" w:hAnsi="宋体" w:eastAsia="宋体" w:cs="宋体"/>
          <w:bCs/>
          <w:sz w:val="24"/>
          <w:szCs w:val="24"/>
          <w:highlight w:val="none"/>
        </w:rPr>
        <w:t>. 工程质量</w:t>
      </w:r>
      <w:bookmarkEnd w:id="1164"/>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5.1 质量要求</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5</w:t>
      </w:r>
      <w:bookmarkStart w:id="1175" w:name="_Toc297216155"/>
      <w:bookmarkStart w:id="1176" w:name="_Toc297123496"/>
      <w:bookmarkStart w:id="1177" w:name="_Toc300934949"/>
      <w:bookmarkStart w:id="1178" w:name="_Toc303539106"/>
      <w:bookmarkStart w:id="1179" w:name="_Toc312677997"/>
      <w:bookmarkStart w:id="1180" w:name="_Toc304295527"/>
      <w:bookmarkStart w:id="1181" w:name="_Toc318581164"/>
      <w:r>
        <w:rPr>
          <w:rFonts w:hint="eastAsia" w:ascii="宋体" w:hAnsi="宋体" w:eastAsia="宋体" w:cs="宋体"/>
          <w:sz w:val="24"/>
          <w:szCs w:val="24"/>
          <w:highlight w:val="none"/>
        </w:rPr>
        <w:t>.1.1 特殊质量标准和要求：</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关于工程奖项的约定：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5.3 隐蔽工程检查</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5.3.2承包人提前通知监理人隐蔽工程检查的期限的约定：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监理人不能按时进行检查时，应提前小时提交书面延期要求。</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关于延期最长不得超过：小时。</w:t>
      </w:r>
    </w:p>
    <w:p>
      <w:pPr>
        <w:spacing w:line="360" w:lineRule="auto"/>
        <w:ind w:firstLine="424" w:firstLineChars="177"/>
        <w:rPr>
          <w:rFonts w:hint="eastAsia" w:ascii="宋体" w:hAnsi="宋体" w:eastAsia="宋体" w:cs="宋体"/>
          <w:bCs/>
          <w:sz w:val="24"/>
          <w:szCs w:val="24"/>
          <w:highlight w:val="none"/>
        </w:rPr>
      </w:pPr>
      <w:bookmarkStart w:id="1182" w:name="_Toc351203638"/>
      <w:r>
        <w:rPr>
          <w:rFonts w:hint="eastAsia" w:ascii="宋体" w:hAnsi="宋体" w:eastAsia="宋体" w:cs="宋体"/>
          <w:bCs/>
          <w:sz w:val="24"/>
          <w:szCs w:val="24"/>
          <w:highlight w:val="none"/>
        </w:rPr>
        <w:t>6. 安全文明施工与环境保护</w:t>
      </w:r>
      <w:bookmarkEnd w:id="1182"/>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6.1安全文明施工</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6.1.1 项目安全生产的达标目标及相应事项的约定：</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6.1.4 关于治安保卫的特别约定：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关于编制施工场地治安管理计划的约定：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6.1.5 文明施工</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合同当事人对文明施工的要求：</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6.1.6 关于安全文明施工费支付比例和支付期限的约定：</w:t>
      </w:r>
    </w:p>
    <w:bookmarkEnd w:id="1175"/>
    <w:bookmarkEnd w:id="1176"/>
    <w:bookmarkEnd w:id="1177"/>
    <w:bookmarkEnd w:id="1178"/>
    <w:bookmarkEnd w:id="1179"/>
    <w:bookmarkEnd w:id="1180"/>
    <w:bookmarkEnd w:id="1181"/>
    <w:p>
      <w:pPr>
        <w:spacing w:line="360" w:lineRule="auto"/>
        <w:ind w:firstLine="424" w:firstLineChars="177"/>
        <w:rPr>
          <w:rFonts w:hint="eastAsia" w:ascii="宋体" w:hAnsi="宋体" w:eastAsia="宋体" w:cs="宋体"/>
          <w:bCs/>
          <w:sz w:val="24"/>
          <w:szCs w:val="24"/>
          <w:highlight w:val="none"/>
        </w:rPr>
      </w:pPr>
      <w:bookmarkStart w:id="1183" w:name="_Toc351203639"/>
      <w:r>
        <w:rPr>
          <w:rFonts w:hint="eastAsia" w:ascii="宋体" w:hAnsi="宋体" w:eastAsia="宋体" w:cs="宋体"/>
          <w:bCs/>
          <w:sz w:val="24"/>
          <w:szCs w:val="24"/>
          <w:highlight w:val="none"/>
        </w:rPr>
        <w:t>7. 工期和进度</w:t>
      </w:r>
      <w:bookmarkEnd w:id="1183"/>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7.1 施工组织设计</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7.1.1 合同当事人约定的施工组织设计应包括的其他内容：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7.1.2 施工组织设计的提交和修改</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承包人提交详细施工组织设计的期限的约定：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发包人和监理人在收到详细的施工组织设计后确认或提出修改意见的期限：。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1184" w:name="_Toc297123514"/>
      <w:bookmarkStart w:id="1185" w:name="_Toc297216173"/>
      <w:bookmarkStart w:id="1186" w:name="_Toc300934966"/>
      <w:bookmarkStart w:id="1187" w:name="_Toc312678005"/>
      <w:bookmarkStart w:id="1188" w:name="_Toc303539123"/>
      <w:bookmarkStart w:id="1189" w:name="_Toc312677479"/>
      <w:bookmarkStart w:id="1190" w:name="_Toc304295541"/>
      <w:r>
        <w:rPr>
          <w:rFonts w:hint="eastAsia" w:ascii="宋体" w:hAnsi="宋体" w:eastAsia="宋体" w:cs="宋体"/>
          <w:sz w:val="24"/>
          <w:szCs w:val="24"/>
          <w:highlight w:val="none"/>
        </w:rPr>
        <w:t>.2 施工进度计划</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7.2.2 施工进度计划的修订</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发包人和监理人在收到修订的施工进度计划后确认或提出修改意见的期限：。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7.3 开工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7.3.1 开工准备</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关于承包人提交工程开工报审表的期限：。</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关于发包人应完成的其他开工准备工作及期限：</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关于承包人应完成的其他开工准备工作及期限：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7.3.2开工通知</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因发包人原因造成监理人未能在计划开工日期之日起天内发出开工通知的，承包人有权提出价格调整要求，或者解除合同。</w:t>
      </w:r>
    </w:p>
    <w:bookmarkEnd w:id="1184"/>
    <w:bookmarkEnd w:id="1185"/>
    <w:bookmarkEnd w:id="1186"/>
    <w:bookmarkEnd w:id="1187"/>
    <w:bookmarkEnd w:id="1188"/>
    <w:bookmarkEnd w:id="1189"/>
    <w:bookmarkEnd w:id="119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7.4 测量放线</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7.4.1发包人通过监理人向承包人提供测量基准点、基准线和水准点及其书面资料的期限：。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1191" w:name="_Toc297123516"/>
      <w:bookmarkStart w:id="1192" w:name="_Toc300934968"/>
      <w:bookmarkStart w:id="1193" w:name="_Toc303539125"/>
      <w:bookmarkStart w:id="1194" w:name="_Toc304295546"/>
      <w:bookmarkStart w:id="1195" w:name="_Toc312677484"/>
      <w:bookmarkStart w:id="1196" w:name="_Toc297216175"/>
      <w:bookmarkStart w:id="1197" w:name="_Toc312678010"/>
      <w:r>
        <w:rPr>
          <w:rFonts w:hint="eastAsia" w:ascii="宋体" w:hAnsi="宋体" w:eastAsia="宋体" w:cs="宋体"/>
          <w:sz w:val="24"/>
          <w:szCs w:val="24"/>
          <w:highlight w:val="none"/>
        </w:rPr>
        <w:t>.5 工期延误</w:t>
      </w:r>
    </w:p>
    <w:bookmarkEnd w:id="1191"/>
    <w:bookmarkEnd w:id="1192"/>
    <w:bookmarkEnd w:id="1193"/>
    <w:bookmarkEnd w:id="1194"/>
    <w:bookmarkEnd w:id="1195"/>
    <w:bookmarkEnd w:id="1196"/>
    <w:bookmarkEnd w:id="119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7.5.1 因发包人原因导致工期延误</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（7）因发包人原因导致工期延误的其他情形：</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1198" w:name="_Toc312678012"/>
      <w:bookmarkStart w:id="1199" w:name="_Toc312677486"/>
      <w:bookmarkStart w:id="1200" w:name="_Toc318581169"/>
      <w:bookmarkStart w:id="1201" w:name="_Toc304295548"/>
      <w:bookmarkStart w:id="1202" w:name="_Toc300934970"/>
      <w:bookmarkStart w:id="1203" w:name="_Toc303539127"/>
      <w:bookmarkStart w:id="1204" w:name="_Toc297123518"/>
      <w:bookmarkStart w:id="1205" w:name="_Toc297216177"/>
      <w:r>
        <w:rPr>
          <w:rFonts w:hint="eastAsia" w:ascii="宋体" w:hAnsi="宋体" w:eastAsia="宋体" w:cs="宋体"/>
          <w:sz w:val="24"/>
          <w:szCs w:val="24"/>
          <w:highlight w:val="none"/>
        </w:rPr>
        <w:t>.5.2 因承包人原因导致工期延误</w:t>
      </w:r>
    </w:p>
    <w:bookmarkEnd w:id="1198"/>
    <w:bookmarkEnd w:id="1199"/>
    <w:bookmarkEnd w:id="1200"/>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因</w:t>
      </w:r>
      <w:bookmarkStart w:id="1206" w:name="_Toc312677487"/>
      <w:bookmarkStart w:id="1207" w:name="_Toc318581170"/>
      <w:bookmarkStart w:id="1208" w:name="_Toc312678013"/>
      <w:r>
        <w:rPr>
          <w:rFonts w:hint="eastAsia" w:ascii="宋体" w:hAnsi="宋体" w:eastAsia="宋体" w:cs="宋体"/>
          <w:sz w:val="24"/>
          <w:szCs w:val="24"/>
          <w:highlight w:val="none"/>
        </w:rPr>
        <w:t>承包人原因造成工期延误，逾期竣工违约金的计算方法为：</w:t>
      </w:r>
    </w:p>
    <w:bookmarkEnd w:id="1201"/>
    <w:bookmarkEnd w:id="1202"/>
    <w:bookmarkEnd w:id="1203"/>
    <w:bookmarkEnd w:id="1204"/>
    <w:bookmarkEnd w:id="1205"/>
    <w:bookmarkEnd w:id="1206"/>
    <w:bookmarkEnd w:id="1207"/>
    <w:bookmarkEnd w:id="120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因承包人原因造成工期延误，逾</w:t>
      </w:r>
      <w:bookmarkStart w:id="1209" w:name="_Toc318581171"/>
      <w:bookmarkStart w:id="1210" w:name="_Toc312678014"/>
      <w:r>
        <w:rPr>
          <w:rFonts w:hint="eastAsia" w:ascii="宋体" w:hAnsi="宋体" w:eastAsia="宋体" w:cs="宋体"/>
          <w:sz w:val="24"/>
          <w:szCs w:val="24"/>
          <w:highlight w:val="none"/>
        </w:rPr>
        <w:t>期竣工违约金的上限：</w:t>
      </w:r>
    </w:p>
    <w:bookmarkEnd w:id="1209"/>
    <w:bookmarkEnd w:id="1210"/>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1211" w:name="_Toc304295549"/>
      <w:bookmarkStart w:id="1212" w:name="_Toc297216178"/>
      <w:bookmarkStart w:id="1213" w:name="_Toc303539128"/>
      <w:bookmarkStart w:id="1214" w:name="_Toc300934971"/>
      <w:bookmarkStart w:id="1215" w:name="_Toc312678015"/>
      <w:bookmarkStart w:id="1216" w:name="_Toc297123519"/>
      <w:r>
        <w:rPr>
          <w:rFonts w:hint="eastAsia" w:ascii="宋体" w:hAnsi="宋体" w:eastAsia="宋体" w:cs="宋体"/>
          <w:sz w:val="24"/>
          <w:szCs w:val="24"/>
          <w:highlight w:val="none"/>
        </w:rPr>
        <w:t>.6 不</w:t>
      </w:r>
      <w:bookmarkEnd w:id="1211"/>
      <w:bookmarkEnd w:id="1212"/>
      <w:bookmarkEnd w:id="1213"/>
      <w:bookmarkEnd w:id="1214"/>
      <w:bookmarkEnd w:id="1215"/>
      <w:bookmarkEnd w:id="1216"/>
      <w:r>
        <w:rPr>
          <w:rFonts w:hint="eastAsia" w:ascii="宋体" w:hAnsi="宋体" w:eastAsia="宋体" w:cs="宋体"/>
          <w:sz w:val="24"/>
          <w:szCs w:val="24"/>
          <w:highlight w:val="none"/>
        </w:rPr>
        <w:t>利物质条件</w:t>
      </w:r>
    </w:p>
    <w:p>
      <w:pPr>
        <w:spacing w:line="360" w:lineRule="auto"/>
        <w:ind w:firstLine="424" w:firstLineChars="177"/>
        <w:rPr>
          <w:rFonts w:hint="eastAsia" w:ascii="宋体" w:hAnsi="宋体" w:eastAsia="宋体" w:cs="宋体"/>
          <w:sz w:val="24"/>
          <w:szCs w:val="24"/>
          <w:highlight w:val="none"/>
          <w:u w:val="single"/>
        </w:rPr>
      </w:pPr>
      <w:bookmarkStart w:id="1217" w:name="_Toc297216179"/>
      <w:bookmarkStart w:id="1218" w:name="_Toc318581172"/>
      <w:bookmarkStart w:id="1219" w:name="_Toc303539129"/>
      <w:bookmarkStart w:id="1220" w:name="_Toc300934972"/>
      <w:bookmarkStart w:id="1221" w:name="_Toc312678016"/>
      <w:bookmarkStart w:id="1222" w:name="_Toc297123520"/>
      <w:bookmarkStart w:id="1223" w:name="_Toc304295550"/>
      <w:r>
        <w:rPr>
          <w:rFonts w:hint="eastAsia" w:ascii="宋体" w:hAnsi="宋体" w:eastAsia="宋体" w:cs="宋体"/>
          <w:sz w:val="24"/>
          <w:szCs w:val="24"/>
          <w:highlight w:val="none"/>
        </w:rPr>
        <w:t>不利物质条件的其他情形和有关约定：</w:t>
      </w:r>
    </w:p>
    <w:bookmarkEnd w:id="1217"/>
    <w:bookmarkEnd w:id="1218"/>
    <w:bookmarkEnd w:id="1219"/>
    <w:bookmarkEnd w:id="1220"/>
    <w:bookmarkEnd w:id="1221"/>
    <w:bookmarkEnd w:id="1222"/>
    <w:bookmarkEnd w:id="1223"/>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1224" w:name="_Toc304295551"/>
      <w:bookmarkStart w:id="1225" w:name="_Toc297216180"/>
      <w:bookmarkStart w:id="1226" w:name="_Toc303539130"/>
      <w:bookmarkStart w:id="1227" w:name="_Toc297123521"/>
      <w:bookmarkStart w:id="1228" w:name="_Toc300934973"/>
      <w:bookmarkStart w:id="1229" w:name="_Toc312678017"/>
      <w:r>
        <w:rPr>
          <w:rFonts w:hint="eastAsia" w:ascii="宋体" w:hAnsi="宋体" w:eastAsia="宋体" w:cs="宋体"/>
          <w:sz w:val="24"/>
          <w:szCs w:val="24"/>
          <w:highlight w:val="none"/>
        </w:rPr>
        <w:t>.7异常恶劣的气候条件</w:t>
      </w:r>
    </w:p>
    <w:bookmarkEnd w:id="1224"/>
    <w:bookmarkEnd w:id="1225"/>
    <w:bookmarkEnd w:id="1226"/>
    <w:bookmarkEnd w:id="1227"/>
    <w:bookmarkEnd w:id="1228"/>
    <w:bookmarkEnd w:id="122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发包人和承包人同意以下情形视为异常恶劣的气候条件：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7.9 提前竣工的奖励</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7.9.2提前竣工的奖励：。</w:t>
      </w:r>
    </w:p>
    <w:p>
      <w:pPr>
        <w:spacing w:line="360" w:lineRule="auto"/>
        <w:ind w:firstLine="424" w:firstLineChars="177"/>
        <w:rPr>
          <w:rFonts w:hint="eastAsia" w:ascii="宋体" w:hAnsi="宋体" w:eastAsia="宋体" w:cs="宋体"/>
          <w:bCs/>
          <w:sz w:val="24"/>
          <w:szCs w:val="24"/>
          <w:highlight w:val="none"/>
        </w:rPr>
      </w:pPr>
      <w:bookmarkStart w:id="1230" w:name="_Toc351203640"/>
      <w:r>
        <w:rPr>
          <w:rFonts w:hint="eastAsia" w:ascii="宋体" w:hAnsi="宋体" w:eastAsia="宋体" w:cs="宋体"/>
          <w:bCs/>
          <w:sz w:val="24"/>
          <w:szCs w:val="24"/>
          <w:highlight w:val="none"/>
        </w:rPr>
        <w:t>8. 材料与设备</w:t>
      </w:r>
      <w:bookmarkEnd w:id="1230"/>
    </w:p>
    <w:bookmarkEnd w:id="1165"/>
    <w:bookmarkEnd w:id="1166"/>
    <w:bookmarkEnd w:id="1167"/>
    <w:bookmarkEnd w:id="1168"/>
    <w:bookmarkEnd w:id="1169"/>
    <w:bookmarkEnd w:id="1170"/>
    <w:bookmarkEnd w:id="1171"/>
    <w:bookmarkEnd w:id="1172"/>
    <w:bookmarkEnd w:id="1173"/>
    <w:bookmarkEnd w:id="117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w:t>
      </w:r>
      <w:bookmarkStart w:id="1231" w:name="_Toc300934979"/>
      <w:bookmarkStart w:id="1232" w:name="_Toc312678019"/>
      <w:bookmarkStart w:id="1233" w:name="_Toc280868654"/>
      <w:bookmarkStart w:id="1234" w:name="_Toc303539136"/>
      <w:bookmarkStart w:id="1235" w:name="_Toc297123527"/>
      <w:bookmarkStart w:id="1236" w:name="_Toc296944506"/>
      <w:bookmarkStart w:id="1237" w:name="_Toc296890995"/>
      <w:bookmarkStart w:id="1238" w:name="_Toc296346668"/>
      <w:bookmarkStart w:id="1239" w:name="_Toc292559877"/>
      <w:bookmarkStart w:id="1240" w:name="_Toc292559372"/>
      <w:bookmarkStart w:id="1241" w:name="_Toc296503167"/>
      <w:bookmarkStart w:id="1242" w:name="_Toc297120467"/>
      <w:bookmarkStart w:id="1243" w:name="_Toc297048353"/>
      <w:bookmarkStart w:id="1244" w:name="_Toc296891207"/>
      <w:bookmarkStart w:id="1245" w:name="_Toc297216186"/>
      <w:bookmarkStart w:id="1246" w:name="_Toc312677493"/>
      <w:bookmarkStart w:id="1247" w:name="_Toc296347166"/>
      <w:bookmarkStart w:id="1248" w:name="_Toc304295556"/>
      <w:bookmarkStart w:id="1249" w:name="_Toc280868656"/>
      <w:bookmarkStart w:id="1250" w:name="_Toc267251424"/>
      <w:bookmarkStart w:id="1251" w:name="_Toc280868655"/>
      <w:r>
        <w:rPr>
          <w:rFonts w:hint="eastAsia" w:ascii="宋体" w:hAnsi="宋体" w:eastAsia="宋体" w:cs="宋体"/>
          <w:sz w:val="24"/>
          <w:szCs w:val="24"/>
          <w:highlight w:val="none"/>
        </w:rPr>
        <w:t>.4材料与工程设备的保管与使用</w:t>
      </w:r>
    </w:p>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8</w:t>
      </w:r>
      <w:bookmarkStart w:id="1252" w:name="_Toc292559878"/>
      <w:bookmarkStart w:id="1253" w:name="_Toc292559373"/>
      <w:bookmarkStart w:id="1254" w:name="_Toc300934980"/>
      <w:bookmarkStart w:id="1255" w:name="_Toc296347167"/>
      <w:bookmarkStart w:id="1256" w:name="_Toc296891208"/>
      <w:bookmarkStart w:id="1257" w:name="_Toc297120468"/>
      <w:bookmarkStart w:id="1258" w:name="_Toc312678020"/>
      <w:bookmarkStart w:id="1259" w:name="_Toc296890996"/>
      <w:bookmarkStart w:id="1260" w:name="_Toc296346669"/>
      <w:bookmarkStart w:id="1261" w:name="_Toc296944507"/>
      <w:bookmarkStart w:id="1262" w:name="_Toc297216187"/>
      <w:bookmarkStart w:id="1263" w:name="_Toc318581173"/>
      <w:bookmarkStart w:id="1264" w:name="_Toc297123528"/>
      <w:bookmarkStart w:id="1265" w:name="_Toc304295557"/>
      <w:bookmarkStart w:id="1266" w:name="_Toc303539137"/>
      <w:bookmarkStart w:id="1267" w:name="_Toc312677494"/>
      <w:bookmarkStart w:id="1268" w:name="_Toc296503168"/>
      <w:bookmarkStart w:id="1269" w:name="_Toc297048354"/>
      <w:r>
        <w:rPr>
          <w:rFonts w:hint="eastAsia" w:ascii="宋体" w:hAnsi="宋体" w:eastAsia="宋体" w:cs="宋体"/>
          <w:sz w:val="24"/>
          <w:szCs w:val="24"/>
          <w:highlight w:val="none"/>
        </w:rPr>
        <w:t>.4.1发包人供应的材料设备的保管费用的承担：</w:t>
      </w:r>
    </w:p>
    <w:bookmarkEnd w:id="1252"/>
    <w:bookmarkEnd w:id="1253"/>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8.6 样品</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8.6.1</w:t>
      </w:r>
      <w:r>
        <w:rPr>
          <w:rFonts w:hint="eastAsia" w:ascii="宋体" w:hAnsi="宋体" w:eastAsia="宋体" w:cs="宋体"/>
          <w:sz w:val="24"/>
          <w:szCs w:val="24"/>
          <w:highlight w:val="none"/>
        </w:rPr>
        <w:tab/>
      </w:r>
      <w:r>
        <w:rPr>
          <w:rFonts w:hint="eastAsia" w:ascii="宋体" w:hAnsi="宋体" w:eastAsia="宋体" w:cs="宋体"/>
          <w:sz w:val="24"/>
          <w:szCs w:val="24"/>
          <w:highlight w:val="none"/>
        </w:rPr>
        <w:t>样品的报送与封存</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需要承包人报送样品的材料或工程设备，样品的种类、名称、规格、数量要求：</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8.8 施工设备和临时设施</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8.8.1 承包人提供的施工设备和临时设施</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关于修建临时设施费用承担的约定：</w:t>
      </w:r>
    </w:p>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Pr>
        <w:spacing w:line="360" w:lineRule="auto"/>
        <w:ind w:firstLine="424" w:firstLineChars="177"/>
        <w:rPr>
          <w:rFonts w:hint="eastAsia" w:ascii="宋体" w:hAnsi="宋体" w:eastAsia="宋体" w:cs="宋体"/>
          <w:bCs/>
          <w:sz w:val="24"/>
          <w:szCs w:val="24"/>
          <w:highlight w:val="none"/>
        </w:rPr>
      </w:pPr>
      <w:bookmarkStart w:id="1270" w:name="_Toc351203641"/>
      <w:r>
        <w:rPr>
          <w:rFonts w:hint="eastAsia" w:ascii="宋体" w:hAnsi="宋体" w:eastAsia="宋体" w:cs="宋体"/>
          <w:bCs/>
          <w:sz w:val="24"/>
          <w:szCs w:val="24"/>
          <w:highlight w:val="none"/>
        </w:rPr>
        <w:t>9</w:t>
      </w:r>
      <w:bookmarkEnd w:id="1249"/>
      <w:bookmarkEnd w:id="1250"/>
      <w:bookmarkEnd w:id="1251"/>
      <w:bookmarkStart w:id="1271" w:name="_Toc303539139"/>
      <w:bookmarkStart w:id="1272" w:name="_Toc312678021"/>
      <w:bookmarkStart w:id="1273" w:name="_Toc297216192"/>
      <w:bookmarkStart w:id="1274" w:name="_Toc300934982"/>
      <w:bookmarkStart w:id="1275" w:name="_Toc304295559"/>
      <w:bookmarkStart w:id="1276" w:name="_Toc312677495"/>
      <w:bookmarkStart w:id="1277" w:name="_Toc297123533"/>
      <w:bookmarkStart w:id="1278" w:name="_Toc296503173"/>
      <w:bookmarkStart w:id="1279" w:name="_Toc297048359"/>
      <w:bookmarkStart w:id="1280" w:name="_Toc296891001"/>
      <w:bookmarkStart w:id="1281" w:name="_Toc267251427"/>
      <w:bookmarkStart w:id="1282" w:name="_Toc296891213"/>
      <w:bookmarkStart w:id="1283" w:name="_Toc292559883"/>
      <w:bookmarkStart w:id="1284" w:name="_Toc296346674"/>
      <w:bookmarkStart w:id="1285" w:name="_Toc296347172"/>
      <w:bookmarkStart w:id="1286" w:name="_Toc267251428"/>
      <w:bookmarkStart w:id="1287" w:name="_Toc292559378"/>
      <w:bookmarkStart w:id="1288" w:name="_Toc296944512"/>
      <w:bookmarkStart w:id="1289" w:name="_Toc297120473"/>
      <w:r>
        <w:rPr>
          <w:rFonts w:hint="eastAsia" w:ascii="宋体" w:hAnsi="宋体" w:eastAsia="宋体" w:cs="宋体"/>
          <w:bCs/>
          <w:sz w:val="24"/>
          <w:szCs w:val="24"/>
          <w:highlight w:val="none"/>
        </w:rPr>
        <w:t>. 试验与检验</w:t>
      </w:r>
      <w:bookmarkEnd w:id="1270"/>
    </w:p>
    <w:bookmarkEnd w:id="1271"/>
    <w:bookmarkEnd w:id="1272"/>
    <w:bookmarkEnd w:id="1273"/>
    <w:bookmarkEnd w:id="1274"/>
    <w:bookmarkEnd w:id="1275"/>
    <w:bookmarkEnd w:id="1276"/>
    <w:bookmarkEnd w:id="127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9</w:t>
      </w:r>
      <w:bookmarkStart w:id="1290" w:name="_Toc303539140"/>
      <w:bookmarkStart w:id="1291" w:name="_Toc297216193"/>
      <w:bookmarkStart w:id="1292" w:name="_Toc312678022"/>
      <w:bookmarkStart w:id="1293" w:name="_Toc304295560"/>
      <w:bookmarkStart w:id="1294" w:name="_Toc297123534"/>
      <w:bookmarkStart w:id="1295" w:name="_Toc312677496"/>
      <w:bookmarkStart w:id="1296" w:name="_Toc300934983"/>
      <w:r>
        <w:rPr>
          <w:rFonts w:hint="eastAsia" w:ascii="宋体" w:hAnsi="宋体" w:eastAsia="宋体" w:cs="宋体"/>
          <w:sz w:val="24"/>
          <w:szCs w:val="24"/>
          <w:highlight w:val="none"/>
        </w:rPr>
        <w:t>.1试验设备与试验人员</w:t>
      </w:r>
    </w:p>
    <w:bookmarkEnd w:id="1290"/>
    <w:bookmarkEnd w:id="1291"/>
    <w:bookmarkEnd w:id="1292"/>
    <w:bookmarkEnd w:id="1293"/>
    <w:bookmarkEnd w:id="1294"/>
    <w:bookmarkEnd w:id="1295"/>
    <w:bookmarkEnd w:id="129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9</w:t>
      </w:r>
      <w:bookmarkStart w:id="1297" w:name="_Toc304295561"/>
      <w:bookmarkStart w:id="1298" w:name="_Toc312678023"/>
      <w:bookmarkStart w:id="1299" w:name="_Toc297123535"/>
      <w:bookmarkStart w:id="1300" w:name="_Toc297216194"/>
      <w:bookmarkStart w:id="1301" w:name="_Toc300934984"/>
      <w:bookmarkStart w:id="1302" w:name="_Toc303539141"/>
      <w:bookmarkStart w:id="1303" w:name="_Toc312677497"/>
      <w:bookmarkStart w:id="1304" w:name="_Toc318581174"/>
      <w:r>
        <w:rPr>
          <w:rFonts w:hint="eastAsia" w:ascii="宋体" w:hAnsi="宋体" w:eastAsia="宋体" w:cs="宋体"/>
          <w:sz w:val="24"/>
          <w:szCs w:val="24"/>
          <w:highlight w:val="none"/>
        </w:rPr>
        <w:t>.1.2 试验设备</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施工现场需要配置的试验场所：</w:t>
      </w:r>
      <w:bookmarkEnd w:id="1297"/>
      <w:bookmarkEnd w:id="1298"/>
      <w:bookmarkEnd w:id="1299"/>
      <w:bookmarkEnd w:id="1300"/>
      <w:bookmarkEnd w:id="1301"/>
      <w:bookmarkEnd w:id="1302"/>
      <w:bookmarkEnd w:id="1303"/>
      <w:bookmarkStart w:id="1305" w:name="_Toc312678024"/>
      <w:bookmarkStart w:id="1306" w:name="_Toc300934985"/>
      <w:bookmarkStart w:id="1307" w:name="_Toc297123536"/>
      <w:bookmarkStart w:id="1308" w:name="_Toc304295562"/>
      <w:bookmarkStart w:id="1309" w:name="_Toc297216195"/>
      <w:bookmarkStart w:id="1310" w:name="_Toc303539142"/>
      <w:bookmarkStart w:id="1311" w:name="_Toc312677498"/>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施工现场需要配备的试验设备：</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施工现场需要具备的其他试验条件：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9.4 现场工艺试验 </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现场工艺试验的有关约定：</w:t>
      </w:r>
    </w:p>
    <w:bookmarkEnd w:id="1304"/>
    <w:bookmarkEnd w:id="1305"/>
    <w:bookmarkEnd w:id="1306"/>
    <w:bookmarkEnd w:id="1307"/>
    <w:bookmarkEnd w:id="1308"/>
    <w:bookmarkEnd w:id="1309"/>
    <w:bookmarkEnd w:id="1310"/>
    <w:bookmarkEnd w:id="1311"/>
    <w:p>
      <w:pPr>
        <w:spacing w:line="360" w:lineRule="auto"/>
        <w:ind w:firstLine="424" w:firstLineChars="177"/>
        <w:rPr>
          <w:rFonts w:hint="eastAsia" w:ascii="宋体" w:hAnsi="宋体" w:eastAsia="宋体" w:cs="宋体"/>
          <w:bCs/>
          <w:sz w:val="24"/>
          <w:szCs w:val="24"/>
          <w:highlight w:val="none"/>
        </w:rPr>
      </w:pPr>
      <w:bookmarkStart w:id="1312" w:name="_Toc351203642"/>
      <w:r>
        <w:rPr>
          <w:rFonts w:hint="eastAsia" w:ascii="宋体" w:hAnsi="宋体" w:eastAsia="宋体" w:cs="宋体"/>
          <w:bCs/>
          <w:sz w:val="24"/>
          <w:szCs w:val="24"/>
          <w:highlight w:val="none"/>
        </w:rPr>
        <w:t>1</w:t>
      </w:r>
      <w:bookmarkEnd w:id="1278"/>
      <w:bookmarkEnd w:id="1279"/>
      <w:bookmarkEnd w:id="1280"/>
      <w:bookmarkEnd w:id="1281"/>
      <w:bookmarkEnd w:id="1282"/>
      <w:bookmarkEnd w:id="1283"/>
      <w:bookmarkEnd w:id="1284"/>
      <w:bookmarkEnd w:id="1285"/>
      <w:bookmarkEnd w:id="1286"/>
      <w:bookmarkEnd w:id="1287"/>
      <w:bookmarkEnd w:id="1288"/>
      <w:bookmarkEnd w:id="1289"/>
      <w:bookmarkStart w:id="1313" w:name="_Toc300934989"/>
      <w:bookmarkStart w:id="1314" w:name="_Toc296891233"/>
      <w:bookmarkStart w:id="1315" w:name="_Toc303539146"/>
      <w:bookmarkStart w:id="1316" w:name="_Toc296944532"/>
      <w:bookmarkStart w:id="1317" w:name="_Toc297216199"/>
      <w:bookmarkStart w:id="1318" w:name="_Toc297048379"/>
      <w:bookmarkStart w:id="1319" w:name="_Toc297120493"/>
      <w:bookmarkStart w:id="1320" w:name="_Toc297123540"/>
      <w:bookmarkStart w:id="1321" w:name="_Toc296891021"/>
      <w:bookmarkStart w:id="1322" w:name="_Toc296347192"/>
      <w:bookmarkStart w:id="1323" w:name="_Toc304295566"/>
      <w:bookmarkStart w:id="1324" w:name="_Toc296346694"/>
      <w:bookmarkStart w:id="1325" w:name="_Toc296503193"/>
      <w:bookmarkStart w:id="1326" w:name="_Toc292559398"/>
      <w:bookmarkStart w:id="1327" w:name="_Toc292559903"/>
      <w:bookmarkStart w:id="1328" w:name="_Toc312678025"/>
      <w:bookmarkStart w:id="1329" w:name="_Toc312677499"/>
      <w:bookmarkStart w:id="1330" w:name="_Toc267251435"/>
      <w:bookmarkStart w:id="1331" w:name="_Toc267251441"/>
      <w:bookmarkStart w:id="1332" w:name="_Toc267251440"/>
      <w:bookmarkStart w:id="1333" w:name="_Toc267251437"/>
      <w:bookmarkStart w:id="1334" w:name="_Toc267251433"/>
      <w:bookmarkStart w:id="1335" w:name="_Toc267251439"/>
      <w:bookmarkStart w:id="1336" w:name="_Toc267251442"/>
      <w:r>
        <w:rPr>
          <w:rFonts w:hint="eastAsia" w:ascii="宋体" w:hAnsi="宋体" w:eastAsia="宋体" w:cs="宋体"/>
          <w:bCs/>
          <w:sz w:val="24"/>
          <w:szCs w:val="24"/>
          <w:highlight w:val="none"/>
        </w:rPr>
        <w:t>0. 变更</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bookmarkEnd w:id="1328"/>
    <w:bookmarkEnd w:id="132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1337" w:name="_Toc297048380"/>
      <w:bookmarkStart w:id="1338" w:name="_Toc296346695"/>
      <w:bookmarkStart w:id="1339" w:name="_Toc296891022"/>
      <w:bookmarkStart w:id="1340" w:name="_Toc297120494"/>
      <w:bookmarkStart w:id="1341" w:name="_Toc297216200"/>
      <w:bookmarkStart w:id="1342" w:name="_Toc296347193"/>
      <w:bookmarkStart w:id="1343" w:name="_Toc296891234"/>
      <w:bookmarkStart w:id="1344" w:name="_Toc304295567"/>
      <w:bookmarkStart w:id="1345" w:name="_Toc297123541"/>
      <w:bookmarkStart w:id="1346" w:name="_Toc292559399"/>
      <w:bookmarkStart w:id="1347" w:name="_Toc296944533"/>
      <w:bookmarkStart w:id="1348" w:name="_Toc300934990"/>
      <w:bookmarkStart w:id="1349" w:name="_Toc296503194"/>
      <w:bookmarkStart w:id="1350" w:name="_Toc312677500"/>
      <w:bookmarkStart w:id="1351" w:name="_Toc292559904"/>
      <w:bookmarkStart w:id="1352" w:name="_Toc312678026"/>
      <w:bookmarkStart w:id="1353" w:name="_Toc303539147"/>
      <w:r>
        <w:rPr>
          <w:rFonts w:hint="eastAsia" w:ascii="宋体" w:hAnsi="宋体" w:eastAsia="宋体" w:cs="宋体"/>
          <w:sz w:val="24"/>
          <w:szCs w:val="24"/>
          <w:highlight w:val="none"/>
        </w:rPr>
        <w:t>0.1变更的范围</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关于变更的范围的约定：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10.4 变更估价</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10.4.1 变更估价原则</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关于变更估价的约定: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Start w:id="1354" w:name="_Toc296944536"/>
      <w:bookmarkStart w:id="1355" w:name="_Toc296891237"/>
      <w:bookmarkStart w:id="1356" w:name="_Toc297120497"/>
      <w:bookmarkStart w:id="1357" w:name="_Toc296891025"/>
      <w:bookmarkStart w:id="1358" w:name="_Toc297123544"/>
      <w:bookmarkStart w:id="1359" w:name="_Toc296503197"/>
      <w:bookmarkStart w:id="1360" w:name="_Toc292559402"/>
      <w:bookmarkStart w:id="1361" w:name="_Toc303539150"/>
      <w:bookmarkStart w:id="1362" w:name="_Toc297048383"/>
      <w:bookmarkStart w:id="1363" w:name="_Toc300934993"/>
      <w:bookmarkStart w:id="1364" w:name="_Toc296346698"/>
      <w:bookmarkStart w:id="1365" w:name="_Toc297216203"/>
      <w:bookmarkStart w:id="1366" w:name="_Toc296347196"/>
      <w:bookmarkStart w:id="1367" w:name="_Toc292559907"/>
      <w:bookmarkStart w:id="1368" w:name="_Toc312678029"/>
      <w:bookmarkStart w:id="1369" w:name="_Toc304295570"/>
      <w:bookmarkStart w:id="1370" w:name="_Toc312677503"/>
      <w:r>
        <w:rPr>
          <w:rFonts w:hint="eastAsia" w:ascii="宋体" w:hAnsi="宋体" w:eastAsia="宋体" w:cs="宋体"/>
          <w:sz w:val="24"/>
          <w:szCs w:val="24"/>
          <w:highlight w:val="none"/>
        </w:rPr>
        <w:t>0.5承</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Start w:id="1371" w:name="_Toc296503203"/>
      <w:bookmarkStart w:id="1372" w:name="_Toc300934994"/>
      <w:bookmarkStart w:id="1373" w:name="_Toc296346704"/>
      <w:bookmarkStart w:id="1374" w:name="_Toc296891243"/>
      <w:bookmarkStart w:id="1375" w:name="_Toc297120503"/>
      <w:bookmarkStart w:id="1376" w:name="_Toc297216204"/>
      <w:bookmarkStart w:id="1377" w:name="_Toc296891031"/>
      <w:bookmarkStart w:id="1378" w:name="_Toc297048389"/>
      <w:bookmarkStart w:id="1379" w:name="_Toc292559913"/>
      <w:bookmarkStart w:id="1380" w:name="_Toc296347202"/>
      <w:bookmarkStart w:id="1381" w:name="_Toc296944542"/>
      <w:bookmarkStart w:id="1382" w:name="_Toc297123545"/>
      <w:bookmarkStart w:id="1383" w:name="_Toc292559408"/>
      <w:bookmarkStart w:id="1384" w:name="_Toc303539151"/>
      <w:r>
        <w:rPr>
          <w:rFonts w:hint="eastAsia" w:ascii="宋体" w:hAnsi="宋体" w:eastAsia="宋体" w:cs="宋体"/>
          <w:sz w:val="24"/>
          <w:szCs w:val="24"/>
          <w:highlight w:val="none"/>
        </w:rPr>
        <w:t>包人的合理化建议</w:t>
      </w:r>
    </w:p>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监理人审查承包人合理化建议的期限：。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发包人审批承包人合理化建议的期限：。</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w:t>
      </w:r>
      <w:bookmarkStart w:id="1385" w:name="_Toc297120504"/>
      <w:bookmarkStart w:id="1386" w:name="_Toc297048390"/>
      <w:bookmarkStart w:id="1387" w:name="_Toc312678030"/>
      <w:bookmarkStart w:id="1388" w:name="_Toc297216205"/>
      <w:bookmarkStart w:id="1389" w:name="_Toc297123546"/>
      <w:bookmarkStart w:id="1390" w:name="_Toc296944543"/>
      <w:bookmarkStart w:id="1391" w:name="_Toc312677504"/>
      <w:bookmarkStart w:id="1392" w:name="_Toc318581175"/>
      <w:bookmarkStart w:id="1393" w:name="_Toc300934995"/>
      <w:bookmarkStart w:id="1394" w:name="_Toc296891032"/>
      <w:bookmarkStart w:id="1395" w:name="_Toc292559409"/>
      <w:bookmarkStart w:id="1396" w:name="_Toc304295571"/>
      <w:bookmarkStart w:id="1397" w:name="_Toc296346705"/>
      <w:bookmarkStart w:id="1398" w:name="_Toc296347203"/>
      <w:bookmarkStart w:id="1399" w:name="_Toc303539152"/>
      <w:bookmarkStart w:id="1400" w:name="_Toc296891244"/>
      <w:bookmarkStart w:id="1401" w:name="_Toc296503204"/>
      <w:bookmarkStart w:id="1402" w:name="_Toc292559914"/>
      <w:r>
        <w:rPr>
          <w:rFonts w:hint="eastAsia" w:ascii="宋体" w:hAnsi="宋体" w:eastAsia="宋体" w:cs="宋体"/>
          <w:sz w:val="24"/>
          <w:szCs w:val="24"/>
          <w:highlight w:val="none"/>
        </w:rPr>
        <w:t>包人提出的合理化建议降低了合同价格或者提高了工程经济效益的奖励的方法和金额为：</w:t>
      </w:r>
    </w:p>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1403" w:name="_Toc296891239"/>
      <w:bookmarkStart w:id="1404" w:name="_Toc312677507"/>
      <w:bookmarkStart w:id="1405" w:name="_Toc297120499"/>
      <w:bookmarkStart w:id="1406" w:name="_Toc292559404"/>
      <w:bookmarkStart w:id="1407" w:name="_Toc296503199"/>
      <w:bookmarkStart w:id="1408" w:name="_Toc296891027"/>
      <w:bookmarkStart w:id="1409" w:name="_Toc297216207"/>
      <w:bookmarkStart w:id="1410" w:name="_Toc297123548"/>
      <w:bookmarkStart w:id="1411" w:name="_Toc300934997"/>
      <w:bookmarkStart w:id="1412" w:name="_Toc304295574"/>
      <w:bookmarkStart w:id="1413" w:name="_Toc296944538"/>
      <w:bookmarkStart w:id="1414" w:name="_Toc296347198"/>
      <w:bookmarkStart w:id="1415" w:name="_Toc303539154"/>
      <w:bookmarkStart w:id="1416" w:name="_Toc292559909"/>
      <w:bookmarkStart w:id="1417" w:name="_Toc296346700"/>
      <w:bookmarkStart w:id="1418" w:name="_Toc297048385"/>
      <w:bookmarkStart w:id="1419" w:name="_Toc312678033"/>
      <w:r>
        <w:rPr>
          <w:rFonts w:hint="eastAsia" w:ascii="宋体" w:hAnsi="宋体" w:eastAsia="宋体" w:cs="宋体"/>
          <w:sz w:val="24"/>
          <w:szCs w:val="24"/>
          <w:highlight w:val="none"/>
        </w:rPr>
        <w:t>0.7 暂估价</w:t>
      </w:r>
    </w:p>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暂</w:t>
      </w:r>
      <w:bookmarkStart w:id="1420" w:name="_Toc312678034"/>
      <w:bookmarkStart w:id="1421" w:name="_Toc312677508"/>
      <w:bookmarkStart w:id="1422" w:name="_Toc318581176"/>
      <w:r>
        <w:rPr>
          <w:rFonts w:hint="eastAsia" w:ascii="宋体" w:hAnsi="宋体" w:eastAsia="宋体" w:cs="宋体"/>
          <w:sz w:val="24"/>
          <w:szCs w:val="24"/>
          <w:highlight w:val="none"/>
        </w:rPr>
        <w:t>估价材料和工程设备的明细详见附件11：《暂估价一览表》。</w:t>
      </w:r>
    </w:p>
    <w:bookmarkEnd w:id="1420"/>
    <w:bookmarkEnd w:id="1421"/>
    <w:bookmarkEnd w:id="142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1423" w:name="_Toc312678035"/>
      <w:bookmarkStart w:id="1424" w:name="_Toc318581177"/>
      <w:bookmarkStart w:id="1425" w:name="_Toc312677509"/>
      <w:r>
        <w:rPr>
          <w:rFonts w:hint="eastAsia" w:ascii="宋体" w:hAnsi="宋体" w:eastAsia="宋体" w:cs="宋体"/>
          <w:sz w:val="24"/>
          <w:szCs w:val="24"/>
          <w:highlight w:val="none"/>
        </w:rPr>
        <w:t>0.7.1 依法必须招标的暂估价项目</w:t>
      </w:r>
    </w:p>
    <w:bookmarkEnd w:id="1423"/>
    <w:bookmarkEnd w:id="1424"/>
    <w:bookmarkEnd w:id="1425"/>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对于依法必须招标的暂估价项目的确认和批准采取第种方式确定。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10.7.2 不属于依法必须招标的暂估价项目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对于不属于依法必须招标的暂估价项目的确认和批准采取第 种方式确定。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第3种方式：承包人直接实施的暂估价项目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承包人直接实施的暂估价项目的约定：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10.8 暂列金额</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合同当事人关于暂列金额使用的约定：</w:t>
      </w:r>
    </w:p>
    <w:p>
      <w:pPr>
        <w:spacing w:line="360" w:lineRule="auto"/>
        <w:ind w:firstLine="424" w:firstLineChars="177"/>
        <w:rPr>
          <w:rFonts w:hint="eastAsia" w:ascii="宋体" w:hAnsi="宋体" w:eastAsia="宋体" w:cs="宋体"/>
          <w:bCs/>
          <w:sz w:val="24"/>
          <w:szCs w:val="24"/>
          <w:highlight w:val="none"/>
        </w:rPr>
      </w:pPr>
      <w:bookmarkStart w:id="1426" w:name="_Toc351203643"/>
      <w:r>
        <w:rPr>
          <w:rFonts w:hint="eastAsia" w:ascii="宋体" w:hAnsi="宋体" w:eastAsia="宋体" w:cs="宋体"/>
          <w:bCs/>
          <w:sz w:val="24"/>
          <w:szCs w:val="24"/>
          <w:highlight w:val="none"/>
        </w:rPr>
        <w:t>11. 价格调整</w:t>
      </w:r>
      <w:bookmarkEnd w:id="1426"/>
    </w:p>
    <w:p>
      <w:pPr>
        <w:spacing w:line="360" w:lineRule="auto"/>
        <w:ind w:firstLine="424" w:firstLineChars="177"/>
        <w:rPr>
          <w:rFonts w:hint="eastAsia" w:ascii="宋体" w:hAnsi="宋体" w:eastAsia="宋体" w:cs="宋体"/>
          <w:sz w:val="24"/>
          <w:szCs w:val="24"/>
          <w:highlight w:val="none"/>
        </w:rPr>
      </w:pPr>
      <w:bookmarkStart w:id="1427" w:name="_Toc312678039"/>
      <w:bookmarkStart w:id="1428" w:name="_Toc297216209"/>
      <w:bookmarkStart w:id="1429" w:name="_Toc303539157"/>
      <w:bookmarkStart w:id="1430" w:name="_Toc292559406"/>
      <w:bookmarkStart w:id="1431" w:name="_Toc297123550"/>
      <w:bookmarkStart w:id="1432" w:name="_Toc304295577"/>
      <w:bookmarkStart w:id="1433" w:name="_Toc296503201"/>
      <w:bookmarkStart w:id="1434" w:name="_Toc296346702"/>
      <w:bookmarkStart w:id="1435" w:name="_Toc296891029"/>
      <w:bookmarkStart w:id="1436" w:name="_Toc297120501"/>
      <w:bookmarkStart w:id="1437" w:name="_Toc296944540"/>
      <w:bookmarkStart w:id="1438" w:name="_Toc296347200"/>
      <w:bookmarkStart w:id="1439" w:name="_Toc300935000"/>
      <w:bookmarkStart w:id="1440" w:name="_Toc297048387"/>
      <w:bookmarkStart w:id="1441" w:name="_Toc296891241"/>
      <w:bookmarkStart w:id="1442" w:name="_Toc292559911"/>
      <w:r>
        <w:rPr>
          <w:rFonts w:hint="eastAsia" w:ascii="宋体" w:hAnsi="宋体" w:eastAsia="宋体" w:cs="宋体"/>
          <w:sz w:val="24"/>
          <w:szCs w:val="24"/>
          <w:highlight w:val="none"/>
        </w:rPr>
        <w:t>11.1 市场价格波动引起的调整</w:t>
      </w:r>
    </w:p>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市场价格波动是否调整合同价格的约定：。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因市场价格波动调整合同价格，采用以下第种方式对合同价格进行调整：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第1种方式：采用价格指数进行价格调整。</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关于各可调因子、定值和变值权重，以及基本价格指数及其来源的约定：；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第2种方式：采用造价信息进行价格调整。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（2）关于基准价格的约定：。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第3种方式：其他价格调整方式：</w:t>
      </w:r>
    </w:p>
    <w:bookmarkEnd w:id="1330"/>
    <w:bookmarkEnd w:id="1331"/>
    <w:bookmarkEnd w:id="1332"/>
    <w:bookmarkEnd w:id="1333"/>
    <w:bookmarkEnd w:id="1334"/>
    <w:bookmarkEnd w:id="1335"/>
    <w:p>
      <w:pPr>
        <w:spacing w:line="360" w:lineRule="auto"/>
        <w:ind w:firstLine="424" w:firstLineChars="177"/>
        <w:rPr>
          <w:rFonts w:hint="eastAsia" w:ascii="宋体" w:hAnsi="宋体" w:eastAsia="宋体" w:cs="宋体"/>
          <w:bCs/>
          <w:sz w:val="24"/>
          <w:szCs w:val="24"/>
          <w:highlight w:val="none"/>
        </w:rPr>
      </w:pPr>
      <w:bookmarkStart w:id="1443" w:name="_Toc296891245"/>
      <w:bookmarkStart w:id="1444" w:name="_Toc292559915"/>
      <w:bookmarkStart w:id="1445" w:name="_Toc292559410"/>
      <w:bookmarkStart w:id="1446" w:name="_Toc296347204"/>
      <w:bookmarkStart w:id="1447" w:name="_Toc296891033"/>
      <w:bookmarkStart w:id="1448" w:name="_Toc297120505"/>
      <w:bookmarkStart w:id="1449" w:name="_Toc297048391"/>
      <w:bookmarkStart w:id="1450" w:name="_Toc296346706"/>
      <w:bookmarkStart w:id="1451" w:name="_Toc296503205"/>
      <w:bookmarkStart w:id="1452" w:name="_Toc296944544"/>
      <w:bookmarkStart w:id="1453" w:name="_Toc351203644"/>
      <w:bookmarkStart w:id="1454" w:name="_Toc300935002"/>
      <w:bookmarkStart w:id="1455" w:name="_Toc297123552"/>
      <w:bookmarkStart w:id="1456" w:name="_Toc304295579"/>
      <w:bookmarkStart w:id="1457" w:name="_Toc303539159"/>
      <w:bookmarkStart w:id="1458" w:name="_Toc297216211"/>
      <w:bookmarkStart w:id="1459" w:name="_Toc312678040"/>
      <w:r>
        <w:rPr>
          <w:rFonts w:hint="eastAsia" w:ascii="宋体" w:hAnsi="宋体" w:eastAsia="宋体" w:cs="宋体"/>
          <w:bCs/>
          <w:sz w:val="24"/>
          <w:szCs w:val="24"/>
          <w:highlight w:val="none"/>
        </w:rPr>
        <w:t xml:space="preserve">12. </w:t>
      </w:r>
      <w:bookmarkEnd w:id="1443"/>
      <w:bookmarkEnd w:id="1444"/>
      <w:bookmarkEnd w:id="1445"/>
      <w:bookmarkEnd w:id="1446"/>
      <w:bookmarkEnd w:id="1447"/>
      <w:bookmarkEnd w:id="1448"/>
      <w:bookmarkEnd w:id="1449"/>
      <w:bookmarkEnd w:id="1450"/>
      <w:bookmarkEnd w:id="1451"/>
      <w:bookmarkEnd w:id="1452"/>
      <w:r>
        <w:rPr>
          <w:rFonts w:hint="eastAsia" w:ascii="宋体" w:hAnsi="宋体" w:eastAsia="宋体" w:cs="宋体"/>
          <w:bCs/>
          <w:sz w:val="24"/>
          <w:szCs w:val="24"/>
          <w:highlight w:val="none"/>
        </w:rPr>
        <w:t>合同价格、计量与支付</w:t>
      </w:r>
      <w:bookmarkEnd w:id="1453"/>
    </w:p>
    <w:bookmarkEnd w:id="1454"/>
    <w:bookmarkEnd w:id="1455"/>
    <w:bookmarkEnd w:id="1456"/>
    <w:bookmarkEnd w:id="1457"/>
    <w:bookmarkEnd w:id="1458"/>
    <w:bookmarkEnd w:id="1459"/>
    <w:p>
      <w:pPr>
        <w:spacing w:line="360" w:lineRule="auto"/>
        <w:ind w:firstLine="424" w:firstLineChars="177"/>
        <w:rPr>
          <w:rFonts w:hint="eastAsia" w:ascii="宋体" w:hAnsi="宋体" w:eastAsia="宋体" w:cs="宋体"/>
          <w:sz w:val="24"/>
          <w:szCs w:val="24"/>
          <w:highlight w:val="none"/>
        </w:rPr>
      </w:pPr>
      <w:bookmarkStart w:id="1460" w:name="_Toc292559916"/>
      <w:bookmarkStart w:id="1461" w:name="_Toc292559411"/>
      <w:bookmarkStart w:id="1462" w:name="_Toc267251461"/>
      <w:bookmarkStart w:id="1463" w:name="_Toc296891246"/>
      <w:bookmarkStart w:id="1464" w:name="_Toc296891034"/>
      <w:bookmarkStart w:id="1465" w:name="_Toc297120506"/>
      <w:bookmarkStart w:id="1466" w:name="_Toc296944545"/>
      <w:bookmarkStart w:id="1467" w:name="_Toc296346707"/>
      <w:bookmarkStart w:id="1468" w:name="_Toc296347205"/>
      <w:bookmarkStart w:id="1469" w:name="_Toc297048392"/>
      <w:bookmarkStart w:id="1470" w:name="_Toc296503206"/>
      <w:bookmarkStart w:id="1471" w:name="_Toc297216212"/>
      <w:bookmarkStart w:id="1472" w:name="_Toc303539160"/>
      <w:bookmarkStart w:id="1473" w:name="_Toc300935003"/>
      <w:bookmarkStart w:id="1474" w:name="_Toc297123553"/>
      <w:bookmarkStart w:id="1475" w:name="_Toc312678041"/>
      <w:bookmarkStart w:id="1476" w:name="_Toc304295580"/>
      <w:r>
        <w:rPr>
          <w:rFonts w:hint="eastAsia" w:ascii="宋体" w:hAnsi="宋体" w:eastAsia="宋体" w:cs="宋体"/>
          <w:sz w:val="24"/>
          <w:szCs w:val="24"/>
          <w:highlight w:val="none"/>
        </w:rPr>
        <w:t>12.1 合</w:t>
      </w:r>
      <w:bookmarkEnd w:id="1460"/>
      <w:bookmarkEnd w:id="1461"/>
      <w:bookmarkEnd w:id="1462"/>
      <w:r>
        <w:rPr>
          <w:rFonts w:hint="eastAsia" w:ascii="宋体" w:hAnsi="宋体" w:eastAsia="宋体" w:cs="宋体"/>
          <w:sz w:val="24"/>
          <w:szCs w:val="24"/>
          <w:highlight w:val="none"/>
        </w:rPr>
        <w:t>同价</w:t>
      </w:r>
      <w:bookmarkEnd w:id="1463"/>
      <w:bookmarkEnd w:id="1464"/>
      <w:bookmarkEnd w:id="1465"/>
      <w:bookmarkEnd w:id="1466"/>
      <w:bookmarkEnd w:id="1467"/>
      <w:bookmarkEnd w:id="1468"/>
      <w:bookmarkEnd w:id="1469"/>
      <w:bookmarkEnd w:id="1470"/>
      <w:r>
        <w:rPr>
          <w:rFonts w:hint="eastAsia" w:ascii="宋体" w:hAnsi="宋体" w:eastAsia="宋体" w:cs="宋体"/>
          <w:sz w:val="24"/>
          <w:szCs w:val="24"/>
          <w:highlight w:val="none"/>
        </w:rPr>
        <w:t>格形式</w:t>
      </w:r>
    </w:p>
    <w:bookmarkEnd w:id="1471"/>
    <w:bookmarkEnd w:id="1472"/>
    <w:bookmarkEnd w:id="1473"/>
    <w:bookmarkEnd w:id="1474"/>
    <w:bookmarkEnd w:id="1475"/>
    <w:bookmarkEnd w:id="147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1、单价合同。</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综合单价包含的风险范围：</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风险费用的计算方法：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总价包含的风险范围：</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风险费用的计算方法：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3、其他价格方式：</w:t>
      </w:r>
    </w:p>
    <w:p>
      <w:pPr>
        <w:spacing w:line="360" w:lineRule="auto"/>
        <w:ind w:firstLine="424" w:firstLineChars="177"/>
        <w:rPr>
          <w:rFonts w:hint="eastAsia" w:ascii="宋体" w:hAnsi="宋体" w:eastAsia="宋体" w:cs="宋体"/>
          <w:sz w:val="24"/>
          <w:szCs w:val="24"/>
          <w:highlight w:val="none"/>
        </w:rPr>
      </w:pPr>
      <w:bookmarkStart w:id="1477" w:name="_Toc304295581"/>
      <w:bookmarkStart w:id="1478" w:name="_Toc303539161"/>
      <w:bookmarkStart w:id="1479" w:name="_Toc297216213"/>
      <w:bookmarkStart w:id="1480" w:name="_Toc297123554"/>
      <w:bookmarkStart w:id="1481" w:name="_Toc312678042"/>
      <w:bookmarkStart w:id="1482" w:name="_Toc300935004"/>
      <w:bookmarkStart w:id="1483" w:name="_Toc297120507"/>
      <w:bookmarkStart w:id="1484" w:name="_Toc296503207"/>
      <w:bookmarkStart w:id="1485" w:name="_Toc292559412"/>
      <w:bookmarkStart w:id="1486" w:name="_Toc296891035"/>
      <w:bookmarkStart w:id="1487" w:name="_Toc292559917"/>
      <w:bookmarkStart w:id="1488" w:name="_Toc296891247"/>
      <w:bookmarkStart w:id="1489" w:name="_Toc297048393"/>
      <w:bookmarkStart w:id="1490" w:name="_Toc296347206"/>
      <w:bookmarkStart w:id="1491" w:name="_Toc296944546"/>
      <w:bookmarkStart w:id="1492" w:name="_Toc296346708"/>
      <w:r>
        <w:rPr>
          <w:rFonts w:hint="eastAsia" w:ascii="宋体" w:hAnsi="宋体" w:eastAsia="宋体" w:cs="宋体"/>
          <w:sz w:val="24"/>
          <w:szCs w:val="24"/>
          <w:highlight w:val="none"/>
        </w:rPr>
        <w:t>12.2 预付款</w:t>
      </w:r>
    </w:p>
    <w:bookmarkEnd w:id="1477"/>
    <w:bookmarkEnd w:id="1478"/>
    <w:bookmarkEnd w:id="1479"/>
    <w:bookmarkEnd w:id="1480"/>
    <w:bookmarkEnd w:id="1481"/>
    <w:bookmarkEnd w:id="148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12.2.1 预付款的支付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预付款支付比例或金额：。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预付款支付期限：。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预付款扣回的方式：。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12.2.2 预付款担保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承包人提交预付款担保的期限：。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预付款担保的形式为：。</w:t>
      </w:r>
    </w:p>
    <w:bookmarkEnd w:id="1483"/>
    <w:bookmarkEnd w:id="1484"/>
    <w:bookmarkEnd w:id="1485"/>
    <w:bookmarkEnd w:id="1486"/>
    <w:bookmarkEnd w:id="1487"/>
    <w:bookmarkEnd w:id="1488"/>
    <w:bookmarkEnd w:id="1489"/>
    <w:bookmarkEnd w:id="1490"/>
    <w:bookmarkEnd w:id="1491"/>
    <w:bookmarkEnd w:id="1492"/>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 计量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12.3.1 计量原则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工程量计算规则：。</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12.3.2 计量周期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关于计量周期的约定：。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12.3.3 单价合同的计量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关于单价合同计量的约定：。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12.3.4 总价合同的计量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关于总价合同计量的约定：。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12.3.5总价合同采用支付分解表计量支付的，是否适用第12.3.4 项〔总价合同的计量〕约定进行计量：。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12.3.6 其他价格形式合同的计量</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其他价格形式的计量方式和程序：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12.4 工程进度款支付</w:t>
      </w:r>
    </w:p>
    <w:p>
      <w:pPr>
        <w:spacing w:line="360" w:lineRule="auto"/>
        <w:ind w:firstLine="424" w:firstLineChars="177"/>
        <w:rPr>
          <w:rFonts w:hint="eastAsia" w:ascii="宋体" w:hAnsi="宋体" w:eastAsia="宋体" w:cs="宋体"/>
          <w:sz w:val="24"/>
          <w:szCs w:val="24"/>
          <w:highlight w:val="none"/>
        </w:rPr>
      </w:pPr>
      <w:bookmarkStart w:id="1493" w:name="_Toc296347210"/>
      <w:bookmarkStart w:id="1494" w:name="_Toc297048397"/>
      <w:bookmarkStart w:id="1495" w:name="_Toc296891039"/>
      <w:bookmarkStart w:id="1496" w:name="_Toc297216215"/>
      <w:bookmarkStart w:id="1497" w:name="_Toc296891251"/>
      <w:bookmarkStart w:id="1498" w:name="_Toc292559921"/>
      <w:bookmarkStart w:id="1499" w:name="_Toc296503211"/>
      <w:bookmarkStart w:id="1500" w:name="_Toc300935006"/>
      <w:bookmarkStart w:id="1501" w:name="_Toc303539163"/>
      <w:bookmarkStart w:id="1502" w:name="_Toc297123556"/>
      <w:bookmarkStart w:id="1503" w:name="_Toc297120511"/>
      <w:bookmarkStart w:id="1504" w:name="_Toc296944550"/>
      <w:bookmarkStart w:id="1505" w:name="_Toc292559416"/>
      <w:bookmarkStart w:id="1506" w:name="_Toc296346712"/>
      <w:r>
        <w:rPr>
          <w:rFonts w:hint="eastAsia" w:ascii="宋体" w:hAnsi="宋体" w:eastAsia="宋体" w:cs="宋体"/>
          <w:sz w:val="24"/>
          <w:szCs w:val="24"/>
          <w:highlight w:val="none"/>
        </w:rPr>
        <w:t>12.4.1 付款周期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关于付款周期的约定：。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12.4.2 进度付款申请单的编制</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关于进度付款申请单编制的约定：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r>
        <w:rPr>
          <w:rFonts w:hint="eastAsia" w:ascii="宋体" w:hAnsi="宋体" w:eastAsia="宋体" w:cs="宋体"/>
          <w:sz w:val="24"/>
          <w:szCs w:val="24"/>
          <w:highlight w:val="none"/>
        </w:rPr>
        <w:t>2.4.3 进度付款申请单的提交</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（1）单价合同进度付款申请单提交的约定：。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（2）总价合同进度付款申请单提交的约定：。</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（3）其他价格形式合同进度付款申请单提交的约定：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12.4.4 进度款审核和支付</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（1）监理人审查并报送发包人的期限：。</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发包人完成审批并签发进度款支付证书的期限：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（2）发包人支付进度款的期限：。</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发包人逾期支付进度款的违约金的计算方式：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12.4.6 支付分解表的编制</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2、总价合同支付分解表的编制与审批：</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3、单价合同的总价项目支付分解表的编制与审批：</w:t>
      </w:r>
    </w:p>
    <w:bookmarkEnd w:id="1336"/>
    <w:p>
      <w:pPr>
        <w:spacing w:line="360" w:lineRule="auto"/>
        <w:ind w:firstLine="424" w:firstLineChars="177"/>
        <w:rPr>
          <w:rFonts w:hint="eastAsia" w:ascii="宋体" w:hAnsi="宋体" w:eastAsia="宋体" w:cs="宋体"/>
          <w:bCs/>
          <w:sz w:val="24"/>
          <w:szCs w:val="24"/>
          <w:highlight w:val="none"/>
        </w:rPr>
      </w:pPr>
      <w:bookmarkStart w:id="1507" w:name="_Toc351203645"/>
      <w:bookmarkStart w:id="1508" w:name="_Toc296347218"/>
      <w:bookmarkStart w:id="1509" w:name="_Toc296944558"/>
      <w:bookmarkStart w:id="1510" w:name="_Toc297048405"/>
      <w:bookmarkStart w:id="1511" w:name="_Toc300935015"/>
      <w:bookmarkStart w:id="1512" w:name="_Toc292559424"/>
      <w:bookmarkStart w:id="1513" w:name="_Toc303539172"/>
      <w:bookmarkStart w:id="1514" w:name="_Toc292559929"/>
      <w:bookmarkStart w:id="1515" w:name="_Toc304295593"/>
      <w:bookmarkStart w:id="1516" w:name="_Toc312678053"/>
      <w:bookmarkStart w:id="1517" w:name="_Toc297123564"/>
      <w:bookmarkStart w:id="1518" w:name="_Toc296891259"/>
      <w:bookmarkStart w:id="1519" w:name="_Toc297120519"/>
      <w:bookmarkStart w:id="1520" w:name="_Toc296891047"/>
      <w:bookmarkStart w:id="1521" w:name="_Toc296503219"/>
      <w:bookmarkStart w:id="1522" w:name="_Toc297216223"/>
      <w:bookmarkStart w:id="1523" w:name="_Toc296346720"/>
      <w:r>
        <w:rPr>
          <w:rFonts w:hint="eastAsia" w:ascii="宋体" w:hAnsi="宋体" w:eastAsia="宋体" w:cs="宋体"/>
          <w:bCs/>
          <w:sz w:val="24"/>
          <w:szCs w:val="24"/>
          <w:highlight w:val="none"/>
        </w:rPr>
        <w:t>13. 验收和工程试车</w:t>
      </w:r>
      <w:bookmarkEnd w:id="1507"/>
    </w:p>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13.1 分部分项工程验收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13.1.2监理人不能按时进行验收时，应提前小时提交书面延期要求。</w:t>
      </w:r>
    </w:p>
    <w:p>
      <w:pPr>
        <w:spacing w:line="360" w:lineRule="auto"/>
        <w:ind w:firstLine="424" w:firstLineChars="177"/>
        <w:rPr>
          <w:rFonts w:hint="eastAsia" w:ascii="宋体" w:hAnsi="宋体" w:eastAsia="宋体" w:cs="宋体"/>
          <w:b/>
          <w:sz w:val="24"/>
          <w:szCs w:val="24"/>
          <w:highlight w:val="none"/>
        </w:rPr>
      </w:pPr>
      <w:r>
        <w:rPr>
          <w:rFonts w:hint="eastAsia" w:ascii="宋体" w:hAnsi="宋体" w:eastAsia="宋体" w:cs="宋体"/>
          <w:sz w:val="24"/>
          <w:szCs w:val="24"/>
          <w:highlight w:val="none"/>
        </w:rPr>
        <w:t>关于延期最长不得超过：小时。</w:t>
      </w:r>
    </w:p>
    <w:p>
      <w:pPr>
        <w:spacing w:line="360" w:lineRule="auto"/>
        <w:ind w:firstLine="424" w:firstLineChars="177"/>
        <w:rPr>
          <w:rFonts w:hint="eastAsia" w:ascii="宋体" w:hAnsi="宋体" w:eastAsia="宋体" w:cs="宋体"/>
          <w:sz w:val="24"/>
          <w:szCs w:val="24"/>
          <w:highlight w:val="none"/>
        </w:rPr>
      </w:pPr>
      <w:bookmarkStart w:id="1524" w:name="_Toc303539173"/>
      <w:bookmarkStart w:id="1525" w:name="_Toc297120523"/>
      <w:bookmarkStart w:id="1526" w:name="_Toc296503223"/>
      <w:bookmarkStart w:id="1527" w:name="_Toc312678056"/>
      <w:bookmarkStart w:id="1528" w:name="_Toc292559428"/>
      <w:bookmarkStart w:id="1529" w:name="_Toc297123565"/>
      <w:bookmarkStart w:id="1530" w:name="_Toc304295596"/>
      <w:bookmarkStart w:id="1531" w:name="_Toc297216224"/>
      <w:bookmarkStart w:id="1532" w:name="_Toc296347222"/>
      <w:bookmarkStart w:id="1533" w:name="_Toc296891263"/>
      <w:bookmarkStart w:id="1534" w:name="_Toc297048409"/>
      <w:bookmarkStart w:id="1535" w:name="_Toc296891051"/>
      <w:bookmarkStart w:id="1536" w:name="_Toc292559933"/>
      <w:bookmarkStart w:id="1537" w:name="_Toc296944562"/>
      <w:bookmarkStart w:id="1538" w:name="_Toc296346724"/>
      <w:bookmarkStart w:id="1539" w:name="_Toc300935016"/>
      <w:bookmarkStart w:id="1540" w:name="_Toc267251473"/>
      <w:bookmarkStart w:id="1541" w:name="_Toc267251471"/>
      <w:bookmarkStart w:id="1542" w:name="_Toc267251476"/>
      <w:bookmarkStart w:id="1543" w:name="_Toc267251475"/>
      <w:bookmarkStart w:id="1544" w:name="_Toc267251472"/>
      <w:bookmarkStart w:id="1545" w:name="_Toc267251470"/>
      <w:bookmarkStart w:id="1546" w:name="_Toc267251474"/>
      <w:r>
        <w:rPr>
          <w:rFonts w:hint="eastAsia" w:ascii="宋体" w:hAnsi="宋体" w:eastAsia="宋体" w:cs="宋体"/>
          <w:sz w:val="24"/>
          <w:szCs w:val="24"/>
          <w:highlight w:val="none"/>
        </w:rPr>
        <w:t>13.2 竣工验收</w:t>
      </w: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Pr>
        <w:spacing w:line="360" w:lineRule="auto"/>
        <w:ind w:firstLine="424" w:firstLineChars="177"/>
        <w:rPr>
          <w:rFonts w:hint="eastAsia" w:ascii="宋体" w:hAnsi="宋体" w:eastAsia="宋体" w:cs="宋体"/>
          <w:sz w:val="24"/>
          <w:szCs w:val="24"/>
          <w:highlight w:val="none"/>
        </w:rPr>
      </w:pPr>
      <w:bookmarkStart w:id="1547" w:name="_Toc280868704"/>
      <w:bookmarkStart w:id="1548" w:name="_Toc280868705"/>
      <w:bookmarkStart w:id="1549" w:name="_Toc280868706"/>
      <w:bookmarkStart w:id="1550" w:name="_Toc280868707"/>
      <w:bookmarkStart w:id="1551" w:name="_Toc280868708"/>
      <w:bookmarkStart w:id="1552" w:name="_Toc280868709"/>
      <w:r>
        <w:rPr>
          <w:rFonts w:hint="eastAsia" w:ascii="宋体" w:hAnsi="宋体" w:eastAsia="宋体" w:cs="宋体"/>
          <w:sz w:val="24"/>
          <w:szCs w:val="24"/>
          <w:highlight w:val="none"/>
        </w:rPr>
        <w:t>13.2.2竣工验收程序</w:t>
      </w:r>
    </w:p>
    <w:bookmarkEnd w:id="1547"/>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关于竣工验收程序的约定：</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发包人不按照本项约定组织竣工验收、颁发工程接收证书的违约金的计算方法：</w:t>
      </w:r>
    </w:p>
    <w:bookmarkEnd w:id="154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13.2.5移交、接收全部与部分工程</w:t>
      </w:r>
    </w:p>
    <w:bookmarkEnd w:id="1549"/>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承包人向发包人移交工程的期限：。</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发包人未按本合同约定接收全部或部分工程的，违约金的计算方法为：。</w:t>
      </w:r>
    </w:p>
    <w:bookmarkEnd w:id="1550"/>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承包人未按时移交工程的，违约金的计算方法为：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13.3 工程试车</w:t>
      </w:r>
    </w:p>
    <w:bookmarkEnd w:id="1551"/>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13.3.1 试车程序</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工程试车内容：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（1）单机无负荷试车费用由承担；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（2）无负荷联动试车费用由承担。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13.3.3 投料试车</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关于投料试车相关事项的约定：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13.6 竣工退场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13.6.1 竣工退场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承包人完成竣工退场的期限：。</w:t>
      </w:r>
    </w:p>
    <w:p>
      <w:pPr>
        <w:spacing w:line="360" w:lineRule="auto"/>
        <w:ind w:firstLine="424" w:firstLineChars="177"/>
        <w:rPr>
          <w:rFonts w:hint="eastAsia" w:ascii="宋体" w:hAnsi="宋体" w:eastAsia="宋体" w:cs="宋体"/>
          <w:bCs/>
          <w:sz w:val="24"/>
          <w:szCs w:val="24"/>
          <w:highlight w:val="none"/>
        </w:rPr>
      </w:pPr>
      <w:bookmarkStart w:id="1553" w:name="_Toc351203646"/>
      <w:r>
        <w:rPr>
          <w:rFonts w:hint="eastAsia" w:ascii="宋体" w:hAnsi="宋体" w:eastAsia="宋体" w:cs="宋体"/>
          <w:bCs/>
          <w:sz w:val="24"/>
          <w:szCs w:val="24"/>
          <w:highlight w:val="none"/>
        </w:rPr>
        <w:t>14. 竣工结算</w:t>
      </w:r>
      <w:bookmarkEnd w:id="1553"/>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14.1 竣工付款申请</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承包人提交竣工付款申请单的期限：。</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竣工付款申请单应包括的内容：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14.2 竣工结算审核</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发包人审批竣工付款申请单的期限：。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发包人完成竣工付款的期限：。</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关于竣工付款证书异议部分复核的方式和程序：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14.4 最终结清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14.4.1 最终结清申请单</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承包人提交最终结清申请单的份数：。</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承包人提交最终结算申请单的期限：。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（1）发包人完成最终结清申请单的审批并颁发最终结清证书的期限：。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（2）发包人完成支付的期限：。</w:t>
      </w:r>
    </w:p>
    <w:bookmarkEnd w:id="1540"/>
    <w:bookmarkEnd w:id="1541"/>
    <w:bookmarkEnd w:id="1542"/>
    <w:bookmarkEnd w:id="1543"/>
    <w:bookmarkEnd w:id="1544"/>
    <w:bookmarkEnd w:id="1545"/>
    <w:bookmarkEnd w:id="1546"/>
    <w:bookmarkEnd w:id="1552"/>
    <w:p>
      <w:pPr>
        <w:spacing w:line="360" w:lineRule="auto"/>
        <w:ind w:firstLine="424" w:firstLineChars="177"/>
        <w:rPr>
          <w:rFonts w:hint="eastAsia" w:ascii="宋体" w:hAnsi="宋体" w:eastAsia="宋体" w:cs="宋体"/>
          <w:bCs/>
          <w:sz w:val="24"/>
          <w:szCs w:val="24"/>
          <w:highlight w:val="none"/>
        </w:rPr>
      </w:pPr>
      <w:bookmarkStart w:id="1554" w:name="_Toc351203647"/>
      <w:bookmarkStart w:id="1555" w:name="_Toc267251483"/>
      <w:bookmarkStart w:id="1556" w:name="_Toc267251482"/>
      <w:bookmarkStart w:id="1557" w:name="_Toc267251484"/>
      <w:bookmarkStart w:id="1558" w:name="_Toc267251485"/>
      <w:bookmarkStart w:id="1559" w:name="_Toc267251489"/>
      <w:bookmarkStart w:id="1560" w:name="_Toc267251488"/>
      <w:bookmarkStart w:id="1561" w:name="_Toc267251490"/>
      <w:bookmarkStart w:id="1562" w:name="_Toc267251486"/>
      <w:bookmarkStart w:id="1563" w:name="_Toc267251492"/>
      <w:bookmarkStart w:id="1564" w:name="_Toc267251498"/>
      <w:bookmarkStart w:id="1565" w:name="_Toc267251503"/>
      <w:bookmarkStart w:id="1566" w:name="_Toc267251501"/>
      <w:bookmarkStart w:id="1567" w:name="_Toc267251499"/>
      <w:bookmarkStart w:id="1568" w:name="_Toc267251496"/>
      <w:bookmarkStart w:id="1569" w:name="_Toc267251497"/>
      <w:bookmarkStart w:id="1570" w:name="_Toc267251502"/>
      <w:bookmarkStart w:id="1571" w:name="_Toc267251493"/>
      <w:bookmarkStart w:id="1572" w:name="_Toc267251491"/>
      <w:bookmarkStart w:id="1573" w:name="_Toc267251494"/>
      <w:bookmarkStart w:id="1574" w:name="_Toc267251495"/>
      <w:bookmarkStart w:id="1575" w:name="_Toc267251504"/>
      <w:bookmarkStart w:id="1576" w:name="_Toc267251506"/>
      <w:bookmarkStart w:id="1577" w:name="_Toc267251507"/>
      <w:bookmarkStart w:id="1578" w:name="_Toc267251508"/>
      <w:bookmarkStart w:id="1579" w:name="_Toc267251511"/>
      <w:bookmarkStart w:id="1580" w:name="_Toc267251509"/>
      <w:bookmarkStart w:id="1581" w:name="_Toc267251510"/>
      <w:bookmarkStart w:id="1582" w:name="_Toc267251514"/>
      <w:bookmarkStart w:id="1583" w:name="_Toc267251515"/>
      <w:bookmarkStart w:id="1584" w:name="_Toc267251513"/>
      <w:r>
        <w:rPr>
          <w:rFonts w:hint="eastAsia" w:ascii="宋体" w:hAnsi="宋体" w:eastAsia="宋体" w:cs="宋体"/>
          <w:bCs/>
          <w:sz w:val="24"/>
          <w:szCs w:val="24"/>
          <w:highlight w:val="none"/>
        </w:rPr>
        <w:t>15. 缺陷责任期与保修</w:t>
      </w:r>
      <w:bookmarkEnd w:id="1554"/>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15.2缺陷责任期</w:t>
      </w:r>
      <w:bookmarkEnd w:id="1555"/>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缺陷责任期的具体期限：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15.3 质量保证金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关于是否扣留质量保证金的约定：。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15.3.1 承包人提供质量保证金的方式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质量保证金采用以下第种方式：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（1）质量保证金保函，保证金额为：；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（2）%的工程款；</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（3）其他方式:。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15.3.2 质量保证金的扣留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质量保证金的扣留采取以下第种方式：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（1）在支付工程进度款时逐次扣留，在此情形下，质量保证金的计算基数不包括预付款的支付、扣回以及价格调整的金额；</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（2）工程竣工结算时一次性扣留质量保证金；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（3）其他扣留方式:。</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关于质量保证金的补充约定：</w:t>
      </w:r>
    </w:p>
    <w:bookmarkEnd w:id="1556"/>
    <w:bookmarkEnd w:id="155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15.4保修</w:t>
      </w:r>
    </w:p>
    <w:bookmarkEnd w:id="1558"/>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15.4.1 保修责任</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工程保修期为：</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15.4.3 修复通知</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承包人收到保修通知并到达工程现场的合理时间：</w:t>
      </w:r>
    </w:p>
    <w:bookmarkEnd w:id="1559"/>
    <w:bookmarkEnd w:id="1560"/>
    <w:bookmarkEnd w:id="1561"/>
    <w:bookmarkEnd w:id="1562"/>
    <w:p>
      <w:pPr>
        <w:spacing w:line="360" w:lineRule="auto"/>
        <w:ind w:firstLine="424" w:firstLineChars="177"/>
        <w:rPr>
          <w:rFonts w:hint="eastAsia" w:ascii="宋体" w:hAnsi="宋体" w:eastAsia="宋体" w:cs="宋体"/>
          <w:bCs/>
          <w:sz w:val="24"/>
          <w:szCs w:val="24"/>
          <w:highlight w:val="none"/>
        </w:rPr>
      </w:pPr>
      <w:bookmarkStart w:id="1585" w:name="_Toc351203648"/>
      <w:bookmarkStart w:id="1586" w:name="_Toc280868717"/>
      <w:bookmarkStart w:id="1587" w:name="_Toc280868718"/>
      <w:r>
        <w:rPr>
          <w:rFonts w:hint="eastAsia" w:ascii="宋体" w:hAnsi="宋体" w:eastAsia="宋体" w:cs="宋体"/>
          <w:bCs/>
          <w:sz w:val="24"/>
          <w:szCs w:val="24"/>
          <w:highlight w:val="none"/>
        </w:rPr>
        <w:t>16. 违约</w:t>
      </w:r>
      <w:bookmarkEnd w:id="1585"/>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16.1 发包人违约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16.1.1发包人违约的情形</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发包人违约的其他情形：</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16.1.2 发包人违约的责任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发包人违约责任的承担方式和计算方法：</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（1）因发包人原因未能在计划开工日期前7天内下达开工通知的违约责任：。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（2）因发包人原因未能按合同约定支付合同价款的违约责任：。</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（3）发包人违反第10.1款〔变更的范围〕第（2）项约定，自行实施被取消的工作或转由他人实施的违约责任：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（4）发包人提供的材料、工程设备的规格、数量或质量不符合合同约定，或因发包人原因导致交货日期延误或交货地点变更等情况的违约责任：。</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（5）因发包人违反合同约定造成暂停施工的违约责任：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（6）发包人无正当理由没有在约定期限内发出复工指示，导致承包人无法复工的违约责任：。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（7）其他：。</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16.1.3 因发包人违约解除合同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承包人按16.1.1项〔发包人违约的情形〕约定暂停施工满天后发包人仍不纠正其违约行为并致使合同目的不能实现的，承包人有权解除合同。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16.2 承包人违约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16.2.1 承包人违约的情形</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承包人违约的其他情形：</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16.2.2承包人违约的责任</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承包人违约责任的承担方式和计算方法：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16.2.3 因承包人违约解除合同</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关于承包人违约解除合同的特别约定：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发包人继续使用承包人在施工现场的材料、设备、临时工程、承包人文件和由承包人或以其名义编制的其他文件的费用承担方式：。</w:t>
      </w:r>
    </w:p>
    <w:p>
      <w:pPr>
        <w:spacing w:line="360" w:lineRule="auto"/>
        <w:ind w:firstLine="424" w:firstLineChars="177"/>
        <w:rPr>
          <w:rFonts w:hint="eastAsia" w:ascii="宋体" w:hAnsi="宋体" w:eastAsia="宋体" w:cs="宋体"/>
          <w:bCs/>
          <w:sz w:val="24"/>
          <w:szCs w:val="24"/>
          <w:highlight w:val="none"/>
        </w:rPr>
      </w:pPr>
      <w:bookmarkStart w:id="1588" w:name="_Toc351203649"/>
      <w:r>
        <w:rPr>
          <w:rFonts w:hint="eastAsia" w:ascii="宋体" w:hAnsi="宋体" w:eastAsia="宋体" w:cs="宋体"/>
          <w:bCs/>
          <w:sz w:val="24"/>
          <w:szCs w:val="24"/>
          <w:highlight w:val="none"/>
        </w:rPr>
        <w:t>17. 不可抗力</w:t>
      </w:r>
      <w:bookmarkEnd w:id="1586"/>
      <w:bookmarkEnd w:id="1588"/>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17.1 不可抗力的确认</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除通用合同条款约定的不可抗力事件之外，视为不可抗力的其他情形：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17.4 因不可抗力解除合同</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合同解除后，发包人应在商定或确定发包人应支付款项后天内完成款项的支付。</w:t>
      </w:r>
    </w:p>
    <w:p>
      <w:pPr>
        <w:spacing w:line="360" w:lineRule="auto"/>
        <w:ind w:firstLine="424" w:firstLineChars="177"/>
        <w:rPr>
          <w:rFonts w:hint="eastAsia" w:ascii="宋体" w:hAnsi="宋体" w:eastAsia="宋体" w:cs="宋体"/>
          <w:bCs/>
          <w:sz w:val="24"/>
          <w:szCs w:val="24"/>
          <w:highlight w:val="none"/>
        </w:rPr>
      </w:pPr>
      <w:bookmarkStart w:id="1589" w:name="_Toc351203650"/>
      <w:r>
        <w:rPr>
          <w:rFonts w:hint="eastAsia" w:ascii="宋体" w:hAnsi="宋体" w:eastAsia="宋体" w:cs="宋体"/>
          <w:bCs/>
          <w:sz w:val="24"/>
          <w:szCs w:val="24"/>
          <w:highlight w:val="none"/>
        </w:rPr>
        <w:t>18. 保险</w:t>
      </w:r>
      <w:bookmarkEnd w:id="1589"/>
    </w:p>
    <w:bookmarkEnd w:id="1587"/>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18.1 工程保险</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关于工程保险的特别约定：。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18.3 其他保险</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关于其他保险的约定：。</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承包人是否应为其施工设备等办理财产保险：</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18.7 通知义务</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关于变更保险合同时的通知义务的约定：</w:t>
      </w:r>
    </w:p>
    <w:bookmarkEnd w:id="1563"/>
    <w:bookmarkEnd w:id="1564"/>
    <w:bookmarkEnd w:id="1565"/>
    <w:bookmarkEnd w:id="1566"/>
    <w:bookmarkEnd w:id="1567"/>
    <w:bookmarkEnd w:id="1568"/>
    <w:bookmarkEnd w:id="1569"/>
    <w:bookmarkEnd w:id="1570"/>
    <w:bookmarkEnd w:id="1571"/>
    <w:bookmarkEnd w:id="1572"/>
    <w:bookmarkEnd w:id="1573"/>
    <w:bookmarkEnd w:id="1574"/>
    <w:p>
      <w:pPr>
        <w:spacing w:line="360" w:lineRule="auto"/>
        <w:ind w:firstLine="424" w:firstLineChars="177"/>
        <w:rPr>
          <w:rFonts w:hint="eastAsia" w:ascii="宋体" w:hAnsi="宋体" w:eastAsia="宋体" w:cs="宋体"/>
          <w:bCs/>
          <w:sz w:val="24"/>
          <w:szCs w:val="24"/>
          <w:highlight w:val="none"/>
        </w:rPr>
      </w:pPr>
      <w:bookmarkStart w:id="1590" w:name="_Toc351203651"/>
      <w:r>
        <w:rPr>
          <w:rFonts w:hint="eastAsia" w:ascii="宋体" w:hAnsi="宋体" w:eastAsia="宋体" w:cs="宋体"/>
          <w:bCs/>
          <w:sz w:val="24"/>
          <w:szCs w:val="24"/>
          <w:highlight w:val="none"/>
        </w:rPr>
        <w:t>20. 争议解决</w:t>
      </w:r>
      <w:bookmarkEnd w:id="1590"/>
    </w:p>
    <w:bookmarkEnd w:id="1575"/>
    <w:bookmarkEnd w:id="1576"/>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20.3 争</w:t>
      </w:r>
      <w:bookmarkEnd w:id="1577"/>
      <w:r>
        <w:rPr>
          <w:rFonts w:hint="eastAsia" w:ascii="宋体" w:hAnsi="宋体" w:eastAsia="宋体" w:cs="宋体"/>
          <w:sz w:val="24"/>
          <w:szCs w:val="24"/>
          <w:highlight w:val="none"/>
        </w:rPr>
        <w:t>议评审</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合同当事人是否同意将工程争议提交争议评审小组决定：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20.3.1 争议评审小组的确定</w:t>
      </w:r>
    </w:p>
    <w:p>
      <w:pPr>
        <w:spacing w:line="360" w:lineRule="auto"/>
        <w:ind w:firstLine="424" w:firstLineChars="17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争议评审小组成员的确定：。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选定争议评审员的期限：。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争议评审小组成员的报酬承担方式：。</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其他事项的约定：。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20.3.2 争议评审小组的决定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合同当事人关于本项的约定：。</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20.4仲裁或诉讼</w:t>
      </w:r>
      <w:bookmarkEnd w:id="1578"/>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因合同及合同有关事项发生的争议，按下列第种方式解决：</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（1）向仲裁委员会申请仲裁；</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（2）向人民法院起诉。</w:t>
      </w:r>
      <w:bookmarkEnd w:id="1579"/>
      <w:bookmarkEnd w:id="1580"/>
      <w:bookmarkEnd w:id="1581"/>
      <w:bookmarkEnd w:id="1582"/>
      <w:bookmarkEnd w:id="1583"/>
      <w:bookmarkEnd w:id="1584"/>
    </w:p>
    <w:p>
      <w:pPr>
        <w:spacing w:line="360" w:lineRule="auto"/>
        <w:rPr>
          <w:rFonts w:hint="eastAsia" w:ascii="宋体" w:hAnsi="宋体" w:eastAsia="宋体" w:cs="宋体"/>
          <w:b/>
          <w:sz w:val="24"/>
          <w:szCs w:val="24"/>
          <w:highlight w:val="none"/>
        </w:rPr>
      </w:pPr>
      <w:r>
        <w:rPr>
          <w:rFonts w:hint="eastAsia" w:ascii="宋体" w:hAnsi="宋体" w:eastAsia="宋体" w:cs="宋体"/>
          <w:sz w:val="24"/>
          <w:szCs w:val="24"/>
          <w:highlight w:val="none"/>
        </w:rPr>
        <w:br w:type="page"/>
      </w:r>
      <w:bookmarkStart w:id="1591" w:name="_Toc351203652"/>
      <w:r>
        <w:rPr>
          <w:rFonts w:hint="eastAsia" w:ascii="宋体" w:hAnsi="宋体" w:eastAsia="宋体" w:cs="宋体"/>
          <w:b/>
          <w:sz w:val="24"/>
          <w:szCs w:val="24"/>
          <w:highlight w:val="none"/>
        </w:rPr>
        <w:t>附件</w:t>
      </w:r>
      <w:bookmarkEnd w:id="1591"/>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协议书附件：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附件1：承包人承揽工程项目一览表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专用合同条款附件：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附件2：发包人供应材料设备一览表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附件3：工程质量保修书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附件4：主要建设工程文件目录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附件5：承包人用于本工程施工的机械设备表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附件6：承包人主要施工管理人员表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附件7：分包人主要施工管理人员表</w:t>
      </w:r>
    </w:p>
    <w:p>
      <w:pPr>
        <w:spacing w:line="360" w:lineRule="auto"/>
        <w:rPr>
          <w:rFonts w:hint="eastAsia" w:ascii="宋体" w:hAnsi="宋体" w:eastAsia="宋体" w:cs="宋体"/>
          <w:sz w:val="24"/>
          <w:szCs w:val="24"/>
          <w:highlight w:val="none"/>
        </w:rPr>
        <w:sectPr>
          <w:footerReference r:id="rId6" w:type="first"/>
          <w:footerReference r:id="rId5" w:type="default"/>
          <w:pgSz w:w="11906" w:h="16838"/>
          <w:pgMar w:top="1191" w:right="1191" w:bottom="1191" w:left="1191" w:header="851" w:footer="992" w:gutter="0"/>
          <w:pgBorders w:offsetFrom="page">
            <w:top w:val="single" w:color="BFBFBF" w:sz="24" w:space="24"/>
            <w:left w:val="single" w:color="BFBFBF" w:sz="24" w:space="24"/>
            <w:bottom w:val="single" w:color="BFBFBF" w:sz="24" w:space="24"/>
            <w:right w:val="single" w:color="BFBFBF" w:sz="24" w:space="24"/>
          </w:pgBorders>
          <w:pgNumType w:fmt="decimal"/>
          <w:cols w:space="720" w:num="1"/>
          <w:titlePg/>
          <w:docGrid w:linePitch="312" w:charSpace="0"/>
        </w:sectPr>
      </w:pPr>
      <w:r>
        <w:rPr>
          <w:rFonts w:hint="eastAsia" w:ascii="宋体" w:hAnsi="宋体" w:eastAsia="宋体" w:cs="宋体"/>
          <w:sz w:val="24"/>
          <w:szCs w:val="24"/>
          <w:highlight w:val="none"/>
        </w:rPr>
        <w:t>附件8：暂估价一览表</w:t>
      </w:r>
    </w:p>
    <w:p>
      <w:pPr>
        <w:pStyle w:val="7"/>
        <w:spacing w:before="0" w:line="360" w:lineRule="auto"/>
        <w:rPr>
          <w:rFonts w:hint="eastAsia" w:ascii="宋体" w:hAnsi="宋体" w:eastAsia="宋体" w:cs="宋体"/>
          <w:sz w:val="24"/>
          <w:szCs w:val="24"/>
          <w:highlight w:val="none"/>
        </w:rPr>
      </w:pPr>
      <w:bookmarkStart w:id="1592" w:name="_Toc27127"/>
      <w:bookmarkStart w:id="1593" w:name="_Toc7034"/>
      <w:bookmarkStart w:id="1594" w:name="_Toc443466956"/>
      <w:bookmarkStart w:id="1595" w:name="_Toc414469039"/>
      <w:bookmarkStart w:id="1596" w:name="_Toc31185"/>
      <w:r>
        <w:rPr>
          <w:rFonts w:hint="eastAsia" w:ascii="宋体" w:hAnsi="宋体" w:eastAsia="宋体" w:cs="宋体"/>
          <w:sz w:val="24"/>
          <w:szCs w:val="24"/>
          <w:highlight w:val="none"/>
        </w:rPr>
        <w:t>附件1：</w:t>
      </w:r>
      <w:bookmarkEnd w:id="1592"/>
      <w:bookmarkEnd w:id="1593"/>
      <w:bookmarkEnd w:id="1594"/>
      <w:bookmarkEnd w:id="1595"/>
      <w:bookmarkEnd w:id="1596"/>
    </w:p>
    <w:p>
      <w:pPr>
        <w:pStyle w:val="7"/>
        <w:spacing w:before="0" w:line="360" w:lineRule="auto"/>
        <w:rPr>
          <w:rFonts w:hint="eastAsia" w:ascii="宋体" w:hAnsi="宋体" w:eastAsia="宋体" w:cs="宋体"/>
          <w:sz w:val="24"/>
          <w:szCs w:val="24"/>
          <w:highlight w:val="none"/>
        </w:rPr>
      </w:pPr>
      <w:bookmarkStart w:id="1597" w:name="_Toc10407"/>
      <w:bookmarkStart w:id="1598" w:name="_Toc443466957"/>
      <w:bookmarkStart w:id="1599" w:name="_Toc17024"/>
      <w:bookmarkStart w:id="1600" w:name="_Toc23758"/>
      <w:r>
        <w:rPr>
          <w:rFonts w:hint="eastAsia" w:ascii="宋体" w:hAnsi="宋体" w:eastAsia="宋体" w:cs="宋体"/>
          <w:sz w:val="24"/>
          <w:szCs w:val="24"/>
          <w:highlight w:val="none"/>
        </w:rPr>
        <w:t>承包人承揽工程项目一览表</w:t>
      </w:r>
      <w:bookmarkEnd w:id="1597"/>
      <w:bookmarkEnd w:id="1598"/>
      <w:bookmarkEnd w:id="1599"/>
      <w:bookmarkEnd w:id="1600"/>
    </w:p>
    <w:tbl>
      <w:tblPr>
        <w:tblStyle w:val="20"/>
        <w:tblW w:w="95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0"/>
        <w:gridCol w:w="1209"/>
        <w:gridCol w:w="1349"/>
        <w:gridCol w:w="1163"/>
        <w:gridCol w:w="558"/>
        <w:gridCol w:w="1023"/>
        <w:gridCol w:w="1232"/>
        <w:gridCol w:w="1090"/>
        <w:gridCol w:w="558"/>
        <w:gridCol w:w="5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40"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单位工程名称</w:t>
            </w:r>
          </w:p>
        </w:tc>
        <w:tc>
          <w:tcPr>
            <w:tcW w:w="1209"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建设规模</w:t>
            </w:r>
          </w:p>
        </w:tc>
        <w:tc>
          <w:tcPr>
            <w:tcW w:w="1349"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建筑面积</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(平方米)</w:t>
            </w:r>
          </w:p>
        </w:tc>
        <w:tc>
          <w:tcPr>
            <w:tcW w:w="1163"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结构形式</w:t>
            </w:r>
          </w:p>
        </w:tc>
        <w:tc>
          <w:tcPr>
            <w:tcW w:w="558"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层数</w:t>
            </w:r>
          </w:p>
        </w:tc>
        <w:tc>
          <w:tcPr>
            <w:tcW w:w="1023"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生产能力</w:t>
            </w:r>
          </w:p>
        </w:tc>
        <w:tc>
          <w:tcPr>
            <w:tcW w:w="1232"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设备安装内容</w:t>
            </w:r>
          </w:p>
        </w:tc>
        <w:tc>
          <w:tcPr>
            <w:tcW w:w="1090"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合同价格（元）</w:t>
            </w:r>
          </w:p>
        </w:tc>
        <w:tc>
          <w:tcPr>
            <w:tcW w:w="558"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558"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209"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349"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163"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023"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232"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090"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0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34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16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2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32"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9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0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34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16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2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32"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9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spacing w:line="360" w:lineRule="auto"/>
              <w:jc w:val="center"/>
              <w:rPr>
                <w:rFonts w:hint="eastAsia" w:ascii="宋体" w:hAnsi="宋体" w:eastAsia="宋体" w:cs="宋体"/>
                <w:sz w:val="24"/>
                <w:szCs w:val="24"/>
                <w:highlight w:val="none"/>
              </w:rPr>
            </w:pPr>
          </w:p>
        </w:tc>
        <w:tc>
          <w:tcPr>
            <w:tcW w:w="1209" w:type="dxa"/>
            <w:vAlign w:val="center"/>
          </w:tcPr>
          <w:p>
            <w:pPr>
              <w:spacing w:line="360" w:lineRule="auto"/>
              <w:jc w:val="center"/>
              <w:rPr>
                <w:rFonts w:hint="eastAsia" w:ascii="宋体" w:hAnsi="宋体" w:eastAsia="宋体" w:cs="宋体"/>
                <w:sz w:val="24"/>
                <w:szCs w:val="24"/>
                <w:highlight w:val="none"/>
              </w:rPr>
            </w:pPr>
          </w:p>
        </w:tc>
        <w:tc>
          <w:tcPr>
            <w:tcW w:w="1349" w:type="dxa"/>
            <w:vAlign w:val="center"/>
          </w:tcPr>
          <w:p>
            <w:pPr>
              <w:spacing w:line="360" w:lineRule="auto"/>
              <w:jc w:val="center"/>
              <w:rPr>
                <w:rFonts w:hint="eastAsia" w:ascii="宋体" w:hAnsi="宋体" w:eastAsia="宋体" w:cs="宋体"/>
                <w:sz w:val="24"/>
                <w:szCs w:val="24"/>
                <w:highlight w:val="none"/>
              </w:rPr>
            </w:pPr>
          </w:p>
        </w:tc>
        <w:tc>
          <w:tcPr>
            <w:tcW w:w="1163" w:type="dxa"/>
            <w:vAlign w:val="center"/>
          </w:tcPr>
          <w:p>
            <w:pPr>
              <w:spacing w:line="360" w:lineRule="auto"/>
              <w:jc w:val="center"/>
              <w:rPr>
                <w:rFonts w:hint="eastAsia" w:ascii="宋体" w:hAnsi="宋体" w:eastAsia="宋体" w:cs="宋体"/>
                <w:sz w:val="24"/>
                <w:szCs w:val="24"/>
                <w:highlight w:val="none"/>
              </w:rPr>
            </w:pPr>
          </w:p>
        </w:tc>
        <w:tc>
          <w:tcPr>
            <w:tcW w:w="558" w:type="dxa"/>
            <w:vAlign w:val="center"/>
          </w:tcPr>
          <w:p>
            <w:pPr>
              <w:spacing w:line="360" w:lineRule="auto"/>
              <w:jc w:val="center"/>
              <w:rPr>
                <w:rFonts w:hint="eastAsia" w:ascii="宋体" w:hAnsi="宋体" w:eastAsia="宋体" w:cs="宋体"/>
                <w:sz w:val="24"/>
                <w:szCs w:val="24"/>
                <w:highlight w:val="none"/>
              </w:rPr>
            </w:pPr>
          </w:p>
        </w:tc>
        <w:tc>
          <w:tcPr>
            <w:tcW w:w="1023" w:type="dxa"/>
            <w:vAlign w:val="center"/>
          </w:tcPr>
          <w:p>
            <w:pPr>
              <w:spacing w:line="360" w:lineRule="auto"/>
              <w:jc w:val="center"/>
              <w:rPr>
                <w:rFonts w:hint="eastAsia" w:ascii="宋体" w:hAnsi="宋体" w:eastAsia="宋体" w:cs="宋体"/>
                <w:sz w:val="24"/>
                <w:szCs w:val="24"/>
                <w:highlight w:val="none"/>
              </w:rPr>
            </w:pPr>
          </w:p>
        </w:tc>
        <w:tc>
          <w:tcPr>
            <w:tcW w:w="1232" w:type="dxa"/>
            <w:vAlign w:val="center"/>
          </w:tcPr>
          <w:p>
            <w:pPr>
              <w:spacing w:line="360" w:lineRule="auto"/>
              <w:jc w:val="center"/>
              <w:rPr>
                <w:rFonts w:hint="eastAsia" w:ascii="宋体" w:hAnsi="宋体" w:eastAsia="宋体" w:cs="宋体"/>
                <w:sz w:val="24"/>
                <w:szCs w:val="24"/>
                <w:highlight w:val="none"/>
              </w:rPr>
            </w:pPr>
          </w:p>
        </w:tc>
        <w:tc>
          <w:tcPr>
            <w:tcW w:w="1090" w:type="dxa"/>
            <w:vAlign w:val="center"/>
          </w:tcPr>
          <w:p>
            <w:pPr>
              <w:spacing w:line="360" w:lineRule="auto"/>
              <w:jc w:val="center"/>
              <w:rPr>
                <w:rFonts w:hint="eastAsia" w:ascii="宋体" w:hAnsi="宋体" w:eastAsia="宋体" w:cs="宋体"/>
                <w:sz w:val="24"/>
                <w:szCs w:val="24"/>
                <w:highlight w:val="none"/>
              </w:rPr>
            </w:pPr>
          </w:p>
        </w:tc>
        <w:tc>
          <w:tcPr>
            <w:tcW w:w="558" w:type="dxa"/>
            <w:vAlign w:val="center"/>
          </w:tcPr>
          <w:p>
            <w:pPr>
              <w:spacing w:line="360" w:lineRule="auto"/>
              <w:jc w:val="center"/>
              <w:rPr>
                <w:rFonts w:hint="eastAsia" w:ascii="宋体" w:hAnsi="宋体" w:eastAsia="宋体" w:cs="宋体"/>
                <w:sz w:val="24"/>
                <w:szCs w:val="24"/>
                <w:highlight w:val="none"/>
              </w:rPr>
            </w:pPr>
          </w:p>
        </w:tc>
        <w:tc>
          <w:tcPr>
            <w:tcW w:w="558"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0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34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16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2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32"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9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spacing w:line="360" w:lineRule="auto"/>
              <w:jc w:val="center"/>
              <w:rPr>
                <w:rFonts w:hint="eastAsia" w:ascii="宋体" w:hAnsi="宋体" w:eastAsia="宋体" w:cs="宋体"/>
                <w:sz w:val="24"/>
                <w:szCs w:val="24"/>
                <w:highlight w:val="none"/>
              </w:rPr>
            </w:pPr>
          </w:p>
        </w:tc>
        <w:tc>
          <w:tcPr>
            <w:tcW w:w="1209" w:type="dxa"/>
            <w:vAlign w:val="center"/>
          </w:tcPr>
          <w:p>
            <w:pPr>
              <w:spacing w:line="360" w:lineRule="auto"/>
              <w:jc w:val="center"/>
              <w:rPr>
                <w:rFonts w:hint="eastAsia" w:ascii="宋体" w:hAnsi="宋体" w:eastAsia="宋体" w:cs="宋体"/>
                <w:sz w:val="24"/>
                <w:szCs w:val="24"/>
                <w:highlight w:val="none"/>
              </w:rPr>
            </w:pPr>
          </w:p>
        </w:tc>
        <w:tc>
          <w:tcPr>
            <w:tcW w:w="1349" w:type="dxa"/>
            <w:vAlign w:val="center"/>
          </w:tcPr>
          <w:p>
            <w:pPr>
              <w:spacing w:line="360" w:lineRule="auto"/>
              <w:jc w:val="center"/>
              <w:rPr>
                <w:rFonts w:hint="eastAsia" w:ascii="宋体" w:hAnsi="宋体" w:eastAsia="宋体" w:cs="宋体"/>
                <w:sz w:val="24"/>
                <w:szCs w:val="24"/>
                <w:highlight w:val="none"/>
              </w:rPr>
            </w:pPr>
          </w:p>
        </w:tc>
        <w:tc>
          <w:tcPr>
            <w:tcW w:w="1163" w:type="dxa"/>
            <w:vAlign w:val="center"/>
          </w:tcPr>
          <w:p>
            <w:pPr>
              <w:spacing w:line="360" w:lineRule="auto"/>
              <w:jc w:val="center"/>
              <w:rPr>
                <w:rFonts w:hint="eastAsia" w:ascii="宋体" w:hAnsi="宋体" w:eastAsia="宋体" w:cs="宋体"/>
                <w:sz w:val="24"/>
                <w:szCs w:val="24"/>
                <w:highlight w:val="none"/>
              </w:rPr>
            </w:pPr>
          </w:p>
        </w:tc>
        <w:tc>
          <w:tcPr>
            <w:tcW w:w="558" w:type="dxa"/>
            <w:vAlign w:val="center"/>
          </w:tcPr>
          <w:p>
            <w:pPr>
              <w:spacing w:line="360" w:lineRule="auto"/>
              <w:jc w:val="center"/>
              <w:rPr>
                <w:rFonts w:hint="eastAsia" w:ascii="宋体" w:hAnsi="宋体" w:eastAsia="宋体" w:cs="宋体"/>
                <w:sz w:val="24"/>
                <w:szCs w:val="24"/>
                <w:highlight w:val="none"/>
              </w:rPr>
            </w:pPr>
          </w:p>
        </w:tc>
        <w:tc>
          <w:tcPr>
            <w:tcW w:w="1023" w:type="dxa"/>
            <w:vAlign w:val="center"/>
          </w:tcPr>
          <w:p>
            <w:pPr>
              <w:spacing w:line="360" w:lineRule="auto"/>
              <w:jc w:val="center"/>
              <w:rPr>
                <w:rFonts w:hint="eastAsia" w:ascii="宋体" w:hAnsi="宋体" w:eastAsia="宋体" w:cs="宋体"/>
                <w:sz w:val="24"/>
                <w:szCs w:val="24"/>
                <w:highlight w:val="none"/>
              </w:rPr>
            </w:pPr>
          </w:p>
        </w:tc>
        <w:tc>
          <w:tcPr>
            <w:tcW w:w="1232" w:type="dxa"/>
            <w:vAlign w:val="center"/>
          </w:tcPr>
          <w:p>
            <w:pPr>
              <w:spacing w:line="360" w:lineRule="auto"/>
              <w:jc w:val="center"/>
              <w:rPr>
                <w:rFonts w:hint="eastAsia" w:ascii="宋体" w:hAnsi="宋体" w:eastAsia="宋体" w:cs="宋体"/>
                <w:sz w:val="24"/>
                <w:szCs w:val="24"/>
                <w:highlight w:val="none"/>
              </w:rPr>
            </w:pPr>
          </w:p>
        </w:tc>
        <w:tc>
          <w:tcPr>
            <w:tcW w:w="1090" w:type="dxa"/>
            <w:vAlign w:val="center"/>
          </w:tcPr>
          <w:p>
            <w:pPr>
              <w:spacing w:line="360" w:lineRule="auto"/>
              <w:jc w:val="center"/>
              <w:rPr>
                <w:rFonts w:hint="eastAsia" w:ascii="宋体" w:hAnsi="宋体" w:eastAsia="宋体" w:cs="宋体"/>
                <w:sz w:val="24"/>
                <w:szCs w:val="24"/>
                <w:highlight w:val="none"/>
              </w:rPr>
            </w:pPr>
          </w:p>
        </w:tc>
        <w:tc>
          <w:tcPr>
            <w:tcW w:w="558" w:type="dxa"/>
            <w:vAlign w:val="center"/>
          </w:tcPr>
          <w:p>
            <w:pPr>
              <w:spacing w:line="360" w:lineRule="auto"/>
              <w:jc w:val="center"/>
              <w:rPr>
                <w:rFonts w:hint="eastAsia" w:ascii="宋体" w:hAnsi="宋体" w:eastAsia="宋体" w:cs="宋体"/>
                <w:sz w:val="24"/>
                <w:szCs w:val="24"/>
                <w:highlight w:val="none"/>
              </w:rPr>
            </w:pPr>
          </w:p>
        </w:tc>
        <w:tc>
          <w:tcPr>
            <w:tcW w:w="558"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0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34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16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2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32"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9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0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34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16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2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32"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9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spacing w:line="360" w:lineRule="auto"/>
              <w:jc w:val="center"/>
              <w:rPr>
                <w:rFonts w:hint="eastAsia" w:ascii="宋体" w:hAnsi="宋体" w:eastAsia="宋体" w:cs="宋体"/>
                <w:sz w:val="24"/>
                <w:szCs w:val="24"/>
                <w:highlight w:val="none"/>
              </w:rPr>
            </w:pPr>
          </w:p>
        </w:tc>
        <w:tc>
          <w:tcPr>
            <w:tcW w:w="1209" w:type="dxa"/>
            <w:vAlign w:val="center"/>
          </w:tcPr>
          <w:p>
            <w:pPr>
              <w:spacing w:line="360" w:lineRule="auto"/>
              <w:jc w:val="center"/>
              <w:rPr>
                <w:rFonts w:hint="eastAsia" w:ascii="宋体" w:hAnsi="宋体" w:eastAsia="宋体" w:cs="宋体"/>
                <w:sz w:val="24"/>
                <w:szCs w:val="24"/>
                <w:highlight w:val="none"/>
              </w:rPr>
            </w:pPr>
          </w:p>
        </w:tc>
        <w:tc>
          <w:tcPr>
            <w:tcW w:w="1349" w:type="dxa"/>
            <w:vAlign w:val="center"/>
          </w:tcPr>
          <w:p>
            <w:pPr>
              <w:spacing w:line="360" w:lineRule="auto"/>
              <w:jc w:val="center"/>
              <w:rPr>
                <w:rFonts w:hint="eastAsia" w:ascii="宋体" w:hAnsi="宋体" w:eastAsia="宋体" w:cs="宋体"/>
                <w:sz w:val="24"/>
                <w:szCs w:val="24"/>
                <w:highlight w:val="none"/>
              </w:rPr>
            </w:pPr>
          </w:p>
        </w:tc>
        <w:tc>
          <w:tcPr>
            <w:tcW w:w="1163" w:type="dxa"/>
            <w:vAlign w:val="center"/>
          </w:tcPr>
          <w:p>
            <w:pPr>
              <w:spacing w:line="360" w:lineRule="auto"/>
              <w:jc w:val="center"/>
              <w:rPr>
                <w:rFonts w:hint="eastAsia" w:ascii="宋体" w:hAnsi="宋体" w:eastAsia="宋体" w:cs="宋体"/>
                <w:sz w:val="24"/>
                <w:szCs w:val="24"/>
                <w:highlight w:val="none"/>
              </w:rPr>
            </w:pPr>
          </w:p>
        </w:tc>
        <w:tc>
          <w:tcPr>
            <w:tcW w:w="558" w:type="dxa"/>
            <w:vAlign w:val="center"/>
          </w:tcPr>
          <w:p>
            <w:pPr>
              <w:spacing w:line="360" w:lineRule="auto"/>
              <w:jc w:val="center"/>
              <w:rPr>
                <w:rFonts w:hint="eastAsia" w:ascii="宋体" w:hAnsi="宋体" w:eastAsia="宋体" w:cs="宋体"/>
                <w:sz w:val="24"/>
                <w:szCs w:val="24"/>
                <w:highlight w:val="none"/>
              </w:rPr>
            </w:pPr>
          </w:p>
        </w:tc>
        <w:tc>
          <w:tcPr>
            <w:tcW w:w="1023" w:type="dxa"/>
            <w:vAlign w:val="center"/>
          </w:tcPr>
          <w:p>
            <w:pPr>
              <w:spacing w:line="360" w:lineRule="auto"/>
              <w:jc w:val="center"/>
              <w:rPr>
                <w:rFonts w:hint="eastAsia" w:ascii="宋体" w:hAnsi="宋体" w:eastAsia="宋体" w:cs="宋体"/>
                <w:sz w:val="24"/>
                <w:szCs w:val="24"/>
                <w:highlight w:val="none"/>
              </w:rPr>
            </w:pPr>
          </w:p>
        </w:tc>
        <w:tc>
          <w:tcPr>
            <w:tcW w:w="1232" w:type="dxa"/>
            <w:vAlign w:val="center"/>
          </w:tcPr>
          <w:p>
            <w:pPr>
              <w:spacing w:line="360" w:lineRule="auto"/>
              <w:jc w:val="center"/>
              <w:rPr>
                <w:rFonts w:hint="eastAsia" w:ascii="宋体" w:hAnsi="宋体" w:eastAsia="宋体" w:cs="宋体"/>
                <w:sz w:val="24"/>
                <w:szCs w:val="24"/>
                <w:highlight w:val="none"/>
              </w:rPr>
            </w:pPr>
          </w:p>
        </w:tc>
        <w:tc>
          <w:tcPr>
            <w:tcW w:w="1090" w:type="dxa"/>
            <w:vAlign w:val="center"/>
          </w:tcPr>
          <w:p>
            <w:pPr>
              <w:spacing w:line="360" w:lineRule="auto"/>
              <w:jc w:val="center"/>
              <w:rPr>
                <w:rFonts w:hint="eastAsia" w:ascii="宋体" w:hAnsi="宋体" w:eastAsia="宋体" w:cs="宋体"/>
                <w:sz w:val="24"/>
                <w:szCs w:val="24"/>
                <w:highlight w:val="none"/>
              </w:rPr>
            </w:pPr>
          </w:p>
        </w:tc>
        <w:tc>
          <w:tcPr>
            <w:tcW w:w="558" w:type="dxa"/>
            <w:vAlign w:val="center"/>
          </w:tcPr>
          <w:p>
            <w:pPr>
              <w:spacing w:line="360" w:lineRule="auto"/>
              <w:jc w:val="center"/>
              <w:rPr>
                <w:rFonts w:hint="eastAsia" w:ascii="宋体" w:hAnsi="宋体" w:eastAsia="宋体" w:cs="宋体"/>
                <w:sz w:val="24"/>
                <w:szCs w:val="24"/>
                <w:highlight w:val="none"/>
              </w:rPr>
            </w:pPr>
          </w:p>
        </w:tc>
        <w:tc>
          <w:tcPr>
            <w:tcW w:w="558"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0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34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16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2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32"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9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558" w:type="dxa"/>
            <w:tcBorders>
              <w:top w:val="nil"/>
            </w:tcBorders>
            <w:vAlign w:val="center"/>
          </w:tcPr>
          <w:p>
            <w:pPr>
              <w:spacing w:line="360" w:lineRule="auto"/>
              <w:jc w:val="center"/>
              <w:rPr>
                <w:rFonts w:hint="eastAsia" w:ascii="宋体" w:hAnsi="宋体" w:eastAsia="宋体" w:cs="宋体"/>
                <w:sz w:val="24"/>
                <w:szCs w:val="24"/>
                <w:highlight w:val="none"/>
              </w:rPr>
            </w:pPr>
          </w:p>
        </w:tc>
      </w:tr>
    </w:tbl>
    <w:p>
      <w:pPr>
        <w:pStyle w:val="7"/>
        <w:spacing w:before="0" w:line="360" w:lineRule="auto"/>
        <w:rPr>
          <w:rFonts w:hint="eastAsia" w:ascii="宋体" w:hAnsi="宋体" w:eastAsia="宋体" w:cs="宋体"/>
          <w:sz w:val="24"/>
          <w:szCs w:val="24"/>
          <w:highlight w:val="none"/>
        </w:rPr>
      </w:pPr>
      <w:bookmarkStart w:id="1601" w:name="_Toc414469041"/>
      <w:bookmarkStart w:id="1602" w:name="_Toc443466958"/>
      <w:r>
        <w:rPr>
          <w:rFonts w:hint="eastAsia" w:ascii="宋体" w:hAnsi="宋体" w:eastAsia="宋体" w:cs="宋体"/>
          <w:sz w:val="24"/>
          <w:szCs w:val="24"/>
          <w:highlight w:val="none"/>
        </w:rPr>
        <w:br w:type="page"/>
      </w:r>
      <w:bookmarkStart w:id="1603" w:name="_Toc22655"/>
      <w:bookmarkStart w:id="1604" w:name="_Toc17837"/>
      <w:bookmarkStart w:id="1605" w:name="_Toc16571"/>
      <w:r>
        <w:rPr>
          <w:rFonts w:hint="eastAsia" w:ascii="宋体" w:hAnsi="宋体" w:eastAsia="宋体" w:cs="宋体"/>
          <w:sz w:val="24"/>
          <w:szCs w:val="24"/>
          <w:highlight w:val="none"/>
        </w:rPr>
        <w:t>附</w:t>
      </w:r>
      <w:bookmarkStart w:id="1606" w:name="_Toc296891265"/>
      <w:bookmarkStart w:id="1607" w:name="_Toc296891053"/>
      <w:bookmarkStart w:id="1608" w:name="_Toc296346726"/>
      <w:bookmarkStart w:id="1609" w:name="_Toc296944564"/>
      <w:bookmarkStart w:id="1610" w:name="_Toc296503225"/>
      <w:bookmarkStart w:id="1611" w:name="_Toc267261692"/>
      <w:bookmarkStart w:id="1612" w:name="_Toc296347224"/>
      <w:r>
        <w:rPr>
          <w:rFonts w:hint="eastAsia" w:ascii="宋体" w:hAnsi="宋体" w:eastAsia="宋体" w:cs="宋体"/>
          <w:sz w:val="24"/>
          <w:szCs w:val="24"/>
          <w:highlight w:val="none"/>
        </w:rPr>
        <w:t>件2：</w:t>
      </w:r>
      <w:bookmarkEnd w:id="1601"/>
      <w:bookmarkEnd w:id="1602"/>
      <w:bookmarkEnd w:id="1603"/>
      <w:bookmarkEnd w:id="1604"/>
      <w:bookmarkEnd w:id="1605"/>
    </w:p>
    <w:bookmarkEnd w:id="1606"/>
    <w:bookmarkEnd w:id="1607"/>
    <w:bookmarkEnd w:id="1608"/>
    <w:bookmarkEnd w:id="1609"/>
    <w:bookmarkEnd w:id="1610"/>
    <w:bookmarkEnd w:id="1611"/>
    <w:bookmarkEnd w:id="1612"/>
    <w:p>
      <w:pPr>
        <w:pStyle w:val="7"/>
        <w:spacing w:before="0" w:line="360" w:lineRule="auto"/>
        <w:rPr>
          <w:rFonts w:hint="eastAsia" w:ascii="宋体" w:hAnsi="宋体" w:eastAsia="宋体" w:cs="宋体"/>
          <w:sz w:val="24"/>
          <w:szCs w:val="24"/>
          <w:highlight w:val="none"/>
        </w:rPr>
      </w:pPr>
      <w:bookmarkStart w:id="1613" w:name="_Toc13908"/>
      <w:bookmarkStart w:id="1614" w:name="_Toc443466959"/>
      <w:bookmarkStart w:id="1615" w:name="_Toc10018"/>
      <w:bookmarkStart w:id="1616" w:name="_Toc31883"/>
      <w:r>
        <w:rPr>
          <w:rFonts w:hint="eastAsia" w:ascii="宋体" w:hAnsi="宋体" w:eastAsia="宋体" w:cs="宋体"/>
          <w:sz w:val="24"/>
          <w:szCs w:val="24"/>
          <w:highlight w:val="none"/>
        </w:rPr>
        <w:t>发包人供应材料设备一览表</w:t>
      </w:r>
      <w:bookmarkEnd w:id="1613"/>
      <w:bookmarkEnd w:id="1614"/>
      <w:bookmarkEnd w:id="1615"/>
      <w:bookmarkEnd w:id="1616"/>
    </w:p>
    <w:tbl>
      <w:tblPr>
        <w:tblStyle w:val="20"/>
        <w:tblW w:w="95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45"/>
        <w:gridCol w:w="1226"/>
        <w:gridCol w:w="992"/>
        <w:gridCol w:w="709"/>
        <w:gridCol w:w="709"/>
        <w:gridCol w:w="850"/>
        <w:gridCol w:w="1134"/>
        <w:gridCol w:w="1276"/>
        <w:gridCol w:w="1134"/>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45"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26"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设备品种</w:t>
            </w:r>
          </w:p>
        </w:tc>
        <w:tc>
          <w:tcPr>
            <w:tcW w:w="992"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规格型号</w:t>
            </w:r>
          </w:p>
        </w:tc>
        <w:tc>
          <w:tcPr>
            <w:tcW w:w="709"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709"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50"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单价（元）</w:t>
            </w:r>
          </w:p>
        </w:tc>
        <w:tc>
          <w:tcPr>
            <w:tcW w:w="1134"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质量等级</w:t>
            </w:r>
          </w:p>
        </w:tc>
        <w:tc>
          <w:tcPr>
            <w:tcW w:w="1276"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供应时间</w:t>
            </w:r>
          </w:p>
        </w:tc>
        <w:tc>
          <w:tcPr>
            <w:tcW w:w="1134"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送达地点</w:t>
            </w:r>
          </w:p>
        </w:tc>
        <w:tc>
          <w:tcPr>
            <w:tcW w:w="851"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45"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226"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992"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709"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709"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850"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134"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276"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134"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851"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45"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26"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992"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70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709"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85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134"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276"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134"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851" w:type="dxa"/>
            <w:tcBorders>
              <w:top w:val="nil"/>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45" w:type="dxa"/>
            <w:vAlign w:val="center"/>
          </w:tcPr>
          <w:p>
            <w:pPr>
              <w:spacing w:line="360" w:lineRule="auto"/>
              <w:jc w:val="center"/>
              <w:rPr>
                <w:rFonts w:hint="eastAsia" w:ascii="宋体" w:hAnsi="宋体" w:eastAsia="宋体" w:cs="宋体"/>
                <w:sz w:val="24"/>
                <w:szCs w:val="24"/>
                <w:highlight w:val="none"/>
              </w:rPr>
            </w:pPr>
          </w:p>
        </w:tc>
        <w:tc>
          <w:tcPr>
            <w:tcW w:w="1226" w:type="dxa"/>
            <w:vAlign w:val="center"/>
          </w:tcPr>
          <w:p>
            <w:pPr>
              <w:spacing w:line="360" w:lineRule="auto"/>
              <w:jc w:val="center"/>
              <w:rPr>
                <w:rFonts w:hint="eastAsia" w:ascii="宋体" w:hAnsi="宋体" w:eastAsia="宋体" w:cs="宋体"/>
                <w:sz w:val="24"/>
                <w:szCs w:val="24"/>
                <w:highlight w:val="none"/>
              </w:rPr>
            </w:pPr>
          </w:p>
        </w:tc>
        <w:tc>
          <w:tcPr>
            <w:tcW w:w="992" w:type="dxa"/>
            <w:vAlign w:val="center"/>
          </w:tcPr>
          <w:p>
            <w:pPr>
              <w:spacing w:line="360" w:lineRule="auto"/>
              <w:jc w:val="center"/>
              <w:rPr>
                <w:rFonts w:hint="eastAsia" w:ascii="宋体" w:hAnsi="宋体" w:eastAsia="宋体" w:cs="宋体"/>
                <w:sz w:val="24"/>
                <w:szCs w:val="24"/>
                <w:highlight w:val="none"/>
              </w:rPr>
            </w:pPr>
          </w:p>
        </w:tc>
        <w:tc>
          <w:tcPr>
            <w:tcW w:w="709" w:type="dxa"/>
            <w:vAlign w:val="center"/>
          </w:tcPr>
          <w:p>
            <w:pPr>
              <w:spacing w:line="360" w:lineRule="auto"/>
              <w:jc w:val="center"/>
              <w:rPr>
                <w:rFonts w:hint="eastAsia" w:ascii="宋体" w:hAnsi="宋体" w:eastAsia="宋体" w:cs="宋体"/>
                <w:sz w:val="24"/>
                <w:szCs w:val="24"/>
                <w:highlight w:val="none"/>
              </w:rPr>
            </w:pPr>
          </w:p>
        </w:tc>
        <w:tc>
          <w:tcPr>
            <w:tcW w:w="709"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134" w:type="dxa"/>
            <w:vAlign w:val="center"/>
          </w:tcPr>
          <w:p>
            <w:pPr>
              <w:spacing w:line="360" w:lineRule="auto"/>
              <w:jc w:val="center"/>
              <w:rPr>
                <w:rFonts w:hint="eastAsia" w:ascii="宋体" w:hAnsi="宋体" w:eastAsia="宋体" w:cs="宋体"/>
                <w:sz w:val="24"/>
                <w:szCs w:val="24"/>
                <w:highlight w:val="none"/>
              </w:rPr>
            </w:pPr>
          </w:p>
        </w:tc>
        <w:tc>
          <w:tcPr>
            <w:tcW w:w="1276" w:type="dxa"/>
            <w:vAlign w:val="center"/>
          </w:tcPr>
          <w:p>
            <w:pPr>
              <w:spacing w:line="360" w:lineRule="auto"/>
              <w:jc w:val="center"/>
              <w:rPr>
                <w:rFonts w:hint="eastAsia" w:ascii="宋体" w:hAnsi="宋体" w:eastAsia="宋体" w:cs="宋体"/>
                <w:sz w:val="24"/>
                <w:szCs w:val="24"/>
                <w:highlight w:val="none"/>
              </w:rPr>
            </w:pPr>
          </w:p>
        </w:tc>
        <w:tc>
          <w:tcPr>
            <w:tcW w:w="113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45" w:type="dxa"/>
            <w:vAlign w:val="center"/>
          </w:tcPr>
          <w:p>
            <w:pPr>
              <w:spacing w:line="360" w:lineRule="auto"/>
              <w:jc w:val="center"/>
              <w:rPr>
                <w:rFonts w:hint="eastAsia" w:ascii="宋体" w:hAnsi="宋体" w:eastAsia="宋体" w:cs="宋体"/>
                <w:sz w:val="24"/>
                <w:szCs w:val="24"/>
                <w:highlight w:val="none"/>
              </w:rPr>
            </w:pPr>
          </w:p>
        </w:tc>
        <w:tc>
          <w:tcPr>
            <w:tcW w:w="1226" w:type="dxa"/>
            <w:vAlign w:val="center"/>
          </w:tcPr>
          <w:p>
            <w:pPr>
              <w:spacing w:line="360" w:lineRule="auto"/>
              <w:jc w:val="center"/>
              <w:rPr>
                <w:rFonts w:hint="eastAsia" w:ascii="宋体" w:hAnsi="宋体" w:eastAsia="宋体" w:cs="宋体"/>
                <w:sz w:val="24"/>
                <w:szCs w:val="24"/>
                <w:highlight w:val="none"/>
              </w:rPr>
            </w:pPr>
          </w:p>
        </w:tc>
        <w:tc>
          <w:tcPr>
            <w:tcW w:w="992" w:type="dxa"/>
            <w:vAlign w:val="center"/>
          </w:tcPr>
          <w:p>
            <w:pPr>
              <w:spacing w:line="360" w:lineRule="auto"/>
              <w:jc w:val="center"/>
              <w:rPr>
                <w:rFonts w:hint="eastAsia" w:ascii="宋体" w:hAnsi="宋体" w:eastAsia="宋体" w:cs="宋体"/>
                <w:sz w:val="24"/>
                <w:szCs w:val="24"/>
                <w:highlight w:val="none"/>
              </w:rPr>
            </w:pPr>
          </w:p>
        </w:tc>
        <w:tc>
          <w:tcPr>
            <w:tcW w:w="709" w:type="dxa"/>
            <w:vAlign w:val="center"/>
          </w:tcPr>
          <w:p>
            <w:pPr>
              <w:spacing w:line="360" w:lineRule="auto"/>
              <w:jc w:val="center"/>
              <w:rPr>
                <w:rFonts w:hint="eastAsia" w:ascii="宋体" w:hAnsi="宋体" w:eastAsia="宋体" w:cs="宋体"/>
                <w:sz w:val="24"/>
                <w:szCs w:val="24"/>
                <w:highlight w:val="none"/>
              </w:rPr>
            </w:pPr>
          </w:p>
        </w:tc>
        <w:tc>
          <w:tcPr>
            <w:tcW w:w="709"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134" w:type="dxa"/>
            <w:vAlign w:val="center"/>
          </w:tcPr>
          <w:p>
            <w:pPr>
              <w:spacing w:line="360" w:lineRule="auto"/>
              <w:jc w:val="center"/>
              <w:rPr>
                <w:rFonts w:hint="eastAsia" w:ascii="宋体" w:hAnsi="宋体" w:eastAsia="宋体" w:cs="宋体"/>
                <w:sz w:val="24"/>
                <w:szCs w:val="24"/>
                <w:highlight w:val="none"/>
              </w:rPr>
            </w:pPr>
          </w:p>
        </w:tc>
        <w:tc>
          <w:tcPr>
            <w:tcW w:w="1276" w:type="dxa"/>
            <w:vAlign w:val="center"/>
          </w:tcPr>
          <w:p>
            <w:pPr>
              <w:spacing w:line="360" w:lineRule="auto"/>
              <w:jc w:val="center"/>
              <w:rPr>
                <w:rFonts w:hint="eastAsia" w:ascii="宋体" w:hAnsi="宋体" w:eastAsia="宋体" w:cs="宋体"/>
                <w:sz w:val="24"/>
                <w:szCs w:val="24"/>
                <w:highlight w:val="none"/>
              </w:rPr>
            </w:pPr>
          </w:p>
        </w:tc>
        <w:tc>
          <w:tcPr>
            <w:tcW w:w="113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45" w:type="dxa"/>
            <w:vAlign w:val="center"/>
          </w:tcPr>
          <w:p>
            <w:pPr>
              <w:spacing w:line="360" w:lineRule="auto"/>
              <w:jc w:val="center"/>
              <w:rPr>
                <w:rFonts w:hint="eastAsia" w:ascii="宋体" w:hAnsi="宋体" w:eastAsia="宋体" w:cs="宋体"/>
                <w:sz w:val="24"/>
                <w:szCs w:val="24"/>
                <w:highlight w:val="none"/>
              </w:rPr>
            </w:pPr>
          </w:p>
        </w:tc>
        <w:tc>
          <w:tcPr>
            <w:tcW w:w="1226" w:type="dxa"/>
            <w:vAlign w:val="center"/>
          </w:tcPr>
          <w:p>
            <w:pPr>
              <w:spacing w:line="360" w:lineRule="auto"/>
              <w:jc w:val="center"/>
              <w:rPr>
                <w:rFonts w:hint="eastAsia" w:ascii="宋体" w:hAnsi="宋体" w:eastAsia="宋体" w:cs="宋体"/>
                <w:sz w:val="24"/>
                <w:szCs w:val="24"/>
                <w:highlight w:val="none"/>
              </w:rPr>
            </w:pPr>
          </w:p>
        </w:tc>
        <w:tc>
          <w:tcPr>
            <w:tcW w:w="992" w:type="dxa"/>
            <w:vAlign w:val="center"/>
          </w:tcPr>
          <w:p>
            <w:pPr>
              <w:spacing w:line="360" w:lineRule="auto"/>
              <w:jc w:val="center"/>
              <w:rPr>
                <w:rFonts w:hint="eastAsia" w:ascii="宋体" w:hAnsi="宋体" w:eastAsia="宋体" w:cs="宋体"/>
                <w:sz w:val="24"/>
                <w:szCs w:val="24"/>
                <w:highlight w:val="none"/>
              </w:rPr>
            </w:pPr>
          </w:p>
        </w:tc>
        <w:tc>
          <w:tcPr>
            <w:tcW w:w="709" w:type="dxa"/>
            <w:vAlign w:val="center"/>
          </w:tcPr>
          <w:p>
            <w:pPr>
              <w:spacing w:line="360" w:lineRule="auto"/>
              <w:jc w:val="center"/>
              <w:rPr>
                <w:rFonts w:hint="eastAsia" w:ascii="宋体" w:hAnsi="宋体" w:eastAsia="宋体" w:cs="宋体"/>
                <w:sz w:val="24"/>
                <w:szCs w:val="24"/>
                <w:highlight w:val="none"/>
              </w:rPr>
            </w:pPr>
          </w:p>
        </w:tc>
        <w:tc>
          <w:tcPr>
            <w:tcW w:w="709"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134" w:type="dxa"/>
            <w:vAlign w:val="center"/>
          </w:tcPr>
          <w:p>
            <w:pPr>
              <w:spacing w:line="360" w:lineRule="auto"/>
              <w:jc w:val="center"/>
              <w:rPr>
                <w:rFonts w:hint="eastAsia" w:ascii="宋体" w:hAnsi="宋体" w:eastAsia="宋体" w:cs="宋体"/>
                <w:sz w:val="24"/>
                <w:szCs w:val="24"/>
                <w:highlight w:val="none"/>
              </w:rPr>
            </w:pPr>
          </w:p>
        </w:tc>
        <w:tc>
          <w:tcPr>
            <w:tcW w:w="1276" w:type="dxa"/>
            <w:vAlign w:val="center"/>
          </w:tcPr>
          <w:p>
            <w:pPr>
              <w:spacing w:line="360" w:lineRule="auto"/>
              <w:jc w:val="center"/>
              <w:rPr>
                <w:rFonts w:hint="eastAsia" w:ascii="宋体" w:hAnsi="宋体" w:eastAsia="宋体" w:cs="宋体"/>
                <w:sz w:val="24"/>
                <w:szCs w:val="24"/>
                <w:highlight w:val="none"/>
              </w:rPr>
            </w:pPr>
          </w:p>
        </w:tc>
        <w:tc>
          <w:tcPr>
            <w:tcW w:w="113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7"/>
        <w:spacing w:before="0" w:line="360" w:lineRule="auto"/>
        <w:rPr>
          <w:rFonts w:hint="eastAsia" w:ascii="宋体" w:hAnsi="宋体" w:eastAsia="宋体" w:cs="宋体"/>
          <w:sz w:val="24"/>
          <w:szCs w:val="24"/>
          <w:highlight w:val="none"/>
        </w:rPr>
      </w:pPr>
      <w:bookmarkStart w:id="1617" w:name="_Toc26141"/>
      <w:bookmarkStart w:id="1618" w:name="_Toc8842"/>
      <w:bookmarkStart w:id="1619" w:name="_Toc443466960"/>
      <w:bookmarkStart w:id="1620" w:name="_Toc414469043"/>
      <w:bookmarkStart w:id="1621" w:name="_Toc9988"/>
      <w:r>
        <w:rPr>
          <w:rFonts w:hint="eastAsia" w:ascii="宋体" w:hAnsi="宋体" w:eastAsia="宋体" w:cs="宋体"/>
          <w:sz w:val="24"/>
          <w:szCs w:val="24"/>
          <w:highlight w:val="none"/>
        </w:rPr>
        <w:t>附</w:t>
      </w:r>
      <w:bookmarkStart w:id="1622" w:name="_Toc296347225"/>
      <w:bookmarkStart w:id="1623" w:name="_Toc296891266"/>
      <w:bookmarkStart w:id="1624" w:name="_Toc296346727"/>
      <w:bookmarkStart w:id="1625" w:name="_Toc296503226"/>
      <w:bookmarkStart w:id="1626" w:name="_Toc296944565"/>
      <w:bookmarkStart w:id="1627" w:name="_Toc296891054"/>
      <w:bookmarkStart w:id="1628" w:name="_Toc267261693"/>
      <w:r>
        <w:rPr>
          <w:rFonts w:hint="eastAsia" w:ascii="宋体" w:hAnsi="宋体" w:eastAsia="宋体" w:cs="宋体"/>
          <w:sz w:val="24"/>
          <w:szCs w:val="24"/>
          <w:highlight w:val="none"/>
        </w:rPr>
        <w:t>件3：</w:t>
      </w:r>
      <w:bookmarkEnd w:id="1617"/>
      <w:bookmarkEnd w:id="1618"/>
      <w:bookmarkEnd w:id="1619"/>
      <w:bookmarkEnd w:id="1620"/>
      <w:bookmarkEnd w:id="1621"/>
      <w:bookmarkEnd w:id="1622"/>
      <w:bookmarkEnd w:id="1623"/>
      <w:bookmarkEnd w:id="1624"/>
      <w:bookmarkEnd w:id="1625"/>
      <w:bookmarkEnd w:id="1626"/>
      <w:bookmarkEnd w:id="1627"/>
      <w:bookmarkEnd w:id="1628"/>
    </w:p>
    <w:p>
      <w:pPr>
        <w:pStyle w:val="7"/>
        <w:spacing w:before="0" w:line="360" w:lineRule="auto"/>
        <w:rPr>
          <w:rFonts w:hint="eastAsia" w:ascii="宋体" w:hAnsi="宋体" w:eastAsia="宋体" w:cs="宋体"/>
          <w:sz w:val="24"/>
          <w:szCs w:val="24"/>
          <w:highlight w:val="none"/>
        </w:rPr>
      </w:pPr>
      <w:bookmarkStart w:id="1629" w:name="_Toc13171"/>
      <w:bookmarkStart w:id="1630" w:name="_Toc443466961"/>
      <w:bookmarkStart w:id="1631" w:name="_Toc4400"/>
      <w:bookmarkStart w:id="1632" w:name="_Toc16569"/>
      <w:r>
        <w:rPr>
          <w:rFonts w:hint="eastAsia" w:ascii="宋体" w:hAnsi="宋体" w:eastAsia="宋体" w:cs="宋体"/>
          <w:sz w:val="24"/>
          <w:szCs w:val="24"/>
          <w:highlight w:val="none"/>
        </w:rPr>
        <w:t>工程质量保修书</w:t>
      </w:r>
      <w:bookmarkEnd w:id="1629"/>
      <w:bookmarkEnd w:id="1630"/>
      <w:bookmarkEnd w:id="1631"/>
      <w:bookmarkEnd w:id="1632"/>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发包人（全称）：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承包人（全称）：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发包人和承包人根据《中华人民共和国建筑法》和《建设工程质量管理条例》，经协商一致就                （工程全称）签订工程质量保修书。</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一、工程质量保修范围和内容</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承包人在质量保修期内，按照有关法律规定和合同约定，承担工程质量保修责任。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质量保修范围包括地基基础工程、主体结构工程，屋面防水工程、房间和外墙面的防渗漏，电气管线、给排水管道、设备安装和装修工程，以及双方约定的其他项目。具体保修的内容，双方约定如下：</w:t>
      </w:r>
    </w:p>
    <w:p>
      <w:pPr>
        <w:spacing w:line="360" w:lineRule="auto"/>
        <w:ind w:left="115" w:leftChars="55" w:firstLine="304" w:firstLineChars="127"/>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二、质量保修期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根据《建设工程质量管理条例》及有关规定，工程的质量保修期如下：</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1．地基基础工程和主体结构工程为设计文件规定的工程合理使用年限；</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2．屋面防水工程、房间和外墙面的防渗为年；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3．装修工程为年；</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4．电气管线、给排水管道、设备安装工程为年；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5．其他项目保修期限约定如下：</w:t>
      </w:r>
    </w:p>
    <w:p>
      <w:pPr>
        <w:spacing w:line="360" w:lineRule="auto"/>
        <w:ind w:firstLine="424" w:firstLineChars="177"/>
        <w:rPr>
          <w:rFonts w:hint="eastAsia" w:ascii="宋体" w:hAnsi="宋体" w:eastAsia="宋体" w:cs="宋体"/>
          <w:sz w:val="24"/>
          <w:szCs w:val="24"/>
          <w:highlight w:val="none"/>
        </w:rPr>
      </w:pP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质量保修期自工程竣工验收合格之日起计算。</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三、缺陷责任期</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工程缺陷责任期为         个月，缺陷责任期自工程竣工验收合格之日起计算。单位工程先于全部工程进行验收，单位工程缺陷责任期自单位工程验收合格之日起算。</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缺陷责任期终止后，发包人应退还剩余的质量保证金。</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四、质量保修责任</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1．属于保修范围、内容的项目，承包人应当在接到保修通知之日起7天内派人保修。承包人不在约定期限内派人保修的，发包人可以委托他人修理。</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2．发生紧急事故需抢修的，承包人在接到事故通知后，应当立即到达事故现场抢修。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五、保修费用</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保修费用由造成质量缺陷的责任方承担。</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六、双方约定的其他工程质量保修事项：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工程质量保修书由发包人、承包人在工程竣工验收前共同签署，作为施工合同附件，其有效期限至保修期满。</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发包人(公章)：                                            承包人(公章)：          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                                        地  址： 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                                        法定代表人(签字)：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委托代理人(签字)：                                        委托代理人(签字)：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电  话：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  真：                                     传  真：  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开户银行：   </w:t>
      </w:r>
    </w:p>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账  号：                                             账  号：</w:t>
      </w:r>
      <w:bookmarkStart w:id="1633" w:name="_Toc414469045"/>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7"/>
        <w:spacing w:before="0" w:line="360" w:lineRule="auto"/>
        <w:rPr>
          <w:rFonts w:hint="eastAsia" w:ascii="宋体" w:hAnsi="宋体" w:eastAsia="宋体" w:cs="宋体"/>
          <w:sz w:val="24"/>
          <w:szCs w:val="24"/>
          <w:highlight w:val="none"/>
        </w:rPr>
      </w:pPr>
      <w:bookmarkStart w:id="1634" w:name="_Toc443466962"/>
      <w:bookmarkStart w:id="1635" w:name="_Toc19873"/>
      <w:bookmarkStart w:id="1636" w:name="_Toc24560"/>
      <w:bookmarkStart w:id="1637" w:name="_Toc4088"/>
      <w:r>
        <w:rPr>
          <w:rFonts w:hint="eastAsia" w:ascii="宋体" w:hAnsi="宋体" w:eastAsia="宋体" w:cs="宋体"/>
          <w:sz w:val="24"/>
          <w:szCs w:val="24"/>
          <w:highlight w:val="none"/>
        </w:rPr>
        <w:t>附件4：</w:t>
      </w:r>
      <w:bookmarkEnd w:id="1633"/>
      <w:bookmarkEnd w:id="1634"/>
      <w:bookmarkEnd w:id="1635"/>
      <w:bookmarkEnd w:id="1636"/>
      <w:bookmarkEnd w:id="1637"/>
    </w:p>
    <w:p>
      <w:pPr>
        <w:pStyle w:val="7"/>
        <w:spacing w:before="0" w:line="360" w:lineRule="auto"/>
        <w:rPr>
          <w:rFonts w:hint="eastAsia" w:ascii="宋体" w:hAnsi="宋体" w:eastAsia="宋体" w:cs="宋体"/>
          <w:sz w:val="24"/>
          <w:szCs w:val="24"/>
          <w:highlight w:val="none"/>
        </w:rPr>
      </w:pPr>
      <w:bookmarkStart w:id="1638" w:name="_Toc17626"/>
      <w:bookmarkStart w:id="1639" w:name="_Toc28245"/>
      <w:bookmarkStart w:id="1640" w:name="_Toc443466963"/>
      <w:bookmarkStart w:id="1641" w:name="_Toc15902"/>
      <w:r>
        <w:rPr>
          <w:rFonts w:hint="eastAsia" w:ascii="宋体" w:hAnsi="宋体" w:eastAsia="宋体" w:cs="宋体"/>
          <w:sz w:val="24"/>
          <w:szCs w:val="24"/>
          <w:highlight w:val="none"/>
        </w:rPr>
        <w:t>主要建设工程文件目录</w:t>
      </w:r>
      <w:bookmarkEnd w:id="1638"/>
      <w:bookmarkEnd w:id="1639"/>
      <w:bookmarkEnd w:id="1640"/>
      <w:bookmarkEnd w:id="1641"/>
    </w:p>
    <w:tbl>
      <w:tblPr>
        <w:tblStyle w:val="20"/>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 w:hRule="atLeast"/>
          <w:jc w:val="center"/>
        </w:trPr>
        <w:tc>
          <w:tcPr>
            <w:tcW w:w="1953"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文件名称</w:t>
            </w:r>
          </w:p>
        </w:tc>
        <w:tc>
          <w:tcPr>
            <w:tcW w:w="1276"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套数</w:t>
            </w:r>
          </w:p>
        </w:tc>
        <w:tc>
          <w:tcPr>
            <w:tcW w:w="1450"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费用（元）</w:t>
            </w:r>
          </w:p>
        </w:tc>
        <w:tc>
          <w:tcPr>
            <w:tcW w:w="1243"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w:t>
            </w:r>
          </w:p>
        </w:tc>
        <w:tc>
          <w:tcPr>
            <w:tcW w:w="1450"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移交时间</w:t>
            </w:r>
          </w:p>
        </w:tc>
        <w:tc>
          <w:tcPr>
            <w:tcW w:w="1667"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spacing w:line="360" w:lineRule="auto"/>
              <w:rPr>
                <w:rFonts w:hint="eastAsia" w:ascii="宋体" w:hAnsi="宋体" w:eastAsia="宋体" w:cs="宋体"/>
                <w:sz w:val="24"/>
                <w:szCs w:val="24"/>
                <w:highlight w:val="none"/>
              </w:rPr>
            </w:pPr>
          </w:p>
        </w:tc>
        <w:tc>
          <w:tcPr>
            <w:tcW w:w="1276" w:type="dxa"/>
            <w:tcBorders>
              <w:top w:val="double" w:color="auto" w:sz="6" w:space="0"/>
              <w:bottom w:val="single" w:color="auto" w:sz="6" w:space="0"/>
            </w:tcBorders>
            <w:vAlign w:val="center"/>
          </w:tcPr>
          <w:p>
            <w:pPr>
              <w:spacing w:line="360" w:lineRule="auto"/>
              <w:rPr>
                <w:rFonts w:hint="eastAsia" w:ascii="宋体" w:hAnsi="宋体" w:eastAsia="宋体" w:cs="宋体"/>
                <w:sz w:val="24"/>
                <w:szCs w:val="24"/>
                <w:highlight w:val="none"/>
              </w:rPr>
            </w:pPr>
          </w:p>
        </w:tc>
        <w:tc>
          <w:tcPr>
            <w:tcW w:w="1450" w:type="dxa"/>
            <w:tcBorders>
              <w:top w:val="double" w:color="auto" w:sz="6" w:space="0"/>
              <w:bottom w:val="single" w:color="auto" w:sz="6" w:space="0"/>
            </w:tcBorders>
            <w:vAlign w:val="center"/>
          </w:tcPr>
          <w:p>
            <w:pPr>
              <w:spacing w:line="360" w:lineRule="auto"/>
              <w:rPr>
                <w:rFonts w:hint="eastAsia" w:ascii="宋体" w:hAnsi="宋体" w:eastAsia="宋体" w:cs="宋体"/>
                <w:sz w:val="24"/>
                <w:szCs w:val="24"/>
                <w:highlight w:val="none"/>
              </w:rPr>
            </w:pPr>
          </w:p>
        </w:tc>
        <w:tc>
          <w:tcPr>
            <w:tcW w:w="1243" w:type="dxa"/>
            <w:tcBorders>
              <w:top w:val="double" w:color="auto" w:sz="6" w:space="0"/>
              <w:bottom w:val="single" w:color="auto" w:sz="6" w:space="0"/>
            </w:tcBorders>
            <w:vAlign w:val="center"/>
          </w:tcPr>
          <w:p>
            <w:pPr>
              <w:spacing w:line="360" w:lineRule="auto"/>
              <w:rPr>
                <w:rFonts w:hint="eastAsia" w:ascii="宋体" w:hAnsi="宋体" w:eastAsia="宋体" w:cs="宋体"/>
                <w:sz w:val="24"/>
                <w:szCs w:val="24"/>
                <w:highlight w:val="none"/>
              </w:rPr>
            </w:pPr>
          </w:p>
        </w:tc>
        <w:tc>
          <w:tcPr>
            <w:tcW w:w="1450" w:type="dxa"/>
            <w:tcBorders>
              <w:top w:val="double" w:color="auto" w:sz="6" w:space="0"/>
              <w:bottom w:val="single" w:color="auto" w:sz="6" w:space="0"/>
            </w:tcBorders>
            <w:vAlign w:val="center"/>
          </w:tcPr>
          <w:p>
            <w:pPr>
              <w:spacing w:line="360" w:lineRule="auto"/>
              <w:rPr>
                <w:rFonts w:hint="eastAsia" w:ascii="宋体" w:hAnsi="宋体" w:eastAsia="宋体" w:cs="宋体"/>
                <w:sz w:val="24"/>
                <w:szCs w:val="24"/>
                <w:highlight w:val="none"/>
              </w:rPr>
            </w:pPr>
          </w:p>
        </w:tc>
        <w:tc>
          <w:tcPr>
            <w:tcW w:w="1667" w:type="dxa"/>
            <w:tcBorders>
              <w:top w:val="double" w:color="auto" w:sz="6" w:space="0"/>
              <w:bottom w:val="single" w:color="auto" w:sz="6" w:space="0"/>
            </w:tcBorders>
            <w:vAlign w:val="center"/>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spacing w:line="360" w:lineRule="auto"/>
              <w:rPr>
                <w:rFonts w:hint="eastAsia" w:ascii="宋体" w:hAnsi="宋体" w:eastAsia="宋体" w:cs="宋体"/>
                <w:sz w:val="24"/>
                <w:szCs w:val="24"/>
                <w:highlight w:val="none"/>
              </w:rPr>
            </w:pPr>
          </w:p>
        </w:tc>
        <w:tc>
          <w:tcPr>
            <w:tcW w:w="1276" w:type="dxa"/>
            <w:tcBorders>
              <w:top w:val="nil"/>
            </w:tcBorders>
            <w:vAlign w:val="center"/>
          </w:tcPr>
          <w:p>
            <w:pPr>
              <w:spacing w:line="360" w:lineRule="auto"/>
              <w:rPr>
                <w:rFonts w:hint="eastAsia" w:ascii="宋体" w:hAnsi="宋体" w:eastAsia="宋体" w:cs="宋体"/>
                <w:sz w:val="24"/>
                <w:szCs w:val="24"/>
                <w:highlight w:val="none"/>
              </w:rPr>
            </w:pPr>
          </w:p>
        </w:tc>
        <w:tc>
          <w:tcPr>
            <w:tcW w:w="1450" w:type="dxa"/>
            <w:tcBorders>
              <w:top w:val="nil"/>
            </w:tcBorders>
            <w:vAlign w:val="center"/>
          </w:tcPr>
          <w:p>
            <w:pPr>
              <w:spacing w:line="360" w:lineRule="auto"/>
              <w:rPr>
                <w:rFonts w:hint="eastAsia" w:ascii="宋体" w:hAnsi="宋体" w:eastAsia="宋体" w:cs="宋体"/>
                <w:sz w:val="24"/>
                <w:szCs w:val="24"/>
                <w:highlight w:val="none"/>
              </w:rPr>
            </w:pPr>
          </w:p>
        </w:tc>
        <w:tc>
          <w:tcPr>
            <w:tcW w:w="1243" w:type="dxa"/>
            <w:tcBorders>
              <w:top w:val="nil"/>
            </w:tcBorders>
            <w:vAlign w:val="center"/>
          </w:tcPr>
          <w:p>
            <w:pPr>
              <w:spacing w:line="360" w:lineRule="auto"/>
              <w:rPr>
                <w:rFonts w:hint="eastAsia" w:ascii="宋体" w:hAnsi="宋体" w:eastAsia="宋体" w:cs="宋体"/>
                <w:sz w:val="24"/>
                <w:szCs w:val="24"/>
                <w:highlight w:val="none"/>
              </w:rPr>
            </w:pPr>
          </w:p>
        </w:tc>
        <w:tc>
          <w:tcPr>
            <w:tcW w:w="1450" w:type="dxa"/>
            <w:tcBorders>
              <w:top w:val="nil"/>
            </w:tcBorders>
            <w:vAlign w:val="center"/>
          </w:tcPr>
          <w:p>
            <w:pPr>
              <w:spacing w:line="360" w:lineRule="auto"/>
              <w:rPr>
                <w:rFonts w:hint="eastAsia" w:ascii="宋体" w:hAnsi="宋体" w:eastAsia="宋体" w:cs="宋体"/>
                <w:sz w:val="24"/>
                <w:szCs w:val="24"/>
                <w:highlight w:val="none"/>
              </w:rPr>
            </w:pPr>
          </w:p>
        </w:tc>
        <w:tc>
          <w:tcPr>
            <w:tcW w:w="1667" w:type="dxa"/>
            <w:tcBorders>
              <w:top w:val="nil"/>
            </w:tcBorders>
            <w:vAlign w:val="center"/>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hint="eastAsia" w:ascii="宋体" w:hAnsi="宋体" w:eastAsia="宋体" w:cs="宋体"/>
                <w:sz w:val="24"/>
                <w:szCs w:val="24"/>
                <w:highlight w:val="none"/>
              </w:rPr>
            </w:pPr>
          </w:p>
        </w:tc>
        <w:tc>
          <w:tcPr>
            <w:tcW w:w="1276" w:type="dxa"/>
            <w:vAlign w:val="center"/>
          </w:tcPr>
          <w:p>
            <w:pPr>
              <w:spacing w:line="360" w:lineRule="auto"/>
              <w:rPr>
                <w:rFonts w:hint="eastAsia" w:ascii="宋体" w:hAnsi="宋体" w:eastAsia="宋体" w:cs="宋体"/>
                <w:sz w:val="24"/>
                <w:szCs w:val="24"/>
                <w:highlight w:val="none"/>
              </w:rPr>
            </w:pPr>
          </w:p>
        </w:tc>
        <w:tc>
          <w:tcPr>
            <w:tcW w:w="1450" w:type="dxa"/>
            <w:vAlign w:val="center"/>
          </w:tcPr>
          <w:p>
            <w:pPr>
              <w:spacing w:line="360" w:lineRule="auto"/>
              <w:rPr>
                <w:rFonts w:hint="eastAsia" w:ascii="宋体" w:hAnsi="宋体" w:eastAsia="宋体" w:cs="宋体"/>
                <w:sz w:val="24"/>
                <w:szCs w:val="24"/>
                <w:highlight w:val="none"/>
              </w:rPr>
            </w:pPr>
          </w:p>
        </w:tc>
        <w:tc>
          <w:tcPr>
            <w:tcW w:w="1243" w:type="dxa"/>
            <w:vAlign w:val="center"/>
          </w:tcPr>
          <w:p>
            <w:pPr>
              <w:spacing w:line="360" w:lineRule="auto"/>
              <w:rPr>
                <w:rFonts w:hint="eastAsia" w:ascii="宋体" w:hAnsi="宋体" w:eastAsia="宋体" w:cs="宋体"/>
                <w:sz w:val="24"/>
                <w:szCs w:val="24"/>
                <w:highlight w:val="none"/>
              </w:rPr>
            </w:pPr>
          </w:p>
        </w:tc>
        <w:tc>
          <w:tcPr>
            <w:tcW w:w="1450" w:type="dxa"/>
            <w:vAlign w:val="center"/>
          </w:tcPr>
          <w:p>
            <w:pPr>
              <w:spacing w:line="360" w:lineRule="auto"/>
              <w:rPr>
                <w:rFonts w:hint="eastAsia" w:ascii="宋体" w:hAnsi="宋体" w:eastAsia="宋体" w:cs="宋体"/>
                <w:sz w:val="24"/>
                <w:szCs w:val="24"/>
                <w:highlight w:val="none"/>
              </w:rPr>
            </w:pPr>
          </w:p>
        </w:tc>
        <w:tc>
          <w:tcPr>
            <w:tcW w:w="1667" w:type="dxa"/>
            <w:vAlign w:val="center"/>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hint="eastAsia" w:ascii="宋体" w:hAnsi="宋体" w:eastAsia="宋体" w:cs="宋体"/>
                <w:sz w:val="24"/>
                <w:szCs w:val="24"/>
                <w:highlight w:val="none"/>
              </w:rPr>
            </w:pPr>
          </w:p>
        </w:tc>
        <w:tc>
          <w:tcPr>
            <w:tcW w:w="1276" w:type="dxa"/>
            <w:vAlign w:val="center"/>
          </w:tcPr>
          <w:p>
            <w:pPr>
              <w:spacing w:line="360" w:lineRule="auto"/>
              <w:rPr>
                <w:rFonts w:hint="eastAsia" w:ascii="宋体" w:hAnsi="宋体" w:eastAsia="宋体" w:cs="宋体"/>
                <w:sz w:val="24"/>
                <w:szCs w:val="24"/>
                <w:highlight w:val="none"/>
              </w:rPr>
            </w:pPr>
          </w:p>
        </w:tc>
        <w:tc>
          <w:tcPr>
            <w:tcW w:w="1450" w:type="dxa"/>
            <w:vAlign w:val="center"/>
          </w:tcPr>
          <w:p>
            <w:pPr>
              <w:spacing w:line="360" w:lineRule="auto"/>
              <w:rPr>
                <w:rFonts w:hint="eastAsia" w:ascii="宋体" w:hAnsi="宋体" w:eastAsia="宋体" w:cs="宋体"/>
                <w:sz w:val="24"/>
                <w:szCs w:val="24"/>
                <w:highlight w:val="none"/>
              </w:rPr>
            </w:pPr>
          </w:p>
        </w:tc>
        <w:tc>
          <w:tcPr>
            <w:tcW w:w="1243" w:type="dxa"/>
            <w:vAlign w:val="center"/>
          </w:tcPr>
          <w:p>
            <w:pPr>
              <w:spacing w:line="360" w:lineRule="auto"/>
              <w:rPr>
                <w:rFonts w:hint="eastAsia" w:ascii="宋体" w:hAnsi="宋体" w:eastAsia="宋体" w:cs="宋体"/>
                <w:sz w:val="24"/>
                <w:szCs w:val="24"/>
                <w:highlight w:val="none"/>
              </w:rPr>
            </w:pPr>
          </w:p>
        </w:tc>
        <w:tc>
          <w:tcPr>
            <w:tcW w:w="1450" w:type="dxa"/>
            <w:vAlign w:val="center"/>
          </w:tcPr>
          <w:p>
            <w:pPr>
              <w:spacing w:line="360" w:lineRule="auto"/>
              <w:rPr>
                <w:rFonts w:hint="eastAsia" w:ascii="宋体" w:hAnsi="宋体" w:eastAsia="宋体" w:cs="宋体"/>
                <w:sz w:val="24"/>
                <w:szCs w:val="24"/>
                <w:highlight w:val="none"/>
              </w:rPr>
            </w:pPr>
          </w:p>
        </w:tc>
        <w:tc>
          <w:tcPr>
            <w:tcW w:w="1667" w:type="dxa"/>
            <w:vAlign w:val="center"/>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hint="eastAsia" w:ascii="宋体" w:hAnsi="宋体" w:eastAsia="宋体" w:cs="宋体"/>
                <w:sz w:val="24"/>
                <w:szCs w:val="24"/>
                <w:highlight w:val="none"/>
              </w:rPr>
            </w:pPr>
          </w:p>
        </w:tc>
        <w:tc>
          <w:tcPr>
            <w:tcW w:w="1276" w:type="dxa"/>
            <w:vAlign w:val="center"/>
          </w:tcPr>
          <w:p>
            <w:pPr>
              <w:spacing w:line="360" w:lineRule="auto"/>
              <w:rPr>
                <w:rFonts w:hint="eastAsia" w:ascii="宋体" w:hAnsi="宋体" w:eastAsia="宋体" w:cs="宋体"/>
                <w:sz w:val="24"/>
                <w:szCs w:val="24"/>
                <w:highlight w:val="none"/>
              </w:rPr>
            </w:pPr>
          </w:p>
        </w:tc>
        <w:tc>
          <w:tcPr>
            <w:tcW w:w="1450" w:type="dxa"/>
            <w:vAlign w:val="center"/>
          </w:tcPr>
          <w:p>
            <w:pPr>
              <w:spacing w:line="360" w:lineRule="auto"/>
              <w:rPr>
                <w:rFonts w:hint="eastAsia" w:ascii="宋体" w:hAnsi="宋体" w:eastAsia="宋体" w:cs="宋体"/>
                <w:sz w:val="24"/>
                <w:szCs w:val="24"/>
                <w:highlight w:val="none"/>
              </w:rPr>
            </w:pPr>
          </w:p>
        </w:tc>
        <w:tc>
          <w:tcPr>
            <w:tcW w:w="1243" w:type="dxa"/>
            <w:vAlign w:val="center"/>
          </w:tcPr>
          <w:p>
            <w:pPr>
              <w:spacing w:line="360" w:lineRule="auto"/>
              <w:rPr>
                <w:rFonts w:hint="eastAsia" w:ascii="宋体" w:hAnsi="宋体" w:eastAsia="宋体" w:cs="宋体"/>
                <w:sz w:val="24"/>
                <w:szCs w:val="24"/>
                <w:highlight w:val="none"/>
              </w:rPr>
            </w:pPr>
          </w:p>
        </w:tc>
        <w:tc>
          <w:tcPr>
            <w:tcW w:w="1450" w:type="dxa"/>
            <w:vAlign w:val="center"/>
          </w:tcPr>
          <w:p>
            <w:pPr>
              <w:spacing w:line="360" w:lineRule="auto"/>
              <w:rPr>
                <w:rFonts w:hint="eastAsia" w:ascii="宋体" w:hAnsi="宋体" w:eastAsia="宋体" w:cs="宋体"/>
                <w:sz w:val="24"/>
                <w:szCs w:val="24"/>
                <w:highlight w:val="none"/>
              </w:rPr>
            </w:pPr>
          </w:p>
        </w:tc>
        <w:tc>
          <w:tcPr>
            <w:tcW w:w="1667" w:type="dxa"/>
            <w:vAlign w:val="center"/>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hint="eastAsia" w:ascii="宋体" w:hAnsi="宋体" w:eastAsia="宋体" w:cs="宋体"/>
                <w:sz w:val="24"/>
                <w:szCs w:val="24"/>
                <w:highlight w:val="none"/>
              </w:rPr>
            </w:pPr>
          </w:p>
        </w:tc>
        <w:tc>
          <w:tcPr>
            <w:tcW w:w="1276" w:type="dxa"/>
            <w:vAlign w:val="center"/>
          </w:tcPr>
          <w:p>
            <w:pPr>
              <w:spacing w:line="360" w:lineRule="auto"/>
              <w:rPr>
                <w:rFonts w:hint="eastAsia" w:ascii="宋体" w:hAnsi="宋体" w:eastAsia="宋体" w:cs="宋体"/>
                <w:sz w:val="24"/>
                <w:szCs w:val="24"/>
                <w:highlight w:val="none"/>
              </w:rPr>
            </w:pPr>
          </w:p>
        </w:tc>
        <w:tc>
          <w:tcPr>
            <w:tcW w:w="1450" w:type="dxa"/>
            <w:vAlign w:val="center"/>
          </w:tcPr>
          <w:p>
            <w:pPr>
              <w:spacing w:line="360" w:lineRule="auto"/>
              <w:rPr>
                <w:rFonts w:hint="eastAsia" w:ascii="宋体" w:hAnsi="宋体" w:eastAsia="宋体" w:cs="宋体"/>
                <w:sz w:val="24"/>
                <w:szCs w:val="24"/>
                <w:highlight w:val="none"/>
              </w:rPr>
            </w:pPr>
          </w:p>
        </w:tc>
        <w:tc>
          <w:tcPr>
            <w:tcW w:w="1243" w:type="dxa"/>
            <w:vAlign w:val="center"/>
          </w:tcPr>
          <w:p>
            <w:pPr>
              <w:spacing w:line="360" w:lineRule="auto"/>
              <w:rPr>
                <w:rFonts w:hint="eastAsia" w:ascii="宋体" w:hAnsi="宋体" w:eastAsia="宋体" w:cs="宋体"/>
                <w:sz w:val="24"/>
                <w:szCs w:val="24"/>
                <w:highlight w:val="none"/>
              </w:rPr>
            </w:pPr>
          </w:p>
        </w:tc>
        <w:tc>
          <w:tcPr>
            <w:tcW w:w="1450" w:type="dxa"/>
            <w:vAlign w:val="center"/>
          </w:tcPr>
          <w:p>
            <w:pPr>
              <w:spacing w:line="360" w:lineRule="auto"/>
              <w:rPr>
                <w:rFonts w:hint="eastAsia" w:ascii="宋体" w:hAnsi="宋体" w:eastAsia="宋体" w:cs="宋体"/>
                <w:sz w:val="24"/>
                <w:szCs w:val="24"/>
                <w:highlight w:val="none"/>
              </w:rPr>
            </w:pPr>
          </w:p>
        </w:tc>
        <w:tc>
          <w:tcPr>
            <w:tcW w:w="1667" w:type="dxa"/>
            <w:vAlign w:val="center"/>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hint="eastAsia" w:ascii="宋体" w:hAnsi="宋体" w:eastAsia="宋体" w:cs="宋体"/>
                <w:sz w:val="24"/>
                <w:szCs w:val="24"/>
                <w:highlight w:val="none"/>
              </w:rPr>
            </w:pPr>
          </w:p>
        </w:tc>
        <w:tc>
          <w:tcPr>
            <w:tcW w:w="1276"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243"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667" w:type="dxa"/>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hint="eastAsia" w:ascii="宋体" w:hAnsi="宋体" w:eastAsia="宋体" w:cs="宋体"/>
                <w:sz w:val="24"/>
                <w:szCs w:val="24"/>
                <w:highlight w:val="none"/>
              </w:rPr>
            </w:pPr>
          </w:p>
        </w:tc>
        <w:tc>
          <w:tcPr>
            <w:tcW w:w="1276" w:type="dxa"/>
            <w:vAlign w:val="center"/>
          </w:tcPr>
          <w:p>
            <w:pPr>
              <w:spacing w:line="360" w:lineRule="auto"/>
              <w:rPr>
                <w:rFonts w:hint="eastAsia" w:ascii="宋体" w:hAnsi="宋体" w:eastAsia="宋体" w:cs="宋体"/>
                <w:sz w:val="24"/>
                <w:szCs w:val="24"/>
                <w:highlight w:val="none"/>
              </w:rPr>
            </w:pPr>
          </w:p>
        </w:tc>
        <w:tc>
          <w:tcPr>
            <w:tcW w:w="1450" w:type="dxa"/>
            <w:vAlign w:val="center"/>
          </w:tcPr>
          <w:p>
            <w:pPr>
              <w:spacing w:line="360" w:lineRule="auto"/>
              <w:rPr>
                <w:rFonts w:hint="eastAsia" w:ascii="宋体" w:hAnsi="宋体" w:eastAsia="宋体" w:cs="宋体"/>
                <w:sz w:val="24"/>
                <w:szCs w:val="24"/>
                <w:highlight w:val="none"/>
              </w:rPr>
            </w:pPr>
          </w:p>
        </w:tc>
        <w:tc>
          <w:tcPr>
            <w:tcW w:w="1243" w:type="dxa"/>
            <w:vAlign w:val="center"/>
          </w:tcPr>
          <w:p>
            <w:pPr>
              <w:spacing w:line="360" w:lineRule="auto"/>
              <w:rPr>
                <w:rFonts w:hint="eastAsia" w:ascii="宋体" w:hAnsi="宋体" w:eastAsia="宋体" w:cs="宋体"/>
                <w:sz w:val="24"/>
                <w:szCs w:val="24"/>
                <w:highlight w:val="none"/>
              </w:rPr>
            </w:pPr>
          </w:p>
        </w:tc>
        <w:tc>
          <w:tcPr>
            <w:tcW w:w="1450" w:type="dxa"/>
            <w:vAlign w:val="center"/>
          </w:tcPr>
          <w:p>
            <w:pPr>
              <w:spacing w:line="360" w:lineRule="auto"/>
              <w:rPr>
                <w:rFonts w:hint="eastAsia" w:ascii="宋体" w:hAnsi="宋体" w:eastAsia="宋体" w:cs="宋体"/>
                <w:sz w:val="24"/>
                <w:szCs w:val="24"/>
                <w:highlight w:val="none"/>
              </w:rPr>
            </w:pPr>
          </w:p>
        </w:tc>
        <w:tc>
          <w:tcPr>
            <w:tcW w:w="1667" w:type="dxa"/>
            <w:vAlign w:val="center"/>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hint="eastAsia" w:ascii="宋体" w:hAnsi="宋体" w:eastAsia="宋体" w:cs="宋体"/>
                <w:sz w:val="24"/>
                <w:szCs w:val="24"/>
                <w:highlight w:val="none"/>
              </w:rPr>
            </w:pPr>
          </w:p>
        </w:tc>
        <w:tc>
          <w:tcPr>
            <w:tcW w:w="1276"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243"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667" w:type="dxa"/>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hint="eastAsia" w:ascii="宋体" w:hAnsi="宋体" w:eastAsia="宋体" w:cs="宋体"/>
                <w:sz w:val="24"/>
                <w:szCs w:val="24"/>
                <w:highlight w:val="none"/>
              </w:rPr>
            </w:pPr>
          </w:p>
        </w:tc>
        <w:tc>
          <w:tcPr>
            <w:tcW w:w="1276"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243"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667" w:type="dxa"/>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hint="eastAsia" w:ascii="宋体" w:hAnsi="宋体" w:eastAsia="宋体" w:cs="宋体"/>
                <w:sz w:val="24"/>
                <w:szCs w:val="24"/>
                <w:highlight w:val="none"/>
              </w:rPr>
            </w:pPr>
          </w:p>
        </w:tc>
        <w:tc>
          <w:tcPr>
            <w:tcW w:w="1276"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243"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667" w:type="dxa"/>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hint="eastAsia" w:ascii="宋体" w:hAnsi="宋体" w:eastAsia="宋体" w:cs="宋体"/>
                <w:sz w:val="24"/>
                <w:szCs w:val="24"/>
                <w:highlight w:val="none"/>
              </w:rPr>
            </w:pPr>
          </w:p>
        </w:tc>
        <w:tc>
          <w:tcPr>
            <w:tcW w:w="1276"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243"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667" w:type="dxa"/>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hint="eastAsia" w:ascii="宋体" w:hAnsi="宋体" w:eastAsia="宋体" w:cs="宋体"/>
                <w:sz w:val="24"/>
                <w:szCs w:val="24"/>
                <w:highlight w:val="none"/>
              </w:rPr>
            </w:pPr>
          </w:p>
        </w:tc>
        <w:tc>
          <w:tcPr>
            <w:tcW w:w="1276"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243"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667" w:type="dxa"/>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hint="eastAsia" w:ascii="宋体" w:hAnsi="宋体" w:eastAsia="宋体" w:cs="宋体"/>
                <w:sz w:val="24"/>
                <w:szCs w:val="24"/>
                <w:highlight w:val="none"/>
              </w:rPr>
            </w:pPr>
          </w:p>
        </w:tc>
        <w:tc>
          <w:tcPr>
            <w:tcW w:w="1276"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243"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667" w:type="dxa"/>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hint="eastAsia" w:ascii="宋体" w:hAnsi="宋体" w:eastAsia="宋体" w:cs="宋体"/>
                <w:sz w:val="24"/>
                <w:szCs w:val="24"/>
                <w:highlight w:val="none"/>
              </w:rPr>
            </w:pPr>
          </w:p>
        </w:tc>
        <w:tc>
          <w:tcPr>
            <w:tcW w:w="1276"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243"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667" w:type="dxa"/>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hint="eastAsia" w:ascii="宋体" w:hAnsi="宋体" w:eastAsia="宋体" w:cs="宋体"/>
                <w:sz w:val="24"/>
                <w:szCs w:val="24"/>
                <w:highlight w:val="none"/>
              </w:rPr>
            </w:pPr>
          </w:p>
        </w:tc>
        <w:tc>
          <w:tcPr>
            <w:tcW w:w="1276"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243"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667" w:type="dxa"/>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hint="eastAsia" w:ascii="宋体" w:hAnsi="宋体" w:eastAsia="宋体" w:cs="宋体"/>
                <w:sz w:val="24"/>
                <w:szCs w:val="24"/>
                <w:highlight w:val="none"/>
              </w:rPr>
            </w:pPr>
          </w:p>
        </w:tc>
        <w:tc>
          <w:tcPr>
            <w:tcW w:w="1276"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243" w:type="dxa"/>
          </w:tcPr>
          <w:p>
            <w:pPr>
              <w:spacing w:line="360" w:lineRule="auto"/>
              <w:rPr>
                <w:rFonts w:hint="eastAsia" w:ascii="宋体" w:hAnsi="宋体" w:eastAsia="宋体" w:cs="宋体"/>
                <w:sz w:val="24"/>
                <w:szCs w:val="24"/>
                <w:highlight w:val="none"/>
              </w:rPr>
            </w:pPr>
          </w:p>
        </w:tc>
        <w:tc>
          <w:tcPr>
            <w:tcW w:w="1450" w:type="dxa"/>
          </w:tcPr>
          <w:p>
            <w:pPr>
              <w:spacing w:line="360" w:lineRule="auto"/>
              <w:rPr>
                <w:rFonts w:hint="eastAsia" w:ascii="宋体" w:hAnsi="宋体" w:eastAsia="宋体" w:cs="宋体"/>
                <w:sz w:val="24"/>
                <w:szCs w:val="24"/>
                <w:highlight w:val="none"/>
              </w:rPr>
            </w:pPr>
          </w:p>
        </w:tc>
        <w:tc>
          <w:tcPr>
            <w:tcW w:w="1667" w:type="dxa"/>
          </w:tcPr>
          <w:p>
            <w:pPr>
              <w:spacing w:line="360" w:lineRule="auto"/>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p>
    <w:p>
      <w:pPr>
        <w:pStyle w:val="7"/>
        <w:spacing w:before="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1642" w:name="_Toc443466964"/>
      <w:bookmarkStart w:id="1643" w:name="_Toc30507"/>
      <w:bookmarkStart w:id="1644" w:name="_Toc414469047"/>
      <w:bookmarkStart w:id="1645" w:name="_Toc21369"/>
      <w:bookmarkStart w:id="1646" w:name="_Toc7765"/>
      <w:r>
        <w:rPr>
          <w:rFonts w:hint="eastAsia" w:ascii="宋体" w:hAnsi="宋体" w:eastAsia="宋体" w:cs="宋体"/>
          <w:sz w:val="24"/>
          <w:szCs w:val="24"/>
          <w:highlight w:val="none"/>
        </w:rPr>
        <w:t>附</w:t>
      </w:r>
      <w:bookmarkStart w:id="1647" w:name="_Toc296891267"/>
      <w:bookmarkStart w:id="1648" w:name="_Toc296891055"/>
      <w:bookmarkStart w:id="1649" w:name="_Toc296503227"/>
      <w:bookmarkStart w:id="1650" w:name="_Toc296944566"/>
      <w:bookmarkStart w:id="1651" w:name="_Toc296346728"/>
      <w:bookmarkStart w:id="1652" w:name="_Toc296347226"/>
      <w:bookmarkStart w:id="1653" w:name="_Toc267261698"/>
      <w:r>
        <w:rPr>
          <w:rFonts w:hint="eastAsia" w:ascii="宋体" w:hAnsi="宋体" w:eastAsia="宋体" w:cs="宋体"/>
          <w:sz w:val="24"/>
          <w:szCs w:val="24"/>
          <w:highlight w:val="none"/>
        </w:rPr>
        <w:t>件5：</w:t>
      </w:r>
      <w:bookmarkEnd w:id="1642"/>
      <w:bookmarkEnd w:id="1643"/>
      <w:bookmarkEnd w:id="1644"/>
      <w:bookmarkEnd w:id="1645"/>
      <w:bookmarkEnd w:id="1646"/>
    </w:p>
    <w:bookmarkEnd w:id="1647"/>
    <w:bookmarkEnd w:id="1648"/>
    <w:bookmarkEnd w:id="1649"/>
    <w:bookmarkEnd w:id="1650"/>
    <w:bookmarkEnd w:id="1651"/>
    <w:bookmarkEnd w:id="1652"/>
    <w:bookmarkEnd w:id="1653"/>
    <w:p>
      <w:pPr>
        <w:pStyle w:val="7"/>
        <w:spacing w:before="0" w:line="360" w:lineRule="auto"/>
        <w:rPr>
          <w:rFonts w:hint="eastAsia" w:ascii="宋体" w:hAnsi="宋体" w:eastAsia="宋体" w:cs="宋体"/>
          <w:sz w:val="24"/>
          <w:szCs w:val="24"/>
          <w:highlight w:val="none"/>
        </w:rPr>
      </w:pPr>
      <w:bookmarkStart w:id="1654" w:name="_Toc13769"/>
      <w:bookmarkStart w:id="1655" w:name="_Toc443466965"/>
      <w:bookmarkStart w:id="1656" w:name="_Toc25387"/>
      <w:bookmarkStart w:id="1657" w:name="_Toc30884"/>
      <w:r>
        <w:rPr>
          <w:rFonts w:hint="eastAsia" w:ascii="宋体" w:hAnsi="宋体" w:eastAsia="宋体" w:cs="宋体"/>
          <w:sz w:val="24"/>
          <w:szCs w:val="24"/>
          <w:highlight w:val="none"/>
        </w:rPr>
        <w:t>承包人用于本工程施工的机械设备表</w:t>
      </w:r>
      <w:bookmarkEnd w:id="1654"/>
      <w:bookmarkEnd w:id="1655"/>
      <w:bookmarkEnd w:id="1656"/>
      <w:bookmarkEnd w:id="1657"/>
    </w:p>
    <w:tbl>
      <w:tblPr>
        <w:tblStyle w:val="2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18"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机械或设备名称</w:t>
            </w:r>
          </w:p>
        </w:tc>
        <w:tc>
          <w:tcPr>
            <w:tcW w:w="850"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1058"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80"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产地</w:t>
            </w:r>
          </w:p>
        </w:tc>
        <w:tc>
          <w:tcPr>
            <w:tcW w:w="1020"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制造年份</w:t>
            </w:r>
          </w:p>
        </w:tc>
        <w:tc>
          <w:tcPr>
            <w:tcW w:w="1480"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额定功率(kW)</w:t>
            </w:r>
          </w:p>
        </w:tc>
        <w:tc>
          <w:tcPr>
            <w:tcW w:w="1020"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生产能力</w:t>
            </w:r>
          </w:p>
        </w:tc>
        <w:tc>
          <w:tcPr>
            <w:tcW w:w="921"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418"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850"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058"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880"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020"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480"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020"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921"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41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85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5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88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2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48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020"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921" w:type="dxa"/>
            <w:tcBorders>
              <w:top w:val="nil"/>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850" w:type="dxa"/>
            <w:vAlign w:val="center"/>
          </w:tcPr>
          <w:p>
            <w:pPr>
              <w:spacing w:line="360" w:lineRule="auto"/>
              <w:jc w:val="center"/>
              <w:rPr>
                <w:rFonts w:hint="eastAsia" w:ascii="宋体" w:hAnsi="宋体" w:eastAsia="宋体" w:cs="宋体"/>
                <w:sz w:val="24"/>
                <w:szCs w:val="24"/>
                <w:highlight w:val="none"/>
              </w:rPr>
            </w:pPr>
          </w:p>
        </w:tc>
        <w:tc>
          <w:tcPr>
            <w:tcW w:w="1058" w:type="dxa"/>
            <w:vAlign w:val="center"/>
          </w:tcPr>
          <w:p>
            <w:pPr>
              <w:spacing w:line="360" w:lineRule="auto"/>
              <w:jc w:val="center"/>
              <w:rPr>
                <w:rFonts w:hint="eastAsia" w:ascii="宋体" w:hAnsi="宋体" w:eastAsia="宋体" w:cs="宋体"/>
                <w:sz w:val="24"/>
                <w:szCs w:val="24"/>
                <w:highlight w:val="none"/>
              </w:rPr>
            </w:pPr>
          </w:p>
        </w:tc>
        <w:tc>
          <w:tcPr>
            <w:tcW w:w="8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1480" w:type="dxa"/>
            <w:vAlign w:val="center"/>
          </w:tcPr>
          <w:p>
            <w:pPr>
              <w:spacing w:line="360" w:lineRule="auto"/>
              <w:jc w:val="center"/>
              <w:rPr>
                <w:rFonts w:hint="eastAsia" w:ascii="宋体" w:hAnsi="宋体" w:eastAsia="宋体" w:cs="宋体"/>
                <w:sz w:val="24"/>
                <w:szCs w:val="24"/>
                <w:highlight w:val="none"/>
              </w:rPr>
            </w:pPr>
          </w:p>
        </w:tc>
        <w:tc>
          <w:tcPr>
            <w:tcW w:w="1020" w:type="dxa"/>
            <w:vAlign w:val="center"/>
          </w:tcPr>
          <w:p>
            <w:pPr>
              <w:spacing w:line="360" w:lineRule="auto"/>
              <w:jc w:val="center"/>
              <w:rPr>
                <w:rFonts w:hint="eastAsia" w:ascii="宋体" w:hAnsi="宋体" w:eastAsia="宋体" w:cs="宋体"/>
                <w:sz w:val="24"/>
                <w:szCs w:val="24"/>
                <w:highlight w:val="none"/>
              </w:rPr>
            </w:pPr>
          </w:p>
        </w:tc>
        <w:tc>
          <w:tcPr>
            <w:tcW w:w="921" w:type="dxa"/>
            <w:vAlign w:val="center"/>
          </w:tcPr>
          <w:p>
            <w:pPr>
              <w:spacing w:line="360" w:lineRule="auto"/>
              <w:jc w:val="center"/>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p>
    <w:p>
      <w:pPr>
        <w:rPr>
          <w:rFonts w:hint="eastAsia"/>
        </w:rPr>
      </w:pPr>
      <w:bookmarkStart w:id="1658" w:name="_Toc414469049"/>
      <w:bookmarkStart w:id="1659" w:name="_Toc443466966"/>
    </w:p>
    <w:p>
      <w:pPr>
        <w:pStyle w:val="7"/>
        <w:spacing w:before="0" w:line="360" w:lineRule="auto"/>
        <w:rPr>
          <w:rFonts w:hint="eastAsia" w:ascii="宋体" w:hAnsi="宋体" w:eastAsia="宋体" w:cs="宋体"/>
          <w:sz w:val="24"/>
          <w:szCs w:val="24"/>
          <w:highlight w:val="none"/>
        </w:rPr>
      </w:pPr>
      <w:bookmarkStart w:id="1660" w:name="_Toc20882"/>
      <w:bookmarkStart w:id="1661" w:name="_Toc13250"/>
      <w:bookmarkStart w:id="1662" w:name="_Toc18889"/>
      <w:r>
        <w:rPr>
          <w:rFonts w:hint="eastAsia" w:ascii="宋体" w:hAnsi="宋体" w:eastAsia="宋体" w:cs="宋体"/>
          <w:sz w:val="24"/>
          <w:szCs w:val="24"/>
          <w:highlight w:val="none"/>
        </w:rPr>
        <w:t>附</w:t>
      </w:r>
      <w:bookmarkStart w:id="1663" w:name="_Toc296944567"/>
      <w:bookmarkStart w:id="1664" w:name="_Toc296891056"/>
      <w:bookmarkStart w:id="1665" w:name="_Toc296347227"/>
      <w:bookmarkStart w:id="1666" w:name="_Toc267261699"/>
      <w:bookmarkStart w:id="1667" w:name="_Toc296346729"/>
      <w:bookmarkStart w:id="1668" w:name="_Toc296891268"/>
      <w:bookmarkStart w:id="1669" w:name="_Toc296503228"/>
      <w:r>
        <w:rPr>
          <w:rFonts w:hint="eastAsia" w:ascii="宋体" w:hAnsi="宋体" w:eastAsia="宋体" w:cs="宋体"/>
          <w:sz w:val="24"/>
          <w:szCs w:val="24"/>
          <w:highlight w:val="none"/>
        </w:rPr>
        <w:t>件6：</w:t>
      </w:r>
      <w:bookmarkEnd w:id="1658"/>
      <w:bookmarkEnd w:id="1659"/>
      <w:bookmarkEnd w:id="1660"/>
      <w:bookmarkEnd w:id="1661"/>
      <w:bookmarkEnd w:id="1662"/>
    </w:p>
    <w:bookmarkEnd w:id="1663"/>
    <w:bookmarkEnd w:id="1664"/>
    <w:bookmarkEnd w:id="1665"/>
    <w:bookmarkEnd w:id="1666"/>
    <w:bookmarkEnd w:id="1667"/>
    <w:bookmarkEnd w:id="1668"/>
    <w:bookmarkEnd w:id="1669"/>
    <w:p>
      <w:pPr>
        <w:pStyle w:val="7"/>
        <w:spacing w:before="0" w:line="360" w:lineRule="auto"/>
        <w:rPr>
          <w:rFonts w:hint="eastAsia" w:ascii="宋体" w:hAnsi="宋体" w:eastAsia="宋体" w:cs="宋体"/>
          <w:sz w:val="24"/>
          <w:szCs w:val="24"/>
          <w:highlight w:val="none"/>
        </w:rPr>
      </w:pPr>
      <w:bookmarkStart w:id="1670" w:name="_Toc3646"/>
      <w:bookmarkStart w:id="1671" w:name="_Toc859"/>
      <w:bookmarkStart w:id="1672" w:name="_Toc443466967"/>
      <w:bookmarkStart w:id="1673" w:name="_Toc27623"/>
      <w:r>
        <w:rPr>
          <w:rFonts w:hint="eastAsia" w:ascii="宋体" w:hAnsi="宋体" w:eastAsia="宋体" w:cs="宋体"/>
          <w:sz w:val="24"/>
          <w:szCs w:val="24"/>
          <w:highlight w:val="none"/>
        </w:rPr>
        <w:t>承包人主要施工管理人员表</w:t>
      </w:r>
      <w:bookmarkEnd w:id="1670"/>
      <w:bookmarkEnd w:id="1671"/>
      <w:bookmarkEnd w:id="1672"/>
      <w:bookmarkEnd w:id="1673"/>
    </w:p>
    <w:tbl>
      <w:tblPr>
        <w:tblStyle w:val="2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418" w:type="dxa"/>
            <w:tcBorders>
              <w:top w:val="single" w:color="auto" w:sz="12" w:space="0"/>
              <w:bottom w:val="doub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134" w:type="dxa"/>
            <w:tcBorders>
              <w:top w:val="single" w:color="auto" w:sz="12" w:space="0"/>
              <w:bottom w:val="doub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134" w:type="dxa"/>
            <w:tcBorders>
              <w:top w:val="single" w:color="auto" w:sz="12" w:space="0"/>
              <w:bottom w:val="doub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4252" w:type="dxa"/>
            <w:tcBorders>
              <w:top w:val="single" w:color="auto" w:sz="12" w:space="0"/>
              <w:bottom w:val="doub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项目主管</w:t>
            </w:r>
          </w:p>
        </w:tc>
        <w:tc>
          <w:tcPr>
            <w:tcW w:w="1418" w:type="dxa"/>
            <w:tcBorders>
              <w:top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1134" w:type="dxa"/>
            <w:tcBorders>
              <w:top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1134" w:type="dxa"/>
            <w:tcBorders>
              <w:top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4252" w:type="dxa"/>
            <w:tcBorders>
              <w:top w:val="nil"/>
            </w:tcBorders>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其他人员</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4" w:firstLineChars="177"/>
              <w:rPr>
                <w:rFonts w:hint="eastAsia" w:ascii="宋体" w:hAnsi="宋体" w:eastAsia="宋体" w:cs="宋体"/>
                <w:sz w:val="24"/>
                <w:szCs w:val="24"/>
                <w:highlight w:val="none"/>
              </w:rPr>
            </w:pP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360" w:lineRule="auto"/>
              <w:ind w:firstLine="424" w:firstLineChars="177"/>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项目副经理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造价管理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质量管理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材料管理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计划管理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安全管理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其他人员</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4" w:firstLineChars="177"/>
              <w:rPr>
                <w:rFonts w:hint="eastAsia" w:ascii="宋体" w:hAnsi="宋体" w:eastAsia="宋体" w:cs="宋体"/>
                <w:sz w:val="24"/>
                <w:szCs w:val="24"/>
                <w:highlight w:val="none"/>
              </w:rPr>
            </w:pPr>
          </w:p>
        </w:tc>
        <w:tc>
          <w:tcPr>
            <w:tcW w:w="1418" w:type="dxa"/>
            <w:tcBorders>
              <w:bottom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1134" w:type="dxa"/>
            <w:tcBorders>
              <w:bottom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1134" w:type="dxa"/>
            <w:tcBorders>
              <w:bottom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4252" w:type="dxa"/>
            <w:tcBorders>
              <w:bottom w:val="nil"/>
            </w:tcBorders>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4" w:firstLineChars="177"/>
              <w:rPr>
                <w:rFonts w:hint="eastAsia" w:ascii="宋体" w:hAnsi="宋体" w:eastAsia="宋体" w:cs="宋体"/>
                <w:sz w:val="24"/>
                <w:szCs w:val="24"/>
                <w:highlight w:val="none"/>
              </w:rPr>
            </w:pP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4" w:firstLineChars="177"/>
              <w:rPr>
                <w:rFonts w:hint="eastAsia" w:ascii="宋体" w:hAnsi="宋体" w:eastAsia="宋体" w:cs="宋体"/>
                <w:sz w:val="24"/>
                <w:szCs w:val="24"/>
                <w:highlight w:val="none"/>
              </w:rPr>
            </w:pP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4" w:firstLineChars="177"/>
              <w:rPr>
                <w:rFonts w:hint="eastAsia" w:ascii="宋体" w:hAnsi="宋体" w:eastAsia="宋体" w:cs="宋体"/>
                <w:sz w:val="24"/>
                <w:szCs w:val="24"/>
                <w:highlight w:val="none"/>
              </w:rPr>
            </w:pP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spacing w:line="360" w:lineRule="auto"/>
              <w:ind w:firstLine="424" w:firstLineChars="177"/>
              <w:rPr>
                <w:rFonts w:hint="eastAsia" w:ascii="宋体" w:hAnsi="宋体" w:eastAsia="宋体" w:cs="宋体"/>
                <w:sz w:val="24"/>
                <w:szCs w:val="24"/>
                <w:highlight w:val="none"/>
              </w:rPr>
            </w:pPr>
          </w:p>
        </w:tc>
        <w:tc>
          <w:tcPr>
            <w:tcW w:w="1418" w:type="dxa"/>
            <w:tcBorders>
              <w:bottom w:val="single" w:color="auto" w:sz="12" w:space="0"/>
            </w:tcBorders>
            <w:vAlign w:val="center"/>
          </w:tcPr>
          <w:p>
            <w:pPr>
              <w:spacing w:line="360" w:lineRule="auto"/>
              <w:ind w:firstLine="424" w:firstLineChars="177"/>
              <w:rPr>
                <w:rFonts w:hint="eastAsia" w:ascii="宋体" w:hAnsi="宋体" w:eastAsia="宋体" w:cs="宋体"/>
                <w:sz w:val="24"/>
                <w:szCs w:val="24"/>
                <w:highlight w:val="none"/>
              </w:rPr>
            </w:pPr>
          </w:p>
        </w:tc>
        <w:tc>
          <w:tcPr>
            <w:tcW w:w="1134" w:type="dxa"/>
            <w:tcBorders>
              <w:bottom w:val="single" w:color="auto" w:sz="12" w:space="0"/>
            </w:tcBorders>
            <w:vAlign w:val="center"/>
          </w:tcPr>
          <w:p>
            <w:pPr>
              <w:spacing w:line="360" w:lineRule="auto"/>
              <w:ind w:firstLine="424" w:firstLineChars="177"/>
              <w:rPr>
                <w:rFonts w:hint="eastAsia" w:ascii="宋体" w:hAnsi="宋体" w:eastAsia="宋体" w:cs="宋体"/>
                <w:sz w:val="24"/>
                <w:szCs w:val="24"/>
                <w:highlight w:val="none"/>
              </w:rPr>
            </w:pPr>
          </w:p>
        </w:tc>
        <w:tc>
          <w:tcPr>
            <w:tcW w:w="1134" w:type="dxa"/>
            <w:tcBorders>
              <w:bottom w:val="single" w:color="auto" w:sz="12" w:space="0"/>
            </w:tcBorders>
            <w:vAlign w:val="center"/>
          </w:tcPr>
          <w:p>
            <w:pPr>
              <w:spacing w:line="360" w:lineRule="auto"/>
              <w:ind w:firstLine="424" w:firstLineChars="177"/>
              <w:rPr>
                <w:rFonts w:hint="eastAsia" w:ascii="宋体" w:hAnsi="宋体" w:eastAsia="宋体" w:cs="宋体"/>
                <w:sz w:val="24"/>
                <w:szCs w:val="24"/>
                <w:highlight w:val="none"/>
              </w:rPr>
            </w:pPr>
          </w:p>
        </w:tc>
        <w:tc>
          <w:tcPr>
            <w:tcW w:w="4252" w:type="dxa"/>
            <w:tcBorders>
              <w:bottom w:val="single" w:color="auto" w:sz="12" w:space="0"/>
            </w:tcBorders>
            <w:vAlign w:val="center"/>
          </w:tcPr>
          <w:p>
            <w:pPr>
              <w:spacing w:line="360" w:lineRule="auto"/>
              <w:ind w:firstLine="424" w:firstLineChars="177"/>
              <w:rPr>
                <w:rFonts w:hint="eastAsia" w:ascii="宋体" w:hAnsi="宋体" w:eastAsia="宋体" w:cs="宋体"/>
                <w:sz w:val="24"/>
                <w:szCs w:val="24"/>
                <w:highlight w:val="none"/>
              </w:rPr>
            </w:pPr>
          </w:p>
        </w:tc>
      </w:tr>
    </w:tbl>
    <w:p>
      <w:pPr>
        <w:pStyle w:val="7"/>
        <w:spacing w:before="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1674" w:name="_Toc1682"/>
      <w:bookmarkStart w:id="1675" w:name="_Toc24467"/>
      <w:bookmarkStart w:id="1676" w:name="_Toc414469051"/>
      <w:bookmarkStart w:id="1677" w:name="_Toc443466968"/>
      <w:bookmarkStart w:id="1678" w:name="_Toc28720"/>
      <w:r>
        <w:rPr>
          <w:rFonts w:hint="eastAsia" w:ascii="宋体" w:hAnsi="宋体" w:eastAsia="宋体" w:cs="宋体"/>
          <w:sz w:val="24"/>
          <w:szCs w:val="24"/>
          <w:highlight w:val="none"/>
        </w:rPr>
        <w:t>附</w:t>
      </w:r>
      <w:bookmarkStart w:id="1679" w:name="_Toc296891057"/>
      <w:bookmarkStart w:id="1680" w:name="_Toc296346730"/>
      <w:bookmarkStart w:id="1681" w:name="_Toc296347228"/>
      <w:bookmarkStart w:id="1682" w:name="_Toc296891269"/>
      <w:bookmarkStart w:id="1683" w:name="_Toc296503229"/>
      <w:bookmarkStart w:id="1684" w:name="_Toc296944568"/>
      <w:r>
        <w:rPr>
          <w:rFonts w:hint="eastAsia" w:ascii="宋体" w:hAnsi="宋体" w:eastAsia="宋体" w:cs="宋体"/>
          <w:sz w:val="24"/>
          <w:szCs w:val="24"/>
          <w:highlight w:val="none"/>
        </w:rPr>
        <w:t>件7：</w:t>
      </w:r>
      <w:bookmarkEnd w:id="1674"/>
      <w:bookmarkEnd w:id="1675"/>
      <w:bookmarkEnd w:id="1676"/>
      <w:bookmarkEnd w:id="1677"/>
      <w:bookmarkEnd w:id="1678"/>
    </w:p>
    <w:bookmarkEnd w:id="1679"/>
    <w:bookmarkEnd w:id="1680"/>
    <w:bookmarkEnd w:id="1681"/>
    <w:bookmarkEnd w:id="1682"/>
    <w:bookmarkEnd w:id="1683"/>
    <w:bookmarkEnd w:id="1684"/>
    <w:p>
      <w:pPr>
        <w:pStyle w:val="7"/>
        <w:spacing w:before="0" w:line="360" w:lineRule="auto"/>
        <w:rPr>
          <w:rFonts w:hint="eastAsia" w:ascii="宋体" w:hAnsi="宋体" w:eastAsia="宋体" w:cs="宋体"/>
          <w:sz w:val="24"/>
          <w:szCs w:val="24"/>
          <w:highlight w:val="none"/>
        </w:rPr>
      </w:pPr>
      <w:bookmarkStart w:id="1685" w:name="_Toc443466969"/>
      <w:bookmarkStart w:id="1686" w:name="_Toc2135"/>
      <w:bookmarkStart w:id="1687" w:name="_Toc7643"/>
      <w:bookmarkStart w:id="1688" w:name="_Toc28470"/>
      <w:r>
        <w:rPr>
          <w:rFonts w:hint="eastAsia" w:ascii="宋体" w:hAnsi="宋体" w:eastAsia="宋体" w:cs="宋体"/>
          <w:sz w:val="24"/>
          <w:szCs w:val="24"/>
          <w:highlight w:val="none"/>
        </w:rPr>
        <w:t>分包人主要施工管理人员表</w:t>
      </w:r>
      <w:bookmarkEnd w:id="1685"/>
      <w:r>
        <w:rPr>
          <w:rFonts w:hint="eastAsia" w:ascii="宋体" w:hAnsi="宋体" w:eastAsia="宋体" w:cs="宋体"/>
          <w:sz w:val="24"/>
          <w:szCs w:val="24"/>
          <w:highlight w:val="none"/>
        </w:rPr>
        <w:t>（本项目不适用）</w:t>
      </w:r>
      <w:bookmarkEnd w:id="1686"/>
      <w:bookmarkEnd w:id="1687"/>
      <w:bookmarkEnd w:id="1688"/>
    </w:p>
    <w:tbl>
      <w:tblPr>
        <w:tblStyle w:val="2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418" w:type="dxa"/>
            <w:tcBorders>
              <w:top w:val="single" w:color="auto" w:sz="12" w:space="0"/>
              <w:bottom w:val="doub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134" w:type="dxa"/>
            <w:tcBorders>
              <w:top w:val="single" w:color="auto" w:sz="12" w:space="0"/>
              <w:bottom w:val="doub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134" w:type="dxa"/>
            <w:tcBorders>
              <w:top w:val="single" w:color="auto" w:sz="12" w:space="0"/>
              <w:bottom w:val="doub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4252" w:type="dxa"/>
            <w:tcBorders>
              <w:top w:val="single" w:color="auto" w:sz="12" w:space="0"/>
              <w:bottom w:val="doub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360" w:lineRule="auto"/>
              <w:ind w:firstLine="424" w:firstLineChars="177"/>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项目主管</w:t>
            </w:r>
          </w:p>
        </w:tc>
        <w:tc>
          <w:tcPr>
            <w:tcW w:w="1418" w:type="dxa"/>
            <w:tcBorders>
              <w:top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1134" w:type="dxa"/>
            <w:tcBorders>
              <w:top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1134" w:type="dxa"/>
            <w:tcBorders>
              <w:top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4252" w:type="dxa"/>
            <w:tcBorders>
              <w:top w:val="nil"/>
            </w:tcBorders>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其他人员</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360" w:lineRule="auto"/>
              <w:ind w:firstLine="424" w:firstLineChars="177"/>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项目副经理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造价管理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质量管理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材料管理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计划管理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安全管理</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其他人员</w:t>
            </w: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4" w:firstLineChars="177"/>
              <w:rPr>
                <w:rFonts w:hint="eastAsia" w:ascii="宋体" w:hAnsi="宋体" w:eastAsia="宋体" w:cs="宋体"/>
                <w:sz w:val="24"/>
                <w:szCs w:val="24"/>
                <w:highlight w:val="none"/>
              </w:rPr>
            </w:pPr>
          </w:p>
        </w:tc>
        <w:tc>
          <w:tcPr>
            <w:tcW w:w="1418" w:type="dxa"/>
            <w:tcBorders>
              <w:bottom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1134" w:type="dxa"/>
            <w:tcBorders>
              <w:bottom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1134" w:type="dxa"/>
            <w:tcBorders>
              <w:bottom w:val="nil"/>
            </w:tcBorders>
            <w:vAlign w:val="center"/>
          </w:tcPr>
          <w:p>
            <w:pPr>
              <w:spacing w:line="360" w:lineRule="auto"/>
              <w:ind w:firstLine="424" w:firstLineChars="177"/>
              <w:rPr>
                <w:rFonts w:hint="eastAsia" w:ascii="宋体" w:hAnsi="宋体" w:eastAsia="宋体" w:cs="宋体"/>
                <w:sz w:val="24"/>
                <w:szCs w:val="24"/>
                <w:highlight w:val="none"/>
              </w:rPr>
            </w:pPr>
          </w:p>
        </w:tc>
        <w:tc>
          <w:tcPr>
            <w:tcW w:w="4252" w:type="dxa"/>
            <w:tcBorders>
              <w:bottom w:val="nil"/>
            </w:tcBorders>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4" w:firstLineChars="177"/>
              <w:rPr>
                <w:rFonts w:hint="eastAsia" w:ascii="宋体" w:hAnsi="宋体" w:eastAsia="宋体" w:cs="宋体"/>
                <w:sz w:val="24"/>
                <w:szCs w:val="24"/>
                <w:highlight w:val="none"/>
              </w:rPr>
            </w:pP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4" w:firstLineChars="177"/>
              <w:rPr>
                <w:rFonts w:hint="eastAsia" w:ascii="宋体" w:hAnsi="宋体" w:eastAsia="宋体" w:cs="宋体"/>
                <w:sz w:val="24"/>
                <w:szCs w:val="24"/>
                <w:highlight w:val="none"/>
              </w:rPr>
            </w:pP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4" w:firstLineChars="177"/>
              <w:rPr>
                <w:rFonts w:hint="eastAsia" w:ascii="宋体" w:hAnsi="宋体" w:eastAsia="宋体" w:cs="宋体"/>
                <w:sz w:val="24"/>
                <w:szCs w:val="24"/>
                <w:highlight w:val="none"/>
              </w:rPr>
            </w:pPr>
          </w:p>
        </w:tc>
        <w:tc>
          <w:tcPr>
            <w:tcW w:w="1418"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1134" w:type="dxa"/>
            <w:vAlign w:val="center"/>
          </w:tcPr>
          <w:p>
            <w:pPr>
              <w:spacing w:line="360" w:lineRule="auto"/>
              <w:ind w:firstLine="424" w:firstLineChars="177"/>
              <w:rPr>
                <w:rFonts w:hint="eastAsia" w:ascii="宋体" w:hAnsi="宋体" w:eastAsia="宋体" w:cs="宋体"/>
                <w:sz w:val="24"/>
                <w:szCs w:val="24"/>
                <w:highlight w:val="none"/>
              </w:rPr>
            </w:pPr>
          </w:p>
        </w:tc>
        <w:tc>
          <w:tcPr>
            <w:tcW w:w="4252" w:type="dxa"/>
            <w:vAlign w:val="center"/>
          </w:tcPr>
          <w:p>
            <w:pPr>
              <w:spacing w:line="360" w:lineRule="auto"/>
              <w:ind w:firstLine="424" w:firstLineChars="177"/>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spacing w:line="360" w:lineRule="auto"/>
              <w:rPr>
                <w:rFonts w:hint="eastAsia" w:ascii="宋体" w:hAnsi="宋体" w:eastAsia="宋体" w:cs="宋体"/>
                <w:sz w:val="24"/>
                <w:szCs w:val="24"/>
                <w:highlight w:val="none"/>
              </w:rPr>
            </w:pPr>
          </w:p>
        </w:tc>
        <w:tc>
          <w:tcPr>
            <w:tcW w:w="1418" w:type="dxa"/>
            <w:tcBorders>
              <w:bottom w:val="single" w:color="auto" w:sz="12" w:space="0"/>
            </w:tcBorders>
            <w:vAlign w:val="center"/>
          </w:tcPr>
          <w:p>
            <w:pPr>
              <w:spacing w:line="360" w:lineRule="auto"/>
              <w:rPr>
                <w:rFonts w:hint="eastAsia" w:ascii="宋体" w:hAnsi="宋体" w:eastAsia="宋体" w:cs="宋体"/>
                <w:sz w:val="24"/>
                <w:szCs w:val="24"/>
                <w:highlight w:val="none"/>
              </w:rPr>
            </w:pPr>
          </w:p>
        </w:tc>
        <w:tc>
          <w:tcPr>
            <w:tcW w:w="1134" w:type="dxa"/>
            <w:tcBorders>
              <w:bottom w:val="single" w:color="auto" w:sz="12" w:space="0"/>
            </w:tcBorders>
            <w:vAlign w:val="center"/>
          </w:tcPr>
          <w:p>
            <w:pPr>
              <w:spacing w:line="360" w:lineRule="auto"/>
              <w:rPr>
                <w:rFonts w:hint="eastAsia" w:ascii="宋体" w:hAnsi="宋体" w:eastAsia="宋体" w:cs="宋体"/>
                <w:sz w:val="24"/>
                <w:szCs w:val="24"/>
                <w:highlight w:val="none"/>
              </w:rPr>
            </w:pPr>
          </w:p>
        </w:tc>
        <w:tc>
          <w:tcPr>
            <w:tcW w:w="1134" w:type="dxa"/>
            <w:tcBorders>
              <w:bottom w:val="single" w:color="auto" w:sz="12" w:space="0"/>
            </w:tcBorders>
            <w:vAlign w:val="center"/>
          </w:tcPr>
          <w:p>
            <w:pPr>
              <w:spacing w:line="360" w:lineRule="auto"/>
              <w:rPr>
                <w:rFonts w:hint="eastAsia" w:ascii="宋体" w:hAnsi="宋体" w:eastAsia="宋体" w:cs="宋体"/>
                <w:sz w:val="24"/>
                <w:szCs w:val="24"/>
                <w:highlight w:val="none"/>
              </w:rPr>
            </w:pPr>
          </w:p>
        </w:tc>
        <w:tc>
          <w:tcPr>
            <w:tcW w:w="4252" w:type="dxa"/>
            <w:tcBorders>
              <w:bottom w:val="single" w:color="auto" w:sz="12" w:space="0"/>
            </w:tcBorders>
            <w:vAlign w:val="center"/>
          </w:tcPr>
          <w:p>
            <w:pPr>
              <w:spacing w:line="360" w:lineRule="auto"/>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pStyle w:val="7"/>
        <w:spacing w:before="0" w:line="360" w:lineRule="auto"/>
        <w:rPr>
          <w:rFonts w:hint="eastAsia" w:ascii="宋体" w:hAnsi="宋体" w:eastAsia="宋体" w:cs="宋体"/>
          <w:sz w:val="24"/>
          <w:szCs w:val="24"/>
          <w:highlight w:val="none"/>
        </w:rPr>
      </w:pPr>
      <w:bookmarkStart w:id="1689" w:name="_Toc414469059"/>
      <w:bookmarkStart w:id="1690" w:name="_Toc10331"/>
      <w:bookmarkStart w:id="1691" w:name="_Toc20286"/>
      <w:bookmarkStart w:id="1692" w:name="_Toc443466970"/>
      <w:bookmarkStart w:id="1693" w:name="_Toc25397"/>
      <w:r>
        <w:rPr>
          <w:rFonts w:hint="eastAsia" w:ascii="宋体" w:hAnsi="宋体" w:eastAsia="宋体" w:cs="宋体"/>
          <w:sz w:val="24"/>
          <w:szCs w:val="24"/>
          <w:highlight w:val="none"/>
        </w:rPr>
        <w:t>附件8：</w:t>
      </w:r>
      <w:bookmarkEnd w:id="1689"/>
      <w:bookmarkEnd w:id="1690"/>
      <w:bookmarkEnd w:id="1691"/>
      <w:bookmarkEnd w:id="1692"/>
      <w:bookmarkEnd w:id="1693"/>
    </w:p>
    <w:p>
      <w:pPr>
        <w:pStyle w:val="7"/>
        <w:spacing w:before="0" w:line="360" w:lineRule="auto"/>
        <w:rPr>
          <w:rFonts w:hint="eastAsia" w:ascii="宋体" w:hAnsi="宋体" w:eastAsia="宋体" w:cs="宋体"/>
          <w:sz w:val="24"/>
          <w:szCs w:val="24"/>
          <w:highlight w:val="none"/>
        </w:rPr>
      </w:pPr>
      <w:bookmarkStart w:id="1694" w:name="_Toc2713"/>
      <w:bookmarkStart w:id="1695" w:name="_Toc443466971"/>
      <w:bookmarkStart w:id="1696" w:name="_Toc11245"/>
      <w:bookmarkStart w:id="1697" w:name="_Toc28229"/>
      <w:r>
        <w:rPr>
          <w:rFonts w:hint="eastAsia" w:ascii="宋体" w:hAnsi="宋体" w:eastAsia="宋体" w:cs="宋体"/>
          <w:sz w:val="24"/>
          <w:szCs w:val="24"/>
          <w:highlight w:val="none"/>
        </w:rPr>
        <w:t>8-1：材料暂估价表</w:t>
      </w:r>
      <w:bookmarkEnd w:id="1694"/>
      <w:bookmarkEnd w:id="1695"/>
      <w:bookmarkEnd w:id="1696"/>
      <w:bookmarkEnd w:id="1697"/>
    </w:p>
    <w:tbl>
      <w:tblPr>
        <w:tblStyle w:val="2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984"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851"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774"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352"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单价（元）</w:t>
            </w:r>
          </w:p>
        </w:tc>
        <w:tc>
          <w:tcPr>
            <w:tcW w:w="1418"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合价（元）</w:t>
            </w:r>
          </w:p>
        </w:tc>
        <w:tc>
          <w:tcPr>
            <w:tcW w:w="1701"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984"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851"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774"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352"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418"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701"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984"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851"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774"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352"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41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701" w:type="dxa"/>
            <w:tcBorders>
              <w:top w:val="nil"/>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pStyle w:val="7"/>
        <w:spacing w:before="0" w:line="360" w:lineRule="auto"/>
        <w:rPr>
          <w:rFonts w:hint="eastAsia" w:ascii="宋体" w:hAnsi="宋体" w:eastAsia="宋体" w:cs="宋体"/>
          <w:sz w:val="24"/>
          <w:szCs w:val="24"/>
          <w:highlight w:val="none"/>
        </w:rPr>
      </w:pPr>
      <w:bookmarkStart w:id="1698" w:name="_Toc2632"/>
      <w:bookmarkStart w:id="1699" w:name="_Toc7848"/>
      <w:bookmarkStart w:id="1700" w:name="_Toc10543"/>
      <w:bookmarkStart w:id="1701" w:name="_Toc443466972"/>
      <w:r>
        <w:rPr>
          <w:rFonts w:hint="eastAsia" w:ascii="宋体" w:hAnsi="宋体" w:eastAsia="宋体" w:cs="宋体"/>
          <w:sz w:val="24"/>
          <w:szCs w:val="24"/>
          <w:highlight w:val="none"/>
        </w:rPr>
        <w:t>8-2：工程设备暂估价表</w:t>
      </w:r>
      <w:bookmarkEnd w:id="1698"/>
      <w:bookmarkEnd w:id="1699"/>
      <w:bookmarkEnd w:id="1700"/>
      <w:bookmarkEnd w:id="1701"/>
    </w:p>
    <w:tbl>
      <w:tblPr>
        <w:tblStyle w:val="2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984"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851"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774"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352"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单价（元）</w:t>
            </w:r>
          </w:p>
        </w:tc>
        <w:tc>
          <w:tcPr>
            <w:tcW w:w="1418"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合价（元）</w:t>
            </w:r>
          </w:p>
        </w:tc>
        <w:tc>
          <w:tcPr>
            <w:tcW w:w="1701"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984"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851"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774"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352"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418"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701"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984"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851"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774"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352"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41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701" w:type="dxa"/>
            <w:tcBorders>
              <w:top w:val="nil"/>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bl>
    <w:p>
      <w:pPr>
        <w:pStyle w:val="7"/>
        <w:spacing w:before="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1702" w:name="_Toc4135"/>
      <w:bookmarkStart w:id="1703" w:name="_Toc28374"/>
      <w:bookmarkStart w:id="1704" w:name="_Toc23506"/>
      <w:bookmarkStart w:id="1705" w:name="_Toc443466973"/>
      <w:r>
        <w:rPr>
          <w:rFonts w:hint="eastAsia" w:ascii="宋体" w:hAnsi="宋体" w:eastAsia="宋体" w:cs="宋体"/>
          <w:sz w:val="24"/>
          <w:szCs w:val="24"/>
          <w:highlight w:val="none"/>
        </w:rPr>
        <w:t>8-3：专业工程暂估价表</w:t>
      </w:r>
      <w:bookmarkEnd w:id="1702"/>
      <w:bookmarkEnd w:id="1703"/>
      <w:bookmarkEnd w:id="1704"/>
      <w:bookmarkEnd w:id="1705"/>
    </w:p>
    <w:tbl>
      <w:tblPr>
        <w:tblStyle w:val="2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9" w:hRule="atLeast"/>
        </w:trPr>
        <w:tc>
          <w:tcPr>
            <w:tcW w:w="993"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984"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851"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774"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352"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单价（元）</w:t>
            </w:r>
          </w:p>
        </w:tc>
        <w:tc>
          <w:tcPr>
            <w:tcW w:w="1418"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合价（元）</w:t>
            </w:r>
          </w:p>
        </w:tc>
        <w:tc>
          <w:tcPr>
            <w:tcW w:w="1701" w:type="dxa"/>
            <w:tcBorders>
              <w:top w:val="single" w:color="auto" w:sz="12" w:space="0"/>
              <w:bottom w:val="double" w:color="auto" w:sz="6"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984"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851"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774"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352"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418"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c>
          <w:tcPr>
            <w:tcW w:w="1701" w:type="dxa"/>
            <w:tcBorders>
              <w:top w:val="double" w:color="auto" w:sz="6" w:space="0"/>
              <w:bottom w:val="single" w:color="auto" w:sz="6" w:space="0"/>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984"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851"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774"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352"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418" w:type="dxa"/>
            <w:tcBorders>
              <w:top w:val="nil"/>
            </w:tcBorders>
            <w:vAlign w:val="center"/>
          </w:tcPr>
          <w:p>
            <w:pPr>
              <w:spacing w:line="360" w:lineRule="auto"/>
              <w:jc w:val="center"/>
              <w:rPr>
                <w:rFonts w:hint="eastAsia" w:ascii="宋体" w:hAnsi="宋体" w:eastAsia="宋体" w:cs="宋体"/>
                <w:sz w:val="24"/>
                <w:szCs w:val="24"/>
                <w:highlight w:val="none"/>
              </w:rPr>
            </w:pPr>
          </w:p>
        </w:tc>
        <w:tc>
          <w:tcPr>
            <w:tcW w:w="1701" w:type="dxa"/>
            <w:tcBorders>
              <w:top w:val="nil"/>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spacing w:line="360" w:lineRule="auto"/>
              <w:jc w:val="center"/>
              <w:rPr>
                <w:rFonts w:hint="eastAsia" w:ascii="宋体" w:hAnsi="宋体" w:eastAsia="宋体" w:cs="宋体"/>
                <w:sz w:val="24"/>
                <w:szCs w:val="24"/>
                <w:highlight w:val="none"/>
              </w:rPr>
            </w:pPr>
          </w:p>
        </w:tc>
        <w:tc>
          <w:tcPr>
            <w:tcW w:w="1984" w:type="dxa"/>
            <w:vAlign w:val="center"/>
          </w:tcPr>
          <w:p>
            <w:pPr>
              <w:spacing w:line="360" w:lineRule="auto"/>
              <w:jc w:val="center"/>
              <w:rPr>
                <w:rFonts w:hint="eastAsia" w:ascii="宋体" w:hAnsi="宋体" w:eastAsia="宋体" w:cs="宋体"/>
                <w:sz w:val="24"/>
                <w:szCs w:val="24"/>
                <w:highlight w:val="none"/>
              </w:rPr>
            </w:pPr>
          </w:p>
        </w:tc>
        <w:tc>
          <w:tcPr>
            <w:tcW w:w="851" w:type="dxa"/>
            <w:vAlign w:val="center"/>
          </w:tcPr>
          <w:p>
            <w:pPr>
              <w:spacing w:line="360" w:lineRule="auto"/>
              <w:jc w:val="center"/>
              <w:rPr>
                <w:rFonts w:hint="eastAsia" w:ascii="宋体" w:hAnsi="宋体" w:eastAsia="宋体" w:cs="宋体"/>
                <w:sz w:val="24"/>
                <w:szCs w:val="24"/>
                <w:highlight w:val="none"/>
              </w:rPr>
            </w:pPr>
          </w:p>
        </w:tc>
        <w:tc>
          <w:tcPr>
            <w:tcW w:w="774" w:type="dxa"/>
            <w:vAlign w:val="center"/>
          </w:tcPr>
          <w:p>
            <w:pPr>
              <w:spacing w:line="360" w:lineRule="auto"/>
              <w:jc w:val="center"/>
              <w:rPr>
                <w:rFonts w:hint="eastAsia" w:ascii="宋体" w:hAnsi="宋体" w:eastAsia="宋体" w:cs="宋体"/>
                <w:sz w:val="24"/>
                <w:szCs w:val="24"/>
                <w:highlight w:val="none"/>
              </w:rPr>
            </w:pPr>
          </w:p>
        </w:tc>
        <w:tc>
          <w:tcPr>
            <w:tcW w:w="1352" w:type="dxa"/>
            <w:vAlign w:val="center"/>
          </w:tcPr>
          <w:p>
            <w:pPr>
              <w:spacing w:line="360" w:lineRule="auto"/>
              <w:jc w:val="center"/>
              <w:rPr>
                <w:rFonts w:hint="eastAsia" w:ascii="宋体" w:hAnsi="宋体" w:eastAsia="宋体" w:cs="宋体"/>
                <w:sz w:val="24"/>
                <w:szCs w:val="24"/>
                <w:highlight w:val="none"/>
              </w:rPr>
            </w:pPr>
          </w:p>
        </w:tc>
        <w:tc>
          <w:tcPr>
            <w:tcW w:w="1418" w:type="dxa"/>
            <w:vAlign w:val="center"/>
          </w:tcPr>
          <w:p>
            <w:pPr>
              <w:spacing w:line="360" w:lineRule="auto"/>
              <w:jc w:val="center"/>
              <w:rPr>
                <w:rFonts w:hint="eastAsia" w:ascii="宋体" w:hAnsi="宋体" w:eastAsia="宋体" w:cs="宋体"/>
                <w:sz w:val="24"/>
                <w:szCs w:val="24"/>
                <w:highlight w:val="none"/>
              </w:rPr>
            </w:pPr>
          </w:p>
        </w:tc>
        <w:tc>
          <w:tcPr>
            <w:tcW w:w="1701" w:type="dxa"/>
            <w:vAlign w:val="center"/>
          </w:tcPr>
          <w:p>
            <w:pPr>
              <w:spacing w:line="360" w:lineRule="auto"/>
              <w:jc w:val="center"/>
              <w:rPr>
                <w:rFonts w:hint="eastAsia" w:ascii="宋体" w:hAnsi="宋体" w:eastAsia="宋体" w:cs="宋体"/>
                <w:sz w:val="24"/>
                <w:szCs w:val="24"/>
                <w:highlight w:val="none"/>
              </w:rPr>
            </w:pPr>
          </w:p>
        </w:tc>
      </w:tr>
    </w:tbl>
    <w:p>
      <w:pPr>
        <w:widowControl w:val="0"/>
        <w:wordWrap/>
        <w:adjustRightInd w:val="0"/>
        <w:snapToGrid w:val="0"/>
        <w:spacing w:line="360" w:lineRule="auto"/>
        <w:ind w:firstLine="482" w:firstLineChars="200"/>
        <w:textAlignment w:val="auto"/>
        <w:outlineLvl w:val="9"/>
        <w:rPr>
          <w:rFonts w:hint="eastAsia" w:ascii="宋体" w:hAnsi="宋体" w:eastAsia="宋体" w:cs="宋体"/>
          <w:b/>
          <w:color w:val="000000"/>
          <w:sz w:val="24"/>
          <w:szCs w:val="24"/>
        </w:rPr>
      </w:pPr>
    </w:p>
    <w:sectPr>
      <w:pgSz w:w="11906" w:h="16838"/>
      <w:pgMar w:top="1440" w:right="1080" w:bottom="1440" w:left="1080" w:header="851" w:footer="992" w:gutter="0"/>
      <w:pgBorders w:zOrder="back" w:offsetFrom="page">
        <w:top w:val="single" w:color="auto" w:sz="4" w:space="24"/>
        <w:left w:val="single" w:color="auto" w:sz="4" w:space="24"/>
        <w:bottom w:val="single" w:color="auto" w:sz="4" w:space="24"/>
        <w:right w:val="single" w:color="auto" w:sz="4" w:space="24"/>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rPr>
        <w:rFonts w:hint="default" w:eastAsia="微软雅黑"/>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618"/>
        <w:tab w:val="clear" w:pos="4153"/>
        <w:tab w:val="clear" w:pos="8306"/>
      </w:tabs>
      <w:jc w:val="center"/>
      <w:rPr>
        <w:rFonts w:hint="eastAsia" w:ascii="Arial" w:hAnsi="Arial" w:eastAsia="微软雅黑" w:cs="Arial"/>
        <w:b/>
        <w:bCs/>
        <w:sz w:val="24"/>
        <w:szCs w:val="2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default" w:eastAsia="华文中宋"/>
        <w:sz w:val="24"/>
        <w:szCs w:val="24"/>
        <w:lang w:val="en-US" w:eastAsia="zh-CN"/>
      </w:rPr>
    </w:pPr>
    <w:r>
      <w:rPr>
        <w:rFonts w:hint="eastAsia" w:ascii="宋体" w:hAnsi="宋体" w:eastAsia="宋体" w:cs="宋体"/>
        <w:sz w:val="18"/>
        <w:szCs w:val="18"/>
      </w:rPr>
      <w:pict>
        <v:shape id="PowerPlusWaterMarkObject41597" o:spid="_x0000_s4105" o:spt="136" type="#_x0000_t136" style="position:absolute;left:0pt;height:144.5pt;width:442.7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青海汇森" style="font-family:微软雅黑;font-size:36pt;v-same-letter-heights:f;v-text-align:center;"/>
        </v:shape>
      </w:pict>
    </w:r>
    <w:r>
      <w:rPr>
        <w:rFonts w:hint="eastAsia" w:ascii="宋体" w:hAnsi="宋体" w:cs="宋体"/>
        <w:sz w:val="18"/>
        <w:szCs w:val="18"/>
        <w:lang w:val="en-US" w:eastAsia="zh-CN"/>
      </w:rPr>
      <w:t>泉吉乡宁夏村党员活动室阳光暖廓建设项目</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 xml:space="preserve"> 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83FD"/>
    <w:multiLevelType w:val="singleLevel"/>
    <w:tmpl w:val="992C83FD"/>
    <w:lvl w:ilvl="0" w:tentative="0">
      <w:start w:val="1"/>
      <w:numFmt w:val="decimal"/>
      <w:suff w:val="space"/>
      <w:lvlText w:val="%1."/>
      <w:lvlJc w:val="left"/>
    </w:lvl>
  </w:abstractNum>
  <w:abstractNum w:abstractNumId="1">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40063688"/>
    <w:multiLevelType w:val="singleLevel"/>
    <w:tmpl w:val="40063688"/>
    <w:lvl w:ilvl="0" w:tentative="0">
      <w:start w:val="1"/>
      <w:numFmt w:val="decimal"/>
      <w:lvlText w:val="%1."/>
      <w:lvlJc w:val="left"/>
      <w:pPr>
        <w:tabs>
          <w:tab w:val="left" w:pos="312"/>
        </w:tabs>
      </w:pPr>
    </w:lvl>
  </w:abstractNum>
  <w:abstractNum w:abstractNumId="4">
    <w:nsid w:val="59031ECF"/>
    <w:multiLevelType w:val="singleLevel"/>
    <w:tmpl w:val="59031ECF"/>
    <w:lvl w:ilvl="0" w:tentative="0">
      <w:start w:val="2"/>
      <w:numFmt w:val="decimal"/>
      <w:suff w:val="nothing"/>
      <w:lvlText w:val="%1、"/>
      <w:lvlJc w:val="left"/>
    </w:lvl>
  </w:abstractNum>
  <w:abstractNum w:abstractNumId="5">
    <w:nsid w:val="5EC64F27"/>
    <w:multiLevelType w:val="singleLevel"/>
    <w:tmpl w:val="5EC64F27"/>
    <w:lvl w:ilvl="0" w:tentative="0">
      <w:start w:val="1"/>
      <w:numFmt w:val="decimal"/>
      <w:suff w:val="nothing"/>
      <w:lvlText w:val="（%1）"/>
      <w:lvlJc w:val="left"/>
    </w:lvl>
  </w:abstractNum>
  <w:abstractNum w:abstractNumId="6">
    <w:nsid w:val="6A7196BF"/>
    <w:multiLevelType w:val="singleLevel"/>
    <w:tmpl w:val="6A7196BF"/>
    <w:lvl w:ilvl="0" w:tentative="0">
      <w:start w:val="1"/>
      <w:numFmt w:val="decimal"/>
      <w:suff w:val="space"/>
      <w:lvlText w:val="%1."/>
      <w:lvlJc w:val="left"/>
    </w:lvl>
  </w:abstractNum>
  <w:abstractNum w:abstractNumId="7">
    <w:nsid w:val="7499AA4E"/>
    <w:multiLevelType w:val="singleLevel"/>
    <w:tmpl w:val="7499AA4E"/>
    <w:lvl w:ilvl="0" w:tentative="0">
      <w:start w:val="1"/>
      <w:numFmt w:val="decimal"/>
      <w:lvlText w:val="%1."/>
      <w:lvlJc w:val="left"/>
      <w:pPr>
        <w:tabs>
          <w:tab w:val="left" w:pos="312"/>
        </w:tabs>
      </w:pPr>
    </w:lvl>
  </w:abstractNum>
  <w:num w:numId="1">
    <w:abstractNumId w:val="1"/>
  </w:num>
  <w:num w:numId="2">
    <w:abstractNumId w:val="7"/>
  </w:num>
  <w:num w:numId="3">
    <w:abstractNumId w:val="0"/>
  </w:num>
  <w:num w:numId="4">
    <w:abstractNumId w:val="3"/>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2NmZmIyYTM2NTBmYjQ1YTc3YjUxZmU5YjM1YTcifQ=="/>
  </w:docVars>
  <w:rsids>
    <w:rsidRoot w:val="7D9B5E16"/>
    <w:rsid w:val="00571A76"/>
    <w:rsid w:val="00B86025"/>
    <w:rsid w:val="00C84C65"/>
    <w:rsid w:val="00D5215B"/>
    <w:rsid w:val="01B60844"/>
    <w:rsid w:val="02637B1D"/>
    <w:rsid w:val="02664A99"/>
    <w:rsid w:val="02991CE1"/>
    <w:rsid w:val="02A9297E"/>
    <w:rsid w:val="02D53DE9"/>
    <w:rsid w:val="03442F30"/>
    <w:rsid w:val="03A34D06"/>
    <w:rsid w:val="03C12DCD"/>
    <w:rsid w:val="04474517"/>
    <w:rsid w:val="04D66E38"/>
    <w:rsid w:val="04DE17B1"/>
    <w:rsid w:val="05195516"/>
    <w:rsid w:val="05210BC9"/>
    <w:rsid w:val="055D0822"/>
    <w:rsid w:val="056913B5"/>
    <w:rsid w:val="05B00806"/>
    <w:rsid w:val="05E12013"/>
    <w:rsid w:val="05FD3580"/>
    <w:rsid w:val="0624278B"/>
    <w:rsid w:val="06AA2F8D"/>
    <w:rsid w:val="06AF6260"/>
    <w:rsid w:val="06F2641E"/>
    <w:rsid w:val="07334A94"/>
    <w:rsid w:val="07867AF5"/>
    <w:rsid w:val="080A210C"/>
    <w:rsid w:val="0891104C"/>
    <w:rsid w:val="090B7185"/>
    <w:rsid w:val="0A3770B4"/>
    <w:rsid w:val="0A536242"/>
    <w:rsid w:val="0A7A5B86"/>
    <w:rsid w:val="0A801DDE"/>
    <w:rsid w:val="0AE47BD3"/>
    <w:rsid w:val="0AED28F4"/>
    <w:rsid w:val="0B2B4C7E"/>
    <w:rsid w:val="0BB54002"/>
    <w:rsid w:val="0C254484"/>
    <w:rsid w:val="0C661388"/>
    <w:rsid w:val="0CA87A52"/>
    <w:rsid w:val="0D0360FA"/>
    <w:rsid w:val="0D226E5D"/>
    <w:rsid w:val="0D256ADD"/>
    <w:rsid w:val="0D616E1A"/>
    <w:rsid w:val="0D711167"/>
    <w:rsid w:val="0DC739FA"/>
    <w:rsid w:val="0E3A13D7"/>
    <w:rsid w:val="0E783BEB"/>
    <w:rsid w:val="0E874D29"/>
    <w:rsid w:val="0E930373"/>
    <w:rsid w:val="0F0010A9"/>
    <w:rsid w:val="0F73530E"/>
    <w:rsid w:val="0FFD4229"/>
    <w:rsid w:val="108B1659"/>
    <w:rsid w:val="109055EB"/>
    <w:rsid w:val="10DE48CA"/>
    <w:rsid w:val="10E223DD"/>
    <w:rsid w:val="11433F8B"/>
    <w:rsid w:val="11AF11DC"/>
    <w:rsid w:val="11FB2BE7"/>
    <w:rsid w:val="120D16E5"/>
    <w:rsid w:val="12400F8A"/>
    <w:rsid w:val="1289645E"/>
    <w:rsid w:val="13CF660F"/>
    <w:rsid w:val="13D2255B"/>
    <w:rsid w:val="14526E5B"/>
    <w:rsid w:val="1532490E"/>
    <w:rsid w:val="15B35BE9"/>
    <w:rsid w:val="15E94352"/>
    <w:rsid w:val="160A7634"/>
    <w:rsid w:val="16932406"/>
    <w:rsid w:val="17B514B3"/>
    <w:rsid w:val="1802614F"/>
    <w:rsid w:val="181531AE"/>
    <w:rsid w:val="185A675A"/>
    <w:rsid w:val="18C211CC"/>
    <w:rsid w:val="18E36251"/>
    <w:rsid w:val="18EF5FF1"/>
    <w:rsid w:val="191715EF"/>
    <w:rsid w:val="19227628"/>
    <w:rsid w:val="19DC5345"/>
    <w:rsid w:val="19E10B40"/>
    <w:rsid w:val="1A4E0C94"/>
    <w:rsid w:val="1A977682"/>
    <w:rsid w:val="1A9D5A0A"/>
    <w:rsid w:val="1ACC3E1B"/>
    <w:rsid w:val="1AD11780"/>
    <w:rsid w:val="1B08118F"/>
    <w:rsid w:val="1B662DBF"/>
    <w:rsid w:val="1B8A7357"/>
    <w:rsid w:val="1BD92B91"/>
    <w:rsid w:val="1C2359CF"/>
    <w:rsid w:val="1C2F5B31"/>
    <w:rsid w:val="1D7542D0"/>
    <w:rsid w:val="1D9A4A78"/>
    <w:rsid w:val="1D9D0EE6"/>
    <w:rsid w:val="1E084327"/>
    <w:rsid w:val="1E2F4669"/>
    <w:rsid w:val="1E662D79"/>
    <w:rsid w:val="1ECA2FB0"/>
    <w:rsid w:val="1ECC538B"/>
    <w:rsid w:val="1EED3CFC"/>
    <w:rsid w:val="1EF65831"/>
    <w:rsid w:val="1F1D4355"/>
    <w:rsid w:val="1F375195"/>
    <w:rsid w:val="20525060"/>
    <w:rsid w:val="207F0C88"/>
    <w:rsid w:val="2121098A"/>
    <w:rsid w:val="212C3222"/>
    <w:rsid w:val="212E70FF"/>
    <w:rsid w:val="21AD5B3E"/>
    <w:rsid w:val="21C422F5"/>
    <w:rsid w:val="22540440"/>
    <w:rsid w:val="2272669E"/>
    <w:rsid w:val="227F4D71"/>
    <w:rsid w:val="2280389A"/>
    <w:rsid w:val="235554B7"/>
    <w:rsid w:val="24203E2D"/>
    <w:rsid w:val="2457692B"/>
    <w:rsid w:val="247C2A7C"/>
    <w:rsid w:val="24AB7279"/>
    <w:rsid w:val="24FD76C4"/>
    <w:rsid w:val="25824666"/>
    <w:rsid w:val="25A60401"/>
    <w:rsid w:val="26431D8F"/>
    <w:rsid w:val="26806F3F"/>
    <w:rsid w:val="26B0198D"/>
    <w:rsid w:val="26D3516B"/>
    <w:rsid w:val="26DD792B"/>
    <w:rsid w:val="26EC4530"/>
    <w:rsid w:val="27753A9F"/>
    <w:rsid w:val="278F5CF9"/>
    <w:rsid w:val="28773DCD"/>
    <w:rsid w:val="28B0541A"/>
    <w:rsid w:val="28ED597C"/>
    <w:rsid w:val="28EE6FE7"/>
    <w:rsid w:val="296A237C"/>
    <w:rsid w:val="29860FF5"/>
    <w:rsid w:val="29907531"/>
    <w:rsid w:val="2A140448"/>
    <w:rsid w:val="2A8C2C0A"/>
    <w:rsid w:val="2ADE5E46"/>
    <w:rsid w:val="2ADF4A92"/>
    <w:rsid w:val="2B351B3E"/>
    <w:rsid w:val="2B78699C"/>
    <w:rsid w:val="2C2E5CBB"/>
    <w:rsid w:val="2CC30608"/>
    <w:rsid w:val="2D386E98"/>
    <w:rsid w:val="2D5F282E"/>
    <w:rsid w:val="2DB75571"/>
    <w:rsid w:val="2E6C56AF"/>
    <w:rsid w:val="2EC13CE1"/>
    <w:rsid w:val="2F173B14"/>
    <w:rsid w:val="2F6F2343"/>
    <w:rsid w:val="2F7A1819"/>
    <w:rsid w:val="2F7B1CC0"/>
    <w:rsid w:val="2FD74D0A"/>
    <w:rsid w:val="309842CB"/>
    <w:rsid w:val="30B46ED7"/>
    <w:rsid w:val="30D84A6D"/>
    <w:rsid w:val="31171483"/>
    <w:rsid w:val="31CD6FAF"/>
    <w:rsid w:val="327120E1"/>
    <w:rsid w:val="32A00E07"/>
    <w:rsid w:val="330B095E"/>
    <w:rsid w:val="330D26CF"/>
    <w:rsid w:val="33115BE8"/>
    <w:rsid w:val="331C79D8"/>
    <w:rsid w:val="33523BA8"/>
    <w:rsid w:val="33DA4581"/>
    <w:rsid w:val="33E16749"/>
    <w:rsid w:val="34184F37"/>
    <w:rsid w:val="342873FA"/>
    <w:rsid w:val="3477273D"/>
    <w:rsid w:val="348875DC"/>
    <w:rsid w:val="35061DD1"/>
    <w:rsid w:val="351E2DBD"/>
    <w:rsid w:val="35311FF2"/>
    <w:rsid w:val="356B65D3"/>
    <w:rsid w:val="363A248D"/>
    <w:rsid w:val="36A610F5"/>
    <w:rsid w:val="36C524F5"/>
    <w:rsid w:val="371870F8"/>
    <w:rsid w:val="37BE4993"/>
    <w:rsid w:val="381009F4"/>
    <w:rsid w:val="38177AC2"/>
    <w:rsid w:val="38330237"/>
    <w:rsid w:val="38856AA3"/>
    <w:rsid w:val="388D3743"/>
    <w:rsid w:val="38961C4E"/>
    <w:rsid w:val="39430789"/>
    <w:rsid w:val="394A098F"/>
    <w:rsid w:val="39E400CD"/>
    <w:rsid w:val="39E61C93"/>
    <w:rsid w:val="39EB5777"/>
    <w:rsid w:val="3A414068"/>
    <w:rsid w:val="3AD61226"/>
    <w:rsid w:val="3AF96301"/>
    <w:rsid w:val="3B6938E2"/>
    <w:rsid w:val="3C0E6A8C"/>
    <w:rsid w:val="3CDA061D"/>
    <w:rsid w:val="3D4C7081"/>
    <w:rsid w:val="3D9F3525"/>
    <w:rsid w:val="3DCC1178"/>
    <w:rsid w:val="3E004C98"/>
    <w:rsid w:val="3E0F720F"/>
    <w:rsid w:val="3E3B0987"/>
    <w:rsid w:val="3E6F1C2A"/>
    <w:rsid w:val="3EA7538E"/>
    <w:rsid w:val="3F000963"/>
    <w:rsid w:val="3FCC1BB2"/>
    <w:rsid w:val="3FFA1B0C"/>
    <w:rsid w:val="403F45C6"/>
    <w:rsid w:val="406B63D5"/>
    <w:rsid w:val="40B97554"/>
    <w:rsid w:val="411540C9"/>
    <w:rsid w:val="41D04D73"/>
    <w:rsid w:val="420C189F"/>
    <w:rsid w:val="42C82526"/>
    <w:rsid w:val="430164BC"/>
    <w:rsid w:val="43263D76"/>
    <w:rsid w:val="43803F8D"/>
    <w:rsid w:val="438C27A8"/>
    <w:rsid w:val="43BB1128"/>
    <w:rsid w:val="44107D9B"/>
    <w:rsid w:val="44491649"/>
    <w:rsid w:val="444B6339"/>
    <w:rsid w:val="44965DCE"/>
    <w:rsid w:val="450334E6"/>
    <w:rsid w:val="45B9464D"/>
    <w:rsid w:val="45ED1587"/>
    <w:rsid w:val="45EE208A"/>
    <w:rsid w:val="460515BC"/>
    <w:rsid w:val="47176167"/>
    <w:rsid w:val="47596179"/>
    <w:rsid w:val="479B6142"/>
    <w:rsid w:val="47A11C87"/>
    <w:rsid w:val="47C462E6"/>
    <w:rsid w:val="47CF0B1D"/>
    <w:rsid w:val="47E23378"/>
    <w:rsid w:val="496A2654"/>
    <w:rsid w:val="49D030CC"/>
    <w:rsid w:val="4A024DBC"/>
    <w:rsid w:val="4ABB6706"/>
    <w:rsid w:val="4AD87F7A"/>
    <w:rsid w:val="4B257B13"/>
    <w:rsid w:val="4B9F2679"/>
    <w:rsid w:val="4BDC778A"/>
    <w:rsid w:val="4C3D50E7"/>
    <w:rsid w:val="4C8D39F2"/>
    <w:rsid w:val="4CB10ACF"/>
    <w:rsid w:val="4CC01E86"/>
    <w:rsid w:val="4CE01B2D"/>
    <w:rsid w:val="4CE91938"/>
    <w:rsid w:val="4CFC39BF"/>
    <w:rsid w:val="4D2B7562"/>
    <w:rsid w:val="4DDB03B5"/>
    <w:rsid w:val="4DED4A76"/>
    <w:rsid w:val="4ED72EBD"/>
    <w:rsid w:val="4EE202E0"/>
    <w:rsid w:val="4F5C1D7A"/>
    <w:rsid w:val="4FAA6E8F"/>
    <w:rsid w:val="504304F7"/>
    <w:rsid w:val="51271052"/>
    <w:rsid w:val="513B64A4"/>
    <w:rsid w:val="5176769E"/>
    <w:rsid w:val="51882D3D"/>
    <w:rsid w:val="519017FF"/>
    <w:rsid w:val="51977DF7"/>
    <w:rsid w:val="51AF0470"/>
    <w:rsid w:val="51B22AB2"/>
    <w:rsid w:val="51FE73D1"/>
    <w:rsid w:val="53534733"/>
    <w:rsid w:val="535B4140"/>
    <w:rsid w:val="53B41740"/>
    <w:rsid w:val="53E9079A"/>
    <w:rsid w:val="54AB36A4"/>
    <w:rsid w:val="5500159A"/>
    <w:rsid w:val="55072D5D"/>
    <w:rsid w:val="551F04FA"/>
    <w:rsid w:val="5571016F"/>
    <w:rsid w:val="557F61CB"/>
    <w:rsid w:val="55B04C26"/>
    <w:rsid w:val="55F51E57"/>
    <w:rsid w:val="56225F7C"/>
    <w:rsid w:val="57CA07CE"/>
    <w:rsid w:val="57F27B11"/>
    <w:rsid w:val="587D00AE"/>
    <w:rsid w:val="59361F1D"/>
    <w:rsid w:val="59934224"/>
    <w:rsid w:val="59A94D91"/>
    <w:rsid w:val="59CF4F3A"/>
    <w:rsid w:val="5A071FEA"/>
    <w:rsid w:val="5A64145D"/>
    <w:rsid w:val="5AA26202"/>
    <w:rsid w:val="5AEF00AC"/>
    <w:rsid w:val="5B355D06"/>
    <w:rsid w:val="5B631DA9"/>
    <w:rsid w:val="5B6C1A71"/>
    <w:rsid w:val="5BFA2163"/>
    <w:rsid w:val="5CC84CFD"/>
    <w:rsid w:val="5D172A1F"/>
    <w:rsid w:val="5D4A3A21"/>
    <w:rsid w:val="5D604029"/>
    <w:rsid w:val="5D6408DE"/>
    <w:rsid w:val="5DA842D2"/>
    <w:rsid w:val="5DBF6824"/>
    <w:rsid w:val="5E394D08"/>
    <w:rsid w:val="5E814705"/>
    <w:rsid w:val="5F8038FF"/>
    <w:rsid w:val="5F8545E6"/>
    <w:rsid w:val="5F880E0A"/>
    <w:rsid w:val="60AE2DC5"/>
    <w:rsid w:val="60F25329"/>
    <w:rsid w:val="61E715D9"/>
    <w:rsid w:val="623E7E59"/>
    <w:rsid w:val="62B827A8"/>
    <w:rsid w:val="63363DAC"/>
    <w:rsid w:val="63E71A85"/>
    <w:rsid w:val="64027CD6"/>
    <w:rsid w:val="640D1E65"/>
    <w:rsid w:val="641D07A1"/>
    <w:rsid w:val="6442177C"/>
    <w:rsid w:val="64AE4FE2"/>
    <w:rsid w:val="657854BD"/>
    <w:rsid w:val="65A42794"/>
    <w:rsid w:val="65F4283F"/>
    <w:rsid w:val="661E127D"/>
    <w:rsid w:val="6628294C"/>
    <w:rsid w:val="6658601C"/>
    <w:rsid w:val="665F04CD"/>
    <w:rsid w:val="666E6D57"/>
    <w:rsid w:val="668C6B1C"/>
    <w:rsid w:val="67466E44"/>
    <w:rsid w:val="679204A3"/>
    <w:rsid w:val="68B02BCE"/>
    <w:rsid w:val="697A025F"/>
    <w:rsid w:val="69AC34CB"/>
    <w:rsid w:val="6AC11213"/>
    <w:rsid w:val="6B6D6315"/>
    <w:rsid w:val="6BB6488D"/>
    <w:rsid w:val="6BC0391C"/>
    <w:rsid w:val="6C374DFA"/>
    <w:rsid w:val="6CB51DAA"/>
    <w:rsid w:val="6D484EC2"/>
    <w:rsid w:val="6D6E1B0D"/>
    <w:rsid w:val="6D8225AE"/>
    <w:rsid w:val="6DFC3970"/>
    <w:rsid w:val="6E190707"/>
    <w:rsid w:val="6E672B2B"/>
    <w:rsid w:val="6EC06B5D"/>
    <w:rsid w:val="6F443BEB"/>
    <w:rsid w:val="6F7922B4"/>
    <w:rsid w:val="6FA035A1"/>
    <w:rsid w:val="6FB824BF"/>
    <w:rsid w:val="6FCF63C4"/>
    <w:rsid w:val="700E5AD3"/>
    <w:rsid w:val="703C3536"/>
    <w:rsid w:val="71346209"/>
    <w:rsid w:val="71E64DF1"/>
    <w:rsid w:val="71F61535"/>
    <w:rsid w:val="7202096F"/>
    <w:rsid w:val="721734C2"/>
    <w:rsid w:val="72F0558E"/>
    <w:rsid w:val="734625E2"/>
    <w:rsid w:val="735C0CB6"/>
    <w:rsid w:val="73972F2B"/>
    <w:rsid w:val="74562484"/>
    <w:rsid w:val="74B378A3"/>
    <w:rsid w:val="74C41531"/>
    <w:rsid w:val="74F220B3"/>
    <w:rsid w:val="75053FA4"/>
    <w:rsid w:val="751508E9"/>
    <w:rsid w:val="757F7E3A"/>
    <w:rsid w:val="75BE3D92"/>
    <w:rsid w:val="76275612"/>
    <w:rsid w:val="76473B85"/>
    <w:rsid w:val="76917A04"/>
    <w:rsid w:val="769D5146"/>
    <w:rsid w:val="76FE6E62"/>
    <w:rsid w:val="77864563"/>
    <w:rsid w:val="785724B6"/>
    <w:rsid w:val="789F6743"/>
    <w:rsid w:val="78AE290F"/>
    <w:rsid w:val="79465555"/>
    <w:rsid w:val="7A7A746F"/>
    <w:rsid w:val="7ABE1AD2"/>
    <w:rsid w:val="7B2C4BD0"/>
    <w:rsid w:val="7B550882"/>
    <w:rsid w:val="7C355CCF"/>
    <w:rsid w:val="7C5176A0"/>
    <w:rsid w:val="7CE5560B"/>
    <w:rsid w:val="7D9B5E16"/>
    <w:rsid w:val="7E143686"/>
    <w:rsid w:val="7E3F0D72"/>
    <w:rsid w:val="7E5A55AC"/>
    <w:rsid w:val="7E7F7D0E"/>
    <w:rsid w:val="7EE73E3D"/>
    <w:rsid w:val="7F3C2F69"/>
    <w:rsid w:val="7F4123BA"/>
    <w:rsid w:val="7F437E74"/>
    <w:rsid w:val="7FB403A6"/>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2"/>
    <w:qFormat/>
    <w:uiPriority w:val="0"/>
    <w:pPr>
      <w:keepNext/>
      <w:jc w:val="center"/>
      <w:outlineLvl w:val="0"/>
    </w:pPr>
    <w:rPr>
      <w:b/>
      <w:bCs/>
      <w:sz w:val="24"/>
      <w:szCs w:val="20"/>
    </w:rPr>
  </w:style>
  <w:style w:type="paragraph" w:styleId="7">
    <w:name w:val="heading 2"/>
    <w:basedOn w:val="1"/>
    <w:next w:val="1"/>
    <w:link w:val="46"/>
    <w:qFormat/>
    <w:uiPriority w:val="0"/>
    <w:pPr>
      <w:keepNext/>
      <w:keepLines/>
      <w:spacing w:line="360" w:lineRule="auto"/>
      <w:outlineLvl w:val="1"/>
    </w:pPr>
    <w:rPr>
      <w:rFonts w:ascii="Arial" w:hAnsi="Arial"/>
      <w:b/>
      <w:bCs/>
      <w:sz w:val="24"/>
      <w:szCs w:val="32"/>
    </w:rPr>
  </w:style>
  <w:style w:type="paragraph" w:styleId="8">
    <w:name w:val="heading 3"/>
    <w:basedOn w:val="1"/>
    <w:next w:val="1"/>
    <w:link w:val="43"/>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djustRightInd/>
      <w:snapToGrid/>
      <w:spacing w:after="120"/>
      <w:jc w:val="both"/>
    </w:pPr>
    <w:rPr>
      <w:rFonts w:ascii="Times New Roman" w:hAnsi="Times New Roman"/>
      <w:kern w:val="2"/>
      <w:sz w:val="21"/>
      <w:szCs w:val="24"/>
    </w:rPr>
  </w:style>
  <w:style w:type="paragraph" w:customStyle="1" w:styleId="3">
    <w:name w:val="一级条标题"/>
    <w:basedOn w:val="4"/>
    <w:next w:val="5"/>
    <w:qFormat/>
    <w:uiPriority w:val="0"/>
    <w:pPr>
      <w:tabs>
        <w:tab w:val="left" w:pos="720"/>
      </w:tabs>
      <w:spacing w:beforeLines="0" w:afterLines="0"/>
      <w:ind w:left="567" w:hanging="567"/>
      <w:outlineLvl w:val="2"/>
    </w:pPr>
  </w:style>
  <w:style w:type="paragraph" w:customStyle="1" w:styleId="4">
    <w:name w:val="章标题"/>
    <w:next w:val="1"/>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spacing w:before="100" w:beforeAutospacing="1" w:after="100" w:afterAutospacing="1"/>
      <w:ind w:left="0" w:right="0"/>
      <w:jc w:val="left"/>
    </w:pPr>
    <w:rPr>
      <w:kern w:val="0"/>
      <w:sz w:val="24"/>
      <w:lang w:val="en-US" w:eastAsia="zh-CN"/>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rFonts w:hint="eastAsia" w:ascii="微软雅黑" w:hAnsi="微软雅黑" w:eastAsia="微软雅黑" w:cs="微软雅黑"/>
      <w:color w:val="02396F"/>
      <w:u w:val="single"/>
    </w:rPr>
  </w:style>
  <w:style w:type="character" w:styleId="26">
    <w:name w:val="Hyperlink"/>
    <w:basedOn w:val="22"/>
    <w:qFormat/>
    <w:uiPriority w:val="0"/>
    <w:rPr>
      <w:rFonts w:ascii="微软雅黑" w:hAnsi="微软雅黑" w:eastAsia="微软雅黑" w:cs="微软雅黑"/>
      <w:color w:val="02396F"/>
      <w:u w:val="single"/>
    </w:rPr>
  </w:style>
  <w:style w:type="paragraph" w:customStyle="1" w:styleId="27">
    <w:name w:val="标题 5（有编号）（绿盟科技）"/>
    <w:basedOn w:val="1"/>
    <w:next w:val="28"/>
    <w:qFormat/>
    <w:uiPriority w:val="0"/>
    <w:pPr>
      <w:keepNext/>
      <w:keepLines/>
      <w:numPr>
        <w:ilvl w:val="4"/>
        <w:numId w:val="1"/>
      </w:numPr>
      <w:spacing w:before="280" w:after="156" w:line="377" w:lineRule="auto"/>
      <w:outlineLvl w:val="4"/>
    </w:pPr>
    <w:rPr>
      <w:rFonts w:ascii="Times New Roman" w:hAnsi="Times New Roman" w:eastAsia="黑体" w:cs="Times New Roman"/>
      <w:b/>
      <w:szCs w:val="28"/>
    </w:rPr>
  </w:style>
  <w:style w:type="paragraph" w:customStyle="1" w:styleId="28">
    <w:name w:val="正文（绿盟科技）"/>
    <w:next w:val="27"/>
    <w:qFormat/>
    <w:uiPriority w:val="0"/>
    <w:pPr>
      <w:spacing w:line="300" w:lineRule="auto"/>
    </w:pPr>
    <w:rPr>
      <w:rFonts w:ascii="Times New Roman" w:hAnsi="Times New Roman" w:eastAsia="宋体" w:cs="黑体"/>
      <w:sz w:val="21"/>
      <w:szCs w:val="21"/>
      <w:lang w:val="en-US" w:eastAsia="zh-CN" w:bidi="ar-SA"/>
    </w:rPr>
  </w:style>
  <w:style w:type="paragraph" w:customStyle="1" w:styleId="29">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p0"/>
    <w:basedOn w:val="1"/>
    <w:qFormat/>
    <w:uiPriority w:val="0"/>
    <w:pPr>
      <w:widowControl/>
    </w:pPr>
    <w:rPr>
      <w:kern w:val="0"/>
      <w:szCs w:val="21"/>
    </w:rPr>
  </w:style>
  <w:style w:type="paragraph" w:customStyle="1" w:styleId="33">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4">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5">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6">
    <w:name w:val="gjfg"/>
    <w:basedOn w:val="22"/>
    <w:qFormat/>
    <w:uiPriority w:val="0"/>
  </w:style>
  <w:style w:type="character" w:customStyle="1" w:styleId="37">
    <w:name w:val="displayarti"/>
    <w:basedOn w:val="22"/>
    <w:qFormat/>
    <w:uiPriority w:val="0"/>
    <w:rPr>
      <w:color w:val="FFFFFF"/>
      <w:shd w:val="clear" w:color="010000" w:fill="A00000"/>
    </w:rPr>
  </w:style>
  <w:style w:type="character" w:customStyle="1" w:styleId="38">
    <w:name w:val="redfilefwwh"/>
    <w:basedOn w:val="22"/>
    <w:qFormat/>
    <w:uiPriority w:val="0"/>
    <w:rPr>
      <w:color w:val="BA2636"/>
      <w:sz w:val="14"/>
      <w:szCs w:val="14"/>
    </w:rPr>
  </w:style>
  <w:style w:type="character" w:customStyle="1" w:styleId="39">
    <w:name w:val="redfilenumber"/>
    <w:basedOn w:val="22"/>
    <w:qFormat/>
    <w:uiPriority w:val="0"/>
    <w:rPr>
      <w:color w:val="BA2636"/>
      <w:sz w:val="14"/>
      <w:szCs w:val="14"/>
    </w:rPr>
  </w:style>
  <w:style w:type="character" w:customStyle="1" w:styleId="40">
    <w:name w:val="qxdate"/>
    <w:basedOn w:val="22"/>
    <w:qFormat/>
    <w:uiPriority w:val="0"/>
    <w:rPr>
      <w:color w:val="333333"/>
      <w:sz w:val="14"/>
      <w:szCs w:val="14"/>
    </w:rPr>
  </w:style>
  <w:style w:type="character" w:customStyle="1" w:styleId="41">
    <w:name w:val="cfdate"/>
    <w:basedOn w:val="22"/>
    <w:qFormat/>
    <w:uiPriority w:val="0"/>
    <w:rPr>
      <w:color w:val="333333"/>
      <w:sz w:val="14"/>
      <w:szCs w:val="14"/>
    </w:rPr>
  </w:style>
  <w:style w:type="character" w:customStyle="1" w:styleId="42">
    <w:name w:val="标题 1 Char"/>
    <w:link w:val="6"/>
    <w:qFormat/>
    <w:uiPriority w:val="0"/>
    <w:rPr>
      <w:b/>
      <w:bCs/>
      <w:sz w:val="24"/>
      <w:szCs w:val="20"/>
    </w:rPr>
  </w:style>
  <w:style w:type="character" w:customStyle="1" w:styleId="43">
    <w:name w:val="标题 3 Char"/>
    <w:link w:val="8"/>
    <w:qFormat/>
    <w:uiPriority w:val="0"/>
    <w:rPr>
      <w:b/>
      <w:bCs/>
      <w:sz w:val="32"/>
      <w:szCs w:val="32"/>
    </w:rPr>
  </w:style>
  <w:style w:type="paragraph" w:customStyle="1" w:styleId="44">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列出段落1"/>
    <w:basedOn w:val="1"/>
    <w:qFormat/>
    <w:uiPriority w:val="34"/>
    <w:pPr>
      <w:ind w:left="720"/>
      <w:contextualSpacing/>
    </w:pPr>
  </w:style>
  <w:style w:type="character" w:customStyle="1" w:styleId="46">
    <w:name w:val="标题 2 Char"/>
    <w:link w:val="7"/>
    <w:qFormat/>
    <w:uiPriority w:val="0"/>
    <w:rPr>
      <w:rFonts w:ascii="Arial" w:hAnsi="Arial"/>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10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166</Pages>
  <Words>81571</Words>
  <Characters>85184</Characters>
  <Lines>0</Lines>
  <Paragraphs>0</Paragraphs>
  <TotalTime>46</TotalTime>
  <ScaleCrop>false</ScaleCrop>
  <LinksUpToDate>false</LinksUpToDate>
  <CharactersWithSpaces>92286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A、生来彷徨</cp:lastModifiedBy>
  <cp:lastPrinted>2021-04-27T07:16:00Z</cp:lastPrinted>
  <dcterms:modified xsi:type="dcterms:W3CDTF">2022-08-17T09:08:50Z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E573D0EFDCDF42178089EB6C8EBA0C24</vt:lpwstr>
  </property>
</Properties>
</file>